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1B1C93" w14:textId="0D99D790" w:rsidR="00833D5A" w:rsidRPr="0064597D" w:rsidRDefault="008C44B6" w:rsidP="008C44B6">
      <w:pPr>
        <w:tabs>
          <w:tab w:val="left" w:pos="7526"/>
        </w:tabs>
        <w:spacing w:line="240" w:lineRule="auto"/>
        <w:jc w:val="left"/>
        <w:rPr>
          <w:rFonts w:eastAsia="Calibri" w:cs="Calibri"/>
          <w:b/>
          <w:sz w:val="20"/>
          <w:szCs w:val="20"/>
        </w:rPr>
      </w:pPr>
      <w:r w:rsidRPr="0064597D">
        <w:rPr>
          <w:rFonts w:eastAsia="Calibri" w:cs="Calibri"/>
          <w:b/>
          <w:sz w:val="20"/>
          <w:szCs w:val="20"/>
        </w:rPr>
        <w:tab/>
      </w:r>
    </w:p>
    <w:p w14:paraId="22CA0356" w14:textId="77777777" w:rsidR="008C44B6" w:rsidRPr="0064597D" w:rsidRDefault="008C44B6" w:rsidP="00833D5A">
      <w:pPr>
        <w:spacing w:line="240" w:lineRule="auto"/>
        <w:jc w:val="center"/>
        <w:rPr>
          <w:rFonts w:eastAsia="Calibri" w:cs="Calibri"/>
          <w:b/>
          <w:sz w:val="20"/>
          <w:szCs w:val="20"/>
        </w:rPr>
        <w:sectPr w:rsidR="008C44B6" w:rsidRPr="0064597D" w:rsidSect="00B14B06">
          <w:headerReference w:type="default" r:id="rId8"/>
          <w:footerReference w:type="default" r:id="rId9"/>
          <w:pgSz w:w="12240" w:h="15840" w:code="1"/>
          <w:pgMar w:top="1440" w:right="1080" w:bottom="547" w:left="1080" w:header="706" w:footer="706" w:gutter="0"/>
          <w:cols w:space="708"/>
          <w:titlePg/>
          <w:docGrid w:linePitch="360"/>
        </w:sectPr>
      </w:pPr>
    </w:p>
    <w:p w14:paraId="38241C87" w14:textId="1C06DB07" w:rsidR="00833D5A" w:rsidRPr="0064597D" w:rsidRDefault="00833D5A" w:rsidP="00833D5A">
      <w:pPr>
        <w:spacing w:line="240" w:lineRule="auto"/>
        <w:jc w:val="center"/>
        <w:rPr>
          <w:rFonts w:eastAsia="Calibri" w:cs="Calibri"/>
          <w:b/>
          <w:sz w:val="20"/>
          <w:szCs w:val="20"/>
        </w:rPr>
      </w:pPr>
      <w:r w:rsidRPr="0064597D">
        <w:rPr>
          <w:rFonts w:eastAsia="Calibri" w:cs="Calibri"/>
          <w:b/>
          <w:sz w:val="20"/>
          <w:szCs w:val="20"/>
        </w:rPr>
        <w:t>CORTE INTERAMERICANA DE DERECHOS HUMANOS</w:t>
      </w:r>
      <w:r w:rsidR="00745963" w:rsidRPr="0064597D">
        <w:rPr>
          <w:rStyle w:val="Refdenotaalpie"/>
          <w:rFonts w:eastAsia="Calibri" w:cs="Calibri"/>
          <w:b/>
          <w:sz w:val="20"/>
          <w:szCs w:val="20"/>
        </w:rPr>
        <w:footnoteReference w:id="1"/>
      </w:r>
    </w:p>
    <w:p w14:paraId="5C673AE3" w14:textId="3AEECED6" w:rsidR="00833D5A" w:rsidRPr="0064597D" w:rsidRDefault="00833D5A" w:rsidP="00833D5A">
      <w:pPr>
        <w:tabs>
          <w:tab w:val="left" w:pos="720"/>
        </w:tabs>
        <w:spacing w:line="240" w:lineRule="auto"/>
        <w:jc w:val="center"/>
        <w:rPr>
          <w:rFonts w:eastAsia="Calibri" w:cs="Verdana"/>
          <w:b/>
          <w:bCs/>
          <w:caps/>
          <w:snapToGrid w:val="0"/>
          <w:sz w:val="20"/>
          <w:szCs w:val="20"/>
          <w:lang w:eastAsia="es-ES"/>
        </w:rPr>
      </w:pPr>
    </w:p>
    <w:p w14:paraId="7F4AFA1E" w14:textId="74331C53" w:rsidR="00833D5A" w:rsidRPr="0064597D" w:rsidRDefault="00833D5A" w:rsidP="00833D5A">
      <w:pPr>
        <w:spacing w:line="240" w:lineRule="auto"/>
        <w:jc w:val="center"/>
        <w:rPr>
          <w:rFonts w:eastAsia="Calibri" w:cs="Calibri"/>
          <w:b/>
          <w:sz w:val="20"/>
          <w:szCs w:val="20"/>
        </w:rPr>
      </w:pPr>
      <w:r w:rsidRPr="0064597D">
        <w:rPr>
          <w:rFonts w:eastAsia="Calibri" w:cs="Calibri"/>
          <w:b/>
          <w:sz w:val="20"/>
          <w:szCs w:val="20"/>
        </w:rPr>
        <w:t xml:space="preserve">CASO </w:t>
      </w:r>
      <w:r w:rsidR="00E32DA9" w:rsidRPr="0064597D">
        <w:rPr>
          <w:rFonts w:eastAsia="Calibri" w:cs="Calibri"/>
          <w:b/>
          <w:sz w:val="20"/>
          <w:szCs w:val="20"/>
        </w:rPr>
        <w:t>RUIZ FUENTES Y OTRA</w:t>
      </w:r>
      <w:r w:rsidRPr="0064597D">
        <w:rPr>
          <w:rFonts w:eastAsia="Calibri" w:cs="Calibri"/>
          <w:b/>
          <w:i/>
          <w:sz w:val="20"/>
          <w:szCs w:val="20"/>
        </w:rPr>
        <w:t xml:space="preserve"> VS</w:t>
      </w:r>
      <w:r w:rsidRPr="0064597D">
        <w:rPr>
          <w:rFonts w:eastAsia="Calibri" w:cs="Calibri"/>
          <w:b/>
          <w:sz w:val="20"/>
          <w:szCs w:val="20"/>
        </w:rPr>
        <w:t xml:space="preserve">. </w:t>
      </w:r>
      <w:r w:rsidR="00E32DA9" w:rsidRPr="0064597D">
        <w:rPr>
          <w:rFonts w:eastAsia="Calibri" w:cs="Calibri"/>
          <w:b/>
          <w:sz w:val="20"/>
          <w:szCs w:val="20"/>
        </w:rPr>
        <w:t>GUATEMALA</w:t>
      </w:r>
      <w:r w:rsidR="008C44B6" w:rsidRPr="0064597D">
        <w:rPr>
          <w:rStyle w:val="Refdenotaalpie"/>
          <w:rFonts w:eastAsia="Calibri" w:cs="Calibri"/>
          <w:b/>
          <w:sz w:val="20"/>
          <w:szCs w:val="20"/>
        </w:rPr>
        <w:footnoteReference w:customMarkFollows="1" w:id="2"/>
        <w:t>**</w:t>
      </w:r>
    </w:p>
    <w:p w14:paraId="7A6A4110" w14:textId="77777777" w:rsidR="00833D5A" w:rsidRPr="0064597D" w:rsidRDefault="00833D5A" w:rsidP="00833D5A">
      <w:pPr>
        <w:tabs>
          <w:tab w:val="left" w:pos="720"/>
        </w:tabs>
        <w:spacing w:line="240" w:lineRule="auto"/>
        <w:jc w:val="center"/>
        <w:rPr>
          <w:rFonts w:eastAsia="Calibri" w:cs="Verdana"/>
          <w:b/>
          <w:bCs/>
          <w:caps/>
          <w:snapToGrid w:val="0"/>
          <w:sz w:val="20"/>
          <w:szCs w:val="20"/>
          <w:lang w:eastAsia="es-ES"/>
        </w:rPr>
      </w:pPr>
    </w:p>
    <w:p w14:paraId="594EFFDE" w14:textId="16484C35" w:rsidR="00833D5A" w:rsidRPr="0064597D" w:rsidRDefault="00833D5A" w:rsidP="00833D5A">
      <w:pPr>
        <w:tabs>
          <w:tab w:val="left" w:pos="720"/>
        </w:tabs>
        <w:spacing w:line="240" w:lineRule="auto"/>
        <w:jc w:val="center"/>
        <w:rPr>
          <w:rFonts w:eastAsia="Calibri" w:cs="Verdana"/>
          <w:b/>
          <w:bCs/>
          <w:snapToGrid w:val="0"/>
          <w:sz w:val="20"/>
          <w:szCs w:val="20"/>
          <w:lang w:eastAsia="es-ES"/>
        </w:rPr>
      </w:pPr>
      <w:r w:rsidRPr="0064597D">
        <w:rPr>
          <w:rFonts w:eastAsia="Calibri" w:cs="Verdana"/>
          <w:b/>
          <w:bCs/>
          <w:snapToGrid w:val="0"/>
          <w:sz w:val="20"/>
          <w:szCs w:val="20"/>
          <w:lang w:eastAsia="es-ES"/>
        </w:rPr>
        <w:t xml:space="preserve">SENTENCIA DE </w:t>
      </w:r>
      <w:r w:rsidR="00DE123F" w:rsidRPr="0064597D">
        <w:rPr>
          <w:rFonts w:eastAsia="Calibri" w:cs="Verdana"/>
          <w:b/>
          <w:bCs/>
          <w:snapToGrid w:val="0"/>
          <w:sz w:val="20"/>
          <w:szCs w:val="20"/>
          <w:lang w:eastAsia="es-ES"/>
        </w:rPr>
        <w:t>10</w:t>
      </w:r>
      <w:r w:rsidRPr="0064597D">
        <w:rPr>
          <w:rFonts w:eastAsia="Calibri" w:cs="Verdana"/>
          <w:b/>
          <w:bCs/>
          <w:snapToGrid w:val="0"/>
          <w:sz w:val="20"/>
          <w:szCs w:val="20"/>
          <w:lang w:eastAsia="es-ES"/>
        </w:rPr>
        <w:t xml:space="preserve"> DE </w:t>
      </w:r>
      <w:r w:rsidR="00DE123F" w:rsidRPr="0064597D">
        <w:rPr>
          <w:rFonts w:eastAsia="Calibri" w:cs="Verdana"/>
          <w:b/>
          <w:bCs/>
          <w:snapToGrid w:val="0"/>
          <w:sz w:val="20"/>
          <w:szCs w:val="20"/>
          <w:lang w:eastAsia="es-ES"/>
        </w:rPr>
        <w:t>OCTUBRE</w:t>
      </w:r>
      <w:r w:rsidRPr="0064597D">
        <w:rPr>
          <w:rFonts w:eastAsia="Calibri" w:cs="Verdana"/>
          <w:b/>
          <w:bCs/>
          <w:snapToGrid w:val="0"/>
          <w:sz w:val="20"/>
          <w:szCs w:val="20"/>
          <w:lang w:eastAsia="es-ES"/>
        </w:rPr>
        <w:t xml:space="preserve"> DE </w:t>
      </w:r>
      <w:r w:rsidR="00E32DA9" w:rsidRPr="0064597D">
        <w:rPr>
          <w:rFonts w:eastAsia="Calibri" w:cs="Verdana"/>
          <w:b/>
          <w:bCs/>
          <w:snapToGrid w:val="0"/>
          <w:sz w:val="20"/>
          <w:szCs w:val="20"/>
          <w:lang w:eastAsia="es-ES"/>
        </w:rPr>
        <w:t>2019</w:t>
      </w:r>
    </w:p>
    <w:p w14:paraId="46BAC7A2" w14:textId="77777777" w:rsidR="00833D5A" w:rsidRPr="0064597D" w:rsidRDefault="00833D5A" w:rsidP="00833D5A">
      <w:pPr>
        <w:tabs>
          <w:tab w:val="left" w:pos="720"/>
        </w:tabs>
        <w:spacing w:line="240" w:lineRule="auto"/>
        <w:jc w:val="center"/>
        <w:rPr>
          <w:rFonts w:eastAsia="Calibri" w:cs="Verdana"/>
          <w:b/>
          <w:bCs/>
          <w:caps/>
          <w:snapToGrid w:val="0"/>
          <w:sz w:val="20"/>
          <w:szCs w:val="20"/>
          <w:lang w:eastAsia="es-ES"/>
        </w:rPr>
      </w:pPr>
    </w:p>
    <w:p w14:paraId="06895F7B" w14:textId="77777777" w:rsidR="00833D5A" w:rsidRPr="0064597D" w:rsidRDefault="005C543F" w:rsidP="00833D5A">
      <w:pPr>
        <w:tabs>
          <w:tab w:val="left" w:pos="720"/>
        </w:tabs>
        <w:spacing w:line="240" w:lineRule="auto"/>
        <w:jc w:val="center"/>
        <w:rPr>
          <w:rFonts w:eastAsia="Calibri" w:cs="Verdana"/>
          <w:b/>
          <w:bCs/>
          <w:caps/>
          <w:snapToGrid w:val="0"/>
          <w:sz w:val="20"/>
          <w:szCs w:val="20"/>
          <w:lang w:eastAsia="es-ES"/>
        </w:rPr>
      </w:pPr>
      <w:r w:rsidRPr="0064597D">
        <w:rPr>
          <w:rFonts w:eastAsia="Calibri" w:cs="Verdana"/>
          <w:b/>
          <w:bCs/>
          <w:i/>
          <w:iCs/>
          <w:snapToGrid w:val="0"/>
          <w:sz w:val="20"/>
          <w:szCs w:val="20"/>
          <w:lang w:eastAsia="es-ES"/>
        </w:rPr>
        <w:t>(</w:t>
      </w:r>
      <w:r w:rsidR="00A73879" w:rsidRPr="0064597D">
        <w:rPr>
          <w:rFonts w:eastAsia="Calibri" w:cs="Verdana"/>
          <w:b/>
          <w:bCs/>
          <w:i/>
          <w:iCs/>
          <w:snapToGrid w:val="0"/>
          <w:sz w:val="20"/>
          <w:szCs w:val="20"/>
          <w:lang w:eastAsia="es-ES"/>
        </w:rPr>
        <w:t xml:space="preserve">Excepción Preliminar, </w:t>
      </w:r>
      <w:r w:rsidR="00833D5A" w:rsidRPr="0064597D">
        <w:rPr>
          <w:rFonts w:eastAsia="Calibri" w:cs="Verdana"/>
          <w:b/>
          <w:bCs/>
          <w:i/>
          <w:iCs/>
          <w:snapToGrid w:val="0"/>
          <w:sz w:val="20"/>
          <w:szCs w:val="20"/>
          <w:lang w:eastAsia="es-ES"/>
        </w:rPr>
        <w:t>Fondo, Reparaciones y Costas)</w:t>
      </w:r>
    </w:p>
    <w:p w14:paraId="5F20AC0D" w14:textId="77777777" w:rsidR="00833D5A" w:rsidRPr="0064597D" w:rsidRDefault="00DC51F8" w:rsidP="00DC51F8">
      <w:pPr>
        <w:tabs>
          <w:tab w:val="left" w:pos="3819"/>
        </w:tabs>
        <w:spacing w:before="4" w:line="280" w:lineRule="exact"/>
        <w:rPr>
          <w:rFonts w:eastAsia="Calibri"/>
          <w:sz w:val="20"/>
          <w:szCs w:val="20"/>
        </w:rPr>
      </w:pPr>
      <w:r w:rsidRPr="0064597D">
        <w:rPr>
          <w:rFonts w:eastAsia="Calibri"/>
          <w:sz w:val="20"/>
          <w:szCs w:val="20"/>
        </w:rPr>
        <w:tab/>
      </w:r>
    </w:p>
    <w:p w14:paraId="6F10500E" w14:textId="77777777" w:rsidR="00833D5A" w:rsidRPr="0064597D" w:rsidRDefault="00833D5A" w:rsidP="00833D5A">
      <w:pPr>
        <w:tabs>
          <w:tab w:val="left" w:pos="720"/>
        </w:tabs>
        <w:spacing w:line="240" w:lineRule="auto"/>
        <w:rPr>
          <w:rFonts w:eastAsia="Verdana" w:cs="Verdana"/>
          <w:sz w:val="20"/>
          <w:szCs w:val="20"/>
        </w:rPr>
      </w:pPr>
      <w:r w:rsidRPr="0064597D">
        <w:rPr>
          <w:rFonts w:eastAsia="Verdana" w:cs="Verdana"/>
          <w:sz w:val="20"/>
          <w:szCs w:val="20"/>
        </w:rPr>
        <w:t xml:space="preserve">En el caso </w:t>
      </w:r>
      <w:r w:rsidR="00E32DA9" w:rsidRPr="0064597D">
        <w:rPr>
          <w:rFonts w:eastAsia="Verdana" w:cs="Verdana"/>
          <w:i/>
          <w:sz w:val="20"/>
          <w:szCs w:val="20"/>
        </w:rPr>
        <w:t>Ruiz Fuentes y otra</w:t>
      </w:r>
      <w:r w:rsidRPr="0064597D">
        <w:rPr>
          <w:rFonts w:eastAsia="Verdana" w:cs="Verdana"/>
          <w:sz w:val="20"/>
          <w:szCs w:val="20"/>
        </w:rPr>
        <w:t>,</w:t>
      </w:r>
    </w:p>
    <w:p w14:paraId="5FDC0A1E" w14:textId="77777777" w:rsidR="00833D5A" w:rsidRPr="0064597D" w:rsidRDefault="00833D5A" w:rsidP="00833D5A">
      <w:pPr>
        <w:spacing w:before="4" w:line="240" w:lineRule="exact"/>
        <w:rPr>
          <w:rFonts w:eastAsia="Calibri"/>
          <w:sz w:val="20"/>
          <w:szCs w:val="20"/>
        </w:rPr>
      </w:pPr>
    </w:p>
    <w:p w14:paraId="177D036F" w14:textId="77777777" w:rsidR="00833D5A" w:rsidRPr="0064597D" w:rsidRDefault="00833D5A" w:rsidP="00833D5A">
      <w:pPr>
        <w:tabs>
          <w:tab w:val="left" w:pos="720"/>
        </w:tabs>
        <w:spacing w:line="240" w:lineRule="auto"/>
        <w:rPr>
          <w:rFonts w:eastAsia="Calibri" w:cs="Verdana"/>
          <w:sz w:val="20"/>
          <w:szCs w:val="20"/>
        </w:rPr>
      </w:pPr>
      <w:r w:rsidRPr="0064597D">
        <w:rPr>
          <w:rFonts w:eastAsia="Calibri" w:cs="Verdana"/>
          <w:sz w:val="20"/>
          <w:szCs w:val="20"/>
        </w:rPr>
        <w:t>la Corte Interamericana de Derechos Humanos (en adelante “la Corte Interamericana”, “la Corte” o “este Tribunal”), integrada por los siguientes jueces:</w:t>
      </w:r>
      <w:r w:rsidR="00215B98" w:rsidRPr="0064597D">
        <w:rPr>
          <w:rFonts w:eastAsia="Calibri" w:cs="Verdana"/>
          <w:sz w:val="20"/>
          <w:szCs w:val="20"/>
        </w:rPr>
        <w:tab/>
      </w:r>
    </w:p>
    <w:p w14:paraId="31F96755" w14:textId="77777777" w:rsidR="00833D5A" w:rsidRPr="0064597D" w:rsidRDefault="00833D5A" w:rsidP="00833D5A">
      <w:pPr>
        <w:tabs>
          <w:tab w:val="left" w:pos="720"/>
        </w:tabs>
        <w:spacing w:line="240" w:lineRule="auto"/>
        <w:rPr>
          <w:rFonts w:eastAsia="Calibri" w:cs="Verdana"/>
          <w:sz w:val="20"/>
          <w:szCs w:val="20"/>
        </w:rPr>
      </w:pPr>
    </w:p>
    <w:p w14:paraId="47FDEF96" w14:textId="77777777" w:rsidR="00833D5A" w:rsidRPr="0064597D" w:rsidRDefault="00833D5A" w:rsidP="00833D5A">
      <w:pPr>
        <w:tabs>
          <w:tab w:val="left" w:pos="720"/>
        </w:tabs>
        <w:spacing w:line="240" w:lineRule="auto"/>
        <w:rPr>
          <w:rFonts w:eastAsia="Calibri" w:cs="Verdana"/>
          <w:sz w:val="20"/>
          <w:szCs w:val="20"/>
        </w:rPr>
      </w:pPr>
      <w:r w:rsidRPr="0064597D">
        <w:rPr>
          <w:rFonts w:eastAsia="Calibri" w:cs="Verdana"/>
          <w:sz w:val="20"/>
          <w:szCs w:val="20"/>
        </w:rPr>
        <w:t>Eduardo Ferrer Mac-Gregor Poisot, Presidente;</w:t>
      </w:r>
    </w:p>
    <w:p w14:paraId="73DD20CF" w14:textId="77777777" w:rsidR="00833D5A" w:rsidRPr="0064597D" w:rsidRDefault="00833D5A" w:rsidP="00833D5A">
      <w:pPr>
        <w:tabs>
          <w:tab w:val="left" w:pos="720"/>
        </w:tabs>
        <w:spacing w:line="240" w:lineRule="auto"/>
        <w:rPr>
          <w:rFonts w:eastAsia="Calibri" w:cs="Verdana"/>
          <w:sz w:val="20"/>
          <w:szCs w:val="20"/>
        </w:rPr>
      </w:pPr>
      <w:r w:rsidRPr="0064597D">
        <w:rPr>
          <w:rFonts w:eastAsia="Calibri" w:cs="Verdana"/>
          <w:sz w:val="20"/>
          <w:szCs w:val="20"/>
        </w:rPr>
        <w:t xml:space="preserve">Eduardo Vio Grossi, </w:t>
      </w:r>
      <w:r w:rsidR="004F53EE" w:rsidRPr="0064597D">
        <w:rPr>
          <w:rFonts w:eastAsia="Calibri" w:cs="Verdana"/>
          <w:sz w:val="20"/>
          <w:szCs w:val="20"/>
        </w:rPr>
        <w:t>Vicepresidente</w:t>
      </w:r>
      <w:r w:rsidRPr="0064597D">
        <w:rPr>
          <w:rFonts w:eastAsia="Calibri" w:cs="Verdana"/>
          <w:sz w:val="20"/>
          <w:szCs w:val="20"/>
        </w:rPr>
        <w:t>;</w:t>
      </w:r>
    </w:p>
    <w:p w14:paraId="0540A4CE" w14:textId="77777777" w:rsidR="00833D5A" w:rsidRPr="0064597D" w:rsidRDefault="00833D5A" w:rsidP="00833D5A">
      <w:pPr>
        <w:tabs>
          <w:tab w:val="left" w:pos="720"/>
        </w:tabs>
        <w:spacing w:line="240" w:lineRule="auto"/>
        <w:rPr>
          <w:rFonts w:eastAsia="Calibri" w:cs="Verdana"/>
          <w:sz w:val="20"/>
          <w:szCs w:val="20"/>
        </w:rPr>
      </w:pPr>
      <w:r w:rsidRPr="0064597D">
        <w:rPr>
          <w:rFonts w:eastAsia="Calibri" w:cs="Verdana"/>
          <w:sz w:val="20"/>
          <w:szCs w:val="20"/>
        </w:rPr>
        <w:t>Humberto Antonio Sierra Porto, Juez;</w:t>
      </w:r>
    </w:p>
    <w:p w14:paraId="1BFF3334" w14:textId="77777777" w:rsidR="00E32DA9" w:rsidRPr="0064597D" w:rsidRDefault="00E32DA9" w:rsidP="00833D5A">
      <w:pPr>
        <w:tabs>
          <w:tab w:val="left" w:pos="720"/>
        </w:tabs>
        <w:spacing w:line="240" w:lineRule="auto"/>
        <w:rPr>
          <w:rFonts w:eastAsia="Calibri" w:cs="Verdana"/>
          <w:sz w:val="20"/>
          <w:szCs w:val="20"/>
        </w:rPr>
      </w:pPr>
      <w:r w:rsidRPr="0064597D">
        <w:rPr>
          <w:rFonts w:eastAsia="Calibri" w:cs="Verdana"/>
          <w:sz w:val="20"/>
          <w:szCs w:val="20"/>
        </w:rPr>
        <w:t>Elizabeth Odio Benito, Jueza;</w:t>
      </w:r>
    </w:p>
    <w:p w14:paraId="6D71D6E1" w14:textId="77777777" w:rsidR="00833D5A" w:rsidRPr="0064597D" w:rsidRDefault="00833D5A" w:rsidP="00833D5A">
      <w:pPr>
        <w:tabs>
          <w:tab w:val="left" w:pos="720"/>
        </w:tabs>
        <w:spacing w:line="240" w:lineRule="auto"/>
        <w:rPr>
          <w:rFonts w:eastAsia="Calibri" w:cs="Verdana"/>
          <w:sz w:val="20"/>
          <w:szCs w:val="20"/>
        </w:rPr>
      </w:pPr>
      <w:r w:rsidRPr="0064597D">
        <w:rPr>
          <w:rFonts w:eastAsia="Calibri" w:cs="Verdana"/>
          <w:sz w:val="20"/>
          <w:szCs w:val="20"/>
        </w:rPr>
        <w:t>L</w:t>
      </w:r>
      <w:r w:rsidR="00E32DA9" w:rsidRPr="0064597D">
        <w:rPr>
          <w:rFonts w:eastAsia="Calibri" w:cs="Verdana"/>
          <w:sz w:val="20"/>
          <w:szCs w:val="20"/>
        </w:rPr>
        <w:t xml:space="preserve">. Patricio Pazmiño Freire, Juez, y </w:t>
      </w:r>
    </w:p>
    <w:p w14:paraId="434D5E0A" w14:textId="77777777" w:rsidR="00E32DA9" w:rsidRPr="0064597D" w:rsidRDefault="00E32DA9" w:rsidP="00E32DA9">
      <w:pPr>
        <w:tabs>
          <w:tab w:val="left" w:pos="720"/>
        </w:tabs>
        <w:spacing w:line="240" w:lineRule="auto"/>
        <w:rPr>
          <w:rFonts w:eastAsia="Calibri" w:cs="Verdana"/>
          <w:sz w:val="20"/>
          <w:szCs w:val="20"/>
        </w:rPr>
      </w:pPr>
      <w:r w:rsidRPr="0064597D">
        <w:rPr>
          <w:rFonts w:eastAsia="Calibri" w:cs="Verdana"/>
          <w:sz w:val="20"/>
          <w:szCs w:val="20"/>
        </w:rPr>
        <w:t>Ricardo Pérez Manrique, Juez;</w:t>
      </w:r>
    </w:p>
    <w:p w14:paraId="0A1D797B" w14:textId="77777777" w:rsidR="00833D5A" w:rsidRPr="0064597D" w:rsidRDefault="00833D5A" w:rsidP="00833D5A">
      <w:pPr>
        <w:tabs>
          <w:tab w:val="left" w:pos="720"/>
        </w:tabs>
        <w:spacing w:line="240" w:lineRule="auto"/>
        <w:rPr>
          <w:rFonts w:eastAsia="Calibri" w:cs="Verdana"/>
          <w:sz w:val="20"/>
          <w:szCs w:val="20"/>
        </w:rPr>
      </w:pPr>
    </w:p>
    <w:p w14:paraId="27CA20FA" w14:textId="77777777" w:rsidR="00833D5A" w:rsidRPr="0064597D" w:rsidRDefault="00833D5A" w:rsidP="00833D5A">
      <w:pPr>
        <w:tabs>
          <w:tab w:val="left" w:pos="720"/>
        </w:tabs>
        <w:spacing w:line="240" w:lineRule="auto"/>
        <w:rPr>
          <w:rFonts w:eastAsia="Calibri" w:cs="Verdana"/>
          <w:sz w:val="20"/>
          <w:szCs w:val="20"/>
        </w:rPr>
      </w:pPr>
      <w:r w:rsidRPr="0064597D">
        <w:rPr>
          <w:rFonts w:eastAsia="Calibri" w:cs="Verdana"/>
          <w:sz w:val="20"/>
          <w:szCs w:val="20"/>
        </w:rPr>
        <w:t>presente además,</w:t>
      </w:r>
    </w:p>
    <w:p w14:paraId="105FE0A1" w14:textId="77777777" w:rsidR="00833D5A" w:rsidRPr="0064597D" w:rsidRDefault="00833D5A" w:rsidP="00833D5A">
      <w:pPr>
        <w:tabs>
          <w:tab w:val="left" w:pos="720"/>
        </w:tabs>
        <w:spacing w:line="240" w:lineRule="auto"/>
        <w:rPr>
          <w:rFonts w:eastAsia="Calibri" w:cs="Verdana"/>
          <w:sz w:val="20"/>
          <w:szCs w:val="20"/>
        </w:rPr>
      </w:pPr>
    </w:p>
    <w:p w14:paraId="493930BE" w14:textId="77777777" w:rsidR="00833D5A" w:rsidRPr="0064597D" w:rsidRDefault="00833D5A" w:rsidP="00E32DA9">
      <w:pPr>
        <w:tabs>
          <w:tab w:val="left" w:pos="720"/>
        </w:tabs>
        <w:spacing w:line="240" w:lineRule="auto"/>
        <w:rPr>
          <w:rFonts w:eastAsia="Calibri" w:cs="Verdana"/>
          <w:sz w:val="20"/>
          <w:szCs w:val="20"/>
        </w:rPr>
      </w:pPr>
      <w:r w:rsidRPr="0064597D">
        <w:rPr>
          <w:rFonts w:eastAsia="Calibri" w:cs="Verdana"/>
          <w:sz w:val="20"/>
          <w:szCs w:val="20"/>
        </w:rPr>
        <w:t>Pablo Saavedra Alessandri, Secretario,</w:t>
      </w:r>
      <w:r w:rsidR="004F53EE" w:rsidRPr="0064597D">
        <w:rPr>
          <w:rFonts w:eastAsia="Calibri" w:cs="Verdana"/>
          <w:sz w:val="20"/>
          <w:szCs w:val="20"/>
        </w:rPr>
        <w:t xml:space="preserve"> </w:t>
      </w:r>
    </w:p>
    <w:p w14:paraId="320FC1F7" w14:textId="77777777" w:rsidR="00833D5A" w:rsidRPr="0064597D" w:rsidRDefault="00833D5A" w:rsidP="00833D5A">
      <w:pPr>
        <w:tabs>
          <w:tab w:val="left" w:pos="720"/>
        </w:tabs>
        <w:spacing w:line="240" w:lineRule="auto"/>
        <w:rPr>
          <w:rFonts w:eastAsia="Calibri" w:cs="Verdana"/>
          <w:sz w:val="20"/>
          <w:szCs w:val="20"/>
        </w:rPr>
      </w:pPr>
    </w:p>
    <w:p w14:paraId="2190EB83" w14:textId="77777777" w:rsidR="00833D5A" w:rsidRPr="0064597D" w:rsidRDefault="00833D5A" w:rsidP="00833D5A">
      <w:pPr>
        <w:tabs>
          <w:tab w:val="left" w:pos="720"/>
        </w:tabs>
        <w:spacing w:line="240" w:lineRule="auto"/>
        <w:rPr>
          <w:rFonts w:eastAsia="Calibri" w:cs="Verdana"/>
          <w:sz w:val="20"/>
          <w:szCs w:val="20"/>
        </w:rPr>
      </w:pPr>
      <w:r w:rsidRPr="0064597D">
        <w:rPr>
          <w:rFonts w:eastAsia="Calibri" w:cs="Verdana"/>
          <w:sz w:val="20"/>
          <w:szCs w:val="20"/>
        </w:rPr>
        <w:t>de conformidad con los artículos 62.3 y 63.1 de la Convención Americana sobre Derechos Humanos (en adelante “la Convención Americana” o “la Convención”) y con los artículos 31, 32, 62, 65 y 67 del Reglamento de la Corte (en adelante “el Reglamento” o “</w:t>
      </w:r>
      <w:r w:rsidR="00B9451F" w:rsidRPr="0064597D">
        <w:rPr>
          <w:rFonts w:eastAsia="Calibri" w:cs="Verdana"/>
          <w:sz w:val="20"/>
          <w:szCs w:val="20"/>
        </w:rPr>
        <w:t xml:space="preserve">el </w:t>
      </w:r>
      <w:r w:rsidRPr="0064597D">
        <w:rPr>
          <w:rFonts w:eastAsia="Calibri" w:cs="Verdana"/>
          <w:sz w:val="20"/>
          <w:szCs w:val="20"/>
        </w:rPr>
        <w:t>Reglamento de la Corte”), dicta la presente Sentencia, que se estructura en el siguiente orden:</w:t>
      </w:r>
    </w:p>
    <w:p w14:paraId="4FA7BEB4" w14:textId="77777777" w:rsidR="00833D5A" w:rsidRPr="0064597D" w:rsidRDefault="00833D5A" w:rsidP="00637174">
      <w:pPr>
        <w:spacing w:before="4" w:line="280" w:lineRule="exact"/>
        <w:rPr>
          <w:rFonts w:eastAsia="Calibri"/>
          <w:sz w:val="20"/>
          <w:szCs w:val="20"/>
        </w:rPr>
      </w:pPr>
    </w:p>
    <w:p w14:paraId="714BEF7B" w14:textId="77777777" w:rsidR="00833D5A" w:rsidRPr="0064597D" w:rsidRDefault="00833D5A" w:rsidP="00637174">
      <w:pPr>
        <w:spacing w:before="4" w:line="280" w:lineRule="exact"/>
        <w:rPr>
          <w:rFonts w:eastAsia="Calibri"/>
          <w:sz w:val="20"/>
          <w:szCs w:val="20"/>
        </w:rPr>
      </w:pPr>
    </w:p>
    <w:p w14:paraId="092F37B3" w14:textId="77777777" w:rsidR="00833D5A" w:rsidRPr="0064597D" w:rsidRDefault="00833D5A" w:rsidP="00833D5A">
      <w:pPr>
        <w:rPr>
          <w:rFonts w:eastAsia="Verdana" w:cs="Verdana"/>
          <w:position w:val="-1"/>
          <w:sz w:val="18"/>
          <w:szCs w:val="18"/>
        </w:rPr>
      </w:pPr>
      <w:r w:rsidRPr="0064597D">
        <w:rPr>
          <w:rFonts w:eastAsia="Verdana" w:cs="Verdana"/>
          <w:position w:val="-1"/>
          <w:sz w:val="18"/>
          <w:szCs w:val="18"/>
        </w:rPr>
        <w:br w:type="page"/>
      </w:r>
    </w:p>
    <w:sdt>
      <w:sdtPr>
        <w:rPr>
          <w:rFonts w:eastAsia="Times New Roman"/>
          <w:b w:val="0"/>
          <w:bCs/>
          <w:caps/>
          <w:noProof w:val="0"/>
          <w:sz w:val="24"/>
          <w:szCs w:val="24"/>
        </w:rPr>
        <w:id w:val="1909802414"/>
        <w:docPartObj>
          <w:docPartGallery w:val="Table of Contents"/>
          <w:docPartUnique/>
        </w:docPartObj>
      </w:sdtPr>
      <w:sdtEndPr>
        <w:rPr>
          <w:bCs w:val="0"/>
          <w:caps w:val="0"/>
        </w:rPr>
      </w:sdtEndPr>
      <w:sdtContent>
        <w:p w14:paraId="6308E3AD" w14:textId="7B48D013" w:rsidR="00DD4469" w:rsidRPr="00DD4469" w:rsidRDefault="003C5D40">
          <w:pPr>
            <w:pStyle w:val="TDC1"/>
            <w:rPr>
              <w:rFonts w:eastAsiaTheme="minorEastAsia" w:cstheme="minorBidi"/>
              <w:b w:val="0"/>
              <w:lang w:val="en-US" w:eastAsia="en-US"/>
            </w:rPr>
          </w:pPr>
          <w:r w:rsidRPr="00DD4469">
            <w:rPr>
              <w:rFonts w:cs="Verdana"/>
              <w:caps/>
              <w:noProof w:val="0"/>
              <w:snapToGrid w:val="0"/>
              <w:lang w:val="en-US" w:eastAsia="ja-JP"/>
            </w:rPr>
            <w:fldChar w:fldCharType="begin"/>
          </w:r>
          <w:r w:rsidRPr="00DD4469">
            <w:instrText xml:space="preserve"> TOC \o "1-3" \h \z \u </w:instrText>
          </w:r>
          <w:r w:rsidRPr="00DD4469">
            <w:rPr>
              <w:rFonts w:cs="Verdana"/>
              <w:caps/>
              <w:noProof w:val="0"/>
              <w:snapToGrid w:val="0"/>
              <w:lang w:val="en-US" w:eastAsia="ja-JP"/>
            </w:rPr>
            <w:fldChar w:fldCharType="separate"/>
          </w:r>
          <w:hyperlink w:anchor="_Toc24014525" w:history="1">
            <w:r w:rsidR="00DD4469" w:rsidRPr="00DD4469">
              <w:rPr>
                <w:rStyle w:val="Hipervnculo"/>
              </w:rPr>
              <w:t>I INTRODUCCIÓN DE LA CAUSA Y OBJETO DE LA CONTROVERSIA</w:t>
            </w:r>
            <w:r w:rsidR="00DD4469" w:rsidRPr="00DD4469">
              <w:rPr>
                <w:webHidden/>
              </w:rPr>
              <w:tab/>
            </w:r>
            <w:r w:rsidR="00DD4469" w:rsidRPr="00DD4469">
              <w:rPr>
                <w:webHidden/>
              </w:rPr>
              <w:fldChar w:fldCharType="begin"/>
            </w:r>
            <w:r w:rsidR="00DD4469" w:rsidRPr="00DD4469">
              <w:rPr>
                <w:webHidden/>
              </w:rPr>
              <w:instrText xml:space="preserve"> PAGEREF _Toc24014525 \h </w:instrText>
            </w:r>
            <w:r w:rsidR="00DD4469" w:rsidRPr="00DD4469">
              <w:rPr>
                <w:webHidden/>
              </w:rPr>
            </w:r>
            <w:r w:rsidR="00DD4469" w:rsidRPr="00DD4469">
              <w:rPr>
                <w:webHidden/>
              </w:rPr>
              <w:fldChar w:fldCharType="separate"/>
            </w:r>
            <w:r w:rsidR="002055E2">
              <w:rPr>
                <w:webHidden/>
              </w:rPr>
              <w:t>4</w:t>
            </w:r>
            <w:r w:rsidR="00DD4469" w:rsidRPr="00DD4469">
              <w:rPr>
                <w:webHidden/>
              </w:rPr>
              <w:fldChar w:fldCharType="end"/>
            </w:r>
          </w:hyperlink>
        </w:p>
        <w:p w14:paraId="671345B4" w14:textId="46D73497" w:rsidR="00DD4469" w:rsidRPr="00DD4469" w:rsidRDefault="00656033">
          <w:pPr>
            <w:pStyle w:val="TDC1"/>
            <w:rPr>
              <w:rFonts w:eastAsiaTheme="minorEastAsia" w:cstheme="minorBidi"/>
              <w:b w:val="0"/>
              <w:lang w:val="en-US" w:eastAsia="en-US"/>
            </w:rPr>
          </w:pPr>
          <w:hyperlink w:anchor="_Toc24014526" w:history="1">
            <w:r w:rsidR="00DD4469" w:rsidRPr="00DD4469">
              <w:rPr>
                <w:rStyle w:val="Hipervnculo"/>
              </w:rPr>
              <w:t>II PROCEDIMIENTO ANTE LA CORTE</w:t>
            </w:r>
            <w:r w:rsidR="00DD4469" w:rsidRPr="00DD4469">
              <w:rPr>
                <w:webHidden/>
              </w:rPr>
              <w:tab/>
            </w:r>
            <w:r w:rsidR="00DD4469" w:rsidRPr="00DD4469">
              <w:rPr>
                <w:webHidden/>
              </w:rPr>
              <w:fldChar w:fldCharType="begin"/>
            </w:r>
            <w:r w:rsidR="00DD4469" w:rsidRPr="00DD4469">
              <w:rPr>
                <w:webHidden/>
              </w:rPr>
              <w:instrText xml:space="preserve"> PAGEREF _Toc24014526 \h </w:instrText>
            </w:r>
            <w:r w:rsidR="00DD4469" w:rsidRPr="00DD4469">
              <w:rPr>
                <w:webHidden/>
              </w:rPr>
            </w:r>
            <w:r w:rsidR="00DD4469" w:rsidRPr="00DD4469">
              <w:rPr>
                <w:webHidden/>
              </w:rPr>
              <w:fldChar w:fldCharType="separate"/>
            </w:r>
            <w:r w:rsidR="002055E2">
              <w:rPr>
                <w:webHidden/>
              </w:rPr>
              <w:t>5</w:t>
            </w:r>
            <w:r w:rsidR="00DD4469" w:rsidRPr="00DD4469">
              <w:rPr>
                <w:webHidden/>
              </w:rPr>
              <w:fldChar w:fldCharType="end"/>
            </w:r>
          </w:hyperlink>
        </w:p>
        <w:p w14:paraId="6965ECC5" w14:textId="08CD3578" w:rsidR="00DD4469" w:rsidRPr="00DD4469" w:rsidRDefault="00656033">
          <w:pPr>
            <w:pStyle w:val="TDC1"/>
            <w:rPr>
              <w:rFonts w:eastAsiaTheme="minorEastAsia" w:cstheme="minorBidi"/>
              <w:b w:val="0"/>
              <w:lang w:val="en-US" w:eastAsia="en-US"/>
            </w:rPr>
          </w:pPr>
          <w:hyperlink w:anchor="_Toc24014527" w:history="1">
            <w:r w:rsidR="00DD4469" w:rsidRPr="00DD4469">
              <w:rPr>
                <w:rStyle w:val="Hipervnculo"/>
              </w:rPr>
              <w:t>III COMPETENCIA</w:t>
            </w:r>
            <w:r w:rsidR="00DD4469" w:rsidRPr="00DD4469">
              <w:rPr>
                <w:webHidden/>
              </w:rPr>
              <w:tab/>
            </w:r>
            <w:r w:rsidR="00DD4469" w:rsidRPr="00DD4469">
              <w:rPr>
                <w:webHidden/>
              </w:rPr>
              <w:fldChar w:fldCharType="begin"/>
            </w:r>
            <w:r w:rsidR="00DD4469" w:rsidRPr="00DD4469">
              <w:rPr>
                <w:webHidden/>
              </w:rPr>
              <w:instrText xml:space="preserve"> PAGEREF _Toc24014527 \h </w:instrText>
            </w:r>
            <w:r w:rsidR="00DD4469" w:rsidRPr="00DD4469">
              <w:rPr>
                <w:webHidden/>
              </w:rPr>
            </w:r>
            <w:r w:rsidR="00DD4469" w:rsidRPr="00DD4469">
              <w:rPr>
                <w:webHidden/>
              </w:rPr>
              <w:fldChar w:fldCharType="separate"/>
            </w:r>
            <w:r w:rsidR="002055E2">
              <w:rPr>
                <w:webHidden/>
              </w:rPr>
              <w:t>6</w:t>
            </w:r>
            <w:r w:rsidR="00DD4469" w:rsidRPr="00DD4469">
              <w:rPr>
                <w:webHidden/>
              </w:rPr>
              <w:fldChar w:fldCharType="end"/>
            </w:r>
          </w:hyperlink>
        </w:p>
        <w:p w14:paraId="06392E5E" w14:textId="75552C64" w:rsidR="00DD4469" w:rsidRPr="00DD4469" w:rsidRDefault="00656033">
          <w:pPr>
            <w:pStyle w:val="TDC1"/>
            <w:rPr>
              <w:rFonts w:eastAsiaTheme="minorEastAsia" w:cstheme="minorBidi"/>
              <w:b w:val="0"/>
              <w:lang w:val="en-US" w:eastAsia="en-US"/>
            </w:rPr>
          </w:pPr>
          <w:hyperlink w:anchor="_Toc24014528" w:history="1">
            <w:r w:rsidR="00DD4469" w:rsidRPr="00DD4469">
              <w:rPr>
                <w:rStyle w:val="Hipervnculo"/>
              </w:rPr>
              <w:t>IV EXCEPCIÓN PRELIMINAR</w:t>
            </w:r>
            <w:r w:rsidR="00DD4469" w:rsidRPr="00DD4469">
              <w:rPr>
                <w:webHidden/>
              </w:rPr>
              <w:tab/>
            </w:r>
            <w:r w:rsidR="00DD4469" w:rsidRPr="00DD4469">
              <w:rPr>
                <w:webHidden/>
              </w:rPr>
              <w:fldChar w:fldCharType="begin"/>
            </w:r>
            <w:r w:rsidR="00DD4469" w:rsidRPr="00DD4469">
              <w:rPr>
                <w:webHidden/>
              </w:rPr>
              <w:instrText xml:space="preserve"> PAGEREF _Toc24014528 \h </w:instrText>
            </w:r>
            <w:r w:rsidR="00DD4469" w:rsidRPr="00DD4469">
              <w:rPr>
                <w:webHidden/>
              </w:rPr>
            </w:r>
            <w:r w:rsidR="00DD4469" w:rsidRPr="00DD4469">
              <w:rPr>
                <w:webHidden/>
              </w:rPr>
              <w:fldChar w:fldCharType="separate"/>
            </w:r>
            <w:r w:rsidR="002055E2">
              <w:rPr>
                <w:webHidden/>
              </w:rPr>
              <w:t>6</w:t>
            </w:r>
            <w:r w:rsidR="00DD4469" w:rsidRPr="00DD4469">
              <w:rPr>
                <w:webHidden/>
              </w:rPr>
              <w:fldChar w:fldCharType="end"/>
            </w:r>
          </w:hyperlink>
        </w:p>
        <w:p w14:paraId="5AB475BB" w14:textId="717F662E" w:rsidR="00DD4469" w:rsidRPr="00DD4469" w:rsidRDefault="00656033">
          <w:pPr>
            <w:pStyle w:val="TDC2"/>
            <w:rPr>
              <w:rFonts w:eastAsiaTheme="minorEastAsia" w:cstheme="minorBidi"/>
              <w:noProof/>
              <w:sz w:val="20"/>
              <w:szCs w:val="20"/>
              <w:lang w:val="en-US" w:eastAsia="en-US"/>
            </w:rPr>
          </w:pPr>
          <w:hyperlink w:anchor="_Toc24014529" w:history="1">
            <w:r w:rsidR="00DD4469" w:rsidRPr="00DD4469">
              <w:rPr>
                <w:rStyle w:val="Hipervnculo"/>
                <w:rFonts w:eastAsia="MS Mincho"/>
                <w:noProof/>
                <w:sz w:val="20"/>
                <w:szCs w:val="20"/>
              </w:rPr>
              <w:t>A.</w:t>
            </w:r>
            <w:r w:rsidR="00DD4469" w:rsidRPr="00DD4469">
              <w:rPr>
                <w:rFonts w:eastAsiaTheme="minorEastAsia" w:cstheme="minorBidi"/>
                <w:noProof/>
                <w:sz w:val="20"/>
                <w:szCs w:val="20"/>
                <w:lang w:val="en-US" w:eastAsia="en-US"/>
              </w:rPr>
              <w:tab/>
            </w:r>
            <w:r w:rsidR="00DD4469">
              <w:rPr>
                <w:rFonts w:eastAsiaTheme="minorEastAsia" w:cstheme="minorBidi"/>
                <w:noProof/>
                <w:sz w:val="20"/>
                <w:szCs w:val="20"/>
                <w:lang w:val="en-US" w:eastAsia="en-US"/>
              </w:rPr>
              <w:t xml:space="preserve"> </w:t>
            </w:r>
            <w:r w:rsidR="00DD4469" w:rsidRPr="00DD4469">
              <w:rPr>
                <w:rStyle w:val="Hipervnculo"/>
                <w:rFonts w:eastAsia="MS Mincho"/>
                <w:noProof/>
                <w:sz w:val="20"/>
                <w:szCs w:val="20"/>
              </w:rPr>
              <w:t>Alegatos de las partes y de la Comisión</w:t>
            </w:r>
            <w:r w:rsidR="00DD4469" w:rsidRPr="00DD4469">
              <w:rPr>
                <w:noProof/>
                <w:webHidden/>
                <w:sz w:val="20"/>
                <w:szCs w:val="20"/>
              </w:rPr>
              <w:tab/>
            </w:r>
            <w:r w:rsidR="00DD4469" w:rsidRPr="00DD4469">
              <w:rPr>
                <w:noProof/>
                <w:webHidden/>
                <w:sz w:val="20"/>
                <w:szCs w:val="20"/>
              </w:rPr>
              <w:fldChar w:fldCharType="begin"/>
            </w:r>
            <w:r w:rsidR="00DD4469" w:rsidRPr="00DD4469">
              <w:rPr>
                <w:noProof/>
                <w:webHidden/>
                <w:sz w:val="20"/>
                <w:szCs w:val="20"/>
              </w:rPr>
              <w:instrText xml:space="preserve"> PAGEREF _Toc24014529 \h </w:instrText>
            </w:r>
            <w:r w:rsidR="00DD4469" w:rsidRPr="00DD4469">
              <w:rPr>
                <w:noProof/>
                <w:webHidden/>
                <w:sz w:val="20"/>
                <w:szCs w:val="20"/>
              </w:rPr>
            </w:r>
            <w:r w:rsidR="00DD4469" w:rsidRPr="00DD4469">
              <w:rPr>
                <w:noProof/>
                <w:webHidden/>
                <w:sz w:val="20"/>
                <w:szCs w:val="20"/>
              </w:rPr>
              <w:fldChar w:fldCharType="separate"/>
            </w:r>
            <w:r w:rsidR="002055E2">
              <w:rPr>
                <w:noProof/>
                <w:webHidden/>
                <w:sz w:val="20"/>
                <w:szCs w:val="20"/>
              </w:rPr>
              <w:t>6</w:t>
            </w:r>
            <w:r w:rsidR="00DD4469" w:rsidRPr="00DD4469">
              <w:rPr>
                <w:noProof/>
                <w:webHidden/>
                <w:sz w:val="20"/>
                <w:szCs w:val="20"/>
              </w:rPr>
              <w:fldChar w:fldCharType="end"/>
            </w:r>
          </w:hyperlink>
        </w:p>
        <w:p w14:paraId="58157FDE" w14:textId="2B856219" w:rsidR="00DD4469" w:rsidRPr="00DD4469" w:rsidRDefault="00656033">
          <w:pPr>
            <w:pStyle w:val="TDC2"/>
            <w:rPr>
              <w:rFonts w:eastAsiaTheme="minorEastAsia" w:cstheme="minorBidi"/>
              <w:noProof/>
              <w:sz w:val="20"/>
              <w:szCs w:val="20"/>
              <w:lang w:val="en-US" w:eastAsia="en-US"/>
            </w:rPr>
          </w:pPr>
          <w:hyperlink w:anchor="_Toc24014530" w:history="1">
            <w:r w:rsidR="00DD4469" w:rsidRPr="00DD4469">
              <w:rPr>
                <w:rStyle w:val="Hipervnculo"/>
                <w:rFonts w:eastAsia="MS Mincho"/>
                <w:noProof/>
                <w:sz w:val="20"/>
                <w:szCs w:val="20"/>
              </w:rPr>
              <w:t>B.</w:t>
            </w:r>
            <w:r w:rsidR="00DD4469" w:rsidRPr="00DD4469">
              <w:rPr>
                <w:rFonts w:eastAsiaTheme="minorEastAsia" w:cstheme="minorBidi"/>
                <w:noProof/>
                <w:sz w:val="20"/>
                <w:szCs w:val="20"/>
                <w:lang w:val="en-US" w:eastAsia="en-US"/>
              </w:rPr>
              <w:tab/>
            </w:r>
            <w:r w:rsidR="00DD4469">
              <w:rPr>
                <w:rFonts w:eastAsiaTheme="minorEastAsia" w:cstheme="minorBidi"/>
                <w:noProof/>
                <w:sz w:val="20"/>
                <w:szCs w:val="20"/>
                <w:lang w:val="en-US" w:eastAsia="en-US"/>
              </w:rPr>
              <w:t xml:space="preserve"> </w:t>
            </w:r>
            <w:r w:rsidR="00DD4469" w:rsidRPr="00DD4469">
              <w:rPr>
                <w:rStyle w:val="Hipervnculo"/>
                <w:rFonts w:eastAsia="MS Mincho"/>
                <w:noProof/>
                <w:sz w:val="20"/>
                <w:szCs w:val="20"/>
              </w:rPr>
              <w:t>Consideraciones de la Corte</w:t>
            </w:r>
            <w:r w:rsidR="00DD4469" w:rsidRPr="00DD4469">
              <w:rPr>
                <w:noProof/>
                <w:webHidden/>
                <w:sz w:val="20"/>
                <w:szCs w:val="20"/>
              </w:rPr>
              <w:tab/>
            </w:r>
            <w:r w:rsidR="00DD4469" w:rsidRPr="00DD4469">
              <w:rPr>
                <w:noProof/>
                <w:webHidden/>
                <w:sz w:val="20"/>
                <w:szCs w:val="20"/>
              </w:rPr>
              <w:fldChar w:fldCharType="begin"/>
            </w:r>
            <w:r w:rsidR="00DD4469" w:rsidRPr="00DD4469">
              <w:rPr>
                <w:noProof/>
                <w:webHidden/>
                <w:sz w:val="20"/>
                <w:szCs w:val="20"/>
              </w:rPr>
              <w:instrText xml:space="preserve"> PAGEREF _Toc24014530 \h </w:instrText>
            </w:r>
            <w:r w:rsidR="00DD4469" w:rsidRPr="00DD4469">
              <w:rPr>
                <w:noProof/>
                <w:webHidden/>
                <w:sz w:val="20"/>
                <w:szCs w:val="20"/>
              </w:rPr>
            </w:r>
            <w:r w:rsidR="00DD4469" w:rsidRPr="00DD4469">
              <w:rPr>
                <w:noProof/>
                <w:webHidden/>
                <w:sz w:val="20"/>
                <w:szCs w:val="20"/>
              </w:rPr>
              <w:fldChar w:fldCharType="separate"/>
            </w:r>
            <w:r w:rsidR="002055E2">
              <w:rPr>
                <w:noProof/>
                <w:webHidden/>
                <w:sz w:val="20"/>
                <w:szCs w:val="20"/>
              </w:rPr>
              <w:t>7</w:t>
            </w:r>
            <w:r w:rsidR="00DD4469" w:rsidRPr="00DD4469">
              <w:rPr>
                <w:noProof/>
                <w:webHidden/>
                <w:sz w:val="20"/>
                <w:szCs w:val="20"/>
              </w:rPr>
              <w:fldChar w:fldCharType="end"/>
            </w:r>
          </w:hyperlink>
        </w:p>
        <w:p w14:paraId="4BD747EE" w14:textId="269C9EC9" w:rsidR="00DD4469" w:rsidRPr="00DD4469" w:rsidRDefault="00656033">
          <w:pPr>
            <w:pStyle w:val="TDC1"/>
            <w:rPr>
              <w:rFonts w:eastAsiaTheme="minorEastAsia" w:cstheme="minorBidi"/>
              <w:b w:val="0"/>
              <w:lang w:val="en-US" w:eastAsia="en-US"/>
            </w:rPr>
          </w:pPr>
          <w:hyperlink w:anchor="_Toc24014531" w:history="1">
            <w:r w:rsidR="00DD4469" w:rsidRPr="00DD4469">
              <w:rPr>
                <w:rStyle w:val="Hipervnculo"/>
              </w:rPr>
              <w:t>V CONSIDERACIONES PREVIAS</w:t>
            </w:r>
            <w:r w:rsidR="00DD4469" w:rsidRPr="00DD4469">
              <w:rPr>
                <w:webHidden/>
              </w:rPr>
              <w:tab/>
            </w:r>
            <w:r w:rsidR="00DD4469" w:rsidRPr="00DD4469">
              <w:rPr>
                <w:webHidden/>
              </w:rPr>
              <w:fldChar w:fldCharType="begin"/>
            </w:r>
            <w:r w:rsidR="00DD4469" w:rsidRPr="00DD4469">
              <w:rPr>
                <w:webHidden/>
              </w:rPr>
              <w:instrText xml:space="preserve"> PAGEREF _Toc24014531 \h </w:instrText>
            </w:r>
            <w:r w:rsidR="00DD4469" w:rsidRPr="00DD4469">
              <w:rPr>
                <w:webHidden/>
              </w:rPr>
            </w:r>
            <w:r w:rsidR="00DD4469" w:rsidRPr="00DD4469">
              <w:rPr>
                <w:webHidden/>
              </w:rPr>
              <w:fldChar w:fldCharType="separate"/>
            </w:r>
            <w:r w:rsidR="002055E2">
              <w:rPr>
                <w:webHidden/>
              </w:rPr>
              <w:t>7</w:t>
            </w:r>
            <w:r w:rsidR="00DD4469" w:rsidRPr="00DD4469">
              <w:rPr>
                <w:webHidden/>
              </w:rPr>
              <w:fldChar w:fldCharType="end"/>
            </w:r>
          </w:hyperlink>
        </w:p>
        <w:p w14:paraId="1CEF5EF6" w14:textId="28A90F9D" w:rsidR="00DD4469" w:rsidRPr="00DD4469" w:rsidRDefault="00656033">
          <w:pPr>
            <w:pStyle w:val="TDC2"/>
            <w:rPr>
              <w:rFonts w:eastAsiaTheme="minorEastAsia" w:cstheme="minorBidi"/>
              <w:noProof/>
              <w:sz w:val="20"/>
              <w:szCs w:val="20"/>
              <w:lang w:val="en-US" w:eastAsia="en-US"/>
            </w:rPr>
          </w:pPr>
          <w:hyperlink w:anchor="_Toc24014532" w:history="1">
            <w:r w:rsidR="00DD4469" w:rsidRPr="00DD4469">
              <w:rPr>
                <w:rStyle w:val="Hipervnculo"/>
                <w:rFonts w:eastAsia="MS Mincho"/>
                <w:noProof/>
                <w:sz w:val="20"/>
                <w:szCs w:val="20"/>
              </w:rPr>
              <w:t>A.</w:t>
            </w:r>
            <w:r w:rsidR="00DD4469" w:rsidRPr="00DD4469">
              <w:rPr>
                <w:rFonts w:eastAsiaTheme="minorEastAsia" w:cstheme="minorBidi"/>
                <w:noProof/>
                <w:sz w:val="20"/>
                <w:szCs w:val="20"/>
                <w:lang w:val="en-US" w:eastAsia="en-US"/>
              </w:rPr>
              <w:tab/>
            </w:r>
            <w:r w:rsidR="00DD4469">
              <w:rPr>
                <w:rFonts w:eastAsiaTheme="minorEastAsia" w:cstheme="minorBidi"/>
                <w:noProof/>
                <w:sz w:val="20"/>
                <w:szCs w:val="20"/>
                <w:lang w:val="en-US" w:eastAsia="en-US"/>
              </w:rPr>
              <w:t xml:space="preserve"> </w:t>
            </w:r>
            <w:r w:rsidR="00DD4469" w:rsidRPr="00DD4469">
              <w:rPr>
                <w:rStyle w:val="Hipervnculo"/>
                <w:rFonts w:eastAsia="MS Mincho"/>
                <w:noProof/>
                <w:sz w:val="20"/>
                <w:szCs w:val="20"/>
              </w:rPr>
              <w:t>Víctimas del presente caso</w:t>
            </w:r>
            <w:r w:rsidR="00DD4469" w:rsidRPr="00DD4469">
              <w:rPr>
                <w:noProof/>
                <w:webHidden/>
                <w:sz w:val="20"/>
                <w:szCs w:val="20"/>
              </w:rPr>
              <w:tab/>
            </w:r>
            <w:r w:rsidR="00DD4469" w:rsidRPr="00DD4469">
              <w:rPr>
                <w:noProof/>
                <w:webHidden/>
                <w:sz w:val="20"/>
                <w:szCs w:val="20"/>
              </w:rPr>
              <w:fldChar w:fldCharType="begin"/>
            </w:r>
            <w:r w:rsidR="00DD4469" w:rsidRPr="00DD4469">
              <w:rPr>
                <w:noProof/>
                <w:webHidden/>
                <w:sz w:val="20"/>
                <w:szCs w:val="20"/>
              </w:rPr>
              <w:instrText xml:space="preserve"> PAGEREF _Toc24014532 \h </w:instrText>
            </w:r>
            <w:r w:rsidR="00DD4469" w:rsidRPr="00DD4469">
              <w:rPr>
                <w:noProof/>
                <w:webHidden/>
                <w:sz w:val="20"/>
                <w:szCs w:val="20"/>
              </w:rPr>
            </w:r>
            <w:r w:rsidR="00DD4469" w:rsidRPr="00DD4469">
              <w:rPr>
                <w:noProof/>
                <w:webHidden/>
                <w:sz w:val="20"/>
                <w:szCs w:val="20"/>
              </w:rPr>
              <w:fldChar w:fldCharType="separate"/>
            </w:r>
            <w:r w:rsidR="002055E2">
              <w:rPr>
                <w:noProof/>
                <w:webHidden/>
                <w:sz w:val="20"/>
                <w:szCs w:val="20"/>
              </w:rPr>
              <w:t>7</w:t>
            </w:r>
            <w:r w:rsidR="00DD4469" w:rsidRPr="00DD4469">
              <w:rPr>
                <w:noProof/>
                <w:webHidden/>
                <w:sz w:val="20"/>
                <w:szCs w:val="20"/>
              </w:rPr>
              <w:fldChar w:fldCharType="end"/>
            </w:r>
          </w:hyperlink>
        </w:p>
        <w:p w14:paraId="261AD39E" w14:textId="46A3E187" w:rsidR="00DD4469" w:rsidRPr="00DD4469" w:rsidRDefault="00656033">
          <w:pPr>
            <w:pStyle w:val="TDC3"/>
            <w:rPr>
              <w:rFonts w:eastAsiaTheme="minorEastAsia" w:cstheme="minorBidi"/>
              <w:noProof/>
              <w:sz w:val="20"/>
              <w:szCs w:val="20"/>
              <w:lang w:val="en-US" w:eastAsia="en-US"/>
            </w:rPr>
          </w:pPr>
          <w:hyperlink w:anchor="_Toc24014533" w:history="1">
            <w:r w:rsidR="00DD4469" w:rsidRPr="00DD4469">
              <w:rPr>
                <w:rStyle w:val="Hipervnculo"/>
                <w:rFonts w:eastAsia="MS Mincho"/>
                <w:noProof/>
                <w:sz w:val="20"/>
                <w:szCs w:val="20"/>
                <w:lang w:eastAsia="en-US"/>
              </w:rPr>
              <w:t xml:space="preserve">a.1 </w:t>
            </w:r>
            <w:r w:rsidR="00DD4469" w:rsidRPr="00DD4469">
              <w:rPr>
                <w:rFonts w:eastAsiaTheme="minorEastAsia" w:cstheme="minorBidi"/>
                <w:noProof/>
                <w:sz w:val="20"/>
                <w:szCs w:val="20"/>
                <w:lang w:val="en-US" w:eastAsia="en-US"/>
              </w:rPr>
              <w:tab/>
            </w:r>
            <w:r w:rsidR="00DD4469" w:rsidRPr="00DD4469">
              <w:rPr>
                <w:rStyle w:val="Hipervnculo"/>
                <w:rFonts w:eastAsia="MS Mincho"/>
                <w:noProof/>
                <w:sz w:val="20"/>
                <w:szCs w:val="20"/>
                <w:lang w:eastAsia="en-US"/>
              </w:rPr>
              <w:t>Alegatos del Estado, observaciones de las representantes</w:t>
            </w:r>
            <w:r w:rsidR="00DD4469" w:rsidRPr="00DD4469">
              <w:rPr>
                <w:noProof/>
                <w:webHidden/>
                <w:sz w:val="20"/>
                <w:szCs w:val="20"/>
              </w:rPr>
              <w:tab/>
            </w:r>
            <w:r w:rsidR="00DD4469" w:rsidRPr="00DD4469">
              <w:rPr>
                <w:noProof/>
                <w:webHidden/>
                <w:sz w:val="20"/>
                <w:szCs w:val="20"/>
              </w:rPr>
              <w:fldChar w:fldCharType="begin"/>
            </w:r>
            <w:r w:rsidR="00DD4469" w:rsidRPr="00DD4469">
              <w:rPr>
                <w:noProof/>
                <w:webHidden/>
                <w:sz w:val="20"/>
                <w:szCs w:val="20"/>
              </w:rPr>
              <w:instrText xml:space="preserve"> PAGEREF _Toc24014533 \h </w:instrText>
            </w:r>
            <w:r w:rsidR="00DD4469" w:rsidRPr="00DD4469">
              <w:rPr>
                <w:noProof/>
                <w:webHidden/>
                <w:sz w:val="20"/>
                <w:szCs w:val="20"/>
              </w:rPr>
            </w:r>
            <w:r w:rsidR="00DD4469" w:rsidRPr="00DD4469">
              <w:rPr>
                <w:noProof/>
                <w:webHidden/>
                <w:sz w:val="20"/>
                <w:szCs w:val="20"/>
              </w:rPr>
              <w:fldChar w:fldCharType="separate"/>
            </w:r>
            <w:r w:rsidR="002055E2">
              <w:rPr>
                <w:noProof/>
                <w:webHidden/>
                <w:sz w:val="20"/>
                <w:szCs w:val="20"/>
              </w:rPr>
              <w:t>7</w:t>
            </w:r>
            <w:r w:rsidR="00DD4469" w:rsidRPr="00DD4469">
              <w:rPr>
                <w:noProof/>
                <w:webHidden/>
                <w:sz w:val="20"/>
                <w:szCs w:val="20"/>
              </w:rPr>
              <w:fldChar w:fldCharType="end"/>
            </w:r>
          </w:hyperlink>
        </w:p>
        <w:p w14:paraId="6E351C7A" w14:textId="3260D7DC" w:rsidR="00DD4469" w:rsidRPr="00DD4469" w:rsidRDefault="00656033">
          <w:pPr>
            <w:pStyle w:val="TDC3"/>
            <w:rPr>
              <w:rFonts w:eastAsiaTheme="minorEastAsia" w:cstheme="minorBidi"/>
              <w:noProof/>
              <w:sz w:val="20"/>
              <w:szCs w:val="20"/>
              <w:lang w:val="en-US" w:eastAsia="en-US"/>
            </w:rPr>
          </w:pPr>
          <w:hyperlink w:anchor="_Toc24014534" w:history="1">
            <w:r w:rsidR="00DD4469" w:rsidRPr="00DD4469">
              <w:rPr>
                <w:rStyle w:val="Hipervnculo"/>
                <w:rFonts w:eastAsia="MS Mincho"/>
                <w:noProof/>
                <w:sz w:val="20"/>
                <w:szCs w:val="20"/>
                <w:lang w:eastAsia="en-US"/>
              </w:rPr>
              <w:t xml:space="preserve">a.2 </w:t>
            </w:r>
            <w:r w:rsidR="00DD4469" w:rsidRPr="00DD4469">
              <w:rPr>
                <w:rFonts w:eastAsiaTheme="minorEastAsia" w:cstheme="minorBidi"/>
                <w:noProof/>
                <w:sz w:val="20"/>
                <w:szCs w:val="20"/>
                <w:lang w:val="en-US" w:eastAsia="en-US"/>
              </w:rPr>
              <w:tab/>
            </w:r>
            <w:r w:rsidR="00DD4469" w:rsidRPr="00DD4469">
              <w:rPr>
                <w:rStyle w:val="Hipervnculo"/>
                <w:rFonts w:eastAsia="MS Mincho"/>
                <w:noProof/>
                <w:sz w:val="20"/>
                <w:szCs w:val="20"/>
                <w:lang w:eastAsia="en-US"/>
              </w:rPr>
              <w:t>Consideraciones de la Corte</w:t>
            </w:r>
            <w:r w:rsidR="00DD4469" w:rsidRPr="00DD4469">
              <w:rPr>
                <w:noProof/>
                <w:webHidden/>
                <w:sz w:val="20"/>
                <w:szCs w:val="20"/>
              </w:rPr>
              <w:tab/>
            </w:r>
            <w:r w:rsidR="00DD4469" w:rsidRPr="00DD4469">
              <w:rPr>
                <w:noProof/>
                <w:webHidden/>
                <w:sz w:val="20"/>
                <w:szCs w:val="20"/>
              </w:rPr>
              <w:fldChar w:fldCharType="begin"/>
            </w:r>
            <w:r w:rsidR="00DD4469" w:rsidRPr="00DD4469">
              <w:rPr>
                <w:noProof/>
                <w:webHidden/>
                <w:sz w:val="20"/>
                <w:szCs w:val="20"/>
              </w:rPr>
              <w:instrText xml:space="preserve"> PAGEREF _Toc24014534 \h </w:instrText>
            </w:r>
            <w:r w:rsidR="00DD4469" w:rsidRPr="00DD4469">
              <w:rPr>
                <w:noProof/>
                <w:webHidden/>
                <w:sz w:val="20"/>
                <w:szCs w:val="20"/>
              </w:rPr>
            </w:r>
            <w:r w:rsidR="00DD4469" w:rsidRPr="00DD4469">
              <w:rPr>
                <w:noProof/>
                <w:webHidden/>
                <w:sz w:val="20"/>
                <w:szCs w:val="20"/>
              </w:rPr>
              <w:fldChar w:fldCharType="separate"/>
            </w:r>
            <w:r w:rsidR="002055E2">
              <w:rPr>
                <w:noProof/>
                <w:webHidden/>
                <w:sz w:val="20"/>
                <w:szCs w:val="20"/>
              </w:rPr>
              <w:t>8</w:t>
            </w:r>
            <w:r w:rsidR="00DD4469" w:rsidRPr="00DD4469">
              <w:rPr>
                <w:noProof/>
                <w:webHidden/>
                <w:sz w:val="20"/>
                <w:szCs w:val="20"/>
              </w:rPr>
              <w:fldChar w:fldCharType="end"/>
            </w:r>
          </w:hyperlink>
        </w:p>
        <w:p w14:paraId="06926A7C" w14:textId="3D0ECCB8" w:rsidR="00DD4469" w:rsidRPr="00DD4469" w:rsidRDefault="00656033">
          <w:pPr>
            <w:pStyle w:val="TDC2"/>
            <w:rPr>
              <w:rFonts w:eastAsiaTheme="minorEastAsia" w:cstheme="minorBidi"/>
              <w:noProof/>
              <w:sz w:val="20"/>
              <w:szCs w:val="20"/>
              <w:lang w:val="en-US" w:eastAsia="en-US"/>
            </w:rPr>
          </w:pPr>
          <w:hyperlink w:anchor="_Toc24014535" w:history="1">
            <w:r w:rsidR="00DD4469" w:rsidRPr="00DD4469">
              <w:rPr>
                <w:rStyle w:val="Hipervnculo"/>
                <w:rFonts w:eastAsia="MS Mincho"/>
                <w:noProof/>
                <w:sz w:val="20"/>
                <w:szCs w:val="20"/>
              </w:rPr>
              <w:t>B.</w:t>
            </w:r>
            <w:r w:rsidR="00DD4469" w:rsidRPr="00DD4469">
              <w:rPr>
                <w:rFonts w:eastAsiaTheme="minorEastAsia" w:cstheme="minorBidi"/>
                <w:noProof/>
                <w:sz w:val="20"/>
                <w:szCs w:val="20"/>
                <w:lang w:val="en-US" w:eastAsia="en-US"/>
              </w:rPr>
              <w:tab/>
            </w:r>
            <w:r w:rsidR="00DD4469">
              <w:rPr>
                <w:rFonts w:eastAsiaTheme="minorEastAsia" w:cstheme="minorBidi"/>
                <w:noProof/>
                <w:sz w:val="20"/>
                <w:szCs w:val="20"/>
                <w:lang w:val="en-US" w:eastAsia="en-US"/>
              </w:rPr>
              <w:t xml:space="preserve"> </w:t>
            </w:r>
            <w:r w:rsidR="00DD4469" w:rsidRPr="00DD4469">
              <w:rPr>
                <w:rStyle w:val="Hipervnculo"/>
                <w:rFonts w:eastAsia="MS Mincho"/>
                <w:noProof/>
                <w:sz w:val="20"/>
                <w:szCs w:val="20"/>
              </w:rPr>
              <w:t>Determinación del marco fáctico</w:t>
            </w:r>
            <w:r w:rsidR="00DD4469" w:rsidRPr="00DD4469">
              <w:rPr>
                <w:noProof/>
                <w:webHidden/>
                <w:sz w:val="20"/>
                <w:szCs w:val="20"/>
              </w:rPr>
              <w:tab/>
            </w:r>
            <w:r w:rsidR="00DD4469" w:rsidRPr="00DD4469">
              <w:rPr>
                <w:noProof/>
                <w:webHidden/>
                <w:sz w:val="20"/>
                <w:szCs w:val="20"/>
              </w:rPr>
              <w:fldChar w:fldCharType="begin"/>
            </w:r>
            <w:r w:rsidR="00DD4469" w:rsidRPr="00DD4469">
              <w:rPr>
                <w:noProof/>
                <w:webHidden/>
                <w:sz w:val="20"/>
                <w:szCs w:val="20"/>
              </w:rPr>
              <w:instrText xml:space="preserve"> PAGEREF _Toc24014535 \h </w:instrText>
            </w:r>
            <w:r w:rsidR="00DD4469" w:rsidRPr="00DD4469">
              <w:rPr>
                <w:noProof/>
                <w:webHidden/>
                <w:sz w:val="20"/>
                <w:szCs w:val="20"/>
              </w:rPr>
            </w:r>
            <w:r w:rsidR="00DD4469" w:rsidRPr="00DD4469">
              <w:rPr>
                <w:noProof/>
                <w:webHidden/>
                <w:sz w:val="20"/>
                <w:szCs w:val="20"/>
              </w:rPr>
              <w:fldChar w:fldCharType="separate"/>
            </w:r>
            <w:r w:rsidR="002055E2">
              <w:rPr>
                <w:noProof/>
                <w:webHidden/>
                <w:sz w:val="20"/>
                <w:szCs w:val="20"/>
              </w:rPr>
              <w:t>8</w:t>
            </w:r>
            <w:r w:rsidR="00DD4469" w:rsidRPr="00DD4469">
              <w:rPr>
                <w:noProof/>
                <w:webHidden/>
                <w:sz w:val="20"/>
                <w:szCs w:val="20"/>
              </w:rPr>
              <w:fldChar w:fldCharType="end"/>
            </w:r>
          </w:hyperlink>
        </w:p>
        <w:p w14:paraId="3A0BDBC2" w14:textId="0AED29AE" w:rsidR="00DD4469" w:rsidRPr="00DD4469" w:rsidRDefault="00656033">
          <w:pPr>
            <w:pStyle w:val="TDC1"/>
            <w:rPr>
              <w:rFonts w:eastAsiaTheme="minorEastAsia" w:cstheme="minorBidi"/>
              <w:b w:val="0"/>
              <w:lang w:val="en-US" w:eastAsia="en-US"/>
            </w:rPr>
          </w:pPr>
          <w:hyperlink w:anchor="_Toc24014536" w:history="1">
            <w:r w:rsidR="00DD4469" w:rsidRPr="00DD4469">
              <w:rPr>
                <w:rStyle w:val="Hipervnculo"/>
              </w:rPr>
              <w:t>VI PRUEBA</w:t>
            </w:r>
            <w:r w:rsidR="00DD4469" w:rsidRPr="00DD4469">
              <w:rPr>
                <w:webHidden/>
              </w:rPr>
              <w:tab/>
            </w:r>
            <w:r w:rsidR="00DD4469" w:rsidRPr="00DD4469">
              <w:rPr>
                <w:webHidden/>
              </w:rPr>
              <w:fldChar w:fldCharType="begin"/>
            </w:r>
            <w:r w:rsidR="00DD4469" w:rsidRPr="00DD4469">
              <w:rPr>
                <w:webHidden/>
              </w:rPr>
              <w:instrText xml:space="preserve"> PAGEREF _Toc24014536 \h </w:instrText>
            </w:r>
            <w:r w:rsidR="00DD4469" w:rsidRPr="00DD4469">
              <w:rPr>
                <w:webHidden/>
              </w:rPr>
            </w:r>
            <w:r w:rsidR="00DD4469" w:rsidRPr="00DD4469">
              <w:rPr>
                <w:webHidden/>
              </w:rPr>
              <w:fldChar w:fldCharType="separate"/>
            </w:r>
            <w:r w:rsidR="002055E2">
              <w:rPr>
                <w:webHidden/>
              </w:rPr>
              <w:t>9</w:t>
            </w:r>
            <w:r w:rsidR="00DD4469" w:rsidRPr="00DD4469">
              <w:rPr>
                <w:webHidden/>
              </w:rPr>
              <w:fldChar w:fldCharType="end"/>
            </w:r>
          </w:hyperlink>
        </w:p>
        <w:p w14:paraId="73FA6A9B" w14:textId="7C54CE05" w:rsidR="00DD4469" w:rsidRPr="00DD4469" w:rsidRDefault="00656033">
          <w:pPr>
            <w:pStyle w:val="TDC2"/>
            <w:rPr>
              <w:rFonts w:eastAsiaTheme="minorEastAsia" w:cstheme="minorBidi"/>
              <w:noProof/>
              <w:sz w:val="20"/>
              <w:szCs w:val="20"/>
              <w:lang w:val="en-US" w:eastAsia="en-US"/>
            </w:rPr>
          </w:pPr>
          <w:hyperlink w:anchor="_Toc24014537" w:history="1">
            <w:r w:rsidR="00DD4469" w:rsidRPr="00DD4469">
              <w:rPr>
                <w:rStyle w:val="Hipervnculo"/>
                <w:rFonts w:eastAsia="MS Mincho"/>
                <w:noProof/>
                <w:sz w:val="20"/>
                <w:szCs w:val="20"/>
              </w:rPr>
              <w:t>A.</w:t>
            </w:r>
            <w:r w:rsidR="00DD4469" w:rsidRPr="00DD4469">
              <w:rPr>
                <w:rFonts w:eastAsiaTheme="minorEastAsia" w:cstheme="minorBidi"/>
                <w:noProof/>
                <w:sz w:val="20"/>
                <w:szCs w:val="20"/>
                <w:lang w:val="en-US" w:eastAsia="en-US"/>
              </w:rPr>
              <w:tab/>
            </w:r>
            <w:r w:rsidR="00DD4469">
              <w:rPr>
                <w:rFonts w:eastAsiaTheme="minorEastAsia" w:cstheme="minorBidi"/>
                <w:noProof/>
                <w:sz w:val="20"/>
                <w:szCs w:val="20"/>
                <w:lang w:val="en-US" w:eastAsia="en-US"/>
              </w:rPr>
              <w:t xml:space="preserve"> </w:t>
            </w:r>
            <w:r w:rsidR="00DD4469" w:rsidRPr="00DD4469">
              <w:rPr>
                <w:rStyle w:val="Hipervnculo"/>
                <w:rFonts w:eastAsia="MS Mincho"/>
                <w:noProof/>
                <w:sz w:val="20"/>
                <w:szCs w:val="20"/>
              </w:rPr>
              <w:t>Admisibilidad de la prueba documental</w:t>
            </w:r>
            <w:r w:rsidR="00DD4469" w:rsidRPr="00DD4469">
              <w:rPr>
                <w:noProof/>
                <w:webHidden/>
                <w:sz w:val="20"/>
                <w:szCs w:val="20"/>
              </w:rPr>
              <w:tab/>
            </w:r>
            <w:r w:rsidR="00DD4469" w:rsidRPr="00DD4469">
              <w:rPr>
                <w:noProof/>
                <w:webHidden/>
                <w:sz w:val="20"/>
                <w:szCs w:val="20"/>
              </w:rPr>
              <w:fldChar w:fldCharType="begin"/>
            </w:r>
            <w:r w:rsidR="00DD4469" w:rsidRPr="00DD4469">
              <w:rPr>
                <w:noProof/>
                <w:webHidden/>
                <w:sz w:val="20"/>
                <w:szCs w:val="20"/>
              </w:rPr>
              <w:instrText xml:space="preserve"> PAGEREF _Toc24014537 \h </w:instrText>
            </w:r>
            <w:r w:rsidR="00DD4469" w:rsidRPr="00DD4469">
              <w:rPr>
                <w:noProof/>
                <w:webHidden/>
                <w:sz w:val="20"/>
                <w:szCs w:val="20"/>
              </w:rPr>
            </w:r>
            <w:r w:rsidR="00DD4469" w:rsidRPr="00DD4469">
              <w:rPr>
                <w:noProof/>
                <w:webHidden/>
                <w:sz w:val="20"/>
                <w:szCs w:val="20"/>
              </w:rPr>
              <w:fldChar w:fldCharType="separate"/>
            </w:r>
            <w:r w:rsidR="002055E2">
              <w:rPr>
                <w:noProof/>
                <w:webHidden/>
                <w:sz w:val="20"/>
                <w:szCs w:val="20"/>
              </w:rPr>
              <w:t>9</w:t>
            </w:r>
            <w:r w:rsidR="00DD4469" w:rsidRPr="00DD4469">
              <w:rPr>
                <w:noProof/>
                <w:webHidden/>
                <w:sz w:val="20"/>
                <w:szCs w:val="20"/>
              </w:rPr>
              <w:fldChar w:fldCharType="end"/>
            </w:r>
          </w:hyperlink>
        </w:p>
        <w:p w14:paraId="68D8A0EF" w14:textId="654C5A2A" w:rsidR="00DD4469" w:rsidRPr="00DD4469" w:rsidRDefault="00656033">
          <w:pPr>
            <w:pStyle w:val="TDC2"/>
            <w:rPr>
              <w:rFonts w:eastAsiaTheme="minorEastAsia" w:cstheme="minorBidi"/>
              <w:noProof/>
              <w:sz w:val="20"/>
              <w:szCs w:val="20"/>
              <w:lang w:val="en-US" w:eastAsia="en-US"/>
            </w:rPr>
          </w:pPr>
          <w:hyperlink w:anchor="_Toc24014538" w:history="1">
            <w:r w:rsidR="00DD4469" w:rsidRPr="00DD4469">
              <w:rPr>
                <w:rStyle w:val="Hipervnculo"/>
                <w:rFonts w:eastAsia="MS Mincho"/>
                <w:noProof/>
                <w:sz w:val="20"/>
                <w:szCs w:val="20"/>
              </w:rPr>
              <w:t>B.</w:t>
            </w:r>
            <w:r w:rsidR="00DD4469" w:rsidRPr="00DD4469">
              <w:rPr>
                <w:rFonts w:eastAsiaTheme="minorEastAsia" w:cstheme="minorBidi"/>
                <w:noProof/>
                <w:sz w:val="20"/>
                <w:szCs w:val="20"/>
                <w:lang w:val="en-US" w:eastAsia="en-US"/>
              </w:rPr>
              <w:tab/>
            </w:r>
            <w:r w:rsidR="00DD4469">
              <w:rPr>
                <w:rFonts w:eastAsiaTheme="minorEastAsia" w:cstheme="minorBidi"/>
                <w:noProof/>
                <w:sz w:val="20"/>
                <w:szCs w:val="20"/>
                <w:lang w:val="en-US" w:eastAsia="en-US"/>
              </w:rPr>
              <w:t xml:space="preserve"> </w:t>
            </w:r>
            <w:r w:rsidR="00DD4469" w:rsidRPr="00DD4469">
              <w:rPr>
                <w:rStyle w:val="Hipervnculo"/>
                <w:rFonts w:eastAsia="MS Mincho"/>
                <w:noProof/>
                <w:sz w:val="20"/>
                <w:szCs w:val="20"/>
              </w:rPr>
              <w:t>Admisibilidad de la prueba testimonial y pericial</w:t>
            </w:r>
            <w:r w:rsidR="00DD4469" w:rsidRPr="00DD4469">
              <w:rPr>
                <w:noProof/>
                <w:webHidden/>
                <w:sz w:val="20"/>
                <w:szCs w:val="20"/>
              </w:rPr>
              <w:tab/>
            </w:r>
            <w:r w:rsidR="00DD4469" w:rsidRPr="00DD4469">
              <w:rPr>
                <w:noProof/>
                <w:webHidden/>
                <w:sz w:val="20"/>
                <w:szCs w:val="20"/>
              </w:rPr>
              <w:fldChar w:fldCharType="begin"/>
            </w:r>
            <w:r w:rsidR="00DD4469" w:rsidRPr="00DD4469">
              <w:rPr>
                <w:noProof/>
                <w:webHidden/>
                <w:sz w:val="20"/>
                <w:szCs w:val="20"/>
              </w:rPr>
              <w:instrText xml:space="preserve"> PAGEREF _Toc24014538 \h </w:instrText>
            </w:r>
            <w:r w:rsidR="00DD4469" w:rsidRPr="00DD4469">
              <w:rPr>
                <w:noProof/>
                <w:webHidden/>
                <w:sz w:val="20"/>
                <w:szCs w:val="20"/>
              </w:rPr>
            </w:r>
            <w:r w:rsidR="00DD4469" w:rsidRPr="00DD4469">
              <w:rPr>
                <w:noProof/>
                <w:webHidden/>
                <w:sz w:val="20"/>
                <w:szCs w:val="20"/>
              </w:rPr>
              <w:fldChar w:fldCharType="separate"/>
            </w:r>
            <w:r w:rsidR="002055E2">
              <w:rPr>
                <w:noProof/>
                <w:webHidden/>
                <w:sz w:val="20"/>
                <w:szCs w:val="20"/>
              </w:rPr>
              <w:t>10</w:t>
            </w:r>
            <w:r w:rsidR="00DD4469" w:rsidRPr="00DD4469">
              <w:rPr>
                <w:noProof/>
                <w:webHidden/>
                <w:sz w:val="20"/>
                <w:szCs w:val="20"/>
              </w:rPr>
              <w:fldChar w:fldCharType="end"/>
            </w:r>
          </w:hyperlink>
        </w:p>
        <w:p w14:paraId="59A2EEED" w14:textId="5B87CAF6" w:rsidR="00DD4469" w:rsidRPr="00DD4469" w:rsidRDefault="00656033">
          <w:pPr>
            <w:pStyle w:val="TDC1"/>
            <w:rPr>
              <w:rFonts w:eastAsiaTheme="minorEastAsia" w:cstheme="minorBidi"/>
              <w:b w:val="0"/>
              <w:lang w:val="en-US" w:eastAsia="en-US"/>
            </w:rPr>
          </w:pPr>
          <w:hyperlink w:anchor="_Toc24014539" w:history="1">
            <w:r w:rsidR="00DD4469" w:rsidRPr="00DD4469">
              <w:rPr>
                <w:rStyle w:val="Hipervnculo"/>
              </w:rPr>
              <w:t>VII HECHOS</w:t>
            </w:r>
            <w:r w:rsidR="00DD4469" w:rsidRPr="00DD4469">
              <w:rPr>
                <w:webHidden/>
              </w:rPr>
              <w:tab/>
            </w:r>
            <w:r w:rsidR="00DD4469" w:rsidRPr="00DD4469">
              <w:rPr>
                <w:webHidden/>
              </w:rPr>
              <w:fldChar w:fldCharType="begin"/>
            </w:r>
            <w:r w:rsidR="00DD4469" w:rsidRPr="00DD4469">
              <w:rPr>
                <w:webHidden/>
              </w:rPr>
              <w:instrText xml:space="preserve"> PAGEREF _Toc24014539 \h </w:instrText>
            </w:r>
            <w:r w:rsidR="00DD4469" w:rsidRPr="00DD4469">
              <w:rPr>
                <w:webHidden/>
              </w:rPr>
            </w:r>
            <w:r w:rsidR="00DD4469" w:rsidRPr="00DD4469">
              <w:rPr>
                <w:webHidden/>
              </w:rPr>
              <w:fldChar w:fldCharType="separate"/>
            </w:r>
            <w:r w:rsidR="002055E2">
              <w:rPr>
                <w:webHidden/>
              </w:rPr>
              <w:t>10</w:t>
            </w:r>
            <w:r w:rsidR="00DD4469" w:rsidRPr="00DD4469">
              <w:rPr>
                <w:webHidden/>
              </w:rPr>
              <w:fldChar w:fldCharType="end"/>
            </w:r>
          </w:hyperlink>
        </w:p>
        <w:p w14:paraId="5AB4EED6" w14:textId="3207ECAD" w:rsidR="00DD4469" w:rsidRPr="00DD4469" w:rsidRDefault="00656033">
          <w:pPr>
            <w:pStyle w:val="TDC2"/>
            <w:rPr>
              <w:rFonts w:eastAsiaTheme="minorEastAsia" w:cstheme="minorBidi"/>
              <w:noProof/>
              <w:sz w:val="20"/>
              <w:szCs w:val="20"/>
              <w:lang w:val="en-US" w:eastAsia="en-US"/>
            </w:rPr>
          </w:pPr>
          <w:hyperlink w:anchor="_Toc24014540" w:history="1">
            <w:r w:rsidR="00DD4469" w:rsidRPr="00DD4469">
              <w:rPr>
                <w:rStyle w:val="Hipervnculo"/>
                <w:rFonts w:eastAsia="MS Mincho"/>
                <w:noProof/>
                <w:sz w:val="20"/>
                <w:szCs w:val="20"/>
              </w:rPr>
              <w:t>A.</w:t>
            </w:r>
            <w:r w:rsidR="00DD4469" w:rsidRPr="00DD4469">
              <w:rPr>
                <w:rFonts w:eastAsiaTheme="minorEastAsia" w:cstheme="minorBidi"/>
                <w:noProof/>
                <w:sz w:val="20"/>
                <w:szCs w:val="20"/>
                <w:lang w:val="en-US" w:eastAsia="en-US"/>
              </w:rPr>
              <w:tab/>
            </w:r>
            <w:r w:rsidR="00DD4469">
              <w:rPr>
                <w:rFonts w:eastAsiaTheme="minorEastAsia" w:cstheme="minorBidi"/>
                <w:noProof/>
                <w:sz w:val="20"/>
                <w:szCs w:val="20"/>
                <w:lang w:val="en-US" w:eastAsia="en-US"/>
              </w:rPr>
              <w:t xml:space="preserve"> </w:t>
            </w:r>
            <w:r w:rsidR="00DD4469" w:rsidRPr="00DD4469">
              <w:rPr>
                <w:rStyle w:val="Hipervnculo"/>
                <w:rFonts w:eastAsia="MS Mincho"/>
                <w:noProof/>
                <w:sz w:val="20"/>
                <w:szCs w:val="20"/>
              </w:rPr>
              <w:t>Marco normativo en Guatemala con respecto a la pena de muerte</w:t>
            </w:r>
            <w:r w:rsidR="00DD4469" w:rsidRPr="00DD4469">
              <w:rPr>
                <w:noProof/>
                <w:webHidden/>
                <w:sz w:val="20"/>
                <w:szCs w:val="20"/>
              </w:rPr>
              <w:tab/>
            </w:r>
            <w:r w:rsidR="00DD4469" w:rsidRPr="00DD4469">
              <w:rPr>
                <w:noProof/>
                <w:webHidden/>
                <w:sz w:val="20"/>
                <w:szCs w:val="20"/>
              </w:rPr>
              <w:fldChar w:fldCharType="begin"/>
            </w:r>
            <w:r w:rsidR="00DD4469" w:rsidRPr="00DD4469">
              <w:rPr>
                <w:noProof/>
                <w:webHidden/>
                <w:sz w:val="20"/>
                <w:szCs w:val="20"/>
              </w:rPr>
              <w:instrText xml:space="preserve"> PAGEREF _Toc24014540 \h </w:instrText>
            </w:r>
            <w:r w:rsidR="00DD4469" w:rsidRPr="00DD4469">
              <w:rPr>
                <w:noProof/>
                <w:webHidden/>
                <w:sz w:val="20"/>
                <w:szCs w:val="20"/>
              </w:rPr>
            </w:r>
            <w:r w:rsidR="00DD4469" w:rsidRPr="00DD4469">
              <w:rPr>
                <w:noProof/>
                <w:webHidden/>
                <w:sz w:val="20"/>
                <w:szCs w:val="20"/>
              </w:rPr>
              <w:fldChar w:fldCharType="separate"/>
            </w:r>
            <w:r w:rsidR="002055E2">
              <w:rPr>
                <w:noProof/>
                <w:webHidden/>
                <w:sz w:val="20"/>
                <w:szCs w:val="20"/>
              </w:rPr>
              <w:t>11</w:t>
            </w:r>
            <w:r w:rsidR="00DD4469" w:rsidRPr="00DD4469">
              <w:rPr>
                <w:noProof/>
                <w:webHidden/>
                <w:sz w:val="20"/>
                <w:szCs w:val="20"/>
              </w:rPr>
              <w:fldChar w:fldCharType="end"/>
            </w:r>
          </w:hyperlink>
        </w:p>
        <w:p w14:paraId="6A3B616E" w14:textId="6D076346" w:rsidR="00DD4469" w:rsidRPr="00DD4469" w:rsidRDefault="00656033">
          <w:pPr>
            <w:pStyle w:val="TDC2"/>
            <w:rPr>
              <w:rFonts w:eastAsiaTheme="minorEastAsia" w:cstheme="minorBidi"/>
              <w:noProof/>
              <w:sz w:val="20"/>
              <w:szCs w:val="20"/>
              <w:lang w:val="en-US" w:eastAsia="en-US"/>
            </w:rPr>
          </w:pPr>
          <w:hyperlink w:anchor="_Toc24014541" w:history="1">
            <w:r w:rsidR="00DD4469" w:rsidRPr="00DD4469">
              <w:rPr>
                <w:rStyle w:val="Hipervnculo"/>
                <w:rFonts w:eastAsia="MS Mincho"/>
                <w:noProof/>
                <w:sz w:val="20"/>
                <w:szCs w:val="20"/>
              </w:rPr>
              <w:t>B.</w:t>
            </w:r>
            <w:r w:rsidR="00DD4469" w:rsidRPr="00DD4469">
              <w:rPr>
                <w:rFonts w:eastAsiaTheme="minorEastAsia" w:cstheme="minorBidi"/>
                <w:noProof/>
                <w:sz w:val="20"/>
                <w:szCs w:val="20"/>
                <w:lang w:val="en-US" w:eastAsia="en-US"/>
              </w:rPr>
              <w:tab/>
            </w:r>
            <w:r w:rsidR="00DD4469">
              <w:rPr>
                <w:rFonts w:eastAsiaTheme="minorEastAsia" w:cstheme="minorBidi"/>
                <w:noProof/>
                <w:sz w:val="20"/>
                <w:szCs w:val="20"/>
                <w:lang w:val="en-US" w:eastAsia="en-US"/>
              </w:rPr>
              <w:t xml:space="preserve"> </w:t>
            </w:r>
            <w:r w:rsidR="00DD4469" w:rsidRPr="00DD4469">
              <w:rPr>
                <w:rStyle w:val="Hipervnculo"/>
                <w:rFonts w:eastAsia="MS Mincho"/>
                <w:noProof/>
                <w:sz w:val="20"/>
                <w:szCs w:val="20"/>
              </w:rPr>
              <w:t>Detención del señor Ruiz Fuentes y alegatos de tortura</w:t>
            </w:r>
            <w:r w:rsidR="00DD4469" w:rsidRPr="00DD4469">
              <w:rPr>
                <w:noProof/>
                <w:webHidden/>
                <w:sz w:val="20"/>
                <w:szCs w:val="20"/>
              </w:rPr>
              <w:tab/>
            </w:r>
            <w:r w:rsidR="00DD4469" w:rsidRPr="00DD4469">
              <w:rPr>
                <w:noProof/>
                <w:webHidden/>
                <w:sz w:val="20"/>
                <w:szCs w:val="20"/>
              </w:rPr>
              <w:fldChar w:fldCharType="begin"/>
            </w:r>
            <w:r w:rsidR="00DD4469" w:rsidRPr="00DD4469">
              <w:rPr>
                <w:noProof/>
                <w:webHidden/>
                <w:sz w:val="20"/>
                <w:szCs w:val="20"/>
              </w:rPr>
              <w:instrText xml:space="preserve"> PAGEREF _Toc24014541 \h </w:instrText>
            </w:r>
            <w:r w:rsidR="00DD4469" w:rsidRPr="00DD4469">
              <w:rPr>
                <w:noProof/>
                <w:webHidden/>
                <w:sz w:val="20"/>
                <w:szCs w:val="20"/>
              </w:rPr>
            </w:r>
            <w:r w:rsidR="00DD4469" w:rsidRPr="00DD4469">
              <w:rPr>
                <w:noProof/>
                <w:webHidden/>
                <w:sz w:val="20"/>
                <w:szCs w:val="20"/>
              </w:rPr>
              <w:fldChar w:fldCharType="separate"/>
            </w:r>
            <w:r w:rsidR="002055E2">
              <w:rPr>
                <w:noProof/>
                <w:webHidden/>
                <w:sz w:val="20"/>
                <w:szCs w:val="20"/>
              </w:rPr>
              <w:t>13</w:t>
            </w:r>
            <w:r w:rsidR="00DD4469" w:rsidRPr="00DD4469">
              <w:rPr>
                <w:noProof/>
                <w:webHidden/>
                <w:sz w:val="20"/>
                <w:szCs w:val="20"/>
              </w:rPr>
              <w:fldChar w:fldCharType="end"/>
            </w:r>
          </w:hyperlink>
        </w:p>
        <w:p w14:paraId="0315A310" w14:textId="5919D3E0" w:rsidR="00DD4469" w:rsidRPr="00DD4469" w:rsidRDefault="00656033">
          <w:pPr>
            <w:pStyle w:val="TDC2"/>
            <w:rPr>
              <w:rFonts w:eastAsiaTheme="minorEastAsia" w:cstheme="minorBidi"/>
              <w:noProof/>
              <w:sz w:val="20"/>
              <w:szCs w:val="20"/>
              <w:lang w:val="en-US" w:eastAsia="en-US"/>
            </w:rPr>
          </w:pPr>
          <w:hyperlink w:anchor="_Toc24014542" w:history="1">
            <w:r w:rsidR="00DD4469" w:rsidRPr="00DD4469">
              <w:rPr>
                <w:rStyle w:val="Hipervnculo"/>
                <w:rFonts w:eastAsia="MS Mincho"/>
                <w:noProof/>
                <w:sz w:val="20"/>
                <w:szCs w:val="20"/>
              </w:rPr>
              <w:t>C.</w:t>
            </w:r>
            <w:r w:rsidR="00DD4469">
              <w:rPr>
                <w:rStyle w:val="Hipervnculo"/>
                <w:rFonts w:eastAsia="MS Mincho"/>
                <w:noProof/>
                <w:sz w:val="20"/>
                <w:szCs w:val="20"/>
              </w:rPr>
              <w:t xml:space="preserve"> </w:t>
            </w:r>
            <w:r w:rsidR="00DD4469" w:rsidRPr="00DD4469">
              <w:rPr>
                <w:rStyle w:val="Hipervnculo"/>
                <w:rFonts w:eastAsia="MS Mincho"/>
                <w:noProof/>
                <w:sz w:val="20"/>
                <w:szCs w:val="20"/>
              </w:rPr>
              <w:t>Proceso penal seguido contra el señor Ruiz Fuentes</w:t>
            </w:r>
            <w:r w:rsidR="00DD4469" w:rsidRPr="00DD4469">
              <w:rPr>
                <w:noProof/>
                <w:webHidden/>
                <w:sz w:val="20"/>
                <w:szCs w:val="20"/>
              </w:rPr>
              <w:tab/>
            </w:r>
            <w:r w:rsidR="00DD4469" w:rsidRPr="00DD4469">
              <w:rPr>
                <w:noProof/>
                <w:webHidden/>
                <w:sz w:val="20"/>
                <w:szCs w:val="20"/>
              </w:rPr>
              <w:fldChar w:fldCharType="begin"/>
            </w:r>
            <w:r w:rsidR="00DD4469" w:rsidRPr="00DD4469">
              <w:rPr>
                <w:noProof/>
                <w:webHidden/>
                <w:sz w:val="20"/>
                <w:szCs w:val="20"/>
              </w:rPr>
              <w:instrText xml:space="preserve"> PAGEREF _Toc24014542 \h </w:instrText>
            </w:r>
            <w:r w:rsidR="00DD4469" w:rsidRPr="00DD4469">
              <w:rPr>
                <w:noProof/>
                <w:webHidden/>
                <w:sz w:val="20"/>
                <w:szCs w:val="20"/>
              </w:rPr>
            </w:r>
            <w:r w:rsidR="00DD4469" w:rsidRPr="00DD4469">
              <w:rPr>
                <w:noProof/>
                <w:webHidden/>
                <w:sz w:val="20"/>
                <w:szCs w:val="20"/>
              </w:rPr>
              <w:fldChar w:fldCharType="separate"/>
            </w:r>
            <w:r w:rsidR="002055E2">
              <w:rPr>
                <w:noProof/>
                <w:webHidden/>
                <w:sz w:val="20"/>
                <w:szCs w:val="20"/>
              </w:rPr>
              <w:t>15</w:t>
            </w:r>
            <w:r w:rsidR="00DD4469" w:rsidRPr="00DD4469">
              <w:rPr>
                <w:noProof/>
                <w:webHidden/>
                <w:sz w:val="20"/>
                <w:szCs w:val="20"/>
              </w:rPr>
              <w:fldChar w:fldCharType="end"/>
            </w:r>
          </w:hyperlink>
        </w:p>
        <w:p w14:paraId="701D5814" w14:textId="54CA1828" w:rsidR="00DD4469" w:rsidRPr="00DD4469" w:rsidRDefault="00656033">
          <w:pPr>
            <w:pStyle w:val="TDC3"/>
            <w:rPr>
              <w:rFonts w:eastAsiaTheme="minorEastAsia" w:cstheme="minorBidi"/>
              <w:noProof/>
              <w:sz w:val="20"/>
              <w:szCs w:val="20"/>
              <w:lang w:val="en-US" w:eastAsia="en-US"/>
            </w:rPr>
          </w:pPr>
          <w:hyperlink w:anchor="_Toc24014543" w:history="1">
            <w:r w:rsidR="00DD4469" w:rsidRPr="00DD4469">
              <w:rPr>
                <w:rStyle w:val="Hipervnculo"/>
                <w:rFonts w:eastAsia="MS Mincho"/>
                <w:noProof/>
                <w:sz w:val="20"/>
                <w:szCs w:val="20"/>
              </w:rPr>
              <w:t xml:space="preserve">c.1 </w:t>
            </w:r>
            <w:r w:rsidR="00DD4469" w:rsidRPr="00DD4469">
              <w:rPr>
                <w:rFonts w:eastAsiaTheme="minorEastAsia" w:cstheme="minorBidi"/>
                <w:noProof/>
                <w:sz w:val="20"/>
                <w:szCs w:val="20"/>
                <w:lang w:val="en-US" w:eastAsia="en-US"/>
              </w:rPr>
              <w:tab/>
            </w:r>
            <w:r w:rsidR="00DD4469" w:rsidRPr="00DD4469">
              <w:rPr>
                <w:rStyle w:val="Hipervnculo"/>
                <w:rFonts w:eastAsia="MS Mincho"/>
                <w:noProof/>
                <w:sz w:val="20"/>
                <w:szCs w:val="20"/>
                <w:lang w:eastAsia="en-US"/>
              </w:rPr>
              <w:t>Hechos que dan lugar a la sentencia condenatoria</w:t>
            </w:r>
            <w:r w:rsidR="00DD4469" w:rsidRPr="00DD4469">
              <w:rPr>
                <w:noProof/>
                <w:webHidden/>
                <w:sz w:val="20"/>
                <w:szCs w:val="20"/>
              </w:rPr>
              <w:tab/>
            </w:r>
            <w:r w:rsidR="00DD4469" w:rsidRPr="00DD4469">
              <w:rPr>
                <w:noProof/>
                <w:webHidden/>
                <w:sz w:val="20"/>
                <w:szCs w:val="20"/>
              </w:rPr>
              <w:fldChar w:fldCharType="begin"/>
            </w:r>
            <w:r w:rsidR="00DD4469" w:rsidRPr="00DD4469">
              <w:rPr>
                <w:noProof/>
                <w:webHidden/>
                <w:sz w:val="20"/>
                <w:szCs w:val="20"/>
              </w:rPr>
              <w:instrText xml:space="preserve"> PAGEREF _Toc24014543 \h </w:instrText>
            </w:r>
            <w:r w:rsidR="00DD4469" w:rsidRPr="00DD4469">
              <w:rPr>
                <w:noProof/>
                <w:webHidden/>
                <w:sz w:val="20"/>
                <w:szCs w:val="20"/>
              </w:rPr>
            </w:r>
            <w:r w:rsidR="00DD4469" w:rsidRPr="00DD4469">
              <w:rPr>
                <w:noProof/>
                <w:webHidden/>
                <w:sz w:val="20"/>
                <w:szCs w:val="20"/>
              </w:rPr>
              <w:fldChar w:fldCharType="separate"/>
            </w:r>
            <w:r w:rsidR="002055E2">
              <w:rPr>
                <w:noProof/>
                <w:webHidden/>
                <w:sz w:val="20"/>
                <w:szCs w:val="20"/>
              </w:rPr>
              <w:t>15</w:t>
            </w:r>
            <w:r w:rsidR="00DD4469" w:rsidRPr="00DD4469">
              <w:rPr>
                <w:noProof/>
                <w:webHidden/>
                <w:sz w:val="20"/>
                <w:szCs w:val="20"/>
              </w:rPr>
              <w:fldChar w:fldCharType="end"/>
            </w:r>
          </w:hyperlink>
        </w:p>
        <w:p w14:paraId="30C8EB1C" w14:textId="6C5CB330" w:rsidR="00DD4469" w:rsidRPr="00DD4469" w:rsidRDefault="00656033">
          <w:pPr>
            <w:pStyle w:val="TDC3"/>
            <w:rPr>
              <w:rFonts w:eastAsiaTheme="minorEastAsia" w:cstheme="minorBidi"/>
              <w:noProof/>
              <w:sz w:val="20"/>
              <w:szCs w:val="20"/>
              <w:lang w:val="en-US" w:eastAsia="en-US"/>
            </w:rPr>
          </w:pPr>
          <w:hyperlink w:anchor="_Toc24014544" w:history="1">
            <w:r w:rsidR="00DD4469" w:rsidRPr="00DD4469">
              <w:rPr>
                <w:rStyle w:val="Hipervnculo"/>
                <w:rFonts w:eastAsia="MS Mincho"/>
                <w:noProof/>
                <w:sz w:val="20"/>
                <w:szCs w:val="20"/>
              </w:rPr>
              <w:t xml:space="preserve">c.2 </w:t>
            </w:r>
            <w:r w:rsidR="00DD4469" w:rsidRPr="00DD4469">
              <w:rPr>
                <w:rFonts w:eastAsiaTheme="minorEastAsia" w:cstheme="minorBidi"/>
                <w:noProof/>
                <w:sz w:val="20"/>
                <w:szCs w:val="20"/>
                <w:lang w:val="en-US" w:eastAsia="en-US"/>
              </w:rPr>
              <w:tab/>
            </w:r>
            <w:r w:rsidR="00DD4469" w:rsidRPr="00DD4469">
              <w:rPr>
                <w:rStyle w:val="Hipervnculo"/>
                <w:rFonts w:eastAsia="MS Mincho"/>
                <w:noProof/>
                <w:sz w:val="20"/>
                <w:szCs w:val="20"/>
                <w:lang w:eastAsia="en-US"/>
              </w:rPr>
              <w:t>Recursos interpuestos</w:t>
            </w:r>
            <w:r w:rsidR="00DD4469" w:rsidRPr="00DD4469">
              <w:rPr>
                <w:noProof/>
                <w:webHidden/>
                <w:sz w:val="20"/>
                <w:szCs w:val="20"/>
              </w:rPr>
              <w:tab/>
            </w:r>
            <w:r w:rsidR="00DD4469" w:rsidRPr="00DD4469">
              <w:rPr>
                <w:noProof/>
                <w:webHidden/>
                <w:sz w:val="20"/>
                <w:szCs w:val="20"/>
              </w:rPr>
              <w:fldChar w:fldCharType="begin"/>
            </w:r>
            <w:r w:rsidR="00DD4469" w:rsidRPr="00DD4469">
              <w:rPr>
                <w:noProof/>
                <w:webHidden/>
                <w:sz w:val="20"/>
                <w:szCs w:val="20"/>
              </w:rPr>
              <w:instrText xml:space="preserve"> PAGEREF _Toc24014544 \h </w:instrText>
            </w:r>
            <w:r w:rsidR="00DD4469" w:rsidRPr="00DD4469">
              <w:rPr>
                <w:noProof/>
                <w:webHidden/>
                <w:sz w:val="20"/>
                <w:szCs w:val="20"/>
              </w:rPr>
            </w:r>
            <w:r w:rsidR="00DD4469" w:rsidRPr="00DD4469">
              <w:rPr>
                <w:noProof/>
                <w:webHidden/>
                <w:sz w:val="20"/>
                <w:szCs w:val="20"/>
              </w:rPr>
              <w:fldChar w:fldCharType="separate"/>
            </w:r>
            <w:r w:rsidR="002055E2">
              <w:rPr>
                <w:noProof/>
                <w:webHidden/>
                <w:sz w:val="20"/>
                <w:szCs w:val="20"/>
              </w:rPr>
              <w:t>16</w:t>
            </w:r>
            <w:r w:rsidR="00DD4469" w:rsidRPr="00DD4469">
              <w:rPr>
                <w:noProof/>
                <w:webHidden/>
                <w:sz w:val="20"/>
                <w:szCs w:val="20"/>
              </w:rPr>
              <w:fldChar w:fldCharType="end"/>
            </w:r>
          </w:hyperlink>
        </w:p>
        <w:p w14:paraId="26F054AF" w14:textId="01DEE6D8" w:rsidR="00DD4469" w:rsidRPr="00DD4469" w:rsidRDefault="00656033">
          <w:pPr>
            <w:pStyle w:val="TDC2"/>
            <w:rPr>
              <w:rFonts w:eastAsiaTheme="minorEastAsia" w:cstheme="minorBidi"/>
              <w:noProof/>
              <w:sz w:val="20"/>
              <w:szCs w:val="20"/>
              <w:lang w:val="en-US" w:eastAsia="en-US"/>
            </w:rPr>
          </w:pPr>
          <w:hyperlink w:anchor="_Toc24014545" w:history="1">
            <w:r w:rsidR="00DD4469" w:rsidRPr="00DD4469">
              <w:rPr>
                <w:rStyle w:val="Hipervnculo"/>
                <w:rFonts w:eastAsia="MS Mincho"/>
                <w:noProof/>
                <w:sz w:val="20"/>
                <w:szCs w:val="20"/>
              </w:rPr>
              <w:t>F.</w:t>
            </w:r>
            <w:r w:rsidR="00DD4469" w:rsidRPr="00DD4469">
              <w:rPr>
                <w:rFonts w:eastAsiaTheme="minorEastAsia" w:cstheme="minorBidi"/>
                <w:noProof/>
                <w:sz w:val="20"/>
                <w:szCs w:val="20"/>
                <w:lang w:val="en-US" w:eastAsia="en-US"/>
              </w:rPr>
              <w:tab/>
            </w:r>
            <w:r w:rsidR="00DD4469" w:rsidRPr="00DD4469">
              <w:rPr>
                <w:rStyle w:val="Hipervnculo"/>
                <w:rFonts w:eastAsia="MS Mincho"/>
                <w:noProof/>
                <w:sz w:val="20"/>
                <w:szCs w:val="20"/>
              </w:rPr>
              <w:t>Fuga de la cárcel “El Infiernito” y posterior muerte del señor Ruiz Fuentes</w:t>
            </w:r>
            <w:r w:rsidR="00DD4469" w:rsidRPr="00DD4469">
              <w:rPr>
                <w:noProof/>
                <w:webHidden/>
                <w:sz w:val="20"/>
                <w:szCs w:val="20"/>
              </w:rPr>
              <w:tab/>
            </w:r>
            <w:r w:rsidR="00DD4469" w:rsidRPr="00DD4469">
              <w:rPr>
                <w:noProof/>
                <w:webHidden/>
                <w:sz w:val="20"/>
                <w:szCs w:val="20"/>
              </w:rPr>
              <w:fldChar w:fldCharType="begin"/>
            </w:r>
            <w:r w:rsidR="00DD4469" w:rsidRPr="00DD4469">
              <w:rPr>
                <w:noProof/>
                <w:webHidden/>
                <w:sz w:val="20"/>
                <w:szCs w:val="20"/>
              </w:rPr>
              <w:instrText xml:space="preserve"> PAGEREF _Toc24014545 \h </w:instrText>
            </w:r>
            <w:r w:rsidR="00DD4469" w:rsidRPr="00DD4469">
              <w:rPr>
                <w:noProof/>
                <w:webHidden/>
                <w:sz w:val="20"/>
                <w:szCs w:val="20"/>
              </w:rPr>
            </w:r>
            <w:r w:rsidR="00DD4469" w:rsidRPr="00DD4469">
              <w:rPr>
                <w:noProof/>
                <w:webHidden/>
                <w:sz w:val="20"/>
                <w:szCs w:val="20"/>
              </w:rPr>
              <w:fldChar w:fldCharType="separate"/>
            </w:r>
            <w:r w:rsidR="002055E2">
              <w:rPr>
                <w:noProof/>
                <w:webHidden/>
                <w:sz w:val="20"/>
                <w:szCs w:val="20"/>
              </w:rPr>
              <w:t>17</w:t>
            </w:r>
            <w:r w:rsidR="00DD4469" w:rsidRPr="00DD4469">
              <w:rPr>
                <w:noProof/>
                <w:webHidden/>
                <w:sz w:val="20"/>
                <w:szCs w:val="20"/>
              </w:rPr>
              <w:fldChar w:fldCharType="end"/>
            </w:r>
          </w:hyperlink>
        </w:p>
        <w:p w14:paraId="6CED8A4C" w14:textId="4E036BC9" w:rsidR="00DD4469" w:rsidRPr="00DD4469" w:rsidRDefault="00656033">
          <w:pPr>
            <w:pStyle w:val="TDC2"/>
            <w:rPr>
              <w:rFonts w:eastAsiaTheme="minorEastAsia" w:cstheme="minorBidi"/>
              <w:noProof/>
              <w:sz w:val="20"/>
              <w:szCs w:val="20"/>
              <w:lang w:val="en-US" w:eastAsia="en-US"/>
            </w:rPr>
          </w:pPr>
          <w:hyperlink w:anchor="_Toc24014546" w:history="1">
            <w:r w:rsidR="00DD4469" w:rsidRPr="00DD4469">
              <w:rPr>
                <w:rStyle w:val="Hipervnculo"/>
                <w:rFonts w:eastAsia="MS Mincho"/>
                <w:noProof/>
                <w:sz w:val="20"/>
                <w:szCs w:val="20"/>
              </w:rPr>
              <w:t>E.</w:t>
            </w:r>
            <w:r w:rsidR="00DD4469" w:rsidRPr="00DD4469">
              <w:rPr>
                <w:rFonts w:eastAsiaTheme="minorEastAsia" w:cstheme="minorBidi"/>
                <w:noProof/>
                <w:sz w:val="20"/>
                <w:szCs w:val="20"/>
                <w:lang w:val="en-US" w:eastAsia="en-US"/>
              </w:rPr>
              <w:tab/>
            </w:r>
            <w:r w:rsidR="00DD4469" w:rsidRPr="00DD4469">
              <w:rPr>
                <w:rStyle w:val="Hipervnculo"/>
                <w:rFonts w:eastAsia="MS Mincho"/>
                <w:noProof/>
                <w:sz w:val="20"/>
                <w:szCs w:val="20"/>
              </w:rPr>
              <w:t>Investigación y procesos judiciales iniciados por la muerte del señor Ruiz Fuentes</w:t>
            </w:r>
            <w:r w:rsidR="00DD4469" w:rsidRPr="00DD4469">
              <w:rPr>
                <w:noProof/>
                <w:webHidden/>
                <w:sz w:val="20"/>
                <w:szCs w:val="20"/>
              </w:rPr>
              <w:tab/>
            </w:r>
            <w:r w:rsidR="00DD4469" w:rsidRPr="00DD4469">
              <w:rPr>
                <w:noProof/>
                <w:webHidden/>
                <w:sz w:val="20"/>
                <w:szCs w:val="20"/>
              </w:rPr>
              <w:fldChar w:fldCharType="begin"/>
            </w:r>
            <w:r w:rsidR="00DD4469" w:rsidRPr="00DD4469">
              <w:rPr>
                <w:noProof/>
                <w:webHidden/>
                <w:sz w:val="20"/>
                <w:szCs w:val="20"/>
              </w:rPr>
              <w:instrText xml:space="preserve"> PAGEREF _Toc24014546 \h </w:instrText>
            </w:r>
            <w:r w:rsidR="00DD4469" w:rsidRPr="00DD4469">
              <w:rPr>
                <w:noProof/>
                <w:webHidden/>
                <w:sz w:val="20"/>
                <w:szCs w:val="20"/>
              </w:rPr>
            </w:r>
            <w:r w:rsidR="00DD4469" w:rsidRPr="00DD4469">
              <w:rPr>
                <w:noProof/>
                <w:webHidden/>
                <w:sz w:val="20"/>
                <w:szCs w:val="20"/>
              </w:rPr>
              <w:fldChar w:fldCharType="separate"/>
            </w:r>
            <w:r w:rsidR="002055E2">
              <w:rPr>
                <w:noProof/>
                <w:webHidden/>
                <w:sz w:val="20"/>
                <w:szCs w:val="20"/>
              </w:rPr>
              <w:t>18</w:t>
            </w:r>
            <w:r w:rsidR="00DD4469" w:rsidRPr="00DD4469">
              <w:rPr>
                <w:noProof/>
                <w:webHidden/>
                <w:sz w:val="20"/>
                <w:szCs w:val="20"/>
              </w:rPr>
              <w:fldChar w:fldCharType="end"/>
            </w:r>
          </w:hyperlink>
        </w:p>
        <w:p w14:paraId="6FDF85CF" w14:textId="7602E7B2" w:rsidR="00DD4469" w:rsidRPr="00DD4469" w:rsidRDefault="00656033">
          <w:pPr>
            <w:pStyle w:val="TDC1"/>
            <w:rPr>
              <w:rFonts w:eastAsiaTheme="minorEastAsia" w:cstheme="minorBidi"/>
              <w:b w:val="0"/>
              <w:lang w:val="en-US" w:eastAsia="en-US"/>
            </w:rPr>
          </w:pPr>
          <w:hyperlink w:anchor="_Toc24014547" w:history="1">
            <w:r w:rsidR="00DD4469" w:rsidRPr="00DD4469">
              <w:rPr>
                <w:rStyle w:val="Hipervnculo"/>
              </w:rPr>
              <w:t>VIII FONDO</w:t>
            </w:r>
            <w:r w:rsidR="00DD4469" w:rsidRPr="00DD4469">
              <w:rPr>
                <w:webHidden/>
              </w:rPr>
              <w:tab/>
            </w:r>
            <w:r w:rsidR="00DD4469" w:rsidRPr="00DD4469">
              <w:rPr>
                <w:webHidden/>
              </w:rPr>
              <w:fldChar w:fldCharType="begin"/>
            </w:r>
            <w:r w:rsidR="00DD4469" w:rsidRPr="00DD4469">
              <w:rPr>
                <w:webHidden/>
              </w:rPr>
              <w:instrText xml:space="preserve"> PAGEREF _Toc24014547 \h </w:instrText>
            </w:r>
            <w:r w:rsidR="00DD4469" w:rsidRPr="00DD4469">
              <w:rPr>
                <w:webHidden/>
              </w:rPr>
            </w:r>
            <w:r w:rsidR="00DD4469" w:rsidRPr="00DD4469">
              <w:rPr>
                <w:webHidden/>
              </w:rPr>
              <w:fldChar w:fldCharType="separate"/>
            </w:r>
            <w:r w:rsidR="002055E2">
              <w:rPr>
                <w:webHidden/>
              </w:rPr>
              <w:t>19</w:t>
            </w:r>
            <w:r w:rsidR="00DD4469" w:rsidRPr="00DD4469">
              <w:rPr>
                <w:webHidden/>
              </w:rPr>
              <w:fldChar w:fldCharType="end"/>
            </w:r>
          </w:hyperlink>
        </w:p>
        <w:p w14:paraId="6D1D4E4F" w14:textId="7F798DD8" w:rsidR="00DD4469" w:rsidRPr="00DD4469" w:rsidRDefault="00656033">
          <w:pPr>
            <w:pStyle w:val="TDC1"/>
            <w:rPr>
              <w:rFonts w:eastAsiaTheme="minorEastAsia" w:cstheme="minorBidi"/>
              <w:b w:val="0"/>
              <w:lang w:val="en-US" w:eastAsia="en-US"/>
            </w:rPr>
          </w:pPr>
          <w:hyperlink w:anchor="_Toc24014548" w:history="1">
            <w:r w:rsidR="00DD4469" w:rsidRPr="00DD4469">
              <w:rPr>
                <w:rStyle w:val="Hipervnculo"/>
              </w:rPr>
              <w:t>VIII-1 DERECHO A LA VIDA, CON MOTIVO DE LA APLICACIÓN DE LA PENA DE MUERTE AL SEÑOR RUIZ FUENTES</w:t>
            </w:r>
            <w:r w:rsidR="00DD4469" w:rsidRPr="00DD4469">
              <w:rPr>
                <w:webHidden/>
              </w:rPr>
              <w:tab/>
            </w:r>
            <w:r w:rsidR="00DD4469" w:rsidRPr="00DD4469">
              <w:rPr>
                <w:webHidden/>
              </w:rPr>
              <w:fldChar w:fldCharType="begin"/>
            </w:r>
            <w:r w:rsidR="00DD4469" w:rsidRPr="00DD4469">
              <w:rPr>
                <w:webHidden/>
              </w:rPr>
              <w:instrText xml:space="preserve"> PAGEREF _Toc24014548 \h </w:instrText>
            </w:r>
            <w:r w:rsidR="00DD4469" w:rsidRPr="00DD4469">
              <w:rPr>
                <w:webHidden/>
              </w:rPr>
            </w:r>
            <w:r w:rsidR="00DD4469" w:rsidRPr="00DD4469">
              <w:rPr>
                <w:webHidden/>
              </w:rPr>
              <w:fldChar w:fldCharType="separate"/>
            </w:r>
            <w:r w:rsidR="002055E2">
              <w:rPr>
                <w:webHidden/>
              </w:rPr>
              <w:t>20</w:t>
            </w:r>
            <w:r w:rsidR="00DD4469" w:rsidRPr="00DD4469">
              <w:rPr>
                <w:webHidden/>
              </w:rPr>
              <w:fldChar w:fldCharType="end"/>
            </w:r>
          </w:hyperlink>
        </w:p>
        <w:p w14:paraId="18520D22" w14:textId="3BFC205E" w:rsidR="00DD4469" w:rsidRPr="00DD4469" w:rsidRDefault="00656033">
          <w:pPr>
            <w:pStyle w:val="TDC2"/>
            <w:rPr>
              <w:rFonts w:eastAsiaTheme="minorEastAsia" w:cstheme="minorBidi"/>
              <w:noProof/>
              <w:sz w:val="20"/>
              <w:szCs w:val="20"/>
              <w:lang w:val="en-US" w:eastAsia="en-US"/>
            </w:rPr>
          </w:pPr>
          <w:hyperlink w:anchor="_Toc24014549" w:history="1">
            <w:r w:rsidR="00DD4469" w:rsidRPr="00DD4469">
              <w:rPr>
                <w:rStyle w:val="Hipervnculo"/>
                <w:rFonts w:eastAsia="MS Mincho"/>
                <w:noProof/>
                <w:sz w:val="20"/>
                <w:szCs w:val="20"/>
              </w:rPr>
              <w:t>A.</w:t>
            </w:r>
            <w:r w:rsidR="00DD4469">
              <w:rPr>
                <w:rStyle w:val="Hipervnculo"/>
                <w:rFonts w:eastAsia="MS Mincho"/>
                <w:noProof/>
                <w:sz w:val="20"/>
                <w:szCs w:val="20"/>
              </w:rPr>
              <w:t xml:space="preserve"> </w:t>
            </w:r>
            <w:r w:rsidR="00DD4469" w:rsidRPr="00DD4469">
              <w:rPr>
                <w:rFonts w:eastAsiaTheme="minorEastAsia" w:cstheme="minorBidi"/>
                <w:noProof/>
                <w:sz w:val="20"/>
                <w:szCs w:val="20"/>
                <w:lang w:val="en-US" w:eastAsia="en-US"/>
              </w:rPr>
              <w:tab/>
            </w:r>
            <w:r w:rsidR="00DD4469" w:rsidRPr="00DD4469">
              <w:rPr>
                <w:rStyle w:val="Hipervnculo"/>
                <w:rFonts w:eastAsia="MS Mincho"/>
                <w:noProof/>
                <w:sz w:val="20"/>
                <w:szCs w:val="20"/>
              </w:rPr>
              <w:t>Argumentos de las partes y de la Comisión</w:t>
            </w:r>
            <w:r w:rsidR="00DD4469" w:rsidRPr="00DD4469">
              <w:rPr>
                <w:noProof/>
                <w:webHidden/>
                <w:sz w:val="20"/>
                <w:szCs w:val="20"/>
              </w:rPr>
              <w:tab/>
            </w:r>
            <w:r w:rsidR="00DD4469" w:rsidRPr="00DD4469">
              <w:rPr>
                <w:noProof/>
                <w:webHidden/>
                <w:sz w:val="20"/>
                <w:szCs w:val="20"/>
              </w:rPr>
              <w:fldChar w:fldCharType="begin"/>
            </w:r>
            <w:r w:rsidR="00DD4469" w:rsidRPr="00DD4469">
              <w:rPr>
                <w:noProof/>
                <w:webHidden/>
                <w:sz w:val="20"/>
                <w:szCs w:val="20"/>
              </w:rPr>
              <w:instrText xml:space="preserve"> PAGEREF _Toc24014549 \h </w:instrText>
            </w:r>
            <w:r w:rsidR="00DD4469" w:rsidRPr="00DD4469">
              <w:rPr>
                <w:noProof/>
                <w:webHidden/>
                <w:sz w:val="20"/>
                <w:szCs w:val="20"/>
              </w:rPr>
            </w:r>
            <w:r w:rsidR="00DD4469" w:rsidRPr="00DD4469">
              <w:rPr>
                <w:noProof/>
                <w:webHidden/>
                <w:sz w:val="20"/>
                <w:szCs w:val="20"/>
              </w:rPr>
              <w:fldChar w:fldCharType="separate"/>
            </w:r>
            <w:r w:rsidR="002055E2">
              <w:rPr>
                <w:noProof/>
                <w:webHidden/>
                <w:sz w:val="20"/>
                <w:szCs w:val="20"/>
              </w:rPr>
              <w:t>20</w:t>
            </w:r>
            <w:r w:rsidR="00DD4469" w:rsidRPr="00DD4469">
              <w:rPr>
                <w:noProof/>
                <w:webHidden/>
                <w:sz w:val="20"/>
                <w:szCs w:val="20"/>
              </w:rPr>
              <w:fldChar w:fldCharType="end"/>
            </w:r>
          </w:hyperlink>
        </w:p>
        <w:p w14:paraId="1ECEA280" w14:textId="1135A123" w:rsidR="00DD4469" w:rsidRPr="00DD4469" w:rsidRDefault="00656033">
          <w:pPr>
            <w:pStyle w:val="TDC2"/>
            <w:rPr>
              <w:rFonts w:eastAsiaTheme="minorEastAsia" w:cstheme="minorBidi"/>
              <w:noProof/>
              <w:sz w:val="20"/>
              <w:szCs w:val="20"/>
              <w:lang w:val="en-US" w:eastAsia="en-US"/>
            </w:rPr>
          </w:pPr>
          <w:hyperlink w:anchor="_Toc24014550" w:history="1">
            <w:r w:rsidR="00DD4469" w:rsidRPr="00DD4469">
              <w:rPr>
                <w:rStyle w:val="Hipervnculo"/>
                <w:rFonts w:eastAsia="MS Mincho"/>
                <w:noProof/>
                <w:sz w:val="20"/>
                <w:szCs w:val="20"/>
              </w:rPr>
              <w:t>B.</w:t>
            </w:r>
            <w:r w:rsidR="00DD4469" w:rsidRPr="00DD4469">
              <w:rPr>
                <w:rFonts w:eastAsiaTheme="minorEastAsia" w:cstheme="minorBidi"/>
                <w:noProof/>
                <w:sz w:val="20"/>
                <w:szCs w:val="20"/>
                <w:lang w:val="en-US" w:eastAsia="en-US"/>
              </w:rPr>
              <w:tab/>
            </w:r>
            <w:r w:rsidR="00DD4469">
              <w:rPr>
                <w:rFonts w:eastAsiaTheme="minorEastAsia" w:cstheme="minorBidi"/>
                <w:noProof/>
                <w:sz w:val="20"/>
                <w:szCs w:val="20"/>
                <w:lang w:val="en-US" w:eastAsia="en-US"/>
              </w:rPr>
              <w:t xml:space="preserve"> </w:t>
            </w:r>
            <w:r w:rsidR="00DD4469" w:rsidRPr="00DD4469">
              <w:rPr>
                <w:rStyle w:val="Hipervnculo"/>
                <w:rFonts w:eastAsia="MS Mincho"/>
                <w:noProof/>
                <w:sz w:val="20"/>
                <w:szCs w:val="20"/>
              </w:rPr>
              <w:t>Consideraciones de la Corte</w:t>
            </w:r>
            <w:r w:rsidR="00DD4469" w:rsidRPr="00DD4469">
              <w:rPr>
                <w:noProof/>
                <w:webHidden/>
                <w:sz w:val="20"/>
                <w:szCs w:val="20"/>
              </w:rPr>
              <w:tab/>
            </w:r>
            <w:r w:rsidR="00DD4469" w:rsidRPr="00DD4469">
              <w:rPr>
                <w:noProof/>
                <w:webHidden/>
                <w:sz w:val="20"/>
                <w:szCs w:val="20"/>
              </w:rPr>
              <w:fldChar w:fldCharType="begin"/>
            </w:r>
            <w:r w:rsidR="00DD4469" w:rsidRPr="00DD4469">
              <w:rPr>
                <w:noProof/>
                <w:webHidden/>
                <w:sz w:val="20"/>
                <w:szCs w:val="20"/>
              </w:rPr>
              <w:instrText xml:space="preserve"> PAGEREF _Toc24014550 \h </w:instrText>
            </w:r>
            <w:r w:rsidR="00DD4469" w:rsidRPr="00DD4469">
              <w:rPr>
                <w:noProof/>
                <w:webHidden/>
                <w:sz w:val="20"/>
                <w:szCs w:val="20"/>
              </w:rPr>
            </w:r>
            <w:r w:rsidR="00DD4469" w:rsidRPr="00DD4469">
              <w:rPr>
                <w:noProof/>
                <w:webHidden/>
                <w:sz w:val="20"/>
                <w:szCs w:val="20"/>
              </w:rPr>
              <w:fldChar w:fldCharType="separate"/>
            </w:r>
            <w:r w:rsidR="002055E2">
              <w:rPr>
                <w:noProof/>
                <w:webHidden/>
                <w:sz w:val="20"/>
                <w:szCs w:val="20"/>
              </w:rPr>
              <w:t>21</w:t>
            </w:r>
            <w:r w:rsidR="00DD4469" w:rsidRPr="00DD4469">
              <w:rPr>
                <w:noProof/>
                <w:webHidden/>
                <w:sz w:val="20"/>
                <w:szCs w:val="20"/>
              </w:rPr>
              <w:fldChar w:fldCharType="end"/>
            </w:r>
          </w:hyperlink>
        </w:p>
        <w:p w14:paraId="783CD779" w14:textId="536F48A1" w:rsidR="00DD4469" w:rsidRPr="00DD4469" w:rsidRDefault="00656033">
          <w:pPr>
            <w:pStyle w:val="TDC3"/>
            <w:rPr>
              <w:rFonts w:eastAsiaTheme="minorEastAsia" w:cstheme="minorBidi"/>
              <w:noProof/>
              <w:sz w:val="20"/>
              <w:szCs w:val="20"/>
              <w:lang w:val="en-US" w:eastAsia="en-US"/>
            </w:rPr>
          </w:pPr>
          <w:hyperlink w:anchor="_Toc24014551" w:history="1">
            <w:r w:rsidR="00DD4469" w:rsidRPr="00DD4469">
              <w:rPr>
                <w:rStyle w:val="Hipervnculo"/>
                <w:rFonts w:eastAsia="MS Mincho"/>
                <w:noProof/>
                <w:sz w:val="20"/>
                <w:szCs w:val="20"/>
              </w:rPr>
              <w:t xml:space="preserve">b.1 </w:t>
            </w:r>
            <w:r w:rsidR="00DD4469" w:rsidRPr="00DD4469">
              <w:rPr>
                <w:rFonts w:eastAsiaTheme="minorEastAsia" w:cstheme="minorBidi"/>
                <w:noProof/>
                <w:sz w:val="20"/>
                <w:szCs w:val="20"/>
                <w:lang w:val="en-US" w:eastAsia="en-US"/>
              </w:rPr>
              <w:tab/>
            </w:r>
            <w:r w:rsidR="00DD4469" w:rsidRPr="00DD4469">
              <w:rPr>
                <w:rStyle w:val="Hipervnculo"/>
                <w:rFonts w:eastAsia="MS Mincho"/>
                <w:noProof/>
                <w:sz w:val="20"/>
                <w:szCs w:val="20"/>
                <w:lang w:eastAsia="en-US"/>
              </w:rPr>
              <w:t>Imposición de la pena de muerte</w:t>
            </w:r>
            <w:r w:rsidR="00DD4469" w:rsidRPr="00DD4469">
              <w:rPr>
                <w:noProof/>
                <w:webHidden/>
                <w:sz w:val="20"/>
                <w:szCs w:val="20"/>
              </w:rPr>
              <w:tab/>
            </w:r>
            <w:r w:rsidR="00DD4469" w:rsidRPr="00DD4469">
              <w:rPr>
                <w:noProof/>
                <w:webHidden/>
                <w:sz w:val="20"/>
                <w:szCs w:val="20"/>
              </w:rPr>
              <w:fldChar w:fldCharType="begin"/>
            </w:r>
            <w:r w:rsidR="00DD4469" w:rsidRPr="00DD4469">
              <w:rPr>
                <w:noProof/>
                <w:webHidden/>
                <w:sz w:val="20"/>
                <w:szCs w:val="20"/>
              </w:rPr>
              <w:instrText xml:space="preserve"> PAGEREF _Toc24014551 \h </w:instrText>
            </w:r>
            <w:r w:rsidR="00DD4469" w:rsidRPr="00DD4469">
              <w:rPr>
                <w:noProof/>
                <w:webHidden/>
                <w:sz w:val="20"/>
                <w:szCs w:val="20"/>
              </w:rPr>
            </w:r>
            <w:r w:rsidR="00DD4469" w:rsidRPr="00DD4469">
              <w:rPr>
                <w:noProof/>
                <w:webHidden/>
                <w:sz w:val="20"/>
                <w:szCs w:val="20"/>
              </w:rPr>
              <w:fldChar w:fldCharType="separate"/>
            </w:r>
            <w:r w:rsidR="002055E2">
              <w:rPr>
                <w:noProof/>
                <w:webHidden/>
                <w:sz w:val="20"/>
                <w:szCs w:val="20"/>
              </w:rPr>
              <w:t>21</w:t>
            </w:r>
            <w:r w:rsidR="00DD4469" w:rsidRPr="00DD4469">
              <w:rPr>
                <w:noProof/>
                <w:webHidden/>
                <w:sz w:val="20"/>
                <w:szCs w:val="20"/>
              </w:rPr>
              <w:fldChar w:fldCharType="end"/>
            </w:r>
          </w:hyperlink>
        </w:p>
        <w:p w14:paraId="51232807" w14:textId="57AA3C7F" w:rsidR="00DD4469" w:rsidRPr="00DD4469" w:rsidRDefault="00656033">
          <w:pPr>
            <w:pStyle w:val="TDC3"/>
            <w:rPr>
              <w:rFonts w:eastAsiaTheme="minorEastAsia" w:cstheme="minorBidi"/>
              <w:noProof/>
              <w:sz w:val="20"/>
              <w:szCs w:val="20"/>
              <w:lang w:val="en-US" w:eastAsia="en-US"/>
            </w:rPr>
          </w:pPr>
          <w:hyperlink w:anchor="_Toc24014552" w:history="1">
            <w:r w:rsidR="00DD4469" w:rsidRPr="00DD4469">
              <w:rPr>
                <w:rStyle w:val="Hipervnculo"/>
                <w:rFonts w:eastAsia="MS Mincho"/>
                <w:noProof/>
                <w:sz w:val="20"/>
                <w:szCs w:val="20"/>
              </w:rPr>
              <w:t xml:space="preserve">b.2 </w:t>
            </w:r>
            <w:r w:rsidR="00DD4469" w:rsidRPr="00DD4469">
              <w:rPr>
                <w:rFonts w:eastAsiaTheme="minorEastAsia" w:cstheme="minorBidi"/>
                <w:noProof/>
                <w:sz w:val="20"/>
                <w:szCs w:val="20"/>
                <w:lang w:val="en-US" w:eastAsia="en-US"/>
              </w:rPr>
              <w:tab/>
            </w:r>
            <w:r w:rsidR="00DD4469" w:rsidRPr="00DD4469">
              <w:rPr>
                <w:rStyle w:val="Hipervnculo"/>
                <w:rFonts w:eastAsia="MS Mincho"/>
                <w:noProof/>
                <w:sz w:val="20"/>
                <w:szCs w:val="20"/>
                <w:lang w:eastAsia="en-US"/>
              </w:rPr>
              <w:t>Derecho a solicitar amnistía, indulto o conmutación de la pena</w:t>
            </w:r>
            <w:r w:rsidR="00DD4469" w:rsidRPr="00DD4469">
              <w:rPr>
                <w:noProof/>
                <w:webHidden/>
                <w:sz w:val="20"/>
                <w:szCs w:val="20"/>
              </w:rPr>
              <w:tab/>
            </w:r>
            <w:r w:rsidR="00DD4469" w:rsidRPr="00DD4469">
              <w:rPr>
                <w:noProof/>
                <w:webHidden/>
                <w:sz w:val="20"/>
                <w:szCs w:val="20"/>
              </w:rPr>
              <w:fldChar w:fldCharType="begin"/>
            </w:r>
            <w:r w:rsidR="00DD4469" w:rsidRPr="00DD4469">
              <w:rPr>
                <w:noProof/>
                <w:webHidden/>
                <w:sz w:val="20"/>
                <w:szCs w:val="20"/>
              </w:rPr>
              <w:instrText xml:space="preserve"> PAGEREF _Toc24014552 \h </w:instrText>
            </w:r>
            <w:r w:rsidR="00DD4469" w:rsidRPr="00DD4469">
              <w:rPr>
                <w:noProof/>
                <w:webHidden/>
                <w:sz w:val="20"/>
                <w:szCs w:val="20"/>
              </w:rPr>
            </w:r>
            <w:r w:rsidR="00DD4469" w:rsidRPr="00DD4469">
              <w:rPr>
                <w:noProof/>
                <w:webHidden/>
                <w:sz w:val="20"/>
                <w:szCs w:val="20"/>
              </w:rPr>
              <w:fldChar w:fldCharType="separate"/>
            </w:r>
            <w:r w:rsidR="002055E2">
              <w:rPr>
                <w:noProof/>
                <w:webHidden/>
                <w:sz w:val="20"/>
                <w:szCs w:val="20"/>
              </w:rPr>
              <w:t>24</w:t>
            </w:r>
            <w:r w:rsidR="00DD4469" w:rsidRPr="00DD4469">
              <w:rPr>
                <w:noProof/>
                <w:webHidden/>
                <w:sz w:val="20"/>
                <w:szCs w:val="20"/>
              </w:rPr>
              <w:fldChar w:fldCharType="end"/>
            </w:r>
          </w:hyperlink>
        </w:p>
        <w:p w14:paraId="4CC3841C" w14:textId="79A90FE7" w:rsidR="00DD4469" w:rsidRPr="00DD4469" w:rsidRDefault="00656033">
          <w:pPr>
            <w:pStyle w:val="TDC3"/>
            <w:rPr>
              <w:rFonts w:eastAsiaTheme="minorEastAsia" w:cstheme="minorBidi"/>
              <w:noProof/>
              <w:sz w:val="20"/>
              <w:szCs w:val="20"/>
              <w:lang w:val="en-US" w:eastAsia="en-US"/>
            </w:rPr>
          </w:pPr>
          <w:hyperlink w:anchor="_Toc24014553" w:history="1">
            <w:r w:rsidR="00DD4469" w:rsidRPr="00DD4469">
              <w:rPr>
                <w:rStyle w:val="Hipervnculo"/>
                <w:rFonts w:eastAsia="MS Mincho"/>
                <w:noProof/>
                <w:sz w:val="20"/>
                <w:szCs w:val="20"/>
              </w:rPr>
              <w:t xml:space="preserve">b.3 </w:t>
            </w:r>
            <w:r w:rsidR="00DD4469" w:rsidRPr="00DD4469">
              <w:rPr>
                <w:rFonts w:eastAsiaTheme="minorEastAsia" w:cstheme="minorBidi"/>
                <w:noProof/>
                <w:sz w:val="20"/>
                <w:szCs w:val="20"/>
                <w:lang w:val="en-US" w:eastAsia="en-US"/>
              </w:rPr>
              <w:tab/>
            </w:r>
            <w:r w:rsidR="00DD4469" w:rsidRPr="00DD4469">
              <w:rPr>
                <w:rStyle w:val="Hipervnculo"/>
                <w:rFonts w:eastAsia="MS Mincho"/>
                <w:noProof/>
                <w:sz w:val="20"/>
                <w:szCs w:val="20"/>
                <w:lang w:eastAsia="en-US"/>
              </w:rPr>
              <w:t>Violación del artículo 2 de la Convención Americana</w:t>
            </w:r>
            <w:r w:rsidR="00DD4469" w:rsidRPr="00DD4469">
              <w:rPr>
                <w:noProof/>
                <w:webHidden/>
                <w:sz w:val="20"/>
                <w:szCs w:val="20"/>
              </w:rPr>
              <w:tab/>
            </w:r>
            <w:r w:rsidR="00DD4469" w:rsidRPr="00DD4469">
              <w:rPr>
                <w:noProof/>
                <w:webHidden/>
                <w:sz w:val="20"/>
                <w:szCs w:val="20"/>
              </w:rPr>
              <w:fldChar w:fldCharType="begin"/>
            </w:r>
            <w:r w:rsidR="00DD4469" w:rsidRPr="00DD4469">
              <w:rPr>
                <w:noProof/>
                <w:webHidden/>
                <w:sz w:val="20"/>
                <w:szCs w:val="20"/>
              </w:rPr>
              <w:instrText xml:space="preserve"> PAGEREF _Toc24014553 \h </w:instrText>
            </w:r>
            <w:r w:rsidR="00DD4469" w:rsidRPr="00DD4469">
              <w:rPr>
                <w:noProof/>
                <w:webHidden/>
                <w:sz w:val="20"/>
                <w:szCs w:val="20"/>
              </w:rPr>
            </w:r>
            <w:r w:rsidR="00DD4469" w:rsidRPr="00DD4469">
              <w:rPr>
                <w:noProof/>
                <w:webHidden/>
                <w:sz w:val="20"/>
                <w:szCs w:val="20"/>
              </w:rPr>
              <w:fldChar w:fldCharType="separate"/>
            </w:r>
            <w:r w:rsidR="002055E2">
              <w:rPr>
                <w:noProof/>
                <w:webHidden/>
                <w:sz w:val="20"/>
                <w:szCs w:val="20"/>
              </w:rPr>
              <w:t>24</w:t>
            </w:r>
            <w:r w:rsidR="00DD4469" w:rsidRPr="00DD4469">
              <w:rPr>
                <w:noProof/>
                <w:webHidden/>
                <w:sz w:val="20"/>
                <w:szCs w:val="20"/>
              </w:rPr>
              <w:fldChar w:fldCharType="end"/>
            </w:r>
          </w:hyperlink>
        </w:p>
        <w:p w14:paraId="03B011C6" w14:textId="100F8D23" w:rsidR="00DD4469" w:rsidRPr="00DD4469" w:rsidRDefault="00656033">
          <w:pPr>
            <w:pStyle w:val="TDC3"/>
            <w:rPr>
              <w:rFonts w:eastAsiaTheme="minorEastAsia" w:cstheme="minorBidi"/>
              <w:noProof/>
              <w:sz w:val="20"/>
              <w:szCs w:val="20"/>
              <w:lang w:val="en-US" w:eastAsia="en-US"/>
            </w:rPr>
          </w:pPr>
          <w:hyperlink w:anchor="_Toc24014554" w:history="1">
            <w:r w:rsidR="00DD4469" w:rsidRPr="00DD4469">
              <w:rPr>
                <w:rStyle w:val="Hipervnculo"/>
                <w:rFonts w:eastAsia="MS Mincho"/>
                <w:noProof/>
                <w:sz w:val="20"/>
                <w:szCs w:val="20"/>
              </w:rPr>
              <w:t xml:space="preserve">b.4 </w:t>
            </w:r>
            <w:r w:rsidR="00DD4469" w:rsidRPr="00DD4469">
              <w:rPr>
                <w:rFonts w:eastAsiaTheme="minorEastAsia" w:cstheme="minorBidi"/>
                <w:noProof/>
                <w:sz w:val="20"/>
                <w:szCs w:val="20"/>
                <w:lang w:val="en-US" w:eastAsia="en-US"/>
              </w:rPr>
              <w:tab/>
            </w:r>
            <w:r w:rsidR="00DD4469" w:rsidRPr="00DD4469">
              <w:rPr>
                <w:rStyle w:val="Hipervnculo"/>
                <w:rFonts w:eastAsia="MS Mincho"/>
                <w:noProof/>
                <w:sz w:val="20"/>
                <w:szCs w:val="20"/>
                <w:lang w:eastAsia="en-US"/>
              </w:rPr>
              <w:t>Conclusión</w:t>
            </w:r>
            <w:r w:rsidR="00DD4469" w:rsidRPr="00DD4469">
              <w:rPr>
                <w:noProof/>
                <w:webHidden/>
                <w:sz w:val="20"/>
                <w:szCs w:val="20"/>
              </w:rPr>
              <w:tab/>
            </w:r>
            <w:r w:rsidR="00DD4469" w:rsidRPr="00DD4469">
              <w:rPr>
                <w:noProof/>
                <w:webHidden/>
                <w:sz w:val="20"/>
                <w:szCs w:val="20"/>
              </w:rPr>
              <w:fldChar w:fldCharType="begin"/>
            </w:r>
            <w:r w:rsidR="00DD4469" w:rsidRPr="00DD4469">
              <w:rPr>
                <w:noProof/>
                <w:webHidden/>
                <w:sz w:val="20"/>
                <w:szCs w:val="20"/>
              </w:rPr>
              <w:instrText xml:space="preserve"> PAGEREF _Toc24014554 \h </w:instrText>
            </w:r>
            <w:r w:rsidR="00DD4469" w:rsidRPr="00DD4469">
              <w:rPr>
                <w:noProof/>
                <w:webHidden/>
                <w:sz w:val="20"/>
                <w:szCs w:val="20"/>
              </w:rPr>
            </w:r>
            <w:r w:rsidR="00DD4469" w:rsidRPr="00DD4469">
              <w:rPr>
                <w:noProof/>
                <w:webHidden/>
                <w:sz w:val="20"/>
                <w:szCs w:val="20"/>
              </w:rPr>
              <w:fldChar w:fldCharType="separate"/>
            </w:r>
            <w:r w:rsidR="002055E2">
              <w:rPr>
                <w:noProof/>
                <w:webHidden/>
                <w:sz w:val="20"/>
                <w:szCs w:val="20"/>
              </w:rPr>
              <w:t>25</w:t>
            </w:r>
            <w:r w:rsidR="00DD4469" w:rsidRPr="00DD4469">
              <w:rPr>
                <w:noProof/>
                <w:webHidden/>
                <w:sz w:val="20"/>
                <w:szCs w:val="20"/>
              </w:rPr>
              <w:fldChar w:fldCharType="end"/>
            </w:r>
          </w:hyperlink>
        </w:p>
        <w:p w14:paraId="14A6861D" w14:textId="66B9929D" w:rsidR="00DD4469" w:rsidRPr="00DD4469" w:rsidRDefault="00656033">
          <w:pPr>
            <w:pStyle w:val="TDC1"/>
            <w:rPr>
              <w:rFonts w:eastAsiaTheme="minorEastAsia" w:cstheme="minorBidi"/>
              <w:b w:val="0"/>
              <w:lang w:val="en-US" w:eastAsia="en-US"/>
            </w:rPr>
          </w:pPr>
          <w:hyperlink w:anchor="_Toc24014555" w:history="1">
            <w:r w:rsidR="00DD4469" w:rsidRPr="00DD4469">
              <w:rPr>
                <w:rStyle w:val="Hipervnculo"/>
              </w:rPr>
              <w:t>VIII-2  DERECHO A LA VIDA, CON MOTIVO DE LA MUERTE DEL SEÑOR RUIZ FUENTES</w:t>
            </w:r>
            <w:r w:rsidR="00DD4469" w:rsidRPr="00DD4469">
              <w:rPr>
                <w:webHidden/>
              </w:rPr>
              <w:tab/>
            </w:r>
            <w:r w:rsidR="00DD4469" w:rsidRPr="00DD4469">
              <w:rPr>
                <w:webHidden/>
              </w:rPr>
              <w:fldChar w:fldCharType="begin"/>
            </w:r>
            <w:r w:rsidR="00DD4469" w:rsidRPr="00DD4469">
              <w:rPr>
                <w:webHidden/>
              </w:rPr>
              <w:instrText xml:space="preserve"> PAGEREF _Toc24014555 \h </w:instrText>
            </w:r>
            <w:r w:rsidR="00DD4469" w:rsidRPr="00DD4469">
              <w:rPr>
                <w:webHidden/>
              </w:rPr>
            </w:r>
            <w:r w:rsidR="00DD4469" w:rsidRPr="00DD4469">
              <w:rPr>
                <w:webHidden/>
              </w:rPr>
              <w:fldChar w:fldCharType="separate"/>
            </w:r>
            <w:r w:rsidR="002055E2">
              <w:rPr>
                <w:webHidden/>
              </w:rPr>
              <w:t>25</w:t>
            </w:r>
            <w:r w:rsidR="00DD4469" w:rsidRPr="00DD4469">
              <w:rPr>
                <w:webHidden/>
              </w:rPr>
              <w:fldChar w:fldCharType="end"/>
            </w:r>
          </w:hyperlink>
        </w:p>
        <w:p w14:paraId="5373CE51" w14:textId="78EE4DD2" w:rsidR="00DD4469" w:rsidRPr="00DD4469" w:rsidRDefault="00656033">
          <w:pPr>
            <w:pStyle w:val="TDC2"/>
            <w:rPr>
              <w:rFonts w:eastAsiaTheme="minorEastAsia" w:cstheme="minorBidi"/>
              <w:noProof/>
              <w:sz w:val="20"/>
              <w:szCs w:val="20"/>
              <w:lang w:val="en-US" w:eastAsia="en-US"/>
            </w:rPr>
          </w:pPr>
          <w:hyperlink w:anchor="_Toc24014556" w:history="1">
            <w:r w:rsidR="00DD4469" w:rsidRPr="00DD4469">
              <w:rPr>
                <w:rStyle w:val="Hipervnculo"/>
                <w:rFonts w:eastAsia="MS Mincho"/>
                <w:noProof/>
                <w:sz w:val="20"/>
                <w:szCs w:val="20"/>
              </w:rPr>
              <w:t>A.</w:t>
            </w:r>
            <w:r w:rsidR="00DD4469" w:rsidRPr="00DD4469">
              <w:rPr>
                <w:rFonts w:eastAsiaTheme="minorEastAsia" w:cstheme="minorBidi"/>
                <w:noProof/>
                <w:sz w:val="20"/>
                <w:szCs w:val="20"/>
                <w:lang w:val="en-US" w:eastAsia="en-US"/>
              </w:rPr>
              <w:tab/>
            </w:r>
            <w:r w:rsidR="00DD4469">
              <w:rPr>
                <w:rFonts w:eastAsiaTheme="minorEastAsia" w:cstheme="minorBidi"/>
                <w:noProof/>
                <w:sz w:val="20"/>
                <w:szCs w:val="20"/>
                <w:lang w:val="en-US" w:eastAsia="en-US"/>
              </w:rPr>
              <w:t xml:space="preserve"> </w:t>
            </w:r>
            <w:r w:rsidR="00DD4469" w:rsidRPr="00DD4469">
              <w:rPr>
                <w:rStyle w:val="Hipervnculo"/>
                <w:rFonts w:eastAsia="MS Mincho"/>
                <w:noProof/>
                <w:sz w:val="20"/>
                <w:szCs w:val="20"/>
              </w:rPr>
              <w:t>Argumentos de las partes y de la Comisión</w:t>
            </w:r>
            <w:r w:rsidR="00DD4469" w:rsidRPr="00DD4469">
              <w:rPr>
                <w:noProof/>
                <w:webHidden/>
                <w:sz w:val="20"/>
                <w:szCs w:val="20"/>
              </w:rPr>
              <w:tab/>
            </w:r>
            <w:r w:rsidR="00DD4469" w:rsidRPr="00DD4469">
              <w:rPr>
                <w:noProof/>
                <w:webHidden/>
                <w:sz w:val="20"/>
                <w:szCs w:val="20"/>
              </w:rPr>
              <w:fldChar w:fldCharType="begin"/>
            </w:r>
            <w:r w:rsidR="00DD4469" w:rsidRPr="00DD4469">
              <w:rPr>
                <w:noProof/>
                <w:webHidden/>
                <w:sz w:val="20"/>
                <w:szCs w:val="20"/>
              </w:rPr>
              <w:instrText xml:space="preserve"> PAGEREF _Toc24014556 \h </w:instrText>
            </w:r>
            <w:r w:rsidR="00DD4469" w:rsidRPr="00DD4469">
              <w:rPr>
                <w:noProof/>
                <w:webHidden/>
                <w:sz w:val="20"/>
                <w:szCs w:val="20"/>
              </w:rPr>
            </w:r>
            <w:r w:rsidR="00DD4469" w:rsidRPr="00DD4469">
              <w:rPr>
                <w:noProof/>
                <w:webHidden/>
                <w:sz w:val="20"/>
                <w:szCs w:val="20"/>
              </w:rPr>
              <w:fldChar w:fldCharType="separate"/>
            </w:r>
            <w:r w:rsidR="002055E2">
              <w:rPr>
                <w:noProof/>
                <w:webHidden/>
                <w:sz w:val="20"/>
                <w:szCs w:val="20"/>
              </w:rPr>
              <w:t>25</w:t>
            </w:r>
            <w:r w:rsidR="00DD4469" w:rsidRPr="00DD4469">
              <w:rPr>
                <w:noProof/>
                <w:webHidden/>
                <w:sz w:val="20"/>
                <w:szCs w:val="20"/>
              </w:rPr>
              <w:fldChar w:fldCharType="end"/>
            </w:r>
          </w:hyperlink>
        </w:p>
        <w:p w14:paraId="1CBED3B8" w14:textId="69BCF880" w:rsidR="00DD4469" w:rsidRPr="00DD4469" w:rsidRDefault="00656033">
          <w:pPr>
            <w:pStyle w:val="TDC2"/>
            <w:rPr>
              <w:rFonts w:eastAsiaTheme="minorEastAsia" w:cstheme="minorBidi"/>
              <w:noProof/>
              <w:sz w:val="20"/>
              <w:szCs w:val="20"/>
              <w:lang w:val="en-US" w:eastAsia="en-US"/>
            </w:rPr>
          </w:pPr>
          <w:hyperlink w:anchor="_Toc24014557" w:history="1">
            <w:r w:rsidR="00DD4469" w:rsidRPr="00DD4469">
              <w:rPr>
                <w:rStyle w:val="Hipervnculo"/>
                <w:rFonts w:eastAsia="MS Mincho"/>
                <w:noProof/>
                <w:sz w:val="20"/>
                <w:szCs w:val="20"/>
              </w:rPr>
              <w:t>B.</w:t>
            </w:r>
            <w:r w:rsidR="00DD4469">
              <w:rPr>
                <w:rStyle w:val="Hipervnculo"/>
                <w:rFonts w:eastAsia="MS Mincho"/>
                <w:noProof/>
                <w:sz w:val="20"/>
                <w:szCs w:val="20"/>
              </w:rPr>
              <w:t xml:space="preserve"> </w:t>
            </w:r>
            <w:r w:rsidR="00DD4469" w:rsidRPr="00DD4469">
              <w:rPr>
                <w:rFonts w:eastAsiaTheme="minorEastAsia" w:cstheme="minorBidi"/>
                <w:noProof/>
                <w:sz w:val="20"/>
                <w:szCs w:val="20"/>
                <w:lang w:val="en-US" w:eastAsia="en-US"/>
              </w:rPr>
              <w:tab/>
            </w:r>
            <w:r w:rsidR="00DD4469" w:rsidRPr="00DD4469">
              <w:rPr>
                <w:rStyle w:val="Hipervnculo"/>
                <w:rFonts w:eastAsia="MS Mincho"/>
                <w:noProof/>
                <w:sz w:val="20"/>
                <w:szCs w:val="20"/>
              </w:rPr>
              <w:t>Consideraciones de la Corte</w:t>
            </w:r>
            <w:r w:rsidR="00DD4469" w:rsidRPr="00DD4469">
              <w:rPr>
                <w:noProof/>
                <w:webHidden/>
                <w:sz w:val="20"/>
                <w:szCs w:val="20"/>
              </w:rPr>
              <w:tab/>
            </w:r>
            <w:r w:rsidR="00DD4469" w:rsidRPr="00DD4469">
              <w:rPr>
                <w:noProof/>
                <w:webHidden/>
                <w:sz w:val="20"/>
                <w:szCs w:val="20"/>
              </w:rPr>
              <w:fldChar w:fldCharType="begin"/>
            </w:r>
            <w:r w:rsidR="00DD4469" w:rsidRPr="00DD4469">
              <w:rPr>
                <w:noProof/>
                <w:webHidden/>
                <w:sz w:val="20"/>
                <w:szCs w:val="20"/>
              </w:rPr>
              <w:instrText xml:space="preserve"> PAGEREF _Toc24014557 \h </w:instrText>
            </w:r>
            <w:r w:rsidR="00DD4469" w:rsidRPr="00DD4469">
              <w:rPr>
                <w:noProof/>
                <w:webHidden/>
                <w:sz w:val="20"/>
                <w:szCs w:val="20"/>
              </w:rPr>
            </w:r>
            <w:r w:rsidR="00DD4469" w:rsidRPr="00DD4469">
              <w:rPr>
                <w:noProof/>
                <w:webHidden/>
                <w:sz w:val="20"/>
                <w:szCs w:val="20"/>
              </w:rPr>
              <w:fldChar w:fldCharType="separate"/>
            </w:r>
            <w:r w:rsidR="002055E2">
              <w:rPr>
                <w:noProof/>
                <w:webHidden/>
                <w:sz w:val="20"/>
                <w:szCs w:val="20"/>
              </w:rPr>
              <w:t>26</w:t>
            </w:r>
            <w:r w:rsidR="00DD4469" w:rsidRPr="00DD4469">
              <w:rPr>
                <w:noProof/>
                <w:webHidden/>
                <w:sz w:val="20"/>
                <w:szCs w:val="20"/>
              </w:rPr>
              <w:fldChar w:fldCharType="end"/>
            </w:r>
          </w:hyperlink>
        </w:p>
        <w:p w14:paraId="5FCCE899" w14:textId="4A51B986" w:rsidR="00DD4469" w:rsidRPr="00DD4469" w:rsidRDefault="00656033">
          <w:pPr>
            <w:pStyle w:val="TDC1"/>
            <w:rPr>
              <w:rFonts w:eastAsiaTheme="minorEastAsia" w:cstheme="minorBidi"/>
              <w:b w:val="0"/>
              <w:lang w:val="en-US" w:eastAsia="en-US"/>
            </w:rPr>
          </w:pPr>
          <w:hyperlink w:anchor="_Toc24014558" w:history="1">
            <w:r w:rsidR="00DD4469" w:rsidRPr="00DD4469">
              <w:rPr>
                <w:rStyle w:val="Hipervnculo"/>
              </w:rPr>
              <w:t>VIII-3 DERECHO A LA INTEGRIDAD PERSONAL, PROHIBICIÓN DE LA TORTURA Y OTROS TRATOS CRUELES, INHUMANOS O DEGRADANTES</w:t>
            </w:r>
            <w:r w:rsidR="00DD4469" w:rsidRPr="00DD4469">
              <w:rPr>
                <w:webHidden/>
              </w:rPr>
              <w:tab/>
            </w:r>
            <w:r w:rsidR="00DD4469" w:rsidRPr="00DD4469">
              <w:rPr>
                <w:webHidden/>
              </w:rPr>
              <w:fldChar w:fldCharType="begin"/>
            </w:r>
            <w:r w:rsidR="00DD4469" w:rsidRPr="00DD4469">
              <w:rPr>
                <w:webHidden/>
              </w:rPr>
              <w:instrText xml:space="preserve"> PAGEREF _Toc24014558 \h </w:instrText>
            </w:r>
            <w:r w:rsidR="00DD4469" w:rsidRPr="00DD4469">
              <w:rPr>
                <w:webHidden/>
              </w:rPr>
            </w:r>
            <w:r w:rsidR="00DD4469" w:rsidRPr="00DD4469">
              <w:rPr>
                <w:webHidden/>
              </w:rPr>
              <w:fldChar w:fldCharType="separate"/>
            </w:r>
            <w:r w:rsidR="002055E2">
              <w:rPr>
                <w:webHidden/>
              </w:rPr>
              <w:t>31</w:t>
            </w:r>
            <w:r w:rsidR="00DD4469" w:rsidRPr="00DD4469">
              <w:rPr>
                <w:webHidden/>
              </w:rPr>
              <w:fldChar w:fldCharType="end"/>
            </w:r>
          </w:hyperlink>
        </w:p>
        <w:p w14:paraId="53041C9C" w14:textId="0FE29A3A" w:rsidR="00DD4469" w:rsidRPr="00DD4469" w:rsidRDefault="00656033">
          <w:pPr>
            <w:pStyle w:val="TDC2"/>
            <w:rPr>
              <w:rFonts w:eastAsiaTheme="minorEastAsia" w:cstheme="minorBidi"/>
              <w:noProof/>
              <w:sz w:val="20"/>
              <w:szCs w:val="20"/>
              <w:lang w:val="en-US" w:eastAsia="en-US"/>
            </w:rPr>
          </w:pPr>
          <w:hyperlink w:anchor="_Toc24014559" w:history="1">
            <w:r w:rsidR="00DD4469" w:rsidRPr="00DD4469">
              <w:rPr>
                <w:rStyle w:val="Hipervnculo"/>
                <w:rFonts w:eastAsia="MS Mincho"/>
                <w:noProof/>
                <w:sz w:val="20"/>
                <w:szCs w:val="20"/>
              </w:rPr>
              <w:t>A.</w:t>
            </w:r>
            <w:r w:rsidR="00DD4469" w:rsidRPr="00DD4469">
              <w:rPr>
                <w:rFonts w:eastAsiaTheme="minorEastAsia" w:cstheme="minorBidi"/>
                <w:noProof/>
                <w:sz w:val="20"/>
                <w:szCs w:val="20"/>
                <w:lang w:val="en-US" w:eastAsia="en-US"/>
              </w:rPr>
              <w:tab/>
            </w:r>
            <w:r w:rsidR="00DD4469">
              <w:rPr>
                <w:rFonts w:eastAsiaTheme="minorEastAsia" w:cstheme="minorBidi"/>
                <w:noProof/>
                <w:sz w:val="20"/>
                <w:szCs w:val="20"/>
                <w:lang w:val="en-US" w:eastAsia="en-US"/>
              </w:rPr>
              <w:t xml:space="preserve"> </w:t>
            </w:r>
            <w:r w:rsidR="00DD4469" w:rsidRPr="00DD4469">
              <w:rPr>
                <w:rStyle w:val="Hipervnculo"/>
                <w:rFonts w:eastAsia="MS Mincho"/>
                <w:noProof/>
                <w:sz w:val="20"/>
                <w:szCs w:val="20"/>
              </w:rPr>
              <w:t>Argumentos de las partes y de la Comisión</w:t>
            </w:r>
            <w:r w:rsidR="00DD4469" w:rsidRPr="00DD4469">
              <w:rPr>
                <w:noProof/>
                <w:webHidden/>
                <w:sz w:val="20"/>
                <w:szCs w:val="20"/>
              </w:rPr>
              <w:tab/>
            </w:r>
            <w:r w:rsidR="00DD4469" w:rsidRPr="00DD4469">
              <w:rPr>
                <w:noProof/>
                <w:webHidden/>
                <w:sz w:val="20"/>
                <w:szCs w:val="20"/>
              </w:rPr>
              <w:fldChar w:fldCharType="begin"/>
            </w:r>
            <w:r w:rsidR="00DD4469" w:rsidRPr="00DD4469">
              <w:rPr>
                <w:noProof/>
                <w:webHidden/>
                <w:sz w:val="20"/>
                <w:szCs w:val="20"/>
              </w:rPr>
              <w:instrText xml:space="preserve"> PAGEREF _Toc24014559 \h </w:instrText>
            </w:r>
            <w:r w:rsidR="00DD4469" w:rsidRPr="00DD4469">
              <w:rPr>
                <w:noProof/>
                <w:webHidden/>
                <w:sz w:val="20"/>
                <w:szCs w:val="20"/>
              </w:rPr>
            </w:r>
            <w:r w:rsidR="00DD4469" w:rsidRPr="00DD4469">
              <w:rPr>
                <w:noProof/>
                <w:webHidden/>
                <w:sz w:val="20"/>
                <w:szCs w:val="20"/>
              </w:rPr>
              <w:fldChar w:fldCharType="separate"/>
            </w:r>
            <w:r w:rsidR="002055E2">
              <w:rPr>
                <w:noProof/>
                <w:webHidden/>
                <w:sz w:val="20"/>
                <w:szCs w:val="20"/>
              </w:rPr>
              <w:t>31</w:t>
            </w:r>
            <w:r w:rsidR="00DD4469" w:rsidRPr="00DD4469">
              <w:rPr>
                <w:noProof/>
                <w:webHidden/>
                <w:sz w:val="20"/>
                <w:szCs w:val="20"/>
              </w:rPr>
              <w:fldChar w:fldCharType="end"/>
            </w:r>
          </w:hyperlink>
        </w:p>
        <w:p w14:paraId="5FCA5D25" w14:textId="477C0021" w:rsidR="00DD4469" w:rsidRPr="00DD4469" w:rsidRDefault="00656033">
          <w:pPr>
            <w:pStyle w:val="TDC2"/>
            <w:rPr>
              <w:rFonts w:eastAsiaTheme="minorEastAsia" w:cstheme="minorBidi"/>
              <w:noProof/>
              <w:sz w:val="20"/>
              <w:szCs w:val="20"/>
              <w:lang w:val="en-US" w:eastAsia="en-US"/>
            </w:rPr>
          </w:pPr>
          <w:hyperlink w:anchor="_Toc24014560" w:history="1">
            <w:r w:rsidR="00DD4469" w:rsidRPr="00DD4469">
              <w:rPr>
                <w:rStyle w:val="Hipervnculo"/>
                <w:rFonts w:eastAsia="MS Mincho"/>
                <w:noProof/>
                <w:sz w:val="20"/>
                <w:szCs w:val="20"/>
              </w:rPr>
              <w:t>B.</w:t>
            </w:r>
            <w:r w:rsidR="00DD4469" w:rsidRPr="00DD4469">
              <w:rPr>
                <w:rFonts w:eastAsiaTheme="minorEastAsia" w:cstheme="minorBidi"/>
                <w:noProof/>
                <w:sz w:val="20"/>
                <w:szCs w:val="20"/>
                <w:lang w:val="en-US" w:eastAsia="en-US"/>
              </w:rPr>
              <w:tab/>
            </w:r>
            <w:r w:rsidR="00DD4469">
              <w:rPr>
                <w:rFonts w:eastAsiaTheme="minorEastAsia" w:cstheme="minorBidi"/>
                <w:noProof/>
                <w:sz w:val="20"/>
                <w:szCs w:val="20"/>
                <w:lang w:val="en-US" w:eastAsia="en-US"/>
              </w:rPr>
              <w:t xml:space="preserve"> </w:t>
            </w:r>
            <w:r w:rsidR="00DD4469" w:rsidRPr="00DD4469">
              <w:rPr>
                <w:rStyle w:val="Hipervnculo"/>
                <w:rFonts w:eastAsia="MS Mincho"/>
                <w:noProof/>
                <w:sz w:val="20"/>
                <w:szCs w:val="20"/>
              </w:rPr>
              <w:t>Consideraciones de la Corte</w:t>
            </w:r>
            <w:r w:rsidR="00DD4469" w:rsidRPr="00DD4469">
              <w:rPr>
                <w:noProof/>
                <w:webHidden/>
                <w:sz w:val="20"/>
                <w:szCs w:val="20"/>
              </w:rPr>
              <w:tab/>
            </w:r>
            <w:r w:rsidR="00DD4469" w:rsidRPr="00DD4469">
              <w:rPr>
                <w:noProof/>
                <w:webHidden/>
                <w:sz w:val="20"/>
                <w:szCs w:val="20"/>
              </w:rPr>
              <w:fldChar w:fldCharType="begin"/>
            </w:r>
            <w:r w:rsidR="00DD4469" w:rsidRPr="00DD4469">
              <w:rPr>
                <w:noProof/>
                <w:webHidden/>
                <w:sz w:val="20"/>
                <w:szCs w:val="20"/>
              </w:rPr>
              <w:instrText xml:space="preserve"> PAGEREF _Toc24014560 \h </w:instrText>
            </w:r>
            <w:r w:rsidR="00DD4469" w:rsidRPr="00DD4469">
              <w:rPr>
                <w:noProof/>
                <w:webHidden/>
                <w:sz w:val="20"/>
                <w:szCs w:val="20"/>
              </w:rPr>
            </w:r>
            <w:r w:rsidR="00DD4469" w:rsidRPr="00DD4469">
              <w:rPr>
                <w:noProof/>
                <w:webHidden/>
                <w:sz w:val="20"/>
                <w:szCs w:val="20"/>
              </w:rPr>
              <w:fldChar w:fldCharType="separate"/>
            </w:r>
            <w:r w:rsidR="002055E2">
              <w:rPr>
                <w:noProof/>
                <w:webHidden/>
                <w:sz w:val="20"/>
                <w:szCs w:val="20"/>
              </w:rPr>
              <w:t>31</w:t>
            </w:r>
            <w:r w:rsidR="00DD4469" w:rsidRPr="00DD4469">
              <w:rPr>
                <w:noProof/>
                <w:webHidden/>
                <w:sz w:val="20"/>
                <w:szCs w:val="20"/>
              </w:rPr>
              <w:fldChar w:fldCharType="end"/>
            </w:r>
          </w:hyperlink>
        </w:p>
        <w:p w14:paraId="7164316D" w14:textId="40B7117A" w:rsidR="00DD4469" w:rsidRPr="00DD4469" w:rsidRDefault="00656033">
          <w:pPr>
            <w:pStyle w:val="TDC3"/>
            <w:rPr>
              <w:rFonts w:eastAsiaTheme="minorEastAsia" w:cstheme="minorBidi"/>
              <w:noProof/>
              <w:sz w:val="20"/>
              <w:szCs w:val="20"/>
              <w:lang w:val="en-US" w:eastAsia="en-US"/>
            </w:rPr>
          </w:pPr>
          <w:hyperlink w:anchor="_Toc24014561" w:history="1">
            <w:r w:rsidR="00DD4469" w:rsidRPr="00DD4469">
              <w:rPr>
                <w:rStyle w:val="Hipervnculo"/>
                <w:rFonts w:eastAsia="MS Mincho"/>
                <w:noProof/>
                <w:sz w:val="20"/>
                <w:szCs w:val="20"/>
                <w:lang w:eastAsia="en-US"/>
              </w:rPr>
              <w:t xml:space="preserve">b.1 </w:t>
            </w:r>
            <w:r w:rsidR="00DD4469" w:rsidRPr="00DD4469">
              <w:rPr>
                <w:rFonts w:eastAsiaTheme="minorEastAsia" w:cstheme="minorBidi"/>
                <w:noProof/>
                <w:sz w:val="20"/>
                <w:szCs w:val="20"/>
                <w:lang w:val="en-US" w:eastAsia="en-US"/>
              </w:rPr>
              <w:tab/>
            </w:r>
            <w:r w:rsidR="00DD4469" w:rsidRPr="00DD4469">
              <w:rPr>
                <w:rStyle w:val="Hipervnculo"/>
                <w:rFonts w:eastAsia="MS Mincho"/>
                <w:noProof/>
                <w:sz w:val="20"/>
                <w:szCs w:val="20"/>
                <w:lang w:eastAsia="en-US"/>
              </w:rPr>
              <w:t>Detención del señor Ruiz Fuentes</w:t>
            </w:r>
            <w:r w:rsidR="00DD4469" w:rsidRPr="00DD4469">
              <w:rPr>
                <w:noProof/>
                <w:webHidden/>
                <w:sz w:val="20"/>
                <w:szCs w:val="20"/>
              </w:rPr>
              <w:tab/>
            </w:r>
            <w:r w:rsidR="00DD4469" w:rsidRPr="00DD4469">
              <w:rPr>
                <w:noProof/>
                <w:webHidden/>
                <w:sz w:val="20"/>
                <w:szCs w:val="20"/>
              </w:rPr>
              <w:fldChar w:fldCharType="begin"/>
            </w:r>
            <w:r w:rsidR="00DD4469" w:rsidRPr="00DD4469">
              <w:rPr>
                <w:noProof/>
                <w:webHidden/>
                <w:sz w:val="20"/>
                <w:szCs w:val="20"/>
              </w:rPr>
              <w:instrText xml:space="preserve"> PAGEREF _Toc24014561 \h </w:instrText>
            </w:r>
            <w:r w:rsidR="00DD4469" w:rsidRPr="00DD4469">
              <w:rPr>
                <w:noProof/>
                <w:webHidden/>
                <w:sz w:val="20"/>
                <w:szCs w:val="20"/>
              </w:rPr>
            </w:r>
            <w:r w:rsidR="00DD4469" w:rsidRPr="00DD4469">
              <w:rPr>
                <w:noProof/>
                <w:webHidden/>
                <w:sz w:val="20"/>
                <w:szCs w:val="20"/>
              </w:rPr>
              <w:fldChar w:fldCharType="separate"/>
            </w:r>
            <w:r w:rsidR="002055E2">
              <w:rPr>
                <w:noProof/>
                <w:webHidden/>
                <w:sz w:val="20"/>
                <w:szCs w:val="20"/>
              </w:rPr>
              <w:t>32</w:t>
            </w:r>
            <w:r w:rsidR="00DD4469" w:rsidRPr="00DD4469">
              <w:rPr>
                <w:noProof/>
                <w:webHidden/>
                <w:sz w:val="20"/>
                <w:szCs w:val="20"/>
              </w:rPr>
              <w:fldChar w:fldCharType="end"/>
            </w:r>
          </w:hyperlink>
        </w:p>
        <w:p w14:paraId="2BC90C66" w14:textId="39253BAC" w:rsidR="00DD4469" w:rsidRPr="00DD4469" w:rsidRDefault="00656033">
          <w:pPr>
            <w:pStyle w:val="TDC3"/>
            <w:rPr>
              <w:rFonts w:eastAsiaTheme="minorEastAsia" w:cstheme="minorBidi"/>
              <w:noProof/>
              <w:sz w:val="20"/>
              <w:szCs w:val="20"/>
              <w:lang w:val="en-US" w:eastAsia="en-US"/>
            </w:rPr>
          </w:pPr>
          <w:hyperlink w:anchor="_Toc24014562" w:history="1">
            <w:r w:rsidR="00DD4469" w:rsidRPr="00DD4469">
              <w:rPr>
                <w:rStyle w:val="Hipervnculo"/>
                <w:rFonts w:eastAsia="MS Mincho"/>
                <w:noProof/>
                <w:sz w:val="20"/>
                <w:szCs w:val="20"/>
                <w:lang w:eastAsia="en-US"/>
              </w:rPr>
              <w:t xml:space="preserve">b.2 </w:t>
            </w:r>
            <w:r w:rsidR="00DD4469" w:rsidRPr="00DD4469">
              <w:rPr>
                <w:rFonts w:eastAsiaTheme="minorEastAsia" w:cstheme="minorBidi"/>
                <w:noProof/>
                <w:sz w:val="20"/>
                <w:szCs w:val="20"/>
                <w:lang w:val="en-US" w:eastAsia="en-US"/>
              </w:rPr>
              <w:tab/>
            </w:r>
            <w:r w:rsidR="00DD4469" w:rsidRPr="00DD4469">
              <w:rPr>
                <w:rStyle w:val="Hipervnculo"/>
                <w:rFonts w:eastAsia="MS Mincho"/>
                <w:noProof/>
                <w:sz w:val="20"/>
                <w:szCs w:val="20"/>
                <w:lang w:eastAsia="en-US"/>
              </w:rPr>
              <w:t>Corredor de la muerte</w:t>
            </w:r>
            <w:r w:rsidR="00DD4469" w:rsidRPr="00DD4469">
              <w:rPr>
                <w:noProof/>
                <w:webHidden/>
                <w:sz w:val="20"/>
                <w:szCs w:val="20"/>
              </w:rPr>
              <w:tab/>
            </w:r>
            <w:r w:rsidR="00DD4469" w:rsidRPr="00DD4469">
              <w:rPr>
                <w:noProof/>
                <w:webHidden/>
                <w:sz w:val="20"/>
                <w:szCs w:val="20"/>
              </w:rPr>
              <w:fldChar w:fldCharType="begin"/>
            </w:r>
            <w:r w:rsidR="00DD4469" w:rsidRPr="00DD4469">
              <w:rPr>
                <w:noProof/>
                <w:webHidden/>
                <w:sz w:val="20"/>
                <w:szCs w:val="20"/>
              </w:rPr>
              <w:instrText xml:space="preserve"> PAGEREF _Toc24014562 \h </w:instrText>
            </w:r>
            <w:r w:rsidR="00DD4469" w:rsidRPr="00DD4469">
              <w:rPr>
                <w:noProof/>
                <w:webHidden/>
                <w:sz w:val="20"/>
                <w:szCs w:val="20"/>
              </w:rPr>
            </w:r>
            <w:r w:rsidR="00DD4469" w:rsidRPr="00DD4469">
              <w:rPr>
                <w:noProof/>
                <w:webHidden/>
                <w:sz w:val="20"/>
                <w:szCs w:val="20"/>
              </w:rPr>
              <w:fldChar w:fldCharType="separate"/>
            </w:r>
            <w:r w:rsidR="002055E2">
              <w:rPr>
                <w:noProof/>
                <w:webHidden/>
                <w:sz w:val="20"/>
                <w:szCs w:val="20"/>
              </w:rPr>
              <w:t>35</w:t>
            </w:r>
            <w:r w:rsidR="00DD4469" w:rsidRPr="00DD4469">
              <w:rPr>
                <w:noProof/>
                <w:webHidden/>
                <w:sz w:val="20"/>
                <w:szCs w:val="20"/>
              </w:rPr>
              <w:fldChar w:fldCharType="end"/>
            </w:r>
          </w:hyperlink>
        </w:p>
        <w:p w14:paraId="5AED6AD0" w14:textId="13D3F304" w:rsidR="00DD4469" w:rsidRPr="00DD4469" w:rsidRDefault="00656033">
          <w:pPr>
            <w:pStyle w:val="TDC1"/>
            <w:rPr>
              <w:rFonts w:eastAsiaTheme="minorEastAsia" w:cstheme="minorBidi"/>
              <w:b w:val="0"/>
              <w:lang w:val="en-US" w:eastAsia="en-US"/>
            </w:rPr>
          </w:pPr>
          <w:hyperlink w:anchor="_Toc24014563" w:history="1">
            <w:r w:rsidR="00DD4469" w:rsidRPr="00DD4469">
              <w:rPr>
                <w:rStyle w:val="Hipervnculo"/>
              </w:rPr>
              <w:t>VIII-4 DERECHO A LAS GARANTÍAS JUDICIALES Y A LA PROTECCIÓN JUDICIAL</w:t>
            </w:r>
            <w:r w:rsidR="00DD4469" w:rsidRPr="00DD4469">
              <w:rPr>
                <w:webHidden/>
              </w:rPr>
              <w:tab/>
            </w:r>
            <w:r w:rsidR="00DD4469" w:rsidRPr="00DD4469">
              <w:rPr>
                <w:webHidden/>
              </w:rPr>
              <w:fldChar w:fldCharType="begin"/>
            </w:r>
            <w:r w:rsidR="00DD4469" w:rsidRPr="00DD4469">
              <w:rPr>
                <w:webHidden/>
              </w:rPr>
              <w:instrText xml:space="preserve"> PAGEREF _Toc24014563 \h </w:instrText>
            </w:r>
            <w:r w:rsidR="00DD4469" w:rsidRPr="00DD4469">
              <w:rPr>
                <w:webHidden/>
              </w:rPr>
            </w:r>
            <w:r w:rsidR="00DD4469" w:rsidRPr="00DD4469">
              <w:rPr>
                <w:webHidden/>
              </w:rPr>
              <w:fldChar w:fldCharType="separate"/>
            </w:r>
            <w:r w:rsidR="002055E2">
              <w:rPr>
                <w:webHidden/>
              </w:rPr>
              <w:t>36</w:t>
            </w:r>
            <w:r w:rsidR="00DD4469" w:rsidRPr="00DD4469">
              <w:rPr>
                <w:webHidden/>
              </w:rPr>
              <w:fldChar w:fldCharType="end"/>
            </w:r>
          </w:hyperlink>
        </w:p>
        <w:p w14:paraId="61278B85" w14:textId="43E6C30F" w:rsidR="00DD4469" w:rsidRPr="00DD4469" w:rsidRDefault="00656033">
          <w:pPr>
            <w:pStyle w:val="TDC2"/>
            <w:rPr>
              <w:rFonts w:eastAsiaTheme="minorEastAsia" w:cstheme="minorBidi"/>
              <w:noProof/>
              <w:sz w:val="20"/>
              <w:szCs w:val="20"/>
              <w:lang w:val="en-US" w:eastAsia="en-US"/>
            </w:rPr>
          </w:pPr>
          <w:hyperlink w:anchor="_Toc24014564" w:history="1">
            <w:r w:rsidR="00DD4469" w:rsidRPr="00DD4469">
              <w:rPr>
                <w:rStyle w:val="Hipervnculo"/>
                <w:rFonts w:eastAsia="MS Mincho"/>
                <w:noProof/>
                <w:sz w:val="20"/>
                <w:szCs w:val="20"/>
              </w:rPr>
              <w:t>A.</w:t>
            </w:r>
            <w:r w:rsidR="00DD4469" w:rsidRPr="00DD4469">
              <w:rPr>
                <w:rFonts w:eastAsiaTheme="minorEastAsia" w:cstheme="minorBidi"/>
                <w:noProof/>
                <w:sz w:val="20"/>
                <w:szCs w:val="20"/>
                <w:lang w:val="en-US" w:eastAsia="en-US"/>
              </w:rPr>
              <w:tab/>
            </w:r>
            <w:r w:rsidR="00DD4469">
              <w:rPr>
                <w:rFonts w:eastAsiaTheme="minorEastAsia" w:cstheme="minorBidi"/>
                <w:noProof/>
                <w:sz w:val="20"/>
                <w:szCs w:val="20"/>
                <w:lang w:val="en-US" w:eastAsia="en-US"/>
              </w:rPr>
              <w:t xml:space="preserve"> </w:t>
            </w:r>
            <w:r w:rsidR="00DD4469" w:rsidRPr="00DD4469">
              <w:rPr>
                <w:rStyle w:val="Hipervnculo"/>
                <w:rFonts w:eastAsia="MS Mincho"/>
                <w:noProof/>
                <w:sz w:val="20"/>
                <w:szCs w:val="20"/>
              </w:rPr>
              <w:t>Argumentos de las partes y de la Comisión</w:t>
            </w:r>
            <w:r w:rsidR="00DD4469" w:rsidRPr="00DD4469">
              <w:rPr>
                <w:noProof/>
                <w:webHidden/>
                <w:sz w:val="20"/>
                <w:szCs w:val="20"/>
              </w:rPr>
              <w:tab/>
            </w:r>
            <w:r w:rsidR="00DD4469" w:rsidRPr="00DD4469">
              <w:rPr>
                <w:noProof/>
                <w:webHidden/>
                <w:sz w:val="20"/>
                <w:szCs w:val="20"/>
              </w:rPr>
              <w:fldChar w:fldCharType="begin"/>
            </w:r>
            <w:r w:rsidR="00DD4469" w:rsidRPr="00DD4469">
              <w:rPr>
                <w:noProof/>
                <w:webHidden/>
                <w:sz w:val="20"/>
                <w:szCs w:val="20"/>
              </w:rPr>
              <w:instrText xml:space="preserve"> PAGEREF _Toc24014564 \h </w:instrText>
            </w:r>
            <w:r w:rsidR="00DD4469" w:rsidRPr="00DD4469">
              <w:rPr>
                <w:noProof/>
                <w:webHidden/>
                <w:sz w:val="20"/>
                <w:szCs w:val="20"/>
              </w:rPr>
            </w:r>
            <w:r w:rsidR="00DD4469" w:rsidRPr="00DD4469">
              <w:rPr>
                <w:noProof/>
                <w:webHidden/>
                <w:sz w:val="20"/>
                <w:szCs w:val="20"/>
              </w:rPr>
              <w:fldChar w:fldCharType="separate"/>
            </w:r>
            <w:r w:rsidR="002055E2">
              <w:rPr>
                <w:noProof/>
                <w:webHidden/>
                <w:sz w:val="20"/>
                <w:szCs w:val="20"/>
              </w:rPr>
              <w:t>36</w:t>
            </w:r>
            <w:r w:rsidR="00DD4469" w:rsidRPr="00DD4469">
              <w:rPr>
                <w:noProof/>
                <w:webHidden/>
                <w:sz w:val="20"/>
                <w:szCs w:val="20"/>
              </w:rPr>
              <w:fldChar w:fldCharType="end"/>
            </w:r>
          </w:hyperlink>
        </w:p>
        <w:p w14:paraId="452064FA" w14:textId="5A6FC189" w:rsidR="00DD4469" w:rsidRPr="00DD4469" w:rsidRDefault="00656033">
          <w:pPr>
            <w:pStyle w:val="TDC2"/>
            <w:rPr>
              <w:rFonts w:eastAsiaTheme="minorEastAsia" w:cstheme="minorBidi"/>
              <w:noProof/>
              <w:sz w:val="20"/>
              <w:szCs w:val="20"/>
              <w:lang w:val="en-US" w:eastAsia="en-US"/>
            </w:rPr>
          </w:pPr>
          <w:hyperlink w:anchor="_Toc24014565" w:history="1">
            <w:r w:rsidR="00DD4469" w:rsidRPr="00DD4469">
              <w:rPr>
                <w:rStyle w:val="Hipervnculo"/>
                <w:rFonts w:eastAsia="MS Mincho"/>
                <w:noProof/>
                <w:sz w:val="20"/>
                <w:szCs w:val="20"/>
              </w:rPr>
              <w:t>B.</w:t>
            </w:r>
            <w:r w:rsidR="00DD4469" w:rsidRPr="00DD4469">
              <w:rPr>
                <w:rFonts w:eastAsiaTheme="minorEastAsia" w:cstheme="minorBidi"/>
                <w:noProof/>
                <w:sz w:val="20"/>
                <w:szCs w:val="20"/>
                <w:lang w:val="en-US" w:eastAsia="en-US"/>
              </w:rPr>
              <w:tab/>
            </w:r>
            <w:r w:rsidR="00DD4469">
              <w:rPr>
                <w:rFonts w:eastAsiaTheme="minorEastAsia" w:cstheme="minorBidi"/>
                <w:noProof/>
                <w:sz w:val="20"/>
                <w:szCs w:val="20"/>
                <w:lang w:val="en-US" w:eastAsia="en-US"/>
              </w:rPr>
              <w:t xml:space="preserve"> </w:t>
            </w:r>
            <w:r w:rsidR="00DD4469" w:rsidRPr="00DD4469">
              <w:rPr>
                <w:rStyle w:val="Hipervnculo"/>
                <w:rFonts w:eastAsia="MS Mincho"/>
                <w:noProof/>
                <w:sz w:val="20"/>
                <w:szCs w:val="20"/>
              </w:rPr>
              <w:t>Consideraciones de la Corte</w:t>
            </w:r>
            <w:r w:rsidR="00DD4469" w:rsidRPr="00DD4469">
              <w:rPr>
                <w:noProof/>
                <w:webHidden/>
                <w:sz w:val="20"/>
                <w:szCs w:val="20"/>
              </w:rPr>
              <w:tab/>
            </w:r>
            <w:r w:rsidR="00DD4469" w:rsidRPr="00DD4469">
              <w:rPr>
                <w:noProof/>
                <w:webHidden/>
                <w:sz w:val="20"/>
                <w:szCs w:val="20"/>
              </w:rPr>
              <w:fldChar w:fldCharType="begin"/>
            </w:r>
            <w:r w:rsidR="00DD4469" w:rsidRPr="00DD4469">
              <w:rPr>
                <w:noProof/>
                <w:webHidden/>
                <w:sz w:val="20"/>
                <w:szCs w:val="20"/>
              </w:rPr>
              <w:instrText xml:space="preserve"> PAGEREF _Toc24014565 \h </w:instrText>
            </w:r>
            <w:r w:rsidR="00DD4469" w:rsidRPr="00DD4469">
              <w:rPr>
                <w:noProof/>
                <w:webHidden/>
                <w:sz w:val="20"/>
                <w:szCs w:val="20"/>
              </w:rPr>
            </w:r>
            <w:r w:rsidR="00DD4469" w:rsidRPr="00DD4469">
              <w:rPr>
                <w:noProof/>
                <w:webHidden/>
                <w:sz w:val="20"/>
                <w:szCs w:val="20"/>
              </w:rPr>
              <w:fldChar w:fldCharType="separate"/>
            </w:r>
            <w:r w:rsidR="002055E2">
              <w:rPr>
                <w:noProof/>
                <w:webHidden/>
                <w:sz w:val="20"/>
                <w:szCs w:val="20"/>
              </w:rPr>
              <w:t>38</w:t>
            </w:r>
            <w:r w:rsidR="00DD4469" w:rsidRPr="00DD4469">
              <w:rPr>
                <w:noProof/>
                <w:webHidden/>
                <w:sz w:val="20"/>
                <w:szCs w:val="20"/>
              </w:rPr>
              <w:fldChar w:fldCharType="end"/>
            </w:r>
          </w:hyperlink>
        </w:p>
        <w:p w14:paraId="06CEA7BC" w14:textId="6C228123" w:rsidR="00DD4469" w:rsidRPr="00DD4469" w:rsidRDefault="00656033">
          <w:pPr>
            <w:pStyle w:val="TDC3"/>
            <w:rPr>
              <w:rFonts w:eastAsiaTheme="minorEastAsia" w:cstheme="minorBidi"/>
              <w:noProof/>
              <w:sz w:val="20"/>
              <w:szCs w:val="20"/>
              <w:lang w:val="en-US" w:eastAsia="en-US"/>
            </w:rPr>
          </w:pPr>
          <w:hyperlink w:anchor="_Toc24014566" w:history="1">
            <w:r w:rsidR="00DD4469" w:rsidRPr="00DD4469">
              <w:rPr>
                <w:rStyle w:val="Hipervnculo"/>
                <w:rFonts w:eastAsia="MS Mincho"/>
                <w:noProof/>
                <w:sz w:val="20"/>
                <w:szCs w:val="20"/>
              </w:rPr>
              <w:t xml:space="preserve">b.1 </w:t>
            </w:r>
            <w:r w:rsidR="00DD4469" w:rsidRPr="00DD4469">
              <w:rPr>
                <w:rFonts w:eastAsiaTheme="minorEastAsia" w:cstheme="minorBidi"/>
                <w:noProof/>
                <w:sz w:val="20"/>
                <w:szCs w:val="20"/>
                <w:lang w:val="en-US" w:eastAsia="en-US"/>
              </w:rPr>
              <w:tab/>
            </w:r>
            <w:r w:rsidR="00DD4469" w:rsidRPr="00DD4469">
              <w:rPr>
                <w:rStyle w:val="Hipervnculo"/>
                <w:rFonts w:eastAsia="MS Mincho"/>
                <w:noProof/>
                <w:sz w:val="20"/>
                <w:szCs w:val="20"/>
                <w:lang w:eastAsia="en-US"/>
              </w:rPr>
              <w:t>Procedimiento penal seguido contra el señor Ruiz Fuentes</w:t>
            </w:r>
            <w:r w:rsidR="00DD4469" w:rsidRPr="00DD4469">
              <w:rPr>
                <w:noProof/>
                <w:webHidden/>
                <w:sz w:val="20"/>
                <w:szCs w:val="20"/>
              </w:rPr>
              <w:tab/>
            </w:r>
            <w:r w:rsidR="00DD4469" w:rsidRPr="00DD4469">
              <w:rPr>
                <w:noProof/>
                <w:webHidden/>
                <w:sz w:val="20"/>
                <w:szCs w:val="20"/>
              </w:rPr>
              <w:fldChar w:fldCharType="begin"/>
            </w:r>
            <w:r w:rsidR="00DD4469" w:rsidRPr="00DD4469">
              <w:rPr>
                <w:noProof/>
                <w:webHidden/>
                <w:sz w:val="20"/>
                <w:szCs w:val="20"/>
              </w:rPr>
              <w:instrText xml:space="preserve"> PAGEREF _Toc24014566 \h </w:instrText>
            </w:r>
            <w:r w:rsidR="00DD4469" w:rsidRPr="00DD4469">
              <w:rPr>
                <w:noProof/>
                <w:webHidden/>
                <w:sz w:val="20"/>
                <w:szCs w:val="20"/>
              </w:rPr>
            </w:r>
            <w:r w:rsidR="00DD4469" w:rsidRPr="00DD4469">
              <w:rPr>
                <w:noProof/>
                <w:webHidden/>
                <w:sz w:val="20"/>
                <w:szCs w:val="20"/>
              </w:rPr>
              <w:fldChar w:fldCharType="separate"/>
            </w:r>
            <w:r w:rsidR="002055E2">
              <w:rPr>
                <w:noProof/>
                <w:webHidden/>
                <w:sz w:val="20"/>
                <w:szCs w:val="20"/>
              </w:rPr>
              <w:t>38</w:t>
            </w:r>
            <w:r w:rsidR="00DD4469" w:rsidRPr="00DD4469">
              <w:rPr>
                <w:noProof/>
                <w:webHidden/>
                <w:sz w:val="20"/>
                <w:szCs w:val="20"/>
              </w:rPr>
              <w:fldChar w:fldCharType="end"/>
            </w:r>
          </w:hyperlink>
        </w:p>
        <w:p w14:paraId="410593C4" w14:textId="414846EF" w:rsidR="00DD4469" w:rsidRPr="00DD4469" w:rsidRDefault="00656033">
          <w:pPr>
            <w:pStyle w:val="TDC3"/>
            <w:rPr>
              <w:rFonts w:eastAsiaTheme="minorEastAsia" w:cstheme="minorBidi"/>
              <w:noProof/>
              <w:sz w:val="20"/>
              <w:szCs w:val="20"/>
              <w:lang w:val="en-US" w:eastAsia="en-US"/>
            </w:rPr>
          </w:pPr>
          <w:hyperlink w:anchor="_Toc24014567" w:history="1">
            <w:r w:rsidR="00DD4469" w:rsidRPr="00DD4469">
              <w:rPr>
                <w:rStyle w:val="Hipervnculo"/>
                <w:rFonts w:eastAsia="MS Mincho"/>
                <w:noProof/>
                <w:sz w:val="20"/>
                <w:szCs w:val="20"/>
              </w:rPr>
              <w:t xml:space="preserve">b.2 </w:t>
            </w:r>
            <w:r w:rsidR="00DD4469" w:rsidRPr="00DD4469">
              <w:rPr>
                <w:rFonts w:eastAsiaTheme="minorEastAsia" w:cstheme="minorBidi"/>
                <w:noProof/>
                <w:sz w:val="20"/>
                <w:szCs w:val="20"/>
                <w:lang w:val="en-US" w:eastAsia="en-US"/>
              </w:rPr>
              <w:tab/>
            </w:r>
            <w:r w:rsidR="00DD4469" w:rsidRPr="00DD4469">
              <w:rPr>
                <w:rStyle w:val="Hipervnculo"/>
                <w:rFonts w:eastAsia="MS Mincho"/>
                <w:noProof/>
                <w:sz w:val="20"/>
                <w:szCs w:val="20"/>
                <w:lang w:eastAsia="en-US"/>
              </w:rPr>
              <w:t>Derecho a recurrir la sentencia condenatoria del señor Ruiz Fuentes</w:t>
            </w:r>
            <w:r w:rsidR="00DD4469" w:rsidRPr="00DD4469">
              <w:rPr>
                <w:noProof/>
                <w:webHidden/>
                <w:sz w:val="20"/>
                <w:szCs w:val="20"/>
              </w:rPr>
              <w:tab/>
            </w:r>
            <w:r w:rsidR="00DD4469" w:rsidRPr="00DD4469">
              <w:rPr>
                <w:noProof/>
                <w:webHidden/>
                <w:sz w:val="20"/>
                <w:szCs w:val="20"/>
              </w:rPr>
              <w:fldChar w:fldCharType="begin"/>
            </w:r>
            <w:r w:rsidR="00DD4469" w:rsidRPr="00DD4469">
              <w:rPr>
                <w:noProof/>
                <w:webHidden/>
                <w:sz w:val="20"/>
                <w:szCs w:val="20"/>
              </w:rPr>
              <w:instrText xml:space="preserve"> PAGEREF _Toc24014567 \h </w:instrText>
            </w:r>
            <w:r w:rsidR="00DD4469" w:rsidRPr="00DD4469">
              <w:rPr>
                <w:noProof/>
                <w:webHidden/>
                <w:sz w:val="20"/>
                <w:szCs w:val="20"/>
              </w:rPr>
            </w:r>
            <w:r w:rsidR="00DD4469" w:rsidRPr="00DD4469">
              <w:rPr>
                <w:noProof/>
                <w:webHidden/>
                <w:sz w:val="20"/>
                <w:szCs w:val="20"/>
              </w:rPr>
              <w:fldChar w:fldCharType="separate"/>
            </w:r>
            <w:r w:rsidR="002055E2">
              <w:rPr>
                <w:noProof/>
                <w:webHidden/>
                <w:sz w:val="20"/>
                <w:szCs w:val="20"/>
              </w:rPr>
              <w:t>40</w:t>
            </w:r>
            <w:r w:rsidR="00DD4469" w:rsidRPr="00DD4469">
              <w:rPr>
                <w:noProof/>
                <w:webHidden/>
                <w:sz w:val="20"/>
                <w:szCs w:val="20"/>
              </w:rPr>
              <w:fldChar w:fldCharType="end"/>
            </w:r>
          </w:hyperlink>
        </w:p>
        <w:p w14:paraId="0E029016" w14:textId="0CD076B0" w:rsidR="00DD4469" w:rsidRPr="00DD4469" w:rsidRDefault="00656033">
          <w:pPr>
            <w:pStyle w:val="TDC3"/>
            <w:rPr>
              <w:rFonts w:eastAsiaTheme="minorEastAsia" w:cstheme="minorBidi"/>
              <w:noProof/>
              <w:sz w:val="20"/>
              <w:szCs w:val="20"/>
              <w:lang w:val="en-US" w:eastAsia="en-US"/>
            </w:rPr>
          </w:pPr>
          <w:hyperlink w:anchor="_Toc24014568" w:history="1">
            <w:r w:rsidR="00DD4469" w:rsidRPr="00DD4469">
              <w:rPr>
                <w:rStyle w:val="Hipervnculo"/>
                <w:rFonts w:eastAsia="MS Mincho"/>
                <w:noProof/>
                <w:sz w:val="20"/>
                <w:szCs w:val="20"/>
              </w:rPr>
              <w:t xml:space="preserve">b.3 </w:t>
            </w:r>
            <w:r w:rsidR="00DD4469" w:rsidRPr="00DD4469">
              <w:rPr>
                <w:rFonts w:eastAsiaTheme="minorEastAsia" w:cstheme="minorBidi"/>
                <w:noProof/>
                <w:sz w:val="20"/>
                <w:szCs w:val="20"/>
                <w:lang w:val="en-US" w:eastAsia="en-US"/>
              </w:rPr>
              <w:tab/>
            </w:r>
            <w:r w:rsidR="00DD4469" w:rsidRPr="00DD4469">
              <w:rPr>
                <w:rStyle w:val="Hipervnculo"/>
                <w:rFonts w:eastAsia="MS Mincho"/>
                <w:noProof/>
                <w:sz w:val="20"/>
                <w:szCs w:val="20"/>
                <w:lang w:eastAsia="en-US"/>
              </w:rPr>
              <w:t>Investigación de las torturas sufridas por el señor Ruiz Fuentes</w:t>
            </w:r>
            <w:r w:rsidR="00DD4469" w:rsidRPr="00DD4469">
              <w:rPr>
                <w:noProof/>
                <w:webHidden/>
                <w:sz w:val="20"/>
                <w:szCs w:val="20"/>
              </w:rPr>
              <w:tab/>
            </w:r>
            <w:r w:rsidR="00DD4469" w:rsidRPr="00DD4469">
              <w:rPr>
                <w:noProof/>
                <w:webHidden/>
                <w:sz w:val="20"/>
                <w:szCs w:val="20"/>
              </w:rPr>
              <w:fldChar w:fldCharType="begin"/>
            </w:r>
            <w:r w:rsidR="00DD4469" w:rsidRPr="00DD4469">
              <w:rPr>
                <w:noProof/>
                <w:webHidden/>
                <w:sz w:val="20"/>
                <w:szCs w:val="20"/>
              </w:rPr>
              <w:instrText xml:space="preserve"> PAGEREF _Toc24014568 \h </w:instrText>
            </w:r>
            <w:r w:rsidR="00DD4469" w:rsidRPr="00DD4469">
              <w:rPr>
                <w:noProof/>
                <w:webHidden/>
                <w:sz w:val="20"/>
                <w:szCs w:val="20"/>
              </w:rPr>
            </w:r>
            <w:r w:rsidR="00DD4469" w:rsidRPr="00DD4469">
              <w:rPr>
                <w:noProof/>
                <w:webHidden/>
                <w:sz w:val="20"/>
                <w:szCs w:val="20"/>
              </w:rPr>
              <w:fldChar w:fldCharType="separate"/>
            </w:r>
            <w:r w:rsidR="002055E2">
              <w:rPr>
                <w:noProof/>
                <w:webHidden/>
                <w:sz w:val="20"/>
                <w:szCs w:val="20"/>
              </w:rPr>
              <w:t>42</w:t>
            </w:r>
            <w:r w:rsidR="00DD4469" w:rsidRPr="00DD4469">
              <w:rPr>
                <w:noProof/>
                <w:webHidden/>
                <w:sz w:val="20"/>
                <w:szCs w:val="20"/>
              </w:rPr>
              <w:fldChar w:fldCharType="end"/>
            </w:r>
          </w:hyperlink>
        </w:p>
        <w:p w14:paraId="135E5338" w14:textId="43D4993C" w:rsidR="00DD4469" w:rsidRPr="00DD4469" w:rsidRDefault="00656033">
          <w:pPr>
            <w:pStyle w:val="TDC3"/>
            <w:rPr>
              <w:rFonts w:eastAsiaTheme="minorEastAsia" w:cstheme="minorBidi"/>
              <w:noProof/>
              <w:sz w:val="20"/>
              <w:szCs w:val="20"/>
              <w:lang w:val="en-US" w:eastAsia="en-US"/>
            </w:rPr>
          </w:pPr>
          <w:hyperlink w:anchor="_Toc24014569" w:history="1">
            <w:r w:rsidR="00DD4469" w:rsidRPr="00DD4469">
              <w:rPr>
                <w:rStyle w:val="Hipervnculo"/>
                <w:rFonts w:eastAsia="MS Mincho"/>
                <w:noProof/>
                <w:sz w:val="20"/>
                <w:szCs w:val="20"/>
              </w:rPr>
              <w:t xml:space="preserve">b.4 </w:t>
            </w:r>
            <w:r w:rsidR="00DD4469" w:rsidRPr="00DD4469">
              <w:rPr>
                <w:rFonts w:eastAsiaTheme="minorEastAsia" w:cstheme="minorBidi"/>
                <w:noProof/>
                <w:sz w:val="20"/>
                <w:szCs w:val="20"/>
                <w:lang w:val="en-US" w:eastAsia="en-US"/>
              </w:rPr>
              <w:tab/>
            </w:r>
            <w:r w:rsidR="00DD4469" w:rsidRPr="00DD4469">
              <w:rPr>
                <w:rStyle w:val="Hipervnculo"/>
                <w:rFonts w:eastAsia="MS Mincho"/>
                <w:noProof/>
                <w:sz w:val="20"/>
                <w:szCs w:val="20"/>
                <w:lang w:eastAsia="en-US"/>
              </w:rPr>
              <w:t>Investigación de la muerte del señor Ruiz Fuentes</w:t>
            </w:r>
            <w:r w:rsidR="00DD4469" w:rsidRPr="00DD4469">
              <w:rPr>
                <w:noProof/>
                <w:webHidden/>
                <w:sz w:val="20"/>
                <w:szCs w:val="20"/>
              </w:rPr>
              <w:tab/>
            </w:r>
            <w:r w:rsidR="00DD4469" w:rsidRPr="00DD4469">
              <w:rPr>
                <w:noProof/>
                <w:webHidden/>
                <w:sz w:val="20"/>
                <w:szCs w:val="20"/>
              </w:rPr>
              <w:fldChar w:fldCharType="begin"/>
            </w:r>
            <w:r w:rsidR="00DD4469" w:rsidRPr="00DD4469">
              <w:rPr>
                <w:noProof/>
                <w:webHidden/>
                <w:sz w:val="20"/>
                <w:szCs w:val="20"/>
              </w:rPr>
              <w:instrText xml:space="preserve"> PAGEREF _Toc24014569 \h </w:instrText>
            </w:r>
            <w:r w:rsidR="00DD4469" w:rsidRPr="00DD4469">
              <w:rPr>
                <w:noProof/>
                <w:webHidden/>
                <w:sz w:val="20"/>
                <w:szCs w:val="20"/>
              </w:rPr>
            </w:r>
            <w:r w:rsidR="00DD4469" w:rsidRPr="00DD4469">
              <w:rPr>
                <w:noProof/>
                <w:webHidden/>
                <w:sz w:val="20"/>
                <w:szCs w:val="20"/>
              </w:rPr>
              <w:fldChar w:fldCharType="separate"/>
            </w:r>
            <w:r w:rsidR="002055E2">
              <w:rPr>
                <w:noProof/>
                <w:webHidden/>
                <w:sz w:val="20"/>
                <w:szCs w:val="20"/>
              </w:rPr>
              <w:t>44</w:t>
            </w:r>
            <w:r w:rsidR="00DD4469" w:rsidRPr="00DD4469">
              <w:rPr>
                <w:noProof/>
                <w:webHidden/>
                <w:sz w:val="20"/>
                <w:szCs w:val="20"/>
              </w:rPr>
              <w:fldChar w:fldCharType="end"/>
            </w:r>
          </w:hyperlink>
        </w:p>
        <w:p w14:paraId="24AB39CD" w14:textId="0DB17CF6" w:rsidR="00DD4469" w:rsidRPr="00DD4469" w:rsidRDefault="00656033">
          <w:pPr>
            <w:pStyle w:val="TDC1"/>
            <w:rPr>
              <w:rFonts w:eastAsiaTheme="minorEastAsia" w:cstheme="minorBidi"/>
              <w:b w:val="0"/>
              <w:lang w:val="en-US" w:eastAsia="en-US"/>
            </w:rPr>
          </w:pPr>
          <w:hyperlink w:anchor="_Toc24014570" w:history="1">
            <w:r w:rsidR="00DD4469" w:rsidRPr="00DD4469">
              <w:rPr>
                <w:rStyle w:val="Hipervnculo"/>
                <w:lang w:eastAsia="en-US"/>
              </w:rPr>
              <w:t>VIII-5 DERECHO A LA INTEGRIDAD PERSONAL DE LA HERMANA DEL SEÑOR RUIZ FUENTES</w:t>
            </w:r>
            <w:r w:rsidR="00DD4469" w:rsidRPr="00DD4469">
              <w:rPr>
                <w:webHidden/>
              </w:rPr>
              <w:tab/>
            </w:r>
            <w:r w:rsidR="00DD4469" w:rsidRPr="00DD4469">
              <w:rPr>
                <w:webHidden/>
              </w:rPr>
              <w:fldChar w:fldCharType="begin"/>
            </w:r>
            <w:r w:rsidR="00DD4469" w:rsidRPr="00DD4469">
              <w:rPr>
                <w:webHidden/>
              </w:rPr>
              <w:instrText xml:space="preserve"> PAGEREF _Toc24014570 \h </w:instrText>
            </w:r>
            <w:r w:rsidR="00DD4469" w:rsidRPr="00DD4469">
              <w:rPr>
                <w:webHidden/>
              </w:rPr>
            </w:r>
            <w:r w:rsidR="00DD4469" w:rsidRPr="00DD4469">
              <w:rPr>
                <w:webHidden/>
              </w:rPr>
              <w:fldChar w:fldCharType="separate"/>
            </w:r>
            <w:r w:rsidR="002055E2">
              <w:rPr>
                <w:webHidden/>
              </w:rPr>
              <w:t>46</w:t>
            </w:r>
            <w:r w:rsidR="00DD4469" w:rsidRPr="00DD4469">
              <w:rPr>
                <w:webHidden/>
              </w:rPr>
              <w:fldChar w:fldCharType="end"/>
            </w:r>
          </w:hyperlink>
        </w:p>
        <w:p w14:paraId="57D538A0" w14:textId="22C5AF8B" w:rsidR="00DD4469" w:rsidRPr="00DD4469" w:rsidRDefault="00656033">
          <w:pPr>
            <w:pStyle w:val="TDC2"/>
            <w:rPr>
              <w:rFonts w:eastAsiaTheme="minorEastAsia" w:cstheme="minorBidi"/>
              <w:noProof/>
              <w:sz w:val="20"/>
              <w:szCs w:val="20"/>
              <w:lang w:val="en-US" w:eastAsia="en-US"/>
            </w:rPr>
          </w:pPr>
          <w:hyperlink w:anchor="_Toc24014571" w:history="1">
            <w:r w:rsidR="00DD4469" w:rsidRPr="00DD4469">
              <w:rPr>
                <w:rStyle w:val="Hipervnculo"/>
                <w:rFonts w:eastAsia="MS Mincho"/>
                <w:noProof/>
                <w:sz w:val="20"/>
                <w:szCs w:val="20"/>
              </w:rPr>
              <w:t>A.</w:t>
            </w:r>
            <w:r w:rsidR="00DD4469" w:rsidRPr="00DD4469">
              <w:rPr>
                <w:rFonts w:eastAsiaTheme="minorEastAsia" w:cstheme="minorBidi"/>
                <w:noProof/>
                <w:sz w:val="20"/>
                <w:szCs w:val="20"/>
                <w:lang w:val="en-US" w:eastAsia="en-US"/>
              </w:rPr>
              <w:tab/>
            </w:r>
            <w:r w:rsidR="00DD4469">
              <w:rPr>
                <w:rFonts w:eastAsiaTheme="minorEastAsia" w:cstheme="minorBidi"/>
                <w:noProof/>
                <w:sz w:val="20"/>
                <w:szCs w:val="20"/>
                <w:lang w:val="en-US" w:eastAsia="en-US"/>
              </w:rPr>
              <w:t xml:space="preserve"> </w:t>
            </w:r>
            <w:r w:rsidR="00DD4469" w:rsidRPr="00DD4469">
              <w:rPr>
                <w:rStyle w:val="Hipervnculo"/>
                <w:rFonts w:eastAsia="MS Mincho"/>
                <w:noProof/>
                <w:sz w:val="20"/>
                <w:szCs w:val="20"/>
              </w:rPr>
              <w:t>Argumentos de las partes y de la Comisión</w:t>
            </w:r>
            <w:r w:rsidR="00DD4469" w:rsidRPr="00DD4469">
              <w:rPr>
                <w:noProof/>
                <w:webHidden/>
                <w:sz w:val="20"/>
                <w:szCs w:val="20"/>
              </w:rPr>
              <w:tab/>
            </w:r>
            <w:r w:rsidR="00DD4469" w:rsidRPr="00DD4469">
              <w:rPr>
                <w:noProof/>
                <w:webHidden/>
                <w:sz w:val="20"/>
                <w:szCs w:val="20"/>
              </w:rPr>
              <w:fldChar w:fldCharType="begin"/>
            </w:r>
            <w:r w:rsidR="00DD4469" w:rsidRPr="00DD4469">
              <w:rPr>
                <w:noProof/>
                <w:webHidden/>
                <w:sz w:val="20"/>
                <w:szCs w:val="20"/>
              </w:rPr>
              <w:instrText xml:space="preserve"> PAGEREF _Toc24014571 \h </w:instrText>
            </w:r>
            <w:r w:rsidR="00DD4469" w:rsidRPr="00DD4469">
              <w:rPr>
                <w:noProof/>
                <w:webHidden/>
                <w:sz w:val="20"/>
                <w:szCs w:val="20"/>
              </w:rPr>
            </w:r>
            <w:r w:rsidR="00DD4469" w:rsidRPr="00DD4469">
              <w:rPr>
                <w:noProof/>
                <w:webHidden/>
                <w:sz w:val="20"/>
                <w:szCs w:val="20"/>
              </w:rPr>
              <w:fldChar w:fldCharType="separate"/>
            </w:r>
            <w:r w:rsidR="002055E2">
              <w:rPr>
                <w:noProof/>
                <w:webHidden/>
                <w:sz w:val="20"/>
                <w:szCs w:val="20"/>
              </w:rPr>
              <w:t>46</w:t>
            </w:r>
            <w:r w:rsidR="00DD4469" w:rsidRPr="00DD4469">
              <w:rPr>
                <w:noProof/>
                <w:webHidden/>
                <w:sz w:val="20"/>
                <w:szCs w:val="20"/>
              </w:rPr>
              <w:fldChar w:fldCharType="end"/>
            </w:r>
          </w:hyperlink>
        </w:p>
        <w:p w14:paraId="29EA3315" w14:textId="41690D67" w:rsidR="00DD4469" w:rsidRPr="00DD4469" w:rsidRDefault="00656033">
          <w:pPr>
            <w:pStyle w:val="TDC2"/>
            <w:rPr>
              <w:rFonts w:eastAsiaTheme="minorEastAsia" w:cstheme="minorBidi"/>
              <w:noProof/>
              <w:sz w:val="20"/>
              <w:szCs w:val="20"/>
              <w:lang w:val="en-US" w:eastAsia="en-US"/>
            </w:rPr>
          </w:pPr>
          <w:hyperlink w:anchor="_Toc24014572" w:history="1">
            <w:r w:rsidR="00DD4469" w:rsidRPr="00DD4469">
              <w:rPr>
                <w:rStyle w:val="Hipervnculo"/>
                <w:rFonts w:eastAsia="MS Mincho"/>
                <w:noProof/>
                <w:sz w:val="20"/>
                <w:szCs w:val="20"/>
              </w:rPr>
              <w:t>B.</w:t>
            </w:r>
            <w:r w:rsidR="00DD4469" w:rsidRPr="00DD4469">
              <w:rPr>
                <w:rFonts w:eastAsiaTheme="minorEastAsia" w:cstheme="minorBidi"/>
                <w:noProof/>
                <w:sz w:val="20"/>
                <w:szCs w:val="20"/>
                <w:lang w:val="en-US" w:eastAsia="en-US"/>
              </w:rPr>
              <w:tab/>
            </w:r>
            <w:r w:rsidR="00DD4469">
              <w:rPr>
                <w:rFonts w:eastAsiaTheme="minorEastAsia" w:cstheme="minorBidi"/>
                <w:noProof/>
                <w:sz w:val="20"/>
                <w:szCs w:val="20"/>
                <w:lang w:val="en-US" w:eastAsia="en-US"/>
              </w:rPr>
              <w:t xml:space="preserve"> </w:t>
            </w:r>
            <w:r w:rsidR="00DD4469" w:rsidRPr="00DD4469">
              <w:rPr>
                <w:rStyle w:val="Hipervnculo"/>
                <w:rFonts w:eastAsia="MS Mincho"/>
                <w:noProof/>
                <w:sz w:val="20"/>
                <w:szCs w:val="20"/>
              </w:rPr>
              <w:t>Consideraciones de la Corte</w:t>
            </w:r>
            <w:r w:rsidR="00DD4469" w:rsidRPr="00DD4469">
              <w:rPr>
                <w:noProof/>
                <w:webHidden/>
                <w:sz w:val="20"/>
                <w:szCs w:val="20"/>
              </w:rPr>
              <w:tab/>
            </w:r>
            <w:r w:rsidR="00DD4469" w:rsidRPr="00DD4469">
              <w:rPr>
                <w:noProof/>
                <w:webHidden/>
                <w:sz w:val="20"/>
                <w:szCs w:val="20"/>
              </w:rPr>
              <w:fldChar w:fldCharType="begin"/>
            </w:r>
            <w:r w:rsidR="00DD4469" w:rsidRPr="00DD4469">
              <w:rPr>
                <w:noProof/>
                <w:webHidden/>
                <w:sz w:val="20"/>
                <w:szCs w:val="20"/>
              </w:rPr>
              <w:instrText xml:space="preserve"> PAGEREF _Toc24014572 \h </w:instrText>
            </w:r>
            <w:r w:rsidR="00DD4469" w:rsidRPr="00DD4469">
              <w:rPr>
                <w:noProof/>
                <w:webHidden/>
                <w:sz w:val="20"/>
                <w:szCs w:val="20"/>
              </w:rPr>
            </w:r>
            <w:r w:rsidR="00DD4469" w:rsidRPr="00DD4469">
              <w:rPr>
                <w:noProof/>
                <w:webHidden/>
                <w:sz w:val="20"/>
                <w:szCs w:val="20"/>
              </w:rPr>
              <w:fldChar w:fldCharType="separate"/>
            </w:r>
            <w:r w:rsidR="002055E2">
              <w:rPr>
                <w:noProof/>
                <w:webHidden/>
                <w:sz w:val="20"/>
                <w:szCs w:val="20"/>
              </w:rPr>
              <w:t>47</w:t>
            </w:r>
            <w:r w:rsidR="00DD4469" w:rsidRPr="00DD4469">
              <w:rPr>
                <w:noProof/>
                <w:webHidden/>
                <w:sz w:val="20"/>
                <w:szCs w:val="20"/>
              </w:rPr>
              <w:fldChar w:fldCharType="end"/>
            </w:r>
          </w:hyperlink>
        </w:p>
        <w:p w14:paraId="18B6881E" w14:textId="46979502" w:rsidR="00DD4469" w:rsidRPr="00DD4469" w:rsidRDefault="00656033">
          <w:pPr>
            <w:pStyle w:val="TDC1"/>
            <w:rPr>
              <w:rFonts w:eastAsiaTheme="minorEastAsia" w:cstheme="minorBidi"/>
              <w:b w:val="0"/>
              <w:lang w:val="en-US" w:eastAsia="en-US"/>
            </w:rPr>
          </w:pPr>
          <w:hyperlink w:anchor="_Toc24014573" w:history="1">
            <w:r w:rsidR="00DD4469" w:rsidRPr="00DD4469">
              <w:rPr>
                <w:rStyle w:val="Hipervnculo"/>
              </w:rPr>
              <w:t>IX REPARACIONES</w:t>
            </w:r>
            <w:r w:rsidR="00DD4469" w:rsidRPr="00DD4469">
              <w:rPr>
                <w:webHidden/>
              </w:rPr>
              <w:tab/>
            </w:r>
            <w:r w:rsidR="00DD4469" w:rsidRPr="00DD4469">
              <w:rPr>
                <w:webHidden/>
              </w:rPr>
              <w:fldChar w:fldCharType="begin"/>
            </w:r>
            <w:r w:rsidR="00DD4469" w:rsidRPr="00DD4469">
              <w:rPr>
                <w:webHidden/>
              </w:rPr>
              <w:instrText xml:space="preserve"> PAGEREF _Toc24014573 \h </w:instrText>
            </w:r>
            <w:r w:rsidR="00DD4469" w:rsidRPr="00DD4469">
              <w:rPr>
                <w:webHidden/>
              </w:rPr>
            </w:r>
            <w:r w:rsidR="00DD4469" w:rsidRPr="00DD4469">
              <w:rPr>
                <w:webHidden/>
              </w:rPr>
              <w:fldChar w:fldCharType="separate"/>
            </w:r>
            <w:r w:rsidR="002055E2">
              <w:rPr>
                <w:webHidden/>
              </w:rPr>
              <w:t>48</w:t>
            </w:r>
            <w:r w:rsidR="00DD4469" w:rsidRPr="00DD4469">
              <w:rPr>
                <w:webHidden/>
              </w:rPr>
              <w:fldChar w:fldCharType="end"/>
            </w:r>
          </w:hyperlink>
        </w:p>
        <w:p w14:paraId="2D90B86C" w14:textId="62C360A8" w:rsidR="00DD4469" w:rsidRPr="00DD4469" w:rsidRDefault="00656033">
          <w:pPr>
            <w:pStyle w:val="TDC2"/>
            <w:rPr>
              <w:rFonts w:eastAsiaTheme="minorEastAsia" w:cstheme="minorBidi"/>
              <w:noProof/>
              <w:sz w:val="20"/>
              <w:szCs w:val="20"/>
              <w:lang w:val="en-US" w:eastAsia="en-US"/>
            </w:rPr>
          </w:pPr>
          <w:hyperlink w:anchor="_Toc24014574" w:history="1">
            <w:r w:rsidR="00DD4469" w:rsidRPr="00DD4469">
              <w:rPr>
                <w:rStyle w:val="Hipervnculo"/>
                <w:rFonts w:eastAsia="MS Mincho"/>
                <w:noProof/>
                <w:sz w:val="20"/>
                <w:szCs w:val="20"/>
              </w:rPr>
              <w:t>A.</w:t>
            </w:r>
            <w:r w:rsidR="00DD4469" w:rsidRPr="00DD4469">
              <w:rPr>
                <w:rFonts w:eastAsiaTheme="minorEastAsia" w:cstheme="minorBidi"/>
                <w:noProof/>
                <w:sz w:val="20"/>
                <w:szCs w:val="20"/>
                <w:lang w:val="en-US" w:eastAsia="en-US"/>
              </w:rPr>
              <w:tab/>
            </w:r>
            <w:r w:rsidR="00DD4469">
              <w:rPr>
                <w:rFonts w:eastAsiaTheme="minorEastAsia" w:cstheme="minorBidi"/>
                <w:noProof/>
                <w:sz w:val="20"/>
                <w:szCs w:val="20"/>
                <w:lang w:val="en-US" w:eastAsia="en-US"/>
              </w:rPr>
              <w:t xml:space="preserve"> </w:t>
            </w:r>
            <w:r w:rsidR="00DD4469" w:rsidRPr="00DD4469">
              <w:rPr>
                <w:rStyle w:val="Hipervnculo"/>
                <w:rFonts w:eastAsia="MS Mincho"/>
                <w:noProof/>
                <w:sz w:val="20"/>
                <w:szCs w:val="20"/>
              </w:rPr>
              <w:t>Parte lesionada</w:t>
            </w:r>
            <w:r w:rsidR="00DD4469" w:rsidRPr="00DD4469">
              <w:rPr>
                <w:noProof/>
                <w:webHidden/>
                <w:sz w:val="20"/>
                <w:szCs w:val="20"/>
              </w:rPr>
              <w:tab/>
            </w:r>
            <w:r w:rsidR="00DD4469" w:rsidRPr="00DD4469">
              <w:rPr>
                <w:noProof/>
                <w:webHidden/>
                <w:sz w:val="20"/>
                <w:szCs w:val="20"/>
              </w:rPr>
              <w:fldChar w:fldCharType="begin"/>
            </w:r>
            <w:r w:rsidR="00DD4469" w:rsidRPr="00DD4469">
              <w:rPr>
                <w:noProof/>
                <w:webHidden/>
                <w:sz w:val="20"/>
                <w:szCs w:val="20"/>
              </w:rPr>
              <w:instrText xml:space="preserve"> PAGEREF _Toc24014574 \h </w:instrText>
            </w:r>
            <w:r w:rsidR="00DD4469" w:rsidRPr="00DD4469">
              <w:rPr>
                <w:noProof/>
                <w:webHidden/>
                <w:sz w:val="20"/>
                <w:szCs w:val="20"/>
              </w:rPr>
            </w:r>
            <w:r w:rsidR="00DD4469" w:rsidRPr="00DD4469">
              <w:rPr>
                <w:noProof/>
                <w:webHidden/>
                <w:sz w:val="20"/>
                <w:szCs w:val="20"/>
              </w:rPr>
              <w:fldChar w:fldCharType="separate"/>
            </w:r>
            <w:r w:rsidR="002055E2">
              <w:rPr>
                <w:noProof/>
                <w:webHidden/>
                <w:sz w:val="20"/>
                <w:szCs w:val="20"/>
              </w:rPr>
              <w:t>48</w:t>
            </w:r>
            <w:r w:rsidR="00DD4469" w:rsidRPr="00DD4469">
              <w:rPr>
                <w:noProof/>
                <w:webHidden/>
                <w:sz w:val="20"/>
                <w:szCs w:val="20"/>
              </w:rPr>
              <w:fldChar w:fldCharType="end"/>
            </w:r>
          </w:hyperlink>
        </w:p>
        <w:p w14:paraId="23FFD2B0" w14:textId="0A505AD6" w:rsidR="00DD4469" w:rsidRPr="00DD4469" w:rsidRDefault="00656033">
          <w:pPr>
            <w:pStyle w:val="TDC2"/>
            <w:rPr>
              <w:rFonts w:eastAsiaTheme="minorEastAsia" w:cstheme="minorBidi"/>
              <w:noProof/>
              <w:sz w:val="20"/>
              <w:szCs w:val="20"/>
              <w:lang w:val="en-US" w:eastAsia="en-US"/>
            </w:rPr>
          </w:pPr>
          <w:hyperlink w:anchor="_Toc24014575" w:history="1">
            <w:r w:rsidR="00DD4469" w:rsidRPr="00DD4469">
              <w:rPr>
                <w:rStyle w:val="Hipervnculo"/>
                <w:rFonts w:eastAsia="MS Mincho"/>
                <w:noProof/>
                <w:sz w:val="20"/>
                <w:szCs w:val="20"/>
              </w:rPr>
              <w:t>B.</w:t>
            </w:r>
            <w:r w:rsidR="00DD4469">
              <w:rPr>
                <w:rStyle w:val="Hipervnculo"/>
                <w:rFonts w:eastAsia="MS Mincho"/>
                <w:noProof/>
                <w:sz w:val="20"/>
                <w:szCs w:val="20"/>
              </w:rPr>
              <w:t xml:space="preserve"> </w:t>
            </w:r>
            <w:r w:rsidR="00DD4469" w:rsidRPr="00DD4469">
              <w:rPr>
                <w:rStyle w:val="Hipervnculo"/>
                <w:rFonts w:eastAsia="MS Mincho"/>
                <w:noProof/>
                <w:sz w:val="20"/>
                <w:szCs w:val="20"/>
              </w:rPr>
              <w:t>Investigación, determinación, enjuiciamiento y, en su caso, sanción de todos los responsables</w:t>
            </w:r>
            <w:r w:rsidR="00DD4469" w:rsidRPr="00DD4469">
              <w:rPr>
                <w:noProof/>
                <w:webHidden/>
                <w:sz w:val="20"/>
                <w:szCs w:val="20"/>
              </w:rPr>
              <w:tab/>
            </w:r>
            <w:r w:rsidR="00DD4469" w:rsidRPr="00DD4469">
              <w:rPr>
                <w:noProof/>
                <w:webHidden/>
                <w:sz w:val="20"/>
                <w:szCs w:val="20"/>
              </w:rPr>
              <w:fldChar w:fldCharType="begin"/>
            </w:r>
            <w:r w:rsidR="00DD4469" w:rsidRPr="00DD4469">
              <w:rPr>
                <w:noProof/>
                <w:webHidden/>
                <w:sz w:val="20"/>
                <w:szCs w:val="20"/>
              </w:rPr>
              <w:instrText xml:space="preserve"> PAGEREF _Toc24014575 \h </w:instrText>
            </w:r>
            <w:r w:rsidR="00DD4469" w:rsidRPr="00DD4469">
              <w:rPr>
                <w:noProof/>
                <w:webHidden/>
                <w:sz w:val="20"/>
                <w:szCs w:val="20"/>
              </w:rPr>
            </w:r>
            <w:r w:rsidR="00DD4469" w:rsidRPr="00DD4469">
              <w:rPr>
                <w:noProof/>
                <w:webHidden/>
                <w:sz w:val="20"/>
                <w:szCs w:val="20"/>
              </w:rPr>
              <w:fldChar w:fldCharType="separate"/>
            </w:r>
            <w:r w:rsidR="002055E2">
              <w:rPr>
                <w:noProof/>
                <w:webHidden/>
                <w:sz w:val="20"/>
                <w:szCs w:val="20"/>
              </w:rPr>
              <w:t>49</w:t>
            </w:r>
            <w:r w:rsidR="00DD4469" w:rsidRPr="00DD4469">
              <w:rPr>
                <w:noProof/>
                <w:webHidden/>
                <w:sz w:val="20"/>
                <w:szCs w:val="20"/>
              </w:rPr>
              <w:fldChar w:fldCharType="end"/>
            </w:r>
          </w:hyperlink>
        </w:p>
        <w:p w14:paraId="28428068" w14:textId="3283E0FB" w:rsidR="00DD4469" w:rsidRPr="00DD4469" w:rsidRDefault="00656033">
          <w:pPr>
            <w:pStyle w:val="TDC2"/>
            <w:rPr>
              <w:rFonts w:eastAsiaTheme="minorEastAsia" w:cstheme="minorBidi"/>
              <w:noProof/>
              <w:sz w:val="20"/>
              <w:szCs w:val="20"/>
              <w:lang w:val="en-US" w:eastAsia="en-US"/>
            </w:rPr>
          </w:pPr>
          <w:hyperlink w:anchor="_Toc24014576" w:history="1">
            <w:r w:rsidR="00DD4469" w:rsidRPr="00DD4469">
              <w:rPr>
                <w:rStyle w:val="Hipervnculo"/>
                <w:rFonts w:eastAsia="MS Mincho"/>
                <w:noProof/>
                <w:sz w:val="20"/>
                <w:szCs w:val="20"/>
              </w:rPr>
              <w:t>C.</w:t>
            </w:r>
            <w:r w:rsidR="00DD4469">
              <w:rPr>
                <w:rFonts w:eastAsiaTheme="minorEastAsia" w:cstheme="minorBidi"/>
                <w:noProof/>
                <w:sz w:val="20"/>
                <w:szCs w:val="20"/>
                <w:lang w:val="en-US" w:eastAsia="en-US"/>
              </w:rPr>
              <w:t xml:space="preserve"> </w:t>
            </w:r>
            <w:r w:rsidR="00DD4469" w:rsidRPr="00DD4469">
              <w:rPr>
                <w:rStyle w:val="Hipervnculo"/>
                <w:rFonts w:eastAsia="MS Mincho"/>
                <w:noProof/>
                <w:sz w:val="20"/>
                <w:szCs w:val="20"/>
              </w:rPr>
              <w:t>Medidas de satisfacción y garantías de no repetición</w:t>
            </w:r>
            <w:r w:rsidR="00DD4469" w:rsidRPr="00DD4469">
              <w:rPr>
                <w:noProof/>
                <w:webHidden/>
                <w:sz w:val="20"/>
                <w:szCs w:val="20"/>
              </w:rPr>
              <w:tab/>
            </w:r>
            <w:r w:rsidR="00DD4469" w:rsidRPr="00DD4469">
              <w:rPr>
                <w:noProof/>
                <w:webHidden/>
                <w:sz w:val="20"/>
                <w:szCs w:val="20"/>
              </w:rPr>
              <w:fldChar w:fldCharType="begin"/>
            </w:r>
            <w:r w:rsidR="00DD4469" w:rsidRPr="00DD4469">
              <w:rPr>
                <w:noProof/>
                <w:webHidden/>
                <w:sz w:val="20"/>
                <w:szCs w:val="20"/>
              </w:rPr>
              <w:instrText xml:space="preserve"> PAGEREF _Toc24014576 \h </w:instrText>
            </w:r>
            <w:r w:rsidR="00DD4469" w:rsidRPr="00DD4469">
              <w:rPr>
                <w:noProof/>
                <w:webHidden/>
                <w:sz w:val="20"/>
                <w:szCs w:val="20"/>
              </w:rPr>
            </w:r>
            <w:r w:rsidR="00DD4469" w:rsidRPr="00DD4469">
              <w:rPr>
                <w:noProof/>
                <w:webHidden/>
                <w:sz w:val="20"/>
                <w:szCs w:val="20"/>
              </w:rPr>
              <w:fldChar w:fldCharType="separate"/>
            </w:r>
            <w:r w:rsidR="002055E2">
              <w:rPr>
                <w:noProof/>
                <w:webHidden/>
                <w:sz w:val="20"/>
                <w:szCs w:val="20"/>
              </w:rPr>
              <w:t>50</w:t>
            </w:r>
            <w:r w:rsidR="00DD4469" w:rsidRPr="00DD4469">
              <w:rPr>
                <w:noProof/>
                <w:webHidden/>
                <w:sz w:val="20"/>
                <w:szCs w:val="20"/>
              </w:rPr>
              <w:fldChar w:fldCharType="end"/>
            </w:r>
          </w:hyperlink>
        </w:p>
        <w:p w14:paraId="1A44E0C9" w14:textId="1E0F28D7" w:rsidR="00DD4469" w:rsidRPr="00DD4469" w:rsidRDefault="00656033">
          <w:pPr>
            <w:pStyle w:val="TDC3"/>
            <w:rPr>
              <w:rFonts w:eastAsiaTheme="minorEastAsia" w:cstheme="minorBidi"/>
              <w:noProof/>
              <w:sz w:val="20"/>
              <w:szCs w:val="20"/>
              <w:lang w:val="en-US" w:eastAsia="en-US"/>
            </w:rPr>
          </w:pPr>
          <w:hyperlink w:anchor="_Toc24014577" w:history="1">
            <w:r w:rsidR="00DD4469" w:rsidRPr="00DD4469">
              <w:rPr>
                <w:rStyle w:val="Hipervnculo"/>
                <w:rFonts w:eastAsia="MS Mincho"/>
                <w:noProof/>
                <w:sz w:val="20"/>
                <w:szCs w:val="20"/>
              </w:rPr>
              <w:t xml:space="preserve">c.1 </w:t>
            </w:r>
            <w:r w:rsidR="00DD4469" w:rsidRPr="00DD4469">
              <w:rPr>
                <w:rFonts w:eastAsiaTheme="minorEastAsia" w:cstheme="minorBidi"/>
                <w:noProof/>
                <w:sz w:val="20"/>
                <w:szCs w:val="20"/>
                <w:lang w:val="en-US" w:eastAsia="en-US"/>
              </w:rPr>
              <w:tab/>
            </w:r>
            <w:r w:rsidR="00DD4469" w:rsidRPr="00DD4469">
              <w:rPr>
                <w:rStyle w:val="Hipervnculo"/>
                <w:rFonts w:eastAsia="MS Mincho"/>
                <w:noProof/>
                <w:sz w:val="20"/>
                <w:szCs w:val="20"/>
              </w:rPr>
              <w:t>Medidas de satisfacción</w:t>
            </w:r>
            <w:r w:rsidR="00DD4469" w:rsidRPr="00DD4469">
              <w:rPr>
                <w:noProof/>
                <w:webHidden/>
                <w:sz w:val="20"/>
                <w:szCs w:val="20"/>
              </w:rPr>
              <w:tab/>
            </w:r>
            <w:r w:rsidR="00DD4469" w:rsidRPr="00DD4469">
              <w:rPr>
                <w:noProof/>
                <w:webHidden/>
                <w:sz w:val="20"/>
                <w:szCs w:val="20"/>
              </w:rPr>
              <w:fldChar w:fldCharType="begin"/>
            </w:r>
            <w:r w:rsidR="00DD4469" w:rsidRPr="00DD4469">
              <w:rPr>
                <w:noProof/>
                <w:webHidden/>
                <w:sz w:val="20"/>
                <w:szCs w:val="20"/>
              </w:rPr>
              <w:instrText xml:space="preserve"> PAGEREF _Toc24014577 \h </w:instrText>
            </w:r>
            <w:r w:rsidR="00DD4469" w:rsidRPr="00DD4469">
              <w:rPr>
                <w:noProof/>
                <w:webHidden/>
                <w:sz w:val="20"/>
                <w:szCs w:val="20"/>
              </w:rPr>
            </w:r>
            <w:r w:rsidR="00DD4469" w:rsidRPr="00DD4469">
              <w:rPr>
                <w:noProof/>
                <w:webHidden/>
                <w:sz w:val="20"/>
                <w:szCs w:val="20"/>
              </w:rPr>
              <w:fldChar w:fldCharType="separate"/>
            </w:r>
            <w:r w:rsidR="002055E2">
              <w:rPr>
                <w:noProof/>
                <w:webHidden/>
                <w:sz w:val="20"/>
                <w:szCs w:val="20"/>
              </w:rPr>
              <w:t>50</w:t>
            </w:r>
            <w:r w:rsidR="00DD4469" w:rsidRPr="00DD4469">
              <w:rPr>
                <w:noProof/>
                <w:webHidden/>
                <w:sz w:val="20"/>
                <w:szCs w:val="20"/>
              </w:rPr>
              <w:fldChar w:fldCharType="end"/>
            </w:r>
          </w:hyperlink>
        </w:p>
        <w:p w14:paraId="5F70520A" w14:textId="4934DC3F" w:rsidR="00DD4469" w:rsidRPr="00DD4469" w:rsidRDefault="00656033">
          <w:pPr>
            <w:pStyle w:val="TDC3"/>
            <w:rPr>
              <w:rFonts w:eastAsiaTheme="minorEastAsia" w:cstheme="minorBidi"/>
              <w:noProof/>
              <w:sz w:val="20"/>
              <w:szCs w:val="20"/>
              <w:lang w:val="en-US" w:eastAsia="en-US"/>
            </w:rPr>
          </w:pPr>
          <w:hyperlink w:anchor="_Toc24014578" w:history="1">
            <w:r w:rsidR="00DD4469" w:rsidRPr="00DD4469">
              <w:rPr>
                <w:rStyle w:val="Hipervnculo"/>
                <w:rFonts w:eastAsia="MS Mincho"/>
                <w:noProof/>
                <w:sz w:val="20"/>
                <w:szCs w:val="20"/>
              </w:rPr>
              <w:t xml:space="preserve">c.2 </w:t>
            </w:r>
            <w:r w:rsidR="00DD4469" w:rsidRPr="00DD4469">
              <w:rPr>
                <w:rFonts w:eastAsiaTheme="minorEastAsia" w:cstheme="minorBidi"/>
                <w:noProof/>
                <w:sz w:val="20"/>
                <w:szCs w:val="20"/>
                <w:lang w:val="en-US" w:eastAsia="en-US"/>
              </w:rPr>
              <w:tab/>
            </w:r>
            <w:r w:rsidR="00DD4469" w:rsidRPr="00DD4469">
              <w:rPr>
                <w:rStyle w:val="Hipervnculo"/>
                <w:rFonts w:eastAsia="MS Mincho"/>
                <w:noProof/>
                <w:sz w:val="20"/>
                <w:szCs w:val="20"/>
              </w:rPr>
              <w:t>Garantías de no repetición</w:t>
            </w:r>
            <w:r w:rsidR="00DD4469" w:rsidRPr="00DD4469">
              <w:rPr>
                <w:noProof/>
                <w:webHidden/>
                <w:sz w:val="20"/>
                <w:szCs w:val="20"/>
              </w:rPr>
              <w:tab/>
            </w:r>
            <w:r w:rsidR="00DD4469" w:rsidRPr="00DD4469">
              <w:rPr>
                <w:noProof/>
                <w:webHidden/>
                <w:sz w:val="20"/>
                <w:szCs w:val="20"/>
              </w:rPr>
              <w:fldChar w:fldCharType="begin"/>
            </w:r>
            <w:r w:rsidR="00DD4469" w:rsidRPr="00DD4469">
              <w:rPr>
                <w:noProof/>
                <w:webHidden/>
                <w:sz w:val="20"/>
                <w:szCs w:val="20"/>
              </w:rPr>
              <w:instrText xml:space="preserve"> PAGEREF _Toc24014578 \h </w:instrText>
            </w:r>
            <w:r w:rsidR="00DD4469" w:rsidRPr="00DD4469">
              <w:rPr>
                <w:noProof/>
                <w:webHidden/>
                <w:sz w:val="20"/>
                <w:szCs w:val="20"/>
              </w:rPr>
            </w:r>
            <w:r w:rsidR="00DD4469" w:rsidRPr="00DD4469">
              <w:rPr>
                <w:noProof/>
                <w:webHidden/>
                <w:sz w:val="20"/>
                <w:szCs w:val="20"/>
              </w:rPr>
              <w:fldChar w:fldCharType="separate"/>
            </w:r>
            <w:r w:rsidR="002055E2">
              <w:rPr>
                <w:noProof/>
                <w:webHidden/>
                <w:sz w:val="20"/>
                <w:szCs w:val="20"/>
              </w:rPr>
              <w:t>50</w:t>
            </w:r>
            <w:r w:rsidR="00DD4469" w:rsidRPr="00DD4469">
              <w:rPr>
                <w:noProof/>
                <w:webHidden/>
                <w:sz w:val="20"/>
                <w:szCs w:val="20"/>
              </w:rPr>
              <w:fldChar w:fldCharType="end"/>
            </w:r>
          </w:hyperlink>
        </w:p>
        <w:p w14:paraId="73082D5C" w14:textId="6788FF76" w:rsidR="00DD4469" w:rsidRPr="00DD4469" w:rsidRDefault="00656033">
          <w:pPr>
            <w:pStyle w:val="TDC2"/>
            <w:rPr>
              <w:rFonts w:eastAsiaTheme="minorEastAsia" w:cstheme="minorBidi"/>
              <w:noProof/>
              <w:sz w:val="20"/>
              <w:szCs w:val="20"/>
              <w:lang w:val="en-US" w:eastAsia="en-US"/>
            </w:rPr>
          </w:pPr>
          <w:hyperlink w:anchor="_Toc24014579" w:history="1">
            <w:r w:rsidR="00DD4469" w:rsidRPr="00DD4469">
              <w:rPr>
                <w:rStyle w:val="Hipervnculo"/>
                <w:rFonts w:eastAsia="MS Mincho"/>
                <w:noProof/>
                <w:sz w:val="20"/>
                <w:szCs w:val="20"/>
              </w:rPr>
              <w:t>D.</w:t>
            </w:r>
            <w:r w:rsidR="00DD4469">
              <w:rPr>
                <w:rFonts w:eastAsiaTheme="minorEastAsia" w:cstheme="minorBidi"/>
                <w:noProof/>
                <w:sz w:val="20"/>
                <w:szCs w:val="20"/>
                <w:lang w:val="en-US" w:eastAsia="en-US"/>
              </w:rPr>
              <w:t xml:space="preserve"> </w:t>
            </w:r>
            <w:r w:rsidR="00DD4469" w:rsidRPr="00DD4469">
              <w:rPr>
                <w:rStyle w:val="Hipervnculo"/>
                <w:rFonts w:eastAsia="MS Mincho"/>
                <w:noProof/>
                <w:sz w:val="20"/>
                <w:szCs w:val="20"/>
              </w:rPr>
              <w:t>Otras medidas solicitadas</w:t>
            </w:r>
            <w:r w:rsidR="00DD4469" w:rsidRPr="00DD4469">
              <w:rPr>
                <w:noProof/>
                <w:webHidden/>
                <w:sz w:val="20"/>
                <w:szCs w:val="20"/>
              </w:rPr>
              <w:tab/>
            </w:r>
            <w:r w:rsidR="00DD4469" w:rsidRPr="00DD4469">
              <w:rPr>
                <w:noProof/>
                <w:webHidden/>
                <w:sz w:val="20"/>
                <w:szCs w:val="20"/>
              </w:rPr>
              <w:fldChar w:fldCharType="begin"/>
            </w:r>
            <w:r w:rsidR="00DD4469" w:rsidRPr="00DD4469">
              <w:rPr>
                <w:noProof/>
                <w:webHidden/>
                <w:sz w:val="20"/>
                <w:szCs w:val="20"/>
              </w:rPr>
              <w:instrText xml:space="preserve"> PAGEREF _Toc24014579 \h </w:instrText>
            </w:r>
            <w:r w:rsidR="00DD4469" w:rsidRPr="00DD4469">
              <w:rPr>
                <w:noProof/>
                <w:webHidden/>
                <w:sz w:val="20"/>
                <w:szCs w:val="20"/>
              </w:rPr>
            </w:r>
            <w:r w:rsidR="00DD4469" w:rsidRPr="00DD4469">
              <w:rPr>
                <w:noProof/>
                <w:webHidden/>
                <w:sz w:val="20"/>
                <w:szCs w:val="20"/>
              </w:rPr>
              <w:fldChar w:fldCharType="separate"/>
            </w:r>
            <w:r w:rsidR="002055E2">
              <w:rPr>
                <w:noProof/>
                <w:webHidden/>
                <w:sz w:val="20"/>
                <w:szCs w:val="20"/>
              </w:rPr>
              <w:t>54</w:t>
            </w:r>
            <w:r w:rsidR="00DD4469" w:rsidRPr="00DD4469">
              <w:rPr>
                <w:noProof/>
                <w:webHidden/>
                <w:sz w:val="20"/>
                <w:szCs w:val="20"/>
              </w:rPr>
              <w:fldChar w:fldCharType="end"/>
            </w:r>
          </w:hyperlink>
        </w:p>
        <w:p w14:paraId="1BC1198F" w14:textId="3255D5F9" w:rsidR="00DD4469" w:rsidRPr="00DD4469" w:rsidRDefault="00656033">
          <w:pPr>
            <w:pStyle w:val="TDC2"/>
            <w:rPr>
              <w:rFonts w:eastAsiaTheme="minorEastAsia" w:cstheme="minorBidi"/>
              <w:noProof/>
              <w:sz w:val="20"/>
              <w:szCs w:val="20"/>
              <w:lang w:val="en-US" w:eastAsia="en-US"/>
            </w:rPr>
          </w:pPr>
          <w:hyperlink w:anchor="_Toc24014580" w:history="1">
            <w:r w:rsidR="00DD4469" w:rsidRPr="00DD4469">
              <w:rPr>
                <w:rStyle w:val="Hipervnculo"/>
                <w:rFonts w:eastAsia="MS Mincho"/>
                <w:noProof/>
                <w:sz w:val="20"/>
                <w:szCs w:val="20"/>
              </w:rPr>
              <w:t>E.</w:t>
            </w:r>
            <w:r w:rsidR="00DD4469">
              <w:rPr>
                <w:rStyle w:val="Hipervnculo"/>
                <w:rFonts w:eastAsia="MS Mincho"/>
                <w:noProof/>
                <w:sz w:val="20"/>
                <w:szCs w:val="20"/>
              </w:rPr>
              <w:t xml:space="preserve"> </w:t>
            </w:r>
            <w:r w:rsidR="00DD4469" w:rsidRPr="00DD4469">
              <w:rPr>
                <w:rStyle w:val="Hipervnculo"/>
                <w:rFonts w:eastAsia="MS Mincho"/>
                <w:noProof/>
                <w:sz w:val="20"/>
                <w:szCs w:val="20"/>
              </w:rPr>
              <w:t>Indemnizaciones compensatorias</w:t>
            </w:r>
            <w:r w:rsidR="00DD4469" w:rsidRPr="00DD4469">
              <w:rPr>
                <w:noProof/>
                <w:webHidden/>
                <w:sz w:val="20"/>
                <w:szCs w:val="20"/>
              </w:rPr>
              <w:tab/>
            </w:r>
            <w:r w:rsidR="00DD4469" w:rsidRPr="00DD4469">
              <w:rPr>
                <w:noProof/>
                <w:webHidden/>
                <w:sz w:val="20"/>
                <w:szCs w:val="20"/>
              </w:rPr>
              <w:fldChar w:fldCharType="begin"/>
            </w:r>
            <w:r w:rsidR="00DD4469" w:rsidRPr="00DD4469">
              <w:rPr>
                <w:noProof/>
                <w:webHidden/>
                <w:sz w:val="20"/>
                <w:szCs w:val="20"/>
              </w:rPr>
              <w:instrText xml:space="preserve"> PAGEREF _Toc24014580 \h </w:instrText>
            </w:r>
            <w:r w:rsidR="00DD4469" w:rsidRPr="00DD4469">
              <w:rPr>
                <w:noProof/>
                <w:webHidden/>
                <w:sz w:val="20"/>
                <w:szCs w:val="20"/>
              </w:rPr>
            </w:r>
            <w:r w:rsidR="00DD4469" w:rsidRPr="00DD4469">
              <w:rPr>
                <w:noProof/>
                <w:webHidden/>
                <w:sz w:val="20"/>
                <w:szCs w:val="20"/>
              </w:rPr>
              <w:fldChar w:fldCharType="separate"/>
            </w:r>
            <w:r w:rsidR="002055E2">
              <w:rPr>
                <w:noProof/>
                <w:webHidden/>
                <w:sz w:val="20"/>
                <w:szCs w:val="20"/>
              </w:rPr>
              <w:t>55</w:t>
            </w:r>
            <w:r w:rsidR="00DD4469" w:rsidRPr="00DD4469">
              <w:rPr>
                <w:noProof/>
                <w:webHidden/>
                <w:sz w:val="20"/>
                <w:szCs w:val="20"/>
              </w:rPr>
              <w:fldChar w:fldCharType="end"/>
            </w:r>
          </w:hyperlink>
        </w:p>
        <w:p w14:paraId="59FE5598" w14:textId="39F119C9" w:rsidR="00DD4469" w:rsidRPr="00DD4469" w:rsidRDefault="00656033">
          <w:pPr>
            <w:pStyle w:val="TDC3"/>
            <w:rPr>
              <w:rFonts w:eastAsiaTheme="minorEastAsia" w:cstheme="minorBidi"/>
              <w:noProof/>
              <w:sz w:val="20"/>
              <w:szCs w:val="20"/>
              <w:lang w:val="en-US" w:eastAsia="en-US"/>
            </w:rPr>
          </w:pPr>
          <w:hyperlink w:anchor="_Toc24014581" w:history="1">
            <w:r w:rsidR="00DD4469" w:rsidRPr="00DD4469">
              <w:rPr>
                <w:rStyle w:val="Hipervnculo"/>
                <w:rFonts w:eastAsia="MS Mincho"/>
                <w:noProof/>
                <w:sz w:val="20"/>
                <w:szCs w:val="20"/>
              </w:rPr>
              <w:t>e.1</w:t>
            </w:r>
            <w:r w:rsidR="00DD4469" w:rsidRPr="00DD4469">
              <w:rPr>
                <w:rFonts w:eastAsiaTheme="minorEastAsia" w:cstheme="minorBidi"/>
                <w:noProof/>
                <w:sz w:val="20"/>
                <w:szCs w:val="20"/>
                <w:lang w:val="en-US" w:eastAsia="en-US"/>
              </w:rPr>
              <w:tab/>
            </w:r>
            <w:r w:rsidR="00DD4469" w:rsidRPr="00DD4469">
              <w:rPr>
                <w:rStyle w:val="Hipervnculo"/>
                <w:rFonts w:eastAsia="MS Mincho"/>
                <w:noProof/>
                <w:sz w:val="20"/>
                <w:szCs w:val="20"/>
              </w:rPr>
              <w:t>Daño material</w:t>
            </w:r>
            <w:r w:rsidR="00DD4469" w:rsidRPr="00DD4469">
              <w:rPr>
                <w:noProof/>
                <w:webHidden/>
                <w:sz w:val="20"/>
                <w:szCs w:val="20"/>
              </w:rPr>
              <w:tab/>
            </w:r>
            <w:r w:rsidR="00DD4469" w:rsidRPr="00DD4469">
              <w:rPr>
                <w:noProof/>
                <w:webHidden/>
                <w:sz w:val="20"/>
                <w:szCs w:val="20"/>
              </w:rPr>
              <w:fldChar w:fldCharType="begin"/>
            </w:r>
            <w:r w:rsidR="00DD4469" w:rsidRPr="00DD4469">
              <w:rPr>
                <w:noProof/>
                <w:webHidden/>
                <w:sz w:val="20"/>
                <w:szCs w:val="20"/>
              </w:rPr>
              <w:instrText xml:space="preserve"> PAGEREF _Toc24014581 \h </w:instrText>
            </w:r>
            <w:r w:rsidR="00DD4469" w:rsidRPr="00DD4469">
              <w:rPr>
                <w:noProof/>
                <w:webHidden/>
                <w:sz w:val="20"/>
                <w:szCs w:val="20"/>
              </w:rPr>
            </w:r>
            <w:r w:rsidR="00DD4469" w:rsidRPr="00DD4469">
              <w:rPr>
                <w:noProof/>
                <w:webHidden/>
                <w:sz w:val="20"/>
                <w:szCs w:val="20"/>
              </w:rPr>
              <w:fldChar w:fldCharType="separate"/>
            </w:r>
            <w:r w:rsidR="002055E2">
              <w:rPr>
                <w:noProof/>
                <w:webHidden/>
                <w:sz w:val="20"/>
                <w:szCs w:val="20"/>
              </w:rPr>
              <w:t>55</w:t>
            </w:r>
            <w:r w:rsidR="00DD4469" w:rsidRPr="00DD4469">
              <w:rPr>
                <w:noProof/>
                <w:webHidden/>
                <w:sz w:val="20"/>
                <w:szCs w:val="20"/>
              </w:rPr>
              <w:fldChar w:fldCharType="end"/>
            </w:r>
          </w:hyperlink>
        </w:p>
        <w:p w14:paraId="0D268F79" w14:textId="002A7949" w:rsidR="00DD4469" w:rsidRPr="00DD4469" w:rsidRDefault="00656033">
          <w:pPr>
            <w:pStyle w:val="TDC3"/>
            <w:rPr>
              <w:rFonts w:eastAsiaTheme="minorEastAsia" w:cstheme="minorBidi"/>
              <w:noProof/>
              <w:sz w:val="20"/>
              <w:szCs w:val="20"/>
              <w:lang w:val="en-US" w:eastAsia="en-US"/>
            </w:rPr>
          </w:pPr>
          <w:hyperlink w:anchor="_Toc24014582" w:history="1">
            <w:r w:rsidR="00DD4469" w:rsidRPr="00DD4469">
              <w:rPr>
                <w:rStyle w:val="Hipervnculo"/>
                <w:rFonts w:eastAsia="MS Mincho"/>
                <w:noProof/>
                <w:sz w:val="20"/>
                <w:szCs w:val="20"/>
              </w:rPr>
              <w:t>e.2</w:t>
            </w:r>
            <w:r w:rsidR="00DD4469" w:rsidRPr="00DD4469">
              <w:rPr>
                <w:rFonts w:eastAsiaTheme="minorEastAsia" w:cstheme="minorBidi"/>
                <w:noProof/>
                <w:sz w:val="20"/>
                <w:szCs w:val="20"/>
                <w:lang w:val="en-US" w:eastAsia="en-US"/>
              </w:rPr>
              <w:tab/>
            </w:r>
            <w:r w:rsidR="00DD4469" w:rsidRPr="00DD4469">
              <w:rPr>
                <w:rStyle w:val="Hipervnculo"/>
                <w:rFonts w:eastAsia="MS Mincho"/>
                <w:noProof/>
                <w:sz w:val="20"/>
                <w:szCs w:val="20"/>
              </w:rPr>
              <w:t>Daño inmaterial</w:t>
            </w:r>
            <w:r w:rsidR="00DD4469" w:rsidRPr="00DD4469">
              <w:rPr>
                <w:noProof/>
                <w:webHidden/>
                <w:sz w:val="20"/>
                <w:szCs w:val="20"/>
              </w:rPr>
              <w:tab/>
            </w:r>
            <w:r w:rsidR="00DD4469" w:rsidRPr="00DD4469">
              <w:rPr>
                <w:noProof/>
                <w:webHidden/>
                <w:sz w:val="20"/>
                <w:szCs w:val="20"/>
              </w:rPr>
              <w:fldChar w:fldCharType="begin"/>
            </w:r>
            <w:r w:rsidR="00DD4469" w:rsidRPr="00DD4469">
              <w:rPr>
                <w:noProof/>
                <w:webHidden/>
                <w:sz w:val="20"/>
                <w:szCs w:val="20"/>
              </w:rPr>
              <w:instrText xml:space="preserve"> PAGEREF _Toc24014582 \h </w:instrText>
            </w:r>
            <w:r w:rsidR="00DD4469" w:rsidRPr="00DD4469">
              <w:rPr>
                <w:noProof/>
                <w:webHidden/>
                <w:sz w:val="20"/>
                <w:szCs w:val="20"/>
              </w:rPr>
            </w:r>
            <w:r w:rsidR="00DD4469" w:rsidRPr="00DD4469">
              <w:rPr>
                <w:noProof/>
                <w:webHidden/>
                <w:sz w:val="20"/>
                <w:szCs w:val="20"/>
              </w:rPr>
              <w:fldChar w:fldCharType="separate"/>
            </w:r>
            <w:r w:rsidR="002055E2">
              <w:rPr>
                <w:noProof/>
                <w:webHidden/>
                <w:sz w:val="20"/>
                <w:szCs w:val="20"/>
              </w:rPr>
              <w:t>55</w:t>
            </w:r>
            <w:r w:rsidR="00DD4469" w:rsidRPr="00DD4469">
              <w:rPr>
                <w:noProof/>
                <w:webHidden/>
                <w:sz w:val="20"/>
                <w:szCs w:val="20"/>
              </w:rPr>
              <w:fldChar w:fldCharType="end"/>
            </w:r>
          </w:hyperlink>
        </w:p>
        <w:p w14:paraId="1B5AD3F9" w14:textId="3A24AF3D" w:rsidR="00DD4469" w:rsidRPr="00DD4469" w:rsidRDefault="00656033">
          <w:pPr>
            <w:pStyle w:val="TDC2"/>
            <w:rPr>
              <w:rFonts w:eastAsiaTheme="minorEastAsia" w:cstheme="minorBidi"/>
              <w:noProof/>
              <w:sz w:val="20"/>
              <w:szCs w:val="20"/>
              <w:lang w:val="en-US" w:eastAsia="en-US"/>
            </w:rPr>
          </w:pPr>
          <w:hyperlink w:anchor="_Toc24014583" w:history="1">
            <w:r w:rsidR="00DD4469" w:rsidRPr="00DD4469">
              <w:rPr>
                <w:rStyle w:val="Hipervnculo"/>
                <w:rFonts w:eastAsia="MS Mincho"/>
                <w:noProof/>
                <w:sz w:val="20"/>
                <w:szCs w:val="20"/>
              </w:rPr>
              <w:t>F.</w:t>
            </w:r>
            <w:r w:rsidR="00DD4469">
              <w:rPr>
                <w:rStyle w:val="Hipervnculo"/>
                <w:rFonts w:eastAsia="MS Mincho"/>
                <w:noProof/>
                <w:sz w:val="20"/>
                <w:szCs w:val="20"/>
              </w:rPr>
              <w:t xml:space="preserve"> </w:t>
            </w:r>
            <w:r w:rsidR="00DD4469" w:rsidRPr="00DD4469">
              <w:rPr>
                <w:rStyle w:val="Hipervnculo"/>
                <w:rFonts w:eastAsia="MS Mincho"/>
                <w:noProof/>
                <w:sz w:val="20"/>
                <w:szCs w:val="20"/>
              </w:rPr>
              <w:t>Costas y Gastos</w:t>
            </w:r>
            <w:r w:rsidR="00DD4469" w:rsidRPr="00DD4469">
              <w:rPr>
                <w:noProof/>
                <w:webHidden/>
                <w:sz w:val="20"/>
                <w:szCs w:val="20"/>
              </w:rPr>
              <w:tab/>
            </w:r>
            <w:r w:rsidR="00DD4469" w:rsidRPr="00DD4469">
              <w:rPr>
                <w:noProof/>
                <w:webHidden/>
                <w:sz w:val="20"/>
                <w:szCs w:val="20"/>
              </w:rPr>
              <w:fldChar w:fldCharType="begin"/>
            </w:r>
            <w:r w:rsidR="00DD4469" w:rsidRPr="00DD4469">
              <w:rPr>
                <w:noProof/>
                <w:webHidden/>
                <w:sz w:val="20"/>
                <w:szCs w:val="20"/>
              </w:rPr>
              <w:instrText xml:space="preserve"> PAGEREF _Toc24014583 \h </w:instrText>
            </w:r>
            <w:r w:rsidR="00DD4469" w:rsidRPr="00DD4469">
              <w:rPr>
                <w:noProof/>
                <w:webHidden/>
                <w:sz w:val="20"/>
                <w:szCs w:val="20"/>
              </w:rPr>
            </w:r>
            <w:r w:rsidR="00DD4469" w:rsidRPr="00DD4469">
              <w:rPr>
                <w:noProof/>
                <w:webHidden/>
                <w:sz w:val="20"/>
                <w:szCs w:val="20"/>
              </w:rPr>
              <w:fldChar w:fldCharType="separate"/>
            </w:r>
            <w:r w:rsidR="002055E2">
              <w:rPr>
                <w:noProof/>
                <w:webHidden/>
                <w:sz w:val="20"/>
                <w:szCs w:val="20"/>
              </w:rPr>
              <w:t>56</w:t>
            </w:r>
            <w:r w:rsidR="00DD4469" w:rsidRPr="00DD4469">
              <w:rPr>
                <w:noProof/>
                <w:webHidden/>
                <w:sz w:val="20"/>
                <w:szCs w:val="20"/>
              </w:rPr>
              <w:fldChar w:fldCharType="end"/>
            </w:r>
          </w:hyperlink>
        </w:p>
        <w:p w14:paraId="0682C815" w14:textId="03CCB285" w:rsidR="00DD4469" w:rsidRPr="00DD4469" w:rsidRDefault="00656033">
          <w:pPr>
            <w:pStyle w:val="TDC2"/>
            <w:rPr>
              <w:rFonts w:eastAsiaTheme="minorEastAsia" w:cstheme="minorBidi"/>
              <w:noProof/>
              <w:sz w:val="20"/>
              <w:szCs w:val="20"/>
              <w:lang w:val="en-US" w:eastAsia="en-US"/>
            </w:rPr>
          </w:pPr>
          <w:hyperlink w:anchor="_Toc24014584" w:history="1">
            <w:r w:rsidR="00DD4469" w:rsidRPr="00DD4469">
              <w:rPr>
                <w:rStyle w:val="Hipervnculo"/>
                <w:rFonts w:eastAsia="MS Mincho"/>
                <w:noProof/>
                <w:sz w:val="20"/>
                <w:szCs w:val="20"/>
              </w:rPr>
              <w:t>G.</w:t>
            </w:r>
            <w:r w:rsidR="00DD4469">
              <w:rPr>
                <w:rFonts w:eastAsiaTheme="minorEastAsia" w:cstheme="minorBidi"/>
                <w:noProof/>
                <w:sz w:val="20"/>
                <w:szCs w:val="20"/>
                <w:lang w:val="en-US" w:eastAsia="en-US"/>
              </w:rPr>
              <w:t xml:space="preserve"> </w:t>
            </w:r>
            <w:r w:rsidR="00DD4469" w:rsidRPr="00DD4469">
              <w:rPr>
                <w:rStyle w:val="Hipervnculo"/>
                <w:rFonts w:eastAsia="MS Mincho"/>
                <w:noProof/>
                <w:sz w:val="20"/>
                <w:szCs w:val="20"/>
              </w:rPr>
              <w:t>Reintegro de los gastos al Fondo de Asistencia Legal de Víctimas de la Corte Interamericana</w:t>
            </w:r>
            <w:r w:rsidR="00DD4469" w:rsidRPr="00DD4469">
              <w:rPr>
                <w:noProof/>
                <w:webHidden/>
                <w:sz w:val="20"/>
                <w:szCs w:val="20"/>
              </w:rPr>
              <w:tab/>
            </w:r>
            <w:r w:rsidR="00DD4469" w:rsidRPr="00DD4469">
              <w:rPr>
                <w:noProof/>
                <w:webHidden/>
                <w:sz w:val="20"/>
                <w:szCs w:val="20"/>
              </w:rPr>
              <w:fldChar w:fldCharType="begin"/>
            </w:r>
            <w:r w:rsidR="00DD4469" w:rsidRPr="00DD4469">
              <w:rPr>
                <w:noProof/>
                <w:webHidden/>
                <w:sz w:val="20"/>
                <w:szCs w:val="20"/>
              </w:rPr>
              <w:instrText xml:space="preserve"> PAGEREF _Toc24014584 \h </w:instrText>
            </w:r>
            <w:r w:rsidR="00DD4469" w:rsidRPr="00DD4469">
              <w:rPr>
                <w:noProof/>
                <w:webHidden/>
                <w:sz w:val="20"/>
                <w:szCs w:val="20"/>
              </w:rPr>
            </w:r>
            <w:r w:rsidR="00DD4469" w:rsidRPr="00DD4469">
              <w:rPr>
                <w:noProof/>
                <w:webHidden/>
                <w:sz w:val="20"/>
                <w:szCs w:val="20"/>
              </w:rPr>
              <w:fldChar w:fldCharType="separate"/>
            </w:r>
            <w:r w:rsidR="002055E2">
              <w:rPr>
                <w:noProof/>
                <w:webHidden/>
                <w:sz w:val="20"/>
                <w:szCs w:val="20"/>
              </w:rPr>
              <w:t>58</w:t>
            </w:r>
            <w:r w:rsidR="00DD4469" w:rsidRPr="00DD4469">
              <w:rPr>
                <w:noProof/>
                <w:webHidden/>
                <w:sz w:val="20"/>
                <w:szCs w:val="20"/>
              </w:rPr>
              <w:fldChar w:fldCharType="end"/>
            </w:r>
          </w:hyperlink>
        </w:p>
        <w:p w14:paraId="62429230" w14:textId="366C83A9" w:rsidR="00DD4469" w:rsidRPr="00DD4469" w:rsidRDefault="00656033">
          <w:pPr>
            <w:pStyle w:val="TDC2"/>
            <w:rPr>
              <w:rFonts w:eastAsiaTheme="minorEastAsia" w:cstheme="minorBidi"/>
              <w:noProof/>
              <w:sz w:val="20"/>
              <w:szCs w:val="20"/>
              <w:lang w:val="en-US" w:eastAsia="en-US"/>
            </w:rPr>
          </w:pPr>
          <w:hyperlink w:anchor="_Toc24014585" w:history="1">
            <w:r w:rsidR="00DD4469" w:rsidRPr="00DD4469">
              <w:rPr>
                <w:rStyle w:val="Hipervnculo"/>
                <w:rFonts w:eastAsia="MS Mincho"/>
                <w:noProof/>
                <w:sz w:val="20"/>
                <w:szCs w:val="20"/>
              </w:rPr>
              <w:t>H.</w:t>
            </w:r>
            <w:r w:rsidR="00DD4469">
              <w:rPr>
                <w:rFonts w:eastAsiaTheme="minorEastAsia" w:cstheme="minorBidi"/>
                <w:noProof/>
                <w:sz w:val="20"/>
                <w:szCs w:val="20"/>
                <w:lang w:val="en-US" w:eastAsia="en-US"/>
              </w:rPr>
              <w:t xml:space="preserve"> </w:t>
            </w:r>
            <w:r w:rsidR="00DD4469" w:rsidRPr="00DD4469">
              <w:rPr>
                <w:rStyle w:val="Hipervnculo"/>
                <w:rFonts w:eastAsia="MS Mincho"/>
                <w:noProof/>
                <w:sz w:val="20"/>
                <w:szCs w:val="20"/>
              </w:rPr>
              <w:t>Modalidad de cumplimiento de los pagos ordenados</w:t>
            </w:r>
            <w:r w:rsidR="00DD4469" w:rsidRPr="00DD4469">
              <w:rPr>
                <w:noProof/>
                <w:webHidden/>
                <w:sz w:val="20"/>
                <w:szCs w:val="20"/>
              </w:rPr>
              <w:tab/>
            </w:r>
            <w:r w:rsidR="00DD4469" w:rsidRPr="00DD4469">
              <w:rPr>
                <w:noProof/>
                <w:webHidden/>
                <w:sz w:val="20"/>
                <w:szCs w:val="20"/>
              </w:rPr>
              <w:fldChar w:fldCharType="begin"/>
            </w:r>
            <w:r w:rsidR="00DD4469" w:rsidRPr="00DD4469">
              <w:rPr>
                <w:noProof/>
                <w:webHidden/>
                <w:sz w:val="20"/>
                <w:szCs w:val="20"/>
              </w:rPr>
              <w:instrText xml:space="preserve"> PAGEREF _Toc24014585 \h </w:instrText>
            </w:r>
            <w:r w:rsidR="00DD4469" w:rsidRPr="00DD4469">
              <w:rPr>
                <w:noProof/>
                <w:webHidden/>
                <w:sz w:val="20"/>
                <w:szCs w:val="20"/>
              </w:rPr>
            </w:r>
            <w:r w:rsidR="00DD4469" w:rsidRPr="00DD4469">
              <w:rPr>
                <w:noProof/>
                <w:webHidden/>
                <w:sz w:val="20"/>
                <w:szCs w:val="20"/>
              </w:rPr>
              <w:fldChar w:fldCharType="separate"/>
            </w:r>
            <w:r w:rsidR="002055E2">
              <w:rPr>
                <w:noProof/>
                <w:webHidden/>
                <w:sz w:val="20"/>
                <w:szCs w:val="20"/>
              </w:rPr>
              <w:t>59</w:t>
            </w:r>
            <w:r w:rsidR="00DD4469" w:rsidRPr="00DD4469">
              <w:rPr>
                <w:noProof/>
                <w:webHidden/>
                <w:sz w:val="20"/>
                <w:szCs w:val="20"/>
              </w:rPr>
              <w:fldChar w:fldCharType="end"/>
            </w:r>
          </w:hyperlink>
        </w:p>
        <w:p w14:paraId="2EEF1CFF" w14:textId="3791C336" w:rsidR="00DD4469" w:rsidRPr="00DD4469" w:rsidRDefault="00656033">
          <w:pPr>
            <w:pStyle w:val="TDC1"/>
            <w:rPr>
              <w:rFonts w:eastAsiaTheme="minorEastAsia" w:cstheme="minorBidi"/>
              <w:b w:val="0"/>
              <w:lang w:val="en-US" w:eastAsia="en-US"/>
            </w:rPr>
          </w:pPr>
          <w:hyperlink w:anchor="_Toc24014586" w:history="1">
            <w:r w:rsidR="00DD4469" w:rsidRPr="00DD4469">
              <w:rPr>
                <w:rStyle w:val="Hipervnculo"/>
              </w:rPr>
              <w:t>X PUNTOS RESOLUTIVOS</w:t>
            </w:r>
            <w:r w:rsidR="00DD4469" w:rsidRPr="00DD4469">
              <w:rPr>
                <w:webHidden/>
              </w:rPr>
              <w:tab/>
            </w:r>
            <w:r w:rsidR="00DD4469" w:rsidRPr="00DD4469">
              <w:rPr>
                <w:webHidden/>
              </w:rPr>
              <w:fldChar w:fldCharType="begin"/>
            </w:r>
            <w:r w:rsidR="00DD4469" w:rsidRPr="00DD4469">
              <w:rPr>
                <w:webHidden/>
              </w:rPr>
              <w:instrText xml:space="preserve"> PAGEREF _Toc24014586 \h </w:instrText>
            </w:r>
            <w:r w:rsidR="00DD4469" w:rsidRPr="00DD4469">
              <w:rPr>
                <w:webHidden/>
              </w:rPr>
            </w:r>
            <w:r w:rsidR="00DD4469" w:rsidRPr="00DD4469">
              <w:rPr>
                <w:webHidden/>
              </w:rPr>
              <w:fldChar w:fldCharType="separate"/>
            </w:r>
            <w:r w:rsidR="002055E2">
              <w:rPr>
                <w:webHidden/>
              </w:rPr>
              <w:t>59</w:t>
            </w:r>
            <w:r w:rsidR="00DD4469" w:rsidRPr="00DD4469">
              <w:rPr>
                <w:webHidden/>
              </w:rPr>
              <w:fldChar w:fldCharType="end"/>
            </w:r>
          </w:hyperlink>
        </w:p>
        <w:p w14:paraId="2A2409F3" w14:textId="77777777" w:rsidR="003C5D40" w:rsidRPr="0064597D" w:rsidRDefault="003C5D40" w:rsidP="003C5D40">
          <w:pPr>
            <w:spacing w:line="240" w:lineRule="auto"/>
            <w:rPr>
              <w:sz w:val="20"/>
              <w:szCs w:val="20"/>
            </w:rPr>
          </w:pPr>
          <w:r w:rsidRPr="00DD4469">
            <w:rPr>
              <w:b/>
              <w:bCs/>
              <w:noProof/>
              <w:sz w:val="20"/>
              <w:szCs w:val="20"/>
            </w:rPr>
            <w:fldChar w:fldCharType="end"/>
          </w:r>
        </w:p>
      </w:sdtContent>
    </w:sdt>
    <w:p w14:paraId="439E8046" w14:textId="77777777" w:rsidR="00EA52BD" w:rsidRPr="0064597D" w:rsidRDefault="00EA52BD" w:rsidP="00755998">
      <w:pPr>
        <w:widowControl/>
        <w:adjustRightInd/>
        <w:spacing w:line="240" w:lineRule="auto"/>
        <w:jc w:val="left"/>
        <w:textAlignment w:val="auto"/>
        <w:rPr>
          <w:rFonts w:cs="Verdana"/>
          <w:b/>
          <w:bCs/>
          <w:caps/>
          <w:snapToGrid w:val="0"/>
          <w:sz w:val="20"/>
          <w:szCs w:val="20"/>
        </w:rPr>
      </w:pPr>
      <w:r w:rsidRPr="0064597D">
        <w:rPr>
          <w:rFonts w:cs="Verdana"/>
          <w:b/>
          <w:bCs/>
          <w:caps/>
          <w:snapToGrid w:val="0"/>
          <w:sz w:val="20"/>
          <w:szCs w:val="20"/>
        </w:rPr>
        <w:br w:type="page"/>
      </w:r>
    </w:p>
    <w:p w14:paraId="32ABE4D5" w14:textId="77777777" w:rsidR="00731D3E" w:rsidRPr="0064597D" w:rsidRDefault="00731D3E" w:rsidP="002F4F08">
      <w:pPr>
        <w:pStyle w:val="Ttulo1"/>
      </w:pPr>
      <w:bookmarkStart w:id="0" w:name="_Toc24014525"/>
      <w:r w:rsidRPr="0064597D">
        <w:lastRenderedPageBreak/>
        <w:t>I</w:t>
      </w:r>
      <w:r w:rsidRPr="0064597D">
        <w:br/>
        <w:t>INTRODUCCIÓN DE LA CAUSA Y OBJETO DE LA CONTROVERSIA</w:t>
      </w:r>
      <w:bookmarkEnd w:id="0"/>
    </w:p>
    <w:p w14:paraId="07768C56" w14:textId="5D460BCE" w:rsidR="00604E7C" w:rsidRPr="0064597D" w:rsidRDefault="00731D3E" w:rsidP="00604E7C">
      <w:pPr>
        <w:numPr>
          <w:ilvl w:val="0"/>
          <w:numId w:val="1"/>
        </w:numPr>
        <w:tabs>
          <w:tab w:val="left" w:pos="567"/>
          <w:tab w:val="num" w:pos="1569"/>
          <w:tab w:val="num" w:pos="12305"/>
        </w:tabs>
        <w:spacing w:line="240" w:lineRule="auto"/>
        <w:ind w:left="0" w:firstLine="0"/>
        <w:rPr>
          <w:rFonts w:eastAsiaTheme="minorHAnsi"/>
          <w:sz w:val="20"/>
          <w:szCs w:val="20"/>
          <w:lang w:eastAsia="en-US"/>
        </w:rPr>
      </w:pPr>
      <w:r w:rsidRPr="0064597D">
        <w:rPr>
          <w:i/>
          <w:sz w:val="20"/>
          <w:szCs w:val="20"/>
        </w:rPr>
        <w:t xml:space="preserve">El caso sometido a la Corte. </w:t>
      </w:r>
      <w:r w:rsidRPr="0064597D">
        <w:rPr>
          <w:sz w:val="20"/>
          <w:szCs w:val="20"/>
        </w:rPr>
        <w:t xml:space="preserve">– </w:t>
      </w:r>
      <w:r w:rsidR="00604E7C" w:rsidRPr="0064597D">
        <w:rPr>
          <w:sz w:val="20"/>
          <w:szCs w:val="20"/>
        </w:rPr>
        <w:t xml:space="preserve">El 30 de noviembre de 2017 la Comisión Interamericana de </w:t>
      </w:r>
      <w:r w:rsidR="00604E7C" w:rsidRPr="001A2991">
        <w:rPr>
          <w:sz w:val="20"/>
          <w:szCs w:val="20"/>
        </w:rPr>
        <w:t>Derechos</w:t>
      </w:r>
      <w:r w:rsidR="00604E7C" w:rsidRPr="0064597D">
        <w:rPr>
          <w:sz w:val="20"/>
          <w:szCs w:val="20"/>
        </w:rPr>
        <w:t xml:space="preserve"> Humanos (en adelante “la Comisión Interamericana” o “la Comisión”) sometió a la jurisdicción de la Corte Interamericana el caso “Hugo Humberto Ruiz Fuentes y Familia” contra la República de Guatemala (en adelante “el Estado de Guatemala”, “el Estado guatemalteco”, “el Estado” o “Guatemala”). De acuerdo con lo indicado por la Comisión, el caso se relaciona con</w:t>
      </w:r>
      <w:r w:rsidR="00604E7C" w:rsidRPr="0064597D">
        <w:rPr>
          <w:rFonts w:eastAsia="Times"/>
          <w:sz w:val="20"/>
          <w:szCs w:val="20"/>
        </w:rPr>
        <w:t xml:space="preserve"> </w:t>
      </w:r>
      <w:r w:rsidR="00604E7C" w:rsidRPr="0064597D">
        <w:rPr>
          <w:sz w:val="20"/>
          <w:szCs w:val="20"/>
        </w:rPr>
        <w:t xml:space="preserve">una supuesta serie de violaciones al debido proceso cometidas en el marco del proceso penal contra el señor Ruiz Fuentes por el delito de secuestro que culminó en su condena a pena de muerte, así como con </w:t>
      </w:r>
      <w:r w:rsidR="006F5C3E" w:rsidRPr="0064597D">
        <w:rPr>
          <w:sz w:val="20"/>
          <w:szCs w:val="20"/>
        </w:rPr>
        <w:t xml:space="preserve">las </w:t>
      </w:r>
      <w:r w:rsidR="00604E7C" w:rsidRPr="0064597D">
        <w:rPr>
          <w:sz w:val="20"/>
          <w:szCs w:val="20"/>
        </w:rPr>
        <w:t>alegadas torturas perpetradas en el momento de la detención</w:t>
      </w:r>
      <w:r w:rsidR="00A06A51" w:rsidRPr="0064597D">
        <w:rPr>
          <w:sz w:val="20"/>
          <w:szCs w:val="20"/>
        </w:rPr>
        <w:t xml:space="preserve"> y la alegada ejecución extrajudicial d</w:t>
      </w:r>
      <w:r w:rsidR="00604E7C" w:rsidRPr="0064597D">
        <w:rPr>
          <w:sz w:val="20"/>
          <w:szCs w:val="20"/>
        </w:rPr>
        <w:t xml:space="preserve">el señor Ruiz Fuentes luego que se fugara de la cárcel en </w:t>
      </w:r>
      <w:r w:rsidR="006F5C3E" w:rsidRPr="0064597D">
        <w:rPr>
          <w:sz w:val="20"/>
          <w:szCs w:val="20"/>
        </w:rPr>
        <w:t xml:space="preserve">el año </w:t>
      </w:r>
      <w:r w:rsidR="00604E7C" w:rsidRPr="0064597D">
        <w:rPr>
          <w:sz w:val="20"/>
          <w:szCs w:val="20"/>
        </w:rPr>
        <w:t xml:space="preserve">2005. </w:t>
      </w:r>
      <w:r w:rsidR="00604E7C" w:rsidRPr="0064597D">
        <w:rPr>
          <w:rFonts w:eastAsiaTheme="minorHAnsi"/>
          <w:sz w:val="20"/>
          <w:szCs w:val="20"/>
          <w:lang w:eastAsia="en-US"/>
        </w:rPr>
        <w:t xml:space="preserve">Igualmente, la Comisión concluyó que el Estado violó el derecho a la vida por imponer la pena de muerte en un procedimiento que no respetó el debido proceso y porque amplió las conductas castigadas con pena de muerte de manera contraria al artículo 4.2 de la Convención Americana. La Comisión también concluyó que el Estado cometió tratos crueles, inhumanos y degradantes en contra de la víctima porque permaneció por más de 6 años y 5 meses a la espera de que se ejecutara su condena, configurándose el fenómeno de </w:t>
      </w:r>
      <w:r w:rsidR="00440CDD" w:rsidRPr="0064597D">
        <w:rPr>
          <w:rFonts w:eastAsiaTheme="minorHAnsi"/>
          <w:sz w:val="20"/>
          <w:szCs w:val="20"/>
          <w:lang w:eastAsia="en-US"/>
        </w:rPr>
        <w:t>“</w:t>
      </w:r>
      <w:r w:rsidR="00604E7C" w:rsidRPr="0064597D">
        <w:rPr>
          <w:rFonts w:eastAsiaTheme="minorHAnsi"/>
          <w:sz w:val="20"/>
          <w:szCs w:val="20"/>
          <w:lang w:eastAsia="en-US"/>
        </w:rPr>
        <w:t>corredor de la muerte</w:t>
      </w:r>
      <w:r w:rsidR="00440CDD" w:rsidRPr="0064597D">
        <w:rPr>
          <w:rFonts w:eastAsiaTheme="minorHAnsi"/>
          <w:sz w:val="20"/>
          <w:szCs w:val="20"/>
          <w:lang w:eastAsia="en-US"/>
        </w:rPr>
        <w:t>”</w:t>
      </w:r>
      <w:r w:rsidR="00604E7C" w:rsidRPr="0064597D">
        <w:rPr>
          <w:rFonts w:eastAsiaTheme="minorHAnsi"/>
          <w:sz w:val="20"/>
          <w:szCs w:val="20"/>
          <w:lang w:eastAsia="en-US"/>
        </w:rPr>
        <w:t xml:space="preserve">. Por otra parte, la </w:t>
      </w:r>
      <w:r w:rsidR="00440CDD" w:rsidRPr="0064597D">
        <w:rPr>
          <w:rFonts w:eastAsiaTheme="minorHAnsi"/>
          <w:sz w:val="20"/>
          <w:szCs w:val="20"/>
          <w:lang w:eastAsia="en-US"/>
        </w:rPr>
        <w:t>Comisión</w:t>
      </w:r>
      <w:r w:rsidR="00604E7C" w:rsidRPr="0064597D">
        <w:rPr>
          <w:rFonts w:eastAsiaTheme="minorHAnsi"/>
          <w:sz w:val="20"/>
          <w:szCs w:val="20"/>
          <w:lang w:eastAsia="en-US"/>
        </w:rPr>
        <w:t xml:space="preserve"> determinó que</w:t>
      </w:r>
      <w:r w:rsidR="00AB77A2" w:rsidRPr="0064597D">
        <w:rPr>
          <w:rFonts w:eastAsiaTheme="minorHAnsi"/>
          <w:sz w:val="20"/>
          <w:szCs w:val="20"/>
          <w:lang w:eastAsia="en-US"/>
        </w:rPr>
        <w:t>,</w:t>
      </w:r>
      <w:r w:rsidR="00604E7C" w:rsidRPr="0064597D">
        <w:rPr>
          <w:rFonts w:eastAsiaTheme="minorHAnsi"/>
          <w:sz w:val="20"/>
          <w:szCs w:val="20"/>
          <w:lang w:eastAsia="en-US"/>
        </w:rPr>
        <w:t xml:space="preserve"> pese a las denuncias</w:t>
      </w:r>
      <w:r w:rsidR="0035451B">
        <w:rPr>
          <w:rFonts w:eastAsiaTheme="minorHAnsi"/>
          <w:sz w:val="20"/>
          <w:szCs w:val="20"/>
          <w:lang w:eastAsia="en-US"/>
        </w:rPr>
        <w:t xml:space="preserve"> presentadas</w:t>
      </w:r>
      <w:r w:rsidR="00604E7C" w:rsidRPr="0064597D">
        <w:rPr>
          <w:rFonts w:eastAsiaTheme="minorHAnsi"/>
          <w:sz w:val="20"/>
          <w:szCs w:val="20"/>
          <w:lang w:eastAsia="en-US"/>
        </w:rPr>
        <w:t>, el Estado Guatemalteco no ha</w:t>
      </w:r>
      <w:r w:rsidR="006F5C3E" w:rsidRPr="0064597D">
        <w:rPr>
          <w:rFonts w:eastAsiaTheme="minorHAnsi"/>
          <w:sz w:val="20"/>
          <w:szCs w:val="20"/>
          <w:lang w:eastAsia="en-US"/>
        </w:rPr>
        <w:t>bría</w:t>
      </w:r>
      <w:r w:rsidR="00604E7C" w:rsidRPr="0064597D">
        <w:rPr>
          <w:rFonts w:eastAsiaTheme="minorHAnsi"/>
          <w:sz w:val="20"/>
          <w:szCs w:val="20"/>
          <w:lang w:eastAsia="en-US"/>
        </w:rPr>
        <w:t xml:space="preserve"> realizado una investigación </w:t>
      </w:r>
      <w:r w:rsidR="00A06A51" w:rsidRPr="0064597D">
        <w:rPr>
          <w:rFonts w:eastAsiaTheme="minorHAnsi"/>
          <w:sz w:val="20"/>
          <w:szCs w:val="20"/>
          <w:lang w:eastAsia="en-US"/>
        </w:rPr>
        <w:t>sobre las alegadas torturas de las que fue víctima el señor Ruiz Fuentes</w:t>
      </w:r>
      <w:r w:rsidR="00440CDD" w:rsidRPr="0064597D">
        <w:rPr>
          <w:rFonts w:eastAsiaTheme="minorHAnsi"/>
          <w:sz w:val="20"/>
          <w:szCs w:val="20"/>
          <w:lang w:eastAsia="en-US"/>
        </w:rPr>
        <w:t>.</w:t>
      </w:r>
      <w:r w:rsidR="00A06A51" w:rsidRPr="0064597D">
        <w:rPr>
          <w:rFonts w:eastAsiaTheme="minorHAnsi"/>
          <w:sz w:val="20"/>
          <w:szCs w:val="20"/>
          <w:lang w:eastAsia="en-US"/>
        </w:rPr>
        <w:t xml:space="preserve"> </w:t>
      </w:r>
      <w:r w:rsidR="00604E7C" w:rsidRPr="0064597D">
        <w:rPr>
          <w:rFonts w:eastAsiaTheme="minorHAnsi"/>
          <w:sz w:val="20"/>
          <w:szCs w:val="20"/>
          <w:lang w:eastAsia="en-US"/>
        </w:rPr>
        <w:t>Asimismo, concluyó que la investigación penal por la muerte de la víctima no ha</w:t>
      </w:r>
      <w:r w:rsidR="006F5C3E" w:rsidRPr="0064597D">
        <w:rPr>
          <w:rFonts w:eastAsiaTheme="minorHAnsi"/>
          <w:sz w:val="20"/>
          <w:szCs w:val="20"/>
          <w:lang w:eastAsia="en-US"/>
        </w:rPr>
        <w:t>bía</w:t>
      </w:r>
      <w:r w:rsidR="00604E7C" w:rsidRPr="0064597D">
        <w:rPr>
          <w:rFonts w:eastAsiaTheme="minorHAnsi"/>
          <w:sz w:val="20"/>
          <w:szCs w:val="20"/>
          <w:lang w:eastAsia="en-US"/>
        </w:rPr>
        <w:t xml:space="preserve"> sido diligente ni efectiva para esclarecer los hechos en un plazo razonable.</w:t>
      </w:r>
    </w:p>
    <w:p w14:paraId="69F26142" w14:textId="77777777" w:rsidR="00731D3E" w:rsidRPr="0064597D" w:rsidRDefault="00731D3E" w:rsidP="00731D3E">
      <w:pPr>
        <w:pStyle w:val="Prrafodelista"/>
        <w:spacing w:line="240" w:lineRule="auto"/>
        <w:ind w:left="0"/>
        <w:rPr>
          <w:sz w:val="20"/>
          <w:szCs w:val="20"/>
        </w:rPr>
      </w:pPr>
    </w:p>
    <w:p w14:paraId="128A0CA7" w14:textId="77777777" w:rsidR="00731D3E" w:rsidRPr="0064597D" w:rsidRDefault="00731D3E" w:rsidP="00310CFF">
      <w:pPr>
        <w:numPr>
          <w:ilvl w:val="0"/>
          <w:numId w:val="1"/>
        </w:numPr>
        <w:tabs>
          <w:tab w:val="left" w:pos="567"/>
          <w:tab w:val="num" w:pos="1569"/>
          <w:tab w:val="num" w:pos="12305"/>
        </w:tabs>
        <w:spacing w:line="240" w:lineRule="auto"/>
        <w:ind w:left="0" w:firstLine="0"/>
        <w:rPr>
          <w:sz w:val="20"/>
          <w:szCs w:val="20"/>
        </w:rPr>
      </w:pPr>
      <w:bookmarkStart w:id="1" w:name="_Ref15466599"/>
      <w:r w:rsidRPr="0064597D">
        <w:rPr>
          <w:i/>
          <w:sz w:val="20"/>
          <w:szCs w:val="20"/>
        </w:rPr>
        <w:t>Trámite ante la Comisión.</w:t>
      </w:r>
      <w:r w:rsidRPr="0064597D">
        <w:rPr>
          <w:sz w:val="20"/>
          <w:szCs w:val="20"/>
        </w:rPr>
        <w:t xml:space="preserve"> – El trámite ante la Comisión fue el siguiente:</w:t>
      </w:r>
      <w:bookmarkEnd w:id="1"/>
    </w:p>
    <w:p w14:paraId="551416D1" w14:textId="77777777" w:rsidR="00731D3E" w:rsidRPr="0064597D" w:rsidRDefault="00731D3E" w:rsidP="009A03A1">
      <w:pPr>
        <w:pStyle w:val="Prrafodelista"/>
        <w:spacing w:line="240" w:lineRule="auto"/>
        <w:rPr>
          <w:sz w:val="20"/>
          <w:szCs w:val="20"/>
        </w:rPr>
      </w:pPr>
    </w:p>
    <w:p w14:paraId="7EBC39F2" w14:textId="229809EE" w:rsidR="00604E7C" w:rsidRPr="0064597D" w:rsidRDefault="00731D3E" w:rsidP="00604E7C">
      <w:pPr>
        <w:pStyle w:val="Prrafodelista"/>
        <w:widowControl/>
        <w:numPr>
          <w:ilvl w:val="0"/>
          <w:numId w:val="2"/>
        </w:numPr>
        <w:adjustRightInd/>
        <w:spacing w:line="240" w:lineRule="auto"/>
        <w:textAlignment w:val="auto"/>
        <w:rPr>
          <w:sz w:val="20"/>
          <w:szCs w:val="20"/>
        </w:rPr>
      </w:pPr>
      <w:r w:rsidRPr="0064597D">
        <w:rPr>
          <w:i/>
          <w:sz w:val="20"/>
          <w:szCs w:val="20"/>
        </w:rPr>
        <w:t xml:space="preserve">Petición. </w:t>
      </w:r>
      <w:r w:rsidRPr="0064597D">
        <w:rPr>
          <w:sz w:val="20"/>
          <w:szCs w:val="20"/>
        </w:rPr>
        <w:t xml:space="preserve">– </w:t>
      </w:r>
      <w:r w:rsidR="00604E7C" w:rsidRPr="0064597D">
        <w:rPr>
          <w:sz w:val="20"/>
          <w:szCs w:val="20"/>
        </w:rPr>
        <w:t xml:space="preserve">El 2 de enero de 2003, </w:t>
      </w:r>
      <w:r w:rsidR="0035451B">
        <w:rPr>
          <w:sz w:val="20"/>
          <w:szCs w:val="20"/>
        </w:rPr>
        <w:t>lo</w:t>
      </w:r>
      <w:r w:rsidR="00F115A2" w:rsidRPr="0064597D">
        <w:rPr>
          <w:sz w:val="20"/>
          <w:szCs w:val="20"/>
        </w:rPr>
        <w:t>s representantes</w:t>
      </w:r>
      <w:r w:rsidR="00604E7C" w:rsidRPr="0064597D">
        <w:rPr>
          <w:sz w:val="20"/>
          <w:szCs w:val="20"/>
        </w:rPr>
        <w:t xml:space="preserve"> (en adelante “los peticionarios”) presentaron la petición inicial ante la Comisión.</w:t>
      </w:r>
      <w:r w:rsidR="00604E7C" w:rsidRPr="0064597D">
        <w:rPr>
          <w:b/>
          <w:sz w:val="20"/>
          <w:szCs w:val="20"/>
        </w:rPr>
        <w:t xml:space="preserve"> </w:t>
      </w:r>
    </w:p>
    <w:p w14:paraId="1607F9F2" w14:textId="77777777" w:rsidR="00604E7C" w:rsidRPr="0064597D" w:rsidRDefault="00604E7C" w:rsidP="00604E7C">
      <w:pPr>
        <w:pStyle w:val="Prrafodelista"/>
        <w:widowControl/>
        <w:adjustRightInd/>
        <w:spacing w:line="240" w:lineRule="auto"/>
        <w:ind w:left="720"/>
        <w:textAlignment w:val="auto"/>
        <w:rPr>
          <w:sz w:val="20"/>
          <w:szCs w:val="20"/>
        </w:rPr>
      </w:pPr>
    </w:p>
    <w:p w14:paraId="4B0C644C" w14:textId="58FDC0FB" w:rsidR="00604E7C" w:rsidRPr="0064597D" w:rsidRDefault="00604E7C" w:rsidP="00604E7C">
      <w:pPr>
        <w:pStyle w:val="Prrafodelista"/>
        <w:widowControl/>
        <w:numPr>
          <w:ilvl w:val="0"/>
          <w:numId w:val="2"/>
        </w:numPr>
        <w:adjustRightInd/>
        <w:spacing w:line="240" w:lineRule="auto"/>
        <w:textAlignment w:val="auto"/>
        <w:rPr>
          <w:sz w:val="20"/>
          <w:szCs w:val="20"/>
        </w:rPr>
      </w:pPr>
      <w:r w:rsidRPr="0064597D">
        <w:rPr>
          <w:i/>
          <w:sz w:val="20"/>
          <w:szCs w:val="20"/>
        </w:rPr>
        <w:t xml:space="preserve">Medidas provisionales. </w:t>
      </w:r>
      <w:r w:rsidRPr="0064597D">
        <w:rPr>
          <w:sz w:val="20"/>
          <w:szCs w:val="20"/>
        </w:rPr>
        <w:t xml:space="preserve">– </w:t>
      </w:r>
      <w:r w:rsidRPr="0064597D">
        <w:rPr>
          <w:rFonts w:eastAsiaTheme="minorHAnsi"/>
          <w:sz w:val="20"/>
          <w:szCs w:val="20"/>
          <w:lang w:eastAsia="en-US"/>
        </w:rPr>
        <w:t>A solicitud de la Comisión, el 30 de agosto de 2004 la Corte resolvió requerir al Estado de Guatemala que “adopte, sin dilación, las medidas necesarias para proteger la vida de Ronald Ernesto Raxcacó Reyes, Hugo Humberto Ruiz Fuentes, Bernardino Rodríguez Lara y Pablo Arturo Ruiz Almengor a fin de no obstaculizar el trámite de sus casos ante el sistema interamericano de protección de los derechos humanos</w:t>
      </w:r>
      <w:r w:rsidR="00AC0854" w:rsidRPr="0064597D">
        <w:rPr>
          <w:rFonts w:eastAsiaTheme="minorHAnsi"/>
          <w:sz w:val="20"/>
          <w:szCs w:val="20"/>
          <w:lang w:eastAsia="en-US"/>
        </w:rPr>
        <w:t>”</w:t>
      </w:r>
      <w:r w:rsidR="00AC0854" w:rsidRPr="0064597D">
        <w:rPr>
          <w:rStyle w:val="Refdenotaalpie"/>
          <w:rFonts w:eastAsiaTheme="minorHAnsi"/>
          <w:sz w:val="20"/>
          <w:szCs w:val="20"/>
          <w:lang w:eastAsia="en-US"/>
        </w:rPr>
        <w:t xml:space="preserve"> </w:t>
      </w:r>
      <w:r w:rsidR="00AC0854" w:rsidRPr="0064597D">
        <w:rPr>
          <w:rStyle w:val="Refdenotaalpie"/>
          <w:rFonts w:eastAsiaTheme="minorHAnsi"/>
          <w:sz w:val="20"/>
          <w:szCs w:val="20"/>
          <w:lang w:eastAsia="en-US"/>
        </w:rPr>
        <w:footnoteReference w:id="3"/>
      </w:r>
      <w:r w:rsidRPr="0064597D">
        <w:rPr>
          <w:rFonts w:eastAsiaTheme="minorHAnsi"/>
          <w:sz w:val="20"/>
          <w:szCs w:val="20"/>
          <w:lang w:eastAsia="en-US"/>
        </w:rPr>
        <w:t xml:space="preserve">. El 8 de noviembre de 2005 el Estado informó a la Corte que en octubre de 2005 diecinueve reos, entre quienes se encontraba el señor Ruiz Fuentes, habían escapado de la cárcel de alta seguridad de Escuintla. El 16 de noviembre de 2005 </w:t>
      </w:r>
      <w:r w:rsidR="0035451B">
        <w:rPr>
          <w:rFonts w:eastAsiaTheme="minorHAnsi"/>
          <w:sz w:val="20"/>
          <w:szCs w:val="20"/>
          <w:lang w:eastAsia="en-US"/>
        </w:rPr>
        <w:t>lo</w:t>
      </w:r>
      <w:r w:rsidR="00F115A2" w:rsidRPr="0064597D">
        <w:rPr>
          <w:rFonts w:eastAsiaTheme="minorHAnsi"/>
          <w:sz w:val="20"/>
          <w:szCs w:val="20"/>
          <w:lang w:eastAsia="en-US"/>
        </w:rPr>
        <w:t xml:space="preserve">s </w:t>
      </w:r>
      <w:r w:rsidR="0035451B">
        <w:rPr>
          <w:rFonts w:eastAsiaTheme="minorHAnsi"/>
          <w:sz w:val="20"/>
          <w:szCs w:val="20"/>
          <w:lang w:eastAsia="en-US"/>
        </w:rPr>
        <w:t>peticionarios</w:t>
      </w:r>
      <w:r w:rsidRPr="0064597D">
        <w:rPr>
          <w:rFonts w:eastAsiaTheme="minorHAnsi"/>
          <w:sz w:val="20"/>
          <w:szCs w:val="20"/>
          <w:lang w:eastAsia="en-US"/>
        </w:rPr>
        <w:t xml:space="preserve"> informaron que el señor Ruiz Fuentes</w:t>
      </w:r>
      <w:r w:rsidR="004B122B" w:rsidRPr="0064597D">
        <w:rPr>
          <w:rFonts w:eastAsiaTheme="minorHAnsi"/>
          <w:sz w:val="20"/>
          <w:szCs w:val="20"/>
          <w:lang w:eastAsia="en-US"/>
        </w:rPr>
        <w:t xml:space="preserve"> había sido ejecutado al momento de su captura</w:t>
      </w:r>
      <w:r w:rsidRPr="0064597D">
        <w:rPr>
          <w:rFonts w:eastAsiaTheme="minorHAnsi"/>
          <w:sz w:val="20"/>
          <w:szCs w:val="20"/>
          <w:lang w:eastAsia="en-US"/>
        </w:rPr>
        <w:t xml:space="preserve">. En vista de </w:t>
      </w:r>
      <w:r w:rsidR="004B122B" w:rsidRPr="0064597D">
        <w:rPr>
          <w:rFonts w:eastAsiaTheme="minorHAnsi"/>
          <w:sz w:val="20"/>
          <w:szCs w:val="20"/>
          <w:lang w:eastAsia="en-US"/>
        </w:rPr>
        <w:t xml:space="preserve">lo anterior </w:t>
      </w:r>
      <w:r w:rsidRPr="0064597D">
        <w:rPr>
          <w:rFonts w:eastAsiaTheme="minorHAnsi"/>
          <w:sz w:val="20"/>
          <w:szCs w:val="20"/>
          <w:lang w:eastAsia="en-US"/>
        </w:rPr>
        <w:t>el 4 de julio de 2006 la Corte resolvió levantar las medidas provisionales a su favor</w:t>
      </w:r>
      <w:r w:rsidRPr="0064597D">
        <w:rPr>
          <w:rStyle w:val="Refdenotaalpie"/>
          <w:rFonts w:eastAsiaTheme="minorHAnsi"/>
          <w:sz w:val="20"/>
          <w:szCs w:val="20"/>
          <w:lang w:eastAsia="en-US"/>
        </w:rPr>
        <w:footnoteReference w:id="4"/>
      </w:r>
      <w:r w:rsidRPr="0064597D">
        <w:rPr>
          <w:rFonts w:eastAsiaTheme="minorHAnsi"/>
          <w:sz w:val="20"/>
          <w:szCs w:val="20"/>
          <w:lang w:eastAsia="en-US"/>
        </w:rPr>
        <w:t xml:space="preserve">. </w:t>
      </w:r>
    </w:p>
    <w:p w14:paraId="357097F8" w14:textId="77777777" w:rsidR="00604E7C" w:rsidRPr="0064597D" w:rsidRDefault="00604E7C" w:rsidP="00604E7C">
      <w:pPr>
        <w:widowControl/>
        <w:adjustRightInd/>
        <w:spacing w:line="240" w:lineRule="auto"/>
        <w:textAlignment w:val="auto"/>
        <w:rPr>
          <w:sz w:val="20"/>
          <w:szCs w:val="20"/>
          <w:highlight w:val="yellow"/>
        </w:rPr>
      </w:pPr>
    </w:p>
    <w:p w14:paraId="3B82CF33" w14:textId="2E836816" w:rsidR="00604E7C" w:rsidRPr="0064597D" w:rsidRDefault="00731D3E" w:rsidP="00604E7C">
      <w:pPr>
        <w:pStyle w:val="Prrafodelista"/>
        <w:widowControl/>
        <w:numPr>
          <w:ilvl w:val="0"/>
          <w:numId w:val="2"/>
        </w:numPr>
        <w:adjustRightInd/>
        <w:spacing w:line="240" w:lineRule="auto"/>
        <w:textAlignment w:val="auto"/>
        <w:rPr>
          <w:sz w:val="20"/>
          <w:szCs w:val="20"/>
        </w:rPr>
      </w:pPr>
      <w:r w:rsidRPr="0064597D">
        <w:rPr>
          <w:i/>
          <w:sz w:val="20"/>
          <w:szCs w:val="20"/>
        </w:rPr>
        <w:t>Informe de admisibilidad.</w:t>
      </w:r>
      <w:r w:rsidRPr="0064597D">
        <w:rPr>
          <w:sz w:val="20"/>
          <w:szCs w:val="20"/>
        </w:rPr>
        <w:t xml:space="preserve"> - </w:t>
      </w:r>
      <w:r w:rsidR="00604E7C" w:rsidRPr="0064597D">
        <w:rPr>
          <w:sz w:val="20"/>
          <w:szCs w:val="20"/>
        </w:rPr>
        <w:t>El 5 de marzo de 2008 la Comisión aprobó el Informe de Admisibilidad No. 14/07, en el que concluyó que la petición era admisible</w:t>
      </w:r>
      <w:r w:rsidR="00604E7C" w:rsidRPr="0064597D">
        <w:rPr>
          <w:rStyle w:val="Refdenotaalpie"/>
          <w:sz w:val="20"/>
          <w:szCs w:val="20"/>
        </w:rPr>
        <w:footnoteReference w:id="5"/>
      </w:r>
      <w:r w:rsidR="00604E7C" w:rsidRPr="0064597D">
        <w:rPr>
          <w:sz w:val="20"/>
          <w:szCs w:val="20"/>
        </w:rPr>
        <w:t xml:space="preserve">. </w:t>
      </w:r>
    </w:p>
    <w:p w14:paraId="2453A3A8" w14:textId="77777777" w:rsidR="00731D3E" w:rsidRPr="0064597D" w:rsidRDefault="00731D3E" w:rsidP="00731D3E">
      <w:pPr>
        <w:spacing w:line="240" w:lineRule="auto"/>
        <w:rPr>
          <w:sz w:val="20"/>
          <w:szCs w:val="20"/>
        </w:rPr>
      </w:pPr>
    </w:p>
    <w:p w14:paraId="7C4983AF" w14:textId="0198C856" w:rsidR="00604E7C" w:rsidRPr="0064597D" w:rsidRDefault="00731D3E" w:rsidP="000E3A01">
      <w:pPr>
        <w:pStyle w:val="Prrafodelista"/>
        <w:widowControl/>
        <w:numPr>
          <w:ilvl w:val="0"/>
          <w:numId w:val="2"/>
        </w:numPr>
        <w:adjustRightInd/>
        <w:spacing w:line="240" w:lineRule="auto"/>
        <w:textAlignment w:val="auto"/>
        <w:rPr>
          <w:sz w:val="20"/>
          <w:szCs w:val="20"/>
        </w:rPr>
      </w:pPr>
      <w:r w:rsidRPr="0064597D">
        <w:rPr>
          <w:i/>
          <w:sz w:val="20"/>
          <w:szCs w:val="20"/>
        </w:rPr>
        <w:t>Informe de Fondo.</w:t>
      </w:r>
      <w:r w:rsidRPr="0064597D">
        <w:rPr>
          <w:sz w:val="20"/>
          <w:szCs w:val="20"/>
        </w:rPr>
        <w:t xml:space="preserve"> – </w:t>
      </w:r>
      <w:r w:rsidR="00604E7C" w:rsidRPr="0064597D">
        <w:rPr>
          <w:sz w:val="20"/>
          <w:szCs w:val="20"/>
        </w:rPr>
        <w:t xml:space="preserve">El 30 de julio de 2017 la Comisión aprobó el Informe de Fondo No. 94/17, de conformidad con el artículo 50 de la Convención (en adelante también “el Informe de </w:t>
      </w:r>
      <w:r w:rsidR="00604E7C" w:rsidRPr="0064597D">
        <w:rPr>
          <w:sz w:val="20"/>
          <w:szCs w:val="20"/>
        </w:rPr>
        <w:lastRenderedPageBreak/>
        <w:t>Fondo” o “el Informe No. 94/17”), en el cual llegó a una serie de conclusiones</w:t>
      </w:r>
      <w:r w:rsidR="00604E7C" w:rsidRPr="0064597D">
        <w:rPr>
          <w:rStyle w:val="Refdenotaalpie"/>
          <w:sz w:val="20"/>
          <w:szCs w:val="20"/>
        </w:rPr>
        <w:footnoteReference w:id="6"/>
      </w:r>
      <w:r w:rsidR="00604E7C" w:rsidRPr="0064597D">
        <w:rPr>
          <w:sz w:val="20"/>
          <w:szCs w:val="20"/>
        </w:rPr>
        <w:t>, y formuló varias recomendaciones al Estado</w:t>
      </w:r>
      <w:r w:rsidR="008E7868" w:rsidRPr="0064597D">
        <w:rPr>
          <w:rStyle w:val="Refdenotaalpie"/>
          <w:sz w:val="20"/>
          <w:szCs w:val="20"/>
          <w:vertAlign w:val="baseline"/>
        </w:rPr>
        <w:t>.</w:t>
      </w:r>
      <w:r w:rsidR="00604E7C" w:rsidRPr="0064597D">
        <w:rPr>
          <w:sz w:val="20"/>
          <w:szCs w:val="20"/>
        </w:rPr>
        <w:t xml:space="preserve"> </w:t>
      </w:r>
    </w:p>
    <w:p w14:paraId="086167EC" w14:textId="77777777" w:rsidR="000E3A01" w:rsidRPr="0064597D" w:rsidRDefault="000E3A01" w:rsidP="000E3A01">
      <w:pPr>
        <w:pStyle w:val="Prrafodelista"/>
        <w:widowControl/>
        <w:adjustRightInd/>
        <w:spacing w:line="240" w:lineRule="auto"/>
        <w:ind w:left="720"/>
        <w:textAlignment w:val="auto"/>
        <w:rPr>
          <w:sz w:val="20"/>
          <w:szCs w:val="20"/>
        </w:rPr>
      </w:pPr>
    </w:p>
    <w:p w14:paraId="1FE53D06" w14:textId="1BDC7625" w:rsidR="00604E7C" w:rsidRPr="0064597D" w:rsidRDefault="00604E7C" w:rsidP="00D0432D">
      <w:pPr>
        <w:widowControl/>
        <w:numPr>
          <w:ilvl w:val="0"/>
          <w:numId w:val="2"/>
        </w:numPr>
        <w:tabs>
          <w:tab w:val="left" w:pos="567"/>
          <w:tab w:val="num" w:pos="1569"/>
          <w:tab w:val="num" w:pos="12305"/>
        </w:tabs>
        <w:adjustRightInd/>
        <w:spacing w:line="240" w:lineRule="auto"/>
        <w:textAlignment w:val="auto"/>
        <w:rPr>
          <w:sz w:val="20"/>
          <w:szCs w:val="20"/>
        </w:rPr>
      </w:pPr>
      <w:r w:rsidRPr="0064597D">
        <w:rPr>
          <w:i/>
          <w:sz w:val="20"/>
          <w:szCs w:val="20"/>
        </w:rPr>
        <w:t>Notificación al Estado.</w:t>
      </w:r>
      <w:r w:rsidRPr="0064597D">
        <w:rPr>
          <w:sz w:val="20"/>
          <w:szCs w:val="20"/>
        </w:rPr>
        <w:t xml:space="preserve"> – El Informe de Fondo fue notificado al Estado el 30 de agosto </w:t>
      </w:r>
      <w:r w:rsidR="00A91B30" w:rsidRPr="0064597D">
        <w:rPr>
          <w:sz w:val="20"/>
          <w:szCs w:val="20"/>
        </w:rPr>
        <w:t xml:space="preserve">de 2017. </w:t>
      </w:r>
      <w:r w:rsidRPr="0064597D">
        <w:rPr>
          <w:sz w:val="20"/>
          <w:szCs w:val="20"/>
        </w:rPr>
        <w:t xml:space="preserve">El Estado </w:t>
      </w:r>
      <w:r w:rsidR="004F2579" w:rsidRPr="0064597D">
        <w:rPr>
          <w:sz w:val="20"/>
          <w:szCs w:val="20"/>
        </w:rPr>
        <w:t>guatemalteco</w:t>
      </w:r>
      <w:r w:rsidRPr="0064597D">
        <w:rPr>
          <w:sz w:val="20"/>
          <w:szCs w:val="20"/>
        </w:rPr>
        <w:t xml:space="preserve"> no presentó una respuesta en el plazo indicado por la Comisión. </w:t>
      </w:r>
    </w:p>
    <w:p w14:paraId="3862C80D" w14:textId="77777777" w:rsidR="00604E7C" w:rsidRPr="0064597D" w:rsidRDefault="00604E7C" w:rsidP="00604E7C">
      <w:pPr>
        <w:pStyle w:val="Prrafodelista"/>
        <w:spacing w:line="240" w:lineRule="auto"/>
        <w:rPr>
          <w:sz w:val="20"/>
          <w:szCs w:val="20"/>
          <w:highlight w:val="yellow"/>
        </w:rPr>
      </w:pPr>
    </w:p>
    <w:p w14:paraId="40A16F64" w14:textId="77777777" w:rsidR="00604E7C" w:rsidRPr="0064597D" w:rsidRDefault="00604E7C" w:rsidP="00A91B30">
      <w:pPr>
        <w:numPr>
          <w:ilvl w:val="0"/>
          <w:numId w:val="1"/>
        </w:numPr>
        <w:tabs>
          <w:tab w:val="left" w:pos="567"/>
          <w:tab w:val="num" w:pos="1569"/>
          <w:tab w:val="num" w:pos="12305"/>
        </w:tabs>
        <w:spacing w:line="240" w:lineRule="auto"/>
        <w:ind w:left="0" w:firstLine="0"/>
        <w:rPr>
          <w:sz w:val="20"/>
          <w:szCs w:val="20"/>
        </w:rPr>
      </w:pPr>
      <w:r w:rsidRPr="0064597D">
        <w:rPr>
          <w:i/>
          <w:sz w:val="20"/>
          <w:szCs w:val="20"/>
        </w:rPr>
        <w:t>Sometimiento a la Corte.</w:t>
      </w:r>
      <w:r w:rsidRPr="0064597D">
        <w:rPr>
          <w:sz w:val="20"/>
          <w:szCs w:val="20"/>
        </w:rPr>
        <w:t xml:space="preserve"> – El 30 de noviembre de 2017 la Comisión sometió a la jurisdicción de la Corte Interamericana la totalidad de los hechos y violaciones de derechos humanos descritos en el informe de fondo “por la necesidad de obtención de justicia y reparación”</w:t>
      </w:r>
      <w:r w:rsidRPr="0064597D">
        <w:rPr>
          <w:rStyle w:val="Refdenotaalpie"/>
          <w:sz w:val="20"/>
          <w:szCs w:val="20"/>
        </w:rPr>
        <w:footnoteReference w:id="7"/>
      </w:r>
      <w:r w:rsidRPr="0064597D">
        <w:rPr>
          <w:sz w:val="20"/>
          <w:szCs w:val="20"/>
        </w:rPr>
        <w:t>.</w:t>
      </w:r>
    </w:p>
    <w:p w14:paraId="0C3B32E9" w14:textId="77777777" w:rsidR="00604E7C" w:rsidRPr="0064597D" w:rsidRDefault="00604E7C" w:rsidP="00604E7C">
      <w:pPr>
        <w:tabs>
          <w:tab w:val="left" w:pos="567"/>
        </w:tabs>
        <w:spacing w:line="240" w:lineRule="auto"/>
        <w:rPr>
          <w:sz w:val="20"/>
          <w:szCs w:val="20"/>
        </w:rPr>
      </w:pPr>
    </w:p>
    <w:p w14:paraId="561CD77B" w14:textId="055FA4B0" w:rsidR="00604E7C" w:rsidRPr="0064597D" w:rsidRDefault="00604E7C" w:rsidP="00604E7C">
      <w:pPr>
        <w:numPr>
          <w:ilvl w:val="0"/>
          <w:numId w:val="1"/>
        </w:numPr>
        <w:tabs>
          <w:tab w:val="left" w:pos="567"/>
          <w:tab w:val="num" w:pos="1569"/>
          <w:tab w:val="num" w:pos="12305"/>
        </w:tabs>
        <w:spacing w:line="240" w:lineRule="auto"/>
        <w:ind w:left="0" w:firstLine="0"/>
        <w:rPr>
          <w:sz w:val="20"/>
          <w:szCs w:val="20"/>
        </w:rPr>
      </w:pPr>
      <w:r w:rsidRPr="0064597D">
        <w:rPr>
          <w:i/>
          <w:sz w:val="20"/>
          <w:szCs w:val="20"/>
        </w:rPr>
        <w:t xml:space="preserve">Solicitudes de la Comisión Interamericana. </w:t>
      </w:r>
      <w:r w:rsidRPr="0064597D">
        <w:rPr>
          <w:sz w:val="20"/>
          <w:szCs w:val="20"/>
        </w:rPr>
        <w:t xml:space="preserve">– Con base en lo anterior, la Comisión solicitó a la Corte que declarara la responsabilidad internacional del Estado por las mismas violaciones señaladas en su Informe de Fondo. Asimismo, la Comisión solicitó a la Corte que ordenara al Estado medidas de reparación, las cuales se detallan y analizan en el Capítulo </w:t>
      </w:r>
      <w:r w:rsidR="00A91B30" w:rsidRPr="0064597D">
        <w:rPr>
          <w:sz w:val="20"/>
          <w:szCs w:val="20"/>
        </w:rPr>
        <w:t>IX</w:t>
      </w:r>
      <w:r w:rsidRPr="0064597D">
        <w:rPr>
          <w:sz w:val="20"/>
          <w:szCs w:val="20"/>
        </w:rPr>
        <w:t xml:space="preserve"> de la presente Sentencia.</w:t>
      </w:r>
    </w:p>
    <w:p w14:paraId="2B83646C" w14:textId="77777777" w:rsidR="00731D3E" w:rsidRPr="0064597D" w:rsidRDefault="00731D3E" w:rsidP="002F4F08">
      <w:pPr>
        <w:pStyle w:val="Ttulo1"/>
      </w:pPr>
      <w:bookmarkStart w:id="2" w:name="_Toc24014526"/>
      <w:r w:rsidRPr="0064597D">
        <w:t>II</w:t>
      </w:r>
      <w:r w:rsidRPr="0064597D">
        <w:br/>
        <w:t>PROCEDIMIENTO ANTE LA CORTE</w:t>
      </w:r>
      <w:bookmarkEnd w:id="2"/>
    </w:p>
    <w:p w14:paraId="6AB05BCC" w14:textId="73AD1FC3" w:rsidR="00604E7C" w:rsidRPr="0064597D" w:rsidRDefault="00604E7C" w:rsidP="00604E7C">
      <w:pPr>
        <w:numPr>
          <w:ilvl w:val="0"/>
          <w:numId w:val="1"/>
        </w:numPr>
        <w:tabs>
          <w:tab w:val="left" w:pos="567"/>
          <w:tab w:val="num" w:pos="1569"/>
          <w:tab w:val="num" w:pos="12305"/>
        </w:tabs>
        <w:spacing w:line="240" w:lineRule="auto"/>
        <w:ind w:left="0" w:firstLine="0"/>
        <w:rPr>
          <w:sz w:val="20"/>
          <w:szCs w:val="20"/>
        </w:rPr>
      </w:pPr>
      <w:r w:rsidRPr="0064597D">
        <w:rPr>
          <w:i/>
          <w:sz w:val="20"/>
          <w:szCs w:val="20"/>
        </w:rPr>
        <w:t xml:space="preserve">Notificación a </w:t>
      </w:r>
      <w:r w:rsidR="00F115A2" w:rsidRPr="0064597D">
        <w:rPr>
          <w:i/>
          <w:sz w:val="20"/>
          <w:szCs w:val="20"/>
        </w:rPr>
        <w:t>las representantes</w:t>
      </w:r>
      <w:r w:rsidRPr="0064597D">
        <w:rPr>
          <w:i/>
          <w:sz w:val="20"/>
          <w:szCs w:val="20"/>
        </w:rPr>
        <w:t xml:space="preserve"> y al Estado. </w:t>
      </w:r>
      <w:r w:rsidRPr="0064597D">
        <w:rPr>
          <w:sz w:val="20"/>
          <w:szCs w:val="20"/>
        </w:rPr>
        <w:t xml:space="preserve">– El sometimiento del caso por parte de la Comisión fue notificado por la Corte a </w:t>
      </w:r>
      <w:r w:rsidR="00F115A2" w:rsidRPr="0064597D">
        <w:rPr>
          <w:sz w:val="20"/>
          <w:szCs w:val="20"/>
        </w:rPr>
        <w:t>las representantes</w:t>
      </w:r>
      <w:r w:rsidRPr="0064597D">
        <w:rPr>
          <w:sz w:val="20"/>
          <w:szCs w:val="20"/>
        </w:rPr>
        <w:t xml:space="preserve"> de las presuntas víctimas</w:t>
      </w:r>
      <w:r w:rsidRPr="0064597D">
        <w:rPr>
          <w:rStyle w:val="Refdenotaalpie"/>
          <w:sz w:val="20"/>
          <w:szCs w:val="20"/>
        </w:rPr>
        <w:footnoteReference w:id="8"/>
      </w:r>
      <w:r w:rsidRPr="0064597D">
        <w:rPr>
          <w:sz w:val="20"/>
          <w:szCs w:val="20"/>
        </w:rPr>
        <w:t xml:space="preserve"> (en adelante “</w:t>
      </w:r>
      <w:r w:rsidR="00F115A2" w:rsidRPr="0064597D">
        <w:rPr>
          <w:sz w:val="20"/>
          <w:szCs w:val="20"/>
        </w:rPr>
        <w:t>las representantes</w:t>
      </w:r>
      <w:r w:rsidRPr="0064597D">
        <w:rPr>
          <w:sz w:val="20"/>
          <w:szCs w:val="20"/>
        </w:rPr>
        <w:t>”) y al Estado el 12 de febrero de 2018.</w:t>
      </w:r>
      <w:r w:rsidRPr="0064597D">
        <w:rPr>
          <w:b/>
          <w:sz w:val="20"/>
          <w:szCs w:val="20"/>
        </w:rPr>
        <w:t xml:space="preserve"> </w:t>
      </w:r>
      <w:bookmarkStart w:id="3" w:name="para7"/>
    </w:p>
    <w:p w14:paraId="0ABE95C7" w14:textId="77777777" w:rsidR="00604E7C" w:rsidRPr="0064597D" w:rsidRDefault="00604E7C" w:rsidP="00604E7C">
      <w:pPr>
        <w:tabs>
          <w:tab w:val="left" w:pos="567"/>
        </w:tabs>
        <w:spacing w:line="240" w:lineRule="auto"/>
        <w:rPr>
          <w:sz w:val="20"/>
          <w:szCs w:val="20"/>
          <w:highlight w:val="yellow"/>
        </w:rPr>
      </w:pPr>
    </w:p>
    <w:p w14:paraId="4C849FA6" w14:textId="1CA390CE" w:rsidR="00604E7C" w:rsidRPr="0064597D" w:rsidRDefault="00604E7C" w:rsidP="00604E7C">
      <w:pPr>
        <w:numPr>
          <w:ilvl w:val="0"/>
          <w:numId w:val="1"/>
        </w:numPr>
        <w:tabs>
          <w:tab w:val="left" w:pos="567"/>
          <w:tab w:val="num" w:pos="1569"/>
          <w:tab w:val="num" w:pos="12305"/>
        </w:tabs>
        <w:spacing w:line="240" w:lineRule="auto"/>
        <w:ind w:left="0" w:firstLine="0"/>
        <w:rPr>
          <w:sz w:val="20"/>
          <w:szCs w:val="20"/>
        </w:rPr>
      </w:pPr>
      <w:r w:rsidRPr="0064597D">
        <w:rPr>
          <w:i/>
          <w:sz w:val="20"/>
          <w:szCs w:val="20"/>
        </w:rPr>
        <w:t>Escrito de solicitudes, argumentos y pruebas.</w:t>
      </w:r>
      <w:r w:rsidRPr="0064597D">
        <w:rPr>
          <w:sz w:val="20"/>
          <w:szCs w:val="20"/>
        </w:rPr>
        <w:t xml:space="preserve"> – El 13 de abril de 2018 </w:t>
      </w:r>
      <w:r w:rsidR="00F115A2" w:rsidRPr="0064597D">
        <w:rPr>
          <w:sz w:val="20"/>
          <w:szCs w:val="20"/>
        </w:rPr>
        <w:t>las representantes</w:t>
      </w:r>
      <w:r w:rsidRPr="0064597D">
        <w:rPr>
          <w:sz w:val="20"/>
          <w:szCs w:val="20"/>
        </w:rPr>
        <w:t xml:space="preserve"> presentaron ante la Corte su escrito de solicitudes, argumentos y pruebas (en adelante “escrito de solicitudes y argumentos” o “ESAP”). </w:t>
      </w:r>
      <w:r w:rsidR="00F115A2" w:rsidRPr="0064597D">
        <w:rPr>
          <w:sz w:val="20"/>
          <w:szCs w:val="20"/>
        </w:rPr>
        <w:t>Las representantes</w:t>
      </w:r>
      <w:r w:rsidRPr="0064597D">
        <w:rPr>
          <w:sz w:val="20"/>
          <w:szCs w:val="20"/>
        </w:rPr>
        <w:t xml:space="preserve"> coincidieron sustancialmente con los alegatos de la Comisión y solicitaron a la Corte que declarara la responsabilidad internacional del Estado por la violación de los mismos artículos alegados por la Comisión y, adicionalmente, la violación de los artículos 7.1, 7.2, 7.3, 7.4 y 7.5 en relación con el artículo 1.1 de la Convención Americana en perjuicio de Hu</w:t>
      </w:r>
      <w:r w:rsidR="006F5C3E" w:rsidRPr="0064597D">
        <w:rPr>
          <w:sz w:val="20"/>
          <w:szCs w:val="20"/>
        </w:rPr>
        <w:t xml:space="preserve">go Humberto Ruiz Fuentes. </w:t>
      </w:r>
      <w:r w:rsidRPr="0064597D">
        <w:rPr>
          <w:sz w:val="20"/>
          <w:szCs w:val="20"/>
        </w:rPr>
        <w:t>Asimismo, las</w:t>
      </w:r>
      <w:r w:rsidR="0035451B">
        <w:rPr>
          <w:sz w:val="20"/>
          <w:szCs w:val="20"/>
        </w:rPr>
        <w:t xml:space="preserve"> presuntas víctimas solicitaron</w:t>
      </w:r>
      <w:r w:rsidRPr="0064597D">
        <w:rPr>
          <w:sz w:val="20"/>
          <w:szCs w:val="20"/>
        </w:rPr>
        <w:t xml:space="preserve"> a través</w:t>
      </w:r>
      <w:r w:rsidR="0035451B">
        <w:rPr>
          <w:sz w:val="20"/>
          <w:szCs w:val="20"/>
        </w:rPr>
        <w:t xml:space="preserve"> de sus representantes acogerse</w:t>
      </w:r>
      <w:r w:rsidRPr="0064597D">
        <w:rPr>
          <w:sz w:val="20"/>
          <w:szCs w:val="20"/>
        </w:rPr>
        <w:t xml:space="preserve"> al Fondo de Asistencia Legal de Víctimas de la Corte Interamericana (en adelante “Fondo de Asistencia de la Corte” o el “Fondo”). Finalmente, solicitaron a la Corte que ordenara al Estado la adopción de diversas medidas de reparación y el reintegro de determinadas costas y gastos. </w:t>
      </w:r>
    </w:p>
    <w:bookmarkEnd w:id="3"/>
    <w:p w14:paraId="16ED9187" w14:textId="77777777" w:rsidR="00604E7C" w:rsidRPr="0064597D" w:rsidRDefault="00604E7C" w:rsidP="00604E7C">
      <w:pPr>
        <w:pStyle w:val="Prrafodelista"/>
        <w:spacing w:line="240" w:lineRule="auto"/>
        <w:rPr>
          <w:sz w:val="20"/>
          <w:szCs w:val="20"/>
          <w:highlight w:val="yellow"/>
        </w:rPr>
      </w:pPr>
    </w:p>
    <w:p w14:paraId="32F4A2F0" w14:textId="3A1BB687" w:rsidR="00604E7C" w:rsidRPr="0064597D" w:rsidRDefault="00604E7C" w:rsidP="00AB77A2">
      <w:pPr>
        <w:numPr>
          <w:ilvl w:val="0"/>
          <w:numId w:val="1"/>
        </w:numPr>
        <w:tabs>
          <w:tab w:val="left" w:pos="567"/>
          <w:tab w:val="num" w:pos="1569"/>
          <w:tab w:val="num" w:pos="12305"/>
        </w:tabs>
        <w:spacing w:line="240" w:lineRule="auto"/>
        <w:ind w:left="0" w:firstLine="0"/>
        <w:rPr>
          <w:sz w:val="20"/>
          <w:szCs w:val="20"/>
        </w:rPr>
      </w:pPr>
      <w:r w:rsidRPr="0064597D">
        <w:rPr>
          <w:i/>
          <w:sz w:val="20"/>
          <w:szCs w:val="20"/>
        </w:rPr>
        <w:t>Escrito de contestación.</w:t>
      </w:r>
      <w:r w:rsidRPr="0064597D">
        <w:rPr>
          <w:sz w:val="20"/>
          <w:szCs w:val="20"/>
        </w:rPr>
        <w:t xml:space="preserve"> </w:t>
      </w:r>
      <w:r w:rsidRPr="0064597D">
        <w:rPr>
          <w:i/>
          <w:sz w:val="20"/>
          <w:szCs w:val="20"/>
        </w:rPr>
        <w:t xml:space="preserve">– </w:t>
      </w:r>
      <w:r w:rsidRPr="0064597D">
        <w:rPr>
          <w:sz w:val="20"/>
          <w:szCs w:val="20"/>
        </w:rPr>
        <w:t xml:space="preserve">El 14 de agosto de 2018 el Estado presentó ante la Corte su escrito de contestación al sometimiento e informe de fondo de la Comisión Interamericana y al escrito de solicitudes, argumentos y pruebas de </w:t>
      </w:r>
      <w:r w:rsidR="00F115A2" w:rsidRPr="0064597D">
        <w:rPr>
          <w:sz w:val="20"/>
          <w:szCs w:val="20"/>
        </w:rPr>
        <w:t>las representantes</w:t>
      </w:r>
      <w:r w:rsidRPr="0064597D">
        <w:rPr>
          <w:sz w:val="20"/>
          <w:szCs w:val="20"/>
        </w:rPr>
        <w:t xml:space="preserve"> (en adelante “escrito de contestación”). En dicho escrito, el Estado interpuso una excepción preliminar de cosa juzgada y se opuso a las violaciones alegadas y a las solicitudes de medidas de reparación.</w:t>
      </w:r>
      <w:r w:rsidRPr="0064597D">
        <w:rPr>
          <w:b/>
          <w:sz w:val="20"/>
          <w:szCs w:val="20"/>
        </w:rPr>
        <w:t xml:space="preserve"> </w:t>
      </w:r>
    </w:p>
    <w:p w14:paraId="6E1BA22F" w14:textId="77777777" w:rsidR="00604E7C" w:rsidRPr="0064597D" w:rsidRDefault="00604E7C" w:rsidP="00604E7C">
      <w:pPr>
        <w:spacing w:line="240" w:lineRule="auto"/>
        <w:rPr>
          <w:sz w:val="20"/>
          <w:szCs w:val="20"/>
          <w:highlight w:val="yellow"/>
        </w:rPr>
      </w:pPr>
    </w:p>
    <w:p w14:paraId="1F963146" w14:textId="2D870F4D" w:rsidR="00604E7C" w:rsidRPr="0064597D" w:rsidRDefault="00604E7C" w:rsidP="00977E3C">
      <w:pPr>
        <w:numPr>
          <w:ilvl w:val="0"/>
          <w:numId w:val="1"/>
        </w:numPr>
        <w:tabs>
          <w:tab w:val="left" w:pos="567"/>
          <w:tab w:val="num" w:pos="1569"/>
          <w:tab w:val="num" w:pos="12305"/>
        </w:tabs>
        <w:spacing w:line="240" w:lineRule="auto"/>
        <w:ind w:left="0" w:firstLine="0"/>
        <w:rPr>
          <w:i/>
          <w:sz w:val="20"/>
          <w:szCs w:val="20"/>
        </w:rPr>
      </w:pPr>
      <w:r w:rsidRPr="0064597D">
        <w:rPr>
          <w:i/>
          <w:sz w:val="20"/>
          <w:szCs w:val="20"/>
        </w:rPr>
        <w:t>Observaciones a las excepciones preliminares.</w:t>
      </w:r>
      <w:r w:rsidRPr="0064597D">
        <w:rPr>
          <w:sz w:val="20"/>
          <w:szCs w:val="20"/>
        </w:rPr>
        <w:t xml:space="preserve"> </w:t>
      </w:r>
      <w:r w:rsidRPr="0064597D">
        <w:rPr>
          <w:i/>
          <w:sz w:val="20"/>
          <w:szCs w:val="20"/>
        </w:rPr>
        <w:t xml:space="preserve">– </w:t>
      </w:r>
      <w:r w:rsidRPr="0064597D">
        <w:rPr>
          <w:sz w:val="20"/>
          <w:szCs w:val="20"/>
        </w:rPr>
        <w:t xml:space="preserve">El 4 de octubre de 2018, la Comisión presentó </w:t>
      </w:r>
      <w:r w:rsidRPr="0064597D">
        <w:rPr>
          <w:sz w:val="20"/>
          <w:szCs w:val="20"/>
        </w:rPr>
        <w:lastRenderedPageBreak/>
        <w:t xml:space="preserve">sus observaciones a la excepción preliminar interpuesta por el Estado. El 18 octubre de 2018, </w:t>
      </w:r>
      <w:r w:rsidR="00F115A2" w:rsidRPr="0064597D">
        <w:rPr>
          <w:sz w:val="20"/>
          <w:szCs w:val="20"/>
        </w:rPr>
        <w:t>las representantes</w:t>
      </w:r>
      <w:r w:rsidRPr="0064597D">
        <w:rPr>
          <w:sz w:val="20"/>
          <w:szCs w:val="20"/>
        </w:rPr>
        <w:t xml:space="preserve"> presentaron sus </w:t>
      </w:r>
      <w:r w:rsidR="0035451B">
        <w:rPr>
          <w:sz w:val="20"/>
          <w:szCs w:val="20"/>
        </w:rPr>
        <w:t>respectivas observaciones.</w:t>
      </w:r>
    </w:p>
    <w:p w14:paraId="27F93EEB" w14:textId="77777777" w:rsidR="00FB6984" w:rsidRPr="0064597D" w:rsidRDefault="00FB6984" w:rsidP="00FB6984">
      <w:pPr>
        <w:tabs>
          <w:tab w:val="left" w:pos="567"/>
          <w:tab w:val="num" w:pos="12305"/>
        </w:tabs>
        <w:spacing w:line="240" w:lineRule="auto"/>
        <w:rPr>
          <w:i/>
          <w:sz w:val="20"/>
          <w:szCs w:val="20"/>
          <w:highlight w:val="yellow"/>
        </w:rPr>
      </w:pPr>
    </w:p>
    <w:p w14:paraId="5FED12CF" w14:textId="7F610C42" w:rsidR="00604E7C" w:rsidRPr="0064597D" w:rsidRDefault="00604E7C" w:rsidP="00604E7C">
      <w:pPr>
        <w:numPr>
          <w:ilvl w:val="0"/>
          <w:numId w:val="1"/>
        </w:numPr>
        <w:tabs>
          <w:tab w:val="left" w:pos="567"/>
          <w:tab w:val="num" w:pos="1569"/>
          <w:tab w:val="num" w:pos="12305"/>
        </w:tabs>
        <w:spacing w:line="240" w:lineRule="auto"/>
        <w:ind w:left="0" w:firstLine="0"/>
        <w:rPr>
          <w:sz w:val="20"/>
          <w:szCs w:val="20"/>
        </w:rPr>
      </w:pPr>
      <w:r w:rsidRPr="0064597D">
        <w:rPr>
          <w:i/>
          <w:sz w:val="20"/>
          <w:szCs w:val="20"/>
        </w:rPr>
        <w:t xml:space="preserve">Fondo de Asistencia Legal de Víctimas. </w:t>
      </w:r>
      <w:r w:rsidRPr="0064597D">
        <w:rPr>
          <w:sz w:val="20"/>
          <w:szCs w:val="20"/>
        </w:rPr>
        <w:t xml:space="preserve">– Mediante comunicación de la Secretaría de la Corte </w:t>
      </w:r>
      <w:r w:rsidR="0035451B">
        <w:rPr>
          <w:sz w:val="20"/>
          <w:szCs w:val="20"/>
        </w:rPr>
        <w:t>de</w:t>
      </w:r>
      <w:r w:rsidRPr="0064597D">
        <w:rPr>
          <w:sz w:val="20"/>
          <w:szCs w:val="20"/>
        </w:rPr>
        <w:t xml:space="preserve"> 12 de octubre de 2018 se declaró procedente la solicitud interpuesta por las presuntas víctimas, a través de sus representantes, para acogerse al Fondo de Asistencia de la Corte.</w:t>
      </w:r>
      <w:r w:rsidRPr="0064597D">
        <w:rPr>
          <w:b/>
          <w:sz w:val="20"/>
          <w:szCs w:val="20"/>
        </w:rPr>
        <w:t xml:space="preserve"> </w:t>
      </w:r>
    </w:p>
    <w:p w14:paraId="196E55BA" w14:textId="77777777" w:rsidR="00FB6984" w:rsidRPr="0064597D" w:rsidRDefault="00FB6984" w:rsidP="00FB6984">
      <w:pPr>
        <w:tabs>
          <w:tab w:val="left" w:pos="567"/>
        </w:tabs>
        <w:spacing w:line="240" w:lineRule="auto"/>
        <w:rPr>
          <w:b/>
          <w:sz w:val="20"/>
          <w:szCs w:val="20"/>
        </w:rPr>
      </w:pPr>
    </w:p>
    <w:p w14:paraId="44D3EEDB" w14:textId="0C3D256F" w:rsidR="00604E7C" w:rsidRPr="0064597D" w:rsidRDefault="00604E7C" w:rsidP="00B002DC">
      <w:pPr>
        <w:numPr>
          <w:ilvl w:val="0"/>
          <w:numId w:val="1"/>
        </w:numPr>
        <w:tabs>
          <w:tab w:val="left" w:pos="567"/>
          <w:tab w:val="num" w:pos="1569"/>
          <w:tab w:val="num" w:pos="12305"/>
        </w:tabs>
        <w:spacing w:line="240" w:lineRule="auto"/>
        <w:ind w:left="0" w:firstLine="0"/>
        <w:rPr>
          <w:sz w:val="20"/>
          <w:szCs w:val="20"/>
        </w:rPr>
      </w:pPr>
      <w:r w:rsidRPr="0064597D">
        <w:rPr>
          <w:i/>
          <w:sz w:val="20"/>
          <w:szCs w:val="20"/>
        </w:rPr>
        <w:t xml:space="preserve">Audiencia Pública. </w:t>
      </w:r>
      <w:r w:rsidRPr="0064597D">
        <w:rPr>
          <w:sz w:val="20"/>
          <w:szCs w:val="20"/>
        </w:rPr>
        <w:t>– Mediante Resolución de 14 de febrero de 2019</w:t>
      </w:r>
      <w:r w:rsidRPr="0064597D">
        <w:rPr>
          <w:rStyle w:val="Refdenotaalpie"/>
          <w:sz w:val="20"/>
          <w:szCs w:val="20"/>
        </w:rPr>
        <w:footnoteReference w:id="9"/>
      </w:r>
      <w:r w:rsidRPr="0064597D">
        <w:rPr>
          <w:sz w:val="20"/>
          <w:szCs w:val="20"/>
        </w:rPr>
        <w:t xml:space="preserve">, el Presidente convocó al Estado, a </w:t>
      </w:r>
      <w:r w:rsidR="00F115A2" w:rsidRPr="0064597D">
        <w:rPr>
          <w:sz w:val="20"/>
          <w:szCs w:val="20"/>
        </w:rPr>
        <w:t>las representantes</w:t>
      </w:r>
      <w:r w:rsidRPr="0064597D">
        <w:rPr>
          <w:sz w:val="20"/>
          <w:szCs w:val="20"/>
        </w:rPr>
        <w:t xml:space="preserve"> y a la Comisión Interamericana a una audiencia pública para recibir sus alegatos y observaciones finales orales sobre la excepción preliminar y eventuales fondo, reparaciones y costas, así como para recibir las declaraciones de una declarante y un testigo propuestos por </w:t>
      </w:r>
      <w:r w:rsidR="00F115A2" w:rsidRPr="0064597D">
        <w:rPr>
          <w:sz w:val="20"/>
          <w:szCs w:val="20"/>
        </w:rPr>
        <w:t>las representantes</w:t>
      </w:r>
      <w:r w:rsidRPr="0064597D">
        <w:rPr>
          <w:sz w:val="20"/>
          <w:szCs w:val="20"/>
        </w:rPr>
        <w:t xml:space="preserve"> y de tres peritos propuestos por </w:t>
      </w:r>
      <w:r w:rsidR="00F115A2" w:rsidRPr="0064597D">
        <w:rPr>
          <w:sz w:val="20"/>
          <w:szCs w:val="20"/>
        </w:rPr>
        <w:t>las representantes</w:t>
      </w:r>
      <w:r w:rsidRPr="0064597D">
        <w:rPr>
          <w:sz w:val="20"/>
          <w:szCs w:val="20"/>
        </w:rPr>
        <w:t xml:space="preserve"> y por la Comisión. La audiencia pública fue celebrada el 5 y 6 de marzo de 2019, durante el 130° Período Ordinario de Sesiones de la Corte, llevado a cabo en su sede</w:t>
      </w:r>
      <w:r w:rsidRPr="0064597D">
        <w:rPr>
          <w:rStyle w:val="Refdenotaalpie"/>
          <w:sz w:val="20"/>
          <w:szCs w:val="20"/>
        </w:rPr>
        <w:footnoteReference w:id="10"/>
      </w:r>
      <w:r w:rsidRPr="0064597D">
        <w:rPr>
          <w:sz w:val="20"/>
          <w:szCs w:val="20"/>
        </w:rPr>
        <w:t xml:space="preserve">. </w:t>
      </w:r>
    </w:p>
    <w:p w14:paraId="7C144A87" w14:textId="77777777" w:rsidR="008E7868" w:rsidRPr="0064597D" w:rsidRDefault="008E7868" w:rsidP="008E7868">
      <w:pPr>
        <w:tabs>
          <w:tab w:val="left" w:pos="567"/>
          <w:tab w:val="num" w:pos="12305"/>
        </w:tabs>
        <w:spacing w:line="240" w:lineRule="auto"/>
        <w:rPr>
          <w:sz w:val="20"/>
          <w:szCs w:val="20"/>
          <w:highlight w:val="yellow"/>
        </w:rPr>
      </w:pPr>
    </w:p>
    <w:p w14:paraId="042865F7" w14:textId="7F7B48AA" w:rsidR="00604E7C" w:rsidRPr="0064597D" w:rsidRDefault="008E7868" w:rsidP="00604E7C">
      <w:pPr>
        <w:numPr>
          <w:ilvl w:val="0"/>
          <w:numId w:val="1"/>
        </w:numPr>
        <w:tabs>
          <w:tab w:val="left" w:pos="567"/>
          <w:tab w:val="num" w:pos="1569"/>
          <w:tab w:val="num" w:pos="12305"/>
        </w:tabs>
        <w:spacing w:line="240" w:lineRule="auto"/>
        <w:ind w:left="0" w:firstLine="0"/>
        <w:rPr>
          <w:b/>
          <w:sz w:val="20"/>
          <w:szCs w:val="20"/>
        </w:rPr>
      </w:pPr>
      <w:r w:rsidRPr="0064597D">
        <w:rPr>
          <w:i/>
          <w:sz w:val="20"/>
          <w:szCs w:val="20"/>
        </w:rPr>
        <w:t>A</w:t>
      </w:r>
      <w:r w:rsidR="00604E7C" w:rsidRPr="0064597D">
        <w:rPr>
          <w:i/>
          <w:sz w:val="20"/>
          <w:szCs w:val="20"/>
        </w:rPr>
        <w:t xml:space="preserve">micus curiae. </w:t>
      </w:r>
      <w:r w:rsidR="00604E7C" w:rsidRPr="0064597D">
        <w:rPr>
          <w:sz w:val="20"/>
          <w:szCs w:val="20"/>
        </w:rPr>
        <w:t xml:space="preserve">– El 22 de marzo de 2019 el Tribunal recibió un escrito en calidad de </w:t>
      </w:r>
      <w:r w:rsidR="00604E7C" w:rsidRPr="0064597D">
        <w:rPr>
          <w:i/>
          <w:sz w:val="20"/>
          <w:szCs w:val="20"/>
        </w:rPr>
        <w:t>amicus curiae</w:t>
      </w:r>
      <w:r w:rsidR="00604E7C" w:rsidRPr="0064597D">
        <w:rPr>
          <w:sz w:val="20"/>
          <w:szCs w:val="20"/>
        </w:rPr>
        <w:t xml:space="preserve"> presentado por la Clínica de Derechos Humanos de la Facultad de Derecho de la Universidad de Santa Clara</w:t>
      </w:r>
      <w:r w:rsidR="00604E7C" w:rsidRPr="0064597D">
        <w:rPr>
          <w:rStyle w:val="Refdenotaalpie"/>
          <w:sz w:val="20"/>
          <w:szCs w:val="20"/>
        </w:rPr>
        <w:footnoteReference w:id="11"/>
      </w:r>
      <w:r w:rsidR="00604E7C" w:rsidRPr="0064597D">
        <w:rPr>
          <w:sz w:val="20"/>
          <w:szCs w:val="20"/>
        </w:rPr>
        <w:t xml:space="preserve">. </w:t>
      </w:r>
    </w:p>
    <w:p w14:paraId="1CDC63DD" w14:textId="77777777" w:rsidR="00604E7C" w:rsidRPr="0064597D" w:rsidRDefault="00604E7C" w:rsidP="00604E7C">
      <w:pPr>
        <w:tabs>
          <w:tab w:val="left" w:pos="567"/>
          <w:tab w:val="num" w:pos="12305"/>
        </w:tabs>
        <w:spacing w:line="240" w:lineRule="auto"/>
        <w:rPr>
          <w:sz w:val="20"/>
          <w:szCs w:val="20"/>
        </w:rPr>
      </w:pPr>
    </w:p>
    <w:p w14:paraId="4DEFD26D" w14:textId="659DD05A" w:rsidR="00604E7C" w:rsidRPr="0064597D" w:rsidRDefault="00604E7C" w:rsidP="00604E7C">
      <w:pPr>
        <w:numPr>
          <w:ilvl w:val="0"/>
          <w:numId w:val="1"/>
        </w:numPr>
        <w:tabs>
          <w:tab w:val="left" w:pos="567"/>
          <w:tab w:val="num" w:pos="1569"/>
          <w:tab w:val="num" w:pos="12305"/>
        </w:tabs>
        <w:spacing w:line="240" w:lineRule="auto"/>
        <w:ind w:left="0" w:firstLine="0"/>
        <w:rPr>
          <w:sz w:val="20"/>
          <w:szCs w:val="20"/>
        </w:rPr>
      </w:pPr>
      <w:r w:rsidRPr="0064597D">
        <w:rPr>
          <w:i/>
          <w:sz w:val="20"/>
          <w:szCs w:val="20"/>
        </w:rPr>
        <w:t xml:space="preserve">Alegatos y observaciones finales escritos. </w:t>
      </w:r>
      <w:r w:rsidRPr="0064597D">
        <w:rPr>
          <w:sz w:val="20"/>
          <w:szCs w:val="20"/>
        </w:rPr>
        <w:t xml:space="preserve">– El 5 de abril de 2019 </w:t>
      </w:r>
      <w:r w:rsidR="00F115A2" w:rsidRPr="0064597D">
        <w:rPr>
          <w:sz w:val="20"/>
          <w:szCs w:val="20"/>
        </w:rPr>
        <w:t>las representantes</w:t>
      </w:r>
      <w:r w:rsidRPr="0064597D">
        <w:rPr>
          <w:sz w:val="20"/>
          <w:szCs w:val="20"/>
        </w:rPr>
        <w:t xml:space="preserve"> y el Estado remitieron sus respectivos alegatos finales escritos, junto con determinados anexos, y la Comisión presentó sus observaciones finales escritas.</w:t>
      </w:r>
      <w:r w:rsidR="00DD4469">
        <w:rPr>
          <w:sz w:val="20"/>
          <w:szCs w:val="20"/>
        </w:rPr>
        <w:t xml:space="preserve">                        </w:t>
      </w:r>
    </w:p>
    <w:p w14:paraId="458CD5E0" w14:textId="77777777" w:rsidR="00B8112F" w:rsidRPr="0064597D" w:rsidRDefault="00B8112F" w:rsidP="00B8112F">
      <w:pPr>
        <w:tabs>
          <w:tab w:val="left" w:pos="567"/>
        </w:tabs>
        <w:spacing w:line="240" w:lineRule="auto"/>
        <w:rPr>
          <w:b/>
          <w:sz w:val="20"/>
          <w:szCs w:val="20"/>
        </w:rPr>
      </w:pPr>
    </w:p>
    <w:p w14:paraId="521FE736" w14:textId="44812B7D" w:rsidR="00604E7C" w:rsidRPr="0064597D" w:rsidRDefault="00604E7C" w:rsidP="00604E7C">
      <w:pPr>
        <w:numPr>
          <w:ilvl w:val="0"/>
          <w:numId w:val="1"/>
        </w:numPr>
        <w:tabs>
          <w:tab w:val="left" w:pos="567"/>
          <w:tab w:val="num" w:pos="1569"/>
          <w:tab w:val="num" w:pos="12305"/>
        </w:tabs>
        <w:spacing w:line="240" w:lineRule="auto"/>
        <w:ind w:left="0" w:firstLine="0"/>
        <w:rPr>
          <w:sz w:val="20"/>
          <w:szCs w:val="20"/>
        </w:rPr>
      </w:pPr>
      <w:r w:rsidRPr="0064597D">
        <w:rPr>
          <w:i/>
          <w:sz w:val="20"/>
          <w:szCs w:val="20"/>
        </w:rPr>
        <w:t xml:space="preserve">Deliberación del presente caso. </w:t>
      </w:r>
      <w:r w:rsidRPr="0064597D">
        <w:rPr>
          <w:sz w:val="20"/>
          <w:szCs w:val="20"/>
        </w:rPr>
        <w:t xml:space="preserve">– La Corte inició la deliberación de la presente Sentencia el </w:t>
      </w:r>
      <w:r w:rsidR="000678D0" w:rsidRPr="0064597D">
        <w:rPr>
          <w:sz w:val="20"/>
          <w:szCs w:val="20"/>
        </w:rPr>
        <w:t>9</w:t>
      </w:r>
      <w:r w:rsidRPr="0064597D">
        <w:rPr>
          <w:sz w:val="20"/>
          <w:szCs w:val="20"/>
        </w:rPr>
        <w:t xml:space="preserve"> de octubre de 2019.</w:t>
      </w:r>
    </w:p>
    <w:p w14:paraId="2CF5F57C" w14:textId="77777777" w:rsidR="00731D3E" w:rsidRPr="0064597D" w:rsidRDefault="00731D3E" w:rsidP="002F4F08">
      <w:pPr>
        <w:pStyle w:val="Ttulo1"/>
      </w:pPr>
      <w:bookmarkStart w:id="4" w:name="_Toc24014527"/>
      <w:r w:rsidRPr="0064597D">
        <w:t>III</w:t>
      </w:r>
      <w:r w:rsidRPr="0064597D">
        <w:br/>
        <w:t>COMPETENCIA</w:t>
      </w:r>
      <w:bookmarkEnd w:id="4"/>
    </w:p>
    <w:p w14:paraId="72D75AFA" w14:textId="77777777" w:rsidR="00731D3E" w:rsidRPr="0064597D" w:rsidRDefault="00E32DA9" w:rsidP="00E32DA9">
      <w:pPr>
        <w:numPr>
          <w:ilvl w:val="0"/>
          <w:numId w:val="1"/>
        </w:numPr>
        <w:tabs>
          <w:tab w:val="left" w:pos="567"/>
          <w:tab w:val="num" w:pos="1569"/>
          <w:tab w:val="num" w:pos="12305"/>
        </w:tabs>
        <w:spacing w:line="240" w:lineRule="auto"/>
        <w:ind w:left="0" w:firstLine="0"/>
        <w:rPr>
          <w:rFonts w:eastAsia="Batang"/>
          <w:sz w:val="20"/>
          <w:szCs w:val="20"/>
          <w:lang w:eastAsia="en-US"/>
        </w:rPr>
      </w:pPr>
      <w:r w:rsidRPr="0064597D">
        <w:rPr>
          <w:rFonts w:eastAsia="Batang"/>
          <w:sz w:val="20"/>
          <w:szCs w:val="20"/>
          <w:lang w:eastAsia="en-US"/>
        </w:rPr>
        <w:t xml:space="preserve">La Corte es competente para conocer el presente caso, en los términos del artículo 62.3 de la Convención, en razón de que Guatemala es Estado Parte de la Convención Americana desde el 25 de mayo de 1978 y reconoció la competencia contenciosa de la Corte el 9 de marzo de 1987. </w:t>
      </w:r>
    </w:p>
    <w:p w14:paraId="4ACA2D38" w14:textId="77777777" w:rsidR="00EA52BD" w:rsidRPr="0064597D" w:rsidRDefault="00EA52BD" w:rsidP="002F4F08">
      <w:pPr>
        <w:pStyle w:val="Ttulo1"/>
      </w:pPr>
      <w:bookmarkStart w:id="5" w:name="_Toc24014528"/>
      <w:bookmarkStart w:id="6" w:name="_Toc375062713"/>
      <w:bookmarkStart w:id="7" w:name="_Toc375140863"/>
      <w:bookmarkStart w:id="8" w:name="_Toc375504822"/>
      <w:bookmarkStart w:id="9" w:name="_Toc375560896"/>
      <w:bookmarkStart w:id="10" w:name="_Toc428369979"/>
      <w:bookmarkStart w:id="11" w:name="_Toc459158095"/>
      <w:bookmarkStart w:id="12" w:name="_Toc401931881"/>
      <w:bookmarkStart w:id="13" w:name="_Toc470180035"/>
      <w:bookmarkStart w:id="14" w:name="_Toc495658648"/>
      <w:r w:rsidRPr="0064597D">
        <w:t>IV</w:t>
      </w:r>
      <w:r w:rsidRPr="0064597D">
        <w:br/>
        <w:t>EXCEPCIÓN PRELIMINAR</w:t>
      </w:r>
      <w:bookmarkEnd w:id="5"/>
    </w:p>
    <w:p w14:paraId="493595AF" w14:textId="77777777" w:rsidR="007E1B0E" w:rsidRPr="0064597D" w:rsidRDefault="007E1B0E" w:rsidP="00377181">
      <w:pPr>
        <w:pStyle w:val="Ttulo2"/>
      </w:pPr>
      <w:bookmarkStart w:id="15" w:name="_Toc24014529"/>
      <w:r w:rsidRPr="0064597D">
        <w:t>A.</w:t>
      </w:r>
      <w:r w:rsidRPr="0064597D">
        <w:tab/>
      </w:r>
      <w:r w:rsidR="00C91517" w:rsidRPr="0064597D">
        <w:t>Alegatos de las partes y de la Comisión</w:t>
      </w:r>
      <w:bookmarkEnd w:id="15"/>
    </w:p>
    <w:p w14:paraId="7B16ADF6" w14:textId="68938F02" w:rsidR="007E1B0E" w:rsidRPr="0064597D" w:rsidRDefault="007E1B0E" w:rsidP="00EA52BD">
      <w:pPr>
        <w:numPr>
          <w:ilvl w:val="0"/>
          <w:numId w:val="1"/>
        </w:numPr>
        <w:tabs>
          <w:tab w:val="left" w:pos="567"/>
          <w:tab w:val="num" w:pos="1569"/>
          <w:tab w:val="num" w:pos="12305"/>
        </w:tabs>
        <w:spacing w:line="240" w:lineRule="auto"/>
        <w:ind w:left="0" w:firstLine="0"/>
        <w:rPr>
          <w:rFonts w:eastAsia="Batang"/>
          <w:sz w:val="20"/>
          <w:szCs w:val="20"/>
          <w:lang w:eastAsia="en-US"/>
        </w:rPr>
      </w:pPr>
      <w:r w:rsidRPr="0064597D">
        <w:rPr>
          <w:rFonts w:eastAsia="Batang"/>
          <w:sz w:val="20"/>
          <w:szCs w:val="20"/>
          <w:lang w:eastAsia="en-US"/>
        </w:rPr>
        <w:t xml:space="preserve">El </w:t>
      </w:r>
      <w:r w:rsidRPr="0064597D">
        <w:rPr>
          <w:rFonts w:eastAsia="Batang"/>
          <w:b/>
          <w:i/>
          <w:sz w:val="20"/>
          <w:szCs w:val="20"/>
          <w:lang w:eastAsia="en-US"/>
        </w:rPr>
        <w:t>Estado</w:t>
      </w:r>
      <w:r w:rsidRPr="0064597D">
        <w:rPr>
          <w:rFonts w:eastAsia="Batang"/>
          <w:sz w:val="20"/>
          <w:szCs w:val="20"/>
          <w:lang w:eastAsia="en-US"/>
        </w:rPr>
        <w:t xml:space="preserve"> adujo </w:t>
      </w:r>
      <w:r w:rsidR="0081210B" w:rsidRPr="0064597D">
        <w:rPr>
          <w:rFonts w:eastAsia="Batang"/>
          <w:sz w:val="20"/>
          <w:szCs w:val="20"/>
          <w:lang w:eastAsia="en-US"/>
        </w:rPr>
        <w:t xml:space="preserve">que las circunstancias suscitadas en el presente caso fueron apegadas a la normativa legal doméstica vigente en el momento de los hechos. Añadió que el procedimiento penal seguido contra el señor Ruiz Fuentes constituyó cosa juzgada, en la medida en que </w:t>
      </w:r>
      <w:r w:rsidR="002269FD" w:rsidRPr="0064597D">
        <w:rPr>
          <w:rFonts w:eastAsia="Batang"/>
          <w:sz w:val="20"/>
          <w:szCs w:val="20"/>
          <w:lang w:eastAsia="en-US"/>
        </w:rPr>
        <w:t>las representantes</w:t>
      </w:r>
      <w:r w:rsidR="0081210B" w:rsidRPr="0064597D">
        <w:rPr>
          <w:rFonts w:eastAsia="Batang"/>
          <w:sz w:val="20"/>
          <w:szCs w:val="20"/>
          <w:lang w:eastAsia="en-US"/>
        </w:rPr>
        <w:t xml:space="preserve"> de la presunta víctima agot</w:t>
      </w:r>
      <w:r w:rsidR="00AB77A2" w:rsidRPr="0064597D">
        <w:rPr>
          <w:rFonts w:eastAsia="Batang"/>
          <w:sz w:val="20"/>
          <w:szCs w:val="20"/>
          <w:lang w:eastAsia="en-US"/>
        </w:rPr>
        <w:t>aron</w:t>
      </w:r>
      <w:r w:rsidR="0081210B" w:rsidRPr="0064597D">
        <w:rPr>
          <w:rFonts w:eastAsia="Batang"/>
          <w:sz w:val="20"/>
          <w:szCs w:val="20"/>
          <w:lang w:eastAsia="en-US"/>
        </w:rPr>
        <w:t xml:space="preserve"> todos lo</w:t>
      </w:r>
      <w:r w:rsidR="00A73879" w:rsidRPr="0064597D">
        <w:rPr>
          <w:rFonts w:eastAsia="Batang"/>
          <w:sz w:val="20"/>
          <w:szCs w:val="20"/>
          <w:lang w:eastAsia="en-US"/>
        </w:rPr>
        <w:t>s</w:t>
      </w:r>
      <w:r w:rsidR="0081210B" w:rsidRPr="0064597D">
        <w:rPr>
          <w:rFonts w:eastAsia="Batang"/>
          <w:sz w:val="20"/>
          <w:szCs w:val="20"/>
          <w:lang w:eastAsia="en-US"/>
        </w:rPr>
        <w:t xml:space="preserve"> recursos de la normativa interna vigente al momento de </w:t>
      </w:r>
      <w:r w:rsidR="0081210B" w:rsidRPr="0064597D">
        <w:rPr>
          <w:rFonts w:eastAsia="Batang"/>
          <w:sz w:val="20"/>
          <w:szCs w:val="20"/>
          <w:lang w:eastAsia="en-US"/>
        </w:rPr>
        <w:lastRenderedPageBreak/>
        <w:t>los hechos y que los mismos fueron conocidos y resuelto</w:t>
      </w:r>
      <w:r w:rsidR="00070F7A" w:rsidRPr="0064597D">
        <w:rPr>
          <w:rFonts w:eastAsia="Batang"/>
          <w:sz w:val="20"/>
          <w:szCs w:val="20"/>
          <w:lang w:eastAsia="en-US"/>
        </w:rPr>
        <w:t>s</w:t>
      </w:r>
      <w:r w:rsidR="0081210B" w:rsidRPr="0064597D">
        <w:rPr>
          <w:rFonts w:eastAsia="Batang"/>
          <w:sz w:val="20"/>
          <w:szCs w:val="20"/>
          <w:lang w:eastAsia="en-US"/>
        </w:rPr>
        <w:t xml:space="preserve"> en el momento procesal oportuno por los órganos jurisdiccionales correspondientes.</w:t>
      </w:r>
      <w:r w:rsidR="009C2B82" w:rsidRPr="0064597D">
        <w:rPr>
          <w:rFonts w:eastAsia="Batang"/>
          <w:b/>
          <w:sz w:val="20"/>
          <w:szCs w:val="20"/>
          <w:lang w:eastAsia="en-US"/>
        </w:rPr>
        <w:t xml:space="preserve"> </w:t>
      </w:r>
      <w:r w:rsidR="009C2B82" w:rsidRPr="0064597D">
        <w:rPr>
          <w:rFonts w:eastAsia="Batang"/>
          <w:sz w:val="20"/>
          <w:szCs w:val="20"/>
          <w:lang w:eastAsia="en-US"/>
        </w:rPr>
        <w:t>Indicó además que en ningún momento ejecutó la condena a pena de muerte impuesta al señor Ruiz Fuentes, toda vez que la misma le fue conmutada por la pena máxima de privación de libertad.</w:t>
      </w:r>
      <w:r w:rsidR="00DB0443" w:rsidRPr="0064597D">
        <w:rPr>
          <w:rFonts w:eastAsia="Batang"/>
          <w:b/>
          <w:sz w:val="20"/>
          <w:szCs w:val="20"/>
          <w:lang w:eastAsia="en-US"/>
        </w:rPr>
        <w:t xml:space="preserve"> </w:t>
      </w:r>
    </w:p>
    <w:p w14:paraId="301CA377" w14:textId="77777777" w:rsidR="00D8280D" w:rsidRPr="0064597D" w:rsidRDefault="00D8280D" w:rsidP="00D8280D">
      <w:pPr>
        <w:tabs>
          <w:tab w:val="left" w:pos="567"/>
        </w:tabs>
        <w:spacing w:line="240" w:lineRule="auto"/>
        <w:rPr>
          <w:rFonts w:eastAsia="Batang"/>
          <w:sz w:val="20"/>
          <w:szCs w:val="20"/>
          <w:lang w:eastAsia="en-US"/>
        </w:rPr>
      </w:pPr>
    </w:p>
    <w:p w14:paraId="55B7D1B0" w14:textId="7FE2356F" w:rsidR="00D8280D" w:rsidRPr="0064597D" w:rsidRDefault="00D8280D" w:rsidP="00EA52BD">
      <w:pPr>
        <w:numPr>
          <w:ilvl w:val="0"/>
          <w:numId w:val="1"/>
        </w:numPr>
        <w:tabs>
          <w:tab w:val="left" w:pos="567"/>
          <w:tab w:val="num" w:pos="1569"/>
          <w:tab w:val="num" w:pos="12305"/>
        </w:tabs>
        <w:spacing w:line="240" w:lineRule="auto"/>
        <w:ind w:left="0" w:firstLine="0"/>
        <w:rPr>
          <w:rFonts w:eastAsia="Batang"/>
          <w:sz w:val="20"/>
          <w:szCs w:val="20"/>
          <w:lang w:eastAsia="en-US"/>
        </w:rPr>
      </w:pPr>
      <w:r w:rsidRPr="0064597D">
        <w:rPr>
          <w:rFonts w:eastAsia="Batang"/>
          <w:sz w:val="20"/>
          <w:szCs w:val="20"/>
          <w:lang w:eastAsia="en-US"/>
        </w:rPr>
        <w:t xml:space="preserve">La </w:t>
      </w:r>
      <w:r w:rsidRPr="0064597D">
        <w:rPr>
          <w:rFonts w:eastAsia="Batang"/>
          <w:b/>
          <w:i/>
          <w:sz w:val="20"/>
          <w:szCs w:val="20"/>
          <w:lang w:eastAsia="en-US"/>
        </w:rPr>
        <w:t>Comisión</w:t>
      </w:r>
      <w:r w:rsidRPr="0064597D">
        <w:rPr>
          <w:rFonts w:eastAsia="Batang"/>
          <w:sz w:val="20"/>
          <w:szCs w:val="20"/>
          <w:lang w:eastAsia="en-US"/>
        </w:rPr>
        <w:t xml:space="preserve"> consider</w:t>
      </w:r>
      <w:r w:rsidR="00CE307E" w:rsidRPr="0064597D">
        <w:rPr>
          <w:rFonts w:eastAsia="Batang"/>
          <w:sz w:val="20"/>
          <w:szCs w:val="20"/>
          <w:lang w:eastAsia="en-US"/>
        </w:rPr>
        <w:t xml:space="preserve">ó </w:t>
      </w:r>
      <w:r w:rsidRPr="0064597D">
        <w:rPr>
          <w:rFonts w:eastAsia="Batang"/>
          <w:sz w:val="20"/>
          <w:szCs w:val="20"/>
          <w:lang w:eastAsia="en-US"/>
        </w:rPr>
        <w:t>que el planteamiento del Estado no constituía una excepción preliminar, sino que se trata</w:t>
      </w:r>
      <w:r w:rsidR="00AB77A2" w:rsidRPr="0064597D">
        <w:rPr>
          <w:rFonts w:eastAsia="Batang"/>
          <w:sz w:val="20"/>
          <w:szCs w:val="20"/>
          <w:lang w:eastAsia="en-US"/>
        </w:rPr>
        <w:t>ba</w:t>
      </w:r>
      <w:r w:rsidRPr="0064597D">
        <w:rPr>
          <w:rFonts w:eastAsia="Batang"/>
          <w:sz w:val="20"/>
          <w:szCs w:val="20"/>
          <w:lang w:eastAsia="en-US"/>
        </w:rPr>
        <w:t xml:space="preserve"> de una cuestión que corresponde fundamentalmente al fondo. </w:t>
      </w:r>
    </w:p>
    <w:p w14:paraId="07F43564" w14:textId="77777777" w:rsidR="00CE307E" w:rsidRPr="0064597D" w:rsidRDefault="00CE307E" w:rsidP="00CE307E">
      <w:pPr>
        <w:tabs>
          <w:tab w:val="left" w:pos="567"/>
        </w:tabs>
        <w:spacing w:line="240" w:lineRule="auto"/>
        <w:rPr>
          <w:rFonts w:eastAsia="Batang"/>
          <w:sz w:val="20"/>
          <w:szCs w:val="20"/>
          <w:lang w:eastAsia="en-US"/>
        </w:rPr>
      </w:pPr>
    </w:p>
    <w:p w14:paraId="3EB0F8BF" w14:textId="2428F13E" w:rsidR="00CE307E" w:rsidRPr="0064597D" w:rsidRDefault="002269FD" w:rsidP="00EA52BD">
      <w:pPr>
        <w:numPr>
          <w:ilvl w:val="0"/>
          <w:numId w:val="1"/>
        </w:numPr>
        <w:tabs>
          <w:tab w:val="left" w:pos="567"/>
          <w:tab w:val="num" w:pos="1569"/>
          <w:tab w:val="num" w:pos="12305"/>
        </w:tabs>
        <w:spacing w:line="240" w:lineRule="auto"/>
        <w:ind w:left="0" w:firstLine="0"/>
        <w:rPr>
          <w:rFonts w:eastAsia="Batang"/>
          <w:sz w:val="20"/>
          <w:szCs w:val="20"/>
          <w:lang w:eastAsia="en-US"/>
        </w:rPr>
      </w:pPr>
      <w:r w:rsidRPr="0064597D">
        <w:rPr>
          <w:rFonts w:eastAsia="Batang"/>
          <w:sz w:val="20"/>
          <w:szCs w:val="20"/>
          <w:lang w:eastAsia="en-US"/>
        </w:rPr>
        <w:t xml:space="preserve">Las </w:t>
      </w:r>
      <w:r w:rsidRPr="0064597D">
        <w:rPr>
          <w:rFonts w:eastAsia="Batang"/>
          <w:b/>
          <w:i/>
          <w:sz w:val="20"/>
          <w:szCs w:val="20"/>
          <w:lang w:eastAsia="en-US"/>
        </w:rPr>
        <w:t>representantes</w:t>
      </w:r>
      <w:r w:rsidR="00CE307E" w:rsidRPr="0064597D">
        <w:rPr>
          <w:rFonts w:eastAsia="Batang"/>
          <w:sz w:val="20"/>
          <w:szCs w:val="20"/>
          <w:lang w:eastAsia="en-US"/>
        </w:rPr>
        <w:t xml:space="preserve"> se pronunciaron en el mismo sentido que la Comisión</w:t>
      </w:r>
      <w:r w:rsidR="00440CDD" w:rsidRPr="0064597D">
        <w:rPr>
          <w:rFonts w:eastAsia="Batang"/>
          <w:sz w:val="20"/>
          <w:szCs w:val="20"/>
          <w:lang w:eastAsia="en-US"/>
        </w:rPr>
        <w:t>.</w:t>
      </w:r>
      <w:r w:rsidR="00CE307E" w:rsidRPr="0064597D">
        <w:rPr>
          <w:rFonts w:eastAsia="Batang"/>
          <w:sz w:val="20"/>
          <w:szCs w:val="20"/>
          <w:lang w:eastAsia="en-US"/>
        </w:rPr>
        <w:t xml:space="preserve"> </w:t>
      </w:r>
    </w:p>
    <w:p w14:paraId="09638D08" w14:textId="77777777" w:rsidR="00C91517" w:rsidRPr="0064597D" w:rsidRDefault="00C91517" w:rsidP="00377181">
      <w:pPr>
        <w:pStyle w:val="Ttulo2"/>
      </w:pPr>
      <w:bookmarkStart w:id="16" w:name="_Toc24014530"/>
      <w:r w:rsidRPr="0064597D">
        <w:t>B.</w:t>
      </w:r>
      <w:r w:rsidRPr="0064597D">
        <w:tab/>
        <w:t>Consideraciones de la Corte</w:t>
      </w:r>
      <w:bookmarkEnd w:id="16"/>
    </w:p>
    <w:p w14:paraId="0F04F5FF" w14:textId="5C0AD493" w:rsidR="009C2B82" w:rsidRPr="0064597D" w:rsidRDefault="00A54911" w:rsidP="002F4F08">
      <w:pPr>
        <w:numPr>
          <w:ilvl w:val="0"/>
          <w:numId w:val="1"/>
        </w:numPr>
        <w:tabs>
          <w:tab w:val="left" w:pos="567"/>
          <w:tab w:val="num" w:pos="1569"/>
          <w:tab w:val="num" w:pos="12305"/>
        </w:tabs>
        <w:spacing w:line="240" w:lineRule="auto"/>
        <w:ind w:left="0" w:firstLine="0"/>
        <w:rPr>
          <w:rFonts w:eastAsia="Batang"/>
          <w:sz w:val="20"/>
          <w:szCs w:val="20"/>
          <w:lang w:eastAsia="en-US"/>
        </w:rPr>
      </w:pPr>
      <w:r w:rsidRPr="0064597D">
        <w:rPr>
          <w:rFonts w:cs="Arial"/>
          <w:sz w:val="20"/>
          <w:szCs w:val="20"/>
        </w:rPr>
        <w:t>La Corte recuerda que las excepciones preliminares son actos mediante los cuales un Estado busca, de manera previa, impedir el análisis del fondo de un asunto cuestionado, para lo cual puede plantear</w:t>
      </w:r>
      <w:r w:rsidR="008E7868" w:rsidRPr="0064597D">
        <w:rPr>
          <w:rFonts w:cs="Arial"/>
          <w:sz w:val="20"/>
          <w:szCs w:val="20"/>
        </w:rPr>
        <w:t xml:space="preserve"> </w:t>
      </w:r>
      <w:r w:rsidRPr="0064597D">
        <w:rPr>
          <w:rFonts w:cs="Arial"/>
          <w:sz w:val="20"/>
          <w:szCs w:val="20"/>
        </w:rPr>
        <w:t>la objeción de la admisibilidad de un caso o de la competencia del Tribunal para conocer de un determinado caso o de alguno de sus aspectos, ya sea en razón de la persona, materia, tiempo o lugar, siempre y cuando dichos planteamientos tengan el carácter de preliminares</w:t>
      </w:r>
      <w:r w:rsidR="00934FDC" w:rsidRPr="0064597D">
        <w:rPr>
          <w:rStyle w:val="Refdenotaalpie"/>
          <w:rFonts w:cs="Arial"/>
          <w:sz w:val="20"/>
          <w:szCs w:val="20"/>
        </w:rPr>
        <w:footnoteReference w:id="12"/>
      </w:r>
      <w:r w:rsidRPr="0064597D">
        <w:rPr>
          <w:rFonts w:cs="Arial"/>
          <w:sz w:val="20"/>
          <w:szCs w:val="20"/>
        </w:rPr>
        <w:t>. Si estos planteamientos no pudieran ser considerados sin entrar a analizar previamente el fondo de un caso, no pueden ser analizados mediante una excepción preliminar</w:t>
      </w:r>
      <w:r w:rsidR="00934FDC" w:rsidRPr="0064597D">
        <w:rPr>
          <w:rStyle w:val="Refdenotaalpie"/>
          <w:rFonts w:cs="Arial"/>
          <w:sz w:val="20"/>
          <w:szCs w:val="20"/>
        </w:rPr>
        <w:footnoteReference w:id="13"/>
      </w:r>
      <w:r w:rsidR="009C2B82" w:rsidRPr="0064597D">
        <w:rPr>
          <w:rFonts w:cs="Arial"/>
          <w:sz w:val="20"/>
          <w:szCs w:val="20"/>
        </w:rPr>
        <w:t>.</w:t>
      </w:r>
    </w:p>
    <w:p w14:paraId="4C5DDFCC" w14:textId="77777777" w:rsidR="009C2B82" w:rsidRPr="0064597D" w:rsidRDefault="009C2B82" w:rsidP="009C2B82">
      <w:pPr>
        <w:tabs>
          <w:tab w:val="left" w:pos="567"/>
          <w:tab w:val="num" w:pos="12305"/>
        </w:tabs>
        <w:spacing w:line="240" w:lineRule="auto"/>
        <w:rPr>
          <w:rFonts w:eastAsia="Batang"/>
          <w:sz w:val="20"/>
          <w:szCs w:val="20"/>
          <w:lang w:eastAsia="en-US"/>
        </w:rPr>
      </w:pPr>
    </w:p>
    <w:p w14:paraId="485F7CBC" w14:textId="49203CF5" w:rsidR="00CD6683" w:rsidRPr="0064597D" w:rsidRDefault="009C2B82" w:rsidP="009C2B82">
      <w:pPr>
        <w:numPr>
          <w:ilvl w:val="0"/>
          <w:numId w:val="1"/>
        </w:numPr>
        <w:tabs>
          <w:tab w:val="left" w:pos="567"/>
          <w:tab w:val="num" w:pos="1569"/>
          <w:tab w:val="num" w:pos="12305"/>
        </w:tabs>
        <w:spacing w:line="240" w:lineRule="auto"/>
        <w:ind w:left="0" w:firstLine="0"/>
        <w:rPr>
          <w:rFonts w:eastAsia="Batang"/>
          <w:sz w:val="20"/>
          <w:szCs w:val="20"/>
          <w:lang w:eastAsia="en-US"/>
        </w:rPr>
      </w:pPr>
      <w:r w:rsidRPr="0064597D">
        <w:rPr>
          <w:rFonts w:cs="Arial"/>
          <w:sz w:val="20"/>
          <w:szCs w:val="20"/>
        </w:rPr>
        <w:t>La Corte considera que</w:t>
      </w:r>
      <w:r w:rsidR="00BC2042" w:rsidRPr="0064597D">
        <w:rPr>
          <w:rFonts w:cs="Arial"/>
          <w:sz w:val="20"/>
          <w:szCs w:val="20"/>
        </w:rPr>
        <w:t xml:space="preserve"> el alegato presentado no configura una excepción preliminar</w:t>
      </w:r>
      <w:r w:rsidR="0035451B">
        <w:rPr>
          <w:rFonts w:cs="Arial"/>
          <w:sz w:val="20"/>
          <w:szCs w:val="20"/>
        </w:rPr>
        <w:t>,</w:t>
      </w:r>
      <w:r w:rsidR="00BC2042" w:rsidRPr="0064597D">
        <w:rPr>
          <w:rFonts w:cs="Arial"/>
          <w:sz w:val="20"/>
          <w:szCs w:val="20"/>
        </w:rPr>
        <w:t xml:space="preserve"> pues no expone razones por las cuales</w:t>
      </w:r>
      <w:r w:rsidR="008E7868" w:rsidRPr="0064597D">
        <w:rPr>
          <w:rFonts w:cs="Arial"/>
          <w:sz w:val="20"/>
          <w:szCs w:val="20"/>
        </w:rPr>
        <w:t xml:space="preserve"> el caso sometido sería inadmisible o</w:t>
      </w:r>
      <w:r w:rsidR="00BC2042" w:rsidRPr="0064597D">
        <w:rPr>
          <w:rFonts w:cs="Arial"/>
          <w:sz w:val="20"/>
          <w:szCs w:val="20"/>
        </w:rPr>
        <w:t xml:space="preserve"> la Corte incompetente para </w:t>
      </w:r>
      <w:r w:rsidR="008E7868" w:rsidRPr="0064597D">
        <w:rPr>
          <w:rFonts w:cs="Arial"/>
          <w:sz w:val="20"/>
          <w:szCs w:val="20"/>
        </w:rPr>
        <w:t>conocerlo</w:t>
      </w:r>
      <w:r w:rsidR="00BC2042" w:rsidRPr="0064597D">
        <w:rPr>
          <w:rFonts w:cs="Arial"/>
          <w:sz w:val="20"/>
          <w:szCs w:val="20"/>
        </w:rPr>
        <w:t xml:space="preserve">. </w:t>
      </w:r>
      <w:r w:rsidRPr="0064597D">
        <w:rPr>
          <w:rFonts w:cs="Arial"/>
          <w:sz w:val="20"/>
          <w:szCs w:val="20"/>
        </w:rPr>
        <w:t>Por todo lo anterior, el Tribunal declara sin lugar la excepción preliminar presentada por el Estado.</w:t>
      </w:r>
    </w:p>
    <w:p w14:paraId="12411A28" w14:textId="77777777" w:rsidR="00E32DA9" w:rsidRPr="0064597D" w:rsidRDefault="00176377" w:rsidP="002F4F08">
      <w:pPr>
        <w:pStyle w:val="Ttulo1"/>
      </w:pPr>
      <w:bookmarkStart w:id="17" w:name="_Toc24014531"/>
      <w:r w:rsidRPr="0064597D">
        <w:t>V</w:t>
      </w:r>
      <w:r w:rsidRPr="0064597D">
        <w:br/>
      </w:r>
      <w:bookmarkEnd w:id="6"/>
      <w:bookmarkEnd w:id="7"/>
      <w:bookmarkEnd w:id="8"/>
      <w:bookmarkEnd w:id="9"/>
      <w:bookmarkEnd w:id="10"/>
      <w:bookmarkEnd w:id="11"/>
      <w:bookmarkEnd w:id="12"/>
      <w:bookmarkEnd w:id="13"/>
      <w:bookmarkEnd w:id="14"/>
      <w:r w:rsidR="005C543F" w:rsidRPr="0064597D">
        <w:t>CONSIDERACIO</w:t>
      </w:r>
      <w:r w:rsidR="00E32DA9" w:rsidRPr="0064597D">
        <w:t>N</w:t>
      </w:r>
      <w:r w:rsidR="005C543F" w:rsidRPr="0064597D">
        <w:t>ES</w:t>
      </w:r>
      <w:r w:rsidR="00E32DA9" w:rsidRPr="0064597D">
        <w:t xml:space="preserve"> PREVIA</w:t>
      </w:r>
      <w:r w:rsidR="005C543F" w:rsidRPr="0064597D">
        <w:t>S</w:t>
      </w:r>
      <w:bookmarkEnd w:id="17"/>
    </w:p>
    <w:p w14:paraId="66952C8C" w14:textId="77777777" w:rsidR="00CA5E14" w:rsidRPr="0064597D" w:rsidRDefault="00CA5E14" w:rsidP="00377181">
      <w:pPr>
        <w:pStyle w:val="Ttulo2"/>
      </w:pPr>
      <w:bookmarkStart w:id="18" w:name="_Toc495658649"/>
      <w:bookmarkStart w:id="19" w:name="_Toc24014532"/>
      <w:r w:rsidRPr="0064597D">
        <w:t>A.</w:t>
      </w:r>
      <w:r w:rsidRPr="0064597D">
        <w:tab/>
      </w:r>
      <w:bookmarkEnd w:id="18"/>
      <w:r w:rsidRPr="0064597D">
        <w:t>Víctimas del presente caso</w:t>
      </w:r>
      <w:bookmarkEnd w:id="19"/>
    </w:p>
    <w:p w14:paraId="7F5C73FA" w14:textId="77777777" w:rsidR="00CA5E14" w:rsidRPr="0064597D" w:rsidRDefault="00CA5E14" w:rsidP="00377181">
      <w:pPr>
        <w:pStyle w:val="Ttulo3"/>
        <w:rPr>
          <w:lang w:eastAsia="en-US"/>
        </w:rPr>
      </w:pPr>
      <w:bookmarkStart w:id="20" w:name="_Toc15985484"/>
      <w:bookmarkStart w:id="21" w:name="_Toc24014533"/>
      <w:r w:rsidRPr="0064597D">
        <w:rPr>
          <w:lang w:eastAsia="en-US"/>
        </w:rPr>
        <w:t xml:space="preserve">a.1 </w:t>
      </w:r>
      <w:r w:rsidRPr="0064597D">
        <w:rPr>
          <w:lang w:eastAsia="en-US"/>
        </w:rPr>
        <w:tab/>
        <w:t xml:space="preserve">Alegatos del Estado, observaciones de </w:t>
      </w:r>
      <w:r w:rsidR="002269FD" w:rsidRPr="0064597D">
        <w:rPr>
          <w:lang w:eastAsia="en-US"/>
        </w:rPr>
        <w:t>las representantes</w:t>
      </w:r>
      <w:bookmarkEnd w:id="20"/>
      <w:bookmarkEnd w:id="21"/>
    </w:p>
    <w:p w14:paraId="06736A8D" w14:textId="22FE4E9B" w:rsidR="008078EC" w:rsidRPr="0064597D" w:rsidRDefault="00B002DC" w:rsidP="008078EC">
      <w:pPr>
        <w:numPr>
          <w:ilvl w:val="0"/>
          <w:numId w:val="1"/>
        </w:numPr>
        <w:tabs>
          <w:tab w:val="left" w:pos="567"/>
          <w:tab w:val="num" w:pos="1569"/>
          <w:tab w:val="num" w:pos="12305"/>
        </w:tabs>
        <w:spacing w:line="240" w:lineRule="auto"/>
        <w:ind w:left="0" w:firstLine="0"/>
        <w:rPr>
          <w:rFonts w:cs="Verdana"/>
          <w:sz w:val="20"/>
          <w:szCs w:val="20"/>
          <w:lang w:val="es-MX"/>
        </w:rPr>
      </w:pPr>
      <w:r w:rsidRPr="0064597D">
        <w:rPr>
          <w:bCs/>
          <w:iCs/>
          <w:sz w:val="20"/>
          <w:szCs w:val="20"/>
          <w:lang w:val="es-MX"/>
        </w:rPr>
        <w:t>E</w:t>
      </w:r>
      <w:r w:rsidR="00A73879" w:rsidRPr="0064597D">
        <w:rPr>
          <w:bCs/>
          <w:iCs/>
          <w:sz w:val="20"/>
          <w:szCs w:val="20"/>
          <w:lang w:val="es-MX"/>
        </w:rPr>
        <w:t xml:space="preserve">l </w:t>
      </w:r>
      <w:r w:rsidR="00E32DA9" w:rsidRPr="0064597D">
        <w:rPr>
          <w:b/>
          <w:bCs/>
          <w:i/>
          <w:iCs/>
          <w:sz w:val="20"/>
          <w:szCs w:val="20"/>
          <w:lang w:val="es-MX"/>
        </w:rPr>
        <w:t>Estado</w:t>
      </w:r>
      <w:r w:rsidR="00E32DA9" w:rsidRPr="0064597D">
        <w:rPr>
          <w:bCs/>
          <w:iCs/>
          <w:sz w:val="20"/>
          <w:szCs w:val="20"/>
          <w:lang w:val="es-MX"/>
        </w:rPr>
        <w:t xml:space="preserve"> presentó una objeción a la inclusión de determinados familiares del señor Ruiz Fuentes como presuntas víctimas en el caso. </w:t>
      </w:r>
      <w:r w:rsidR="008078EC" w:rsidRPr="0064597D">
        <w:rPr>
          <w:bCs/>
          <w:iCs/>
          <w:sz w:val="20"/>
          <w:szCs w:val="20"/>
          <w:lang w:val="es-MX"/>
        </w:rPr>
        <w:t xml:space="preserve">En particular, el Estado indicó que la Comisión identificó como única familiar a la </w:t>
      </w:r>
      <w:r w:rsidR="00FF35C1" w:rsidRPr="0064597D">
        <w:rPr>
          <w:sz w:val="20"/>
          <w:szCs w:val="20"/>
        </w:rPr>
        <w:t>hermana del señor Ruiz Fuentes</w:t>
      </w:r>
      <w:r w:rsidR="00FF35C1" w:rsidRPr="0064597D">
        <w:rPr>
          <w:bCs/>
          <w:iCs/>
          <w:sz w:val="20"/>
          <w:szCs w:val="20"/>
          <w:lang w:val="es-MX"/>
        </w:rPr>
        <w:t xml:space="preserve"> </w:t>
      </w:r>
      <w:r w:rsidR="008078EC" w:rsidRPr="0064597D">
        <w:rPr>
          <w:bCs/>
          <w:iCs/>
          <w:sz w:val="20"/>
          <w:szCs w:val="20"/>
          <w:lang w:val="es-MX"/>
        </w:rPr>
        <w:t>como víctima del presente caso, lo cual, de acuerdo con el Reglamento y la jurisprudencia de la Corte, les inhabilita para ser considerados como parte lesionada y, en consecuencia, ser considerados como beneficiarios de las eventuales medidas de reparación</w:t>
      </w:r>
      <w:r w:rsidR="000E3A01" w:rsidRPr="0064597D">
        <w:rPr>
          <w:bCs/>
          <w:iCs/>
          <w:sz w:val="20"/>
          <w:szCs w:val="20"/>
          <w:lang w:val="es-MX"/>
        </w:rPr>
        <w:t>.</w:t>
      </w:r>
      <w:r w:rsidR="008078EC" w:rsidRPr="0064597D">
        <w:rPr>
          <w:b/>
          <w:bCs/>
          <w:iCs/>
          <w:sz w:val="20"/>
          <w:szCs w:val="20"/>
          <w:lang w:val="es-MX"/>
        </w:rPr>
        <w:t xml:space="preserve"> </w:t>
      </w:r>
    </w:p>
    <w:p w14:paraId="10DC6136" w14:textId="77777777" w:rsidR="00CD6683" w:rsidRPr="0064597D" w:rsidRDefault="00CD6683" w:rsidP="00CD6683">
      <w:pPr>
        <w:tabs>
          <w:tab w:val="left" w:pos="567"/>
        </w:tabs>
        <w:spacing w:line="240" w:lineRule="auto"/>
        <w:rPr>
          <w:rFonts w:eastAsia="SimSun" w:cs="Verdana"/>
          <w:sz w:val="20"/>
          <w:szCs w:val="20"/>
          <w:highlight w:val="yellow"/>
          <w:lang w:val="es-MX"/>
        </w:rPr>
      </w:pPr>
    </w:p>
    <w:p w14:paraId="39AA9EA7" w14:textId="705F9DB7" w:rsidR="00B002DC" w:rsidRPr="0064597D" w:rsidRDefault="002269FD" w:rsidP="00B002DC">
      <w:pPr>
        <w:numPr>
          <w:ilvl w:val="0"/>
          <w:numId w:val="1"/>
        </w:numPr>
        <w:tabs>
          <w:tab w:val="left" w:pos="567"/>
          <w:tab w:val="num" w:pos="1569"/>
          <w:tab w:val="num" w:pos="12305"/>
        </w:tabs>
        <w:spacing w:line="240" w:lineRule="auto"/>
        <w:ind w:left="0" w:firstLine="0"/>
        <w:rPr>
          <w:rFonts w:eastAsia="SimSun" w:cs="Verdana"/>
          <w:sz w:val="20"/>
          <w:szCs w:val="20"/>
          <w:lang w:val="es-MX"/>
        </w:rPr>
      </w:pPr>
      <w:r w:rsidRPr="0064597D">
        <w:rPr>
          <w:rFonts w:eastAsia="SimSun" w:cs="Verdana"/>
          <w:sz w:val="20"/>
          <w:szCs w:val="20"/>
          <w:lang w:val="es-MX"/>
        </w:rPr>
        <w:t xml:space="preserve">Las </w:t>
      </w:r>
      <w:r w:rsidRPr="0064597D">
        <w:rPr>
          <w:rFonts w:eastAsia="SimSun" w:cs="Verdana"/>
          <w:b/>
          <w:i/>
          <w:sz w:val="20"/>
          <w:szCs w:val="20"/>
          <w:lang w:val="es-MX"/>
        </w:rPr>
        <w:t>representantes</w:t>
      </w:r>
      <w:r w:rsidR="00CD6683" w:rsidRPr="0064597D">
        <w:rPr>
          <w:rFonts w:eastAsia="SimSun" w:cs="Verdana"/>
          <w:b/>
          <w:i/>
          <w:sz w:val="20"/>
          <w:szCs w:val="20"/>
          <w:lang w:val="es-MX"/>
        </w:rPr>
        <w:t xml:space="preserve"> </w:t>
      </w:r>
      <w:r w:rsidR="00324E53" w:rsidRPr="0064597D">
        <w:rPr>
          <w:rFonts w:eastAsia="SimSun" w:cs="Verdana"/>
          <w:sz w:val="20"/>
          <w:szCs w:val="20"/>
          <w:lang w:val="es-MX"/>
        </w:rPr>
        <w:t xml:space="preserve">indicaron que los familiares del señor Ruiz Fuentes que deben ser considerados como víctimas del presente caso son </w:t>
      </w:r>
      <w:r w:rsidR="00FF35C1" w:rsidRPr="0064597D">
        <w:rPr>
          <w:sz w:val="20"/>
          <w:szCs w:val="20"/>
        </w:rPr>
        <w:t>la hermana del señor Ruiz Fuentes</w:t>
      </w:r>
      <w:r w:rsidR="00324E53" w:rsidRPr="0064597D">
        <w:rPr>
          <w:rFonts w:eastAsia="SimSun" w:cs="Verdana"/>
          <w:sz w:val="20"/>
          <w:szCs w:val="20"/>
          <w:lang w:val="es-MX"/>
        </w:rPr>
        <w:t>, W.E.R.V (hija</w:t>
      </w:r>
      <w:r w:rsidR="00FF35C1" w:rsidRPr="0064597D">
        <w:rPr>
          <w:rFonts w:eastAsia="SimSun" w:cs="Verdana"/>
          <w:sz w:val="20"/>
          <w:szCs w:val="20"/>
          <w:lang w:val="es-MX"/>
        </w:rPr>
        <w:t xml:space="preserve"> del señor Ruiz Fuentes</w:t>
      </w:r>
      <w:r w:rsidR="00324E53" w:rsidRPr="0064597D">
        <w:rPr>
          <w:rFonts w:eastAsia="SimSun" w:cs="Verdana"/>
          <w:sz w:val="20"/>
          <w:szCs w:val="20"/>
          <w:lang w:val="es-MX"/>
        </w:rPr>
        <w:t xml:space="preserve">) y </w:t>
      </w:r>
      <w:r w:rsidR="00384310" w:rsidRPr="0064597D">
        <w:rPr>
          <w:rFonts w:eastAsia="SimSun" w:cs="Verdana"/>
          <w:sz w:val="20"/>
          <w:szCs w:val="20"/>
          <w:lang w:val="es-MX"/>
        </w:rPr>
        <w:t xml:space="preserve">A.M.V. </w:t>
      </w:r>
      <w:r w:rsidR="00324E53" w:rsidRPr="0064597D">
        <w:rPr>
          <w:rFonts w:eastAsia="SimSun" w:cs="Verdana"/>
          <w:sz w:val="20"/>
          <w:szCs w:val="20"/>
          <w:lang w:val="es-MX"/>
        </w:rPr>
        <w:t>(</w:t>
      </w:r>
      <w:r w:rsidR="00FF35C1" w:rsidRPr="0064597D">
        <w:rPr>
          <w:rFonts w:eastAsia="SimSun" w:cs="Verdana"/>
          <w:sz w:val="20"/>
          <w:szCs w:val="20"/>
          <w:lang w:val="es-MX"/>
        </w:rPr>
        <w:t xml:space="preserve">su </w:t>
      </w:r>
      <w:r w:rsidR="00324E53" w:rsidRPr="0064597D">
        <w:rPr>
          <w:rFonts w:eastAsia="SimSun" w:cs="Verdana"/>
          <w:sz w:val="20"/>
          <w:szCs w:val="20"/>
          <w:lang w:val="es-MX"/>
        </w:rPr>
        <w:t xml:space="preserve">pareja). Indicaron que la Comisión reconoce expresamente como víctima en su Informe de Fondo a </w:t>
      </w:r>
      <w:r w:rsidR="00FF35C1" w:rsidRPr="0064597D">
        <w:rPr>
          <w:sz w:val="20"/>
          <w:szCs w:val="20"/>
        </w:rPr>
        <w:t>la hermana del señor Ruiz Fuentes</w:t>
      </w:r>
      <w:r w:rsidR="00384310" w:rsidRPr="0064597D">
        <w:rPr>
          <w:sz w:val="20"/>
          <w:szCs w:val="20"/>
        </w:rPr>
        <w:t>.</w:t>
      </w:r>
      <w:r w:rsidR="00324E53" w:rsidRPr="0064597D">
        <w:rPr>
          <w:rFonts w:eastAsia="SimSun" w:cs="Verdana"/>
          <w:sz w:val="20"/>
          <w:szCs w:val="20"/>
          <w:lang w:val="es-MX"/>
        </w:rPr>
        <w:t xml:space="preserve"> Con respecto a los dos familiares restantes, argumentaron que lograron localizarles de </w:t>
      </w:r>
      <w:r w:rsidR="00324E53" w:rsidRPr="0064597D">
        <w:rPr>
          <w:bCs/>
          <w:iCs/>
          <w:sz w:val="20"/>
          <w:szCs w:val="20"/>
          <w:lang w:val="es-MX"/>
        </w:rPr>
        <w:t>manera</w:t>
      </w:r>
      <w:r w:rsidR="00324E53" w:rsidRPr="0064597D">
        <w:rPr>
          <w:rFonts w:eastAsia="SimSun" w:cs="Verdana"/>
          <w:sz w:val="20"/>
          <w:szCs w:val="20"/>
          <w:lang w:val="es-MX"/>
        </w:rPr>
        <w:t xml:space="preserve"> posterior al sometimiento del caso ante la Corte, y obtuvieron los poderes de representación correspondientes. </w:t>
      </w:r>
      <w:r w:rsidR="00324E53" w:rsidRPr="0064597D">
        <w:rPr>
          <w:bCs/>
          <w:iCs/>
          <w:sz w:val="20"/>
          <w:szCs w:val="20"/>
          <w:lang w:val="es-MX"/>
        </w:rPr>
        <w:t xml:space="preserve">En sus alegatos finales escritos </w:t>
      </w:r>
      <w:r w:rsidRPr="0064597D">
        <w:rPr>
          <w:bCs/>
          <w:iCs/>
          <w:sz w:val="20"/>
          <w:szCs w:val="20"/>
          <w:lang w:val="es-MX"/>
        </w:rPr>
        <w:t>las representantes</w:t>
      </w:r>
      <w:r w:rsidR="00324E53" w:rsidRPr="0064597D">
        <w:rPr>
          <w:bCs/>
          <w:iCs/>
          <w:sz w:val="20"/>
          <w:szCs w:val="20"/>
          <w:lang w:val="es-MX"/>
        </w:rPr>
        <w:t xml:space="preserve"> indicaron</w:t>
      </w:r>
      <w:r w:rsidR="007012D7" w:rsidRPr="0064597D">
        <w:rPr>
          <w:bCs/>
          <w:iCs/>
          <w:sz w:val="20"/>
          <w:szCs w:val="20"/>
          <w:lang w:val="es-MX"/>
        </w:rPr>
        <w:t xml:space="preserve"> que esta falta de identificación se debió al temor por la falta de seguridad que les generaba participar en el proceso de búsqueda de justicia y ante la Corte</w:t>
      </w:r>
      <w:r w:rsidR="000E3A01" w:rsidRPr="0064597D">
        <w:rPr>
          <w:bCs/>
          <w:iCs/>
          <w:sz w:val="20"/>
          <w:szCs w:val="20"/>
          <w:lang w:val="es-MX"/>
        </w:rPr>
        <w:t>.</w:t>
      </w:r>
      <w:r w:rsidR="007012D7" w:rsidRPr="0064597D">
        <w:rPr>
          <w:bCs/>
          <w:iCs/>
          <w:sz w:val="20"/>
          <w:szCs w:val="20"/>
          <w:lang w:val="es-MX"/>
        </w:rPr>
        <w:t xml:space="preserve"> Las representantes consideraron que las circunstancias descritas ameritan que la Corte adopte una </w:t>
      </w:r>
      <w:r w:rsidR="007012D7" w:rsidRPr="0064597D">
        <w:rPr>
          <w:bCs/>
          <w:iCs/>
          <w:sz w:val="20"/>
          <w:szCs w:val="20"/>
          <w:lang w:val="es-MX"/>
        </w:rPr>
        <w:lastRenderedPageBreak/>
        <w:t>posición flexible en lo que se refiere a la determinación de las víctimas de este caso.</w:t>
      </w:r>
      <w:r w:rsidR="007012D7" w:rsidRPr="0064597D">
        <w:rPr>
          <w:b/>
          <w:bCs/>
          <w:iCs/>
          <w:sz w:val="20"/>
          <w:szCs w:val="20"/>
          <w:lang w:val="es-MX"/>
        </w:rPr>
        <w:t xml:space="preserve"> </w:t>
      </w:r>
    </w:p>
    <w:p w14:paraId="03B91CC3" w14:textId="77777777" w:rsidR="00B002DC" w:rsidRPr="0064597D" w:rsidRDefault="00B002DC" w:rsidP="00B002DC">
      <w:pPr>
        <w:tabs>
          <w:tab w:val="left" w:pos="567"/>
        </w:tabs>
        <w:spacing w:line="240" w:lineRule="auto"/>
        <w:rPr>
          <w:rFonts w:eastAsia="SimSun" w:cs="Verdana"/>
          <w:sz w:val="20"/>
          <w:szCs w:val="20"/>
          <w:lang w:val="es-MX"/>
        </w:rPr>
      </w:pPr>
    </w:p>
    <w:p w14:paraId="6E25042B" w14:textId="619530ED" w:rsidR="00B002DC" w:rsidRPr="0064597D" w:rsidRDefault="00B002DC" w:rsidP="00B002DC">
      <w:pPr>
        <w:numPr>
          <w:ilvl w:val="0"/>
          <w:numId w:val="1"/>
        </w:numPr>
        <w:tabs>
          <w:tab w:val="left" w:pos="567"/>
          <w:tab w:val="num" w:pos="1569"/>
          <w:tab w:val="num" w:pos="12305"/>
        </w:tabs>
        <w:spacing w:line="240" w:lineRule="auto"/>
        <w:ind w:left="0" w:firstLine="0"/>
        <w:rPr>
          <w:rFonts w:eastAsia="SimSun" w:cs="Verdana"/>
          <w:sz w:val="20"/>
          <w:szCs w:val="20"/>
          <w:lang w:val="es-MX"/>
        </w:rPr>
      </w:pPr>
      <w:r w:rsidRPr="0064597D">
        <w:rPr>
          <w:rFonts w:eastAsia="SimSun" w:cs="Verdana"/>
          <w:sz w:val="20"/>
          <w:szCs w:val="20"/>
          <w:lang w:val="es-MX"/>
        </w:rPr>
        <w:t xml:space="preserve">La </w:t>
      </w:r>
      <w:r w:rsidRPr="0064597D">
        <w:rPr>
          <w:rFonts w:eastAsia="SimSun" w:cs="Verdana"/>
          <w:b/>
          <w:i/>
          <w:sz w:val="20"/>
          <w:szCs w:val="20"/>
          <w:lang w:val="es-MX"/>
        </w:rPr>
        <w:t>Comisión</w:t>
      </w:r>
      <w:r w:rsidRPr="0064597D">
        <w:rPr>
          <w:rFonts w:eastAsia="SimSun" w:cs="Verdana"/>
          <w:sz w:val="20"/>
          <w:szCs w:val="20"/>
          <w:lang w:val="es-MX"/>
        </w:rPr>
        <w:t xml:space="preserve"> no </w:t>
      </w:r>
      <w:r w:rsidRPr="0064597D">
        <w:rPr>
          <w:rFonts w:eastAsia="Batang"/>
          <w:sz w:val="20"/>
          <w:szCs w:val="20"/>
          <w:lang w:eastAsia="en-US"/>
        </w:rPr>
        <w:t>presentó</w:t>
      </w:r>
      <w:r w:rsidRPr="0064597D">
        <w:rPr>
          <w:rFonts w:eastAsia="SimSun" w:cs="Verdana"/>
          <w:sz w:val="20"/>
          <w:szCs w:val="20"/>
          <w:lang w:val="es-MX"/>
        </w:rPr>
        <w:t xml:space="preserve"> observaciones a este respecto. </w:t>
      </w:r>
    </w:p>
    <w:p w14:paraId="3B3418D1" w14:textId="093904BA" w:rsidR="00CA5E14" w:rsidRPr="0064597D" w:rsidRDefault="0050411F" w:rsidP="00377181">
      <w:pPr>
        <w:pStyle w:val="Ttulo3"/>
        <w:rPr>
          <w:lang w:eastAsia="en-US"/>
        </w:rPr>
      </w:pPr>
      <w:bookmarkStart w:id="22" w:name="_Toc15985485"/>
      <w:bookmarkStart w:id="23" w:name="_Toc24014534"/>
      <w:r w:rsidRPr="0064597D">
        <w:rPr>
          <w:lang w:eastAsia="en-US"/>
        </w:rPr>
        <w:t>a</w:t>
      </w:r>
      <w:r w:rsidR="00CA5E14" w:rsidRPr="0064597D">
        <w:rPr>
          <w:lang w:eastAsia="en-US"/>
        </w:rPr>
        <w:t xml:space="preserve">.2 </w:t>
      </w:r>
      <w:r w:rsidR="00CA5E14" w:rsidRPr="0064597D">
        <w:rPr>
          <w:lang w:eastAsia="en-US"/>
        </w:rPr>
        <w:tab/>
        <w:t>Consideraciones de la Corte</w:t>
      </w:r>
      <w:bookmarkEnd w:id="22"/>
      <w:bookmarkEnd w:id="23"/>
    </w:p>
    <w:p w14:paraId="614252DE" w14:textId="77777777" w:rsidR="0053644F" w:rsidRPr="0064597D" w:rsidRDefault="0053644F" w:rsidP="0053644F">
      <w:pPr>
        <w:numPr>
          <w:ilvl w:val="0"/>
          <w:numId w:val="1"/>
        </w:numPr>
        <w:tabs>
          <w:tab w:val="left" w:pos="567"/>
          <w:tab w:val="num" w:pos="1569"/>
          <w:tab w:val="num" w:pos="12305"/>
        </w:tabs>
        <w:spacing w:line="240" w:lineRule="auto"/>
        <w:ind w:left="0" w:firstLine="0"/>
        <w:rPr>
          <w:rFonts w:eastAsia="Batang"/>
          <w:sz w:val="20"/>
          <w:szCs w:val="20"/>
          <w:lang w:eastAsia="en-US"/>
        </w:rPr>
      </w:pPr>
      <w:r w:rsidRPr="0064597D">
        <w:rPr>
          <w:rFonts w:eastAsia="Batang"/>
          <w:sz w:val="20"/>
          <w:szCs w:val="20"/>
          <w:lang w:eastAsia="en-US"/>
        </w:rPr>
        <w:t>Con relación a la identificación de presuntas víctimas, la Corte recuerda que el artículo 35.1 del Reglamento de la Corte dispone que el caso le será sometido mediante la presentación del Informe de Fondo, que deberá contener la identificación de las presuntas víctimas. Corresponde pues a la Comisión identificar con precisión y en la debida oportunidad procesal a las presuntas víctimas en un caso ante la Corte</w:t>
      </w:r>
      <w:r w:rsidRPr="0064597D">
        <w:rPr>
          <w:rFonts w:eastAsia="Batang"/>
          <w:sz w:val="20"/>
          <w:szCs w:val="20"/>
          <w:vertAlign w:val="superscript"/>
          <w:lang w:eastAsia="en-US"/>
        </w:rPr>
        <w:footnoteReference w:id="14"/>
      </w:r>
      <w:r w:rsidRPr="0064597D">
        <w:rPr>
          <w:rFonts w:eastAsia="Batang"/>
          <w:sz w:val="20"/>
          <w:szCs w:val="20"/>
          <w:lang w:eastAsia="en-US"/>
        </w:rPr>
        <w:t>, salvo en las circunstancias excepcionales contempladas en el artículo 35.2 del Reglamento de la Corte, de conformidad con el cual, cuando se justifique que no fue posible identificarlas, por tratarse de casos de violaciones masivas o colectivas, el Tribunal decidirá en su oportunidad si las considera víctimas de acuerdo con la naturaleza de la violación</w:t>
      </w:r>
      <w:r w:rsidRPr="0064597D">
        <w:rPr>
          <w:rFonts w:eastAsia="Batang"/>
          <w:sz w:val="20"/>
          <w:szCs w:val="20"/>
          <w:vertAlign w:val="superscript"/>
          <w:lang w:eastAsia="en-US"/>
        </w:rPr>
        <w:footnoteReference w:id="15"/>
      </w:r>
      <w:r w:rsidRPr="0064597D">
        <w:rPr>
          <w:rFonts w:eastAsia="Batang"/>
          <w:sz w:val="20"/>
          <w:szCs w:val="20"/>
          <w:lang w:eastAsia="en-US"/>
        </w:rPr>
        <w:t>.</w:t>
      </w:r>
    </w:p>
    <w:p w14:paraId="4871ED0F" w14:textId="77777777" w:rsidR="007063B0" w:rsidRPr="0064597D" w:rsidRDefault="007063B0" w:rsidP="007063B0">
      <w:pPr>
        <w:tabs>
          <w:tab w:val="left" w:pos="567"/>
        </w:tabs>
        <w:spacing w:line="240" w:lineRule="auto"/>
        <w:rPr>
          <w:rFonts w:eastAsia="Batang"/>
          <w:sz w:val="20"/>
          <w:szCs w:val="20"/>
          <w:highlight w:val="yellow"/>
          <w:lang w:eastAsia="en-US"/>
        </w:rPr>
      </w:pPr>
    </w:p>
    <w:p w14:paraId="55A02D31" w14:textId="4B2E7BAB" w:rsidR="0000748D" w:rsidRPr="0064597D" w:rsidRDefault="0000748D" w:rsidP="0000748D">
      <w:pPr>
        <w:numPr>
          <w:ilvl w:val="0"/>
          <w:numId w:val="1"/>
        </w:numPr>
        <w:tabs>
          <w:tab w:val="left" w:pos="567"/>
          <w:tab w:val="num" w:pos="12305"/>
        </w:tabs>
        <w:spacing w:line="240" w:lineRule="auto"/>
        <w:ind w:left="0" w:firstLine="0"/>
        <w:rPr>
          <w:rFonts w:eastAsia="Verdana" w:cs="Verdana"/>
          <w:sz w:val="20"/>
          <w:szCs w:val="20"/>
        </w:rPr>
      </w:pPr>
      <w:r w:rsidRPr="0064597D">
        <w:rPr>
          <w:rFonts w:eastAsia="Verdana" w:cs="Verdana"/>
          <w:sz w:val="20"/>
          <w:szCs w:val="20"/>
        </w:rPr>
        <w:t>En el presente caso la Corte constata que no se configura alguna de las excepciones previstas en el artículo 35.2 del Reglamento de la Corte. En consecuencia, en razón de</w:t>
      </w:r>
      <w:r w:rsidR="00862003" w:rsidRPr="0064597D">
        <w:rPr>
          <w:rFonts w:eastAsia="Verdana" w:cs="Verdana"/>
          <w:sz w:val="20"/>
          <w:szCs w:val="20"/>
        </w:rPr>
        <w:t xml:space="preserve"> </w:t>
      </w:r>
      <w:r w:rsidR="00862003" w:rsidRPr="0064597D">
        <w:rPr>
          <w:rFonts w:eastAsia="Verdana" w:cs="Verdana"/>
          <w:bCs/>
          <w:sz w:val="20"/>
          <w:szCs w:val="20"/>
        </w:rPr>
        <w:t xml:space="preserve">lo </w:t>
      </w:r>
      <w:r w:rsidR="001B51E0" w:rsidRPr="0064597D">
        <w:rPr>
          <w:rFonts w:eastAsia="Verdana" w:cs="Verdana"/>
          <w:bCs/>
          <w:sz w:val="20"/>
          <w:szCs w:val="20"/>
        </w:rPr>
        <w:t>dispuesto</w:t>
      </w:r>
      <w:r w:rsidR="001B51E0" w:rsidRPr="0064597D">
        <w:rPr>
          <w:rFonts w:eastAsia="Verdana" w:cs="Verdana"/>
          <w:b/>
          <w:sz w:val="20"/>
          <w:szCs w:val="20"/>
        </w:rPr>
        <w:t xml:space="preserve"> </w:t>
      </w:r>
      <w:r w:rsidRPr="0064597D">
        <w:rPr>
          <w:rFonts w:eastAsia="Verdana" w:cs="Verdana"/>
          <w:sz w:val="20"/>
          <w:szCs w:val="20"/>
        </w:rPr>
        <w:t>en el artículo 35.1 del Reglamento y los precedentes sobre los que este Tribunal se ha pronunciado al respecto</w:t>
      </w:r>
      <w:r w:rsidR="00B002DC" w:rsidRPr="0064597D">
        <w:rPr>
          <w:rStyle w:val="Refdenotaalpie"/>
          <w:rFonts w:eastAsia="Verdana" w:cs="Verdana"/>
          <w:sz w:val="20"/>
          <w:szCs w:val="20"/>
        </w:rPr>
        <w:footnoteReference w:id="16"/>
      </w:r>
      <w:r w:rsidRPr="0064597D">
        <w:rPr>
          <w:rFonts w:eastAsia="Verdana" w:cs="Verdana"/>
          <w:sz w:val="20"/>
          <w:szCs w:val="20"/>
        </w:rPr>
        <w:t xml:space="preserve">, la Corte concluye que solo se considerará </w:t>
      </w:r>
      <w:r w:rsidR="002269FD" w:rsidRPr="0064597D">
        <w:rPr>
          <w:rFonts w:eastAsia="Verdana" w:cs="Verdana"/>
          <w:sz w:val="20"/>
          <w:szCs w:val="20"/>
        </w:rPr>
        <w:t>al señor Hugo Humberto Ruiz Fuentes y a su hermana</w:t>
      </w:r>
      <w:r w:rsidR="00FF35C1" w:rsidRPr="0064597D">
        <w:rPr>
          <w:rFonts w:eastAsia="Verdana" w:cs="Verdana"/>
          <w:sz w:val="20"/>
          <w:szCs w:val="20"/>
        </w:rPr>
        <w:t xml:space="preserve"> </w:t>
      </w:r>
      <w:r w:rsidR="002269FD" w:rsidRPr="0064597D">
        <w:rPr>
          <w:rFonts w:eastAsia="Verdana" w:cs="Verdana"/>
          <w:sz w:val="20"/>
          <w:szCs w:val="20"/>
        </w:rPr>
        <w:t>como</w:t>
      </w:r>
      <w:r w:rsidRPr="0064597D">
        <w:rPr>
          <w:rFonts w:eastAsia="Verdana" w:cs="Verdana"/>
          <w:sz w:val="20"/>
          <w:szCs w:val="20"/>
        </w:rPr>
        <w:t xml:space="preserve"> presunta</w:t>
      </w:r>
      <w:r w:rsidR="002269FD" w:rsidRPr="0064597D">
        <w:rPr>
          <w:rFonts w:eastAsia="Verdana" w:cs="Verdana"/>
          <w:sz w:val="20"/>
          <w:szCs w:val="20"/>
        </w:rPr>
        <w:t>s víctima</w:t>
      </w:r>
      <w:r w:rsidR="00070F7A" w:rsidRPr="0064597D">
        <w:rPr>
          <w:rFonts w:eastAsia="Verdana" w:cs="Verdana"/>
          <w:sz w:val="20"/>
          <w:szCs w:val="20"/>
        </w:rPr>
        <w:t>s</w:t>
      </w:r>
      <w:r w:rsidR="002269FD" w:rsidRPr="0064597D">
        <w:rPr>
          <w:rFonts w:eastAsia="Verdana" w:cs="Verdana"/>
          <w:sz w:val="20"/>
          <w:szCs w:val="20"/>
        </w:rPr>
        <w:t xml:space="preserve"> en</w:t>
      </w:r>
      <w:r w:rsidR="00070F7A" w:rsidRPr="0064597D">
        <w:rPr>
          <w:rFonts w:eastAsia="Verdana" w:cs="Verdana"/>
          <w:sz w:val="20"/>
          <w:szCs w:val="20"/>
        </w:rPr>
        <w:t xml:space="preserve"> el</w:t>
      </w:r>
      <w:r w:rsidR="002269FD" w:rsidRPr="0064597D">
        <w:rPr>
          <w:rFonts w:eastAsia="Verdana" w:cs="Verdana"/>
          <w:sz w:val="20"/>
          <w:szCs w:val="20"/>
        </w:rPr>
        <w:t xml:space="preserve"> presente caso, no correspondiendo a</w:t>
      </w:r>
      <w:r w:rsidRPr="0064597D">
        <w:rPr>
          <w:rFonts w:eastAsia="Verdana" w:cs="Verdana"/>
          <w:sz w:val="20"/>
          <w:szCs w:val="20"/>
        </w:rPr>
        <w:t xml:space="preserve">dmitir a </w:t>
      </w:r>
      <w:r w:rsidR="002269FD" w:rsidRPr="0064597D">
        <w:rPr>
          <w:rFonts w:eastAsia="Verdana" w:cs="Verdana"/>
          <w:sz w:val="20"/>
          <w:szCs w:val="20"/>
        </w:rPr>
        <w:t xml:space="preserve">los restantes </w:t>
      </w:r>
      <w:r w:rsidRPr="0064597D">
        <w:rPr>
          <w:rFonts w:eastAsia="Verdana" w:cs="Verdana"/>
          <w:sz w:val="20"/>
          <w:szCs w:val="20"/>
        </w:rPr>
        <w:t>familiares como presuntas víctimas.</w:t>
      </w:r>
    </w:p>
    <w:p w14:paraId="023E8A6A" w14:textId="76C6961B" w:rsidR="00CA5E14" w:rsidRPr="0064597D" w:rsidRDefault="00CA5E14" w:rsidP="00377181">
      <w:pPr>
        <w:pStyle w:val="Ttulo2"/>
      </w:pPr>
      <w:bookmarkStart w:id="24" w:name="_Toc24014535"/>
      <w:r w:rsidRPr="0064597D">
        <w:t>B.</w:t>
      </w:r>
      <w:r w:rsidRPr="0064597D">
        <w:tab/>
      </w:r>
      <w:r w:rsidR="00652ABF" w:rsidRPr="0064597D">
        <w:t>Determinación del marco fáctico</w:t>
      </w:r>
      <w:bookmarkEnd w:id="24"/>
    </w:p>
    <w:p w14:paraId="2B6446C6" w14:textId="1F32632E" w:rsidR="00971496" w:rsidRPr="0064597D" w:rsidRDefault="00971496" w:rsidP="00971496">
      <w:pPr>
        <w:numPr>
          <w:ilvl w:val="0"/>
          <w:numId w:val="1"/>
        </w:numPr>
        <w:tabs>
          <w:tab w:val="left" w:pos="567"/>
          <w:tab w:val="num" w:pos="12305"/>
        </w:tabs>
        <w:spacing w:line="240" w:lineRule="auto"/>
        <w:ind w:left="0" w:firstLine="0"/>
        <w:rPr>
          <w:b/>
          <w:sz w:val="20"/>
          <w:szCs w:val="20"/>
        </w:rPr>
      </w:pPr>
      <w:r w:rsidRPr="0064597D">
        <w:rPr>
          <w:sz w:val="20"/>
          <w:szCs w:val="20"/>
        </w:rPr>
        <w:t>La Corte observa que en el escrito de solicitudes y argumentos las representantes hicieron referencia a una multiplicidad de hechos</w:t>
      </w:r>
      <w:r w:rsidRPr="0064597D">
        <w:rPr>
          <w:rStyle w:val="Refdenotaalpie"/>
          <w:rFonts w:eastAsiaTheme="majorEastAsia"/>
          <w:sz w:val="20"/>
          <w:szCs w:val="20"/>
        </w:rPr>
        <w:footnoteReference w:id="17"/>
      </w:r>
      <w:r w:rsidRPr="0064597D">
        <w:rPr>
          <w:sz w:val="20"/>
          <w:szCs w:val="20"/>
        </w:rPr>
        <w:t xml:space="preserve"> que resultarían en la alegada violación de los artículos 7.1, 7.2, 7.3, 7.4 y 7.5, en relación con el artículo 1.1 del mismo instrumento</w:t>
      </w:r>
      <w:r w:rsidRPr="0064597D">
        <w:rPr>
          <w:rStyle w:val="Refdenotaalpie"/>
          <w:sz w:val="20"/>
          <w:szCs w:val="20"/>
        </w:rPr>
        <w:footnoteReference w:id="18"/>
      </w:r>
      <w:r w:rsidRPr="0064597D">
        <w:rPr>
          <w:sz w:val="20"/>
          <w:szCs w:val="20"/>
        </w:rPr>
        <w:t>. Asimismo, también alegaron que se produjo la violación de los artículos 5.1 y 5.2 debido a la ausencia de una atención médica adecuada y las condiciones carcelarias a las que estuvo sometido</w:t>
      </w:r>
      <w:r w:rsidRPr="0064597D">
        <w:rPr>
          <w:rStyle w:val="Refdenotaalpie"/>
          <w:sz w:val="20"/>
          <w:szCs w:val="20"/>
        </w:rPr>
        <w:footnoteReference w:id="19"/>
      </w:r>
      <w:r w:rsidRPr="0064597D">
        <w:rPr>
          <w:sz w:val="20"/>
          <w:szCs w:val="20"/>
        </w:rPr>
        <w:t xml:space="preserve">. </w:t>
      </w:r>
    </w:p>
    <w:p w14:paraId="730196C4" w14:textId="77777777" w:rsidR="00E03493" w:rsidRPr="0064597D" w:rsidRDefault="00E03493" w:rsidP="00E03493">
      <w:pPr>
        <w:pStyle w:val="Prrafodelista2"/>
        <w:ind w:left="0"/>
        <w:jc w:val="both"/>
      </w:pPr>
    </w:p>
    <w:p w14:paraId="1F01CF79" w14:textId="3C599484" w:rsidR="003F387B" w:rsidRPr="0064597D" w:rsidRDefault="00D056AC" w:rsidP="003F387B">
      <w:pPr>
        <w:numPr>
          <w:ilvl w:val="0"/>
          <w:numId w:val="1"/>
        </w:numPr>
        <w:tabs>
          <w:tab w:val="left" w:pos="567"/>
          <w:tab w:val="num" w:pos="12305"/>
        </w:tabs>
        <w:spacing w:line="240" w:lineRule="auto"/>
        <w:ind w:left="0" w:firstLine="0"/>
        <w:rPr>
          <w:sz w:val="20"/>
          <w:szCs w:val="20"/>
        </w:rPr>
      </w:pPr>
      <w:r w:rsidRPr="0064597D">
        <w:rPr>
          <w:rFonts w:cs="Verdana"/>
          <w:sz w:val="20"/>
          <w:szCs w:val="20"/>
        </w:rPr>
        <w:t>Esta</w:t>
      </w:r>
      <w:r w:rsidR="00DB0443" w:rsidRPr="0064597D">
        <w:rPr>
          <w:rFonts w:cs="Verdana"/>
          <w:sz w:val="20"/>
          <w:szCs w:val="20"/>
        </w:rPr>
        <w:t xml:space="preserve"> </w:t>
      </w:r>
      <w:r w:rsidRPr="0064597D">
        <w:rPr>
          <w:rFonts w:cs="Verdana"/>
          <w:sz w:val="20"/>
          <w:szCs w:val="20"/>
        </w:rPr>
        <w:t>Corte</w:t>
      </w:r>
      <w:r w:rsidR="00DB0443" w:rsidRPr="0064597D">
        <w:rPr>
          <w:rFonts w:cs="Verdana"/>
          <w:sz w:val="20"/>
          <w:szCs w:val="20"/>
        </w:rPr>
        <w:t xml:space="preserve"> </w:t>
      </w:r>
      <w:r w:rsidRPr="0064597D">
        <w:rPr>
          <w:rFonts w:cs="Verdana"/>
          <w:sz w:val="20"/>
          <w:szCs w:val="20"/>
        </w:rPr>
        <w:t>ha</w:t>
      </w:r>
      <w:r w:rsidR="00DB0443" w:rsidRPr="0064597D">
        <w:rPr>
          <w:rFonts w:cs="Verdana"/>
          <w:sz w:val="20"/>
          <w:szCs w:val="20"/>
        </w:rPr>
        <w:t xml:space="preserve"> </w:t>
      </w:r>
      <w:r w:rsidRPr="0064597D">
        <w:rPr>
          <w:rFonts w:cs="Verdana"/>
          <w:sz w:val="20"/>
          <w:szCs w:val="20"/>
        </w:rPr>
        <w:t>establecido</w:t>
      </w:r>
      <w:r w:rsidR="00DB0443" w:rsidRPr="0064597D">
        <w:rPr>
          <w:rFonts w:cs="Verdana"/>
          <w:sz w:val="20"/>
          <w:szCs w:val="20"/>
        </w:rPr>
        <w:t xml:space="preserve"> </w:t>
      </w:r>
      <w:r w:rsidRPr="0064597D">
        <w:rPr>
          <w:rFonts w:cs="Verdana"/>
          <w:sz w:val="20"/>
          <w:szCs w:val="20"/>
        </w:rPr>
        <w:t>que</w:t>
      </w:r>
      <w:r w:rsidR="00DB0443" w:rsidRPr="0064597D">
        <w:rPr>
          <w:rFonts w:cs="Verdana"/>
          <w:sz w:val="20"/>
          <w:szCs w:val="20"/>
        </w:rPr>
        <w:t xml:space="preserve"> </w:t>
      </w:r>
      <w:r w:rsidRPr="0064597D">
        <w:rPr>
          <w:rFonts w:cs="Verdana"/>
          <w:sz w:val="20"/>
          <w:szCs w:val="20"/>
        </w:rPr>
        <w:t>el</w:t>
      </w:r>
      <w:r w:rsidR="00DB0443" w:rsidRPr="0064597D">
        <w:rPr>
          <w:rFonts w:cs="Verdana"/>
          <w:sz w:val="20"/>
          <w:szCs w:val="20"/>
        </w:rPr>
        <w:t xml:space="preserve"> </w:t>
      </w:r>
      <w:r w:rsidRPr="0064597D">
        <w:rPr>
          <w:rFonts w:cs="Verdana"/>
          <w:sz w:val="20"/>
          <w:szCs w:val="20"/>
        </w:rPr>
        <w:t>marco</w:t>
      </w:r>
      <w:r w:rsidR="00DB0443" w:rsidRPr="0064597D">
        <w:rPr>
          <w:rFonts w:cs="Verdana"/>
          <w:sz w:val="20"/>
          <w:szCs w:val="20"/>
        </w:rPr>
        <w:t xml:space="preserve"> </w:t>
      </w:r>
      <w:r w:rsidRPr="0064597D">
        <w:rPr>
          <w:rFonts w:cs="Verdana"/>
          <w:sz w:val="20"/>
          <w:szCs w:val="20"/>
        </w:rPr>
        <w:t>fáctico</w:t>
      </w:r>
      <w:r w:rsidR="00DB0443" w:rsidRPr="0064597D">
        <w:rPr>
          <w:rFonts w:cs="Verdana"/>
          <w:sz w:val="20"/>
          <w:szCs w:val="20"/>
        </w:rPr>
        <w:t xml:space="preserve"> </w:t>
      </w:r>
      <w:r w:rsidRPr="0064597D">
        <w:rPr>
          <w:rFonts w:cs="Verdana"/>
          <w:sz w:val="20"/>
          <w:szCs w:val="20"/>
        </w:rPr>
        <w:t>del</w:t>
      </w:r>
      <w:r w:rsidR="00DB0443" w:rsidRPr="0064597D">
        <w:rPr>
          <w:rFonts w:cs="Verdana"/>
          <w:sz w:val="20"/>
          <w:szCs w:val="20"/>
        </w:rPr>
        <w:t xml:space="preserve"> </w:t>
      </w:r>
      <w:r w:rsidRPr="0064597D">
        <w:rPr>
          <w:rFonts w:cs="Verdana"/>
          <w:sz w:val="20"/>
          <w:szCs w:val="20"/>
        </w:rPr>
        <w:t>proceso</w:t>
      </w:r>
      <w:r w:rsidR="00DB0443" w:rsidRPr="0064597D">
        <w:rPr>
          <w:rFonts w:cs="Verdana"/>
          <w:sz w:val="20"/>
          <w:szCs w:val="20"/>
        </w:rPr>
        <w:t xml:space="preserve"> </w:t>
      </w:r>
      <w:r w:rsidRPr="0064597D">
        <w:rPr>
          <w:rFonts w:cs="Verdana"/>
          <w:sz w:val="20"/>
          <w:szCs w:val="20"/>
        </w:rPr>
        <w:t>ante</w:t>
      </w:r>
      <w:r w:rsidR="00DB0443" w:rsidRPr="0064597D">
        <w:rPr>
          <w:rFonts w:cs="Verdana"/>
          <w:sz w:val="20"/>
          <w:szCs w:val="20"/>
        </w:rPr>
        <w:t xml:space="preserve"> </w:t>
      </w:r>
      <w:r w:rsidRPr="0064597D">
        <w:rPr>
          <w:rFonts w:cs="Verdana"/>
          <w:sz w:val="20"/>
          <w:szCs w:val="20"/>
        </w:rPr>
        <w:t>la</w:t>
      </w:r>
      <w:r w:rsidR="00DB0443" w:rsidRPr="0064597D">
        <w:rPr>
          <w:rFonts w:cs="Verdana"/>
          <w:sz w:val="20"/>
          <w:szCs w:val="20"/>
        </w:rPr>
        <w:t xml:space="preserve"> </w:t>
      </w:r>
      <w:r w:rsidRPr="0064597D">
        <w:rPr>
          <w:rFonts w:cs="Verdana"/>
          <w:sz w:val="20"/>
          <w:szCs w:val="20"/>
        </w:rPr>
        <w:t>misma</w:t>
      </w:r>
      <w:r w:rsidR="00DB0443" w:rsidRPr="0064597D">
        <w:rPr>
          <w:rFonts w:cs="Verdana"/>
          <w:sz w:val="20"/>
          <w:szCs w:val="20"/>
        </w:rPr>
        <w:t xml:space="preserve"> </w:t>
      </w:r>
      <w:r w:rsidRPr="0064597D">
        <w:rPr>
          <w:rFonts w:cs="Verdana"/>
          <w:sz w:val="20"/>
          <w:szCs w:val="20"/>
        </w:rPr>
        <w:t>se</w:t>
      </w:r>
      <w:r w:rsidR="00DB0443" w:rsidRPr="0064597D">
        <w:rPr>
          <w:rFonts w:cs="Verdana"/>
          <w:sz w:val="20"/>
          <w:szCs w:val="20"/>
        </w:rPr>
        <w:t xml:space="preserve"> </w:t>
      </w:r>
      <w:r w:rsidRPr="0064597D">
        <w:rPr>
          <w:rFonts w:cs="Verdana"/>
          <w:sz w:val="20"/>
          <w:szCs w:val="20"/>
        </w:rPr>
        <w:t>encuentra constituido</w:t>
      </w:r>
      <w:r w:rsidR="00DB0443" w:rsidRPr="0064597D">
        <w:rPr>
          <w:rFonts w:cs="Verdana"/>
          <w:sz w:val="20"/>
          <w:szCs w:val="20"/>
        </w:rPr>
        <w:t xml:space="preserve"> </w:t>
      </w:r>
      <w:r w:rsidRPr="0064597D">
        <w:rPr>
          <w:rFonts w:cs="Verdana"/>
          <w:sz w:val="20"/>
          <w:szCs w:val="20"/>
        </w:rPr>
        <w:t>por</w:t>
      </w:r>
      <w:r w:rsidR="00DB0443" w:rsidRPr="0064597D">
        <w:rPr>
          <w:rFonts w:cs="Verdana"/>
          <w:sz w:val="20"/>
          <w:szCs w:val="20"/>
        </w:rPr>
        <w:t xml:space="preserve"> </w:t>
      </w:r>
      <w:r w:rsidRPr="0064597D">
        <w:rPr>
          <w:rFonts w:cs="Verdana"/>
          <w:sz w:val="20"/>
          <w:szCs w:val="20"/>
        </w:rPr>
        <w:t>los</w:t>
      </w:r>
      <w:r w:rsidR="00DB0443" w:rsidRPr="0064597D">
        <w:rPr>
          <w:rFonts w:cs="Verdana"/>
          <w:sz w:val="20"/>
          <w:szCs w:val="20"/>
        </w:rPr>
        <w:t xml:space="preserve"> </w:t>
      </w:r>
      <w:r w:rsidRPr="0064597D">
        <w:rPr>
          <w:rFonts w:cs="Verdana"/>
          <w:sz w:val="20"/>
          <w:szCs w:val="20"/>
        </w:rPr>
        <w:t>hechos</w:t>
      </w:r>
      <w:r w:rsidR="00DB0443" w:rsidRPr="0064597D">
        <w:rPr>
          <w:rFonts w:cs="Verdana"/>
          <w:sz w:val="20"/>
          <w:szCs w:val="20"/>
        </w:rPr>
        <w:t xml:space="preserve"> </w:t>
      </w:r>
      <w:r w:rsidRPr="0064597D">
        <w:rPr>
          <w:rFonts w:cs="Verdana"/>
          <w:sz w:val="20"/>
          <w:szCs w:val="20"/>
        </w:rPr>
        <w:t>contenidos</w:t>
      </w:r>
      <w:r w:rsidR="00DB0443" w:rsidRPr="0064597D">
        <w:rPr>
          <w:rFonts w:cs="Verdana"/>
          <w:sz w:val="20"/>
          <w:szCs w:val="20"/>
        </w:rPr>
        <w:t xml:space="preserve"> </w:t>
      </w:r>
      <w:r w:rsidRPr="0064597D">
        <w:rPr>
          <w:rFonts w:cs="Verdana"/>
          <w:sz w:val="20"/>
          <w:szCs w:val="20"/>
        </w:rPr>
        <w:t>en</w:t>
      </w:r>
      <w:r w:rsidR="00DB0443" w:rsidRPr="0064597D">
        <w:rPr>
          <w:rFonts w:cs="Verdana"/>
          <w:sz w:val="20"/>
          <w:szCs w:val="20"/>
        </w:rPr>
        <w:t xml:space="preserve"> </w:t>
      </w:r>
      <w:r w:rsidRPr="0064597D">
        <w:rPr>
          <w:rFonts w:cs="Verdana"/>
          <w:sz w:val="20"/>
          <w:szCs w:val="20"/>
        </w:rPr>
        <w:t>el</w:t>
      </w:r>
      <w:r w:rsidR="00DB0443" w:rsidRPr="0064597D">
        <w:rPr>
          <w:rFonts w:cs="Verdana"/>
          <w:sz w:val="20"/>
          <w:szCs w:val="20"/>
        </w:rPr>
        <w:t xml:space="preserve"> </w:t>
      </w:r>
      <w:r w:rsidRPr="0064597D">
        <w:rPr>
          <w:rFonts w:cs="Verdana"/>
          <w:sz w:val="20"/>
          <w:szCs w:val="20"/>
        </w:rPr>
        <w:t>Informe</w:t>
      </w:r>
      <w:r w:rsidR="00DB0443" w:rsidRPr="0064597D">
        <w:rPr>
          <w:rFonts w:cs="Verdana"/>
          <w:sz w:val="20"/>
          <w:szCs w:val="20"/>
        </w:rPr>
        <w:t xml:space="preserve"> </w:t>
      </w:r>
      <w:r w:rsidRPr="0064597D">
        <w:rPr>
          <w:rFonts w:cs="Verdana"/>
          <w:sz w:val="20"/>
          <w:szCs w:val="20"/>
        </w:rPr>
        <w:t>de</w:t>
      </w:r>
      <w:r w:rsidR="00DB0443" w:rsidRPr="0064597D">
        <w:rPr>
          <w:rFonts w:cs="Verdana"/>
          <w:sz w:val="20"/>
          <w:szCs w:val="20"/>
        </w:rPr>
        <w:t xml:space="preserve"> </w:t>
      </w:r>
      <w:r w:rsidRPr="0064597D">
        <w:rPr>
          <w:rFonts w:cs="Verdana"/>
          <w:sz w:val="20"/>
          <w:szCs w:val="20"/>
        </w:rPr>
        <w:t>Fondo</w:t>
      </w:r>
      <w:r w:rsidR="00DB0443" w:rsidRPr="0064597D">
        <w:rPr>
          <w:rFonts w:cs="Verdana"/>
          <w:sz w:val="20"/>
          <w:szCs w:val="20"/>
        </w:rPr>
        <w:t xml:space="preserve"> </w:t>
      </w:r>
      <w:r w:rsidRPr="0064597D">
        <w:rPr>
          <w:rFonts w:cs="Verdana"/>
          <w:sz w:val="20"/>
          <w:szCs w:val="20"/>
        </w:rPr>
        <w:t>sometidos</w:t>
      </w:r>
      <w:r w:rsidR="00DB0443" w:rsidRPr="0064597D">
        <w:rPr>
          <w:rFonts w:cs="Verdana"/>
          <w:sz w:val="20"/>
          <w:szCs w:val="20"/>
        </w:rPr>
        <w:t xml:space="preserve"> </w:t>
      </w:r>
      <w:r w:rsidRPr="0064597D">
        <w:rPr>
          <w:rFonts w:cs="Verdana"/>
          <w:sz w:val="20"/>
          <w:szCs w:val="20"/>
        </w:rPr>
        <w:t>a</w:t>
      </w:r>
      <w:r w:rsidR="00DB0443" w:rsidRPr="0064597D">
        <w:rPr>
          <w:rFonts w:cs="Verdana"/>
          <w:sz w:val="20"/>
          <w:szCs w:val="20"/>
        </w:rPr>
        <w:t xml:space="preserve"> </w:t>
      </w:r>
      <w:r w:rsidRPr="0064597D">
        <w:rPr>
          <w:rFonts w:cs="Verdana"/>
          <w:sz w:val="20"/>
          <w:szCs w:val="20"/>
        </w:rPr>
        <w:t>consideración</w:t>
      </w:r>
      <w:r w:rsidR="00DB0443" w:rsidRPr="0064597D">
        <w:rPr>
          <w:rFonts w:cs="Verdana"/>
          <w:sz w:val="20"/>
          <w:szCs w:val="20"/>
        </w:rPr>
        <w:t xml:space="preserve"> </w:t>
      </w:r>
      <w:r w:rsidRPr="0064597D">
        <w:rPr>
          <w:rFonts w:cs="Verdana"/>
          <w:sz w:val="20"/>
          <w:szCs w:val="20"/>
        </w:rPr>
        <w:t>de</w:t>
      </w:r>
      <w:r w:rsidR="00DB0443" w:rsidRPr="0064597D">
        <w:rPr>
          <w:rFonts w:cs="Verdana"/>
          <w:sz w:val="20"/>
          <w:szCs w:val="20"/>
        </w:rPr>
        <w:t xml:space="preserve"> </w:t>
      </w:r>
      <w:r w:rsidRPr="0064597D">
        <w:rPr>
          <w:rFonts w:cs="Verdana"/>
          <w:sz w:val="20"/>
          <w:szCs w:val="20"/>
        </w:rPr>
        <w:t>la Corte</w:t>
      </w:r>
      <w:r w:rsidR="00652ABF" w:rsidRPr="0064597D">
        <w:rPr>
          <w:rStyle w:val="Refdenotaalpie"/>
          <w:rFonts w:cs="Verdana"/>
          <w:sz w:val="20"/>
          <w:szCs w:val="20"/>
        </w:rPr>
        <w:footnoteReference w:id="20"/>
      </w:r>
      <w:r w:rsidR="00E03493" w:rsidRPr="0064597D">
        <w:rPr>
          <w:rFonts w:cs="Verdana"/>
          <w:sz w:val="20"/>
          <w:szCs w:val="20"/>
        </w:rPr>
        <w:t xml:space="preserve">, </w:t>
      </w:r>
      <w:r w:rsidR="00E03493" w:rsidRPr="0064597D">
        <w:rPr>
          <w:rFonts w:cs="Verdana"/>
          <w:sz w:val="20"/>
          <w:szCs w:val="20"/>
        </w:rPr>
        <w:lastRenderedPageBreak/>
        <w:t>por lo que no es admisible alegar nuevos hechos distintos de los planteados en dicho escrito, sin perjuicio de exponer aquellos que permitan explicar, aclarar o desestimar los que han sido mencionados en la demanda, o bien, responder a las pretensiones del demandante</w:t>
      </w:r>
      <w:r w:rsidRPr="0064597D">
        <w:rPr>
          <w:rFonts w:cs="Verdana"/>
          <w:sz w:val="20"/>
          <w:szCs w:val="20"/>
        </w:rPr>
        <w:t xml:space="preserve"> (también llamados “hechos complementarios”)</w:t>
      </w:r>
      <w:r w:rsidR="00E03493" w:rsidRPr="0064597D">
        <w:rPr>
          <w:rFonts w:cs="Verdana"/>
          <w:sz w:val="20"/>
          <w:szCs w:val="20"/>
        </w:rPr>
        <w:t>. La excepción a este principio son los hechos que se califican como supervinientes, que podrán ser remitidos al Tribunal en cualquier estado del proceso antes de la emisión de la sentencia</w:t>
      </w:r>
      <w:r w:rsidR="001B5550" w:rsidRPr="0064597D">
        <w:rPr>
          <w:rStyle w:val="Refdenotaalpie"/>
          <w:rFonts w:cs="Verdana"/>
          <w:sz w:val="20"/>
          <w:szCs w:val="20"/>
        </w:rPr>
        <w:footnoteReference w:id="21"/>
      </w:r>
      <w:r w:rsidR="00E03493" w:rsidRPr="0064597D">
        <w:rPr>
          <w:sz w:val="20"/>
          <w:szCs w:val="20"/>
        </w:rPr>
        <w:t>.</w:t>
      </w:r>
      <w:r w:rsidR="00E03493" w:rsidRPr="0064597D">
        <w:rPr>
          <w:rFonts w:cs="Verdana"/>
          <w:sz w:val="20"/>
          <w:szCs w:val="20"/>
        </w:rPr>
        <w:t xml:space="preserve"> </w:t>
      </w:r>
    </w:p>
    <w:p w14:paraId="23810896" w14:textId="77777777" w:rsidR="003F387B" w:rsidRPr="0064597D" w:rsidRDefault="003F387B" w:rsidP="003F387B">
      <w:pPr>
        <w:tabs>
          <w:tab w:val="left" w:pos="567"/>
        </w:tabs>
        <w:spacing w:line="240" w:lineRule="auto"/>
        <w:rPr>
          <w:sz w:val="20"/>
          <w:szCs w:val="20"/>
        </w:rPr>
      </w:pPr>
    </w:p>
    <w:p w14:paraId="045EBE2D" w14:textId="5D1F9F01" w:rsidR="00E03493" w:rsidRPr="0064597D" w:rsidRDefault="000C56AE" w:rsidP="006958DA">
      <w:pPr>
        <w:numPr>
          <w:ilvl w:val="0"/>
          <w:numId w:val="1"/>
        </w:numPr>
        <w:tabs>
          <w:tab w:val="left" w:pos="567"/>
          <w:tab w:val="num" w:pos="12305"/>
        </w:tabs>
        <w:spacing w:line="240" w:lineRule="auto"/>
        <w:ind w:left="0" w:firstLine="0"/>
        <w:rPr>
          <w:sz w:val="20"/>
          <w:szCs w:val="20"/>
        </w:rPr>
      </w:pPr>
      <w:r w:rsidRPr="0064597D">
        <w:rPr>
          <w:rFonts w:cs="Verdana"/>
          <w:sz w:val="20"/>
          <w:szCs w:val="20"/>
        </w:rPr>
        <w:t>En el presente caso, la</w:t>
      </w:r>
      <w:r w:rsidRPr="0064597D">
        <w:rPr>
          <w:sz w:val="20"/>
          <w:szCs w:val="20"/>
        </w:rPr>
        <w:t xml:space="preserve"> Corte constata que la Comisión no incluyó los hechos alegados por las representantes con relación a la alegada violación del artículo 7 y del artículo 5 (con respecto al alegado inadecuado tratamiento médico brindado al señor Ruiz Fuentes) dentro del marco fáctico ni como una consideración de fondo. </w:t>
      </w:r>
      <w:r w:rsidR="00652ABF" w:rsidRPr="0064597D">
        <w:rPr>
          <w:sz w:val="20"/>
          <w:szCs w:val="20"/>
        </w:rPr>
        <w:t>Por lo tanto, el Tribunal precisa que no se pronunciará sobre tales hechos alegados por las representantes. L</w:t>
      </w:r>
      <w:r w:rsidR="00E03493" w:rsidRPr="0064597D">
        <w:rPr>
          <w:sz w:val="20"/>
          <w:szCs w:val="20"/>
        </w:rPr>
        <w:t xml:space="preserve">a Corte tampoco se referirá a los alegatos de derecho </w:t>
      </w:r>
      <w:r w:rsidR="00E03493" w:rsidRPr="0064597D">
        <w:rPr>
          <w:rFonts w:eastAsia="Verdana" w:cs="Verdana"/>
          <w:sz w:val="20"/>
          <w:szCs w:val="20"/>
        </w:rPr>
        <w:t>formulados</w:t>
      </w:r>
      <w:r w:rsidR="00E03493" w:rsidRPr="0064597D">
        <w:rPr>
          <w:sz w:val="20"/>
          <w:szCs w:val="20"/>
        </w:rPr>
        <w:t xml:space="preserve"> por </w:t>
      </w:r>
      <w:r w:rsidR="002269FD" w:rsidRPr="0064597D">
        <w:rPr>
          <w:sz w:val="20"/>
          <w:szCs w:val="20"/>
        </w:rPr>
        <w:t>las representantes</w:t>
      </w:r>
      <w:r w:rsidRPr="0064597D">
        <w:rPr>
          <w:sz w:val="20"/>
          <w:szCs w:val="20"/>
        </w:rPr>
        <w:t xml:space="preserve"> con base en tales hechos </w:t>
      </w:r>
      <w:r w:rsidR="00AD4BCB" w:rsidRPr="0064597D">
        <w:rPr>
          <w:sz w:val="20"/>
          <w:szCs w:val="20"/>
        </w:rPr>
        <w:t>y</w:t>
      </w:r>
      <w:r w:rsidR="00E03493" w:rsidRPr="0064597D">
        <w:rPr>
          <w:sz w:val="20"/>
          <w:szCs w:val="20"/>
        </w:rPr>
        <w:t xml:space="preserve">, por lo tanto, a las supuestas violaciones de los artículos </w:t>
      </w:r>
      <w:r w:rsidRPr="0064597D">
        <w:rPr>
          <w:sz w:val="20"/>
          <w:szCs w:val="20"/>
        </w:rPr>
        <w:t xml:space="preserve">1.1, 5.1, 5.2, 7.1, 7.2, 7.3, 7.4 y 7.5 </w:t>
      </w:r>
      <w:r w:rsidR="00E03493" w:rsidRPr="0064597D">
        <w:rPr>
          <w:sz w:val="20"/>
          <w:szCs w:val="20"/>
        </w:rPr>
        <w:t xml:space="preserve">señaladas por </w:t>
      </w:r>
      <w:r w:rsidR="002269FD" w:rsidRPr="0064597D">
        <w:rPr>
          <w:sz w:val="20"/>
          <w:szCs w:val="20"/>
        </w:rPr>
        <w:t>las representantes</w:t>
      </w:r>
      <w:r w:rsidR="001D58A5" w:rsidRPr="0064597D">
        <w:rPr>
          <w:sz w:val="20"/>
          <w:szCs w:val="20"/>
        </w:rPr>
        <w:t xml:space="preserve"> a este respecto</w:t>
      </w:r>
      <w:r w:rsidR="00E03493" w:rsidRPr="0064597D">
        <w:rPr>
          <w:sz w:val="20"/>
          <w:szCs w:val="20"/>
        </w:rPr>
        <w:t>.</w:t>
      </w:r>
    </w:p>
    <w:p w14:paraId="41B2890F" w14:textId="77777777" w:rsidR="00652A11" w:rsidRPr="0064597D" w:rsidRDefault="00652A11" w:rsidP="002F4F08">
      <w:pPr>
        <w:pStyle w:val="Ttulo1"/>
      </w:pPr>
      <w:bookmarkStart w:id="25" w:name="_Toc375517114"/>
      <w:bookmarkStart w:id="26" w:name="_Toc459158102"/>
      <w:bookmarkStart w:id="27" w:name="_Toc470180046"/>
      <w:bookmarkStart w:id="28" w:name="_Toc514172609"/>
      <w:bookmarkStart w:id="29" w:name="_Toc24014536"/>
      <w:r w:rsidRPr="0064597D">
        <w:t>V</w:t>
      </w:r>
      <w:r w:rsidR="00EA52BD" w:rsidRPr="0064597D">
        <w:t>I</w:t>
      </w:r>
      <w:r w:rsidRPr="0064597D">
        <w:br/>
        <w:t>PRUEBA</w:t>
      </w:r>
      <w:bookmarkEnd w:id="25"/>
      <w:bookmarkEnd w:id="26"/>
      <w:bookmarkEnd w:id="27"/>
      <w:bookmarkEnd w:id="28"/>
      <w:bookmarkEnd w:id="29"/>
    </w:p>
    <w:p w14:paraId="7940CD93" w14:textId="6F0798A9" w:rsidR="00652A11" w:rsidRPr="0064597D" w:rsidRDefault="00652A11" w:rsidP="00377181">
      <w:pPr>
        <w:pStyle w:val="Ttulo2"/>
      </w:pPr>
      <w:bookmarkStart w:id="30" w:name="_Toc375517115"/>
      <w:bookmarkStart w:id="31" w:name="_Toc459158103"/>
      <w:bookmarkStart w:id="32" w:name="_Toc470180047"/>
      <w:bookmarkStart w:id="33" w:name="_Toc514172610"/>
      <w:bookmarkStart w:id="34" w:name="_Toc24014537"/>
      <w:r w:rsidRPr="0064597D">
        <w:t>A.</w:t>
      </w:r>
      <w:r w:rsidRPr="0064597D">
        <w:tab/>
      </w:r>
      <w:bookmarkStart w:id="35" w:name="_Toc375517116"/>
      <w:bookmarkStart w:id="36" w:name="_Toc459158104"/>
      <w:bookmarkStart w:id="37" w:name="_Toc470180048"/>
      <w:bookmarkStart w:id="38" w:name="_Toc514172611"/>
      <w:bookmarkEnd w:id="30"/>
      <w:bookmarkEnd w:id="31"/>
      <w:bookmarkEnd w:id="32"/>
      <w:bookmarkEnd w:id="33"/>
      <w:r w:rsidR="00E20B2F" w:rsidRPr="0064597D">
        <w:t xml:space="preserve">Admisibilidad de la </w:t>
      </w:r>
      <w:r w:rsidRPr="0064597D">
        <w:t>prueba</w:t>
      </w:r>
      <w:bookmarkEnd w:id="35"/>
      <w:bookmarkEnd w:id="36"/>
      <w:bookmarkEnd w:id="37"/>
      <w:bookmarkEnd w:id="38"/>
      <w:r w:rsidR="00E20B2F" w:rsidRPr="0064597D">
        <w:t xml:space="preserve"> documental</w:t>
      </w:r>
      <w:bookmarkEnd w:id="34"/>
    </w:p>
    <w:p w14:paraId="29BF796F" w14:textId="77777777" w:rsidR="00E20B2F" w:rsidRPr="0064597D" w:rsidRDefault="00E20B2F" w:rsidP="00E20B2F">
      <w:pPr>
        <w:widowControl/>
        <w:numPr>
          <w:ilvl w:val="0"/>
          <w:numId w:val="1"/>
        </w:numPr>
        <w:tabs>
          <w:tab w:val="left" w:pos="567"/>
          <w:tab w:val="num" w:pos="1569"/>
          <w:tab w:val="num" w:pos="12305"/>
        </w:tabs>
        <w:autoSpaceDE w:val="0"/>
        <w:autoSpaceDN w:val="0"/>
        <w:adjustRightInd/>
        <w:spacing w:line="240" w:lineRule="auto"/>
        <w:ind w:left="0" w:right="-90" w:firstLine="0"/>
        <w:textAlignment w:val="auto"/>
        <w:rPr>
          <w:rFonts w:eastAsia="Calibri"/>
          <w:sz w:val="20"/>
          <w:szCs w:val="20"/>
        </w:rPr>
      </w:pPr>
      <w:r w:rsidRPr="0064597D">
        <w:rPr>
          <w:rFonts w:eastAsia="Calibri"/>
          <w:sz w:val="20"/>
          <w:szCs w:val="20"/>
        </w:rPr>
        <w:t xml:space="preserve">El Tribunal recibió diversos documentos presentados como prueba por la Comisión, </w:t>
      </w:r>
      <w:r w:rsidR="002269FD" w:rsidRPr="0064597D">
        <w:rPr>
          <w:rFonts w:eastAsia="Calibri"/>
          <w:sz w:val="20"/>
          <w:szCs w:val="20"/>
        </w:rPr>
        <w:t>las representantes</w:t>
      </w:r>
      <w:r w:rsidRPr="0064597D">
        <w:rPr>
          <w:rFonts w:eastAsia="Calibri"/>
          <w:sz w:val="20"/>
          <w:szCs w:val="20"/>
        </w:rPr>
        <w:t xml:space="preserve"> y el Estado, así como también aquellos solicitados por la Corte o su Presidencia como prueba para mejor resolver, los cuales, como en otros casos, admite en el entendido que fueron presentados en la debida oportunidad procesal (artículo 57 del Reglamento)</w:t>
      </w:r>
      <w:r w:rsidRPr="0064597D">
        <w:rPr>
          <w:rFonts w:eastAsia="Calibri"/>
          <w:sz w:val="20"/>
          <w:szCs w:val="20"/>
          <w:vertAlign w:val="superscript"/>
        </w:rPr>
        <w:footnoteReference w:id="22"/>
      </w:r>
      <w:r w:rsidRPr="0064597D">
        <w:rPr>
          <w:rFonts w:eastAsia="Calibri"/>
          <w:sz w:val="20"/>
          <w:szCs w:val="20"/>
        </w:rPr>
        <w:t xml:space="preserve"> y su admisibilidad no fue controvertida ni objetada. </w:t>
      </w:r>
    </w:p>
    <w:p w14:paraId="2ADE4C72" w14:textId="77777777" w:rsidR="00B002DC" w:rsidRPr="0064597D" w:rsidRDefault="00B002DC" w:rsidP="00B002DC">
      <w:pPr>
        <w:widowControl/>
        <w:tabs>
          <w:tab w:val="left" w:pos="567"/>
        </w:tabs>
        <w:autoSpaceDE w:val="0"/>
        <w:autoSpaceDN w:val="0"/>
        <w:adjustRightInd/>
        <w:spacing w:line="240" w:lineRule="auto"/>
        <w:ind w:right="-90"/>
        <w:textAlignment w:val="auto"/>
        <w:rPr>
          <w:rFonts w:eastAsia="Calibri"/>
          <w:sz w:val="20"/>
          <w:szCs w:val="20"/>
        </w:rPr>
      </w:pPr>
    </w:p>
    <w:p w14:paraId="3E245DB8" w14:textId="6B138C30" w:rsidR="00896E0A" w:rsidRPr="0064597D" w:rsidRDefault="005F60A8" w:rsidP="009E2900">
      <w:pPr>
        <w:widowControl/>
        <w:numPr>
          <w:ilvl w:val="0"/>
          <w:numId w:val="1"/>
        </w:numPr>
        <w:tabs>
          <w:tab w:val="left" w:pos="567"/>
          <w:tab w:val="num" w:pos="1569"/>
          <w:tab w:val="num" w:pos="12305"/>
        </w:tabs>
        <w:autoSpaceDE w:val="0"/>
        <w:autoSpaceDN w:val="0"/>
        <w:adjustRightInd/>
        <w:spacing w:line="240" w:lineRule="auto"/>
        <w:ind w:left="0" w:right="-90" w:firstLine="0"/>
        <w:textAlignment w:val="auto"/>
        <w:rPr>
          <w:sz w:val="20"/>
          <w:szCs w:val="20"/>
        </w:rPr>
      </w:pPr>
      <w:r w:rsidRPr="0064597D">
        <w:rPr>
          <w:rFonts w:eastAsia="Calibri"/>
          <w:sz w:val="20"/>
          <w:szCs w:val="20"/>
        </w:rPr>
        <w:t xml:space="preserve">El 27 de febrero de </w:t>
      </w:r>
      <w:r w:rsidR="00070F7A" w:rsidRPr="0064597D">
        <w:rPr>
          <w:rFonts w:eastAsia="Calibri"/>
          <w:sz w:val="20"/>
          <w:szCs w:val="20"/>
        </w:rPr>
        <w:t>2019</w:t>
      </w:r>
      <w:r w:rsidRPr="0064597D">
        <w:rPr>
          <w:rFonts w:eastAsia="Calibri"/>
          <w:sz w:val="20"/>
          <w:szCs w:val="20"/>
        </w:rPr>
        <w:t>, c</w:t>
      </w:r>
      <w:r w:rsidR="003074AD" w:rsidRPr="0064597D">
        <w:rPr>
          <w:rFonts w:eastAsia="Calibri"/>
          <w:sz w:val="20"/>
          <w:szCs w:val="20"/>
        </w:rPr>
        <w:t>on posterioridad a la presentación de su escrito de solicitudes y argumentos</w:t>
      </w:r>
      <w:r w:rsidR="008235F3" w:rsidRPr="0064597D">
        <w:rPr>
          <w:rFonts w:eastAsia="Calibri"/>
          <w:sz w:val="20"/>
          <w:szCs w:val="20"/>
        </w:rPr>
        <w:t>,</w:t>
      </w:r>
      <w:r w:rsidR="00B53657" w:rsidRPr="0064597D">
        <w:rPr>
          <w:rFonts w:eastAsia="Calibri"/>
          <w:sz w:val="20"/>
          <w:szCs w:val="20"/>
        </w:rPr>
        <w:t xml:space="preserve"> </w:t>
      </w:r>
      <w:r w:rsidR="002269FD" w:rsidRPr="0064597D">
        <w:rPr>
          <w:sz w:val="20"/>
          <w:szCs w:val="20"/>
        </w:rPr>
        <w:t>las representantes</w:t>
      </w:r>
      <w:r w:rsidR="00B53657" w:rsidRPr="0064597D">
        <w:rPr>
          <w:sz w:val="20"/>
          <w:szCs w:val="20"/>
        </w:rPr>
        <w:t xml:space="preserve"> remitieron como prueba superviniente </w:t>
      </w:r>
      <w:r w:rsidR="00F115A2" w:rsidRPr="0064597D">
        <w:rPr>
          <w:sz w:val="20"/>
          <w:szCs w:val="20"/>
        </w:rPr>
        <w:t>material probatorio</w:t>
      </w:r>
      <w:r w:rsidR="00FB6984" w:rsidRPr="0064597D">
        <w:rPr>
          <w:sz w:val="20"/>
          <w:szCs w:val="20"/>
        </w:rPr>
        <w:t xml:space="preserve"> </w:t>
      </w:r>
      <w:r w:rsidR="00F115A2" w:rsidRPr="0064597D">
        <w:rPr>
          <w:sz w:val="20"/>
          <w:szCs w:val="20"/>
        </w:rPr>
        <w:t xml:space="preserve">sobre alegados hechos ocurridos con posterioridad a la presentación de su escrito de solicitudes, argumentos y pruebas. </w:t>
      </w:r>
      <w:r w:rsidR="009E2900" w:rsidRPr="0064597D">
        <w:rPr>
          <w:sz w:val="20"/>
          <w:szCs w:val="20"/>
        </w:rPr>
        <w:t>D</w:t>
      </w:r>
      <w:r w:rsidR="00240080" w:rsidRPr="0064597D">
        <w:rPr>
          <w:sz w:val="20"/>
          <w:szCs w:val="20"/>
        </w:rPr>
        <w:t>ichos documentos no f</w:t>
      </w:r>
      <w:r w:rsidR="009E2900" w:rsidRPr="0064597D">
        <w:rPr>
          <w:sz w:val="20"/>
          <w:szCs w:val="20"/>
        </w:rPr>
        <w:t>ueron cuestionados por el Estado. L</w:t>
      </w:r>
      <w:r w:rsidR="009E2900" w:rsidRPr="0064597D">
        <w:rPr>
          <w:sz w:val="20"/>
          <w:szCs w:val="20"/>
          <w:lang w:eastAsia="es-ES"/>
        </w:rPr>
        <w:t>a Corte observa que éstos se refieren a hechos supervinientes, por lo que son aceptados por este Tribunal</w:t>
      </w:r>
      <w:r w:rsidR="00EF3329" w:rsidRPr="0064597D">
        <w:rPr>
          <w:sz w:val="20"/>
          <w:szCs w:val="20"/>
          <w:lang w:eastAsia="es-ES"/>
        </w:rPr>
        <w:t>, de conformidad con el artículo 57.2 del Reglamento.</w:t>
      </w:r>
      <w:r w:rsidR="00DB0443" w:rsidRPr="0064597D">
        <w:rPr>
          <w:sz w:val="20"/>
          <w:szCs w:val="20"/>
          <w:lang w:eastAsia="es-ES"/>
        </w:rPr>
        <w:t xml:space="preserve"> </w:t>
      </w:r>
    </w:p>
    <w:p w14:paraId="142C1F95" w14:textId="77777777" w:rsidR="00896E0A" w:rsidRPr="0064597D" w:rsidRDefault="00896E0A" w:rsidP="00652A11">
      <w:pPr>
        <w:widowControl/>
        <w:tabs>
          <w:tab w:val="left" w:pos="720"/>
        </w:tabs>
        <w:adjustRightInd/>
        <w:spacing w:line="240" w:lineRule="auto"/>
        <w:ind w:right="-90"/>
        <w:textAlignment w:val="auto"/>
        <w:rPr>
          <w:sz w:val="20"/>
          <w:szCs w:val="20"/>
          <w:highlight w:val="yellow"/>
        </w:rPr>
      </w:pPr>
    </w:p>
    <w:p w14:paraId="7BC45265" w14:textId="512ADD2F" w:rsidR="00D63858" w:rsidRPr="0064597D" w:rsidRDefault="00FB6984" w:rsidP="00D63858">
      <w:pPr>
        <w:widowControl/>
        <w:numPr>
          <w:ilvl w:val="0"/>
          <w:numId w:val="1"/>
        </w:numPr>
        <w:tabs>
          <w:tab w:val="left" w:pos="567"/>
          <w:tab w:val="num" w:pos="1569"/>
          <w:tab w:val="num" w:pos="12305"/>
        </w:tabs>
        <w:autoSpaceDE w:val="0"/>
        <w:autoSpaceDN w:val="0"/>
        <w:adjustRightInd/>
        <w:spacing w:line="240" w:lineRule="auto"/>
        <w:ind w:left="0" w:right="-90" w:firstLine="0"/>
        <w:textAlignment w:val="auto"/>
        <w:rPr>
          <w:sz w:val="20"/>
          <w:szCs w:val="20"/>
        </w:rPr>
      </w:pPr>
      <w:r w:rsidRPr="0064597D">
        <w:rPr>
          <w:sz w:val="20"/>
          <w:szCs w:val="20"/>
          <w:lang w:eastAsia="es-ES"/>
        </w:rPr>
        <w:t>Asimismo, j</w:t>
      </w:r>
      <w:r w:rsidR="00853263" w:rsidRPr="0064597D">
        <w:rPr>
          <w:sz w:val="20"/>
          <w:szCs w:val="20"/>
          <w:lang w:eastAsia="es-ES"/>
        </w:rPr>
        <w:t xml:space="preserve">unto a su escrito de alegatos finales, </w:t>
      </w:r>
      <w:r w:rsidR="002269FD" w:rsidRPr="0064597D">
        <w:rPr>
          <w:sz w:val="20"/>
          <w:szCs w:val="20"/>
          <w:lang w:eastAsia="es-ES"/>
        </w:rPr>
        <w:t>las representantes</w:t>
      </w:r>
      <w:r w:rsidR="00853263" w:rsidRPr="0064597D">
        <w:rPr>
          <w:sz w:val="20"/>
          <w:szCs w:val="20"/>
          <w:lang w:eastAsia="es-ES"/>
        </w:rPr>
        <w:t xml:space="preserve"> remitieron</w:t>
      </w:r>
      <w:r w:rsidR="00BC2042" w:rsidRPr="0064597D">
        <w:rPr>
          <w:sz w:val="20"/>
          <w:szCs w:val="20"/>
          <w:lang w:eastAsia="es-ES"/>
        </w:rPr>
        <w:t xml:space="preserve"> </w:t>
      </w:r>
      <w:r w:rsidR="006C4F38" w:rsidRPr="0064597D">
        <w:rPr>
          <w:sz w:val="20"/>
          <w:szCs w:val="20"/>
          <w:lang w:eastAsia="es-ES"/>
        </w:rPr>
        <w:t xml:space="preserve">nueva </w:t>
      </w:r>
      <w:r w:rsidR="00BC2042" w:rsidRPr="0064597D">
        <w:rPr>
          <w:sz w:val="20"/>
          <w:szCs w:val="20"/>
          <w:lang w:eastAsia="es-ES"/>
        </w:rPr>
        <w:t>documentación</w:t>
      </w:r>
      <w:r w:rsidR="006C4F38" w:rsidRPr="0064597D">
        <w:rPr>
          <w:rStyle w:val="Refdenotaalpie"/>
          <w:sz w:val="20"/>
          <w:szCs w:val="20"/>
          <w:lang w:eastAsia="es-ES"/>
        </w:rPr>
        <w:footnoteReference w:id="23"/>
      </w:r>
      <w:r w:rsidR="00BC2042" w:rsidRPr="0064597D">
        <w:rPr>
          <w:sz w:val="20"/>
          <w:szCs w:val="20"/>
          <w:lang w:eastAsia="es-ES"/>
        </w:rPr>
        <w:t>.</w:t>
      </w:r>
      <w:r w:rsidR="00853263" w:rsidRPr="0064597D">
        <w:rPr>
          <w:sz w:val="20"/>
          <w:szCs w:val="20"/>
          <w:lang w:eastAsia="es-ES"/>
        </w:rPr>
        <w:t xml:space="preserve"> </w:t>
      </w:r>
      <w:r w:rsidR="00D63858" w:rsidRPr="0064597D">
        <w:rPr>
          <w:sz w:val="20"/>
          <w:szCs w:val="20"/>
          <w:lang w:eastAsia="es-ES"/>
        </w:rPr>
        <w:t>La Corte advierte que las representantes no han justificado la</w:t>
      </w:r>
      <w:r w:rsidR="00DB0443" w:rsidRPr="0064597D">
        <w:rPr>
          <w:sz w:val="20"/>
          <w:szCs w:val="20"/>
          <w:lang w:eastAsia="es-ES"/>
        </w:rPr>
        <w:t xml:space="preserve"> </w:t>
      </w:r>
      <w:r w:rsidR="00D63858" w:rsidRPr="0064597D">
        <w:rPr>
          <w:sz w:val="20"/>
          <w:szCs w:val="20"/>
          <w:lang w:eastAsia="es-ES"/>
        </w:rPr>
        <w:t>razón por la cual, en los términos del artículo 57.2 del Reglamento de la Corte, han presentado el anexo no. 5 junto con los alegatos finales escritos,</w:t>
      </w:r>
      <w:r w:rsidR="00DB0443" w:rsidRPr="0064597D">
        <w:rPr>
          <w:sz w:val="20"/>
          <w:szCs w:val="20"/>
          <w:lang w:eastAsia="es-ES"/>
        </w:rPr>
        <w:t xml:space="preserve"> </w:t>
      </w:r>
      <w:r w:rsidR="00D63858" w:rsidRPr="0064597D">
        <w:rPr>
          <w:sz w:val="20"/>
          <w:szCs w:val="20"/>
          <w:lang w:eastAsia="es-ES"/>
        </w:rPr>
        <w:t xml:space="preserve">pues el momento procesal oportuno para hacerlo era junto con su escrito de solicitudes y argumentos. Respecto a los demás anexos aportados por las representantes, la Corte </w:t>
      </w:r>
      <w:r w:rsidR="00D63858" w:rsidRPr="0064597D">
        <w:rPr>
          <w:sz w:val="20"/>
          <w:szCs w:val="20"/>
          <w:lang w:eastAsia="es-ES"/>
        </w:rPr>
        <w:lastRenderedPageBreak/>
        <w:t>observa que éstos se refieren a hechos supervinientes, por lo que son aceptados por este Tribunal</w:t>
      </w:r>
      <w:r w:rsidR="00EF3329" w:rsidRPr="0064597D">
        <w:rPr>
          <w:sz w:val="20"/>
          <w:szCs w:val="20"/>
          <w:lang w:eastAsia="es-ES"/>
        </w:rPr>
        <w:t>, todo ello de conformidad con el artículo 57.2 del Reglamento</w:t>
      </w:r>
      <w:r w:rsidR="00D63858" w:rsidRPr="0064597D">
        <w:rPr>
          <w:sz w:val="20"/>
          <w:szCs w:val="20"/>
          <w:lang w:eastAsia="es-ES"/>
        </w:rPr>
        <w:t xml:space="preserve">. </w:t>
      </w:r>
    </w:p>
    <w:p w14:paraId="3599E088" w14:textId="77777777" w:rsidR="00D63858" w:rsidRPr="0064597D" w:rsidRDefault="00D63858" w:rsidP="00D63858">
      <w:pPr>
        <w:widowControl/>
        <w:tabs>
          <w:tab w:val="left" w:pos="567"/>
        </w:tabs>
        <w:autoSpaceDE w:val="0"/>
        <w:autoSpaceDN w:val="0"/>
        <w:adjustRightInd/>
        <w:spacing w:line="240" w:lineRule="auto"/>
        <w:ind w:right="-90"/>
        <w:textAlignment w:val="auto"/>
        <w:rPr>
          <w:sz w:val="20"/>
          <w:szCs w:val="20"/>
          <w:highlight w:val="yellow"/>
        </w:rPr>
      </w:pPr>
    </w:p>
    <w:p w14:paraId="6B479459" w14:textId="38A4471A" w:rsidR="00050A16" w:rsidRPr="0064597D" w:rsidRDefault="00B37F02" w:rsidP="00B37F02">
      <w:pPr>
        <w:widowControl/>
        <w:numPr>
          <w:ilvl w:val="0"/>
          <w:numId w:val="1"/>
        </w:numPr>
        <w:tabs>
          <w:tab w:val="left" w:pos="567"/>
          <w:tab w:val="num" w:pos="1569"/>
          <w:tab w:val="num" w:pos="12305"/>
        </w:tabs>
        <w:autoSpaceDE w:val="0"/>
        <w:autoSpaceDN w:val="0"/>
        <w:adjustRightInd/>
        <w:spacing w:line="240" w:lineRule="auto"/>
        <w:ind w:left="0" w:right="-90" w:firstLine="0"/>
        <w:textAlignment w:val="auto"/>
        <w:rPr>
          <w:sz w:val="20"/>
          <w:szCs w:val="20"/>
        </w:rPr>
      </w:pPr>
      <w:r w:rsidRPr="0064597D">
        <w:rPr>
          <w:sz w:val="20"/>
          <w:szCs w:val="20"/>
        </w:rPr>
        <w:t>Por su parte, el Estado aportó junto con sus alegatos finales el informe titulado “Orden de servicio tipo m</w:t>
      </w:r>
      <w:r w:rsidR="00162B86" w:rsidRPr="0064597D">
        <w:rPr>
          <w:sz w:val="20"/>
          <w:szCs w:val="20"/>
        </w:rPr>
        <w:t xml:space="preserve">isión no. 116-2005, “Operación </w:t>
      </w:r>
      <w:r w:rsidRPr="0064597D">
        <w:rPr>
          <w:sz w:val="20"/>
          <w:szCs w:val="20"/>
        </w:rPr>
        <w:t xml:space="preserve">Gavilán”. A este respecto, la Corte advierte que </w:t>
      </w:r>
      <w:r w:rsidR="00147A52" w:rsidRPr="0064597D">
        <w:rPr>
          <w:sz w:val="20"/>
          <w:szCs w:val="20"/>
        </w:rPr>
        <w:t>dicha documental</w:t>
      </w:r>
      <w:r w:rsidR="00A308A9" w:rsidRPr="0064597D">
        <w:rPr>
          <w:sz w:val="20"/>
          <w:szCs w:val="20"/>
        </w:rPr>
        <w:t xml:space="preserve"> ya constaba en el</w:t>
      </w:r>
      <w:r w:rsidR="00147A52" w:rsidRPr="0064597D">
        <w:rPr>
          <w:sz w:val="20"/>
          <w:szCs w:val="20"/>
        </w:rPr>
        <w:t xml:space="preserve"> expediente</w:t>
      </w:r>
      <w:r w:rsidRPr="0064597D">
        <w:rPr>
          <w:rStyle w:val="Refdenotaalpie"/>
          <w:sz w:val="20"/>
          <w:szCs w:val="20"/>
        </w:rPr>
        <w:footnoteReference w:id="24"/>
      </w:r>
      <w:r w:rsidR="00050A16" w:rsidRPr="0064597D">
        <w:rPr>
          <w:sz w:val="20"/>
          <w:szCs w:val="20"/>
        </w:rPr>
        <w:t>, por lo cual no estima necesario un pronunciamiento separado sobre su admisibilidad.</w:t>
      </w:r>
    </w:p>
    <w:p w14:paraId="34131D75" w14:textId="77777777" w:rsidR="00050A16" w:rsidRPr="0064597D" w:rsidRDefault="00050A16" w:rsidP="00050A16">
      <w:pPr>
        <w:widowControl/>
        <w:tabs>
          <w:tab w:val="left" w:pos="567"/>
          <w:tab w:val="num" w:pos="12305"/>
        </w:tabs>
        <w:autoSpaceDE w:val="0"/>
        <w:autoSpaceDN w:val="0"/>
        <w:adjustRightInd/>
        <w:spacing w:line="240" w:lineRule="auto"/>
        <w:ind w:right="-90"/>
        <w:textAlignment w:val="auto"/>
        <w:rPr>
          <w:sz w:val="20"/>
          <w:szCs w:val="20"/>
        </w:rPr>
      </w:pPr>
    </w:p>
    <w:p w14:paraId="5C5DE68C" w14:textId="26D609E8" w:rsidR="00E20B2F" w:rsidRPr="0064597D" w:rsidRDefault="005675BD" w:rsidP="00497745">
      <w:pPr>
        <w:widowControl/>
        <w:numPr>
          <w:ilvl w:val="0"/>
          <w:numId w:val="1"/>
        </w:numPr>
        <w:tabs>
          <w:tab w:val="left" w:pos="567"/>
          <w:tab w:val="num" w:pos="1569"/>
          <w:tab w:val="num" w:pos="12305"/>
        </w:tabs>
        <w:autoSpaceDE w:val="0"/>
        <w:autoSpaceDN w:val="0"/>
        <w:adjustRightInd/>
        <w:spacing w:line="240" w:lineRule="auto"/>
        <w:ind w:left="0" w:right="-90" w:firstLine="0"/>
        <w:textAlignment w:val="auto"/>
        <w:rPr>
          <w:sz w:val="20"/>
          <w:szCs w:val="20"/>
        </w:rPr>
      </w:pPr>
      <w:r w:rsidRPr="0064597D">
        <w:rPr>
          <w:sz w:val="20"/>
          <w:szCs w:val="20"/>
        </w:rPr>
        <w:t xml:space="preserve">Por otra parte, la Corte nota que el Estado no presentó determinada prueba para mejor resolver solicitada </w:t>
      </w:r>
      <w:r w:rsidR="002553C7" w:rsidRPr="0064597D">
        <w:rPr>
          <w:sz w:val="20"/>
          <w:szCs w:val="20"/>
        </w:rPr>
        <w:t>en</w:t>
      </w:r>
      <w:r w:rsidRPr="0064597D">
        <w:rPr>
          <w:sz w:val="20"/>
          <w:szCs w:val="20"/>
        </w:rPr>
        <w:t xml:space="preserve"> la audiencia pública</w:t>
      </w:r>
      <w:r w:rsidR="00F241AD" w:rsidRPr="0064597D">
        <w:rPr>
          <w:sz w:val="20"/>
          <w:szCs w:val="20"/>
        </w:rPr>
        <w:t xml:space="preserve"> por parte de este Tribunal</w:t>
      </w:r>
      <w:r w:rsidRPr="0064597D">
        <w:rPr>
          <w:sz w:val="20"/>
          <w:szCs w:val="20"/>
        </w:rPr>
        <w:t xml:space="preserve">. </w:t>
      </w:r>
      <w:r w:rsidR="00F241AD" w:rsidRPr="0064597D">
        <w:rPr>
          <w:sz w:val="20"/>
          <w:szCs w:val="20"/>
        </w:rPr>
        <w:t>En virtud de comunicación de 3 de mayo de 2019, la Corte solicitó al Estado que presentara “documentos relacionados con la orden de detención [de la víctima] y todas las diligencias que respalden la misma”. La Corte observa que el Estado no presentó ningún documento en respuesta a la referida solicitud.</w:t>
      </w:r>
      <w:r w:rsidR="00DB0443" w:rsidRPr="0064597D">
        <w:rPr>
          <w:sz w:val="20"/>
          <w:szCs w:val="20"/>
        </w:rPr>
        <w:t xml:space="preserve"> </w:t>
      </w:r>
    </w:p>
    <w:p w14:paraId="6F5FD3F6" w14:textId="77777777" w:rsidR="00E20B2F" w:rsidRPr="0064597D" w:rsidRDefault="00E20B2F" w:rsidP="00377181">
      <w:pPr>
        <w:pStyle w:val="Ttulo2"/>
      </w:pPr>
      <w:bookmarkStart w:id="39" w:name="_Toc24014538"/>
      <w:r w:rsidRPr="0064597D">
        <w:t>B.</w:t>
      </w:r>
      <w:r w:rsidRPr="0064597D">
        <w:tab/>
        <w:t>Admisibilidad de la prueba testimonial y pericial</w:t>
      </w:r>
      <w:bookmarkEnd w:id="39"/>
    </w:p>
    <w:p w14:paraId="505E5DB6" w14:textId="314E8C7D" w:rsidR="00377181" w:rsidRPr="0064597D" w:rsidRDefault="00522F18" w:rsidP="00377181">
      <w:pPr>
        <w:widowControl/>
        <w:numPr>
          <w:ilvl w:val="0"/>
          <w:numId w:val="1"/>
        </w:numPr>
        <w:tabs>
          <w:tab w:val="left" w:pos="567"/>
          <w:tab w:val="num" w:pos="1569"/>
          <w:tab w:val="num" w:pos="12305"/>
        </w:tabs>
        <w:autoSpaceDE w:val="0"/>
        <w:autoSpaceDN w:val="0"/>
        <w:spacing w:line="240" w:lineRule="auto"/>
        <w:ind w:left="0" w:firstLine="0"/>
        <w:textAlignment w:val="auto"/>
        <w:rPr>
          <w:sz w:val="20"/>
          <w:szCs w:val="20"/>
        </w:rPr>
      </w:pPr>
      <w:r w:rsidRPr="0064597D">
        <w:rPr>
          <w:sz w:val="20"/>
          <w:szCs w:val="20"/>
        </w:rPr>
        <w:t xml:space="preserve"> </w:t>
      </w:r>
      <w:r w:rsidR="00960302" w:rsidRPr="0064597D">
        <w:rPr>
          <w:sz w:val="20"/>
          <w:szCs w:val="20"/>
          <w:lang w:val="es-ES"/>
        </w:rPr>
        <w:t>La Corte estima pertinente admitir las declaraciones y dictámenes rendidos en audiencia pública</w:t>
      </w:r>
      <w:r w:rsidR="006C4F38" w:rsidRPr="0064597D">
        <w:rPr>
          <w:rStyle w:val="Refdenotaalpie"/>
          <w:sz w:val="20"/>
          <w:szCs w:val="20"/>
          <w:lang w:val="es-ES"/>
        </w:rPr>
        <w:footnoteReference w:id="25"/>
      </w:r>
      <w:r w:rsidR="00960302" w:rsidRPr="0064597D">
        <w:rPr>
          <w:sz w:val="20"/>
          <w:szCs w:val="20"/>
          <w:lang w:val="es-ES"/>
        </w:rPr>
        <w:t xml:space="preserve"> y mediante </w:t>
      </w:r>
      <w:r w:rsidR="00960302" w:rsidRPr="0064597D">
        <w:rPr>
          <w:rFonts w:cs="Verdana"/>
          <w:sz w:val="20"/>
          <w:szCs w:val="20"/>
          <w:lang w:eastAsia="es-MX"/>
        </w:rPr>
        <w:t>declaraciones</w:t>
      </w:r>
      <w:r w:rsidR="00960302" w:rsidRPr="0064597D">
        <w:rPr>
          <w:sz w:val="20"/>
          <w:szCs w:val="20"/>
          <w:lang w:val="es-ES"/>
        </w:rPr>
        <w:t xml:space="preserve"> ante fedatario público</w:t>
      </w:r>
      <w:r w:rsidR="006C4F38" w:rsidRPr="0064597D">
        <w:rPr>
          <w:rStyle w:val="Refdenotaalpie"/>
          <w:sz w:val="20"/>
          <w:szCs w:val="20"/>
          <w:lang w:val="es-ES"/>
        </w:rPr>
        <w:footnoteReference w:id="26"/>
      </w:r>
      <w:r w:rsidR="00960302" w:rsidRPr="0064597D">
        <w:rPr>
          <w:sz w:val="20"/>
          <w:szCs w:val="20"/>
          <w:lang w:val="es-ES"/>
        </w:rPr>
        <w:t xml:space="preserve"> en cuanto se ajusten al objeto definido por el Presidente en la Resolución que ordenó recibirlos</w:t>
      </w:r>
      <w:r w:rsidR="00960302" w:rsidRPr="0064597D">
        <w:rPr>
          <w:sz w:val="20"/>
          <w:szCs w:val="20"/>
          <w:vertAlign w:val="superscript"/>
        </w:rPr>
        <w:footnoteReference w:id="27"/>
      </w:r>
      <w:r w:rsidR="00D0432D" w:rsidRPr="0064597D">
        <w:rPr>
          <w:sz w:val="20"/>
          <w:szCs w:val="20"/>
        </w:rPr>
        <w:t>.</w:t>
      </w:r>
    </w:p>
    <w:p w14:paraId="35BC1B29" w14:textId="77777777" w:rsidR="00377181" w:rsidRPr="0064597D" w:rsidRDefault="00377181" w:rsidP="00377181">
      <w:pPr>
        <w:widowControl/>
        <w:tabs>
          <w:tab w:val="left" w:pos="567"/>
        </w:tabs>
        <w:autoSpaceDE w:val="0"/>
        <w:autoSpaceDN w:val="0"/>
        <w:spacing w:line="240" w:lineRule="auto"/>
        <w:textAlignment w:val="auto"/>
        <w:rPr>
          <w:sz w:val="20"/>
          <w:szCs w:val="20"/>
        </w:rPr>
      </w:pPr>
    </w:p>
    <w:p w14:paraId="27C5CFDB" w14:textId="45647ADE" w:rsidR="00E300FC" w:rsidRPr="0064597D" w:rsidRDefault="00D0432D" w:rsidP="00243B51">
      <w:pPr>
        <w:widowControl/>
        <w:numPr>
          <w:ilvl w:val="0"/>
          <w:numId w:val="1"/>
        </w:numPr>
        <w:tabs>
          <w:tab w:val="left" w:pos="567"/>
          <w:tab w:val="num" w:pos="1569"/>
          <w:tab w:val="num" w:pos="12305"/>
        </w:tabs>
        <w:autoSpaceDE w:val="0"/>
        <w:autoSpaceDN w:val="0"/>
        <w:spacing w:line="240" w:lineRule="auto"/>
        <w:ind w:left="0" w:firstLine="0"/>
        <w:textAlignment w:val="auto"/>
        <w:rPr>
          <w:rFonts w:cs="Verdana"/>
          <w:sz w:val="20"/>
          <w:szCs w:val="20"/>
          <w:lang w:eastAsia="es-MX"/>
        </w:rPr>
      </w:pPr>
      <w:r w:rsidRPr="0064597D">
        <w:rPr>
          <w:rFonts w:cs="Verdana"/>
          <w:sz w:val="20"/>
          <w:szCs w:val="20"/>
          <w:lang w:eastAsia="es-MX"/>
        </w:rPr>
        <w:t>Por otro lado, l</w:t>
      </w:r>
      <w:r w:rsidR="00243B51" w:rsidRPr="0064597D">
        <w:rPr>
          <w:rFonts w:cs="Verdana"/>
          <w:sz w:val="20"/>
          <w:szCs w:val="20"/>
          <w:lang w:eastAsia="es-MX"/>
        </w:rPr>
        <w:t xml:space="preserve">a Corte advierte que el Estado, en sus alegatos finales escritos, </w:t>
      </w:r>
      <w:r w:rsidR="00EA283F" w:rsidRPr="0064597D">
        <w:rPr>
          <w:rFonts w:cs="Verdana"/>
          <w:sz w:val="20"/>
          <w:szCs w:val="20"/>
          <w:lang w:eastAsia="es-MX"/>
        </w:rPr>
        <w:t xml:space="preserve">cuestionó el valor probatorio </w:t>
      </w:r>
      <w:r w:rsidR="00243B51" w:rsidRPr="0064597D">
        <w:rPr>
          <w:rFonts w:cs="Verdana"/>
          <w:sz w:val="20"/>
          <w:szCs w:val="20"/>
          <w:lang w:eastAsia="es-MX"/>
        </w:rPr>
        <w:t xml:space="preserve">del peritaje brindado por los peritos Guillermo Austreberto Carranza Izquierdo, así como el peritaje conjunto ofrecido por </w:t>
      </w:r>
      <w:r w:rsidR="00733140" w:rsidRPr="0064597D">
        <w:rPr>
          <w:rFonts w:cs="Verdana"/>
          <w:sz w:val="20"/>
          <w:szCs w:val="20"/>
          <w:lang w:eastAsia="es-MX"/>
        </w:rPr>
        <w:t xml:space="preserve">los señores </w:t>
      </w:r>
      <w:r w:rsidR="00243B51" w:rsidRPr="0064597D">
        <w:rPr>
          <w:rFonts w:cs="Verdana"/>
          <w:sz w:val="20"/>
          <w:szCs w:val="20"/>
          <w:lang w:eastAsia="es-MX"/>
        </w:rPr>
        <w:t xml:space="preserve">Paravais Jabbar y Edward Fizgerald. </w:t>
      </w:r>
      <w:r w:rsidR="00EA283F" w:rsidRPr="0064597D">
        <w:rPr>
          <w:rFonts w:cs="Verdana"/>
          <w:sz w:val="20"/>
          <w:szCs w:val="20"/>
          <w:lang w:eastAsia="es-MX"/>
        </w:rPr>
        <w:t>En particular,</w:t>
      </w:r>
      <w:r w:rsidR="00243B51" w:rsidRPr="0064597D">
        <w:rPr>
          <w:rFonts w:cs="Verdana"/>
          <w:sz w:val="20"/>
          <w:szCs w:val="20"/>
          <w:lang w:eastAsia="es-MX"/>
        </w:rPr>
        <w:t xml:space="preserve"> con respecto al peritaje del Sr. Carranza Izquierdo, indicó que dicho profesional no tuvo ningún contacto con el señor Ruiz Fuentes, sino que únicamente hizo un estudio de los documentos contenidos en el expediente. Añadió además que el señor Carranza Izquierdo no posee las “calidades necesarias para realizar este tipo de peritaje”, toda vez que habría realizado afirmaciones que únicamente pueden ser realizadas por personas expertas en criminalística, mientras que el referido perito cuenta únicamente con un diplomado en Medicina Legal. Con respecto al peritaje conjunto presentado por Parvais Jabbar y Edward Fizgerald el Estado, </w:t>
      </w:r>
      <w:r w:rsidR="00DA01EF" w:rsidRPr="0064597D">
        <w:rPr>
          <w:rFonts w:cs="Verdana"/>
          <w:sz w:val="20"/>
          <w:szCs w:val="20"/>
          <w:lang w:eastAsia="es-MX"/>
        </w:rPr>
        <w:t>además</w:t>
      </w:r>
      <w:r w:rsidR="00243B51" w:rsidRPr="0064597D">
        <w:rPr>
          <w:rFonts w:cs="Verdana"/>
          <w:sz w:val="20"/>
          <w:szCs w:val="20"/>
          <w:lang w:eastAsia="es-MX"/>
        </w:rPr>
        <w:t xml:space="preserve"> de refutar algunas de las afirmaciones realizadas por éstos, indicó que dichos peritos obviaron hacer referencia a determinados hechos que según el Estado eran relevantes</w:t>
      </w:r>
      <w:r w:rsidR="00243B51" w:rsidRPr="0064597D">
        <w:rPr>
          <w:rStyle w:val="Refdenotaalpie"/>
          <w:rFonts w:cs="Verdana"/>
          <w:sz w:val="20"/>
          <w:szCs w:val="20"/>
          <w:lang w:eastAsia="es-MX"/>
        </w:rPr>
        <w:footnoteReference w:id="28"/>
      </w:r>
      <w:r w:rsidR="00243B51" w:rsidRPr="0064597D">
        <w:rPr>
          <w:rFonts w:cs="Verdana"/>
          <w:sz w:val="20"/>
          <w:szCs w:val="20"/>
          <w:lang w:eastAsia="es-MX"/>
        </w:rPr>
        <w:t xml:space="preserve">. </w:t>
      </w:r>
      <w:bookmarkStart w:id="40" w:name="_Ref402038868"/>
      <w:r w:rsidR="00E300FC" w:rsidRPr="0064597D">
        <w:rPr>
          <w:sz w:val="20"/>
          <w:szCs w:val="20"/>
          <w:lang w:eastAsia="es-MX"/>
        </w:rPr>
        <w:t>La Corte tendrá en cuenta estos argumentos y establecerá las consideraciones conducentes a la resolución del presente caso al abordar los hechos controvertidos.</w:t>
      </w:r>
    </w:p>
    <w:p w14:paraId="6AC3DE78" w14:textId="77777777" w:rsidR="00F4645B" w:rsidRPr="0064597D" w:rsidRDefault="00652A11" w:rsidP="002F4F08">
      <w:pPr>
        <w:pStyle w:val="Ttulo1"/>
      </w:pPr>
      <w:bookmarkStart w:id="41" w:name="_Toc495658661"/>
      <w:bookmarkStart w:id="42" w:name="_Toc498013630"/>
      <w:bookmarkStart w:id="43" w:name="_Toc514172615"/>
      <w:bookmarkStart w:id="44" w:name="_Toc24014539"/>
      <w:bookmarkEnd w:id="40"/>
      <w:r w:rsidRPr="0064597D">
        <w:t>V</w:t>
      </w:r>
      <w:r w:rsidR="00F4645B" w:rsidRPr="0064597D">
        <w:t>I</w:t>
      </w:r>
      <w:r w:rsidR="00EA52BD" w:rsidRPr="0064597D">
        <w:t>I</w:t>
      </w:r>
      <w:r w:rsidRPr="0064597D">
        <w:br/>
        <w:t>HECHOS</w:t>
      </w:r>
      <w:bookmarkEnd w:id="41"/>
      <w:bookmarkEnd w:id="42"/>
      <w:bookmarkEnd w:id="43"/>
      <w:bookmarkEnd w:id="44"/>
      <w:r w:rsidR="00D332D8" w:rsidRPr="0064597D">
        <w:t xml:space="preserve"> </w:t>
      </w:r>
    </w:p>
    <w:p w14:paraId="773AA098" w14:textId="2B79AC36" w:rsidR="00CF077D" w:rsidRPr="0064597D" w:rsidRDefault="00CF077D" w:rsidP="00D332D8">
      <w:pPr>
        <w:numPr>
          <w:ilvl w:val="0"/>
          <w:numId w:val="1"/>
        </w:numPr>
        <w:tabs>
          <w:tab w:val="left" w:pos="567"/>
          <w:tab w:val="num" w:pos="1569"/>
          <w:tab w:val="num" w:pos="12305"/>
        </w:tabs>
        <w:spacing w:line="240" w:lineRule="auto"/>
        <w:ind w:left="0" w:firstLine="0"/>
        <w:rPr>
          <w:sz w:val="20"/>
          <w:szCs w:val="20"/>
        </w:rPr>
      </w:pPr>
      <w:r w:rsidRPr="0064597D">
        <w:rPr>
          <w:sz w:val="20"/>
          <w:szCs w:val="20"/>
        </w:rPr>
        <w:t xml:space="preserve">En este capítulo, la Corte </w:t>
      </w:r>
      <w:r w:rsidR="00D332D8" w:rsidRPr="0064597D">
        <w:rPr>
          <w:sz w:val="20"/>
          <w:szCs w:val="20"/>
        </w:rPr>
        <w:t>establecerá los hechos del</w:t>
      </w:r>
      <w:r w:rsidR="00467DC7" w:rsidRPr="0064597D">
        <w:rPr>
          <w:sz w:val="20"/>
          <w:szCs w:val="20"/>
        </w:rPr>
        <w:t xml:space="preserve"> </w:t>
      </w:r>
      <w:r w:rsidR="00D332D8" w:rsidRPr="0064597D">
        <w:rPr>
          <w:sz w:val="20"/>
          <w:szCs w:val="20"/>
        </w:rPr>
        <w:t xml:space="preserve">caso con base </w:t>
      </w:r>
      <w:r w:rsidR="00B731B7" w:rsidRPr="0064597D">
        <w:rPr>
          <w:sz w:val="20"/>
          <w:szCs w:val="20"/>
        </w:rPr>
        <w:t>en el</w:t>
      </w:r>
      <w:r w:rsidR="00D332D8" w:rsidRPr="0064597D">
        <w:rPr>
          <w:sz w:val="20"/>
          <w:szCs w:val="20"/>
        </w:rPr>
        <w:t xml:space="preserve"> marco fáctico </w:t>
      </w:r>
      <w:r w:rsidR="00D332D8" w:rsidRPr="0064597D">
        <w:rPr>
          <w:rFonts w:cs="Calibri"/>
          <w:sz w:val="20"/>
          <w:szCs w:val="20"/>
          <w:lang w:val="es-VE"/>
        </w:rPr>
        <w:t>sometido</w:t>
      </w:r>
      <w:r w:rsidR="00D332D8" w:rsidRPr="0064597D">
        <w:rPr>
          <w:sz w:val="20"/>
          <w:szCs w:val="20"/>
        </w:rPr>
        <w:t xml:space="preserve"> al conocimiento de la Corte por la Comisión Interamericana, en relación con</w:t>
      </w:r>
      <w:r w:rsidRPr="0064597D">
        <w:rPr>
          <w:sz w:val="20"/>
          <w:szCs w:val="20"/>
        </w:rPr>
        <w:t xml:space="preserve">: </w:t>
      </w:r>
      <w:r w:rsidR="00D332D8" w:rsidRPr="0064597D">
        <w:rPr>
          <w:sz w:val="20"/>
          <w:szCs w:val="20"/>
        </w:rPr>
        <w:t>a</w:t>
      </w:r>
      <w:r w:rsidRPr="0064597D">
        <w:rPr>
          <w:sz w:val="20"/>
          <w:szCs w:val="20"/>
        </w:rPr>
        <w:t xml:space="preserve">) el </w:t>
      </w:r>
      <w:r w:rsidR="00440CDD" w:rsidRPr="0064597D">
        <w:rPr>
          <w:sz w:val="20"/>
          <w:szCs w:val="20"/>
        </w:rPr>
        <w:t>marc</w:t>
      </w:r>
      <w:r w:rsidR="00B731B7" w:rsidRPr="0064597D">
        <w:rPr>
          <w:sz w:val="20"/>
          <w:szCs w:val="20"/>
        </w:rPr>
        <w:t>o</w:t>
      </w:r>
      <w:r w:rsidRPr="0064597D">
        <w:rPr>
          <w:sz w:val="20"/>
          <w:szCs w:val="20"/>
        </w:rPr>
        <w:t xml:space="preserve"> </w:t>
      </w:r>
      <w:r w:rsidR="008F734A" w:rsidRPr="0064597D">
        <w:rPr>
          <w:sz w:val="20"/>
          <w:szCs w:val="20"/>
        </w:rPr>
        <w:t xml:space="preserve">normativo </w:t>
      </w:r>
      <w:r w:rsidR="008F734A" w:rsidRPr="0064597D">
        <w:rPr>
          <w:sz w:val="20"/>
          <w:szCs w:val="20"/>
        </w:rPr>
        <w:lastRenderedPageBreak/>
        <w:t>con respecto a la pena de muerte;</w:t>
      </w:r>
      <w:r w:rsidRPr="0064597D">
        <w:rPr>
          <w:sz w:val="20"/>
          <w:szCs w:val="20"/>
        </w:rPr>
        <w:t xml:space="preserve"> </w:t>
      </w:r>
      <w:r w:rsidR="00D332D8" w:rsidRPr="0064597D">
        <w:rPr>
          <w:sz w:val="20"/>
          <w:szCs w:val="20"/>
        </w:rPr>
        <w:t>b</w:t>
      </w:r>
      <w:r w:rsidRPr="0064597D">
        <w:rPr>
          <w:sz w:val="20"/>
          <w:szCs w:val="20"/>
        </w:rPr>
        <w:t xml:space="preserve">) </w:t>
      </w:r>
      <w:r w:rsidR="00162B86" w:rsidRPr="0064597D">
        <w:rPr>
          <w:sz w:val="20"/>
          <w:szCs w:val="20"/>
        </w:rPr>
        <w:t xml:space="preserve">la </w:t>
      </w:r>
      <w:r w:rsidRPr="0064597D">
        <w:rPr>
          <w:sz w:val="20"/>
          <w:szCs w:val="20"/>
        </w:rPr>
        <w:t>detención del señor Ruiz Fuentes</w:t>
      </w:r>
      <w:r w:rsidR="00D332D8" w:rsidRPr="0064597D">
        <w:rPr>
          <w:sz w:val="20"/>
          <w:szCs w:val="20"/>
        </w:rPr>
        <w:t xml:space="preserve"> y alegatos de tortura</w:t>
      </w:r>
      <w:r w:rsidRPr="0064597D">
        <w:rPr>
          <w:sz w:val="20"/>
          <w:szCs w:val="20"/>
        </w:rPr>
        <w:t xml:space="preserve">; </w:t>
      </w:r>
      <w:r w:rsidR="00D332D8" w:rsidRPr="0064597D">
        <w:rPr>
          <w:sz w:val="20"/>
          <w:szCs w:val="20"/>
        </w:rPr>
        <w:t>c</w:t>
      </w:r>
      <w:r w:rsidRPr="0064597D">
        <w:rPr>
          <w:sz w:val="20"/>
          <w:szCs w:val="20"/>
        </w:rPr>
        <w:t>)</w:t>
      </w:r>
      <w:r w:rsidR="00D332D8" w:rsidRPr="0064597D">
        <w:rPr>
          <w:sz w:val="20"/>
          <w:szCs w:val="20"/>
        </w:rPr>
        <w:t xml:space="preserve"> el</w:t>
      </w:r>
      <w:r w:rsidRPr="0064597D">
        <w:rPr>
          <w:sz w:val="20"/>
          <w:szCs w:val="20"/>
        </w:rPr>
        <w:t xml:space="preserve"> proceso penal</w:t>
      </w:r>
      <w:r w:rsidR="00D332D8" w:rsidRPr="0064597D">
        <w:rPr>
          <w:sz w:val="20"/>
          <w:szCs w:val="20"/>
        </w:rPr>
        <w:t xml:space="preserve"> seguido contra el señor Ruiz Fuentes</w:t>
      </w:r>
      <w:r w:rsidRPr="0064597D">
        <w:rPr>
          <w:sz w:val="20"/>
          <w:szCs w:val="20"/>
        </w:rPr>
        <w:t xml:space="preserve">; </w:t>
      </w:r>
      <w:r w:rsidR="00D332D8" w:rsidRPr="0064597D">
        <w:rPr>
          <w:sz w:val="20"/>
          <w:szCs w:val="20"/>
        </w:rPr>
        <w:t>d</w:t>
      </w:r>
      <w:r w:rsidRPr="0064597D">
        <w:rPr>
          <w:sz w:val="20"/>
          <w:szCs w:val="20"/>
        </w:rPr>
        <w:t xml:space="preserve">) </w:t>
      </w:r>
      <w:r w:rsidR="00D332D8" w:rsidRPr="0064597D">
        <w:rPr>
          <w:sz w:val="20"/>
          <w:szCs w:val="20"/>
        </w:rPr>
        <w:t>la fuga de la cárcel “El Infiernito” y posterior muerte del señor Ruiz Fuentes</w:t>
      </w:r>
      <w:r w:rsidRPr="0064597D">
        <w:rPr>
          <w:sz w:val="20"/>
          <w:szCs w:val="20"/>
        </w:rPr>
        <w:t xml:space="preserve">, y </w:t>
      </w:r>
      <w:r w:rsidR="00D332D8" w:rsidRPr="0064597D">
        <w:rPr>
          <w:sz w:val="20"/>
          <w:szCs w:val="20"/>
        </w:rPr>
        <w:t>e</w:t>
      </w:r>
      <w:r w:rsidRPr="0064597D">
        <w:rPr>
          <w:sz w:val="20"/>
          <w:szCs w:val="20"/>
        </w:rPr>
        <w:t xml:space="preserve">) </w:t>
      </w:r>
      <w:r w:rsidR="00D332D8" w:rsidRPr="0064597D">
        <w:rPr>
          <w:sz w:val="20"/>
          <w:szCs w:val="20"/>
        </w:rPr>
        <w:t xml:space="preserve">la </w:t>
      </w:r>
      <w:r w:rsidRPr="0064597D">
        <w:rPr>
          <w:sz w:val="20"/>
          <w:szCs w:val="20"/>
        </w:rPr>
        <w:t xml:space="preserve">investigación que se ha llevado a cabo como consecuencia de </w:t>
      </w:r>
      <w:r w:rsidR="00FC40ED" w:rsidRPr="0064597D">
        <w:rPr>
          <w:sz w:val="20"/>
          <w:szCs w:val="20"/>
        </w:rPr>
        <w:t>su</w:t>
      </w:r>
      <w:r w:rsidRPr="0064597D">
        <w:rPr>
          <w:sz w:val="20"/>
          <w:szCs w:val="20"/>
        </w:rPr>
        <w:t xml:space="preserve"> muerte.</w:t>
      </w:r>
    </w:p>
    <w:p w14:paraId="2BF24AA9" w14:textId="30560CA8" w:rsidR="00072585" w:rsidRPr="0064597D" w:rsidRDefault="00072585" w:rsidP="00072585">
      <w:pPr>
        <w:pStyle w:val="Ttulo2"/>
      </w:pPr>
      <w:bookmarkStart w:id="45" w:name="_Toc24014540"/>
      <w:r w:rsidRPr="0064597D">
        <w:t>A.</w:t>
      </w:r>
      <w:r w:rsidRPr="0064597D">
        <w:tab/>
        <w:t>Marco normativo en Guatemala con respecto a la pena de muerte</w:t>
      </w:r>
      <w:bookmarkEnd w:id="45"/>
    </w:p>
    <w:p w14:paraId="404AD81F" w14:textId="0F377EC8" w:rsidR="00CF077D" w:rsidRPr="0064597D" w:rsidRDefault="008F734A" w:rsidP="00AC6BF2">
      <w:pPr>
        <w:numPr>
          <w:ilvl w:val="0"/>
          <w:numId w:val="1"/>
        </w:numPr>
        <w:tabs>
          <w:tab w:val="left" w:pos="567"/>
          <w:tab w:val="num" w:pos="1569"/>
          <w:tab w:val="num" w:pos="12305"/>
        </w:tabs>
        <w:spacing w:line="240" w:lineRule="auto"/>
        <w:ind w:left="0" w:firstLine="0"/>
        <w:rPr>
          <w:rFonts w:cs="Calibri"/>
          <w:sz w:val="20"/>
          <w:szCs w:val="20"/>
          <w:lang w:val="es-VE"/>
        </w:rPr>
      </w:pPr>
      <w:r w:rsidRPr="0064597D">
        <w:rPr>
          <w:rFonts w:cs="Calibri"/>
          <w:sz w:val="20"/>
          <w:szCs w:val="20"/>
          <w:lang w:val="es-VE"/>
        </w:rPr>
        <w:t xml:space="preserve">La pena de muerte se encuentra prevista tanto en la Constitución, como en la legislación penal guatemalteca. </w:t>
      </w:r>
      <w:r w:rsidRPr="0064597D">
        <w:rPr>
          <w:sz w:val="20"/>
          <w:szCs w:val="20"/>
        </w:rPr>
        <w:t>El artículo 18 de la Constitución de Guatemala reconoce la posibilidad de que se aplique la pena de muerte</w:t>
      </w:r>
      <w:r w:rsidRPr="0064597D">
        <w:rPr>
          <w:rStyle w:val="Refdenotaalpie"/>
          <w:sz w:val="20"/>
          <w:szCs w:val="20"/>
        </w:rPr>
        <w:footnoteReference w:id="29"/>
      </w:r>
      <w:r w:rsidRPr="0064597D">
        <w:rPr>
          <w:rFonts w:cs="Calibri"/>
          <w:sz w:val="20"/>
          <w:szCs w:val="20"/>
          <w:lang w:val="es-VE"/>
        </w:rPr>
        <w:t>.</w:t>
      </w:r>
      <w:r w:rsidR="00DB0443" w:rsidRPr="0064597D">
        <w:rPr>
          <w:rFonts w:cs="Calibri"/>
          <w:sz w:val="20"/>
          <w:szCs w:val="20"/>
          <w:lang w:val="es-VE"/>
        </w:rPr>
        <w:t xml:space="preserve"> </w:t>
      </w:r>
      <w:r w:rsidRPr="0064597D">
        <w:rPr>
          <w:rFonts w:cs="Calibri"/>
          <w:sz w:val="20"/>
          <w:szCs w:val="20"/>
          <w:lang w:val="es-VE"/>
        </w:rPr>
        <w:t>Asimismo, el artículo 43 del Código Penal vigente en 1997 estipulaba lo siguiente</w:t>
      </w:r>
      <w:r w:rsidR="00CF077D" w:rsidRPr="0064597D">
        <w:rPr>
          <w:rFonts w:cs="Calibri"/>
          <w:sz w:val="20"/>
          <w:szCs w:val="20"/>
          <w:lang w:val="es-VE"/>
        </w:rPr>
        <w:t>:</w:t>
      </w:r>
    </w:p>
    <w:p w14:paraId="125200C5" w14:textId="77777777" w:rsidR="00CF077D" w:rsidRPr="0064597D" w:rsidRDefault="00CF077D" w:rsidP="00CF077D">
      <w:pPr>
        <w:tabs>
          <w:tab w:val="left" w:pos="1440"/>
        </w:tabs>
        <w:spacing w:line="240" w:lineRule="auto"/>
        <w:ind w:left="720" w:right="720"/>
        <w:rPr>
          <w:rFonts w:cs="Calibri"/>
          <w:sz w:val="18"/>
          <w:szCs w:val="18"/>
          <w:lang w:val="es-VE"/>
        </w:rPr>
      </w:pPr>
    </w:p>
    <w:p w14:paraId="6EF4416E" w14:textId="74CF5BF1" w:rsidR="00CF077D" w:rsidRPr="0064597D" w:rsidRDefault="00CF077D" w:rsidP="00CF077D">
      <w:pPr>
        <w:tabs>
          <w:tab w:val="left" w:pos="1440"/>
        </w:tabs>
        <w:spacing w:line="240" w:lineRule="auto"/>
        <w:ind w:left="720" w:right="720"/>
        <w:rPr>
          <w:rFonts w:cs="Calibri"/>
          <w:sz w:val="18"/>
          <w:szCs w:val="18"/>
          <w:lang w:val="es-VE"/>
        </w:rPr>
      </w:pPr>
      <w:r w:rsidRPr="0064597D">
        <w:rPr>
          <w:rFonts w:cs="Calibri"/>
          <w:sz w:val="18"/>
          <w:szCs w:val="18"/>
          <w:lang w:val="es-VE"/>
        </w:rPr>
        <w:t>La pena de muerte, tiene carácter extraordinario y solo podrá aplicarse en los casos expresamente consignados en la ley y no se ejecutará, sino después de agotarse todos los recursos legales.</w:t>
      </w:r>
    </w:p>
    <w:p w14:paraId="2B7F1E2F" w14:textId="77777777" w:rsidR="00CF077D" w:rsidRPr="0064597D" w:rsidRDefault="00CF077D" w:rsidP="00CF077D">
      <w:pPr>
        <w:tabs>
          <w:tab w:val="left" w:pos="1440"/>
        </w:tabs>
        <w:spacing w:line="240" w:lineRule="auto"/>
        <w:ind w:left="720" w:right="720"/>
        <w:rPr>
          <w:rFonts w:cs="Calibri"/>
          <w:sz w:val="18"/>
          <w:szCs w:val="18"/>
          <w:lang w:val="es-VE"/>
        </w:rPr>
      </w:pPr>
    </w:p>
    <w:p w14:paraId="46B5C96A" w14:textId="77777777" w:rsidR="00CF077D" w:rsidRPr="0064597D" w:rsidRDefault="00CF077D" w:rsidP="00CF077D">
      <w:pPr>
        <w:tabs>
          <w:tab w:val="left" w:pos="1440"/>
        </w:tabs>
        <w:spacing w:line="240" w:lineRule="auto"/>
        <w:ind w:left="720" w:right="720"/>
        <w:rPr>
          <w:rFonts w:cs="Calibri"/>
          <w:sz w:val="18"/>
          <w:szCs w:val="18"/>
          <w:lang w:val="es-VE"/>
        </w:rPr>
      </w:pPr>
      <w:r w:rsidRPr="0064597D">
        <w:rPr>
          <w:rFonts w:cs="Calibri"/>
          <w:sz w:val="18"/>
          <w:szCs w:val="18"/>
          <w:lang w:val="es-VE"/>
        </w:rPr>
        <w:t>No podrá imponerse la pena de muerte:</w:t>
      </w:r>
    </w:p>
    <w:p w14:paraId="46FCC744" w14:textId="77777777" w:rsidR="00CF077D" w:rsidRPr="0064597D" w:rsidRDefault="00CF077D" w:rsidP="00CF077D">
      <w:pPr>
        <w:tabs>
          <w:tab w:val="left" w:pos="1440"/>
        </w:tabs>
        <w:spacing w:line="240" w:lineRule="auto"/>
        <w:ind w:left="720" w:right="720"/>
        <w:rPr>
          <w:rFonts w:cs="Calibri"/>
          <w:sz w:val="18"/>
          <w:szCs w:val="18"/>
          <w:lang w:val="es-VE"/>
        </w:rPr>
      </w:pPr>
    </w:p>
    <w:p w14:paraId="6A755AC9" w14:textId="77777777" w:rsidR="00CF077D" w:rsidRPr="0064597D" w:rsidRDefault="00CF077D" w:rsidP="00CF077D">
      <w:pPr>
        <w:pStyle w:val="Prrafodelista"/>
        <w:widowControl/>
        <w:numPr>
          <w:ilvl w:val="0"/>
          <w:numId w:val="18"/>
        </w:numPr>
        <w:tabs>
          <w:tab w:val="left" w:pos="1440"/>
        </w:tabs>
        <w:adjustRightInd/>
        <w:spacing w:line="240" w:lineRule="auto"/>
        <w:ind w:right="720"/>
        <w:textAlignment w:val="auto"/>
        <w:rPr>
          <w:rFonts w:cs="Calibri"/>
          <w:sz w:val="18"/>
          <w:szCs w:val="18"/>
          <w:lang w:val="es-VE"/>
        </w:rPr>
      </w:pPr>
      <w:r w:rsidRPr="0064597D">
        <w:rPr>
          <w:rFonts w:cs="Calibri"/>
          <w:sz w:val="18"/>
          <w:szCs w:val="18"/>
          <w:lang w:val="es-VE"/>
        </w:rPr>
        <w:t>Por delitos políticos</w:t>
      </w:r>
    </w:p>
    <w:p w14:paraId="3328BE1E" w14:textId="77777777" w:rsidR="00CF077D" w:rsidRPr="0064597D" w:rsidRDefault="00CF077D" w:rsidP="00CF077D">
      <w:pPr>
        <w:pStyle w:val="Prrafodelista"/>
        <w:widowControl/>
        <w:numPr>
          <w:ilvl w:val="0"/>
          <w:numId w:val="18"/>
        </w:numPr>
        <w:tabs>
          <w:tab w:val="left" w:pos="1440"/>
        </w:tabs>
        <w:adjustRightInd/>
        <w:spacing w:line="240" w:lineRule="auto"/>
        <w:ind w:right="720"/>
        <w:textAlignment w:val="auto"/>
        <w:rPr>
          <w:rFonts w:cs="Calibri"/>
          <w:sz w:val="18"/>
          <w:szCs w:val="18"/>
          <w:lang w:val="es-VE"/>
        </w:rPr>
      </w:pPr>
      <w:r w:rsidRPr="0064597D">
        <w:rPr>
          <w:rFonts w:cs="Calibri"/>
          <w:sz w:val="18"/>
          <w:szCs w:val="18"/>
          <w:lang w:val="es-VE"/>
        </w:rPr>
        <w:t>Cuando la condena se fundamente en presunciones</w:t>
      </w:r>
    </w:p>
    <w:p w14:paraId="3D124A5C" w14:textId="77777777" w:rsidR="00CF077D" w:rsidRPr="0064597D" w:rsidRDefault="00CF077D" w:rsidP="00CF077D">
      <w:pPr>
        <w:pStyle w:val="Prrafodelista"/>
        <w:widowControl/>
        <w:numPr>
          <w:ilvl w:val="0"/>
          <w:numId w:val="18"/>
        </w:numPr>
        <w:tabs>
          <w:tab w:val="left" w:pos="1440"/>
        </w:tabs>
        <w:adjustRightInd/>
        <w:spacing w:line="240" w:lineRule="auto"/>
        <w:ind w:right="720"/>
        <w:textAlignment w:val="auto"/>
        <w:rPr>
          <w:rFonts w:cs="Calibri"/>
          <w:sz w:val="18"/>
          <w:szCs w:val="18"/>
          <w:lang w:val="es-VE"/>
        </w:rPr>
      </w:pPr>
      <w:r w:rsidRPr="0064597D">
        <w:rPr>
          <w:rFonts w:cs="Calibri"/>
          <w:sz w:val="18"/>
          <w:szCs w:val="18"/>
          <w:lang w:val="es-VE"/>
        </w:rPr>
        <w:t>A mujeres</w:t>
      </w:r>
    </w:p>
    <w:p w14:paraId="01BB6D83" w14:textId="77777777" w:rsidR="00CF077D" w:rsidRPr="0064597D" w:rsidRDefault="00CF077D" w:rsidP="00CF077D">
      <w:pPr>
        <w:pStyle w:val="Prrafodelista"/>
        <w:widowControl/>
        <w:numPr>
          <w:ilvl w:val="0"/>
          <w:numId w:val="18"/>
        </w:numPr>
        <w:tabs>
          <w:tab w:val="left" w:pos="1440"/>
        </w:tabs>
        <w:adjustRightInd/>
        <w:spacing w:line="240" w:lineRule="auto"/>
        <w:ind w:right="720"/>
        <w:textAlignment w:val="auto"/>
        <w:rPr>
          <w:rFonts w:cs="Calibri"/>
          <w:sz w:val="18"/>
          <w:szCs w:val="18"/>
          <w:lang w:val="es-VE"/>
        </w:rPr>
      </w:pPr>
      <w:r w:rsidRPr="0064597D">
        <w:rPr>
          <w:rFonts w:cs="Calibri"/>
          <w:sz w:val="18"/>
          <w:szCs w:val="18"/>
          <w:lang w:val="es-VE"/>
        </w:rPr>
        <w:t>A varones mayores de setenta años</w:t>
      </w:r>
    </w:p>
    <w:p w14:paraId="0E64F603" w14:textId="77777777" w:rsidR="00CF077D" w:rsidRPr="0064597D" w:rsidRDefault="00CF077D" w:rsidP="00CF077D">
      <w:pPr>
        <w:pStyle w:val="Prrafodelista"/>
        <w:widowControl/>
        <w:numPr>
          <w:ilvl w:val="0"/>
          <w:numId w:val="18"/>
        </w:numPr>
        <w:tabs>
          <w:tab w:val="left" w:pos="1440"/>
        </w:tabs>
        <w:adjustRightInd/>
        <w:spacing w:line="240" w:lineRule="auto"/>
        <w:ind w:right="720"/>
        <w:textAlignment w:val="auto"/>
        <w:rPr>
          <w:rFonts w:cs="Calibri"/>
          <w:sz w:val="18"/>
          <w:szCs w:val="18"/>
          <w:lang w:val="es-VE"/>
        </w:rPr>
      </w:pPr>
      <w:r w:rsidRPr="0064597D">
        <w:rPr>
          <w:rFonts w:cs="Calibri"/>
          <w:sz w:val="18"/>
          <w:szCs w:val="18"/>
          <w:lang w:val="es-VE"/>
        </w:rPr>
        <w:t>A personas cuya extradición haya sido concedida bajo esa condición.</w:t>
      </w:r>
    </w:p>
    <w:p w14:paraId="523E8624" w14:textId="77777777" w:rsidR="00CF077D" w:rsidRPr="0064597D" w:rsidRDefault="00CF077D" w:rsidP="00CF077D">
      <w:pPr>
        <w:autoSpaceDE w:val="0"/>
        <w:autoSpaceDN w:val="0"/>
        <w:spacing w:line="240" w:lineRule="auto"/>
        <w:ind w:left="708"/>
        <w:rPr>
          <w:rFonts w:cs="Calibri"/>
          <w:sz w:val="18"/>
          <w:szCs w:val="18"/>
          <w:lang w:val="es-VE"/>
        </w:rPr>
      </w:pPr>
    </w:p>
    <w:p w14:paraId="43ACF4A3" w14:textId="52071DB1" w:rsidR="00CF077D" w:rsidRPr="0064597D" w:rsidRDefault="00CF077D" w:rsidP="00CF077D">
      <w:pPr>
        <w:autoSpaceDE w:val="0"/>
        <w:autoSpaceDN w:val="0"/>
        <w:spacing w:line="240" w:lineRule="auto"/>
        <w:ind w:left="720" w:right="720"/>
        <w:rPr>
          <w:rFonts w:cs="Verdana"/>
          <w:sz w:val="18"/>
          <w:szCs w:val="18"/>
        </w:rPr>
      </w:pPr>
      <w:r w:rsidRPr="0064597D">
        <w:rPr>
          <w:rFonts w:cs="Calibri"/>
          <w:sz w:val="18"/>
          <w:szCs w:val="18"/>
          <w:lang w:val="es-VE"/>
        </w:rPr>
        <w:t>En estos casos y siempre que la pena de muerte fuere conmutada por la de privación de libertad, se le aplicará prisión en su límite máximo</w:t>
      </w:r>
      <w:r w:rsidRPr="0064597D">
        <w:rPr>
          <w:rStyle w:val="Refdenotaalpie"/>
          <w:rFonts w:cs="Calibri"/>
          <w:sz w:val="18"/>
          <w:szCs w:val="18"/>
          <w:lang w:val="es-VE"/>
        </w:rPr>
        <w:footnoteReference w:id="30"/>
      </w:r>
      <w:r w:rsidRPr="0064597D">
        <w:rPr>
          <w:rFonts w:cs="Calibri"/>
          <w:sz w:val="18"/>
          <w:szCs w:val="18"/>
          <w:lang w:val="es-VE"/>
        </w:rPr>
        <w:t>.</w:t>
      </w:r>
    </w:p>
    <w:p w14:paraId="5D31D7B9" w14:textId="77777777" w:rsidR="00CF077D" w:rsidRPr="0064597D" w:rsidRDefault="00CF077D" w:rsidP="00CF077D">
      <w:pPr>
        <w:autoSpaceDE w:val="0"/>
        <w:autoSpaceDN w:val="0"/>
        <w:spacing w:line="240" w:lineRule="auto"/>
        <w:rPr>
          <w:sz w:val="18"/>
          <w:szCs w:val="18"/>
        </w:rPr>
      </w:pPr>
    </w:p>
    <w:p w14:paraId="5C2DAB1F" w14:textId="760AF3ED" w:rsidR="00CF077D" w:rsidRPr="0064597D" w:rsidRDefault="000F7AD4" w:rsidP="00CF077D">
      <w:pPr>
        <w:numPr>
          <w:ilvl w:val="0"/>
          <w:numId w:val="1"/>
        </w:numPr>
        <w:tabs>
          <w:tab w:val="left" w:pos="567"/>
          <w:tab w:val="num" w:pos="1569"/>
          <w:tab w:val="num" w:pos="12305"/>
        </w:tabs>
        <w:spacing w:line="240" w:lineRule="auto"/>
        <w:ind w:left="0" w:firstLine="0"/>
        <w:rPr>
          <w:rFonts w:cs="Verdana"/>
          <w:sz w:val="20"/>
          <w:szCs w:val="20"/>
        </w:rPr>
      </w:pPr>
      <w:r w:rsidRPr="0064597D">
        <w:rPr>
          <w:rFonts w:eastAsia="Batang"/>
          <w:sz w:val="20"/>
          <w:szCs w:val="20"/>
          <w:lang w:eastAsia="en-US"/>
        </w:rPr>
        <w:t xml:space="preserve">El 25 de mayo de 1978 </w:t>
      </w:r>
      <w:r w:rsidR="00CF077D" w:rsidRPr="0064597D">
        <w:rPr>
          <w:rFonts w:cs="Verdana"/>
          <w:sz w:val="20"/>
          <w:szCs w:val="20"/>
        </w:rPr>
        <w:t>Guatemala depositó el instrumento de ratifica</w:t>
      </w:r>
      <w:r w:rsidR="008F734A" w:rsidRPr="0064597D">
        <w:rPr>
          <w:rFonts w:cs="Verdana"/>
          <w:sz w:val="20"/>
          <w:szCs w:val="20"/>
        </w:rPr>
        <w:t>ción de la Convención Americana</w:t>
      </w:r>
      <w:r w:rsidRPr="0064597D">
        <w:rPr>
          <w:rFonts w:cs="Verdana"/>
          <w:sz w:val="20"/>
          <w:szCs w:val="20"/>
        </w:rPr>
        <w:t xml:space="preserve">. En dicho momento se </w:t>
      </w:r>
      <w:r w:rsidR="00CF077D" w:rsidRPr="0064597D">
        <w:rPr>
          <w:rFonts w:cs="Verdana"/>
          <w:sz w:val="20"/>
          <w:szCs w:val="20"/>
        </w:rPr>
        <w:t>encontraba vigente e</w:t>
      </w:r>
      <w:r w:rsidR="008F734A" w:rsidRPr="0064597D">
        <w:rPr>
          <w:rFonts w:cs="Verdana"/>
          <w:sz w:val="20"/>
          <w:szCs w:val="20"/>
        </w:rPr>
        <w:t xml:space="preserve">l Decreto Legislativo No. 17/73 </w:t>
      </w:r>
      <w:r w:rsidR="00FC53C6" w:rsidRPr="0064597D">
        <w:rPr>
          <w:rFonts w:cs="Verdana"/>
          <w:sz w:val="20"/>
          <w:szCs w:val="20"/>
        </w:rPr>
        <w:t>(</w:t>
      </w:r>
      <w:r w:rsidR="00CF077D" w:rsidRPr="0064597D">
        <w:rPr>
          <w:rFonts w:cs="Verdana"/>
          <w:sz w:val="20"/>
          <w:szCs w:val="20"/>
        </w:rPr>
        <w:t>Código Penal</w:t>
      </w:r>
      <w:r w:rsidR="00FC53C6" w:rsidRPr="0064597D">
        <w:rPr>
          <w:rFonts w:cs="Verdana"/>
          <w:sz w:val="20"/>
          <w:szCs w:val="20"/>
        </w:rPr>
        <w:t>)</w:t>
      </w:r>
      <w:r w:rsidR="0035451B">
        <w:rPr>
          <w:rFonts w:cs="Verdana"/>
          <w:sz w:val="20"/>
          <w:szCs w:val="20"/>
        </w:rPr>
        <w:t>,</w:t>
      </w:r>
      <w:r w:rsidR="00CF077D" w:rsidRPr="0064597D">
        <w:rPr>
          <w:rFonts w:cs="Verdana"/>
          <w:sz w:val="20"/>
          <w:szCs w:val="20"/>
        </w:rPr>
        <w:t xml:space="preserve"> cuyo artículo 201 consagraba la pena de muerte como sanción para el delito de plagio o secuestro cuando, con motivo o en ocasión del mismo, falleciera la persona secuestrada. La misma conducta típica sin resultado de muerte era sancionada con pena privativa de la libertad de ocho a quince años: </w:t>
      </w:r>
    </w:p>
    <w:p w14:paraId="5F0AB913" w14:textId="77777777" w:rsidR="00CF077D" w:rsidRPr="0064597D" w:rsidRDefault="00CF077D" w:rsidP="00CF077D">
      <w:pPr>
        <w:autoSpaceDE w:val="0"/>
        <w:autoSpaceDN w:val="0"/>
        <w:spacing w:line="240" w:lineRule="auto"/>
        <w:ind w:left="708"/>
        <w:rPr>
          <w:rFonts w:cs="Verdana"/>
          <w:sz w:val="18"/>
          <w:szCs w:val="18"/>
        </w:rPr>
      </w:pPr>
    </w:p>
    <w:p w14:paraId="396AEE90" w14:textId="77777777" w:rsidR="00CF077D" w:rsidRPr="0064597D" w:rsidRDefault="008F734A" w:rsidP="00CF077D">
      <w:pPr>
        <w:autoSpaceDE w:val="0"/>
        <w:autoSpaceDN w:val="0"/>
        <w:spacing w:line="240" w:lineRule="auto"/>
        <w:ind w:left="720" w:right="720"/>
        <w:rPr>
          <w:rFonts w:cs="Verdana"/>
          <w:sz w:val="18"/>
          <w:szCs w:val="18"/>
        </w:rPr>
      </w:pPr>
      <w:r w:rsidRPr="0064597D">
        <w:rPr>
          <w:rFonts w:cs="Verdana"/>
          <w:sz w:val="18"/>
          <w:szCs w:val="18"/>
        </w:rPr>
        <w:t>“</w:t>
      </w:r>
      <w:r w:rsidR="00CF077D" w:rsidRPr="0064597D">
        <w:rPr>
          <w:rFonts w:cs="Verdana"/>
          <w:sz w:val="18"/>
          <w:szCs w:val="18"/>
        </w:rPr>
        <w:t xml:space="preserve">El plagio o secuestro de una persona con el objeto de lograr rescate, canje de terceras personas u otro ilícito de igual o análoga entidad, se castigará con la pena de ocho a quince años de prisión. </w:t>
      </w:r>
    </w:p>
    <w:p w14:paraId="564EC9ED" w14:textId="77777777" w:rsidR="00CF077D" w:rsidRPr="0064597D" w:rsidRDefault="00CF077D" w:rsidP="00CF077D">
      <w:pPr>
        <w:autoSpaceDE w:val="0"/>
        <w:autoSpaceDN w:val="0"/>
        <w:spacing w:line="240" w:lineRule="auto"/>
        <w:ind w:left="720" w:right="720"/>
        <w:rPr>
          <w:rFonts w:cs="Verdana"/>
          <w:sz w:val="18"/>
          <w:szCs w:val="18"/>
        </w:rPr>
      </w:pPr>
    </w:p>
    <w:p w14:paraId="27A56B1B" w14:textId="77777777" w:rsidR="00CF077D" w:rsidRPr="0064597D" w:rsidRDefault="00CF077D" w:rsidP="00CF077D">
      <w:pPr>
        <w:autoSpaceDE w:val="0"/>
        <w:autoSpaceDN w:val="0"/>
        <w:spacing w:line="240" w:lineRule="auto"/>
        <w:ind w:left="720" w:right="720"/>
        <w:rPr>
          <w:rFonts w:cs="Verdana"/>
          <w:sz w:val="18"/>
          <w:szCs w:val="18"/>
        </w:rPr>
      </w:pPr>
      <w:r w:rsidRPr="0064597D">
        <w:rPr>
          <w:rFonts w:cs="Verdana"/>
          <w:sz w:val="18"/>
          <w:szCs w:val="18"/>
        </w:rPr>
        <w:t>Se impondrá la pena de muerte al responsable, cuando con motivo o en ocasión del plagio o secuestro, falleciera la persona secuestrada</w:t>
      </w:r>
      <w:r w:rsidR="008F734A" w:rsidRPr="0064597D">
        <w:rPr>
          <w:rFonts w:cs="Verdana"/>
          <w:sz w:val="18"/>
          <w:szCs w:val="18"/>
        </w:rPr>
        <w:t>”</w:t>
      </w:r>
      <w:r w:rsidRPr="0064597D">
        <w:rPr>
          <w:rStyle w:val="Refdenotaalpie"/>
          <w:rFonts w:cs="Calibri"/>
          <w:sz w:val="18"/>
          <w:szCs w:val="18"/>
          <w:lang w:val="es-VE"/>
        </w:rPr>
        <w:footnoteReference w:id="31"/>
      </w:r>
      <w:r w:rsidRPr="0064597D">
        <w:rPr>
          <w:rFonts w:cs="Verdana"/>
          <w:sz w:val="18"/>
          <w:szCs w:val="18"/>
        </w:rPr>
        <w:t>.</w:t>
      </w:r>
    </w:p>
    <w:p w14:paraId="100AB4C4" w14:textId="77777777" w:rsidR="00CF077D" w:rsidRPr="0064597D" w:rsidRDefault="00CF077D" w:rsidP="00CF077D">
      <w:pPr>
        <w:tabs>
          <w:tab w:val="left" w:pos="567"/>
        </w:tabs>
        <w:spacing w:line="240" w:lineRule="auto"/>
        <w:rPr>
          <w:rFonts w:eastAsia="Batang"/>
          <w:sz w:val="20"/>
          <w:szCs w:val="20"/>
          <w:lang w:eastAsia="en-US"/>
        </w:rPr>
      </w:pPr>
    </w:p>
    <w:p w14:paraId="05C58166" w14:textId="67751867" w:rsidR="00CF077D" w:rsidRPr="0064597D" w:rsidRDefault="00CF077D" w:rsidP="00CF077D">
      <w:pPr>
        <w:numPr>
          <w:ilvl w:val="0"/>
          <w:numId w:val="1"/>
        </w:numPr>
        <w:tabs>
          <w:tab w:val="left" w:pos="567"/>
          <w:tab w:val="num" w:pos="1569"/>
          <w:tab w:val="num" w:pos="12305"/>
        </w:tabs>
        <w:spacing w:line="240" w:lineRule="auto"/>
        <w:ind w:left="0" w:firstLine="0"/>
        <w:rPr>
          <w:rFonts w:cs="Verdana"/>
          <w:sz w:val="20"/>
          <w:szCs w:val="20"/>
        </w:rPr>
      </w:pPr>
      <w:r w:rsidRPr="0064597D">
        <w:rPr>
          <w:rFonts w:cs="Verdana"/>
          <w:sz w:val="20"/>
          <w:szCs w:val="20"/>
        </w:rPr>
        <w:t xml:space="preserve">En lo pertinente a este caso, el citado artículo 201 del Código Penal guatemalteco ha sido objeto </w:t>
      </w:r>
      <w:r w:rsidRPr="0064597D">
        <w:rPr>
          <w:rFonts w:cs="Verdana"/>
          <w:sz w:val="20"/>
          <w:szCs w:val="20"/>
        </w:rPr>
        <w:lastRenderedPageBreak/>
        <w:t xml:space="preserve">de tres modificaciones. La primera reforma fue introducida </w:t>
      </w:r>
      <w:r w:rsidR="000F7AD4" w:rsidRPr="0064597D">
        <w:rPr>
          <w:rFonts w:cs="Verdana"/>
          <w:sz w:val="20"/>
          <w:szCs w:val="20"/>
        </w:rPr>
        <w:t xml:space="preserve">el 26 de abril de 1994 </w:t>
      </w:r>
      <w:r w:rsidRPr="0064597D">
        <w:rPr>
          <w:rFonts w:cs="Verdana"/>
          <w:sz w:val="20"/>
          <w:szCs w:val="20"/>
        </w:rPr>
        <w:t>mediante Decreto Legislativo No. 38/94, que prescribía la pena de muerte para el caso en que el secuestrado fuera una persona menor de doce años o mayor de sesenta, y cuando el secuestrado falleciera o resultara con lesiones graves o gravísimas o con traumas psíquicos o psicológicos permanentes a consecuencia del plagio. En caso de arrepentimiento del autor del delito, la norma contemplaba el beneficio de atenuación de la pena:</w:t>
      </w:r>
    </w:p>
    <w:p w14:paraId="0501D065" w14:textId="77777777" w:rsidR="00CF077D" w:rsidRPr="0064597D" w:rsidRDefault="00CF077D" w:rsidP="00162B86">
      <w:pPr>
        <w:autoSpaceDE w:val="0"/>
        <w:autoSpaceDN w:val="0"/>
        <w:spacing w:line="240" w:lineRule="auto"/>
        <w:ind w:left="708"/>
        <w:rPr>
          <w:rFonts w:cs="Verdana"/>
          <w:sz w:val="18"/>
          <w:szCs w:val="18"/>
        </w:rPr>
      </w:pPr>
    </w:p>
    <w:p w14:paraId="31A457DB" w14:textId="1D3CC921" w:rsidR="00CF077D" w:rsidRPr="0064597D" w:rsidRDefault="00CF077D" w:rsidP="00162B86">
      <w:pPr>
        <w:autoSpaceDE w:val="0"/>
        <w:autoSpaceDN w:val="0"/>
        <w:spacing w:line="240" w:lineRule="auto"/>
        <w:ind w:left="720" w:right="720"/>
        <w:rPr>
          <w:rFonts w:cs="Verdana"/>
          <w:sz w:val="18"/>
          <w:szCs w:val="18"/>
        </w:rPr>
      </w:pPr>
      <w:r w:rsidRPr="0064597D">
        <w:rPr>
          <w:rFonts w:cs="Verdana"/>
          <w:sz w:val="18"/>
          <w:szCs w:val="18"/>
        </w:rPr>
        <w:t xml:space="preserve">El plagio o secuestro de una persona con el objeto de lograr rescate, remuneración, canje de terceras personas, así como cualquier otro propósito ilícito o lucrativo de iguales o análogas características e identidad se castigará con la pena de veinticinco a treinta años de prisión. </w:t>
      </w:r>
    </w:p>
    <w:p w14:paraId="08CB49FF" w14:textId="77777777" w:rsidR="00CF077D" w:rsidRPr="0064597D" w:rsidRDefault="00CF077D" w:rsidP="00162B86">
      <w:pPr>
        <w:autoSpaceDE w:val="0"/>
        <w:autoSpaceDN w:val="0"/>
        <w:spacing w:line="240" w:lineRule="auto"/>
        <w:ind w:left="720" w:right="720"/>
        <w:rPr>
          <w:rFonts w:cs="Verdana"/>
          <w:sz w:val="18"/>
          <w:szCs w:val="18"/>
        </w:rPr>
      </w:pPr>
    </w:p>
    <w:p w14:paraId="79E28284" w14:textId="77777777" w:rsidR="00CF077D" w:rsidRPr="0064597D" w:rsidRDefault="00CF077D" w:rsidP="00162B86">
      <w:pPr>
        <w:autoSpaceDE w:val="0"/>
        <w:autoSpaceDN w:val="0"/>
        <w:spacing w:line="240" w:lineRule="auto"/>
        <w:ind w:left="720" w:right="720"/>
        <w:jc w:val="left"/>
        <w:rPr>
          <w:rFonts w:cs="Verdana"/>
          <w:sz w:val="18"/>
          <w:szCs w:val="18"/>
        </w:rPr>
      </w:pPr>
      <w:r w:rsidRPr="0064597D">
        <w:rPr>
          <w:rFonts w:cs="Verdana"/>
          <w:sz w:val="18"/>
          <w:szCs w:val="18"/>
        </w:rPr>
        <w:t xml:space="preserve">Se impondrá la pena de muerte al responsable en los siguientes casos: </w:t>
      </w:r>
    </w:p>
    <w:p w14:paraId="01B5FBB7" w14:textId="77777777" w:rsidR="00CF077D" w:rsidRPr="0064597D" w:rsidRDefault="00CF077D" w:rsidP="00162B86">
      <w:pPr>
        <w:autoSpaceDE w:val="0"/>
        <w:autoSpaceDN w:val="0"/>
        <w:spacing w:line="240" w:lineRule="auto"/>
        <w:ind w:left="720" w:right="720"/>
        <w:rPr>
          <w:rFonts w:cs="Verdana"/>
          <w:sz w:val="18"/>
          <w:szCs w:val="18"/>
        </w:rPr>
      </w:pPr>
      <w:r w:rsidRPr="0064597D">
        <w:rPr>
          <w:rFonts w:cs="Verdana"/>
          <w:sz w:val="18"/>
          <w:szCs w:val="18"/>
        </w:rPr>
        <w:t xml:space="preserve">a) si se tratare de menores de doce años de edad o personas mayores de sesenta años; </w:t>
      </w:r>
    </w:p>
    <w:p w14:paraId="3D865567" w14:textId="77777777" w:rsidR="00CF077D" w:rsidRPr="0064597D" w:rsidRDefault="00CF077D" w:rsidP="00162B86">
      <w:pPr>
        <w:autoSpaceDE w:val="0"/>
        <w:autoSpaceDN w:val="0"/>
        <w:spacing w:line="240" w:lineRule="auto"/>
        <w:ind w:left="720" w:right="720"/>
        <w:rPr>
          <w:rFonts w:cs="Verdana"/>
          <w:sz w:val="18"/>
          <w:szCs w:val="18"/>
        </w:rPr>
      </w:pPr>
      <w:r w:rsidRPr="0064597D">
        <w:rPr>
          <w:rFonts w:cs="Verdana"/>
          <w:sz w:val="18"/>
          <w:szCs w:val="18"/>
        </w:rPr>
        <w:t xml:space="preserve">b) cuando con motivo o en ocasión del plagio o secuestro, la persona secuestrada resultare con lesiones graves o gravísimas, trauma psíquico o psicológico permanente o falleciere. </w:t>
      </w:r>
    </w:p>
    <w:p w14:paraId="6587138E" w14:textId="77777777" w:rsidR="00CF077D" w:rsidRPr="0064597D" w:rsidRDefault="00CF077D" w:rsidP="00162B86">
      <w:pPr>
        <w:autoSpaceDE w:val="0"/>
        <w:autoSpaceDN w:val="0"/>
        <w:spacing w:line="240" w:lineRule="auto"/>
        <w:ind w:left="708"/>
        <w:rPr>
          <w:rFonts w:cs="Verdana"/>
          <w:sz w:val="18"/>
          <w:szCs w:val="18"/>
        </w:rPr>
      </w:pPr>
    </w:p>
    <w:p w14:paraId="0A0615D7" w14:textId="3FFCBE8C" w:rsidR="00CF077D" w:rsidRPr="0064597D" w:rsidRDefault="00CF077D" w:rsidP="00162B86">
      <w:pPr>
        <w:tabs>
          <w:tab w:val="left" w:pos="567"/>
        </w:tabs>
        <w:spacing w:line="240" w:lineRule="auto"/>
        <w:ind w:left="720" w:right="720"/>
        <w:rPr>
          <w:rFonts w:eastAsia="Batang"/>
          <w:sz w:val="20"/>
          <w:szCs w:val="20"/>
          <w:lang w:eastAsia="en-US"/>
        </w:rPr>
      </w:pPr>
      <w:r w:rsidRPr="0064597D">
        <w:rPr>
          <w:rFonts w:cs="Verdana"/>
          <w:sz w:val="18"/>
          <w:szCs w:val="18"/>
        </w:rPr>
        <w:t>Al autor de este delito que se arrepintiere en cualquiera de sus etapas o diere datos para lograr la feliz solución del plagio o secuestro, se le podrá atenuar la pena correspondiente</w:t>
      </w:r>
      <w:r w:rsidRPr="0064597D">
        <w:rPr>
          <w:rStyle w:val="Refdenotaalpie"/>
          <w:rFonts w:cs="Verdana"/>
          <w:sz w:val="18"/>
          <w:szCs w:val="18"/>
        </w:rPr>
        <w:footnoteReference w:id="32"/>
      </w:r>
      <w:r w:rsidRPr="0064597D">
        <w:rPr>
          <w:rFonts w:cs="Verdana"/>
          <w:sz w:val="18"/>
          <w:szCs w:val="18"/>
        </w:rPr>
        <w:t>.</w:t>
      </w:r>
    </w:p>
    <w:p w14:paraId="2680981F" w14:textId="77777777" w:rsidR="00CF077D" w:rsidRPr="0064597D" w:rsidRDefault="00CF077D" w:rsidP="00CF077D">
      <w:pPr>
        <w:tabs>
          <w:tab w:val="left" w:pos="567"/>
        </w:tabs>
        <w:spacing w:line="240" w:lineRule="auto"/>
        <w:rPr>
          <w:rFonts w:eastAsia="Batang"/>
          <w:sz w:val="20"/>
          <w:szCs w:val="20"/>
          <w:lang w:eastAsia="en-US"/>
        </w:rPr>
      </w:pPr>
    </w:p>
    <w:p w14:paraId="2E58ADE3" w14:textId="75B7B3C3" w:rsidR="00CF077D" w:rsidRPr="0064597D" w:rsidRDefault="00CF077D" w:rsidP="00CF077D">
      <w:pPr>
        <w:numPr>
          <w:ilvl w:val="0"/>
          <w:numId w:val="1"/>
        </w:numPr>
        <w:tabs>
          <w:tab w:val="left" w:pos="567"/>
          <w:tab w:val="num" w:pos="1569"/>
          <w:tab w:val="num" w:pos="12305"/>
        </w:tabs>
        <w:spacing w:line="240" w:lineRule="auto"/>
        <w:ind w:left="0" w:firstLine="0"/>
        <w:rPr>
          <w:rFonts w:cs="Verdana"/>
          <w:sz w:val="20"/>
          <w:szCs w:val="20"/>
        </w:rPr>
      </w:pPr>
      <w:r w:rsidRPr="0064597D">
        <w:rPr>
          <w:rFonts w:cs="Verdana"/>
          <w:sz w:val="20"/>
          <w:szCs w:val="20"/>
        </w:rPr>
        <w:t xml:space="preserve">La segunda reforma se introdujo </w:t>
      </w:r>
      <w:r w:rsidR="000F7AD4" w:rsidRPr="0064597D">
        <w:rPr>
          <w:rFonts w:cs="Verdana"/>
          <w:sz w:val="20"/>
          <w:szCs w:val="20"/>
        </w:rPr>
        <w:t xml:space="preserve">el 16 de marzo de 1995 </w:t>
      </w:r>
      <w:r w:rsidRPr="0064597D">
        <w:rPr>
          <w:rFonts w:cs="Verdana"/>
          <w:sz w:val="20"/>
          <w:szCs w:val="20"/>
        </w:rPr>
        <w:t xml:space="preserve">mediante Decreto Legislativo No. 14/95, </w:t>
      </w:r>
      <w:r w:rsidR="00A91C76" w:rsidRPr="0064597D">
        <w:rPr>
          <w:rFonts w:cs="Verdana"/>
          <w:sz w:val="20"/>
          <w:szCs w:val="20"/>
        </w:rPr>
        <w:t xml:space="preserve">el cual </w:t>
      </w:r>
      <w:r w:rsidRPr="0064597D">
        <w:rPr>
          <w:rFonts w:cs="Verdana"/>
          <w:sz w:val="20"/>
          <w:szCs w:val="20"/>
        </w:rPr>
        <w:t>sancionaba a todo culpable del delito de secuestro con pena de muerte. La reforma excluía todas las causales de atenuación de la pena:</w:t>
      </w:r>
    </w:p>
    <w:p w14:paraId="1B13A207" w14:textId="77777777" w:rsidR="00CF077D" w:rsidRPr="0064597D" w:rsidRDefault="00CF077D" w:rsidP="00CF077D">
      <w:pPr>
        <w:autoSpaceDE w:val="0"/>
        <w:autoSpaceDN w:val="0"/>
        <w:spacing w:line="240" w:lineRule="auto"/>
        <w:ind w:left="708"/>
        <w:rPr>
          <w:rFonts w:cs="Verdana"/>
          <w:sz w:val="18"/>
          <w:szCs w:val="18"/>
        </w:rPr>
      </w:pPr>
    </w:p>
    <w:p w14:paraId="5B3BA1BC" w14:textId="10901A02" w:rsidR="00CF077D" w:rsidRPr="0064597D" w:rsidRDefault="00CF077D" w:rsidP="00CF077D">
      <w:pPr>
        <w:autoSpaceDE w:val="0"/>
        <w:autoSpaceDN w:val="0"/>
        <w:spacing w:line="240" w:lineRule="auto"/>
        <w:ind w:left="720" w:right="720"/>
        <w:rPr>
          <w:rFonts w:cs="Verdana"/>
          <w:sz w:val="18"/>
          <w:szCs w:val="18"/>
        </w:rPr>
      </w:pPr>
      <w:r w:rsidRPr="0064597D">
        <w:rPr>
          <w:rFonts w:cs="Verdana"/>
          <w:sz w:val="18"/>
          <w:szCs w:val="18"/>
        </w:rPr>
        <w:t>A los autores materiales del delito de plagio o secuestro de una o más personas, con el propósito de lograr rescate, canje de personas o la toma de cualquier decisión contraria a la voluntad del secuestrado o con cualquier otro propósito similar o igual, se les aplicará la pena de muerte. En este caso no se apreciará ninguna circunstancia atenuante […]</w:t>
      </w:r>
      <w:r w:rsidRPr="0064597D">
        <w:rPr>
          <w:rStyle w:val="Refdenotaalpie"/>
          <w:rFonts w:cs="Verdana"/>
          <w:sz w:val="18"/>
          <w:szCs w:val="18"/>
        </w:rPr>
        <w:footnoteReference w:id="33"/>
      </w:r>
      <w:r w:rsidRPr="0064597D">
        <w:rPr>
          <w:rFonts w:cs="Verdana"/>
          <w:sz w:val="18"/>
          <w:szCs w:val="18"/>
        </w:rPr>
        <w:t>.</w:t>
      </w:r>
    </w:p>
    <w:p w14:paraId="19B8962C" w14:textId="77777777" w:rsidR="00CF077D" w:rsidRPr="0064597D" w:rsidRDefault="00CF077D" w:rsidP="00CF077D">
      <w:pPr>
        <w:spacing w:line="240" w:lineRule="auto"/>
        <w:rPr>
          <w:i/>
          <w:sz w:val="20"/>
          <w:szCs w:val="20"/>
        </w:rPr>
      </w:pPr>
    </w:p>
    <w:p w14:paraId="5965C689" w14:textId="035E4FAA" w:rsidR="00CF077D" w:rsidRPr="0064597D" w:rsidRDefault="00CF077D" w:rsidP="00B0647D">
      <w:pPr>
        <w:numPr>
          <w:ilvl w:val="0"/>
          <w:numId w:val="1"/>
        </w:numPr>
        <w:tabs>
          <w:tab w:val="left" w:pos="567"/>
          <w:tab w:val="num" w:pos="1569"/>
          <w:tab w:val="num" w:pos="12305"/>
        </w:tabs>
        <w:spacing w:line="240" w:lineRule="auto"/>
        <w:ind w:left="0" w:firstLine="0"/>
        <w:rPr>
          <w:rFonts w:cs="Verdana"/>
          <w:sz w:val="20"/>
          <w:szCs w:val="20"/>
        </w:rPr>
      </w:pPr>
      <w:bookmarkStart w:id="46" w:name="reformacp"/>
      <w:r w:rsidRPr="0064597D">
        <w:rPr>
          <w:rFonts w:cs="Verdana"/>
          <w:sz w:val="20"/>
          <w:szCs w:val="20"/>
        </w:rPr>
        <w:t xml:space="preserve">La tercera reforma del citado artículo 201 del Código Penal </w:t>
      </w:r>
      <w:r w:rsidR="00B0647D" w:rsidRPr="0064597D">
        <w:rPr>
          <w:rFonts w:cs="Verdana"/>
          <w:sz w:val="20"/>
          <w:szCs w:val="20"/>
        </w:rPr>
        <w:t>fue introducida el 19 de septiembre de 1996</w:t>
      </w:r>
      <w:r w:rsidRPr="0064597D">
        <w:rPr>
          <w:rFonts w:cs="Verdana"/>
          <w:sz w:val="20"/>
          <w:szCs w:val="20"/>
        </w:rPr>
        <w:t xml:space="preserve"> mediante el Decreto Legislativo No. 81/96, vigente en Guatemala desde el 21 de octubre de 1996 hasta la actualidad. Esta reforma prescribe la pena de muerte como única sanción aplicable a los autores materiales o intelectuales del delito de secuestro:</w:t>
      </w:r>
    </w:p>
    <w:bookmarkEnd w:id="46"/>
    <w:p w14:paraId="307E6A96" w14:textId="77777777" w:rsidR="00CF077D" w:rsidRPr="0064597D" w:rsidRDefault="00CF077D" w:rsidP="00CF077D">
      <w:pPr>
        <w:autoSpaceDE w:val="0"/>
        <w:autoSpaceDN w:val="0"/>
        <w:spacing w:line="240" w:lineRule="auto"/>
        <w:rPr>
          <w:rFonts w:cs="Verdana"/>
          <w:sz w:val="16"/>
          <w:szCs w:val="16"/>
        </w:rPr>
      </w:pPr>
    </w:p>
    <w:p w14:paraId="7CCBB6C8" w14:textId="1B79738F" w:rsidR="00CF077D" w:rsidRPr="0064597D" w:rsidRDefault="00CF077D" w:rsidP="00CF077D">
      <w:pPr>
        <w:autoSpaceDE w:val="0"/>
        <w:autoSpaceDN w:val="0"/>
        <w:spacing w:line="240" w:lineRule="auto"/>
        <w:ind w:left="720" w:right="720"/>
        <w:rPr>
          <w:rFonts w:cs="Verdana"/>
          <w:sz w:val="18"/>
          <w:szCs w:val="18"/>
        </w:rPr>
      </w:pPr>
      <w:r w:rsidRPr="0064597D">
        <w:rPr>
          <w:rFonts w:cs="Verdana"/>
          <w:sz w:val="18"/>
          <w:szCs w:val="18"/>
        </w:rPr>
        <w:t>A los autores materiales o intelectuales del delito de plagio o secuestro de una o más personas con el propósito de lograr rescate, canje de personas o la toma de cualquier decisión contraria a la voluntad del secuestrado o con cualquiera otro propósito similar o igual, se les aplicará la pena de muerte, y cuando ésta no pueda ser impuesta, se aplicará prisión de veinticinco a cincuenta años. En este caso no se apreciará ninguna circunstancia atenuante.</w:t>
      </w:r>
    </w:p>
    <w:p w14:paraId="2E302300" w14:textId="77777777" w:rsidR="00CF077D" w:rsidRPr="0064597D" w:rsidRDefault="00CF077D" w:rsidP="00CF077D">
      <w:pPr>
        <w:autoSpaceDE w:val="0"/>
        <w:autoSpaceDN w:val="0"/>
        <w:spacing w:line="240" w:lineRule="auto"/>
        <w:ind w:left="720" w:right="720"/>
        <w:rPr>
          <w:rFonts w:cs="Verdana"/>
          <w:sz w:val="18"/>
          <w:szCs w:val="18"/>
        </w:rPr>
      </w:pPr>
    </w:p>
    <w:p w14:paraId="07BB72B9" w14:textId="77777777" w:rsidR="00CF077D" w:rsidRPr="0064597D" w:rsidRDefault="00CF077D" w:rsidP="00CF077D">
      <w:pPr>
        <w:autoSpaceDE w:val="0"/>
        <w:autoSpaceDN w:val="0"/>
        <w:spacing w:line="240" w:lineRule="auto"/>
        <w:ind w:left="720" w:right="720"/>
        <w:rPr>
          <w:rFonts w:cs="Verdana"/>
          <w:sz w:val="18"/>
          <w:szCs w:val="18"/>
        </w:rPr>
      </w:pPr>
      <w:r w:rsidRPr="0064597D">
        <w:rPr>
          <w:rFonts w:cs="Verdana"/>
          <w:sz w:val="18"/>
          <w:szCs w:val="18"/>
        </w:rPr>
        <w:t xml:space="preserve">Los cómplices o encubridores serán sancionados con pena de veinte a cuarenta años de prisión. </w:t>
      </w:r>
    </w:p>
    <w:p w14:paraId="3D2CCDC4" w14:textId="77777777" w:rsidR="00CF077D" w:rsidRPr="0064597D" w:rsidRDefault="00CF077D" w:rsidP="00CF077D">
      <w:pPr>
        <w:autoSpaceDE w:val="0"/>
        <w:autoSpaceDN w:val="0"/>
        <w:spacing w:line="240" w:lineRule="auto"/>
        <w:ind w:left="720" w:right="720"/>
        <w:rPr>
          <w:rFonts w:cs="Verdana"/>
          <w:sz w:val="18"/>
          <w:szCs w:val="18"/>
        </w:rPr>
      </w:pPr>
    </w:p>
    <w:p w14:paraId="7ADEB8A2" w14:textId="1D52FCE2" w:rsidR="00CF077D" w:rsidRPr="0064597D" w:rsidRDefault="00CF077D" w:rsidP="00CF077D">
      <w:pPr>
        <w:autoSpaceDE w:val="0"/>
        <w:autoSpaceDN w:val="0"/>
        <w:spacing w:line="240" w:lineRule="auto"/>
        <w:ind w:left="720" w:right="720"/>
        <w:rPr>
          <w:rFonts w:cs="Verdana"/>
          <w:sz w:val="18"/>
          <w:szCs w:val="18"/>
        </w:rPr>
      </w:pPr>
      <w:r w:rsidRPr="0064597D">
        <w:rPr>
          <w:rFonts w:cs="Verdana"/>
          <w:sz w:val="18"/>
          <w:szCs w:val="18"/>
        </w:rPr>
        <w:t>A quienes sea condenados a prisión por el delito de plagio o secuestro, no podrá concedérseles rebaja de pena por ninguna causa</w:t>
      </w:r>
      <w:r w:rsidRPr="0064597D">
        <w:rPr>
          <w:rStyle w:val="Refdenotaalpie"/>
          <w:rFonts w:cs="Verdana"/>
          <w:sz w:val="18"/>
          <w:szCs w:val="18"/>
        </w:rPr>
        <w:footnoteReference w:id="34"/>
      </w:r>
      <w:r w:rsidRPr="0064597D">
        <w:rPr>
          <w:rFonts w:cs="Verdana"/>
          <w:sz w:val="18"/>
          <w:szCs w:val="18"/>
        </w:rPr>
        <w:t>.</w:t>
      </w:r>
    </w:p>
    <w:p w14:paraId="2A0474A8" w14:textId="77777777" w:rsidR="00B0647D" w:rsidRPr="0064597D" w:rsidRDefault="00B0647D" w:rsidP="00CF077D">
      <w:pPr>
        <w:autoSpaceDE w:val="0"/>
        <w:autoSpaceDN w:val="0"/>
        <w:spacing w:line="240" w:lineRule="auto"/>
        <w:ind w:left="720" w:right="720"/>
        <w:rPr>
          <w:rFonts w:cs="Verdana"/>
          <w:sz w:val="16"/>
          <w:szCs w:val="16"/>
        </w:rPr>
      </w:pPr>
    </w:p>
    <w:p w14:paraId="2D89DD0A" w14:textId="625AA6C3" w:rsidR="00CF077D" w:rsidRPr="0064597D" w:rsidRDefault="00CF077D" w:rsidP="00CF077D">
      <w:pPr>
        <w:numPr>
          <w:ilvl w:val="0"/>
          <w:numId w:val="1"/>
        </w:numPr>
        <w:tabs>
          <w:tab w:val="left" w:pos="567"/>
          <w:tab w:val="num" w:pos="1569"/>
          <w:tab w:val="num" w:pos="12305"/>
        </w:tabs>
        <w:spacing w:line="240" w:lineRule="auto"/>
        <w:ind w:left="0" w:firstLine="0"/>
        <w:rPr>
          <w:rFonts w:cs="Verdana"/>
          <w:sz w:val="20"/>
          <w:szCs w:val="20"/>
        </w:rPr>
      </w:pPr>
      <w:r w:rsidRPr="0064597D">
        <w:rPr>
          <w:rFonts w:cs="Verdana"/>
          <w:sz w:val="20"/>
          <w:szCs w:val="20"/>
        </w:rPr>
        <w:t>El 31 de octubre de 2000 la Corte de Constitucionalidad de</w:t>
      </w:r>
      <w:r w:rsidR="00EF1A1B" w:rsidRPr="0064597D">
        <w:rPr>
          <w:rFonts w:cs="Verdana"/>
          <w:sz w:val="20"/>
          <w:szCs w:val="20"/>
        </w:rPr>
        <w:t xml:space="preserve"> la República de</w:t>
      </w:r>
      <w:r w:rsidRPr="0064597D">
        <w:rPr>
          <w:rFonts w:cs="Verdana"/>
          <w:sz w:val="20"/>
          <w:szCs w:val="20"/>
        </w:rPr>
        <w:t xml:space="preserve"> Guatemala</w:t>
      </w:r>
      <w:r w:rsidR="00EF1A1B" w:rsidRPr="0064597D">
        <w:rPr>
          <w:rFonts w:cs="Verdana"/>
          <w:sz w:val="20"/>
          <w:szCs w:val="20"/>
        </w:rPr>
        <w:t xml:space="preserve"> (en adelante, “Corte de Constitucionalidad”)</w:t>
      </w:r>
      <w:r w:rsidRPr="0064597D">
        <w:rPr>
          <w:rFonts w:cs="Verdana"/>
          <w:sz w:val="20"/>
          <w:szCs w:val="20"/>
        </w:rPr>
        <w:t xml:space="preserve">, en calidad de tribunal extraordinario de amparo, emitió un fallo en el que cuestionó la ampliación de la aplicación de la pena de muerte para el delito de secuestro según la última reforma del Código Penal. Dicho tribunal consideró </w:t>
      </w:r>
      <w:r w:rsidR="00822E28" w:rsidRPr="0064597D">
        <w:rPr>
          <w:rFonts w:cs="Verdana"/>
          <w:sz w:val="20"/>
          <w:szCs w:val="20"/>
        </w:rPr>
        <w:t>lo siguiente</w:t>
      </w:r>
      <w:r w:rsidRPr="0064597D">
        <w:rPr>
          <w:rFonts w:cs="Verdana"/>
          <w:sz w:val="20"/>
          <w:szCs w:val="20"/>
        </w:rPr>
        <w:t xml:space="preserve">: </w:t>
      </w:r>
    </w:p>
    <w:p w14:paraId="1CF19F67" w14:textId="77777777" w:rsidR="00CF077D" w:rsidRPr="0064597D" w:rsidRDefault="00CF077D" w:rsidP="00CF077D">
      <w:pPr>
        <w:autoSpaceDE w:val="0"/>
        <w:autoSpaceDN w:val="0"/>
        <w:spacing w:line="240" w:lineRule="auto"/>
        <w:ind w:left="708"/>
        <w:rPr>
          <w:rFonts w:cs="Verdana"/>
          <w:sz w:val="18"/>
          <w:szCs w:val="18"/>
        </w:rPr>
      </w:pPr>
    </w:p>
    <w:p w14:paraId="7C7CF2EE" w14:textId="3D8761AC" w:rsidR="00CF077D" w:rsidRPr="0064597D" w:rsidRDefault="00B5100E" w:rsidP="00CF077D">
      <w:pPr>
        <w:autoSpaceDE w:val="0"/>
        <w:autoSpaceDN w:val="0"/>
        <w:spacing w:line="240" w:lineRule="auto"/>
        <w:ind w:left="720" w:right="720"/>
        <w:rPr>
          <w:rFonts w:cs="Verdana"/>
          <w:sz w:val="18"/>
          <w:szCs w:val="18"/>
        </w:rPr>
      </w:pPr>
      <w:r>
        <w:rPr>
          <w:rFonts w:cs="Verdana"/>
          <w:sz w:val="18"/>
          <w:szCs w:val="18"/>
        </w:rPr>
        <w:t xml:space="preserve">[…] </w:t>
      </w:r>
      <w:r w:rsidR="00822E28" w:rsidRPr="0064597D">
        <w:rPr>
          <w:rFonts w:cs="Verdana"/>
          <w:sz w:val="18"/>
          <w:szCs w:val="18"/>
        </w:rPr>
        <w:t>[E]</w:t>
      </w:r>
      <w:r w:rsidR="00CF077D" w:rsidRPr="0064597D">
        <w:rPr>
          <w:rFonts w:cs="Verdana"/>
          <w:sz w:val="18"/>
          <w:szCs w:val="18"/>
        </w:rPr>
        <w:t xml:space="preserve">l delito sancionado con pena de muerte en el artículo 201 del Código Penal antes de la vigencia del Pacto de San José era un delito complejo cuyo tipo configuraba dos conductas punibles a) el secuestro de persona y b) la muerte de la víctima. Que un delito (plagio más muerte de la víctima) es un delito distinto del otro (plagio simple) aunque no hubiese variado el </w:t>
      </w:r>
      <w:r w:rsidR="00CF077D" w:rsidRPr="0064597D">
        <w:rPr>
          <w:rFonts w:cs="Verdana"/>
          <w:i/>
          <w:sz w:val="18"/>
          <w:szCs w:val="18"/>
        </w:rPr>
        <w:t>nomen</w:t>
      </w:r>
      <w:r w:rsidR="00CF077D" w:rsidRPr="0064597D">
        <w:rPr>
          <w:rFonts w:cs="Verdana"/>
          <w:sz w:val="18"/>
          <w:szCs w:val="18"/>
        </w:rPr>
        <w:t xml:space="preserve">, pues en el primero se perfila la protección del bien jurídico superior: la vida. En cambio, </w:t>
      </w:r>
      <w:r w:rsidR="00CF077D" w:rsidRPr="0064597D">
        <w:rPr>
          <w:rFonts w:cs="Verdana"/>
          <w:sz w:val="18"/>
          <w:szCs w:val="18"/>
        </w:rPr>
        <w:lastRenderedPageBreak/>
        <w:t>en el otro, el bien protegido es la libertad individual [...]. El delito de secuestro o plagio no seguido de muerte de la víctima no tuvo prevista pena de muerte en el artículo 201 del Código Penal vigente al momento en que la Convención Americana sobre Derechos Humanos vinculó normativamente al Estado de Guatemala</w:t>
      </w:r>
      <w:r w:rsidR="00CF077D" w:rsidRPr="0064597D">
        <w:rPr>
          <w:rStyle w:val="Refdenotaalpie"/>
          <w:rFonts w:cs="Verdana"/>
          <w:sz w:val="18"/>
          <w:szCs w:val="18"/>
        </w:rPr>
        <w:footnoteReference w:id="35"/>
      </w:r>
      <w:r w:rsidR="00CF077D" w:rsidRPr="0064597D">
        <w:rPr>
          <w:rFonts w:cs="Verdana"/>
          <w:sz w:val="18"/>
          <w:szCs w:val="18"/>
        </w:rPr>
        <w:t>.</w:t>
      </w:r>
    </w:p>
    <w:p w14:paraId="60807D5C" w14:textId="77777777" w:rsidR="00CF077D" w:rsidRPr="0064597D" w:rsidRDefault="00CF077D" w:rsidP="00EE5F9B">
      <w:pPr>
        <w:spacing w:line="240" w:lineRule="auto"/>
        <w:rPr>
          <w:i/>
          <w:sz w:val="20"/>
          <w:szCs w:val="20"/>
        </w:rPr>
      </w:pPr>
    </w:p>
    <w:p w14:paraId="3C5617A7" w14:textId="1EDFCA4E" w:rsidR="00CF077D" w:rsidRPr="0064597D" w:rsidRDefault="00B0647D" w:rsidP="00EE5F9B">
      <w:pPr>
        <w:numPr>
          <w:ilvl w:val="0"/>
          <w:numId w:val="1"/>
        </w:numPr>
        <w:tabs>
          <w:tab w:val="left" w:pos="567"/>
          <w:tab w:val="num" w:pos="1569"/>
          <w:tab w:val="num" w:pos="12305"/>
        </w:tabs>
        <w:spacing w:line="240" w:lineRule="auto"/>
        <w:ind w:left="0" w:firstLine="0"/>
        <w:rPr>
          <w:rFonts w:cs="Verdana"/>
          <w:sz w:val="20"/>
          <w:szCs w:val="20"/>
        </w:rPr>
      </w:pPr>
      <w:r w:rsidRPr="0064597D">
        <w:rPr>
          <w:rFonts w:cs="Verdana"/>
          <w:sz w:val="20"/>
          <w:szCs w:val="20"/>
        </w:rPr>
        <w:t>El 4 de julio de 2001 l</w:t>
      </w:r>
      <w:r w:rsidR="00CF077D" w:rsidRPr="0064597D">
        <w:rPr>
          <w:rFonts w:cs="Verdana"/>
          <w:sz w:val="20"/>
          <w:szCs w:val="20"/>
        </w:rPr>
        <w:t xml:space="preserve">a Corte de Constitucionalidad cambió de criterio en la sentencia que emitió con ocasión del recurso de amparo interpuesto por el señor </w:t>
      </w:r>
      <w:r w:rsidR="008A0097" w:rsidRPr="0064597D">
        <w:rPr>
          <w:rFonts w:cs="Verdana"/>
          <w:sz w:val="20"/>
          <w:szCs w:val="20"/>
        </w:rPr>
        <w:t>Ruiz Fuentes</w:t>
      </w:r>
      <w:r w:rsidR="008A0097" w:rsidRPr="0064597D">
        <w:rPr>
          <w:rStyle w:val="Refdenotaalpie"/>
          <w:rFonts w:cs="Verdana"/>
          <w:sz w:val="20"/>
          <w:szCs w:val="20"/>
        </w:rPr>
        <w:footnoteReference w:id="36"/>
      </w:r>
      <w:r w:rsidR="00CF077D" w:rsidRPr="0064597D">
        <w:rPr>
          <w:rFonts w:cs="Verdana"/>
          <w:sz w:val="20"/>
          <w:szCs w:val="20"/>
        </w:rPr>
        <w:t xml:space="preserve">. Dicha Corte señaló, </w:t>
      </w:r>
      <w:r w:rsidR="00CF077D" w:rsidRPr="0064597D">
        <w:rPr>
          <w:rFonts w:cs="Verdana"/>
          <w:i/>
          <w:iCs/>
          <w:sz w:val="20"/>
          <w:szCs w:val="20"/>
        </w:rPr>
        <w:t>inter alia</w:t>
      </w:r>
      <w:r w:rsidR="00CF077D" w:rsidRPr="0064597D">
        <w:rPr>
          <w:rFonts w:cs="Verdana"/>
          <w:sz w:val="20"/>
          <w:szCs w:val="20"/>
        </w:rPr>
        <w:t>, que “</w:t>
      </w:r>
      <w:r w:rsidR="00EE5F9B" w:rsidRPr="0064597D">
        <w:rPr>
          <w:rFonts w:cs="Verdana"/>
          <w:sz w:val="20"/>
          <w:szCs w:val="20"/>
        </w:rPr>
        <w:t>lo que el legislador ha realizado en las reformas […] es extender la aplicación de la pena –</w:t>
      </w:r>
      <w:r w:rsidR="00162B86" w:rsidRPr="0064597D">
        <w:rPr>
          <w:rFonts w:cs="Verdana"/>
          <w:sz w:val="20"/>
          <w:szCs w:val="20"/>
        </w:rPr>
        <w:t xml:space="preserve"> </w:t>
      </w:r>
      <w:r w:rsidR="00EE5F9B" w:rsidRPr="0064597D">
        <w:rPr>
          <w:rFonts w:cs="Verdana"/>
          <w:sz w:val="20"/>
          <w:szCs w:val="20"/>
        </w:rPr>
        <w:t>en este caso</w:t>
      </w:r>
      <w:r w:rsidR="00162B86" w:rsidRPr="0064597D">
        <w:rPr>
          <w:rFonts w:cs="Verdana"/>
          <w:sz w:val="20"/>
          <w:szCs w:val="20"/>
        </w:rPr>
        <w:t>,</w:t>
      </w:r>
      <w:r w:rsidR="00EE5F9B" w:rsidRPr="0064597D">
        <w:rPr>
          <w:rFonts w:cs="Verdana"/>
          <w:sz w:val="20"/>
          <w:szCs w:val="20"/>
        </w:rPr>
        <w:t xml:space="preserve"> la de muerte – atendiendo al criterio de autoría de las personas que cometen el delito de secuestro, extensión que no prohíbe la Convención [Americana] en su artículo 4 numeral 2 por tratarse de un mismo delito y no extenderse la aplicación de dicha pena a otros ilícitos penales que en la fecha de inicio de la vigencia de dicha Convención no tuvieren contemplada tal pena</w:t>
      </w:r>
      <w:r w:rsidR="00CF077D" w:rsidRPr="0064597D">
        <w:rPr>
          <w:rFonts w:cs="Verdana"/>
          <w:sz w:val="20"/>
          <w:szCs w:val="20"/>
        </w:rPr>
        <w:t>”</w:t>
      </w:r>
      <w:r w:rsidR="00CF077D" w:rsidRPr="0064597D">
        <w:rPr>
          <w:rStyle w:val="Refdenotaalpie"/>
          <w:rFonts w:cs="Verdana"/>
          <w:sz w:val="20"/>
          <w:szCs w:val="20"/>
        </w:rPr>
        <w:footnoteReference w:id="37"/>
      </w:r>
      <w:r w:rsidR="00CF077D" w:rsidRPr="0064597D">
        <w:rPr>
          <w:rFonts w:cs="Verdana"/>
          <w:sz w:val="20"/>
          <w:szCs w:val="20"/>
        </w:rPr>
        <w:t xml:space="preserve">. </w:t>
      </w:r>
    </w:p>
    <w:p w14:paraId="4DD6245B" w14:textId="77777777" w:rsidR="00CF077D" w:rsidRPr="0064597D" w:rsidRDefault="00CF077D" w:rsidP="00EE5F9B">
      <w:pPr>
        <w:spacing w:line="240" w:lineRule="auto"/>
        <w:rPr>
          <w:i/>
          <w:sz w:val="20"/>
          <w:szCs w:val="20"/>
        </w:rPr>
      </w:pPr>
    </w:p>
    <w:p w14:paraId="5ED149EF" w14:textId="7C0E072D" w:rsidR="00B0647D" w:rsidRPr="0064597D" w:rsidRDefault="00B0647D" w:rsidP="00B0647D">
      <w:pPr>
        <w:numPr>
          <w:ilvl w:val="0"/>
          <w:numId w:val="1"/>
        </w:numPr>
        <w:tabs>
          <w:tab w:val="left" w:pos="567"/>
          <w:tab w:val="num" w:pos="1569"/>
          <w:tab w:val="num" w:pos="12305"/>
        </w:tabs>
        <w:spacing w:line="240" w:lineRule="auto"/>
        <w:ind w:left="0" w:firstLine="0"/>
        <w:rPr>
          <w:rFonts w:eastAsia="Calibri" w:cs="Arial"/>
          <w:bCs/>
          <w:sz w:val="20"/>
          <w:szCs w:val="20"/>
          <w:lang w:val="es-ES_tradnl" w:eastAsia="en-US"/>
        </w:rPr>
      </w:pPr>
      <w:r w:rsidRPr="0064597D">
        <w:rPr>
          <w:rFonts w:eastAsia="Calibri" w:cs="Arial"/>
          <w:bCs/>
          <w:sz w:val="20"/>
          <w:szCs w:val="20"/>
          <w:lang w:val="es-ES_tradnl" w:eastAsia="en-US"/>
        </w:rPr>
        <w:t xml:space="preserve">El 24 de octubre de 2017 la Corte de Constitucionalidad, con base, </w:t>
      </w:r>
      <w:r w:rsidRPr="0064597D">
        <w:rPr>
          <w:rFonts w:eastAsia="Calibri" w:cs="Arial"/>
          <w:bCs/>
          <w:i/>
          <w:sz w:val="20"/>
          <w:szCs w:val="20"/>
          <w:lang w:val="es-ES_tradnl" w:eastAsia="en-US"/>
        </w:rPr>
        <w:t>inter alia</w:t>
      </w:r>
      <w:r w:rsidRPr="0064597D">
        <w:rPr>
          <w:rFonts w:eastAsia="Calibri" w:cs="Arial"/>
          <w:bCs/>
          <w:sz w:val="20"/>
          <w:szCs w:val="20"/>
          <w:lang w:val="es-ES_tradnl" w:eastAsia="en-US"/>
        </w:rPr>
        <w:t xml:space="preserve">, en lo declarado </w:t>
      </w:r>
      <w:r w:rsidRPr="0064597D">
        <w:rPr>
          <w:sz w:val="20"/>
          <w:szCs w:val="20"/>
        </w:rPr>
        <w:t>por</w:t>
      </w:r>
      <w:r w:rsidRPr="0064597D">
        <w:rPr>
          <w:rFonts w:eastAsia="Calibri" w:cs="Arial"/>
          <w:bCs/>
          <w:sz w:val="20"/>
          <w:szCs w:val="20"/>
          <w:lang w:val="es-ES_tradnl" w:eastAsia="en-US"/>
        </w:rPr>
        <w:t xml:space="preserve"> la Corte en el caso </w:t>
      </w:r>
      <w:r w:rsidRPr="0064597D">
        <w:rPr>
          <w:rFonts w:eastAsia="Calibri" w:cs="Arial"/>
          <w:bCs/>
          <w:i/>
          <w:sz w:val="20"/>
          <w:szCs w:val="20"/>
          <w:lang w:val="es-ES_tradnl" w:eastAsia="en-US"/>
        </w:rPr>
        <w:t>Raxcacó Reyes Vs. Guatemala</w:t>
      </w:r>
      <w:r w:rsidRPr="0064597D">
        <w:rPr>
          <w:rStyle w:val="Refdenotaalpie"/>
          <w:rFonts w:eastAsia="Calibri" w:cs="Arial"/>
          <w:bCs/>
          <w:sz w:val="20"/>
          <w:szCs w:val="20"/>
          <w:lang w:val="es-ES_tradnl" w:eastAsia="en-US"/>
        </w:rPr>
        <w:footnoteReference w:id="38"/>
      </w:r>
      <w:r w:rsidRPr="0064597D">
        <w:rPr>
          <w:rFonts w:eastAsia="Calibri" w:cs="Arial"/>
          <w:bCs/>
          <w:sz w:val="20"/>
          <w:szCs w:val="20"/>
          <w:lang w:val="es-ES_tradnl" w:eastAsia="en-US"/>
        </w:rPr>
        <w:t>, declaró inconstitucional el citado artículo 201 al considerar que configuraba una obvia violación al artículo 4, numeral 2, de la Convención Americana sobre Derechos Humanos</w:t>
      </w:r>
      <w:r w:rsidRPr="0064597D">
        <w:rPr>
          <w:rStyle w:val="Refdenotaalpie"/>
          <w:rFonts w:eastAsia="Calibri" w:cs="Arial"/>
          <w:bCs/>
          <w:sz w:val="20"/>
          <w:szCs w:val="20"/>
          <w:lang w:val="es-ES_tradnl" w:eastAsia="en-US"/>
        </w:rPr>
        <w:footnoteReference w:id="39"/>
      </w:r>
      <w:r w:rsidRPr="0064597D">
        <w:rPr>
          <w:rFonts w:eastAsia="Calibri" w:cs="Arial"/>
          <w:bCs/>
          <w:sz w:val="20"/>
          <w:szCs w:val="20"/>
          <w:lang w:val="es-ES_tradnl" w:eastAsia="en-US"/>
        </w:rPr>
        <w:t xml:space="preserve">. </w:t>
      </w:r>
    </w:p>
    <w:p w14:paraId="1BEAA038" w14:textId="77777777" w:rsidR="00B0647D" w:rsidRPr="0064597D" w:rsidRDefault="00B0647D" w:rsidP="00B0647D">
      <w:pPr>
        <w:tabs>
          <w:tab w:val="left" w:pos="567"/>
        </w:tabs>
        <w:spacing w:line="240" w:lineRule="auto"/>
        <w:rPr>
          <w:rFonts w:eastAsia="Calibri" w:cs="Arial"/>
          <w:bCs/>
          <w:sz w:val="20"/>
          <w:szCs w:val="20"/>
          <w:lang w:val="es-ES_tradnl" w:eastAsia="en-US"/>
        </w:rPr>
      </w:pPr>
    </w:p>
    <w:p w14:paraId="2F1923A0" w14:textId="0A60E416" w:rsidR="00DC4F9C" w:rsidRPr="0064597D" w:rsidRDefault="00B0647D" w:rsidP="00DC4F9C">
      <w:pPr>
        <w:numPr>
          <w:ilvl w:val="0"/>
          <w:numId w:val="1"/>
        </w:numPr>
        <w:tabs>
          <w:tab w:val="left" w:pos="567"/>
          <w:tab w:val="num" w:pos="1569"/>
          <w:tab w:val="num" w:pos="12305"/>
        </w:tabs>
        <w:spacing w:line="240" w:lineRule="auto"/>
        <w:ind w:left="0" w:firstLine="0"/>
        <w:rPr>
          <w:rFonts w:eastAsia="Calibri" w:cs="Arial"/>
          <w:bCs/>
          <w:sz w:val="20"/>
          <w:szCs w:val="20"/>
          <w:lang w:val="es-ES_tradnl" w:eastAsia="en-US"/>
        </w:rPr>
      </w:pPr>
      <w:r w:rsidRPr="0064597D">
        <w:rPr>
          <w:sz w:val="20"/>
          <w:szCs w:val="20"/>
        </w:rPr>
        <w:t>Por otro lado, el 1 de junio de 2000</w:t>
      </w:r>
      <w:r w:rsidR="00EE5F9B" w:rsidRPr="0064597D">
        <w:rPr>
          <w:sz w:val="20"/>
          <w:szCs w:val="20"/>
        </w:rPr>
        <w:t xml:space="preserve"> el Congreso de Guatemala derogó </w:t>
      </w:r>
      <w:r w:rsidRPr="0064597D">
        <w:rPr>
          <w:sz w:val="20"/>
          <w:szCs w:val="20"/>
        </w:rPr>
        <w:t>mediante Decreto Legislativo No. 32/00</w:t>
      </w:r>
      <w:r w:rsidR="00162B86" w:rsidRPr="0064597D">
        <w:rPr>
          <w:sz w:val="20"/>
          <w:szCs w:val="20"/>
        </w:rPr>
        <w:t xml:space="preserve"> </w:t>
      </w:r>
      <w:r w:rsidR="00EE5F9B" w:rsidRPr="0064597D">
        <w:rPr>
          <w:sz w:val="20"/>
          <w:szCs w:val="20"/>
        </w:rPr>
        <w:t xml:space="preserve">el Decreto No. 159 del año </w:t>
      </w:r>
      <w:r w:rsidR="00EE5F9B" w:rsidRPr="0064597D">
        <w:rPr>
          <w:rFonts w:cs="Verdana"/>
          <w:sz w:val="20"/>
          <w:szCs w:val="20"/>
        </w:rPr>
        <w:t>1892</w:t>
      </w:r>
      <w:r w:rsidR="00BD0C3A" w:rsidRPr="0064597D">
        <w:rPr>
          <w:sz w:val="20"/>
          <w:szCs w:val="20"/>
          <w:vertAlign w:val="superscript"/>
          <w:lang w:val="es-VE"/>
        </w:rPr>
        <w:footnoteReference w:id="40"/>
      </w:r>
      <w:r w:rsidR="00EE5F9B" w:rsidRPr="0064597D">
        <w:rPr>
          <w:sz w:val="20"/>
          <w:szCs w:val="20"/>
        </w:rPr>
        <w:t>, el cual contemplaba la facultad del Ejecutivo para conceder indulto o conmutación de la pena y reglamentaba el procedimiento para hacer efectivo tal derecho</w:t>
      </w:r>
      <w:r w:rsidR="00EE5F9B" w:rsidRPr="0064597D">
        <w:rPr>
          <w:rStyle w:val="Refdenotaalpie"/>
          <w:sz w:val="20"/>
          <w:szCs w:val="20"/>
        </w:rPr>
        <w:footnoteReference w:id="41"/>
      </w:r>
      <w:r w:rsidR="00EE5F9B" w:rsidRPr="0064597D">
        <w:rPr>
          <w:sz w:val="20"/>
          <w:szCs w:val="20"/>
        </w:rPr>
        <w:t xml:space="preserve">. </w:t>
      </w:r>
    </w:p>
    <w:p w14:paraId="70305861" w14:textId="1D352CCB" w:rsidR="00072585" w:rsidRPr="0064597D" w:rsidRDefault="00072585" w:rsidP="00072585">
      <w:pPr>
        <w:pStyle w:val="Ttulo2"/>
      </w:pPr>
      <w:bookmarkStart w:id="47" w:name="_Toc24014541"/>
      <w:r w:rsidRPr="0064597D">
        <w:t>B.</w:t>
      </w:r>
      <w:r w:rsidRPr="0064597D">
        <w:tab/>
        <w:t>Detención del señor Ruiz Fuentes y alegatos de tortura</w:t>
      </w:r>
      <w:bookmarkEnd w:id="47"/>
    </w:p>
    <w:p w14:paraId="753EFA74" w14:textId="1A4406C2" w:rsidR="0047390F" w:rsidRPr="0064597D" w:rsidRDefault="00A2004B" w:rsidP="0047390F">
      <w:pPr>
        <w:numPr>
          <w:ilvl w:val="0"/>
          <w:numId w:val="1"/>
        </w:numPr>
        <w:tabs>
          <w:tab w:val="left" w:pos="567"/>
          <w:tab w:val="num" w:pos="1569"/>
          <w:tab w:val="num" w:pos="12305"/>
        </w:tabs>
        <w:spacing w:line="240" w:lineRule="auto"/>
        <w:ind w:left="0" w:firstLine="0"/>
        <w:rPr>
          <w:sz w:val="20"/>
          <w:szCs w:val="20"/>
        </w:rPr>
      </w:pPr>
      <w:r w:rsidRPr="0064597D">
        <w:rPr>
          <w:sz w:val="20"/>
          <w:szCs w:val="20"/>
        </w:rPr>
        <w:t>El 6 de agosto de 1997</w:t>
      </w:r>
      <w:r w:rsidR="007B52B0" w:rsidRPr="0064597D">
        <w:rPr>
          <w:sz w:val="20"/>
          <w:szCs w:val="20"/>
        </w:rPr>
        <w:t xml:space="preserve"> el comisario </w:t>
      </w:r>
      <w:r w:rsidR="00B07AF4" w:rsidRPr="0064597D">
        <w:rPr>
          <w:sz w:val="20"/>
          <w:szCs w:val="20"/>
        </w:rPr>
        <w:t xml:space="preserve">V.S.D. </w:t>
      </w:r>
      <w:r w:rsidR="007B52B0" w:rsidRPr="0064597D">
        <w:rPr>
          <w:sz w:val="20"/>
          <w:szCs w:val="20"/>
        </w:rPr>
        <w:t xml:space="preserve">y otros agentes de la Sección Antisecuestros y Extorsiones de la </w:t>
      </w:r>
      <w:r w:rsidR="00B5100E">
        <w:rPr>
          <w:sz w:val="20"/>
          <w:szCs w:val="20"/>
        </w:rPr>
        <w:t xml:space="preserve">Policía Nacional Civil (en adelante, “Policía Nacional” o “PNC”) </w:t>
      </w:r>
      <w:r w:rsidR="007B52B0" w:rsidRPr="0064597D">
        <w:rPr>
          <w:sz w:val="20"/>
          <w:szCs w:val="20"/>
        </w:rPr>
        <w:t xml:space="preserve">y de la Fuerza de Reacción Inmediata, detuvieron </w:t>
      </w:r>
      <w:r w:rsidR="00B731B7" w:rsidRPr="0064597D">
        <w:rPr>
          <w:sz w:val="20"/>
          <w:szCs w:val="20"/>
        </w:rPr>
        <w:t>al</w:t>
      </w:r>
      <w:r w:rsidR="007B52B0" w:rsidRPr="0064597D">
        <w:rPr>
          <w:sz w:val="20"/>
          <w:szCs w:val="20"/>
        </w:rPr>
        <w:t xml:space="preserve"> señor Ruiz Fuentes junto con</w:t>
      </w:r>
      <w:r w:rsidRPr="0064597D">
        <w:rPr>
          <w:sz w:val="20"/>
          <w:szCs w:val="20"/>
        </w:rPr>
        <w:t xml:space="preserve"> </w:t>
      </w:r>
      <w:r w:rsidR="00FC40ED" w:rsidRPr="0064597D">
        <w:rPr>
          <w:sz w:val="20"/>
          <w:szCs w:val="20"/>
        </w:rPr>
        <w:t xml:space="preserve">otras </w:t>
      </w:r>
      <w:r w:rsidRPr="0064597D">
        <w:rPr>
          <w:sz w:val="20"/>
          <w:szCs w:val="20"/>
        </w:rPr>
        <w:t>cuatro personas</w:t>
      </w:r>
      <w:r w:rsidR="00A10969" w:rsidRPr="0064597D">
        <w:rPr>
          <w:sz w:val="20"/>
          <w:szCs w:val="20"/>
        </w:rPr>
        <w:t xml:space="preserve"> en el marco de una operación de rescate a un menor que había sido sustraído el día anterior</w:t>
      </w:r>
      <w:r w:rsidRPr="0064597D">
        <w:rPr>
          <w:rStyle w:val="Refdenotaalpie"/>
          <w:sz w:val="20"/>
          <w:szCs w:val="20"/>
        </w:rPr>
        <w:footnoteReference w:id="42"/>
      </w:r>
      <w:r w:rsidR="007B52B0" w:rsidRPr="0064597D">
        <w:rPr>
          <w:sz w:val="20"/>
          <w:szCs w:val="20"/>
        </w:rPr>
        <w:t xml:space="preserve">. </w:t>
      </w:r>
      <w:r w:rsidR="00EA5D83" w:rsidRPr="0064597D">
        <w:rPr>
          <w:sz w:val="20"/>
          <w:szCs w:val="20"/>
        </w:rPr>
        <w:t xml:space="preserve">El lugar, </w:t>
      </w:r>
      <w:r w:rsidR="0047390F" w:rsidRPr="0064597D">
        <w:rPr>
          <w:sz w:val="20"/>
          <w:szCs w:val="20"/>
        </w:rPr>
        <w:t>forma y momento de la detención están en contr</w:t>
      </w:r>
      <w:r w:rsidR="00903C53" w:rsidRPr="0064597D">
        <w:rPr>
          <w:sz w:val="20"/>
          <w:szCs w:val="20"/>
        </w:rPr>
        <w:t>o</w:t>
      </w:r>
      <w:r w:rsidR="0047390F" w:rsidRPr="0064597D">
        <w:rPr>
          <w:sz w:val="20"/>
          <w:szCs w:val="20"/>
        </w:rPr>
        <w:t>versia.</w:t>
      </w:r>
    </w:p>
    <w:p w14:paraId="688A034C" w14:textId="77777777" w:rsidR="00377181" w:rsidRPr="0064597D" w:rsidRDefault="00377181" w:rsidP="00377181">
      <w:pPr>
        <w:tabs>
          <w:tab w:val="left" w:pos="567"/>
        </w:tabs>
        <w:spacing w:line="240" w:lineRule="auto"/>
        <w:rPr>
          <w:sz w:val="20"/>
          <w:szCs w:val="20"/>
        </w:rPr>
      </w:pPr>
    </w:p>
    <w:p w14:paraId="5154A223" w14:textId="3EC40E41" w:rsidR="00AC6BF2" w:rsidRPr="0064597D" w:rsidRDefault="0047390F" w:rsidP="0047390F">
      <w:pPr>
        <w:numPr>
          <w:ilvl w:val="0"/>
          <w:numId w:val="1"/>
        </w:numPr>
        <w:tabs>
          <w:tab w:val="left" w:pos="567"/>
          <w:tab w:val="num" w:pos="1569"/>
          <w:tab w:val="num" w:pos="12305"/>
        </w:tabs>
        <w:spacing w:line="240" w:lineRule="auto"/>
        <w:ind w:left="0" w:firstLine="0"/>
        <w:rPr>
          <w:sz w:val="20"/>
          <w:szCs w:val="20"/>
        </w:rPr>
      </w:pPr>
      <w:r w:rsidRPr="0064597D">
        <w:rPr>
          <w:sz w:val="20"/>
          <w:szCs w:val="20"/>
        </w:rPr>
        <w:t>Según Oficio No. 4325-97, emitido por el Departamento de Investigaciones Criminológicas, l</w:t>
      </w:r>
      <w:r w:rsidR="00A2004B" w:rsidRPr="0064597D">
        <w:rPr>
          <w:sz w:val="20"/>
          <w:szCs w:val="20"/>
        </w:rPr>
        <w:t xml:space="preserve">a detención se produjo como consecuencia de varias </w:t>
      </w:r>
      <w:r w:rsidR="007B52B0" w:rsidRPr="0064597D">
        <w:rPr>
          <w:sz w:val="20"/>
          <w:szCs w:val="20"/>
        </w:rPr>
        <w:t xml:space="preserve">llamadas </w:t>
      </w:r>
      <w:r w:rsidR="00A2004B" w:rsidRPr="0064597D">
        <w:rPr>
          <w:sz w:val="20"/>
          <w:szCs w:val="20"/>
        </w:rPr>
        <w:t>recibidas que indicaban</w:t>
      </w:r>
      <w:r w:rsidR="007B52B0" w:rsidRPr="0064597D">
        <w:rPr>
          <w:sz w:val="20"/>
          <w:szCs w:val="20"/>
        </w:rPr>
        <w:t xml:space="preserve"> que </w:t>
      </w:r>
      <w:r w:rsidR="00A2004B" w:rsidRPr="0064597D">
        <w:rPr>
          <w:sz w:val="20"/>
          <w:szCs w:val="20"/>
        </w:rPr>
        <w:t>estas personas tenían secuestrada posiblemente a un niño de diez años de edad</w:t>
      </w:r>
      <w:r w:rsidR="00A2004B" w:rsidRPr="0064597D">
        <w:rPr>
          <w:rStyle w:val="Refdenotaalpie"/>
          <w:sz w:val="20"/>
          <w:szCs w:val="20"/>
        </w:rPr>
        <w:footnoteReference w:id="43"/>
      </w:r>
      <w:r w:rsidR="007B52B0" w:rsidRPr="0064597D">
        <w:rPr>
          <w:sz w:val="20"/>
          <w:szCs w:val="20"/>
        </w:rPr>
        <w:t xml:space="preserve">. </w:t>
      </w:r>
      <w:r w:rsidRPr="0064597D">
        <w:rPr>
          <w:sz w:val="20"/>
          <w:szCs w:val="20"/>
        </w:rPr>
        <w:t>El oficio también ind</w:t>
      </w:r>
      <w:r w:rsidR="00903C53" w:rsidRPr="0064597D">
        <w:rPr>
          <w:sz w:val="20"/>
          <w:szCs w:val="20"/>
        </w:rPr>
        <w:t>i</w:t>
      </w:r>
      <w:r w:rsidRPr="0064597D">
        <w:rPr>
          <w:sz w:val="20"/>
          <w:szCs w:val="20"/>
        </w:rPr>
        <w:t>caba que m</w:t>
      </w:r>
      <w:r w:rsidR="002632BC" w:rsidRPr="0064597D">
        <w:rPr>
          <w:sz w:val="20"/>
          <w:szCs w:val="20"/>
        </w:rPr>
        <w:t xml:space="preserve">iembros </w:t>
      </w:r>
      <w:r w:rsidR="00AC6BF2" w:rsidRPr="0064597D">
        <w:rPr>
          <w:sz w:val="20"/>
          <w:szCs w:val="20"/>
        </w:rPr>
        <w:t>del servicio de la Sección de Antisecuestros y Extorsiones de la Policía Nacional y de la Fuerza de Reacción Inmediata (FRI)</w:t>
      </w:r>
      <w:r w:rsidR="007B52B0" w:rsidRPr="0064597D">
        <w:rPr>
          <w:sz w:val="20"/>
          <w:szCs w:val="20"/>
        </w:rPr>
        <w:t xml:space="preserve"> se presentaron a las 20:30 horas</w:t>
      </w:r>
      <w:r w:rsidRPr="0064597D">
        <w:rPr>
          <w:sz w:val="20"/>
          <w:szCs w:val="20"/>
        </w:rPr>
        <w:t xml:space="preserve"> en el domicilio y, c</w:t>
      </w:r>
      <w:r w:rsidR="00A67FA4" w:rsidRPr="0064597D">
        <w:rPr>
          <w:sz w:val="20"/>
          <w:szCs w:val="20"/>
        </w:rPr>
        <w:t>u</w:t>
      </w:r>
      <w:r w:rsidR="007B52B0" w:rsidRPr="0064597D">
        <w:rPr>
          <w:sz w:val="20"/>
          <w:szCs w:val="20"/>
        </w:rPr>
        <w:t>ando se procedía</w:t>
      </w:r>
      <w:r w:rsidRPr="0064597D">
        <w:rPr>
          <w:sz w:val="20"/>
          <w:szCs w:val="20"/>
        </w:rPr>
        <w:t>n</w:t>
      </w:r>
      <w:r w:rsidR="007B52B0" w:rsidRPr="0064597D">
        <w:rPr>
          <w:sz w:val="20"/>
          <w:szCs w:val="20"/>
        </w:rPr>
        <w:t xml:space="preserve"> a rodear la casa</w:t>
      </w:r>
      <w:r w:rsidR="00B5100E">
        <w:rPr>
          <w:sz w:val="20"/>
          <w:szCs w:val="20"/>
        </w:rPr>
        <w:t>,</w:t>
      </w:r>
      <w:r w:rsidR="007B52B0" w:rsidRPr="0064597D">
        <w:rPr>
          <w:sz w:val="20"/>
          <w:szCs w:val="20"/>
        </w:rPr>
        <w:t xml:space="preserve"> los señores </w:t>
      </w:r>
      <w:r w:rsidR="008F01D8" w:rsidRPr="0064597D">
        <w:rPr>
          <w:sz w:val="20"/>
          <w:szCs w:val="20"/>
        </w:rPr>
        <w:t xml:space="preserve">Ronald Ernesto </w:t>
      </w:r>
      <w:r w:rsidR="007B52B0" w:rsidRPr="0064597D">
        <w:rPr>
          <w:sz w:val="20"/>
          <w:szCs w:val="20"/>
        </w:rPr>
        <w:t>Raxcacó Reyes y Ruiz Fuentes gritaron “</w:t>
      </w:r>
      <w:r w:rsidR="002632BC" w:rsidRPr="0064597D">
        <w:rPr>
          <w:sz w:val="20"/>
          <w:szCs w:val="20"/>
        </w:rPr>
        <w:t>[ahí]</w:t>
      </w:r>
      <w:r w:rsidR="007B52B0" w:rsidRPr="0064597D">
        <w:rPr>
          <w:sz w:val="20"/>
          <w:szCs w:val="20"/>
        </w:rPr>
        <w:t xml:space="preserve"> viene la Policía” y escalaron una pared de aproximadamente 8 metros de altura</w:t>
      </w:r>
      <w:r w:rsidR="00AC6BF2" w:rsidRPr="0064597D">
        <w:rPr>
          <w:sz w:val="20"/>
          <w:szCs w:val="20"/>
        </w:rPr>
        <w:t xml:space="preserve">, </w:t>
      </w:r>
      <w:r w:rsidR="00AC6BF2" w:rsidRPr="0064597D">
        <w:rPr>
          <w:sz w:val="20"/>
          <w:szCs w:val="20"/>
        </w:rPr>
        <w:lastRenderedPageBreak/>
        <w:t>mientras el señor Raxcacó Reyes llevaba al niño en brazos</w:t>
      </w:r>
      <w:r w:rsidR="002632BC" w:rsidRPr="0064597D">
        <w:rPr>
          <w:rStyle w:val="Refdenotaalpie"/>
          <w:sz w:val="20"/>
          <w:szCs w:val="20"/>
        </w:rPr>
        <w:footnoteReference w:id="44"/>
      </w:r>
      <w:r w:rsidR="007B52B0" w:rsidRPr="0064597D">
        <w:rPr>
          <w:sz w:val="20"/>
          <w:szCs w:val="20"/>
        </w:rPr>
        <w:t xml:space="preserve">. </w:t>
      </w:r>
      <w:r w:rsidRPr="0064597D">
        <w:rPr>
          <w:sz w:val="20"/>
          <w:szCs w:val="20"/>
        </w:rPr>
        <w:t>U</w:t>
      </w:r>
      <w:r w:rsidR="00AC6BF2" w:rsidRPr="0064597D">
        <w:rPr>
          <w:sz w:val="20"/>
          <w:szCs w:val="20"/>
        </w:rPr>
        <w:t>na vez escalaron la pared, se lanzaron a un terreno</w:t>
      </w:r>
      <w:r w:rsidR="002632BC" w:rsidRPr="0064597D">
        <w:rPr>
          <w:sz w:val="20"/>
          <w:szCs w:val="20"/>
        </w:rPr>
        <w:t xml:space="preserve"> </w:t>
      </w:r>
      <w:r w:rsidR="00AC6BF2" w:rsidRPr="0064597D">
        <w:rPr>
          <w:sz w:val="20"/>
          <w:szCs w:val="20"/>
        </w:rPr>
        <w:t xml:space="preserve">baldío, momento en el que fueron detenidos. </w:t>
      </w:r>
    </w:p>
    <w:p w14:paraId="36DCF21B" w14:textId="77777777" w:rsidR="00AC6BF2" w:rsidRPr="0064597D" w:rsidRDefault="00AC6BF2" w:rsidP="00AC6BF2">
      <w:pPr>
        <w:tabs>
          <w:tab w:val="left" w:pos="567"/>
        </w:tabs>
        <w:spacing w:line="240" w:lineRule="auto"/>
        <w:rPr>
          <w:sz w:val="20"/>
          <w:szCs w:val="20"/>
        </w:rPr>
      </w:pPr>
      <w:r w:rsidRPr="0064597D">
        <w:rPr>
          <w:sz w:val="20"/>
          <w:szCs w:val="20"/>
        </w:rPr>
        <w:t xml:space="preserve"> </w:t>
      </w:r>
    </w:p>
    <w:p w14:paraId="5540C408" w14:textId="12C62FD8" w:rsidR="007B52B0" w:rsidRPr="0064597D" w:rsidRDefault="00472CF9" w:rsidP="002632BC">
      <w:pPr>
        <w:numPr>
          <w:ilvl w:val="0"/>
          <w:numId w:val="1"/>
        </w:numPr>
        <w:tabs>
          <w:tab w:val="left" w:pos="567"/>
          <w:tab w:val="num" w:pos="1569"/>
          <w:tab w:val="num" w:pos="12305"/>
        </w:tabs>
        <w:spacing w:line="240" w:lineRule="auto"/>
        <w:ind w:left="0" w:firstLine="0"/>
        <w:rPr>
          <w:sz w:val="20"/>
          <w:szCs w:val="20"/>
        </w:rPr>
      </w:pPr>
      <w:r w:rsidRPr="0064597D">
        <w:rPr>
          <w:sz w:val="20"/>
          <w:szCs w:val="20"/>
        </w:rPr>
        <w:t>El oficio también indicaba que, t</w:t>
      </w:r>
      <w:r w:rsidR="0047390F" w:rsidRPr="0064597D">
        <w:rPr>
          <w:sz w:val="20"/>
          <w:szCs w:val="20"/>
        </w:rPr>
        <w:t>ras su detención, e</w:t>
      </w:r>
      <w:r w:rsidR="007B52B0" w:rsidRPr="0064597D">
        <w:rPr>
          <w:sz w:val="20"/>
          <w:szCs w:val="20"/>
        </w:rPr>
        <w:t xml:space="preserve">l señor Ruiz Fuentes </w:t>
      </w:r>
      <w:r w:rsidR="00AC6BF2" w:rsidRPr="0064597D">
        <w:rPr>
          <w:sz w:val="20"/>
          <w:szCs w:val="20"/>
        </w:rPr>
        <w:t>“</w:t>
      </w:r>
      <w:r w:rsidR="007B52B0" w:rsidRPr="0064597D">
        <w:rPr>
          <w:sz w:val="20"/>
          <w:szCs w:val="20"/>
        </w:rPr>
        <w:t>resultó con múltiples golpes</w:t>
      </w:r>
      <w:r w:rsidR="00AC6BF2" w:rsidRPr="0064597D">
        <w:rPr>
          <w:sz w:val="20"/>
          <w:szCs w:val="20"/>
        </w:rPr>
        <w:t>”,</w:t>
      </w:r>
      <w:r w:rsidR="007B52B0" w:rsidRPr="0064597D">
        <w:rPr>
          <w:sz w:val="20"/>
          <w:szCs w:val="20"/>
        </w:rPr>
        <w:t xml:space="preserve"> por lo que fue llevado al Hospital Roosevelt donde</w:t>
      </w:r>
      <w:r w:rsidR="00B731B7" w:rsidRPr="0064597D">
        <w:rPr>
          <w:sz w:val="20"/>
          <w:szCs w:val="20"/>
        </w:rPr>
        <w:t>,</w:t>
      </w:r>
      <w:r w:rsidR="007B52B0" w:rsidRPr="0064597D">
        <w:rPr>
          <w:sz w:val="20"/>
          <w:szCs w:val="20"/>
        </w:rPr>
        <w:t xml:space="preserve"> según </w:t>
      </w:r>
      <w:r w:rsidR="00B731B7" w:rsidRPr="0064597D">
        <w:rPr>
          <w:sz w:val="20"/>
          <w:szCs w:val="20"/>
        </w:rPr>
        <w:t>el diagnóstico</w:t>
      </w:r>
      <w:r w:rsidR="00E02203" w:rsidRPr="0064597D">
        <w:rPr>
          <w:sz w:val="20"/>
          <w:szCs w:val="20"/>
        </w:rPr>
        <w:t xml:space="preserve"> mé</w:t>
      </w:r>
      <w:r w:rsidR="007B52B0" w:rsidRPr="0064597D">
        <w:rPr>
          <w:sz w:val="20"/>
          <w:szCs w:val="20"/>
        </w:rPr>
        <w:t>dico</w:t>
      </w:r>
      <w:r w:rsidR="00B731B7" w:rsidRPr="0064597D">
        <w:rPr>
          <w:sz w:val="20"/>
          <w:szCs w:val="20"/>
        </w:rPr>
        <w:t>,</w:t>
      </w:r>
      <w:r w:rsidR="007B52B0" w:rsidRPr="0064597D">
        <w:rPr>
          <w:sz w:val="20"/>
          <w:szCs w:val="20"/>
        </w:rPr>
        <w:t xml:space="preserve"> presenta</w:t>
      </w:r>
      <w:r w:rsidR="00AC6BF2" w:rsidRPr="0064597D">
        <w:rPr>
          <w:sz w:val="20"/>
          <w:szCs w:val="20"/>
        </w:rPr>
        <w:t>ba</w:t>
      </w:r>
      <w:r w:rsidR="007B52B0" w:rsidRPr="0064597D">
        <w:rPr>
          <w:sz w:val="20"/>
          <w:szCs w:val="20"/>
        </w:rPr>
        <w:t xml:space="preserve"> </w:t>
      </w:r>
      <w:r w:rsidRPr="0064597D">
        <w:rPr>
          <w:sz w:val="20"/>
          <w:szCs w:val="20"/>
        </w:rPr>
        <w:t>“</w:t>
      </w:r>
      <w:r w:rsidR="007B52B0" w:rsidRPr="0064597D">
        <w:rPr>
          <w:sz w:val="20"/>
          <w:szCs w:val="20"/>
        </w:rPr>
        <w:t>politraumatismo</w:t>
      </w:r>
      <w:r w:rsidRPr="0064597D">
        <w:rPr>
          <w:sz w:val="20"/>
          <w:szCs w:val="20"/>
        </w:rPr>
        <w:t>”</w:t>
      </w:r>
      <w:r w:rsidR="007B52B0" w:rsidRPr="0064597D">
        <w:rPr>
          <w:rStyle w:val="Refdenotaalpie"/>
          <w:sz w:val="20"/>
          <w:szCs w:val="20"/>
        </w:rPr>
        <w:footnoteReference w:id="45"/>
      </w:r>
      <w:r w:rsidR="007B52B0" w:rsidRPr="0064597D">
        <w:rPr>
          <w:sz w:val="20"/>
          <w:szCs w:val="20"/>
        </w:rPr>
        <w:t>.</w:t>
      </w:r>
      <w:r w:rsidR="006D4B5D" w:rsidRPr="0064597D">
        <w:rPr>
          <w:sz w:val="20"/>
          <w:szCs w:val="20"/>
        </w:rPr>
        <w:t xml:space="preserve"> En l</w:t>
      </w:r>
      <w:r w:rsidR="007B52B0" w:rsidRPr="0064597D">
        <w:rPr>
          <w:sz w:val="20"/>
          <w:szCs w:val="20"/>
        </w:rPr>
        <w:t xml:space="preserve">a sentencia </w:t>
      </w:r>
      <w:r w:rsidR="00AC6BF2" w:rsidRPr="0064597D">
        <w:rPr>
          <w:sz w:val="20"/>
          <w:szCs w:val="20"/>
        </w:rPr>
        <w:t xml:space="preserve">en virtud de la cual se condenó al señor Ruiz Fuentes y </w:t>
      </w:r>
      <w:r w:rsidR="00E4516C" w:rsidRPr="0064597D">
        <w:rPr>
          <w:sz w:val="20"/>
          <w:szCs w:val="20"/>
        </w:rPr>
        <w:t xml:space="preserve">otros cuatro coimputados por el secuestro del menor, </w:t>
      </w:r>
      <w:r w:rsidR="007B52B0" w:rsidRPr="0064597D">
        <w:rPr>
          <w:sz w:val="20"/>
          <w:szCs w:val="20"/>
        </w:rPr>
        <w:t xml:space="preserve">se </w:t>
      </w:r>
      <w:r w:rsidRPr="0064597D">
        <w:rPr>
          <w:sz w:val="20"/>
          <w:szCs w:val="20"/>
        </w:rPr>
        <w:t>indicó</w:t>
      </w:r>
      <w:r w:rsidR="007B52B0" w:rsidRPr="0064597D">
        <w:rPr>
          <w:sz w:val="20"/>
          <w:szCs w:val="20"/>
        </w:rPr>
        <w:t xml:space="preserve"> que las lesiones sufridas por el señor Ruiz Fuentes fueron consecuencia de que saltó de una pared</w:t>
      </w:r>
      <w:r w:rsidR="00E02203" w:rsidRPr="0064597D">
        <w:rPr>
          <w:sz w:val="20"/>
          <w:szCs w:val="20"/>
        </w:rPr>
        <w:t>,</w:t>
      </w:r>
      <w:r w:rsidR="007B52B0" w:rsidRPr="0064597D">
        <w:rPr>
          <w:sz w:val="20"/>
          <w:szCs w:val="20"/>
        </w:rPr>
        <w:t xml:space="preserve"> </w:t>
      </w:r>
      <w:r w:rsidR="00B5100E">
        <w:rPr>
          <w:sz w:val="20"/>
          <w:szCs w:val="20"/>
        </w:rPr>
        <w:t>destacando</w:t>
      </w:r>
      <w:r w:rsidR="007B52B0" w:rsidRPr="0064597D">
        <w:rPr>
          <w:sz w:val="20"/>
          <w:szCs w:val="20"/>
        </w:rPr>
        <w:t xml:space="preserve"> que los señores Raxcacó Reyes y Ruiz Fuentes</w:t>
      </w:r>
      <w:r w:rsidR="00E02203" w:rsidRPr="0064597D">
        <w:rPr>
          <w:sz w:val="20"/>
          <w:szCs w:val="20"/>
        </w:rPr>
        <w:t>,</w:t>
      </w:r>
      <w:r w:rsidR="007B52B0" w:rsidRPr="0064597D">
        <w:rPr>
          <w:sz w:val="20"/>
          <w:szCs w:val="20"/>
        </w:rPr>
        <w:t xml:space="preserve"> “al notar la presencia de la Policía Nacional Civil, intentaron darse a la fuga, lanzándose de la pared posterior del inmueble donde fueron sorprendidos, siendo detenidos en las afueras del mismo por agentes de la Policía Nacional Civil que habían acordonado el área”</w:t>
      </w:r>
      <w:r w:rsidR="007B52B0" w:rsidRPr="0064597D">
        <w:rPr>
          <w:rStyle w:val="Refdenotaalpie"/>
          <w:rFonts w:cs="Verdana"/>
          <w:sz w:val="20"/>
          <w:szCs w:val="20"/>
        </w:rPr>
        <w:footnoteReference w:id="46"/>
      </w:r>
      <w:r w:rsidR="00912F5A" w:rsidRPr="0064597D">
        <w:rPr>
          <w:sz w:val="20"/>
          <w:szCs w:val="20"/>
        </w:rPr>
        <w:t>.</w:t>
      </w:r>
    </w:p>
    <w:p w14:paraId="10F46D5B" w14:textId="77777777" w:rsidR="00472CF9" w:rsidRPr="0064597D" w:rsidRDefault="00472CF9" w:rsidP="00472CF9">
      <w:pPr>
        <w:tabs>
          <w:tab w:val="left" w:pos="567"/>
        </w:tabs>
        <w:spacing w:line="240" w:lineRule="auto"/>
        <w:rPr>
          <w:sz w:val="20"/>
          <w:szCs w:val="20"/>
        </w:rPr>
      </w:pPr>
    </w:p>
    <w:p w14:paraId="0E5B0705" w14:textId="3B5A3E14" w:rsidR="00472CF9" w:rsidRPr="0064597D" w:rsidRDefault="00472CF9" w:rsidP="00472CF9">
      <w:pPr>
        <w:numPr>
          <w:ilvl w:val="0"/>
          <w:numId w:val="1"/>
        </w:numPr>
        <w:tabs>
          <w:tab w:val="left" w:pos="567"/>
          <w:tab w:val="num" w:pos="1569"/>
          <w:tab w:val="num" w:pos="12305"/>
        </w:tabs>
        <w:spacing w:line="240" w:lineRule="auto"/>
        <w:ind w:left="0" w:firstLine="0"/>
        <w:rPr>
          <w:rFonts w:cs="Arial"/>
          <w:sz w:val="20"/>
          <w:szCs w:val="20"/>
        </w:rPr>
      </w:pPr>
      <w:r w:rsidRPr="0064597D">
        <w:rPr>
          <w:sz w:val="20"/>
          <w:szCs w:val="20"/>
        </w:rPr>
        <w:t>Según el informe médico de 9 de diciembre de 1997 elaborado por especialistas del Hospital Roosevelt, el señor Ruiz Fuentes ingresó en dicho hospital el 6 de agosto de 1997 por “abdomen agudo”</w:t>
      </w:r>
      <w:r w:rsidRPr="0064597D">
        <w:rPr>
          <w:rStyle w:val="Refdenotaalpie"/>
          <w:sz w:val="20"/>
          <w:szCs w:val="20"/>
        </w:rPr>
        <w:footnoteReference w:id="47"/>
      </w:r>
      <w:r w:rsidRPr="0064597D">
        <w:rPr>
          <w:sz w:val="20"/>
          <w:szCs w:val="20"/>
        </w:rPr>
        <w:t>. Tras realizarle una laparotomía exploratoria se encontraron hallazgos de “hemoperitoneo” (esto es, presencia de sangre libre en la cavidad peritoneal), “múltiples contusiones y erosiones de meso de intestino delgado”, “laceración de meso colon transverso que deja sin un segmento de más o menos 10 centímetros a más o menos 15 centímetros del ángulo esplénico”, “vasos sangrantes de epiplón mayor” y “trauma hepático G-I en segmento VI”</w:t>
      </w:r>
      <w:r w:rsidRPr="0064597D">
        <w:rPr>
          <w:rStyle w:val="Refdenotaalpie"/>
          <w:sz w:val="20"/>
          <w:szCs w:val="20"/>
        </w:rPr>
        <w:footnoteReference w:id="48"/>
      </w:r>
      <w:r w:rsidRPr="0064597D">
        <w:rPr>
          <w:sz w:val="20"/>
          <w:szCs w:val="20"/>
        </w:rPr>
        <w:t>. Según otro informe médico de 11 de diciembre de 2000, elaborado por el Departamento de Cirugía del Hospital Roosevelt, el señor Ruiz Fuentes fue “traído por bomberos con historia de haber sido vapuleado” y presentaba “múltiples golpes y contusiones a nivel abdominal, abdomen globoso y doloroso a la palpación”</w:t>
      </w:r>
      <w:r w:rsidRPr="0064597D">
        <w:rPr>
          <w:rStyle w:val="Refdenotaalpie"/>
          <w:sz w:val="20"/>
          <w:szCs w:val="20"/>
        </w:rPr>
        <w:footnoteReference w:id="49"/>
      </w:r>
      <w:r w:rsidRPr="0064597D">
        <w:rPr>
          <w:sz w:val="20"/>
          <w:szCs w:val="20"/>
        </w:rPr>
        <w:t xml:space="preserve">. </w:t>
      </w:r>
    </w:p>
    <w:p w14:paraId="55290496" w14:textId="77777777" w:rsidR="00472CF9" w:rsidRPr="0064597D" w:rsidRDefault="00472CF9" w:rsidP="00472CF9">
      <w:pPr>
        <w:tabs>
          <w:tab w:val="left" w:pos="567"/>
        </w:tabs>
        <w:spacing w:line="240" w:lineRule="auto"/>
        <w:rPr>
          <w:rFonts w:cs="Arial"/>
          <w:sz w:val="20"/>
          <w:szCs w:val="20"/>
        </w:rPr>
      </w:pPr>
    </w:p>
    <w:p w14:paraId="21A1CA0F" w14:textId="1A54CD3D" w:rsidR="00472CF9" w:rsidRPr="0064597D" w:rsidRDefault="00472CF9" w:rsidP="00472CF9">
      <w:pPr>
        <w:numPr>
          <w:ilvl w:val="0"/>
          <w:numId w:val="1"/>
        </w:numPr>
        <w:tabs>
          <w:tab w:val="left" w:pos="567"/>
          <w:tab w:val="num" w:pos="1569"/>
          <w:tab w:val="num" w:pos="12305"/>
        </w:tabs>
        <w:spacing w:line="240" w:lineRule="auto"/>
        <w:ind w:left="0" w:firstLine="0"/>
        <w:rPr>
          <w:rFonts w:cs="Arial"/>
        </w:rPr>
      </w:pPr>
      <w:r w:rsidRPr="0064597D">
        <w:rPr>
          <w:sz w:val="20"/>
          <w:szCs w:val="20"/>
        </w:rPr>
        <w:t>En vista de las lesiones que presentaba, el señor Ruiz Fuentes tuvo que ser intervenido quirúrgicamente de urgencia para efectuarle una “resección de segmento de colon transverso y colostomía en doble boca”</w:t>
      </w:r>
      <w:r w:rsidRPr="0064597D">
        <w:rPr>
          <w:rStyle w:val="Refdenotaalpie"/>
          <w:sz w:val="20"/>
          <w:szCs w:val="20"/>
        </w:rPr>
        <w:footnoteReference w:id="50"/>
      </w:r>
      <w:r w:rsidRPr="0064597D">
        <w:rPr>
          <w:sz w:val="20"/>
          <w:szCs w:val="20"/>
        </w:rPr>
        <w:t xml:space="preserve"> y permaneció trece días hospitalizado</w:t>
      </w:r>
      <w:r w:rsidRPr="0064597D">
        <w:rPr>
          <w:rStyle w:val="Refdenotaalpie"/>
          <w:sz w:val="20"/>
          <w:szCs w:val="20"/>
        </w:rPr>
        <w:footnoteReference w:id="51"/>
      </w:r>
      <w:r w:rsidRPr="0064597D">
        <w:rPr>
          <w:sz w:val="20"/>
          <w:szCs w:val="20"/>
        </w:rPr>
        <w:t>. El 18 de agosto de 1997 el paciente fue dado de alta, si bien fue citado para el día 8 de enero de 1998 para que se procediera al cierre de la colostomía</w:t>
      </w:r>
      <w:r w:rsidRPr="0064597D">
        <w:rPr>
          <w:rStyle w:val="Refdenotaalpie"/>
          <w:sz w:val="20"/>
          <w:szCs w:val="20"/>
        </w:rPr>
        <w:footnoteReference w:id="52"/>
      </w:r>
      <w:r w:rsidRPr="0064597D">
        <w:rPr>
          <w:sz w:val="20"/>
          <w:szCs w:val="20"/>
        </w:rPr>
        <w:t>. No obstante, el señor Ruiz Fuentes no asistió en la fecha indicada</w:t>
      </w:r>
      <w:r w:rsidRPr="0064597D">
        <w:rPr>
          <w:rStyle w:val="Refdenotaalpie"/>
          <w:sz w:val="20"/>
          <w:szCs w:val="20"/>
        </w:rPr>
        <w:footnoteReference w:id="53"/>
      </w:r>
      <w:r w:rsidRPr="0064597D">
        <w:rPr>
          <w:sz w:val="20"/>
          <w:szCs w:val="20"/>
        </w:rPr>
        <w:t>. Finalmente, en el mes de febrero de 1998 se realiz</w:t>
      </w:r>
      <w:r w:rsidR="00EB1EA8" w:rsidRPr="0064597D">
        <w:rPr>
          <w:sz w:val="20"/>
          <w:szCs w:val="20"/>
        </w:rPr>
        <w:t>ó</w:t>
      </w:r>
      <w:r w:rsidRPr="0064597D">
        <w:rPr>
          <w:sz w:val="20"/>
          <w:szCs w:val="20"/>
        </w:rPr>
        <w:t xml:space="preserve"> la intervención quirúrgica de cierre de colostomía</w:t>
      </w:r>
      <w:r w:rsidRPr="0064597D">
        <w:rPr>
          <w:rStyle w:val="Refdenotaalpie"/>
          <w:sz w:val="20"/>
          <w:szCs w:val="20"/>
        </w:rPr>
        <w:footnoteReference w:id="54"/>
      </w:r>
      <w:r w:rsidRPr="0064597D">
        <w:rPr>
          <w:sz w:val="20"/>
          <w:szCs w:val="20"/>
        </w:rPr>
        <w:t xml:space="preserve">. </w:t>
      </w:r>
    </w:p>
    <w:p w14:paraId="483F46F6" w14:textId="77777777" w:rsidR="00472CF9" w:rsidRPr="0064597D" w:rsidRDefault="00472CF9" w:rsidP="00472CF9">
      <w:pPr>
        <w:tabs>
          <w:tab w:val="left" w:pos="567"/>
        </w:tabs>
        <w:spacing w:line="240" w:lineRule="auto"/>
        <w:rPr>
          <w:sz w:val="20"/>
          <w:szCs w:val="20"/>
        </w:rPr>
      </w:pPr>
    </w:p>
    <w:p w14:paraId="386EEA77" w14:textId="502D24C7" w:rsidR="00472CF9" w:rsidRPr="0064597D" w:rsidRDefault="00472CF9" w:rsidP="006958DA">
      <w:pPr>
        <w:numPr>
          <w:ilvl w:val="0"/>
          <w:numId w:val="1"/>
        </w:numPr>
        <w:tabs>
          <w:tab w:val="left" w:pos="567"/>
          <w:tab w:val="num" w:pos="1569"/>
          <w:tab w:val="num" w:pos="12305"/>
        </w:tabs>
        <w:spacing w:line="240" w:lineRule="auto"/>
        <w:ind w:left="0" w:firstLine="0"/>
        <w:rPr>
          <w:sz w:val="18"/>
          <w:szCs w:val="18"/>
        </w:rPr>
      </w:pPr>
      <w:r w:rsidRPr="0064597D">
        <w:rPr>
          <w:sz w:val="20"/>
          <w:szCs w:val="20"/>
        </w:rPr>
        <w:lastRenderedPageBreak/>
        <w:t xml:space="preserve">La versión </w:t>
      </w:r>
      <w:r w:rsidR="00B5100E">
        <w:rPr>
          <w:sz w:val="20"/>
          <w:szCs w:val="20"/>
        </w:rPr>
        <w:t xml:space="preserve">estatal </w:t>
      </w:r>
      <w:r w:rsidRPr="0064597D">
        <w:rPr>
          <w:sz w:val="20"/>
          <w:szCs w:val="20"/>
        </w:rPr>
        <w:t xml:space="preserve">de los hechos </w:t>
      </w:r>
      <w:r w:rsidR="00B5100E">
        <w:rPr>
          <w:sz w:val="20"/>
          <w:szCs w:val="20"/>
        </w:rPr>
        <w:t xml:space="preserve">sobre </w:t>
      </w:r>
      <w:r w:rsidRPr="0064597D">
        <w:rPr>
          <w:sz w:val="20"/>
          <w:szCs w:val="20"/>
        </w:rPr>
        <w:t xml:space="preserve">las lesiones sufridas por el señor Ruiz Fuentes es contradictoria </w:t>
      </w:r>
      <w:r w:rsidR="00F11061" w:rsidRPr="0064597D">
        <w:rPr>
          <w:sz w:val="20"/>
          <w:szCs w:val="20"/>
        </w:rPr>
        <w:t>con</w:t>
      </w:r>
      <w:r w:rsidRPr="0064597D">
        <w:rPr>
          <w:sz w:val="20"/>
          <w:szCs w:val="20"/>
        </w:rPr>
        <w:t xml:space="preserve"> la indicada por éste, quien el 29 de abril de 1998 rindió una declaración ante la Jueza Octava de Primera Instancia Penal</w:t>
      </w:r>
      <w:r w:rsidRPr="0064597D">
        <w:rPr>
          <w:rStyle w:val="Refdenotaalpie"/>
          <w:sz w:val="18"/>
          <w:szCs w:val="18"/>
        </w:rPr>
        <w:footnoteReference w:id="55"/>
      </w:r>
      <w:r w:rsidRPr="0064597D">
        <w:rPr>
          <w:sz w:val="20"/>
          <w:szCs w:val="20"/>
        </w:rPr>
        <w:t xml:space="preserve"> en la que señaló que el día que fue capturado</w:t>
      </w:r>
      <w:r w:rsidR="00F11061" w:rsidRPr="0064597D">
        <w:rPr>
          <w:sz w:val="20"/>
          <w:szCs w:val="20"/>
        </w:rPr>
        <w:t>,</w:t>
      </w:r>
      <w:r w:rsidRPr="0064597D">
        <w:rPr>
          <w:sz w:val="20"/>
          <w:szCs w:val="20"/>
        </w:rPr>
        <w:t xml:space="preserve"> </w:t>
      </w:r>
      <w:r w:rsidR="00F11061" w:rsidRPr="0064597D">
        <w:rPr>
          <w:sz w:val="20"/>
          <w:szCs w:val="20"/>
        </w:rPr>
        <w:t xml:space="preserve">sobre las cuatro de la tarde, </w:t>
      </w:r>
      <w:r w:rsidRPr="0064597D">
        <w:rPr>
          <w:sz w:val="20"/>
          <w:szCs w:val="20"/>
        </w:rPr>
        <w:t xml:space="preserve">se encontraba conduciendo su vehículo con </w:t>
      </w:r>
      <w:r w:rsidRPr="0064597D">
        <w:rPr>
          <w:rFonts w:cs="Arial"/>
          <w:sz w:val="20"/>
          <w:szCs w:val="20"/>
        </w:rPr>
        <w:t xml:space="preserve">el co-imputado J.M.M.R. </w:t>
      </w:r>
      <w:r w:rsidRPr="0064597D">
        <w:rPr>
          <w:sz w:val="20"/>
          <w:szCs w:val="20"/>
        </w:rPr>
        <w:t>en un área identificada como Bosques de San Nicolás, cuando lo interceptaron tres vehículos.</w:t>
      </w:r>
      <w:r w:rsidRPr="0064597D">
        <w:rPr>
          <w:sz w:val="18"/>
          <w:szCs w:val="18"/>
        </w:rPr>
        <w:t xml:space="preserve"> </w:t>
      </w:r>
      <w:r w:rsidRPr="0064597D">
        <w:rPr>
          <w:sz w:val="20"/>
          <w:szCs w:val="20"/>
        </w:rPr>
        <w:t xml:space="preserve">El señor Ruiz Fuentes indicó que, al momento de la captura </w:t>
      </w:r>
      <w:r w:rsidR="00F11061" w:rsidRPr="0064597D">
        <w:rPr>
          <w:sz w:val="20"/>
          <w:szCs w:val="20"/>
        </w:rPr>
        <w:t xml:space="preserve">unas personas desconocidas </w:t>
      </w:r>
      <w:r w:rsidRPr="0064597D">
        <w:rPr>
          <w:sz w:val="20"/>
          <w:szCs w:val="20"/>
        </w:rPr>
        <w:t>“comenzaron a dar</w:t>
      </w:r>
      <w:r w:rsidR="00F11061" w:rsidRPr="0064597D">
        <w:rPr>
          <w:sz w:val="20"/>
          <w:szCs w:val="20"/>
        </w:rPr>
        <w:t>[le]</w:t>
      </w:r>
      <w:r w:rsidRPr="0064597D">
        <w:rPr>
          <w:sz w:val="20"/>
          <w:szCs w:val="20"/>
        </w:rPr>
        <w:t xml:space="preserve"> golpes en el estómago y las costillas y </w:t>
      </w:r>
      <w:r w:rsidR="00F11061" w:rsidRPr="0064597D">
        <w:rPr>
          <w:sz w:val="20"/>
          <w:szCs w:val="20"/>
        </w:rPr>
        <w:t>[le]</w:t>
      </w:r>
      <w:r w:rsidRPr="0064597D">
        <w:rPr>
          <w:sz w:val="20"/>
          <w:szCs w:val="20"/>
        </w:rPr>
        <w:t xml:space="preserve"> metieron al carro y </w:t>
      </w:r>
      <w:r w:rsidR="00F11061" w:rsidRPr="0064597D">
        <w:rPr>
          <w:sz w:val="20"/>
          <w:szCs w:val="20"/>
        </w:rPr>
        <w:t>[le] golpea[ron]</w:t>
      </w:r>
      <w:r w:rsidRPr="0064597D">
        <w:rPr>
          <w:sz w:val="20"/>
          <w:szCs w:val="20"/>
        </w:rPr>
        <w:t xml:space="preserve"> con un palo que tenía como esponja porque solo sentía el dolor adentro y a consecuencia de eso </w:t>
      </w:r>
      <w:r w:rsidR="00F11061" w:rsidRPr="0064597D">
        <w:rPr>
          <w:sz w:val="20"/>
          <w:szCs w:val="20"/>
        </w:rPr>
        <w:t>[le]</w:t>
      </w:r>
      <w:r w:rsidRPr="0064597D">
        <w:rPr>
          <w:sz w:val="20"/>
          <w:szCs w:val="20"/>
        </w:rPr>
        <w:t xml:space="preserve"> reventaro</w:t>
      </w:r>
      <w:r w:rsidR="00F11061" w:rsidRPr="0064597D">
        <w:rPr>
          <w:sz w:val="20"/>
          <w:szCs w:val="20"/>
        </w:rPr>
        <w:t>n el intestino por lo que estuv[o]</w:t>
      </w:r>
      <w:r w:rsidRPr="0064597D">
        <w:rPr>
          <w:sz w:val="20"/>
          <w:szCs w:val="20"/>
        </w:rPr>
        <w:t xml:space="preserve"> siete meses con una bolsa de colostomía”</w:t>
      </w:r>
      <w:r w:rsidRPr="0064597D">
        <w:rPr>
          <w:rStyle w:val="Refdenotaalpie"/>
          <w:sz w:val="20"/>
          <w:szCs w:val="20"/>
        </w:rPr>
        <w:footnoteReference w:id="56"/>
      </w:r>
      <w:r w:rsidRPr="0064597D">
        <w:rPr>
          <w:sz w:val="20"/>
          <w:szCs w:val="20"/>
        </w:rPr>
        <w:t>. En virtud de lo anterior, el abogado del señor Ruiz Fuentes solicitó en dicho acto, “que se llev[ara] a cabo una investigación por quien corresponda los hechos denunciados que son constitutivos de un delito de tortura de conformidad con artículo 201 bis del Código Penal</w:t>
      </w:r>
      <w:r w:rsidR="00D4124E" w:rsidRPr="0064597D">
        <w:rPr>
          <w:sz w:val="20"/>
          <w:szCs w:val="20"/>
        </w:rPr>
        <w:t>”</w:t>
      </w:r>
      <w:r w:rsidRPr="0064597D">
        <w:rPr>
          <w:rStyle w:val="Refdenotaalpie"/>
          <w:sz w:val="20"/>
          <w:szCs w:val="20"/>
        </w:rPr>
        <w:footnoteReference w:id="57"/>
      </w:r>
      <w:r w:rsidRPr="0064597D">
        <w:rPr>
          <w:sz w:val="20"/>
          <w:szCs w:val="20"/>
        </w:rPr>
        <w:t xml:space="preserve">. </w:t>
      </w:r>
      <w:r w:rsidRPr="0064597D">
        <w:rPr>
          <w:rFonts w:cs="Arial"/>
          <w:sz w:val="20"/>
          <w:szCs w:val="20"/>
        </w:rPr>
        <w:t xml:space="preserve">En el marco del juicio oral celebrado el de 20 de abril de 1999, </w:t>
      </w:r>
      <w:r w:rsidRPr="0064597D">
        <w:rPr>
          <w:iCs/>
          <w:sz w:val="20"/>
          <w:szCs w:val="20"/>
        </w:rPr>
        <w:t>el señor Ruiz Fuentes reiteró la anterior declaración</w:t>
      </w:r>
      <w:r w:rsidRPr="0064597D">
        <w:rPr>
          <w:rStyle w:val="Refdenotaalpie"/>
          <w:rFonts w:cs="Arial"/>
          <w:sz w:val="20"/>
          <w:szCs w:val="20"/>
        </w:rPr>
        <w:footnoteReference w:id="58"/>
      </w:r>
      <w:r w:rsidRPr="0064597D">
        <w:rPr>
          <w:iCs/>
          <w:sz w:val="20"/>
          <w:szCs w:val="20"/>
        </w:rPr>
        <w:t xml:space="preserve"> y </w:t>
      </w:r>
      <w:r w:rsidRPr="0064597D">
        <w:rPr>
          <w:rFonts w:cs="Arial"/>
          <w:sz w:val="20"/>
          <w:szCs w:val="20"/>
        </w:rPr>
        <w:t>aportó una serie de radiografías acreditativas de las lesiones sufridas</w:t>
      </w:r>
      <w:r w:rsidRPr="0064597D">
        <w:rPr>
          <w:rStyle w:val="Refdenotaalpie"/>
          <w:rFonts w:cs="Arial"/>
          <w:sz w:val="20"/>
          <w:szCs w:val="20"/>
        </w:rPr>
        <w:footnoteReference w:id="59"/>
      </w:r>
      <w:r w:rsidRPr="0064597D">
        <w:rPr>
          <w:rFonts w:cs="Arial"/>
          <w:sz w:val="20"/>
          <w:szCs w:val="20"/>
        </w:rPr>
        <w:t xml:space="preserve">. Asimismo, el co-procesado J.M.M.R. manifestó ante las autoridades judiciales </w:t>
      </w:r>
      <w:r w:rsidRPr="0064597D">
        <w:rPr>
          <w:sz w:val="20"/>
          <w:szCs w:val="20"/>
        </w:rPr>
        <w:t>que</w:t>
      </w:r>
      <w:r w:rsidR="00EB1EA8" w:rsidRPr="0064597D">
        <w:rPr>
          <w:sz w:val="20"/>
          <w:szCs w:val="20"/>
        </w:rPr>
        <w:t>,</w:t>
      </w:r>
      <w:r w:rsidRPr="0064597D">
        <w:rPr>
          <w:sz w:val="20"/>
          <w:szCs w:val="20"/>
        </w:rPr>
        <w:t xml:space="preserve"> el día de la recaptura, venía junto con el señor Ruiz Fuentes en un carro de vuelta de los Bosques de San Nicolás, cuando “se les atravesó un carro y se bajaron dos personas con armas, y</w:t>
      </w:r>
      <w:r w:rsidR="00A10969" w:rsidRPr="0064597D">
        <w:rPr>
          <w:sz w:val="20"/>
          <w:szCs w:val="20"/>
        </w:rPr>
        <w:t>[,]</w:t>
      </w:r>
      <w:r w:rsidRPr="0064597D">
        <w:rPr>
          <w:sz w:val="20"/>
          <w:szCs w:val="20"/>
        </w:rPr>
        <w:t xml:space="preserve"> repentinamente otro vehículo topó atrás de ellos [y] los bajaron del carro”</w:t>
      </w:r>
      <w:r w:rsidRPr="0064597D">
        <w:rPr>
          <w:rStyle w:val="Refdenotaalpie"/>
          <w:sz w:val="20"/>
          <w:szCs w:val="20"/>
        </w:rPr>
        <w:footnoteReference w:id="60"/>
      </w:r>
      <w:r w:rsidRPr="0064597D">
        <w:rPr>
          <w:rFonts w:cs="Arial"/>
          <w:sz w:val="18"/>
          <w:szCs w:val="18"/>
        </w:rPr>
        <w:t>.</w:t>
      </w:r>
    </w:p>
    <w:p w14:paraId="5BCFF10A" w14:textId="23107567" w:rsidR="00F2238C" w:rsidRPr="0064597D" w:rsidRDefault="00F2238C" w:rsidP="00B47883">
      <w:pPr>
        <w:tabs>
          <w:tab w:val="left" w:pos="3405"/>
          <w:tab w:val="left" w:pos="5515"/>
        </w:tabs>
        <w:autoSpaceDE w:val="0"/>
        <w:autoSpaceDN w:val="0"/>
        <w:spacing w:line="240" w:lineRule="auto"/>
        <w:rPr>
          <w:sz w:val="20"/>
          <w:szCs w:val="20"/>
        </w:rPr>
      </w:pPr>
    </w:p>
    <w:p w14:paraId="147DC8D5" w14:textId="14992C6E" w:rsidR="007B52B0" w:rsidRPr="0064597D" w:rsidRDefault="00437A1D" w:rsidP="007B52B0">
      <w:pPr>
        <w:numPr>
          <w:ilvl w:val="0"/>
          <w:numId w:val="1"/>
        </w:numPr>
        <w:tabs>
          <w:tab w:val="left" w:pos="567"/>
          <w:tab w:val="num" w:pos="1569"/>
          <w:tab w:val="num" w:pos="12305"/>
        </w:tabs>
        <w:spacing w:line="240" w:lineRule="auto"/>
        <w:ind w:left="0" w:firstLine="0"/>
        <w:rPr>
          <w:rFonts w:cs="Arial"/>
          <w:sz w:val="20"/>
          <w:szCs w:val="20"/>
        </w:rPr>
      </w:pPr>
      <w:r w:rsidRPr="0064597D">
        <w:rPr>
          <w:sz w:val="20"/>
          <w:szCs w:val="20"/>
        </w:rPr>
        <w:t>El señor Ruiz Fuentes también declaró que</w:t>
      </w:r>
      <w:r w:rsidR="002C4320" w:rsidRPr="0064597D">
        <w:rPr>
          <w:sz w:val="20"/>
          <w:szCs w:val="20"/>
        </w:rPr>
        <w:t>,</w:t>
      </w:r>
      <w:r w:rsidRPr="0064597D">
        <w:rPr>
          <w:sz w:val="20"/>
          <w:szCs w:val="20"/>
        </w:rPr>
        <w:t xml:space="preserve"> a los tres días de estar en el hospital</w:t>
      </w:r>
      <w:r w:rsidR="002C4320" w:rsidRPr="0064597D">
        <w:rPr>
          <w:sz w:val="20"/>
          <w:szCs w:val="20"/>
        </w:rPr>
        <w:t>,</w:t>
      </w:r>
      <w:r w:rsidRPr="0064597D">
        <w:rPr>
          <w:sz w:val="20"/>
          <w:szCs w:val="20"/>
        </w:rPr>
        <w:t xml:space="preserve"> llegaron “unos muchachos” que le dijeron que “no dijera que le habían pegado, sino que dijera que se había hecho los golpes porque se había caído de una pared de ocho metros y que ellos lo iban a ayudar para que saliera a los dos o tres meses”</w:t>
      </w:r>
      <w:r w:rsidRPr="0064597D">
        <w:rPr>
          <w:rStyle w:val="Refdenotaalpie"/>
          <w:sz w:val="20"/>
          <w:szCs w:val="20"/>
        </w:rPr>
        <w:footnoteReference w:id="61"/>
      </w:r>
      <w:r w:rsidRPr="0064597D">
        <w:rPr>
          <w:sz w:val="20"/>
          <w:szCs w:val="20"/>
        </w:rPr>
        <w:t>.</w:t>
      </w:r>
      <w:r w:rsidR="007B52B0" w:rsidRPr="0064597D">
        <w:rPr>
          <w:rFonts w:cs="Arial"/>
          <w:sz w:val="20"/>
          <w:szCs w:val="20"/>
        </w:rPr>
        <w:t xml:space="preserve"> </w:t>
      </w:r>
    </w:p>
    <w:p w14:paraId="199F045C" w14:textId="355AA520" w:rsidR="00072585" w:rsidRPr="0064597D" w:rsidRDefault="00072585" w:rsidP="00072585">
      <w:pPr>
        <w:pStyle w:val="Ttulo2"/>
      </w:pPr>
      <w:bookmarkStart w:id="48" w:name="_Toc24014542"/>
      <w:r w:rsidRPr="0064597D">
        <w:t>C.</w:t>
      </w:r>
      <w:r w:rsidRPr="0064597D">
        <w:tab/>
        <w:t>Proceso penal seguido contra el señor Ruiz Fuentes</w:t>
      </w:r>
      <w:bookmarkEnd w:id="48"/>
    </w:p>
    <w:p w14:paraId="15A1F8EF" w14:textId="3844431B" w:rsidR="007B52B0" w:rsidRPr="0064597D" w:rsidRDefault="00544B95" w:rsidP="00377181">
      <w:pPr>
        <w:pStyle w:val="Ttulo3"/>
        <w:rPr>
          <w:lang w:eastAsia="en-US"/>
        </w:rPr>
      </w:pPr>
      <w:bookmarkStart w:id="49" w:name="_Toc15985494"/>
      <w:bookmarkStart w:id="50" w:name="_Toc24014543"/>
      <w:r w:rsidRPr="0064597D">
        <w:t xml:space="preserve">c.1 </w:t>
      </w:r>
      <w:r w:rsidRPr="0064597D">
        <w:tab/>
      </w:r>
      <w:r w:rsidR="007B52B0" w:rsidRPr="0064597D">
        <w:rPr>
          <w:lang w:eastAsia="en-US"/>
        </w:rPr>
        <w:t xml:space="preserve">Hechos </w:t>
      </w:r>
      <w:r w:rsidR="008F01D8" w:rsidRPr="0064597D">
        <w:rPr>
          <w:lang w:eastAsia="en-US"/>
        </w:rPr>
        <w:t xml:space="preserve">que dan lugar a la </w:t>
      </w:r>
      <w:r w:rsidR="007B52B0" w:rsidRPr="0064597D">
        <w:rPr>
          <w:lang w:eastAsia="en-US"/>
        </w:rPr>
        <w:t>sentencia condenatoria</w:t>
      </w:r>
      <w:bookmarkEnd w:id="49"/>
      <w:bookmarkEnd w:id="50"/>
    </w:p>
    <w:p w14:paraId="53D1CA85" w14:textId="509A9929" w:rsidR="00A67FA4" w:rsidRPr="0064597D" w:rsidRDefault="007B52B0" w:rsidP="00FD5666">
      <w:pPr>
        <w:numPr>
          <w:ilvl w:val="0"/>
          <w:numId w:val="1"/>
        </w:numPr>
        <w:tabs>
          <w:tab w:val="left" w:pos="567"/>
          <w:tab w:val="num" w:pos="1569"/>
          <w:tab w:val="num" w:pos="12305"/>
        </w:tabs>
        <w:autoSpaceDE w:val="0"/>
        <w:autoSpaceDN w:val="0"/>
        <w:spacing w:line="240" w:lineRule="auto"/>
        <w:ind w:left="0" w:firstLine="0"/>
        <w:rPr>
          <w:rFonts w:cs="Verdana"/>
          <w:sz w:val="20"/>
          <w:szCs w:val="20"/>
        </w:rPr>
      </w:pPr>
      <w:r w:rsidRPr="0064597D">
        <w:rPr>
          <w:rFonts w:cs="Verdana"/>
          <w:sz w:val="20"/>
          <w:szCs w:val="20"/>
        </w:rPr>
        <w:t xml:space="preserve">El 5 de agosto de 1997, a las seis horas y cincuenta minutos de la mañana, el niño </w:t>
      </w:r>
      <w:r w:rsidR="00A67FA4" w:rsidRPr="0064597D">
        <w:rPr>
          <w:sz w:val="20"/>
          <w:szCs w:val="20"/>
        </w:rPr>
        <w:t>P.A.L.W</w:t>
      </w:r>
      <w:r w:rsidR="00CB631F" w:rsidRPr="0064597D">
        <w:rPr>
          <w:rFonts w:cs="Verdana"/>
          <w:sz w:val="20"/>
          <w:szCs w:val="20"/>
        </w:rPr>
        <w:t xml:space="preserve">. </w:t>
      </w:r>
      <w:r w:rsidRPr="0064597D">
        <w:rPr>
          <w:rFonts w:cs="Verdana"/>
          <w:sz w:val="20"/>
          <w:szCs w:val="20"/>
        </w:rPr>
        <w:t>fue secuestrado por tres hombres armados</w:t>
      </w:r>
      <w:r w:rsidR="00F75638" w:rsidRPr="0064597D">
        <w:rPr>
          <w:rFonts w:cs="Verdana"/>
          <w:sz w:val="20"/>
          <w:szCs w:val="20"/>
        </w:rPr>
        <w:t xml:space="preserve">. Los secuestradores </w:t>
      </w:r>
      <w:r w:rsidRPr="0064597D">
        <w:rPr>
          <w:rFonts w:cs="Verdana"/>
          <w:sz w:val="20"/>
          <w:szCs w:val="20"/>
        </w:rPr>
        <w:t>exigieron al padre del niño</w:t>
      </w:r>
      <w:r w:rsidR="007F776D" w:rsidRPr="0064597D">
        <w:rPr>
          <w:rFonts w:cs="Verdana"/>
          <w:sz w:val="20"/>
          <w:szCs w:val="20"/>
        </w:rPr>
        <w:t xml:space="preserve"> </w:t>
      </w:r>
      <w:r w:rsidR="00F75638" w:rsidRPr="0064597D">
        <w:rPr>
          <w:rFonts w:cs="Verdana"/>
          <w:sz w:val="20"/>
          <w:szCs w:val="20"/>
        </w:rPr>
        <w:t xml:space="preserve">en reiteradas comunicaciones telefónicas </w:t>
      </w:r>
      <w:r w:rsidRPr="0064597D">
        <w:rPr>
          <w:rFonts w:cs="Verdana"/>
          <w:sz w:val="20"/>
          <w:szCs w:val="20"/>
        </w:rPr>
        <w:t xml:space="preserve">el pago </w:t>
      </w:r>
      <w:r w:rsidR="00CB631F" w:rsidRPr="0064597D">
        <w:rPr>
          <w:rFonts w:cs="Verdana"/>
          <w:sz w:val="20"/>
          <w:szCs w:val="20"/>
        </w:rPr>
        <w:t xml:space="preserve">de </w:t>
      </w:r>
      <w:r w:rsidRPr="0064597D">
        <w:rPr>
          <w:rFonts w:cs="Verdana"/>
          <w:sz w:val="20"/>
          <w:szCs w:val="20"/>
        </w:rPr>
        <w:t xml:space="preserve">un millón de quetzales por su liberación. </w:t>
      </w:r>
      <w:r w:rsidR="00A74D23" w:rsidRPr="0064597D">
        <w:rPr>
          <w:rFonts w:cs="Verdana"/>
          <w:sz w:val="20"/>
          <w:szCs w:val="20"/>
        </w:rPr>
        <w:t>El</w:t>
      </w:r>
      <w:r w:rsidRPr="0064597D">
        <w:rPr>
          <w:rFonts w:cs="Verdana"/>
          <w:sz w:val="20"/>
          <w:szCs w:val="20"/>
        </w:rPr>
        <w:t xml:space="preserve"> 6 de agosto de 1997 el niño fue localizado y liberado ileso como consecuencia de un operativo llevado a cabo por investigadores adscritos a la Sección Antisecuestros y Ext</w:t>
      </w:r>
      <w:r w:rsidR="00B5100E">
        <w:rPr>
          <w:rFonts w:cs="Verdana"/>
          <w:sz w:val="20"/>
          <w:szCs w:val="20"/>
        </w:rPr>
        <w:t>orsiones de la Policía Nacional.</w:t>
      </w:r>
      <w:r w:rsidR="00DD4469">
        <w:rPr>
          <w:rFonts w:cs="Verdana"/>
          <w:sz w:val="20"/>
          <w:szCs w:val="20"/>
        </w:rPr>
        <w:t xml:space="preserve"> </w:t>
      </w:r>
      <w:r w:rsidRPr="0064597D">
        <w:rPr>
          <w:rFonts w:cs="Verdana"/>
          <w:sz w:val="20"/>
          <w:szCs w:val="20"/>
        </w:rPr>
        <w:t xml:space="preserve">Durante el operativo en cuestión </w:t>
      </w:r>
      <w:r w:rsidR="007F776D" w:rsidRPr="0064597D">
        <w:rPr>
          <w:rFonts w:cs="Verdana"/>
          <w:sz w:val="20"/>
          <w:szCs w:val="20"/>
        </w:rPr>
        <w:t xml:space="preserve">fueron capturados el señor </w:t>
      </w:r>
      <w:r w:rsidR="00D718CE" w:rsidRPr="0064597D">
        <w:rPr>
          <w:rFonts w:cs="Verdana"/>
          <w:sz w:val="20"/>
          <w:szCs w:val="20"/>
        </w:rPr>
        <w:t xml:space="preserve">Ruiz </w:t>
      </w:r>
      <w:r w:rsidRPr="0064597D">
        <w:rPr>
          <w:rFonts w:cs="Arial"/>
          <w:sz w:val="20"/>
          <w:szCs w:val="20"/>
        </w:rPr>
        <w:t>Fuentes</w:t>
      </w:r>
      <w:r w:rsidRPr="0064597D">
        <w:rPr>
          <w:rFonts w:cs="Verdana"/>
          <w:sz w:val="20"/>
          <w:szCs w:val="20"/>
        </w:rPr>
        <w:t xml:space="preserve"> </w:t>
      </w:r>
      <w:r w:rsidR="007F776D" w:rsidRPr="0064597D">
        <w:rPr>
          <w:rFonts w:cs="Verdana"/>
          <w:sz w:val="20"/>
          <w:szCs w:val="20"/>
        </w:rPr>
        <w:t>junto con cuatro personas más</w:t>
      </w:r>
      <w:r w:rsidRPr="0064597D">
        <w:rPr>
          <w:rFonts w:cs="Verdana"/>
          <w:sz w:val="20"/>
          <w:szCs w:val="20"/>
        </w:rPr>
        <w:t xml:space="preserve">, </w:t>
      </w:r>
      <w:r w:rsidR="008F01D8" w:rsidRPr="0064597D">
        <w:rPr>
          <w:rFonts w:cs="Verdana"/>
          <w:sz w:val="20"/>
          <w:szCs w:val="20"/>
        </w:rPr>
        <w:t>y</w:t>
      </w:r>
      <w:r w:rsidR="007F776D" w:rsidRPr="0064597D">
        <w:rPr>
          <w:rFonts w:cs="Verdana"/>
          <w:sz w:val="20"/>
          <w:szCs w:val="20"/>
        </w:rPr>
        <w:t xml:space="preserve"> fueron</w:t>
      </w:r>
      <w:r w:rsidRPr="0064597D">
        <w:rPr>
          <w:rFonts w:cs="Verdana"/>
          <w:sz w:val="20"/>
          <w:szCs w:val="20"/>
        </w:rPr>
        <w:t xml:space="preserve"> puestos a disposición del Juez Segundo de Paz Penal del Municipio de Mixco, </w:t>
      </w:r>
      <w:r w:rsidRPr="0064597D">
        <w:rPr>
          <w:rFonts w:cs="Verdana"/>
          <w:sz w:val="20"/>
          <w:szCs w:val="20"/>
        </w:rPr>
        <w:lastRenderedPageBreak/>
        <w:t>Departamento de Guatemala</w:t>
      </w:r>
      <w:r w:rsidR="007F776D" w:rsidRPr="0064597D">
        <w:rPr>
          <w:rStyle w:val="Refdenotaalpie"/>
          <w:rFonts w:cs="Verdana"/>
          <w:sz w:val="20"/>
          <w:szCs w:val="20"/>
        </w:rPr>
        <w:footnoteReference w:id="62"/>
      </w:r>
      <w:r w:rsidRPr="0064597D">
        <w:rPr>
          <w:rFonts w:cs="Verdana"/>
          <w:sz w:val="20"/>
          <w:szCs w:val="20"/>
        </w:rPr>
        <w:t>.</w:t>
      </w:r>
    </w:p>
    <w:p w14:paraId="3D201FB6" w14:textId="77777777" w:rsidR="00A67FA4" w:rsidRPr="0064597D" w:rsidRDefault="00A67FA4" w:rsidP="00A67FA4">
      <w:pPr>
        <w:tabs>
          <w:tab w:val="left" w:pos="567"/>
        </w:tabs>
        <w:autoSpaceDE w:val="0"/>
        <w:autoSpaceDN w:val="0"/>
        <w:spacing w:line="240" w:lineRule="auto"/>
        <w:rPr>
          <w:rFonts w:cs="Verdana"/>
          <w:sz w:val="20"/>
          <w:szCs w:val="20"/>
        </w:rPr>
      </w:pPr>
    </w:p>
    <w:p w14:paraId="168B74B8" w14:textId="325334DF" w:rsidR="007B52B0" w:rsidRPr="0064597D" w:rsidRDefault="00A67FA4" w:rsidP="000C391B">
      <w:pPr>
        <w:numPr>
          <w:ilvl w:val="0"/>
          <w:numId w:val="1"/>
        </w:numPr>
        <w:tabs>
          <w:tab w:val="left" w:pos="567"/>
          <w:tab w:val="num" w:pos="1569"/>
          <w:tab w:val="num" w:pos="12305"/>
        </w:tabs>
        <w:autoSpaceDE w:val="0"/>
        <w:autoSpaceDN w:val="0"/>
        <w:spacing w:line="240" w:lineRule="auto"/>
        <w:ind w:left="0" w:firstLine="0"/>
        <w:rPr>
          <w:rFonts w:cs="Verdana"/>
          <w:sz w:val="20"/>
          <w:szCs w:val="20"/>
        </w:rPr>
      </w:pPr>
      <w:r w:rsidRPr="0064597D">
        <w:rPr>
          <w:rFonts w:cs="Verdana"/>
          <w:sz w:val="20"/>
          <w:szCs w:val="20"/>
        </w:rPr>
        <w:t xml:space="preserve">Ante estos hechos el </w:t>
      </w:r>
      <w:r w:rsidR="007B52B0" w:rsidRPr="0064597D">
        <w:rPr>
          <w:rFonts w:cs="Verdana"/>
          <w:sz w:val="20"/>
          <w:szCs w:val="20"/>
        </w:rPr>
        <w:t xml:space="preserve">fiscal del Ministerio Público formuló acusación en contra </w:t>
      </w:r>
      <w:r w:rsidR="00C81823" w:rsidRPr="0064597D">
        <w:rPr>
          <w:rFonts w:cs="Verdana"/>
          <w:sz w:val="20"/>
          <w:szCs w:val="20"/>
        </w:rPr>
        <w:t xml:space="preserve">del señor Ruiz Fuentes y de otras personas </w:t>
      </w:r>
      <w:r w:rsidR="007B52B0" w:rsidRPr="0064597D">
        <w:rPr>
          <w:rFonts w:cs="Verdana"/>
          <w:sz w:val="20"/>
          <w:szCs w:val="20"/>
        </w:rPr>
        <w:t>por la comisión del delito de plagio o secuestro, tipificado por el artículo 201 del Código Penal de Guatemala, vigente en la época de l</w:t>
      </w:r>
      <w:r w:rsidR="007F776D" w:rsidRPr="0064597D">
        <w:rPr>
          <w:rFonts w:cs="Verdana"/>
          <w:sz w:val="20"/>
          <w:szCs w:val="20"/>
        </w:rPr>
        <w:t xml:space="preserve">os hechos, </w:t>
      </w:r>
      <w:r w:rsidR="007B52B0" w:rsidRPr="0064597D">
        <w:rPr>
          <w:rFonts w:cs="Verdana"/>
          <w:sz w:val="20"/>
          <w:szCs w:val="20"/>
        </w:rPr>
        <w:t>lo que dio inicio al proceso</w:t>
      </w:r>
      <w:r w:rsidR="007B52B0" w:rsidRPr="0064597D">
        <w:rPr>
          <w:rStyle w:val="Refdenotaalpie"/>
          <w:rFonts w:cs="Verdana"/>
          <w:iCs/>
          <w:sz w:val="20"/>
          <w:szCs w:val="20"/>
        </w:rPr>
        <w:footnoteReference w:id="63"/>
      </w:r>
      <w:r w:rsidR="007B52B0" w:rsidRPr="0064597D">
        <w:rPr>
          <w:rFonts w:cs="Verdana"/>
          <w:iCs/>
          <w:sz w:val="20"/>
          <w:szCs w:val="20"/>
        </w:rPr>
        <w:t>.</w:t>
      </w:r>
      <w:r w:rsidR="007B52B0" w:rsidRPr="0064597D">
        <w:rPr>
          <w:rFonts w:cs="Verdana"/>
          <w:i/>
          <w:iCs/>
          <w:sz w:val="20"/>
          <w:szCs w:val="20"/>
        </w:rPr>
        <w:t xml:space="preserve"> </w:t>
      </w:r>
    </w:p>
    <w:p w14:paraId="7F097209" w14:textId="77777777" w:rsidR="007B52B0" w:rsidRPr="0064597D" w:rsidRDefault="007B52B0" w:rsidP="007B52B0">
      <w:pPr>
        <w:autoSpaceDE w:val="0"/>
        <w:autoSpaceDN w:val="0"/>
        <w:spacing w:line="240" w:lineRule="auto"/>
        <w:rPr>
          <w:rFonts w:cs="Verdana"/>
          <w:sz w:val="19"/>
          <w:szCs w:val="19"/>
        </w:rPr>
      </w:pPr>
    </w:p>
    <w:p w14:paraId="533A2C12" w14:textId="0B211976" w:rsidR="007B52B0" w:rsidRPr="0064597D" w:rsidRDefault="007B52B0" w:rsidP="00A06A51">
      <w:pPr>
        <w:numPr>
          <w:ilvl w:val="0"/>
          <w:numId w:val="1"/>
        </w:numPr>
        <w:tabs>
          <w:tab w:val="left" w:pos="567"/>
          <w:tab w:val="num" w:pos="1569"/>
          <w:tab w:val="num" w:pos="12305"/>
        </w:tabs>
        <w:autoSpaceDE w:val="0"/>
        <w:autoSpaceDN w:val="0"/>
        <w:spacing w:line="240" w:lineRule="auto"/>
        <w:ind w:left="0" w:firstLine="0"/>
        <w:rPr>
          <w:rFonts w:cs="Verdana"/>
          <w:sz w:val="19"/>
          <w:szCs w:val="19"/>
        </w:rPr>
      </w:pPr>
      <w:r w:rsidRPr="0064597D">
        <w:rPr>
          <w:rFonts w:cs="Arial"/>
          <w:sz w:val="20"/>
          <w:szCs w:val="20"/>
        </w:rPr>
        <w:t>El debate oral y público estaba señalado para el 20 de abril de 1999. Ese mismo día, el abogado pa</w:t>
      </w:r>
      <w:r w:rsidR="00520FDF" w:rsidRPr="0064597D">
        <w:rPr>
          <w:rFonts w:cs="Arial"/>
          <w:sz w:val="20"/>
          <w:szCs w:val="20"/>
        </w:rPr>
        <w:t>rticular del señor Ruiz Fuentes</w:t>
      </w:r>
      <w:r w:rsidRPr="0064597D">
        <w:rPr>
          <w:rFonts w:cs="Arial"/>
          <w:sz w:val="20"/>
          <w:szCs w:val="20"/>
        </w:rPr>
        <w:t xml:space="preserve"> abandonó a su defendido. El Tribunal nombró </w:t>
      </w:r>
      <w:r w:rsidR="00520FDF" w:rsidRPr="0064597D">
        <w:rPr>
          <w:rFonts w:cs="Arial"/>
          <w:sz w:val="20"/>
          <w:szCs w:val="20"/>
        </w:rPr>
        <w:t>a otro abogado c</w:t>
      </w:r>
      <w:r w:rsidRPr="0064597D">
        <w:rPr>
          <w:rFonts w:cs="Arial"/>
          <w:sz w:val="20"/>
          <w:szCs w:val="20"/>
        </w:rPr>
        <w:t xml:space="preserve">omo defensor del señor Ruiz Fuentes y aplazó el debate para el día siguiente, </w:t>
      </w:r>
      <w:r w:rsidR="007F776D" w:rsidRPr="0064597D">
        <w:rPr>
          <w:rFonts w:cs="Arial"/>
          <w:sz w:val="20"/>
          <w:szCs w:val="20"/>
        </w:rPr>
        <w:t>otorgando a dicho abogado</w:t>
      </w:r>
      <w:r w:rsidRPr="0064597D">
        <w:rPr>
          <w:rFonts w:cs="Arial"/>
          <w:sz w:val="20"/>
          <w:szCs w:val="20"/>
        </w:rPr>
        <w:t xml:space="preserve"> un día par</w:t>
      </w:r>
      <w:r w:rsidR="00EC436E" w:rsidRPr="0064597D">
        <w:rPr>
          <w:rFonts w:cs="Arial"/>
          <w:sz w:val="20"/>
          <w:szCs w:val="20"/>
        </w:rPr>
        <w:t>a preparar la defensa técnica del señor Ruiz Fuentes</w:t>
      </w:r>
      <w:r w:rsidRPr="0064597D">
        <w:rPr>
          <w:rStyle w:val="Refdenotaalpie"/>
          <w:sz w:val="20"/>
          <w:szCs w:val="20"/>
        </w:rPr>
        <w:footnoteReference w:id="64"/>
      </w:r>
      <w:r w:rsidRPr="0064597D">
        <w:rPr>
          <w:rFonts w:cs="Arial"/>
          <w:sz w:val="20"/>
          <w:szCs w:val="20"/>
        </w:rPr>
        <w:t xml:space="preserve">. </w:t>
      </w:r>
    </w:p>
    <w:p w14:paraId="0FDA6B35" w14:textId="77777777" w:rsidR="00EC436E" w:rsidRPr="0064597D" w:rsidRDefault="00EC436E" w:rsidP="00EC436E">
      <w:pPr>
        <w:tabs>
          <w:tab w:val="left" w:pos="567"/>
          <w:tab w:val="num" w:pos="12305"/>
        </w:tabs>
        <w:autoSpaceDE w:val="0"/>
        <w:autoSpaceDN w:val="0"/>
        <w:spacing w:line="240" w:lineRule="auto"/>
        <w:rPr>
          <w:rFonts w:cs="Verdana"/>
          <w:sz w:val="19"/>
          <w:szCs w:val="19"/>
        </w:rPr>
      </w:pPr>
    </w:p>
    <w:p w14:paraId="1D54D690" w14:textId="31707556" w:rsidR="0022697E" w:rsidRPr="0064597D" w:rsidRDefault="007B52B0" w:rsidP="00C1486B">
      <w:pPr>
        <w:numPr>
          <w:ilvl w:val="0"/>
          <w:numId w:val="1"/>
        </w:numPr>
        <w:tabs>
          <w:tab w:val="left" w:pos="567"/>
          <w:tab w:val="num" w:pos="1569"/>
          <w:tab w:val="num" w:pos="12305"/>
        </w:tabs>
        <w:autoSpaceDE w:val="0"/>
        <w:autoSpaceDN w:val="0"/>
        <w:spacing w:line="240" w:lineRule="auto"/>
        <w:ind w:left="0" w:firstLine="0"/>
        <w:rPr>
          <w:b/>
          <w:sz w:val="20"/>
          <w:szCs w:val="20"/>
        </w:rPr>
      </w:pPr>
      <w:r w:rsidRPr="0064597D">
        <w:rPr>
          <w:rFonts w:cs="Verdana"/>
          <w:sz w:val="20"/>
          <w:szCs w:val="20"/>
        </w:rPr>
        <w:t>El 14 de mayo de 1999 el Tribunal Sexto de Sentencia Penal, Narcoactividad y Delitos contra el Ambiente de Guatemala</w:t>
      </w:r>
      <w:r w:rsidR="00011243" w:rsidRPr="0064597D">
        <w:rPr>
          <w:rFonts w:cs="Verdana"/>
          <w:sz w:val="20"/>
          <w:szCs w:val="20"/>
        </w:rPr>
        <w:t xml:space="preserve"> (en adelante, “Tribunal Sexto de Sentencia Penal”)</w:t>
      </w:r>
      <w:r w:rsidRPr="0064597D">
        <w:rPr>
          <w:rFonts w:cs="Verdana"/>
          <w:sz w:val="20"/>
          <w:szCs w:val="20"/>
        </w:rPr>
        <w:t xml:space="preserve"> dictó sentencia condenatoria en contra del señor Ruiz Fuentes y de los otros imputados por el secuestro del niño </w:t>
      </w:r>
      <w:r w:rsidR="00A67FA4" w:rsidRPr="0064597D">
        <w:rPr>
          <w:rFonts w:cs="Verdana"/>
          <w:sz w:val="20"/>
          <w:szCs w:val="20"/>
        </w:rPr>
        <w:t xml:space="preserve">P.A.L.W. </w:t>
      </w:r>
      <w:r w:rsidR="00520FDF" w:rsidRPr="0064597D">
        <w:rPr>
          <w:rFonts w:cs="Verdana"/>
          <w:sz w:val="20"/>
          <w:szCs w:val="20"/>
        </w:rPr>
        <w:t>El señor</w:t>
      </w:r>
      <w:r w:rsidRPr="0064597D">
        <w:rPr>
          <w:rFonts w:cs="Verdana"/>
          <w:sz w:val="20"/>
          <w:szCs w:val="20"/>
        </w:rPr>
        <w:t xml:space="preserve"> Ruiz Fuentes, </w:t>
      </w:r>
      <w:r w:rsidR="00520FDF" w:rsidRPr="0064597D">
        <w:rPr>
          <w:rFonts w:cs="Verdana"/>
          <w:sz w:val="20"/>
          <w:szCs w:val="20"/>
        </w:rPr>
        <w:t>junto con otros dos procesados</w:t>
      </w:r>
      <w:r w:rsidR="008F01D8" w:rsidRPr="0064597D">
        <w:rPr>
          <w:rFonts w:cs="Verdana"/>
          <w:sz w:val="20"/>
          <w:szCs w:val="20"/>
        </w:rPr>
        <w:t xml:space="preserve"> (los señores </w:t>
      </w:r>
      <w:r w:rsidR="00A67FA4" w:rsidRPr="0064597D">
        <w:rPr>
          <w:rFonts w:cs="Arial"/>
          <w:sz w:val="20"/>
          <w:szCs w:val="20"/>
        </w:rPr>
        <w:t xml:space="preserve">J.M.M.R. </w:t>
      </w:r>
      <w:r w:rsidR="008F01D8" w:rsidRPr="0064597D">
        <w:rPr>
          <w:rFonts w:cs="Verdana"/>
          <w:sz w:val="20"/>
          <w:szCs w:val="20"/>
        </w:rPr>
        <w:t>y Raxcacó Reyes)</w:t>
      </w:r>
      <w:r w:rsidR="00520FDF" w:rsidRPr="0064597D">
        <w:rPr>
          <w:rFonts w:cs="Verdana"/>
          <w:sz w:val="20"/>
          <w:szCs w:val="20"/>
        </w:rPr>
        <w:t xml:space="preserve">, </w:t>
      </w:r>
      <w:r w:rsidRPr="0064597D">
        <w:rPr>
          <w:rFonts w:cs="Verdana"/>
          <w:sz w:val="20"/>
          <w:szCs w:val="20"/>
        </w:rPr>
        <w:t xml:space="preserve">fueron condenados a la pena </w:t>
      </w:r>
      <w:r w:rsidR="00245590" w:rsidRPr="0064597D">
        <w:rPr>
          <w:rFonts w:cs="Verdana"/>
          <w:sz w:val="20"/>
          <w:szCs w:val="20"/>
        </w:rPr>
        <w:t>de muerte</w:t>
      </w:r>
      <w:r w:rsidRPr="0064597D">
        <w:rPr>
          <w:rFonts w:cs="Verdana"/>
          <w:sz w:val="20"/>
          <w:szCs w:val="20"/>
        </w:rPr>
        <w:t xml:space="preserve"> por ser responsables del delito de </w:t>
      </w:r>
      <w:r w:rsidR="00F75638" w:rsidRPr="0064597D">
        <w:rPr>
          <w:rFonts w:cs="Verdana"/>
          <w:sz w:val="20"/>
          <w:szCs w:val="20"/>
        </w:rPr>
        <w:t xml:space="preserve">plagio o secuestro en grado de </w:t>
      </w:r>
      <w:r w:rsidRPr="0064597D">
        <w:rPr>
          <w:rFonts w:cs="Verdana"/>
          <w:sz w:val="20"/>
          <w:szCs w:val="20"/>
        </w:rPr>
        <w:t>autores directos</w:t>
      </w:r>
      <w:r w:rsidR="00520FDF" w:rsidRPr="0064597D">
        <w:rPr>
          <w:rFonts w:cs="Verdana"/>
          <w:sz w:val="20"/>
          <w:szCs w:val="20"/>
        </w:rPr>
        <w:t xml:space="preserve">. </w:t>
      </w:r>
      <w:r w:rsidR="008F01D8" w:rsidRPr="0064597D">
        <w:rPr>
          <w:rFonts w:cs="Verdana"/>
          <w:sz w:val="20"/>
          <w:szCs w:val="20"/>
        </w:rPr>
        <w:t xml:space="preserve">Los otros dos procesados </w:t>
      </w:r>
      <w:r w:rsidR="00B70565" w:rsidRPr="0064597D">
        <w:rPr>
          <w:rFonts w:cs="Verdana"/>
          <w:sz w:val="20"/>
          <w:szCs w:val="20"/>
        </w:rPr>
        <w:t>fueron condenados por la comisión del delito de plagio o secuestro a cuarenta y veinte años de “prisión inconmutables”, respectivamente</w:t>
      </w:r>
      <w:r w:rsidR="00A74D23" w:rsidRPr="0064597D">
        <w:rPr>
          <w:rStyle w:val="Refdenotaalpie"/>
          <w:rFonts w:cs="Verdana"/>
          <w:sz w:val="20"/>
          <w:szCs w:val="20"/>
        </w:rPr>
        <w:footnoteReference w:id="65"/>
      </w:r>
      <w:r w:rsidRPr="0064597D">
        <w:rPr>
          <w:rFonts w:cs="Verdana"/>
          <w:sz w:val="20"/>
          <w:szCs w:val="20"/>
        </w:rPr>
        <w:t xml:space="preserve">. </w:t>
      </w:r>
    </w:p>
    <w:p w14:paraId="62807402" w14:textId="4D9E3897" w:rsidR="007B52B0" w:rsidRPr="0064597D" w:rsidRDefault="00544B95" w:rsidP="00377181">
      <w:pPr>
        <w:pStyle w:val="Ttulo3"/>
        <w:rPr>
          <w:lang w:eastAsia="en-US"/>
        </w:rPr>
      </w:pPr>
      <w:bookmarkStart w:id="51" w:name="_Toc15985495"/>
      <w:bookmarkStart w:id="52" w:name="_Toc24014544"/>
      <w:r w:rsidRPr="0064597D">
        <w:t xml:space="preserve">c.2 </w:t>
      </w:r>
      <w:r w:rsidRPr="0064597D">
        <w:tab/>
      </w:r>
      <w:r w:rsidR="007B52B0" w:rsidRPr="0064597D">
        <w:rPr>
          <w:lang w:eastAsia="en-US"/>
        </w:rPr>
        <w:t>Recursos interpuestos</w:t>
      </w:r>
      <w:bookmarkEnd w:id="51"/>
      <w:bookmarkEnd w:id="52"/>
    </w:p>
    <w:p w14:paraId="4D1228E7" w14:textId="2D783E91" w:rsidR="007B52B0" w:rsidRPr="0064597D" w:rsidRDefault="0022697E" w:rsidP="006958DA">
      <w:pPr>
        <w:numPr>
          <w:ilvl w:val="0"/>
          <w:numId w:val="1"/>
        </w:numPr>
        <w:tabs>
          <w:tab w:val="left" w:pos="567"/>
          <w:tab w:val="num" w:pos="1569"/>
          <w:tab w:val="num" w:pos="12305"/>
        </w:tabs>
        <w:autoSpaceDE w:val="0"/>
        <w:autoSpaceDN w:val="0"/>
        <w:spacing w:line="240" w:lineRule="auto"/>
        <w:ind w:left="0" w:firstLine="0"/>
        <w:rPr>
          <w:sz w:val="20"/>
          <w:szCs w:val="20"/>
        </w:rPr>
      </w:pPr>
      <w:r w:rsidRPr="0064597D">
        <w:rPr>
          <w:rFonts w:cs="Verdana"/>
          <w:sz w:val="20"/>
          <w:szCs w:val="20"/>
        </w:rPr>
        <w:t>El señor</w:t>
      </w:r>
      <w:r w:rsidR="007B52B0" w:rsidRPr="0064597D">
        <w:rPr>
          <w:rFonts w:cs="Verdana"/>
          <w:sz w:val="20"/>
          <w:szCs w:val="20"/>
        </w:rPr>
        <w:t xml:space="preserve"> Ruiz Fuentes</w:t>
      </w:r>
      <w:r w:rsidRPr="0064597D">
        <w:rPr>
          <w:rFonts w:cs="Verdana"/>
          <w:sz w:val="20"/>
          <w:szCs w:val="20"/>
        </w:rPr>
        <w:t xml:space="preserve"> y </w:t>
      </w:r>
      <w:r w:rsidR="00D727C0" w:rsidRPr="0064597D">
        <w:rPr>
          <w:rFonts w:cs="Verdana"/>
          <w:sz w:val="20"/>
          <w:szCs w:val="20"/>
        </w:rPr>
        <w:t>las otras dos personas</w:t>
      </w:r>
      <w:r w:rsidRPr="0064597D">
        <w:rPr>
          <w:rFonts w:cs="Verdana"/>
          <w:sz w:val="20"/>
          <w:szCs w:val="20"/>
        </w:rPr>
        <w:t xml:space="preserve"> condenad</w:t>
      </w:r>
      <w:r w:rsidR="00F75638" w:rsidRPr="0064597D">
        <w:rPr>
          <w:rFonts w:cs="Verdana"/>
          <w:sz w:val="20"/>
          <w:szCs w:val="20"/>
        </w:rPr>
        <w:t>a</w:t>
      </w:r>
      <w:r w:rsidRPr="0064597D">
        <w:rPr>
          <w:rFonts w:cs="Verdana"/>
          <w:sz w:val="20"/>
          <w:szCs w:val="20"/>
        </w:rPr>
        <w:t>s a pena de muerte</w:t>
      </w:r>
      <w:r w:rsidR="008F01D8" w:rsidRPr="0064597D">
        <w:rPr>
          <w:rFonts w:cs="Verdana"/>
          <w:sz w:val="20"/>
          <w:szCs w:val="20"/>
        </w:rPr>
        <w:t xml:space="preserve"> </w:t>
      </w:r>
      <w:r w:rsidRPr="0064597D">
        <w:rPr>
          <w:rFonts w:cs="Verdana"/>
          <w:sz w:val="20"/>
          <w:szCs w:val="20"/>
        </w:rPr>
        <w:t>int</w:t>
      </w:r>
      <w:r w:rsidR="008F01D8" w:rsidRPr="0064597D">
        <w:rPr>
          <w:rFonts w:cs="Verdana"/>
          <w:sz w:val="20"/>
          <w:szCs w:val="20"/>
        </w:rPr>
        <w:t xml:space="preserve">erpusieron un “recurso de </w:t>
      </w:r>
      <w:r w:rsidR="0034637D" w:rsidRPr="0064597D">
        <w:rPr>
          <w:rFonts w:cs="Verdana"/>
          <w:sz w:val="20"/>
          <w:szCs w:val="20"/>
        </w:rPr>
        <w:t>a</w:t>
      </w:r>
      <w:r w:rsidRPr="0064597D">
        <w:rPr>
          <w:rFonts w:cs="Verdana"/>
          <w:sz w:val="20"/>
          <w:szCs w:val="20"/>
        </w:rPr>
        <w:t xml:space="preserve">pelación </w:t>
      </w:r>
      <w:r w:rsidR="0034637D" w:rsidRPr="0064597D">
        <w:rPr>
          <w:rFonts w:cs="Verdana"/>
          <w:sz w:val="20"/>
          <w:szCs w:val="20"/>
        </w:rPr>
        <w:t>e</w:t>
      </w:r>
      <w:r w:rsidRPr="0064597D">
        <w:rPr>
          <w:rFonts w:cs="Verdana"/>
          <w:sz w:val="20"/>
          <w:szCs w:val="20"/>
        </w:rPr>
        <w:t xml:space="preserve">special por motivos de fondo y forma” </w:t>
      </w:r>
      <w:r w:rsidR="007B52B0" w:rsidRPr="0064597D">
        <w:rPr>
          <w:rFonts w:cs="Verdana"/>
          <w:sz w:val="20"/>
          <w:szCs w:val="20"/>
        </w:rPr>
        <w:t xml:space="preserve">contra la sentencia dictada el 14 de mayo de 1999 por el </w:t>
      </w:r>
      <w:r w:rsidR="00011243" w:rsidRPr="0064597D">
        <w:rPr>
          <w:rFonts w:cs="Verdana"/>
          <w:sz w:val="20"/>
          <w:szCs w:val="20"/>
        </w:rPr>
        <w:t>Tribunal Sexto de Sentencia Penal</w:t>
      </w:r>
      <w:r w:rsidR="007B52B0" w:rsidRPr="0064597D">
        <w:rPr>
          <w:rStyle w:val="Refdenotaalpie"/>
          <w:rFonts w:cs="Verdana"/>
          <w:sz w:val="20"/>
          <w:szCs w:val="20"/>
        </w:rPr>
        <w:footnoteReference w:id="66"/>
      </w:r>
      <w:r w:rsidR="007B52B0" w:rsidRPr="0064597D">
        <w:rPr>
          <w:rFonts w:cs="Verdana"/>
          <w:sz w:val="20"/>
          <w:szCs w:val="20"/>
        </w:rPr>
        <w:t xml:space="preserve">. El señor Ruiz Fuentes fundamentó su apelación alegando que el Tribunal </w:t>
      </w:r>
      <w:r w:rsidR="007B52B0" w:rsidRPr="0064597D">
        <w:rPr>
          <w:sz w:val="20"/>
          <w:szCs w:val="20"/>
        </w:rPr>
        <w:t>de sentencia dio por acreditados hechos distintos a los</w:t>
      </w:r>
      <w:r w:rsidR="007B52B0" w:rsidRPr="0064597D">
        <w:rPr>
          <w:rFonts w:cs="Verdana"/>
          <w:sz w:val="20"/>
          <w:szCs w:val="20"/>
        </w:rPr>
        <w:t xml:space="preserve"> </w:t>
      </w:r>
      <w:r w:rsidR="007B52B0" w:rsidRPr="0064597D">
        <w:rPr>
          <w:sz w:val="20"/>
          <w:szCs w:val="20"/>
        </w:rPr>
        <w:t>formulados en la acusación, afectando con ello su derecho a la defensa</w:t>
      </w:r>
      <w:r w:rsidR="007B52B0" w:rsidRPr="0064597D">
        <w:rPr>
          <w:rStyle w:val="Refdenotaalpie"/>
          <w:rFonts w:cs="Verdana"/>
          <w:sz w:val="20"/>
          <w:szCs w:val="20"/>
        </w:rPr>
        <w:footnoteReference w:id="67"/>
      </w:r>
      <w:r w:rsidR="007B52B0" w:rsidRPr="0064597D">
        <w:rPr>
          <w:sz w:val="20"/>
          <w:szCs w:val="20"/>
        </w:rPr>
        <w:t>. También indicó que se le privó de su derecho de ofrecer y aportar prueba durante el debate</w:t>
      </w:r>
      <w:r w:rsidRPr="0064597D">
        <w:rPr>
          <w:sz w:val="20"/>
          <w:szCs w:val="20"/>
        </w:rPr>
        <w:t>,</w:t>
      </w:r>
      <w:r w:rsidR="007B52B0" w:rsidRPr="0064597D">
        <w:rPr>
          <w:rFonts w:cs="Verdana"/>
          <w:sz w:val="20"/>
          <w:szCs w:val="20"/>
        </w:rPr>
        <w:t xml:space="preserve"> </w:t>
      </w:r>
      <w:r w:rsidR="007B52B0" w:rsidRPr="0064597D">
        <w:rPr>
          <w:sz w:val="20"/>
          <w:szCs w:val="20"/>
        </w:rPr>
        <w:t>pues en dicha fase el Tribunal corrió audiencia a las partes para ofrecer prueba por el plazo de ocho días y</w:t>
      </w:r>
      <w:r w:rsidR="00A74D23" w:rsidRPr="0064597D">
        <w:rPr>
          <w:sz w:val="20"/>
          <w:szCs w:val="20"/>
        </w:rPr>
        <w:t xml:space="preserve"> debido a una omisión del entonces abogado defensor, </w:t>
      </w:r>
      <w:r w:rsidR="00BB68D5" w:rsidRPr="0064597D">
        <w:rPr>
          <w:sz w:val="20"/>
          <w:szCs w:val="20"/>
        </w:rPr>
        <w:t>quien no firmó ni selló e</w:t>
      </w:r>
      <w:r w:rsidR="007B52B0" w:rsidRPr="0064597D">
        <w:rPr>
          <w:sz w:val="20"/>
          <w:szCs w:val="20"/>
        </w:rPr>
        <w:t>l memorial de ofrecimiento, el tribunal de</w:t>
      </w:r>
      <w:r w:rsidR="007B52B0" w:rsidRPr="0064597D">
        <w:rPr>
          <w:rFonts w:cs="Verdana"/>
          <w:sz w:val="20"/>
          <w:szCs w:val="20"/>
        </w:rPr>
        <w:t xml:space="preserve"> </w:t>
      </w:r>
      <w:r w:rsidR="007B52B0" w:rsidRPr="0064597D">
        <w:rPr>
          <w:sz w:val="20"/>
          <w:szCs w:val="20"/>
        </w:rPr>
        <w:t xml:space="preserve">sentencia no le dio trámite y, en consecuencia, </w:t>
      </w:r>
      <w:r w:rsidR="00A74D23" w:rsidRPr="0064597D">
        <w:rPr>
          <w:sz w:val="20"/>
          <w:szCs w:val="20"/>
        </w:rPr>
        <w:t>se le impidió</w:t>
      </w:r>
      <w:r w:rsidR="007B52B0" w:rsidRPr="0064597D">
        <w:rPr>
          <w:sz w:val="20"/>
          <w:szCs w:val="20"/>
        </w:rPr>
        <w:t xml:space="preserve"> ofrecer prueba alguna </w:t>
      </w:r>
      <w:r w:rsidR="00A74D23" w:rsidRPr="0064597D">
        <w:rPr>
          <w:sz w:val="20"/>
          <w:szCs w:val="20"/>
        </w:rPr>
        <w:t>en el marco del</w:t>
      </w:r>
      <w:r w:rsidR="007B52B0" w:rsidRPr="0064597D">
        <w:rPr>
          <w:sz w:val="20"/>
          <w:szCs w:val="20"/>
        </w:rPr>
        <w:t xml:space="preserve"> </w:t>
      </w:r>
      <w:r w:rsidR="00A74D23" w:rsidRPr="0064597D">
        <w:rPr>
          <w:sz w:val="20"/>
          <w:szCs w:val="20"/>
        </w:rPr>
        <w:t>juicio</w:t>
      </w:r>
      <w:r w:rsidR="007B52B0" w:rsidRPr="0064597D">
        <w:rPr>
          <w:rStyle w:val="Refdenotaalpie"/>
          <w:sz w:val="20"/>
          <w:szCs w:val="20"/>
        </w:rPr>
        <w:footnoteReference w:id="68"/>
      </w:r>
      <w:r w:rsidR="00C22084" w:rsidRPr="0064597D">
        <w:rPr>
          <w:sz w:val="20"/>
          <w:szCs w:val="20"/>
        </w:rPr>
        <w:t xml:space="preserve">. </w:t>
      </w:r>
      <w:r w:rsidR="00C1486B" w:rsidRPr="0064597D">
        <w:rPr>
          <w:rFonts w:cs="Arial"/>
          <w:sz w:val="20"/>
          <w:szCs w:val="20"/>
        </w:rPr>
        <w:t xml:space="preserve">Asimismo, el señor Ruiz Fuentes se opuso a la valoración de la prueba realizada por el tribunal de primera instancia, </w:t>
      </w:r>
      <w:r w:rsidR="00A74D23" w:rsidRPr="0064597D">
        <w:rPr>
          <w:rFonts w:cs="Arial"/>
          <w:sz w:val="20"/>
          <w:szCs w:val="20"/>
        </w:rPr>
        <w:t>la</w:t>
      </w:r>
      <w:r w:rsidR="00C1486B" w:rsidRPr="0064597D">
        <w:rPr>
          <w:rFonts w:cs="Arial"/>
          <w:sz w:val="20"/>
          <w:szCs w:val="20"/>
        </w:rPr>
        <w:t xml:space="preserve"> cual</w:t>
      </w:r>
      <w:r w:rsidR="00A74D23" w:rsidRPr="0064597D">
        <w:rPr>
          <w:rFonts w:cs="Arial"/>
          <w:sz w:val="20"/>
          <w:szCs w:val="20"/>
        </w:rPr>
        <w:t xml:space="preserve"> habría infringido</w:t>
      </w:r>
      <w:r w:rsidR="00C1486B" w:rsidRPr="0064597D">
        <w:rPr>
          <w:rFonts w:cs="Arial"/>
          <w:sz w:val="20"/>
          <w:szCs w:val="20"/>
        </w:rPr>
        <w:t xml:space="preserve"> las reglas de la sana crítica</w:t>
      </w:r>
      <w:r w:rsidR="00C1486B" w:rsidRPr="0064597D">
        <w:rPr>
          <w:rStyle w:val="Refdenotaalpie"/>
          <w:rFonts w:cs="Arial"/>
          <w:sz w:val="20"/>
          <w:szCs w:val="20"/>
        </w:rPr>
        <w:footnoteReference w:id="69"/>
      </w:r>
      <w:r w:rsidR="00C1486B" w:rsidRPr="0064597D">
        <w:rPr>
          <w:rFonts w:cs="Arial"/>
          <w:sz w:val="20"/>
          <w:szCs w:val="20"/>
        </w:rPr>
        <w:t>. Por último, arguyó</w:t>
      </w:r>
      <w:r w:rsidR="007B52B0" w:rsidRPr="0064597D">
        <w:rPr>
          <w:sz w:val="20"/>
          <w:szCs w:val="20"/>
        </w:rPr>
        <w:t xml:space="preserve"> que el Tribunal aplicó indebidamente el artículo 201 del Código Penal irrespetando el artículo 46 de la Constitución y el artículo 4 de la Convención, pues </w:t>
      </w:r>
      <w:r w:rsidR="007B52B0" w:rsidRPr="0064597D">
        <w:rPr>
          <w:rFonts w:cs="Arial"/>
          <w:sz w:val="20"/>
          <w:szCs w:val="20"/>
        </w:rPr>
        <w:t xml:space="preserve">al </w:t>
      </w:r>
      <w:r w:rsidR="007B52B0" w:rsidRPr="0064597D">
        <w:rPr>
          <w:sz w:val="20"/>
          <w:szCs w:val="20"/>
        </w:rPr>
        <w:t>momento de su ratificación la pena</w:t>
      </w:r>
      <w:r w:rsidR="007B52B0" w:rsidRPr="0064597D">
        <w:rPr>
          <w:rFonts w:cs="Verdana"/>
          <w:sz w:val="20"/>
          <w:szCs w:val="20"/>
        </w:rPr>
        <w:t xml:space="preserve"> </w:t>
      </w:r>
      <w:r w:rsidR="007B52B0" w:rsidRPr="0064597D">
        <w:rPr>
          <w:sz w:val="20"/>
          <w:szCs w:val="20"/>
        </w:rPr>
        <w:t>de muerte no estaba prevista para el secuestro cuando la víctima no fallecía</w:t>
      </w:r>
      <w:r w:rsidR="007B52B0" w:rsidRPr="0064597D">
        <w:rPr>
          <w:rStyle w:val="Refdenotaalpie"/>
          <w:sz w:val="20"/>
          <w:szCs w:val="20"/>
        </w:rPr>
        <w:footnoteReference w:id="70"/>
      </w:r>
      <w:r w:rsidR="00C22084" w:rsidRPr="0064597D">
        <w:rPr>
          <w:sz w:val="20"/>
          <w:szCs w:val="20"/>
        </w:rPr>
        <w:t>.</w:t>
      </w:r>
      <w:r w:rsidR="00A74D23" w:rsidRPr="0064597D">
        <w:rPr>
          <w:sz w:val="20"/>
          <w:szCs w:val="20"/>
        </w:rPr>
        <w:t xml:space="preserve"> </w:t>
      </w:r>
      <w:r w:rsidR="007B52B0" w:rsidRPr="0064597D">
        <w:rPr>
          <w:sz w:val="20"/>
          <w:szCs w:val="20"/>
        </w:rPr>
        <w:t xml:space="preserve">El 13 de septiembre de 1999 la Sala Cuarta de la Corte de Apelaciones </w:t>
      </w:r>
      <w:r w:rsidR="00F1329C" w:rsidRPr="0064597D">
        <w:rPr>
          <w:sz w:val="20"/>
          <w:szCs w:val="20"/>
        </w:rPr>
        <w:t xml:space="preserve">(en adelante, “Corte de Apelaciones”) </w:t>
      </w:r>
      <w:r w:rsidR="007B52B0" w:rsidRPr="0064597D">
        <w:rPr>
          <w:sz w:val="20"/>
          <w:szCs w:val="20"/>
        </w:rPr>
        <w:t xml:space="preserve">declaró sin lugar el recurso de </w:t>
      </w:r>
      <w:r w:rsidR="007B52B0" w:rsidRPr="0064597D">
        <w:rPr>
          <w:sz w:val="20"/>
          <w:szCs w:val="20"/>
        </w:rPr>
        <w:lastRenderedPageBreak/>
        <w:t>apelación especial planteado por el señor Ruiz Fuentes y los demás condenados</w:t>
      </w:r>
      <w:r w:rsidR="007B52B0" w:rsidRPr="0064597D">
        <w:rPr>
          <w:rStyle w:val="Refdenotaalpie"/>
          <w:sz w:val="20"/>
          <w:szCs w:val="20"/>
        </w:rPr>
        <w:footnoteReference w:id="71"/>
      </w:r>
      <w:r w:rsidR="007B52B0" w:rsidRPr="0064597D">
        <w:rPr>
          <w:sz w:val="20"/>
          <w:szCs w:val="20"/>
        </w:rPr>
        <w:t xml:space="preserve">. </w:t>
      </w:r>
    </w:p>
    <w:p w14:paraId="4BE22022" w14:textId="77777777" w:rsidR="00A74D23" w:rsidRPr="0064597D" w:rsidRDefault="00A74D23" w:rsidP="00A74D23">
      <w:pPr>
        <w:tabs>
          <w:tab w:val="left" w:pos="567"/>
        </w:tabs>
        <w:autoSpaceDE w:val="0"/>
        <w:autoSpaceDN w:val="0"/>
        <w:spacing w:line="240" w:lineRule="auto"/>
        <w:rPr>
          <w:sz w:val="20"/>
          <w:szCs w:val="20"/>
        </w:rPr>
      </w:pPr>
    </w:p>
    <w:p w14:paraId="136BAB3E" w14:textId="453AA56B" w:rsidR="007B52B0" w:rsidRPr="0064597D" w:rsidRDefault="00F1329C" w:rsidP="006958DA">
      <w:pPr>
        <w:numPr>
          <w:ilvl w:val="0"/>
          <w:numId w:val="1"/>
        </w:numPr>
        <w:tabs>
          <w:tab w:val="left" w:pos="567"/>
          <w:tab w:val="num" w:pos="1569"/>
          <w:tab w:val="num" w:pos="12305"/>
        </w:tabs>
        <w:autoSpaceDE w:val="0"/>
        <w:autoSpaceDN w:val="0"/>
        <w:spacing w:line="240" w:lineRule="auto"/>
        <w:ind w:left="0" w:firstLine="0"/>
        <w:rPr>
          <w:sz w:val="20"/>
          <w:szCs w:val="20"/>
        </w:rPr>
      </w:pPr>
      <w:r w:rsidRPr="0064597D">
        <w:rPr>
          <w:rFonts w:cs="Verdana"/>
          <w:sz w:val="20"/>
          <w:szCs w:val="20"/>
        </w:rPr>
        <w:t>Los días</w:t>
      </w:r>
      <w:r w:rsidR="007B52B0" w:rsidRPr="0064597D">
        <w:rPr>
          <w:rFonts w:cs="Verdana"/>
          <w:sz w:val="20"/>
          <w:szCs w:val="20"/>
        </w:rPr>
        <w:t xml:space="preserve"> 12 de octubre </w:t>
      </w:r>
      <w:r w:rsidRPr="0064597D">
        <w:rPr>
          <w:rFonts w:cs="Verdana"/>
          <w:sz w:val="20"/>
          <w:szCs w:val="20"/>
        </w:rPr>
        <w:t xml:space="preserve">y 4 de noviembre </w:t>
      </w:r>
      <w:r w:rsidR="007B52B0" w:rsidRPr="0064597D">
        <w:rPr>
          <w:rFonts w:cs="Verdana"/>
          <w:sz w:val="20"/>
          <w:szCs w:val="20"/>
        </w:rPr>
        <w:t xml:space="preserve">de 1999 </w:t>
      </w:r>
      <w:r w:rsidR="008A4E62" w:rsidRPr="0064597D">
        <w:rPr>
          <w:rFonts w:cs="Verdana"/>
          <w:sz w:val="20"/>
          <w:szCs w:val="20"/>
        </w:rPr>
        <w:t>el señor</w:t>
      </w:r>
      <w:r w:rsidR="007B52B0" w:rsidRPr="0064597D">
        <w:rPr>
          <w:rFonts w:cs="Verdana"/>
          <w:sz w:val="20"/>
          <w:szCs w:val="20"/>
        </w:rPr>
        <w:t xml:space="preserve"> Ruiz Fuentes</w:t>
      </w:r>
      <w:r w:rsidR="008A4E62" w:rsidRPr="0064597D">
        <w:rPr>
          <w:rFonts w:cs="Verdana"/>
          <w:sz w:val="20"/>
          <w:szCs w:val="20"/>
        </w:rPr>
        <w:t xml:space="preserve">, junto con </w:t>
      </w:r>
      <w:r w:rsidR="00A67FA4" w:rsidRPr="0064597D">
        <w:rPr>
          <w:rFonts w:cs="Arial"/>
          <w:sz w:val="20"/>
          <w:szCs w:val="20"/>
        </w:rPr>
        <w:t>J.M.M.R.</w:t>
      </w:r>
      <w:r w:rsidR="008A4E62" w:rsidRPr="0064597D">
        <w:rPr>
          <w:rFonts w:cs="Verdana"/>
          <w:sz w:val="20"/>
          <w:szCs w:val="20"/>
        </w:rPr>
        <w:t xml:space="preserve">, </w:t>
      </w:r>
      <w:r w:rsidR="00A74D23" w:rsidRPr="0064597D">
        <w:rPr>
          <w:sz w:val="20"/>
          <w:szCs w:val="20"/>
        </w:rPr>
        <w:t xml:space="preserve">interpusieron </w:t>
      </w:r>
      <w:r w:rsidR="007B52B0" w:rsidRPr="0064597D">
        <w:rPr>
          <w:rFonts w:cs="Verdana"/>
          <w:sz w:val="20"/>
          <w:szCs w:val="20"/>
        </w:rPr>
        <w:t>un recurso de casación</w:t>
      </w:r>
      <w:r w:rsidRPr="0064597D">
        <w:rPr>
          <w:rFonts w:cs="Verdana"/>
          <w:sz w:val="20"/>
          <w:szCs w:val="20"/>
        </w:rPr>
        <w:t xml:space="preserve"> ante la Cámara Penal de la Corte Suprema de Justicia (en adelante, “Corte Suprema de Justicia”)</w:t>
      </w:r>
      <w:r w:rsidR="007B52B0" w:rsidRPr="0064597D">
        <w:rPr>
          <w:rFonts w:cs="Verdana"/>
          <w:sz w:val="20"/>
          <w:szCs w:val="20"/>
        </w:rPr>
        <w:t xml:space="preserve"> en contra de la sentencia </w:t>
      </w:r>
      <w:r w:rsidR="008A4E62" w:rsidRPr="0064597D">
        <w:rPr>
          <w:rFonts w:cs="Verdana"/>
          <w:sz w:val="20"/>
          <w:szCs w:val="20"/>
        </w:rPr>
        <w:t xml:space="preserve">de </w:t>
      </w:r>
      <w:r w:rsidR="008A4E62" w:rsidRPr="0064597D">
        <w:rPr>
          <w:sz w:val="20"/>
          <w:szCs w:val="20"/>
        </w:rPr>
        <w:t xml:space="preserve">13 de septiembre de 1999 </w:t>
      </w:r>
      <w:r w:rsidR="007B52B0" w:rsidRPr="0064597D">
        <w:rPr>
          <w:rFonts w:cs="Verdana"/>
          <w:sz w:val="20"/>
          <w:szCs w:val="20"/>
        </w:rPr>
        <w:t xml:space="preserve">dictada por la </w:t>
      </w:r>
      <w:r w:rsidRPr="0064597D">
        <w:rPr>
          <w:sz w:val="20"/>
          <w:szCs w:val="20"/>
        </w:rPr>
        <w:t>Corte de Apelaciones</w:t>
      </w:r>
      <w:r w:rsidRPr="0064597D">
        <w:rPr>
          <w:rFonts w:cs="Verdana"/>
          <w:sz w:val="20"/>
          <w:szCs w:val="20"/>
        </w:rPr>
        <w:t xml:space="preserve">, </w:t>
      </w:r>
      <w:r w:rsidR="007B52B0" w:rsidRPr="0064597D">
        <w:rPr>
          <w:rFonts w:cs="Verdana"/>
          <w:sz w:val="20"/>
          <w:szCs w:val="20"/>
        </w:rPr>
        <w:t>alegando vicios de forma y fondo</w:t>
      </w:r>
      <w:r w:rsidRPr="0064597D">
        <w:rPr>
          <w:rStyle w:val="Refdenotaalpie"/>
          <w:rFonts w:cs="Verdana"/>
          <w:sz w:val="20"/>
          <w:szCs w:val="20"/>
        </w:rPr>
        <w:footnoteReference w:id="72"/>
      </w:r>
      <w:r w:rsidR="00CC2671" w:rsidRPr="0064597D">
        <w:rPr>
          <w:sz w:val="20"/>
          <w:szCs w:val="20"/>
        </w:rPr>
        <w:t xml:space="preserve">. </w:t>
      </w:r>
      <w:r w:rsidR="007B52B0" w:rsidRPr="0064597D">
        <w:rPr>
          <w:rFonts w:cs="Verdana"/>
          <w:sz w:val="20"/>
          <w:szCs w:val="20"/>
        </w:rPr>
        <w:t>El 20 de julio de 2000 la Corte Suprema de Justicia declaró improcedentes los recursos de casación interpuestos</w:t>
      </w:r>
      <w:r w:rsidR="002645E3" w:rsidRPr="0064597D">
        <w:rPr>
          <w:rFonts w:cs="Verdana"/>
          <w:sz w:val="20"/>
          <w:szCs w:val="20"/>
        </w:rPr>
        <w:t xml:space="preserve"> por </w:t>
      </w:r>
      <w:r w:rsidR="00D727C0" w:rsidRPr="0064597D">
        <w:rPr>
          <w:rFonts w:cs="Verdana"/>
          <w:sz w:val="20"/>
          <w:szCs w:val="20"/>
        </w:rPr>
        <w:t>los señores</w:t>
      </w:r>
      <w:r w:rsidR="002645E3" w:rsidRPr="0064597D">
        <w:rPr>
          <w:rFonts w:cs="Verdana"/>
          <w:sz w:val="20"/>
          <w:szCs w:val="20"/>
        </w:rPr>
        <w:t xml:space="preserve"> Ruiz Fuentes</w:t>
      </w:r>
      <w:r w:rsidR="002651E1" w:rsidRPr="0064597D">
        <w:rPr>
          <w:rFonts w:cs="Verdana"/>
          <w:sz w:val="20"/>
          <w:szCs w:val="20"/>
        </w:rPr>
        <w:t xml:space="preserve">, </w:t>
      </w:r>
      <w:r w:rsidR="002651E1" w:rsidRPr="0064597D">
        <w:rPr>
          <w:sz w:val="20"/>
          <w:szCs w:val="20"/>
        </w:rPr>
        <w:t>Murga Rodríguez</w:t>
      </w:r>
      <w:r w:rsidR="002645E3" w:rsidRPr="0064597D">
        <w:rPr>
          <w:rFonts w:cs="Verdana"/>
          <w:sz w:val="20"/>
          <w:szCs w:val="20"/>
        </w:rPr>
        <w:t xml:space="preserve"> y </w:t>
      </w:r>
      <w:r w:rsidR="002651E1" w:rsidRPr="0064597D">
        <w:rPr>
          <w:rFonts w:cs="Verdana"/>
          <w:sz w:val="20"/>
          <w:szCs w:val="20"/>
        </w:rPr>
        <w:t>Raxcacó Reyes</w:t>
      </w:r>
      <w:r w:rsidR="002645E3" w:rsidRPr="0064597D">
        <w:rPr>
          <w:rStyle w:val="Refdenotaalpie"/>
          <w:rFonts w:cs="Verdana"/>
          <w:sz w:val="20"/>
          <w:szCs w:val="20"/>
        </w:rPr>
        <w:footnoteReference w:id="73"/>
      </w:r>
      <w:r w:rsidR="007B52B0" w:rsidRPr="0064597D">
        <w:rPr>
          <w:rFonts w:cs="Verdana"/>
          <w:i/>
          <w:iCs/>
          <w:sz w:val="20"/>
          <w:szCs w:val="20"/>
        </w:rPr>
        <w:t>.</w:t>
      </w:r>
      <w:r w:rsidR="007B52B0" w:rsidRPr="0064597D">
        <w:rPr>
          <w:rFonts w:cs="Verdana"/>
          <w:sz w:val="20"/>
          <w:szCs w:val="20"/>
        </w:rPr>
        <w:t xml:space="preserve"> </w:t>
      </w:r>
    </w:p>
    <w:p w14:paraId="44EEB52D" w14:textId="77777777" w:rsidR="00A74D23" w:rsidRPr="0064597D" w:rsidRDefault="00A74D23" w:rsidP="00A74D23">
      <w:pPr>
        <w:tabs>
          <w:tab w:val="left" w:pos="567"/>
          <w:tab w:val="num" w:pos="1569"/>
          <w:tab w:val="num" w:pos="12305"/>
        </w:tabs>
        <w:autoSpaceDE w:val="0"/>
        <w:autoSpaceDN w:val="0"/>
        <w:spacing w:line="240" w:lineRule="auto"/>
        <w:rPr>
          <w:sz w:val="20"/>
          <w:szCs w:val="20"/>
        </w:rPr>
      </w:pPr>
    </w:p>
    <w:p w14:paraId="2E1C7040" w14:textId="7F5CFB81" w:rsidR="007B52B0" w:rsidRPr="0064597D" w:rsidRDefault="007B52B0" w:rsidP="007A2041">
      <w:pPr>
        <w:numPr>
          <w:ilvl w:val="0"/>
          <w:numId w:val="1"/>
        </w:numPr>
        <w:tabs>
          <w:tab w:val="left" w:pos="567"/>
          <w:tab w:val="num" w:pos="1569"/>
          <w:tab w:val="num" w:pos="12305"/>
        </w:tabs>
        <w:autoSpaceDE w:val="0"/>
        <w:autoSpaceDN w:val="0"/>
        <w:spacing w:line="240" w:lineRule="auto"/>
        <w:ind w:left="0" w:firstLine="0"/>
        <w:rPr>
          <w:rFonts w:cs="Arial"/>
          <w:sz w:val="20"/>
          <w:szCs w:val="20"/>
        </w:rPr>
      </w:pPr>
      <w:r w:rsidRPr="0064597D">
        <w:rPr>
          <w:sz w:val="20"/>
          <w:szCs w:val="20"/>
        </w:rPr>
        <w:t>El 29 de agosto de 2000 el señor Ruiz Fuentes</w:t>
      </w:r>
      <w:r w:rsidR="002651E1" w:rsidRPr="0064597D">
        <w:rPr>
          <w:sz w:val="20"/>
          <w:szCs w:val="20"/>
        </w:rPr>
        <w:t xml:space="preserve">, junto con </w:t>
      </w:r>
      <w:r w:rsidR="00A67FA4" w:rsidRPr="0064597D">
        <w:rPr>
          <w:rFonts w:cs="Arial"/>
          <w:sz w:val="20"/>
          <w:szCs w:val="20"/>
        </w:rPr>
        <w:t>J.M.M.R.</w:t>
      </w:r>
      <w:r w:rsidR="002651E1" w:rsidRPr="0064597D">
        <w:rPr>
          <w:sz w:val="20"/>
          <w:szCs w:val="20"/>
        </w:rPr>
        <w:t xml:space="preserve">, </w:t>
      </w:r>
      <w:r w:rsidR="00A74D23" w:rsidRPr="0064597D">
        <w:rPr>
          <w:sz w:val="20"/>
          <w:szCs w:val="20"/>
        </w:rPr>
        <w:t>interpusieron</w:t>
      </w:r>
      <w:r w:rsidRPr="0064597D">
        <w:rPr>
          <w:sz w:val="20"/>
          <w:szCs w:val="20"/>
        </w:rPr>
        <w:t xml:space="preserve"> una acción de amparo ante la </w:t>
      </w:r>
      <w:r w:rsidRPr="0064597D">
        <w:rPr>
          <w:rFonts w:cs="Verdana"/>
          <w:sz w:val="20"/>
          <w:szCs w:val="20"/>
        </w:rPr>
        <w:t>Corte</w:t>
      </w:r>
      <w:r w:rsidRPr="0064597D">
        <w:rPr>
          <w:sz w:val="20"/>
          <w:szCs w:val="20"/>
        </w:rPr>
        <w:t xml:space="preserve"> de Constitucionalidad en contra de la decisión de la </w:t>
      </w:r>
      <w:r w:rsidR="00B5100E" w:rsidRPr="0064597D">
        <w:rPr>
          <w:rFonts w:cs="Verdana"/>
          <w:sz w:val="20"/>
          <w:szCs w:val="20"/>
        </w:rPr>
        <w:t>Corte Suprema de Justicia</w:t>
      </w:r>
      <w:r w:rsidRPr="0064597D">
        <w:rPr>
          <w:sz w:val="20"/>
          <w:szCs w:val="20"/>
        </w:rPr>
        <w:t xml:space="preserve">, reiterando las razones por las que considera que la pena de muerte es inaplicable en </w:t>
      </w:r>
      <w:r w:rsidR="002651E1" w:rsidRPr="0064597D">
        <w:rPr>
          <w:sz w:val="20"/>
          <w:szCs w:val="20"/>
        </w:rPr>
        <w:t>su caso</w:t>
      </w:r>
      <w:r w:rsidRPr="0064597D">
        <w:rPr>
          <w:rStyle w:val="Refdenotaalpie"/>
          <w:sz w:val="20"/>
          <w:szCs w:val="20"/>
        </w:rPr>
        <w:footnoteReference w:id="74"/>
      </w:r>
      <w:r w:rsidRPr="0064597D">
        <w:rPr>
          <w:sz w:val="20"/>
          <w:szCs w:val="20"/>
        </w:rPr>
        <w:t xml:space="preserve">. El 4 </w:t>
      </w:r>
      <w:r w:rsidRPr="0064597D">
        <w:rPr>
          <w:rFonts w:cs="Verdana"/>
          <w:sz w:val="20"/>
          <w:szCs w:val="20"/>
        </w:rPr>
        <w:t>de</w:t>
      </w:r>
      <w:r w:rsidRPr="0064597D">
        <w:rPr>
          <w:sz w:val="20"/>
          <w:szCs w:val="20"/>
        </w:rPr>
        <w:t xml:space="preserve"> julio de 2001 la Corte de Constitucionalidad declaró sin lugar la acción de amparo. </w:t>
      </w:r>
    </w:p>
    <w:p w14:paraId="6AEFD1FB" w14:textId="77777777" w:rsidR="00083381" w:rsidRPr="0064597D" w:rsidRDefault="00083381" w:rsidP="00083381">
      <w:pPr>
        <w:tabs>
          <w:tab w:val="left" w:pos="567"/>
        </w:tabs>
        <w:autoSpaceDE w:val="0"/>
        <w:autoSpaceDN w:val="0"/>
        <w:spacing w:line="240" w:lineRule="auto"/>
        <w:rPr>
          <w:rFonts w:cs="Arial"/>
          <w:sz w:val="20"/>
          <w:szCs w:val="20"/>
        </w:rPr>
      </w:pPr>
    </w:p>
    <w:p w14:paraId="140B2058" w14:textId="77777777" w:rsidR="007B52B0" w:rsidRPr="0064597D" w:rsidRDefault="007B52B0" w:rsidP="000C391B">
      <w:pPr>
        <w:numPr>
          <w:ilvl w:val="0"/>
          <w:numId w:val="1"/>
        </w:numPr>
        <w:tabs>
          <w:tab w:val="left" w:pos="567"/>
          <w:tab w:val="num" w:pos="1569"/>
          <w:tab w:val="num" w:pos="12305"/>
        </w:tabs>
        <w:autoSpaceDE w:val="0"/>
        <w:autoSpaceDN w:val="0"/>
        <w:spacing w:line="240" w:lineRule="auto"/>
        <w:ind w:left="0" w:firstLine="0"/>
        <w:rPr>
          <w:sz w:val="20"/>
          <w:szCs w:val="20"/>
        </w:rPr>
      </w:pPr>
      <w:r w:rsidRPr="0064597D">
        <w:rPr>
          <w:sz w:val="20"/>
          <w:szCs w:val="20"/>
        </w:rPr>
        <w:t xml:space="preserve">El 16 de diciembre de 2002 el señor Ruiz Fuentes interpuso un recurso de revisión ante la Cámara Penal de la Corte Suprema de Justicia contra la sentencia </w:t>
      </w:r>
      <w:r w:rsidR="00E76235" w:rsidRPr="0064597D">
        <w:rPr>
          <w:sz w:val="20"/>
          <w:szCs w:val="20"/>
        </w:rPr>
        <w:t>penal ejecutoriada, debido a la imposición de la pena de muerte “pese a que la víctima no falleció”</w:t>
      </w:r>
      <w:r w:rsidRPr="0064597D">
        <w:rPr>
          <w:rStyle w:val="Refdenotaalpie"/>
          <w:sz w:val="20"/>
          <w:szCs w:val="20"/>
        </w:rPr>
        <w:footnoteReference w:id="75"/>
      </w:r>
      <w:r w:rsidRPr="0064597D">
        <w:rPr>
          <w:sz w:val="20"/>
          <w:szCs w:val="20"/>
        </w:rPr>
        <w:t xml:space="preserve">. También, añadió que la aplicación de la pena de muerte </w:t>
      </w:r>
      <w:r w:rsidR="00E76235" w:rsidRPr="0064597D">
        <w:rPr>
          <w:sz w:val="20"/>
          <w:szCs w:val="20"/>
        </w:rPr>
        <w:t>se realizó</w:t>
      </w:r>
      <w:r w:rsidRPr="0064597D">
        <w:rPr>
          <w:sz w:val="20"/>
          <w:szCs w:val="20"/>
        </w:rPr>
        <w:t xml:space="preserve"> “en violación a varios preceptos de la Convención Americana de los Derechos Humanos”</w:t>
      </w:r>
      <w:r w:rsidRPr="0064597D">
        <w:rPr>
          <w:rStyle w:val="Refdenotaalpie"/>
          <w:sz w:val="20"/>
          <w:szCs w:val="20"/>
        </w:rPr>
        <w:footnoteReference w:id="76"/>
      </w:r>
      <w:r w:rsidRPr="0064597D">
        <w:rPr>
          <w:sz w:val="20"/>
          <w:szCs w:val="20"/>
        </w:rPr>
        <w:t xml:space="preserve">. El 1 </w:t>
      </w:r>
      <w:r w:rsidRPr="0064597D">
        <w:rPr>
          <w:rFonts w:cs="Verdana"/>
          <w:sz w:val="20"/>
          <w:szCs w:val="20"/>
        </w:rPr>
        <w:t>de</w:t>
      </w:r>
      <w:r w:rsidRPr="0064597D">
        <w:rPr>
          <w:sz w:val="20"/>
          <w:szCs w:val="20"/>
        </w:rPr>
        <w:t xml:space="preserve"> diciembre de 2003 la Cámara Penal de la Corte Suprema de Justicia declar</w:t>
      </w:r>
      <w:r w:rsidR="00E76235" w:rsidRPr="0064597D">
        <w:rPr>
          <w:sz w:val="20"/>
          <w:szCs w:val="20"/>
        </w:rPr>
        <w:t>ó</w:t>
      </w:r>
      <w:r w:rsidRPr="0064597D">
        <w:rPr>
          <w:sz w:val="20"/>
          <w:szCs w:val="20"/>
        </w:rPr>
        <w:t xml:space="preserve"> sin lugar el recurso de revisión indicando que “al analizar los elementos de prueba ofrecidos por el procesado estima que los mismos no cumplen con lo preceptuado en el artículo 455 del Código Procesal Penal puesto que no constituyen nuevos elementos de prueba que sean idóneos para fundamentar una condena menos grave”</w:t>
      </w:r>
      <w:r w:rsidRPr="0064597D">
        <w:rPr>
          <w:rStyle w:val="Refdenotaalpie"/>
          <w:sz w:val="20"/>
          <w:szCs w:val="20"/>
        </w:rPr>
        <w:footnoteReference w:id="77"/>
      </w:r>
      <w:r w:rsidRPr="0064597D">
        <w:rPr>
          <w:sz w:val="20"/>
          <w:szCs w:val="20"/>
        </w:rPr>
        <w:t xml:space="preserve">. </w:t>
      </w:r>
    </w:p>
    <w:p w14:paraId="09E48253" w14:textId="77777777" w:rsidR="00E76235" w:rsidRPr="0064597D" w:rsidRDefault="00E76235" w:rsidP="00E76235">
      <w:pPr>
        <w:tabs>
          <w:tab w:val="left" w:pos="567"/>
          <w:tab w:val="num" w:pos="12305"/>
        </w:tabs>
        <w:autoSpaceDE w:val="0"/>
        <w:autoSpaceDN w:val="0"/>
        <w:spacing w:line="240" w:lineRule="auto"/>
        <w:rPr>
          <w:sz w:val="20"/>
          <w:szCs w:val="20"/>
        </w:rPr>
      </w:pPr>
    </w:p>
    <w:p w14:paraId="1E686007" w14:textId="77777777" w:rsidR="007B52B0" w:rsidRPr="0064597D" w:rsidRDefault="007B52B0" w:rsidP="004C7B64">
      <w:pPr>
        <w:numPr>
          <w:ilvl w:val="0"/>
          <w:numId w:val="1"/>
        </w:numPr>
        <w:tabs>
          <w:tab w:val="left" w:pos="567"/>
          <w:tab w:val="num" w:pos="1569"/>
          <w:tab w:val="num" w:pos="12305"/>
        </w:tabs>
        <w:spacing w:line="240" w:lineRule="auto"/>
        <w:ind w:left="0" w:firstLine="0"/>
        <w:rPr>
          <w:rFonts w:cs="Arial"/>
          <w:sz w:val="20"/>
          <w:szCs w:val="20"/>
        </w:rPr>
      </w:pPr>
      <w:r w:rsidRPr="0064597D">
        <w:rPr>
          <w:rFonts w:cs="Arial"/>
          <w:sz w:val="20"/>
          <w:szCs w:val="20"/>
        </w:rPr>
        <w:t xml:space="preserve">El 16 </w:t>
      </w:r>
      <w:r w:rsidRPr="0064597D">
        <w:rPr>
          <w:rFonts w:cs="Verdana"/>
          <w:sz w:val="20"/>
          <w:szCs w:val="20"/>
        </w:rPr>
        <w:t>de</w:t>
      </w:r>
      <w:r w:rsidRPr="0064597D">
        <w:rPr>
          <w:rFonts w:cs="Arial"/>
          <w:sz w:val="20"/>
          <w:szCs w:val="20"/>
        </w:rPr>
        <w:t xml:space="preserve"> diciembre de 2003 el señor Ruiz Fuentes presentó un recurso de gracia ante el Ministro de Gobernación solicitando la conmutación de la pena de muerte por la inmediata inferior de 50 años de prisión</w:t>
      </w:r>
      <w:r w:rsidRPr="0064597D">
        <w:rPr>
          <w:rStyle w:val="Refdenotaalpie"/>
          <w:sz w:val="20"/>
          <w:szCs w:val="20"/>
        </w:rPr>
        <w:footnoteReference w:id="78"/>
      </w:r>
      <w:r w:rsidRPr="0064597D">
        <w:rPr>
          <w:rFonts w:cs="Arial"/>
          <w:sz w:val="20"/>
          <w:szCs w:val="20"/>
        </w:rPr>
        <w:t xml:space="preserve">. </w:t>
      </w:r>
      <w:r w:rsidR="004C7B64" w:rsidRPr="0064597D">
        <w:rPr>
          <w:rFonts w:cs="Arial"/>
          <w:sz w:val="20"/>
          <w:szCs w:val="20"/>
        </w:rPr>
        <w:t xml:space="preserve">No consta que dicho recurso haya </w:t>
      </w:r>
      <w:r w:rsidRPr="0064597D">
        <w:rPr>
          <w:rFonts w:cs="Arial"/>
          <w:sz w:val="20"/>
          <w:szCs w:val="20"/>
        </w:rPr>
        <w:t xml:space="preserve">sido tramitado </w:t>
      </w:r>
      <w:r w:rsidR="004C7B64" w:rsidRPr="0064597D">
        <w:rPr>
          <w:rFonts w:cs="Arial"/>
          <w:sz w:val="20"/>
          <w:szCs w:val="20"/>
        </w:rPr>
        <w:t>o</w:t>
      </w:r>
      <w:r w:rsidRPr="0064597D">
        <w:rPr>
          <w:rFonts w:cs="Arial"/>
          <w:sz w:val="20"/>
          <w:szCs w:val="20"/>
        </w:rPr>
        <w:t xml:space="preserve"> resuelto</w:t>
      </w:r>
      <w:r w:rsidR="004C7B64" w:rsidRPr="0064597D">
        <w:rPr>
          <w:rStyle w:val="Refdenotaalpie"/>
          <w:rFonts w:cs="Arial"/>
          <w:sz w:val="20"/>
          <w:szCs w:val="20"/>
        </w:rPr>
        <w:footnoteReference w:id="79"/>
      </w:r>
      <w:r w:rsidR="004C7B64" w:rsidRPr="0064597D">
        <w:rPr>
          <w:rFonts w:cs="Arial"/>
          <w:sz w:val="20"/>
          <w:szCs w:val="20"/>
        </w:rPr>
        <w:t>.</w:t>
      </w:r>
    </w:p>
    <w:p w14:paraId="78A9346B" w14:textId="43DB9A11" w:rsidR="00072585" w:rsidRPr="0064597D" w:rsidRDefault="00072585" w:rsidP="00072585">
      <w:pPr>
        <w:pStyle w:val="Ttulo2"/>
      </w:pPr>
      <w:bookmarkStart w:id="53" w:name="_Toc24014545"/>
      <w:r w:rsidRPr="0064597D">
        <w:t>F.</w:t>
      </w:r>
      <w:r w:rsidRPr="0064597D">
        <w:tab/>
        <w:t>Fuga de la cárcel “El Infiernito” y posterior muerte del señor Ruiz Fuentes</w:t>
      </w:r>
      <w:bookmarkEnd w:id="53"/>
    </w:p>
    <w:p w14:paraId="61EF71F2" w14:textId="77777777" w:rsidR="0047705A" w:rsidRPr="0064597D" w:rsidRDefault="0047705A" w:rsidP="007B52B0">
      <w:pPr>
        <w:numPr>
          <w:ilvl w:val="0"/>
          <w:numId w:val="1"/>
        </w:numPr>
        <w:tabs>
          <w:tab w:val="left" w:pos="567"/>
          <w:tab w:val="num" w:pos="1569"/>
          <w:tab w:val="num" w:pos="12305"/>
        </w:tabs>
        <w:spacing w:line="240" w:lineRule="auto"/>
        <w:ind w:left="0" w:firstLine="0"/>
        <w:rPr>
          <w:sz w:val="20"/>
          <w:szCs w:val="20"/>
        </w:rPr>
      </w:pPr>
      <w:r w:rsidRPr="0064597D">
        <w:rPr>
          <w:sz w:val="20"/>
          <w:szCs w:val="20"/>
        </w:rPr>
        <w:t>E</w:t>
      </w:r>
      <w:r w:rsidR="007B52B0" w:rsidRPr="0064597D">
        <w:rPr>
          <w:sz w:val="20"/>
          <w:szCs w:val="20"/>
        </w:rPr>
        <w:t xml:space="preserve">l 22 de octubre de 2005 se produjo </w:t>
      </w:r>
      <w:r w:rsidRPr="0064597D">
        <w:rPr>
          <w:sz w:val="20"/>
          <w:szCs w:val="20"/>
        </w:rPr>
        <w:t>e</w:t>
      </w:r>
      <w:r w:rsidR="0027153A" w:rsidRPr="0064597D">
        <w:rPr>
          <w:sz w:val="20"/>
          <w:szCs w:val="20"/>
        </w:rPr>
        <w:t>n la c</w:t>
      </w:r>
      <w:r w:rsidR="0027153A" w:rsidRPr="0064597D">
        <w:rPr>
          <w:rFonts w:cs="Arial"/>
          <w:sz w:val="20"/>
          <w:szCs w:val="20"/>
        </w:rPr>
        <w:t>árcel de máxima seguridad, Anexo a la Granja Penal Canadá, denominada “El Infiernito”</w:t>
      </w:r>
      <w:r w:rsidR="00775972" w:rsidRPr="0064597D">
        <w:rPr>
          <w:rFonts w:cs="Arial"/>
          <w:sz w:val="20"/>
          <w:szCs w:val="20"/>
        </w:rPr>
        <w:t>,</w:t>
      </w:r>
      <w:r w:rsidR="0027153A" w:rsidRPr="0064597D">
        <w:rPr>
          <w:rFonts w:cs="Arial"/>
          <w:sz w:val="20"/>
          <w:szCs w:val="20"/>
        </w:rPr>
        <w:t xml:space="preserve"> </w:t>
      </w:r>
      <w:r w:rsidR="007B52B0" w:rsidRPr="0064597D">
        <w:rPr>
          <w:sz w:val="20"/>
          <w:szCs w:val="20"/>
        </w:rPr>
        <w:t xml:space="preserve">una fuga protagonizada por </w:t>
      </w:r>
      <w:r w:rsidRPr="0064597D">
        <w:rPr>
          <w:sz w:val="20"/>
          <w:szCs w:val="20"/>
        </w:rPr>
        <w:t>19</w:t>
      </w:r>
      <w:r w:rsidR="007B52B0" w:rsidRPr="0064597D">
        <w:rPr>
          <w:sz w:val="20"/>
          <w:szCs w:val="20"/>
        </w:rPr>
        <w:t xml:space="preserve"> </w:t>
      </w:r>
      <w:r w:rsidRPr="0064597D">
        <w:rPr>
          <w:sz w:val="20"/>
          <w:szCs w:val="20"/>
        </w:rPr>
        <w:t>i</w:t>
      </w:r>
      <w:r w:rsidR="007B52B0" w:rsidRPr="0064597D">
        <w:rPr>
          <w:sz w:val="20"/>
          <w:szCs w:val="20"/>
        </w:rPr>
        <w:t xml:space="preserve">nternos, quienes con la complicidad de autoridades y guardias penitenciarios, procedieron a efectuar un túnel de aproximadamente 120 metros de longitud </w:t>
      </w:r>
      <w:r w:rsidRPr="0064597D">
        <w:rPr>
          <w:sz w:val="20"/>
          <w:szCs w:val="20"/>
        </w:rPr>
        <w:t>que los llevó</w:t>
      </w:r>
      <w:r w:rsidR="007B52B0" w:rsidRPr="0064597D">
        <w:rPr>
          <w:sz w:val="20"/>
          <w:szCs w:val="20"/>
        </w:rPr>
        <w:t xml:space="preserve"> hasta la malla electrizada de protección</w:t>
      </w:r>
      <w:r w:rsidRPr="0064597D">
        <w:rPr>
          <w:sz w:val="20"/>
          <w:szCs w:val="20"/>
        </w:rPr>
        <w:t xml:space="preserve"> </w:t>
      </w:r>
      <w:r w:rsidRPr="0064597D">
        <w:rPr>
          <w:sz w:val="20"/>
          <w:szCs w:val="20"/>
        </w:rPr>
        <w:lastRenderedPageBreak/>
        <w:t>perimetral de las instalacione</w:t>
      </w:r>
      <w:r w:rsidR="0027153A" w:rsidRPr="0064597D">
        <w:rPr>
          <w:sz w:val="20"/>
          <w:szCs w:val="20"/>
        </w:rPr>
        <w:t>s</w:t>
      </w:r>
      <w:r w:rsidRPr="0064597D">
        <w:rPr>
          <w:rStyle w:val="Refdenotaalpie"/>
          <w:sz w:val="20"/>
          <w:szCs w:val="20"/>
        </w:rPr>
        <w:footnoteReference w:id="80"/>
      </w:r>
      <w:r w:rsidRPr="0064597D">
        <w:rPr>
          <w:sz w:val="20"/>
          <w:szCs w:val="20"/>
        </w:rPr>
        <w:t>.</w:t>
      </w:r>
    </w:p>
    <w:p w14:paraId="39F33C10" w14:textId="77777777" w:rsidR="0047705A" w:rsidRPr="0064597D" w:rsidRDefault="0047705A" w:rsidP="0047705A">
      <w:pPr>
        <w:tabs>
          <w:tab w:val="left" w:pos="567"/>
        </w:tabs>
        <w:spacing w:line="240" w:lineRule="auto"/>
        <w:rPr>
          <w:sz w:val="20"/>
          <w:szCs w:val="20"/>
        </w:rPr>
      </w:pPr>
    </w:p>
    <w:p w14:paraId="435401E9" w14:textId="2CB6922F" w:rsidR="007B52B0" w:rsidRPr="0064597D" w:rsidRDefault="0047705A" w:rsidP="007B52B0">
      <w:pPr>
        <w:numPr>
          <w:ilvl w:val="0"/>
          <w:numId w:val="1"/>
        </w:numPr>
        <w:tabs>
          <w:tab w:val="left" w:pos="567"/>
          <w:tab w:val="num" w:pos="1569"/>
          <w:tab w:val="num" w:pos="12305"/>
        </w:tabs>
        <w:spacing w:line="240" w:lineRule="auto"/>
        <w:ind w:left="0" w:firstLine="0"/>
        <w:rPr>
          <w:sz w:val="20"/>
          <w:szCs w:val="20"/>
        </w:rPr>
      </w:pPr>
      <w:r w:rsidRPr="0064597D">
        <w:rPr>
          <w:sz w:val="20"/>
          <w:szCs w:val="20"/>
        </w:rPr>
        <w:t>Con el objeto de recapturar a las 19 personas fugadas</w:t>
      </w:r>
      <w:r w:rsidR="007B52B0" w:rsidRPr="0064597D">
        <w:rPr>
          <w:sz w:val="20"/>
          <w:szCs w:val="20"/>
        </w:rPr>
        <w:t xml:space="preserve">, el Estado puso en marcha la </w:t>
      </w:r>
      <w:r w:rsidRPr="0064597D">
        <w:rPr>
          <w:sz w:val="20"/>
          <w:szCs w:val="20"/>
        </w:rPr>
        <w:t>“</w:t>
      </w:r>
      <w:r w:rsidR="007B52B0" w:rsidRPr="0064597D">
        <w:rPr>
          <w:sz w:val="20"/>
          <w:szCs w:val="20"/>
        </w:rPr>
        <w:t>Operación Gavilán</w:t>
      </w:r>
      <w:r w:rsidRPr="0064597D">
        <w:rPr>
          <w:sz w:val="20"/>
          <w:szCs w:val="20"/>
        </w:rPr>
        <w:t>”</w:t>
      </w:r>
      <w:r w:rsidR="007B52B0" w:rsidRPr="0064597D">
        <w:rPr>
          <w:rStyle w:val="Refdenotaalpie"/>
          <w:rFonts w:cs="Verdana"/>
          <w:sz w:val="20"/>
          <w:szCs w:val="20"/>
        </w:rPr>
        <w:footnoteReference w:id="81"/>
      </w:r>
      <w:r w:rsidR="007B52B0" w:rsidRPr="0064597D">
        <w:rPr>
          <w:rFonts w:cs="Verdana"/>
          <w:sz w:val="20"/>
          <w:szCs w:val="20"/>
        </w:rPr>
        <w:t xml:space="preserve">. </w:t>
      </w:r>
      <w:r w:rsidR="0027153A" w:rsidRPr="0064597D">
        <w:rPr>
          <w:sz w:val="20"/>
          <w:szCs w:val="20"/>
        </w:rPr>
        <w:t xml:space="preserve">El </w:t>
      </w:r>
      <w:r w:rsidR="004D7C59" w:rsidRPr="0064597D">
        <w:rPr>
          <w:sz w:val="20"/>
          <w:szCs w:val="20"/>
        </w:rPr>
        <w:t xml:space="preserve">referido </w:t>
      </w:r>
      <w:r w:rsidR="0027153A" w:rsidRPr="0064597D">
        <w:rPr>
          <w:sz w:val="20"/>
          <w:szCs w:val="20"/>
        </w:rPr>
        <w:t>plan fue dirigido por</w:t>
      </w:r>
      <w:r w:rsidR="00DB0443" w:rsidRPr="0064597D">
        <w:rPr>
          <w:sz w:val="20"/>
          <w:szCs w:val="20"/>
        </w:rPr>
        <w:t xml:space="preserve"> </w:t>
      </w:r>
      <w:r w:rsidR="0027153A" w:rsidRPr="0064597D">
        <w:rPr>
          <w:sz w:val="20"/>
          <w:szCs w:val="20"/>
        </w:rPr>
        <w:t xml:space="preserve">el Comisario de la </w:t>
      </w:r>
      <w:r w:rsidR="00537AAE" w:rsidRPr="0064597D">
        <w:rPr>
          <w:sz w:val="20"/>
          <w:szCs w:val="20"/>
        </w:rPr>
        <w:t>PNC</w:t>
      </w:r>
      <w:r w:rsidR="0027153A" w:rsidRPr="0064597D">
        <w:rPr>
          <w:sz w:val="20"/>
          <w:szCs w:val="20"/>
        </w:rPr>
        <w:t xml:space="preserve">, </w:t>
      </w:r>
      <w:r w:rsidR="00B07AF4" w:rsidRPr="0064597D">
        <w:rPr>
          <w:sz w:val="20"/>
          <w:szCs w:val="20"/>
        </w:rPr>
        <w:t xml:space="preserve">V.S.D. </w:t>
      </w:r>
      <w:r w:rsidR="0027153A" w:rsidRPr="0064597D">
        <w:rPr>
          <w:sz w:val="20"/>
          <w:szCs w:val="20"/>
        </w:rPr>
        <w:t xml:space="preserve">y </w:t>
      </w:r>
      <w:r w:rsidR="00B5100E">
        <w:rPr>
          <w:sz w:val="20"/>
          <w:szCs w:val="20"/>
        </w:rPr>
        <w:t>participaron 16 miembros de la P</w:t>
      </w:r>
      <w:r w:rsidR="0027153A" w:rsidRPr="0064597D">
        <w:rPr>
          <w:sz w:val="20"/>
          <w:szCs w:val="20"/>
        </w:rPr>
        <w:t xml:space="preserve">olicía, divididos en </w:t>
      </w:r>
      <w:r w:rsidR="007B52B0" w:rsidRPr="0064597D">
        <w:rPr>
          <w:sz w:val="20"/>
          <w:szCs w:val="20"/>
        </w:rPr>
        <w:t xml:space="preserve">ocho equipos de búsqueda. </w:t>
      </w:r>
      <w:r w:rsidR="0027153A" w:rsidRPr="0064597D">
        <w:rPr>
          <w:sz w:val="20"/>
          <w:szCs w:val="20"/>
        </w:rPr>
        <w:t>El plan disponía</w:t>
      </w:r>
      <w:r w:rsidR="004D7C59" w:rsidRPr="0064597D">
        <w:rPr>
          <w:sz w:val="20"/>
          <w:szCs w:val="20"/>
        </w:rPr>
        <w:t>, entre otros,</w:t>
      </w:r>
      <w:r w:rsidR="0027153A" w:rsidRPr="0064597D">
        <w:rPr>
          <w:sz w:val="20"/>
          <w:szCs w:val="20"/>
        </w:rPr>
        <w:t xml:space="preserve"> que en caso de que los reos fueran recapturados, estos serían conducidos “a un lugar seguro y con doble custodia” a los efectos de ponerlos a disposición de la autoridad competente en los plazos establecidos al efecto</w:t>
      </w:r>
      <w:r w:rsidR="0027153A" w:rsidRPr="0064597D">
        <w:rPr>
          <w:rStyle w:val="Refdenotaalpie"/>
          <w:sz w:val="20"/>
          <w:szCs w:val="20"/>
        </w:rPr>
        <w:footnoteReference w:id="82"/>
      </w:r>
      <w:r w:rsidR="0027153A" w:rsidRPr="0064597D">
        <w:rPr>
          <w:sz w:val="20"/>
          <w:szCs w:val="20"/>
        </w:rPr>
        <w:t xml:space="preserve">. </w:t>
      </w:r>
    </w:p>
    <w:p w14:paraId="08DA2828" w14:textId="77777777" w:rsidR="007B52B0" w:rsidRPr="0064597D" w:rsidRDefault="007B52B0" w:rsidP="007B52B0">
      <w:pPr>
        <w:spacing w:line="240" w:lineRule="auto"/>
        <w:rPr>
          <w:sz w:val="20"/>
          <w:szCs w:val="20"/>
        </w:rPr>
      </w:pPr>
    </w:p>
    <w:p w14:paraId="34433836" w14:textId="017A2301" w:rsidR="00775972" w:rsidRPr="0064597D" w:rsidRDefault="008D36E5" w:rsidP="007B52B0">
      <w:pPr>
        <w:numPr>
          <w:ilvl w:val="0"/>
          <w:numId w:val="1"/>
        </w:numPr>
        <w:tabs>
          <w:tab w:val="left" w:pos="567"/>
          <w:tab w:val="num" w:pos="1569"/>
          <w:tab w:val="num" w:pos="12305"/>
        </w:tabs>
        <w:spacing w:line="240" w:lineRule="auto"/>
        <w:ind w:left="0" w:firstLine="0"/>
        <w:rPr>
          <w:sz w:val="20"/>
          <w:szCs w:val="20"/>
        </w:rPr>
      </w:pPr>
      <w:r w:rsidRPr="0064597D">
        <w:rPr>
          <w:sz w:val="20"/>
          <w:szCs w:val="20"/>
        </w:rPr>
        <w:t xml:space="preserve">El 14 de noviembre de 2005 </w:t>
      </w:r>
      <w:r w:rsidR="008204C8" w:rsidRPr="0064597D">
        <w:rPr>
          <w:sz w:val="20"/>
          <w:szCs w:val="20"/>
        </w:rPr>
        <w:t>fue encontrado</w:t>
      </w:r>
      <w:r w:rsidRPr="0064597D">
        <w:rPr>
          <w:sz w:val="20"/>
          <w:szCs w:val="20"/>
        </w:rPr>
        <w:t xml:space="preserve"> el cadáver de</w:t>
      </w:r>
      <w:r w:rsidR="007B52B0" w:rsidRPr="0064597D">
        <w:rPr>
          <w:sz w:val="20"/>
          <w:szCs w:val="20"/>
        </w:rPr>
        <w:t xml:space="preserve">l señor Ruiz Fuentes en la Avenida 0 Calle 5ta de la Colonia Monja Blanca de Barberena, Santa Rosa. </w:t>
      </w:r>
      <w:r w:rsidRPr="0064597D">
        <w:rPr>
          <w:rFonts w:eastAsiaTheme="minorHAnsi" w:cs="Arial"/>
          <w:spacing w:val="-2"/>
          <w:sz w:val="20"/>
          <w:szCs w:val="20"/>
        </w:rPr>
        <w:t xml:space="preserve">Según el acta policial de ese mismo día, el cadáver del señor Ruiz Fuentes tenía una posición decúbito dorsal, con los brazos y piernas estiradas, y los ojos cerrados. </w:t>
      </w:r>
      <w:r w:rsidR="000C391B" w:rsidRPr="0064597D">
        <w:rPr>
          <w:sz w:val="20"/>
          <w:szCs w:val="20"/>
        </w:rPr>
        <w:t xml:space="preserve">En el lugar de los hechos se encontraban 12 miembros del Comando Anti Secuestros de la </w:t>
      </w:r>
      <w:r w:rsidR="00537AAE" w:rsidRPr="0064597D">
        <w:rPr>
          <w:sz w:val="20"/>
          <w:szCs w:val="20"/>
        </w:rPr>
        <w:t>PNC</w:t>
      </w:r>
      <w:r w:rsidR="000C391B" w:rsidRPr="0064597D">
        <w:rPr>
          <w:sz w:val="20"/>
          <w:szCs w:val="20"/>
        </w:rPr>
        <w:t xml:space="preserve">, comandado por el Comisario de la Policía Nacional, </w:t>
      </w:r>
      <w:r w:rsidR="00B07AF4" w:rsidRPr="0064597D">
        <w:rPr>
          <w:sz w:val="20"/>
          <w:szCs w:val="20"/>
        </w:rPr>
        <w:t>V.S.D.</w:t>
      </w:r>
      <w:r w:rsidR="000C391B" w:rsidRPr="0064597D">
        <w:rPr>
          <w:sz w:val="20"/>
          <w:szCs w:val="20"/>
        </w:rPr>
        <w:t xml:space="preserve">, quienes se encargaron de </w:t>
      </w:r>
      <w:r w:rsidR="00775972" w:rsidRPr="0064597D">
        <w:rPr>
          <w:sz w:val="20"/>
          <w:szCs w:val="20"/>
        </w:rPr>
        <w:t>custodiar</w:t>
      </w:r>
      <w:r w:rsidR="000C391B" w:rsidRPr="0064597D">
        <w:rPr>
          <w:sz w:val="20"/>
          <w:szCs w:val="20"/>
        </w:rPr>
        <w:t xml:space="preserve"> el área de la escena del crimen</w:t>
      </w:r>
      <w:r w:rsidR="000C391B" w:rsidRPr="0064597D">
        <w:rPr>
          <w:rStyle w:val="Refdenotaalpie"/>
          <w:sz w:val="20"/>
          <w:szCs w:val="20"/>
        </w:rPr>
        <w:footnoteReference w:id="83"/>
      </w:r>
      <w:r w:rsidR="000C391B" w:rsidRPr="0064597D">
        <w:rPr>
          <w:sz w:val="20"/>
          <w:szCs w:val="20"/>
        </w:rPr>
        <w:t xml:space="preserve">. </w:t>
      </w:r>
    </w:p>
    <w:p w14:paraId="11D03381" w14:textId="77777777" w:rsidR="00775972" w:rsidRPr="0064597D" w:rsidRDefault="00775972" w:rsidP="00775972">
      <w:pPr>
        <w:tabs>
          <w:tab w:val="left" w:pos="567"/>
        </w:tabs>
        <w:spacing w:line="240" w:lineRule="auto"/>
        <w:rPr>
          <w:sz w:val="20"/>
          <w:szCs w:val="20"/>
        </w:rPr>
      </w:pPr>
    </w:p>
    <w:p w14:paraId="43F7DB2D" w14:textId="44F04834" w:rsidR="000C391B" w:rsidRPr="0064597D" w:rsidRDefault="00775972" w:rsidP="00A06A51">
      <w:pPr>
        <w:numPr>
          <w:ilvl w:val="0"/>
          <w:numId w:val="1"/>
        </w:numPr>
        <w:tabs>
          <w:tab w:val="left" w:pos="567"/>
          <w:tab w:val="num" w:pos="1569"/>
          <w:tab w:val="num" w:pos="12305"/>
        </w:tabs>
        <w:spacing w:line="240" w:lineRule="auto"/>
        <w:ind w:left="0" w:firstLine="0"/>
        <w:rPr>
          <w:sz w:val="20"/>
          <w:szCs w:val="20"/>
        </w:rPr>
      </w:pPr>
      <w:r w:rsidRPr="0064597D">
        <w:rPr>
          <w:rFonts w:eastAsiaTheme="minorHAnsi" w:cs="Arial"/>
          <w:spacing w:val="-2"/>
          <w:sz w:val="20"/>
          <w:szCs w:val="20"/>
        </w:rPr>
        <w:t>En cuanto a las circunstancias que rodearon su muerte</w:t>
      </w:r>
      <w:r w:rsidR="000C391B" w:rsidRPr="0064597D">
        <w:rPr>
          <w:rFonts w:eastAsiaTheme="minorHAnsi" w:cs="Arial"/>
          <w:spacing w:val="-2"/>
          <w:sz w:val="20"/>
          <w:szCs w:val="20"/>
        </w:rPr>
        <w:t xml:space="preserve">, de conformidad con lo </w:t>
      </w:r>
      <w:r w:rsidR="004D498D" w:rsidRPr="0064597D">
        <w:rPr>
          <w:rFonts w:eastAsiaTheme="minorHAnsi" w:cs="Arial"/>
          <w:spacing w:val="-2"/>
          <w:sz w:val="20"/>
          <w:szCs w:val="20"/>
        </w:rPr>
        <w:t>recogido por el acta policial de 14 de noviembre</w:t>
      </w:r>
      <w:r w:rsidR="008E2861" w:rsidRPr="0064597D">
        <w:rPr>
          <w:rFonts w:eastAsiaTheme="minorHAnsi" w:cs="Arial"/>
          <w:spacing w:val="-2"/>
          <w:sz w:val="20"/>
          <w:szCs w:val="20"/>
        </w:rPr>
        <w:t xml:space="preserve"> de 2005</w:t>
      </w:r>
      <w:r w:rsidR="004D498D" w:rsidRPr="0064597D">
        <w:rPr>
          <w:rFonts w:eastAsiaTheme="minorHAnsi" w:cs="Arial"/>
          <w:spacing w:val="-2"/>
          <w:sz w:val="20"/>
          <w:szCs w:val="20"/>
        </w:rPr>
        <w:t xml:space="preserve">, </w:t>
      </w:r>
      <w:r w:rsidR="000C391B" w:rsidRPr="0064597D">
        <w:rPr>
          <w:rFonts w:eastAsiaTheme="minorHAnsi" w:cs="Arial"/>
          <w:spacing w:val="-2"/>
          <w:sz w:val="20"/>
          <w:szCs w:val="20"/>
        </w:rPr>
        <w:t xml:space="preserve">“vecinos que se negaron a proporcionar sus nombres por temor a perder la vida”, el señor Ruiz Fuentes “era perseguido por varios individuos desconocidos, con quienes </w:t>
      </w:r>
      <w:r w:rsidR="000C391B" w:rsidRPr="0064597D">
        <w:rPr>
          <w:sz w:val="20"/>
          <w:szCs w:val="20"/>
        </w:rPr>
        <w:t>tuvo</w:t>
      </w:r>
      <w:r w:rsidR="000C391B" w:rsidRPr="0064597D">
        <w:rPr>
          <w:rFonts w:eastAsiaTheme="minorHAnsi" w:cs="Arial"/>
          <w:spacing w:val="-2"/>
          <w:sz w:val="20"/>
          <w:szCs w:val="20"/>
        </w:rPr>
        <w:t xml:space="preserve"> un intercambio de disparos” a resultas del cual recibió “varios impactos de bala” que ocasionaron su muerte</w:t>
      </w:r>
      <w:r w:rsidR="000C391B" w:rsidRPr="0064597D">
        <w:rPr>
          <w:rStyle w:val="Refdenotaalpie"/>
          <w:rFonts w:eastAsiaTheme="minorHAnsi" w:cs="Arial"/>
          <w:spacing w:val="-2"/>
          <w:sz w:val="20"/>
          <w:szCs w:val="20"/>
        </w:rPr>
        <w:footnoteReference w:id="84"/>
      </w:r>
      <w:r w:rsidR="000C391B" w:rsidRPr="0064597D">
        <w:rPr>
          <w:rFonts w:eastAsiaTheme="minorHAnsi" w:cs="Arial"/>
          <w:spacing w:val="-2"/>
          <w:sz w:val="20"/>
          <w:szCs w:val="20"/>
        </w:rPr>
        <w:t xml:space="preserve">. </w:t>
      </w:r>
    </w:p>
    <w:p w14:paraId="7358F847" w14:textId="77777777" w:rsidR="004D498D" w:rsidRPr="0064597D" w:rsidRDefault="004D498D" w:rsidP="004D498D">
      <w:pPr>
        <w:tabs>
          <w:tab w:val="left" w:pos="567"/>
          <w:tab w:val="num" w:pos="12305"/>
        </w:tabs>
        <w:spacing w:line="240" w:lineRule="auto"/>
        <w:rPr>
          <w:sz w:val="20"/>
          <w:szCs w:val="20"/>
        </w:rPr>
      </w:pPr>
    </w:p>
    <w:p w14:paraId="16A02E9C" w14:textId="77777777" w:rsidR="007B52B0" w:rsidRPr="0064597D" w:rsidRDefault="007B52B0" w:rsidP="007B52B0">
      <w:pPr>
        <w:numPr>
          <w:ilvl w:val="0"/>
          <w:numId w:val="1"/>
        </w:numPr>
        <w:tabs>
          <w:tab w:val="left" w:pos="567"/>
          <w:tab w:val="num" w:pos="1569"/>
          <w:tab w:val="num" w:pos="12305"/>
        </w:tabs>
        <w:spacing w:line="240" w:lineRule="auto"/>
        <w:ind w:left="0" w:firstLine="0"/>
        <w:rPr>
          <w:sz w:val="20"/>
          <w:szCs w:val="20"/>
        </w:rPr>
      </w:pPr>
      <w:r w:rsidRPr="0064597D">
        <w:rPr>
          <w:sz w:val="20"/>
          <w:szCs w:val="20"/>
        </w:rPr>
        <w:t>Conforme a la autopsia practicada al cadáver</w:t>
      </w:r>
      <w:r w:rsidR="000C391B" w:rsidRPr="0064597D">
        <w:rPr>
          <w:sz w:val="20"/>
          <w:szCs w:val="20"/>
        </w:rPr>
        <w:t xml:space="preserve"> el 15 de noviembre de 2005</w:t>
      </w:r>
      <w:r w:rsidRPr="0064597D">
        <w:rPr>
          <w:sz w:val="20"/>
          <w:szCs w:val="20"/>
        </w:rPr>
        <w:t xml:space="preserve">, la causa de la muerte fue </w:t>
      </w:r>
      <w:r w:rsidR="008D36E5" w:rsidRPr="0064597D">
        <w:rPr>
          <w:sz w:val="20"/>
          <w:szCs w:val="20"/>
        </w:rPr>
        <w:t>“</w:t>
      </w:r>
      <w:r w:rsidRPr="0064597D">
        <w:rPr>
          <w:sz w:val="20"/>
          <w:szCs w:val="20"/>
        </w:rPr>
        <w:t>perforación cerebral y pulmonar por heridas perforantes de proyectiles de arma de fuego</w:t>
      </w:r>
      <w:r w:rsidR="008D36E5" w:rsidRPr="0064597D">
        <w:rPr>
          <w:sz w:val="20"/>
          <w:szCs w:val="20"/>
        </w:rPr>
        <w:t>”</w:t>
      </w:r>
      <w:r w:rsidR="000C391B" w:rsidRPr="0064597D">
        <w:rPr>
          <w:rStyle w:val="Refdenotaalpie"/>
          <w:sz w:val="20"/>
          <w:szCs w:val="20"/>
        </w:rPr>
        <w:footnoteReference w:id="85"/>
      </w:r>
      <w:r w:rsidRPr="0064597D">
        <w:rPr>
          <w:sz w:val="20"/>
          <w:szCs w:val="20"/>
        </w:rPr>
        <w:t xml:space="preserve">. </w:t>
      </w:r>
    </w:p>
    <w:p w14:paraId="077FBC46" w14:textId="03F96EAA" w:rsidR="00072585" w:rsidRPr="0064597D" w:rsidRDefault="00072585" w:rsidP="00072585">
      <w:pPr>
        <w:pStyle w:val="Ttulo2"/>
      </w:pPr>
      <w:bookmarkStart w:id="54" w:name="_Toc24014546"/>
      <w:r w:rsidRPr="0064597D">
        <w:t>E.</w:t>
      </w:r>
      <w:r w:rsidRPr="0064597D">
        <w:tab/>
        <w:t>Investigación y procesos judiciales iniciados por la muerte del señor Ruiz Fuentes</w:t>
      </w:r>
      <w:bookmarkEnd w:id="54"/>
    </w:p>
    <w:p w14:paraId="170BE66B" w14:textId="43C06C37" w:rsidR="007B52B0" w:rsidRPr="0064597D" w:rsidRDefault="007B52B0" w:rsidP="009134ED">
      <w:pPr>
        <w:numPr>
          <w:ilvl w:val="0"/>
          <w:numId w:val="1"/>
        </w:numPr>
        <w:tabs>
          <w:tab w:val="left" w:pos="567"/>
          <w:tab w:val="num" w:pos="1569"/>
          <w:tab w:val="num" w:pos="12305"/>
        </w:tabs>
        <w:spacing w:line="240" w:lineRule="auto"/>
        <w:ind w:left="0" w:firstLine="0"/>
        <w:rPr>
          <w:sz w:val="20"/>
          <w:szCs w:val="20"/>
        </w:rPr>
      </w:pPr>
      <w:r w:rsidRPr="0064597D">
        <w:rPr>
          <w:rFonts w:cs="Arial"/>
          <w:sz w:val="20"/>
          <w:szCs w:val="20"/>
        </w:rPr>
        <w:t>La investigación por la muerte de Hugo Humberto fue iniciada por el Ministerio Público de la Fiscalía Distrital de Santa Rosa en noviembre de 2005 bajo el expediente MP332/2005/4338</w:t>
      </w:r>
      <w:r w:rsidRPr="0064597D">
        <w:rPr>
          <w:rStyle w:val="Refdenotaalpie"/>
          <w:rFonts w:cs="Arial"/>
          <w:sz w:val="20"/>
          <w:szCs w:val="20"/>
        </w:rPr>
        <w:footnoteReference w:id="86"/>
      </w:r>
      <w:r w:rsidR="00AE4110" w:rsidRPr="0064597D">
        <w:rPr>
          <w:rFonts w:cs="Arial"/>
          <w:sz w:val="20"/>
          <w:szCs w:val="20"/>
        </w:rPr>
        <w:t>.</w:t>
      </w:r>
      <w:r w:rsidRPr="0064597D">
        <w:rPr>
          <w:rFonts w:cs="Arial"/>
          <w:sz w:val="20"/>
          <w:szCs w:val="20"/>
        </w:rPr>
        <w:t xml:space="preserve"> </w:t>
      </w:r>
      <w:r w:rsidR="00AE4110" w:rsidRPr="0064597D">
        <w:rPr>
          <w:sz w:val="20"/>
          <w:szCs w:val="20"/>
        </w:rPr>
        <w:t>Dentro de las diligencias que realizó el Estado se (i) tomaron huellas dactilares del señor Ruiz Fuentes, (ii)</w:t>
      </w:r>
      <w:r w:rsidR="00DB0443" w:rsidRPr="0064597D">
        <w:rPr>
          <w:sz w:val="20"/>
          <w:szCs w:val="20"/>
        </w:rPr>
        <w:t xml:space="preserve"> </w:t>
      </w:r>
      <w:r w:rsidR="00AE4110" w:rsidRPr="0064597D">
        <w:rPr>
          <w:sz w:val="20"/>
          <w:szCs w:val="20"/>
        </w:rPr>
        <w:t xml:space="preserve">se realizaron </w:t>
      </w:r>
      <w:r w:rsidRPr="0064597D">
        <w:rPr>
          <w:sz w:val="20"/>
          <w:szCs w:val="20"/>
        </w:rPr>
        <w:t xml:space="preserve">declaraciones testimoniales, </w:t>
      </w:r>
      <w:r w:rsidR="00AE4110" w:rsidRPr="0064597D">
        <w:rPr>
          <w:sz w:val="20"/>
          <w:szCs w:val="20"/>
        </w:rPr>
        <w:t xml:space="preserve">(iii) se realizaron informes por parte de la </w:t>
      </w:r>
      <w:r w:rsidRPr="0064597D">
        <w:rPr>
          <w:sz w:val="20"/>
          <w:szCs w:val="20"/>
        </w:rPr>
        <w:t xml:space="preserve">Unidad de Especialistas en Escena del Crimen, </w:t>
      </w:r>
      <w:r w:rsidR="00AE4110" w:rsidRPr="0064597D">
        <w:rPr>
          <w:sz w:val="20"/>
          <w:szCs w:val="20"/>
        </w:rPr>
        <w:t xml:space="preserve">la </w:t>
      </w:r>
      <w:r w:rsidRPr="0064597D">
        <w:rPr>
          <w:sz w:val="20"/>
          <w:szCs w:val="20"/>
        </w:rPr>
        <w:t xml:space="preserve">Sección de Balística del departamento Técnico Científico, entre </w:t>
      </w:r>
      <w:r w:rsidR="00AE4110" w:rsidRPr="0064597D">
        <w:rPr>
          <w:sz w:val="20"/>
          <w:szCs w:val="20"/>
        </w:rPr>
        <w:t>otros</w:t>
      </w:r>
      <w:r w:rsidRPr="0064597D">
        <w:rPr>
          <w:rStyle w:val="Refdenotaalpie"/>
          <w:rFonts w:cs="Verdana"/>
          <w:sz w:val="20"/>
          <w:szCs w:val="20"/>
        </w:rPr>
        <w:footnoteReference w:id="87"/>
      </w:r>
      <w:r w:rsidR="00AE4110" w:rsidRPr="0064597D">
        <w:rPr>
          <w:sz w:val="20"/>
          <w:szCs w:val="20"/>
        </w:rPr>
        <w:t xml:space="preserve">. </w:t>
      </w:r>
    </w:p>
    <w:p w14:paraId="3E935C2E" w14:textId="77777777" w:rsidR="007B52B0" w:rsidRPr="0064597D" w:rsidRDefault="007B52B0" w:rsidP="007B52B0">
      <w:pPr>
        <w:spacing w:line="240" w:lineRule="auto"/>
        <w:rPr>
          <w:sz w:val="20"/>
          <w:szCs w:val="20"/>
        </w:rPr>
      </w:pPr>
    </w:p>
    <w:p w14:paraId="36442B3A" w14:textId="7312D74F" w:rsidR="00362181" w:rsidRPr="0064597D" w:rsidRDefault="007B52B0" w:rsidP="009134ED">
      <w:pPr>
        <w:numPr>
          <w:ilvl w:val="0"/>
          <w:numId w:val="1"/>
        </w:numPr>
        <w:tabs>
          <w:tab w:val="left" w:pos="567"/>
          <w:tab w:val="num" w:pos="1569"/>
          <w:tab w:val="num" w:pos="12305"/>
        </w:tabs>
        <w:spacing w:line="240" w:lineRule="auto"/>
        <w:ind w:left="0" w:firstLine="0"/>
        <w:rPr>
          <w:sz w:val="20"/>
          <w:szCs w:val="20"/>
        </w:rPr>
      </w:pPr>
      <w:r w:rsidRPr="0064597D">
        <w:rPr>
          <w:sz w:val="20"/>
          <w:szCs w:val="20"/>
        </w:rPr>
        <w:t xml:space="preserve">La Sección de Balística del Ministerio Público realizó un peritaje con el objetivo de establecer la plena </w:t>
      </w:r>
      <w:r w:rsidRPr="0064597D">
        <w:rPr>
          <w:rFonts w:cs="Arial"/>
          <w:sz w:val="20"/>
          <w:szCs w:val="20"/>
        </w:rPr>
        <w:t>identificación</w:t>
      </w:r>
      <w:r w:rsidRPr="0064597D">
        <w:rPr>
          <w:sz w:val="20"/>
          <w:szCs w:val="20"/>
        </w:rPr>
        <w:t xml:space="preserve"> del arma de fuego que el señor Ruiz Fuentes tenía en la mano. El informe del peritaje indicó que “el número de registro [del arma de fuego] había sido borrado, por lo que procedió a realizar la prueba Fry, logrando recuperar la identificación 97321527”</w:t>
      </w:r>
      <w:r w:rsidRPr="0064597D">
        <w:rPr>
          <w:rStyle w:val="Refdenotaalpie"/>
          <w:rFonts w:cs="Verdana"/>
          <w:sz w:val="20"/>
          <w:szCs w:val="20"/>
        </w:rPr>
        <w:footnoteReference w:id="88"/>
      </w:r>
      <w:r w:rsidRPr="0064597D">
        <w:rPr>
          <w:sz w:val="20"/>
          <w:szCs w:val="20"/>
        </w:rPr>
        <w:t xml:space="preserve">. Según informó el Oficial Tercero de la </w:t>
      </w:r>
      <w:r w:rsidR="00537AAE" w:rsidRPr="0064597D">
        <w:rPr>
          <w:sz w:val="20"/>
          <w:szCs w:val="20"/>
        </w:rPr>
        <w:t>PNC</w:t>
      </w:r>
      <w:r w:rsidRPr="0064597D">
        <w:rPr>
          <w:sz w:val="20"/>
          <w:szCs w:val="20"/>
        </w:rPr>
        <w:t xml:space="preserve">, </w:t>
      </w:r>
      <w:r w:rsidR="00141068" w:rsidRPr="0064597D">
        <w:rPr>
          <w:sz w:val="20"/>
          <w:szCs w:val="20"/>
        </w:rPr>
        <w:t>el arma pertenecía al</w:t>
      </w:r>
      <w:r w:rsidRPr="0064597D">
        <w:rPr>
          <w:sz w:val="20"/>
          <w:szCs w:val="20"/>
        </w:rPr>
        <w:t xml:space="preserve"> oficial </w:t>
      </w:r>
      <w:r w:rsidR="00852576" w:rsidRPr="0064597D">
        <w:rPr>
          <w:sz w:val="20"/>
          <w:szCs w:val="20"/>
        </w:rPr>
        <w:t>E.R.C.C.</w:t>
      </w:r>
      <w:r w:rsidR="00141068" w:rsidRPr="0064597D">
        <w:rPr>
          <w:rStyle w:val="Refdenotaalpie"/>
          <w:rFonts w:cs="Verdana"/>
          <w:sz w:val="20"/>
          <w:szCs w:val="20"/>
        </w:rPr>
        <w:footnoteReference w:id="89"/>
      </w:r>
      <w:r w:rsidR="00141068" w:rsidRPr="0064597D">
        <w:rPr>
          <w:sz w:val="20"/>
          <w:szCs w:val="20"/>
        </w:rPr>
        <w:t xml:space="preserve">. </w:t>
      </w:r>
      <w:r w:rsidRPr="0064597D">
        <w:rPr>
          <w:sz w:val="20"/>
          <w:szCs w:val="20"/>
        </w:rPr>
        <w:t xml:space="preserve">La Sub-Dirección General de Finanzas y </w:t>
      </w:r>
      <w:r w:rsidRPr="0064597D">
        <w:rPr>
          <w:sz w:val="20"/>
          <w:szCs w:val="20"/>
        </w:rPr>
        <w:lastRenderedPageBreak/>
        <w:t>Logística de la Dirección General de</w:t>
      </w:r>
      <w:r w:rsidR="00B5100E">
        <w:rPr>
          <w:sz w:val="20"/>
          <w:szCs w:val="20"/>
        </w:rPr>
        <w:t xml:space="preserve"> la</w:t>
      </w:r>
      <w:r w:rsidRPr="0064597D">
        <w:rPr>
          <w:sz w:val="20"/>
          <w:szCs w:val="20"/>
        </w:rPr>
        <w:t xml:space="preserve"> </w:t>
      </w:r>
      <w:r w:rsidR="00537AAE" w:rsidRPr="0064597D">
        <w:rPr>
          <w:sz w:val="20"/>
          <w:szCs w:val="20"/>
        </w:rPr>
        <w:t xml:space="preserve">PNC </w:t>
      </w:r>
      <w:r w:rsidRPr="0064597D">
        <w:rPr>
          <w:sz w:val="20"/>
          <w:szCs w:val="20"/>
        </w:rPr>
        <w:t xml:space="preserve">inició un expediente administrativo contra </w:t>
      </w:r>
      <w:r w:rsidR="00141068" w:rsidRPr="0064597D">
        <w:rPr>
          <w:sz w:val="20"/>
          <w:szCs w:val="20"/>
        </w:rPr>
        <w:t>dicho</w:t>
      </w:r>
      <w:r w:rsidRPr="0064597D">
        <w:rPr>
          <w:sz w:val="20"/>
          <w:szCs w:val="20"/>
        </w:rPr>
        <w:t xml:space="preserve"> oficial”</w:t>
      </w:r>
      <w:r w:rsidRPr="0064597D">
        <w:rPr>
          <w:rStyle w:val="Refdenotaalpie"/>
          <w:rFonts w:cs="Verdana"/>
          <w:sz w:val="20"/>
          <w:szCs w:val="20"/>
        </w:rPr>
        <w:footnoteReference w:id="90"/>
      </w:r>
      <w:r w:rsidRPr="0064597D">
        <w:rPr>
          <w:sz w:val="20"/>
          <w:szCs w:val="20"/>
        </w:rPr>
        <w:t>.</w:t>
      </w:r>
      <w:r w:rsidR="00676191" w:rsidRPr="0064597D">
        <w:rPr>
          <w:sz w:val="20"/>
          <w:szCs w:val="20"/>
        </w:rPr>
        <w:t xml:space="preserve"> </w:t>
      </w:r>
      <w:r w:rsidR="005708A8" w:rsidRPr="0064597D">
        <w:rPr>
          <w:sz w:val="20"/>
          <w:szCs w:val="20"/>
        </w:rPr>
        <w:t>No consta en el expediente cuál fue el resultado final de dicha investigación</w:t>
      </w:r>
      <w:r w:rsidR="00723237" w:rsidRPr="0064597D">
        <w:rPr>
          <w:sz w:val="20"/>
          <w:szCs w:val="20"/>
        </w:rPr>
        <w:t>.</w:t>
      </w:r>
      <w:r w:rsidR="005708A8" w:rsidRPr="0064597D">
        <w:rPr>
          <w:sz w:val="20"/>
          <w:szCs w:val="20"/>
        </w:rPr>
        <w:t xml:space="preserve"> </w:t>
      </w:r>
    </w:p>
    <w:p w14:paraId="703B13BA" w14:textId="77777777" w:rsidR="00362181" w:rsidRPr="0064597D" w:rsidRDefault="00362181" w:rsidP="00362181">
      <w:pPr>
        <w:tabs>
          <w:tab w:val="left" w:pos="567"/>
        </w:tabs>
        <w:spacing w:line="240" w:lineRule="auto"/>
        <w:rPr>
          <w:sz w:val="20"/>
          <w:szCs w:val="20"/>
        </w:rPr>
      </w:pPr>
    </w:p>
    <w:p w14:paraId="2570C799" w14:textId="54B4A8B7" w:rsidR="007B52B0" w:rsidRPr="0064597D" w:rsidRDefault="00362181" w:rsidP="009134ED">
      <w:pPr>
        <w:numPr>
          <w:ilvl w:val="0"/>
          <w:numId w:val="1"/>
        </w:numPr>
        <w:tabs>
          <w:tab w:val="left" w:pos="567"/>
          <w:tab w:val="num" w:pos="1569"/>
          <w:tab w:val="num" w:pos="12305"/>
        </w:tabs>
        <w:spacing w:line="240" w:lineRule="auto"/>
        <w:ind w:left="0" w:firstLine="0"/>
        <w:rPr>
          <w:sz w:val="20"/>
          <w:szCs w:val="20"/>
        </w:rPr>
      </w:pPr>
      <w:r w:rsidRPr="0064597D">
        <w:rPr>
          <w:sz w:val="20"/>
          <w:szCs w:val="20"/>
        </w:rPr>
        <w:t xml:space="preserve">El 27 de octubre de 2016, en el marco del trámite ante la Comisión, </w:t>
      </w:r>
      <w:r w:rsidR="007B52B0" w:rsidRPr="0064597D">
        <w:rPr>
          <w:sz w:val="20"/>
          <w:szCs w:val="20"/>
        </w:rPr>
        <w:t xml:space="preserve">el Estado presentó un informe </w:t>
      </w:r>
      <w:r w:rsidRPr="0064597D">
        <w:rPr>
          <w:sz w:val="20"/>
          <w:szCs w:val="20"/>
        </w:rPr>
        <w:t>que contenía</w:t>
      </w:r>
      <w:r w:rsidR="007B52B0" w:rsidRPr="0064597D">
        <w:rPr>
          <w:sz w:val="20"/>
          <w:szCs w:val="20"/>
        </w:rPr>
        <w:t xml:space="preserve"> información sobre el </w:t>
      </w:r>
      <w:r w:rsidR="007B52B0" w:rsidRPr="0064597D">
        <w:rPr>
          <w:rFonts w:cs="Arial"/>
          <w:sz w:val="20"/>
          <w:szCs w:val="20"/>
        </w:rPr>
        <w:t>estado</w:t>
      </w:r>
      <w:r w:rsidR="007B52B0" w:rsidRPr="0064597D">
        <w:rPr>
          <w:sz w:val="20"/>
          <w:szCs w:val="20"/>
        </w:rPr>
        <w:t xml:space="preserve"> de las investigaciones relacionadas con </w:t>
      </w:r>
      <w:r w:rsidRPr="0064597D">
        <w:rPr>
          <w:sz w:val="20"/>
          <w:szCs w:val="20"/>
        </w:rPr>
        <w:t xml:space="preserve">la muerte del señor Ruiz Fuentes, </w:t>
      </w:r>
      <w:r w:rsidR="00A771A0" w:rsidRPr="0064597D">
        <w:rPr>
          <w:sz w:val="20"/>
          <w:szCs w:val="20"/>
        </w:rPr>
        <w:t xml:space="preserve">indicando que, según la información proporcionada por la Fiscalía Especial Contra la Impunidad </w:t>
      </w:r>
      <w:r w:rsidR="00DE57F8" w:rsidRPr="0064597D">
        <w:rPr>
          <w:sz w:val="20"/>
          <w:szCs w:val="20"/>
        </w:rPr>
        <w:t xml:space="preserve">del Ministerio Público </w:t>
      </w:r>
      <w:r w:rsidR="00A771A0" w:rsidRPr="0064597D">
        <w:rPr>
          <w:sz w:val="20"/>
          <w:szCs w:val="20"/>
        </w:rPr>
        <w:t>(</w:t>
      </w:r>
      <w:r w:rsidR="00DE57F8" w:rsidRPr="0064597D">
        <w:rPr>
          <w:sz w:val="20"/>
          <w:szCs w:val="20"/>
        </w:rPr>
        <w:t>en adelante, “</w:t>
      </w:r>
      <w:r w:rsidR="00A771A0" w:rsidRPr="0064597D">
        <w:rPr>
          <w:sz w:val="20"/>
          <w:szCs w:val="20"/>
        </w:rPr>
        <w:t>FECI</w:t>
      </w:r>
      <w:r w:rsidR="00DE57F8" w:rsidRPr="0064597D">
        <w:rPr>
          <w:sz w:val="20"/>
          <w:szCs w:val="20"/>
        </w:rPr>
        <w:t>”</w:t>
      </w:r>
      <w:r w:rsidR="00A771A0" w:rsidRPr="0064597D">
        <w:rPr>
          <w:sz w:val="20"/>
          <w:szCs w:val="20"/>
        </w:rPr>
        <w:t xml:space="preserve">), el señor Ruiz Fuentes habría sido ejecutado por miembros de la </w:t>
      </w:r>
      <w:r w:rsidR="00537AAE" w:rsidRPr="0064597D">
        <w:rPr>
          <w:sz w:val="20"/>
          <w:szCs w:val="20"/>
        </w:rPr>
        <w:t>PNC</w:t>
      </w:r>
      <w:r w:rsidR="00453678" w:rsidRPr="0064597D">
        <w:rPr>
          <w:sz w:val="20"/>
          <w:szCs w:val="20"/>
        </w:rPr>
        <w:t xml:space="preserve"> “simulando un enfrentamiento armado”</w:t>
      </w:r>
      <w:r w:rsidR="00453678" w:rsidRPr="0064597D">
        <w:rPr>
          <w:rStyle w:val="Refdenotaalpie"/>
          <w:rFonts w:cs="Verdana"/>
          <w:sz w:val="18"/>
          <w:szCs w:val="18"/>
        </w:rPr>
        <w:t xml:space="preserve"> </w:t>
      </w:r>
      <w:r w:rsidR="00453678" w:rsidRPr="0064597D">
        <w:rPr>
          <w:rStyle w:val="Refdenotaalpie"/>
          <w:rFonts w:cs="Verdana"/>
          <w:sz w:val="18"/>
          <w:szCs w:val="18"/>
        </w:rPr>
        <w:footnoteReference w:id="91"/>
      </w:r>
      <w:r w:rsidR="00A771A0" w:rsidRPr="0064597D">
        <w:rPr>
          <w:sz w:val="20"/>
          <w:szCs w:val="20"/>
        </w:rPr>
        <w:t>.</w:t>
      </w:r>
    </w:p>
    <w:p w14:paraId="72A60A53" w14:textId="77777777" w:rsidR="007B52B0" w:rsidRPr="0064597D" w:rsidRDefault="007B52B0" w:rsidP="007B52B0">
      <w:pPr>
        <w:spacing w:line="240" w:lineRule="auto"/>
        <w:rPr>
          <w:sz w:val="18"/>
          <w:szCs w:val="18"/>
        </w:rPr>
      </w:pPr>
    </w:p>
    <w:p w14:paraId="2CA7E18E" w14:textId="074F89D3" w:rsidR="007B52B0" w:rsidRPr="0064597D" w:rsidRDefault="00DE57F8" w:rsidP="00637BEE">
      <w:pPr>
        <w:numPr>
          <w:ilvl w:val="0"/>
          <w:numId w:val="1"/>
        </w:numPr>
        <w:tabs>
          <w:tab w:val="left" w:pos="567"/>
          <w:tab w:val="num" w:pos="12305"/>
        </w:tabs>
        <w:spacing w:line="240" w:lineRule="auto"/>
        <w:ind w:left="0" w:firstLine="0"/>
        <w:rPr>
          <w:sz w:val="20"/>
          <w:szCs w:val="20"/>
        </w:rPr>
      </w:pPr>
      <w:r w:rsidRPr="0064597D">
        <w:rPr>
          <w:sz w:val="20"/>
          <w:szCs w:val="20"/>
        </w:rPr>
        <w:t>El Estado informó que el proceso se encontraba en “fase de investigación” a cargo de la FECI</w:t>
      </w:r>
      <w:r w:rsidR="005806EC" w:rsidRPr="0064597D">
        <w:rPr>
          <w:rStyle w:val="Refdenotaalpie"/>
          <w:sz w:val="20"/>
          <w:szCs w:val="20"/>
        </w:rPr>
        <w:footnoteReference w:id="92"/>
      </w:r>
      <w:r w:rsidR="00F4134C" w:rsidRPr="0064597D">
        <w:rPr>
          <w:sz w:val="20"/>
          <w:szCs w:val="20"/>
        </w:rPr>
        <w:t>.</w:t>
      </w:r>
      <w:r w:rsidR="00B47883" w:rsidRPr="0064597D">
        <w:rPr>
          <w:sz w:val="20"/>
          <w:szCs w:val="20"/>
        </w:rPr>
        <w:t xml:space="preserve"> </w:t>
      </w:r>
    </w:p>
    <w:p w14:paraId="3F84C4CD" w14:textId="77777777" w:rsidR="009E4F6C" w:rsidRPr="0064597D" w:rsidRDefault="00F4645B" w:rsidP="002F4F08">
      <w:pPr>
        <w:pStyle w:val="Ttulo1"/>
      </w:pPr>
      <w:bookmarkStart w:id="55" w:name="_Toc514172626"/>
      <w:bookmarkStart w:id="56" w:name="_Toc24014547"/>
      <w:r w:rsidRPr="0064597D">
        <w:t>VII</w:t>
      </w:r>
      <w:r w:rsidR="00EA52BD" w:rsidRPr="0064597D">
        <w:t>I</w:t>
      </w:r>
      <w:r w:rsidRPr="0064597D">
        <w:br/>
      </w:r>
      <w:r w:rsidR="009E4F6C" w:rsidRPr="0064597D">
        <w:t>FONDO</w:t>
      </w:r>
      <w:bookmarkEnd w:id="55"/>
      <w:bookmarkEnd w:id="56"/>
    </w:p>
    <w:p w14:paraId="637EB97F" w14:textId="67517C7A" w:rsidR="00587F1F" w:rsidRPr="0064597D" w:rsidRDefault="00A26B9D" w:rsidP="00A26B9D">
      <w:pPr>
        <w:numPr>
          <w:ilvl w:val="0"/>
          <w:numId w:val="1"/>
        </w:numPr>
        <w:tabs>
          <w:tab w:val="left" w:pos="567"/>
        </w:tabs>
        <w:spacing w:line="240" w:lineRule="auto"/>
        <w:ind w:left="0" w:firstLine="0"/>
        <w:rPr>
          <w:sz w:val="20"/>
          <w:szCs w:val="20"/>
        </w:rPr>
      </w:pPr>
      <w:r w:rsidRPr="0064597D">
        <w:rPr>
          <w:sz w:val="20"/>
          <w:szCs w:val="20"/>
        </w:rPr>
        <w:t xml:space="preserve">En el presente caso, la Corte debe analizar la responsabilidad internacional del Estado por la alegada violación a diversos derechos convencionales relacionados con la imposición de la pena de muerte al señor Ruiz Fuentes, las alegadas torturas y trato cruel e inhumano sufrido, la posterior muerte del señor Ruiz Fuentes, así como por las alegadas vulneraciones al debido proceso y al derecho a la protección judicial en la causa penal seguida en su contra. A continuación, el Tribunal pasa a considerar y resolver el fondo de la controversia. Para ello, analizará </w:t>
      </w:r>
      <w:r w:rsidR="003F3D3E" w:rsidRPr="0064597D">
        <w:rPr>
          <w:sz w:val="20"/>
          <w:szCs w:val="20"/>
        </w:rPr>
        <w:t>(</w:t>
      </w:r>
      <w:r w:rsidR="00E10B4E" w:rsidRPr="0064597D">
        <w:rPr>
          <w:sz w:val="20"/>
          <w:szCs w:val="20"/>
        </w:rPr>
        <w:t>i</w:t>
      </w:r>
      <w:r w:rsidR="003F3D3E" w:rsidRPr="0064597D">
        <w:rPr>
          <w:sz w:val="20"/>
          <w:szCs w:val="20"/>
        </w:rPr>
        <w:t>)</w:t>
      </w:r>
      <w:r w:rsidR="005F5E39" w:rsidRPr="0064597D">
        <w:rPr>
          <w:sz w:val="20"/>
          <w:szCs w:val="20"/>
        </w:rPr>
        <w:t xml:space="preserve"> la </w:t>
      </w:r>
      <w:r w:rsidRPr="0064597D">
        <w:rPr>
          <w:sz w:val="20"/>
          <w:szCs w:val="20"/>
        </w:rPr>
        <w:t xml:space="preserve">imposición de la </w:t>
      </w:r>
      <w:r w:rsidR="005F5E39" w:rsidRPr="0064597D">
        <w:rPr>
          <w:sz w:val="20"/>
          <w:szCs w:val="20"/>
        </w:rPr>
        <w:t>pena de muerte al señor Ruiz Fuentes</w:t>
      </w:r>
      <w:r w:rsidR="005B6C22" w:rsidRPr="0064597D">
        <w:rPr>
          <w:sz w:val="20"/>
          <w:szCs w:val="20"/>
        </w:rPr>
        <w:t>,</w:t>
      </w:r>
      <w:r w:rsidR="004F08B4" w:rsidRPr="0064597D">
        <w:rPr>
          <w:sz w:val="20"/>
          <w:szCs w:val="20"/>
        </w:rPr>
        <w:t xml:space="preserve"> </w:t>
      </w:r>
      <w:r w:rsidR="003F3D3E" w:rsidRPr="0064597D">
        <w:rPr>
          <w:sz w:val="20"/>
          <w:szCs w:val="20"/>
        </w:rPr>
        <w:t>(</w:t>
      </w:r>
      <w:r w:rsidR="00E10B4E" w:rsidRPr="0064597D">
        <w:rPr>
          <w:sz w:val="20"/>
          <w:szCs w:val="20"/>
        </w:rPr>
        <w:t>ii</w:t>
      </w:r>
      <w:r w:rsidR="003F3D3E" w:rsidRPr="0064597D">
        <w:rPr>
          <w:sz w:val="20"/>
          <w:szCs w:val="20"/>
        </w:rPr>
        <w:t>)</w:t>
      </w:r>
      <w:r w:rsidR="005F5E39" w:rsidRPr="0064597D">
        <w:rPr>
          <w:sz w:val="20"/>
          <w:szCs w:val="20"/>
        </w:rPr>
        <w:t xml:space="preserve"> la posterior muerte del señor Ruiz Fuentes</w:t>
      </w:r>
      <w:r w:rsidR="003F3D3E" w:rsidRPr="0064597D">
        <w:rPr>
          <w:sz w:val="20"/>
          <w:szCs w:val="20"/>
        </w:rPr>
        <w:t>, (</w:t>
      </w:r>
      <w:r w:rsidR="00E10B4E" w:rsidRPr="0064597D">
        <w:rPr>
          <w:sz w:val="20"/>
          <w:szCs w:val="20"/>
        </w:rPr>
        <w:t>iii</w:t>
      </w:r>
      <w:r w:rsidR="003F3D3E" w:rsidRPr="0064597D">
        <w:rPr>
          <w:sz w:val="20"/>
          <w:szCs w:val="20"/>
        </w:rPr>
        <w:t>)</w:t>
      </w:r>
      <w:r w:rsidR="005B6C22" w:rsidRPr="0064597D">
        <w:rPr>
          <w:sz w:val="20"/>
          <w:szCs w:val="20"/>
        </w:rPr>
        <w:t xml:space="preserve"> las alegadas torturas sufridas por el señor Ruiz Fuentes al momento de ser detenido el 6 de agosto de 1997</w:t>
      </w:r>
      <w:r w:rsidR="004F08B4" w:rsidRPr="0064597D">
        <w:rPr>
          <w:sz w:val="20"/>
          <w:szCs w:val="20"/>
        </w:rPr>
        <w:t>, (</w:t>
      </w:r>
      <w:r w:rsidR="00E10B4E" w:rsidRPr="0064597D">
        <w:rPr>
          <w:sz w:val="20"/>
          <w:szCs w:val="20"/>
        </w:rPr>
        <w:t>iv</w:t>
      </w:r>
      <w:r w:rsidR="004F08B4" w:rsidRPr="0064597D">
        <w:rPr>
          <w:sz w:val="20"/>
          <w:szCs w:val="20"/>
        </w:rPr>
        <w:t xml:space="preserve">) </w:t>
      </w:r>
      <w:r w:rsidR="005B6C22" w:rsidRPr="0064597D">
        <w:rPr>
          <w:sz w:val="20"/>
          <w:szCs w:val="20"/>
        </w:rPr>
        <w:t xml:space="preserve">el alegado trato cruel, inhumano y degradante por haber estado sometido al fenómeno del “corredor de la muerte”, </w:t>
      </w:r>
      <w:r w:rsidR="00A32604" w:rsidRPr="0064597D">
        <w:rPr>
          <w:sz w:val="20"/>
          <w:szCs w:val="20"/>
        </w:rPr>
        <w:t>(</w:t>
      </w:r>
      <w:r w:rsidR="00E10B4E" w:rsidRPr="0064597D">
        <w:rPr>
          <w:sz w:val="20"/>
          <w:szCs w:val="20"/>
        </w:rPr>
        <w:t>v</w:t>
      </w:r>
      <w:r w:rsidR="00A32604" w:rsidRPr="0064597D">
        <w:rPr>
          <w:sz w:val="20"/>
          <w:szCs w:val="20"/>
        </w:rPr>
        <w:t>)</w:t>
      </w:r>
      <w:r w:rsidR="005B6C22" w:rsidRPr="0064597D">
        <w:rPr>
          <w:sz w:val="20"/>
          <w:szCs w:val="20"/>
        </w:rPr>
        <w:t xml:space="preserve"> la presunta vulneración de los derechos a las garantías judiciales y protección judicial, y</w:t>
      </w:r>
      <w:r w:rsidR="00A32604" w:rsidRPr="0064597D">
        <w:rPr>
          <w:sz w:val="20"/>
          <w:szCs w:val="20"/>
        </w:rPr>
        <w:t>, finalmente,</w:t>
      </w:r>
      <w:r w:rsidR="005B6C22" w:rsidRPr="0064597D">
        <w:rPr>
          <w:sz w:val="20"/>
          <w:szCs w:val="20"/>
        </w:rPr>
        <w:t xml:space="preserve"> (</w:t>
      </w:r>
      <w:r w:rsidR="00E10B4E" w:rsidRPr="0064597D">
        <w:rPr>
          <w:sz w:val="20"/>
          <w:szCs w:val="20"/>
        </w:rPr>
        <w:t>vi</w:t>
      </w:r>
      <w:r w:rsidR="005B6C22" w:rsidRPr="0064597D">
        <w:rPr>
          <w:sz w:val="20"/>
          <w:szCs w:val="20"/>
        </w:rPr>
        <w:t xml:space="preserve">) la presunta vulneración del derecho a la integridad personal de </w:t>
      </w:r>
      <w:r w:rsidR="00FF35C1" w:rsidRPr="0064597D">
        <w:rPr>
          <w:sz w:val="20"/>
          <w:szCs w:val="20"/>
        </w:rPr>
        <w:t>la hermana del señor Ruiz Fuentes</w:t>
      </w:r>
      <w:r w:rsidR="004F08B4" w:rsidRPr="0064597D">
        <w:rPr>
          <w:sz w:val="20"/>
          <w:szCs w:val="20"/>
        </w:rPr>
        <w:t>.</w:t>
      </w:r>
      <w:bookmarkStart w:id="57" w:name="_Toc438113890"/>
      <w:bookmarkStart w:id="58" w:name="_Toc495658671"/>
      <w:bookmarkStart w:id="59" w:name="_Toc514172627"/>
    </w:p>
    <w:p w14:paraId="0F9F32DA" w14:textId="4E6809D5" w:rsidR="009E4F6C" w:rsidRPr="0064597D" w:rsidRDefault="00F4645B" w:rsidP="002F4F08">
      <w:pPr>
        <w:pStyle w:val="Ttulo1"/>
        <w:rPr>
          <w:caps w:val="0"/>
        </w:rPr>
      </w:pPr>
      <w:bookmarkStart w:id="60" w:name="_Toc24014548"/>
      <w:r w:rsidRPr="0064597D">
        <w:lastRenderedPageBreak/>
        <w:t>VI</w:t>
      </w:r>
      <w:r w:rsidR="006179A5" w:rsidRPr="0064597D">
        <w:t>I</w:t>
      </w:r>
      <w:r w:rsidRPr="0064597D">
        <w:t>I</w:t>
      </w:r>
      <w:r w:rsidR="00832D41" w:rsidRPr="0064597D">
        <w:t>-1</w:t>
      </w:r>
      <w:r w:rsidRPr="0064597D">
        <w:br/>
      </w:r>
      <w:r w:rsidR="00960A67" w:rsidRPr="0064597D">
        <w:t>DERECHO A LA VIDA</w:t>
      </w:r>
      <w:r w:rsidR="00FE532C" w:rsidRPr="0064597D">
        <w:t xml:space="preserve">, </w:t>
      </w:r>
      <w:r w:rsidR="00BB0091" w:rsidRPr="0064597D">
        <w:t>CON MOTIVO DE LA APLICACIÓN DE LA PENA DE MUERTE</w:t>
      </w:r>
      <w:r w:rsidR="00BB0F77" w:rsidRPr="0064597D">
        <w:t xml:space="preserve"> </w:t>
      </w:r>
      <w:bookmarkEnd w:id="57"/>
      <w:bookmarkEnd w:id="58"/>
      <w:bookmarkEnd w:id="59"/>
      <w:r w:rsidR="00BB0091" w:rsidRPr="0064597D">
        <w:t>AL SEÑOR RUIZ FUENTES</w:t>
      </w:r>
      <w:r w:rsidR="001B7763" w:rsidRPr="0064597D">
        <w:rPr>
          <w:rStyle w:val="Refdenotaalpie"/>
        </w:rPr>
        <w:footnoteReference w:id="93"/>
      </w:r>
      <w:bookmarkEnd w:id="60"/>
    </w:p>
    <w:p w14:paraId="696E9661" w14:textId="77777777" w:rsidR="000A154C" w:rsidRPr="0064597D" w:rsidRDefault="000A154C" w:rsidP="000A154C">
      <w:pPr>
        <w:numPr>
          <w:ilvl w:val="0"/>
          <w:numId w:val="1"/>
        </w:numPr>
        <w:tabs>
          <w:tab w:val="left" w:pos="567"/>
        </w:tabs>
        <w:spacing w:line="240" w:lineRule="auto"/>
        <w:ind w:left="0" w:firstLine="0"/>
        <w:rPr>
          <w:sz w:val="20"/>
          <w:szCs w:val="20"/>
        </w:rPr>
      </w:pPr>
      <w:r w:rsidRPr="0064597D">
        <w:rPr>
          <w:sz w:val="20"/>
          <w:szCs w:val="20"/>
        </w:rPr>
        <w:t>En el presente capítulo, la Corte examinará los alegatos relativos a la imposición de la pena de muerte, así como el acceso al indulto o un recurso de gracia que permitiera conmutar la sentencia.</w:t>
      </w:r>
    </w:p>
    <w:p w14:paraId="612E89E9" w14:textId="77777777" w:rsidR="009E4F6C" w:rsidRPr="0064597D" w:rsidRDefault="009E4F6C" w:rsidP="00377181">
      <w:pPr>
        <w:pStyle w:val="Ttulo2"/>
      </w:pPr>
      <w:bookmarkStart w:id="61" w:name="_Toc24014549"/>
      <w:r w:rsidRPr="0064597D">
        <w:t>A.</w:t>
      </w:r>
      <w:r w:rsidRPr="0064597D">
        <w:tab/>
        <w:t>Argumentos de las partes y de la Comisión</w:t>
      </w:r>
      <w:bookmarkEnd w:id="61"/>
    </w:p>
    <w:p w14:paraId="2665F464" w14:textId="5761AF34" w:rsidR="009E4F6C" w:rsidRPr="0064597D" w:rsidRDefault="00083381" w:rsidP="006958DA">
      <w:pPr>
        <w:numPr>
          <w:ilvl w:val="0"/>
          <w:numId w:val="1"/>
        </w:numPr>
        <w:tabs>
          <w:tab w:val="left" w:pos="567"/>
        </w:tabs>
        <w:spacing w:line="240" w:lineRule="auto"/>
        <w:ind w:left="0" w:firstLine="0"/>
        <w:rPr>
          <w:sz w:val="20"/>
          <w:szCs w:val="20"/>
        </w:rPr>
      </w:pPr>
      <w:r w:rsidRPr="0064597D">
        <w:rPr>
          <w:sz w:val="20"/>
          <w:szCs w:val="20"/>
        </w:rPr>
        <w:t>Con respecto a la imposición de la pena de muerte</w:t>
      </w:r>
      <w:r w:rsidR="00FC40ED" w:rsidRPr="0064597D">
        <w:rPr>
          <w:sz w:val="20"/>
          <w:szCs w:val="20"/>
        </w:rPr>
        <w:t>,</w:t>
      </w:r>
      <w:r w:rsidRPr="0064597D">
        <w:rPr>
          <w:sz w:val="20"/>
          <w:szCs w:val="20"/>
        </w:rPr>
        <w:t xml:space="preserve"> l</w:t>
      </w:r>
      <w:r w:rsidR="000A154C" w:rsidRPr="0064597D">
        <w:rPr>
          <w:sz w:val="20"/>
          <w:szCs w:val="20"/>
        </w:rPr>
        <w:t xml:space="preserve">a </w:t>
      </w:r>
      <w:r w:rsidR="000A154C" w:rsidRPr="0064597D">
        <w:rPr>
          <w:b/>
          <w:i/>
          <w:sz w:val="20"/>
          <w:szCs w:val="20"/>
        </w:rPr>
        <w:t>Comisión</w:t>
      </w:r>
      <w:r w:rsidR="000A154C" w:rsidRPr="0064597D">
        <w:rPr>
          <w:sz w:val="20"/>
          <w:szCs w:val="20"/>
        </w:rPr>
        <w:t xml:space="preserve"> resaltó que se aplicó el artículo 201 del Código Penal guatemalteco cuyo contenido ya ha sido analizado por este Tribunal en casos anteriores. En este sentido, concluyó que el Estado es responsable por la imposición de la pena de muerte al señor Ru</w:t>
      </w:r>
      <w:r w:rsidR="000060F7" w:rsidRPr="0064597D">
        <w:rPr>
          <w:sz w:val="20"/>
          <w:szCs w:val="20"/>
        </w:rPr>
        <w:t>i</w:t>
      </w:r>
      <w:r w:rsidR="000A154C" w:rsidRPr="0064597D">
        <w:rPr>
          <w:sz w:val="20"/>
          <w:szCs w:val="20"/>
        </w:rPr>
        <w:t xml:space="preserve">z Fuentes por una conducta que no estaba contemplada como merecedora de la pena de muerte al momento de la ratificación de la Convención Americana por parte del Estado. </w:t>
      </w:r>
      <w:r w:rsidR="008E2861" w:rsidRPr="0064597D">
        <w:rPr>
          <w:sz w:val="20"/>
          <w:szCs w:val="20"/>
        </w:rPr>
        <w:t>L</w:t>
      </w:r>
      <w:r w:rsidR="000A154C" w:rsidRPr="0064597D">
        <w:rPr>
          <w:sz w:val="20"/>
          <w:szCs w:val="20"/>
        </w:rPr>
        <w:t xml:space="preserve">a Comisión </w:t>
      </w:r>
      <w:r w:rsidR="008E2861" w:rsidRPr="0064597D">
        <w:rPr>
          <w:sz w:val="20"/>
          <w:szCs w:val="20"/>
        </w:rPr>
        <w:t>también consideró</w:t>
      </w:r>
      <w:r w:rsidR="000A154C" w:rsidRPr="0064597D">
        <w:rPr>
          <w:sz w:val="20"/>
          <w:szCs w:val="20"/>
        </w:rPr>
        <w:t xml:space="preserve"> que los tribunales internos tampoco analizaron la problemática de la aplicación automática de la pena de muerte. Por último, la Comisión recordó que el señor Ru</w:t>
      </w:r>
      <w:r w:rsidR="000060F7" w:rsidRPr="0064597D">
        <w:rPr>
          <w:sz w:val="20"/>
          <w:szCs w:val="20"/>
        </w:rPr>
        <w:t>i</w:t>
      </w:r>
      <w:r w:rsidR="000A154C" w:rsidRPr="0064597D">
        <w:rPr>
          <w:sz w:val="20"/>
          <w:szCs w:val="20"/>
        </w:rPr>
        <w:t xml:space="preserve">z Fuentes presentó un recurso de gracia ante el Ministerio de Gobernación, </w:t>
      </w:r>
      <w:r w:rsidR="000060F7" w:rsidRPr="0064597D">
        <w:rPr>
          <w:sz w:val="20"/>
          <w:szCs w:val="20"/>
        </w:rPr>
        <w:t xml:space="preserve">y que, </w:t>
      </w:r>
      <w:r w:rsidR="000A154C" w:rsidRPr="0064597D">
        <w:rPr>
          <w:sz w:val="20"/>
          <w:szCs w:val="20"/>
        </w:rPr>
        <w:t>al momento del sometimiento del caso, el Estado no aportó información que permit</w:t>
      </w:r>
      <w:r w:rsidR="000060F7" w:rsidRPr="0064597D">
        <w:rPr>
          <w:sz w:val="20"/>
          <w:szCs w:val="20"/>
        </w:rPr>
        <w:t>iera</w:t>
      </w:r>
      <w:r w:rsidR="000A154C" w:rsidRPr="0064597D">
        <w:rPr>
          <w:sz w:val="20"/>
          <w:szCs w:val="20"/>
        </w:rPr>
        <w:t xml:space="preserve"> establecer que el recurso había sido resuelto, limitándose a indicar que al momento de la presentación de la petición ante la Comisión estaba vigente</w:t>
      </w:r>
      <w:r w:rsidR="000060F7" w:rsidRPr="0064597D">
        <w:rPr>
          <w:sz w:val="20"/>
          <w:szCs w:val="20"/>
        </w:rPr>
        <w:t>,</w:t>
      </w:r>
      <w:r w:rsidR="000A154C" w:rsidRPr="0064597D">
        <w:rPr>
          <w:sz w:val="20"/>
          <w:szCs w:val="20"/>
        </w:rPr>
        <w:t xml:space="preserve"> por lo que debió agotar dicha vía. </w:t>
      </w:r>
    </w:p>
    <w:p w14:paraId="524B4196" w14:textId="77777777" w:rsidR="008E2861" w:rsidRPr="0064597D" w:rsidRDefault="008E2861" w:rsidP="008E2861">
      <w:pPr>
        <w:tabs>
          <w:tab w:val="left" w:pos="567"/>
        </w:tabs>
        <w:spacing w:line="240" w:lineRule="auto"/>
        <w:rPr>
          <w:sz w:val="20"/>
          <w:szCs w:val="20"/>
        </w:rPr>
      </w:pPr>
    </w:p>
    <w:p w14:paraId="0A5315C2" w14:textId="50B6FBE5" w:rsidR="007F456A" w:rsidRPr="0064597D" w:rsidRDefault="000060F7" w:rsidP="000E3A01">
      <w:pPr>
        <w:numPr>
          <w:ilvl w:val="0"/>
          <w:numId w:val="1"/>
        </w:numPr>
        <w:tabs>
          <w:tab w:val="left" w:pos="567"/>
        </w:tabs>
        <w:spacing w:line="240" w:lineRule="auto"/>
        <w:ind w:left="0" w:firstLine="0"/>
        <w:rPr>
          <w:sz w:val="20"/>
          <w:szCs w:val="20"/>
        </w:rPr>
      </w:pPr>
      <w:r w:rsidRPr="0064597D">
        <w:rPr>
          <w:sz w:val="20"/>
          <w:szCs w:val="20"/>
        </w:rPr>
        <w:t xml:space="preserve">Con respecto a la condena a pena de muerte, </w:t>
      </w:r>
      <w:r w:rsidR="002269FD" w:rsidRPr="0064597D">
        <w:rPr>
          <w:sz w:val="20"/>
          <w:szCs w:val="20"/>
        </w:rPr>
        <w:t xml:space="preserve">las </w:t>
      </w:r>
      <w:r w:rsidR="002269FD" w:rsidRPr="0064597D">
        <w:rPr>
          <w:b/>
          <w:i/>
          <w:sz w:val="20"/>
          <w:szCs w:val="20"/>
        </w:rPr>
        <w:t>representantes</w:t>
      </w:r>
      <w:r w:rsidRPr="0064597D">
        <w:rPr>
          <w:sz w:val="20"/>
          <w:szCs w:val="20"/>
        </w:rPr>
        <w:t xml:space="preserve"> </w:t>
      </w:r>
      <w:r w:rsidR="000A154C" w:rsidRPr="0064597D">
        <w:rPr>
          <w:sz w:val="20"/>
          <w:szCs w:val="20"/>
        </w:rPr>
        <w:t>establecieron que dicha condena se realizó contraviniendo lo dispuesto en la Convención</w:t>
      </w:r>
      <w:r w:rsidRPr="0064597D">
        <w:rPr>
          <w:sz w:val="20"/>
          <w:szCs w:val="20"/>
        </w:rPr>
        <w:t>,</w:t>
      </w:r>
      <w:r w:rsidR="000A154C" w:rsidRPr="0064597D">
        <w:rPr>
          <w:sz w:val="20"/>
          <w:szCs w:val="20"/>
        </w:rPr>
        <w:t xml:space="preserve"> toda vez que ésta se impuso sobre la base de lo establecido en el artículo 201 del Código Penal guatemalteco. Indica</w:t>
      </w:r>
      <w:r w:rsidRPr="0064597D">
        <w:rPr>
          <w:sz w:val="20"/>
          <w:szCs w:val="20"/>
        </w:rPr>
        <w:t xml:space="preserve">ron </w:t>
      </w:r>
      <w:r w:rsidR="000A154C" w:rsidRPr="0064597D">
        <w:rPr>
          <w:sz w:val="20"/>
          <w:szCs w:val="20"/>
        </w:rPr>
        <w:t xml:space="preserve">que </w:t>
      </w:r>
      <w:r w:rsidRPr="0064597D">
        <w:rPr>
          <w:sz w:val="20"/>
          <w:szCs w:val="20"/>
        </w:rPr>
        <w:t>la Corte</w:t>
      </w:r>
      <w:r w:rsidR="000A154C" w:rsidRPr="0064597D">
        <w:rPr>
          <w:sz w:val="20"/>
          <w:szCs w:val="20"/>
        </w:rPr>
        <w:t xml:space="preserve"> ya se ha referido a la aplicación de dicho artículo a través del caso </w:t>
      </w:r>
      <w:r w:rsidR="000A154C" w:rsidRPr="0064597D">
        <w:rPr>
          <w:i/>
          <w:iCs/>
          <w:sz w:val="20"/>
          <w:szCs w:val="20"/>
        </w:rPr>
        <w:t>Raxcacó Reyes Vs. Guatemala</w:t>
      </w:r>
      <w:r w:rsidR="000A154C" w:rsidRPr="0064597D">
        <w:rPr>
          <w:sz w:val="20"/>
          <w:szCs w:val="20"/>
        </w:rPr>
        <w:t xml:space="preserve"> en el cual se estableció que la aplicación del artículo 201 se realizó “desatendiendo la limitación que impone el artículo 4.2 de la Convención Americana respecto de la aplicación de la pena de muerte solamente a los delitos más graves”. En este sentido, </w:t>
      </w:r>
      <w:r w:rsidR="002269FD" w:rsidRPr="0064597D">
        <w:rPr>
          <w:sz w:val="20"/>
          <w:szCs w:val="20"/>
        </w:rPr>
        <w:t>las representantes</w:t>
      </w:r>
      <w:r w:rsidR="000A154C" w:rsidRPr="0064597D">
        <w:rPr>
          <w:sz w:val="20"/>
          <w:szCs w:val="20"/>
        </w:rPr>
        <w:t xml:space="preserve"> concluyer</w:t>
      </w:r>
      <w:r w:rsidR="00FC40ED" w:rsidRPr="0064597D">
        <w:rPr>
          <w:sz w:val="20"/>
          <w:szCs w:val="20"/>
        </w:rPr>
        <w:t>on que, dado que el presente caso</w:t>
      </w:r>
      <w:r w:rsidR="000A154C" w:rsidRPr="0064597D">
        <w:rPr>
          <w:sz w:val="20"/>
          <w:szCs w:val="20"/>
        </w:rPr>
        <w:t xml:space="preserve"> refiere a los mismos hechos a los que se refirió el caso </w:t>
      </w:r>
      <w:r w:rsidR="000A154C" w:rsidRPr="0064597D">
        <w:rPr>
          <w:i/>
          <w:iCs/>
          <w:sz w:val="20"/>
          <w:szCs w:val="20"/>
        </w:rPr>
        <w:t>Raxcacó Reyes Vs. Guatemala</w:t>
      </w:r>
      <w:r w:rsidR="000A154C" w:rsidRPr="0064597D">
        <w:rPr>
          <w:sz w:val="20"/>
          <w:szCs w:val="20"/>
        </w:rPr>
        <w:t>, así como a que se aplicó la misma normativa en ambos casos y se condenó a ambas personas en la misma calidad, solicitaron que la Corte se pronunci</w:t>
      </w:r>
      <w:r w:rsidR="008E2861" w:rsidRPr="0064597D">
        <w:rPr>
          <w:sz w:val="20"/>
          <w:szCs w:val="20"/>
        </w:rPr>
        <w:t xml:space="preserve">ara </w:t>
      </w:r>
      <w:r w:rsidR="000A154C" w:rsidRPr="0064597D">
        <w:rPr>
          <w:sz w:val="20"/>
          <w:szCs w:val="20"/>
        </w:rPr>
        <w:t xml:space="preserve">en el mismo sentido. </w:t>
      </w:r>
    </w:p>
    <w:p w14:paraId="38CF6771" w14:textId="77777777" w:rsidR="000E3A01" w:rsidRPr="0064597D" w:rsidRDefault="000E3A01" w:rsidP="000E3A01">
      <w:pPr>
        <w:tabs>
          <w:tab w:val="left" w:pos="567"/>
        </w:tabs>
        <w:spacing w:line="240" w:lineRule="auto"/>
        <w:rPr>
          <w:sz w:val="20"/>
          <w:szCs w:val="20"/>
        </w:rPr>
      </w:pPr>
    </w:p>
    <w:p w14:paraId="4194094C" w14:textId="32B5AE28" w:rsidR="000A154C" w:rsidRPr="0064597D" w:rsidRDefault="000A154C" w:rsidP="000E3A01">
      <w:pPr>
        <w:numPr>
          <w:ilvl w:val="0"/>
          <w:numId w:val="1"/>
        </w:numPr>
        <w:tabs>
          <w:tab w:val="left" w:pos="567"/>
        </w:tabs>
        <w:spacing w:line="240" w:lineRule="auto"/>
        <w:ind w:left="0" w:firstLine="0"/>
        <w:rPr>
          <w:sz w:val="20"/>
          <w:szCs w:val="20"/>
        </w:rPr>
      </w:pPr>
      <w:r w:rsidRPr="0064597D">
        <w:rPr>
          <w:sz w:val="20"/>
          <w:szCs w:val="20"/>
        </w:rPr>
        <w:t>Por último, con respecto al recurso de gracia solicitado por el señor Ru</w:t>
      </w:r>
      <w:r w:rsidR="000060F7" w:rsidRPr="0064597D">
        <w:rPr>
          <w:sz w:val="20"/>
          <w:szCs w:val="20"/>
        </w:rPr>
        <w:t>i</w:t>
      </w:r>
      <w:r w:rsidRPr="0064597D">
        <w:rPr>
          <w:sz w:val="20"/>
          <w:szCs w:val="20"/>
        </w:rPr>
        <w:t>z Fuentes, mencionaron que éste no fue tramitado ni resuelto debido a la falta de regulación apropiada</w:t>
      </w:r>
      <w:r w:rsidR="008E2861" w:rsidRPr="0064597D">
        <w:rPr>
          <w:sz w:val="20"/>
          <w:szCs w:val="20"/>
        </w:rPr>
        <w:t xml:space="preserve">. </w:t>
      </w:r>
      <w:r w:rsidRPr="0064597D">
        <w:rPr>
          <w:sz w:val="20"/>
          <w:szCs w:val="20"/>
        </w:rPr>
        <w:t xml:space="preserve">En sus alegatos finales escritos, </w:t>
      </w:r>
      <w:r w:rsidR="002269FD" w:rsidRPr="0064597D">
        <w:rPr>
          <w:sz w:val="20"/>
          <w:szCs w:val="20"/>
        </w:rPr>
        <w:t>las representantes</w:t>
      </w:r>
      <w:r w:rsidRPr="0064597D">
        <w:rPr>
          <w:sz w:val="20"/>
          <w:szCs w:val="20"/>
        </w:rPr>
        <w:t xml:space="preserve"> destacaron que el Estado sostuvo que al señor Ru</w:t>
      </w:r>
      <w:r w:rsidR="000060F7" w:rsidRPr="0064597D">
        <w:rPr>
          <w:sz w:val="20"/>
          <w:szCs w:val="20"/>
        </w:rPr>
        <w:t>i</w:t>
      </w:r>
      <w:r w:rsidRPr="0064597D">
        <w:rPr>
          <w:sz w:val="20"/>
          <w:szCs w:val="20"/>
        </w:rPr>
        <w:t>z Fuentes le habría sido conmutada la pena</w:t>
      </w:r>
      <w:r w:rsidR="00B53452" w:rsidRPr="0064597D">
        <w:rPr>
          <w:sz w:val="20"/>
          <w:szCs w:val="20"/>
        </w:rPr>
        <w:t xml:space="preserve"> por la pena máxima de privación de libertad</w:t>
      </w:r>
      <w:r w:rsidRPr="0064597D">
        <w:rPr>
          <w:sz w:val="20"/>
          <w:szCs w:val="20"/>
        </w:rPr>
        <w:t xml:space="preserve">, ofreciendo como prueba que, a la fecha, el señor </w:t>
      </w:r>
      <w:r w:rsidRPr="0064597D">
        <w:rPr>
          <w:iCs/>
          <w:sz w:val="20"/>
          <w:szCs w:val="20"/>
        </w:rPr>
        <w:t>Raxcacó Reyes</w:t>
      </w:r>
      <w:r w:rsidRPr="0064597D">
        <w:rPr>
          <w:sz w:val="20"/>
          <w:szCs w:val="20"/>
        </w:rPr>
        <w:t xml:space="preserve"> se enc</w:t>
      </w:r>
      <w:r w:rsidR="000060F7" w:rsidRPr="0064597D">
        <w:rPr>
          <w:sz w:val="20"/>
          <w:szCs w:val="20"/>
        </w:rPr>
        <w:t>ontraba</w:t>
      </w:r>
      <w:r w:rsidRPr="0064597D">
        <w:rPr>
          <w:sz w:val="20"/>
          <w:szCs w:val="20"/>
        </w:rPr>
        <w:t xml:space="preserve"> cumpliendo la pena privativa de libertad. </w:t>
      </w:r>
      <w:r w:rsidR="000060F7" w:rsidRPr="0064597D">
        <w:rPr>
          <w:sz w:val="20"/>
          <w:szCs w:val="20"/>
        </w:rPr>
        <w:t>A este respecto</w:t>
      </w:r>
      <w:r w:rsidRPr="0064597D">
        <w:rPr>
          <w:sz w:val="20"/>
          <w:szCs w:val="20"/>
        </w:rPr>
        <w:t xml:space="preserve"> destacaron que la pena de muerte impuesta al señor Raxcacó Reyes fue conmutada en el año 2007 a raíz de la Sentencia emitida por esta Corte</w:t>
      </w:r>
      <w:r w:rsidR="008E2861" w:rsidRPr="0064597D">
        <w:rPr>
          <w:sz w:val="20"/>
          <w:szCs w:val="20"/>
        </w:rPr>
        <w:t xml:space="preserve"> en el caso </w:t>
      </w:r>
      <w:r w:rsidR="008E2861" w:rsidRPr="0064597D">
        <w:rPr>
          <w:i/>
          <w:sz w:val="20"/>
          <w:szCs w:val="20"/>
        </w:rPr>
        <w:t>Raxcacó Reyes Vs. Guatemala</w:t>
      </w:r>
      <w:r w:rsidR="000060F7" w:rsidRPr="0064597D">
        <w:rPr>
          <w:sz w:val="20"/>
          <w:szCs w:val="20"/>
        </w:rPr>
        <w:t>, e</w:t>
      </w:r>
      <w:r w:rsidRPr="0064597D">
        <w:rPr>
          <w:sz w:val="20"/>
          <w:szCs w:val="20"/>
        </w:rPr>
        <w:t xml:space="preserve">s decir, dos años después de que </w:t>
      </w:r>
      <w:r w:rsidR="00083381" w:rsidRPr="0064597D">
        <w:rPr>
          <w:sz w:val="20"/>
          <w:szCs w:val="20"/>
        </w:rPr>
        <w:t>el señor Rui</w:t>
      </w:r>
      <w:r w:rsidR="000060F7" w:rsidRPr="0064597D">
        <w:rPr>
          <w:sz w:val="20"/>
          <w:szCs w:val="20"/>
        </w:rPr>
        <w:t xml:space="preserve">z Fuentes </w:t>
      </w:r>
      <w:r w:rsidRPr="0064597D">
        <w:rPr>
          <w:sz w:val="20"/>
          <w:szCs w:val="20"/>
        </w:rPr>
        <w:t>fuera</w:t>
      </w:r>
      <w:r w:rsidR="000060F7" w:rsidRPr="0064597D">
        <w:rPr>
          <w:sz w:val="20"/>
          <w:szCs w:val="20"/>
        </w:rPr>
        <w:t xml:space="preserve"> presuntamente</w:t>
      </w:r>
      <w:r w:rsidRPr="0064597D">
        <w:rPr>
          <w:sz w:val="20"/>
          <w:szCs w:val="20"/>
        </w:rPr>
        <w:t xml:space="preserve"> ejecutado extrajudicialmente. </w:t>
      </w:r>
    </w:p>
    <w:p w14:paraId="7EE70E4B" w14:textId="77777777" w:rsidR="000E3A01" w:rsidRPr="0064597D" w:rsidRDefault="000E3A01" w:rsidP="000E3A01">
      <w:pPr>
        <w:tabs>
          <w:tab w:val="left" w:pos="567"/>
        </w:tabs>
        <w:spacing w:line="240" w:lineRule="auto"/>
        <w:rPr>
          <w:sz w:val="20"/>
          <w:szCs w:val="20"/>
        </w:rPr>
      </w:pPr>
    </w:p>
    <w:p w14:paraId="67357FAD" w14:textId="011C4451" w:rsidR="000A154C" w:rsidRPr="0064597D" w:rsidRDefault="00083381" w:rsidP="004F4C08">
      <w:pPr>
        <w:numPr>
          <w:ilvl w:val="0"/>
          <w:numId w:val="1"/>
        </w:numPr>
        <w:tabs>
          <w:tab w:val="left" w:pos="567"/>
        </w:tabs>
        <w:spacing w:line="240" w:lineRule="auto"/>
        <w:ind w:left="0" w:firstLine="0"/>
        <w:rPr>
          <w:sz w:val="20"/>
          <w:szCs w:val="20"/>
        </w:rPr>
      </w:pPr>
      <w:r w:rsidRPr="0064597D">
        <w:rPr>
          <w:sz w:val="20"/>
          <w:szCs w:val="20"/>
        </w:rPr>
        <w:t>Con respecto a la imposición de la pena de muerte al señor Ruiz Fuentes, e</w:t>
      </w:r>
      <w:r w:rsidR="000A154C" w:rsidRPr="0064597D">
        <w:rPr>
          <w:sz w:val="20"/>
          <w:szCs w:val="20"/>
        </w:rPr>
        <w:t xml:space="preserve">l </w:t>
      </w:r>
      <w:r w:rsidR="000A154C" w:rsidRPr="0064597D">
        <w:rPr>
          <w:b/>
          <w:i/>
          <w:sz w:val="20"/>
          <w:szCs w:val="20"/>
        </w:rPr>
        <w:t>Estado</w:t>
      </w:r>
      <w:r w:rsidRPr="0064597D">
        <w:rPr>
          <w:sz w:val="20"/>
          <w:szCs w:val="20"/>
        </w:rPr>
        <w:t xml:space="preserve"> </w:t>
      </w:r>
      <w:r w:rsidR="000A154C" w:rsidRPr="0064597D">
        <w:rPr>
          <w:sz w:val="20"/>
          <w:szCs w:val="20"/>
        </w:rPr>
        <w:t xml:space="preserve">sostuvo que </w:t>
      </w:r>
      <w:r w:rsidR="000060F7" w:rsidRPr="0064597D">
        <w:rPr>
          <w:sz w:val="20"/>
          <w:szCs w:val="20"/>
        </w:rPr>
        <w:t xml:space="preserve">dicha pena </w:t>
      </w:r>
      <w:r w:rsidR="000A154C" w:rsidRPr="0064597D">
        <w:rPr>
          <w:sz w:val="20"/>
          <w:szCs w:val="20"/>
        </w:rPr>
        <w:t>fue “modificada y/o conmutada por la pena máxima de privación de libertad” en cumplimiento a lo consign</w:t>
      </w:r>
      <w:r w:rsidRPr="0064597D">
        <w:rPr>
          <w:sz w:val="20"/>
          <w:szCs w:val="20"/>
        </w:rPr>
        <w:t>ado en la Convención Americana</w:t>
      </w:r>
      <w:r w:rsidR="000060F7" w:rsidRPr="0064597D">
        <w:rPr>
          <w:sz w:val="20"/>
          <w:szCs w:val="20"/>
        </w:rPr>
        <w:t xml:space="preserve">. </w:t>
      </w:r>
      <w:r w:rsidR="000A154C" w:rsidRPr="0064597D">
        <w:rPr>
          <w:sz w:val="20"/>
          <w:szCs w:val="20"/>
        </w:rPr>
        <w:t xml:space="preserve">Además, mencionaron que tal modificación también fue aplicada con el sentenciado Ronald Ernesto Raxcacó Reyes, quien </w:t>
      </w:r>
      <w:r w:rsidR="000060F7" w:rsidRPr="0064597D">
        <w:rPr>
          <w:sz w:val="20"/>
          <w:szCs w:val="20"/>
        </w:rPr>
        <w:t>fue coautor de la c</w:t>
      </w:r>
      <w:r w:rsidR="000A154C" w:rsidRPr="0064597D">
        <w:rPr>
          <w:sz w:val="20"/>
          <w:szCs w:val="20"/>
        </w:rPr>
        <w:t xml:space="preserve">omisión del delito </w:t>
      </w:r>
      <w:r w:rsidR="000060F7" w:rsidRPr="0064597D">
        <w:rPr>
          <w:sz w:val="20"/>
          <w:szCs w:val="20"/>
        </w:rPr>
        <w:t>que cometió</w:t>
      </w:r>
      <w:r w:rsidR="000A154C" w:rsidRPr="0064597D">
        <w:rPr>
          <w:sz w:val="20"/>
          <w:szCs w:val="20"/>
        </w:rPr>
        <w:t xml:space="preserve"> el señor Ru</w:t>
      </w:r>
      <w:r w:rsidR="000060F7" w:rsidRPr="0064597D">
        <w:rPr>
          <w:sz w:val="20"/>
          <w:szCs w:val="20"/>
        </w:rPr>
        <w:t>i</w:t>
      </w:r>
      <w:r w:rsidR="000A154C" w:rsidRPr="0064597D">
        <w:rPr>
          <w:sz w:val="20"/>
          <w:szCs w:val="20"/>
        </w:rPr>
        <w:t xml:space="preserve">z Fuentes. </w:t>
      </w:r>
    </w:p>
    <w:p w14:paraId="0A6FEC3D" w14:textId="77777777" w:rsidR="007E1B0E" w:rsidRPr="0064597D" w:rsidRDefault="007E1B0E" w:rsidP="007E1B0E">
      <w:pPr>
        <w:tabs>
          <w:tab w:val="left" w:pos="567"/>
        </w:tabs>
        <w:spacing w:line="240" w:lineRule="auto"/>
        <w:rPr>
          <w:sz w:val="20"/>
          <w:szCs w:val="20"/>
        </w:rPr>
      </w:pPr>
    </w:p>
    <w:p w14:paraId="16E40859" w14:textId="1CEE4B21" w:rsidR="000A154C" w:rsidRPr="0064597D" w:rsidRDefault="007E1B0E" w:rsidP="00FD5666">
      <w:pPr>
        <w:numPr>
          <w:ilvl w:val="0"/>
          <w:numId w:val="1"/>
        </w:numPr>
        <w:tabs>
          <w:tab w:val="left" w:pos="567"/>
        </w:tabs>
        <w:spacing w:line="240" w:lineRule="auto"/>
        <w:ind w:left="0" w:firstLine="0"/>
        <w:rPr>
          <w:sz w:val="20"/>
          <w:szCs w:val="20"/>
        </w:rPr>
      </w:pPr>
      <w:r w:rsidRPr="0064597D">
        <w:rPr>
          <w:sz w:val="20"/>
          <w:szCs w:val="20"/>
        </w:rPr>
        <w:t>Con respecto al recurso de gracia, el Estado indicó que el mismo no fue resuelto debido a la inexistencia de un procedimiento a tal efecto. Indicó que tras la fuga y muerte del señor Ruiz Fuente</w:t>
      </w:r>
      <w:r w:rsidR="00852576" w:rsidRPr="0064597D">
        <w:rPr>
          <w:sz w:val="20"/>
          <w:szCs w:val="20"/>
        </w:rPr>
        <w:t>s</w:t>
      </w:r>
      <w:r w:rsidRPr="0064597D">
        <w:rPr>
          <w:sz w:val="20"/>
          <w:szCs w:val="20"/>
        </w:rPr>
        <w:t>, el recurso dejó de tener objeto</w:t>
      </w:r>
      <w:r w:rsidR="008E2861" w:rsidRPr="0064597D">
        <w:rPr>
          <w:sz w:val="20"/>
          <w:szCs w:val="20"/>
        </w:rPr>
        <w:t>.</w:t>
      </w:r>
      <w:r w:rsidRPr="0064597D">
        <w:rPr>
          <w:sz w:val="20"/>
          <w:szCs w:val="20"/>
        </w:rPr>
        <w:t xml:space="preserve"> </w:t>
      </w:r>
      <w:r w:rsidRPr="0064597D">
        <w:rPr>
          <w:bCs/>
          <w:sz w:val="20"/>
          <w:szCs w:val="20"/>
        </w:rPr>
        <w:t>Añadió además</w:t>
      </w:r>
      <w:r w:rsidRPr="0064597D">
        <w:rPr>
          <w:sz w:val="20"/>
          <w:szCs w:val="20"/>
        </w:rPr>
        <w:t xml:space="preserve"> </w:t>
      </w:r>
      <w:r w:rsidR="000736FB" w:rsidRPr="0064597D">
        <w:rPr>
          <w:sz w:val="20"/>
          <w:szCs w:val="20"/>
        </w:rPr>
        <w:t xml:space="preserve">que no fue necesario resolver el </w:t>
      </w:r>
      <w:r w:rsidR="000A154C" w:rsidRPr="0064597D">
        <w:rPr>
          <w:sz w:val="20"/>
          <w:szCs w:val="20"/>
        </w:rPr>
        <w:t>recurso de gracia</w:t>
      </w:r>
      <w:r w:rsidR="000736FB" w:rsidRPr="0064597D">
        <w:rPr>
          <w:sz w:val="20"/>
          <w:szCs w:val="20"/>
        </w:rPr>
        <w:t xml:space="preserve"> interpuesto por el señor Ruiz Fuentes, </w:t>
      </w:r>
      <w:r w:rsidR="000A154C" w:rsidRPr="0064597D">
        <w:rPr>
          <w:sz w:val="20"/>
          <w:szCs w:val="20"/>
        </w:rPr>
        <w:t xml:space="preserve">toda vez que la pena ya se había conmutado por la privación </w:t>
      </w:r>
      <w:r w:rsidR="000A154C" w:rsidRPr="0064597D">
        <w:rPr>
          <w:sz w:val="20"/>
          <w:szCs w:val="20"/>
        </w:rPr>
        <w:lastRenderedPageBreak/>
        <w:t xml:space="preserve">de la libertad. </w:t>
      </w:r>
    </w:p>
    <w:p w14:paraId="4520F2EF" w14:textId="77777777" w:rsidR="00B373FF" w:rsidRPr="0064597D" w:rsidRDefault="009E4F6C" w:rsidP="00377181">
      <w:pPr>
        <w:pStyle w:val="Ttulo2"/>
      </w:pPr>
      <w:bookmarkStart w:id="62" w:name="_Toc24014550"/>
      <w:r w:rsidRPr="0064597D">
        <w:t>B.</w:t>
      </w:r>
      <w:r w:rsidRPr="0064597D">
        <w:tab/>
        <w:t>Consideraciones de la Corte</w:t>
      </w:r>
      <w:bookmarkEnd w:id="62"/>
    </w:p>
    <w:p w14:paraId="5D3BE80E" w14:textId="43E78C9D" w:rsidR="000A154C" w:rsidRPr="0064597D" w:rsidRDefault="000A154C" w:rsidP="00897CD6">
      <w:pPr>
        <w:numPr>
          <w:ilvl w:val="0"/>
          <w:numId w:val="1"/>
        </w:numPr>
        <w:tabs>
          <w:tab w:val="left" w:pos="567"/>
        </w:tabs>
        <w:spacing w:line="240" w:lineRule="auto"/>
        <w:ind w:left="0" w:firstLine="0"/>
        <w:rPr>
          <w:sz w:val="20"/>
          <w:szCs w:val="20"/>
        </w:rPr>
      </w:pPr>
      <w:r w:rsidRPr="0064597D">
        <w:rPr>
          <w:sz w:val="20"/>
          <w:szCs w:val="20"/>
        </w:rPr>
        <w:t>La Corte analizará las alegadas violaciones al derecho a la vida con motivo del proceso que culminó en la condena a pena de muerte del señor Ru</w:t>
      </w:r>
      <w:r w:rsidR="006436F4" w:rsidRPr="0064597D">
        <w:rPr>
          <w:sz w:val="20"/>
          <w:szCs w:val="20"/>
        </w:rPr>
        <w:t>i</w:t>
      </w:r>
      <w:r w:rsidRPr="0064597D">
        <w:rPr>
          <w:sz w:val="20"/>
          <w:szCs w:val="20"/>
        </w:rPr>
        <w:t xml:space="preserve">z Fuentes, así como </w:t>
      </w:r>
      <w:r w:rsidR="006436F4" w:rsidRPr="0064597D">
        <w:rPr>
          <w:sz w:val="20"/>
          <w:szCs w:val="20"/>
        </w:rPr>
        <w:t xml:space="preserve">a </w:t>
      </w:r>
      <w:r w:rsidRPr="0064597D">
        <w:rPr>
          <w:sz w:val="20"/>
          <w:szCs w:val="20"/>
        </w:rPr>
        <w:t xml:space="preserve">la alegada inexistencia de un recurso </w:t>
      </w:r>
      <w:r w:rsidR="00897CD6" w:rsidRPr="0064597D">
        <w:rPr>
          <w:sz w:val="20"/>
          <w:szCs w:val="20"/>
        </w:rPr>
        <w:t>de gracia que le permitiera solicitar la amnistía, indulto o conmutación de la pena</w:t>
      </w:r>
      <w:r w:rsidRPr="0064597D">
        <w:rPr>
          <w:sz w:val="20"/>
          <w:szCs w:val="20"/>
        </w:rPr>
        <w:t xml:space="preserve">. </w:t>
      </w:r>
      <w:r w:rsidR="006436F4" w:rsidRPr="0064597D">
        <w:rPr>
          <w:sz w:val="20"/>
          <w:szCs w:val="20"/>
        </w:rPr>
        <w:t>L</w:t>
      </w:r>
      <w:r w:rsidRPr="0064597D">
        <w:rPr>
          <w:sz w:val="20"/>
          <w:szCs w:val="20"/>
        </w:rPr>
        <w:t xml:space="preserve">a </w:t>
      </w:r>
      <w:r w:rsidR="006436F4" w:rsidRPr="0064597D">
        <w:rPr>
          <w:sz w:val="20"/>
          <w:szCs w:val="20"/>
        </w:rPr>
        <w:t>C</w:t>
      </w:r>
      <w:r w:rsidRPr="0064597D">
        <w:rPr>
          <w:sz w:val="20"/>
          <w:szCs w:val="20"/>
        </w:rPr>
        <w:t>orte procederá</w:t>
      </w:r>
      <w:r w:rsidR="00897CD6" w:rsidRPr="0064597D">
        <w:rPr>
          <w:sz w:val="20"/>
          <w:szCs w:val="20"/>
        </w:rPr>
        <w:t>, por tanto,</w:t>
      </w:r>
      <w:r w:rsidRPr="0064597D">
        <w:rPr>
          <w:sz w:val="20"/>
          <w:szCs w:val="20"/>
        </w:rPr>
        <w:t xml:space="preserve"> a realizar el análisis de la siguiente manera: </w:t>
      </w:r>
    </w:p>
    <w:p w14:paraId="5E425C1E" w14:textId="4980D45F" w:rsidR="00F44AB2" w:rsidRPr="0064597D" w:rsidRDefault="00544B95" w:rsidP="00377181">
      <w:pPr>
        <w:pStyle w:val="Ttulo3"/>
        <w:rPr>
          <w:lang w:eastAsia="en-US"/>
        </w:rPr>
      </w:pPr>
      <w:bookmarkStart w:id="63" w:name="_Toc24014551"/>
      <w:r w:rsidRPr="0064597D">
        <w:t xml:space="preserve">b.1 </w:t>
      </w:r>
      <w:r w:rsidRPr="0064597D">
        <w:tab/>
      </w:r>
      <w:r w:rsidR="000A154C" w:rsidRPr="0064597D">
        <w:rPr>
          <w:lang w:eastAsia="en-US"/>
        </w:rPr>
        <w:t>Imposición</w:t>
      </w:r>
      <w:r w:rsidR="00F44AB2" w:rsidRPr="0064597D">
        <w:rPr>
          <w:lang w:eastAsia="en-US"/>
        </w:rPr>
        <w:t xml:space="preserve"> de la pena de muerte</w:t>
      </w:r>
      <w:bookmarkEnd w:id="63"/>
    </w:p>
    <w:p w14:paraId="6F9073E9" w14:textId="63878A0E" w:rsidR="00B93796" w:rsidRPr="0064597D" w:rsidRDefault="000A154C" w:rsidP="0088504D">
      <w:pPr>
        <w:numPr>
          <w:ilvl w:val="0"/>
          <w:numId w:val="1"/>
        </w:numPr>
        <w:tabs>
          <w:tab w:val="left" w:pos="567"/>
        </w:tabs>
        <w:spacing w:line="240" w:lineRule="auto"/>
        <w:ind w:left="0" w:firstLine="0"/>
        <w:rPr>
          <w:sz w:val="20"/>
          <w:szCs w:val="20"/>
          <w:lang w:val="es-ES"/>
        </w:rPr>
      </w:pPr>
      <w:r w:rsidRPr="0064597D">
        <w:rPr>
          <w:sz w:val="20"/>
          <w:szCs w:val="20"/>
          <w:lang w:val="es-ES"/>
        </w:rPr>
        <w:t xml:space="preserve">Para efectos de examinar la alegada violación del derecho a la </w:t>
      </w:r>
      <w:r w:rsidR="00A32604" w:rsidRPr="0064597D">
        <w:rPr>
          <w:sz w:val="20"/>
          <w:szCs w:val="20"/>
          <w:lang w:val="es-ES"/>
        </w:rPr>
        <w:t>vida del señor Hugo Humberto Rui</w:t>
      </w:r>
      <w:r w:rsidRPr="0064597D">
        <w:rPr>
          <w:sz w:val="20"/>
          <w:szCs w:val="20"/>
          <w:lang w:val="es-ES"/>
        </w:rPr>
        <w:t>z Fuentes</w:t>
      </w:r>
      <w:r w:rsidR="00ED056E" w:rsidRPr="0064597D">
        <w:rPr>
          <w:sz w:val="20"/>
          <w:szCs w:val="20"/>
          <w:lang w:val="es-ES"/>
        </w:rPr>
        <w:t xml:space="preserve"> por imposición de la pena de muerte</w:t>
      </w:r>
      <w:r w:rsidRPr="0064597D">
        <w:rPr>
          <w:sz w:val="20"/>
          <w:szCs w:val="20"/>
          <w:lang w:val="es-ES"/>
        </w:rPr>
        <w:t xml:space="preserve">, cabe recordar que la Corte ha </w:t>
      </w:r>
      <w:r w:rsidR="00897CD6" w:rsidRPr="0064597D">
        <w:rPr>
          <w:sz w:val="20"/>
          <w:szCs w:val="20"/>
          <w:lang w:val="es-ES"/>
        </w:rPr>
        <w:t>destacado</w:t>
      </w:r>
      <w:r w:rsidRPr="0064597D">
        <w:rPr>
          <w:sz w:val="20"/>
          <w:szCs w:val="20"/>
          <w:lang w:val="es-ES"/>
        </w:rPr>
        <w:t xml:space="preserve"> </w:t>
      </w:r>
      <w:r w:rsidR="00897CD6" w:rsidRPr="0064597D">
        <w:rPr>
          <w:sz w:val="20"/>
          <w:szCs w:val="20"/>
          <w:lang w:val="es-ES"/>
        </w:rPr>
        <w:t xml:space="preserve">recientemente en el caso </w:t>
      </w:r>
      <w:r w:rsidR="00897CD6" w:rsidRPr="0064597D">
        <w:rPr>
          <w:i/>
          <w:sz w:val="20"/>
          <w:szCs w:val="20"/>
          <w:lang w:val="es-ES"/>
        </w:rPr>
        <w:t>Martínez Coronado Vs. Guatemala</w:t>
      </w:r>
      <w:r w:rsidR="00897CD6" w:rsidRPr="0064597D">
        <w:rPr>
          <w:rStyle w:val="Refdenotaalpie"/>
          <w:sz w:val="20"/>
          <w:szCs w:val="20"/>
          <w:lang w:val="es-ES"/>
        </w:rPr>
        <w:footnoteReference w:id="94"/>
      </w:r>
      <w:r w:rsidR="00897CD6" w:rsidRPr="0064597D">
        <w:rPr>
          <w:sz w:val="20"/>
          <w:szCs w:val="20"/>
          <w:lang w:val="es-ES"/>
        </w:rPr>
        <w:t xml:space="preserve"> </w:t>
      </w:r>
      <w:r w:rsidRPr="0064597D">
        <w:rPr>
          <w:sz w:val="20"/>
          <w:szCs w:val="20"/>
          <w:lang w:val="es-ES"/>
        </w:rPr>
        <w:t>que en los casos excepcionales en los cuáles está permitido a los Estados la aplicación de la pena de muerte, tal posibilidad está sujeta a un conjunto de rigurosas limitaciones</w:t>
      </w:r>
      <w:r w:rsidR="00ED056E" w:rsidRPr="0064597D">
        <w:rPr>
          <w:rStyle w:val="Refdenotaalpie"/>
          <w:sz w:val="20"/>
          <w:szCs w:val="20"/>
          <w:lang w:val="es-ES"/>
        </w:rPr>
        <w:footnoteReference w:id="95"/>
      </w:r>
      <w:r w:rsidRPr="0064597D">
        <w:rPr>
          <w:sz w:val="20"/>
          <w:szCs w:val="20"/>
          <w:lang w:val="es-ES"/>
        </w:rPr>
        <w:t>. Por una parte, se dispone que la pena de muerte no podrá imponerse sino para los delitos más graves (artículo 4.2) y por la otra, se excluye de modo absoluto su aplicación por delitos políticos o por delitos comunes conexos con los políticos (artículo 4.4). La circunstancia de que la Convención Americana reduzca el ámbito posible de aplicación de la pena de muerte a los delitos comunes más graves y no conexos, es reveladora del propósito de considerar dicha pena aplicable sólo en condiciones excepcionales</w:t>
      </w:r>
      <w:r w:rsidR="005B12EE" w:rsidRPr="0064597D">
        <w:rPr>
          <w:rStyle w:val="Refdenotaalpie"/>
          <w:sz w:val="20"/>
          <w:szCs w:val="20"/>
          <w:lang w:val="es-ES"/>
        </w:rPr>
        <w:footnoteReference w:id="96"/>
      </w:r>
      <w:r w:rsidRPr="0064597D">
        <w:rPr>
          <w:sz w:val="20"/>
          <w:szCs w:val="20"/>
          <w:lang w:val="es-ES"/>
        </w:rPr>
        <w:t xml:space="preserve">. </w:t>
      </w:r>
    </w:p>
    <w:p w14:paraId="13BBA902" w14:textId="77777777" w:rsidR="0044135F" w:rsidRPr="0064597D" w:rsidRDefault="0044135F" w:rsidP="0044135F">
      <w:pPr>
        <w:tabs>
          <w:tab w:val="left" w:pos="567"/>
        </w:tabs>
        <w:spacing w:line="240" w:lineRule="auto"/>
        <w:rPr>
          <w:sz w:val="20"/>
          <w:szCs w:val="20"/>
          <w:lang w:val="es-ES"/>
        </w:rPr>
      </w:pPr>
    </w:p>
    <w:p w14:paraId="214F72D7" w14:textId="76E557FD" w:rsidR="0044135F" w:rsidRPr="0064597D" w:rsidRDefault="0044135F" w:rsidP="000D32D0">
      <w:pPr>
        <w:numPr>
          <w:ilvl w:val="0"/>
          <w:numId w:val="1"/>
        </w:numPr>
        <w:tabs>
          <w:tab w:val="left" w:pos="567"/>
        </w:tabs>
        <w:spacing w:line="240" w:lineRule="auto"/>
        <w:ind w:left="0" w:firstLine="0"/>
        <w:rPr>
          <w:sz w:val="20"/>
          <w:szCs w:val="20"/>
          <w:lang w:val="es-ES"/>
        </w:rPr>
      </w:pPr>
      <w:r w:rsidRPr="0064597D">
        <w:rPr>
          <w:sz w:val="20"/>
          <w:szCs w:val="20"/>
          <w:lang w:val="es-ES"/>
        </w:rPr>
        <w:t>La Corte observa que en e</w:t>
      </w:r>
      <w:r w:rsidRPr="0064597D">
        <w:rPr>
          <w:sz w:val="20"/>
          <w:szCs w:val="20"/>
        </w:rPr>
        <w:t>l presente caso se aplicó el artículo 201</w:t>
      </w:r>
      <w:r w:rsidRPr="0064597D">
        <w:rPr>
          <w:sz w:val="20"/>
          <w:szCs w:val="20"/>
          <w:lang w:val="es-PE"/>
        </w:rPr>
        <w:t xml:space="preserve"> del Código Penal </w:t>
      </w:r>
      <w:r w:rsidR="00897CD6" w:rsidRPr="0064597D">
        <w:rPr>
          <w:sz w:val="20"/>
          <w:szCs w:val="20"/>
          <w:lang w:val="es-PE"/>
        </w:rPr>
        <w:t>de Guatemala vigente</w:t>
      </w:r>
      <w:r w:rsidRPr="0064597D">
        <w:rPr>
          <w:sz w:val="20"/>
          <w:szCs w:val="20"/>
          <w:lang w:val="es-PE"/>
        </w:rPr>
        <w:t xml:space="preserve"> </w:t>
      </w:r>
      <w:r w:rsidRPr="0064597D">
        <w:rPr>
          <w:sz w:val="20"/>
          <w:szCs w:val="20"/>
        </w:rPr>
        <w:t xml:space="preserve">en virtud del cual se condenó al señor Ruiz Fuentes </w:t>
      </w:r>
      <w:r w:rsidRPr="0064597D">
        <w:rPr>
          <w:sz w:val="20"/>
          <w:szCs w:val="20"/>
          <w:lang w:val="es-PE"/>
        </w:rPr>
        <w:t>por el delito de plagio o secuestro.</w:t>
      </w:r>
      <w:r w:rsidRPr="0064597D">
        <w:rPr>
          <w:sz w:val="20"/>
          <w:szCs w:val="20"/>
          <w:lang w:val="es-ES"/>
        </w:rPr>
        <w:t xml:space="preserve"> Esta Corte ya ha tenido la oportunidad de pronunciarse específicamente en el caso </w:t>
      </w:r>
      <w:r w:rsidRPr="0064597D">
        <w:rPr>
          <w:i/>
          <w:sz w:val="20"/>
          <w:szCs w:val="20"/>
          <w:lang w:val="es-ES"/>
        </w:rPr>
        <w:t>Raxcacó Reyes Vs. Guatemala</w:t>
      </w:r>
      <w:r w:rsidR="00D718CE" w:rsidRPr="0064597D">
        <w:rPr>
          <w:i/>
          <w:sz w:val="20"/>
          <w:szCs w:val="20"/>
          <w:lang w:val="es-ES"/>
        </w:rPr>
        <w:t xml:space="preserve"> </w:t>
      </w:r>
      <w:r w:rsidRPr="0064597D">
        <w:rPr>
          <w:sz w:val="20"/>
          <w:szCs w:val="20"/>
          <w:lang w:val="es-ES"/>
        </w:rPr>
        <w:t xml:space="preserve">sobre la aplicación del referido </w:t>
      </w:r>
      <w:r w:rsidRPr="0064597D">
        <w:rPr>
          <w:sz w:val="20"/>
          <w:szCs w:val="20"/>
        </w:rPr>
        <w:t>artículo</w:t>
      </w:r>
      <w:r w:rsidRPr="0064597D">
        <w:rPr>
          <w:sz w:val="20"/>
          <w:szCs w:val="20"/>
          <w:lang w:val="es-ES"/>
        </w:rPr>
        <w:t xml:space="preserve"> 201 del Código Penal, así como a su contenido y las modificaciones que éste ha sufrido. Al </w:t>
      </w:r>
      <w:r w:rsidRPr="0064597D">
        <w:rPr>
          <w:sz w:val="20"/>
          <w:szCs w:val="20"/>
        </w:rPr>
        <w:t>respecto</w:t>
      </w:r>
      <w:r w:rsidRPr="0064597D">
        <w:rPr>
          <w:sz w:val="20"/>
          <w:szCs w:val="20"/>
          <w:lang w:val="es-ES"/>
        </w:rPr>
        <w:t>, la Corte nota que en la sentencia</w:t>
      </w:r>
      <w:r w:rsidR="00DB0443" w:rsidRPr="0064597D">
        <w:rPr>
          <w:sz w:val="20"/>
          <w:szCs w:val="20"/>
          <w:lang w:val="es-ES"/>
        </w:rPr>
        <w:t xml:space="preserve"> </w:t>
      </w:r>
      <w:r w:rsidRPr="0064597D">
        <w:rPr>
          <w:sz w:val="20"/>
          <w:szCs w:val="20"/>
          <w:lang w:val="es-ES"/>
        </w:rPr>
        <w:t xml:space="preserve">de 14 de mayo de 1999 dictada por el </w:t>
      </w:r>
      <w:r w:rsidR="00011243" w:rsidRPr="0064597D">
        <w:rPr>
          <w:rFonts w:cs="Verdana"/>
          <w:sz w:val="20"/>
          <w:szCs w:val="20"/>
        </w:rPr>
        <w:t>Tribunal Sexto de Sentencia Penal</w:t>
      </w:r>
      <w:r w:rsidR="00011243" w:rsidRPr="0064597D">
        <w:rPr>
          <w:sz w:val="20"/>
          <w:szCs w:val="20"/>
          <w:lang w:val="es-ES"/>
        </w:rPr>
        <w:t xml:space="preserve"> </w:t>
      </w:r>
      <w:r w:rsidRPr="0064597D">
        <w:rPr>
          <w:sz w:val="20"/>
          <w:szCs w:val="20"/>
          <w:lang w:val="es-ES"/>
        </w:rPr>
        <w:t xml:space="preserve">que condenó al señor Ruiz Fuentes a la pena de muerte también fue condenado el señor </w:t>
      </w:r>
      <w:r w:rsidRPr="0064597D">
        <w:rPr>
          <w:i/>
          <w:iCs/>
          <w:sz w:val="20"/>
          <w:szCs w:val="20"/>
          <w:lang w:val="es-ES"/>
        </w:rPr>
        <w:t xml:space="preserve">Raxcacó Reyes, </w:t>
      </w:r>
      <w:r w:rsidRPr="0064597D">
        <w:rPr>
          <w:sz w:val="20"/>
          <w:szCs w:val="20"/>
          <w:lang w:val="es-ES"/>
        </w:rPr>
        <w:t>precisamente por los mismos actos</w:t>
      </w:r>
      <w:r w:rsidRPr="0064597D">
        <w:rPr>
          <w:rStyle w:val="Refdenotaalpie"/>
          <w:sz w:val="20"/>
          <w:szCs w:val="20"/>
          <w:lang w:val="es-ES"/>
        </w:rPr>
        <w:footnoteReference w:id="97"/>
      </w:r>
      <w:r w:rsidRPr="0064597D">
        <w:rPr>
          <w:sz w:val="20"/>
          <w:szCs w:val="20"/>
          <w:lang w:val="es-ES"/>
        </w:rPr>
        <w:t xml:space="preserve">. De esta manera, es posible partir del mismo análisis realizado por esta Corte en el caso </w:t>
      </w:r>
      <w:r w:rsidRPr="0064597D">
        <w:rPr>
          <w:i/>
          <w:sz w:val="20"/>
          <w:szCs w:val="20"/>
          <w:lang w:val="es-ES"/>
        </w:rPr>
        <w:t>Raxcacó Reyes,</w:t>
      </w:r>
      <w:r w:rsidRPr="0064597D">
        <w:rPr>
          <w:sz w:val="20"/>
          <w:szCs w:val="20"/>
          <w:lang w:val="es-ES"/>
        </w:rPr>
        <w:t xml:space="preserve"> en tanto el cuadro fáctico y análisis jurídico que dio lugar </w:t>
      </w:r>
      <w:r w:rsidR="008F7B01" w:rsidRPr="0064597D">
        <w:rPr>
          <w:sz w:val="20"/>
          <w:szCs w:val="20"/>
          <w:lang w:val="es-ES"/>
        </w:rPr>
        <w:t xml:space="preserve">a </w:t>
      </w:r>
      <w:r w:rsidRPr="0064597D">
        <w:rPr>
          <w:sz w:val="20"/>
          <w:szCs w:val="20"/>
          <w:lang w:val="es-ES"/>
        </w:rPr>
        <w:t>la imposición de la pena de muerte es el mismo</w:t>
      </w:r>
      <w:r w:rsidRPr="0064597D">
        <w:rPr>
          <w:rStyle w:val="Refdenotaalpie"/>
          <w:sz w:val="20"/>
          <w:szCs w:val="20"/>
          <w:lang w:val="es-ES"/>
        </w:rPr>
        <w:footnoteReference w:id="98"/>
      </w:r>
      <w:r w:rsidRPr="0064597D">
        <w:rPr>
          <w:sz w:val="20"/>
          <w:szCs w:val="20"/>
          <w:lang w:val="es-ES"/>
        </w:rPr>
        <w:t>.</w:t>
      </w:r>
    </w:p>
    <w:p w14:paraId="7FF57606" w14:textId="77777777" w:rsidR="00FD7E8F" w:rsidRPr="0064597D" w:rsidRDefault="00FD7E8F" w:rsidP="00FD7E8F">
      <w:pPr>
        <w:tabs>
          <w:tab w:val="left" w:pos="567"/>
        </w:tabs>
        <w:spacing w:line="240" w:lineRule="auto"/>
        <w:rPr>
          <w:i/>
          <w:sz w:val="20"/>
          <w:szCs w:val="20"/>
        </w:rPr>
      </w:pPr>
    </w:p>
    <w:p w14:paraId="06BDAECE" w14:textId="77777777" w:rsidR="005B12EE" w:rsidRPr="0064597D" w:rsidRDefault="008F24E5" w:rsidP="00FD7E8F">
      <w:pPr>
        <w:tabs>
          <w:tab w:val="left" w:pos="567"/>
        </w:tabs>
        <w:spacing w:line="240" w:lineRule="auto"/>
        <w:rPr>
          <w:rFonts w:cs="Arial"/>
          <w:i/>
          <w:sz w:val="20"/>
          <w:szCs w:val="20"/>
        </w:rPr>
      </w:pPr>
      <w:r w:rsidRPr="0064597D">
        <w:rPr>
          <w:rFonts w:cs="Arial"/>
          <w:i/>
          <w:sz w:val="20"/>
          <w:szCs w:val="20"/>
        </w:rPr>
        <w:tab/>
      </w:r>
      <w:r w:rsidRPr="0064597D">
        <w:rPr>
          <w:rFonts w:cs="Arial"/>
          <w:i/>
          <w:sz w:val="20"/>
          <w:szCs w:val="20"/>
        </w:rPr>
        <w:tab/>
      </w:r>
      <w:r w:rsidRPr="0064597D">
        <w:rPr>
          <w:rFonts w:cs="Arial"/>
          <w:i/>
          <w:sz w:val="20"/>
          <w:szCs w:val="20"/>
        </w:rPr>
        <w:tab/>
      </w:r>
      <w:r w:rsidR="00EE2DE2" w:rsidRPr="0064597D">
        <w:rPr>
          <w:rFonts w:cs="Arial"/>
          <w:i/>
          <w:sz w:val="20"/>
          <w:szCs w:val="20"/>
        </w:rPr>
        <w:t>b</w:t>
      </w:r>
      <w:r w:rsidRPr="0064597D">
        <w:rPr>
          <w:rFonts w:cs="Arial"/>
          <w:i/>
          <w:sz w:val="20"/>
          <w:szCs w:val="20"/>
        </w:rPr>
        <w:t>.1.1) Ampliación del catálogo de delitos sancionados con pena de muerte</w:t>
      </w:r>
    </w:p>
    <w:p w14:paraId="35E7DA98" w14:textId="77777777" w:rsidR="005B12EE" w:rsidRPr="0064597D" w:rsidRDefault="005B12EE" w:rsidP="00FD7E8F">
      <w:pPr>
        <w:tabs>
          <w:tab w:val="left" w:pos="567"/>
        </w:tabs>
        <w:spacing w:line="240" w:lineRule="auto"/>
        <w:rPr>
          <w:rFonts w:cs="Arial"/>
          <w:i/>
          <w:sz w:val="20"/>
          <w:szCs w:val="20"/>
        </w:rPr>
      </w:pPr>
    </w:p>
    <w:p w14:paraId="1AB9D72E" w14:textId="77777777" w:rsidR="005B12EE" w:rsidRPr="0064597D" w:rsidRDefault="005B12EE" w:rsidP="005B12EE">
      <w:pPr>
        <w:numPr>
          <w:ilvl w:val="0"/>
          <w:numId w:val="1"/>
        </w:numPr>
        <w:tabs>
          <w:tab w:val="left" w:pos="567"/>
        </w:tabs>
        <w:spacing w:line="240" w:lineRule="auto"/>
        <w:ind w:left="0" w:firstLine="0"/>
        <w:rPr>
          <w:sz w:val="20"/>
          <w:szCs w:val="20"/>
          <w:lang w:val="es-ES"/>
        </w:rPr>
      </w:pPr>
      <w:r w:rsidRPr="0064597D">
        <w:rPr>
          <w:sz w:val="20"/>
          <w:szCs w:val="20"/>
        </w:rPr>
        <w:t>La Corte destaca que e</w:t>
      </w:r>
      <w:r w:rsidRPr="0064597D">
        <w:rPr>
          <w:sz w:val="20"/>
          <w:szCs w:val="20"/>
          <w:lang w:val="es-ES"/>
        </w:rPr>
        <w:t>l artículo 4 incorpora una tendencia abolicionista de la pena de muerte que se refleja en su numeral segundo, el cual prohíbe que se ex</w:t>
      </w:r>
      <w:r w:rsidR="00127D3A" w:rsidRPr="0064597D">
        <w:rPr>
          <w:sz w:val="20"/>
          <w:szCs w:val="20"/>
          <w:lang w:val="es-ES"/>
        </w:rPr>
        <w:t>tienda su aplicación “</w:t>
      </w:r>
      <w:r w:rsidRPr="0064597D">
        <w:rPr>
          <w:sz w:val="20"/>
          <w:szCs w:val="20"/>
          <w:lang w:val="es-ES"/>
        </w:rPr>
        <w:t>a delitos a los cuales no se la aplique actualmente</w:t>
      </w:r>
      <w:r w:rsidR="00127D3A" w:rsidRPr="0064597D">
        <w:rPr>
          <w:sz w:val="20"/>
          <w:szCs w:val="20"/>
          <w:lang w:val="es-ES"/>
        </w:rPr>
        <w:t>”</w:t>
      </w:r>
      <w:r w:rsidRPr="0064597D">
        <w:rPr>
          <w:sz w:val="20"/>
          <w:szCs w:val="20"/>
          <w:lang w:val="es-ES"/>
        </w:rPr>
        <w:t xml:space="preserve"> y, según el numeral 3, </w:t>
      </w:r>
      <w:r w:rsidR="00127D3A" w:rsidRPr="0064597D">
        <w:rPr>
          <w:sz w:val="20"/>
          <w:szCs w:val="20"/>
          <w:lang w:val="es-ES"/>
        </w:rPr>
        <w:t>“</w:t>
      </w:r>
      <w:r w:rsidRPr="0064597D">
        <w:rPr>
          <w:sz w:val="20"/>
          <w:szCs w:val="20"/>
          <w:lang w:val="es-ES"/>
        </w:rPr>
        <w:t>no se restablecerá la pena de muerte en los Estados que la han abolido</w:t>
      </w:r>
      <w:r w:rsidR="00127D3A" w:rsidRPr="0064597D">
        <w:rPr>
          <w:sz w:val="20"/>
          <w:szCs w:val="20"/>
          <w:lang w:val="es-ES"/>
        </w:rPr>
        <w:t>”</w:t>
      </w:r>
      <w:r w:rsidRPr="0064597D">
        <w:rPr>
          <w:sz w:val="20"/>
          <w:szCs w:val="20"/>
          <w:lang w:val="es-ES"/>
        </w:rPr>
        <w:t xml:space="preserve">. La finalidad que se persigue es avanzar hacia una prohibición definitiva a esta </w:t>
      </w:r>
      <w:r w:rsidRPr="0064597D">
        <w:rPr>
          <w:sz w:val="20"/>
          <w:szCs w:val="20"/>
        </w:rPr>
        <w:t>modalidad</w:t>
      </w:r>
      <w:r w:rsidRPr="0064597D">
        <w:rPr>
          <w:sz w:val="20"/>
          <w:szCs w:val="20"/>
          <w:lang w:val="es-ES"/>
        </w:rPr>
        <w:t xml:space="preserve"> de sanción penal, a través de un proceso progresivo e irreversible destinado a cumplirse en los Estados que han suscrito la Convención Americana. De tal manera que la decisión de un Estado Parte en la Convención Americana, cualquiera sea el tiempo en que la haya adoptado, en el sentido</w:t>
      </w:r>
      <w:r w:rsidRPr="0064597D">
        <w:rPr>
          <w:b/>
          <w:sz w:val="20"/>
          <w:szCs w:val="20"/>
          <w:lang w:val="es-ES"/>
        </w:rPr>
        <w:t xml:space="preserve"> </w:t>
      </w:r>
      <w:r w:rsidRPr="0064597D">
        <w:rPr>
          <w:sz w:val="20"/>
          <w:szCs w:val="20"/>
          <w:lang w:val="es-ES"/>
        </w:rPr>
        <w:t xml:space="preserve">de abolir la pena de muerte se convierte, </w:t>
      </w:r>
      <w:r w:rsidRPr="0064597D">
        <w:rPr>
          <w:i/>
          <w:sz w:val="20"/>
          <w:szCs w:val="20"/>
          <w:lang w:val="es-ES"/>
        </w:rPr>
        <w:t>ipso jure</w:t>
      </w:r>
      <w:r w:rsidRPr="0064597D">
        <w:rPr>
          <w:sz w:val="20"/>
          <w:szCs w:val="20"/>
          <w:lang w:val="es-ES"/>
        </w:rPr>
        <w:t xml:space="preserve">, en una resolución definitiva e irrevocable. En esta materia la Convención apunta hacia una progresiva eliminación, al adoptar las salvaguardias necesarias para restringir definitivamente su aplicación y su ámbito, de </w:t>
      </w:r>
      <w:r w:rsidRPr="0064597D">
        <w:rPr>
          <w:sz w:val="20"/>
          <w:szCs w:val="20"/>
          <w:lang w:val="es-ES"/>
        </w:rPr>
        <w:lastRenderedPageBreak/>
        <w:t>modo que éste se vaya reduciendo hasta su supresión total</w:t>
      </w:r>
      <w:r w:rsidR="00B93796" w:rsidRPr="0064597D">
        <w:rPr>
          <w:rStyle w:val="Refdenotaalpie"/>
          <w:sz w:val="20"/>
          <w:szCs w:val="20"/>
          <w:lang w:val="es-ES"/>
        </w:rPr>
        <w:footnoteReference w:id="99"/>
      </w:r>
      <w:r w:rsidRPr="0064597D">
        <w:rPr>
          <w:sz w:val="20"/>
          <w:szCs w:val="20"/>
          <w:lang w:val="es-ES"/>
        </w:rPr>
        <w:t xml:space="preserve">. </w:t>
      </w:r>
    </w:p>
    <w:p w14:paraId="6680D102" w14:textId="77777777" w:rsidR="005B12EE" w:rsidRPr="0064597D" w:rsidRDefault="005B12EE" w:rsidP="005B12EE">
      <w:pPr>
        <w:tabs>
          <w:tab w:val="left" w:pos="567"/>
        </w:tabs>
        <w:spacing w:line="240" w:lineRule="auto"/>
        <w:rPr>
          <w:sz w:val="20"/>
          <w:szCs w:val="20"/>
          <w:lang w:val="es-ES"/>
        </w:rPr>
      </w:pPr>
    </w:p>
    <w:p w14:paraId="76DF16A2" w14:textId="77777777" w:rsidR="005B12EE" w:rsidRPr="0064597D" w:rsidRDefault="005B12EE" w:rsidP="005B12EE">
      <w:pPr>
        <w:numPr>
          <w:ilvl w:val="0"/>
          <w:numId w:val="1"/>
        </w:numPr>
        <w:tabs>
          <w:tab w:val="left" w:pos="567"/>
        </w:tabs>
        <w:spacing w:line="240" w:lineRule="auto"/>
        <w:ind w:left="0" w:firstLine="0"/>
        <w:rPr>
          <w:sz w:val="20"/>
          <w:szCs w:val="20"/>
          <w:lang w:val="es-ES"/>
        </w:rPr>
      </w:pPr>
      <w:r w:rsidRPr="0064597D">
        <w:rPr>
          <w:sz w:val="20"/>
          <w:szCs w:val="20"/>
          <w:lang w:val="es-ES"/>
        </w:rPr>
        <w:t xml:space="preserve">Tal </w:t>
      </w:r>
      <w:r w:rsidRPr="0064597D">
        <w:rPr>
          <w:sz w:val="20"/>
          <w:szCs w:val="20"/>
        </w:rPr>
        <w:t>tendencia</w:t>
      </w:r>
      <w:r w:rsidRPr="0064597D">
        <w:rPr>
          <w:sz w:val="20"/>
          <w:szCs w:val="20"/>
          <w:lang w:val="es-ES"/>
        </w:rPr>
        <w:t xml:space="preserve"> abolicionista se encuentra recogida por el Protocolo a la Convención Americana sobre Derechos Humanos relativo a la Abolición de la Pena de Muerte</w:t>
      </w:r>
      <w:r w:rsidRPr="0064597D">
        <w:rPr>
          <w:rStyle w:val="Refdenotaalpie"/>
          <w:sz w:val="20"/>
          <w:szCs w:val="20"/>
          <w:lang w:val="es-ES"/>
        </w:rPr>
        <w:footnoteReference w:id="100"/>
      </w:r>
      <w:r w:rsidRPr="0064597D">
        <w:rPr>
          <w:sz w:val="20"/>
          <w:szCs w:val="20"/>
          <w:lang w:val="es-ES"/>
        </w:rPr>
        <w:t>.</w:t>
      </w:r>
      <w:r w:rsidR="00B93796" w:rsidRPr="0064597D">
        <w:rPr>
          <w:sz w:val="20"/>
          <w:szCs w:val="20"/>
          <w:lang w:val="es-ES"/>
        </w:rPr>
        <w:t xml:space="preserve"> </w:t>
      </w:r>
      <w:r w:rsidRPr="0064597D">
        <w:rPr>
          <w:sz w:val="20"/>
          <w:szCs w:val="20"/>
          <w:lang w:val="es-ES"/>
        </w:rPr>
        <w:t>La Corte observa que son trece</w:t>
      </w:r>
      <w:r w:rsidRPr="0064597D">
        <w:rPr>
          <w:rStyle w:val="Refdenotaalpie"/>
          <w:sz w:val="20"/>
          <w:szCs w:val="20"/>
          <w:lang w:val="es-ES"/>
        </w:rPr>
        <w:footnoteReference w:id="101"/>
      </w:r>
      <w:r w:rsidRPr="0064597D">
        <w:rPr>
          <w:sz w:val="20"/>
          <w:szCs w:val="20"/>
          <w:lang w:val="es-ES"/>
        </w:rPr>
        <w:t xml:space="preserve"> los Estados que han suscrito el Protocolo a la Convención Americana </w:t>
      </w:r>
      <w:r w:rsidRPr="0064597D">
        <w:rPr>
          <w:sz w:val="20"/>
          <w:szCs w:val="20"/>
        </w:rPr>
        <w:t>sobre</w:t>
      </w:r>
      <w:r w:rsidRPr="0064597D">
        <w:rPr>
          <w:sz w:val="20"/>
          <w:szCs w:val="20"/>
          <w:lang w:val="es-ES"/>
        </w:rPr>
        <w:t xml:space="preserve"> Derechos Humanos relativo a la Abolición de la Pena de Muerte y que han aceptado su competencia, han abolido la pena de muerte y en esa medida, esta Corte exhorta a los Estados que aún no lo han hecho, a suscribir el Protocolo y a proscribir esta modalidad de sanción penal.</w:t>
      </w:r>
    </w:p>
    <w:p w14:paraId="67744E0B" w14:textId="77777777" w:rsidR="008807E0" w:rsidRPr="0064597D" w:rsidRDefault="008807E0" w:rsidP="008807E0">
      <w:pPr>
        <w:widowControl/>
        <w:pBdr>
          <w:top w:val="nil"/>
          <w:left w:val="nil"/>
          <w:bottom w:val="nil"/>
          <w:right w:val="nil"/>
          <w:between w:val="nil"/>
        </w:pBdr>
        <w:tabs>
          <w:tab w:val="left" w:pos="567"/>
        </w:tabs>
        <w:spacing w:line="240" w:lineRule="auto"/>
        <w:contextualSpacing/>
        <w:rPr>
          <w:rFonts w:eastAsiaTheme="minorHAnsi" w:cstheme="minorBidi"/>
          <w:i/>
          <w:sz w:val="20"/>
          <w:szCs w:val="20"/>
          <w:lang w:val="es-ES"/>
        </w:rPr>
      </w:pPr>
    </w:p>
    <w:p w14:paraId="73E2EC50" w14:textId="00758E15" w:rsidR="00FE6705" w:rsidRPr="0064597D" w:rsidRDefault="008F24E5" w:rsidP="00FE6705">
      <w:pPr>
        <w:numPr>
          <w:ilvl w:val="0"/>
          <w:numId w:val="1"/>
        </w:numPr>
        <w:tabs>
          <w:tab w:val="left" w:pos="567"/>
        </w:tabs>
        <w:spacing w:line="240" w:lineRule="auto"/>
        <w:ind w:left="0" w:firstLine="0"/>
        <w:rPr>
          <w:sz w:val="20"/>
          <w:szCs w:val="20"/>
        </w:rPr>
      </w:pPr>
      <w:r w:rsidRPr="0064597D">
        <w:rPr>
          <w:sz w:val="20"/>
          <w:szCs w:val="20"/>
        </w:rPr>
        <w:t>La Corte observa que e</w:t>
      </w:r>
      <w:r w:rsidR="000A154C" w:rsidRPr="0064597D">
        <w:rPr>
          <w:sz w:val="20"/>
          <w:szCs w:val="20"/>
        </w:rPr>
        <w:t>n el momento en que Guatemala ratificó la Convención Americana se encontra</w:t>
      </w:r>
      <w:r w:rsidR="00FC40ED" w:rsidRPr="0064597D">
        <w:rPr>
          <w:sz w:val="20"/>
          <w:szCs w:val="20"/>
        </w:rPr>
        <w:t>b</w:t>
      </w:r>
      <w:r w:rsidR="00FC53C6" w:rsidRPr="0064597D">
        <w:rPr>
          <w:sz w:val="20"/>
          <w:szCs w:val="20"/>
        </w:rPr>
        <w:t>a vigente el Decreto No. 17/73 (</w:t>
      </w:r>
      <w:r w:rsidR="000A154C" w:rsidRPr="0064597D">
        <w:rPr>
          <w:sz w:val="20"/>
          <w:szCs w:val="20"/>
        </w:rPr>
        <w:t>Código Pena</w:t>
      </w:r>
      <w:r w:rsidR="00ED00D8" w:rsidRPr="0064597D">
        <w:rPr>
          <w:sz w:val="20"/>
          <w:szCs w:val="20"/>
        </w:rPr>
        <w:t>l</w:t>
      </w:r>
      <w:r w:rsidR="00FC53C6" w:rsidRPr="0064597D">
        <w:rPr>
          <w:sz w:val="20"/>
          <w:szCs w:val="20"/>
        </w:rPr>
        <w:t>)</w:t>
      </w:r>
      <w:r w:rsidR="000A154C" w:rsidRPr="0064597D">
        <w:rPr>
          <w:sz w:val="20"/>
          <w:szCs w:val="20"/>
        </w:rPr>
        <w:t>, en cuyo artículo 201 se sancionaba con pena de muerte el secuestro seguid</w:t>
      </w:r>
      <w:r w:rsidR="008807E0" w:rsidRPr="0064597D">
        <w:rPr>
          <w:sz w:val="20"/>
          <w:szCs w:val="20"/>
        </w:rPr>
        <w:t>o de la muerte del secuestrado</w:t>
      </w:r>
      <w:r w:rsidR="00FE6705" w:rsidRPr="0064597D">
        <w:rPr>
          <w:sz w:val="20"/>
          <w:szCs w:val="20"/>
        </w:rPr>
        <w:t xml:space="preserve">: </w:t>
      </w:r>
    </w:p>
    <w:p w14:paraId="63909D9D" w14:textId="77777777" w:rsidR="00FE6705" w:rsidRPr="0064597D" w:rsidRDefault="00FE6705" w:rsidP="00FE6705">
      <w:pPr>
        <w:widowControl/>
        <w:adjustRightInd/>
        <w:spacing w:before="100" w:beforeAutospacing="1" w:after="100" w:afterAutospacing="1" w:line="240" w:lineRule="auto"/>
        <w:ind w:left="567" w:right="724"/>
        <w:textAlignment w:val="auto"/>
        <w:rPr>
          <w:sz w:val="18"/>
          <w:szCs w:val="18"/>
        </w:rPr>
      </w:pPr>
      <w:r w:rsidRPr="0064597D">
        <w:rPr>
          <w:sz w:val="18"/>
          <w:szCs w:val="18"/>
        </w:rPr>
        <w:t xml:space="preserve">“El plagio o secuestro de una persona con el objeto de lograr rescate, canje de terceras personas u otro ilícito de igual o análoga entidad, se castigará con la pena de ocho a quince años de prisión. </w:t>
      </w:r>
    </w:p>
    <w:p w14:paraId="3DFB873F" w14:textId="77777777" w:rsidR="00FE6705" w:rsidRPr="0064597D" w:rsidRDefault="00FE6705" w:rsidP="00FE6705">
      <w:pPr>
        <w:widowControl/>
        <w:adjustRightInd/>
        <w:spacing w:before="100" w:beforeAutospacing="1" w:after="100" w:afterAutospacing="1" w:line="240" w:lineRule="auto"/>
        <w:ind w:left="567" w:right="724"/>
        <w:textAlignment w:val="auto"/>
        <w:rPr>
          <w:sz w:val="18"/>
          <w:szCs w:val="18"/>
        </w:rPr>
      </w:pPr>
      <w:r w:rsidRPr="0064597D">
        <w:rPr>
          <w:sz w:val="18"/>
          <w:szCs w:val="18"/>
        </w:rPr>
        <w:t>Se impondrá la pena de muerte al responsable, cuando con motivo o en ocasión del plagio o secuestro, falleciera la persona secuestrada.”</w:t>
      </w:r>
    </w:p>
    <w:p w14:paraId="75805559" w14:textId="48A716FC" w:rsidR="000A154C" w:rsidRPr="0064597D" w:rsidRDefault="000A154C" w:rsidP="009134ED">
      <w:pPr>
        <w:numPr>
          <w:ilvl w:val="0"/>
          <w:numId w:val="1"/>
        </w:numPr>
        <w:tabs>
          <w:tab w:val="left" w:pos="567"/>
        </w:tabs>
        <w:spacing w:line="240" w:lineRule="auto"/>
        <w:ind w:left="0" w:firstLine="0"/>
        <w:rPr>
          <w:sz w:val="20"/>
          <w:szCs w:val="20"/>
        </w:rPr>
      </w:pPr>
      <w:bookmarkStart w:id="64" w:name="art201"/>
      <w:r w:rsidRPr="0064597D">
        <w:rPr>
          <w:sz w:val="20"/>
          <w:szCs w:val="20"/>
        </w:rPr>
        <w:t>Esta norma fue modificada en varias ocasiones, aplicándose finalmente a la presunta víctima del presente caso la disposición establecida mediante Decreto Legislativo No. 81/96, de 25 de septiembre de 1996, que establec</w:t>
      </w:r>
      <w:r w:rsidR="001F6FA6" w:rsidRPr="0064597D">
        <w:rPr>
          <w:sz w:val="20"/>
          <w:szCs w:val="20"/>
        </w:rPr>
        <w:t xml:space="preserve">ía la imposición de la pena </w:t>
      </w:r>
      <w:r w:rsidR="009B72C8" w:rsidRPr="0064597D">
        <w:rPr>
          <w:sz w:val="20"/>
          <w:szCs w:val="20"/>
        </w:rPr>
        <w:t>d</w:t>
      </w:r>
      <w:r w:rsidR="001F6FA6" w:rsidRPr="0064597D">
        <w:rPr>
          <w:sz w:val="20"/>
          <w:szCs w:val="20"/>
        </w:rPr>
        <w:t>e muerte para los autores materiales o intelectuales del delito de plagio o secuestro, eliminando así el requisito de la posterior muerte del secuestrado</w:t>
      </w:r>
      <w:r w:rsidRPr="0064597D">
        <w:rPr>
          <w:sz w:val="20"/>
          <w:szCs w:val="20"/>
        </w:rPr>
        <w:t>:</w:t>
      </w:r>
    </w:p>
    <w:bookmarkEnd w:id="64"/>
    <w:p w14:paraId="575732E3" w14:textId="77777777" w:rsidR="000A154C" w:rsidRPr="0064597D" w:rsidRDefault="000A154C" w:rsidP="000A154C">
      <w:pPr>
        <w:spacing w:line="240" w:lineRule="auto"/>
        <w:ind w:left="708"/>
        <w:rPr>
          <w:sz w:val="20"/>
          <w:szCs w:val="20"/>
        </w:rPr>
      </w:pPr>
    </w:p>
    <w:p w14:paraId="47481C89" w14:textId="3B6119A2" w:rsidR="000A154C" w:rsidRPr="0064597D" w:rsidRDefault="000A154C" w:rsidP="00FE6705">
      <w:pPr>
        <w:spacing w:line="240" w:lineRule="auto"/>
        <w:ind w:left="567" w:right="720"/>
        <w:rPr>
          <w:sz w:val="18"/>
          <w:szCs w:val="18"/>
        </w:rPr>
      </w:pPr>
      <w:r w:rsidRPr="0064597D">
        <w:rPr>
          <w:sz w:val="18"/>
          <w:szCs w:val="18"/>
        </w:rPr>
        <w:t>“A los autores materiales o intelectuales del delito de plagio o secuestro de una o más personas con el propósito de lograr rescate, canje de personas o la toma de cualquier decisión contraria a la voluntad del secuestrado o con cualquiera otro propósito similar o igual, se les aplicará la pena de muerte, y cuando ésta no pueda ser impuesta,</w:t>
      </w:r>
      <w:r w:rsidRPr="0064597D">
        <w:rPr>
          <w:rStyle w:val="Refdenotaalpie"/>
          <w:sz w:val="18"/>
          <w:szCs w:val="18"/>
        </w:rPr>
        <w:t xml:space="preserve"> </w:t>
      </w:r>
      <w:r w:rsidRPr="0064597D">
        <w:rPr>
          <w:sz w:val="18"/>
          <w:szCs w:val="18"/>
        </w:rPr>
        <w:t>se aplicará prisión de veinticinco a cincuenta años. En este caso no se apreciará ninguna circunstancia atenuante.</w:t>
      </w:r>
      <w:r w:rsidR="00DB0443" w:rsidRPr="0064597D">
        <w:rPr>
          <w:sz w:val="18"/>
          <w:szCs w:val="18"/>
        </w:rPr>
        <w:t xml:space="preserve"> </w:t>
      </w:r>
    </w:p>
    <w:p w14:paraId="347B8717" w14:textId="77777777" w:rsidR="000A154C" w:rsidRPr="0064597D" w:rsidRDefault="000A154C" w:rsidP="00FE6705">
      <w:pPr>
        <w:spacing w:line="240" w:lineRule="auto"/>
        <w:ind w:left="567" w:right="720"/>
        <w:rPr>
          <w:sz w:val="18"/>
          <w:szCs w:val="18"/>
        </w:rPr>
      </w:pPr>
    </w:p>
    <w:p w14:paraId="01FA5699" w14:textId="77777777" w:rsidR="000A154C" w:rsidRPr="0064597D" w:rsidRDefault="000A154C" w:rsidP="00FE6705">
      <w:pPr>
        <w:spacing w:line="240" w:lineRule="auto"/>
        <w:ind w:left="567" w:right="720"/>
        <w:rPr>
          <w:sz w:val="18"/>
          <w:szCs w:val="18"/>
        </w:rPr>
      </w:pPr>
      <w:r w:rsidRPr="0064597D">
        <w:rPr>
          <w:sz w:val="18"/>
          <w:szCs w:val="18"/>
        </w:rPr>
        <w:t>Los cómplices o encubridores serán sancionados con pena de veinte a cuarenta años de prisión.</w:t>
      </w:r>
    </w:p>
    <w:p w14:paraId="7BD8EBDE" w14:textId="77777777" w:rsidR="000A154C" w:rsidRPr="0064597D" w:rsidRDefault="000A154C" w:rsidP="00FE6705">
      <w:pPr>
        <w:spacing w:line="240" w:lineRule="auto"/>
        <w:ind w:left="567" w:right="720"/>
        <w:rPr>
          <w:sz w:val="18"/>
          <w:szCs w:val="18"/>
        </w:rPr>
      </w:pPr>
    </w:p>
    <w:p w14:paraId="4BDD9E02" w14:textId="6BAFA3A9" w:rsidR="000A154C" w:rsidRPr="0064597D" w:rsidRDefault="000A154C" w:rsidP="00FE6705">
      <w:pPr>
        <w:pStyle w:val="Sangra2detindependiente"/>
        <w:spacing w:after="0" w:line="240" w:lineRule="auto"/>
        <w:ind w:left="567" w:right="584"/>
        <w:rPr>
          <w:sz w:val="18"/>
          <w:szCs w:val="18"/>
        </w:rPr>
      </w:pPr>
      <w:r w:rsidRPr="0064597D">
        <w:rPr>
          <w:sz w:val="18"/>
          <w:szCs w:val="18"/>
        </w:rPr>
        <w:t>A quienes sea</w:t>
      </w:r>
      <w:r w:rsidR="00530469" w:rsidRPr="0064597D">
        <w:rPr>
          <w:sz w:val="18"/>
          <w:szCs w:val="18"/>
        </w:rPr>
        <w:t>n</w:t>
      </w:r>
      <w:r w:rsidRPr="0064597D">
        <w:rPr>
          <w:sz w:val="18"/>
          <w:szCs w:val="18"/>
        </w:rPr>
        <w:t xml:space="preserve"> condenados a prisión por el delito de plagio o secuestro, no podrá concedérseles rebaja de pena por ninguna causa</w:t>
      </w:r>
      <w:r w:rsidR="00480513" w:rsidRPr="0064597D">
        <w:rPr>
          <w:sz w:val="18"/>
          <w:szCs w:val="18"/>
        </w:rPr>
        <w:t>”</w:t>
      </w:r>
      <w:r w:rsidR="008F24E5" w:rsidRPr="0064597D">
        <w:rPr>
          <w:rStyle w:val="Refdenotaalpie"/>
          <w:sz w:val="18"/>
          <w:szCs w:val="18"/>
        </w:rPr>
        <w:footnoteReference w:id="102"/>
      </w:r>
      <w:r w:rsidRPr="0064597D">
        <w:rPr>
          <w:sz w:val="18"/>
          <w:szCs w:val="18"/>
        </w:rPr>
        <w:t>.</w:t>
      </w:r>
    </w:p>
    <w:p w14:paraId="100394F6" w14:textId="77777777" w:rsidR="000A154C" w:rsidRPr="0064597D" w:rsidRDefault="000A154C" w:rsidP="000A154C">
      <w:pPr>
        <w:spacing w:line="240" w:lineRule="auto"/>
        <w:ind w:left="708" w:right="720"/>
        <w:rPr>
          <w:sz w:val="20"/>
          <w:szCs w:val="20"/>
        </w:rPr>
      </w:pPr>
    </w:p>
    <w:p w14:paraId="747659DC" w14:textId="77777777" w:rsidR="005903CE" w:rsidRPr="0064597D" w:rsidRDefault="000A154C" w:rsidP="005903CE">
      <w:pPr>
        <w:numPr>
          <w:ilvl w:val="0"/>
          <w:numId w:val="1"/>
        </w:numPr>
        <w:tabs>
          <w:tab w:val="left" w:pos="567"/>
        </w:tabs>
        <w:spacing w:line="240" w:lineRule="auto"/>
        <w:ind w:left="0" w:firstLine="0"/>
        <w:rPr>
          <w:sz w:val="20"/>
          <w:szCs w:val="20"/>
        </w:rPr>
      </w:pPr>
      <w:r w:rsidRPr="0064597D">
        <w:rPr>
          <w:sz w:val="20"/>
          <w:szCs w:val="20"/>
        </w:rPr>
        <w:t>Para establecer si la modificación introducida por el Decreto Legislativo No. 81/96 al tipo penal de plagio o secuestro trae consigo una “extensión” de la aplicación de la pena de muerte, prohibida por el artículo 4.2 de la Convención Americana, conviene recordar que el tipo penal limita el campo de la persecución penal, acotando la descripción de la conducta jurídica</w:t>
      </w:r>
      <w:r w:rsidR="008F24E5" w:rsidRPr="0064597D">
        <w:rPr>
          <w:rStyle w:val="Refdenotaalpie"/>
          <w:sz w:val="20"/>
          <w:szCs w:val="20"/>
        </w:rPr>
        <w:footnoteReference w:id="103"/>
      </w:r>
      <w:r w:rsidRPr="0064597D">
        <w:rPr>
          <w:sz w:val="20"/>
          <w:szCs w:val="20"/>
        </w:rPr>
        <w:t>.</w:t>
      </w:r>
      <w:r w:rsidR="005903CE" w:rsidRPr="0064597D">
        <w:rPr>
          <w:sz w:val="20"/>
          <w:szCs w:val="20"/>
        </w:rPr>
        <w:t xml:space="preserve"> </w:t>
      </w:r>
    </w:p>
    <w:p w14:paraId="78C58203" w14:textId="77777777" w:rsidR="004B28A0" w:rsidRPr="0064597D" w:rsidRDefault="004B28A0" w:rsidP="004B28A0">
      <w:pPr>
        <w:tabs>
          <w:tab w:val="left" w:pos="567"/>
        </w:tabs>
        <w:spacing w:line="240" w:lineRule="auto"/>
        <w:rPr>
          <w:sz w:val="20"/>
          <w:szCs w:val="20"/>
        </w:rPr>
      </w:pPr>
    </w:p>
    <w:p w14:paraId="04F65939" w14:textId="5F7C2F64" w:rsidR="000A154C" w:rsidRPr="0064597D" w:rsidRDefault="008F24E5" w:rsidP="005903CE">
      <w:pPr>
        <w:numPr>
          <w:ilvl w:val="0"/>
          <w:numId w:val="1"/>
        </w:numPr>
        <w:tabs>
          <w:tab w:val="left" w:pos="567"/>
        </w:tabs>
        <w:spacing w:line="240" w:lineRule="auto"/>
        <w:ind w:left="0" w:firstLine="0"/>
        <w:rPr>
          <w:sz w:val="20"/>
          <w:szCs w:val="20"/>
        </w:rPr>
      </w:pPr>
      <w:r w:rsidRPr="0064597D">
        <w:rPr>
          <w:sz w:val="20"/>
          <w:szCs w:val="20"/>
        </w:rPr>
        <w:t>La Corte observa que l</w:t>
      </w:r>
      <w:r w:rsidR="000A154C" w:rsidRPr="0064597D">
        <w:rPr>
          <w:sz w:val="20"/>
          <w:szCs w:val="20"/>
        </w:rPr>
        <w:t xml:space="preserve">a acción descrita en el primer inciso del artículo 201 del Decreto Legislativo No. 17/73 </w:t>
      </w:r>
      <w:r w:rsidR="00FC53C6" w:rsidRPr="0064597D">
        <w:rPr>
          <w:sz w:val="20"/>
          <w:szCs w:val="20"/>
        </w:rPr>
        <w:t xml:space="preserve">(Código Penal) </w:t>
      </w:r>
      <w:r w:rsidR="000A154C" w:rsidRPr="0064597D">
        <w:rPr>
          <w:sz w:val="20"/>
          <w:szCs w:val="20"/>
        </w:rPr>
        <w:t>correspondía a la sustracción o aprehensión dolosa de una persona, acompañada de cierto propósito (lograr rescate, canje de terceras personas u otro fin ilícito); consecuentemente, el tipo penal protegía básicamente la libertad individual. El hecho recogido en el inciso segundo de esta norma</w:t>
      </w:r>
      <w:r w:rsidR="00FE6705" w:rsidRPr="0064597D">
        <w:rPr>
          <w:sz w:val="20"/>
          <w:szCs w:val="20"/>
        </w:rPr>
        <w:t xml:space="preserve"> </w:t>
      </w:r>
      <w:r w:rsidR="000A154C" w:rsidRPr="0064597D">
        <w:rPr>
          <w:sz w:val="20"/>
          <w:szCs w:val="20"/>
        </w:rPr>
        <w:t xml:space="preserve">abarcaba un extremo adicional: además de la sustracción o aprehensión, la muerte, en cualquier circunstancia, del sujeto pasivo; con ello se protegía el bien jurídico de la vida. En consecuencia, </w:t>
      </w:r>
      <w:r w:rsidR="005903CE" w:rsidRPr="0064597D">
        <w:rPr>
          <w:sz w:val="20"/>
          <w:szCs w:val="20"/>
        </w:rPr>
        <w:t>existía</w:t>
      </w:r>
      <w:r w:rsidR="000A154C" w:rsidRPr="0064597D">
        <w:rPr>
          <w:sz w:val="20"/>
          <w:szCs w:val="20"/>
        </w:rPr>
        <w:t xml:space="preserve"> un deslinde entre el secuestro simple y el secuestro calificado por la muerte del ofendido. En el primer caso se aplicaba </w:t>
      </w:r>
      <w:r w:rsidR="005903CE" w:rsidRPr="0064597D">
        <w:rPr>
          <w:sz w:val="20"/>
          <w:szCs w:val="20"/>
        </w:rPr>
        <w:t xml:space="preserve">una </w:t>
      </w:r>
      <w:r w:rsidR="000A154C" w:rsidRPr="0064597D">
        <w:rPr>
          <w:sz w:val="20"/>
          <w:szCs w:val="20"/>
        </w:rPr>
        <w:t xml:space="preserve">pena privativa de la libertad; en el segundo, </w:t>
      </w:r>
      <w:r w:rsidR="005903CE" w:rsidRPr="0064597D">
        <w:rPr>
          <w:sz w:val="20"/>
          <w:szCs w:val="20"/>
        </w:rPr>
        <w:t xml:space="preserve">la </w:t>
      </w:r>
      <w:r w:rsidR="000A154C" w:rsidRPr="0064597D">
        <w:rPr>
          <w:sz w:val="20"/>
          <w:szCs w:val="20"/>
        </w:rPr>
        <w:t>pena de muerte</w:t>
      </w:r>
      <w:r w:rsidRPr="0064597D">
        <w:rPr>
          <w:rStyle w:val="Refdenotaalpie"/>
          <w:sz w:val="20"/>
          <w:szCs w:val="20"/>
        </w:rPr>
        <w:footnoteReference w:id="104"/>
      </w:r>
      <w:r w:rsidR="000A154C" w:rsidRPr="0064597D">
        <w:rPr>
          <w:sz w:val="20"/>
          <w:szCs w:val="20"/>
        </w:rPr>
        <w:t>.</w:t>
      </w:r>
    </w:p>
    <w:p w14:paraId="79C98159" w14:textId="77777777" w:rsidR="000A154C" w:rsidRPr="0064597D" w:rsidRDefault="000A154C" w:rsidP="000A154C">
      <w:pPr>
        <w:spacing w:line="240" w:lineRule="auto"/>
        <w:ind w:left="708"/>
        <w:rPr>
          <w:sz w:val="20"/>
          <w:szCs w:val="20"/>
        </w:rPr>
      </w:pPr>
    </w:p>
    <w:p w14:paraId="75FE2A7C" w14:textId="7A828F13" w:rsidR="00A26B9D" w:rsidRPr="0064597D" w:rsidRDefault="003E2564" w:rsidP="00A26B9D">
      <w:pPr>
        <w:numPr>
          <w:ilvl w:val="0"/>
          <w:numId w:val="1"/>
        </w:numPr>
        <w:tabs>
          <w:tab w:val="left" w:pos="567"/>
          <w:tab w:val="num" w:pos="1569"/>
          <w:tab w:val="num" w:pos="12305"/>
        </w:tabs>
        <w:spacing w:line="240" w:lineRule="auto"/>
        <w:ind w:left="0" w:firstLine="0"/>
        <w:rPr>
          <w:rFonts w:eastAsia="Calibri" w:cs="Arial"/>
          <w:bCs/>
          <w:sz w:val="20"/>
          <w:szCs w:val="20"/>
          <w:lang w:val="es-ES_tradnl" w:eastAsia="en-US"/>
        </w:rPr>
      </w:pPr>
      <w:r w:rsidRPr="0064597D">
        <w:rPr>
          <w:sz w:val="20"/>
          <w:szCs w:val="20"/>
        </w:rPr>
        <w:t xml:space="preserve">La Corte </w:t>
      </w:r>
      <w:r w:rsidR="00EC32C1" w:rsidRPr="0064597D">
        <w:rPr>
          <w:sz w:val="20"/>
          <w:szCs w:val="20"/>
        </w:rPr>
        <w:t xml:space="preserve">además </w:t>
      </w:r>
      <w:r w:rsidR="005E3DA0">
        <w:rPr>
          <w:sz w:val="20"/>
          <w:szCs w:val="20"/>
        </w:rPr>
        <w:t>advierte</w:t>
      </w:r>
      <w:r w:rsidRPr="0064597D">
        <w:rPr>
          <w:sz w:val="20"/>
          <w:szCs w:val="20"/>
        </w:rPr>
        <w:t xml:space="preserve"> que e</w:t>
      </w:r>
      <w:r w:rsidR="000A154C" w:rsidRPr="0064597D">
        <w:rPr>
          <w:sz w:val="20"/>
          <w:szCs w:val="20"/>
        </w:rPr>
        <w:t xml:space="preserve">l artículo 201 del Decreto Legislativo No. 81/96, </w:t>
      </w:r>
      <w:r w:rsidRPr="0064597D">
        <w:rPr>
          <w:sz w:val="20"/>
          <w:szCs w:val="20"/>
        </w:rPr>
        <w:t>el cual fue aplicado</w:t>
      </w:r>
      <w:r w:rsidR="000A154C" w:rsidRPr="0064597D">
        <w:rPr>
          <w:sz w:val="20"/>
          <w:szCs w:val="20"/>
        </w:rPr>
        <w:t xml:space="preserve"> en la condena al señor </w:t>
      </w:r>
      <w:r w:rsidR="008F24E5" w:rsidRPr="0064597D">
        <w:rPr>
          <w:sz w:val="20"/>
          <w:szCs w:val="20"/>
        </w:rPr>
        <w:t>Ruiz Fuentes</w:t>
      </w:r>
      <w:r w:rsidR="000A154C" w:rsidRPr="0064597D">
        <w:rPr>
          <w:sz w:val="20"/>
          <w:szCs w:val="20"/>
        </w:rPr>
        <w:t>, tipifica</w:t>
      </w:r>
      <w:r w:rsidR="00897CD6" w:rsidRPr="0064597D">
        <w:rPr>
          <w:sz w:val="20"/>
          <w:szCs w:val="20"/>
        </w:rPr>
        <w:t>ba</w:t>
      </w:r>
      <w:r w:rsidR="000A154C" w:rsidRPr="0064597D">
        <w:rPr>
          <w:sz w:val="20"/>
          <w:szCs w:val="20"/>
        </w:rPr>
        <w:t xml:space="preserve"> una sola conducta</w:t>
      </w:r>
      <w:r w:rsidR="00ED00D8" w:rsidRPr="0064597D">
        <w:rPr>
          <w:sz w:val="20"/>
          <w:szCs w:val="20"/>
        </w:rPr>
        <w:t xml:space="preserve"> al momento de la comisión del delito</w:t>
      </w:r>
      <w:r w:rsidR="000A154C" w:rsidRPr="0064597D">
        <w:rPr>
          <w:sz w:val="20"/>
          <w:szCs w:val="20"/>
        </w:rPr>
        <w:t xml:space="preserve">: </w:t>
      </w:r>
      <w:r w:rsidR="00ED00D8" w:rsidRPr="0064597D">
        <w:rPr>
          <w:sz w:val="20"/>
          <w:szCs w:val="20"/>
        </w:rPr>
        <w:t xml:space="preserve">la </w:t>
      </w:r>
      <w:r w:rsidR="000A154C" w:rsidRPr="0064597D">
        <w:rPr>
          <w:sz w:val="20"/>
          <w:szCs w:val="20"/>
        </w:rPr>
        <w:t>sustracción o aprehensión de una persona, acompañada de cierto propósito. La acción de dar muerte no se halla abarcada por este tipo penal, que protege la libertad individual, no la vida, y prevé la imposición de pena de muerte al secuestrador.</w:t>
      </w:r>
      <w:r w:rsidR="008F24E5" w:rsidRPr="0064597D">
        <w:rPr>
          <w:sz w:val="20"/>
          <w:szCs w:val="20"/>
        </w:rPr>
        <w:t xml:space="preserve"> </w:t>
      </w:r>
      <w:r w:rsidR="000A154C" w:rsidRPr="0064597D">
        <w:rPr>
          <w:sz w:val="20"/>
          <w:szCs w:val="20"/>
        </w:rPr>
        <w:t xml:space="preserve">Si bien el </w:t>
      </w:r>
      <w:r w:rsidR="000A154C" w:rsidRPr="0064597D">
        <w:rPr>
          <w:i/>
          <w:iCs/>
          <w:sz w:val="20"/>
          <w:szCs w:val="20"/>
        </w:rPr>
        <w:t>nomen iuris</w:t>
      </w:r>
      <w:r w:rsidR="000A154C" w:rsidRPr="0064597D">
        <w:rPr>
          <w:sz w:val="20"/>
          <w:szCs w:val="20"/>
        </w:rPr>
        <w:t xml:space="preserve"> del plagio o secuestro permaneció inalterado desde el momento en que Guatemala ratificó la Convención, los supuestos de hecho contenidos en los correspondientes tipos penales cambiaron sustancialmente, hasta hacer posible la aplicación de la pena de muerte por acciones no sanc</w:t>
      </w:r>
      <w:r w:rsidR="00474207" w:rsidRPr="0064597D">
        <w:rPr>
          <w:sz w:val="20"/>
          <w:szCs w:val="20"/>
        </w:rPr>
        <w:t xml:space="preserve">ionadas con ésta en el pasado. </w:t>
      </w:r>
      <w:r w:rsidR="00ED00D8" w:rsidRPr="0064597D">
        <w:rPr>
          <w:sz w:val="20"/>
          <w:szCs w:val="20"/>
        </w:rPr>
        <w:t>Lo anterior supuso la violación del artículo 4.2 de la Convención Americana</w:t>
      </w:r>
      <w:r w:rsidR="00775972" w:rsidRPr="0064597D">
        <w:rPr>
          <w:sz w:val="20"/>
          <w:szCs w:val="20"/>
        </w:rPr>
        <w:t>, toda vez que a</w:t>
      </w:r>
      <w:r w:rsidR="000A154C" w:rsidRPr="0064597D">
        <w:rPr>
          <w:sz w:val="20"/>
          <w:szCs w:val="20"/>
        </w:rPr>
        <w:t xml:space="preserve">ceptar una interpretación contraria permitiría que un delito pudiera ser sustituido o alterado con la inclusión de nuevos supuestos de hecho, no obstante la prohibición expresa de extender la pena capital, contenida en el </w:t>
      </w:r>
      <w:r w:rsidR="00ED00D8" w:rsidRPr="0064597D">
        <w:rPr>
          <w:sz w:val="20"/>
          <w:szCs w:val="20"/>
        </w:rPr>
        <w:t xml:space="preserve">referido </w:t>
      </w:r>
      <w:r w:rsidR="000A154C" w:rsidRPr="0064597D">
        <w:rPr>
          <w:sz w:val="20"/>
          <w:szCs w:val="20"/>
        </w:rPr>
        <w:t>artículo 4.2</w:t>
      </w:r>
      <w:r w:rsidR="00CD0B99" w:rsidRPr="0064597D">
        <w:rPr>
          <w:rStyle w:val="Refdenotaalpie"/>
          <w:sz w:val="20"/>
          <w:szCs w:val="20"/>
        </w:rPr>
        <w:footnoteReference w:id="105"/>
      </w:r>
      <w:r w:rsidR="000A154C" w:rsidRPr="0064597D">
        <w:rPr>
          <w:sz w:val="20"/>
          <w:szCs w:val="20"/>
        </w:rPr>
        <w:t>.</w:t>
      </w:r>
      <w:r w:rsidR="00A26B9D" w:rsidRPr="0064597D">
        <w:rPr>
          <w:sz w:val="20"/>
          <w:szCs w:val="20"/>
        </w:rPr>
        <w:t xml:space="preserve"> Lo anterior ha sido corroborado por la Corte de </w:t>
      </w:r>
      <w:r w:rsidR="007454E8">
        <w:rPr>
          <w:sz w:val="20"/>
          <w:szCs w:val="20"/>
        </w:rPr>
        <w:t>Constitucionalidad de Guatemala</w:t>
      </w:r>
      <w:r w:rsidR="00D47B8B" w:rsidRPr="0064597D">
        <w:rPr>
          <w:sz w:val="20"/>
          <w:szCs w:val="20"/>
        </w:rPr>
        <w:t>, la cual e</w:t>
      </w:r>
      <w:r w:rsidR="00A26B9D" w:rsidRPr="0064597D">
        <w:rPr>
          <w:rFonts w:eastAsia="Calibri" w:cs="Arial"/>
          <w:bCs/>
          <w:sz w:val="20"/>
          <w:szCs w:val="20"/>
          <w:lang w:val="es-ES_tradnl" w:eastAsia="en-US"/>
        </w:rPr>
        <w:t xml:space="preserve">l 24 de octubre de 2017 </w:t>
      </w:r>
      <w:r w:rsidR="00D47B8B" w:rsidRPr="0064597D">
        <w:rPr>
          <w:rFonts w:eastAsia="Calibri" w:cs="Arial"/>
          <w:bCs/>
          <w:sz w:val="20"/>
          <w:szCs w:val="20"/>
          <w:lang w:val="es-ES_tradnl" w:eastAsia="en-US"/>
        </w:rPr>
        <w:t xml:space="preserve">emitió una sentencia en la que, </w:t>
      </w:r>
      <w:r w:rsidR="00D47B8B" w:rsidRPr="0064597D">
        <w:rPr>
          <w:rFonts w:eastAsia="Calibri" w:cs="Arial"/>
          <w:bCs/>
          <w:i/>
          <w:sz w:val="20"/>
          <w:szCs w:val="20"/>
          <w:lang w:val="es-ES_tradnl" w:eastAsia="en-US"/>
        </w:rPr>
        <w:t>inter alia</w:t>
      </w:r>
      <w:r w:rsidR="00D47B8B" w:rsidRPr="0064597D">
        <w:rPr>
          <w:rFonts w:eastAsia="Calibri" w:cs="Arial"/>
          <w:bCs/>
          <w:sz w:val="20"/>
          <w:szCs w:val="20"/>
          <w:lang w:val="es-ES_tradnl" w:eastAsia="en-US"/>
        </w:rPr>
        <w:t xml:space="preserve">, </w:t>
      </w:r>
      <w:r w:rsidR="00A26B9D" w:rsidRPr="0064597D">
        <w:rPr>
          <w:rFonts w:eastAsia="Calibri" w:cs="Arial"/>
          <w:bCs/>
          <w:sz w:val="20"/>
          <w:szCs w:val="20"/>
          <w:lang w:val="es-ES_tradnl" w:eastAsia="en-US"/>
        </w:rPr>
        <w:t>declaró inconstitucional el citado artículo 201 al considerar que configuraba una obvia violación al artículo 4, numeral 2, de la Convención Americana sobre Derechos Humanos</w:t>
      </w:r>
      <w:r w:rsidR="00A26B9D" w:rsidRPr="0064597D">
        <w:rPr>
          <w:rStyle w:val="Refdenotaalpie"/>
          <w:rFonts w:eastAsia="Calibri" w:cs="Arial"/>
          <w:bCs/>
          <w:sz w:val="20"/>
          <w:szCs w:val="20"/>
          <w:lang w:val="es-ES_tradnl" w:eastAsia="en-US"/>
        </w:rPr>
        <w:footnoteReference w:id="106"/>
      </w:r>
      <w:r w:rsidR="00A26B9D" w:rsidRPr="0064597D">
        <w:rPr>
          <w:rFonts w:eastAsia="Calibri" w:cs="Arial"/>
          <w:bCs/>
          <w:sz w:val="20"/>
          <w:szCs w:val="20"/>
          <w:lang w:val="es-ES_tradnl" w:eastAsia="en-US"/>
        </w:rPr>
        <w:t xml:space="preserve">. </w:t>
      </w:r>
    </w:p>
    <w:p w14:paraId="7C5D5DCC" w14:textId="77777777" w:rsidR="000A154C" w:rsidRPr="0064597D" w:rsidRDefault="000A154C" w:rsidP="000A154C">
      <w:pPr>
        <w:pStyle w:val="Normal1"/>
        <w:widowControl/>
        <w:pBdr>
          <w:top w:val="nil"/>
          <w:left w:val="nil"/>
          <w:bottom w:val="nil"/>
          <w:right w:val="nil"/>
          <w:between w:val="nil"/>
        </w:pBdr>
        <w:contextualSpacing/>
        <w:jc w:val="both"/>
        <w:rPr>
          <w:rFonts w:ascii="Verdana" w:hAnsi="Verdana"/>
          <w:i/>
          <w:sz w:val="20"/>
          <w:szCs w:val="20"/>
          <w:highlight w:val="yellow"/>
        </w:rPr>
      </w:pPr>
    </w:p>
    <w:p w14:paraId="24E44343" w14:textId="77777777" w:rsidR="009449FD" w:rsidRPr="0064597D" w:rsidRDefault="009449FD" w:rsidP="009449FD">
      <w:pPr>
        <w:tabs>
          <w:tab w:val="left" w:pos="567"/>
        </w:tabs>
        <w:spacing w:line="240" w:lineRule="auto"/>
        <w:rPr>
          <w:rFonts w:cs="Arial"/>
          <w:i/>
          <w:sz w:val="20"/>
          <w:szCs w:val="20"/>
        </w:rPr>
      </w:pPr>
      <w:r w:rsidRPr="0064597D">
        <w:rPr>
          <w:rFonts w:cs="Arial"/>
          <w:i/>
          <w:sz w:val="20"/>
          <w:szCs w:val="20"/>
        </w:rPr>
        <w:tab/>
      </w:r>
      <w:r w:rsidRPr="0064597D">
        <w:rPr>
          <w:rFonts w:cs="Arial"/>
          <w:i/>
          <w:sz w:val="20"/>
          <w:szCs w:val="20"/>
        </w:rPr>
        <w:tab/>
      </w:r>
      <w:r w:rsidRPr="0064597D">
        <w:rPr>
          <w:rFonts w:cs="Arial"/>
          <w:i/>
          <w:sz w:val="20"/>
          <w:szCs w:val="20"/>
        </w:rPr>
        <w:tab/>
      </w:r>
      <w:r w:rsidR="00EE2DE2" w:rsidRPr="0064597D">
        <w:rPr>
          <w:rFonts w:cs="Arial"/>
          <w:i/>
          <w:sz w:val="20"/>
          <w:szCs w:val="20"/>
        </w:rPr>
        <w:t>b</w:t>
      </w:r>
      <w:r w:rsidRPr="0064597D">
        <w:rPr>
          <w:rFonts w:cs="Arial"/>
          <w:i/>
          <w:sz w:val="20"/>
          <w:szCs w:val="20"/>
        </w:rPr>
        <w:t>.1.2) Imposición automática y obligatoria de la pena de muerte</w:t>
      </w:r>
    </w:p>
    <w:p w14:paraId="63F52765" w14:textId="77777777" w:rsidR="009449FD" w:rsidRPr="0064597D" w:rsidRDefault="009449FD" w:rsidP="000A154C">
      <w:pPr>
        <w:pStyle w:val="Normal1"/>
        <w:widowControl/>
        <w:pBdr>
          <w:top w:val="nil"/>
          <w:left w:val="nil"/>
          <w:bottom w:val="nil"/>
          <w:right w:val="nil"/>
          <w:between w:val="nil"/>
        </w:pBdr>
        <w:contextualSpacing/>
        <w:jc w:val="both"/>
        <w:rPr>
          <w:rFonts w:ascii="Verdana" w:hAnsi="Verdana"/>
          <w:i/>
          <w:sz w:val="20"/>
          <w:szCs w:val="20"/>
        </w:rPr>
      </w:pPr>
    </w:p>
    <w:p w14:paraId="4EF54786" w14:textId="1A80DDD4" w:rsidR="000A154C" w:rsidRPr="0064597D" w:rsidRDefault="0044135F" w:rsidP="000A154C">
      <w:pPr>
        <w:numPr>
          <w:ilvl w:val="0"/>
          <w:numId w:val="1"/>
        </w:numPr>
        <w:tabs>
          <w:tab w:val="left" w:pos="567"/>
        </w:tabs>
        <w:spacing w:line="240" w:lineRule="auto"/>
        <w:ind w:left="0" w:firstLine="0"/>
        <w:rPr>
          <w:sz w:val="20"/>
          <w:szCs w:val="20"/>
          <w:lang w:val="es-ES"/>
        </w:rPr>
      </w:pPr>
      <w:r w:rsidRPr="0064597D">
        <w:rPr>
          <w:sz w:val="20"/>
          <w:szCs w:val="20"/>
        </w:rPr>
        <w:t>Por otro lado</w:t>
      </w:r>
      <w:r w:rsidR="008F24E5" w:rsidRPr="0064597D">
        <w:rPr>
          <w:sz w:val="20"/>
          <w:szCs w:val="20"/>
        </w:rPr>
        <w:t xml:space="preserve">, </w:t>
      </w:r>
      <w:r w:rsidR="000A154C" w:rsidRPr="0064597D">
        <w:rPr>
          <w:sz w:val="20"/>
          <w:szCs w:val="20"/>
        </w:rPr>
        <w:t xml:space="preserve">la Corte constata que la regulación </w:t>
      </w:r>
      <w:r w:rsidR="00C80924" w:rsidRPr="0064597D">
        <w:rPr>
          <w:sz w:val="20"/>
          <w:szCs w:val="20"/>
        </w:rPr>
        <w:t>en el Código Penal guatemalteco del</w:t>
      </w:r>
      <w:r w:rsidR="003E2564" w:rsidRPr="0064597D">
        <w:rPr>
          <w:sz w:val="20"/>
          <w:szCs w:val="20"/>
        </w:rPr>
        <w:t xml:space="preserve"> </w:t>
      </w:r>
      <w:r w:rsidR="000A154C" w:rsidRPr="0064597D">
        <w:rPr>
          <w:sz w:val="20"/>
          <w:szCs w:val="20"/>
        </w:rPr>
        <w:t>delito de plagio o secuestro ordena la aplicación de la pena de muerte de manera automática y genérica a los autores de tal ilícito</w:t>
      </w:r>
      <w:r w:rsidR="00C80924" w:rsidRPr="0064597D">
        <w:rPr>
          <w:sz w:val="20"/>
          <w:szCs w:val="20"/>
        </w:rPr>
        <w:t xml:space="preserve">. Al </w:t>
      </w:r>
      <w:r w:rsidR="000A154C" w:rsidRPr="0064597D">
        <w:rPr>
          <w:sz w:val="20"/>
          <w:szCs w:val="20"/>
        </w:rPr>
        <w:t>respecto</w:t>
      </w:r>
      <w:r w:rsidR="00C80924" w:rsidRPr="0064597D">
        <w:rPr>
          <w:sz w:val="20"/>
          <w:szCs w:val="20"/>
        </w:rPr>
        <w:t>,</w:t>
      </w:r>
      <w:r w:rsidR="000A154C" w:rsidRPr="0064597D">
        <w:rPr>
          <w:sz w:val="20"/>
          <w:szCs w:val="20"/>
        </w:rPr>
        <w:t xml:space="preserve"> estima pertinente recordar que el Comité de Derechos Humanos de las Naciones Unidas consideró que la obligatoriedad de la pena capital con la que se priva al sujeto de su derecho a la vida, impide considerar si, en las circunstancias particulares del caso, esta forma excepcional de castigo es compatible con las disposiciones del Pacto Internacional de Derechos Civiles y Políticos</w:t>
      </w:r>
      <w:r w:rsidR="000A154C" w:rsidRPr="0064597D">
        <w:rPr>
          <w:rStyle w:val="Refdenotaalpie"/>
          <w:sz w:val="20"/>
          <w:szCs w:val="20"/>
        </w:rPr>
        <w:footnoteReference w:id="107"/>
      </w:r>
      <w:r w:rsidR="000A154C" w:rsidRPr="0064597D">
        <w:rPr>
          <w:sz w:val="20"/>
          <w:szCs w:val="20"/>
        </w:rPr>
        <w:t>.</w:t>
      </w:r>
    </w:p>
    <w:p w14:paraId="32C5C6DB" w14:textId="77777777" w:rsidR="00CD0B99" w:rsidRPr="0064597D" w:rsidRDefault="00CD0B99" w:rsidP="00CD0B99">
      <w:pPr>
        <w:tabs>
          <w:tab w:val="left" w:pos="567"/>
        </w:tabs>
        <w:spacing w:line="240" w:lineRule="auto"/>
        <w:rPr>
          <w:sz w:val="20"/>
          <w:szCs w:val="20"/>
          <w:lang w:val="es-ES"/>
        </w:rPr>
      </w:pPr>
    </w:p>
    <w:p w14:paraId="686A9DF7" w14:textId="6458A8B1" w:rsidR="000A154C" w:rsidRPr="0064597D" w:rsidRDefault="000A154C" w:rsidP="000A154C">
      <w:pPr>
        <w:numPr>
          <w:ilvl w:val="0"/>
          <w:numId w:val="1"/>
        </w:numPr>
        <w:tabs>
          <w:tab w:val="left" w:pos="567"/>
        </w:tabs>
        <w:spacing w:line="240" w:lineRule="auto"/>
        <w:ind w:left="0" w:firstLine="0"/>
        <w:rPr>
          <w:sz w:val="20"/>
          <w:szCs w:val="20"/>
          <w:lang w:val="es-ES"/>
        </w:rPr>
      </w:pPr>
      <w:r w:rsidRPr="0064597D">
        <w:rPr>
          <w:sz w:val="20"/>
          <w:szCs w:val="20"/>
        </w:rPr>
        <w:t>La Corte</w:t>
      </w:r>
      <w:r w:rsidR="00C80924" w:rsidRPr="0064597D">
        <w:rPr>
          <w:sz w:val="20"/>
          <w:szCs w:val="20"/>
        </w:rPr>
        <w:t xml:space="preserve">, al igual que lo constató en el caso </w:t>
      </w:r>
      <w:r w:rsidR="00C80924" w:rsidRPr="0064597D">
        <w:rPr>
          <w:i/>
          <w:iCs/>
          <w:sz w:val="20"/>
          <w:szCs w:val="20"/>
        </w:rPr>
        <w:t>Raxcacó Reyes Vs. Guatemala</w:t>
      </w:r>
      <w:r w:rsidR="00C80924" w:rsidRPr="0064597D">
        <w:rPr>
          <w:sz w:val="20"/>
          <w:szCs w:val="20"/>
        </w:rPr>
        <w:t>, observa</w:t>
      </w:r>
      <w:r w:rsidRPr="0064597D">
        <w:rPr>
          <w:sz w:val="20"/>
          <w:szCs w:val="20"/>
        </w:rPr>
        <w:t xml:space="preserve"> que el</w:t>
      </w:r>
      <w:r w:rsidR="00C80924" w:rsidRPr="0064597D">
        <w:rPr>
          <w:sz w:val="20"/>
          <w:szCs w:val="20"/>
        </w:rPr>
        <w:t xml:space="preserve"> señalado</w:t>
      </w:r>
      <w:r w:rsidRPr="0064597D">
        <w:rPr>
          <w:sz w:val="20"/>
          <w:szCs w:val="20"/>
        </w:rPr>
        <w:t xml:space="preserve"> artículo 201 del Código Penal, tal como </w:t>
      </w:r>
      <w:r w:rsidR="00897CD6" w:rsidRPr="0064597D">
        <w:rPr>
          <w:sz w:val="20"/>
          <w:szCs w:val="20"/>
        </w:rPr>
        <w:t>estaba</w:t>
      </w:r>
      <w:r w:rsidRPr="0064597D">
        <w:rPr>
          <w:sz w:val="20"/>
          <w:szCs w:val="20"/>
        </w:rPr>
        <w:t xml:space="preserve"> redactado, </w:t>
      </w:r>
      <w:r w:rsidR="00897CD6" w:rsidRPr="0064597D">
        <w:rPr>
          <w:sz w:val="20"/>
          <w:szCs w:val="20"/>
        </w:rPr>
        <w:t>tenía</w:t>
      </w:r>
      <w:r w:rsidRPr="0064597D">
        <w:rPr>
          <w:sz w:val="20"/>
          <w:szCs w:val="20"/>
        </w:rPr>
        <w:t xml:space="preserve"> como efecto someter a los acusados del delito de plagio o secuestro a procesos penales en los que no se consideran –en ninguna instancia– las circunstancias particulares del delito y del acusado, tales como los antecedentes penales de éste y de la víctima, el móvil, la extensión e intensidad del daño causado, las posibles circunstancias atenuantes o agravantes, entre otras consideraciones del autor y del delito. </w:t>
      </w:r>
      <w:r w:rsidR="002B269F" w:rsidRPr="0064597D">
        <w:rPr>
          <w:sz w:val="20"/>
          <w:szCs w:val="20"/>
        </w:rPr>
        <w:t xml:space="preserve">La Corte </w:t>
      </w:r>
      <w:r w:rsidR="00C81685" w:rsidRPr="0064597D">
        <w:rPr>
          <w:sz w:val="20"/>
          <w:szCs w:val="20"/>
        </w:rPr>
        <w:t>concluye</w:t>
      </w:r>
      <w:r w:rsidR="002B269F" w:rsidRPr="0064597D">
        <w:rPr>
          <w:sz w:val="20"/>
          <w:szCs w:val="20"/>
        </w:rPr>
        <w:t xml:space="preserve"> que, </w:t>
      </w:r>
      <w:r w:rsidR="00367583" w:rsidRPr="0064597D">
        <w:rPr>
          <w:sz w:val="20"/>
          <w:szCs w:val="20"/>
        </w:rPr>
        <w:t xml:space="preserve">efectivamente, </w:t>
      </w:r>
      <w:r w:rsidR="002B269F" w:rsidRPr="0064597D">
        <w:rPr>
          <w:sz w:val="20"/>
          <w:szCs w:val="20"/>
        </w:rPr>
        <w:t xml:space="preserve">cuando determinadas </w:t>
      </w:r>
      <w:r w:rsidR="008E2861" w:rsidRPr="0064597D">
        <w:rPr>
          <w:sz w:val="20"/>
          <w:szCs w:val="20"/>
        </w:rPr>
        <w:t>leyes</w:t>
      </w:r>
      <w:r w:rsidR="002B269F" w:rsidRPr="0064597D">
        <w:rPr>
          <w:sz w:val="20"/>
          <w:szCs w:val="20"/>
        </w:rPr>
        <w:t xml:space="preserve"> obligan a imponer la pena de muerte</w:t>
      </w:r>
      <w:r w:rsidR="00C81685" w:rsidRPr="0064597D">
        <w:rPr>
          <w:sz w:val="20"/>
          <w:szCs w:val="20"/>
        </w:rPr>
        <w:t xml:space="preserve"> de manera automática</w:t>
      </w:r>
      <w:r w:rsidR="002B269F" w:rsidRPr="0064597D">
        <w:rPr>
          <w:sz w:val="20"/>
          <w:szCs w:val="20"/>
        </w:rPr>
        <w:t xml:space="preserve"> no se permite distinguir entre los distintos niveles de gravedad ni las circunstancias concretas del delito específico, lo cual sería incompatible con la limitación de la pena </w:t>
      </w:r>
      <w:r w:rsidR="002B269F" w:rsidRPr="0064597D">
        <w:rPr>
          <w:sz w:val="20"/>
          <w:szCs w:val="20"/>
        </w:rPr>
        <w:lastRenderedPageBreak/>
        <w:t xml:space="preserve">capital a los delitos más graves, tal y como así lo recoge el </w:t>
      </w:r>
      <w:r w:rsidR="00775972" w:rsidRPr="0064597D">
        <w:rPr>
          <w:sz w:val="20"/>
          <w:szCs w:val="20"/>
        </w:rPr>
        <w:t>artículo</w:t>
      </w:r>
      <w:r w:rsidR="002B269F" w:rsidRPr="0064597D">
        <w:rPr>
          <w:sz w:val="20"/>
          <w:szCs w:val="20"/>
        </w:rPr>
        <w:t xml:space="preserve"> 4.2 de la Convención</w:t>
      </w:r>
      <w:r w:rsidR="002B269F" w:rsidRPr="0064597D">
        <w:rPr>
          <w:rStyle w:val="Refdenotaalpie"/>
          <w:sz w:val="20"/>
          <w:szCs w:val="20"/>
        </w:rPr>
        <w:footnoteReference w:id="108"/>
      </w:r>
      <w:r w:rsidR="002B269F" w:rsidRPr="0064597D">
        <w:rPr>
          <w:sz w:val="20"/>
          <w:szCs w:val="20"/>
        </w:rPr>
        <w:t>.</w:t>
      </w:r>
    </w:p>
    <w:p w14:paraId="2655470A" w14:textId="77777777" w:rsidR="008E2861" w:rsidRPr="0064597D" w:rsidRDefault="008E2861" w:rsidP="008E2861">
      <w:pPr>
        <w:tabs>
          <w:tab w:val="left" w:pos="567"/>
        </w:tabs>
        <w:spacing w:line="240" w:lineRule="auto"/>
        <w:rPr>
          <w:sz w:val="20"/>
          <w:szCs w:val="20"/>
          <w:lang w:val="es-ES"/>
        </w:rPr>
      </w:pPr>
    </w:p>
    <w:p w14:paraId="686511FC" w14:textId="78B930DD" w:rsidR="004C2B96" w:rsidRPr="0064597D" w:rsidRDefault="00897CD6" w:rsidP="00CA131D">
      <w:pPr>
        <w:numPr>
          <w:ilvl w:val="0"/>
          <w:numId w:val="1"/>
        </w:numPr>
        <w:tabs>
          <w:tab w:val="left" w:pos="567"/>
        </w:tabs>
        <w:spacing w:line="240" w:lineRule="auto"/>
        <w:ind w:left="0" w:firstLine="0"/>
        <w:rPr>
          <w:sz w:val="20"/>
          <w:szCs w:val="20"/>
          <w:lang w:val="es-ES"/>
        </w:rPr>
      </w:pPr>
      <w:r w:rsidRPr="0064597D">
        <w:rPr>
          <w:sz w:val="20"/>
          <w:szCs w:val="20"/>
        </w:rPr>
        <w:t>A la vista de lo anterior, la Corte concluye que la aplicación del artículo 201 del Código Penal guatemalteco en virtud del cual se fundó la condena al señor Ruiz Fuentes violó el artículo 4.2 de la Convención en relación con el artículo 1.1 del mismo instrumento</w:t>
      </w:r>
      <w:r w:rsidRPr="0064597D">
        <w:rPr>
          <w:rStyle w:val="Refdenotaalpie"/>
          <w:rFonts w:cs="Arial"/>
          <w:sz w:val="18"/>
          <w:szCs w:val="18"/>
        </w:rPr>
        <w:footnoteReference w:id="109"/>
      </w:r>
      <w:r w:rsidRPr="0064597D">
        <w:rPr>
          <w:sz w:val="20"/>
          <w:szCs w:val="20"/>
        </w:rPr>
        <w:t xml:space="preserve">. </w:t>
      </w:r>
      <w:r w:rsidR="004C2B96" w:rsidRPr="0064597D">
        <w:rPr>
          <w:sz w:val="20"/>
          <w:szCs w:val="20"/>
        </w:rPr>
        <w:t>Con respecto a la alegada violación del artículo 4.1 de la Convención</w:t>
      </w:r>
      <w:r w:rsidR="00CA131D" w:rsidRPr="0064597D">
        <w:rPr>
          <w:sz w:val="20"/>
          <w:szCs w:val="20"/>
        </w:rPr>
        <w:t xml:space="preserve"> en relación con la imposición de la pena de muerte</w:t>
      </w:r>
      <w:r w:rsidR="004C2B96" w:rsidRPr="0064597D">
        <w:rPr>
          <w:sz w:val="20"/>
          <w:szCs w:val="20"/>
        </w:rPr>
        <w:t xml:space="preserve">, la Corte nota que </w:t>
      </w:r>
      <w:r w:rsidR="00CA131D" w:rsidRPr="0064597D">
        <w:rPr>
          <w:sz w:val="20"/>
          <w:szCs w:val="20"/>
        </w:rPr>
        <w:t xml:space="preserve">ésta </w:t>
      </w:r>
      <w:r w:rsidR="004C2B96" w:rsidRPr="0064597D">
        <w:rPr>
          <w:sz w:val="20"/>
          <w:szCs w:val="20"/>
        </w:rPr>
        <w:t xml:space="preserve">nunca fue ejecutada, </w:t>
      </w:r>
      <w:r w:rsidRPr="0064597D">
        <w:rPr>
          <w:sz w:val="20"/>
          <w:szCs w:val="20"/>
        </w:rPr>
        <w:t>toda vez</w:t>
      </w:r>
      <w:r w:rsidR="004C2B96" w:rsidRPr="0064597D">
        <w:rPr>
          <w:sz w:val="20"/>
          <w:szCs w:val="20"/>
        </w:rPr>
        <w:t xml:space="preserve"> que la presunta víctima falleció</w:t>
      </w:r>
      <w:r w:rsidRPr="0064597D">
        <w:rPr>
          <w:sz w:val="20"/>
          <w:szCs w:val="20"/>
        </w:rPr>
        <w:t xml:space="preserve"> por circunstancias ajenas a la eventual ejecución</w:t>
      </w:r>
      <w:r w:rsidR="004C2B96" w:rsidRPr="0064597D">
        <w:rPr>
          <w:sz w:val="20"/>
          <w:szCs w:val="20"/>
        </w:rPr>
        <w:t xml:space="preserve"> de la pena capital. En este sentido, considera que el Estado no violó el artículo 4.1 de la Convención, en relación al artículo 1.1 del mismo instrumento</w:t>
      </w:r>
      <w:r w:rsidR="00CA131D" w:rsidRPr="0064597D">
        <w:rPr>
          <w:sz w:val="20"/>
          <w:szCs w:val="20"/>
        </w:rPr>
        <w:t xml:space="preserve">, sin perjuicio de que la Corte analice y determine </w:t>
      </w:r>
      <w:r w:rsidR="00A91A39" w:rsidRPr="0064597D">
        <w:rPr>
          <w:sz w:val="20"/>
          <w:szCs w:val="20"/>
        </w:rPr>
        <w:t xml:space="preserve">lo pertinente </w:t>
      </w:r>
      <w:r w:rsidR="00CA131D" w:rsidRPr="0064597D">
        <w:rPr>
          <w:sz w:val="20"/>
          <w:szCs w:val="20"/>
        </w:rPr>
        <w:t>en el siguiente capítulo relativo al derecho a la vida.</w:t>
      </w:r>
      <w:r w:rsidR="004C2B96" w:rsidRPr="0064597D">
        <w:rPr>
          <w:sz w:val="20"/>
          <w:szCs w:val="20"/>
        </w:rPr>
        <w:t xml:space="preserve"> </w:t>
      </w:r>
    </w:p>
    <w:p w14:paraId="4726E67B" w14:textId="1E1277DE" w:rsidR="00960A67" w:rsidRPr="0064597D" w:rsidRDefault="00544B95" w:rsidP="00377181">
      <w:pPr>
        <w:pStyle w:val="Ttulo3"/>
        <w:rPr>
          <w:lang w:eastAsia="en-US"/>
        </w:rPr>
      </w:pPr>
      <w:bookmarkStart w:id="65" w:name="_Toc24014552"/>
      <w:r w:rsidRPr="0064597D">
        <w:t xml:space="preserve">b.2 </w:t>
      </w:r>
      <w:r w:rsidRPr="0064597D">
        <w:tab/>
      </w:r>
      <w:r w:rsidR="00ED056E" w:rsidRPr="0064597D">
        <w:rPr>
          <w:lang w:eastAsia="en-US"/>
        </w:rPr>
        <w:t>Derecho</w:t>
      </w:r>
      <w:r w:rsidR="00960A67" w:rsidRPr="0064597D">
        <w:rPr>
          <w:lang w:eastAsia="en-US"/>
        </w:rPr>
        <w:t xml:space="preserve"> a solicitar amnistía, indulto o conmutación de la pena</w:t>
      </w:r>
      <w:bookmarkEnd w:id="65"/>
    </w:p>
    <w:p w14:paraId="071C0F3E" w14:textId="4362E97C" w:rsidR="00CD0B99" w:rsidRPr="0064597D" w:rsidRDefault="00203BA6" w:rsidP="00CD0B99">
      <w:pPr>
        <w:numPr>
          <w:ilvl w:val="0"/>
          <w:numId w:val="1"/>
        </w:numPr>
        <w:tabs>
          <w:tab w:val="left" w:pos="567"/>
        </w:tabs>
        <w:spacing w:line="240" w:lineRule="auto"/>
        <w:ind w:left="0" w:firstLine="0"/>
        <w:rPr>
          <w:sz w:val="20"/>
          <w:szCs w:val="20"/>
          <w:lang w:val="es-ES_tradnl"/>
        </w:rPr>
      </w:pPr>
      <w:r w:rsidRPr="0064597D">
        <w:rPr>
          <w:sz w:val="20"/>
          <w:szCs w:val="20"/>
        </w:rPr>
        <w:t>E</w:t>
      </w:r>
      <w:r w:rsidR="00CD0B99" w:rsidRPr="0064597D">
        <w:rPr>
          <w:sz w:val="20"/>
          <w:szCs w:val="20"/>
        </w:rPr>
        <w:t>l 16 de diciembre de 2003 el señor Ru</w:t>
      </w:r>
      <w:r w:rsidR="00367583" w:rsidRPr="0064597D">
        <w:rPr>
          <w:sz w:val="20"/>
          <w:szCs w:val="20"/>
        </w:rPr>
        <w:t>i</w:t>
      </w:r>
      <w:r w:rsidR="00CD0B99" w:rsidRPr="0064597D">
        <w:rPr>
          <w:sz w:val="20"/>
          <w:szCs w:val="20"/>
        </w:rPr>
        <w:t>z Fuentes presentó un recurso de gracia ante el Ministro de Gobernación de Guatemala</w:t>
      </w:r>
      <w:r w:rsidR="005E3DA0">
        <w:rPr>
          <w:sz w:val="20"/>
          <w:szCs w:val="20"/>
        </w:rPr>
        <w:t>,</w:t>
      </w:r>
      <w:r w:rsidR="00CD0B99" w:rsidRPr="0064597D">
        <w:rPr>
          <w:sz w:val="20"/>
          <w:szCs w:val="20"/>
        </w:rPr>
        <w:t xml:space="preserve"> solicitando que se conmu</w:t>
      </w:r>
      <w:r w:rsidR="005E3DA0">
        <w:rPr>
          <w:sz w:val="20"/>
          <w:szCs w:val="20"/>
        </w:rPr>
        <w:t>tase la pena de muerte impuesta</w:t>
      </w:r>
      <w:r w:rsidR="00CD0B99" w:rsidRPr="0064597D">
        <w:rPr>
          <w:sz w:val="20"/>
          <w:szCs w:val="20"/>
        </w:rPr>
        <w:t xml:space="preserve"> por la inmediata inferior de cincuenta años. Del expediente que obra en esta Corte, así como </w:t>
      </w:r>
      <w:r w:rsidR="00367583" w:rsidRPr="0064597D">
        <w:rPr>
          <w:sz w:val="20"/>
          <w:szCs w:val="20"/>
        </w:rPr>
        <w:t>en virtud</w:t>
      </w:r>
      <w:r w:rsidR="00CD0B99" w:rsidRPr="0064597D">
        <w:rPr>
          <w:sz w:val="20"/>
          <w:szCs w:val="20"/>
        </w:rPr>
        <w:t xml:space="preserve"> de la prueba aportada por las partes y la Comisión, se desprende que el Ministerio de Gobernación no dio trámite al mencionado recurso de gracia. En el mismo sentido, si bien el Estado en sus alegatos finales escritos mencionó haber conmutado la pena del señor Ruíz Fuentes</w:t>
      </w:r>
      <w:r w:rsidR="00B53452" w:rsidRPr="0064597D">
        <w:rPr>
          <w:sz w:val="20"/>
          <w:szCs w:val="20"/>
        </w:rPr>
        <w:t xml:space="preserve"> por la pena máxima de privación de libertad</w:t>
      </w:r>
      <w:r w:rsidR="00CD0B99" w:rsidRPr="0064597D">
        <w:rPr>
          <w:sz w:val="20"/>
          <w:szCs w:val="20"/>
        </w:rPr>
        <w:t>, no aportó el acervo probatorio necesario para que este Tribunal pudiera comprobar tal afirmación.</w:t>
      </w:r>
      <w:r w:rsidR="00283CC1" w:rsidRPr="0064597D">
        <w:rPr>
          <w:sz w:val="20"/>
          <w:szCs w:val="20"/>
        </w:rPr>
        <w:t xml:space="preserve"> </w:t>
      </w:r>
    </w:p>
    <w:p w14:paraId="5A81847B" w14:textId="77777777" w:rsidR="00CD0B99" w:rsidRPr="0064597D" w:rsidRDefault="00CD0B99" w:rsidP="00CD0B99">
      <w:pPr>
        <w:tabs>
          <w:tab w:val="left" w:pos="567"/>
        </w:tabs>
        <w:spacing w:line="240" w:lineRule="auto"/>
        <w:rPr>
          <w:sz w:val="20"/>
          <w:szCs w:val="20"/>
          <w:lang w:val="es-ES_tradnl"/>
        </w:rPr>
      </w:pPr>
    </w:p>
    <w:p w14:paraId="35C43D0C" w14:textId="07EF3D14" w:rsidR="00CD0B99" w:rsidRPr="0064597D" w:rsidRDefault="00367583" w:rsidP="00367583">
      <w:pPr>
        <w:numPr>
          <w:ilvl w:val="0"/>
          <w:numId w:val="1"/>
        </w:numPr>
        <w:tabs>
          <w:tab w:val="left" w:pos="567"/>
        </w:tabs>
        <w:spacing w:line="240" w:lineRule="auto"/>
        <w:ind w:left="0" w:firstLine="0"/>
        <w:rPr>
          <w:sz w:val="20"/>
          <w:szCs w:val="20"/>
          <w:lang w:val="es-ES_tradnl"/>
        </w:rPr>
      </w:pPr>
      <w:r w:rsidRPr="0064597D">
        <w:rPr>
          <w:sz w:val="20"/>
          <w:szCs w:val="20"/>
        </w:rPr>
        <w:t>Sentado lo anterior</w:t>
      </w:r>
      <w:r w:rsidR="00CD0B99" w:rsidRPr="0064597D">
        <w:rPr>
          <w:sz w:val="20"/>
          <w:szCs w:val="20"/>
        </w:rPr>
        <w:t xml:space="preserve">, la Corte </w:t>
      </w:r>
      <w:r w:rsidRPr="0064597D">
        <w:rPr>
          <w:sz w:val="20"/>
          <w:szCs w:val="20"/>
        </w:rPr>
        <w:t>recuerda que ya</w:t>
      </w:r>
      <w:r w:rsidR="00CD0B99" w:rsidRPr="0064597D">
        <w:rPr>
          <w:sz w:val="20"/>
          <w:szCs w:val="20"/>
        </w:rPr>
        <w:t xml:space="preserve"> se pronunció </w:t>
      </w:r>
      <w:r w:rsidRPr="0064597D">
        <w:rPr>
          <w:sz w:val="20"/>
          <w:szCs w:val="20"/>
        </w:rPr>
        <w:t xml:space="preserve">a este respecto </w:t>
      </w:r>
      <w:r w:rsidR="00CD0B99" w:rsidRPr="0064597D">
        <w:rPr>
          <w:sz w:val="20"/>
          <w:szCs w:val="20"/>
        </w:rPr>
        <w:t xml:space="preserve">en </w:t>
      </w:r>
      <w:r w:rsidR="00283CC1" w:rsidRPr="0064597D">
        <w:rPr>
          <w:sz w:val="20"/>
          <w:szCs w:val="20"/>
        </w:rPr>
        <w:t xml:space="preserve">los casos </w:t>
      </w:r>
      <w:r w:rsidR="00283CC1" w:rsidRPr="0064597D">
        <w:rPr>
          <w:i/>
          <w:iCs/>
          <w:sz w:val="20"/>
          <w:szCs w:val="20"/>
        </w:rPr>
        <w:t>Fermín Ramírez Vs. Guatemala</w:t>
      </w:r>
      <w:r w:rsidR="00283CC1" w:rsidRPr="0064597D">
        <w:rPr>
          <w:sz w:val="20"/>
          <w:szCs w:val="20"/>
        </w:rPr>
        <w:t xml:space="preserve"> y </w:t>
      </w:r>
      <w:r w:rsidRPr="0064597D">
        <w:rPr>
          <w:i/>
          <w:iCs/>
          <w:sz w:val="20"/>
          <w:szCs w:val="20"/>
        </w:rPr>
        <w:t>Raxcacó Reyes Vs. Guatemala</w:t>
      </w:r>
      <w:r w:rsidR="00CD0B99" w:rsidRPr="0064597D">
        <w:rPr>
          <w:sz w:val="20"/>
          <w:szCs w:val="20"/>
        </w:rPr>
        <w:t xml:space="preserve">, </w:t>
      </w:r>
      <w:r w:rsidRPr="0064597D">
        <w:rPr>
          <w:sz w:val="20"/>
          <w:szCs w:val="20"/>
        </w:rPr>
        <w:t>y señaló que</w:t>
      </w:r>
      <w:r w:rsidR="00CD0B99" w:rsidRPr="0064597D">
        <w:rPr>
          <w:sz w:val="20"/>
          <w:szCs w:val="20"/>
        </w:rPr>
        <w:t xml:space="preserve"> el sentido de que la derogación del Decreto No. 159 de 1892</w:t>
      </w:r>
      <w:r w:rsidR="00750705" w:rsidRPr="0064597D">
        <w:rPr>
          <w:sz w:val="20"/>
          <w:szCs w:val="20"/>
        </w:rPr>
        <w:t xml:space="preserve"> (</w:t>
      </w:r>
      <w:r w:rsidR="00750705" w:rsidRPr="0064597D">
        <w:rPr>
          <w:i/>
          <w:sz w:val="20"/>
          <w:szCs w:val="20"/>
        </w:rPr>
        <w:t>supra</w:t>
      </w:r>
      <w:r w:rsidR="00750705" w:rsidRPr="0064597D">
        <w:rPr>
          <w:sz w:val="20"/>
          <w:szCs w:val="20"/>
        </w:rPr>
        <w:t xml:space="preserve"> párr. </w:t>
      </w:r>
      <w:r w:rsidR="00530469" w:rsidRPr="0064597D">
        <w:rPr>
          <w:sz w:val="20"/>
          <w:szCs w:val="20"/>
        </w:rPr>
        <w:t>44</w:t>
      </w:r>
      <w:r w:rsidR="00750705" w:rsidRPr="0064597D">
        <w:rPr>
          <w:sz w:val="20"/>
          <w:szCs w:val="20"/>
        </w:rPr>
        <w:t>)</w:t>
      </w:r>
      <w:r w:rsidR="00CD0B99" w:rsidRPr="0064597D">
        <w:rPr>
          <w:sz w:val="20"/>
          <w:szCs w:val="20"/>
        </w:rPr>
        <w:t xml:space="preserve"> tuvo como consecuencia que se suprimiera la facultad atribuida a un organismo del Estado de conocer y resolver el derecho de gracia estipulado en el artículo 4.6 de la Convención</w:t>
      </w:r>
      <w:r w:rsidR="00CD0B99" w:rsidRPr="0064597D">
        <w:rPr>
          <w:rStyle w:val="Refdenotaalpie"/>
          <w:sz w:val="20"/>
          <w:szCs w:val="20"/>
        </w:rPr>
        <w:footnoteReference w:id="110"/>
      </w:r>
      <w:r w:rsidR="00283CC1" w:rsidRPr="0064597D">
        <w:rPr>
          <w:sz w:val="20"/>
          <w:szCs w:val="20"/>
        </w:rPr>
        <w:t xml:space="preserve">, un derecho que además forma parte del </w:t>
      </w:r>
      <w:r w:rsidR="00283CC1" w:rsidRPr="0064597D">
        <w:rPr>
          <w:i/>
          <w:iCs/>
          <w:sz w:val="20"/>
          <w:szCs w:val="20"/>
        </w:rPr>
        <w:t>corpus juris internacional</w:t>
      </w:r>
      <w:r w:rsidR="00283CC1" w:rsidRPr="0064597D">
        <w:rPr>
          <w:rStyle w:val="Refdenotaalpie"/>
          <w:sz w:val="20"/>
          <w:szCs w:val="20"/>
        </w:rPr>
        <w:footnoteReference w:id="111"/>
      </w:r>
      <w:r w:rsidR="00CD0B99" w:rsidRPr="0064597D">
        <w:rPr>
          <w:sz w:val="20"/>
          <w:szCs w:val="20"/>
        </w:rPr>
        <w:t>. Por ello, la Corte consideró que el Estado incumplió la obligación derivada d</w:t>
      </w:r>
      <w:r w:rsidR="00CD0B99" w:rsidRPr="0064597D">
        <w:rPr>
          <w:bCs/>
          <w:sz w:val="20"/>
          <w:szCs w:val="20"/>
        </w:rPr>
        <w:t>el artículo 4.6 de la Convención, en relación con los artículos 1.1 y 2 de la misma</w:t>
      </w:r>
      <w:r w:rsidR="00CD0B99" w:rsidRPr="0064597D">
        <w:rPr>
          <w:rStyle w:val="Refdenotaalpie"/>
          <w:bCs/>
          <w:sz w:val="20"/>
          <w:szCs w:val="20"/>
        </w:rPr>
        <w:footnoteReference w:id="112"/>
      </w:r>
      <w:r w:rsidR="00CD0B99" w:rsidRPr="0064597D">
        <w:rPr>
          <w:sz w:val="20"/>
          <w:szCs w:val="20"/>
        </w:rPr>
        <w:t>.</w:t>
      </w:r>
      <w:r w:rsidR="00E2284B" w:rsidRPr="0064597D">
        <w:rPr>
          <w:sz w:val="20"/>
          <w:szCs w:val="20"/>
        </w:rPr>
        <w:t xml:space="preserve"> En el presente caso, la Corte concluye en el mismo sentido.</w:t>
      </w:r>
      <w:r w:rsidR="00474207" w:rsidRPr="0064597D">
        <w:rPr>
          <w:sz w:val="20"/>
          <w:szCs w:val="20"/>
        </w:rPr>
        <w:t xml:space="preserve"> </w:t>
      </w:r>
    </w:p>
    <w:p w14:paraId="377DE552" w14:textId="5F22C01B" w:rsidR="00697237" w:rsidRPr="0064597D" w:rsidRDefault="00544B95" w:rsidP="00377181">
      <w:pPr>
        <w:pStyle w:val="Ttulo3"/>
        <w:rPr>
          <w:lang w:eastAsia="en-US"/>
        </w:rPr>
      </w:pPr>
      <w:bookmarkStart w:id="66" w:name="_Toc24014553"/>
      <w:r w:rsidRPr="0064597D">
        <w:t xml:space="preserve">b.3 </w:t>
      </w:r>
      <w:r w:rsidRPr="0064597D">
        <w:tab/>
      </w:r>
      <w:r w:rsidR="00697237" w:rsidRPr="0064597D">
        <w:rPr>
          <w:lang w:eastAsia="en-US"/>
        </w:rPr>
        <w:t>Violación del artículo 2 de la Convención</w:t>
      </w:r>
      <w:r w:rsidR="00A0352F" w:rsidRPr="0064597D">
        <w:rPr>
          <w:lang w:eastAsia="en-US"/>
        </w:rPr>
        <w:t xml:space="preserve"> Americana</w:t>
      </w:r>
      <w:bookmarkEnd w:id="66"/>
    </w:p>
    <w:p w14:paraId="0C0985AF" w14:textId="5B18A8C0" w:rsidR="00CD0B99" w:rsidRPr="0064597D" w:rsidRDefault="00CD0B99" w:rsidP="00CD0B99">
      <w:pPr>
        <w:numPr>
          <w:ilvl w:val="0"/>
          <w:numId w:val="1"/>
        </w:numPr>
        <w:tabs>
          <w:tab w:val="left" w:pos="567"/>
        </w:tabs>
        <w:spacing w:line="240" w:lineRule="auto"/>
        <w:ind w:left="0" w:firstLine="0"/>
        <w:rPr>
          <w:sz w:val="20"/>
          <w:szCs w:val="20"/>
          <w:lang w:val="es-ES_tradnl"/>
        </w:rPr>
      </w:pPr>
      <w:r w:rsidRPr="0064597D">
        <w:rPr>
          <w:rFonts w:cs="Verdana"/>
          <w:sz w:val="20"/>
          <w:szCs w:val="20"/>
        </w:rPr>
        <w:t xml:space="preserve">Con relación a las consideraciones anteriores, la Corte recuerda que el artículo 2 de la Convención Americana </w:t>
      </w:r>
      <w:r w:rsidRPr="0064597D">
        <w:rPr>
          <w:sz w:val="20"/>
          <w:szCs w:val="20"/>
        </w:rPr>
        <w:t>obliga</w:t>
      </w:r>
      <w:r w:rsidRPr="0064597D">
        <w:rPr>
          <w:rFonts w:cs="Verdana"/>
          <w:sz w:val="20"/>
          <w:szCs w:val="20"/>
        </w:rPr>
        <w:t xml:space="preserve"> a los Estados Partes a adoptar, con arreglo a sus procedimientos constitucionales y a las disposiciones de la Convención, las medidas legislativas o de otro carácter que fueren necesarias para hacer efectivos los derechos y libertades protegidos por aquélla. Es necesario reafirmar que la obligación de adaptar la legislación interna sólo se satisface cuando efectivamente se realiza</w:t>
      </w:r>
      <w:r w:rsidR="00682328" w:rsidRPr="0064597D">
        <w:rPr>
          <w:rFonts w:cs="Verdana"/>
          <w:sz w:val="20"/>
          <w:szCs w:val="20"/>
        </w:rPr>
        <w:t>n</w:t>
      </w:r>
      <w:r w:rsidRPr="0064597D">
        <w:rPr>
          <w:rFonts w:cs="Verdana"/>
          <w:sz w:val="20"/>
          <w:szCs w:val="20"/>
        </w:rPr>
        <w:t xml:space="preserve"> las reformas necesarias y adecuadas</w:t>
      </w:r>
      <w:r w:rsidR="00A0352F" w:rsidRPr="0064597D">
        <w:rPr>
          <w:rStyle w:val="Refdenotaalpie"/>
          <w:rFonts w:cs="Verdana"/>
          <w:sz w:val="20"/>
          <w:szCs w:val="20"/>
        </w:rPr>
        <w:footnoteReference w:id="113"/>
      </w:r>
      <w:r w:rsidRPr="0064597D">
        <w:rPr>
          <w:rFonts w:cs="Verdana"/>
          <w:sz w:val="20"/>
          <w:szCs w:val="20"/>
        </w:rPr>
        <w:t xml:space="preserve">. </w:t>
      </w:r>
    </w:p>
    <w:p w14:paraId="645A398D" w14:textId="77777777" w:rsidR="00CD0B99" w:rsidRPr="0064597D" w:rsidRDefault="00CD0B99" w:rsidP="00CD0B99">
      <w:pPr>
        <w:tabs>
          <w:tab w:val="left" w:pos="567"/>
        </w:tabs>
        <w:spacing w:line="240" w:lineRule="auto"/>
        <w:rPr>
          <w:sz w:val="20"/>
          <w:szCs w:val="20"/>
          <w:lang w:val="es-ES_tradnl"/>
        </w:rPr>
      </w:pPr>
    </w:p>
    <w:p w14:paraId="745ED227" w14:textId="78C907E9" w:rsidR="00CD0B99" w:rsidRPr="0064597D" w:rsidRDefault="00CD0B99" w:rsidP="00E2380F">
      <w:pPr>
        <w:numPr>
          <w:ilvl w:val="0"/>
          <w:numId w:val="1"/>
        </w:numPr>
        <w:tabs>
          <w:tab w:val="left" w:pos="567"/>
        </w:tabs>
        <w:spacing w:line="240" w:lineRule="auto"/>
        <w:ind w:left="0" w:firstLine="0"/>
        <w:rPr>
          <w:sz w:val="20"/>
          <w:szCs w:val="20"/>
          <w:lang w:val="es-ES_tradnl"/>
        </w:rPr>
      </w:pPr>
      <w:r w:rsidRPr="0064597D">
        <w:rPr>
          <w:rFonts w:cs="Verdana"/>
          <w:sz w:val="20"/>
          <w:szCs w:val="20"/>
        </w:rPr>
        <w:t>En el pres</w:t>
      </w:r>
      <w:r w:rsidR="00254858" w:rsidRPr="0064597D">
        <w:rPr>
          <w:rFonts w:cs="Verdana"/>
          <w:sz w:val="20"/>
          <w:szCs w:val="20"/>
        </w:rPr>
        <w:t>ente caso, la Corte estima que</w:t>
      </w:r>
      <w:r w:rsidRPr="0064597D">
        <w:rPr>
          <w:rFonts w:cs="Verdana"/>
          <w:sz w:val="20"/>
          <w:szCs w:val="20"/>
        </w:rPr>
        <w:t xml:space="preserve"> se </w:t>
      </w:r>
      <w:r w:rsidR="00ED056E" w:rsidRPr="0064597D">
        <w:rPr>
          <w:rFonts w:cs="Verdana"/>
          <w:sz w:val="20"/>
          <w:szCs w:val="20"/>
        </w:rPr>
        <w:t>incumplió lo establecido en</w:t>
      </w:r>
      <w:r w:rsidRPr="0064597D">
        <w:rPr>
          <w:rFonts w:cs="Verdana"/>
          <w:sz w:val="20"/>
          <w:szCs w:val="20"/>
        </w:rPr>
        <w:t xml:space="preserve"> el artículo 2 de la </w:t>
      </w:r>
      <w:r w:rsidRPr="0064597D">
        <w:rPr>
          <w:rFonts w:cs="Verdana"/>
          <w:sz w:val="20"/>
          <w:szCs w:val="20"/>
        </w:rPr>
        <w:lastRenderedPageBreak/>
        <w:t>Convención</w:t>
      </w:r>
      <w:r w:rsidR="00CE6F17" w:rsidRPr="0064597D">
        <w:rPr>
          <w:rFonts w:cs="Verdana"/>
          <w:sz w:val="20"/>
          <w:szCs w:val="20"/>
        </w:rPr>
        <w:t xml:space="preserve"> pues </w:t>
      </w:r>
      <w:r w:rsidRPr="0064597D">
        <w:rPr>
          <w:rFonts w:cs="Verdana"/>
          <w:sz w:val="20"/>
          <w:szCs w:val="20"/>
        </w:rPr>
        <w:t xml:space="preserve">el artículo 201 del Código Penal guatemalteco, </w:t>
      </w:r>
      <w:r w:rsidR="00254858" w:rsidRPr="0064597D">
        <w:rPr>
          <w:rFonts w:cs="Verdana"/>
          <w:sz w:val="20"/>
          <w:szCs w:val="20"/>
        </w:rPr>
        <w:t>el cual</w:t>
      </w:r>
      <w:r w:rsidRPr="0064597D">
        <w:rPr>
          <w:rFonts w:cs="Verdana"/>
          <w:sz w:val="20"/>
          <w:szCs w:val="20"/>
        </w:rPr>
        <w:t xml:space="preserve"> sanciona</w:t>
      </w:r>
      <w:r w:rsidR="00ED056E" w:rsidRPr="0064597D">
        <w:rPr>
          <w:rFonts w:cs="Verdana"/>
          <w:sz w:val="20"/>
          <w:szCs w:val="20"/>
        </w:rPr>
        <w:t>ba</w:t>
      </w:r>
      <w:r w:rsidRPr="0064597D">
        <w:rPr>
          <w:rFonts w:cs="Verdana"/>
          <w:sz w:val="20"/>
          <w:szCs w:val="20"/>
        </w:rPr>
        <w:t xml:space="preserve"> con pena de muerte obligatoria cualquier forma de plagio o secuestro y amplía el número de delitos sancionados con dicha pena, </w:t>
      </w:r>
      <w:r w:rsidR="00ED056E" w:rsidRPr="0064597D">
        <w:rPr>
          <w:rFonts w:cs="Verdana"/>
          <w:sz w:val="20"/>
          <w:szCs w:val="20"/>
        </w:rPr>
        <w:t>e</w:t>
      </w:r>
      <w:r w:rsidR="00CE6F17" w:rsidRPr="0064597D">
        <w:rPr>
          <w:rFonts w:cs="Verdana"/>
          <w:sz w:val="20"/>
          <w:szCs w:val="20"/>
        </w:rPr>
        <w:t xml:space="preserve">s </w:t>
      </w:r>
      <w:r w:rsidRPr="0064597D">
        <w:rPr>
          <w:rFonts w:cs="Verdana"/>
          <w:sz w:val="20"/>
          <w:szCs w:val="20"/>
        </w:rPr>
        <w:t>violatori</w:t>
      </w:r>
      <w:r w:rsidR="00CE6F17" w:rsidRPr="0064597D">
        <w:rPr>
          <w:rFonts w:cs="Verdana"/>
          <w:sz w:val="20"/>
          <w:szCs w:val="20"/>
        </w:rPr>
        <w:t>o</w:t>
      </w:r>
      <w:r w:rsidRPr="0064597D">
        <w:rPr>
          <w:rFonts w:cs="Verdana"/>
          <w:sz w:val="20"/>
          <w:szCs w:val="20"/>
        </w:rPr>
        <w:t xml:space="preserve"> de </w:t>
      </w:r>
      <w:r w:rsidR="00254858" w:rsidRPr="0064597D">
        <w:rPr>
          <w:rFonts w:cs="Verdana"/>
          <w:sz w:val="20"/>
          <w:szCs w:val="20"/>
        </w:rPr>
        <w:t>dicha</w:t>
      </w:r>
      <w:r w:rsidRPr="0064597D">
        <w:rPr>
          <w:rFonts w:cs="Verdana"/>
          <w:sz w:val="20"/>
          <w:szCs w:val="20"/>
        </w:rPr>
        <w:t xml:space="preserve"> disposición</w:t>
      </w:r>
      <w:r w:rsidRPr="0064597D">
        <w:rPr>
          <w:sz w:val="20"/>
          <w:szCs w:val="20"/>
          <w:lang w:val="es-ES_tradnl"/>
        </w:rPr>
        <w:t xml:space="preserve"> </w:t>
      </w:r>
      <w:r w:rsidRPr="0064597D">
        <w:rPr>
          <w:rFonts w:cs="Verdana"/>
          <w:sz w:val="20"/>
          <w:szCs w:val="20"/>
        </w:rPr>
        <w:t>convencional</w:t>
      </w:r>
      <w:r w:rsidRPr="0064597D">
        <w:rPr>
          <w:rStyle w:val="Refdenotaalpie"/>
          <w:rFonts w:cs="Verdana"/>
          <w:sz w:val="20"/>
          <w:szCs w:val="20"/>
        </w:rPr>
        <w:footnoteReference w:id="114"/>
      </w:r>
      <w:r w:rsidRPr="0064597D">
        <w:rPr>
          <w:rFonts w:cs="Verdana"/>
          <w:sz w:val="20"/>
          <w:szCs w:val="20"/>
        </w:rPr>
        <w:t>.</w:t>
      </w:r>
      <w:r w:rsidR="00E2380F" w:rsidRPr="0064597D">
        <w:rPr>
          <w:sz w:val="20"/>
          <w:szCs w:val="20"/>
          <w:lang w:val="es-ES_tradnl"/>
        </w:rPr>
        <w:t xml:space="preserve"> </w:t>
      </w:r>
      <w:r w:rsidRPr="0064597D">
        <w:rPr>
          <w:rFonts w:cs="Verdana"/>
          <w:sz w:val="20"/>
          <w:szCs w:val="20"/>
        </w:rPr>
        <w:t>Igualmente,</w:t>
      </w:r>
      <w:r w:rsidR="005E3DA0">
        <w:rPr>
          <w:rFonts w:cs="Verdana"/>
          <w:sz w:val="20"/>
          <w:szCs w:val="20"/>
        </w:rPr>
        <w:t xml:space="preserve"> y tal y como se ha señalado previamente (</w:t>
      </w:r>
      <w:r w:rsidR="005E3DA0" w:rsidRPr="005E3DA0">
        <w:rPr>
          <w:rFonts w:cs="Verdana"/>
          <w:i/>
          <w:sz w:val="20"/>
          <w:szCs w:val="20"/>
        </w:rPr>
        <w:t>supra</w:t>
      </w:r>
      <w:r w:rsidR="005E3DA0">
        <w:rPr>
          <w:rFonts w:cs="Verdana"/>
          <w:sz w:val="20"/>
          <w:szCs w:val="20"/>
        </w:rPr>
        <w:t xml:space="preserve"> párr. 91),</w:t>
      </w:r>
      <w:r w:rsidRPr="0064597D">
        <w:rPr>
          <w:rFonts w:cs="Verdana"/>
          <w:sz w:val="20"/>
          <w:szCs w:val="20"/>
        </w:rPr>
        <w:t xml:space="preserve"> la falta de legislación nacional que </w:t>
      </w:r>
      <w:r w:rsidR="00254858" w:rsidRPr="0064597D">
        <w:rPr>
          <w:rFonts w:cs="Verdana"/>
          <w:sz w:val="20"/>
          <w:szCs w:val="20"/>
        </w:rPr>
        <w:t>hiciera</w:t>
      </w:r>
      <w:r w:rsidRPr="0064597D">
        <w:rPr>
          <w:rFonts w:cs="Verdana"/>
          <w:sz w:val="20"/>
          <w:szCs w:val="20"/>
        </w:rPr>
        <w:t xml:space="preserve"> efectivo el derecho a solicitar indulto, amnistía o conmutación de la pena, en los términos del artículo 4.6 de la Convención Americana, constituy</w:t>
      </w:r>
      <w:r w:rsidR="00254858" w:rsidRPr="0064597D">
        <w:rPr>
          <w:rFonts w:cs="Verdana"/>
          <w:sz w:val="20"/>
          <w:szCs w:val="20"/>
        </w:rPr>
        <w:t>ó</w:t>
      </w:r>
      <w:r w:rsidRPr="0064597D">
        <w:rPr>
          <w:rFonts w:cs="Verdana"/>
          <w:sz w:val="20"/>
          <w:szCs w:val="20"/>
        </w:rPr>
        <w:t xml:space="preserve"> un nuevo incumplimiento del artículo 2 de la misma.</w:t>
      </w:r>
    </w:p>
    <w:p w14:paraId="473ECDC3" w14:textId="1DD342FD" w:rsidR="00697237" w:rsidRPr="0064597D" w:rsidRDefault="00544B95" w:rsidP="00377181">
      <w:pPr>
        <w:pStyle w:val="Ttulo3"/>
        <w:rPr>
          <w:lang w:eastAsia="en-US"/>
        </w:rPr>
      </w:pPr>
      <w:bookmarkStart w:id="67" w:name="_Toc24014554"/>
      <w:r w:rsidRPr="0064597D">
        <w:t xml:space="preserve">b.4 </w:t>
      </w:r>
      <w:r w:rsidRPr="0064597D">
        <w:tab/>
      </w:r>
      <w:r w:rsidR="00697237" w:rsidRPr="0064597D">
        <w:rPr>
          <w:lang w:eastAsia="en-US"/>
        </w:rPr>
        <w:t>Conclusión</w:t>
      </w:r>
      <w:bookmarkEnd w:id="67"/>
    </w:p>
    <w:p w14:paraId="7AA08E69" w14:textId="11849020" w:rsidR="00CD0B99" w:rsidRPr="0064597D" w:rsidRDefault="00A95651" w:rsidP="00A95651">
      <w:pPr>
        <w:numPr>
          <w:ilvl w:val="0"/>
          <w:numId w:val="1"/>
        </w:numPr>
        <w:tabs>
          <w:tab w:val="left" w:pos="567"/>
        </w:tabs>
        <w:spacing w:line="240" w:lineRule="auto"/>
        <w:ind w:left="0" w:firstLine="0"/>
        <w:rPr>
          <w:sz w:val="20"/>
          <w:szCs w:val="20"/>
        </w:rPr>
      </w:pPr>
      <w:r w:rsidRPr="0064597D">
        <w:rPr>
          <w:sz w:val="20"/>
          <w:szCs w:val="20"/>
        </w:rPr>
        <w:t xml:space="preserve">En virtud del análisis y las determinaciones realizadas en este capítulo, </w:t>
      </w:r>
      <w:r w:rsidR="00CD0B99" w:rsidRPr="0064597D">
        <w:rPr>
          <w:sz w:val="20"/>
          <w:szCs w:val="20"/>
        </w:rPr>
        <w:t>este Tribunal concluye que el Estado es responsable internacionalmente de la violación de los derechos reconocidos en los artículos 4.2 y 4.6 de la Convención Americana, en relación con los artículos 1.1 y 2 del mismo instrumento, en perjuicio de</w:t>
      </w:r>
      <w:r w:rsidR="00474207" w:rsidRPr="0064597D">
        <w:rPr>
          <w:sz w:val="20"/>
          <w:szCs w:val="20"/>
        </w:rPr>
        <w:t>l señor Hugo Humberto Rui</w:t>
      </w:r>
      <w:r w:rsidR="00CD0B99" w:rsidRPr="0064597D">
        <w:rPr>
          <w:sz w:val="20"/>
          <w:szCs w:val="20"/>
        </w:rPr>
        <w:t xml:space="preserve">z Fuentes. </w:t>
      </w:r>
      <w:r w:rsidR="00E2284B" w:rsidRPr="0064597D">
        <w:rPr>
          <w:sz w:val="20"/>
          <w:szCs w:val="20"/>
        </w:rPr>
        <w:t>Asimismo, el Estado no es responsable por la violación del artículo 4.1 de la Convención Americana, en relación el artículo 1.1 del mismo instrumento.</w:t>
      </w:r>
    </w:p>
    <w:p w14:paraId="7C845856" w14:textId="243242FC" w:rsidR="00F4645B" w:rsidRPr="0064597D" w:rsidRDefault="00832D41" w:rsidP="002F4F08">
      <w:pPr>
        <w:pStyle w:val="Ttulo1"/>
      </w:pPr>
      <w:bookmarkStart w:id="68" w:name="_Toc24014555"/>
      <w:r w:rsidRPr="0064597D">
        <w:t>VII</w:t>
      </w:r>
      <w:r w:rsidR="00EA52BD" w:rsidRPr="0064597D">
        <w:t>I</w:t>
      </w:r>
      <w:r w:rsidRPr="0064597D">
        <w:t>-2</w:t>
      </w:r>
      <w:r w:rsidR="006B597B" w:rsidRPr="0064597D">
        <w:t xml:space="preserve"> </w:t>
      </w:r>
      <w:r w:rsidRPr="0064597D">
        <w:br/>
      </w:r>
      <w:r w:rsidR="00BB0091" w:rsidRPr="0064597D">
        <w:t>DERECHO A LA VIDA</w:t>
      </w:r>
      <w:r w:rsidR="00FE532C" w:rsidRPr="0064597D">
        <w:t>,</w:t>
      </w:r>
      <w:r w:rsidR="00BB0091" w:rsidRPr="0064597D">
        <w:t xml:space="preserve"> CON MOTIVO DE LA MUERTE DEL SEÑOR RUIZ FUENTES</w:t>
      </w:r>
      <w:r w:rsidR="001B7763" w:rsidRPr="0064597D">
        <w:rPr>
          <w:rStyle w:val="Refdenotaalpie"/>
        </w:rPr>
        <w:footnoteReference w:id="115"/>
      </w:r>
      <w:bookmarkEnd w:id="68"/>
      <w:r w:rsidR="00BB0091" w:rsidRPr="0064597D">
        <w:t xml:space="preserve"> </w:t>
      </w:r>
    </w:p>
    <w:p w14:paraId="7C3DE7BB" w14:textId="77777777" w:rsidR="00B373FF" w:rsidRPr="0064597D" w:rsidRDefault="00B373FF" w:rsidP="00377181">
      <w:pPr>
        <w:pStyle w:val="Ttulo2"/>
      </w:pPr>
      <w:bookmarkStart w:id="69" w:name="_Toc24014556"/>
      <w:r w:rsidRPr="0064597D">
        <w:t>A.</w:t>
      </w:r>
      <w:r w:rsidRPr="0064597D">
        <w:tab/>
        <w:t>Argumentos de las partes y de la Comisión</w:t>
      </w:r>
      <w:bookmarkEnd w:id="69"/>
    </w:p>
    <w:p w14:paraId="16029A44" w14:textId="099DF434" w:rsidR="002479A4" w:rsidRPr="0064597D" w:rsidRDefault="00F4645B" w:rsidP="00FD5666">
      <w:pPr>
        <w:numPr>
          <w:ilvl w:val="0"/>
          <w:numId w:val="1"/>
        </w:numPr>
        <w:tabs>
          <w:tab w:val="left" w:pos="567"/>
        </w:tabs>
        <w:spacing w:line="240" w:lineRule="auto"/>
        <w:ind w:left="0" w:firstLine="0"/>
        <w:rPr>
          <w:sz w:val="20"/>
          <w:szCs w:val="20"/>
        </w:rPr>
      </w:pPr>
      <w:r w:rsidRPr="0064597D">
        <w:rPr>
          <w:sz w:val="20"/>
          <w:szCs w:val="20"/>
        </w:rPr>
        <w:t xml:space="preserve">La </w:t>
      </w:r>
      <w:r w:rsidRPr="0064597D">
        <w:rPr>
          <w:b/>
          <w:i/>
          <w:sz w:val="20"/>
          <w:szCs w:val="20"/>
        </w:rPr>
        <w:t>Comisión</w:t>
      </w:r>
      <w:r w:rsidRPr="0064597D">
        <w:rPr>
          <w:sz w:val="20"/>
          <w:szCs w:val="20"/>
        </w:rPr>
        <w:t xml:space="preserve"> sostuvo que </w:t>
      </w:r>
      <w:r w:rsidR="0062451B" w:rsidRPr="0064597D">
        <w:rPr>
          <w:sz w:val="20"/>
          <w:szCs w:val="20"/>
        </w:rPr>
        <w:t xml:space="preserve">el señor Ruiz Fuentes murió violentamente por arma de fuego el 14 de diciembre de 2005, casi dos meses después de su fuga de prisión. </w:t>
      </w:r>
      <w:r w:rsidR="001C45D9" w:rsidRPr="0064597D">
        <w:rPr>
          <w:sz w:val="20"/>
          <w:szCs w:val="20"/>
        </w:rPr>
        <w:t>D</w:t>
      </w:r>
      <w:r w:rsidR="0062451B" w:rsidRPr="0064597D">
        <w:rPr>
          <w:sz w:val="20"/>
          <w:szCs w:val="20"/>
        </w:rPr>
        <w:t>estacó q</w:t>
      </w:r>
      <w:r w:rsidR="00015E97" w:rsidRPr="0064597D">
        <w:rPr>
          <w:sz w:val="20"/>
          <w:szCs w:val="20"/>
        </w:rPr>
        <w:t xml:space="preserve">ue </w:t>
      </w:r>
      <w:r w:rsidR="0062451B" w:rsidRPr="0064597D">
        <w:rPr>
          <w:sz w:val="20"/>
          <w:szCs w:val="20"/>
        </w:rPr>
        <w:t xml:space="preserve">existieron indicios de encubrimiento por parte de agentes estatales. </w:t>
      </w:r>
      <w:r w:rsidR="00CE6F17" w:rsidRPr="0064597D">
        <w:rPr>
          <w:sz w:val="20"/>
          <w:szCs w:val="20"/>
        </w:rPr>
        <w:t>L</w:t>
      </w:r>
      <w:r w:rsidR="00310B1C" w:rsidRPr="0064597D">
        <w:rPr>
          <w:sz w:val="20"/>
          <w:szCs w:val="20"/>
        </w:rPr>
        <w:t>a Comisión observó que</w:t>
      </w:r>
      <w:r w:rsidR="00530469" w:rsidRPr="0064597D">
        <w:rPr>
          <w:sz w:val="20"/>
          <w:szCs w:val="20"/>
        </w:rPr>
        <w:t>:</w:t>
      </w:r>
      <w:r w:rsidR="00310B1C" w:rsidRPr="0064597D">
        <w:rPr>
          <w:sz w:val="20"/>
          <w:szCs w:val="20"/>
        </w:rPr>
        <w:t xml:space="preserve"> (i) en la investigación interna se log</w:t>
      </w:r>
      <w:r w:rsidR="002961B3" w:rsidRPr="0064597D">
        <w:rPr>
          <w:sz w:val="20"/>
          <w:szCs w:val="20"/>
        </w:rPr>
        <w:t>r</w:t>
      </w:r>
      <w:r w:rsidR="00310B1C" w:rsidRPr="0064597D">
        <w:rPr>
          <w:sz w:val="20"/>
          <w:szCs w:val="20"/>
        </w:rPr>
        <w:t xml:space="preserve">ó identificar que el arma que supuestamente empuñaba el señor Ruiz Fuentes </w:t>
      </w:r>
      <w:r w:rsidR="001C45D9" w:rsidRPr="0064597D">
        <w:rPr>
          <w:sz w:val="20"/>
          <w:szCs w:val="20"/>
        </w:rPr>
        <w:t>pertenecía</w:t>
      </w:r>
      <w:r w:rsidR="00310B1C" w:rsidRPr="0064597D">
        <w:rPr>
          <w:sz w:val="20"/>
          <w:szCs w:val="20"/>
        </w:rPr>
        <w:t xml:space="preserve"> al </w:t>
      </w:r>
      <w:r w:rsidR="001C45D9" w:rsidRPr="0064597D">
        <w:rPr>
          <w:sz w:val="20"/>
          <w:szCs w:val="20"/>
        </w:rPr>
        <w:t>Ministerio</w:t>
      </w:r>
      <w:r w:rsidR="00310B1C" w:rsidRPr="0064597D">
        <w:rPr>
          <w:sz w:val="20"/>
          <w:szCs w:val="20"/>
        </w:rPr>
        <w:t xml:space="preserve"> de Gobernación y, específicamente, a un oficial que </w:t>
      </w:r>
      <w:r w:rsidR="001C45D9" w:rsidRPr="0064597D">
        <w:rPr>
          <w:sz w:val="20"/>
          <w:szCs w:val="20"/>
        </w:rPr>
        <w:t>indicó</w:t>
      </w:r>
      <w:r w:rsidR="00310B1C" w:rsidRPr="0064597D">
        <w:rPr>
          <w:sz w:val="20"/>
          <w:szCs w:val="20"/>
        </w:rPr>
        <w:t xml:space="preserve"> que perdió el arma de fuego, pero que no lo reportó; (ii) la investigación administrativa sobre lo anterior no produjo ningún resultado, y (iii) no consta</w:t>
      </w:r>
      <w:r w:rsidR="00083381" w:rsidRPr="0064597D">
        <w:rPr>
          <w:sz w:val="20"/>
          <w:szCs w:val="20"/>
        </w:rPr>
        <w:t>ba</w:t>
      </w:r>
      <w:r w:rsidR="00310B1C" w:rsidRPr="0064597D">
        <w:rPr>
          <w:sz w:val="20"/>
          <w:szCs w:val="20"/>
        </w:rPr>
        <w:t xml:space="preserve"> que el Estado hubiese realizado peritajes a fin de demostrar que la persona que detonó el arma de fuego fue el señor Ruiz Fuentes. Además, señaló que las pruebas técnicas indicaron que el disparo que recibió el señor Ruiz Fuentes en el ojo derecho poseía tatuaje </w:t>
      </w:r>
      <w:r w:rsidR="001C45D9" w:rsidRPr="0064597D">
        <w:rPr>
          <w:sz w:val="20"/>
          <w:szCs w:val="20"/>
        </w:rPr>
        <w:t>alrededor</w:t>
      </w:r>
      <w:r w:rsidR="00310B1C" w:rsidRPr="0064597D">
        <w:rPr>
          <w:sz w:val="20"/>
          <w:szCs w:val="20"/>
        </w:rPr>
        <w:t>, lo cual indica que fue efectuado a muy corta distancia. Lo anterior, según la Comisión</w:t>
      </w:r>
      <w:r w:rsidR="002479A4" w:rsidRPr="0064597D">
        <w:rPr>
          <w:sz w:val="20"/>
          <w:szCs w:val="20"/>
        </w:rPr>
        <w:t>,</w:t>
      </w:r>
      <w:r w:rsidR="00310B1C" w:rsidRPr="0064597D">
        <w:rPr>
          <w:sz w:val="20"/>
          <w:szCs w:val="20"/>
        </w:rPr>
        <w:t xml:space="preserve"> sería un indicio más de que no hubo </w:t>
      </w:r>
      <w:r w:rsidR="001C45D9" w:rsidRPr="0064597D">
        <w:rPr>
          <w:sz w:val="20"/>
          <w:szCs w:val="20"/>
        </w:rPr>
        <w:t>ningún</w:t>
      </w:r>
      <w:r w:rsidR="00310B1C" w:rsidRPr="0064597D">
        <w:rPr>
          <w:sz w:val="20"/>
          <w:szCs w:val="20"/>
        </w:rPr>
        <w:t xml:space="preserve"> enfrentamiento. </w:t>
      </w:r>
      <w:r w:rsidR="00871767" w:rsidRPr="0064597D">
        <w:rPr>
          <w:sz w:val="20"/>
          <w:szCs w:val="20"/>
        </w:rPr>
        <w:t xml:space="preserve">La Comisión añadió que el Estado presentó </w:t>
      </w:r>
      <w:r w:rsidR="00775972" w:rsidRPr="0064597D">
        <w:rPr>
          <w:sz w:val="20"/>
          <w:szCs w:val="20"/>
        </w:rPr>
        <w:t>posiciones</w:t>
      </w:r>
      <w:r w:rsidR="00871767" w:rsidRPr="0064597D">
        <w:rPr>
          <w:sz w:val="20"/>
          <w:szCs w:val="20"/>
        </w:rPr>
        <w:t xml:space="preserve"> contradictorias en el trámite del caso ante el Sistema Interamericano, así como en el proceso a nivel interno respecto de la muerte del señor Ruiz Fuentes.</w:t>
      </w:r>
      <w:r w:rsidR="00871767" w:rsidRPr="0064597D">
        <w:rPr>
          <w:b/>
          <w:bCs/>
          <w:sz w:val="20"/>
          <w:szCs w:val="20"/>
        </w:rPr>
        <w:t xml:space="preserve"> </w:t>
      </w:r>
      <w:r w:rsidR="002479A4" w:rsidRPr="0064597D">
        <w:rPr>
          <w:sz w:val="20"/>
          <w:szCs w:val="20"/>
        </w:rPr>
        <w:t>Además</w:t>
      </w:r>
      <w:r w:rsidRPr="0064597D">
        <w:rPr>
          <w:sz w:val="20"/>
          <w:szCs w:val="20"/>
        </w:rPr>
        <w:t xml:space="preserve">, la Comisión resaltó que </w:t>
      </w:r>
      <w:r w:rsidR="0062451B" w:rsidRPr="0064597D">
        <w:rPr>
          <w:sz w:val="20"/>
          <w:szCs w:val="20"/>
        </w:rPr>
        <w:t>en el marco de la ejecución del “Plan Gavilán” murieron siete prófugos</w:t>
      </w:r>
      <w:r w:rsidR="002479A4" w:rsidRPr="0064597D">
        <w:rPr>
          <w:sz w:val="20"/>
          <w:szCs w:val="20"/>
        </w:rPr>
        <w:t>, y que a nivel interno se había</w:t>
      </w:r>
      <w:r w:rsidR="0062451B" w:rsidRPr="0064597D">
        <w:rPr>
          <w:sz w:val="20"/>
          <w:szCs w:val="20"/>
        </w:rPr>
        <w:t xml:space="preserve"> condenado a varios agentes estatales por cometer ejecuciones extrajudiciales en el marco del referido plan</w:t>
      </w:r>
      <w:r w:rsidR="000E3A01" w:rsidRPr="0064597D">
        <w:rPr>
          <w:sz w:val="20"/>
          <w:szCs w:val="20"/>
        </w:rPr>
        <w:t xml:space="preserve">. </w:t>
      </w:r>
      <w:r w:rsidR="00083381" w:rsidRPr="0064597D">
        <w:rPr>
          <w:bCs/>
          <w:sz w:val="20"/>
          <w:szCs w:val="20"/>
        </w:rPr>
        <w:t>En vista de lo anterior, l</w:t>
      </w:r>
      <w:r w:rsidR="002479A4" w:rsidRPr="0064597D">
        <w:rPr>
          <w:sz w:val="20"/>
          <w:szCs w:val="20"/>
        </w:rPr>
        <w:t>a Comisión concluyó que el señor Ruiz Fuentes fue ejec</w:t>
      </w:r>
      <w:r w:rsidR="00FC45EE" w:rsidRPr="0064597D">
        <w:rPr>
          <w:sz w:val="20"/>
          <w:szCs w:val="20"/>
        </w:rPr>
        <w:t>ut</w:t>
      </w:r>
      <w:r w:rsidR="002479A4" w:rsidRPr="0064597D">
        <w:rPr>
          <w:sz w:val="20"/>
          <w:szCs w:val="20"/>
        </w:rPr>
        <w:t>ado extrajudicialmente y, por lo tanto, Guatemala violó el artículo 4.1 de la Convención Americana en relación con el artículo 1.1 del mismo instrumento.</w:t>
      </w:r>
      <w:r w:rsidR="00FC45EE" w:rsidRPr="0064597D">
        <w:rPr>
          <w:sz w:val="20"/>
          <w:szCs w:val="20"/>
        </w:rPr>
        <w:t xml:space="preserve"> </w:t>
      </w:r>
    </w:p>
    <w:p w14:paraId="3CBA821B" w14:textId="77777777" w:rsidR="00377181" w:rsidRPr="0064597D" w:rsidRDefault="00377181" w:rsidP="00377181">
      <w:pPr>
        <w:tabs>
          <w:tab w:val="left" w:pos="567"/>
        </w:tabs>
        <w:spacing w:line="240" w:lineRule="auto"/>
        <w:rPr>
          <w:sz w:val="20"/>
          <w:szCs w:val="20"/>
        </w:rPr>
      </w:pPr>
    </w:p>
    <w:p w14:paraId="7DD09E1C" w14:textId="3BBF0578" w:rsidR="008F20E2" w:rsidRPr="0064597D" w:rsidRDefault="002269FD" w:rsidP="00BD07EE">
      <w:pPr>
        <w:numPr>
          <w:ilvl w:val="0"/>
          <w:numId w:val="1"/>
        </w:numPr>
        <w:tabs>
          <w:tab w:val="left" w:pos="567"/>
        </w:tabs>
        <w:autoSpaceDE w:val="0"/>
        <w:autoSpaceDN w:val="0"/>
        <w:spacing w:line="240" w:lineRule="auto"/>
        <w:ind w:left="0" w:firstLine="0"/>
        <w:rPr>
          <w:b/>
          <w:sz w:val="20"/>
          <w:szCs w:val="20"/>
        </w:rPr>
      </w:pPr>
      <w:r w:rsidRPr="0064597D">
        <w:rPr>
          <w:sz w:val="20"/>
          <w:szCs w:val="20"/>
        </w:rPr>
        <w:t xml:space="preserve">Las </w:t>
      </w:r>
      <w:r w:rsidRPr="0064597D">
        <w:rPr>
          <w:b/>
          <w:i/>
          <w:sz w:val="20"/>
          <w:szCs w:val="20"/>
        </w:rPr>
        <w:t>representantes</w:t>
      </w:r>
      <w:r w:rsidR="00F4645B" w:rsidRPr="0064597D">
        <w:rPr>
          <w:sz w:val="20"/>
          <w:szCs w:val="20"/>
        </w:rPr>
        <w:t xml:space="preserve"> </w:t>
      </w:r>
      <w:r w:rsidR="002961B3" w:rsidRPr="0064597D">
        <w:rPr>
          <w:sz w:val="20"/>
          <w:szCs w:val="20"/>
        </w:rPr>
        <w:t>i</w:t>
      </w:r>
      <w:r w:rsidR="00083381" w:rsidRPr="0064597D">
        <w:rPr>
          <w:sz w:val="20"/>
          <w:szCs w:val="20"/>
        </w:rPr>
        <w:t>ndicaron,</w:t>
      </w:r>
      <w:r w:rsidR="00F4645B" w:rsidRPr="0064597D">
        <w:rPr>
          <w:sz w:val="20"/>
          <w:szCs w:val="20"/>
        </w:rPr>
        <w:t xml:space="preserve"> </w:t>
      </w:r>
      <w:r w:rsidR="00BD07EE" w:rsidRPr="0064597D">
        <w:rPr>
          <w:sz w:val="20"/>
          <w:szCs w:val="20"/>
        </w:rPr>
        <w:t>al igual que la Comisión</w:t>
      </w:r>
      <w:r w:rsidR="00083381" w:rsidRPr="0064597D">
        <w:rPr>
          <w:sz w:val="20"/>
          <w:szCs w:val="20"/>
        </w:rPr>
        <w:t>,</w:t>
      </w:r>
      <w:r w:rsidR="00BD07EE" w:rsidRPr="0064597D">
        <w:rPr>
          <w:sz w:val="20"/>
          <w:szCs w:val="20"/>
        </w:rPr>
        <w:t xml:space="preserve"> que </w:t>
      </w:r>
      <w:r w:rsidR="004A5BAE" w:rsidRPr="0064597D">
        <w:rPr>
          <w:sz w:val="20"/>
          <w:szCs w:val="20"/>
        </w:rPr>
        <w:t>el Estado dio versiones contradictorias sobre la muerte del señor Ruiz Fuentes.</w:t>
      </w:r>
      <w:r w:rsidR="00F50946" w:rsidRPr="0064597D">
        <w:rPr>
          <w:sz w:val="20"/>
          <w:szCs w:val="20"/>
        </w:rPr>
        <w:t xml:space="preserve"> </w:t>
      </w:r>
      <w:r w:rsidR="00BD07EE" w:rsidRPr="0064597D">
        <w:rPr>
          <w:bCs/>
          <w:sz w:val="20"/>
          <w:szCs w:val="20"/>
        </w:rPr>
        <w:t>Además</w:t>
      </w:r>
      <w:r w:rsidR="00BD07EE" w:rsidRPr="0064597D">
        <w:rPr>
          <w:b/>
          <w:bCs/>
          <w:sz w:val="20"/>
          <w:szCs w:val="20"/>
        </w:rPr>
        <w:t xml:space="preserve"> </w:t>
      </w:r>
      <w:r w:rsidR="00083381" w:rsidRPr="0064597D">
        <w:rPr>
          <w:sz w:val="20"/>
          <w:szCs w:val="20"/>
        </w:rPr>
        <w:t>señalaron</w:t>
      </w:r>
      <w:r w:rsidR="002F6FF1" w:rsidRPr="0064597D">
        <w:rPr>
          <w:sz w:val="20"/>
          <w:szCs w:val="20"/>
        </w:rPr>
        <w:t xml:space="preserve"> que, según los hallazgos de la autopsia y del peritaje realizado a partir de esta ninguno de los dos disparos </w:t>
      </w:r>
      <w:r w:rsidR="00BD07EE" w:rsidRPr="0064597D">
        <w:rPr>
          <w:sz w:val="20"/>
          <w:szCs w:val="20"/>
        </w:rPr>
        <w:t xml:space="preserve">recibidos por la víctima </w:t>
      </w:r>
      <w:r w:rsidR="002F6FF1" w:rsidRPr="0064597D">
        <w:rPr>
          <w:sz w:val="20"/>
          <w:szCs w:val="20"/>
        </w:rPr>
        <w:t>fue realizado con el fin de captura</w:t>
      </w:r>
      <w:r w:rsidR="00BD07EE" w:rsidRPr="0064597D">
        <w:rPr>
          <w:sz w:val="20"/>
          <w:szCs w:val="20"/>
        </w:rPr>
        <w:t xml:space="preserve">rla </w:t>
      </w:r>
      <w:r w:rsidR="002F6FF1" w:rsidRPr="0064597D">
        <w:rPr>
          <w:sz w:val="20"/>
          <w:szCs w:val="20"/>
        </w:rPr>
        <w:t xml:space="preserve">o repeler una amenaza. Por otra parte, </w:t>
      </w:r>
      <w:r w:rsidRPr="0064597D">
        <w:rPr>
          <w:sz w:val="20"/>
          <w:szCs w:val="20"/>
        </w:rPr>
        <w:t>las representantes</w:t>
      </w:r>
      <w:r w:rsidR="002F6FF1" w:rsidRPr="0064597D">
        <w:rPr>
          <w:sz w:val="20"/>
          <w:szCs w:val="20"/>
        </w:rPr>
        <w:t xml:space="preserve"> alegaron que, tal y como señalaba un peritaje médico legal de 3 de junio de 2008</w:t>
      </w:r>
      <w:r w:rsidR="002F6FF1" w:rsidRPr="0064597D">
        <w:rPr>
          <w:rStyle w:val="Refdenotaalpie"/>
          <w:sz w:val="20"/>
          <w:szCs w:val="20"/>
        </w:rPr>
        <w:footnoteReference w:id="116"/>
      </w:r>
      <w:r w:rsidR="002F6FF1" w:rsidRPr="0064597D">
        <w:rPr>
          <w:sz w:val="20"/>
          <w:szCs w:val="20"/>
        </w:rPr>
        <w:t xml:space="preserve">, la escena del crimen fue alterada deliberadamente y el cuerpo del señor Ruiz Fuentes fue cambiado de su posición original. Con respecto al arma encontrada en la mano derecha del señor Ruiz Fuentes, especificaron que, en vista de lo indicado en el referido peritaje, era “muy difícil, o casi imposible” que el señor Ruiz Fuente pudiera </w:t>
      </w:r>
      <w:r w:rsidR="001C45D9" w:rsidRPr="0064597D">
        <w:rPr>
          <w:sz w:val="20"/>
          <w:szCs w:val="20"/>
        </w:rPr>
        <w:t>sostener</w:t>
      </w:r>
      <w:r w:rsidR="002F6FF1" w:rsidRPr="0064597D">
        <w:rPr>
          <w:sz w:val="20"/>
          <w:szCs w:val="20"/>
        </w:rPr>
        <w:t xml:space="preserve"> un arma. </w:t>
      </w:r>
      <w:r w:rsidRPr="0064597D">
        <w:rPr>
          <w:sz w:val="20"/>
          <w:szCs w:val="20"/>
        </w:rPr>
        <w:t>Las representantes</w:t>
      </w:r>
      <w:r w:rsidR="008F20E2" w:rsidRPr="0064597D">
        <w:rPr>
          <w:sz w:val="20"/>
          <w:szCs w:val="20"/>
        </w:rPr>
        <w:t xml:space="preserve"> señalaron ademá</w:t>
      </w:r>
      <w:r w:rsidR="002F6FF1" w:rsidRPr="0064597D">
        <w:rPr>
          <w:sz w:val="20"/>
          <w:szCs w:val="20"/>
        </w:rPr>
        <w:t xml:space="preserve">s que el </w:t>
      </w:r>
      <w:r w:rsidR="002F6FF1" w:rsidRPr="0064597D">
        <w:rPr>
          <w:sz w:val="20"/>
          <w:szCs w:val="20"/>
        </w:rPr>
        <w:lastRenderedPageBreak/>
        <w:t xml:space="preserve">arma hallada en la mano del señor Ruiz Fuentes era propiedad del Ministerio de Gobernación, sin que existiera ninguna explicación que justificara el </w:t>
      </w:r>
      <w:r w:rsidR="001C45D9" w:rsidRPr="0064597D">
        <w:rPr>
          <w:sz w:val="20"/>
          <w:szCs w:val="20"/>
        </w:rPr>
        <w:t>hallazgo</w:t>
      </w:r>
      <w:r w:rsidR="002F6FF1" w:rsidRPr="0064597D">
        <w:rPr>
          <w:sz w:val="20"/>
          <w:szCs w:val="20"/>
        </w:rPr>
        <w:t xml:space="preserve"> en manos del señor Ruiz Fuentes.</w:t>
      </w:r>
      <w:r w:rsidR="00AE5FE1" w:rsidRPr="0064597D">
        <w:rPr>
          <w:b/>
          <w:bCs/>
          <w:sz w:val="20"/>
          <w:szCs w:val="20"/>
        </w:rPr>
        <w:t xml:space="preserve"> </w:t>
      </w:r>
    </w:p>
    <w:p w14:paraId="474E90CE" w14:textId="77777777" w:rsidR="008F20E2" w:rsidRPr="0064597D" w:rsidRDefault="008F20E2" w:rsidP="008F20E2">
      <w:pPr>
        <w:tabs>
          <w:tab w:val="left" w:pos="567"/>
        </w:tabs>
        <w:autoSpaceDE w:val="0"/>
        <w:autoSpaceDN w:val="0"/>
        <w:spacing w:line="240" w:lineRule="auto"/>
        <w:rPr>
          <w:b/>
          <w:sz w:val="20"/>
          <w:szCs w:val="20"/>
        </w:rPr>
      </w:pPr>
    </w:p>
    <w:p w14:paraId="485264C7" w14:textId="2A41A576" w:rsidR="008E34C5" w:rsidRPr="0064597D" w:rsidRDefault="00F4645B" w:rsidP="004D7AD4">
      <w:pPr>
        <w:numPr>
          <w:ilvl w:val="0"/>
          <w:numId w:val="1"/>
        </w:numPr>
        <w:tabs>
          <w:tab w:val="left" w:pos="567"/>
        </w:tabs>
        <w:spacing w:line="240" w:lineRule="auto"/>
        <w:ind w:left="0" w:firstLine="0"/>
        <w:rPr>
          <w:sz w:val="20"/>
          <w:szCs w:val="20"/>
        </w:rPr>
      </w:pPr>
      <w:r w:rsidRPr="0064597D">
        <w:rPr>
          <w:sz w:val="20"/>
          <w:szCs w:val="20"/>
        </w:rPr>
        <w:t xml:space="preserve">El </w:t>
      </w:r>
      <w:r w:rsidRPr="0064597D">
        <w:rPr>
          <w:b/>
          <w:i/>
          <w:sz w:val="20"/>
          <w:szCs w:val="20"/>
        </w:rPr>
        <w:t>Estado</w:t>
      </w:r>
      <w:r w:rsidRPr="0064597D">
        <w:rPr>
          <w:sz w:val="20"/>
          <w:szCs w:val="20"/>
        </w:rPr>
        <w:t xml:space="preserve"> </w:t>
      </w:r>
      <w:r w:rsidR="00975B71" w:rsidRPr="0064597D">
        <w:rPr>
          <w:sz w:val="20"/>
          <w:szCs w:val="20"/>
        </w:rPr>
        <w:t>rechazó la atribución de responsabilidad por la muerte del señor Ruiz Fuentes, indicando que en ningún momento se han presentado pruebas fehacientes que permitan concluir tal aseveración. Añadió que eran simples presunciones carentes de elementos fácticos</w:t>
      </w:r>
      <w:r w:rsidR="00C87578" w:rsidRPr="0064597D">
        <w:rPr>
          <w:sz w:val="20"/>
          <w:szCs w:val="20"/>
        </w:rPr>
        <w:t xml:space="preserve"> y que ni la Comisión ni </w:t>
      </w:r>
      <w:r w:rsidR="002269FD" w:rsidRPr="0064597D">
        <w:rPr>
          <w:sz w:val="20"/>
          <w:szCs w:val="20"/>
        </w:rPr>
        <w:t>las representantes</w:t>
      </w:r>
      <w:r w:rsidR="00C87578" w:rsidRPr="0064597D">
        <w:rPr>
          <w:sz w:val="20"/>
          <w:szCs w:val="20"/>
        </w:rPr>
        <w:t xml:space="preserve"> de las presuntas víctimas podían probar que existió una acción intencional para privarle el derecho a la vida del señor Ruiz Fuentes</w:t>
      </w:r>
      <w:r w:rsidR="00975B71" w:rsidRPr="0064597D">
        <w:rPr>
          <w:sz w:val="20"/>
          <w:szCs w:val="20"/>
        </w:rPr>
        <w:t xml:space="preserve">. </w:t>
      </w:r>
    </w:p>
    <w:p w14:paraId="1BF0FD36" w14:textId="77777777" w:rsidR="008E34C5" w:rsidRPr="0064597D" w:rsidRDefault="008E34C5" w:rsidP="008E34C5">
      <w:pPr>
        <w:tabs>
          <w:tab w:val="left" w:pos="567"/>
        </w:tabs>
        <w:spacing w:line="240" w:lineRule="auto"/>
        <w:rPr>
          <w:sz w:val="20"/>
          <w:szCs w:val="20"/>
        </w:rPr>
      </w:pPr>
    </w:p>
    <w:p w14:paraId="072ECF12" w14:textId="2118E886" w:rsidR="008E34C5" w:rsidRPr="0064597D" w:rsidRDefault="008E34C5" w:rsidP="004D7AD4">
      <w:pPr>
        <w:numPr>
          <w:ilvl w:val="0"/>
          <w:numId w:val="1"/>
        </w:numPr>
        <w:tabs>
          <w:tab w:val="left" w:pos="567"/>
        </w:tabs>
        <w:spacing w:line="240" w:lineRule="auto"/>
        <w:ind w:left="0" w:firstLine="0"/>
        <w:rPr>
          <w:sz w:val="20"/>
          <w:szCs w:val="20"/>
        </w:rPr>
      </w:pPr>
      <w:r w:rsidRPr="0064597D">
        <w:rPr>
          <w:sz w:val="20"/>
          <w:szCs w:val="20"/>
        </w:rPr>
        <w:t>Por otro lado, el Estado indicó que el “Plan Gavilán”</w:t>
      </w:r>
      <w:r w:rsidR="004C6958" w:rsidRPr="0064597D">
        <w:rPr>
          <w:sz w:val="20"/>
          <w:szCs w:val="20"/>
        </w:rPr>
        <w:t xml:space="preserve"> (u “Operación Gavilán”)</w:t>
      </w:r>
      <w:r w:rsidRPr="0064597D">
        <w:rPr>
          <w:sz w:val="20"/>
          <w:szCs w:val="20"/>
        </w:rPr>
        <w:t xml:space="preserve"> fue diseñado exclusivamente para la recaptura de las personas fugadas </w:t>
      </w:r>
      <w:r w:rsidR="004C6958" w:rsidRPr="0064597D">
        <w:rPr>
          <w:sz w:val="20"/>
          <w:szCs w:val="20"/>
        </w:rPr>
        <w:t>del centro de privación de libertad de alta seguridad</w:t>
      </w:r>
      <w:r w:rsidRPr="0064597D">
        <w:rPr>
          <w:sz w:val="20"/>
          <w:szCs w:val="20"/>
        </w:rPr>
        <w:t xml:space="preserve"> “El Infiernito” y tenía contemplado todo un proceso de garantías y respecto a los derechos humanos consagrados tanto en la legislación interna como internacional.</w:t>
      </w:r>
      <w:r w:rsidR="000E3A01" w:rsidRPr="0064597D">
        <w:rPr>
          <w:b/>
          <w:sz w:val="20"/>
          <w:szCs w:val="20"/>
        </w:rPr>
        <w:t xml:space="preserve"> </w:t>
      </w:r>
      <w:r w:rsidR="004C6958" w:rsidRPr="0064597D">
        <w:rPr>
          <w:sz w:val="20"/>
          <w:szCs w:val="20"/>
        </w:rPr>
        <w:t>El Estado negó que dicho plan hubiese sido creado con el objetivo de matar a ningún prófugo.</w:t>
      </w:r>
      <w:r w:rsidR="004C6958" w:rsidRPr="0064597D">
        <w:rPr>
          <w:b/>
          <w:sz w:val="20"/>
          <w:szCs w:val="20"/>
        </w:rPr>
        <w:t xml:space="preserve"> </w:t>
      </w:r>
    </w:p>
    <w:p w14:paraId="29CA9FD6" w14:textId="77777777" w:rsidR="008E34C5" w:rsidRPr="0064597D" w:rsidRDefault="008E34C5" w:rsidP="008E34C5">
      <w:pPr>
        <w:tabs>
          <w:tab w:val="left" w:pos="567"/>
        </w:tabs>
        <w:spacing w:line="240" w:lineRule="auto"/>
        <w:rPr>
          <w:sz w:val="20"/>
          <w:szCs w:val="20"/>
        </w:rPr>
      </w:pPr>
    </w:p>
    <w:p w14:paraId="6919DB21" w14:textId="70891028" w:rsidR="00C82272" w:rsidRPr="0064597D" w:rsidRDefault="005326E7" w:rsidP="008C5E83">
      <w:pPr>
        <w:numPr>
          <w:ilvl w:val="0"/>
          <w:numId w:val="1"/>
        </w:numPr>
        <w:tabs>
          <w:tab w:val="left" w:pos="567"/>
        </w:tabs>
        <w:spacing w:line="240" w:lineRule="auto"/>
        <w:ind w:left="0" w:firstLine="0"/>
        <w:rPr>
          <w:sz w:val="20"/>
          <w:szCs w:val="20"/>
        </w:rPr>
      </w:pPr>
      <w:r w:rsidRPr="0064597D">
        <w:rPr>
          <w:sz w:val="20"/>
          <w:szCs w:val="20"/>
        </w:rPr>
        <w:t>Asimismo, e</w:t>
      </w:r>
      <w:r w:rsidR="00C82272" w:rsidRPr="0064597D">
        <w:rPr>
          <w:sz w:val="20"/>
          <w:szCs w:val="20"/>
        </w:rPr>
        <w:t xml:space="preserve">n la audiencia pública el Estado alegó </w:t>
      </w:r>
      <w:r w:rsidR="008C5E83" w:rsidRPr="0064597D">
        <w:rPr>
          <w:sz w:val="20"/>
          <w:szCs w:val="20"/>
        </w:rPr>
        <w:t>que no discutía el hecho de que el señor Ruiz Fuentes murió en forma violenta, si bien dicha muerte no había sido resuelta en el foro interno y, por tanto, no era jurídicamente viable hacer una tipificación de un delito únicamente en base a “afirmaciones de contexto y conjeturas derivadas de los informes presentados por la Comisión y la representación de los peticionarios”</w:t>
      </w:r>
      <w:r w:rsidR="00C82272" w:rsidRPr="0064597D">
        <w:rPr>
          <w:sz w:val="20"/>
          <w:szCs w:val="20"/>
        </w:rPr>
        <w:t>.</w:t>
      </w:r>
      <w:r w:rsidR="0006358C" w:rsidRPr="0064597D">
        <w:rPr>
          <w:sz w:val="20"/>
          <w:szCs w:val="20"/>
        </w:rPr>
        <w:t xml:space="preserve"> </w:t>
      </w:r>
    </w:p>
    <w:p w14:paraId="175C5632" w14:textId="195D2C14" w:rsidR="00BB0091" w:rsidRPr="0064597D" w:rsidRDefault="00BB0091" w:rsidP="00377181">
      <w:pPr>
        <w:pStyle w:val="Ttulo2"/>
      </w:pPr>
      <w:bookmarkStart w:id="70" w:name="_Toc24014557"/>
      <w:r w:rsidRPr="0064597D">
        <w:t>B.</w:t>
      </w:r>
      <w:r w:rsidRPr="0064597D">
        <w:tab/>
        <w:t>Consideraciones de la Corte</w:t>
      </w:r>
      <w:bookmarkEnd w:id="70"/>
    </w:p>
    <w:p w14:paraId="5A331AE4" w14:textId="697542DB" w:rsidR="002A0F50" w:rsidRPr="0064597D" w:rsidRDefault="002A0F50" w:rsidP="00BD07EE">
      <w:pPr>
        <w:numPr>
          <w:ilvl w:val="0"/>
          <w:numId w:val="1"/>
        </w:numPr>
        <w:tabs>
          <w:tab w:val="left" w:pos="567"/>
        </w:tabs>
        <w:spacing w:line="240" w:lineRule="auto"/>
        <w:ind w:left="0" w:firstLine="0"/>
        <w:rPr>
          <w:rFonts w:eastAsia="Times" w:cs="Arial"/>
          <w:sz w:val="20"/>
          <w:szCs w:val="20"/>
        </w:rPr>
      </w:pPr>
      <w:r w:rsidRPr="0064597D">
        <w:rPr>
          <w:rFonts w:eastAsiaTheme="minorHAnsi" w:cs="Arial"/>
          <w:spacing w:val="-2"/>
          <w:sz w:val="20"/>
          <w:szCs w:val="20"/>
        </w:rPr>
        <w:t xml:space="preserve">Este Tribunal ha establecido que </w:t>
      </w:r>
      <w:r w:rsidR="00BD07EE" w:rsidRPr="0064597D">
        <w:rPr>
          <w:rFonts w:eastAsiaTheme="minorHAnsi" w:cs="Arial"/>
          <w:spacing w:val="-2"/>
          <w:sz w:val="20"/>
          <w:szCs w:val="20"/>
        </w:rPr>
        <w:t>l</w:t>
      </w:r>
      <w:r w:rsidRPr="0064597D">
        <w:rPr>
          <w:rFonts w:cs="Arial"/>
          <w:sz w:val="20"/>
          <w:szCs w:val="20"/>
        </w:rPr>
        <w:t xml:space="preserve">a observancia del artículo 4, relacionado con el artículo 1.1 de la Convención Americana, no </w:t>
      </w:r>
      <w:r w:rsidRPr="0064597D">
        <w:rPr>
          <w:rFonts w:eastAsiaTheme="minorHAnsi" w:cs="Arial"/>
          <w:sz w:val="20"/>
          <w:szCs w:val="20"/>
        </w:rPr>
        <w:t>sólo</w:t>
      </w:r>
      <w:r w:rsidRPr="0064597D">
        <w:rPr>
          <w:rFonts w:cs="Arial"/>
          <w:sz w:val="20"/>
          <w:szCs w:val="20"/>
        </w:rPr>
        <w:t xml:space="preserve"> presupone que ninguna persona sea privada </w:t>
      </w:r>
      <w:r w:rsidRPr="0064597D">
        <w:rPr>
          <w:sz w:val="20"/>
          <w:szCs w:val="20"/>
        </w:rPr>
        <w:t>de</w:t>
      </w:r>
      <w:r w:rsidRPr="0064597D">
        <w:rPr>
          <w:rFonts w:cs="Arial"/>
          <w:sz w:val="20"/>
          <w:szCs w:val="20"/>
        </w:rPr>
        <w:t xml:space="preserve"> su vida arbitrariamente (obligación negativa), sino que además requiere que los Estados adopten todas las medidas apropiadas para proteger y preservar el derecho a la vida (obligación positiva), conforme al deber de garantizar el pleno y libre ejercicio de los derechos de todas las personas bajo su jurisdicción</w:t>
      </w:r>
      <w:r w:rsidRPr="0064597D">
        <w:rPr>
          <w:sz w:val="20"/>
          <w:szCs w:val="20"/>
          <w:vertAlign w:val="superscript"/>
        </w:rPr>
        <w:footnoteReference w:id="117"/>
      </w:r>
      <w:r w:rsidRPr="0064597D">
        <w:rPr>
          <w:rFonts w:cs="Arial"/>
          <w:sz w:val="20"/>
          <w:szCs w:val="20"/>
        </w:rPr>
        <w:t xml:space="preserve">. </w:t>
      </w:r>
      <w:r w:rsidRPr="0064597D">
        <w:rPr>
          <w:rFonts w:eastAsiaTheme="minorHAnsi" w:cs="Arial"/>
          <w:sz w:val="20"/>
          <w:szCs w:val="20"/>
        </w:rPr>
        <w:t xml:space="preserve">En consecuencia, los Estados tienen la obligación de garantizar las condiciones que </w:t>
      </w:r>
      <w:r w:rsidRPr="0064597D">
        <w:rPr>
          <w:rFonts w:eastAsia="Batang" w:cs="Times"/>
          <w:sz w:val="20"/>
          <w:szCs w:val="20"/>
        </w:rPr>
        <w:t>se</w:t>
      </w:r>
      <w:r w:rsidRPr="0064597D">
        <w:rPr>
          <w:rFonts w:eastAsiaTheme="minorHAnsi" w:cs="Arial"/>
          <w:sz w:val="20"/>
          <w:szCs w:val="20"/>
        </w:rPr>
        <w:t xml:space="preserve"> requieran para que no se produzcan violaciones de ese derecho inalienable y, en particular, el deber de impedir que sus agentes atenten contra el mismo. </w:t>
      </w:r>
      <w:r w:rsidRPr="0064597D">
        <w:rPr>
          <w:rFonts w:eastAsia="Times" w:cs="Arial"/>
          <w:sz w:val="20"/>
          <w:szCs w:val="20"/>
        </w:rPr>
        <w:t>Esta protección activa del derecho a la vida por parte del Estado no sólo involucra a sus legisladores, sino a toda institución estatal y a quienes deben resguardar la seguridad, sean éstas sus fuerzas de policía o sus fuerzas armadas</w:t>
      </w:r>
      <w:r w:rsidRPr="0064597D">
        <w:rPr>
          <w:rFonts w:eastAsia="Times" w:cs="Times"/>
          <w:sz w:val="20"/>
          <w:szCs w:val="20"/>
          <w:vertAlign w:val="superscript"/>
        </w:rPr>
        <w:footnoteReference w:id="118"/>
      </w:r>
      <w:r w:rsidRPr="0064597D">
        <w:rPr>
          <w:rFonts w:eastAsia="Times" w:cs="Arial"/>
          <w:sz w:val="20"/>
          <w:szCs w:val="20"/>
        </w:rPr>
        <w:t>.</w:t>
      </w:r>
    </w:p>
    <w:p w14:paraId="3DD1B211" w14:textId="77777777" w:rsidR="00254858" w:rsidRPr="0064597D" w:rsidRDefault="00254858" w:rsidP="00254858">
      <w:pPr>
        <w:tabs>
          <w:tab w:val="left" w:pos="567"/>
        </w:tabs>
        <w:spacing w:line="240" w:lineRule="auto"/>
        <w:rPr>
          <w:rFonts w:eastAsia="Times" w:cs="Arial"/>
          <w:sz w:val="20"/>
          <w:szCs w:val="20"/>
        </w:rPr>
      </w:pPr>
    </w:p>
    <w:p w14:paraId="691B84AB" w14:textId="69C7EF18" w:rsidR="007F456A" w:rsidRPr="0064597D" w:rsidRDefault="00A758E4" w:rsidP="000C391B">
      <w:pPr>
        <w:numPr>
          <w:ilvl w:val="0"/>
          <w:numId w:val="1"/>
        </w:numPr>
        <w:tabs>
          <w:tab w:val="left" w:pos="567"/>
        </w:tabs>
        <w:spacing w:line="240" w:lineRule="auto"/>
        <w:ind w:left="0" w:firstLine="0"/>
        <w:rPr>
          <w:rFonts w:eastAsia="Times" w:cs="Arial"/>
          <w:sz w:val="20"/>
          <w:szCs w:val="20"/>
        </w:rPr>
      </w:pPr>
      <w:r w:rsidRPr="0064597D">
        <w:rPr>
          <w:rFonts w:eastAsia="Verdana" w:cs="Verdana"/>
          <w:sz w:val="20"/>
          <w:szCs w:val="20"/>
          <w:lang w:val="es-ES"/>
        </w:rPr>
        <w:t>De</w:t>
      </w:r>
      <w:r w:rsidRPr="0064597D">
        <w:rPr>
          <w:rFonts w:eastAsia="Verdana" w:cs="Verdana"/>
          <w:spacing w:val="48"/>
          <w:sz w:val="20"/>
          <w:szCs w:val="20"/>
          <w:lang w:val="es-ES"/>
        </w:rPr>
        <w:t xml:space="preserve"> </w:t>
      </w:r>
      <w:r w:rsidRPr="0064597D">
        <w:rPr>
          <w:rFonts w:eastAsia="Verdana" w:cs="Verdana"/>
          <w:spacing w:val="3"/>
          <w:sz w:val="20"/>
          <w:szCs w:val="20"/>
          <w:lang w:val="es-ES"/>
        </w:rPr>
        <w:t>l</w:t>
      </w:r>
      <w:r w:rsidRPr="0064597D">
        <w:rPr>
          <w:rFonts w:eastAsia="Verdana" w:cs="Verdana"/>
          <w:sz w:val="20"/>
          <w:szCs w:val="20"/>
          <w:lang w:val="es-ES"/>
        </w:rPr>
        <w:t>a</w:t>
      </w:r>
      <w:r w:rsidRPr="0064597D">
        <w:rPr>
          <w:rFonts w:eastAsia="Verdana" w:cs="Verdana"/>
          <w:spacing w:val="51"/>
          <w:sz w:val="20"/>
          <w:szCs w:val="20"/>
          <w:lang w:val="es-ES"/>
        </w:rPr>
        <w:t xml:space="preserve"> </w:t>
      </w:r>
      <w:r w:rsidRPr="0064597D">
        <w:rPr>
          <w:rFonts w:eastAsia="Verdana" w:cs="Verdana"/>
          <w:spacing w:val="1"/>
          <w:sz w:val="20"/>
          <w:szCs w:val="20"/>
          <w:lang w:val="es-ES"/>
        </w:rPr>
        <w:t>p</w:t>
      </w:r>
      <w:r w:rsidRPr="0064597D">
        <w:rPr>
          <w:rFonts w:eastAsia="Verdana" w:cs="Verdana"/>
          <w:spacing w:val="-1"/>
          <w:sz w:val="20"/>
          <w:szCs w:val="20"/>
          <w:lang w:val="es-ES"/>
        </w:rPr>
        <w:t>r</w:t>
      </w:r>
      <w:r w:rsidRPr="0064597D">
        <w:rPr>
          <w:rFonts w:eastAsia="Verdana" w:cs="Verdana"/>
          <w:spacing w:val="1"/>
          <w:sz w:val="20"/>
          <w:szCs w:val="20"/>
          <w:lang w:val="es-ES"/>
        </w:rPr>
        <w:t>u</w:t>
      </w:r>
      <w:r w:rsidRPr="0064597D">
        <w:rPr>
          <w:rFonts w:eastAsia="Verdana" w:cs="Verdana"/>
          <w:spacing w:val="-1"/>
          <w:sz w:val="20"/>
          <w:szCs w:val="20"/>
          <w:lang w:val="es-ES"/>
        </w:rPr>
        <w:t>e</w:t>
      </w:r>
      <w:r w:rsidRPr="0064597D">
        <w:rPr>
          <w:rFonts w:eastAsia="Verdana" w:cs="Verdana"/>
          <w:spacing w:val="1"/>
          <w:sz w:val="20"/>
          <w:szCs w:val="20"/>
          <w:lang w:val="es-ES"/>
        </w:rPr>
        <w:t>b</w:t>
      </w:r>
      <w:r w:rsidRPr="0064597D">
        <w:rPr>
          <w:rFonts w:eastAsia="Verdana" w:cs="Verdana"/>
          <w:sz w:val="20"/>
          <w:szCs w:val="20"/>
          <w:lang w:val="es-ES"/>
        </w:rPr>
        <w:t>a</w:t>
      </w:r>
      <w:r w:rsidRPr="0064597D">
        <w:rPr>
          <w:rFonts w:eastAsia="Verdana" w:cs="Verdana"/>
          <w:spacing w:val="45"/>
          <w:sz w:val="20"/>
          <w:szCs w:val="20"/>
          <w:lang w:val="es-ES"/>
        </w:rPr>
        <w:t xml:space="preserve"> </w:t>
      </w:r>
      <w:r w:rsidRPr="0064597D">
        <w:rPr>
          <w:rFonts w:eastAsia="Verdana" w:cs="Verdana"/>
          <w:spacing w:val="-1"/>
          <w:sz w:val="20"/>
          <w:szCs w:val="20"/>
          <w:lang w:val="es-ES"/>
        </w:rPr>
        <w:t>o</w:t>
      </w:r>
      <w:r w:rsidRPr="0064597D">
        <w:rPr>
          <w:rFonts w:eastAsia="Verdana" w:cs="Verdana"/>
          <w:spacing w:val="1"/>
          <w:sz w:val="20"/>
          <w:szCs w:val="20"/>
          <w:lang w:val="es-ES"/>
        </w:rPr>
        <w:t>b</w:t>
      </w:r>
      <w:r w:rsidRPr="0064597D">
        <w:rPr>
          <w:rFonts w:eastAsia="Verdana" w:cs="Verdana"/>
          <w:spacing w:val="-1"/>
          <w:sz w:val="20"/>
          <w:szCs w:val="20"/>
          <w:lang w:val="es-ES"/>
        </w:rPr>
        <w:t>r</w:t>
      </w:r>
      <w:r w:rsidRPr="0064597D">
        <w:rPr>
          <w:rFonts w:eastAsia="Verdana" w:cs="Verdana"/>
          <w:sz w:val="20"/>
          <w:szCs w:val="20"/>
          <w:lang w:val="es-ES"/>
        </w:rPr>
        <w:t>a</w:t>
      </w:r>
      <w:r w:rsidRPr="0064597D">
        <w:rPr>
          <w:rFonts w:eastAsia="Verdana" w:cs="Verdana"/>
          <w:spacing w:val="1"/>
          <w:sz w:val="20"/>
          <w:szCs w:val="20"/>
          <w:lang w:val="es-ES"/>
        </w:rPr>
        <w:t>nt</w:t>
      </w:r>
      <w:r w:rsidRPr="0064597D">
        <w:rPr>
          <w:rFonts w:eastAsia="Verdana" w:cs="Verdana"/>
          <w:sz w:val="20"/>
          <w:szCs w:val="20"/>
          <w:lang w:val="es-ES"/>
        </w:rPr>
        <w:t>e</w:t>
      </w:r>
      <w:r w:rsidRPr="0064597D">
        <w:rPr>
          <w:rFonts w:eastAsia="Verdana" w:cs="Verdana"/>
          <w:spacing w:val="46"/>
          <w:sz w:val="20"/>
          <w:szCs w:val="20"/>
          <w:lang w:val="es-ES"/>
        </w:rPr>
        <w:t xml:space="preserve"> </w:t>
      </w:r>
      <w:r w:rsidRPr="0064597D">
        <w:rPr>
          <w:rFonts w:eastAsia="Verdana" w:cs="Verdana"/>
          <w:spacing w:val="-1"/>
          <w:sz w:val="20"/>
          <w:szCs w:val="20"/>
          <w:lang w:val="es-ES"/>
        </w:rPr>
        <w:t>e</w:t>
      </w:r>
      <w:r w:rsidRPr="0064597D">
        <w:rPr>
          <w:rFonts w:eastAsia="Verdana" w:cs="Verdana"/>
          <w:sz w:val="20"/>
          <w:szCs w:val="20"/>
          <w:lang w:val="es-ES"/>
        </w:rPr>
        <w:t>n</w:t>
      </w:r>
      <w:r w:rsidRPr="0064597D">
        <w:rPr>
          <w:rFonts w:eastAsia="Verdana" w:cs="Verdana"/>
          <w:spacing w:val="50"/>
          <w:sz w:val="20"/>
          <w:szCs w:val="20"/>
          <w:lang w:val="es-ES"/>
        </w:rPr>
        <w:t xml:space="preserve"> </w:t>
      </w:r>
      <w:r w:rsidRPr="0064597D">
        <w:rPr>
          <w:rFonts w:eastAsia="Verdana" w:cs="Verdana"/>
          <w:spacing w:val="-1"/>
          <w:sz w:val="20"/>
          <w:szCs w:val="20"/>
          <w:lang w:val="es-ES"/>
        </w:rPr>
        <w:t>e</w:t>
      </w:r>
      <w:r w:rsidRPr="0064597D">
        <w:rPr>
          <w:rFonts w:eastAsia="Verdana" w:cs="Verdana"/>
          <w:sz w:val="20"/>
          <w:szCs w:val="20"/>
          <w:lang w:val="es-ES"/>
        </w:rPr>
        <w:t>l</w:t>
      </w:r>
      <w:r w:rsidRPr="0064597D">
        <w:rPr>
          <w:rFonts w:eastAsia="Verdana" w:cs="Verdana"/>
          <w:spacing w:val="53"/>
          <w:sz w:val="20"/>
          <w:szCs w:val="20"/>
          <w:lang w:val="es-ES"/>
        </w:rPr>
        <w:t xml:space="preserve"> </w:t>
      </w:r>
      <w:r w:rsidRPr="0064597D">
        <w:rPr>
          <w:rFonts w:eastAsia="Verdana" w:cs="Verdana"/>
          <w:spacing w:val="-1"/>
          <w:sz w:val="20"/>
          <w:szCs w:val="20"/>
          <w:lang w:val="es-ES"/>
        </w:rPr>
        <w:t>e</w:t>
      </w:r>
      <w:r w:rsidRPr="0064597D">
        <w:rPr>
          <w:rFonts w:eastAsia="Verdana" w:cs="Verdana"/>
          <w:sz w:val="20"/>
          <w:szCs w:val="20"/>
          <w:lang w:val="es-ES"/>
        </w:rPr>
        <w:t>xp</w:t>
      </w:r>
      <w:r w:rsidRPr="0064597D">
        <w:rPr>
          <w:rFonts w:eastAsia="Verdana" w:cs="Verdana"/>
          <w:spacing w:val="-1"/>
          <w:sz w:val="20"/>
          <w:szCs w:val="20"/>
          <w:lang w:val="es-ES"/>
        </w:rPr>
        <w:t>e</w:t>
      </w:r>
      <w:r w:rsidRPr="0064597D">
        <w:rPr>
          <w:rFonts w:eastAsia="Verdana" w:cs="Verdana"/>
          <w:spacing w:val="1"/>
          <w:sz w:val="20"/>
          <w:szCs w:val="20"/>
          <w:lang w:val="es-ES"/>
        </w:rPr>
        <w:t>d</w:t>
      </w:r>
      <w:r w:rsidRPr="0064597D">
        <w:rPr>
          <w:rFonts w:eastAsia="Verdana" w:cs="Verdana"/>
          <w:spacing w:val="3"/>
          <w:sz w:val="20"/>
          <w:szCs w:val="20"/>
          <w:lang w:val="es-ES"/>
        </w:rPr>
        <w:t>i</w:t>
      </w:r>
      <w:r w:rsidRPr="0064597D">
        <w:rPr>
          <w:rFonts w:eastAsia="Verdana" w:cs="Verdana"/>
          <w:spacing w:val="-1"/>
          <w:sz w:val="20"/>
          <w:szCs w:val="20"/>
          <w:lang w:val="es-ES"/>
        </w:rPr>
        <w:t>e</w:t>
      </w:r>
      <w:r w:rsidRPr="0064597D">
        <w:rPr>
          <w:rFonts w:eastAsia="Verdana" w:cs="Verdana"/>
          <w:spacing w:val="1"/>
          <w:sz w:val="20"/>
          <w:szCs w:val="20"/>
          <w:lang w:val="es-ES"/>
        </w:rPr>
        <w:t>nt</w:t>
      </w:r>
      <w:r w:rsidRPr="0064597D">
        <w:rPr>
          <w:rFonts w:eastAsia="Verdana" w:cs="Verdana"/>
          <w:sz w:val="20"/>
          <w:szCs w:val="20"/>
          <w:lang w:val="es-ES"/>
        </w:rPr>
        <w:t>e</w:t>
      </w:r>
      <w:r w:rsidR="002A0F50" w:rsidRPr="0064597D">
        <w:rPr>
          <w:rFonts w:eastAsia="Times" w:cs="Arial"/>
          <w:sz w:val="20"/>
          <w:szCs w:val="20"/>
        </w:rPr>
        <w:t>,</w:t>
      </w:r>
      <w:r w:rsidR="002A0F50" w:rsidRPr="0064597D">
        <w:rPr>
          <w:rFonts w:eastAsiaTheme="minorHAnsi" w:cs="Arial"/>
          <w:spacing w:val="-2"/>
          <w:sz w:val="20"/>
          <w:szCs w:val="20"/>
        </w:rPr>
        <w:t xml:space="preserve"> </w:t>
      </w:r>
      <w:r w:rsidR="003A28F1" w:rsidRPr="0064597D">
        <w:rPr>
          <w:rFonts w:eastAsiaTheme="minorHAnsi" w:cs="Arial"/>
          <w:spacing w:val="-2"/>
          <w:sz w:val="20"/>
          <w:szCs w:val="20"/>
        </w:rPr>
        <w:t xml:space="preserve">se observa que </w:t>
      </w:r>
      <w:r w:rsidR="009A49D7" w:rsidRPr="0064597D">
        <w:rPr>
          <w:rFonts w:eastAsiaTheme="minorHAnsi" w:cs="Arial"/>
          <w:spacing w:val="-2"/>
          <w:sz w:val="20"/>
          <w:szCs w:val="20"/>
        </w:rPr>
        <w:t xml:space="preserve">el señor Ruiz Fuentes apareció muerto por heridas de </w:t>
      </w:r>
      <w:r w:rsidR="00D3678B" w:rsidRPr="0064597D">
        <w:rPr>
          <w:rFonts w:eastAsiaTheme="minorHAnsi" w:cs="Arial"/>
          <w:spacing w:val="-2"/>
          <w:sz w:val="20"/>
          <w:szCs w:val="20"/>
        </w:rPr>
        <w:t>arma de fuego</w:t>
      </w:r>
      <w:r w:rsidR="009A49D7" w:rsidRPr="0064597D">
        <w:rPr>
          <w:rFonts w:eastAsiaTheme="minorHAnsi" w:cs="Arial"/>
          <w:spacing w:val="-2"/>
          <w:sz w:val="20"/>
          <w:szCs w:val="20"/>
        </w:rPr>
        <w:t xml:space="preserve"> el 14 de noviembre de 2005 en</w:t>
      </w:r>
      <w:r w:rsidR="00B84E9D" w:rsidRPr="0064597D">
        <w:rPr>
          <w:rFonts w:eastAsiaTheme="minorHAnsi" w:cs="Arial"/>
          <w:spacing w:val="-2"/>
          <w:sz w:val="20"/>
          <w:szCs w:val="20"/>
        </w:rPr>
        <w:t xml:space="preserve">tre la </w:t>
      </w:r>
      <w:r w:rsidR="00480513" w:rsidRPr="0064597D">
        <w:rPr>
          <w:rFonts w:eastAsiaTheme="minorHAnsi" w:cs="Arial"/>
          <w:spacing w:val="-2"/>
          <w:sz w:val="20"/>
          <w:szCs w:val="20"/>
        </w:rPr>
        <w:t>0</w:t>
      </w:r>
      <w:r w:rsidR="00B84E9D" w:rsidRPr="0064597D">
        <w:rPr>
          <w:rFonts w:eastAsiaTheme="minorHAnsi" w:cs="Arial"/>
          <w:spacing w:val="-2"/>
          <w:sz w:val="20"/>
          <w:szCs w:val="20"/>
        </w:rPr>
        <w:t xml:space="preserve"> Avenida y</w:t>
      </w:r>
      <w:r w:rsidR="009A49D7" w:rsidRPr="0064597D">
        <w:rPr>
          <w:rFonts w:eastAsiaTheme="minorHAnsi" w:cs="Arial"/>
          <w:spacing w:val="-2"/>
          <w:sz w:val="20"/>
          <w:szCs w:val="20"/>
        </w:rPr>
        <w:t xml:space="preserve"> la </w:t>
      </w:r>
      <w:r w:rsidR="00B84E9D" w:rsidRPr="0064597D">
        <w:rPr>
          <w:rFonts w:eastAsiaTheme="minorHAnsi" w:cs="Arial"/>
          <w:spacing w:val="-2"/>
          <w:sz w:val="20"/>
          <w:szCs w:val="20"/>
        </w:rPr>
        <w:t xml:space="preserve">5ta </w:t>
      </w:r>
      <w:r w:rsidR="009A49D7" w:rsidRPr="0064597D">
        <w:rPr>
          <w:rFonts w:eastAsiaTheme="minorHAnsi" w:cs="Arial"/>
          <w:spacing w:val="-2"/>
          <w:sz w:val="20"/>
          <w:szCs w:val="20"/>
        </w:rPr>
        <w:t>calle de la Colonia Monja Blanca de Barberena</w:t>
      </w:r>
      <w:r w:rsidR="00D3678B" w:rsidRPr="0064597D">
        <w:rPr>
          <w:rFonts w:eastAsiaTheme="minorHAnsi" w:cs="Arial"/>
          <w:spacing w:val="-2"/>
          <w:sz w:val="20"/>
          <w:szCs w:val="20"/>
        </w:rPr>
        <w:t>,</w:t>
      </w:r>
      <w:r w:rsidR="009A49D7" w:rsidRPr="0064597D">
        <w:rPr>
          <w:rFonts w:eastAsiaTheme="minorHAnsi" w:cs="Arial"/>
          <w:spacing w:val="-2"/>
          <w:sz w:val="20"/>
          <w:szCs w:val="20"/>
        </w:rPr>
        <w:t xml:space="preserve"> Santa Rosa</w:t>
      </w:r>
      <w:r w:rsidR="009A49D7" w:rsidRPr="0064597D">
        <w:rPr>
          <w:rStyle w:val="Refdenotaalpie"/>
          <w:rFonts w:eastAsiaTheme="minorHAnsi" w:cs="Arial"/>
          <w:spacing w:val="-2"/>
          <w:sz w:val="20"/>
          <w:szCs w:val="20"/>
        </w:rPr>
        <w:footnoteReference w:id="119"/>
      </w:r>
      <w:r w:rsidR="006365CE" w:rsidRPr="0064597D">
        <w:rPr>
          <w:rFonts w:eastAsiaTheme="minorHAnsi" w:cs="Arial"/>
          <w:spacing w:val="-2"/>
          <w:sz w:val="20"/>
          <w:szCs w:val="20"/>
        </w:rPr>
        <w:t>.</w:t>
      </w:r>
      <w:r w:rsidR="00D3678B" w:rsidRPr="0064597D">
        <w:rPr>
          <w:rFonts w:eastAsiaTheme="minorHAnsi" w:cs="Arial"/>
          <w:spacing w:val="-2"/>
          <w:sz w:val="20"/>
          <w:szCs w:val="20"/>
        </w:rPr>
        <w:t xml:space="preserve"> Según el acta policial de ese mismo d</w:t>
      </w:r>
      <w:r w:rsidR="00B84E9D" w:rsidRPr="0064597D">
        <w:rPr>
          <w:rFonts w:eastAsiaTheme="minorHAnsi" w:cs="Arial"/>
          <w:spacing w:val="-2"/>
          <w:sz w:val="20"/>
          <w:szCs w:val="20"/>
        </w:rPr>
        <w:t>ía, el cadáver del señor Ruiz Fuentes tenía una posición decúbito dorsal, con los brazos y piernas estiradas, y los ojos cerrados</w:t>
      </w:r>
      <w:r w:rsidR="00B84E9D" w:rsidRPr="0064597D">
        <w:rPr>
          <w:rStyle w:val="Refdenotaalpie"/>
          <w:rFonts w:eastAsiaTheme="minorHAnsi" w:cs="Arial"/>
          <w:spacing w:val="-2"/>
          <w:sz w:val="20"/>
          <w:szCs w:val="20"/>
        </w:rPr>
        <w:footnoteReference w:id="120"/>
      </w:r>
      <w:r w:rsidR="00B84E9D" w:rsidRPr="0064597D">
        <w:rPr>
          <w:rFonts w:eastAsiaTheme="minorHAnsi" w:cs="Arial"/>
          <w:spacing w:val="-2"/>
          <w:sz w:val="20"/>
          <w:szCs w:val="20"/>
        </w:rPr>
        <w:t xml:space="preserve">. </w:t>
      </w:r>
      <w:r w:rsidR="00D3678B" w:rsidRPr="0064597D">
        <w:rPr>
          <w:rFonts w:eastAsiaTheme="minorHAnsi" w:cs="Arial"/>
          <w:spacing w:val="-2"/>
          <w:sz w:val="20"/>
          <w:szCs w:val="20"/>
        </w:rPr>
        <w:t xml:space="preserve">El señor Ruiz Fuentes presentaba una herida de proyectil de arma de fuego en la “región mamila o tetilla [del] lado derecho” y una herida de proyectil de arma de fuego </w:t>
      </w:r>
      <w:r w:rsidR="00530469" w:rsidRPr="0064597D">
        <w:rPr>
          <w:rFonts w:eastAsiaTheme="minorHAnsi" w:cs="Arial"/>
          <w:spacing w:val="-2"/>
          <w:sz w:val="20"/>
          <w:szCs w:val="20"/>
        </w:rPr>
        <w:t>“</w:t>
      </w:r>
      <w:r w:rsidR="00D3678B" w:rsidRPr="0064597D">
        <w:rPr>
          <w:rFonts w:eastAsiaTheme="minorHAnsi" w:cs="Arial"/>
          <w:spacing w:val="-2"/>
          <w:sz w:val="20"/>
          <w:szCs w:val="20"/>
        </w:rPr>
        <w:t>[en] la región orbita[l] [del] lado derecho”</w:t>
      </w:r>
      <w:r w:rsidR="00D3678B" w:rsidRPr="0064597D">
        <w:rPr>
          <w:rStyle w:val="Refdenotaalpie"/>
          <w:rFonts w:eastAsiaTheme="minorHAnsi" w:cs="Arial"/>
          <w:spacing w:val="-2"/>
          <w:sz w:val="20"/>
          <w:szCs w:val="20"/>
        </w:rPr>
        <w:footnoteReference w:id="121"/>
      </w:r>
      <w:r w:rsidR="00D3678B" w:rsidRPr="0064597D">
        <w:rPr>
          <w:rFonts w:eastAsiaTheme="minorHAnsi" w:cs="Arial"/>
          <w:spacing w:val="-2"/>
          <w:sz w:val="20"/>
          <w:szCs w:val="20"/>
        </w:rPr>
        <w:t xml:space="preserve">. </w:t>
      </w:r>
      <w:r w:rsidR="00B84E9D" w:rsidRPr="0064597D">
        <w:rPr>
          <w:rFonts w:eastAsiaTheme="minorHAnsi" w:cs="Arial"/>
          <w:spacing w:val="-2"/>
          <w:sz w:val="20"/>
          <w:szCs w:val="20"/>
        </w:rPr>
        <w:t>El acta también señalaba que el señor Ruiz Fuentes tenía empuñada un arma de fuego tipo</w:t>
      </w:r>
      <w:r w:rsidR="003A28F1" w:rsidRPr="0064597D">
        <w:rPr>
          <w:rFonts w:eastAsiaTheme="minorHAnsi" w:cs="Arial"/>
          <w:spacing w:val="-2"/>
          <w:sz w:val="20"/>
          <w:szCs w:val="20"/>
        </w:rPr>
        <w:t xml:space="preserve"> pistola, calibre 9 milímetros y que s</w:t>
      </w:r>
      <w:r w:rsidR="004B28A0" w:rsidRPr="0064597D">
        <w:rPr>
          <w:rFonts w:eastAsiaTheme="minorHAnsi" w:cs="Arial"/>
          <w:spacing w:val="-2"/>
          <w:sz w:val="20"/>
          <w:szCs w:val="20"/>
        </w:rPr>
        <w:t>e localizaron además 20 vainas</w:t>
      </w:r>
      <w:r w:rsidR="00B84E9D" w:rsidRPr="0064597D">
        <w:rPr>
          <w:rFonts w:eastAsiaTheme="minorHAnsi" w:cs="Arial"/>
          <w:spacing w:val="-2"/>
          <w:sz w:val="20"/>
          <w:szCs w:val="20"/>
        </w:rPr>
        <w:t xml:space="preserve"> de calibre ignorado y una ojiva destruida de calibre ignorado en una de las puertas de un domicilio ubicado en el lugar de los hechos</w:t>
      </w:r>
      <w:r w:rsidR="00B84E9D" w:rsidRPr="0064597D">
        <w:rPr>
          <w:rStyle w:val="Refdenotaalpie"/>
          <w:rFonts w:eastAsiaTheme="minorHAnsi" w:cs="Arial"/>
          <w:spacing w:val="-2"/>
          <w:sz w:val="20"/>
          <w:szCs w:val="20"/>
        </w:rPr>
        <w:footnoteReference w:id="122"/>
      </w:r>
      <w:r w:rsidR="00B84E9D" w:rsidRPr="0064597D">
        <w:rPr>
          <w:rFonts w:eastAsiaTheme="minorHAnsi" w:cs="Arial"/>
          <w:spacing w:val="-2"/>
          <w:sz w:val="20"/>
          <w:szCs w:val="20"/>
        </w:rPr>
        <w:t xml:space="preserve">. </w:t>
      </w:r>
      <w:r w:rsidR="003A28F1" w:rsidRPr="0064597D">
        <w:rPr>
          <w:rFonts w:eastAsiaTheme="minorHAnsi" w:cs="Arial"/>
          <w:spacing w:val="-2"/>
          <w:sz w:val="20"/>
          <w:szCs w:val="20"/>
        </w:rPr>
        <w:t>Según dicha acta, d</w:t>
      </w:r>
      <w:r w:rsidR="00B84E9D" w:rsidRPr="0064597D">
        <w:rPr>
          <w:rFonts w:eastAsiaTheme="minorHAnsi" w:cs="Arial"/>
          <w:spacing w:val="-2"/>
          <w:sz w:val="20"/>
          <w:szCs w:val="20"/>
        </w:rPr>
        <w:t xml:space="preserve">e conformidad con lo señalado por vecinos que </w:t>
      </w:r>
      <w:r w:rsidR="003A28F1" w:rsidRPr="0064597D">
        <w:rPr>
          <w:rFonts w:eastAsiaTheme="minorHAnsi" w:cs="Arial"/>
          <w:spacing w:val="-2"/>
          <w:sz w:val="20"/>
          <w:szCs w:val="20"/>
        </w:rPr>
        <w:t xml:space="preserve">no quisieron </w:t>
      </w:r>
      <w:r w:rsidR="003A28F1" w:rsidRPr="0064597D">
        <w:rPr>
          <w:rFonts w:eastAsiaTheme="minorHAnsi" w:cs="Arial"/>
          <w:spacing w:val="-2"/>
          <w:sz w:val="20"/>
          <w:szCs w:val="20"/>
        </w:rPr>
        <w:lastRenderedPageBreak/>
        <w:t>proporcionar su identidad</w:t>
      </w:r>
      <w:r w:rsidR="00B84E9D" w:rsidRPr="0064597D">
        <w:rPr>
          <w:rFonts w:eastAsiaTheme="minorHAnsi" w:cs="Arial"/>
          <w:spacing w:val="-2"/>
          <w:sz w:val="20"/>
          <w:szCs w:val="20"/>
        </w:rPr>
        <w:t xml:space="preserve">, el señor Ruiz Fuentes era perseguido por </w:t>
      </w:r>
      <w:r w:rsidR="003A28F1" w:rsidRPr="0064597D">
        <w:rPr>
          <w:rFonts w:eastAsiaTheme="minorHAnsi" w:cs="Arial"/>
          <w:spacing w:val="-2"/>
          <w:sz w:val="20"/>
          <w:szCs w:val="20"/>
        </w:rPr>
        <w:t>“</w:t>
      </w:r>
      <w:r w:rsidR="00B84E9D" w:rsidRPr="0064597D">
        <w:rPr>
          <w:rFonts w:eastAsiaTheme="minorHAnsi" w:cs="Arial"/>
          <w:spacing w:val="-2"/>
          <w:sz w:val="20"/>
          <w:szCs w:val="20"/>
        </w:rPr>
        <w:t>varios individuos desconocidos, con quienes tuvo un intercambio de disparos” a resultas del cual recibió “varios impactos de bala” que ocasionaron su muerte</w:t>
      </w:r>
      <w:r w:rsidR="00B84E9D" w:rsidRPr="0064597D">
        <w:rPr>
          <w:rStyle w:val="Refdenotaalpie"/>
          <w:rFonts w:eastAsiaTheme="minorHAnsi" w:cs="Arial"/>
          <w:spacing w:val="-2"/>
          <w:sz w:val="20"/>
          <w:szCs w:val="20"/>
        </w:rPr>
        <w:footnoteReference w:id="123"/>
      </w:r>
      <w:r w:rsidR="00B84E9D" w:rsidRPr="0064597D">
        <w:rPr>
          <w:rFonts w:eastAsiaTheme="minorHAnsi" w:cs="Arial"/>
          <w:spacing w:val="-2"/>
          <w:sz w:val="20"/>
          <w:szCs w:val="20"/>
        </w:rPr>
        <w:t>.</w:t>
      </w:r>
      <w:r w:rsidR="00D3678B" w:rsidRPr="0064597D">
        <w:rPr>
          <w:rFonts w:eastAsiaTheme="minorHAnsi" w:cs="Arial"/>
          <w:spacing w:val="-2"/>
          <w:sz w:val="20"/>
          <w:szCs w:val="20"/>
        </w:rPr>
        <w:t xml:space="preserve"> </w:t>
      </w:r>
      <w:r w:rsidR="00872017" w:rsidRPr="0064597D">
        <w:rPr>
          <w:rFonts w:eastAsiaTheme="minorHAnsi" w:cs="Arial"/>
          <w:spacing w:val="-2"/>
          <w:sz w:val="20"/>
          <w:szCs w:val="20"/>
        </w:rPr>
        <w:t>T</w:t>
      </w:r>
      <w:r w:rsidR="00D3678B" w:rsidRPr="0064597D">
        <w:rPr>
          <w:rFonts w:eastAsiaTheme="minorHAnsi" w:cs="Arial"/>
          <w:spacing w:val="-2"/>
          <w:sz w:val="20"/>
          <w:szCs w:val="20"/>
        </w:rPr>
        <w:t xml:space="preserve">al y como lo señala </w:t>
      </w:r>
      <w:r w:rsidR="00B84E9D" w:rsidRPr="0064597D">
        <w:rPr>
          <w:rFonts w:eastAsiaTheme="minorHAnsi" w:cs="Arial"/>
          <w:spacing w:val="-2"/>
          <w:sz w:val="20"/>
          <w:szCs w:val="20"/>
        </w:rPr>
        <w:t xml:space="preserve">el informe de 15 de noviembre de 2005 relativo a </w:t>
      </w:r>
      <w:r w:rsidR="009A49D7" w:rsidRPr="0064597D">
        <w:rPr>
          <w:rFonts w:eastAsiaTheme="minorHAnsi" w:cs="Arial"/>
          <w:spacing w:val="-2"/>
          <w:sz w:val="20"/>
          <w:szCs w:val="20"/>
        </w:rPr>
        <w:t>la autopsia practicada al cadáver, la causa de la muerte fue “perforación cerebral y pulmonar por heridas perforantes de proyectiles de arma de fuego”</w:t>
      </w:r>
      <w:r w:rsidR="009A49D7" w:rsidRPr="0064597D">
        <w:rPr>
          <w:rStyle w:val="Refdenotaalpie"/>
          <w:rFonts w:eastAsiaTheme="minorHAnsi" w:cs="Arial"/>
          <w:spacing w:val="-2"/>
          <w:sz w:val="20"/>
          <w:szCs w:val="20"/>
        </w:rPr>
        <w:footnoteReference w:id="124"/>
      </w:r>
      <w:r w:rsidR="009A49D7" w:rsidRPr="0064597D">
        <w:rPr>
          <w:rFonts w:eastAsiaTheme="minorHAnsi" w:cs="Arial"/>
          <w:spacing w:val="-2"/>
          <w:sz w:val="20"/>
          <w:szCs w:val="20"/>
        </w:rPr>
        <w:t>.</w:t>
      </w:r>
      <w:r w:rsidR="00872017" w:rsidRPr="0064597D">
        <w:rPr>
          <w:rFonts w:eastAsiaTheme="minorHAnsi" w:cs="Arial"/>
          <w:spacing w:val="-2"/>
          <w:sz w:val="20"/>
          <w:szCs w:val="20"/>
        </w:rPr>
        <w:t xml:space="preserve"> </w:t>
      </w:r>
    </w:p>
    <w:p w14:paraId="5FBD8ABB" w14:textId="77777777" w:rsidR="007F456A" w:rsidRPr="0064597D" w:rsidRDefault="007F456A" w:rsidP="007F456A">
      <w:pPr>
        <w:tabs>
          <w:tab w:val="left" w:pos="567"/>
        </w:tabs>
        <w:spacing w:line="240" w:lineRule="auto"/>
        <w:rPr>
          <w:rFonts w:eastAsia="Times" w:cs="Arial"/>
          <w:sz w:val="20"/>
          <w:szCs w:val="20"/>
        </w:rPr>
      </w:pPr>
    </w:p>
    <w:p w14:paraId="05801662" w14:textId="77777777" w:rsidR="002A0F50" w:rsidRPr="0064597D" w:rsidRDefault="00A758E4" w:rsidP="000C391B">
      <w:pPr>
        <w:numPr>
          <w:ilvl w:val="0"/>
          <w:numId w:val="1"/>
        </w:numPr>
        <w:tabs>
          <w:tab w:val="left" w:pos="567"/>
        </w:tabs>
        <w:spacing w:line="240" w:lineRule="auto"/>
        <w:ind w:left="0" w:firstLine="0"/>
        <w:rPr>
          <w:rFonts w:eastAsia="Times" w:cs="Arial"/>
          <w:sz w:val="20"/>
          <w:szCs w:val="20"/>
        </w:rPr>
      </w:pPr>
      <w:r w:rsidRPr="0064597D">
        <w:rPr>
          <w:rFonts w:eastAsia="Verdana" w:cs="Verdana"/>
          <w:sz w:val="20"/>
          <w:szCs w:val="20"/>
          <w:lang w:val="es-ES"/>
        </w:rPr>
        <w:t>Las</w:t>
      </w:r>
      <w:r w:rsidRPr="0064597D">
        <w:rPr>
          <w:rFonts w:eastAsia="Verdana" w:cs="Verdana"/>
          <w:spacing w:val="33"/>
          <w:sz w:val="20"/>
          <w:szCs w:val="20"/>
          <w:lang w:val="es-ES"/>
        </w:rPr>
        <w:t xml:space="preserve"> </w:t>
      </w:r>
      <w:r w:rsidRPr="0064597D">
        <w:rPr>
          <w:rFonts w:eastAsia="Verdana" w:cs="Verdana"/>
          <w:sz w:val="20"/>
          <w:szCs w:val="20"/>
          <w:lang w:val="es-ES"/>
        </w:rPr>
        <w:t>c</w:t>
      </w:r>
      <w:r w:rsidRPr="0064597D">
        <w:rPr>
          <w:rFonts w:eastAsia="Verdana" w:cs="Verdana"/>
          <w:spacing w:val="2"/>
          <w:sz w:val="20"/>
          <w:szCs w:val="20"/>
          <w:lang w:val="es-ES"/>
        </w:rPr>
        <w:t>i</w:t>
      </w:r>
      <w:r w:rsidRPr="0064597D">
        <w:rPr>
          <w:rFonts w:eastAsia="Verdana" w:cs="Verdana"/>
          <w:spacing w:val="-1"/>
          <w:sz w:val="20"/>
          <w:szCs w:val="20"/>
          <w:lang w:val="es-ES"/>
        </w:rPr>
        <w:t>r</w:t>
      </w:r>
      <w:r w:rsidRPr="0064597D">
        <w:rPr>
          <w:rFonts w:eastAsia="Verdana" w:cs="Verdana"/>
          <w:sz w:val="20"/>
          <w:szCs w:val="20"/>
          <w:lang w:val="es-ES"/>
        </w:rPr>
        <w:t>cu</w:t>
      </w:r>
      <w:r w:rsidRPr="0064597D">
        <w:rPr>
          <w:rFonts w:eastAsia="Verdana" w:cs="Verdana"/>
          <w:spacing w:val="1"/>
          <w:sz w:val="20"/>
          <w:szCs w:val="20"/>
          <w:lang w:val="es-ES"/>
        </w:rPr>
        <w:t>n</w:t>
      </w:r>
      <w:r w:rsidRPr="0064597D">
        <w:rPr>
          <w:rFonts w:eastAsia="Verdana" w:cs="Verdana"/>
          <w:sz w:val="20"/>
          <w:szCs w:val="20"/>
          <w:lang w:val="es-ES"/>
        </w:rPr>
        <w:t>sta</w:t>
      </w:r>
      <w:r w:rsidRPr="0064597D">
        <w:rPr>
          <w:rFonts w:eastAsia="Verdana" w:cs="Verdana"/>
          <w:spacing w:val="2"/>
          <w:sz w:val="20"/>
          <w:szCs w:val="20"/>
          <w:lang w:val="es-ES"/>
        </w:rPr>
        <w:t>n</w:t>
      </w:r>
      <w:r w:rsidRPr="0064597D">
        <w:rPr>
          <w:rFonts w:eastAsia="Verdana" w:cs="Verdana"/>
          <w:sz w:val="20"/>
          <w:szCs w:val="20"/>
          <w:lang w:val="es-ES"/>
        </w:rPr>
        <w:t>c</w:t>
      </w:r>
      <w:r w:rsidRPr="0064597D">
        <w:rPr>
          <w:rFonts w:eastAsia="Verdana" w:cs="Verdana"/>
          <w:spacing w:val="2"/>
          <w:sz w:val="20"/>
          <w:szCs w:val="20"/>
          <w:lang w:val="es-ES"/>
        </w:rPr>
        <w:t>i</w:t>
      </w:r>
      <w:r w:rsidRPr="0064597D">
        <w:rPr>
          <w:rFonts w:eastAsia="Verdana" w:cs="Verdana"/>
          <w:sz w:val="20"/>
          <w:szCs w:val="20"/>
          <w:lang w:val="es-ES"/>
        </w:rPr>
        <w:t>as</w:t>
      </w:r>
      <w:r w:rsidRPr="0064597D">
        <w:rPr>
          <w:rFonts w:eastAsia="Verdana" w:cs="Verdana"/>
          <w:spacing w:val="21"/>
          <w:sz w:val="20"/>
          <w:szCs w:val="20"/>
          <w:lang w:val="es-ES"/>
        </w:rPr>
        <w:t xml:space="preserve"> </w:t>
      </w:r>
      <w:r w:rsidRPr="0064597D">
        <w:rPr>
          <w:rFonts w:eastAsia="Verdana" w:cs="Verdana"/>
          <w:spacing w:val="-1"/>
          <w:sz w:val="20"/>
          <w:szCs w:val="20"/>
          <w:lang w:val="es-ES"/>
        </w:rPr>
        <w:t>e</w:t>
      </w:r>
      <w:r w:rsidRPr="0064597D">
        <w:rPr>
          <w:rFonts w:eastAsia="Verdana" w:cs="Verdana"/>
          <w:sz w:val="20"/>
          <w:szCs w:val="20"/>
          <w:lang w:val="es-ES"/>
        </w:rPr>
        <w:t>n</w:t>
      </w:r>
      <w:r w:rsidRPr="0064597D">
        <w:rPr>
          <w:rFonts w:eastAsia="Verdana" w:cs="Verdana"/>
          <w:spacing w:val="34"/>
          <w:sz w:val="20"/>
          <w:szCs w:val="20"/>
          <w:lang w:val="es-ES"/>
        </w:rPr>
        <w:t xml:space="preserve"> </w:t>
      </w:r>
      <w:r w:rsidRPr="0064597D">
        <w:rPr>
          <w:rFonts w:eastAsia="Verdana" w:cs="Verdana"/>
          <w:spacing w:val="3"/>
          <w:sz w:val="20"/>
          <w:szCs w:val="20"/>
          <w:lang w:val="es-ES"/>
        </w:rPr>
        <w:t>q</w:t>
      </w:r>
      <w:r w:rsidRPr="0064597D">
        <w:rPr>
          <w:rFonts w:eastAsia="Verdana" w:cs="Verdana"/>
          <w:spacing w:val="1"/>
          <w:sz w:val="20"/>
          <w:szCs w:val="20"/>
          <w:lang w:val="es-ES"/>
        </w:rPr>
        <w:t>u</w:t>
      </w:r>
      <w:r w:rsidRPr="0064597D">
        <w:rPr>
          <w:rFonts w:eastAsia="Verdana" w:cs="Verdana"/>
          <w:sz w:val="20"/>
          <w:szCs w:val="20"/>
          <w:lang w:val="es-ES"/>
        </w:rPr>
        <w:t>e</w:t>
      </w:r>
      <w:r w:rsidRPr="0064597D">
        <w:rPr>
          <w:rFonts w:eastAsia="Verdana" w:cs="Verdana"/>
          <w:spacing w:val="30"/>
          <w:sz w:val="20"/>
          <w:szCs w:val="20"/>
          <w:lang w:val="es-ES"/>
        </w:rPr>
        <w:t xml:space="preserve"> </w:t>
      </w:r>
      <w:r w:rsidRPr="0064597D">
        <w:rPr>
          <w:rFonts w:eastAsia="Verdana" w:cs="Verdana"/>
          <w:spacing w:val="2"/>
          <w:sz w:val="20"/>
          <w:szCs w:val="20"/>
          <w:lang w:val="es-ES"/>
        </w:rPr>
        <w:t>s</w:t>
      </w:r>
      <w:r w:rsidRPr="0064597D">
        <w:rPr>
          <w:rFonts w:eastAsia="Verdana" w:cs="Verdana"/>
          <w:sz w:val="20"/>
          <w:szCs w:val="20"/>
          <w:lang w:val="es-ES"/>
        </w:rPr>
        <w:t>e</w:t>
      </w:r>
      <w:r w:rsidRPr="0064597D">
        <w:rPr>
          <w:rFonts w:eastAsia="Verdana" w:cs="Verdana"/>
          <w:spacing w:val="32"/>
          <w:sz w:val="20"/>
          <w:szCs w:val="20"/>
          <w:lang w:val="es-ES"/>
        </w:rPr>
        <w:t xml:space="preserve"> </w:t>
      </w:r>
      <w:r w:rsidRPr="0064597D">
        <w:rPr>
          <w:rFonts w:eastAsia="Verdana" w:cs="Verdana"/>
          <w:spacing w:val="3"/>
          <w:sz w:val="20"/>
          <w:szCs w:val="20"/>
          <w:lang w:val="es-ES"/>
        </w:rPr>
        <w:t>p</w:t>
      </w:r>
      <w:r w:rsidRPr="0064597D">
        <w:rPr>
          <w:rFonts w:eastAsia="Verdana" w:cs="Verdana"/>
          <w:spacing w:val="-1"/>
          <w:sz w:val="20"/>
          <w:szCs w:val="20"/>
          <w:lang w:val="es-ES"/>
        </w:rPr>
        <w:t>ro</w:t>
      </w:r>
      <w:r w:rsidRPr="0064597D">
        <w:rPr>
          <w:rFonts w:eastAsia="Verdana" w:cs="Verdana"/>
          <w:spacing w:val="1"/>
          <w:sz w:val="20"/>
          <w:szCs w:val="20"/>
          <w:lang w:val="es-ES"/>
        </w:rPr>
        <w:t>duj</w:t>
      </w:r>
      <w:r w:rsidRPr="0064597D">
        <w:rPr>
          <w:rFonts w:eastAsia="Verdana" w:cs="Verdana"/>
          <w:sz w:val="20"/>
          <w:szCs w:val="20"/>
          <w:lang w:val="es-ES"/>
        </w:rPr>
        <w:t>o</w:t>
      </w:r>
      <w:r w:rsidRPr="0064597D">
        <w:rPr>
          <w:rFonts w:eastAsia="Verdana" w:cs="Verdana"/>
          <w:spacing w:val="29"/>
          <w:sz w:val="20"/>
          <w:szCs w:val="20"/>
          <w:lang w:val="es-ES"/>
        </w:rPr>
        <w:t xml:space="preserve"> </w:t>
      </w:r>
      <w:r w:rsidRPr="0064597D">
        <w:rPr>
          <w:rFonts w:eastAsia="Verdana" w:cs="Verdana"/>
          <w:sz w:val="20"/>
          <w:szCs w:val="20"/>
          <w:lang w:val="es-ES"/>
        </w:rPr>
        <w:t>su</w:t>
      </w:r>
      <w:r w:rsidRPr="0064597D">
        <w:rPr>
          <w:rFonts w:eastAsia="Verdana" w:cs="Verdana"/>
          <w:spacing w:val="33"/>
          <w:sz w:val="20"/>
          <w:szCs w:val="20"/>
          <w:lang w:val="es-ES"/>
        </w:rPr>
        <w:t xml:space="preserve"> </w:t>
      </w:r>
      <w:r w:rsidRPr="0064597D">
        <w:rPr>
          <w:rFonts w:eastAsia="Verdana" w:cs="Verdana"/>
          <w:sz w:val="20"/>
          <w:szCs w:val="20"/>
          <w:lang w:val="es-ES"/>
        </w:rPr>
        <w:t>m</w:t>
      </w:r>
      <w:r w:rsidRPr="0064597D">
        <w:rPr>
          <w:rFonts w:eastAsia="Verdana" w:cs="Verdana"/>
          <w:spacing w:val="4"/>
          <w:sz w:val="20"/>
          <w:szCs w:val="20"/>
          <w:lang w:val="es-ES"/>
        </w:rPr>
        <w:t>u</w:t>
      </w:r>
      <w:r w:rsidRPr="0064597D">
        <w:rPr>
          <w:rFonts w:eastAsia="Verdana" w:cs="Verdana"/>
          <w:spacing w:val="-1"/>
          <w:sz w:val="20"/>
          <w:szCs w:val="20"/>
          <w:lang w:val="es-ES"/>
        </w:rPr>
        <w:t>e</w:t>
      </w:r>
      <w:r w:rsidRPr="0064597D">
        <w:rPr>
          <w:rFonts w:eastAsia="Verdana" w:cs="Verdana"/>
          <w:spacing w:val="1"/>
          <w:sz w:val="20"/>
          <w:szCs w:val="20"/>
          <w:lang w:val="es-ES"/>
        </w:rPr>
        <w:t>rt</w:t>
      </w:r>
      <w:r w:rsidRPr="0064597D">
        <w:rPr>
          <w:rFonts w:eastAsia="Verdana" w:cs="Verdana"/>
          <w:sz w:val="20"/>
          <w:szCs w:val="20"/>
          <w:lang w:val="es-ES"/>
        </w:rPr>
        <w:t>e</w:t>
      </w:r>
      <w:r w:rsidRPr="0064597D">
        <w:rPr>
          <w:rFonts w:eastAsia="Verdana" w:cs="Verdana"/>
          <w:spacing w:val="27"/>
          <w:sz w:val="20"/>
          <w:szCs w:val="20"/>
          <w:lang w:val="es-ES"/>
        </w:rPr>
        <w:t xml:space="preserve"> </w:t>
      </w:r>
      <w:r w:rsidRPr="0064597D">
        <w:rPr>
          <w:rFonts w:eastAsia="Verdana" w:cs="Verdana"/>
          <w:sz w:val="20"/>
          <w:szCs w:val="20"/>
          <w:lang w:val="es-ES"/>
        </w:rPr>
        <w:t>y</w:t>
      </w:r>
      <w:r w:rsidRPr="0064597D">
        <w:rPr>
          <w:rFonts w:eastAsia="Verdana" w:cs="Verdana"/>
          <w:spacing w:val="35"/>
          <w:sz w:val="20"/>
          <w:szCs w:val="20"/>
          <w:lang w:val="es-ES"/>
        </w:rPr>
        <w:t xml:space="preserve"> </w:t>
      </w:r>
      <w:r w:rsidRPr="0064597D">
        <w:rPr>
          <w:rFonts w:eastAsia="Verdana" w:cs="Verdana"/>
          <w:sz w:val="20"/>
          <w:szCs w:val="20"/>
          <w:lang w:val="es-ES"/>
        </w:rPr>
        <w:t>si</w:t>
      </w:r>
      <w:r w:rsidRPr="0064597D">
        <w:rPr>
          <w:rFonts w:eastAsia="Verdana" w:cs="Verdana"/>
          <w:spacing w:val="36"/>
          <w:sz w:val="20"/>
          <w:szCs w:val="20"/>
          <w:lang w:val="es-ES"/>
        </w:rPr>
        <w:t xml:space="preserve"> </w:t>
      </w:r>
      <w:r w:rsidRPr="0064597D">
        <w:rPr>
          <w:rFonts w:eastAsia="Verdana" w:cs="Verdana"/>
          <w:spacing w:val="-1"/>
          <w:sz w:val="20"/>
          <w:szCs w:val="20"/>
          <w:lang w:val="es-ES"/>
        </w:rPr>
        <w:t>e</w:t>
      </w:r>
      <w:r w:rsidRPr="0064597D">
        <w:rPr>
          <w:rFonts w:eastAsia="Verdana" w:cs="Verdana"/>
          <w:sz w:val="20"/>
          <w:szCs w:val="20"/>
          <w:lang w:val="es-ES"/>
        </w:rPr>
        <w:t>sta</w:t>
      </w:r>
      <w:r w:rsidRPr="0064597D">
        <w:rPr>
          <w:rFonts w:eastAsia="Verdana" w:cs="Verdana"/>
          <w:spacing w:val="33"/>
          <w:sz w:val="20"/>
          <w:szCs w:val="20"/>
          <w:lang w:val="es-ES"/>
        </w:rPr>
        <w:t xml:space="preserve"> </w:t>
      </w:r>
      <w:r w:rsidRPr="0064597D">
        <w:rPr>
          <w:rFonts w:eastAsia="Verdana" w:cs="Verdana"/>
          <w:spacing w:val="1"/>
          <w:sz w:val="20"/>
          <w:szCs w:val="20"/>
          <w:lang w:val="es-ES"/>
        </w:rPr>
        <w:t>e</w:t>
      </w:r>
      <w:r w:rsidRPr="0064597D">
        <w:rPr>
          <w:rFonts w:eastAsia="Verdana" w:cs="Verdana"/>
          <w:sz w:val="20"/>
          <w:szCs w:val="20"/>
          <w:lang w:val="es-ES"/>
        </w:rPr>
        <w:t>s</w:t>
      </w:r>
      <w:r w:rsidRPr="0064597D">
        <w:rPr>
          <w:rFonts w:eastAsia="Verdana" w:cs="Verdana"/>
          <w:spacing w:val="32"/>
          <w:sz w:val="20"/>
          <w:szCs w:val="20"/>
          <w:lang w:val="es-ES"/>
        </w:rPr>
        <w:t xml:space="preserve"> </w:t>
      </w:r>
      <w:r w:rsidRPr="0064597D">
        <w:rPr>
          <w:rFonts w:eastAsia="Verdana" w:cs="Verdana"/>
          <w:sz w:val="20"/>
          <w:szCs w:val="20"/>
          <w:lang w:val="es-ES"/>
        </w:rPr>
        <w:t>a</w:t>
      </w:r>
      <w:r w:rsidRPr="0064597D">
        <w:rPr>
          <w:rFonts w:eastAsia="Verdana" w:cs="Verdana"/>
          <w:spacing w:val="3"/>
          <w:sz w:val="20"/>
          <w:szCs w:val="20"/>
          <w:lang w:val="es-ES"/>
        </w:rPr>
        <w:t>t</w:t>
      </w:r>
      <w:r w:rsidRPr="0064597D">
        <w:rPr>
          <w:rFonts w:eastAsia="Verdana" w:cs="Verdana"/>
          <w:spacing w:val="-1"/>
          <w:sz w:val="20"/>
          <w:szCs w:val="20"/>
          <w:lang w:val="es-ES"/>
        </w:rPr>
        <w:t>r</w:t>
      </w:r>
      <w:r w:rsidRPr="0064597D">
        <w:rPr>
          <w:rFonts w:eastAsia="Verdana" w:cs="Verdana"/>
          <w:spacing w:val="3"/>
          <w:sz w:val="20"/>
          <w:szCs w:val="20"/>
          <w:lang w:val="es-ES"/>
        </w:rPr>
        <w:t>i</w:t>
      </w:r>
      <w:r w:rsidRPr="0064597D">
        <w:rPr>
          <w:rFonts w:eastAsia="Verdana" w:cs="Verdana"/>
          <w:spacing w:val="1"/>
          <w:sz w:val="20"/>
          <w:szCs w:val="20"/>
          <w:lang w:val="es-ES"/>
        </w:rPr>
        <w:t>b</w:t>
      </w:r>
      <w:r w:rsidRPr="0064597D">
        <w:rPr>
          <w:rFonts w:eastAsia="Verdana" w:cs="Verdana"/>
          <w:spacing w:val="-1"/>
          <w:sz w:val="20"/>
          <w:szCs w:val="20"/>
          <w:lang w:val="es-ES"/>
        </w:rPr>
        <w:t>u</w:t>
      </w:r>
      <w:r w:rsidRPr="0064597D">
        <w:rPr>
          <w:rFonts w:eastAsia="Verdana" w:cs="Verdana"/>
          <w:spacing w:val="3"/>
          <w:sz w:val="20"/>
          <w:szCs w:val="20"/>
          <w:lang w:val="es-ES"/>
        </w:rPr>
        <w:t>i</w:t>
      </w:r>
      <w:r w:rsidRPr="0064597D">
        <w:rPr>
          <w:rFonts w:eastAsia="Verdana" w:cs="Verdana"/>
          <w:spacing w:val="-2"/>
          <w:sz w:val="20"/>
          <w:szCs w:val="20"/>
          <w:lang w:val="es-ES"/>
        </w:rPr>
        <w:t>b</w:t>
      </w:r>
      <w:r w:rsidRPr="0064597D">
        <w:rPr>
          <w:rFonts w:eastAsia="Verdana" w:cs="Verdana"/>
          <w:spacing w:val="3"/>
          <w:sz w:val="20"/>
          <w:szCs w:val="20"/>
          <w:lang w:val="es-ES"/>
        </w:rPr>
        <w:t>l</w:t>
      </w:r>
      <w:r w:rsidRPr="0064597D">
        <w:rPr>
          <w:rFonts w:eastAsia="Verdana" w:cs="Verdana"/>
          <w:sz w:val="20"/>
          <w:szCs w:val="20"/>
          <w:lang w:val="es-ES"/>
        </w:rPr>
        <w:t>e</w:t>
      </w:r>
      <w:r w:rsidRPr="0064597D">
        <w:rPr>
          <w:rFonts w:eastAsia="Verdana" w:cs="Verdana"/>
          <w:spacing w:val="25"/>
          <w:sz w:val="20"/>
          <w:szCs w:val="20"/>
          <w:lang w:val="es-ES"/>
        </w:rPr>
        <w:t xml:space="preserve"> </w:t>
      </w:r>
      <w:r w:rsidRPr="0064597D">
        <w:rPr>
          <w:rFonts w:eastAsia="Verdana" w:cs="Verdana"/>
          <w:sz w:val="20"/>
          <w:szCs w:val="20"/>
          <w:lang w:val="es-ES"/>
        </w:rPr>
        <w:t>al</w:t>
      </w:r>
      <w:r w:rsidRPr="0064597D">
        <w:rPr>
          <w:rFonts w:eastAsia="Verdana" w:cs="Verdana"/>
          <w:spacing w:val="37"/>
          <w:sz w:val="20"/>
          <w:szCs w:val="20"/>
          <w:lang w:val="es-ES"/>
        </w:rPr>
        <w:t xml:space="preserve"> </w:t>
      </w:r>
      <w:r w:rsidRPr="0064597D">
        <w:rPr>
          <w:rFonts w:eastAsia="Verdana" w:cs="Verdana"/>
          <w:spacing w:val="-1"/>
          <w:sz w:val="20"/>
          <w:szCs w:val="20"/>
          <w:lang w:val="es-ES"/>
        </w:rPr>
        <w:t>E</w:t>
      </w:r>
      <w:r w:rsidRPr="0064597D">
        <w:rPr>
          <w:rFonts w:eastAsia="Verdana" w:cs="Verdana"/>
          <w:sz w:val="20"/>
          <w:szCs w:val="20"/>
          <w:lang w:val="es-ES"/>
        </w:rPr>
        <w:t>sta</w:t>
      </w:r>
      <w:r w:rsidRPr="0064597D">
        <w:rPr>
          <w:rFonts w:eastAsia="Verdana" w:cs="Verdana"/>
          <w:spacing w:val="1"/>
          <w:sz w:val="20"/>
          <w:szCs w:val="20"/>
          <w:lang w:val="es-ES"/>
        </w:rPr>
        <w:t>d</w:t>
      </w:r>
      <w:r w:rsidRPr="0064597D">
        <w:rPr>
          <w:rFonts w:eastAsia="Verdana" w:cs="Verdana"/>
          <w:sz w:val="20"/>
          <w:szCs w:val="20"/>
          <w:lang w:val="es-ES"/>
        </w:rPr>
        <w:t>o</w:t>
      </w:r>
      <w:r w:rsidRPr="0064597D">
        <w:rPr>
          <w:rFonts w:eastAsia="Verdana" w:cs="Verdana"/>
          <w:spacing w:val="30"/>
          <w:sz w:val="20"/>
          <w:szCs w:val="20"/>
          <w:lang w:val="es-ES"/>
        </w:rPr>
        <w:t xml:space="preserve"> </w:t>
      </w:r>
      <w:r w:rsidRPr="0064597D">
        <w:rPr>
          <w:rFonts w:eastAsia="Verdana" w:cs="Verdana"/>
          <w:sz w:val="20"/>
          <w:szCs w:val="20"/>
          <w:lang w:val="es-ES"/>
        </w:rPr>
        <w:t>s</w:t>
      </w:r>
      <w:r w:rsidRPr="0064597D">
        <w:rPr>
          <w:rFonts w:eastAsia="Verdana" w:cs="Verdana"/>
          <w:spacing w:val="-2"/>
          <w:sz w:val="20"/>
          <w:szCs w:val="20"/>
          <w:lang w:val="es-ES"/>
        </w:rPr>
        <w:t>o</w:t>
      </w:r>
      <w:r w:rsidRPr="0064597D">
        <w:rPr>
          <w:rFonts w:eastAsia="Verdana" w:cs="Verdana"/>
          <w:spacing w:val="1"/>
          <w:sz w:val="20"/>
          <w:szCs w:val="20"/>
          <w:lang w:val="es-ES"/>
        </w:rPr>
        <w:t>n</w:t>
      </w:r>
      <w:r w:rsidRPr="0064597D">
        <w:rPr>
          <w:rFonts w:eastAsia="Verdana" w:cs="Verdana"/>
          <w:sz w:val="20"/>
          <w:szCs w:val="20"/>
          <w:lang w:val="es-ES"/>
        </w:rPr>
        <w:t>,</w:t>
      </w:r>
      <w:r w:rsidRPr="0064597D">
        <w:rPr>
          <w:rFonts w:eastAsia="Verdana" w:cs="Verdana"/>
          <w:spacing w:val="32"/>
          <w:sz w:val="20"/>
          <w:szCs w:val="20"/>
          <w:lang w:val="es-ES"/>
        </w:rPr>
        <w:t xml:space="preserve"> </w:t>
      </w:r>
      <w:r w:rsidRPr="0064597D">
        <w:rPr>
          <w:rFonts w:eastAsia="Verdana" w:cs="Verdana"/>
          <w:sz w:val="20"/>
          <w:szCs w:val="20"/>
          <w:lang w:val="es-ES"/>
        </w:rPr>
        <w:t>s</w:t>
      </w:r>
      <w:r w:rsidRPr="0064597D">
        <w:rPr>
          <w:rFonts w:eastAsia="Verdana" w:cs="Verdana"/>
          <w:spacing w:val="2"/>
          <w:sz w:val="20"/>
          <w:szCs w:val="20"/>
          <w:lang w:val="es-ES"/>
        </w:rPr>
        <w:t>i</w:t>
      </w:r>
      <w:r w:rsidRPr="0064597D">
        <w:rPr>
          <w:rFonts w:eastAsia="Verdana" w:cs="Verdana"/>
          <w:sz w:val="20"/>
          <w:szCs w:val="20"/>
          <w:lang w:val="es-ES"/>
        </w:rPr>
        <w:t xml:space="preserve">n </w:t>
      </w:r>
      <w:r w:rsidRPr="0064597D">
        <w:rPr>
          <w:rFonts w:eastAsia="Verdana" w:cs="Verdana"/>
          <w:spacing w:val="-1"/>
          <w:sz w:val="20"/>
          <w:szCs w:val="20"/>
          <w:lang w:val="es-ES"/>
        </w:rPr>
        <w:t>e</w:t>
      </w:r>
      <w:r w:rsidRPr="0064597D">
        <w:rPr>
          <w:rFonts w:eastAsia="Verdana" w:cs="Verdana"/>
          <w:sz w:val="20"/>
          <w:szCs w:val="20"/>
          <w:lang w:val="es-ES"/>
        </w:rPr>
        <w:t>m</w:t>
      </w:r>
      <w:r w:rsidRPr="0064597D">
        <w:rPr>
          <w:rFonts w:eastAsia="Verdana" w:cs="Verdana"/>
          <w:spacing w:val="1"/>
          <w:sz w:val="20"/>
          <w:szCs w:val="20"/>
          <w:lang w:val="es-ES"/>
        </w:rPr>
        <w:t>b</w:t>
      </w:r>
      <w:r w:rsidRPr="0064597D">
        <w:rPr>
          <w:rFonts w:eastAsia="Verdana" w:cs="Verdana"/>
          <w:sz w:val="20"/>
          <w:szCs w:val="20"/>
          <w:lang w:val="es-ES"/>
        </w:rPr>
        <w:t>a</w:t>
      </w:r>
      <w:r w:rsidRPr="0064597D">
        <w:rPr>
          <w:rFonts w:eastAsia="Verdana" w:cs="Verdana"/>
          <w:spacing w:val="-1"/>
          <w:sz w:val="20"/>
          <w:szCs w:val="20"/>
          <w:lang w:val="es-ES"/>
        </w:rPr>
        <w:t>r</w:t>
      </w:r>
      <w:r w:rsidRPr="0064597D">
        <w:rPr>
          <w:rFonts w:eastAsia="Verdana" w:cs="Verdana"/>
          <w:spacing w:val="3"/>
          <w:sz w:val="20"/>
          <w:szCs w:val="20"/>
          <w:lang w:val="es-ES"/>
        </w:rPr>
        <w:t>g</w:t>
      </w:r>
      <w:r w:rsidRPr="0064597D">
        <w:rPr>
          <w:rFonts w:eastAsia="Verdana" w:cs="Verdana"/>
          <w:spacing w:val="-1"/>
          <w:sz w:val="20"/>
          <w:szCs w:val="20"/>
          <w:lang w:val="es-ES"/>
        </w:rPr>
        <w:t>o</w:t>
      </w:r>
      <w:r w:rsidRPr="0064597D">
        <w:rPr>
          <w:rFonts w:eastAsia="Verdana" w:cs="Verdana"/>
          <w:sz w:val="20"/>
          <w:szCs w:val="20"/>
          <w:lang w:val="es-ES"/>
        </w:rPr>
        <w:t>,</w:t>
      </w:r>
      <w:r w:rsidRPr="0064597D">
        <w:rPr>
          <w:rFonts w:eastAsia="Verdana" w:cs="Verdana"/>
          <w:spacing w:val="1"/>
          <w:sz w:val="20"/>
          <w:szCs w:val="20"/>
          <w:lang w:val="es-ES"/>
        </w:rPr>
        <w:t xml:space="preserve"> </w:t>
      </w:r>
      <w:r w:rsidRPr="0064597D">
        <w:rPr>
          <w:rFonts w:eastAsia="Verdana" w:cs="Verdana"/>
          <w:sz w:val="20"/>
          <w:szCs w:val="20"/>
          <w:lang w:val="es-ES"/>
        </w:rPr>
        <w:t>c</w:t>
      </w:r>
      <w:r w:rsidRPr="0064597D">
        <w:rPr>
          <w:rFonts w:eastAsia="Verdana" w:cs="Verdana"/>
          <w:spacing w:val="3"/>
          <w:sz w:val="20"/>
          <w:szCs w:val="20"/>
          <w:lang w:val="es-ES"/>
        </w:rPr>
        <w:t>u</w:t>
      </w:r>
      <w:r w:rsidRPr="0064597D">
        <w:rPr>
          <w:rFonts w:eastAsia="Verdana" w:cs="Verdana"/>
          <w:spacing w:val="-1"/>
          <w:sz w:val="20"/>
          <w:szCs w:val="20"/>
          <w:lang w:val="es-ES"/>
        </w:rPr>
        <w:t>e</w:t>
      </w:r>
      <w:r w:rsidRPr="0064597D">
        <w:rPr>
          <w:rFonts w:eastAsia="Verdana" w:cs="Verdana"/>
          <w:sz w:val="20"/>
          <w:szCs w:val="20"/>
          <w:lang w:val="es-ES"/>
        </w:rPr>
        <w:t>st</w:t>
      </w:r>
      <w:r w:rsidRPr="0064597D">
        <w:rPr>
          <w:rFonts w:eastAsia="Verdana" w:cs="Verdana"/>
          <w:spacing w:val="3"/>
          <w:sz w:val="20"/>
          <w:szCs w:val="20"/>
          <w:lang w:val="es-ES"/>
        </w:rPr>
        <w:t>i</w:t>
      </w:r>
      <w:r w:rsidRPr="0064597D">
        <w:rPr>
          <w:rFonts w:eastAsia="Verdana" w:cs="Verdana"/>
          <w:spacing w:val="-1"/>
          <w:sz w:val="20"/>
          <w:szCs w:val="20"/>
          <w:lang w:val="es-ES"/>
        </w:rPr>
        <w:t>o</w:t>
      </w:r>
      <w:r w:rsidRPr="0064597D">
        <w:rPr>
          <w:rFonts w:eastAsia="Verdana" w:cs="Verdana"/>
          <w:spacing w:val="1"/>
          <w:sz w:val="20"/>
          <w:szCs w:val="20"/>
          <w:lang w:val="es-ES"/>
        </w:rPr>
        <w:t>n</w:t>
      </w:r>
      <w:r w:rsidRPr="0064597D">
        <w:rPr>
          <w:rFonts w:eastAsia="Verdana" w:cs="Verdana"/>
          <w:spacing w:val="-1"/>
          <w:sz w:val="20"/>
          <w:szCs w:val="20"/>
          <w:lang w:val="es-ES"/>
        </w:rPr>
        <w:t>e</w:t>
      </w:r>
      <w:r w:rsidRPr="0064597D">
        <w:rPr>
          <w:rFonts w:eastAsia="Verdana" w:cs="Verdana"/>
          <w:sz w:val="20"/>
          <w:szCs w:val="20"/>
          <w:lang w:val="es-ES"/>
        </w:rPr>
        <w:t>s</w:t>
      </w:r>
      <w:r w:rsidRPr="0064597D">
        <w:rPr>
          <w:rFonts w:eastAsia="Verdana" w:cs="Verdana"/>
          <w:spacing w:val="1"/>
          <w:sz w:val="20"/>
          <w:szCs w:val="20"/>
          <w:lang w:val="es-ES"/>
        </w:rPr>
        <w:t xml:space="preserve"> </w:t>
      </w:r>
      <w:r w:rsidRPr="0064597D">
        <w:rPr>
          <w:rFonts w:eastAsia="Verdana" w:cs="Verdana"/>
          <w:spacing w:val="2"/>
          <w:sz w:val="20"/>
          <w:szCs w:val="20"/>
          <w:lang w:val="es-ES"/>
        </w:rPr>
        <w:t>c</w:t>
      </w:r>
      <w:r w:rsidRPr="0064597D">
        <w:rPr>
          <w:rFonts w:eastAsia="Verdana" w:cs="Verdana"/>
          <w:spacing w:val="1"/>
          <w:sz w:val="20"/>
          <w:szCs w:val="20"/>
          <w:lang w:val="es-ES"/>
        </w:rPr>
        <w:t>ont</w:t>
      </w:r>
      <w:r w:rsidRPr="0064597D">
        <w:rPr>
          <w:rFonts w:eastAsia="Verdana" w:cs="Verdana"/>
          <w:spacing w:val="-1"/>
          <w:sz w:val="20"/>
          <w:szCs w:val="20"/>
          <w:lang w:val="es-ES"/>
        </w:rPr>
        <w:t>ro</w:t>
      </w:r>
      <w:r w:rsidRPr="0064597D">
        <w:rPr>
          <w:rFonts w:eastAsia="Verdana" w:cs="Verdana"/>
          <w:spacing w:val="2"/>
          <w:sz w:val="20"/>
          <w:szCs w:val="20"/>
          <w:lang w:val="es-ES"/>
        </w:rPr>
        <w:t>v</w:t>
      </w:r>
      <w:r w:rsidRPr="0064597D">
        <w:rPr>
          <w:rFonts w:eastAsia="Verdana" w:cs="Verdana"/>
          <w:spacing w:val="-1"/>
          <w:sz w:val="20"/>
          <w:szCs w:val="20"/>
          <w:lang w:val="es-ES"/>
        </w:rPr>
        <w:t>er</w:t>
      </w:r>
      <w:r w:rsidRPr="0064597D">
        <w:rPr>
          <w:rFonts w:eastAsia="Verdana" w:cs="Verdana"/>
          <w:spacing w:val="1"/>
          <w:sz w:val="20"/>
          <w:szCs w:val="20"/>
          <w:lang w:val="es-ES"/>
        </w:rPr>
        <w:t>t</w:t>
      </w:r>
      <w:r w:rsidRPr="0064597D">
        <w:rPr>
          <w:rFonts w:eastAsia="Verdana" w:cs="Verdana"/>
          <w:spacing w:val="3"/>
          <w:sz w:val="20"/>
          <w:szCs w:val="20"/>
          <w:lang w:val="es-ES"/>
        </w:rPr>
        <w:t>i</w:t>
      </w:r>
      <w:r w:rsidRPr="0064597D">
        <w:rPr>
          <w:rFonts w:eastAsia="Verdana" w:cs="Verdana"/>
          <w:spacing w:val="1"/>
          <w:sz w:val="20"/>
          <w:szCs w:val="20"/>
          <w:lang w:val="es-ES"/>
        </w:rPr>
        <w:t>d</w:t>
      </w:r>
      <w:r w:rsidRPr="0064597D">
        <w:rPr>
          <w:rFonts w:eastAsia="Verdana" w:cs="Verdana"/>
          <w:sz w:val="20"/>
          <w:szCs w:val="20"/>
          <w:lang w:val="es-ES"/>
        </w:rPr>
        <w:t>as.</w:t>
      </w:r>
      <w:r w:rsidRPr="0064597D">
        <w:rPr>
          <w:rFonts w:eastAsia="Verdana" w:cs="Verdana"/>
          <w:spacing w:val="-5"/>
          <w:sz w:val="20"/>
          <w:szCs w:val="20"/>
          <w:lang w:val="es-ES"/>
        </w:rPr>
        <w:t xml:space="preserve"> </w:t>
      </w:r>
      <w:r w:rsidR="000C391B" w:rsidRPr="0064597D">
        <w:rPr>
          <w:rFonts w:eastAsia="Verdana" w:cs="Verdana"/>
          <w:spacing w:val="-5"/>
          <w:sz w:val="20"/>
          <w:szCs w:val="20"/>
          <w:lang w:val="es-ES"/>
        </w:rPr>
        <w:t xml:space="preserve">En vista de </w:t>
      </w:r>
      <w:r w:rsidR="007F456A" w:rsidRPr="0064597D">
        <w:rPr>
          <w:rFonts w:eastAsiaTheme="minorHAnsi" w:cs="Arial"/>
          <w:spacing w:val="-2"/>
          <w:sz w:val="20"/>
          <w:szCs w:val="20"/>
        </w:rPr>
        <w:t xml:space="preserve">lo anterior, </w:t>
      </w:r>
      <w:r w:rsidR="00383B36" w:rsidRPr="0064597D">
        <w:rPr>
          <w:rFonts w:eastAsia="Verdana" w:cs="Verdana"/>
          <w:spacing w:val="3"/>
          <w:sz w:val="20"/>
          <w:szCs w:val="20"/>
          <w:lang w:val="es-ES"/>
        </w:rPr>
        <w:t>l</w:t>
      </w:r>
      <w:r w:rsidR="00383B36" w:rsidRPr="0064597D">
        <w:rPr>
          <w:rFonts w:eastAsia="Verdana" w:cs="Verdana"/>
          <w:sz w:val="20"/>
          <w:szCs w:val="20"/>
          <w:lang w:val="es-ES"/>
        </w:rPr>
        <w:t>a</w:t>
      </w:r>
      <w:r w:rsidR="00383B36" w:rsidRPr="0064597D">
        <w:rPr>
          <w:rFonts w:eastAsia="Verdana" w:cs="Verdana"/>
          <w:spacing w:val="12"/>
          <w:sz w:val="20"/>
          <w:szCs w:val="20"/>
          <w:lang w:val="es-ES"/>
        </w:rPr>
        <w:t xml:space="preserve"> </w:t>
      </w:r>
      <w:r w:rsidR="00383B36" w:rsidRPr="0064597D">
        <w:rPr>
          <w:rFonts w:eastAsia="Verdana" w:cs="Verdana"/>
          <w:sz w:val="20"/>
          <w:szCs w:val="20"/>
          <w:lang w:val="es-ES"/>
        </w:rPr>
        <w:t>C</w:t>
      </w:r>
      <w:r w:rsidR="00383B36" w:rsidRPr="0064597D">
        <w:rPr>
          <w:rFonts w:eastAsia="Verdana" w:cs="Verdana"/>
          <w:spacing w:val="-1"/>
          <w:sz w:val="20"/>
          <w:szCs w:val="20"/>
          <w:lang w:val="es-ES"/>
        </w:rPr>
        <w:t>or</w:t>
      </w:r>
      <w:r w:rsidR="00383B36" w:rsidRPr="0064597D">
        <w:rPr>
          <w:rFonts w:eastAsia="Verdana" w:cs="Verdana"/>
          <w:spacing w:val="1"/>
          <w:sz w:val="20"/>
          <w:szCs w:val="20"/>
          <w:lang w:val="es-ES"/>
        </w:rPr>
        <w:t>t</w:t>
      </w:r>
      <w:r w:rsidR="00383B36" w:rsidRPr="0064597D">
        <w:rPr>
          <w:rFonts w:eastAsia="Verdana" w:cs="Verdana"/>
          <w:sz w:val="20"/>
          <w:szCs w:val="20"/>
          <w:lang w:val="es-ES"/>
        </w:rPr>
        <w:t>e</w:t>
      </w:r>
      <w:r w:rsidR="00383B36" w:rsidRPr="0064597D">
        <w:rPr>
          <w:rFonts w:eastAsia="Verdana" w:cs="Verdana"/>
          <w:spacing w:val="7"/>
          <w:sz w:val="20"/>
          <w:szCs w:val="20"/>
          <w:lang w:val="es-ES"/>
        </w:rPr>
        <w:t xml:space="preserve"> </w:t>
      </w:r>
      <w:r w:rsidR="00383B36" w:rsidRPr="0064597D">
        <w:rPr>
          <w:rFonts w:eastAsia="Verdana" w:cs="Verdana"/>
          <w:sz w:val="20"/>
          <w:szCs w:val="20"/>
          <w:lang w:val="es-ES"/>
        </w:rPr>
        <w:t>a</w:t>
      </w:r>
      <w:r w:rsidR="00383B36" w:rsidRPr="0064597D">
        <w:rPr>
          <w:rFonts w:eastAsia="Verdana" w:cs="Verdana"/>
          <w:spacing w:val="1"/>
          <w:sz w:val="20"/>
          <w:szCs w:val="20"/>
          <w:lang w:val="es-ES"/>
        </w:rPr>
        <w:t>n</w:t>
      </w:r>
      <w:r w:rsidR="00383B36" w:rsidRPr="0064597D">
        <w:rPr>
          <w:rFonts w:eastAsia="Verdana" w:cs="Verdana"/>
          <w:sz w:val="20"/>
          <w:szCs w:val="20"/>
          <w:lang w:val="es-ES"/>
        </w:rPr>
        <w:t>a</w:t>
      </w:r>
      <w:r w:rsidR="00383B36" w:rsidRPr="0064597D">
        <w:rPr>
          <w:rFonts w:eastAsia="Verdana" w:cs="Verdana"/>
          <w:spacing w:val="1"/>
          <w:sz w:val="20"/>
          <w:szCs w:val="20"/>
          <w:lang w:val="es-ES"/>
        </w:rPr>
        <w:t>l</w:t>
      </w:r>
      <w:r w:rsidR="00383B36" w:rsidRPr="0064597D">
        <w:rPr>
          <w:rFonts w:eastAsia="Verdana" w:cs="Verdana"/>
          <w:sz w:val="20"/>
          <w:szCs w:val="20"/>
          <w:lang w:val="es-ES"/>
        </w:rPr>
        <w:t>i</w:t>
      </w:r>
      <w:r w:rsidR="00383B36" w:rsidRPr="0064597D">
        <w:rPr>
          <w:rFonts w:eastAsia="Verdana" w:cs="Verdana"/>
          <w:spacing w:val="1"/>
          <w:sz w:val="20"/>
          <w:szCs w:val="20"/>
          <w:lang w:val="es-ES"/>
        </w:rPr>
        <w:t>z</w:t>
      </w:r>
      <w:r w:rsidR="00383B36" w:rsidRPr="0064597D">
        <w:rPr>
          <w:rFonts w:eastAsia="Verdana" w:cs="Verdana"/>
          <w:sz w:val="20"/>
          <w:szCs w:val="20"/>
          <w:lang w:val="es-ES"/>
        </w:rPr>
        <w:t>a</w:t>
      </w:r>
      <w:r w:rsidR="00383B36" w:rsidRPr="0064597D">
        <w:rPr>
          <w:rFonts w:eastAsia="Verdana" w:cs="Verdana"/>
          <w:spacing w:val="-1"/>
          <w:sz w:val="20"/>
          <w:szCs w:val="20"/>
          <w:lang w:val="es-ES"/>
        </w:rPr>
        <w:t>r</w:t>
      </w:r>
      <w:r w:rsidR="00383B36" w:rsidRPr="0064597D">
        <w:rPr>
          <w:rFonts w:eastAsia="Verdana" w:cs="Verdana"/>
          <w:sz w:val="20"/>
          <w:szCs w:val="20"/>
          <w:lang w:val="es-ES"/>
        </w:rPr>
        <w:t>á</w:t>
      </w:r>
      <w:r w:rsidR="00383B36" w:rsidRPr="0064597D">
        <w:rPr>
          <w:rFonts w:eastAsia="Verdana" w:cs="Verdana"/>
          <w:spacing w:val="5"/>
          <w:sz w:val="20"/>
          <w:szCs w:val="20"/>
          <w:lang w:val="es-ES"/>
        </w:rPr>
        <w:t xml:space="preserve"> </w:t>
      </w:r>
      <w:r w:rsidR="00383B36" w:rsidRPr="0064597D">
        <w:rPr>
          <w:rFonts w:eastAsia="Verdana" w:cs="Verdana"/>
          <w:sz w:val="20"/>
          <w:szCs w:val="20"/>
          <w:lang w:val="es-ES"/>
        </w:rPr>
        <w:t>a</w:t>
      </w:r>
      <w:r w:rsidR="00383B36" w:rsidRPr="0064597D">
        <w:rPr>
          <w:rFonts w:eastAsia="Verdana" w:cs="Verdana"/>
          <w:spacing w:val="13"/>
          <w:sz w:val="20"/>
          <w:szCs w:val="20"/>
          <w:lang w:val="es-ES"/>
        </w:rPr>
        <w:t xml:space="preserve"> </w:t>
      </w:r>
      <w:r w:rsidR="00383B36" w:rsidRPr="0064597D">
        <w:rPr>
          <w:rFonts w:eastAsia="Verdana" w:cs="Verdana"/>
          <w:sz w:val="20"/>
          <w:szCs w:val="20"/>
          <w:lang w:val="es-ES"/>
        </w:rPr>
        <w:t>c</w:t>
      </w:r>
      <w:r w:rsidR="00383B36" w:rsidRPr="0064597D">
        <w:rPr>
          <w:rFonts w:eastAsia="Verdana" w:cs="Verdana"/>
          <w:spacing w:val="-2"/>
          <w:sz w:val="20"/>
          <w:szCs w:val="20"/>
          <w:lang w:val="es-ES"/>
        </w:rPr>
        <w:t>o</w:t>
      </w:r>
      <w:r w:rsidR="00383B36" w:rsidRPr="0064597D">
        <w:rPr>
          <w:rFonts w:eastAsia="Verdana" w:cs="Verdana"/>
          <w:spacing w:val="1"/>
          <w:sz w:val="20"/>
          <w:szCs w:val="20"/>
          <w:lang w:val="es-ES"/>
        </w:rPr>
        <w:t>nt</w:t>
      </w:r>
      <w:r w:rsidR="00383B36" w:rsidRPr="0064597D">
        <w:rPr>
          <w:rFonts w:eastAsia="Verdana" w:cs="Verdana"/>
          <w:spacing w:val="3"/>
          <w:sz w:val="20"/>
          <w:szCs w:val="20"/>
          <w:lang w:val="es-ES"/>
        </w:rPr>
        <w:t>i</w:t>
      </w:r>
      <w:r w:rsidR="00383B36" w:rsidRPr="0064597D">
        <w:rPr>
          <w:rFonts w:eastAsia="Verdana" w:cs="Verdana"/>
          <w:spacing w:val="1"/>
          <w:sz w:val="20"/>
          <w:szCs w:val="20"/>
          <w:lang w:val="es-ES"/>
        </w:rPr>
        <w:t>nu</w:t>
      </w:r>
      <w:r w:rsidR="00383B36" w:rsidRPr="0064597D">
        <w:rPr>
          <w:rFonts w:eastAsia="Verdana" w:cs="Verdana"/>
          <w:sz w:val="20"/>
          <w:szCs w:val="20"/>
          <w:lang w:val="es-ES"/>
        </w:rPr>
        <w:t>a</w:t>
      </w:r>
      <w:r w:rsidR="00383B36" w:rsidRPr="0064597D">
        <w:rPr>
          <w:rFonts w:eastAsia="Verdana" w:cs="Verdana"/>
          <w:spacing w:val="-3"/>
          <w:sz w:val="20"/>
          <w:szCs w:val="20"/>
          <w:lang w:val="es-ES"/>
        </w:rPr>
        <w:t>c</w:t>
      </w:r>
      <w:r w:rsidR="00383B36" w:rsidRPr="0064597D">
        <w:rPr>
          <w:rFonts w:eastAsia="Verdana" w:cs="Verdana"/>
          <w:spacing w:val="3"/>
          <w:sz w:val="20"/>
          <w:szCs w:val="20"/>
          <w:lang w:val="es-ES"/>
        </w:rPr>
        <w:t>i</w:t>
      </w:r>
      <w:r w:rsidR="00383B36" w:rsidRPr="0064597D">
        <w:rPr>
          <w:rFonts w:eastAsia="Verdana" w:cs="Verdana"/>
          <w:spacing w:val="-1"/>
          <w:sz w:val="20"/>
          <w:szCs w:val="20"/>
          <w:lang w:val="es-ES"/>
        </w:rPr>
        <w:t>ó</w:t>
      </w:r>
      <w:r w:rsidR="00383B36" w:rsidRPr="0064597D">
        <w:rPr>
          <w:rFonts w:eastAsia="Verdana" w:cs="Verdana"/>
          <w:sz w:val="20"/>
          <w:szCs w:val="20"/>
          <w:lang w:val="es-ES"/>
        </w:rPr>
        <w:t>n</w:t>
      </w:r>
      <w:r w:rsidR="00383B36" w:rsidRPr="0064597D">
        <w:rPr>
          <w:rFonts w:eastAsia="Verdana" w:cs="Verdana"/>
          <w:spacing w:val="-1"/>
          <w:sz w:val="20"/>
          <w:szCs w:val="20"/>
          <w:lang w:val="es-ES"/>
        </w:rPr>
        <w:t xml:space="preserve"> </w:t>
      </w:r>
      <w:r w:rsidR="00383B36" w:rsidRPr="0064597D">
        <w:rPr>
          <w:rFonts w:eastAsia="Verdana" w:cs="Verdana"/>
          <w:spacing w:val="3"/>
          <w:sz w:val="20"/>
          <w:szCs w:val="20"/>
          <w:lang w:val="es-ES"/>
        </w:rPr>
        <w:t>l</w:t>
      </w:r>
      <w:r w:rsidR="00383B36" w:rsidRPr="0064597D">
        <w:rPr>
          <w:rFonts w:eastAsia="Verdana" w:cs="Verdana"/>
          <w:sz w:val="20"/>
          <w:szCs w:val="20"/>
          <w:lang w:val="es-ES"/>
        </w:rPr>
        <w:t>a</w:t>
      </w:r>
      <w:r w:rsidR="00383B36" w:rsidRPr="0064597D">
        <w:rPr>
          <w:rFonts w:eastAsia="Verdana" w:cs="Verdana"/>
          <w:spacing w:val="17"/>
          <w:sz w:val="20"/>
          <w:szCs w:val="20"/>
          <w:lang w:val="es-ES"/>
        </w:rPr>
        <w:t xml:space="preserve"> </w:t>
      </w:r>
      <w:r w:rsidR="00383B36" w:rsidRPr="0064597D">
        <w:rPr>
          <w:rFonts w:eastAsia="Verdana" w:cs="Verdana"/>
          <w:spacing w:val="-3"/>
          <w:sz w:val="20"/>
          <w:szCs w:val="20"/>
          <w:lang w:val="es-ES"/>
        </w:rPr>
        <w:t>v</w:t>
      </w:r>
      <w:r w:rsidR="00383B36" w:rsidRPr="0064597D">
        <w:rPr>
          <w:rFonts w:eastAsia="Verdana" w:cs="Verdana"/>
          <w:spacing w:val="-1"/>
          <w:sz w:val="20"/>
          <w:szCs w:val="20"/>
          <w:lang w:val="es-ES"/>
        </w:rPr>
        <w:t>e</w:t>
      </w:r>
      <w:r w:rsidR="00383B36" w:rsidRPr="0064597D">
        <w:rPr>
          <w:rFonts w:eastAsia="Verdana" w:cs="Verdana"/>
          <w:spacing w:val="1"/>
          <w:sz w:val="20"/>
          <w:szCs w:val="20"/>
          <w:lang w:val="es-ES"/>
        </w:rPr>
        <w:t>r</w:t>
      </w:r>
      <w:r w:rsidR="00383B36" w:rsidRPr="0064597D">
        <w:rPr>
          <w:rFonts w:eastAsia="Verdana" w:cs="Verdana"/>
          <w:spacing w:val="-1"/>
          <w:sz w:val="20"/>
          <w:szCs w:val="20"/>
          <w:lang w:val="es-ES"/>
        </w:rPr>
        <w:t>o</w:t>
      </w:r>
      <w:r w:rsidR="00383B36" w:rsidRPr="0064597D">
        <w:rPr>
          <w:rFonts w:eastAsia="Verdana" w:cs="Verdana"/>
          <w:sz w:val="20"/>
          <w:szCs w:val="20"/>
          <w:lang w:val="es-ES"/>
        </w:rPr>
        <w:t>s</w:t>
      </w:r>
      <w:r w:rsidR="00383B36" w:rsidRPr="0064597D">
        <w:rPr>
          <w:rFonts w:eastAsia="Verdana" w:cs="Verdana"/>
          <w:spacing w:val="2"/>
          <w:sz w:val="20"/>
          <w:szCs w:val="20"/>
          <w:lang w:val="es-ES"/>
        </w:rPr>
        <w:t>i</w:t>
      </w:r>
      <w:r w:rsidR="00383B36" w:rsidRPr="0064597D">
        <w:rPr>
          <w:rFonts w:eastAsia="Verdana" w:cs="Verdana"/>
          <w:sz w:val="20"/>
          <w:szCs w:val="20"/>
          <w:lang w:val="es-ES"/>
        </w:rPr>
        <w:t>m</w:t>
      </w:r>
      <w:r w:rsidR="00383B36" w:rsidRPr="0064597D">
        <w:rPr>
          <w:rFonts w:eastAsia="Verdana" w:cs="Verdana"/>
          <w:spacing w:val="1"/>
          <w:sz w:val="20"/>
          <w:szCs w:val="20"/>
          <w:lang w:val="es-ES"/>
        </w:rPr>
        <w:t>i</w:t>
      </w:r>
      <w:r w:rsidR="00383B36" w:rsidRPr="0064597D">
        <w:rPr>
          <w:rFonts w:eastAsia="Verdana" w:cs="Verdana"/>
          <w:sz w:val="20"/>
          <w:szCs w:val="20"/>
          <w:lang w:val="es-ES"/>
        </w:rPr>
        <w:t>l</w:t>
      </w:r>
      <w:r w:rsidR="00383B36" w:rsidRPr="0064597D">
        <w:rPr>
          <w:rFonts w:eastAsia="Verdana" w:cs="Verdana"/>
          <w:spacing w:val="3"/>
          <w:sz w:val="20"/>
          <w:szCs w:val="20"/>
          <w:lang w:val="es-ES"/>
        </w:rPr>
        <w:t>i</w:t>
      </w:r>
      <w:r w:rsidR="00383B36" w:rsidRPr="0064597D">
        <w:rPr>
          <w:rFonts w:eastAsia="Verdana" w:cs="Verdana"/>
          <w:spacing w:val="-2"/>
          <w:sz w:val="20"/>
          <w:szCs w:val="20"/>
          <w:lang w:val="es-ES"/>
        </w:rPr>
        <w:t>t</w:t>
      </w:r>
      <w:r w:rsidR="00383B36" w:rsidRPr="0064597D">
        <w:rPr>
          <w:rFonts w:eastAsia="Verdana" w:cs="Verdana"/>
          <w:spacing w:val="1"/>
          <w:sz w:val="20"/>
          <w:szCs w:val="20"/>
          <w:lang w:val="es-ES"/>
        </w:rPr>
        <w:t>u</w:t>
      </w:r>
      <w:r w:rsidR="00383B36" w:rsidRPr="0064597D">
        <w:rPr>
          <w:rFonts w:eastAsia="Verdana" w:cs="Verdana"/>
          <w:sz w:val="20"/>
          <w:szCs w:val="20"/>
          <w:lang w:val="es-ES"/>
        </w:rPr>
        <w:t>d</w:t>
      </w:r>
      <w:r w:rsidR="00383B36" w:rsidRPr="0064597D">
        <w:rPr>
          <w:rFonts w:eastAsia="Verdana" w:cs="Verdana"/>
          <w:spacing w:val="3"/>
          <w:sz w:val="20"/>
          <w:szCs w:val="20"/>
          <w:lang w:val="es-ES"/>
        </w:rPr>
        <w:t xml:space="preserve"> </w:t>
      </w:r>
      <w:r w:rsidR="00383B36" w:rsidRPr="0064597D">
        <w:rPr>
          <w:rFonts w:eastAsia="Verdana" w:cs="Verdana"/>
          <w:spacing w:val="1"/>
          <w:sz w:val="20"/>
          <w:szCs w:val="20"/>
          <w:lang w:val="es-ES"/>
        </w:rPr>
        <w:t>d</w:t>
      </w:r>
      <w:r w:rsidR="00383B36" w:rsidRPr="0064597D">
        <w:rPr>
          <w:rFonts w:eastAsia="Verdana" w:cs="Verdana"/>
          <w:sz w:val="20"/>
          <w:szCs w:val="20"/>
          <w:lang w:val="es-ES"/>
        </w:rPr>
        <w:t>e</w:t>
      </w:r>
      <w:r w:rsidR="00383B36" w:rsidRPr="0064597D">
        <w:rPr>
          <w:rFonts w:eastAsia="Verdana" w:cs="Verdana"/>
          <w:spacing w:val="8"/>
          <w:sz w:val="20"/>
          <w:szCs w:val="20"/>
          <w:lang w:val="es-ES"/>
        </w:rPr>
        <w:t xml:space="preserve"> </w:t>
      </w:r>
      <w:r w:rsidR="00383B36" w:rsidRPr="0064597D">
        <w:rPr>
          <w:rFonts w:eastAsia="Verdana" w:cs="Verdana"/>
          <w:spacing w:val="3"/>
          <w:sz w:val="20"/>
          <w:szCs w:val="20"/>
          <w:lang w:val="es-ES"/>
        </w:rPr>
        <w:t>l</w:t>
      </w:r>
      <w:r w:rsidR="00383B36" w:rsidRPr="0064597D">
        <w:rPr>
          <w:rFonts w:eastAsia="Verdana" w:cs="Verdana"/>
          <w:sz w:val="20"/>
          <w:szCs w:val="20"/>
          <w:lang w:val="es-ES"/>
        </w:rPr>
        <w:t>as</w:t>
      </w:r>
      <w:r w:rsidR="00383B36" w:rsidRPr="0064597D">
        <w:rPr>
          <w:rFonts w:eastAsia="Verdana" w:cs="Verdana"/>
          <w:spacing w:val="10"/>
          <w:sz w:val="20"/>
          <w:szCs w:val="20"/>
          <w:lang w:val="es-ES"/>
        </w:rPr>
        <w:t xml:space="preserve"> </w:t>
      </w:r>
      <w:r w:rsidR="00383B36" w:rsidRPr="0064597D">
        <w:rPr>
          <w:rFonts w:eastAsia="Verdana" w:cs="Verdana"/>
          <w:spacing w:val="-1"/>
          <w:sz w:val="20"/>
          <w:szCs w:val="20"/>
          <w:lang w:val="es-ES"/>
        </w:rPr>
        <w:t>h</w:t>
      </w:r>
      <w:r w:rsidR="00383B36" w:rsidRPr="0064597D">
        <w:rPr>
          <w:rFonts w:eastAsia="Verdana" w:cs="Verdana"/>
          <w:spacing w:val="3"/>
          <w:sz w:val="20"/>
          <w:szCs w:val="20"/>
          <w:lang w:val="es-ES"/>
        </w:rPr>
        <w:t>i</w:t>
      </w:r>
      <w:r w:rsidR="00383B36" w:rsidRPr="0064597D">
        <w:rPr>
          <w:rFonts w:eastAsia="Verdana" w:cs="Verdana"/>
          <w:spacing w:val="1"/>
          <w:sz w:val="20"/>
          <w:szCs w:val="20"/>
          <w:lang w:val="es-ES"/>
        </w:rPr>
        <w:t>p</w:t>
      </w:r>
      <w:r w:rsidR="00383B36" w:rsidRPr="0064597D">
        <w:rPr>
          <w:rFonts w:eastAsia="Verdana" w:cs="Verdana"/>
          <w:spacing w:val="-1"/>
          <w:sz w:val="20"/>
          <w:szCs w:val="20"/>
          <w:lang w:val="es-ES"/>
        </w:rPr>
        <w:t>ó</w:t>
      </w:r>
      <w:r w:rsidR="00383B36" w:rsidRPr="0064597D">
        <w:rPr>
          <w:rFonts w:eastAsia="Verdana" w:cs="Verdana"/>
          <w:spacing w:val="-2"/>
          <w:sz w:val="20"/>
          <w:szCs w:val="20"/>
          <w:lang w:val="es-ES"/>
        </w:rPr>
        <w:t>t</w:t>
      </w:r>
      <w:r w:rsidR="00383B36" w:rsidRPr="0064597D">
        <w:rPr>
          <w:rFonts w:eastAsia="Verdana" w:cs="Verdana"/>
          <w:sz w:val="20"/>
          <w:szCs w:val="20"/>
          <w:lang w:val="es-ES"/>
        </w:rPr>
        <w:t>es</w:t>
      </w:r>
      <w:r w:rsidR="00383B36" w:rsidRPr="0064597D">
        <w:rPr>
          <w:rFonts w:eastAsia="Verdana" w:cs="Verdana"/>
          <w:spacing w:val="2"/>
          <w:sz w:val="20"/>
          <w:szCs w:val="20"/>
          <w:lang w:val="es-ES"/>
        </w:rPr>
        <w:t>i</w:t>
      </w:r>
      <w:r w:rsidR="00383B36" w:rsidRPr="0064597D">
        <w:rPr>
          <w:rFonts w:eastAsia="Verdana" w:cs="Verdana"/>
          <w:sz w:val="20"/>
          <w:szCs w:val="20"/>
          <w:lang w:val="es-ES"/>
        </w:rPr>
        <w:t>s</w:t>
      </w:r>
      <w:r w:rsidR="00383B36" w:rsidRPr="0064597D">
        <w:rPr>
          <w:rFonts w:eastAsia="Verdana" w:cs="Verdana"/>
          <w:spacing w:val="4"/>
          <w:sz w:val="20"/>
          <w:szCs w:val="20"/>
          <w:lang w:val="es-ES"/>
        </w:rPr>
        <w:t xml:space="preserve"> </w:t>
      </w:r>
      <w:r w:rsidR="00383B36" w:rsidRPr="0064597D">
        <w:rPr>
          <w:rFonts w:eastAsia="Verdana" w:cs="Verdana"/>
          <w:spacing w:val="1"/>
          <w:sz w:val="20"/>
          <w:szCs w:val="20"/>
          <w:lang w:val="es-ES"/>
        </w:rPr>
        <w:t>p</w:t>
      </w:r>
      <w:r w:rsidR="00383B36" w:rsidRPr="0064597D">
        <w:rPr>
          <w:rFonts w:eastAsia="Verdana" w:cs="Verdana"/>
          <w:spacing w:val="-1"/>
          <w:sz w:val="20"/>
          <w:szCs w:val="20"/>
          <w:lang w:val="es-ES"/>
        </w:rPr>
        <w:t>r</w:t>
      </w:r>
      <w:r w:rsidR="00383B36" w:rsidRPr="0064597D">
        <w:rPr>
          <w:rFonts w:eastAsia="Verdana" w:cs="Verdana"/>
          <w:spacing w:val="1"/>
          <w:sz w:val="20"/>
          <w:szCs w:val="20"/>
          <w:lang w:val="es-ES"/>
        </w:rPr>
        <w:t>e</w:t>
      </w:r>
      <w:r w:rsidR="00383B36" w:rsidRPr="0064597D">
        <w:rPr>
          <w:rFonts w:eastAsia="Verdana" w:cs="Verdana"/>
          <w:sz w:val="20"/>
          <w:szCs w:val="20"/>
          <w:lang w:val="es-ES"/>
        </w:rPr>
        <w:t>s</w:t>
      </w:r>
      <w:r w:rsidR="00383B36" w:rsidRPr="0064597D">
        <w:rPr>
          <w:rFonts w:eastAsia="Verdana" w:cs="Verdana"/>
          <w:spacing w:val="-2"/>
          <w:sz w:val="20"/>
          <w:szCs w:val="20"/>
          <w:lang w:val="es-ES"/>
        </w:rPr>
        <w:t>e</w:t>
      </w:r>
      <w:r w:rsidR="00383B36" w:rsidRPr="0064597D">
        <w:rPr>
          <w:rFonts w:eastAsia="Verdana" w:cs="Verdana"/>
          <w:spacing w:val="1"/>
          <w:sz w:val="20"/>
          <w:szCs w:val="20"/>
          <w:lang w:val="es-ES"/>
        </w:rPr>
        <w:t>nt</w:t>
      </w:r>
      <w:r w:rsidR="00383B36" w:rsidRPr="0064597D">
        <w:rPr>
          <w:rFonts w:eastAsia="Verdana" w:cs="Verdana"/>
          <w:sz w:val="20"/>
          <w:szCs w:val="20"/>
          <w:lang w:val="es-ES"/>
        </w:rPr>
        <w:t>a</w:t>
      </w:r>
      <w:r w:rsidR="00383B36" w:rsidRPr="0064597D">
        <w:rPr>
          <w:rFonts w:eastAsia="Verdana" w:cs="Verdana"/>
          <w:spacing w:val="1"/>
          <w:sz w:val="20"/>
          <w:szCs w:val="20"/>
          <w:lang w:val="es-ES"/>
        </w:rPr>
        <w:t>d</w:t>
      </w:r>
      <w:r w:rsidR="00383B36" w:rsidRPr="0064597D">
        <w:rPr>
          <w:rFonts w:eastAsia="Verdana" w:cs="Verdana"/>
          <w:sz w:val="20"/>
          <w:szCs w:val="20"/>
          <w:lang w:val="es-ES"/>
        </w:rPr>
        <w:t>as</w:t>
      </w:r>
      <w:r w:rsidR="00383B36" w:rsidRPr="0064597D">
        <w:rPr>
          <w:rFonts w:eastAsia="Verdana" w:cs="Verdana"/>
          <w:spacing w:val="1"/>
          <w:sz w:val="20"/>
          <w:szCs w:val="20"/>
          <w:lang w:val="es-ES"/>
        </w:rPr>
        <w:t xml:space="preserve"> </w:t>
      </w:r>
      <w:r w:rsidR="00383B36" w:rsidRPr="0064597D">
        <w:rPr>
          <w:rFonts w:eastAsia="Verdana" w:cs="Verdana"/>
          <w:spacing w:val="3"/>
          <w:sz w:val="20"/>
          <w:szCs w:val="20"/>
          <w:lang w:val="es-ES"/>
        </w:rPr>
        <w:t>p</w:t>
      </w:r>
      <w:r w:rsidR="00383B36" w:rsidRPr="0064597D">
        <w:rPr>
          <w:rFonts w:eastAsia="Verdana" w:cs="Verdana"/>
          <w:spacing w:val="1"/>
          <w:sz w:val="20"/>
          <w:szCs w:val="20"/>
          <w:lang w:val="es-ES"/>
        </w:rPr>
        <w:t>o</w:t>
      </w:r>
      <w:r w:rsidR="00383B36" w:rsidRPr="0064597D">
        <w:rPr>
          <w:rFonts w:eastAsia="Verdana" w:cs="Verdana"/>
          <w:sz w:val="20"/>
          <w:szCs w:val="20"/>
          <w:lang w:val="es-ES"/>
        </w:rPr>
        <w:t xml:space="preserve">r </w:t>
      </w:r>
      <w:r w:rsidR="00383B36" w:rsidRPr="0064597D">
        <w:rPr>
          <w:rFonts w:eastAsia="Verdana" w:cs="Verdana"/>
          <w:spacing w:val="3"/>
          <w:sz w:val="20"/>
          <w:szCs w:val="20"/>
          <w:lang w:val="es-ES"/>
        </w:rPr>
        <w:t>l</w:t>
      </w:r>
      <w:r w:rsidR="00383B36" w:rsidRPr="0064597D">
        <w:rPr>
          <w:rFonts w:eastAsia="Verdana" w:cs="Verdana"/>
          <w:sz w:val="20"/>
          <w:szCs w:val="20"/>
          <w:lang w:val="es-ES"/>
        </w:rPr>
        <w:t>a</w:t>
      </w:r>
      <w:r w:rsidR="00383B36" w:rsidRPr="0064597D">
        <w:rPr>
          <w:rFonts w:eastAsia="Verdana" w:cs="Verdana"/>
          <w:spacing w:val="7"/>
          <w:sz w:val="20"/>
          <w:szCs w:val="20"/>
          <w:lang w:val="es-ES"/>
        </w:rPr>
        <w:t xml:space="preserve"> </w:t>
      </w:r>
      <w:r w:rsidR="00383B36" w:rsidRPr="0064597D">
        <w:rPr>
          <w:rFonts w:eastAsia="Verdana" w:cs="Verdana"/>
          <w:sz w:val="20"/>
          <w:szCs w:val="20"/>
          <w:lang w:val="es-ES"/>
        </w:rPr>
        <w:t>C</w:t>
      </w:r>
      <w:r w:rsidR="00383B36" w:rsidRPr="0064597D">
        <w:rPr>
          <w:rFonts w:eastAsia="Verdana" w:cs="Verdana"/>
          <w:spacing w:val="-1"/>
          <w:sz w:val="20"/>
          <w:szCs w:val="20"/>
          <w:lang w:val="es-ES"/>
        </w:rPr>
        <w:t>o</w:t>
      </w:r>
      <w:r w:rsidR="00383B36" w:rsidRPr="0064597D">
        <w:rPr>
          <w:rFonts w:eastAsia="Verdana" w:cs="Verdana"/>
          <w:sz w:val="20"/>
          <w:szCs w:val="20"/>
          <w:lang w:val="es-ES"/>
        </w:rPr>
        <w:t>m</w:t>
      </w:r>
      <w:r w:rsidR="00383B36" w:rsidRPr="0064597D">
        <w:rPr>
          <w:rFonts w:eastAsia="Verdana" w:cs="Verdana"/>
          <w:spacing w:val="3"/>
          <w:sz w:val="20"/>
          <w:szCs w:val="20"/>
          <w:lang w:val="es-ES"/>
        </w:rPr>
        <w:t>i</w:t>
      </w:r>
      <w:r w:rsidR="00383B36" w:rsidRPr="0064597D">
        <w:rPr>
          <w:rFonts w:eastAsia="Verdana" w:cs="Verdana"/>
          <w:spacing w:val="-3"/>
          <w:sz w:val="20"/>
          <w:szCs w:val="20"/>
          <w:lang w:val="es-ES"/>
        </w:rPr>
        <w:t>s</w:t>
      </w:r>
      <w:r w:rsidR="00383B36" w:rsidRPr="0064597D">
        <w:rPr>
          <w:rFonts w:eastAsia="Verdana" w:cs="Verdana"/>
          <w:spacing w:val="3"/>
          <w:sz w:val="20"/>
          <w:szCs w:val="20"/>
          <w:lang w:val="es-ES"/>
        </w:rPr>
        <w:t>i</w:t>
      </w:r>
      <w:r w:rsidR="00383B36" w:rsidRPr="0064597D">
        <w:rPr>
          <w:rFonts w:eastAsia="Verdana" w:cs="Verdana"/>
          <w:spacing w:val="-1"/>
          <w:sz w:val="20"/>
          <w:szCs w:val="20"/>
          <w:lang w:val="es-ES"/>
        </w:rPr>
        <w:t>ó</w:t>
      </w:r>
      <w:r w:rsidR="00383B36" w:rsidRPr="0064597D">
        <w:rPr>
          <w:rFonts w:eastAsia="Verdana" w:cs="Verdana"/>
          <w:sz w:val="20"/>
          <w:szCs w:val="20"/>
          <w:lang w:val="es-ES"/>
        </w:rPr>
        <w:t>n</w:t>
      </w:r>
      <w:r w:rsidR="00383B36" w:rsidRPr="0064597D">
        <w:rPr>
          <w:rFonts w:eastAsia="Verdana" w:cs="Verdana"/>
          <w:spacing w:val="1"/>
          <w:sz w:val="20"/>
          <w:szCs w:val="20"/>
          <w:lang w:val="es-ES"/>
        </w:rPr>
        <w:t xml:space="preserve"> </w:t>
      </w:r>
      <w:r w:rsidR="00383B36" w:rsidRPr="0064597D">
        <w:rPr>
          <w:rFonts w:eastAsia="Verdana" w:cs="Verdana"/>
          <w:sz w:val="20"/>
          <w:szCs w:val="20"/>
          <w:lang w:val="es-ES"/>
        </w:rPr>
        <w:t>y</w:t>
      </w:r>
      <w:r w:rsidR="00383B36" w:rsidRPr="0064597D">
        <w:rPr>
          <w:rFonts w:eastAsia="Verdana" w:cs="Verdana"/>
          <w:spacing w:val="7"/>
          <w:sz w:val="20"/>
          <w:szCs w:val="20"/>
          <w:lang w:val="es-ES"/>
        </w:rPr>
        <w:t xml:space="preserve"> </w:t>
      </w:r>
      <w:r w:rsidR="00383B36" w:rsidRPr="0064597D">
        <w:rPr>
          <w:rFonts w:eastAsia="Verdana" w:cs="Verdana"/>
          <w:spacing w:val="3"/>
          <w:sz w:val="20"/>
          <w:szCs w:val="20"/>
          <w:lang w:val="es-ES"/>
        </w:rPr>
        <w:t>l</w:t>
      </w:r>
      <w:r w:rsidR="00383B36" w:rsidRPr="0064597D">
        <w:rPr>
          <w:rFonts w:eastAsia="Verdana" w:cs="Verdana"/>
          <w:sz w:val="20"/>
          <w:szCs w:val="20"/>
          <w:lang w:val="es-ES"/>
        </w:rPr>
        <w:t>a</w:t>
      </w:r>
      <w:r w:rsidR="00383B36" w:rsidRPr="0064597D">
        <w:rPr>
          <w:rFonts w:eastAsia="Verdana" w:cs="Verdana"/>
          <w:spacing w:val="7"/>
          <w:sz w:val="20"/>
          <w:szCs w:val="20"/>
          <w:lang w:val="es-ES"/>
        </w:rPr>
        <w:t xml:space="preserve"> </w:t>
      </w:r>
      <w:r w:rsidR="00383B36" w:rsidRPr="0064597D">
        <w:rPr>
          <w:rFonts w:eastAsia="Verdana" w:cs="Verdana"/>
          <w:spacing w:val="-1"/>
          <w:sz w:val="20"/>
          <w:szCs w:val="20"/>
          <w:lang w:val="es-ES"/>
        </w:rPr>
        <w:t>re</w:t>
      </w:r>
      <w:r w:rsidR="00383B36" w:rsidRPr="0064597D">
        <w:rPr>
          <w:rFonts w:eastAsia="Verdana" w:cs="Verdana"/>
          <w:spacing w:val="3"/>
          <w:sz w:val="20"/>
          <w:szCs w:val="20"/>
          <w:lang w:val="es-ES"/>
        </w:rPr>
        <w:t>p</w:t>
      </w:r>
      <w:r w:rsidR="00383B36" w:rsidRPr="0064597D">
        <w:rPr>
          <w:rFonts w:eastAsia="Verdana" w:cs="Verdana"/>
          <w:spacing w:val="1"/>
          <w:sz w:val="20"/>
          <w:szCs w:val="20"/>
          <w:lang w:val="es-ES"/>
        </w:rPr>
        <w:t>r</w:t>
      </w:r>
      <w:r w:rsidR="00383B36" w:rsidRPr="0064597D">
        <w:rPr>
          <w:rFonts w:eastAsia="Verdana" w:cs="Verdana"/>
          <w:spacing w:val="-1"/>
          <w:sz w:val="20"/>
          <w:szCs w:val="20"/>
          <w:lang w:val="es-ES"/>
        </w:rPr>
        <w:t>e</w:t>
      </w:r>
      <w:r w:rsidR="00383B36" w:rsidRPr="0064597D">
        <w:rPr>
          <w:rFonts w:eastAsia="Verdana" w:cs="Verdana"/>
          <w:spacing w:val="2"/>
          <w:sz w:val="20"/>
          <w:szCs w:val="20"/>
          <w:lang w:val="es-ES"/>
        </w:rPr>
        <w:t>s</w:t>
      </w:r>
      <w:r w:rsidR="00383B36" w:rsidRPr="0064597D">
        <w:rPr>
          <w:rFonts w:eastAsia="Verdana" w:cs="Verdana"/>
          <w:spacing w:val="-1"/>
          <w:sz w:val="20"/>
          <w:szCs w:val="20"/>
          <w:lang w:val="es-ES"/>
        </w:rPr>
        <w:t>e</w:t>
      </w:r>
      <w:r w:rsidR="00383B36" w:rsidRPr="0064597D">
        <w:rPr>
          <w:rFonts w:eastAsia="Verdana" w:cs="Verdana"/>
          <w:spacing w:val="1"/>
          <w:sz w:val="20"/>
          <w:szCs w:val="20"/>
          <w:lang w:val="es-ES"/>
        </w:rPr>
        <w:t>nt</w:t>
      </w:r>
      <w:r w:rsidR="00383B36" w:rsidRPr="0064597D">
        <w:rPr>
          <w:rFonts w:eastAsia="Verdana" w:cs="Verdana"/>
          <w:sz w:val="20"/>
          <w:szCs w:val="20"/>
          <w:lang w:val="es-ES"/>
        </w:rPr>
        <w:t>ac</w:t>
      </w:r>
      <w:r w:rsidR="00383B36" w:rsidRPr="0064597D">
        <w:rPr>
          <w:rFonts w:eastAsia="Verdana" w:cs="Verdana"/>
          <w:spacing w:val="3"/>
          <w:sz w:val="20"/>
          <w:szCs w:val="20"/>
          <w:lang w:val="es-ES"/>
        </w:rPr>
        <w:t>i</w:t>
      </w:r>
      <w:r w:rsidR="00383B36" w:rsidRPr="0064597D">
        <w:rPr>
          <w:rFonts w:eastAsia="Verdana" w:cs="Verdana"/>
          <w:spacing w:val="-1"/>
          <w:sz w:val="20"/>
          <w:szCs w:val="20"/>
          <w:lang w:val="es-ES"/>
        </w:rPr>
        <w:t>ó</w:t>
      </w:r>
      <w:r w:rsidR="00383B36" w:rsidRPr="0064597D">
        <w:rPr>
          <w:rFonts w:eastAsia="Verdana" w:cs="Verdana"/>
          <w:sz w:val="20"/>
          <w:szCs w:val="20"/>
          <w:lang w:val="es-ES"/>
        </w:rPr>
        <w:t>n</w:t>
      </w:r>
      <w:r w:rsidR="00383B36" w:rsidRPr="0064597D">
        <w:rPr>
          <w:rFonts w:eastAsia="Verdana" w:cs="Verdana"/>
          <w:spacing w:val="-5"/>
          <w:sz w:val="20"/>
          <w:szCs w:val="20"/>
          <w:lang w:val="es-ES"/>
        </w:rPr>
        <w:t xml:space="preserve"> </w:t>
      </w:r>
      <w:r w:rsidR="00383B36" w:rsidRPr="0064597D">
        <w:rPr>
          <w:rFonts w:eastAsia="Verdana" w:cs="Verdana"/>
          <w:spacing w:val="1"/>
          <w:sz w:val="20"/>
          <w:szCs w:val="20"/>
          <w:lang w:val="es-ES"/>
        </w:rPr>
        <w:t>d</w:t>
      </w:r>
      <w:r w:rsidR="00383B36" w:rsidRPr="0064597D">
        <w:rPr>
          <w:rFonts w:eastAsia="Verdana" w:cs="Verdana"/>
          <w:sz w:val="20"/>
          <w:szCs w:val="20"/>
          <w:lang w:val="es-ES"/>
        </w:rPr>
        <w:t>e</w:t>
      </w:r>
      <w:r w:rsidR="00383B36" w:rsidRPr="0064597D">
        <w:rPr>
          <w:rFonts w:eastAsia="Verdana" w:cs="Verdana"/>
          <w:spacing w:val="6"/>
          <w:sz w:val="20"/>
          <w:szCs w:val="20"/>
          <w:lang w:val="es-ES"/>
        </w:rPr>
        <w:t xml:space="preserve"> </w:t>
      </w:r>
      <w:r w:rsidR="00383B36" w:rsidRPr="0064597D">
        <w:rPr>
          <w:rFonts w:eastAsia="Verdana" w:cs="Verdana"/>
          <w:spacing w:val="3"/>
          <w:sz w:val="20"/>
          <w:szCs w:val="20"/>
          <w:lang w:val="es-ES"/>
        </w:rPr>
        <w:t>l</w:t>
      </w:r>
      <w:r w:rsidR="00383B36" w:rsidRPr="0064597D">
        <w:rPr>
          <w:rFonts w:eastAsia="Verdana" w:cs="Verdana"/>
          <w:sz w:val="20"/>
          <w:szCs w:val="20"/>
          <w:lang w:val="es-ES"/>
        </w:rPr>
        <w:t>as</w:t>
      </w:r>
      <w:r w:rsidR="00383B36" w:rsidRPr="0064597D">
        <w:rPr>
          <w:rFonts w:eastAsia="Verdana" w:cs="Verdana"/>
          <w:spacing w:val="5"/>
          <w:sz w:val="20"/>
          <w:szCs w:val="20"/>
          <w:lang w:val="es-ES"/>
        </w:rPr>
        <w:t xml:space="preserve"> </w:t>
      </w:r>
      <w:r w:rsidR="00383B36" w:rsidRPr="0064597D">
        <w:rPr>
          <w:rFonts w:eastAsia="Verdana" w:cs="Verdana"/>
          <w:spacing w:val="3"/>
          <w:sz w:val="20"/>
          <w:szCs w:val="20"/>
          <w:lang w:val="es-ES"/>
        </w:rPr>
        <w:t>p</w:t>
      </w:r>
      <w:r w:rsidR="00383B36" w:rsidRPr="0064597D">
        <w:rPr>
          <w:rFonts w:eastAsia="Verdana" w:cs="Verdana"/>
          <w:spacing w:val="-1"/>
          <w:sz w:val="20"/>
          <w:szCs w:val="20"/>
          <w:lang w:val="es-ES"/>
        </w:rPr>
        <w:t>r</w:t>
      </w:r>
      <w:r w:rsidR="00383B36" w:rsidRPr="0064597D">
        <w:rPr>
          <w:rFonts w:eastAsia="Verdana" w:cs="Verdana"/>
          <w:spacing w:val="1"/>
          <w:sz w:val="20"/>
          <w:szCs w:val="20"/>
          <w:lang w:val="es-ES"/>
        </w:rPr>
        <w:t>e</w:t>
      </w:r>
      <w:r w:rsidR="00383B36" w:rsidRPr="0064597D">
        <w:rPr>
          <w:rFonts w:eastAsia="Verdana" w:cs="Verdana"/>
          <w:sz w:val="20"/>
          <w:szCs w:val="20"/>
          <w:lang w:val="es-ES"/>
        </w:rPr>
        <w:t>su</w:t>
      </w:r>
      <w:r w:rsidR="00383B36" w:rsidRPr="0064597D">
        <w:rPr>
          <w:rFonts w:eastAsia="Verdana" w:cs="Verdana"/>
          <w:spacing w:val="1"/>
          <w:sz w:val="20"/>
          <w:szCs w:val="20"/>
          <w:lang w:val="es-ES"/>
        </w:rPr>
        <w:t>nt</w:t>
      </w:r>
      <w:r w:rsidR="00383B36" w:rsidRPr="0064597D">
        <w:rPr>
          <w:rFonts w:eastAsia="Verdana" w:cs="Verdana"/>
          <w:sz w:val="20"/>
          <w:szCs w:val="20"/>
          <w:lang w:val="es-ES"/>
        </w:rPr>
        <w:t>as</w:t>
      </w:r>
      <w:r w:rsidR="00383B36" w:rsidRPr="0064597D">
        <w:rPr>
          <w:rFonts w:eastAsia="Verdana" w:cs="Verdana"/>
          <w:spacing w:val="-2"/>
          <w:sz w:val="20"/>
          <w:szCs w:val="20"/>
          <w:lang w:val="es-ES"/>
        </w:rPr>
        <w:t xml:space="preserve"> </w:t>
      </w:r>
      <w:r w:rsidR="00383B36" w:rsidRPr="0064597D">
        <w:rPr>
          <w:rFonts w:eastAsia="Verdana" w:cs="Verdana"/>
          <w:sz w:val="20"/>
          <w:szCs w:val="20"/>
          <w:lang w:val="es-ES"/>
        </w:rPr>
        <w:t>v</w:t>
      </w:r>
      <w:r w:rsidR="00383B36" w:rsidRPr="0064597D">
        <w:rPr>
          <w:rFonts w:eastAsia="Verdana" w:cs="Verdana"/>
          <w:spacing w:val="3"/>
          <w:sz w:val="20"/>
          <w:szCs w:val="20"/>
          <w:lang w:val="es-ES"/>
        </w:rPr>
        <w:t>í</w:t>
      </w:r>
      <w:r w:rsidR="00383B36" w:rsidRPr="0064597D">
        <w:rPr>
          <w:rFonts w:eastAsia="Verdana" w:cs="Verdana"/>
          <w:sz w:val="20"/>
          <w:szCs w:val="20"/>
          <w:lang w:val="es-ES"/>
        </w:rPr>
        <w:t>ct</w:t>
      </w:r>
      <w:r w:rsidR="00383B36" w:rsidRPr="0064597D">
        <w:rPr>
          <w:rFonts w:eastAsia="Verdana" w:cs="Verdana"/>
          <w:spacing w:val="3"/>
          <w:sz w:val="20"/>
          <w:szCs w:val="20"/>
          <w:lang w:val="es-ES"/>
        </w:rPr>
        <w:t>i</w:t>
      </w:r>
      <w:r w:rsidR="00383B36" w:rsidRPr="0064597D">
        <w:rPr>
          <w:rFonts w:eastAsia="Verdana" w:cs="Verdana"/>
          <w:sz w:val="20"/>
          <w:szCs w:val="20"/>
          <w:lang w:val="es-ES"/>
        </w:rPr>
        <w:t>m</w:t>
      </w:r>
      <w:r w:rsidR="00383B36" w:rsidRPr="0064597D">
        <w:rPr>
          <w:rFonts w:eastAsia="Verdana" w:cs="Verdana"/>
          <w:spacing w:val="1"/>
          <w:sz w:val="20"/>
          <w:szCs w:val="20"/>
          <w:lang w:val="es-ES"/>
        </w:rPr>
        <w:t>a</w:t>
      </w:r>
      <w:r w:rsidR="00383B36" w:rsidRPr="0064597D">
        <w:rPr>
          <w:rFonts w:eastAsia="Verdana" w:cs="Verdana"/>
          <w:sz w:val="20"/>
          <w:szCs w:val="20"/>
          <w:lang w:val="es-ES"/>
        </w:rPr>
        <w:t>s,</w:t>
      </w:r>
      <w:r w:rsidR="00383B36" w:rsidRPr="0064597D">
        <w:rPr>
          <w:rFonts w:eastAsia="Verdana" w:cs="Verdana"/>
          <w:spacing w:val="-1"/>
          <w:sz w:val="20"/>
          <w:szCs w:val="20"/>
          <w:lang w:val="es-ES"/>
        </w:rPr>
        <w:t xml:space="preserve"> </w:t>
      </w:r>
      <w:r w:rsidR="00383B36" w:rsidRPr="0064597D">
        <w:rPr>
          <w:rFonts w:eastAsia="Verdana" w:cs="Verdana"/>
          <w:spacing w:val="1"/>
          <w:sz w:val="20"/>
          <w:szCs w:val="20"/>
          <w:lang w:val="es-ES"/>
        </w:rPr>
        <w:t>po</w:t>
      </w:r>
      <w:r w:rsidR="00383B36" w:rsidRPr="0064597D">
        <w:rPr>
          <w:rFonts w:eastAsia="Verdana" w:cs="Verdana"/>
          <w:sz w:val="20"/>
          <w:szCs w:val="20"/>
          <w:lang w:val="es-ES"/>
        </w:rPr>
        <w:t>r</w:t>
      </w:r>
      <w:r w:rsidR="00383B36" w:rsidRPr="0064597D">
        <w:rPr>
          <w:rFonts w:eastAsia="Verdana" w:cs="Verdana"/>
          <w:spacing w:val="5"/>
          <w:sz w:val="20"/>
          <w:szCs w:val="20"/>
          <w:lang w:val="es-ES"/>
        </w:rPr>
        <w:t xml:space="preserve"> </w:t>
      </w:r>
      <w:r w:rsidR="00383B36" w:rsidRPr="0064597D">
        <w:rPr>
          <w:rFonts w:eastAsia="Verdana" w:cs="Verdana"/>
          <w:spacing w:val="1"/>
          <w:sz w:val="20"/>
          <w:szCs w:val="20"/>
          <w:lang w:val="es-ES"/>
        </w:rPr>
        <w:t>u</w:t>
      </w:r>
      <w:r w:rsidR="00383B36" w:rsidRPr="0064597D">
        <w:rPr>
          <w:rFonts w:eastAsia="Verdana" w:cs="Verdana"/>
          <w:sz w:val="20"/>
          <w:szCs w:val="20"/>
          <w:lang w:val="es-ES"/>
        </w:rPr>
        <w:t>n</w:t>
      </w:r>
      <w:r w:rsidR="00383B36" w:rsidRPr="0064597D">
        <w:rPr>
          <w:rFonts w:eastAsia="Verdana" w:cs="Verdana"/>
          <w:spacing w:val="7"/>
          <w:sz w:val="20"/>
          <w:szCs w:val="20"/>
          <w:lang w:val="es-ES"/>
        </w:rPr>
        <w:t xml:space="preserve"> </w:t>
      </w:r>
      <w:r w:rsidR="00383B36" w:rsidRPr="0064597D">
        <w:rPr>
          <w:rFonts w:eastAsia="Verdana" w:cs="Verdana"/>
          <w:spacing w:val="3"/>
          <w:sz w:val="20"/>
          <w:szCs w:val="20"/>
          <w:lang w:val="es-ES"/>
        </w:rPr>
        <w:t>l</w:t>
      </w:r>
      <w:r w:rsidR="00383B36" w:rsidRPr="0064597D">
        <w:rPr>
          <w:rFonts w:eastAsia="Verdana" w:cs="Verdana"/>
          <w:sz w:val="20"/>
          <w:szCs w:val="20"/>
          <w:lang w:val="es-ES"/>
        </w:rPr>
        <w:t>a</w:t>
      </w:r>
      <w:r w:rsidR="00383B36" w:rsidRPr="0064597D">
        <w:rPr>
          <w:rFonts w:eastAsia="Verdana" w:cs="Verdana"/>
          <w:spacing w:val="1"/>
          <w:sz w:val="20"/>
          <w:szCs w:val="20"/>
          <w:lang w:val="es-ES"/>
        </w:rPr>
        <w:t>d</w:t>
      </w:r>
      <w:r w:rsidR="00383B36" w:rsidRPr="0064597D">
        <w:rPr>
          <w:rFonts w:eastAsia="Verdana" w:cs="Verdana"/>
          <w:spacing w:val="-1"/>
          <w:sz w:val="20"/>
          <w:szCs w:val="20"/>
          <w:lang w:val="es-ES"/>
        </w:rPr>
        <w:t>o</w:t>
      </w:r>
      <w:r w:rsidR="00383B36" w:rsidRPr="0064597D">
        <w:rPr>
          <w:rFonts w:eastAsia="Verdana" w:cs="Verdana"/>
          <w:sz w:val="20"/>
          <w:szCs w:val="20"/>
          <w:lang w:val="es-ES"/>
        </w:rPr>
        <w:t>,</w:t>
      </w:r>
      <w:r w:rsidR="00383B36" w:rsidRPr="0064597D">
        <w:rPr>
          <w:rFonts w:eastAsia="Verdana" w:cs="Verdana"/>
          <w:spacing w:val="11"/>
          <w:sz w:val="20"/>
          <w:szCs w:val="20"/>
          <w:lang w:val="es-ES"/>
        </w:rPr>
        <w:t xml:space="preserve"> </w:t>
      </w:r>
      <w:r w:rsidR="00383B36" w:rsidRPr="0064597D">
        <w:rPr>
          <w:rFonts w:eastAsia="Verdana" w:cs="Verdana"/>
          <w:sz w:val="20"/>
          <w:szCs w:val="20"/>
          <w:lang w:val="es-ES"/>
        </w:rPr>
        <w:t>y</w:t>
      </w:r>
      <w:r w:rsidR="00383B36" w:rsidRPr="0064597D">
        <w:rPr>
          <w:rFonts w:eastAsia="Verdana" w:cs="Verdana"/>
          <w:spacing w:val="7"/>
          <w:sz w:val="20"/>
          <w:szCs w:val="20"/>
          <w:lang w:val="es-ES"/>
        </w:rPr>
        <w:t xml:space="preserve"> </w:t>
      </w:r>
      <w:r w:rsidR="00383B36" w:rsidRPr="0064597D">
        <w:rPr>
          <w:rFonts w:eastAsia="Verdana" w:cs="Verdana"/>
          <w:spacing w:val="3"/>
          <w:sz w:val="20"/>
          <w:szCs w:val="20"/>
          <w:lang w:val="es-ES"/>
        </w:rPr>
        <w:t>p</w:t>
      </w:r>
      <w:r w:rsidR="00383B36" w:rsidRPr="0064597D">
        <w:rPr>
          <w:rFonts w:eastAsia="Verdana" w:cs="Verdana"/>
          <w:spacing w:val="1"/>
          <w:sz w:val="20"/>
          <w:szCs w:val="20"/>
          <w:lang w:val="es-ES"/>
        </w:rPr>
        <w:t>o</w:t>
      </w:r>
      <w:r w:rsidR="00383B36" w:rsidRPr="0064597D">
        <w:rPr>
          <w:rFonts w:eastAsia="Verdana" w:cs="Verdana"/>
          <w:sz w:val="20"/>
          <w:szCs w:val="20"/>
          <w:lang w:val="es-ES"/>
        </w:rPr>
        <w:t>r</w:t>
      </w:r>
      <w:r w:rsidR="00383B36" w:rsidRPr="0064597D">
        <w:rPr>
          <w:rFonts w:eastAsia="Verdana" w:cs="Verdana"/>
          <w:spacing w:val="7"/>
          <w:sz w:val="20"/>
          <w:szCs w:val="20"/>
          <w:lang w:val="es-ES"/>
        </w:rPr>
        <w:t xml:space="preserve"> </w:t>
      </w:r>
      <w:r w:rsidR="00383B36" w:rsidRPr="0064597D">
        <w:rPr>
          <w:rFonts w:eastAsia="Verdana" w:cs="Verdana"/>
          <w:spacing w:val="-1"/>
          <w:sz w:val="20"/>
          <w:szCs w:val="20"/>
          <w:lang w:val="es-ES"/>
        </w:rPr>
        <w:t>e</w:t>
      </w:r>
      <w:r w:rsidR="00383B36" w:rsidRPr="0064597D">
        <w:rPr>
          <w:rFonts w:eastAsia="Verdana" w:cs="Verdana"/>
          <w:sz w:val="20"/>
          <w:szCs w:val="20"/>
          <w:lang w:val="es-ES"/>
        </w:rPr>
        <w:t>l</w:t>
      </w:r>
      <w:r w:rsidR="00383B36" w:rsidRPr="0064597D">
        <w:rPr>
          <w:rFonts w:eastAsia="Verdana" w:cs="Verdana"/>
          <w:spacing w:val="9"/>
          <w:sz w:val="20"/>
          <w:szCs w:val="20"/>
          <w:lang w:val="es-ES"/>
        </w:rPr>
        <w:t xml:space="preserve"> </w:t>
      </w:r>
      <w:r w:rsidR="00383B36" w:rsidRPr="0064597D">
        <w:rPr>
          <w:rFonts w:eastAsia="Verdana" w:cs="Verdana"/>
          <w:spacing w:val="-1"/>
          <w:sz w:val="20"/>
          <w:szCs w:val="20"/>
          <w:lang w:val="es-ES"/>
        </w:rPr>
        <w:t>E</w:t>
      </w:r>
      <w:r w:rsidR="00383B36" w:rsidRPr="0064597D">
        <w:rPr>
          <w:rFonts w:eastAsia="Verdana" w:cs="Verdana"/>
          <w:sz w:val="20"/>
          <w:szCs w:val="20"/>
          <w:lang w:val="es-ES"/>
        </w:rPr>
        <w:t>sta</w:t>
      </w:r>
      <w:r w:rsidR="00383B36" w:rsidRPr="0064597D">
        <w:rPr>
          <w:rFonts w:eastAsia="Verdana" w:cs="Verdana"/>
          <w:spacing w:val="1"/>
          <w:sz w:val="20"/>
          <w:szCs w:val="20"/>
          <w:lang w:val="es-ES"/>
        </w:rPr>
        <w:t>do</w:t>
      </w:r>
      <w:r w:rsidR="00383B36" w:rsidRPr="0064597D">
        <w:rPr>
          <w:rFonts w:eastAsia="Verdana" w:cs="Verdana"/>
          <w:sz w:val="20"/>
          <w:szCs w:val="20"/>
          <w:lang w:val="es-ES"/>
        </w:rPr>
        <w:t xml:space="preserve">, </w:t>
      </w:r>
      <w:r w:rsidR="00383B36" w:rsidRPr="0064597D">
        <w:rPr>
          <w:rFonts w:eastAsia="Verdana" w:cs="Verdana"/>
          <w:spacing w:val="3"/>
          <w:sz w:val="20"/>
          <w:szCs w:val="20"/>
          <w:lang w:val="es-ES"/>
        </w:rPr>
        <w:t>p</w:t>
      </w:r>
      <w:r w:rsidR="00383B36" w:rsidRPr="0064597D">
        <w:rPr>
          <w:rFonts w:eastAsia="Verdana" w:cs="Verdana"/>
          <w:spacing w:val="-1"/>
          <w:sz w:val="20"/>
          <w:szCs w:val="20"/>
          <w:lang w:val="es-ES"/>
        </w:rPr>
        <w:t>o</w:t>
      </w:r>
      <w:r w:rsidR="00383B36" w:rsidRPr="0064597D">
        <w:rPr>
          <w:rFonts w:eastAsia="Verdana" w:cs="Verdana"/>
          <w:sz w:val="20"/>
          <w:szCs w:val="20"/>
          <w:lang w:val="es-ES"/>
        </w:rPr>
        <w:t>r</w:t>
      </w:r>
      <w:r w:rsidR="00383B36" w:rsidRPr="0064597D">
        <w:rPr>
          <w:rFonts w:eastAsia="Verdana" w:cs="Verdana"/>
          <w:spacing w:val="7"/>
          <w:sz w:val="20"/>
          <w:szCs w:val="20"/>
          <w:lang w:val="es-ES"/>
        </w:rPr>
        <w:t xml:space="preserve"> </w:t>
      </w:r>
      <w:r w:rsidR="00383B36" w:rsidRPr="0064597D">
        <w:rPr>
          <w:rFonts w:eastAsia="Verdana" w:cs="Verdana"/>
          <w:spacing w:val="-1"/>
          <w:sz w:val="20"/>
          <w:szCs w:val="20"/>
          <w:lang w:val="es-ES"/>
        </w:rPr>
        <w:t>e</w:t>
      </w:r>
      <w:r w:rsidR="00383B36" w:rsidRPr="0064597D">
        <w:rPr>
          <w:rFonts w:eastAsia="Verdana" w:cs="Verdana"/>
          <w:sz w:val="20"/>
          <w:szCs w:val="20"/>
          <w:lang w:val="es-ES"/>
        </w:rPr>
        <w:t>l</w:t>
      </w:r>
      <w:r w:rsidR="00383B36" w:rsidRPr="0064597D">
        <w:rPr>
          <w:rFonts w:eastAsia="Verdana" w:cs="Verdana"/>
          <w:spacing w:val="9"/>
          <w:sz w:val="20"/>
          <w:szCs w:val="20"/>
          <w:lang w:val="es-ES"/>
        </w:rPr>
        <w:t xml:space="preserve"> </w:t>
      </w:r>
      <w:r w:rsidR="00383B36" w:rsidRPr="0064597D">
        <w:rPr>
          <w:rFonts w:eastAsia="Verdana" w:cs="Verdana"/>
          <w:spacing w:val="-1"/>
          <w:sz w:val="20"/>
          <w:szCs w:val="20"/>
          <w:lang w:val="es-ES"/>
        </w:rPr>
        <w:t>o</w:t>
      </w:r>
      <w:r w:rsidR="00383B36" w:rsidRPr="0064597D">
        <w:rPr>
          <w:rFonts w:eastAsia="Verdana" w:cs="Verdana"/>
          <w:spacing w:val="1"/>
          <w:sz w:val="20"/>
          <w:szCs w:val="20"/>
          <w:lang w:val="es-ES"/>
        </w:rPr>
        <w:t>tr</w:t>
      </w:r>
      <w:r w:rsidR="00383B36" w:rsidRPr="0064597D">
        <w:rPr>
          <w:rFonts w:eastAsia="Verdana" w:cs="Verdana"/>
          <w:spacing w:val="-1"/>
          <w:sz w:val="20"/>
          <w:szCs w:val="20"/>
          <w:lang w:val="es-ES"/>
        </w:rPr>
        <w:t>o</w:t>
      </w:r>
      <w:r w:rsidR="00383B36" w:rsidRPr="0064597D">
        <w:rPr>
          <w:rFonts w:eastAsia="Verdana" w:cs="Verdana"/>
          <w:sz w:val="20"/>
          <w:szCs w:val="20"/>
          <w:lang w:val="es-ES"/>
        </w:rPr>
        <w:t>, a</w:t>
      </w:r>
      <w:r w:rsidR="00383B36" w:rsidRPr="0064597D">
        <w:rPr>
          <w:rFonts w:eastAsia="Verdana" w:cs="Verdana"/>
          <w:spacing w:val="22"/>
          <w:sz w:val="20"/>
          <w:szCs w:val="20"/>
          <w:lang w:val="es-ES"/>
        </w:rPr>
        <w:t xml:space="preserve"> </w:t>
      </w:r>
      <w:r w:rsidR="00383B36" w:rsidRPr="0064597D">
        <w:rPr>
          <w:rFonts w:eastAsia="Verdana" w:cs="Verdana"/>
          <w:spacing w:val="3"/>
          <w:sz w:val="20"/>
          <w:szCs w:val="20"/>
          <w:lang w:val="es-ES"/>
        </w:rPr>
        <w:t>l</w:t>
      </w:r>
      <w:r w:rsidR="00383B36" w:rsidRPr="0064597D">
        <w:rPr>
          <w:rFonts w:eastAsia="Verdana" w:cs="Verdana"/>
          <w:sz w:val="20"/>
          <w:szCs w:val="20"/>
          <w:lang w:val="es-ES"/>
        </w:rPr>
        <w:t>a</w:t>
      </w:r>
      <w:r w:rsidR="00383B36" w:rsidRPr="0064597D">
        <w:rPr>
          <w:rFonts w:eastAsia="Verdana" w:cs="Verdana"/>
          <w:spacing w:val="21"/>
          <w:sz w:val="20"/>
          <w:szCs w:val="20"/>
          <w:lang w:val="es-ES"/>
        </w:rPr>
        <w:t xml:space="preserve"> </w:t>
      </w:r>
      <w:r w:rsidR="00383B36" w:rsidRPr="0064597D">
        <w:rPr>
          <w:rFonts w:eastAsia="Verdana" w:cs="Verdana"/>
          <w:sz w:val="20"/>
          <w:szCs w:val="20"/>
          <w:lang w:val="es-ES"/>
        </w:rPr>
        <w:t>l</w:t>
      </w:r>
      <w:r w:rsidR="00383B36" w:rsidRPr="0064597D">
        <w:rPr>
          <w:rFonts w:eastAsia="Verdana" w:cs="Verdana"/>
          <w:spacing w:val="1"/>
          <w:sz w:val="20"/>
          <w:szCs w:val="20"/>
          <w:lang w:val="es-ES"/>
        </w:rPr>
        <w:t>u</w:t>
      </w:r>
      <w:r w:rsidR="00383B36" w:rsidRPr="0064597D">
        <w:rPr>
          <w:rFonts w:eastAsia="Verdana" w:cs="Verdana"/>
          <w:sz w:val="20"/>
          <w:szCs w:val="20"/>
          <w:lang w:val="es-ES"/>
        </w:rPr>
        <w:t>z</w:t>
      </w:r>
      <w:r w:rsidR="00383B36" w:rsidRPr="0064597D">
        <w:rPr>
          <w:rFonts w:eastAsia="Verdana" w:cs="Verdana"/>
          <w:spacing w:val="21"/>
          <w:sz w:val="20"/>
          <w:szCs w:val="20"/>
          <w:lang w:val="es-ES"/>
        </w:rPr>
        <w:t xml:space="preserve"> </w:t>
      </w:r>
      <w:r w:rsidR="00383B36" w:rsidRPr="0064597D">
        <w:rPr>
          <w:rFonts w:eastAsia="Verdana" w:cs="Verdana"/>
          <w:spacing w:val="1"/>
          <w:sz w:val="20"/>
          <w:szCs w:val="20"/>
          <w:lang w:val="es-ES"/>
        </w:rPr>
        <w:t>d</w:t>
      </w:r>
      <w:r w:rsidR="00383B36" w:rsidRPr="0064597D">
        <w:rPr>
          <w:rFonts w:eastAsia="Verdana" w:cs="Verdana"/>
          <w:sz w:val="20"/>
          <w:szCs w:val="20"/>
          <w:lang w:val="es-ES"/>
        </w:rPr>
        <w:t>e</w:t>
      </w:r>
      <w:r w:rsidR="00383B36" w:rsidRPr="0064597D">
        <w:rPr>
          <w:rFonts w:eastAsia="Verdana" w:cs="Verdana"/>
          <w:spacing w:val="20"/>
          <w:sz w:val="20"/>
          <w:szCs w:val="20"/>
          <w:lang w:val="es-ES"/>
        </w:rPr>
        <w:t xml:space="preserve"> </w:t>
      </w:r>
      <w:r w:rsidR="00383B36" w:rsidRPr="0064597D">
        <w:rPr>
          <w:rFonts w:eastAsia="Verdana" w:cs="Verdana"/>
          <w:spacing w:val="3"/>
          <w:sz w:val="20"/>
          <w:szCs w:val="20"/>
          <w:lang w:val="es-ES"/>
        </w:rPr>
        <w:t>l</w:t>
      </w:r>
      <w:r w:rsidR="00383B36" w:rsidRPr="0064597D">
        <w:rPr>
          <w:rFonts w:eastAsia="Verdana" w:cs="Verdana"/>
          <w:sz w:val="20"/>
          <w:szCs w:val="20"/>
          <w:lang w:val="es-ES"/>
        </w:rPr>
        <w:t>as</w:t>
      </w:r>
      <w:r w:rsidR="00383B36" w:rsidRPr="0064597D">
        <w:rPr>
          <w:rFonts w:eastAsia="Verdana" w:cs="Verdana"/>
          <w:spacing w:val="20"/>
          <w:sz w:val="20"/>
          <w:szCs w:val="20"/>
          <w:lang w:val="es-ES"/>
        </w:rPr>
        <w:t xml:space="preserve"> </w:t>
      </w:r>
      <w:r w:rsidR="00383B36" w:rsidRPr="0064597D">
        <w:rPr>
          <w:rFonts w:eastAsia="Verdana" w:cs="Verdana"/>
          <w:spacing w:val="1"/>
          <w:sz w:val="20"/>
          <w:szCs w:val="20"/>
          <w:lang w:val="es-ES"/>
        </w:rPr>
        <w:t>p</w:t>
      </w:r>
      <w:r w:rsidR="00383B36" w:rsidRPr="0064597D">
        <w:rPr>
          <w:rFonts w:eastAsia="Verdana" w:cs="Verdana"/>
          <w:spacing w:val="-1"/>
          <w:sz w:val="20"/>
          <w:szCs w:val="20"/>
          <w:lang w:val="es-ES"/>
        </w:rPr>
        <w:t>r</w:t>
      </w:r>
      <w:r w:rsidR="00383B36" w:rsidRPr="0064597D">
        <w:rPr>
          <w:rFonts w:eastAsia="Verdana" w:cs="Verdana"/>
          <w:spacing w:val="1"/>
          <w:sz w:val="20"/>
          <w:szCs w:val="20"/>
          <w:lang w:val="es-ES"/>
        </w:rPr>
        <w:t>u</w:t>
      </w:r>
      <w:r w:rsidR="00383B36" w:rsidRPr="0064597D">
        <w:rPr>
          <w:rFonts w:eastAsia="Verdana" w:cs="Verdana"/>
          <w:spacing w:val="-1"/>
          <w:sz w:val="20"/>
          <w:szCs w:val="20"/>
          <w:lang w:val="es-ES"/>
        </w:rPr>
        <w:t>e</w:t>
      </w:r>
      <w:r w:rsidR="00383B36" w:rsidRPr="0064597D">
        <w:rPr>
          <w:rFonts w:eastAsia="Verdana" w:cs="Verdana"/>
          <w:spacing w:val="1"/>
          <w:sz w:val="20"/>
          <w:szCs w:val="20"/>
          <w:lang w:val="es-ES"/>
        </w:rPr>
        <w:t>b</w:t>
      </w:r>
      <w:r w:rsidR="00383B36" w:rsidRPr="0064597D">
        <w:rPr>
          <w:rFonts w:eastAsia="Verdana" w:cs="Verdana"/>
          <w:sz w:val="20"/>
          <w:szCs w:val="20"/>
          <w:lang w:val="es-ES"/>
        </w:rPr>
        <w:t>as</w:t>
      </w:r>
      <w:r w:rsidR="00383B36" w:rsidRPr="0064597D">
        <w:rPr>
          <w:rFonts w:eastAsia="Verdana" w:cs="Verdana"/>
          <w:spacing w:val="17"/>
          <w:sz w:val="20"/>
          <w:szCs w:val="20"/>
          <w:lang w:val="es-ES"/>
        </w:rPr>
        <w:t xml:space="preserve"> </w:t>
      </w:r>
      <w:r w:rsidR="00383B36" w:rsidRPr="0064597D">
        <w:rPr>
          <w:rFonts w:eastAsia="Verdana" w:cs="Verdana"/>
          <w:spacing w:val="-1"/>
          <w:sz w:val="20"/>
          <w:szCs w:val="20"/>
          <w:lang w:val="es-ES"/>
        </w:rPr>
        <w:t>o</w:t>
      </w:r>
      <w:r w:rsidR="00383B36" w:rsidRPr="0064597D">
        <w:rPr>
          <w:rFonts w:eastAsia="Verdana" w:cs="Verdana"/>
          <w:spacing w:val="1"/>
          <w:sz w:val="20"/>
          <w:szCs w:val="20"/>
          <w:lang w:val="es-ES"/>
        </w:rPr>
        <w:t>br</w:t>
      </w:r>
      <w:r w:rsidR="00383B36" w:rsidRPr="0064597D">
        <w:rPr>
          <w:rFonts w:eastAsia="Verdana" w:cs="Verdana"/>
          <w:sz w:val="20"/>
          <w:szCs w:val="20"/>
          <w:lang w:val="es-ES"/>
        </w:rPr>
        <w:t>a</w:t>
      </w:r>
      <w:r w:rsidR="00383B36" w:rsidRPr="0064597D">
        <w:rPr>
          <w:rFonts w:eastAsia="Verdana" w:cs="Verdana"/>
          <w:spacing w:val="1"/>
          <w:sz w:val="20"/>
          <w:szCs w:val="20"/>
          <w:lang w:val="es-ES"/>
        </w:rPr>
        <w:t>nt</w:t>
      </w:r>
      <w:r w:rsidR="00383B36" w:rsidRPr="0064597D">
        <w:rPr>
          <w:rFonts w:eastAsia="Verdana" w:cs="Verdana"/>
          <w:spacing w:val="-1"/>
          <w:sz w:val="20"/>
          <w:szCs w:val="20"/>
          <w:lang w:val="es-ES"/>
        </w:rPr>
        <w:t>e</w:t>
      </w:r>
      <w:r w:rsidR="00383B36" w:rsidRPr="0064597D">
        <w:rPr>
          <w:rFonts w:eastAsia="Verdana" w:cs="Verdana"/>
          <w:sz w:val="20"/>
          <w:szCs w:val="20"/>
          <w:lang w:val="es-ES"/>
        </w:rPr>
        <w:t>s</w:t>
      </w:r>
      <w:r w:rsidR="00383B36" w:rsidRPr="0064597D">
        <w:rPr>
          <w:rFonts w:eastAsia="Verdana" w:cs="Verdana"/>
          <w:spacing w:val="16"/>
          <w:sz w:val="20"/>
          <w:szCs w:val="20"/>
          <w:lang w:val="es-ES"/>
        </w:rPr>
        <w:t xml:space="preserve"> </w:t>
      </w:r>
      <w:r w:rsidR="00383B36" w:rsidRPr="0064597D">
        <w:rPr>
          <w:rFonts w:eastAsia="Verdana" w:cs="Verdana"/>
          <w:spacing w:val="-1"/>
          <w:sz w:val="20"/>
          <w:szCs w:val="20"/>
          <w:lang w:val="es-ES"/>
        </w:rPr>
        <w:t>e</w:t>
      </w:r>
      <w:r w:rsidR="00383B36" w:rsidRPr="0064597D">
        <w:rPr>
          <w:rFonts w:eastAsia="Verdana" w:cs="Verdana"/>
          <w:sz w:val="20"/>
          <w:szCs w:val="20"/>
          <w:lang w:val="es-ES"/>
        </w:rPr>
        <w:t>n</w:t>
      </w:r>
      <w:r w:rsidR="00383B36" w:rsidRPr="0064597D">
        <w:rPr>
          <w:rFonts w:eastAsia="Verdana" w:cs="Verdana"/>
          <w:spacing w:val="24"/>
          <w:sz w:val="20"/>
          <w:szCs w:val="20"/>
          <w:lang w:val="es-ES"/>
        </w:rPr>
        <w:t xml:space="preserve"> </w:t>
      </w:r>
      <w:r w:rsidR="00383B36" w:rsidRPr="0064597D">
        <w:rPr>
          <w:rFonts w:eastAsia="Verdana" w:cs="Verdana"/>
          <w:spacing w:val="-1"/>
          <w:sz w:val="20"/>
          <w:szCs w:val="20"/>
          <w:lang w:val="es-ES"/>
        </w:rPr>
        <w:t>e</w:t>
      </w:r>
      <w:r w:rsidR="00383B36" w:rsidRPr="0064597D">
        <w:rPr>
          <w:rFonts w:eastAsia="Verdana" w:cs="Verdana"/>
          <w:sz w:val="20"/>
          <w:szCs w:val="20"/>
          <w:lang w:val="es-ES"/>
        </w:rPr>
        <w:t>l</w:t>
      </w:r>
      <w:r w:rsidR="00383B36" w:rsidRPr="0064597D">
        <w:rPr>
          <w:rFonts w:eastAsia="Verdana" w:cs="Verdana"/>
          <w:spacing w:val="24"/>
          <w:sz w:val="20"/>
          <w:szCs w:val="20"/>
          <w:lang w:val="es-ES"/>
        </w:rPr>
        <w:t xml:space="preserve"> </w:t>
      </w:r>
      <w:r w:rsidR="00383B36" w:rsidRPr="0064597D">
        <w:rPr>
          <w:rFonts w:eastAsia="Verdana" w:cs="Verdana"/>
          <w:spacing w:val="-1"/>
          <w:sz w:val="20"/>
          <w:szCs w:val="20"/>
          <w:lang w:val="es-ES"/>
        </w:rPr>
        <w:t>e</w:t>
      </w:r>
      <w:r w:rsidR="00383B36" w:rsidRPr="0064597D">
        <w:rPr>
          <w:rFonts w:eastAsia="Verdana" w:cs="Verdana"/>
          <w:sz w:val="20"/>
          <w:szCs w:val="20"/>
          <w:lang w:val="es-ES"/>
        </w:rPr>
        <w:t>x</w:t>
      </w:r>
      <w:r w:rsidR="00383B36" w:rsidRPr="0064597D">
        <w:rPr>
          <w:rFonts w:eastAsia="Verdana" w:cs="Verdana"/>
          <w:spacing w:val="3"/>
          <w:sz w:val="20"/>
          <w:szCs w:val="20"/>
          <w:lang w:val="es-ES"/>
        </w:rPr>
        <w:t>p</w:t>
      </w:r>
      <w:r w:rsidR="00383B36" w:rsidRPr="0064597D">
        <w:rPr>
          <w:rFonts w:eastAsia="Verdana" w:cs="Verdana"/>
          <w:spacing w:val="-1"/>
          <w:sz w:val="20"/>
          <w:szCs w:val="20"/>
          <w:lang w:val="es-ES"/>
        </w:rPr>
        <w:t>e</w:t>
      </w:r>
      <w:r w:rsidR="00383B36" w:rsidRPr="0064597D">
        <w:rPr>
          <w:rFonts w:eastAsia="Verdana" w:cs="Verdana"/>
          <w:spacing w:val="1"/>
          <w:sz w:val="20"/>
          <w:szCs w:val="20"/>
          <w:lang w:val="es-ES"/>
        </w:rPr>
        <w:t>d</w:t>
      </w:r>
      <w:r w:rsidR="00383B36" w:rsidRPr="0064597D">
        <w:rPr>
          <w:rFonts w:eastAsia="Verdana" w:cs="Verdana"/>
          <w:spacing w:val="3"/>
          <w:sz w:val="20"/>
          <w:szCs w:val="20"/>
          <w:lang w:val="es-ES"/>
        </w:rPr>
        <w:t>i</w:t>
      </w:r>
      <w:r w:rsidR="00383B36" w:rsidRPr="0064597D">
        <w:rPr>
          <w:rFonts w:eastAsia="Verdana" w:cs="Verdana"/>
          <w:spacing w:val="-1"/>
          <w:sz w:val="20"/>
          <w:szCs w:val="20"/>
          <w:lang w:val="es-ES"/>
        </w:rPr>
        <w:t>e</w:t>
      </w:r>
      <w:r w:rsidR="00383B36" w:rsidRPr="0064597D">
        <w:rPr>
          <w:rFonts w:eastAsia="Verdana" w:cs="Verdana"/>
          <w:spacing w:val="1"/>
          <w:sz w:val="20"/>
          <w:szCs w:val="20"/>
          <w:lang w:val="es-ES"/>
        </w:rPr>
        <w:t>nt</w:t>
      </w:r>
      <w:r w:rsidR="00383B36" w:rsidRPr="0064597D">
        <w:rPr>
          <w:rFonts w:eastAsia="Verdana" w:cs="Verdana"/>
          <w:spacing w:val="6"/>
          <w:sz w:val="20"/>
          <w:szCs w:val="20"/>
          <w:lang w:val="es-ES"/>
        </w:rPr>
        <w:t>e</w:t>
      </w:r>
      <w:r w:rsidR="00383B36" w:rsidRPr="0064597D">
        <w:rPr>
          <w:rFonts w:eastAsia="Verdana" w:cs="Verdana"/>
          <w:sz w:val="20"/>
          <w:szCs w:val="20"/>
          <w:lang w:val="es-ES"/>
        </w:rPr>
        <w:t xml:space="preserve">. </w:t>
      </w:r>
    </w:p>
    <w:p w14:paraId="1DE7570A" w14:textId="77777777" w:rsidR="002A0F50" w:rsidRPr="0064597D" w:rsidRDefault="002A0F50" w:rsidP="002A0F50">
      <w:pPr>
        <w:tabs>
          <w:tab w:val="left" w:pos="567"/>
        </w:tabs>
        <w:spacing w:line="240" w:lineRule="auto"/>
        <w:rPr>
          <w:rFonts w:eastAsia="Times" w:cs="Arial"/>
          <w:sz w:val="20"/>
          <w:szCs w:val="20"/>
        </w:rPr>
      </w:pPr>
    </w:p>
    <w:p w14:paraId="7567B316" w14:textId="22AFCE67" w:rsidR="00254858" w:rsidRPr="0064597D" w:rsidRDefault="002A0F50" w:rsidP="0088504D">
      <w:pPr>
        <w:numPr>
          <w:ilvl w:val="0"/>
          <w:numId w:val="1"/>
        </w:numPr>
        <w:tabs>
          <w:tab w:val="left" w:pos="567"/>
        </w:tabs>
        <w:spacing w:line="240" w:lineRule="auto"/>
        <w:ind w:left="0" w:firstLine="0"/>
        <w:rPr>
          <w:rFonts w:eastAsia="Times" w:cs="Arial"/>
          <w:sz w:val="20"/>
          <w:szCs w:val="20"/>
        </w:rPr>
      </w:pPr>
      <w:r w:rsidRPr="0064597D">
        <w:rPr>
          <w:rFonts w:eastAsiaTheme="minorHAnsi" w:cs="Arial"/>
          <w:sz w:val="20"/>
          <w:szCs w:val="20"/>
        </w:rPr>
        <w:t>La Corte observa</w:t>
      </w:r>
      <w:r w:rsidR="00872017" w:rsidRPr="0064597D">
        <w:rPr>
          <w:rFonts w:eastAsiaTheme="minorHAnsi" w:cs="Arial"/>
          <w:sz w:val="20"/>
          <w:szCs w:val="20"/>
        </w:rPr>
        <w:t xml:space="preserve">, en primer lugar, que el señor Ruiz Fuentes presentaba al momento de su muerte dos heridas </w:t>
      </w:r>
      <w:r w:rsidR="00E40AB3" w:rsidRPr="0064597D">
        <w:rPr>
          <w:rFonts w:eastAsiaTheme="minorHAnsi" w:cs="Arial"/>
          <w:sz w:val="20"/>
          <w:szCs w:val="20"/>
        </w:rPr>
        <w:t>causadas por un proyectil de arma de fuego</w:t>
      </w:r>
      <w:r w:rsidR="00872017" w:rsidRPr="0064597D">
        <w:rPr>
          <w:rFonts w:eastAsiaTheme="minorHAnsi" w:cs="Arial"/>
          <w:sz w:val="20"/>
          <w:szCs w:val="20"/>
        </w:rPr>
        <w:t xml:space="preserve">. </w:t>
      </w:r>
      <w:r w:rsidR="00383B36" w:rsidRPr="0064597D">
        <w:rPr>
          <w:rFonts w:eastAsiaTheme="minorHAnsi" w:cs="Arial"/>
          <w:spacing w:val="-2"/>
          <w:sz w:val="20"/>
          <w:szCs w:val="20"/>
        </w:rPr>
        <w:t xml:space="preserve">Resulta pertinente centrarse en </w:t>
      </w:r>
      <w:r w:rsidR="00872017" w:rsidRPr="0064597D">
        <w:rPr>
          <w:rFonts w:eastAsiaTheme="minorHAnsi" w:cs="Arial"/>
          <w:spacing w:val="-2"/>
          <w:sz w:val="20"/>
          <w:szCs w:val="20"/>
        </w:rPr>
        <w:t xml:space="preserve">la autopsia practicada en la madrugada del 15 de noviembre de 2005, </w:t>
      </w:r>
      <w:r w:rsidR="00383B36" w:rsidRPr="0064597D">
        <w:rPr>
          <w:rFonts w:eastAsiaTheme="minorHAnsi" w:cs="Arial"/>
          <w:spacing w:val="-2"/>
          <w:sz w:val="20"/>
          <w:szCs w:val="20"/>
        </w:rPr>
        <w:t xml:space="preserve">la cual indicó que </w:t>
      </w:r>
      <w:r w:rsidR="00872017" w:rsidRPr="0064597D">
        <w:rPr>
          <w:rFonts w:eastAsiaTheme="minorHAnsi" w:cs="Arial"/>
          <w:spacing w:val="-2"/>
          <w:sz w:val="20"/>
          <w:szCs w:val="20"/>
        </w:rPr>
        <w:t>la primera herida por proyectil de arma de fuego tenía un orifico de entrada en el ojo derecho y presentaba un “área de tatuaje alrededor”</w:t>
      </w:r>
      <w:r w:rsidR="00872017" w:rsidRPr="0064597D">
        <w:rPr>
          <w:rStyle w:val="Refdenotaalpie"/>
          <w:rFonts w:eastAsiaTheme="minorHAnsi" w:cs="Arial"/>
          <w:spacing w:val="-2"/>
          <w:sz w:val="20"/>
          <w:szCs w:val="20"/>
        </w:rPr>
        <w:footnoteReference w:id="125"/>
      </w:r>
      <w:r w:rsidR="00872017" w:rsidRPr="0064597D">
        <w:rPr>
          <w:rFonts w:eastAsiaTheme="minorHAnsi" w:cs="Arial"/>
          <w:spacing w:val="-2"/>
          <w:sz w:val="20"/>
          <w:szCs w:val="20"/>
        </w:rPr>
        <w:t xml:space="preserve">. La Corte </w:t>
      </w:r>
      <w:r w:rsidR="00254858" w:rsidRPr="0064597D">
        <w:rPr>
          <w:rFonts w:eastAsiaTheme="minorHAnsi" w:cs="Arial"/>
          <w:spacing w:val="-2"/>
          <w:sz w:val="20"/>
          <w:szCs w:val="20"/>
        </w:rPr>
        <w:t>nota</w:t>
      </w:r>
      <w:r w:rsidR="00872017" w:rsidRPr="0064597D">
        <w:rPr>
          <w:rFonts w:eastAsiaTheme="minorHAnsi" w:cs="Arial"/>
          <w:spacing w:val="-2"/>
          <w:sz w:val="20"/>
          <w:szCs w:val="20"/>
        </w:rPr>
        <w:t xml:space="preserve">, en primer lugar que </w:t>
      </w:r>
      <w:r w:rsidR="00C91D7F" w:rsidRPr="0064597D">
        <w:rPr>
          <w:rFonts w:eastAsiaTheme="minorHAnsi" w:cs="Arial"/>
          <w:spacing w:val="-2"/>
          <w:sz w:val="20"/>
          <w:szCs w:val="20"/>
        </w:rPr>
        <w:t>este</w:t>
      </w:r>
      <w:r w:rsidR="00872017" w:rsidRPr="0064597D">
        <w:rPr>
          <w:rFonts w:eastAsiaTheme="minorHAnsi" w:cs="Arial"/>
          <w:spacing w:val="-2"/>
          <w:sz w:val="20"/>
          <w:szCs w:val="20"/>
        </w:rPr>
        <w:t xml:space="preserve"> primer disparo que recibió el señor Ruiz Fuentes fue realizado a corta distancia, y ello debido </w:t>
      </w:r>
      <w:r w:rsidR="00254858" w:rsidRPr="0064597D">
        <w:rPr>
          <w:rFonts w:eastAsiaTheme="minorHAnsi" w:cs="Arial"/>
          <w:spacing w:val="-2"/>
          <w:sz w:val="20"/>
          <w:szCs w:val="20"/>
        </w:rPr>
        <w:t xml:space="preserve">precisamente </w:t>
      </w:r>
      <w:r w:rsidR="00872017" w:rsidRPr="0064597D">
        <w:rPr>
          <w:rFonts w:eastAsiaTheme="minorHAnsi" w:cs="Arial"/>
          <w:spacing w:val="-2"/>
          <w:sz w:val="20"/>
          <w:szCs w:val="20"/>
        </w:rPr>
        <w:t>a la presencia de un área de tatuaje alrededor del orificio de entrada. Esta corta distancia (</w:t>
      </w:r>
      <w:r w:rsidR="00C369AF" w:rsidRPr="0064597D">
        <w:rPr>
          <w:rFonts w:eastAsiaTheme="minorHAnsi" w:cs="Arial"/>
          <w:spacing w:val="-2"/>
          <w:sz w:val="20"/>
          <w:szCs w:val="20"/>
        </w:rPr>
        <w:t xml:space="preserve">no más de </w:t>
      </w:r>
      <w:r w:rsidR="00872017" w:rsidRPr="0064597D">
        <w:rPr>
          <w:rFonts w:eastAsiaTheme="minorHAnsi" w:cs="Arial"/>
          <w:spacing w:val="-2"/>
          <w:sz w:val="20"/>
          <w:szCs w:val="20"/>
        </w:rPr>
        <w:t>15 centímetros</w:t>
      </w:r>
      <w:r w:rsidR="00E40AB3" w:rsidRPr="0064597D">
        <w:rPr>
          <w:rStyle w:val="Refdenotaalpie"/>
          <w:rFonts w:eastAsiaTheme="minorHAnsi" w:cs="Arial"/>
          <w:spacing w:val="-2"/>
          <w:sz w:val="20"/>
          <w:szCs w:val="20"/>
        </w:rPr>
        <w:footnoteReference w:id="126"/>
      </w:r>
      <w:r w:rsidR="00872017" w:rsidRPr="0064597D">
        <w:rPr>
          <w:rFonts w:eastAsiaTheme="minorHAnsi" w:cs="Arial"/>
          <w:spacing w:val="-2"/>
          <w:sz w:val="20"/>
          <w:szCs w:val="20"/>
        </w:rPr>
        <w:t xml:space="preserve">) </w:t>
      </w:r>
      <w:r w:rsidR="00A758E4" w:rsidRPr="0064597D">
        <w:rPr>
          <w:rFonts w:eastAsiaTheme="minorHAnsi" w:cs="Arial"/>
          <w:spacing w:val="-2"/>
          <w:sz w:val="20"/>
          <w:szCs w:val="20"/>
        </w:rPr>
        <w:t>es</w:t>
      </w:r>
      <w:r w:rsidR="00872017" w:rsidRPr="0064597D">
        <w:rPr>
          <w:rFonts w:eastAsiaTheme="minorHAnsi" w:cs="Arial"/>
          <w:spacing w:val="-2"/>
          <w:sz w:val="20"/>
          <w:szCs w:val="20"/>
        </w:rPr>
        <w:t xml:space="preserve"> difícilmente compatible </w:t>
      </w:r>
      <w:r w:rsidR="00A758E4" w:rsidRPr="0064597D">
        <w:rPr>
          <w:rFonts w:eastAsiaTheme="minorHAnsi" w:cs="Arial"/>
          <w:spacing w:val="-2"/>
          <w:sz w:val="20"/>
          <w:szCs w:val="20"/>
        </w:rPr>
        <w:t>con la versión del Estado de que el señor Ruiz Fuentes falleció a causa de un enfrentamiento armado, tanto si se asumiera la primera versión del Estado (enfrentamiento con desconocidos) como la segunda (enfrentamiento con miembros de las fuerzas de seguridad del Estado)</w:t>
      </w:r>
      <w:r w:rsidR="00C8226D" w:rsidRPr="0064597D">
        <w:rPr>
          <w:rStyle w:val="Refdenotaalpie"/>
          <w:rFonts w:eastAsiaTheme="minorHAnsi" w:cs="Arial"/>
          <w:spacing w:val="-2"/>
          <w:sz w:val="20"/>
          <w:szCs w:val="20"/>
        </w:rPr>
        <w:footnoteReference w:id="127"/>
      </w:r>
      <w:r w:rsidR="00A758E4" w:rsidRPr="0064597D">
        <w:rPr>
          <w:rFonts w:eastAsiaTheme="minorHAnsi" w:cs="Arial"/>
          <w:spacing w:val="-2"/>
          <w:sz w:val="20"/>
          <w:szCs w:val="20"/>
        </w:rPr>
        <w:t xml:space="preserve">. </w:t>
      </w:r>
      <w:r w:rsidR="001C26E2" w:rsidRPr="0064597D">
        <w:rPr>
          <w:rFonts w:eastAsia="Times" w:cs="Arial"/>
          <w:sz w:val="20"/>
          <w:szCs w:val="20"/>
        </w:rPr>
        <w:t xml:space="preserve">La Corte también destaca </w:t>
      </w:r>
      <w:r w:rsidR="001C26E2" w:rsidRPr="0064597D">
        <w:rPr>
          <w:rFonts w:cs="Arial"/>
          <w:sz w:val="20"/>
          <w:szCs w:val="20"/>
        </w:rPr>
        <w:t xml:space="preserve">la declaración de </w:t>
      </w:r>
      <w:r w:rsidR="00FF35C1" w:rsidRPr="0064597D">
        <w:rPr>
          <w:sz w:val="20"/>
          <w:szCs w:val="20"/>
        </w:rPr>
        <w:t>la hermana del señor Ruiz Fuentes</w:t>
      </w:r>
      <w:r w:rsidR="001C26E2" w:rsidRPr="0064597D">
        <w:rPr>
          <w:rFonts w:cs="Arial"/>
          <w:sz w:val="20"/>
          <w:szCs w:val="20"/>
        </w:rPr>
        <w:t xml:space="preserve">, quien indicó que cuando ella fue a rezar </w:t>
      </w:r>
      <w:r w:rsidR="005E3DA0">
        <w:rPr>
          <w:rFonts w:cs="Arial"/>
          <w:sz w:val="20"/>
          <w:szCs w:val="20"/>
        </w:rPr>
        <w:t>al</w:t>
      </w:r>
      <w:r w:rsidR="001C26E2" w:rsidRPr="0064597D">
        <w:rPr>
          <w:rFonts w:cs="Arial"/>
          <w:sz w:val="20"/>
          <w:szCs w:val="20"/>
        </w:rPr>
        <w:t xml:space="preserve"> lugar donde murió su hermano, uno de los vecinos contó lo siguiente: </w:t>
      </w:r>
    </w:p>
    <w:p w14:paraId="1FD8F5E3" w14:textId="77777777" w:rsidR="00254858" w:rsidRPr="0064597D" w:rsidRDefault="00254858" w:rsidP="00254858">
      <w:pPr>
        <w:tabs>
          <w:tab w:val="left" w:pos="567"/>
        </w:tabs>
        <w:spacing w:line="240" w:lineRule="auto"/>
        <w:rPr>
          <w:rFonts w:eastAsia="Times" w:cs="Arial"/>
          <w:sz w:val="20"/>
          <w:szCs w:val="20"/>
        </w:rPr>
      </w:pPr>
    </w:p>
    <w:p w14:paraId="28ABCC5A" w14:textId="68FD1C92" w:rsidR="001C26E2" w:rsidRPr="0064597D" w:rsidRDefault="001C26E2" w:rsidP="00254858">
      <w:pPr>
        <w:tabs>
          <w:tab w:val="left" w:pos="567"/>
        </w:tabs>
        <w:spacing w:line="240" w:lineRule="auto"/>
        <w:ind w:left="720" w:right="720"/>
        <w:rPr>
          <w:rFonts w:eastAsia="Times" w:cs="Arial"/>
          <w:sz w:val="18"/>
          <w:szCs w:val="18"/>
        </w:rPr>
      </w:pPr>
      <w:r w:rsidRPr="0064597D">
        <w:rPr>
          <w:rFonts w:cs="Arial"/>
          <w:sz w:val="18"/>
          <w:szCs w:val="18"/>
        </w:rPr>
        <w:t>“</w:t>
      </w:r>
      <w:r w:rsidR="00254858" w:rsidRPr="0064597D">
        <w:rPr>
          <w:rFonts w:cs="Arial"/>
          <w:sz w:val="18"/>
          <w:szCs w:val="18"/>
        </w:rPr>
        <w:t xml:space="preserve">[El vecino] </w:t>
      </w:r>
      <w:r w:rsidRPr="0064597D">
        <w:rPr>
          <w:rFonts w:cs="Arial"/>
          <w:sz w:val="18"/>
          <w:szCs w:val="18"/>
        </w:rPr>
        <w:t xml:space="preserve">vio que se paró una </w:t>
      </w:r>
      <w:r w:rsidRPr="0064597D">
        <w:rPr>
          <w:sz w:val="18"/>
          <w:szCs w:val="18"/>
        </w:rPr>
        <w:t>patrulla</w:t>
      </w:r>
      <w:r w:rsidRPr="0064597D">
        <w:rPr>
          <w:rFonts w:cs="Arial"/>
          <w:sz w:val="18"/>
          <w:szCs w:val="18"/>
        </w:rPr>
        <w:t>, y que bajaron a un señor, y le dijeron ándate y si tienes suerte, te escapas. Entonces Hugo comenzó a caminar y volteaba a ver. Pero esa calle es como una U, cuando él llegó a la vuelta, ya habían otros policías, otra patrulla y le empezaron a disparar”</w:t>
      </w:r>
      <w:r w:rsidRPr="0064597D">
        <w:rPr>
          <w:rStyle w:val="Refdenotaalpie"/>
          <w:rFonts w:cs="Verdana"/>
          <w:sz w:val="18"/>
          <w:szCs w:val="18"/>
        </w:rPr>
        <w:footnoteReference w:id="128"/>
      </w:r>
      <w:r w:rsidRPr="0064597D">
        <w:rPr>
          <w:rFonts w:cs="Arial"/>
          <w:sz w:val="18"/>
          <w:szCs w:val="18"/>
        </w:rPr>
        <w:t>.</w:t>
      </w:r>
    </w:p>
    <w:p w14:paraId="569D022C" w14:textId="77777777" w:rsidR="00254858" w:rsidRPr="0064597D" w:rsidRDefault="00254858" w:rsidP="00254858">
      <w:pPr>
        <w:tabs>
          <w:tab w:val="left" w:pos="567"/>
        </w:tabs>
        <w:spacing w:line="240" w:lineRule="auto"/>
        <w:rPr>
          <w:rFonts w:eastAsia="Times" w:cs="Arial"/>
          <w:sz w:val="20"/>
          <w:szCs w:val="20"/>
        </w:rPr>
      </w:pPr>
    </w:p>
    <w:p w14:paraId="08A63002" w14:textId="461756D1" w:rsidR="005708A8" w:rsidRPr="0064597D" w:rsidRDefault="005708A8" w:rsidP="00E40AB3">
      <w:pPr>
        <w:numPr>
          <w:ilvl w:val="0"/>
          <w:numId w:val="1"/>
        </w:numPr>
        <w:tabs>
          <w:tab w:val="left" w:pos="567"/>
        </w:tabs>
        <w:spacing w:line="240" w:lineRule="auto"/>
        <w:ind w:left="0" w:firstLine="0"/>
        <w:rPr>
          <w:rFonts w:eastAsia="Times" w:cs="Arial"/>
          <w:sz w:val="20"/>
          <w:szCs w:val="20"/>
        </w:rPr>
      </w:pPr>
      <w:r w:rsidRPr="0064597D">
        <w:rPr>
          <w:rFonts w:cs="Arial"/>
          <w:sz w:val="20"/>
          <w:szCs w:val="20"/>
        </w:rPr>
        <w:t>Por otro lado, llama la atención de la Corte el hecho de que</w:t>
      </w:r>
      <w:r w:rsidR="006D535E" w:rsidRPr="0064597D">
        <w:rPr>
          <w:rFonts w:cs="Arial"/>
          <w:sz w:val="20"/>
          <w:szCs w:val="20"/>
        </w:rPr>
        <w:t>,</w:t>
      </w:r>
      <w:r w:rsidRPr="0064597D">
        <w:rPr>
          <w:rFonts w:cs="Arial"/>
          <w:sz w:val="20"/>
          <w:szCs w:val="20"/>
        </w:rPr>
        <w:t xml:space="preserve"> al poco tiempo de producirse los disparos y de fallecer el señor Ruiz Fuentes, </w:t>
      </w:r>
      <w:r w:rsidRPr="0064597D">
        <w:rPr>
          <w:sz w:val="20"/>
          <w:szCs w:val="20"/>
        </w:rPr>
        <w:t xml:space="preserve">se encontraban en el lugar de los hechos 12 miembros del Comando Anti Secuestros de la </w:t>
      </w:r>
      <w:r w:rsidR="00537AAE" w:rsidRPr="0064597D">
        <w:rPr>
          <w:sz w:val="20"/>
          <w:szCs w:val="20"/>
        </w:rPr>
        <w:t>PNC</w:t>
      </w:r>
      <w:r w:rsidRPr="0064597D">
        <w:rPr>
          <w:sz w:val="20"/>
          <w:szCs w:val="20"/>
        </w:rPr>
        <w:t>, comandado por el Comisario de</w:t>
      </w:r>
      <w:r w:rsidR="00E857F6" w:rsidRPr="0064597D">
        <w:rPr>
          <w:sz w:val="20"/>
          <w:szCs w:val="20"/>
        </w:rPr>
        <w:t xml:space="preserve"> la Policía </w:t>
      </w:r>
      <w:r w:rsidR="00B07AF4" w:rsidRPr="0064597D">
        <w:rPr>
          <w:sz w:val="20"/>
          <w:szCs w:val="20"/>
        </w:rPr>
        <w:t>V.S.D.</w:t>
      </w:r>
      <w:r w:rsidRPr="0064597D">
        <w:rPr>
          <w:rStyle w:val="Refdenotaalpie"/>
          <w:sz w:val="20"/>
          <w:szCs w:val="20"/>
        </w:rPr>
        <w:footnoteReference w:id="129"/>
      </w:r>
      <w:r w:rsidRPr="0064597D">
        <w:rPr>
          <w:sz w:val="20"/>
          <w:szCs w:val="20"/>
        </w:rPr>
        <w:t>.</w:t>
      </w:r>
      <w:r w:rsidR="00677C8B" w:rsidRPr="0064597D">
        <w:rPr>
          <w:sz w:val="20"/>
          <w:szCs w:val="20"/>
        </w:rPr>
        <w:t xml:space="preserve"> </w:t>
      </w:r>
      <w:r w:rsidR="00B60E7F" w:rsidRPr="0064597D">
        <w:rPr>
          <w:sz w:val="20"/>
          <w:szCs w:val="20"/>
        </w:rPr>
        <w:t xml:space="preserve">La Corte </w:t>
      </w:r>
      <w:r w:rsidR="00B60E7F" w:rsidRPr="0064597D">
        <w:rPr>
          <w:sz w:val="20"/>
          <w:szCs w:val="20"/>
        </w:rPr>
        <w:lastRenderedPageBreak/>
        <w:t xml:space="preserve">observa que, de haber sido la muerte del señor Ruiz Fuentes el resultado de un enfrentamiento entre particulares, resultaría </w:t>
      </w:r>
      <w:r w:rsidR="00794183" w:rsidRPr="0064597D">
        <w:rPr>
          <w:sz w:val="20"/>
          <w:szCs w:val="20"/>
        </w:rPr>
        <w:t>cuando menos improbable</w:t>
      </w:r>
      <w:r w:rsidR="00B60E7F" w:rsidRPr="0064597D">
        <w:rPr>
          <w:sz w:val="20"/>
          <w:szCs w:val="20"/>
        </w:rPr>
        <w:t xml:space="preserve"> que los miembros del comando encargado de su recaptura estuvieran presentes en la escena del crimen a los pocos minutos de que se produjera su muerte.</w:t>
      </w:r>
      <w:r w:rsidR="00DB0443" w:rsidRPr="0064597D">
        <w:rPr>
          <w:sz w:val="20"/>
          <w:szCs w:val="20"/>
        </w:rPr>
        <w:t xml:space="preserve"> </w:t>
      </w:r>
    </w:p>
    <w:p w14:paraId="61CB6917" w14:textId="77777777" w:rsidR="001C26E2" w:rsidRPr="0064597D" w:rsidRDefault="001C26E2" w:rsidP="001C26E2">
      <w:pPr>
        <w:tabs>
          <w:tab w:val="left" w:pos="567"/>
        </w:tabs>
        <w:spacing w:line="240" w:lineRule="auto"/>
        <w:rPr>
          <w:rFonts w:eastAsia="Times" w:cs="Arial"/>
          <w:sz w:val="20"/>
          <w:szCs w:val="20"/>
        </w:rPr>
      </w:pPr>
    </w:p>
    <w:p w14:paraId="538B93BC" w14:textId="7187F725" w:rsidR="00E40AB3" w:rsidRPr="0064597D" w:rsidRDefault="00F0627F" w:rsidP="004D7C59">
      <w:pPr>
        <w:numPr>
          <w:ilvl w:val="0"/>
          <w:numId w:val="1"/>
        </w:numPr>
        <w:tabs>
          <w:tab w:val="left" w:pos="567"/>
        </w:tabs>
        <w:spacing w:line="240" w:lineRule="auto"/>
        <w:ind w:left="0" w:firstLine="0"/>
        <w:rPr>
          <w:rFonts w:eastAsia="Times" w:cs="Arial"/>
          <w:sz w:val="20"/>
          <w:szCs w:val="20"/>
        </w:rPr>
      </w:pPr>
      <w:r w:rsidRPr="0064597D">
        <w:rPr>
          <w:rFonts w:eastAsiaTheme="minorHAnsi" w:cs="Arial"/>
          <w:spacing w:val="-2"/>
          <w:sz w:val="20"/>
          <w:szCs w:val="20"/>
        </w:rPr>
        <w:t>A</w:t>
      </w:r>
      <w:r w:rsidR="005B1C1A" w:rsidRPr="0064597D">
        <w:rPr>
          <w:rFonts w:eastAsiaTheme="minorHAnsi" w:cs="Arial"/>
          <w:spacing w:val="-2"/>
          <w:sz w:val="20"/>
          <w:szCs w:val="20"/>
        </w:rPr>
        <w:t xml:space="preserve"> ello se une</w:t>
      </w:r>
      <w:r w:rsidR="00F618D5" w:rsidRPr="0064597D">
        <w:rPr>
          <w:rFonts w:eastAsiaTheme="minorHAnsi" w:cs="Arial"/>
          <w:spacing w:val="-2"/>
          <w:sz w:val="20"/>
          <w:szCs w:val="20"/>
        </w:rPr>
        <w:t xml:space="preserve"> el hecho de que, según el acervo probatorio, </w:t>
      </w:r>
      <w:r w:rsidR="00EA3C19" w:rsidRPr="0064597D">
        <w:rPr>
          <w:rFonts w:eastAsiaTheme="minorHAnsi" w:cs="Arial"/>
          <w:spacing w:val="-2"/>
          <w:sz w:val="20"/>
          <w:szCs w:val="20"/>
        </w:rPr>
        <w:t xml:space="preserve">la escena del crimen fue </w:t>
      </w:r>
      <w:r w:rsidR="00AC1F76" w:rsidRPr="0064597D">
        <w:rPr>
          <w:rFonts w:eastAsiaTheme="minorHAnsi" w:cs="Arial"/>
          <w:spacing w:val="-2"/>
          <w:sz w:val="20"/>
          <w:szCs w:val="20"/>
        </w:rPr>
        <w:t>alterada</w:t>
      </w:r>
      <w:r w:rsidR="00EA3C19" w:rsidRPr="0064597D">
        <w:rPr>
          <w:rFonts w:eastAsiaTheme="minorHAnsi" w:cs="Arial"/>
          <w:spacing w:val="-2"/>
          <w:sz w:val="20"/>
          <w:szCs w:val="20"/>
        </w:rPr>
        <w:t>. Lo anterior se vio corr</w:t>
      </w:r>
      <w:r w:rsidR="00544438" w:rsidRPr="0064597D">
        <w:rPr>
          <w:rFonts w:eastAsiaTheme="minorHAnsi" w:cs="Arial"/>
          <w:spacing w:val="-2"/>
          <w:sz w:val="20"/>
          <w:szCs w:val="20"/>
        </w:rPr>
        <w:t>o</w:t>
      </w:r>
      <w:r w:rsidR="00EA3C19" w:rsidRPr="0064597D">
        <w:rPr>
          <w:rFonts w:eastAsiaTheme="minorHAnsi" w:cs="Arial"/>
          <w:spacing w:val="-2"/>
          <w:sz w:val="20"/>
          <w:szCs w:val="20"/>
        </w:rPr>
        <w:t xml:space="preserve">borado por la </w:t>
      </w:r>
      <w:r w:rsidR="00EA3C19" w:rsidRPr="0064597D">
        <w:rPr>
          <w:rFonts w:cs="Arial"/>
          <w:sz w:val="20"/>
          <w:szCs w:val="20"/>
        </w:rPr>
        <w:t>prueba</w:t>
      </w:r>
      <w:r w:rsidR="00EA3C19" w:rsidRPr="0064597D">
        <w:rPr>
          <w:rFonts w:eastAsiaTheme="minorHAnsi" w:cs="Arial"/>
          <w:spacing w:val="-2"/>
          <w:sz w:val="20"/>
          <w:szCs w:val="20"/>
        </w:rPr>
        <w:t xml:space="preserve"> pericial del </w:t>
      </w:r>
      <w:r w:rsidR="00E40AB3" w:rsidRPr="0064597D">
        <w:rPr>
          <w:rFonts w:eastAsiaTheme="minorHAnsi" w:cs="Arial"/>
          <w:spacing w:val="-2"/>
          <w:sz w:val="20"/>
          <w:szCs w:val="20"/>
        </w:rPr>
        <w:t>perito Guillermo Carranza</w:t>
      </w:r>
      <w:r w:rsidR="00EA3C19" w:rsidRPr="0064597D">
        <w:rPr>
          <w:rFonts w:eastAsiaTheme="minorHAnsi" w:cs="Arial"/>
          <w:spacing w:val="-2"/>
          <w:sz w:val="20"/>
          <w:szCs w:val="20"/>
        </w:rPr>
        <w:t>, qu</w:t>
      </w:r>
      <w:r w:rsidRPr="0064597D">
        <w:rPr>
          <w:rFonts w:eastAsiaTheme="minorHAnsi" w:cs="Arial"/>
          <w:spacing w:val="-2"/>
          <w:sz w:val="20"/>
          <w:szCs w:val="20"/>
        </w:rPr>
        <w:t xml:space="preserve">ien en su informe pericial, así como en la audiencia pública, </w:t>
      </w:r>
      <w:r w:rsidR="00544438" w:rsidRPr="0064597D">
        <w:rPr>
          <w:rFonts w:eastAsiaTheme="minorHAnsi" w:cs="Arial"/>
          <w:spacing w:val="-2"/>
          <w:sz w:val="20"/>
          <w:szCs w:val="20"/>
        </w:rPr>
        <w:t>indic</w:t>
      </w:r>
      <w:r w:rsidRPr="0064597D">
        <w:rPr>
          <w:rFonts w:eastAsiaTheme="minorHAnsi" w:cs="Arial"/>
          <w:spacing w:val="-2"/>
          <w:sz w:val="20"/>
          <w:szCs w:val="20"/>
        </w:rPr>
        <w:t>ó</w:t>
      </w:r>
      <w:r w:rsidR="00544438" w:rsidRPr="0064597D">
        <w:rPr>
          <w:rFonts w:eastAsiaTheme="minorHAnsi" w:cs="Arial"/>
          <w:spacing w:val="-2"/>
          <w:sz w:val="20"/>
          <w:szCs w:val="20"/>
        </w:rPr>
        <w:t xml:space="preserve"> que </w:t>
      </w:r>
      <w:r w:rsidRPr="0064597D">
        <w:rPr>
          <w:rFonts w:eastAsiaTheme="minorHAnsi" w:cs="Arial"/>
          <w:spacing w:val="-2"/>
          <w:sz w:val="20"/>
          <w:szCs w:val="20"/>
        </w:rPr>
        <w:t xml:space="preserve">“la posición del suéter y la camisa están halados hacia arriba, y el pantalón de lona, fue halado hacia abajo, por efecto del arrastre”, lo cual indicaba que </w:t>
      </w:r>
      <w:r w:rsidR="00544438" w:rsidRPr="0064597D">
        <w:rPr>
          <w:rFonts w:eastAsiaTheme="minorHAnsi" w:cs="Arial"/>
          <w:spacing w:val="-2"/>
          <w:sz w:val="20"/>
          <w:szCs w:val="20"/>
        </w:rPr>
        <w:t>el cadáver del señor Ruiz Fuentes “fue movi</w:t>
      </w:r>
      <w:r w:rsidRPr="0064597D">
        <w:rPr>
          <w:rFonts w:eastAsiaTheme="minorHAnsi" w:cs="Arial"/>
          <w:spacing w:val="-2"/>
          <w:sz w:val="20"/>
          <w:szCs w:val="20"/>
        </w:rPr>
        <w:t>lizado de su posición original”</w:t>
      </w:r>
      <w:r w:rsidR="00F618D5" w:rsidRPr="0064597D">
        <w:rPr>
          <w:rStyle w:val="Refdenotaalpie"/>
          <w:rFonts w:eastAsiaTheme="minorHAnsi" w:cs="Arial"/>
          <w:spacing w:val="-2"/>
          <w:sz w:val="20"/>
          <w:szCs w:val="20"/>
        </w:rPr>
        <w:footnoteReference w:id="130"/>
      </w:r>
      <w:r w:rsidR="00F618D5" w:rsidRPr="0064597D">
        <w:rPr>
          <w:rFonts w:eastAsiaTheme="minorHAnsi" w:cs="Arial"/>
          <w:spacing w:val="-2"/>
          <w:sz w:val="20"/>
          <w:szCs w:val="20"/>
        </w:rPr>
        <w:t xml:space="preserve">. </w:t>
      </w:r>
      <w:r w:rsidR="00C369AF" w:rsidRPr="0064597D">
        <w:rPr>
          <w:rFonts w:eastAsiaTheme="minorHAnsi" w:cs="Arial"/>
          <w:spacing w:val="-2"/>
          <w:sz w:val="20"/>
          <w:szCs w:val="20"/>
        </w:rPr>
        <w:t>En la audiencia pública celebrada</w:t>
      </w:r>
      <w:r w:rsidR="001F0BF8" w:rsidRPr="0064597D">
        <w:rPr>
          <w:rFonts w:eastAsiaTheme="minorHAnsi" w:cs="Arial"/>
          <w:spacing w:val="-2"/>
          <w:sz w:val="20"/>
          <w:szCs w:val="20"/>
        </w:rPr>
        <w:t xml:space="preserve"> ante este Tribunal</w:t>
      </w:r>
      <w:r w:rsidR="004B28A0" w:rsidRPr="0064597D">
        <w:rPr>
          <w:rFonts w:eastAsiaTheme="minorHAnsi" w:cs="Arial"/>
          <w:spacing w:val="-2"/>
          <w:sz w:val="20"/>
          <w:szCs w:val="20"/>
        </w:rPr>
        <w:t>,</w:t>
      </w:r>
      <w:r w:rsidR="001F0BF8" w:rsidRPr="0064597D">
        <w:rPr>
          <w:rFonts w:eastAsiaTheme="minorHAnsi" w:cs="Arial"/>
          <w:spacing w:val="-2"/>
          <w:sz w:val="20"/>
          <w:szCs w:val="20"/>
        </w:rPr>
        <w:t xml:space="preserve"> </w:t>
      </w:r>
      <w:r w:rsidR="00C369AF" w:rsidRPr="0064597D">
        <w:rPr>
          <w:rFonts w:eastAsiaTheme="minorHAnsi" w:cs="Arial"/>
          <w:spacing w:val="-2"/>
          <w:sz w:val="20"/>
          <w:szCs w:val="20"/>
        </w:rPr>
        <w:t xml:space="preserve">el perito </w:t>
      </w:r>
      <w:r w:rsidR="00775972" w:rsidRPr="0064597D">
        <w:rPr>
          <w:rFonts w:eastAsiaTheme="minorHAnsi" w:cs="Arial"/>
          <w:spacing w:val="-2"/>
          <w:sz w:val="20"/>
          <w:szCs w:val="20"/>
        </w:rPr>
        <w:t xml:space="preserve">Guillermo Carranza </w:t>
      </w:r>
      <w:r w:rsidR="00C369AF" w:rsidRPr="0064597D">
        <w:rPr>
          <w:rFonts w:eastAsiaTheme="minorHAnsi" w:cs="Arial"/>
          <w:spacing w:val="-2"/>
          <w:sz w:val="20"/>
          <w:szCs w:val="20"/>
        </w:rPr>
        <w:t xml:space="preserve">destacó además que </w:t>
      </w:r>
      <w:r w:rsidR="00064DB0" w:rsidRPr="0064597D">
        <w:rPr>
          <w:rFonts w:eastAsiaTheme="minorHAnsi" w:cs="Arial"/>
          <w:spacing w:val="-2"/>
          <w:sz w:val="20"/>
          <w:szCs w:val="20"/>
        </w:rPr>
        <w:t xml:space="preserve">el hecho de retirar el hollín del orificio de entrada en el ojo derecho </w:t>
      </w:r>
      <w:r w:rsidR="005A6F14" w:rsidRPr="0064597D">
        <w:rPr>
          <w:rFonts w:eastAsiaTheme="minorHAnsi" w:cs="Arial"/>
          <w:spacing w:val="-2"/>
          <w:sz w:val="20"/>
          <w:szCs w:val="20"/>
        </w:rPr>
        <w:t>hizo “cambiar la distancia de disparo”</w:t>
      </w:r>
      <w:r w:rsidR="004D7C59" w:rsidRPr="0064597D">
        <w:rPr>
          <w:rFonts w:eastAsiaTheme="minorHAnsi" w:cs="Arial"/>
          <w:spacing w:val="-2"/>
          <w:sz w:val="20"/>
          <w:szCs w:val="20"/>
        </w:rPr>
        <w:t xml:space="preserve"> ya que </w:t>
      </w:r>
      <w:r w:rsidR="004D7C59" w:rsidRPr="0064597D">
        <w:rPr>
          <w:rFonts w:cs="Arial"/>
          <w:sz w:val="20"/>
          <w:szCs w:val="20"/>
        </w:rPr>
        <w:t>ento</w:t>
      </w:r>
      <w:r w:rsidR="004D7C59" w:rsidRPr="0064597D">
        <w:rPr>
          <w:rFonts w:eastAsiaTheme="minorHAnsi" w:cs="Arial"/>
          <w:spacing w:val="-2"/>
          <w:sz w:val="20"/>
          <w:szCs w:val="20"/>
        </w:rPr>
        <w:t xml:space="preserve">nces </w:t>
      </w:r>
      <w:r w:rsidR="004D7C59" w:rsidRPr="0064597D">
        <w:rPr>
          <w:rFonts w:cs="Arial"/>
          <w:sz w:val="20"/>
          <w:szCs w:val="20"/>
        </w:rPr>
        <w:t>pa</w:t>
      </w:r>
      <w:r w:rsidR="004B28A0" w:rsidRPr="0064597D">
        <w:rPr>
          <w:rFonts w:cs="Arial"/>
          <w:sz w:val="20"/>
          <w:szCs w:val="20"/>
        </w:rPr>
        <w:t>s</w:t>
      </w:r>
      <w:r w:rsidR="004D7C59" w:rsidRPr="0064597D">
        <w:rPr>
          <w:rFonts w:cs="Arial"/>
          <w:sz w:val="20"/>
          <w:szCs w:val="20"/>
        </w:rPr>
        <w:t xml:space="preserve">a de un </w:t>
      </w:r>
      <w:r w:rsidR="004D7C59" w:rsidRPr="0064597D">
        <w:rPr>
          <w:rFonts w:eastAsiaTheme="minorHAnsi" w:cs="Arial"/>
          <w:spacing w:val="-2"/>
          <w:sz w:val="20"/>
          <w:szCs w:val="20"/>
        </w:rPr>
        <w:t>disparo de corta distancia a “un disparo de mediana o larga distancia”</w:t>
      </w:r>
      <w:r w:rsidR="005A6F14" w:rsidRPr="0064597D">
        <w:rPr>
          <w:rStyle w:val="Refdenotaalpie"/>
          <w:rFonts w:eastAsiaTheme="minorHAnsi" w:cs="Arial"/>
          <w:spacing w:val="-2"/>
          <w:sz w:val="20"/>
          <w:szCs w:val="20"/>
        </w:rPr>
        <w:footnoteReference w:id="131"/>
      </w:r>
      <w:r w:rsidR="005A6F14" w:rsidRPr="0064597D">
        <w:rPr>
          <w:rFonts w:eastAsiaTheme="minorHAnsi" w:cs="Arial"/>
          <w:spacing w:val="-2"/>
          <w:sz w:val="20"/>
          <w:szCs w:val="20"/>
        </w:rPr>
        <w:t xml:space="preserve">. </w:t>
      </w:r>
      <w:r w:rsidR="00E40AB3" w:rsidRPr="0064597D">
        <w:rPr>
          <w:rFonts w:eastAsiaTheme="minorHAnsi" w:cs="Arial"/>
          <w:spacing w:val="-2"/>
          <w:sz w:val="20"/>
          <w:szCs w:val="20"/>
        </w:rPr>
        <w:t>Por otro lado, la Corte también hace notar la observación de dicho perito con respecto a que el portón que se situaba detrás del cadáver presentaba numerosos impactos de bala</w:t>
      </w:r>
      <w:r w:rsidR="001C48C0" w:rsidRPr="0064597D">
        <w:rPr>
          <w:rFonts w:eastAsiaTheme="minorHAnsi" w:cs="Arial"/>
          <w:spacing w:val="-2"/>
          <w:sz w:val="20"/>
          <w:szCs w:val="20"/>
        </w:rPr>
        <w:t>, lo cual</w:t>
      </w:r>
      <w:r w:rsidR="00E40AB3" w:rsidRPr="0064597D">
        <w:rPr>
          <w:rFonts w:eastAsiaTheme="minorHAnsi" w:cs="Arial"/>
          <w:spacing w:val="-2"/>
          <w:sz w:val="20"/>
          <w:szCs w:val="20"/>
        </w:rPr>
        <w:t xml:space="preserve"> “hac[ía] pensar que no hubo ningún enfrentamiento”, sino disparos contra él y para “asemejar disparos”</w:t>
      </w:r>
      <w:r w:rsidR="00E40AB3" w:rsidRPr="0064597D">
        <w:rPr>
          <w:rStyle w:val="Refdenotaalpie"/>
          <w:rFonts w:eastAsiaTheme="minorHAnsi" w:cs="Arial"/>
          <w:spacing w:val="-2"/>
          <w:sz w:val="20"/>
          <w:szCs w:val="20"/>
        </w:rPr>
        <w:footnoteReference w:id="132"/>
      </w:r>
      <w:r w:rsidR="00E40AB3" w:rsidRPr="0064597D">
        <w:rPr>
          <w:rFonts w:eastAsiaTheme="minorHAnsi" w:cs="Arial"/>
          <w:spacing w:val="-2"/>
          <w:sz w:val="20"/>
          <w:szCs w:val="20"/>
        </w:rPr>
        <w:t xml:space="preserve">, esto es, simular un enfrentamiento. </w:t>
      </w:r>
    </w:p>
    <w:p w14:paraId="2CAF8138" w14:textId="77777777" w:rsidR="00AC1F76" w:rsidRPr="0064597D" w:rsidRDefault="00AC1F76" w:rsidP="00AC1F76">
      <w:pPr>
        <w:tabs>
          <w:tab w:val="left" w:pos="567"/>
        </w:tabs>
        <w:spacing w:line="240" w:lineRule="auto"/>
        <w:rPr>
          <w:rFonts w:eastAsia="Times" w:cs="Arial"/>
          <w:sz w:val="20"/>
          <w:szCs w:val="20"/>
        </w:rPr>
      </w:pPr>
    </w:p>
    <w:p w14:paraId="63FD06BA" w14:textId="5CCACDEE" w:rsidR="005A6F14" w:rsidRPr="0064597D" w:rsidRDefault="00F618D5" w:rsidP="00E857F6">
      <w:pPr>
        <w:numPr>
          <w:ilvl w:val="0"/>
          <w:numId w:val="1"/>
        </w:numPr>
        <w:tabs>
          <w:tab w:val="left" w:pos="567"/>
        </w:tabs>
        <w:spacing w:line="240" w:lineRule="auto"/>
        <w:ind w:left="0" w:firstLine="0"/>
        <w:rPr>
          <w:rFonts w:eastAsiaTheme="minorHAnsi" w:cs="Arial"/>
          <w:spacing w:val="-2"/>
          <w:sz w:val="20"/>
          <w:szCs w:val="20"/>
        </w:rPr>
      </w:pPr>
      <w:r w:rsidRPr="0064597D">
        <w:rPr>
          <w:rFonts w:eastAsiaTheme="minorHAnsi" w:cs="Arial"/>
          <w:spacing w:val="-2"/>
          <w:sz w:val="20"/>
          <w:szCs w:val="20"/>
        </w:rPr>
        <w:t>En lo que respecta al arma de fuego que se encontró en la mano derecha de</w:t>
      </w:r>
      <w:r w:rsidR="00E40AB3" w:rsidRPr="0064597D">
        <w:rPr>
          <w:rFonts w:eastAsiaTheme="minorHAnsi" w:cs="Arial"/>
          <w:spacing w:val="-2"/>
          <w:sz w:val="20"/>
          <w:szCs w:val="20"/>
        </w:rPr>
        <w:t xml:space="preserve">l señor Ruiz Fuentes, </w:t>
      </w:r>
      <w:r w:rsidR="00E857F6" w:rsidRPr="0064597D">
        <w:rPr>
          <w:rFonts w:eastAsiaTheme="minorHAnsi" w:cs="Arial"/>
          <w:spacing w:val="-2"/>
          <w:sz w:val="20"/>
          <w:szCs w:val="20"/>
        </w:rPr>
        <w:t xml:space="preserve">llama la atención </w:t>
      </w:r>
      <w:r w:rsidR="00C91D7F" w:rsidRPr="0064597D">
        <w:rPr>
          <w:rFonts w:eastAsiaTheme="minorHAnsi" w:cs="Arial"/>
          <w:spacing w:val="-2"/>
          <w:sz w:val="20"/>
          <w:szCs w:val="20"/>
        </w:rPr>
        <w:t xml:space="preserve">de este Tribunal </w:t>
      </w:r>
      <w:r w:rsidR="00E857F6" w:rsidRPr="0064597D">
        <w:rPr>
          <w:rFonts w:eastAsiaTheme="minorHAnsi" w:cs="Arial"/>
          <w:spacing w:val="-2"/>
          <w:sz w:val="20"/>
          <w:szCs w:val="20"/>
        </w:rPr>
        <w:t>el hecho de que la misma perteneciera</w:t>
      </w:r>
      <w:r w:rsidR="00E857F6" w:rsidRPr="0064597D">
        <w:rPr>
          <w:sz w:val="20"/>
          <w:szCs w:val="20"/>
        </w:rPr>
        <w:t xml:space="preserve"> a un agente del Estado sin que, a día de hoy, exista una explicación plausible sobre cómo el señor Ruiz Fuente</w:t>
      </w:r>
      <w:r w:rsidR="004B28A0" w:rsidRPr="0064597D">
        <w:rPr>
          <w:sz w:val="20"/>
          <w:szCs w:val="20"/>
        </w:rPr>
        <w:t>s</w:t>
      </w:r>
      <w:r w:rsidR="00E857F6" w:rsidRPr="0064597D">
        <w:rPr>
          <w:sz w:val="20"/>
          <w:szCs w:val="20"/>
        </w:rPr>
        <w:t xml:space="preserve"> </w:t>
      </w:r>
      <w:r w:rsidR="005E3DA0">
        <w:rPr>
          <w:sz w:val="20"/>
          <w:szCs w:val="20"/>
        </w:rPr>
        <w:t>pudo</w:t>
      </w:r>
      <w:r w:rsidR="00E857F6" w:rsidRPr="0064597D">
        <w:rPr>
          <w:sz w:val="20"/>
          <w:szCs w:val="20"/>
        </w:rPr>
        <w:t xml:space="preserve"> haber obtenido </w:t>
      </w:r>
      <w:r w:rsidR="005E3DA0">
        <w:rPr>
          <w:sz w:val="20"/>
          <w:szCs w:val="20"/>
        </w:rPr>
        <w:t>el</w:t>
      </w:r>
      <w:r w:rsidR="00E857F6" w:rsidRPr="0064597D">
        <w:rPr>
          <w:sz w:val="20"/>
          <w:szCs w:val="20"/>
        </w:rPr>
        <w:t xml:space="preserve"> arma. La Corte nota además que</w:t>
      </w:r>
      <w:r w:rsidR="00794183" w:rsidRPr="0064597D">
        <w:rPr>
          <w:sz w:val="20"/>
          <w:szCs w:val="20"/>
        </w:rPr>
        <w:t xml:space="preserve"> el arma </w:t>
      </w:r>
      <w:r w:rsidR="00E857F6" w:rsidRPr="0064597D">
        <w:rPr>
          <w:sz w:val="20"/>
          <w:szCs w:val="20"/>
        </w:rPr>
        <w:t>no presentaba ninguna mancha de sangre, mientras que existían restos de sangre en la mano derecha</w:t>
      </w:r>
      <w:r w:rsidR="00C91D7F" w:rsidRPr="0064597D">
        <w:rPr>
          <w:sz w:val="20"/>
          <w:szCs w:val="20"/>
        </w:rPr>
        <w:t xml:space="preserve"> que la sujetaba</w:t>
      </w:r>
      <w:r w:rsidR="00794183" w:rsidRPr="0064597D">
        <w:rPr>
          <w:rStyle w:val="Refdenotaalpie"/>
          <w:rFonts w:eastAsiaTheme="minorHAnsi" w:cs="Arial"/>
          <w:spacing w:val="-2"/>
          <w:sz w:val="20"/>
          <w:szCs w:val="20"/>
        </w:rPr>
        <w:footnoteReference w:id="133"/>
      </w:r>
      <w:r w:rsidR="00E857F6" w:rsidRPr="0064597D">
        <w:rPr>
          <w:sz w:val="20"/>
          <w:szCs w:val="20"/>
        </w:rPr>
        <w:t xml:space="preserve">. </w:t>
      </w:r>
      <w:r w:rsidR="00794183" w:rsidRPr="0064597D">
        <w:rPr>
          <w:sz w:val="20"/>
          <w:szCs w:val="20"/>
        </w:rPr>
        <w:t>La Cort</w:t>
      </w:r>
      <w:r w:rsidR="002961B3" w:rsidRPr="0064597D">
        <w:rPr>
          <w:sz w:val="20"/>
          <w:szCs w:val="20"/>
        </w:rPr>
        <w:t>e</w:t>
      </w:r>
      <w:r w:rsidR="00794183" w:rsidRPr="0064597D">
        <w:rPr>
          <w:sz w:val="20"/>
          <w:szCs w:val="20"/>
        </w:rPr>
        <w:t xml:space="preserve"> también nota lo indicado por el perito Carranza Izquierdo al indicar</w:t>
      </w:r>
      <w:r w:rsidR="00AC1F76" w:rsidRPr="0064597D">
        <w:rPr>
          <w:rFonts w:eastAsiaTheme="minorHAnsi" w:cs="Arial"/>
          <w:spacing w:val="-2"/>
          <w:sz w:val="20"/>
          <w:szCs w:val="20"/>
        </w:rPr>
        <w:t xml:space="preserve"> que, debido al disparo que recibió en la cara, era “muy difícil o imposible que pudiera sostener el arma de fuego en la mano derecha, pues […] al momento que recibió el disparo en la cara perdió el conocimiento”</w:t>
      </w:r>
      <w:r w:rsidR="00AC1F76" w:rsidRPr="0064597D">
        <w:rPr>
          <w:rStyle w:val="Refdenotaalpie"/>
          <w:rFonts w:eastAsiaTheme="minorHAnsi" w:cs="Arial"/>
          <w:spacing w:val="-2"/>
          <w:sz w:val="20"/>
          <w:szCs w:val="20"/>
        </w:rPr>
        <w:footnoteReference w:id="134"/>
      </w:r>
      <w:r w:rsidR="00AC1F76" w:rsidRPr="0064597D">
        <w:rPr>
          <w:rFonts w:eastAsiaTheme="minorHAnsi" w:cs="Arial"/>
          <w:spacing w:val="-2"/>
          <w:sz w:val="20"/>
          <w:szCs w:val="20"/>
        </w:rPr>
        <w:t>.</w:t>
      </w:r>
      <w:r w:rsidR="00DB0443" w:rsidRPr="0064597D">
        <w:rPr>
          <w:rFonts w:eastAsiaTheme="minorHAnsi" w:cs="Arial"/>
          <w:spacing w:val="-2"/>
          <w:sz w:val="20"/>
          <w:szCs w:val="20"/>
        </w:rPr>
        <w:t xml:space="preserve"> </w:t>
      </w:r>
      <w:r w:rsidR="00794183" w:rsidRPr="0064597D">
        <w:rPr>
          <w:rFonts w:eastAsiaTheme="minorHAnsi" w:cs="Arial"/>
          <w:spacing w:val="-2"/>
          <w:sz w:val="20"/>
          <w:szCs w:val="20"/>
        </w:rPr>
        <w:t>Por último</w:t>
      </w:r>
      <w:r w:rsidR="005A6F14" w:rsidRPr="0064597D">
        <w:rPr>
          <w:rFonts w:eastAsiaTheme="minorHAnsi" w:cs="Arial"/>
          <w:spacing w:val="-2"/>
          <w:sz w:val="20"/>
          <w:szCs w:val="20"/>
        </w:rPr>
        <w:t xml:space="preserve">, la Corte observa que el equipo que actuó en la escena del crimen no realizó ningún tipo de prueba en aras de encontrar residuos de los disparos en las manos que en teoría se deberían haber encontrado a causa de los disparos </w:t>
      </w:r>
      <w:r w:rsidR="00F928B9" w:rsidRPr="0064597D">
        <w:rPr>
          <w:rFonts w:eastAsiaTheme="minorHAnsi" w:cs="Arial"/>
          <w:spacing w:val="-2"/>
          <w:sz w:val="20"/>
          <w:szCs w:val="20"/>
        </w:rPr>
        <w:t xml:space="preserve">presuntamente </w:t>
      </w:r>
      <w:r w:rsidR="005A6F14" w:rsidRPr="0064597D">
        <w:rPr>
          <w:rFonts w:eastAsiaTheme="minorHAnsi" w:cs="Arial"/>
          <w:spacing w:val="-2"/>
          <w:sz w:val="20"/>
          <w:szCs w:val="20"/>
        </w:rPr>
        <w:t>efectuados por el señor Ruiz Fuentes</w:t>
      </w:r>
      <w:r w:rsidR="005A6F14" w:rsidRPr="0064597D">
        <w:rPr>
          <w:rStyle w:val="Refdenotaalpie"/>
          <w:rFonts w:eastAsiaTheme="minorHAnsi" w:cs="Arial"/>
          <w:spacing w:val="-2"/>
          <w:sz w:val="20"/>
          <w:szCs w:val="20"/>
        </w:rPr>
        <w:footnoteReference w:id="135"/>
      </w:r>
      <w:r w:rsidR="005A6F14" w:rsidRPr="0064597D">
        <w:rPr>
          <w:rFonts w:eastAsiaTheme="minorHAnsi" w:cs="Arial"/>
          <w:spacing w:val="-2"/>
          <w:sz w:val="20"/>
          <w:szCs w:val="20"/>
        </w:rPr>
        <w:t xml:space="preserve">. </w:t>
      </w:r>
    </w:p>
    <w:p w14:paraId="7CF7EF0C" w14:textId="77777777" w:rsidR="003A1006" w:rsidRPr="0064597D" w:rsidRDefault="003A1006" w:rsidP="003A1006">
      <w:pPr>
        <w:tabs>
          <w:tab w:val="left" w:pos="567"/>
        </w:tabs>
        <w:spacing w:line="240" w:lineRule="auto"/>
        <w:rPr>
          <w:rFonts w:eastAsiaTheme="minorHAnsi" w:cs="Arial"/>
          <w:spacing w:val="-2"/>
          <w:sz w:val="20"/>
          <w:szCs w:val="20"/>
        </w:rPr>
      </w:pPr>
    </w:p>
    <w:p w14:paraId="6BC1BD55" w14:textId="7D45754A" w:rsidR="003A1006" w:rsidRPr="0064597D" w:rsidRDefault="00C0215A" w:rsidP="0088504D">
      <w:pPr>
        <w:numPr>
          <w:ilvl w:val="0"/>
          <w:numId w:val="1"/>
        </w:numPr>
        <w:tabs>
          <w:tab w:val="left" w:pos="567"/>
          <w:tab w:val="num" w:pos="1569"/>
          <w:tab w:val="num" w:pos="12305"/>
        </w:tabs>
        <w:spacing w:line="240" w:lineRule="auto"/>
        <w:ind w:left="0" w:firstLine="0"/>
        <w:rPr>
          <w:sz w:val="20"/>
          <w:szCs w:val="20"/>
        </w:rPr>
      </w:pPr>
      <w:r w:rsidRPr="0064597D">
        <w:rPr>
          <w:rFonts w:eastAsiaTheme="minorHAnsi" w:cs="Arial"/>
          <w:spacing w:val="-2"/>
          <w:sz w:val="20"/>
          <w:szCs w:val="20"/>
        </w:rPr>
        <w:t>Por otro lado</w:t>
      </w:r>
      <w:r w:rsidR="00EA3C19" w:rsidRPr="0064597D">
        <w:rPr>
          <w:rFonts w:eastAsiaTheme="minorHAnsi" w:cs="Arial"/>
          <w:spacing w:val="-2"/>
          <w:sz w:val="20"/>
          <w:szCs w:val="20"/>
        </w:rPr>
        <w:t xml:space="preserve">, la Corte tampoco puede obviar el hecho de que el Estado ha presentado versiones contradictorias con respecto a los </w:t>
      </w:r>
      <w:r w:rsidR="001C48C0" w:rsidRPr="0064597D">
        <w:rPr>
          <w:rFonts w:eastAsiaTheme="minorHAnsi" w:cs="Arial"/>
          <w:spacing w:val="-2"/>
          <w:sz w:val="20"/>
          <w:szCs w:val="20"/>
        </w:rPr>
        <w:t>hechos</w:t>
      </w:r>
      <w:r w:rsidR="00F928B9" w:rsidRPr="0064597D">
        <w:rPr>
          <w:rFonts w:eastAsiaTheme="minorHAnsi" w:cs="Arial"/>
          <w:spacing w:val="-2"/>
          <w:sz w:val="20"/>
          <w:szCs w:val="20"/>
        </w:rPr>
        <w:t>, tanto a nivel interno, como ante la Comisión y la Corte</w:t>
      </w:r>
      <w:r w:rsidR="00EA3C19" w:rsidRPr="0064597D">
        <w:rPr>
          <w:rFonts w:eastAsiaTheme="minorHAnsi" w:cs="Arial"/>
          <w:spacing w:val="-2"/>
          <w:sz w:val="20"/>
          <w:szCs w:val="20"/>
        </w:rPr>
        <w:t xml:space="preserve">. </w:t>
      </w:r>
      <w:r w:rsidR="00D626A7" w:rsidRPr="0064597D">
        <w:rPr>
          <w:rFonts w:eastAsiaTheme="minorHAnsi" w:cs="Arial"/>
          <w:spacing w:val="-2"/>
          <w:sz w:val="20"/>
          <w:szCs w:val="20"/>
        </w:rPr>
        <w:t xml:space="preserve">Por un lado, </w:t>
      </w:r>
      <w:r w:rsidR="009025A6" w:rsidRPr="0064597D">
        <w:rPr>
          <w:rFonts w:eastAsiaTheme="minorHAnsi" w:cs="Arial"/>
          <w:spacing w:val="-2"/>
          <w:sz w:val="20"/>
          <w:szCs w:val="20"/>
        </w:rPr>
        <w:t xml:space="preserve">al momento de los hechos varias autoridades estatales realizaron declaraciones a la prensa en las que indicaban que el señor Ruiz Fuentes había muerto como consecuencia de un enfrentamiento </w:t>
      </w:r>
      <w:r w:rsidR="009025A6" w:rsidRPr="0064597D">
        <w:rPr>
          <w:rFonts w:eastAsiaTheme="minorHAnsi" w:cs="Arial"/>
          <w:spacing w:val="-2"/>
          <w:sz w:val="20"/>
          <w:szCs w:val="20"/>
        </w:rPr>
        <w:lastRenderedPageBreak/>
        <w:t xml:space="preserve">con las fuerzas de seguridad del Estado. En particular, </w:t>
      </w:r>
      <w:r w:rsidR="009025A6" w:rsidRPr="0064597D">
        <w:rPr>
          <w:sz w:val="20"/>
          <w:szCs w:val="20"/>
        </w:rPr>
        <w:t>el viceministro de Gobernación indicó que el señor Ruiz Fuentes “fue muerto a tiros anoche por agentes del Plan Gavilán del Servicio de Investigación Criminal (SIC), tras una persecución ocurrida en Barberena, Santa Rosa […], [s]e enfrentó a tiros con los agentes del SIC, quienes le acertaron varios impactos de bala y murió”</w:t>
      </w:r>
      <w:r w:rsidR="009025A6" w:rsidRPr="0064597D">
        <w:rPr>
          <w:rStyle w:val="Refdenotaalpie"/>
          <w:rFonts w:cs="Verdana"/>
          <w:sz w:val="20"/>
          <w:szCs w:val="20"/>
        </w:rPr>
        <w:footnoteReference w:id="136"/>
      </w:r>
      <w:r w:rsidR="009025A6" w:rsidRPr="0064597D">
        <w:rPr>
          <w:sz w:val="20"/>
          <w:szCs w:val="20"/>
        </w:rPr>
        <w:t xml:space="preserve">. </w:t>
      </w:r>
      <w:r w:rsidR="009025A6" w:rsidRPr="0064597D">
        <w:rPr>
          <w:rFonts w:eastAsiaTheme="minorHAnsi" w:cs="Arial"/>
          <w:spacing w:val="-2"/>
          <w:sz w:val="20"/>
          <w:szCs w:val="20"/>
        </w:rPr>
        <w:t>No obstante lo anterior, la Corte observa que</w:t>
      </w:r>
      <w:r w:rsidR="005E5BE8" w:rsidRPr="0064597D">
        <w:rPr>
          <w:rFonts w:eastAsiaTheme="minorHAnsi" w:cs="Arial"/>
          <w:spacing w:val="-2"/>
          <w:sz w:val="20"/>
          <w:szCs w:val="20"/>
        </w:rPr>
        <w:t>, posteriormente,</w:t>
      </w:r>
      <w:r w:rsidR="009025A6" w:rsidRPr="0064597D">
        <w:rPr>
          <w:rFonts w:eastAsiaTheme="minorHAnsi" w:cs="Arial"/>
          <w:spacing w:val="-2"/>
          <w:sz w:val="20"/>
          <w:szCs w:val="20"/>
        </w:rPr>
        <w:t xml:space="preserve"> </w:t>
      </w:r>
      <w:r w:rsidR="00D626A7" w:rsidRPr="0064597D">
        <w:rPr>
          <w:rFonts w:eastAsiaTheme="minorHAnsi" w:cs="Arial"/>
          <w:spacing w:val="-2"/>
          <w:sz w:val="20"/>
          <w:szCs w:val="20"/>
        </w:rPr>
        <w:t xml:space="preserve">varios funcionarios </w:t>
      </w:r>
      <w:r w:rsidR="00BE5973" w:rsidRPr="0064597D">
        <w:rPr>
          <w:rFonts w:eastAsiaTheme="minorHAnsi" w:cs="Arial"/>
          <w:spacing w:val="-2"/>
          <w:sz w:val="20"/>
          <w:szCs w:val="20"/>
        </w:rPr>
        <w:t>declararon</w:t>
      </w:r>
      <w:r w:rsidR="005E5BE8" w:rsidRPr="0064597D">
        <w:rPr>
          <w:rFonts w:eastAsiaTheme="minorHAnsi" w:cs="Arial"/>
          <w:spacing w:val="-2"/>
          <w:sz w:val="20"/>
          <w:szCs w:val="20"/>
        </w:rPr>
        <w:t xml:space="preserve"> ante la Fiscalía del Ministerio Público</w:t>
      </w:r>
      <w:r w:rsidR="00BE5973" w:rsidRPr="0064597D">
        <w:rPr>
          <w:rFonts w:eastAsiaTheme="minorHAnsi" w:cs="Arial"/>
          <w:spacing w:val="-2"/>
          <w:sz w:val="20"/>
          <w:szCs w:val="20"/>
        </w:rPr>
        <w:t xml:space="preserve"> que la muerte del señor Ruiz Fuentes se produjo como consecuencia de un en</w:t>
      </w:r>
      <w:r w:rsidR="005E5BE8" w:rsidRPr="0064597D">
        <w:rPr>
          <w:rFonts w:eastAsiaTheme="minorHAnsi" w:cs="Arial"/>
          <w:spacing w:val="-2"/>
          <w:sz w:val="20"/>
          <w:szCs w:val="20"/>
        </w:rPr>
        <w:t>frentamiento entre particulares</w:t>
      </w:r>
      <w:r w:rsidR="00D626A7" w:rsidRPr="0064597D">
        <w:rPr>
          <w:rStyle w:val="Refdenotaalpie"/>
          <w:rFonts w:eastAsia="Times" w:cs="Arial"/>
          <w:sz w:val="20"/>
          <w:szCs w:val="20"/>
        </w:rPr>
        <w:footnoteReference w:id="137"/>
      </w:r>
      <w:r w:rsidR="005E5BE8" w:rsidRPr="0064597D">
        <w:rPr>
          <w:rFonts w:eastAsia="Times" w:cs="Arial"/>
          <w:sz w:val="20"/>
          <w:szCs w:val="20"/>
        </w:rPr>
        <w:t xml:space="preserve">. </w:t>
      </w:r>
      <w:r w:rsidR="004D7C59" w:rsidRPr="0064597D">
        <w:rPr>
          <w:rFonts w:eastAsia="Times" w:cs="Arial"/>
          <w:sz w:val="20"/>
          <w:szCs w:val="20"/>
        </w:rPr>
        <w:t>Asimismo</w:t>
      </w:r>
      <w:r w:rsidR="00BC60F6" w:rsidRPr="0064597D">
        <w:rPr>
          <w:rFonts w:eastAsia="Times" w:cs="Arial"/>
          <w:sz w:val="20"/>
          <w:szCs w:val="20"/>
        </w:rPr>
        <w:t>, el informe de la Fiscalía del Ministerio Público</w:t>
      </w:r>
      <w:r w:rsidR="00EA54FE" w:rsidRPr="0064597D">
        <w:rPr>
          <w:rFonts w:eastAsia="Times" w:cs="Arial"/>
          <w:sz w:val="20"/>
          <w:szCs w:val="20"/>
        </w:rPr>
        <w:t xml:space="preserve"> de 8 de junio de 2007</w:t>
      </w:r>
      <w:r w:rsidR="00BC60F6" w:rsidRPr="0064597D">
        <w:rPr>
          <w:rFonts w:eastAsia="Times" w:cs="Arial"/>
          <w:sz w:val="20"/>
          <w:szCs w:val="20"/>
        </w:rPr>
        <w:t xml:space="preserve"> consideró que la causa de la muerte fue porque “esta persona se estaba dedicando a hechos de delincuencia común” y se pudo deber a que “personas desconocidas, para evitar ser víctimas de ilícitos por parte de esta persona, le causaron la muerte”</w:t>
      </w:r>
      <w:r w:rsidR="00BC60F6" w:rsidRPr="0064597D">
        <w:rPr>
          <w:rStyle w:val="Refdenotaalpie"/>
          <w:rFonts w:eastAsia="Times" w:cs="Arial"/>
          <w:sz w:val="20"/>
          <w:szCs w:val="20"/>
        </w:rPr>
        <w:footnoteReference w:id="138"/>
      </w:r>
      <w:r w:rsidR="00BC60F6" w:rsidRPr="0064597D">
        <w:rPr>
          <w:rFonts w:eastAsia="Times" w:cs="Arial"/>
          <w:sz w:val="20"/>
          <w:szCs w:val="20"/>
        </w:rPr>
        <w:t>.</w:t>
      </w:r>
      <w:r w:rsidR="00794183" w:rsidRPr="0064597D">
        <w:rPr>
          <w:rFonts w:eastAsia="Times" w:cs="Arial"/>
          <w:sz w:val="20"/>
          <w:szCs w:val="20"/>
        </w:rPr>
        <w:t xml:space="preserve"> </w:t>
      </w:r>
    </w:p>
    <w:p w14:paraId="02894A10" w14:textId="77777777" w:rsidR="001C48C0" w:rsidRPr="0064597D" w:rsidRDefault="001C48C0" w:rsidP="001C48C0">
      <w:pPr>
        <w:tabs>
          <w:tab w:val="left" w:pos="567"/>
        </w:tabs>
        <w:spacing w:line="240" w:lineRule="auto"/>
        <w:rPr>
          <w:rFonts w:eastAsia="Times" w:cs="Arial"/>
          <w:sz w:val="20"/>
          <w:szCs w:val="20"/>
          <w:highlight w:val="yellow"/>
        </w:rPr>
      </w:pPr>
    </w:p>
    <w:p w14:paraId="67EAF5BE" w14:textId="1DA2E33D" w:rsidR="00A252AF" w:rsidRPr="0064597D" w:rsidRDefault="003A1006" w:rsidP="00AC6BF2">
      <w:pPr>
        <w:numPr>
          <w:ilvl w:val="0"/>
          <w:numId w:val="1"/>
        </w:numPr>
        <w:tabs>
          <w:tab w:val="left" w:pos="567"/>
        </w:tabs>
        <w:spacing w:line="240" w:lineRule="auto"/>
        <w:ind w:left="0" w:firstLine="0"/>
        <w:rPr>
          <w:rFonts w:eastAsia="Times" w:cs="Arial"/>
          <w:sz w:val="20"/>
          <w:szCs w:val="20"/>
        </w:rPr>
      </w:pPr>
      <w:r w:rsidRPr="0064597D">
        <w:rPr>
          <w:rFonts w:eastAsia="Times" w:cs="Arial"/>
          <w:sz w:val="20"/>
          <w:szCs w:val="20"/>
        </w:rPr>
        <w:t>L</w:t>
      </w:r>
      <w:r w:rsidR="00A0551C" w:rsidRPr="0064597D">
        <w:rPr>
          <w:rFonts w:eastAsia="Times" w:cs="Arial"/>
          <w:sz w:val="20"/>
          <w:szCs w:val="20"/>
        </w:rPr>
        <w:t>a Corte</w:t>
      </w:r>
      <w:r w:rsidRPr="0064597D">
        <w:rPr>
          <w:rFonts w:eastAsia="Times" w:cs="Arial"/>
          <w:sz w:val="20"/>
          <w:szCs w:val="20"/>
        </w:rPr>
        <w:t xml:space="preserve"> también</w:t>
      </w:r>
      <w:r w:rsidR="00A0551C" w:rsidRPr="0064597D">
        <w:rPr>
          <w:rFonts w:eastAsia="Times" w:cs="Arial"/>
          <w:sz w:val="20"/>
          <w:szCs w:val="20"/>
        </w:rPr>
        <w:t xml:space="preserve"> observa </w:t>
      </w:r>
      <w:r w:rsidR="00A252AF" w:rsidRPr="0064597D">
        <w:rPr>
          <w:rFonts w:eastAsia="Times" w:cs="Arial"/>
          <w:sz w:val="20"/>
          <w:szCs w:val="20"/>
        </w:rPr>
        <w:t xml:space="preserve">que </w:t>
      </w:r>
      <w:r w:rsidR="005B20E9" w:rsidRPr="0064597D">
        <w:rPr>
          <w:rFonts w:eastAsia="Times" w:cs="Arial"/>
          <w:sz w:val="20"/>
          <w:szCs w:val="20"/>
        </w:rPr>
        <w:t>en el marco del trámite ante la Comisión</w:t>
      </w:r>
      <w:r w:rsidR="00E55A35" w:rsidRPr="0064597D">
        <w:rPr>
          <w:rFonts w:eastAsia="Times" w:cs="Arial"/>
          <w:sz w:val="20"/>
          <w:szCs w:val="20"/>
        </w:rPr>
        <w:t>,</w:t>
      </w:r>
      <w:r w:rsidR="005B20E9" w:rsidRPr="0064597D">
        <w:rPr>
          <w:rFonts w:eastAsia="Times" w:cs="Arial"/>
          <w:sz w:val="20"/>
          <w:szCs w:val="20"/>
        </w:rPr>
        <w:t xml:space="preserve"> </w:t>
      </w:r>
      <w:r w:rsidR="00A252AF" w:rsidRPr="0064597D">
        <w:rPr>
          <w:rFonts w:eastAsia="Times" w:cs="Arial"/>
          <w:sz w:val="20"/>
          <w:szCs w:val="20"/>
        </w:rPr>
        <w:t>en un informe de 21 de febrero de 2006 elaborado por el Estado</w:t>
      </w:r>
      <w:r w:rsidR="005E3DA0">
        <w:rPr>
          <w:rFonts w:eastAsia="Times" w:cs="Arial"/>
          <w:sz w:val="20"/>
          <w:szCs w:val="20"/>
        </w:rPr>
        <w:t>,</w:t>
      </w:r>
      <w:r w:rsidR="00A252AF" w:rsidRPr="0064597D">
        <w:rPr>
          <w:rFonts w:eastAsia="Times" w:cs="Arial"/>
          <w:sz w:val="20"/>
          <w:szCs w:val="20"/>
        </w:rPr>
        <w:t xml:space="preserve"> se indicaba que la hipótesis que se logró establecer con base a “las entrevistas e investigaciones” realizadas fue que “varios individuos portando armas de fuego y sin mediar palabra le efectuaron varios disparos y le ocasionaron la muerte”</w:t>
      </w:r>
      <w:r w:rsidR="00A252AF" w:rsidRPr="0064597D">
        <w:rPr>
          <w:rStyle w:val="Refdenotaalpie"/>
          <w:rFonts w:eastAsia="Times" w:cs="Arial"/>
          <w:sz w:val="20"/>
          <w:szCs w:val="20"/>
        </w:rPr>
        <w:footnoteReference w:id="139"/>
      </w:r>
      <w:r w:rsidR="00A252AF" w:rsidRPr="0064597D">
        <w:rPr>
          <w:rFonts w:eastAsia="Times" w:cs="Arial"/>
          <w:sz w:val="20"/>
          <w:szCs w:val="20"/>
        </w:rPr>
        <w:t xml:space="preserve">. </w:t>
      </w:r>
      <w:r w:rsidR="00E55A35" w:rsidRPr="0064597D">
        <w:rPr>
          <w:rFonts w:eastAsia="Times" w:cs="Arial"/>
          <w:sz w:val="20"/>
          <w:szCs w:val="20"/>
        </w:rPr>
        <w:t xml:space="preserve">No obstante, </w:t>
      </w:r>
      <w:r w:rsidR="00AC398B" w:rsidRPr="0064597D">
        <w:rPr>
          <w:rFonts w:eastAsia="Times" w:cs="Arial"/>
          <w:sz w:val="20"/>
          <w:szCs w:val="20"/>
        </w:rPr>
        <w:t xml:space="preserve">en una posterior comunicación de </w:t>
      </w:r>
      <w:r w:rsidR="00E55A35" w:rsidRPr="0064597D">
        <w:rPr>
          <w:rFonts w:eastAsia="Times" w:cs="Arial"/>
          <w:sz w:val="20"/>
          <w:szCs w:val="20"/>
        </w:rPr>
        <w:t>22</w:t>
      </w:r>
      <w:r w:rsidR="00AC398B" w:rsidRPr="0064597D">
        <w:rPr>
          <w:rFonts w:eastAsia="Times" w:cs="Arial"/>
          <w:sz w:val="20"/>
          <w:szCs w:val="20"/>
        </w:rPr>
        <w:t xml:space="preserve"> de julio de </w:t>
      </w:r>
      <w:r w:rsidR="00E55A35" w:rsidRPr="0064597D">
        <w:rPr>
          <w:rFonts w:eastAsia="Times" w:cs="Arial"/>
          <w:sz w:val="20"/>
          <w:szCs w:val="20"/>
        </w:rPr>
        <w:t>2009</w:t>
      </w:r>
      <w:r w:rsidR="00AC398B" w:rsidRPr="0064597D">
        <w:rPr>
          <w:rFonts w:eastAsia="Times" w:cs="Arial"/>
          <w:sz w:val="20"/>
          <w:szCs w:val="20"/>
        </w:rPr>
        <w:t xml:space="preserve">, </w:t>
      </w:r>
      <w:r w:rsidR="00E55A35" w:rsidRPr="0064597D">
        <w:rPr>
          <w:rFonts w:eastAsia="Times" w:cs="Arial"/>
          <w:sz w:val="20"/>
          <w:szCs w:val="20"/>
        </w:rPr>
        <w:t>el Estado indicó que el señor Ruiz Fuentes “presuntamente se opuso a la recaptura”</w:t>
      </w:r>
      <w:r w:rsidR="00E55A35" w:rsidRPr="0064597D">
        <w:rPr>
          <w:rStyle w:val="Refdenotaalpie"/>
          <w:rFonts w:eastAsia="Times" w:cs="Arial"/>
          <w:sz w:val="20"/>
          <w:szCs w:val="20"/>
        </w:rPr>
        <w:footnoteReference w:id="140"/>
      </w:r>
      <w:r w:rsidR="00E55A35" w:rsidRPr="0064597D">
        <w:rPr>
          <w:rFonts w:eastAsia="Times" w:cs="Arial"/>
          <w:sz w:val="20"/>
          <w:szCs w:val="20"/>
        </w:rPr>
        <w:t xml:space="preserve">. </w:t>
      </w:r>
    </w:p>
    <w:p w14:paraId="4166624D" w14:textId="77777777" w:rsidR="002C623F" w:rsidRPr="0064597D" w:rsidRDefault="002C623F" w:rsidP="002C623F">
      <w:pPr>
        <w:tabs>
          <w:tab w:val="left" w:pos="567"/>
        </w:tabs>
        <w:spacing w:line="240" w:lineRule="auto"/>
        <w:rPr>
          <w:sz w:val="20"/>
          <w:szCs w:val="20"/>
          <w:lang w:eastAsia="en-US"/>
        </w:rPr>
      </w:pPr>
    </w:p>
    <w:p w14:paraId="0DC458BF" w14:textId="2408C552" w:rsidR="00C91D7F" w:rsidRPr="0064597D" w:rsidRDefault="001C48C0" w:rsidP="00497745">
      <w:pPr>
        <w:numPr>
          <w:ilvl w:val="0"/>
          <w:numId w:val="1"/>
        </w:numPr>
        <w:tabs>
          <w:tab w:val="left" w:pos="567"/>
        </w:tabs>
        <w:spacing w:line="240" w:lineRule="auto"/>
        <w:ind w:left="0" w:firstLine="0"/>
        <w:rPr>
          <w:sz w:val="20"/>
          <w:szCs w:val="20"/>
          <w:lang w:eastAsia="en-US"/>
        </w:rPr>
      </w:pPr>
      <w:r w:rsidRPr="0064597D">
        <w:rPr>
          <w:rFonts w:eastAsia="Times" w:cs="Arial"/>
          <w:sz w:val="20"/>
          <w:szCs w:val="20"/>
        </w:rPr>
        <w:t>E</w:t>
      </w:r>
      <w:r w:rsidR="00EA3C19" w:rsidRPr="0064597D">
        <w:rPr>
          <w:rFonts w:eastAsia="Times" w:cs="Arial"/>
          <w:sz w:val="20"/>
          <w:szCs w:val="20"/>
        </w:rPr>
        <w:t xml:space="preserve">n lo que respecta al trámite ante esta Corte, </w:t>
      </w:r>
      <w:r w:rsidR="00547AF8" w:rsidRPr="0064597D">
        <w:rPr>
          <w:rFonts w:eastAsia="Times" w:cs="Arial"/>
          <w:sz w:val="20"/>
          <w:szCs w:val="20"/>
        </w:rPr>
        <w:t>se observa que el Estado, mediante escrito de 22 de noviembre de 2005 presentado ante este Tribunal en el marco de las medidas provisionales que fueron otorgadas el 30 de agosto de 2004</w:t>
      </w:r>
      <w:r w:rsidR="00ED69EA" w:rsidRPr="0064597D">
        <w:rPr>
          <w:rFonts w:eastAsia="Times" w:cs="Arial"/>
          <w:sz w:val="20"/>
          <w:szCs w:val="20"/>
        </w:rPr>
        <w:t>,</w:t>
      </w:r>
      <w:r w:rsidR="00547AF8" w:rsidRPr="0064597D">
        <w:rPr>
          <w:rFonts w:eastAsia="Times" w:cs="Arial"/>
          <w:sz w:val="20"/>
          <w:szCs w:val="20"/>
        </w:rPr>
        <w:t xml:space="preserve"> señaló que </w:t>
      </w:r>
      <w:r w:rsidR="000535E0" w:rsidRPr="0064597D">
        <w:rPr>
          <w:rFonts w:eastAsia="Times" w:cs="Arial"/>
          <w:sz w:val="20"/>
          <w:szCs w:val="20"/>
        </w:rPr>
        <w:t xml:space="preserve">el señor </w:t>
      </w:r>
      <w:r w:rsidR="00547AF8" w:rsidRPr="0064597D">
        <w:rPr>
          <w:rFonts w:eastAsia="Times" w:cs="Arial"/>
          <w:sz w:val="20"/>
          <w:szCs w:val="20"/>
        </w:rPr>
        <w:t xml:space="preserve">Ruiz Fuentes “durante su recaptura se opuso a ser detenido, desenfundando </w:t>
      </w:r>
      <w:r w:rsidR="00BE67F8" w:rsidRPr="0064597D">
        <w:rPr>
          <w:rFonts w:eastAsia="Times" w:cs="Arial"/>
          <w:sz w:val="20"/>
          <w:szCs w:val="20"/>
        </w:rPr>
        <w:t>s</w:t>
      </w:r>
      <w:r w:rsidR="00547AF8" w:rsidRPr="0064597D">
        <w:rPr>
          <w:rFonts w:eastAsia="Times" w:cs="Arial"/>
          <w:sz w:val="20"/>
          <w:szCs w:val="20"/>
        </w:rPr>
        <w:t>u arma, por [lo que] los agentes [del SIC] dispararon</w:t>
      </w:r>
      <w:r w:rsidR="00DB0443" w:rsidRPr="0064597D">
        <w:rPr>
          <w:rFonts w:eastAsia="Times" w:cs="Arial"/>
          <w:sz w:val="20"/>
          <w:szCs w:val="20"/>
        </w:rPr>
        <w:t xml:space="preserve"> </w:t>
      </w:r>
      <w:r w:rsidR="00547AF8" w:rsidRPr="0064597D">
        <w:rPr>
          <w:rFonts w:eastAsia="Times" w:cs="Arial"/>
          <w:sz w:val="20"/>
          <w:szCs w:val="20"/>
        </w:rPr>
        <w:t>causándole</w:t>
      </w:r>
      <w:r w:rsidR="00DB0443" w:rsidRPr="0064597D">
        <w:rPr>
          <w:rFonts w:eastAsia="Times" w:cs="Arial"/>
          <w:sz w:val="20"/>
          <w:szCs w:val="20"/>
        </w:rPr>
        <w:t xml:space="preserve"> </w:t>
      </w:r>
      <w:r w:rsidR="00547AF8" w:rsidRPr="0064597D">
        <w:rPr>
          <w:rFonts w:eastAsia="Times" w:cs="Arial"/>
          <w:sz w:val="20"/>
          <w:szCs w:val="20"/>
        </w:rPr>
        <w:t>la</w:t>
      </w:r>
      <w:r w:rsidR="00DB0443" w:rsidRPr="0064597D">
        <w:rPr>
          <w:rFonts w:eastAsia="Times" w:cs="Arial"/>
          <w:sz w:val="20"/>
          <w:szCs w:val="20"/>
        </w:rPr>
        <w:t xml:space="preserve"> </w:t>
      </w:r>
      <w:r w:rsidR="00547AF8" w:rsidRPr="0064597D">
        <w:rPr>
          <w:rFonts w:eastAsia="Times" w:cs="Arial"/>
          <w:sz w:val="20"/>
          <w:szCs w:val="20"/>
        </w:rPr>
        <w:t>muerte”</w:t>
      </w:r>
      <w:r w:rsidR="00547AF8" w:rsidRPr="0064597D">
        <w:rPr>
          <w:rStyle w:val="Refdenotaalpie"/>
          <w:rFonts w:eastAsia="Times" w:cs="Arial"/>
          <w:sz w:val="20"/>
          <w:szCs w:val="20"/>
        </w:rPr>
        <w:footnoteReference w:id="141"/>
      </w:r>
      <w:r w:rsidR="00547AF8" w:rsidRPr="0064597D">
        <w:rPr>
          <w:rFonts w:eastAsia="Times" w:cs="Arial"/>
          <w:sz w:val="20"/>
          <w:szCs w:val="20"/>
        </w:rPr>
        <w:t xml:space="preserve">. </w:t>
      </w:r>
      <w:r w:rsidR="000535E0" w:rsidRPr="0064597D">
        <w:rPr>
          <w:rFonts w:eastAsia="Times" w:cs="Arial"/>
          <w:sz w:val="20"/>
          <w:szCs w:val="20"/>
        </w:rPr>
        <w:t xml:space="preserve">Asimismo, y contrario a lo señalado previamente, </w:t>
      </w:r>
      <w:r w:rsidRPr="0064597D">
        <w:rPr>
          <w:sz w:val="20"/>
          <w:szCs w:val="20"/>
        </w:rPr>
        <w:t xml:space="preserve">en su escrito de contestación presentado el 5 de abril de 2019 </w:t>
      </w:r>
      <w:r w:rsidR="000535E0" w:rsidRPr="0064597D">
        <w:rPr>
          <w:rFonts w:eastAsia="Times" w:cs="Arial"/>
          <w:sz w:val="20"/>
          <w:szCs w:val="20"/>
        </w:rPr>
        <w:t>e</w:t>
      </w:r>
      <w:r w:rsidR="000535E0" w:rsidRPr="0064597D">
        <w:rPr>
          <w:sz w:val="20"/>
          <w:szCs w:val="20"/>
        </w:rPr>
        <w:t xml:space="preserve">l Estado </w:t>
      </w:r>
      <w:r w:rsidR="007B2C2E">
        <w:rPr>
          <w:sz w:val="20"/>
          <w:szCs w:val="20"/>
        </w:rPr>
        <w:t>negó que se hubiera producido una ejecución extrajudicial</w:t>
      </w:r>
      <w:r w:rsidRPr="0064597D">
        <w:rPr>
          <w:rStyle w:val="Refdenotaalpie"/>
          <w:sz w:val="20"/>
          <w:szCs w:val="20"/>
        </w:rPr>
        <w:footnoteReference w:id="142"/>
      </w:r>
      <w:r w:rsidRPr="0064597D">
        <w:rPr>
          <w:sz w:val="20"/>
          <w:szCs w:val="20"/>
        </w:rPr>
        <w:t xml:space="preserve">. </w:t>
      </w:r>
      <w:r w:rsidR="007B2C2E">
        <w:rPr>
          <w:sz w:val="20"/>
          <w:szCs w:val="20"/>
        </w:rPr>
        <w:t>No obstante, en el marco de la audiencia celebrada ante este Tribunal, el Estado indicó que “la muerte del señor Ruiz Fuentes no ha sido resuelta en el foro interno” ya que “se encuentra en conocimiento de las autoridades competentes guatemaltecas”.</w:t>
      </w:r>
    </w:p>
    <w:p w14:paraId="71F8FFCA" w14:textId="77777777" w:rsidR="00C72AEF" w:rsidRPr="0064597D" w:rsidRDefault="00C72AEF" w:rsidP="00C72AEF">
      <w:pPr>
        <w:tabs>
          <w:tab w:val="left" w:pos="567"/>
        </w:tabs>
        <w:spacing w:line="240" w:lineRule="auto"/>
        <w:rPr>
          <w:rFonts w:eastAsia="Times" w:cs="Arial"/>
          <w:sz w:val="20"/>
          <w:szCs w:val="20"/>
        </w:rPr>
      </w:pPr>
    </w:p>
    <w:p w14:paraId="7879EAD4" w14:textId="67040257" w:rsidR="00C72AEF" w:rsidRPr="0064597D" w:rsidRDefault="00C72AEF" w:rsidP="00C72AEF">
      <w:pPr>
        <w:numPr>
          <w:ilvl w:val="0"/>
          <w:numId w:val="1"/>
        </w:numPr>
        <w:tabs>
          <w:tab w:val="left" w:pos="567"/>
        </w:tabs>
        <w:spacing w:line="240" w:lineRule="auto"/>
        <w:ind w:left="0" w:firstLine="0"/>
        <w:rPr>
          <w:rFonts w:eastAsia="Times" w:cs="Arial"/>
          <w:sz w:val="20"/>
          <w:szCs w:val="20"/>
        </w:rPr>
      </w:pPr>
      <w:r w:rsidRPr="0064597D">
        <w:rPr>
          <w:rFonts w:eastAsia="Times" w:cs="Arial"/>
          <w:sz w:val="20"/>
          <w:szCs w:val="20"/>
        </w:rPr>
        <w:t xml:space="preserve">Por </w:t>
      </w:r>
      <w:r w:rsidR="00577FD4" w:rsidRPr="0064597D">
        <w:rPr>
          <w:rFonts w:eastAsia="Times" w:cs="Arial"/>
          <w:sz w:val="20"/>
          <w:szCs w:val="20"/>
        </w:rPr>
        <w:t xml:space="preserve">último, la Corte observa que </w:t>
      </w:r>
      <w:r w:rsidRPr="0064597D">
        <w:rPr>
          <w:rFonts w:eastAsia="Times" w:cs="Arial"/>
          <w:sz w:val="20"/>
          <w:szCs w:val="20"/>
        </w:rPr>
        <w:t>la</w:t>
      </w:r>
      <w:r w:rsidRPr="0064597D">
        <w:rPr>
          <w:sz w:val="20"/>
          <w:szCs w:val="20"/>
        </w:rPr>
        <w:t xml:space="preserve"> Fiscalía Especial Contra la Impunidad del Ministerio Público (en adelante, “FECI</w:t>
      </w:r>
      <w:r w:rsidR="00577FD4" w:rsidRPr="0064597D">
        <w:rPr>
          <w:sz w:val="20"/>
          <w:szCs w:val="20"/>
        </w:rPr>
        <w:t>”) consideró</w:t>
      </w:r>
      <w:r w:rsidRPr="0064597D">
        <w:rPr>
          <w:sz w:val="20"/>
          <w:szCs w:val="20"/>
        </w:rPr>
        <w:t xml:space="preserve"> probado que el señor Ruiz Fuentes fue ejecutado extrajudicialmente. En particular, </w:t>
      </w:r>
      <w:r w:rsidR="00577FD4" w:rsidRPr="0064597D">
        <w:rPr>
          <w:sz w:val="20"/>
          <w:szCs w:val="20"/>
        </w:rPr>
        <w:t xml:space="preserve">recientemente, </w:t>
      </w:r>
      <w:r w:rsidRPr="0064597D">
        <w:rPr>
          <w:sz w:val="20"/>
          <w:szCs w:val="20"/>
        </w:rPr>
        <w:t>e</w:t>
      </w:r>
      <w:r w:rsidRPr="0064597D">
        <w:rPr>
          <w:rFonts w:eastAsia="Times" w:cs="Arial"/>
          <w:sz w:val="20"/>
          <w:szCs w:val="20"/>
        </w:rPr>
        <w:t xml:space="preserve">n el marco del procedimiento interno relativo a la muerte del señor Ruiz Fuentes, la </w:t>
      </w:r>
      <w:r w:rsidRPr="0064597D">
        <w:rPr>
          <w:sz w:val="20"/>
          <w:szCs w:val="20"/>
        </w:rPr>
        <w:t>FECI indicó que:</w:t>
      </w:r>
    </w:p>
    <w:p w14:paraId="7832D05B" w14:textId="77777777" w:rsidR="00C72AEF" w:rsidRPr="0064597D" w:rsidRDefault="00C72AEF" w:rsidP="00C72AEF">
      <w:pPr>
        <w:tabs>
          <w:tab w:val="left" w:pos="567"/>
        </w:tabs>
        <w:spacing w:line="240" w:lineRule="auto"/>
        <w:rPr>
          <w:rFonts w:eastAsia="Times" w:cs="Arial"/>
          <w:sz w:val="20"/>
          <w:szCs w:val="20"/>
        </w:rPr>
      </w:pPr>
    </w:p>
    <w:p w14:paraId="50703150" w14:textId="2EC0551D" w:rsidR="00C72AEF" w:rsidRPr="0064597D" w:rsidRDefault="00C72AEF" w:rsidP="00C72AEF">
      <w:pPr>
        <w:widowControl/>
        <w:tabs>
          <w:tab w:val="left" w:pos="9360"/>
        </w:tabs>
        <w:autoSpaceDE w:val="0"/>
        <w:autoSpaceDN w:val="0"/>
        <w:spacing w:line="240" w:lineRule="auto"/>
        <w:ind w:left="720" w:right="720"/>
        <w:textAlignment w:val="auto"/>
        <w:rPr>
          <w:rFonts w:eastAsiaTheme="minorHAnsi" w:cs="Arial"/>
          <w:iCs/>
          <w:sz w:val="18"/>
          <w:szCs w:val="18"/>
          <w:lang w:eastAsia="en-US"/>
        </w:rPr>
      </w:pPr>
      <w:r w:rsidRPr="0064597D">
        <w:rPr>
          <w:rFonts w:eastAsia="Times" w:cs="Arial"/>
          <w:sz w:val="18"/>
          <w:szCs w:val="18"/>
        </w:rPr>
        <w:t>“[E]l 14 de noviembre de 2005, […], alrededor de las 11:30 horas, integrantes de la estructura paralela y Policías Nacionales Civiles vestidos con ropas obscuras, algunos con la cara cubierta con pasamontañas y port</w:t>
      </w:r>
      <w:r w:rsidR="00515450" w:rsidRPr="0064597D">
        <w:rPr>
          <w:rFonts w:eastAsia="Times" w:cs="Arial"/>
          <w:sz w:val="18"/>
          <w:szCs w:val="18"/>
        </w:rPr>
        <w:t xml:space="preserve">ando placas de esa institución, </w:t>
      </w:r>
      <w:r w:rsidRPr="0064597D">
        <w:rPr>
          <w:rFonts w:eastAsia="Times" w:cs="Arial"/>
          <w:sz w:val="18"/>
          <w:szCs w:val="18"/>
        </w:rPr>
        <w:t xml:space="preserve">[…], ingresaron en forma violenta, portando armas de grueso calibre y sin la autorización judicial correspondiente, al domicilio ubicado en la Sección RR 106 de la Colonia El Milagro Zona 2 de Mixco, donde privaron de libertad y </w:t>
      </w:r>
      <w:r w:rsidRPr="0064597D">
        <w:rPr>
          <w:rFonts w:eastAsiaTheme="minorHAnsi" w:cs="Arial"/>
          <w:iCs/>
          <w:sz w:val="18"/>
          <w:szCs w:val="18"/>
          <w:lang w:eastAsia="en-US"/>
        </w:rPr>
        <w:t xml:space="preserve">sometieron a </w:t>
      </w:r>
      <w:r w:rsidR="00B07AF4" w:rsidRPr="0064597D">
        <w:rPr>
          <w:rFonts w:eastAsiaTheme="minorHAnsi" w:cs="Arial"/>
          <w:iCs/>
          <w:sz w:val="18"/>
          <w:szCs w:val="18"/>
          <w:lang w:eastAsia="en-US"/>
        </w:rPr>
        <w:t>Hugo Humberto Ruiz Fuentes, q</w:t>
      </w:r>
      <w:r w:rsidRPr="0064597D">
        <w:rPr>
          <w:rFonts w:eastAsiaTheme="minorHAnsi" w:cs="Arial"/>
          <w:iCs/>
          <w:sz w:val="18"/>
          <w:szCs w:val="18"/>
          <w:lang w:eastAsia="en-US"/>
        </w:rPr>
        <w:t xml:space="preserve">uien </w:t>
      </w:r>
      <w:r w:rsidR="00515450" w:rsidRPr="0064597D">
        <w:rPr>
          <w:rFonts w:eastAsiaTheme="minorHAnsi" w:cs="Arial"/>
          <w:iCs/>
          <w:sz w:val="18"/>
          <w:szCs w:val="18"/>
          <w:lang w:eastAsia="en-US"/>
        </w:rPr>
        <w:t>[…]</w:t>
      </w:r>
      <w:r w:rsidRPr="0064597D">
        <w:rPr>
          <w:rFonts w:eastAsiaTheme="minorHAnsi" w:cs="Arial"/>
          <w:iCs/>
          <w:sz w:val="18"/>
          <w:szCs w:val="18"/>
          <w:lang w:eastAsia="en-US"/>
        </w:rPr>
        <w:t xml:space="preserve"> fue trasladado al Barrio Monja Blanca, Barberena, Santa Rosa, con el fin de ser ejecutado extrajudicialmente, hecho que efectivamente se materializó ese día a inmediaciones de dicho lugar, aproximadamente a las 18:00 horas, </w:t>
      </w:r>
      <w:r w:rsidR="00515450" w:rsidRPr="0064597D">
        <w:rPr>
          <w:rFonts w:eastAsiaTheme="minorHAnsi" w:cs="Arial"/>
          <w:iCs/>
          <w:sz w:val="18"/>
          <w:szCs w:val="18"/>
          <w:lang w:eastAsia="en-US"/>
        </w:rPr>
        <w:t>[…]</w:t>
      </w:r>
      <w:r w:rsidRPr="0064597D">
        <w:rPr>
          <w:rFonts w:eastAsiaTheme="minorHAnsi" w:cs="Arial"/>
          <w:iCs/>
          <w:sz w:val="18"/>
          <w:szCs w:val="18"/>
          <w:lang w:eastAsia="en-US"/>
        </w:rPr>
        <w:t xml:space="preserve"> ejecutado por integrantes del grupo criminal</w:t>
      </w:r>
      <w:r w:rsidR="00515450" w:rsidRPr="0064597D">
        <w:rPr>
          <w:rFonts w:eastAsiaTheme="minorHAnsi" w:cs="Arial"/>
          <w:iCs/>
          <w:sz w:val="18"/>
          <w:szCs w:val="18"/>
          <w:lang w:eastAsia="en-US"/>
        </w:rPr>
        <w:t>,</w:t>
      </w:r>
      <w:r w:rsidRPr="0064597D">
        <w:rPr>
          <w:rFonts w:eastAsiaTheme="minorHAnsi" w:cs="Arial"/>
          <w:iCs/>
          <w:sz w:val="18"/>
          <w:szCs w:val="18"/>
          <w:lang w:eastAsia="en-US"/>
        </w:rPr>
        <w:t xml:space="preserve"> </w:t>
      </w:r>
      <w:r w:rsidR="00515450" w:rsidRPr="0064597D">
        <w:rPr>
          <w:rFonts w:eastAsiaTheme="minorHAnsi" w:cs="Arial"/>
          <w:iCs/>
          <w:sz w:val="18"/>
          <w:szCs w:val="18"/>
          <w:lang w:eastAsia="en-US"/>
        </w:rPr>
        <w:t>[…]</w:t>
      </w:r>
      <w:r w:rsidRPr="0064597D">
        <w:rPr>
          <w:rFonts w:eastAsiaTheme="minorHAnsi" w:cs="Arial"/>
          <w:iCs/>
          <w:sz w:val="18"/>
          <w:szCs w:val="18"/>
          <w:lang w:eastAsia="en-US"/>
        </w:rPr>
        <w:t xml:space="preserve"> entre ellos el Comisario </w:t>
      </w:r>
      <w:r w:rsidR="00B07AF4" w:rsidRPr="0064597D">
        <w:rPr>
          <w:rFonts w:eastAsiaTheme="minorHAnsi" w:cs="Arial"/>
          <w:iCs/>
          <w:sz w:val="18"/>
          <w:szCs w:val="18"/>
          <w:lang w:eastAsia="en-US"/>
        </w:rPr>
        <w:t>[V.S.D.]</w:t>
      </w:r>
      <w:r w:rsidRPr="0064597D">
        <w:rPr>
          <w:rFonts w:eastAsiaTheme="minorHAnsi" w:cs="Arial"/>
          <w:iCs/>
          <w:sz w:val="18"/>
          <w:szCs w:val="18"/>
          <w:lang w:eastAsia="en-US"/>
        </w:rPr>
        <w:t xml:space="preserve">, </w:t>
      </w:r>
      <w:r w:rsidR="00B07AF4" w:rsidRPr="0064597D">
        <w:rPr>
          <w:rFonts w:eastAsiaTheme="minorHAnsi" w:cs="Arial"/>
          <w:iCs/>
          <w:sz w:val="18"/>
          <w:szCs w:val="18"/>
          <w:lang w:eastAsia="en-US"/>
        </w:rPr>
        <w:t>[V.M.R.G]</w:t>
      </w:r>
      <w:r w:rsidRPr="0064597D">
        <w:rPr>
          <w:rFonts w:eastAsiaTheme="minorHAnsi" w:cs="Arial"/>
          <w:iCs/>
          <w:sz w:val="18"/>
          <w:szCs w:val="18"/>
          <w:lang w:eastAsia="en-US"/>
        </w:rPr>
        <w:t xml:space="preserve"> y otras personas en proceso de individualización, […] procediendo previo a la ejecución a quitarle los grilletes y le permitieron que pudiera desplazarse unos metros en la vía pública </w:t>
      </w:r>
      <w:r w:rsidR="00515450" w:rsidRPr="0064597D">
        <w:rPr>
          <w:rFonts w:eastAsiaTheme="minorHAnsi" w:cs="Arial"/>
          <w:iCs/>
          <w:sz w:val="18"/>
          <w:szCs w:val="18"/>
          <w:lang w:eastAsia="en-US"/>
        </w:rPr>
        <w:t>[…]</w:t>
      </w:r>
      <w:r w:rsidRPr="0064597D">
        <w:rPr>
          <w:rFonts w:eastAsiaTheme="minorHAnsi" w:cs="Arial"/>
          <w:iCs/>
          <w:sz w:val="18"/>
          <w:szCs w:val="18"/>
          <w:lang w:eastAsia="en-US"/>
        </w:rPr>
        <w:t>,</w:t>
      </w:r>
      <w:r w:rsidRPr="0064597D">
        <w:rPr>
          <w:rFonts w:eastAsiaTheme="minorHAnsi" w:cs="Arial-ItalicMT"/>
          <w:iCs/>
          <w:sz w:val="18"/>
          <w:szCs w:val="18"/>
          <w:lang w:eastAsia="en-US"/>
        </w:rPr>
        <w:t xml:space="preserve"> esto con la finalidad de </w:t>
      </w:r>
      <w:r w:rsidRPr="0064597D">
        <w:rPr>
          <w:rFonts w:eastAsiaTheme="minorHAnsi" w:cs="Arial"/>
          <w:iCs/>
          <w:sz w:val="18"/>
          <w:szCs w:val="18"/>
          <w:lang w:eastAsia="en-US"/>
        </w:rPr>
        <w:t>simular que el prófugo había sido encontrado en el lugar y que derivado de su localización por las fuerzas de seguridad se generó un enfrentamiento armado</w:t>
      </w:r>
      <w:r w:rsidR="00480513" w:rsidRPr="0064597D">
        <w:rPr>
          <w:rFonts w:eastAsiaTheme="minorHAnsi" w:cs="Arial"/>
          <w:iCs/>
          <w:sz w:val="18"/>
          <w:szCs w:val="18"/>
          <w:lang w:eastAsia="en-US"/>
        </w:rPr>
        <w:t>”</w:t>
      </w:r>
      <w:r w:rsidRPr="0064597D">
        <w:rPr>
          <w:rStyle w:val="Refdenotaalpie"/>
          <w:rFonts w:eastAsiaTheme="minorHAnsi" w:cs="Arial"/>
          <w:iCs/>
          <w:sz w:val="18"/>
          <w:szCs w:val="18"/>
          <w:lang w:eastAsia="en-US"/>
        </w:rPr>
        <w:footnoteReference w:id="143"/>
      </w:r>
      <w:r w:rsidRPr="0064597D">
        <w:rPr>
          <w:rFonts w:eastAsiaTheme="minorHAnsi" w:cs="Arial"/>
          <w:iCs/>
          <w:sz w:val="18"/>
          <w:szCs w:val="18"/>
          <w:lang w:eastAsia="en-US"/>
        </w:rPr>
        <w:t xml:space="preserve">. </w:t>
      </w:r>
    </w:p>
    <w:p w14:paraId="7B20A672" w14:textId="77777777" w:rsidR="00C72AEF" w:rsidRPr="0064597D" w:rsidRDefault="00C72AEF" w:rsidP="00C72AEF">
      <w:pPr>
        <w:widowControl/>
        <w:tabs>
          <w:tab w:val="left" w:pos="9360"/>
        </w:tabs>
        <w:autoSpaceDE w:val="0"/>
        <w:autoSpaceDN w:val="0"/>
        <w:spacing w:line="240" w:lineRule="auto"/>
        <w:ind w:right="720"/>
        <w:textAlignment w:val="auto"/>
        <w:rPr>
          <w:rFonts w:eastAsiaTheme="minorHAnsi" w:cs="Arial"/>
          <w:iCs/>
          <w:sz w:val="18"/>
          <w:szCs w:val="18"/>
          <w:lang w:eastAsia="en-US"/>
        </w:rPr>
      </w:pPr>
    </w:p>
    <w:p w14:paraId="558E1020" w14:textId="77777777" w:rsidR="000E3A01" w:rsidRPr="0064597D" w:rsidRDefault="00577FD4" w:rsidP="000E3A01">
      <w:pPr>
        <w:numPr>
          <w:ilvl w:val="0"/>
          <w:numId w:val="1"/>
        </w:numPr>
        <w:tabs>
          <w:tab w:val="left" w:pos="567"/>
        </w:tabs>
        <w:spacing w:line="240" w:lineRule="auto"/>
        <w:ind w:left="0" w:firstLine="0"/>
        <w:rPr>
          <w:rFonts w:eastAsia="MS Mincho"/>
          <w:sz w:val="20"/>
          <w:szCs w:val="20"/>
          <w:lang w:eastAsia="en-US"/>
        </w:rPr>
      </w:pPr>
      <w:r w:rsidRPr="0064597D">
        <w:rPr>
          <w:sz w:val="20"/>
          <w:szCs w:val="20"/>
          <w:lang w:eastAsia="en-US"/>
        </w:rPr>
        <w:t>La FECI</w:t>
      </w:r>
      <w:r w:rsidR="00C72AEF" w:rsidRPr="0064597D">
        <w:rPr>
          <w:sz w:val="20"/>
          <w:szCs w:val="20"/>
          <w:lang w:eastAsia="en-US"/>
        </w:rPr>
        <w:t xml:space="preserve"> </w:t>
      </w:r>
      <w:r w:rsidRPr="0064597D">
        <w:rPr>
          <w:sz w:val="20"/>
          <w:szCs w:val="20"/>
          <w:lang w:eastAsia="en-US"/>
        </w:rPr>
        <w:t>afirmó</w:t>
      </w:r>
      <w:r w:rsidR="00C72AEF" w:rsidRPr="0064597D">
        <w:rPr>
          <w:sz w:val="20"/>
          <w:szCs w:val="20"/>
          <w:lang w:eastAsia="en-US"/>
        </w:rPr>
        <w:t xml:space="preserve"> además que la escena del crimen había sido alterada, para lo cual se colocó un arma de fuego </w:t>
      </w:r>
      <w:r w:rsidR="00C72AEF" w:rsidRPr="0064597D">
        <w:rPr>
          <w:rFonts w:eastAsia="Times" w:cs="Arial"/>
          <w:sz w:val="20"/>
          <w:szCs w:val="20"/>
        </w:rPr>
        <w:t>perteneciente</w:t>
      </w:r>
      <w:r w:rsidR="00C72AEF" w:rsidRPr="0064597D">
        <w:rPr>
          <w:sz w:val="20"/>
          <w:szCs w:val="20"/>
          <w:lang w:eastAsia="en-US"/>
        </w:rPr>
        <w:t xml:space="preserve"> al miembro de la Policía Nacional Civil Ervin Rolando Choto Casimiro, quien desde el 31 de octubre de 2005 hasta la fecha de la elaboración del documento se encontraba desaparecido</w:t>
      </w:r>
      <w:r w:rsidR="00C72AEF" w:rsidRPr="0064597D">
        <w:rPr>
          <w:rStyle w:val="Refdenotaalpie"/>
          <w:sz w:val="20"/>
          <w:szCs w:val="20"/>
          <w:lang w:eastAsia="en-US"/>
        </w:rPr>
        <w:footnoteReference w:id="144"/>
      </w:r>
      <w:r w:rsidR="00C72AEF" w:rsidRPr="0064597D">
        <w:rPr>
          <w:sz w:val="20"/>
          <w:szCs w:val="20"/>
          <w:lang w:eastAsia="en-US"/>
        </w:rPr>
        <w:t>. La Fiscalía añadió que se brindaron “declaraciones falsas” a los medios de comunicación en las que se indicó que la muerte del señor Ruiz Fuentes había sido producto de un enfrentamiento armado y se instruyó a quienes debían rendir los informes policiales para que hicieran constar la versión alternativa ofrecida por la policía</w:t>
      </w:r>
      <w:r w:rsidR="00C72AEF" w:rsidRPr="0064597D">
        <w:rPr>
          <w:rStyle w:val="Refdenotaalpie"/>
          <w:sz w:val="20"/>
          <w:szCs w:val="20"/>
          <w:lang w:eastAsia="en-US"/>
        </w:rPr>
        <w:footnoteReference w:id="145"/>
      </w:r>
      <w:r w:rsidR="00C72AEF" w:rsidRPr="0064597D">
        <w:rPr>
          <w:sz w:val="20"/>
          <w:szCs w:val="20"/>
          <w:lang w:eastAsia="en-US"/>
        </w:rPr>
        <w:t>.</w:t>
      </w:r>
      <w:r w:rsidRPr="0064597D">
        <w:rPr>
          <w:sz w:val="20"/>
          <w:szCs w:val="20"/>
          <w:lang w:eastAsia="en-US"/>
        </w:rPr>
        <w:t xml:space="preserve"> </w:t>
      </w:r>
      <w:r w:rsidR="00794183" w:rsidRPr="0064597D">
        <w:rPr>
          <w:sz w:val="20"/>
          <w:szCs w:val="20"/>
        </w:rPr>
        <w:t>Lo anterior</w:t>
      </w:r>
      <w:r w:rsidR="00EC67B3" w:rsidRPr="0064597D">
        <w:rPr>
          <w:sz w:val="20"/>
          <w:szCs w:val="20"/>
        </w:rPr>
        <w:t xml:space="preserve"> lleva a concluir a la Corte que </w:t>
      </w:r>
      <w:r w:rsidR="00ED69EA" w:rsidRPr="0064597D">
        <w:rPr>
          <w:sz w:val="20"/>
          <w:szCs w:val="20"/>
        </w:rPr>
        <w:t xml:space="preserve">las versiones brindadas por el Estado, </w:t>
      </w:r>
      <w:r w:rsidR="00DA01EF" w:rsidRPr="0064597D">
        <w:rPr>
          <w:sz w:val="20"/>
          <w:szCs w:val="20"/>
        </w:rPr>
        <w:t>además</w:t>
      </w:r>
      <w:r w:rsidR="00ED69EA" w:rsidRPr="0064597D">
        <w:rPr>
          <w:sz w:val="20"/>
          <w:szCs w:val="20"/>
        </w:rPr>
        <w:t xml:space="preserve"> de ser contradictorias, no se ven respaldadas por la prueba que obra en el expediente</w:t>
      </w:r>
      <w:r w:rsidR="00794183" w:rsidRPr="0064597D">
        <w:rPr>
          <w:sz w:val="20"/>
          <w:szCs w:val="20"/>
        </w:rPr>
        <w:t>.</w:t>
      </w:r>
      <w:r w:rsidR="004D498D" w:rsidRPr="0064597D">
        <w:rPr>
          <w:sz w:val="20"/>
          <w:szCs w:val="20"/>
        </w:rPr>
        <w:t xml:space="preserve"> </w:t>
      </w:r>
    </w:p>
    <w:p w14:paraId="0CC7CEC3" w14:textId="77777777" w:rsidR="000E3A01" w:rsidRPr="0064597D" w:rsidRDefault="000E3A01" w:rsidP="000E3A01">
      <w:pPr>
        <w:tabs>
          <w:tab w:val="left" w:pos="567"/>
        </w:tabs>
        <w:spacing w:line="240" w:lineRule="auto"/>
        <w:rPr>
          <w:rFonts w:eastAsia="MS Mincho"/>
          <w:sz w:val="20"/>
          <w:szCs w:val="20"/>
          <w:lang w:eastAsia="en-US"/>
        </w:rPr>
      </w:pPr>
    </w:p>
    <w:p w14:paraId="5CFBC162" w14:textId="654BC974" w:rsidR="00A91A39" w:rsidRPr="0064597D" w:rsidRDefault="00A91A39" w:rsidP="000E3A01">
      <w:pPr>
        <w:numPr>
          <w:ilvl w:val="0"/>
          <w:numId w:val="1"/>
        </w:numPr>
        <w:tabs>
          <w:tab w:val="left" w:pos="567"/>
        </w:tabs>
        <w:spacing w:line="240" w:lineRule="auto"/>
        <w:ind w:left="0" w:firstLine="0"/>
        <w:rPr>
          <w:rFonts w:eastAsia="MS Mincho"/>
          <w:sz w:val="20"/>
          <w:szCs w:val="20"/>
          <w:lang w:eastAsia="en-US"/>
        </w:rPr>
      </w:pPr>
      <w:r w:rsidRPr="0064597D">
        <w:rPr>
          <w:sz w:val="20"/>
          <w:szCs w:val="20"/>
        </w:rPr>
        <w:t>De lo expuesto, y en vista</w:t>
      </w:r>
      <w:r w:rsidR="009569E9" w:rsidRPr="0064597D">
        <w:rPr>
          <w:sz w:val="20"/>
          <w:szCs w:val="20"/>
        </w:rPr>
        <w:t xml:space="preserve"> </w:t>
      </w:r>
      <w:r w:rsidRPr="0064597D">
        <w:rPr>
          <w:sz w:val="20"/>
          <w:szCs w:val="20"/>
        </w:rPr>
        <w:t>de</w:t>
      </w:r>
      <w:r w:rsidR="00530469" w:rsidRPr="0064597D">
        <w:rPr>
          <w:sz w:val="20"/>
          <w:szCs w:val="20"/>
        </w:rPr>
        <w:t>:</w:t>
      </w:r>
      <w:r w:rsidRPr="0064597D">
        <w:rPr>
          <w:sz w:val="20"/>
          <w:szCs w:val="20"/>
        </w:rPr>
        <w:t xml:space="preserve"> </w:t>
      </w:r>
      <w:r w:rsidR="00E31B51" w:rsidRPr="0064597D">
        <w:rPr>
          <w:sz w:val="20"/>
          <w:szCs w:val="20"/>
        </w:rPr>
        <w:t xml:space="preserve">(i) que </w:t>
      </w:r>
      <w:r w:rsidR="00515450" w:rsidRPr="0064597D">
        <w:rPr>
          <w:sz w:val="20"/>
          <w:szCs w:val="20"/>
        </w:rPr>
        <w:t xml:space="preserve">la prueba pericial </w:t>
      </w:r>
      <w:r w:rsidRPr="0064597D">
        <w:rPr>
          <w:sz w:val="20"/>
          <w:szCs w:val="20"/>
        </w:rPr>
        <w:t>indica</w:t>
      </w:r>
      <w:r w:rsidR="00515450" w:rsidRPr="0064597D">
        <w:rPr>
          <w:sz w:val="20"/>
          <w:szCs w:val="20"/>
        </w:rPr>
        <w:t xml:space="preserve"> que </w:t>
      </w:r>
      <w:r w:rsidR="00E31B51" w:rsidRPr="0064597D">
        <w:rPr>
          <w:sz w:val="20"/>
          <w:szCs w:val="20"/>
        </w:rPr>
        <w:t xml:space="preserve">el disparo que presentaba el señor Ruiz fuentes en su ojo derecho fue realizado a corta distancia; (ii) que miembros del Comando Anti Secuestros de la </w:t>
      </w:r>
      <w:r w:rsidR="00537AAE" w:rsidRPr="0064597D">
        <w:rPr>
          <w:sz w:val="20"/>
          <w:szCs w:val="20"/>
        </w:rPr>
        <w:t xml:space="preserve">PNC </w:t>
      </w:r>
      <w:r w:rsidR="00E31B51" w:rsidRPr="0064597D">
        <w:rPr>
          <w:sz w:val="20"/>
          <w:szCs w:val="20"/>
        </w:rPr>
        <w:t xml:space="preserve">se encontraban en la escena del crimen a los pocos minutos de haberse producido la muerte del señor Ruiz Fuentes; (iii) </w:t>
      </w:r>
      <w:r w:rsidR="00E31B51" w:rsidRPr="0064597D">
        <w:rPr>
          <w:rFonts w:eastAsia="Verdana" w:cs="Verdana"/>
          <w:spacing w:val="3"/>
          <w:sz w:val="20"/>
          <w:szCs w:val="20"/>
          <w:lang w:val="es-ES"/>
        </w:rPr>
        <w:t>que la escena del crimen fue alterada</w:t>
      </w:r>
      <w:r w:rsidRPr="0064597D">
        <w:rPr>
          <w:rFonts w:eastAsia="Verdana" w:cs="Verdana"/>
          <w:spacing w:val="3"/>
          <w:sz w:val="20"/>
          <w:szCs w:val="20"/>
          <w:lang w:val="es-ES"/>
        </w:rPr>
        <w:t>;</w:t>
      </w:r>
      <w:r w:rsidR="00E31B51" w:rsidRPr="0064597D">
        <w:rPr>
          <w:rFonts w:eastAsia="Verdana" w:cs="Verdana"/>
          <w:spacing w:val="3"/>
          <w:sz w:val="20"/>
          <w:szCs w:val="20"/>
          <w:lang w:val="es-ES"/>
        </w:rPr>
        <w:t xml:space="preserve"> (</w:t>
      </w:r>
      <w:r w:rsidR="00C72AEF" w:rsidRPr="0064597D">
        <w:rPr>
          <w:rFonts w:eastAsia="Verdana" w:cs="Verdana"/>
          <w:spacing w:val="3"/>
          <w:sz w:val="20"/>
          <w:szCs w:val="20"/>
          <w:lang w:val="es-ES"/>
        </w:rPr>
        <w:t>i</w:t>
      </w:r>
      <w:r w:rsidR="00E31B51" w:rsidRPr="0064597D">
        <w:rPr>
          <w:rFonts w:eastAsia="Verdana" w:cs="Verdana"/>
          <w:spacing w:val="3"/>
          <w:sz w:val="20"/>
          <w:szCs w:val="20"/>
          <w:lang w:val="es-ES"/>
        </w:rPr>
        <w:t>v) las versiones contradictorias brindadas por el Estado a nivel interno, ante l</w:t>
      </w:r>
      <w:r w:rsidRPr="0064597D">
        <w:rPr>
          <w:rFonts w:eastAsia="Verdana" w:cs="Verdana"/>
          <w:spacing w:val="3"/>
          <w:sz w:val="20"/>
          <w:szCs w:val="20"/>
          <w:lang w:val="es-ES"/>
        </w:rPr>
        <w:t>a Comisión y ante este Tribunal;</w:t>
      </w:r>
      <w:r w:rsidR="00C72AEF" w:rsidRPr="0064597D">
        <w:rPr>
          <w:rFonts w:eastAsia="Verdana" w:cs="Verdana"/>
          <w:spacing w:val="3"/>
          <w:sz w:val="20"/>
          <w:szCs w:val="20"/>
          <w:lang w:val="es-ES"/>
        </w:rPr>
        <w:t xml:space="preserve"> </w:t>
      </w:r>
      <w:r w:rsidR="007B2C2E">
        <w:rPr>
          <w:rFonts w:eastAsia="Verdana" w:cs="Verdana"/>
          <w:spacing w:val="3"/>
          <w:sz w:val="20"/>
          <w:szCs w:val="20"/>
          <w:lang w:val="es-ES"/>
        </w:rPr>
        <w:t xml:space="preserve">y </w:t>
      </w:r>
      <w:r w:rsidR="00C72AEF" w:rsidRPr="0064597D">
        <w:rPr>
          <w:rFonts w:eastAsia="Verdana" w:cs="Verdana"/>
          <w:spacing w:val="3"/>
          <w:sz w:val="20"/>
          <w:szCs w:val="20"/>
          <w:lang w:val="es-ES"/>
        </w:rPr>
        <w:t xml:space="preserve">(v) la versión de los hechos </w:t>
      </w:r>
      <w:r w:rsidR="00515450" w:rsidRPr="0064597D">
        <w:rPr>
          <w:rFonts w:eastAsia="Verdana" w:cs="Verdana"/>
          <w:spacing w:val="3"/>
          <w:sz w:val="20"/>
          <w:szCs w:val="20"/>
          <w:lang w:val="es-ES"/>
        </w:rPr>
        <w:t>resultante de las investigaciones llevadas a cabo</w:t>
      </w:r>
      <w:r w:rsidR="00C72AEF" w:rsidRPr="0064597D">
        <w:rPr>
          <w:rFonts w:eastAsia="Verdana" w:cs="Verdana"/>
          <w:spacing w:val="3"/>
          <w:sz w:val="20"/>
          <w:szCs w:val="20"/>
          <w:lang w:val="es-ES"/>
        </w:rPr>
        <w:t xml:space="preserve"> por</w:t>
      </w:r>
      <w:r w:rsidR="00642788" w:rsidRPr="0064597D">
        <w:rPr>
          <w:rFonts w:eastAsia="Verdana" w:cs="Verdana"/>
          <w:spacing w:val="3"/>
          <w:sz w:val="20"/>
          <w:szCs w:val="20"/>
          <w:lang w:val="es-ES"/>
        </w:rPr>
        <w:t xml:space="preserve"> la </w:t>
      </w:r>
      <w:r w:rsidR="00E2284B" w:rsidRPr="0064597D">
        <w:rPr>
          <w:rFonts w:eastAsia="Verdana" w:cs="Verdana"/>
          <w:spacing w:val="3"/>
          <w:sz w:val="20"/>
          <w:szCs w:val="20"/>
          <w:lang w:val="es-ES"/>
        </w:rPr>
        <w:t xml:space="preserve">FECI, </w:t>
      </w:r>
      <w:r w:rsidR="009569E9" w:rsidRPr="0064597D">
        <w:rPr>
          <w:rFonts w:eastAsia="Verdana" w:cs="Verdana"/>
          <w:spacing w:val="3"/>
          <w:sz w:val="20"/>
          <w:szCs w:val="20"/>
          <w:lang w:val="es-ES"/>
        </w:rPr>
        <w:t>órgano estatal encargado de la investigación</w:t>
      </w:r>
      <w:r w:rsidR="00E2284B" w:rsidRPr="0064597D">
        <w:rPr>
          <w:rFonts w:eastAsia="Verdana" w:cs="Verdana"/>
          <w:spacing w:val="3"/>
          <w:sz w:val="20"/>
          <w:szCs w:val="20"/>
          <w:lang w:val="es-ES"/>
        </w:rPr>
        <w:t xml:space="preserve"> penal de la muerte del señor Ruiz Fuentes</w:t>
      </w:r>
      <w:r w:rsidRPr="0064597D">
        <w:rPr>
          <w:rFonts w:eastAsia="Verdana" w:cs="Verdana"/>
          <w:spacing w:val="3"/>
          <w:sz w:val="20"/>
          <w:szCs w:val="20"/>
          <w:lang w:val="es-ES"/>
        </w:rPr>
        <w:t>;</w:t>
      </w:r>
      <w:r w:rsidR="00C72AEF" w:rsidRPr="0064597D">
        <w:rPr>
          <w:rFonts w:eastAsia="Verdana" w:cs="Verdana"/>
          <w:spacing w:val="3"/>
          <w:sz w:val="20"/>
          <w:szCs w:val="20"/>
          <w:lang w:val="es-ES"/>
        </w:rPr>
        <w:t xml:space="preserve"> </w:t>
      </w:r>
      <w:r w:rsidR="00E31B51" w:rsidRPr="0064597D">
        <w:rPr>
          <w:rFonts w:eastAsia="Verdana" w:cs="Verdana"/>
          <w:spacing w:val="3"/>
          <w:sz w:val="20"/>
          <w:szCs w:val="20"/>
          <w:lang w:val="es-ES"/>
        </w:rPr>
        <w:t>la</w:t>
      </w:r>
      <w:r w:rsidR="00383B36" w:rsidRPr="0064597D">
        <w:rPr>
          <w:rFonts w:eastAsia="Verdana" w:cs="Verdana"/>
          <w:spacing w:val="28"/>
          <w:sz w:val="20"/>
          <w:szCs w:val="20"/>
          <w:lang w:val="es-ES"/>
        </w:rPr>
        <w:t xml:space="preserve"> </w:t>
      </w:r>
      <w:r w:rsidR="00383B36" w:rsidRPr="0064597D">
        <w:rPr>
          <w:rFonts w:eastAsia="Verdana" w:cs="Verdana"/>
          <w:sz w:val="20"/>
          <w:szCs w:val="20"/>
          <w:lang w:val="es-ES"/>
        </w:rPr>
        <w:t>C</w:t>
      </w:r>
      <w:r w:rsidR="00383B36" w:rsidRPr="0064597D">
        <w:rPr>
          <w:rFonts w:eastAsia="Verdana" w:cs="Verdana"/>
          <w:spacing w:val="-1"/>
          <w:sz w:val="20"/>
          <w:szCs w:val="20"/>
          <w:lang w:val="es-ES"/>
        </w:rPr>
        <w:t>or</w:t>
      </w:r>
      <w:r w:rsidR="00383B36" w:rsidRPr="0064597D">
        <w:rPr>
          <w:rFonts w:eastAsia="Verdana" w:cs="Verdana"/>
          <w:spacing w:val="1"/>
          <w:sz w:val="20"/>
          <w:szCs w:val="20"/>
          <w:lang w:val="es-ES"/>
        </w:rPr>
        <w:t>t</w:t>
      </w:r>
      <w:r w:rsidR="00383B36" w:rsidRPr="0064597D">
        <w:rPr>
          <w:rFonts w:eastAsia="Verdana" w:cs="Verdana"/>
          <w:sz w:val="20"/>
          <w:szCs w:val="20"/>
          <w:lang w:val="es-ES"/>
        </w:rPr>
        <w:t>e</w:t>
      </w:r>
      <w:r w:rsidR="00383B36" w:rsidRPr="0064597D">
        <w:rPr>
          <w:rFonts w:eastAsia="Verdana" w:cs="Verdana"/>
          <w:spacing w:val="24"/>
          <w:sz w:val="20"/>
          <w:szCs w:val="20"/>
          <w:lang w:val="es-ES"/>
        </w:rPr>
        <w:t xml:space="preserve"> </w:t>
      </w:r>
      <w:r w:rsidR="00383B36" w:rsidRPr="0064597D">
        <w:rPr>
          <w:rFonts w:eastAsia="Verdana" w:cs="Verdana"/>
          <w:sz w:val="20"/>
          <w:szCs w:val="20"/>
          <w:lang w:val="es-ES"/>
        </w:rPr>
        <w:t>c</w:t>
      </w:r>
      <w:r w:rsidR="00383B36" w:rsidRPr="0064597D">
        <w:rPr>
          <w:rFonts w:eastAsia="Verdana" w:cs="Verdana"/>
          <w:spacing w:val="-2"/>
          <w:sz w:val="20"/>
          <w:szCs w:val="20"/>
          <w:lang w:val="es-ES"/>
        </w:rPr>
        <w:t>o</w:t>
      </w:r>
      <w:r w:rsidR="00383B36" w:rsidRPr="0064597D">
        <w:rPr>
          <w:rFonts w:eastAsia="Verdana" w:cs="Verdana"/>
          <w:spacing w:val="1"/>
          <w:sz w:val="20"/>
          <w:szCs w:val="20"/>
          <w:lang w:val="es-ES"/>
        </w:rPr>
        <w:t>n</w:t>
      </w:r>
      <w:r w:rsidR="00383B36" w:rsidRPr="0064597D">
        <w:rPr>
          <w:rFonts w:eastAsia="Verdana" w:cs="Verdana"/>
          <w:sz w:val="20"/>
          <w:szCs w:val="20"/>
          <w:lang w:val="es-ES"/>
        </w:rPr>
        <w:t>s</w:t>
      </w:r>
      <w:r w:rsidR="00383B36" w:rsidRPr="0064597D">
        <w:rPr>
          <w:rFonts w:eastAsia="Verdana" w:cs="Verdana"/>
          <w:spacing w:val="2"/>
          <w:sz w:val="20"/>
          <w:szCs w:val="20"/>
          <w:lang w:val="es-ES"/>
        </w:rPr>
        <w:t>i</w:t>
      </w:r>
      <w:r w:rsidR="00383B36" w:rsidRPr="0064597D">
        <w:rPr>
          <w:rFonts w:eastAsia="Verdana" w:cs="Verdana"/>
          <w:spacing w:val="1"/>
          <w:sz w:val="20"/>
          <w:szCs w:val="20"/>
          <w:lang w:val="es-ES"/>
        </w:rPr>
        <w:t>d</w:t>
      </w:r>
      <w:r w:rsidR="00383B36" w:rsidRPr="0064597D">
        <w:rPr>
          <w:rFonts w:eastAsia="Verdana" w:cs="Verdana"/>
          <w:spacing w:val="-1"/>
          <w:sz w:val="20"/>
          <w:szCs w:val="20"/>
          <w:lang w:val="es-ES"/>
        </w:rPr>
        <w:t>er</w:t>
      </w:r>
      <w:r w:rsidR="00383B36" w:rsidRPr="0064597D">
        <w:rPr>
          <w:rFonts w:eastAsia="Verdana" w:cs="Verdana"/>
          <w:sz w:val="20"/>
          <w:szCs w:val="20"/>
          <w:lang w:val="es-ES"/>
        </w:rPr>
        <w:t>a</w:t>
      </w:r>
      <w:r w:rsidR="00EC67B3" w:rsidRPr="0064597D">
        <w:rPr>
          <w:rFonts w:eastAsia="Verdana" w:cs="Verdana"/>
          <w:sz w:val="20"/>
          <w:szCs w:val="20"/>
          <w:lang w:val="es-ES"/>
        </w:rPr>
        <w:t xml:space="preserve"> que</w:t>
      </w:r>
      <w:r w:rsidR="00383B36" w:rsidRPr="0064597D">
        <w:rPr>
          <w:rFonts w:eastAsia="Verdana" w:cs="Verdana"/>
          <w:sz w:val="20"/>
          <w:szCs w:val="20"/>
          <w:lang w:val="es-ES"/>
        </w:rPr>
        <w:t xml:space="preserve"> </w:t>
      </w:r>
      <w:r w:rsidR="00E31B51" w:rsidRPr="0064597D">
        <w:rPr>
          <w:rFonts w:eastAsia="Verdana" w:cs="Verdana"/>
          <w:sz w:val="20"/>
          <w:szCs w:val="20"/>
          <w:lang w:val="es-ES"/>
        </w:rPr>
        <w:t xml:space="preserve">la muerte del señor Ruiz Fuentes se produjo </w:t>
      </w:r>
      <w:r w:rsidRPr="0064597D">
        <w:rPr>
          <w:rFonts w:eastAsia="Verdana" w:cs="Verdana"/>
          <w:sz w:val="20"/>
          <w:szCs w:val="20"/>
          <w:lang w:val="es-ES"/>
        </w:rPr>
        <w:t>por</w:t>
      </w:r>
      <w:r w:rsidR="00E31B51" w:rsidRPr="0064597D">
        <w:rPr>
          <w:rFonts w:eastAsia="Verdana" w:cs="Verdana"/>
          <w:sz w:val="20"/>
          <w:szCs w:val="20"/>
          <w:lang w:val="es-ES"/>
        </w:rPr>
        <w:t xml:space="preserve"> agentes estatales</w:t>
      </w:r>
      <w:r w:rsidR="0015605B" w:rsidRPr="0064597D">
        <w:rPr>
          <w:rFonts w:eastAsia="Verdana" w:cs="Verdana"/>
          <w:sz w:val="20"/>
          <w:szCs w:val="20"/>
          <w:lang w:val="es-ES"/>
        </w:rPr>
        <w:t xml:space="preserve">. </w:t>
      </w:r>
    </w:p>
    <w:p w14:paraId="1746C2D7" w14:textId="77777777" w:rsidR="00A91A39" w:rsidRPr="0064597D" w:rsidRDefault="00A91A39" w:rsidP="00A91A39">
      <w:pPr>
        <w:tabs>
          <w:tab w:val="left" w:pos="567"/>
        </w:tabs>
        <w:spacing w:line="240" w:lineRule="auto"/>
        <w:rPr>
          <w:rFonts w:eastAsia="MS Mincho"/>
          <w:sz w:val="20"/>
          <w:szCs w:val="20"/>
          <w:lang w:eastAsia="en-US"/>
        </w:rPr>
      </w:pPr>
    </w:p>
    <w:p w14:paraId="56229017" w14:textId="48F664F7" w:rsidR="0087165E" w:rsidRPr="0064597D" w:rsidRDefault="0015605B" w:rsidP="0015605B">
      <w:pPr>
        <w:numPr>
          <w:ilvl w:val="0"/>
          <w:numId w:val="1"/>
        </w:numPr>
        <w:tabs>
          <w:tab w:val="left" w:pos="567"/>
        </w:tabs>
        <w:spacing w:line="240" w:lineRule="auto"/>
        <w:ind w:left="0" w:firstLine="0"/>
        <w:rPr>
          <w:rFonts w:eastAsia="MS Mincho"/>
          <w:sz w:val="20"/>
          <w:szCs w:val="20"/>
          <w:lang w:eastAsia="en-US"/>
        </w:rPr>
      </w:pPr>
      <w:r w:rsidRPr="0064597D">
        <w:rPr>
          <w:rFonts w:eastAsia="Verdana" w:cs="Verdana"/>
          <w:sz w:val="20"/>
          <w:szCs w:val="20"/>
          <w:lang w:val="es-ES"/>
        </w:rPr>
        <w:t>En consecuencia,</w:t>
      </w:r>
      <w:r w:rsidR="003B3E94" w:rsidRPr="0064597D">
        <w:rPr>
          <w:rFonts w:eastAsia="Verdana" w:cs="Verdana"/>
          <w:sz w:val="20"/>
          <w:szCs w:val="20"/>
          <w:lang w:val="es-ES"/>
        </w:rPr>
        <w:t xml:space="preserve"> </w:t>
      </w:r>
      <w:r w:rsidR="00461BC4" w:rsidRPr="0064597D">
        <w:rPr>
          <w:rFonts w:eastAsia="Verdana" w:cs="Verdana"/>
          <w:spacing w:val="1"/>
          <w:sz w:val="20"/>
          <w:szCs w:val="20"/>
          <w:lang w:val="es-ES"/>
        </w:rPr>
        <w:t xml:space="preserve">el Estado guatemalteco es responsable internacionalmente por </w:t>
      </w:r>
      <w:r w:rsidR="00E31B51" w:rsidRPr="0064597D">
        <w:rPr>
          <w:rFonts w:eastAsia="Verdana" w:cs="Verdana"/>
          <w:spacing w:val="1"/>
          <w:sz w:val="20"/>
          <w:szCs w:val="20"/>
          <w:lang w:val="es-ES"/>
        </w:rPr>
        <w:t>dicha</w:t>
      </w:r>
      <w:r w:rsidR="00461BC4" w:rsidRPr="0064597D">
        <w:rPr>
          <w:rFonts w:eastAsia="Verdana" w:cs="Verdana"/>
          <w:spacing w:val="1"/>
          <w:sz w:val="20"/>
          <w:szCs w:val="20"/>
          <w:lang w:val="es-ES"/>
        </w:rPr>
        <w:t xml:space="preserve"> muerte, en violación del derecho a la vida, de conformidad con lo establecido en el artículo 4.1</w:t>
      </w:r>
      <w:r w:rsidR="00B05E32" w:rsidRPr="0064597D">
        <w:rPr>
          <w:rFonts w:eastAsia="Verdana" w:cs="Verdana"/>
          <w:spacing w:val="1"/>
          <w:sz w:val="20"/>
          <w:szCs w:val="20"/>
          <w:lang w:val="es-ES"/>
        </w:rPr>
        <w:t xml:space="preserve"> de la Convención Americana</w:t>
      </w:r>
      <w:r w:rsidR="00461BC4" w:rsidRPr="0064597D">
        <w:rPr>
          <w:rFonts w:eastAsia="Verdana" w:cs="Verdana"/>
          <w:spacing w:val="1"/>
          <w:sz w:val="20"/>
          <w:szCs w:val="20"/>
          <w:lang w:val="es-ES"/>
        </w:rPr>
        <w:t xml:space="preserve"> en relación con lo dispuesto en el artículo 1.1 del mismo instrumento. </w:t>
      </w:r>
    </w:p>
    <w:p w14:paraId="00022A0B" w14:textId="77777777" w:rsidR="0087165E" w:rsidRPr="0064597D" w:rsidRDefault="0087165E" w:rsidP="0087165E">
      <w:pPr>
        <w:tabs>
          <w:tab w:val="left" w:pos="567"/>
        </w:tabs>
        <w:spacing w:line="240" w:lineRule="auto"/>
        <w:rPr>
          <w:rFonts w:eastAsia="MS Mincho"/>
          <w:sz w:val="20"/>
          <w:szCs w:val="20"/>
          <w:lang w:eastAsia="en-US"/>
        </w:rPr>
      </w:pPr>
    </w:p>
    <w:p w14:paraId="108CD738" w14:textId="0A6DEDD0" w:rsidR="00BB0091" w:rsidRPr="0064597D" w:rsidRDefault="00037672" w:rsidP="00FD5666">
      <w:pPr>
        <w:numPr>
          <w:ilvl w:val="0"/>
          <w:numId w:val="1"/>
        </w:numPr>
        <w:tabs>
          <w:tab w:val="left" w:pos="567"/>
        </w:tabs>
        <w:spacing w:line="240" w:lineRule="auto"/>
        <w:ind w:left="0" w:firstLine="0"/>
        <w:rPr>
          <w:rFonts w:eastAsia="MS Mincho"/>
          <w:sz w:val="20"/>
          <w:szCs w:val="20"/>
          <w:lang w:eastAsia="en-US"/>
        </w:rPr>
      </w:pPr>
      <w:r w:rsidRPr="0064597D">
        <w:rPr>
          <w:rFonts w:eastAsiaTheme="minorHAnsi" w:cs="Arial"/>
          <w:sz w:val="20"/>
          <w:szCs w:val="20"/>
        </w:rPr>
        <w:t xml:space="preserve">Por último, </w:t>
      </w:r>
      <w:r w:rsidR="006653BE" w:rsidRPr="0064597D">
        <w:rPr>
          <w:rFonts w:eastAsiaTheme="minorHAnsi" w:cs="Arial"/>
          <w:sz w:val="20"/>
          <w:szCs w:val="20"/>
        </w:rPr>
        <w:t xml:space="preserve">la Corte señala que </w:t>
      </w:r>
      <w:r w:rsidRPr="0064597D">
        <w:rPr>
          <w:rFonts w:eastAsiaTheme="minorHAnsi" w:cs="Arial"/>
          <w:sz w:val="20"/>
          <w:szCs w:val="20"/>
        </w:rPr>
        <w:t xml:space="preserve">los alegatos de </w:t>
      </w:r>
      <w:r w:rsidR="002269FD" w:rsidRPr="0064597D">
        <w:rPr>
          <w:rFonts w:eastAsiaTheme="minorHAnsi" w:cs="Arial"/>
          <w:sz w:val="20"/>
          <w:szCs w:val="20"/>
        </w:rPr>
        <w:t>las representantes</w:t>
      </w:r>
      <w:r w:rsidRPr="0064597D">
        <w:rPr>
          <w:rFonts w:eastAsiaTheme="minorHAnsi" w:cs="Arial"/>
          <w:sz w:val="20"/>
          <w:szCs w:val="20"/>
        </w:rPr>
        <w:t xml:space="preserve"> con respecto a </w:t>
      </w:r>
      <w:r w:rsidR="00075902" w:rsidRPr="0064597D">
        <w:rPr>
          <w:rFonts w:eastAsiaTheme="minorHAnsi" w:cs="Arial"/>
          <w:sz w:val="20"/>
          <w:szCs w:val="20"/>
        </w:rPr>
        <w:t>la violación del artículo 4 de la Convención Americana</w:t>
      </w:r>
      <w:r w:rsidR="00D84387" w:rsidRPr="0064597D">
        <w:rPr>
          <w:rFonts w:eastAsiaTheme="minorHAnsi" w:cs="Arial"/>
          <w:sz w:val="20"/>
          <w:szCs w:val="20"/>
        </w:rPr>
        <w:t>,</w:t>
      </w:r>
      <w:r w:rsidR="00075902" w:rsidRPr="0064597D">
        <w:rPr>
          <w:rFonts w:eastAsiaTheme="minorHAnsi" w:cs="Arial"/>
          <w:sz w:val="20"/>
          <w:szCs w:val="20"/>
        </w:rPr>
        <w:t xml:space="preserve"> así como del artículo 1.1 del mismo instrumento</w:t>
      </w:r>
      <w:r w:rsidR="00D84387" w:rsidRPr="0064597D">
        <w:rPr>
          <w:rFonts w:eastAsiaTheme="minorHAnsi" w:cs="Arial"/>
          <w:sz w:val="20"/>
          <w:szCs w:val="20"/>
        </w:rPr>
        <w:t>,</w:t>
      </w:r>
      <w:r w:rsidR="00075902" w:rsidRPr="0064597D">
        <w:rPr>
          <w:rFonts w:eastAsiaTheme="minorHAnsi" w:cs="Arial"/>
          <w:sz w:val="20"/>
          <w:szCs w:val="20"/>
        </w:rPr>
        <w:t xml:space="preserve"> por no haber investigado de manera seria y efectiva los hechos relacionados con la muerte del señor Ruiz Fuentes, </w:t>
      </w:r>
      <w:r w:rsidRPr="0064597D">
        <w:rPr>
          <w:rFonts w:eastAsiaTheme="minorHAnsi" w:cs="Arial"/>
          <w:sz w:val="20"/>
          <w:szCs w:val="20"/>
        </w:rPr>
        <w:t xml:space="preserve">serán analizados </w:t>
      </w:r>
      <w:r w:rsidR="006653BE" w:rsidRPr="0064597D">
        <w:rPr>
          <w:rFonts w:eastAsiaTheme="minorHAnsi" w:cs="Arial"/>
          <w:i/>
          <w:sz w:val="20"/>
          <w:szCs w:val="20"/>
        </w:rPr>
        <w:t>infra,</w:t>
      </w:r>
      <w:r w:rsidR="006653BE" w:rsidRPr="0064597D">
        <w:rPr>
          <w:rFonts w:eastAsiaTheme="minorHAnsi" w:cs="Arial"/>
          <w:sz w:val="20"/>
          <w:szCs w:val="20"/>
        </w:rPr>
        <w:t xml:space="preserve"> </w:t>
      </w:r>
      <w:r w:rsidRPr="0064597D">
        <w:rPr>
          <w:rFonts w:eastAsiaTheme="minorHAnsi" w:cs="Arial"/>
          <w:sz w:val="20"/>
          <w:szCs w:val="20"/>
        </w:rPr>
        <w:t>a la luz de las obligaciones convencionales dimanantes de los artículos 8 y 25</w:t>
      </w:r>
      <w:r w:rsidR="006653BE" w:rsidRPr="0064597D">
        <w:rPr>
          <w:rFonts w:eastAsiaTheme="minorHAnsi" w:cs="Arial"/>
          <w:sz w:val="20"/>
          <w:szCs w:val="20"/>
        </w:rPr>
        <w:t xml:space="preserve"> de la Convención Americana</w:t>
      </w:r>
      <w:r w:rsidR="0028652F" w:rsidRPr="0064597D">
        <w:rPr>
          <w:rFonts w:eastAsiaTheme="minorHAnsi" w:cs="Arial"/>
          <w:sz w:val="20"/>
          <w:szCs w:val="20"/>
        </w:rPr>
        <w:t xml:space="preserve"> (capítulo VIII-</w:t>
      </w:r>
      <w:r w:rsidR="00581B20" w:rsidRPr="0064597D">
        <w:rPr>
          <w:rFonts w:eastAsiaTheme="minorHAnsi" w:cs="Arial"/>
          <w:sz w:val="20"/>
          <w:szCs w:val="20"/>
        </w:rPr>
        <w:t>4</w:t>
      </w:r>
      <w:r w:rsidR="0028652F" w:rsidRPr="0064597D">
        <w:rPr>
          <w:rFonts w:eastAsiaTheme="minorHAnsi" w:cs="Arial"/>
          <w:sz w:val="20"/>
          <w:szCs w:val="20"/>
        </w:rPr>
        <w:t>)</w:t>
      </w:r>
      <w:r w:rsidR="006653BE" w:rsidRPr="0064597D">
        <w:rPr>
          <w:rFonts w:eastAsiaTheme="minorHAnsi" w:cs="Arial"/>
          <w:sz w:val="20"/>
          <w:szCs w:val="20"/>
        </w:rPr>
        <w:t>.</w:t>
      </w:r>
    </w:p>
    <w:p w14:paraId="062930A7" w14:textId="1CFFFAB1" w:rsidR="009E4F6C" w:rsidRPr="0064597D" w:rsidRDefault="009E4F6C" w:rsidP="002F4F08">
      <w:pPr>
        <w:pStyle w:val="Ttulo1"/>
        <w:rPr>
          <w:caps w:val="0"/>
        </w:rPr>
      </w:pPr>
      <w:bookmarkStart w:id="71" w:name="_Toc24014558"/>
      <w:r w:rsidRPr="0064597D">
        <w:rPr>
          <w:rStyle w:val="Ttulo1Car"/>
          <w:b/>
          <w:bCs/>
          <w:caps/>
          <w:snapToGrid w:val="0"/>
        </w:rPr>
        <w:lastRenderedPageBreak/>
        <w:t>VI</w:t>
      </w:r>
      <w:r w:rsidR="00EA52BD" w:rsidRPr="0064597D">
        <w:rPr>
          <w:rStyle w:val="Ttulo1Car"/>
          <w:b/>
          <w:bCs/>
          <w:caps/>
          <w:snapToGrid w:val="0"/>
        </w:rPr>
        <w:t>I</w:t>
      </w:r>
      <w:r w:rsidRPr="0064597D">
        <w:rPr>
          <w:rStyle w:val="Ttulo1Car"/>
          <w:b/>
          <w:bCs/>
          <w:caps/>
          <w:snapToGrid w:val="0"/>
        </w:rPr>
        <w:t>I</w:t>
      </w:r>
      <w:r w:rsidR="00F17DC3" w:rsidRPr="0064597D">
        <w:rPr>
          <w:rStyle w:val="Ttulo1Car"/>
          <w:b/>
          <w:bCs/>
          <w:caps/>
          <w:snapToGrid w:val="0"/>
        </w:rPr>
        <w:t>-</w:t>
      </w:r>
      <w:r w:rsidR="00832D41" w:rsidRPr="0064597D">
        <w:rPr>
          <w:rStyle w:val="Ttulo1Car"/>
          <w:b/>
          <w:bCs/>
          <w:caps/>
          <w:snapToGrid w:val="0"/>
        </w:rPr>
        <w:t>3</w:t>
      </w:r>
      <w:r w:rsidRPr="0064597D">
        <w:rPr>
          <w:rStyle w:val="Ttulo1Car"/>
          <w:b/>
          <w:bCs/>
          <w:caps/>
          <w:snapToGrid w:val="0"/>
        </w:rPr>
        <w:br/>
      </w:r>
      <w:r w:rsidR="00832D41" w:rsidRPr="0064597D">
        <w:rPr>
          <w:rStyle w:val="Ttulo1Car"/>
          <w:b/>
          <w:bCs/>
          <w:caps/>
          <w:snapToGrid w:val="0"/>
        </w:rPr>
        <w:t>DERECHO</w:t>
      </w:r>
      <w:r w:rsidRPr="0064597D">
        <w:rPr>
          <w:rStyle w:val="Ttulo1Car"/>
          <w:b/>
          <w:bCs/>
          <w:caps/>
          <w:snapToGrid w:val="0"/>
        </w:rPr>
        <w:t xml:space="preserve"> A </w:t>
      </w:r>
      <w:r w:rsidR="002831D5" w:rsidRPr="0064597D">
        <w:rPr>
          <w:rStyle w:val="Ttulo1Car"/>
          <w:b/>
          <w:bCs/>
          <w:caps/>
          <w:snapToGrid w:val="0"/>
        </w:rPr>
        <w:t xml:space="preserve">LA INTEGRIDAD </w:t>
      </w:r>
      <w:r w:rsidR="00832D41" w:rsidRPr="0064597D">
        <w:rPr>
          <w:rStyle w:val="Ttulo1Car"/>
          <w:b/>
          <w:bCs/>
          <w:caps/>
          <w:snapToGrid w:val="0"/>
        </w:rPr>
        <w:t>PERSONAL</w:t>
      </w:r>
      <w:r w:rsidR="004B460E" w:rsidRPr="0064597D">
        <w:rPr>
          <w:rStyle w:val="Ttulo1Car"/>
          <w:b/>
          <w:bCs/>
          <w:caps/>
          <w:snapToGrid w:val="0"/>
        </w:rPr>
        <w:t>, PROHIBICIÓN DE LA TORTURA Y OTROS TRATOS CRUELES, INHUMANOS O DEGRADANTES</w:t>
      </w:r>
      <w:r w:rsidR="001B7763" w:rsidRPr="0064597D">
        <w:rPr>
          <w:rStyle w:val="Refdenotaalpie"/>
        </w:rPr>
        <w:footnoteReference w:id="146"/>
      </w:r>
      <w:bookmarkEnd w:id="71"/>
      <w:r w:rsidR="00611331" w:rsidRPr="0064597D">
        <w:rPr>
          <w:rStyle w:val="Ttulo1Car"/>
          <w:b/>
          <w:bCs/>
          <w:caps/>
          <w:snapToGrid w:val="0"/>
        </w:rPr>
        <w:t xml:space="preserve"> </w:t>
      </w:r>
    </w:p>
    <w:p w14:paraId="753C17B5" w14:textId="77777777" w:rsidR="009E4F6C" w:rsidRPr="0064597D" w:rsidRDefault="009E4F6C" w:rsidP="00377181">
      <w:pPr>
        <w:pStyle w:val="Ttulo2"/>
      </w:pPr>
      <w:bookmarkStart w:id="72" w:name="_Toc24014559"/>
      <w:r w:rsidRPr="0064597D">
        <w:t>A.</w:t>
      </w:r>
      <w:r w:rsidRPr="0064597D">
        <w:tab/>
        <w:t>Argumentos de las partes y de la Comisión</w:t>
      </w:r>
      <w:bookmarkEnd w:id="72"/>
    </w:p>
    <w:p w14:paraId="002033D3" w14:textId="6E7DE42D" w:rsidR="00F17DC3" w:rsidRPr="0064597D" w:rsidRDefault="00040F1D" w:rsidP="00B92559">
      <w:pPr>
        <w:numPr>
          <w:ilvl w:val="0"/>
          <w:numId w:val="1"/>
        </w:numPr>
        <w:tabs>
          <w:tab w:val="left" w:pos="567"/>
        </w:tabs>
        <w:spacing w:line="240" w:lineRule="auto"/>
        <w:ind w:left="0" w:firstLine="0"/>
        <w:rPr>
          <w:sz w:val="20"/>
          <w:szCs w:val="20"/>
        </w:rPr>
      </w:pPr>
      <w:r w:rsidRPr="0064597D">
        <w:rPr>
          <w:sz w:val="20"/>
          <w:szCs w:val="20"/>
        </w:rPr>
        <w:t xml:space="preserve">La </w:t>
      </w:r>
      <w:r w:rsidRPr="0064597D">
        <w:rPr>
          <w:b/>
          <w:i/>
          <w:sz w:val="20"/>
          <w:szCs w:val="20"/>
        </w:rPr>
        <w:t>Comisión</w:t>
      </w:r>
      <w:r w:rsidRPr="0064597D">
        <w:rPr>
          <w:sz w:val="20"/>
          <w:szCs w:val="20"/>
        </w:rPr>
        <w:t xml:space="preserve"> </w:t>
      </w:r>
      <w:r w:rsidR="00B92559" w:rsidRPr="0064597D">
        <w:rPr>
          <w:sz w:val="20"/>
          <w:szCs w:val="20"/>
        </w:rPr>
        <w:t>sostuvo</w:t>
      </w:r>
      <w:r w:rsidR="00310B1C" w:rsidRPr="0064597D">
        <w:rPr>
          <w:sz w:val="20"/>
          <w:szCs w:val="20"/>
        </w:rPr>
        <w:t>, en primer lugar,</w:t>
      </w:r>
      <w:r w:rsidR="00B92559" w:rsidRPr="0064597D">
        <w:rPr>
          <w:sz w:val="20"/>
          <w:szCs w:val="20"/>
        </w:rPr>
        <w:t xml:space="preserve"> </w:t>
      </w:r>
      <w:r w:rsidR="00FA31D2" w:rsidRPr="0064597D">
        <w:rPr>
          <w:sz w:val="20"/>
          <w:szCs w:val="20"/>
        </w:rPr>
        <w:t xml:space="preserve">que </w:t>
      </w:r>
      <w:r w:rsidR="001028F3" w:rsidRPr="0064597D">
        <w:rPr>
          <w:sz w:val="20"/>
          <w:szCs w:val="20"/>
        </w:rPr>
        <w:t xml:space="preserve">en </w:t>
      </w:r>
      <w:r w:rsidR="00FA31D2" w:rsidRPr="0064597D">
        <w:rPr>
          <w:sz w:val="20"/>
          <w:szCs w:val="20"/>
        </w:rPr>
        <w:t>el período en el que el señor Ruiz Fuentes estuvo en el “corredor de la muerte”</w:t>
      </w:r>
      <w:r w:rsidR="001028F3" w:rsidRPr="0064597D">
        <w:rPr>
          <w:sz w:val="20"/>
          <w:szCs w:val="20"/>
        </w:rPr>
        <w:t xml:space="preserve"> se</w:t>
      </w:r>
      <w:r w:rsidR="00FA31D2" w:rsidRPr="0064597D">
        <w:rPr>
          <w:sz w:val="20"/>
          <w:szCs w:val="20"/>
        </w:rPr>
        <w:t xml:space="preserve"> violó su derecho a la integridad personal. </w:t>
      </w:r>
      <w:r w:rsidR="003B32D6" w:rsidRPr="0064597D">
        <w:rPr>
          <w:sz w:val="20"/>
          <w:szCs w:val="20"/>
        </w:rPr>
        <w:t>L</w:t>
      </w:r>
      <w:r w:rsidR="00FA31D2" w:rsidRPr="0064597D">
        <w:rPr>
          <w:sz w:val="20"/>
          <w:szCs w:val="20"/>
        </w:rPr>
        <w:t xml:space="preserve">a Comisión </w:t>
      </w:r>
      <w:r w:rsidR="00C91D7F" w:rsidRPr="0064597D">
        <w:rPr>
          <w:sz w:val="20"/>
          <w:szCs w:val="20"/>
        </w:rPr>
        <w:t>precisó que el</w:t>
      </w:r>
      <w:r w:rsidR="00FA31D2" w:rsidRPr="0064597D">
        <w:rPr>
          <w:sz w:val="20"/>
          <w:szCs w:val="20"/>
        </w:rPr>
        <w:t xml:space="preserve"> señor Ruiz Fuentes habría permanecido </w:t>
      </w:r>
      <w:r w:rsidR="00816387" w:rsidRPr="0064597D">
        <w:rPr>
          <w:sz w:val="20"/>
          <w:szCs w:val="20"/>
        </w:rPr>
        <w:t>“</w:t>
      </w:r>
      <w:r w:rsidR="00FA31D2" w:rsidRPr="0064597D">
        <w:rPr>
          <w:sz w:val="20"/>
          <w:szCs w:val="20"/>
        </w:rPr>
        <w:t>a la espera de su ejecución por más de 6 años y 5 meses”</w:t>
      </w:r>
      <w:r w:rsidR="00816387" w:rsidRPr="0064597D">
        <w:rPr>
          <w:sz w:val="20"/>
          <w:szCs w:val="20"/>
        </w:rPr>
        <w:t xml:space="preserve">, lo cual constituyó un trato cruel, inhumano y </w:t>
      </w:r>
      <w:r w:rsidR="001C45D9" w:rsidRPr="0064597D">
        <w:rPr>
          <w:sz w:val="20"/>
          <w:szCs w:val="20"/>
        </w:rPr>
        <w:t>degradante</w:t>
      </w:r>
      <w:r w:rsidR="00816387" w:rsidRPr="0064597D">
        <w:rPr>
          <w:sz w:val="20"/>
          <w:szCs w:val="20"/>
        </w:rPr>
        <w:t xml:space="preserve">. La Comisión concluyó que el Estado guatemalteco habría violado los artículos 5.1 y 5.2 de la Convención Americana, en relación con el artículo 1.1 del mismo instrumento, así como </w:t>
      </w:r>
      <w:r w:rsidR="002479A4" w:rsidRPr="0064597D">
        <w:rPr>
          <w:sz w:val="20"/>
          <w:szCs w:val="20"/>
        </w:rPr>
        <w:t xml:space="preserve">los artículos 1 y 6 de la CIPST. </w:t>
      </w:r>
      <w:r w:rsidR="00C138ED" w:rsidRPr="0064597D">
        <w:rPr>
          <w:bCs/>
          <w:sz w:val="20"/>
          <w:szCs w:val="20"/>
        </w:rPr>
        <w:t xml:space="preserve">En sus </w:t>
      </w:r>
      <w:r w:rsidR="000A154C" w:rsidRPr="0064597D">
        <w:rPr>
          <w:bCs/>
          <w:sz w:val="20"/>
          <w:szCs w:val="20"/>
        </w:rPr>
        <w:t>observaciones</w:t>
      </w:r>
      <w:r w:rsidR="00C138ED" w:rsidRPr="0064597D">
        <w:rPr>
          <w:bCs/>
          <w:sz w:val="20"/>
          <w:szCs w:val="20"/>
        </w:rPr>
        <w:t xml:space="preserve"> finales escrit</w:t>
      </w:r>
      <w:r w:rsidR="000A154C" w:rsidRPr="0064597D">
        <w:rPr>
          <w:bCs/>
          <w:sz w:val="20"/>
          <w:szCs w:val="20"/>
        </w:rPr>
        <w:t>a</w:t>
      </w:r>
      <w:r w:rsidR="00C138ED" w:rsidRPr="0064597D">
        <w:rPr>
          <w:bCs/>
          <w:sz w:val="20"/>
          <w:szCs w:val="20"/>
        </w:rPr>
        <w:t xml:space="preserve">s, la Comisión observó que, pese a que el Estado había argumentado en su contestación que la pena de muerte del señor Ruiz Fuentes fue conmutada, no se indicó la fecha en la que tal situación habría ocurrido, ni se aportó prueba documental que sustentara tal afirmación. </w:t>
      </w:r>
    </w:p>
    <w:p w14:paraId="6EA77F4A" w14:textId="77777777" w:rsidR="000E3A01" w:rsidRPr="0064597D" w:rsidRDefault="000E3A01" w:rsidP="000E3A01">
      <w:pPr>
        <w:tabs>
          <w:tab w:val="left" w:pos="567"/>
        </w:tabs>
        <w:spacing w:line="240" w:lineRule="auto"/>
        <w:rPr>
          <w:sz w:val="20"/>
          <w:szCs w:val="20"/>
        </w:rPr>
      </w:pPr>
    </w:p>
    <w:p w14:paraId="7BF8A521" w14:textId="2ACB3E48" w:rsidR="003049D9" w:rsidRPr="0064597D" w:rsidRDefault="00FC45EE" w:rsidP="00960A67">
      <w:pPr>
        <w:numPr>
          <w:ilvl w:val="0"/>
          <w:numId w:val="1"/>
        </w:numPr>
        <w:tabs>
          <w:tab w:val="left" w:pos="567"/>
        </w:tabs>
        <w:spacing w:line="240" w:lineRule="auto"/>
        <w:ind w:left="0" w:firstLine="0"/>
        <w:rPr>
          <w:sz w:val="20"/>
          <w:szCs w:val="20"/>
        </w:rPr>
      </w:pPr>
      <w:r w:rsidRPr="0064597D">
        <w:rPr>
          <w:sz w:val="20"/>
          <w:szCs w:val="20"/>
        </w:rPr>
        <w:t>En segundo lugar</w:t>
      </w:r>
      <w:r w:rsidR="00B92559" w:rsidRPr="0064597D">
        <w:rPr>
          <w:sz w:val="20"/>
          <w:szCs w:val="20"/>
        </w:rPr>
        <w:t xml:space="preserve">, la Comisión </w:t>
      </w:r>
      <w:r w:rsidRPr="0064597D">
        <w:rPr>
          <w:sz w:val="20"/>
          <w:szCs w:val="20"/>
        </w:rPr>
        <w:t>alegó</w:t>
      </w:r>
      <w:r w:rsidR="00B92559" w:rsidRPr="0064597D">
        <w:rPr>
          <w:sz w:val="20"/>
          <w:szCs w:val="20"/>
        </w:rPr>
        <w:t xml:space="preserve"> que </w:t>
      </w:r>
      <w:r w:rsidRPr="0064597D">
        <w:rPr>
          <w:sz w:val="20"/>
          <w:szCs w:val="20"/>
        </w:rPr>
        <w:t xml:space="preserve">el señor Ruiz Fuentes fue </w:t>
      </w:r>
      <w:r w:rsidR="00DB580D" w:rsidRPr="0064597D">
        <w:rPr>
          <w:sz w:val="20"/>
          <w:szCs w:val="20"/>
        </w:rPr>
        <w:t>sometido</w:t>
      </w:r>
      <w:r w:rsidRPr="0064597D">
        <w:rPr>
          <w:sz w:val="20"/>
          <w:szCs w:val="20"/>
        </w:rPr>
        <w:t xml:space="preserve"> a actos de tortura por miembros de la policía al momento de su detención el 6 de agosto de 1997.</w:t>
      </w:r>
      <w:r w:rsidR="00DB580D" w:rsidRPr="0064597D">
        <w:rPr>
          <w:sz w:val="20"/>
          <w:szCs w:val="20"/>
        </w:rPr>
        <w:t xml:space="preserve"> La Comisión consideró que</w:t>
      </w:r>
      <w:r w:rsidR="00C91D7F" w:rsidRPr="0064597D">
        <w:rPr>
          <w:sz w:val="20"/>
          <w:szCs w:val="20"/>
        </w:rPr>
        <w:t>,</w:t>
      </w:r>
      <w:r w:rsidR="00DB580D" w:rsidRPr="0064597D">
        <w:rPr>
          <w:sz w:val="20"/>
          <w:szCs w:val="20"/>
        </w:rPr>
        <w:t xml:space="preserve"> </w:t>
      </w:r>
      <w:r w:rsidR="009D587B" w:rsidRPr="0064597D">
        <w:rPr>
          <w:sz w:val="20"/>
          <w:szCs w:val="20"/>
        </w:rPr>
        <w:t>de los</w:t>
      </w:r>
      <w:r w:rsidR="00DB580D" w:rsidRPr="0064597D">
        <w:rPr>
          <w:sz w:val="20"/>
          <w:szCs w:val="20"/>
        </w:rPr>
        <w:t xml:space="preserve"> informes médicos </w:t>
      </w:r>
      <w:r w:rsidR="009D587B" w:rsidRPr="0064597D">
        <w:rPr>
          <w:sz w:val="20"/>
          <w:szCs w:val="20"/>
        </w:rPr>
        <w:t>aportados</w:t>
      </w:r>
      <w:r w:rsidR="004047D8" w:rsidRPr="0064597D">
        <w:rPr>
          <w:sz w:val="20"/>
          <w:szCs w:val="20"/>
        </w:rPr>
        <w:t xml:space="preserve"> al acervo probatorio</w:t>
      </w:r>
      <w:r w:rsidR="009D587B" w:rsidRPr="0064597D">
        <w:rPr>
          <w:sz w:val="20"/>
          <w:szCs w:val="20"/>
        </w:rPr>
        <w:t>, así como</w:t>
      </w:r>
      <w:r w:rsidR="004047D8" w:rsidRPr="0064597D">
        <w:rPr>
          <w:sz w:val="20"/>
          <w:szCs w:val="20"/>
        </w:rPr>
        <w:t xml:space="preserve"> de</w:t>
      </w:r>
      <w:r w:rsidR="009D587B" w:rsidRPr="0064597D">
        <w:rPr>
          <w:sz w:val="20"/>
          <w:szCs w:val="20"/>
        </w:rPr>
        <w:t xml:space="preserve"> la declaración brindada por el señor Ruiz Fuentes el 29 de abril de 1999</w:t>
      </w:r>
      <w:r w:rsidR="009D587B" w:rsidRPr="0064597D">
        <w:rPr>
          <w:rStyle w:val="Refdenotaalpie"/>
          <w:sz w:val="20"/>
          <w:szCs w:val="20"/>
        </w:rPr>
        <w:footnoteReference w:id="147"/>
      </w:r>
      <w:r w:rsidR="009D587B" w:rsidRPr="0064597D">
        <w:rPr>
          <w:sz w:val="20"/>
          <w:szCs w:val="20"/>
        </w:rPr>
        <w:t xml:space="preserve"> resulta claro que éste sufrió lesiones en el contexto de su detención. El señor Ruiz Fuentes estaba ba</w:t>
      </w:r>
      <w:r w:rsidR="008755AD" w:rsidRPr="0064597D">
        <w:rPr>
          <w:sz w:val="20"/>
          <w:szCs w:val="20"/>
        </w:rPr>
        <w:t>jo custodia del Estado, por lo c</w:t>
      </w:r>
      <w:r w:rsidR="009D587B" w:rsidRPr="0064597D">
        <w:rPr>
          <w:sz w:val="20"/>
          <w:szCs w:val="20"/>
        </w:rPr>
        <w:t xml:space="preserve">ual </w:t>
      </w:r>
      <w:r w:rsidR="00C91D7F" w:rsidRPr="0064597D">
        <w:rPr>
          <w:sz w:val="20"/>
          <w:szCs w:val="20"/>
        </w:rPr>
        <w:t>era</w:t>
      </w:r>
      <w:r w:rsidR="009D587B" w:rsidRPr="0064597D">
        <w:rPr>
          <w:sz w:val="20"/>
          <w:szCs w:val="20"/>
        </w:rPr>
        <w:t xml:space="preserve"> aplicable el estándar sobre l</w:t>
      </w:r>
      <w:r w:rsidR="00C138ED" w:rsidRPr="0064597D">
        <w:rPr>
          <w:sz w:val="20"/>
          <w:szCs w:val="20"/>
        </w:rPr>
        <w:t>a</w:t>
      </w:r>
      <w:r w:rsidR="009D587B" w:rsidRPr="0064597D">
        <w:rPr>
          <w:sz w:val="20"/>
          <w:szCs w:val="20"/>
        </w:rPr>
        <w:t xml:space="preserve"> necesidad de que el Estado ofrezca una explicación creíble sobre el origen de las afectaciones a la integridad personal. </w:t>
      </w:r>
    </w:p>
    <w:p w14:paraId="0CE3E8BD" w14:textId="77777777" w:rsidR="003C5569" w:rsidRPr="0064597D" w:rsidRDefault="003C5569" w:rsidP="003C5569">
      <w:pPr>
        <w:tabs>
          <w:tab w:val="left" w:pos="567"/>
        </w:tabs>
        <w:spacing w:line="240" w:lineRule="auto"/>
        <w:rPr>
          <w:sz w:val="20"/>
          <w:szCs w:val="20"/>
        </w:rPr>
      </w:pPr>
    </w:p>
    <w:p w14:paraId="77AB73CF" w14:textId="56B87DDB" w:rsidR="00B92559" w:rsidRPr="0064597D" w:rsidRDefault="00C91D7F" w:rsidP="002961B3">
      <w:pPr>
        <w:widowControl/>
        <w:numPr>
          <w:ilvl w:val="0"/>
          <w:numId w:val="1"/>
        </w:numPr>
        <w:tabs>
          <w:tab w:val="left" w:pos="567"/>
        </w:tabs>
        <w:autoSpaceDE w:val="0"/>
        <w:autoSpaceDN w:val="0"/>
        <w:spacing w:line="240" w:lineRule="auto"/>
        <w:ind w:left="0" w:firstLine="0"/>
        <w:textAlignment w:val="auto"/>
        <w:rPr>
          <w:rFonts w:eastAsiaTheme="minorHAnsi" w:cs="Verdana"/>
          <w:sz w:val="20"/>
          <w:szCs w:val="20"/>
          <w:lang w:eastAsia="en-US"/>
        </w:rPr>
      </w:pPr>
      <w:r w:rsidRPr="0064597D">
        <w:rPr>
          <w:sz w:val="20"/>
          <w:szCs w:val="20"/>
        </w:rPr>
        <w:t>En cuanto al sometimiento del señor Ruiz Fuentes al “corredor de la muerte”</w:t>
      </w:r>
      <w:r w:rsidR="002961B3" w:rsidRPr="0064597D">
        <w:rPr>
          <w:sz w:val="20"/>
          <w:szCs w:val="20"/>
        </w:rPr>
        <w:t xml:space="preserve"> y a los alegados actos de tortura</w:t>
      </w:r>
      <w:r w:rsidRPr="0064597D">
        <w:rPr>
          <w:sz w:val="20"/>
          <w:szCs w:val="20"/>
        </w:rPr>
        <w:t>, las</w:t>
      </w:r>
      <w:r w:rsidRPr="0064597D">
        <w:rPr>
          <w:b/>
          <w:i/>
          <w:sz w:val="20"/>
          <w:szCs w:val="20"/>
        </w:rPr>
        <w:t xml:space="preserve"> representantes</w:t>
      </w:r>
      <w:r w:rsidRPr="0064597D">
        <w:rPr>
          <w:sz w:val="20"/>
          <w:szCs w:val="20"/>
        </w:rPr>
        <w:t xml:space="preserve"> coincidieron con los alegatos de la Comisión.</w:t>
      </w:r>
      <w:r w:rsidR="00DD4469">
        <w:rPr>
          <w:sz w:val="20"/>
          <w:szCs w:val="20"/>
        </w:rPr>
        <w:t xml:space="preserve"> </w:t>
      </w:r>
    </w:p>
    <w:p w14:paraId="0786D65F" w14:textId="77777777" w:rsidR="00F17DC3" w:rsidRPr="0064597D" w:rsidRDefault="00F17DC3" w:rsidP="00F17DC3">
      <w:pPr>
        <w:tabs>
          <w:tab w:val="left" w:pos="567"/>
        </w:tabs>
        <w:spacing w:line="240" w:lineRule="auto"/>
        <w:rPr>
          <w:b/>
          <w:sz w:val="20"/>
          <w:szCs w:val="20"/>
        </w:rPr>
      </w:pPr>
    </w:p>
    <w:p w14:paraId="0FA4E663" w14:textId="44422934" w:rsidR="00C91D7F" w:rsidRPr="0064597D" w:rsidRDefault="00C91D7F" w:rsidP="002A2BD7">
      <w:pPr>
        <w:numPr>
          <w:ilvl w:val="0"/>
          <w:numId w:val="1"/>
        </w:numPr>
        <w:tabs>
          <w:tab w:val="left" w:pos="567"/>
        </w:tabs>
        <w:spacing w:line="240" w:lineRule="auto"/>
        <w:ind w:left="0" w:firstLine="0"/>
        <w:rPr>
          <w:sz w:val="20"/>
          <w:szCs w:val="20"/>
        </w:rPr>
      </w:pPr>
      <w:r w:rsidRPr="0064597D">
        <w:rPr>
          <w:sz w:val="20"/>
          <w:szCs w:val="20"/>
        </w:rPr>
        <w:t xml:space="preserve">En cuanto al sometimiento del señor Ruiz Fuentes al “corredor de la muerte”, el </w:t>
      </w:r>
      <w:r w:rsidRPr="0064597D">
        <w:rPr>
          <w:b/>
          <w:i/>
          <w:sz w:val="20"/>
          <w:szCs w:val="20"/>
        </w:rPr>
        <w:t>Estado</w:t>
      </w:r>
      <w:r w:rsidRPr="0064597D">
        <w:rPr>
          <w:sz w:val="20"/>
          <w:szCs w:val="20"/>
        </w:rPr>
        <w:t xml:space="preserve"> alegó que la pena de muerte fue conmutada por la pena </w:t>
      </w:r>
      <w:r w:rsidR="000E3A01" w:rsidRPr="0064597D">
        <w:rPr>
          <w:sz w:val="20"/>
          <w:szCs w:val="20"/>
        </w:rPr>
        <w:t>máxima de privación de libertad.</w:t>
      </w:r>
    </w:p>
    <w:p w14:paraId="3E2AA007" w14:textId="77777777" w:rsidR="002961B3" w:rsidRPr="0064597D" w:rsidRDefault="002961B3" w:rsidP="002961B3">
      <w:pPr>
        <w:tabs>
          <w:tab w:val="left" w:pos="567"/>
        </w:tabs>
        <w:spacing w:line="240" w:lineRule="auto"/>
        <w:rPr>
          <w:sz w:val="20"/>
          <w:szCs w:val="20"/>
        </w:rPr>
      </w:pPr>
    </w:p>
    <w:p w14:paraId="0A2B8634" w14:textId="585108DB" w:rsidR="0044766C" w:rsidRPr="0064597D" w:rsidRDefault="00C91D7F" w:rsidP="00FD5666">
      <w:pPr>
        <w:numPr>
          <w:ilvl w:val="0"/>
          <w:numId w:val="1"/>
        </w:numPr>
        <w:tabs>
          <w:tab w:val="left" w:pos="567"/>
        </w:tabs>
        <w:spacing w:line="240" w:lineRule="auto"/>
        <w:ind w:left="0" w:firstLine="0"/>
        <w:rPr>
          <w:sz w:val="20"/>
          <w:szCs w:val="20"/>
        </w:rPr>
      </w:pPr>
      <w:r w:rsidRPr="0064597D">
        <w:rPr>
          <w:sz w:val="20"/>
          <w:szCs w:val="20"/>
        </w:rPr>
        <w:t>C</w:t>
      </w:r>
      <w:r w:rsidR="00975B71" w:rsidRPr="0064597D">
        <w:rPr>
          <w:sz w:val="20"/>
          <w:szCs w:val="20"/>
        </w:rPr>
        <w:t>on respecto a las lesiones sufridas por el señor Ruiz Fuentes al momento de su detención el 6 de agosto de 1997</w:t>
      </w:r>
      <w:r w:rsidR="00D84387" w:rsidRPr="0064597D">
        <w:rPr>
          <w:sz w:val="20"/>
          <w:szCs w:val="20"/>
        </w:rPr>
        <w:t>,</w:t>
      </w:r>
      <w:r w:rsidR="00975B71" w:rsidRPr="0064597D">
        <w:rPr>
          <w:sz w:val="20"/>
          <w:szCs w:val="20"/>
        </w:rPr>
        <w:t xml:space="preserve"> </w:t>
      </w:r>
      <w:r w:rsidRPr="0064597D">
        <w:rPr>
          <w:sz w:val="20"/>
          <w:szCs w:val="20"/>
        </w:rPr>
        <w:t xml:space="preserve">el Estado arguyó </w:t>
      </w:r>
      <w:r w:rsidR="00975B71" w:rsidRPr="0064597D">
        <w:rPr>
          <w:sz w:val="20"/>
          <w:szCs w:val="20"/>
        </w:rPr>
        <w:t>que las mismas se produjeron cuando la víctima intentó evadir a la justicia y huir, lanzándose por un barranco. El Estado añadió que en ningún momento se ha comprobado que las lesiones sufridas fueron producto de actos ocasionados por agentes de seguridad del Estado.</w:t>
      </w:r>
      <w:r w:rsidR="00C87578" w:rsidRPr="0064597D">
        <w:rPr>
          <w:sz w:val="20"/>
          <w:szCs w:val="20"/>
        </w:rPr>
        <w:t xml:space="preserve"> </w:t>
      </w:r>
      <w:r w:rsidR="0022660A" w:rsidRPr="0064597D">
        <w:rPr>
          <w:sz w:val="20"/>
          <w:szCs w:val="20"/>
        </w:rPr>
        <w:t>El Estado recalcó que señor Ruiz Fuente</w:t>
      </w:r>
      <w:r w:rsidR="00D84387" w:rsidRPr="0064597D">
        <w:rPr>
          <w:sz w:val="20"/>
          <w:szCs w:val="20"/>
        </w:rPr>
        <w:t>s</w:t>
      </w:r>
      <w:r w:rsidR="0022660A" w:rsidRPr="0064597D">
        <w:rPr>
          <w:sz w:val="20"/>
          <w:szCs w:val="20"/>
        </w:rPr>
        <w:t xml:space="preserve"> mostró oposición en el momento de su captura, tratando de huir, a raíz de la cual sufrió diversas lesiones.</w:t>
      </w:r>
      <w:r w:rsidR="004C7F14" w:rsidRPr="0064597D">
        <w:rPr>
          <w:b/>
          <w:sz w:val="20"/>
          <w:szCs w:val="20"/>
        </w:rPr>
        <w:t xml:space="preserve"> </w:t>
      </w:r>
      <w:r w:rsidR="00107A54" w:rsidRPr="0064597D">
        <w:rPr>
          <w:sz w:val="20"/>
          <w:szCs w:val="20"/>
        </w:rPr>
        <w:t xml:space="preserve">Indicó además que no obra en el expediente requerimiento alguno de la aplicación del </w:t>
      </w:r>
      <w:r w:rsidR="00107A54" w:rsidRPr="0064597D">
        <w:rPr>
          <w:i/>
          <w:sz w:val="20"/>
          <w:szCs w:val="20"/>
        </w:rPr>
        <w:t>habeas corpus</w:t>
      </w:r>
      <w:r w:rsidR="00107A54" w:rsidRPr="0064597D">
        <w:rPr>
          <w:sz w:val="20"/>
          <w:szCs w:val="20"/>
        </w:rPr>
        <w:t xml:space="preserve"> que permitiera constatar las supuestas violaciones ocasionadas por agentes de seguridad del Estado. </w:t>
      </w:r>
    </w:p>
    <w:p w14:paraId="0B8A2287" w14:textId="77777777" w:rsidR="009E4F6C" w:rsidRPr="0064597D" w:rsidRDefault="009E4F6C" w:rsidP="00377181">
      <w:pPr>
        <w:pStyle w:val="Ttulo2"/>
      </w:pPr>
      <w:bookmarkStart w:id="73" w:name="_Toc24014560"/>
      <w:r w:rsidRPr="0064597D">
        <w:t>B.</w:t>
      </w:r>
      <w:r w:rsidRPr="0064597D">
        <w:tab/>
        <w:t>Consideraciones de la Corte</w:t>
      </w:r>
      <w:bookmarkEnd w:id="73"/>
    </w:p>
    <w:p w14:paraId="4202879A" w14:textId="77777777" w:rsidR="006B3C01" w:rsidRPr="0064597D" w:rsidRDefault="006B3C01" w:rsidP="006B3C01">
      <w:pPr>
        <w:numPr>
          <w:ilvl w:val="0"/>
          <w:numId w:val="1"/>
        </w:numPr>
        <w:tabs>
          <w:tab w:val="left" w:pos="567"/>
        </w:tabs>
        <w:spacing w:line="240" w:lineRule="auto"/>
        <w:ind w:left="0" w:firstLine="0"/>
        <w:rPr>
          <w:sz w:val="20"/>
          <w:szCs w:val="20"/>
          <w:lang w:eastAsia="en-US"/>
        </w:rPr>
      </w:pPr>
      <w:r w:rsidRPr="0064597D">
        <w:rPr>
          <w:sz w:val="20"/>
          <w:szCs w:val="20"/>
        </w:rPr>
        <w:t xml:space="preserve">La Corte recuerda que </w:t>
      </w:r>
      <w:r w:rsidRPr="0064597D">
        <w:rPr>
          <w:sz w:val="20"/>
          <w:szCs w:val="20"/>
          <w:lang w:eastAsia="en-US"/>
        </w:rPr>
        <w:t xml:space="preserve">el artículo 5.1 de la Convención consagra en términos generales el derecho a la </w:t>
      </w:r>
      <w:r w:rsidRPr="0064597D">
        <w:rPr>
          <w:sz w:val="20"/>
          <w:szCs w:val="20"/>
        </w:rPr>
        <w:t>integridad</w:t>
      </w:r>
      <w:r w:rsidRPr="0064597D">
        <w:rPr>
          <w:sz w:val="20"/>
          <w:szCs w:val="20"/>
          <w:lang w:eastAsia="en-US"/>
        </w:rPr>
        <w:t xml:space="preserve"> </w:t>
      </w:r>
      <w:r w:rsidRPr="0064597D">
        <w:rPr>
          <w:sz w:val="20"/>
          <w:szCs w:val="20"/>
        </w:rPr>
        <w:t>personal</w:t>
      </w:r>
      <w:r w:rsidRPr="0064597D">
        <w:rPr>
          <w:sz w:val="20"/>
          <w:szCs w:val="20"/>
          <w:lang w:eastAsia="en-US"/>
        </w:rPr>
        <w:t>, tanto física como psíquica y moral. Por su parte, el artículo 5.2 establece, de manera más específica, la prohibición absoluta de someter a alguien a torturas o a penas o tratos crueles, inhumanos o degradantes. Asimismo, se ha reconocido que l</w:t>
      </w:r>
      <w:r w:rsidRPr="0064597D">
        <w:rPr>
          <w:sz w:val="20"/>
          <w:szCs w:val="20"/>
        </w:rPr>
        <w:t xml:space="preserve">a prohibición absoluta de la tortura, tanto física como psicológica, pertenece hoy día al dominio del </w:t>
      </w:r>
      <w:r w:rsidRPr="0064597D">
        <w:rPr>
          <w:i/>
          <w:sz w:val="20"/>
          <w:szCs w:val="20"/>
        </w:rPr>
        <w:t xml:space="preserve">jus cogens </w:t>
      </w:r>
      <w:r w:rsidRPr="0064597D">
        <w:rPr>
          <w:sz w:val="20"/>
          <w:szCs w:val="20"/>
        </w:rPr>
        <w:t>internacional</w:t>
      </w:r>
      <w:r w:rsidRPr="0064597D">
        <w:rPr>
          <w:sz w:val="20"/>
          <w:szCs w:val="20"/>
          <w:vertAlign w:val="superscript"/>
        </w:rPr>
        <w:footnoteReference w:id="148"/>
      </w:r>
      <w:r w:rsidRPr="0064597D">
        <w:rPr>
          <w:sz w:val="20"/>
          <w:szCs w:val="20"/>
        </w:rPr>
        <w:t>.</w:t>
      </w:r>
    </w:p>
    <w:p w14:paraId="7618EBF8" w14:textId="77777777" w:rsidR="006B3C01" w:rsidRPr="0064597D" w:rsidRDefault="006B3C01" w:rsidP="006B3C01">
      <w:pPr>
        <w:tabs>
          <w:tab w:val="left" w:pos="567"/>
        </w:tabs>
        <w:spacing w:line="240" w:lineRule="auto"/>
        <w:rPr>
          <w:sz w:val="20"/>
          <w:szCs w:val="20"/>
          <w:lang w:eastAsia="en-US"/>
        </w:rPr>
      </w:pPr>
    </w:p>
    <w:p w14:paraId="35217ECF" w14:textId="670ACFE9" w:rsidR="006B3C01" w:rsidRPr="0064597D" w:rsidRDefault="006B3C01" w:rsidP="006B3C01">
      <w:pPr>
        <w:numPr>
          <w:ilvl w:val="0"/>
          <w:numId w:val="1"/>
        </w:numPr>
        <w:tabs>
          <w:tab w:val="left" w:pos="567"/>
        </w:tabs>
        <w:spacing w:line="240" w:lineRule="auto"/>
        <w:ind w:left="0" w:firstLine="0"/>
        <w:rPr>
          <w:b/>
          <w:i/>
          <w:sz w:val="20"/>
          <w:szCs w:val="20"/>
          <w:lang w:eastAsia="en-US"/>
        </w:rPr>
      </w:pPr>
      <w:r w:rsidRPr="0064597D">
        <w:rPr>
          <w:rFonts w:eastAsia="Batang"/>
          <w:spacing w:val="-2"/>
          <w:sz w:val="20"/>
          <w:szCs w:val="20"/>
        </w:rPr>
        <w:t>La Corte</w:t>
      </w:r>
      <w:r w:rsidR="00C560F7">
        <w:rPr>
          <w:rFonts w:eastAsia="Batang"/>
          <w:spacing w:val="-2"/>
          <w:sz w:val="20"/>
          <w:szCs w:val="20"/>
        </w:rPr>
        <w:t xml:space="preserve"> también</w:t>
      </w:r>
      <w:r w:rsidRPr="0064597D">
        <w:rPr>
          <w:rFonts w:eastAsia="Batang"/>
          <w:spacing w:val="-2"/>
          <w:sz w:val="20"/>
          <w:szCs w:val="20"/>
        </w:rPr>
        <w:t xml:space="preserve"> ha señalado que la violación del derecho a la integridad física y psíquica de las personas tiene diversas connotaciones de grado y que abarca desde la tortura hasta otro tipo de vejámenes o </w:t>
      </w:r>
      <w:r w:rsidRPr="0064597D">
        <w:rPr>
          <w:sz w:val="20"/>
          <w:szCs w:val="20"/>
          <w:lang w:eastAsia="en-US"/>
        </w:rPr>
        <w:t>tratos</w:t>
      </w:r>
      <w:r w:rsidRPr="0064597D">
        <w:rPr>
          <w:rFonts w:eastAsia="Batang"/>
          <w:spacing w:val="-2"/>
          <w:sz w:val="20"/>
          <w:szCs w:val="20"/>
        </w:rPr>
        <w:t xml:space="preserve"> crueles, inhumanos o degradantes, cuyas secuelas físicas y psíquicas varían de intensidad según factores endógenos y exógenos de la persona (duración de los tratos, edad, sexo, salud, contexto, vulnerabilidad, entre otros) que deberán ser analizados en cada situación concreta</w:t>
      </w:r>
      <w:r w:rsidRPr="0064597D">
        <w:rPr>
          <w:rFonts w:eastAsia="Batang"/>
          <w:sz w:val="20"/>
          <w:szCs w:val="20"/>
          <w:vertAlign w:val="superscript"/>
          <w:lang w:bidi="en-US"/>
        </w:rPr>
        <w:footnoteReference w:id="149"/>
      </w:r>
      <w:r w:rsidRPr="0064597D">
        <w:rPr>
          <w:rFonts w:eastAsia="Batang"/>
          <w:spacing w:val="-2"/>
          <w:sz w:val="20"/>
          <w:szCs w:val="20"/>
        </w:rPr>
        <w:t>. Es decir, las características personales de una supuesta víctima de tortura o tratos crueles, inhumanos o degradantes, deben ser tomadas en cuenta al momento de determinar si la integridad personal fue vulnerada, ya que tales características pueden cambiar la percepción de la realidad del individuo y, por ende, incrementar el sufrimiento y el sentido de humillación cuando son sometidas a ciertos tratamientos</w:t>
      </w:r>
      <w:r w:rsidRPr="0064597D">
        <w:rPr>
          <w:rFonts w:eastAsia="Batang"/>
          <w:sz w:val="20"/>
          <w:szCs w:val="20"/>
          <w:vertAlign w:val="superscript"/>
        </w:rPr>
        <w:footnoteReference w:id="150"/>
      </w:r>
      <w:r w:rsidRPr="0064597D">
        <w:rPr>
          <w:rFonts w:eastAsia="Batang"/>
          <w:spacing w:val="-2"/>
          <w:sz w:val="20"/>
          <w:szCs w:val="20"/>
        </w:rPr>
        <w:t>.</w:t>
      </w:r>
      <w:r w:rsidR="00FF002C" w:rsidRPr="0064597D">
        <w:rPr>
          <w:rFonts w:eastAsia="Batang"/>
          <w:spacing w:val="-2"/>
          <w:sz w:val="20"/>
          <w:szCs w:val="20"/>
        </w:rPr>
        <w:t xml:space="preserve"> </w:t>
      </w:r>
    </w:p>
    <w:p w14:paraId="373289CA" w14:textId="77777777" w:rsidR="00B302A1" w:rsidRPr="0064597D" w:rsidRDefault="00B302A1" w:rsidP="00B302A1">
      <w:pPr>
        <w:tabs>
          <w:tab w:val="left" w:pos="567"/>
        </w:tabs>
        <w:spacing w:line="240" w:lineRule="auto"/>
        <w:rPr>
          <w:b/>
          <w:i/>
          <w:sz w:val="20"/>
          <w:szCs w:val="20"/>
          <w:lang w:eastAsia="en-US"/>
        </w:rPr>
      </w:pPr>
    </w:p>
    <w:p w14:paraId="415E7A36" w14:textId="22BFD6A6" w:rsidR="00FF002C" w:rsidRPr="0064597D" w:rsidRDefault="00FF002C" w:rsidP="006B3C01">
      <w:pPr>
        <w:numPr>
          <w:ilvl w:val="0"/>
          <w:numId w:val="1"/>
        </w:numPr>
        <w:tabs>
          <w:tab w:val="left" w:pos="567"/>
        </w:tabs>
        <w:spacing w:line="240" w:lineRule="auto"/>
        <w:ind w:left="0" w:firstLine="0"/>
        <w:rPr>
          <w:b/>
          <w:i/>
          <w:sz w:val="20"/>
          <w:szCs w:val="20"/>
          <w:lang w:eastAsia="en-US"/>
        </w:rPr>
      </w:pPr>
      <w:r w:rsidRPr="0064597D">
        <w:rPr>
          <w:rFonts w:eastAsia="Batang"/>
          <w:spacing w:val="-2"/>
          <w:sz w:val="20"/>
          <w:szCs w:val="20"/>
        </w:rPr>
        <w:t xml:space="preserve">A continuación, la Corte analizará (i) </w:t>
      </w:r>
      <w:r w:rsidR="00B302A1" w:rsidRPr="0064597D">
        <w:rPr>
          <w:kern w:val="2"/>
          <w:sz w:val="20"/>
          <w:szCs w:val="20"/>
          <w:lang w:eastAsia="en-US"/>
        </w:rPr>
        <w:t>la alegada responsabilidad internacional del Estado guatemalteco por la presunta tortura a la que fue sometido el señor Ruiz Fuentes tras su detención el 6 de agosto del 1997</w:t>
      </w:r>
      <w:r w:rsidRPr="0064597D">
        <w:rPr>
          <w:rFonts w:eastAsia="Batang"/>
          <w:spacing w:val="-2"/>
          <w:sz w:val="20"/>
          <w:szCs w:val="20"/>
        </w:rPr>
        <w:t xml:space="preserve"> para posteriormente (ii) analizar el sometimiento del señor Ruiz Fuente</w:t>
      </w:r>
      <w:r w:rsidR="000D4F08" w:rsidRPr="0064597D">
        <w:rPr>
          <w:rFonts w:eastAsia="Batang"/>
          <w:spacing w:val="-2"/>
          <w:sz w:val="20"/>
          <w:szCs w:val="20"/>
        </w:rPr>
        <w:t>s</w:t>
      </w:r>
      <w:r w:rsidRPr="0064597D">
        <w:rPr>
          <w:rFonts w:eastAsia="Batang"/>
          <w:spacing w:val="-2"/>
          <w:sz w:val="20"/>
          <w:szCs w:val="20"/>
        </w:rPr>
        <w:t xml:space="preserve"> al fenómeno del “corredor de la muerte” y su compatibilidad con </w:t>
      </w:r>
      <w:r w:rsidR="007E2E45" w:rsidRPr="0064597D">
        <w:rPr>
          <w:rFonts w:eastAsia="Batang"/>
          <w:spacing w:val="-2"/>
          <w:sz w:val="20"/>
          <w:szCs w:val="20"/>
        </w:rPr>
        <w:t>los estándares interamericanos.</w:t>
      </w:r>
    </w:p>
    <w:p w14:paraId="6CBB6CB9" w14:textId="77777777" w:rsidR="009E4F6C" w:rsidRPr="0064597D" w:rsidRDefault="00CA5E14" w:rsidP="00377181">
      <w:pPr>
        <w:pStyle w:val="Ttulo3"/>
        <w:rPr>
          <w:lang w:eastAsia="en-US"/>
        </w:rPr>
      </w:pPr>
      <w:bookmarkStart w:id="74" w:name="_Toc24014561"/>
      <w:r w:rsidRPr="0064597D">
        <w:rPr>
          <w:lang w:eastAsia="en-US"/>
        </w:rPr>
        <w:t>b</w:t>
      </w:r>
      <w:r w:rsidR="009E4F6C" w:rsidRPr="0064597D">
        <w:rPr>
          <w:lang w:eastAsia="en-US"/>
        </w:rPr>
        <w:t>.</w:t>
      </w:r>
      <w:r w:rsidR="002F68E5" w:rsidRPr="0064597D">
        <w:rPr>
          <w:lang w:eastAsia="en-US"/>
        </w:rPr>
        <w:t>1</w:t>
      </w:r>
      <w:r w:rsidR="009E4F6C" w:rsidRPr="0064597D">
        <w:rPr>
          <w:lang w:eastAsia="en-US"/>
        </w:rPr>
        <w:t xml:space="preserve"> </w:t>
      </w:r>
      <w:r w:rsidR="009E4F6C" w:rsidRPr="0064597D">
        <w:rPr>
          <w:lang w:eastAsia="en-US"/>
        </w:rPr>
        <w:tab/>
      </w:r>
      <w:r w:rsidR="006B3C01" w:rsidRPr="0064597D">
        <w:rPr>
          <w:lang w:eastAsia="en-US"/>
        </w:rPr>
        <w:t>D</w:t>
      </w:r>
      <w:r w:rsidR="00F17DC3" w:rsidRPr="0064597D">
        <w:rPr>
          <w:lang w:eastAsia="en-US"/>
        </w:rPr>
        <w:t>etención del señor Ruiz Fuentes</w:t>
      </w:r>
      <w:bookmarkEnd w:id="74"/>
    </w:p>
    <w:p w14:paraId="6779A7B6" w14:textId="6B5622DD" w:rsidR="00D42332" w:rsidRPr="0064597D" w:rsidRDefault="00FC2845" w:rsidP="006B597B">
      <w:pPr>
        <w:widowControl/>
        <w:numPr>
          <w:ilvl w:val="0"/>
          <w:numId w:val="1"/>
        </w:numPr>
        <w:tabs>
          <w:tab w:val="left" w:pos="567"/>
          <w:tab w:val="num" w:pos="1569"/>
          <w:tab w:val="num" w:pos="12305"/>
        </w:tabs>
        <w:adjustRightInd/>
        <w:spacing w:line="240" w:lineRule="auto"/>
        <w:ind w:left="0" w:firstLine="0"/>
        <w:textAlignment w:val="auto"/>
        <w:rPr>
          <w:rFonts w:eastAsia="Calibri"/>
          <w:b/>
          <w:kern w:val="2"/>
          <w:sz w:val="20"/>
          <w:szCs w:val="20"/>
          <w:lang w:eastAsia="en-US"/>
        </w:rPr>
      </w:pPr>
      <w:r w:rsidRPr="0064597D">
        <w:rPr>
          <w:sz w:val="20"/>
          <w:szCs w:val="20"/>
        </w:rPr>
        <w:t>La Corte recuerda que el señor Ruiz Fuentes fue detenido junto con otras cuatro personas el 6 de agosto de 1997</w:t>
      </w:r>
      <w:r w:rsidRPr="0064597D">
        <w:rPr>
          <w:rStyle w:val="Refdenotaalpie"/>
          <w:sz w:val="20"/>
          <w:szCs w:val="20"/>
        </w:rPr>
        <w:footnoteReference w:id="151"/>
      </w:r>
      <w:r w:rsidRPr="0064597D">
        <w:rPr>
          <w:sz w:val="20"/>
          <w:szCs w:val="20"/>
        </w:rPr>
        <w:t>. Con respecto a esta detención</w:t>
      </w:r>
      <w:r w:rsidR="001A1895" w:rsidRPr="0064597D">
        <w:rPr>
          <w:sz w:val="20"/>
          <w:szCs w:val="20"/>
        </w:rPr>
        <w:t>, la Corte observa</w:t>
      </w:r>
      <w:r w:rsidR="00C560F7">
        <w:rPr>
          <w:sz w:val="20"/>
          <w:szCs w:val="20"/>
        </w:rPr>
        <w:t>,</w:t>
      </w:r>
      <w:r w:rsidR="001A1895" w:rsidRPr="0064597D">
        <w:rPr>
          <w:sz w:val="20"/>
          <w:szCs w:val="20"/>
        </w:rPr>
        <w:t xml:space="preserve"> en primer lugar</w:t>
      </w:r>
      <w:r w:rsidR="00C560F7">
        <w:rPr>
          <w:sz w:val="20"/>
          <w:szCs w:val="20"/>
        </w:rPr>
        <w:t>,</w:t>
      </w:r>
      <w:r w:rsidR="001A1895" w:rsidRPr="0064597D">
        <w:rPr>
          <w:sz w:val="20"/>
          <w:szCs w:val="20"/>
        </w:rPr>
        <w:t xml:space="preserve"> las declaraciones efectuadas</w:t>
      </w:r>
      <w:r w:rsidR="00D42332" w:rsidRPr="0064597D">
        <w:rPr>
          <w:kern w:val="2"/>
          <w:sz w:val="20"/>
          <w:szCs w:val="20"/>
          <w:lang w:eastAsia="en-US"/>
        </w:rPr>
        <w:t xml:space="preserve"> por el propio señor Ruiz Fuentes ante la Jueza Octava de Primera Instancia Penal, Narcoactividad y Delitos contra el Ambiente de 29 de abril de 1998, donde indicó lo siguiente:</w:t>
      </w:r>
    </w:p>
    <w:p w14:paraId="4123CDA7" w14:textId="77777777" w:rsidR="00D42332" w:rsidRPr="0064597D" w:rsidRDefault="00D42332" w:rsidP="00D42332">
      <w:pPr>
        <w:widowControl/>
        <w:tabs>
          <w:tab w:val="left" w:pos="567"/>
        </w:tabs>
        <w:adjustRightInd/>
        <w:spacing w:line="240" w:lineRule="auto"/>
        <w:textAlignment w:val="auto"/>
        <w:rPr>
          <w:rFonts w:eastAsia="Calibri"/>
          <w:b/>
          <w:kern w:val="2"/>
          <w:sz w:val="20"/>
          <w:szCs w:val="20"/>
          <w:lang w:eastAsia="en-US"/>
        </w:rPr>
      </w:pPr>
    </w:p>
    <w:p w14:paraId="15956606" w14:textId="60E7A9E2" w:rsidR="00D42332" w:rsidRPr="0064597D" w:rsidRDefault="00D42332" w:rsidP="00D42332">
      <w:pPr>
        <w:tabs>
          <w:tab w:val="left" w:pos="567"/>
          <w:tab w:val="num" w:pos="12305"/>
        </w:tabs>
        <w:spacing w:line="240" w:lineRule="auto"/>
        <w:ind w:left="720" w:right="720"/>
        <w:rPr>
          <w:sz w:val="18"/>
          <w:szCs w:val="18"/>
        </w:rPr>
      </w:pPr>
      <w:r w:rsidRPr="0064597D">
        <w:rPr>
          <w:sz w:val="18"/>
          <w:szCs w:val="18"/>
        </w:rPr>
        <w:t xml:space="preserve">“[S]e bajaron unas personas desconocidas y nos bajaron a mí y al mecánico del carro […], me metieron a una panel beige y no me fije a donde metieron al mecánico […] luego me vendaron los ojos y me pusieron unas grilletas plásticas, me cargaron para arriba y abajo, me golpearon el intestino, las costillas y me preguntaban por varios secuestros [,] como no les decía nada me pegaban, ya en la mera tarde no recuerdo pero como unas tres horas me llevaron a una casa desconocida donde me bajaron, con el pantalón hasta abajo y el calzoncillo, me tiraron de la panel para abajo, en el lugar estaba un señor grande creo que es don Conte Cojulun [Director de la PNC] </w:t>
      </w:r>
      <w:r w:rsidRPr="0064597D">
        <w:rPr>
          <w:rFonts w:cs="Arial"/>
          <w:sz w:val="18"/>
          <w:szCs w:val="18"/>
        </w:rPr>
        <w:t xml:space="preserve">y </w:t>
      </w:r>
      <w:r w:rsidRPr="0064597D">
        <w:rPr>
          <w:sz w:val="18"/>
          <w:szCs w:val="18"/>
        </w:rPr>
        <w:t>les dijo que me pararan luego</w:t>
      </w:r>
      <w:r w:rsidR="00E9291F" w:rsidRPr="0064597D">
        <w:rPr>
          <w:sz w:val="18"/>
          <w:szCs w:val="18"/>
        </w:rPr>
        <w:t xml:space="preserve"> porque me podía morir, me llevó</w:t>
      </w:r>
      <w:r w:rsidRPr="0064597D">
        <w:rPr>
          <w:sz w:val="18"/>
          <w:szCs w:val="18"/>
        </w:rPr>
        <w:t xml:space="preserve"> un vaso de agua, me sacaran de ahí porque había llamado a la prensa y que llegarían, me llevaron al hospital en un pick up del Ciprosi, como a la media de estar en el hospital llegó al señor Conte Cojulun a suplicarle a los médicos que por favor me salvaran la vida, como al tercer día de estar en el hospital llegó un señor que dijo ser comisario Soto […] y llegaron como tres veces, luego llegaron otros tres de particular y me llevaron unos jugos, diciéndome que no dijera nada de lo que me había pasado, que dijera que me había caído de una casa donde me había tirado […]”</w:t>
      </w:r>
      <w:r w:rsidRPr="0064597D">
        <w:rPr>
          <w:rStyle w:val="Refdenotaalpie"/>
          <w:sz w:val="18"/>
          <w:szCs w:val="18"/>
        </w:rPr>
        <w:footnoteReference w:id="152"/>
      </w:r>
      <w:r w:rsidR="001A1895" w:rsidRPr="0064597D">
        <w:rPr>
          <w:sz w:val="18"/>
          <w:szCs w:val="18"/>
        </w:rPr>
        <w:t>.</w:t>
      </w:r>
      <w:r w:rsidRPr="0064597D">
        <w:rPr>
          <w:sz w:val="18"/>
          <w:szCs w:val="18"/>
        </w:rPr>
        <w:t xml:space="preserve"> </w:t>
      </w:r>
    </w:p>
    <w:p w14:paraId="1F77AC4E" w14:textId="77777777" w:rsidR="008755AD" w:rsidRPr="0064597D" w:rsidRDefault="008755AD" w:rsidP="001C45D9">
      <w:pPr>
        <w:spacing w:line="240" w:lineRule="auto"/>
        <w:rPr>
          <w:snapToGrid w:val="0"/>
          <w:sz w:val="20"/>
          <w:szCs w:val="20"/>
          <w:highlight w:val="yellow"/>
        </w:rPr>
      </w:pPr>
    </w:p>
    <w:p w14:paraId="4A722E74" w14:textId="67E17890" w:rsidR="006D4C35" w:rsidRPr="0064597D" w:rsidRDefault="006D4C35" w:rsidP="006D4C35">
      <w:pPr>
        <w:numPr>
          <w:ilvl w:val="0"/>
          <w:numId w:val="1"/>
        </w:numPr>
        <w:tabs>
          <w:tab w:val="left" w:pos="567"/>
          <w:tab w:val="num" w:pos="1569"/>
          <w:tab w:val="num" w:pos="12305"/>
        </w:tabs>
        <w:spacing w:line="240" w:lineRule="auto"/>
        <w:ind w:left="0" w:firstLine="0"/>
        <w:rPr>
          <w:snapToGrid w:val="0"/>
          <w:sz w:val="20"/>
          <w:szCs w:val="20"/>
        </w:rPr>
      </w:pPr>
      <w:r w:rsidRPr="0064597D">
        <w:rPr>
          <w:sz w:val="20"/>
          <w:szCs w:val="20"/>
        </w:rPr>
        <w:t>Asimismo, la Corte observa que l</w:t>
      </w:r>
      <w:r w:rsidRPr="0064597D">
        <w:rPr>
          <w:snapToGrid w:val="0"/>
          <w:sz w:val="20"/>
          <w:szCs w:val="20"/>
        </w:rPr>
        <w:t xml:space="preserve">a señora </w:t>
      </w:r>
      <w:r w:rsidR="00A13065" w:rsidRPr="0064597D">
        <w:rPr>
          <w:sz w:val="20"/>
          <w:szCs w:val="20"/>
        </w:rPr>
        <w:t>A.M.V.</w:t>
      </w:r>
      <w:r w:rsidR="004056DC" w:rsidRPr="0064597D">
        <w:rPr>
          <w:sz w:val="20"/>
          <w:szCs w:val="20"/>
        </w:rPr>
        <w:t>, pareja del señor Ruiz Fuentes,</w:t>
      </w:r>
      <w:r w:rsidR="00A13065" w:rsidRPr="0064597D">
        <w:rPr>
          <w:sz w:val="20"/>
          <w:szCs w:val="20"/>
        </w:rPr>
        <w:t xml:space="preserve"> </w:t>
      </w:r>
      <w:r w:rsidRPr="0064597D">
        <w:rPr>
          <w:snapToGrid w:val="0"/>
          <w:sz w:val="20"/>
          <w:szCs w:val="20"/>
        </w:rPr>
        <w:t>indicó en la audiencia pública celebra</w:t>
      </w:r>
      <w:r w:rsidR="00ED69EA" w:rsidRPr="0064597D">
        <w:rPr>
          <w:snapToGrid w:val="0"/>
          <w:sz w:val="20"/>
          <w:szCs w:val="20"/>
        </w:rPr>
        <w:t>d</w:t>
      </w:r>
      <w:r w:rsidRPr="0064597D">
        <w:rPr>
          <w:snapToGrid w:val="0"/>
          <w:sz w:val="20"/>
          <w:szCs w:val="20"/>
        </w:rPr>
        <w:t>a ante esta Corte que al señor Ruiz Fuentes “lo capturaron y lo metieron a una panel, se lo llevaron, ahí fue donde lo torturaron, muy grave”</w:t>
      </w:r>
      <w:r w:rsidRPr="0064597D">
        <w:rPr>
          <w:rStyle w:val="Refdenotaalpie"/>
          <w:snapToGrid w:val="0"/>
          <w:sz w:val="20"/>
          <w:szCs w:val="20"/>
        </w:rPr>
        <w:footnoteReference w:id="153"/>
      </w:r>
      <w:r w:rsidRPr="0064597D">
        <w:rPr>
          <w:snapToGrid w:val="0"/>
          <w:sz w:val="20"/>
          <w:szCs w:val="20"/>
        </w:rPr>
        <w:t xml:space="preserve"> y que le contó que “después que lo golpearon, lo llevaron a una casa, después que lo llevaron a la casa, gravemente de tantas </w:t>
      </w:r>
      <w:r w:rsidRPr="0064597D">
        <w:rPr>
          <w:snapToGrid w:val="0"/>
          <w:sz w:val="20"/>
          <w:szCs w:val="20"/>
        </w:rPr>
        <w:lastRenderedPageBreak/>
        <w:t>patadas y todo se quedó inconsciente y quizás se asustaron los policías y se lo llevaron para el hospital de emergencia”</w:t>
      </w:r>
      <w:r w:rsidRPr="0064597D">
        <w:rPr>
          <w:rStyle w:val="Refdenotaalpie"/>
          <w:snapToGrid w:val="0"/>
          <w:sz w:val="20"/>
          <w:szCs w:val="20"/>
        </w:rPr>
        <w:t xml:space="preserve"> </w:t>
      </w:r>
      <w:r w:rsidRPr="0064597D">
        <w:rPr>
          <w:rStyle w:val="Refdenotaalpie"/>
          <w:snapToGrid w:val="0"/>
          <w:sz w:val="20"/>
          <w:szCs w:val="20"/>
        </w:rPr>
        <w:footnoteReference w:id="154"/>
      </w:r>
      <w:r w:rsidRPr="0064597D">
        <w:rPr>
          <w:snapToGrid w:val="0"/>
          <w:sz w:val="20"/>
          <w:szCs w:val="20"/>
        </w:rPr>
        <w:t>. En igual sentido, el señor Ru</w:t>
      </w:r>
      <w:r w:rsidR="00FF35C1" w:rsidRPr="0064597D">
        <w:rPr>
          <w:snapToGrid w:val="0"/>
          <w:sz w:val="20"/>
          <w:szCs w:val="20"/>
        </w:rPr>
        <w:t xml:space="preserve">iz Fuentes relató a su hermana </w:t>
      </w:r>
      <w:r w:rsidRPr="0064597D">
        <w:rPr>
          <w:snapToGrid w:val="0"/>
          <w:sz w:val="20"/>
          <w:szCs w:val="20"/>
        </w:rPr>
        <w:t>que al momento de su detención lo llevaron a varios lugar</w:t>
      </w:r>
      <w:r w:rsidR="00D84387" w:rsidRPr="0064597D">
        <w:rPr>
          <w:snapToGrid w:val="0"/>
          <w:sz w:val="20"/>
          <w:szCs w:val="20"/>
        </w:rPr>
        <w:t>es</w:t>
      </w:r>
      <w:r w:rsidRPr="0064597D">
        <w:rPr>
          <w:snapToGrid w:val="0"/>
          <w:sz w:val="20"/>
          <w:szCs w:val="20"/>
        </w:rPr>
        <w:t xml:space="preserve"> y le pegaron, le mencionaron nombres de personas secuestradas, conminándole a que les dijera quienes habían sido los secuestradores</w:t>
      </w:r>
      <w:r w:rsidRPr="0064597D">
        <w:rPr>
          <w:rStyle w:val="Refdenotaalpie"/>
          <w:snapToGrid w:val="0"/>
          <w:sz w:val="20"/>
          <w:szCs w:val="20"/>
        </w:rPr>
        <w:footnoteReference w:id="155"/>
      </w:r>
      <w:r w:rsidRPr="0064597D">
        <w:rPr>
          <w:snapToGrid w:val="0"/>
          <w:sz w:val="20"/>
          <w:szCs w:val="20"/>
        </w:rPr>
        <w:t xml:space="preserve">. </w:t>
      </w:r>
    </w:p>
    <w:p w14:paraId="196CEFE2" w14:textId="77777777" w:rsidR="006D4C35" w:rsidRPr="0064597D" w:rsidRDefault="006D4C35" w:rsidP="006D4C35">
      <w:pPr>
        <w:tabs>
          <w:tab w:val="left" w:pos="567"/>
        </w:tabs>
        <w:spacing w:line="240" w:lineRule="auto"/>
        <w:rPr>
          <w:snapToGrid w:val="0"/>
          <w:sz w:val="20"/>
          <w:szCs w:val="20"/>
        </w:rPr>
      </w:pPr>
    </w:p>
    <w:p w14:paraId="033B7F7B" w14:textId="14A7D85E" w:rsidR="00D42332" w:rsidRPr="0064597D" w:rsidRDefault="006D4C35" w:rsidP="0067650E">
      <w:pPr>
        <w:numPr>
          <w:ilvl w:val="0"/>
          <w:numId w:val="1"/>
        </w:numPr>
        <w:tabs>
          <w:tab w:val="left" w:pos="567"/>
          <w:tab w:val="num" w:pos="1569"/>
          <w:tab w:val="num" w:pos="12305"/>
        </w:tabs>
        <w:spacing w:line="240" w:lineRule="auto"/>
        <w:ind w:left="0" w:firstLine="0"/>
        <w:rPr>
          <w:rFonts w:cs="Arial"/>
          <w:sz w:val="20"/>
          <w:szCs w:val="20"/>
        </w:rPr>
      </w:pPr>
      <w:r w:rsidRPr="0064597D">
        <w:rPr>
          <w:sz w:val="20"/>
          <w:szCs w:val="20"/>
        </w:rPr>
        <w:t xml:space="preserve">La Corte </w:t>
      </w:r>
      <w:r w:rsidR="003F753F" w:rsidRPr="0064597D">
        <w:rPr>
          <w:sz w:val="20"/>
          <w:szCs w:val="20"/>
        </w:rPr>
        <w:t>considera</w:t>
      </w:r>
      <w:r w:rsidRPr="0064597D">
        <w:rPr>
          <w:sz w:val="20"/>
          <w:szCs w:val="20"/>
        </w:rPr>
        <w:t>, además, que estas declaraciones son compatibles con las lesiones acreditadas por los diversos partes m</w:t>
      </w:r>
      <w:r w:rsidR="00853AB3" w:rsidRPr="0064597D">
        <w:rPr>
          <w:sz w:val="20"/>
          <w:szCs w:val="20"/>
        </w:rPr>
        <w:t xml:space="preserve">édicos y el peritaje rendido ante esta Corte. En este sentido, la Corte destaca en primer lugar el informe médico de 9 de diciembre de 1997 que indica que el señor Ruiz Fuentes </w:t>
      </w:r>
      <w:r w:rsidR="00EF6928" w:rsidRPr="0064597D">
        <w:rPr>
          <w:sz w:val="20"/>
          <w:szCs w:val="20"/>
        </w:rPr>
        <w:t>ingresó al Hospital Roosevelt el 6 de agosto de 1997 por “abdomen agudo”</w:t>
      </w:r>
      <w:r w:rsidR="00EF6928" w:rsidRPr="0064597D">
        <w:rPr>
          <w:rStyle w:val="Refdenotaalpie"/>
          <w:sz w:val="20"/>
          <w:szCs w:val="20"/>
        </w:rPr>
        <w:footnoteReference w:id="156"/>
      </w:r>
      <w:r w:rsidR="00EF6928" w:rsidRPr="0064597D">
        <w:rPr>
          <w:sz w:val="20"/>
          <w:szCs w:val="20"/>
        </w:rPr>
        <w:t xml:space="preserve">. </w:t>
      </w:r>
      <w:r w:rsidR="00853AB3" w:rsidRPr="0064597D">
        <w:rPr>
          <w:sz w:val="20"/>
          <w:szCs w:val="20"/>
        </w:rPr>
        <w:t>Por otro lado, s</w:t>
      </w:r>
      <w:r w:rsidR="00EF6928" w:rsidRPr="0064597D">
        <w:rPr>
          <w:sz w:val="20"/>
          <w:szCs w:val="20"/>
        </w:rPr>
        <w:t>egún un informe de 11 de diciembre de 2000, elaborado por el Departamento de Cirugía del Hospital Roosevelt, el señor Ruiz Fuentes fue “traído por bomberos con historia de haber sido vapuleado”. Dicho informe también señalaba que al ingreso, el señor Ruiz Fuentes presentaba “múltiples golpes y contusiones a nivel abdominal, abdomen globoso y doloroso a la palpación”</w:t>
      </w:r>
      <w:r w:rsidR="00EF6928" w:rsidRPr="0064597D">
        <w:rPr>
          <w:rStyle w:val="Refdenotaalpie"/>
          <w:sz w:val="20"/>
          <w:szCs w:val="20"/>
        </w:rPr>
        <w:footnoteReference w:id="157"/>
      </w:r>
      <w:r w:rsidR="00EF6928" w:rsidRPr="0064597D">
        <w:rPr>
          <w:sz w:val="20"/>
          <w:szCs w:val="20"/>
        </w:rPr>
        <w:t>.</w:t>
      </w:r>
      <w:r w:rsidR="00853AB3" w:rsidRPr="0064597D">
        <w:rPr>
          <w:sz w:val="20"/>
          <w:szCs w:val="20"/>
        </w:rPr>
        <w:t xml:space="preserve"> </w:t>
      </w:r>
    </w:p>
    <w:p w14:paraId="1C964503" w14:textId="77777777" w:rsidR="00853AB3" w:rsidRPr="0064597D" w:rsidRDefault="00853AB3" w:rsidP="00853AB3">
      <w:pPr>
        <w:tabs>
          <w:tab w:val="left" w:pos="567"/>
        </w:tabs>
        <w:spacing w:line="240" w:lineRule="auto"/>
        <w:rPr>
          <w:rFonts w:cs="Arial"/>
          <w:sz w:val="20"/>
          <w:szCs w:val="20"/>
        </w:rPr>
      </w:pPr>
    </w:p>
    <w:p w14:paraId="424C634B" w14:textId="59A719EB" w:rsidR="00D84387" w:rsidRPr="0064597D" w:rsidRDefault="00853AB3" w:rsidP="001028F3">
      <w:pPr>
        <w:numPr>
          <w:ilvl w:val="0"/>
          <w:numId w:val="1"/>
        </w:numPr>
        <w:tabs>
          <w:tab w:val="left" w:pos="567"/>
          <w:tab w:val="num" w:pos="1569"/>
          <w:tab w:val="num" w:pos="12305"/>
        </w:tabs>
        <w:spacing w:line="240" w:lineRule="auto"/>
        <w:ind w:left="0" w:firstLine="0"/>
        <w:rPr>
          <w:rFonts w:cs="Arial"/>
          <w:sz w:val="20"/>
          <w:szCs w:val="20"/>
        </w:rPr>
      </w:pPr>
      <w:r w:rsidRPr="0064597D">
        <w:rPr>
          <w:sz w:val="20"/>
          <w:szCs w:val="20"/>
        </w:rPr>
        <w:t xml:space="preserve">La Corte </w:t>
      </w:r>
      <w:r w:rsidR="00EB1301" w:rsidRPr="0064597D">
        <w:rPr>
          <w:sz w:val="20"/>
          <w:szCs w:val="20"/>
        </w:rPr>
        <w:t>nota</w:t>
      </w:r>
      <w:r w:rsidRPr="0064597D">
        <w:rPr>
          <w:sz w:val="20"/>
          <w:szCs w:val="20"/>
        </w:rPr>
        <w:t xml:space="preserve"> que el tipo de lesiones que presentaba el señor Ruiz Fuentes tienen una compatibilidad mayor con el relato de los hechos que éste efectuó, en comparación con el relato de los hechos ofrecido por el Estado. </w:t>
      </w:r>
      <w:r w:rsidR="00C430C8" w:rsidRPr="0064597D">
        <w:rPr>
          <w:sz w:val="20"/>
          <w:szCs w:val="20"/>
        </w:rPr>
        <w:t>En este sentido</w:t>
      </w:r>
      <w:r w:rsidR="00550059" w:rsidRPr="0064597D">
        <w:rPr>
          <w:sz w:val="20"/>
          <w:szCs w:val="20"/>
        </w:rPr>
        <w:t>,</w:t>
      </w:r>
      <w:r w:rsidRPr="0064597D">
        <w:rPr>
          <w:sz w:val="20"/>
          <w:szCs w:val="20"/>
        </w:rPr>
        <w:t xml:space="preserve"> </w:t>
      </w:r>
      <w:r w:rsidR="00C430C8" w:rsidRPr="0064597D">
        <w:rPr>
          <w:sz w:val="20"/>
          <w:szCs w:val="20"/>
        </w:rPr>
        <w:t>el médico Alejandro Moreno expresamente indicó en su</w:t>
      </w:r>
      <w:r w:rsidRPr="0064597D">
        <w:rPr>
          <w:sz w:val="20"/>
          <w:szCs w:val="20"/>
        </w:rPr>
        <w:t xml:space="preserve"> informe </w:t>
      </w:r>
      <w:r w:rsidR="00C430C8" w:rsidRPr="0064597D">
        <w:rPr>
          <w:sz w:val="20"/>
          <w:szCs w:val="20"/>
        </w:rPr>
        <w:t xml:space="preserve">de </w:t>
      </w:r>
      <w:r w:rsidRPr="0064597D">
        <w:rPr>
          <w:sz w:val="20"/>
          <w:szCs w:val="20"/>
        </w:rPr>
        <w:t xml:space="preserve">21 de mayo de 2008 que “[l]as lesiones intra-abdominales que sufrió el Señor Ruiz Fuentes </w:t>
      </w:r>
      <w:r w:rsidR="00E70CF5" w:rsidRPr="0064597D">
        <w:rPr>
          <w:sz w:val="20"/>
          <w:szCs w:val="20"/>
        </w:rPr>
        <w:t>[eran]</w:t>
      </w:r>
      <w:r w:rsidRPr="0064597D">
        <w:rPr>
          <w:sz w:val="20"/>
          <w:szCs w:val="20"/>
        </w:rPr>
        <w:t xml:space="preserve"> consistentes con las causadas por un mecanismo contuso</w:t>
      </w:r>
      <w:r w:rsidR="0067650E" w:rsidRPr="0064597D">
        <w:rPr>
          <w:sz w:val="20"/>
          <w:szCs w:val="20"/>
        </w:rPr>
        <w:t xml:space="preserve"> como lo describen los informes médicos y las declaraciones de los testigos</w:t>
      </w:r>
      <w:r w:rsidRPr="0064597D">
        <w:rPr>
          <w:sz w:val="20"/>
          <w:szCs w:val="20"/>
        </w:rPr>
        <w:t>” y que existía evidencia forense, tales como la ausencia de trauma cráneo-encefálico y de fracturas d</w:t>
      </w:r>
      <w:r w:rsidR="00E70CF5" w:rsidRPr="0064597D">
        <w:rPr>
          <w:sz w:val="20"/>
          <w:szCs w:val="20"/>
        </w:rPr>
        <w:t>e las extremidades, que favorecía</w:t>
      </w:r>
      <w:r w:rsidR="00ED69EA" w:rsidRPr="0064597D">
        <w:rPr>
          <w:sz w:val="20"/>
          <w:szCs w:val="20"/>
        </w:rPr>
        <w:t>n</w:t>
      </w:r>
      <w:r w:rsidRPr="0064597D">
        <w:rPr>
          <w:sz w:val="20"/>
          <w:szCs w:val="20"/>
        </w:rPr>
        <w:t xml:space="preserve"> </w:t>
      </w:r>
      <w:r w:rsidR="0067650E" w:rsidRPr="0064597D">
        <w:rPr>
          <w:sz w:val="20"/>
          <w:szCs w:val="20"/>
        </w:rPr>
        <w:t>“</w:t>
      </w:r>
      <w:r w:rsidRPr="0064597D">
        <w:rPr>
          <w:sz w:val="20"/>
          <w:szCs w:val="20"/>
        </w:rPr>
        <w:t>la versión de los hechos relatada por el Señor Ruiz Fuente</w:t>
      </w:r>
      <w:r w:rsidR="0067650E" w:rsidRPr="0064597D">
        <w:rPr>
          <w:sz w:val="20"/>
          <w:szCs w:val="20"/>
        </w:rPr>
        <w:t>s de que fue golpeado repetidamente en el abdomen y no la descripción de los policías de que el Señor Ruiz Fuentes se cayó de unos 5-8 metros de altura”</w:t>
      </w:r>
      <w:r w:rsidRPr="0064597D">
        <w:rPr>
          <w:sz w:val="20"/>
          <w:szCs w:val="20"/>
          <w:vertAlign w:val="superscript"/>
        </w:rPr>
        <w:footnoteReference w:id="158"/>
      </w:r>
      <w:r w:rsidRPr="0064597D">
        <w:rPr>
          <w:sz w:val="20"/>
          <w:szCs w:val="20"/>
        </w:rPr>
        <w:t>.</w:t>
      </w:r>
      <w:r w:rsidR="00D84387" w:rsidRPr="0064597D">
        <w:rPr>
          <w:sz w:val="20"/>
          <w:szCs w:val="20"/>
        </w:rPr>
        <w:t xml:space="preserve"> </w:t>
      </w:r>
    </w:p>
    <w:p w14:paraId="65A56128" w14:textId="77777777" w:rsidR="00D84387" w:rsidRPr="0064597D" w:rsidRDefault="00D84387" w:rsidP="00D84387">
      <w:pPr>
        <w:tabs>
          <w:tab w:val="left" w:pos="567"/>
        </w:tabs>
        <w:spacing w:line="240" w:lineRule="auto"/>
        <w:rPr>
          <w:rFonts w:cs="Arial"/>
          <w:sz w:val="20"/>
          <w:szCs w:val="20"/>
        </w:rPr>
      </w:pPr>
    </w:p>
    <w:p w14:paraId="4BE247D4" w14:textId="6B4AFAFA" w:rsidR="00AD4E36" w:rsidRPr="0064597D" w:rsidRDefault="00AD4E36" w:rsidP="001028F3">
      <w:pPr>
        <w:numPr>
          <w:ilvl w:val="0"/>
          <w:numId w:val="1"/>
        </w:numPr>
        <w:tabs>
          <w:tab w:val="left" w:pos="567"/>
          <w:tab w:val="num" w:pos="1569"/>
          <w:tab w:val="num" w:pos="12305"/>
        </w:tabs>
        <w:spacing w:line="240" w:lineRule="auto"/>
        <w:ind w:left="0" w:firstLine="0"/>
        <w:rPr>
          <w:rFonts w:cs="Arial"/>
          <w:sz w:val="20"/>
          <w:szCs w:val="20"/>
        </w:rPr>
      </w:pPr>
      <w:r w:rsidRPr="0064597D">
        <w:rPr>
          <w:sz w:val="20"/>
          <w:szCs w:val="20"/>
        </w:rPr>
        <w:t>A lo anterior se une la prueba que obra en el expediente con respecto a las amenazas realizadas al señor Ruiz Fuentes por miembros de la policía para que no denunciara los hechos</w:t>
      </w:r>
      <w:r w:rsidR="00EB1301" w:rsidRPr="0064597D">
        <w:rPr>
          <w:rStyle w:val="Refdenotaalpie"/>
          <w:sz w:val="20"/>
          <w:szCs w:val="20"/>
        </w:rPr>
        <w:footnoteReference w:id="159"/>
      </w:r>
      <w:r w:rsidR="003F753F" w:rsidRPr="0064597D">
        <w:rPr>
          <w:sz w:val="20"/>
          <w:szCs w:val="20"/>
        </w:rPr>
        <w:t>, lo cual además ha sido</w:t>
      </w:r>
      <w:r w:rsidR="00EB1EA8" w:rsidRPr="0064597D">
        <w:rPr>
          <w:sz w:val="20"/>
          <w:szCs w:val="20"/>
        </w:rPr>
        <w:t xml:space="preserve"> corroborado por </w:t>
      </w:r>
      <w:r w:rsidR="00EB1EA8" w:rsidRPr="0064597D">
        <w:rPr>
          <w:rFonts w:cs="Arial"/>
          <w:sz w:val="20"/>
          <w:szCs w:val="20"/>
        </w:rPr>
        <w:t xml:space="preserve">la declaración de la </w:t>
      </w:r>
      <w:r w:rsidR="00FF35C1" w:rsidRPr="0064597D">
        <w:rPr>
          <w:rFonts w:cs="Arial"/>
          <w:sz w:val="20"/>
          <w:szCs w:val="20"/>
        </w:rPr>
        <w:t>hermana del señor Ruiz Fuentes,</w:t>
      </w:r>
      <w:r w:rsidR="00EB1EA8" w:rsidRPr="0064597D">
        <w:rPr>
          <w:rFonts w:cs="Arial"/>
          <w:sz w:val="20"/>
          <w:szCs w:val="20"/>
        </w:rPr>
        <w:t xml:space="preserve"> quien indicó que cuando el señor Ruiz Fuentes estuvo en el hospital “los policías nos decían que no denunciáramos porque no iban hacer nada, al contrario peor le iba a ir a mi hermano en la cárcel”</w:t>
      </w:r>
      <w:r w:rsidR="00EB1EA8" w:rsidRPr="0064597D">
        <w:rPr>
          <w:rStyle w:val="Refdenotaalpie"/>
          <w:rFonts w:cs="Arial"/>
          <w:sz w:val="20"/>
          <w:szCs w:val="20"/>
        </w:rPr>
        <w:footnoteReference w:id="160"/>
      </w:r>
      <w:r w:rsidR="003F753F" w:rsidRPr="0064597D">
        <w:rPr>
          <w:rFonts w:cs="Arial"/>
          <w:sz w:val="20"/>
          <w:szCs w:val="20"/>
        </w:rPr>
        <w:t>.</w:t>
      </w:r>
    </w:p>
    <w:p w14:paraId="42EA6249" w14:textId="77777777" w:rsidR="00AD4E36" w:rsidRPr="0064597D" w:rsidRDefault="00AD4E36" w:rsidP="00AD4E36">
      <w:pPr>
        <w:tabs>
          <w:tab w:val="left" w:pos="567"/>
        </w:tabs>
        <w:spacing w:line="240" w:lineRule="auto"/>
        <w:rPr>
          <w:rFonts w:cs="Arial"/>
          <w:sz w:val="20"/>
          <w:szCs w:val="20"/>
        </w:rPr>
      </w:pPr>
    </w:p>
    <w:p w14:paraId="34C9754B" w14:textId="7BCA4084" w:rsidR="00AD4E36" w:rsidRPr="0064597D" w:rsidRDefault="003E7FBA" w:rsidP="000B7C8E">
      <w:pPr>
        <w:numPr>
          <w:ilvl w:val="0"/>
          <w:numId w:val="1"/>
        </w:numPr>
        <w:tabs>
          <w:tab w:val="left" w:pos="567"/>
          <w:tab w:val="num" w:pos="1569"/>
          <w:tab w:val="num" w:pos="12305"/>
        </w:tabs>
        <w:spacing w:line="240" w:lineRule="auto"/>
        <w:ind w:left="0" w:firstLine="0"/>
        <w:rPr>
          <w:rFonts w:cs="Arial"/>
          <w:sz w:val="20"/>
          <w:szCs w:val="20"/>
        </w:rPr>
      </w:pPr>
      <w:r w:rsidRPr="0064597D">
        <w:rPr>
          <w:sz w:val="20"/>
          <w:szCs w:val="20"/>
        </w:rPr>
        <w:t>En consecuencia</w:t>
      </w:r>
      <w:r w:rsidR="000B7C8E" w:rsidRPr="0064597D">
        <w:rPr>
          <w:sz w:val="20"/>
          <w:szCs w:val="20"/>
        </w:rPr>
        <w:t xml:space="preserve">, la Corte considera acreditado </w:t>
      </w:r>
      <w:r w:rsidR="00D84387" w:rsidRPr="0064597D">
        <w:rPr>
          <w:sz w:val="20"/>
          <w:szCs w:val="20"/>
        </w:rPr>
        <w:t xml:space="preserve">que </w:t>
      </w:r>
      <w:r w:rsidR="000B7C8E" w:rsidRPr="0064597D">
        <w:rPr>
          <w:sz w:val="20"/>
          <w:szCs w:val="20"/>
        </w:rPr>
        <w:t xml:space="preserve">el señor Ruiz Fuentes sufrió </w:t>
      </w:r>
      <w:r w:rsidR="00ED69EA" w:rsidRPr="0064597D">
        <w:rPr>
          <w:sz w:val="20"/>
          <w:szCs w:val="20"/>
        </w:rPr>
        <w:t xml:space="preserve">serias </w:t>
      </w:r>
      <w:r w:rsidR="000B7C8E" w:rsidRPr="0064597D">
        <w:rPr>
          <w:sz w:val="20"/>
          <w:szCs w:val="20"/>
        </w:rPr>
        <w:t xml:space="preserve">lesiones en el contexto de su detención, esto es, cuando ya estaba bajo custodia del Estado. </w:t>
      </w:r>
    </w:p>
    <w:p w14:paraId="2FA591DE" w14:textId="77777777" w:rsidR="00D42332" w:rsidRPr="0064597D" w:rsidRDefault="00AD4E36" w:rsidP="00AD4E36">
      <w:pPr>
        <w:tabs>
          <w:tab w:val="left" w:pos="2670"/>
        </w:tabs>
        <w:spacing w:line="240" w:lineRule="auto"/>
        <w:rPr>
          <w:sz w:val="20"/>
          <w:szCs w:val="20"/>
        </w:rPr>
      </w:pPr>
      <w:r w:rsidRPr="0064597D">
        <w:rPr>
          <w:sz w:val="20"/>
          <w:szCs w:val="20"/>
        </w:rPr>
        <w:tab/>
      </w:r>
    </w:p>
    <w:p w14:paraId="7DD9C065" w14:textId="49097441" w:rsidR="006B3C01" w:rsidRPr="0064597D" w:rsidRDefault="00AD4E36" w:rsidP="006B3C01">
      <w:pPr>
        <w:numPr>
          <w:ilvl w:val="0"/>
          <w:numId w:val="1"/>
        </w:numPr>
        <w:tabs>
          <w:tab w:val="left" w:pos="567"/>
        </w:tabs>
        <w:spacing w:line="240" w:lineRule="auto"/>
        <w:ind w:left="0" w:firstLine="0"/>
        <w:rPr>
          <w:b/>
          <w:i/>
          <w:sz w:val="20"/>
          <w:szCs w:val="20"/>
          <w:lang w:eastAsia="en-US"/>
        </w:rPr>
      </w:pPr>
      <w:r w:rsidRPr="0064597D">
        <w:rPr>
          <w:snapToGrid w:val="0"/>
          <w:sz w:val="20"/>
          <w:szCs w:val="20"/>
        </w:rPr>
        <w:t>Sentado lo anterior</w:t>
      </w:r>
      <w:r w:rsidR="006B3C01" w:rsidRPr="0064597D">
        <w:rPr>
          <w:snapToGrid w:val="0"/>
          <w:sz w:val="20"/>
          <w:szCs w:val="20"/>
        </w:rPr>
        <w:t xml:space="preserve">, la Corte debe determinar </w:t>
      </w:r>
      <w:r w:rsidRPr="0064597D">
        <w:rPr>
          <w:snapToGrid w:val="0"/>
          <w:sz w:val="20"/>
          <w:szCs w:val="20"/>
        </w:rPr>
        <w:t xml:space="preserve">a continuación </w:t>
      </w:r>
      <w:r w:rsidR="006B3C01" w:rsidRPr="0064597D">
        <w:rPr>
          <w:snapToGrid w:val="0"/>
          <w:sz w:val="20"/>
          <w:szCs w:val="20"/>
        </w:rPr>
        <w:t xml:space="preserve">si </w:t>
      </w:r>
      <w:r w:rsidR="000B7C8E" w:rsidRPr="0064597D">
        <w:rPr>
          <w:snapToGrid w:val="0"/>
          <w:sz w:val="20"/>
          <w:szCs w:val="20"/>
        </w:rPr>
        <w:t>los referidos actos</w:t>
      </w:r>
      <w:r w:rsidR="006B3C01" w:rsidRPr="0064597D">
        <w:rPr>
          <w:snapToGrid w:val="0"/>
          <w:sz w:val="20"/>
          <w:szCs w:val="20"/>
        </w:rPr>
        <w:t xml:space="preserve"> fueron actos constitutivos de tortura. </w:t>
      </w:r>
      <w:r w:rsidR="006B3C01" w:rsidRPr="0064597D">
        <w:rPr>
          <w:rFonts w:eastAsia="Batang"/>
          <w:spacing w:val="-2"/>
          <w:sz w:val="20"/>
          <w:szCs w:val="20"/>
        </w:rPr>
        <w:t xml:space="preserve">A la luz del artículo 5.2 de la Convención Americana y de </w:t>
      </w:r>
      <w:r w:rsidR="006B3C01" w:rsidRPr="0064597D">
        <w:rPr>
          <w:spacing w:val="-2"/>
          <w:sz w:val="20"/>
          <w:szCs w:val="20"/>
        </w:rPr>
        <w:t>conformidad</w:t>
      </w:r>
      <w:r w:rsidR="006B3C01" w:rsidRPr="0064597D">
        <w:rPr>
          <w:rFonts w:eastAsia="Batang"/>
          <w:spacing w:val="-2"/>
          <w:sz w:val="20"/>
          <w:szCs w:val="20"/>
        </w:rPr>
        <w:t xml:space="preserve"> con la </w:t>
      </w:r>
      <w:r w:rsidR="006B3C01" w:rsidRPr="0064597D">
        <w:rPr>
          <w:rFonts w:eastAsia="Batang"/>
          <w:spacing w:val="-2"/>
          <w:sz w:val="20"/>
          <w:szCs w:val="20"/>
        </w:rPr>
        <w:lastRenderedPageBreak/>
        <w:t xml:space="preserve">jurisprudencia de esta Corte, se </w:t>
      </w:r>
      <w:r w:rsidR="006B3C01" w:rsidRPr="0064597D">
        <w:rPr>
          <w:sz w:val="20"/>
          <w:szCs w:val="20"/>
          <w:lang w:eastAsia="en-US"/>
        </w:rPr>
        <w:t>está</w:t>
      </w:r>
      <w:r w:rsidR="006B3C01" w:rsidRPr="0064597D">
        <w:rPr>
          <w:rFonts w:eastAsia="Batang"/>
          <w:spacing w:val="-2"/>
          <w:sz w:val="20"/>
          <w:szCs w:val="20"/>
        </w:rPr>
        <w:t xml:space="preserve"> frente a un acto constitutivo de tortura cuando el maltrato: </w:t>
      </w:r>
      <w:r w:rsidR="0079712D" w:rsidRPr="0064597D">
        <w:rPr>
          <w:rFonts w:eastAsia="Batang"/>
          <w:spacing w:val="-2"/>
          <w:sz w:val="20"/>
          <w:szCs w:val="20"/>
        </w:rPr>
        <w:t>(</w:t>
      </w:r>
      <w:r w:rsidR="006B3C01" w:rsidRPr="0064597D">
        <w:rPr>
          <w:rFonts w:eastAsia="Batang"/>
          <w:spacing w:val="-2"/>
          <w:sz w:val="20"/>
          <w:szCs w:val="20"/>
        </w:rPr>
        <w:t xml:space="preserve">i) es intencional; </w:t>
      </w:r>
      <w:r w:rsidR="0079712D" w:rsidRPr="0064597D">
        <w:rPr>
          <w:rFonts w:eastAsia="Batang"/>
          <w:spacing w:val="-2"/>
          <w:sz w:val="20"/>
          <w:szCs w:val="20"/>
        </w:rPr>
        <w:t>(</w:t>
      </w:r>
      <w:r w:rsidR="006B3C01" w:rsidRPr="0064597D">
        <w:rPr>
          <w:rFonts w:eastAsia="Batang"/>
          <w:spacing w:val="-2"/>
          <w:sz w:val="20"/>
          <w:szCs w:val="20"/>
        </w:rPr>
        <w:t xml:space="preserve">ii) cause severos sufrimientos físicos o mentales, y </w:t>
      </w:r>
      <w:r w:rsidR="0079712D" w:rsidRPr="0064597D">
        <w:rPr>
          <w:rFonts w:eastAsia="Batang"/>
          <w:spacing w:val="-2"/>
          <w:sz w:val="20"/>
          <w:szCs w:val="20"/>
        </w:rPr>
        <w:t>(</w:t>
      </w:r>
      <w:r w:rsidR="006B3C01" w:rsidRPr="0064597D">
        <w:rPr>
          <w:rFonts w:eastAsia="Batang"/>
          <w:spacing w:val="-2"/>
          <w:sz w:val="20"/>
          <w:szCs w:val="20"/>
        </w:rPr>
        <w:t>iii) se cometa con cualquier fin o propósito</w:t>
      </w:r>
      <w:r w:rsidR="006B3C01" w:rsidRPr="0064597D">
        <w:rPr>
          <w:rFonts w:eastAsia="Batang"/>
          <w:spacing w:val="-2"/>
          <w:sz w:val="20"/>
          <w:szCs w:val="20"/>
          <w:vertAlign w:val="superscript"/>
        </w:rPr>
        <w:footnoteReference w:id="161"/>
      </w:r>
      <w:r w:rsidR="006B3C01" w:rsidRPr="0064597D">
        <w:rPr>
          <w:rFonts w:eastAsia="Batang"/>
          <w:spacing w:val="-2"/>
          <w:sz w:val="20"/>
          <w:szCs w:val="20"/>
        </w:rPr>
        <w:t>.</w:t>
      </w:r>
    </w:p>
    <w:p w14:paraId="507CAE27" w14:textId="77777777" w:rsidR="00B8112F" w:rsidRPr="0064597D" w:rsidRDefault="00B8112F" w:rsidP="00B8112F">
      <w:pPr>
        <w:tabs>
          <w:tab w:val="left" w:pos="567"/>
        </w:tabs>
        <w:spacing w:line="240" w:lineRule="auto"/>
        <w:rPr>
          <w:b/>
          <w:i/>
          <w:sz w:val="20"/>
          <w:szCs w:val="20"/>
          <w:lang w:eastAsia="en-US"/>
        </w:rPr>
      </w:pPr>
    </w:p>
    <w:p w14:paraId="739E6359" w14:textId="2348B749" w:rsidR="00853AB3" w:rsidRPr="0064597D" w:rsidRDefault="00CF53D8" w:rsidP="00D71F65">
      <w:pPr>
        <w:numPr>
          <w:ilvl w:val="0"/>
          <w:numId w:val="1"/>
        </w:numPr>
        <w:tabs>
          <w:tab w:val="left" w:pos="567"/>
          <w:tab w:val="num" w:pos="1569"/>
          <w:tab w:val="num" w:pos="12305"/>
        </w:tabs>
        <w:spacing w:line="240" w:lineRule="auto"/>
        <w:ind w:left="0" w:firstLine="0"/>
        <w:rPr>
          <w:sz w:val="20"/>
          <w:szCs w:val="20"/>
        </w:rPr>
      </w:pPr>
      <w:r w:rsidRPr="0064597D">
        <w:rPr>
          <w:rFonts w:eastAsia="Batang"/>
          <w:spacing w:val="-2"/>
          <w:sz w:val="20"/>
          <w:szCs w:val="20"/>
        </w:rPr>
        <w:t>En el presente caso ha quedado establecido que el señor Ruiz Fuentes fue objeto de numeros</w:t>
      </w:r>
      <w:r w:rsidR="000B7C8E" w:rsidRPr="0064597D">
        <w:rPr>
          <w:rFonts w:eastAsia="Batang"/>
          <w:spacing w:val="-2"/>
          <w:sz w:val="20"/>
          <w:szCs w:val="20"/>
        </w:rPr>
        <w:t>o</w:t>
      </w:r>
      <w:r w:rsidRPr="0064597D">
        <w:rPr>
          <w:rFonts w:eastAsia="Batang"/>
          <w:spacing w:val="-2"/>
          <w:sz w:val="20"/>
          <w:szCs w:val="20"/>
        </w:rPr>
        <w:t>s golpes</w:t>
      </w:r>
      <w:r w:rsidR="000B7C8E" w:rsidRPr="0064597D">
        <w:rPr>
          <w:rFonts w:eastAsia="Batang"/>
          <w:spacing w:val="-2"/>
          <w:sz w:val="20"/>
          <w:szCs w:val="20"/>
        </w:rPr>
        <w:t xml:space="preserve"> durante horas</w:t>
      </w:r>
      <w:r w:rsidRPr="0064597D">
        <w:rPr>
          <w:rFonts w:eastAsia="Batang"/>
          <w:spacing w:val="-2"/>
          <w:sz w:val="20"/>
          <w:szCs w:val="20"/>
        </w:rPr>
        <w:t xml:space="preserve"> con el objetivo de </w:t>
      </w:r>
      <w:r w:rsidR="000B7C8E" w:rsidRPr="0064597D">
        <w:rPr>
          <w:rFonts w:eastAsia="Batang"/>
          <w:spacing w:val="-2"/>
          <w:sz w:val="20"/>
          <w:szCs w:val="20"/>
        </w:rPr>
        <w:t>obtener información sobre otros secuestros. Lo anterior viene acreditado, tanto por la declaración del propio señor Ruiz Fuentes</w:t>
      </w:r>
      <w:r w:rsidR="000B7C8E" w:rsidRPr="0064597D">
        <w:rPr>
          <w:rStyle w:val="Refdenotaalpie"/>
          <w:rFonts w:eastAsia="Batang"/>
          <w:spacing w:val="-2"/>
          <w:sz w:val="20"/>
          <w:szCs w:val="20"/>
        </w:rPr>
        <w:footnoteReference w:id="162"/>
      </w:r>
      <w:r w:rsidR="000B7C8E" w:rsidRPr="0064597D">
        <w:rPr>
          <w:rFonts w:eastAsia="Batang"/>
          <w:spacing w:val="-2"/>
          <w:sz w:val="20"/>
          <w:szCs w:val="20"/>
        </w:rPr>
        <w:t>, como por el relato detallado y coherente brindado por la</w:t>
      </w:r>
      <w:r w:rsidR="00E70CF5" w:rsidRPr="0064597D">
        <w:rPr>
          <w:rFonts w:eastAsia="Batang"/>
          <w:spacing w:val="-2"/>
          <w:sz w:val="20"/>
          <w:szCs w:val="20"/>
        </w:rPr>
        <w:t xml:space="preserve"> hermana del señor Ruiz Fuentes</w:t>
      </w:r>
      <w:r w:rsidR="00EF6928" w:rsidRPr="0064597D">
        <w:rPr>
          <w:rStyle w:val="Refdenotaalpie"/>
          <w:snapToGrid w:val="0"/>
          <w:sz w:val="20"/>
          <w:szCs w:val="20"/>
        </w:rPr>
        <w:footnoteReference w:id="163"/>
      </w:r>
      <w:r w:rsidR="00E70CF5" w:rsidRPr="0064597D">
        <w:rPr>
          <w:rFonts w:eastAsia="Batang"/>
          <w:spacing w:val="-2"/>
          <w:sz w:val="20"/>
          <w:szCs w:val="20"/>
        </w:rPr>
        <w:t>.</w:t>
      </w:r>
      <w:r w:rsidR="00EF6928" w:rsidRPr="0064597D">
        <w:rPr>
          <w:snapToGrid w:val="0"/>
          <w:sz w:val="20"/>
          <w:szCs w:val="20"/>
        </w:rPr>
        <w:t xml:space="preserve"> </w:t>
      </w:r>
      <w:r w:rsidRPr="0064597D">
        <w:rPr>
          <w:rFonts w:eastAsia="Batang"/>
          <w:spacing w:val="-2"/>
          <w:sz w:val="20"/>
          <w:szCs w:val="20"/>
        </w:rPr>
        <w:t xml:space="preserve">Es decir, los golpes infligidos al señor Ruiz Fuentes </w:t>
      </w:r>
      <w:r w:rsidRPr="0064597D">
        <w:rPr>
          <w:sz w:val="20"/>
          <w:szCs w:val="20"/>
          <w:lang w:eastAsia="en-US"/>
        </w:rPr>
        <w:t xml:space="preserve">fueron perpetrados de forma intencional y sostenida en el tiempo con el objetivo de obtener </w:t>
      </w:r>
      <w:r w:rsidR="00C560F7">
        <w:rPr>
          <w:sz w:val="20"/>
          <w:szCs w:val="20"/>
          <w:lang w:eastAsia="en-US"/>
        </w:rPr>
        <w:t xml:space="preserve">una </w:t>
      </w:r>
      <w:r w:rsidRPr="0064597D">
        <w:rPr>
          <w:sz w:val="20"/>
          <w:szCs w:val="20"/>
          <w:lang w:eastAsia="en-US"/>
        </w:rPr>
        <w:t>información</w:t>
      </w:r>
      <w:r w:rsidR="00C560F7">
        <w:rPr>
          <w:sz w:val="20"/>
          <w:szCs w:val="20"/>
          <w:lang w:eastAsia="en-US"/>
        </w:rPr>
        <w:t xml:space="preserve"> específica</w:t>
      </w:r>
      <w:r w:rsidRPr="0064597D">
        <w:rPr>
          <w:sz w:val="20"/>
          <w:szCs w:val="20"/>
          <w:lang w:eastAsia="en-US"/>
        </w:rPr>
        <w:t xml:space="preserve">. </w:t>
      </w:r>
    </w:p>
    <w:p w14:paraId="1E563EC7" w14:textId="77777777" w:rsidR="00853AB3" w:rsidRPr="0064597D" w:rsidRDefault="00853AB3" w:rsidP="00853AB3">
      <w:pPr>
        <w:tabs>
          <w:tab w:val="left" w:pos="567"/>
        </w:tabs>
        <w:spacing w:line="240" w:lineRule="auto"/>
        <w:rPr>
          <w:sz w:val="20"/>
          <w:szCs w:val="20"/>
        </w:rPr>
      </w:pPr>
    </w:p>
    <w:p w14:paraId="012DE344" w14:textId="37AC42BD" w:rsidR="001E5887" w:rsidRPr="0064597D" w:rsidRDefault="00CF53D8" w:rsidP="00A13065">
      <w:pPr>
        <w:numPr>
          <w:ilvl w:val="0"/>
          <w:numId w:val="1"/>
        </w:numPr>
        <w:tabs>
          <w:tab w:val="left" w:pos="567"/>
          <w:tab w:val="num" w:pos="1569"/>
          <w:tab w:val="num" w:pos="12305"/>
        </w:tabs>
        <w:spacing w:line="240" w:lineRule="auto"/>
        <w:ind w:left="0" w:firstLine="0"/>
        <w:rPr>
          <w:sz w:val="20"/>
          <w:szCs w:val="20"/>
        </w:rPr>
      </w:pPr>
      <w:r w:rsidRPr="0064597D">
        <w:rPr>
          <w:rFonts w:eastAsia="Batang"/>
          <w:spacing w:val="-2"/>
          <w:sz w:val="20"/>
          <w:szCs w:val="20"/>
        </w:rPr>
        <w:t xml:space="preserve">Asimismo, de la prueba ofrecida, </w:t>
      </w:r>
      <w:r w:rsidRPr="0064597D">
        <w:rPr>
          <w:sz w:val="20"/>
          <w:szCs w:val="20"/>
          <w:lang w:eastAsia="en-US"/>
        </w:rPr>
        <w:t xml:space="preserve">la Corte da por demostrada la gravedad e intensidad de los severos malos tratos físicos sufridos por el señor Ruiz Fuentes. </w:t>
      </w:r>
      <w:r w:rsidR="00EF6928" w:rsidRPr="0064597D">
        <w:rPr>
          <w:sz w:val="20"/>
          <w:szCs w:val="20"/>
        </w:rPr>
        <w:t>En vista de las</w:t>
      </w:r>
      <w:r w:rsidR="000B7C8E" w:rsidRPr="0064597D">
        <w:rPr>
          <w:sz w:val="20"/>
          <w:szCs w:val="20"/>
        </w:rPr>
        <w:t xml:space="preserve"> graves</w:t>
      </w:r>
      <w:r w:rsidR="00EF6928" w:rsidRPr="0064597D">
        <w:rPr>
          <w:sz w:val="20"/>
          <w:szCs w:val="20"/>
        </w:rPr>
        <w:t xml:space="preserve"> lesiones que presentaba, el señor Ruiz Fuentes tuvo que ser intervenido quirúrgicamente</w:t>
      </w:r>
      <w:r w:rsidR="000B7C8E" w:rsidRPr="0064597D">
        <w:rPr>
          <w:sz w:val="20"/>
          <w:szCs w:val="20"/>
        </w:rPr>
        <w:t xml:space="preserve"> de urgencia</w:t>
      </w:r>
      <w:r w:rsidR="00EF6928" w:rsidRPr="0064597D">
        <w:rPr>
          <w:sz w:val="20"/>
          <w:szCs w:val="20"/>
        </w:rPr>
        <w:t xml:space="preserve"> para efectuarle una “resección de segmento de colon transverso y colostomía en doble boca”</w:t>
      </w:r>
      <w:r w:rsidR="00EF6928" w:rsidRPr="0064597D">
        <w:rPr>
          <w:rStyle w:val="Refdenotaalpie"/>
          <w:sz w:val="20"/>
          <w:szCs w:val="20"/>
        </w:rPr>
        <w:footnoteReference w:id="164"/>
      </w:r>
      <w:r w:rsidR="00D42332" w:rsidRPr="0064597D">
        <w:rPr>
          <w:sz w:val="20"/>
          <w:szCs w:val="20"/>
        </w:rPr>
        <w:t>.</w:t>
      </w:r>
      <w:r w:rsidR="00ED69EA" w:rsidRPr="0064597D">
        <w:rPr>
          <w:sz w:val="20"/>
          <w:szCs w:val="20"/>
        </w:rPr>
        <w:t xml:space="preserve"> La Corte observa además que el señor Ruiz Fuentes permaneció trece días hospitalizado</w:t>
      </w:r>
      <w:r w:rsidR="00ED69EA" w:rsidRPr="0064597D">
        <w:rPr>
          <w:rStyle w:val="Refdenotaalpie"/>
          <w:sz w:val="20"/>
          <w:szCs w:val="20"/>
        </w:rPr>
        <w:footnoteReference w:id="165"/>
      </w:r>
      <w:r w:rsidR="00ED69EA" w:rsidRPr="0064597D">
        <w:rPr>
          <w:sz w:val="20"/>
          <w:szCs w:val="20"/>
        </w:rPr>
        <w:t xml:space="preserve"> y estuvo siete meses utilizando una bolsa de colostomía</w:t>
      </w:r>
      <w:r w:rsidR="00ED69EA" w:rsidRPr="0064597D">
        <w:rPr>
          <w:rStyle w:val="Refdenotaalpie"/>
          <w:sz w:val="20"/>
          <w:szCs w:val="20"/>
        </w:rPr>
        <w:footnoteReference w:id="166"/>
      </w:r>
      <w:r w:rsidR="00ED69EA" w:rsidRPr="0064597D">
        <w:rPr>
          <w:sz w:val="20"/>
          <w:szCs w:val="20"/>
        </w:rPr>
        <w:t xml:space="preserve">. </w:t>
      </w:r>
      <w:r w:rsidR="001E5887" w:rsidRPr="0064597D">
        <w:rPr>
          <w:snapToGrid w:val="0"/>
          <w:sz w:val="20"/>
          <w:szCs w:val="20"/>
        </w:rPr>
        <w:t xml:space="preserve">A lo anterior se suma la declaración de la señora </w:t>
      </w:r>
      <w:r w:rsidR="00A13065" w:rsidRPr="0064597D">
        <w:rPr>
          <w:snapToGrid w:val="0"/>
          <w:sz w:val="20"/>
          <w:szCs w:val="20"/>
        </w:rPr>
        <w:t>A.M.V.</w:t>
      </w:r>
      <w:r w:rsidR="001E5887" w:rsidRPr="0064597D">
        <w:rPr>
          <w:snapToGrid w:val="0"/>
          <w:sz w:val="20"/>
          <w:szCs w:val="20"/>
        </w:rPr>
        <w:t>, pareja del señor Ruiz Fuentes, quien declaró</w:t>
      </w:r>
      <w:r w:rsidR="000B7C8E" w:rsidRPr="0064597D">
        <w:rPr>
          <w:snapToGrid w:val="0"/>
          <w:sz w:val="20"/>
          <w:szCs w:val="20"/>
        </w:rPr>
        <w:t xml:space="preserve"> en la audiencia pública celebrada ante esta Corte</w:t>
      </w:r>
      <w:r w:rsidR="001E5887" w:rsidRPr="0064597D">
        <w:rPr>
          <w:snapToGrid w:val="0"/>
          <w:sz w:val="20"/>
          <w:szCs w:val="20"/>
        </w:rPr>
        <w:t xml:space="preserve"> que el día que lo fue a visitar al hospital observó lo siguiente</w:t>
      </w:r>
      <w:r w:rsidR="0048770D" w:rsidRPr="0064597D">
        <w:rPr>
          <w:snapToGrid w:val="0"/>
          <w:sz w:val="20"/>
          <w:szCs w:val="20"/>
        </w:rPr>
        <w:t>:</w:t>
      </w:r>
    </w:p>
    <w:p w14:paraId="58745F00" w14:textId="77777777" w:rsidR="001E5887" w:rsidRPr="0064597D" w:rsidRDefault="001E5887" w:rsidP="001E5887">
      <w:pPr>
        <w:tabs>
          <w:tab w:val="left" w:pos="567"/>
        </w:tabs>
        <w:spacing w:line="240" w:lineRule="auto"/>
        <w:rPr>
          <w:sz w:val="20"/>
          <w:szCs w:val="20"/>
        </w:rPr>
      </w:pPr>
    </w:p>
    <w:p w14:paraId="036D5ECB" w14:textId="335B885C" w:rsidR="001E5887" w:rsidRPr="0064597D" w:rsidRDefault="001E5887" w:rsidP="001E5887">
      <w:pPr>
        <w:tabs>
          <w:tab w:val="left" w:pos="567"/>
        </w:tabs>
        <w:spacing w:line="240" w:lineRule="auto"/>
        <w:ind w:left="720" w:right="720"/>
        <w:rPr>
          <w:sz w:val="18"/>
          <w:szCs w:val="18"/>
        </w:rPr>
      </w:pPr>
      <w:r w:rsidRPr="0064597D">
        <w:rPr>
          <w:snapToGrid w:val="0"/>
          <w:sz w:val="18"/>
          <w:szCs w:val="18"/>
        </w:rPr>
        <w:t>“[E]staba bien mal, bien golpeado, muy golpeado tenía la gran operación en el estómago, tenía su intestino afuera, todo golpeado su cuerpo, los testículos hinchados, sus canillas estaban, es que dice que lo ataron con alambre de amarre y le cortaron la carne todo, puro el hueso se miraba, él estaba que ni hablaba, no podía platicar. Estaba</w:t>
      </w:r>
      <w:r w:rsidRPr="0064597D">
        <w:rPr>
          <w:sz w:val="18"/>
          <w:szCs w:val="18"/>
        </w:rPr>
        <w:t xml:space="preserve"> muy grave.</w:t>
      </w:r>
      <w:r w:rsidR="00DB0443" w:rsidRPr="0064597D">
        <w:rPr>
          <w:sz w:val="18"/>
          <w:szCs w:val="18"/>
        </w:rPr>
        <w:t xml:space="preserve"> </w:t>
      </w:r>
      <w:r w:rsidRPr="0064597D">
        <w:rPr>
          <w:sz w:val="18"/>
          <w:szCs w:val="18"/>
        </w:rPr>
        <w:t>Yo lo tuve que cuidar durante doce días para estarlo bañando, dándole sus alimentos, porque estaba bien grave”</w:t>
      </w:r>
      <w:r w:rsidRPr="0064597D">
        <w:rPr>
          <w:rStyle w:val="Refdenotaalpie"/>
          <w:snapToGrid w:val="0"/>
          <w:sz w:val="18"/>
          <w:szCs w:val="18"/>
        </w:rPr>
        <w:footnoteReference w:id="167"/>
      </w:r>
      <w:r w:rsidRPr="0064597D">
        <w:rPr>
          <w:sz w:val="18"/>
          <w:szCs w:val="18"/>
        </w:rPr>
        <w:t xml:space="preserve">. </w:t>
      </w:r>
    </w:p>
    <w:p w14:paraId="15DA3DE2" w14:textId="77777777" w:rsidR="001E5887" w:rsidRPr="0064597D" w:rsidRDefault="001E5887" w:rsidP="001E5887">
      <w:pPr>
        <w:tabs>
          <w:tab w:val="left" w:pos="567"/>
        </w:tabs>
        <w:spacing w:line="240" w:lineRule="auto"/>
        <w:ind w:right="720"/>
        <w:rPr>
          <w:sz w:val="20"/>
          <w:szCs w:val="20"/>
        </w:rPr>
      </w:pPr>
    </w:p>
    <w:p w14:paraId="404969EB" w14:textId="0A1F7F4E" w:rsidR="00435ADF" w:rsidRPr="0064597D" w:rsidRDefault="00435ADF" w:rsidP="002C5F8C">
      <w:pPr>
        <w:numPr>
          <w:ilvl w:val="0"/>
          <w:numId w:val="1"/>
        </w:numPr>
        <w:tabs>
          <w:tab w:val="left" w:pos="567"/>
        </w:tabs>
        <w:spacing w:line="240" w:lineRule="auto"/>
        <w:ind w:left="0" w:firstLine="0"/>
        <w:rPr>
          <w:b/>
          <w:i/>
          <w:sz w:val="20"/>
          <w:szCs w:val="20"/>
          <w:lang w:eastAsia="en-US"/>
        </w:rPr>
      </w:pPr>
      <w:r w:rsidRPr="0064597D">
        <w:rPr>
          <w:sz w:val="20"/>
          <w:szCs w:val="20"/>
          <w:lang w:eastAsia="en-US"/>
        </w:rPr>
        <w:t>Por ende,</w:t>
      </w:r>
      <w:r w:rsidR="00FE2F23" w:rsidRPr="0064597D">
        <w:rPr>
          <w:sz w:val="20"/>
          <w:szCs w:val="20"/>
          <w:lang w:eastAsia="en-US"/>
        </w:rPr>
        <w:t xml:space="preserve"> </w:t>
      </w:r>
      <w:r w:rsidR="00FE2F23" w:rsidRPr="0064597D">
        <w:rPr>
          <w:rFonts w:eastAsia="Calibri" w:cs="Helvetica"/>
          <w:sz w:val="20"/>
          <w:szCs w:val="20"/>
          <w:lang w:val="es-MX" w:bidi="en-US"/>
        </w:rPr>
        <w:t>ante el conjunto de</w:t>
      </w:r>
      <w:r w:rsidR="000B3E8C" w:rsidRPr="0064597D">
        <w:rPr>
          <w:rFonts w:eastAsia="Calibri" w:cs="Helvetica"/>
          <w:sz w:val="20"/>
          <w:szCs w:val="20"/>
          <w:lang w:val="es-MX" w:bidi="en-US"/>
        </w:rPr>
        <w:t xml:space="preserve"> los</w:t>
      </w:r>
      <w:r w:rsidR="00FE2F23" w:rsidRPr="0064597D">
        <w:rPr>
          <w:rFonts w:eastAsia="Calibri" w:cs="Helvetica"/>
          <w:sz w:val="20"/>
          <w:szCs w:val="20"/>
          <w:lang w:val="es-MX" w:bidi="en-US"/>
        </w:rPr>
        <w:t xml:space="preserve"> </w:t>
      </w:r>
      <w:r w:rsidR="00C560F7">
        <w:rPr>
          <w:rFonts w:eastAsia="Calibri" w:cs="Helvetica"/>
          <w:sz w:val="20"/>
          <w:szCs w:val="20"/>
          <w:lang w:val="es-MX" w:bidi="en-US"/>
        </w:rPr>
        <w:t>elementos probatorios</w:t>
      </w:r>
      <w:r w:rsidR="00FE2F23" w:rsidRPr="0064597D">
        <w:rPr>
          <w:rFonts w:eastAsia="Calibri" w:cs="Helvetica"/>
          <w:sz w:val="20"/>
          <w:szCs w:val="20"/>
          <w:lang w:val="es-MX" w:bidi="en-US"/>
        </w:rPr>
        <w:t xml:space="preserve"> precisos y concordantes analizados, la Corte ha llegado a la </w:t>
      </w:r>
      <w:r w:rsidR="00FE2F23" w:rsidRPr="0064597D">
        <w:rPr>
          <w:kern w:val="2"/>
          <w:sz w:val="20"/>
          <w:szCs w:val="20"/>
          <w:lang w:eastAsia="en-US"/>
        </w:rPr>
        <w:t>convicción</w:t>
      </w:r>
      <w:r w:rsidR="00FE2F23" w:rsidRPr="0064597D">
        <w:rPr>
          <w:rFonts w:eastAsia="Calibri" w:cs="Helvetica"/>
          <w:sz w:val="20"/>
          <w:szCs w:val="20"/>
          <w:lang w:val="es-MX" w:bidi="en-US"/>
        </w:rPr>
        <w:t xml:space="preserve"> de que, </w:t>
      </w:r>
      <w:r w:rsidR="000B3E8C" w:rsidRPr="0064597D">
        <w:rPr>
          <w:rFonts w:eastAsia="Calibri" w:cs="Helvetica"/>
          <w:sz w:val="20"/>
          <w:szCs w:val="20"/>
          <w:lang w:val="es-MX" w:bidi="en-US"/>
        </w:rPr>
        <w:t>tras ser detenido el 6 de agosto de 1997, el</w:t>
      </w:r>
      <w:r w:rsidRPr="0064597D">
        <w:rPr>
          <w:sz w:val="20"/>
          <w:szCs w:val="20"/>
          <w:lang w:eastAsia="en-US"/>
        </w:rPr>
        <w:t xml:space="preserve"> señor Ruiz Fuentes fue sometido a actos de tortura física, de conformidad con los tres elementos que esta Corte ha enlistado</w:t>
      </w:r>
      <w:r w:rsidR="00777EC1" w:rsidRPr="0064597D">
        <w:rPr>
          <w:sz w:val="20"/>
          <w:szCs w:val="20"/>
          <w:lang w:eastAsia="en-US"/>
        </w:rPr>
        <w:t xml:space="preserve">, en violación </w:t>
      </w:r>
      <w:r w:rsidR="00063252" w:rsidRPr="0064597D">
        <w:rPr>
          <w:sz w:val="20"/>
          <w:szCs w:val="20"/>
          <w:lang w:eastAsia="en-US"/>
        </w:rPr>
        <w:t>de los artículos 5.1 y</w:t>
      </w:r>
      <w:r w:rsidRPr="0064597D">
        <w:rPr>
          <w:sz w:val="20"/>
          <w:szCs w:val="20"/>
          <w:lang w:eastAsia="en-US"/>
        </w:rPr>
        <w:t xml:space="preserve"> 5.2 de la Convención Americana</w:t>
      </w:r>
      <w:r w:rsidR="00777EC1" w:rsidRPr="0064597D">
        <w:rPr>
          <w:sz w:val="20"/>
          <w:szCs w:val="20"/>
          <w:lang w:eastAsia="en-US"/>
        </w:rPr>
        <w:t xml:space="preserve">, </w:t>
      </w:r>
      <w:r w:rsidR="00063252" w:rsidRPr="0064597D">
        <w:rPr>
          <w:bCs/>
          <w:iCs/>
          <w:sz w:val="20"/>
          <w:szCs w:val="20"/>
        </w:rPr>
        <w:t>en relación con el</w:t>
      </w:r>
      <w:r w:rsidR="00777EC1" w:rsidRPr="0064597D">
        <w:rPr>
          <w:bCs/>
          <w:iCs/>
          <w:sz w:val="20"/>
          <w:szCs w:val="20"/>
        </w:rPr>
        <w:t xml:space="preserve"> artículo 1.1 del mismo instrumento</w:t>
      </w:r>
      <w:r w:rsidR="00777EC1" w:rsidRPr="0064597D">
        <w:rPr>
          <w:sz w:val="20"/>
          <w:szCs w:val="20"/>
          <w:lang w:eastAsia="en-US"/>
        </w:rPr>
        <w:t xml:space="preserve">, lo que además constituyó la violación del artículo 1 </w:t>
      </w:r>
      <w:r w:rsidR="00652FEF" w:rsidRPr="0064597D">
        <w:rPr>
          <w:sz w:val="20"/>
          <w:szCs w:val="20"/>
          <w:lang w:eastAsia="en-US"/>
        </w:rPr>
        <w:t xml:space="preserve">y 6 </w:t>
      </w:r>
      <w:r w:rsidR="00777EC1" w:rsidRPr="0064597D">
        <w:rPr>
          <w:sz w:val="20"/>
          <w:szCs w:val="20"/>
          <w:lang w:eastAsia="en-US"/>
        </w:rPr>
        <w:t>de la Convención Interamericana para prevenir y sancionar la tortura</w:t>
      </w:r>
      <w:r w:rsidRPr="0064597D">
        <w:rPr>
          <w:sz w:val="20"/>
          <w:szCs w:val="20"/>
          <w:lang w:eastAsia="en-US"/>
        </w:rPr>
        <w:t>.</w:t>
      </w:r>
      <w:r w:rsidR="002C5F8C" w:rsidRPr="0064597D">
        <w:rPr>
          <w:sz w:val="20"/>
          <w:szCs w:val="20"/>
          <w:lang w:eastAsia="en-US"/>
        </w:rPr>
        <w:t xml:space="preserve"> </w:t>
      </w:r>
    </w:p>
    <w:p w14:paraId="085516FD" w14:textId="77777777" w:rsidR="009E4F6C" w:rsidRPr="0064597D" w:rsidRDefault="00CA5E14" w:rsidP="00377181">
      <w:pPr>
        <w:pStyle w:val="Ttulo3"/>
        <w:rPr>
          <w:lang w:eastAsia="en-US"/>
        </w:rPr>
      </w:pPr>
      <w:bookmarkStart w:id="75" w:name="_Toc24014562"/>
      <w:r w:rsidRPr="0064597D">
        <w:rPr>
          <w:lang w:eastAsia="en-US"/>
        </w:rPr>
        <w:lastRenderedPageBreak/>
        <w:t>b</w:t>
      </w:r>
      <w:r w:rsidR="00984C70" w:rsidRPr="0064597D">
        <w:rPr>
          <w:lang w:eastAsia="en-US"/>
        </w:rPr>
        <w:t>.</w:t>
      </w:r>
      <w:r w:rsidR="002F68E5" w:rsidRPr="0064597D">
        <w:rPr>
          <w:lang w:eastAsia="en-US"/>
        </w:rPr>
        <w:t>2</w:t>
      </w:r>
      <w:r w:rsidR="00984C70" w:rsidRPr="0064597D">
        <w:rPr>
          <w:lang w:eastAsia="en-US"/>
        </w:rPr>
        <w:t xml:space="preserve"> </w:t>
      </w:r>
      <w:r w:rsidR="00984C70" w:rsidRPr="0064597D">
        <w:rPr>
          <w:lang w:eastAsia="en-US"/>
        </w:rPr>
        <w:tab/>
      </w:r>
      <w:r w:rsidR="00F17DC3" w:rsidRPr="0064597D">
        <w:rPr>
          <w:lang w:eastAsia="en-US"/>
        </w:rPr>
        <w:t>Corredor de la muerte</w:t>
      </w:r>
      <w:bookmarkEnd w:id="75"/>
    </w:p>
    <w:p w14:paraId="0AE26BA6" w14:textId="77777777" w:rsidR="00C560F7" w:rsidRPr="0064597D" w:rsidRDefault="00E32B28" w:rsidP="00C560F7">
      <w:pPr>
        <w:widowControl/>
        <w:numPr>
          <w:ilvl w:val="0"/>
          <w:numId w:val="1"/>
        </w:numPr>
        <w:tabs>
          <w:tab w:val="left" w:pos="567"/>
        </w:tabs>
        <w:adjustRightInd/>
        <w:spacing w:line="240" w:lineRule="auto"/>
        <w:ind w:left="0" w:firstLine="0"/>
        <w:contextualSpacing/>
        <w:textAlignment w:val="auto"/>
        <w:rPr>
          <w:bCs/>
          <w:iCs/>
          <w:sz w:val="20"/>
          <w:szCs w:val="20"/>
        </w:rPr>
      </w:pPr>
      <w:r w:rsidRPr="0064597D">
        <w:rPr>
          <w:sz w:val="20"/>
          <w:szCs w:val="20"/>
        </w:rPr>
        <w:t>Como consideración previa, c</w:t>
      </w:r>
      <w:r w:rsidRPr="0064597D">
        <w:rPr>
          <w:bCs/>
          <w:iCs/>
          <w:sz w:val="20"/>
          <w:szCs w:val="20"/>
        </w:rPr>
        <w:t xml:space="preserve">on respecto al </w:t>
      </w:r>
      <w:r w:rsidR="00A91A39" w:rsidRPr="0064597D">
        <w:rPr>
          <w:bCs/>
          <w:iCs/>
          <w:sz w:val="20"/>
          <w:szCs w:val="20"/>
        </w:rPr>
        <w:t>alegato</w:t>
      </w:r>
      <w:r w:rsidRPr="0064597D">
        <w:rPr>
          <w:bCs/>
          <w:iCs/>
          <w:sz w:val="20"/>
          <w:szCs w:val="20"/>
        </w:rPr>
        <w:t xml:space="preserve"> del Estado de que la pena de muerte le fue conmutada </w:t>
      </w:r>
      <w:r w:rsidRPr="0064597D">
        <w:rPr>
          <w:sz w:val="20"/>
          <w:szCs w:val="20"/>
        </w:rPr>
        <w:t>por la pena máxima de privación de libertad</w:t>
      </w:r>
      <w:r w:rsidRPr="0064597D">
        <w:rPr>
          <w:bCs/>
          <w:iCs/>
          <w:sz w:val="20"/>
          <w:szCs w:val="20"/>
        </w:rPr>
        <w:t xml:space="preserve">, la Corte recuerda, tal y como lo ha señalado </w:t>
      </w:r>
      <w:r w:rsidRPr="0064597D">
        <w:rPr>
          <w:bCs/>
          <w:i/>
          <w:iCs/>
          <w:sz w:val="20"/>
          <w:szCs w:val="20"/>
        </w:rPr>
        <w:t>supra</w:t>
      </w:r>
      <w:r w:rsidRPr="0064597D">
        <w:rPr>
          <w:bCs/>
          <w:iCs/>
          <w:sz w:val="20"/>
          <w:szCs w:val="20"/>
        </w:rPr>
        <w:t xml:space="preserve">, que el Estado no ha aportado ningún tipo de prueba que acredite este extremo. </w:t>
      </w:r>
      <w:r w:rsidR="00C560F7" w:rsidRPr="0064597D">
        <w:rPr>
          <w:bCs/>
          <w:iCs/>
          <w:sz w:val="20"/>
          <w:szCs w:val="20"/>
        </w:rPr>
        <w:t>Por otro lado, el Estado informó que en virtud de una decisión de esta Corte en el marco del trámite de medidas provisionales</w:t>
      </w:r>
      <w:r w:rsidR="00C560F7" w:rsidRPr="0064597D">
        <w:rPr>
          <w:rStyle w:val="Refdenotaalpie"/>
          <w:bCs/>
          <w:iCs/>
          <w:sz w:val="20"/>
          <w:szCs w:val="20"/>
        </w:rPr>
        <w:footnoteReference w:id="168"/>
      </w:r>
      <w:r w:rsidR="00C560F7" w:rsidRPr="0064597D">
        <w:rPr>
          <w:bCs/>
          <w:iCs/>
          <w:sz w:val="20"/>
          <w:szCs w:val="20"/>
        </w:rPr>
        <w:t>, el 15 de febrero de 2005 decretó la suspensión provisional de la pena de muerte</w:t>
      </w:r>
      <w:r w:rsidR="00C560F7" w:rsidRPr="0064597D">
        <w:rPr>
          <w:rStyle w:val="Refdenotaalpie"/>
          <w:bCs/>
          <w:iCs/>
          <w:sz w:val="20"/>
          <w:szCs w:val="20"/>
        </w:rPr>
        <w:footnoteReference w:id="169"/>
      </w:r>
      <w:r w:rsidR="00C560F7" w:rsidRPr="0064597D">
        <w:rPr>
          <w:bCs/>
          <w:iCs/>
          <w:sz w:val="20"/>
          <w:szCs w:val="20"/>
        </w:rPr>
        <w:t xml:space="preserve">. </w:t>
      </w:r>
      <w:r w:rsidR="00C560F7" w:rsidRPr="0064597D">
        <w:rPr>
          <w:rFonts w:eastAsia="Calibri"/>
          <w:bCs/>
          <w:kern w:val="2"/>
          <w:sz w:val="20"/>
          <w:szCs w:val="20"/>
          <w:lang w:eastAsia="en-US"/>
        </w:rPr>
        <w:t xml:space="preserve">A este respecto, la Corte observa que, </w:t>
      </w:r>
      <w:r w:rsidR="00C560F7" w:rsidRPr="0064597D">
        <w:rPr>
          <w:bCs/>
          <w:sz w:val="20"/>
          <w:szCs w:val="20"/>
        </w:rPr>
        <w:t>si bien la imposición de la pena se suspendió en virtud de la referida medida provisional, ésta no generó la certeza de que no se ejecutaría la pena en un futuro, por lo que la persona condenada continuaría a la expectativa con posibilidades reales de que ello sucediera.</w:t>
      </w:r>
    </w:p>
    <w:p w14:paraId="48DB18CF" w14:textId="77777777" w:rsidR="00E32B28" w:rsidRPr="0064597D" w:rsidRDefault="00E32B28" w:rsidP="00E32B28">
      <w:pPr>
        <w:widowControl/>
        <w:tabs>
          <w:tab w:val="left" w:pos="567"/>
        </w:tabs>
        <w:adjustRightInd/>
        <w:spacing w:line="240" w:lineRule="auto"/>
        <w:textAlignment w:val="auto"/>
        <w:rPr>
          <w:rFonts w:eastAsia="Calibri"/>
          <w:b/>
          <w:kern w:val="2"/>
          <w:sz w:val="20"/>
          <w:szCs w:val="20"/>
          <w:lang w:eastAsia="en-US"/>
        </w:rPr>
      </w:pPr>
    </w:p>
    <w:p w14:paraId="5A575C19" w14:textId="3A369F93" w:rsidR="00E32B28" w:rsidRPr="0064597D" w:rsidRDefault="003F753F" w:rsidP="00E32B28">
      <w:pPr>
        <w:widowControl/>
        <w:numPr>
          <w:ilvl w:val="0"/>
          <w:numId w:val="1"/>
        </w:numPr>
        <w:tabs>
          <w:tab w:val="left" w:pos="567"/>
        </w:tabs>
        <w:adjustRightInd/>
        <w:spacing w:line="240" w:lineRule="auto"/>
        <w:ind w:left="0" w:firstLine="0"/>
        <w:textAlignment w:val="auto"/>
        <w:rPr>
          <w:rFonts w:eastAsia="Calibri"/>
          <w:b/>
          <w:kern w:val="2"/>
          <w:sz w:val="20"/>
          <w:szCs w:val="20"/>
          <w:lang w:eastAsia="en-US"/>
        </w:rPr>
      </w:pPr>
      <w:r w:rsidRPr="0064597D">
        <w:rPr>
          <w:sz w:val="20"/>
          <w:szCs w:val="20"/>
        </w:rPr>
        <w:t>A continuación</w:t>
      </w:r>
      <w:r w:rsidR="00E32B28" w:rsidRPr="0064597D">
        <w:rPr>
          <w:sz w:val="20"/>
          <w:szCs w:val="20"/>
        </w:rPr>
        <w:t xml:space="preserve"> corresponde a la Corte determinar si los hechos sufridos por el señor Ruiz Fuente</w:t>
      </w:r>
      <w:r w:rsidR="00D84387" w:rsidRPr="0064597D">
        <w:rPr>
          <w:sz w:val="20"/>
          <w:szCs w:val="20"/>
        </w:rPr>
        <w:t>s</w:t>
      </w:r>
      <w:r w:rsidR="00E32B28" w:rsidRPr="0064597D">
        <w:rPr>
          <w:sz w:val="20"/>
          <w:szCs w:val="20"/>
        </w:rPr>
        <w:t xml:space="preserve"> tras su condena a pena de muerte constituyeron, en este caso en concreto, un trato cruel, inhumano y degradante a la luz del artículo 5.1 y 5.2 de la Convención.</w:t>
      </w:r>
    </w:p>
    <w:p w14:paraId="3E0908AA" w14:textId="77777777" w:rsidR="00E32B28" w:rsidRPr="0064597D" w:rsidRDefault="00E32B28" w:rsidP="00E32B28">
      <w:pPr>
        <w:widowControl/>
        <w:tabs>
          <w:tab w:val="left" w:pos="567"/>
        </w:tabs>
        <w:adjustRightInd/>
        <w:spacing w:line="240" w:lineRule="auto"/>
        <w:textAlignment w:val="auto"/>
        <w:rPr>
          <w:rFonts w:eastAsia="Calibri"/>
          <w:b/>
          <w:kern w:val="2"/>
          <w:sz w:val="20"/>
          <w:szCs w:val="20"/>
          <w:lang w:eastAsia="en-US"/>
        </w:rPr>
      </w:pPr>
    </w:p>
    <w:p w14:paraId="564EB3C5" w14:textId="221EC6A1" w:rsidR="004665E2" w:rsidRPr="0064597D" w:rsidRDefault="00F32B5B" w:rsidP="000E3A01">
      <w:pPr>
        <w:widowControl/>
        <w:numPr>
          <w:ilvl w:val="0"/>
          <w:numId w:val="1"/>
        </w:numPr>
        <w:tabs>
          <w:tab w:val="left" w:pos="567"/>
        </w:tabs>
        <w:adjustRightInd/>
        <w:spacing w:line="240" w:lineRule="auto"/>
        <w:ind w:left="0" w:firstLine="0"/>
        <w:textAlignment w:val="auto"/>
        <w:rPr>
          <w:rFonts w:cs="AmnestyTradeGothic"/>
          <w:sz w:val="20"/>
          <w:szCs w:val="20"/>
        </w:rPr>
      </w:pPr>
      <w:r w:rsidRPr="0064597D">
        <w:rPr>
          <w:kern w:val="2"/>
          <w:sz w:val="20"/>
          <w:szCs w:val="20"/>
          <w:lang w:eastAsia="en-US"/>
        </w:rPr>
        <w:t xml:space="preserve">Esta Corte ha tenido oportunidad de pronunciarse al respecto del llamado “fenómeno del corredor de la muerte” </w:t>
      </w:r>
      <w:r w:rsidR="00E32B28" w:rsidRPr="0064597D">
        <w:rPr>
          <w:rStyle w:val="Textoennegrita"/>
          <w:b w:val="0"/>
          <w:sz w:val="20"/>
          <w:szCs w:val="20"/>
        </w:rPr>
        <w:t>en el caso</w:t>
      </w:r>
      <w:r w:rsidR="00E32B28" w:rsidRPr="0064597D">
        <w:rPr>
          <w:rStyle w:val="Textoennegrita"/>
          <w:b w:val="0"/>
          <w:i/>
          <w:sz w:val="20"/>
          <w:szCs w:val="20"/>
        </w:rPr>
        <w:t xml:space="preserve"> Hilaire, Constantine y Benjamin y otros Vs. Trinidad y Tobago</w:t>
      </w:r>
      <w:r w:rsidR="00E32B28" w:rsidRPr="0064597D">
        <w:rPr>
          <w:rStyle w:val="Refdenotaalpie"/>
          <w:bCs/>
          <w:sz w:val="20"/>
          <w:szCs w:val="20"/>
        </w:rPr>
        <w:footnoteReference w:id="170"/>
      </w:r>
      <w:r w:rsidR="00E32B28" w:rsidRPr="0064597D">
        <w:rPr>
          <w:kern w:val="2"/>
          <w:sz w:val="20"/>
          <w:szCs w:val="20"/>
          <w:lang w:eastAsia="en-US"/>
        </w:rPr>
        <w:t xml:space="preserve"> y </w:t>
      </w:r>
      <w:r w:rsidRPr="0064597D">
        <w:rPr>
          <w:kern w:val="2"/>
          <w:sz w:val="20"/>
          <w:szCs w:val="20"/>
          <w:lang w:eastAsia="en-US"/>
        </w:rPr>
        <w:t>en el caso</w:t>
      </w:r>
      <w:r w:rsidRPr="0064597D">
        <w:rPr>
          <w:b/>
          <w:kern w:val="2"/>
          <w:sz w:val="20"/>
          <w:szCs w:val="20"/>
          <w:lang w:eastAsia="en-US"/>
        </w:rPr>
        <w:t xml:space="preserve"> </w:t>
      </w:r>
      <w:r w:rsidRPr="0064597D">
        <w:rPr>
          <w:rStyle w:val="Textoennegrita"/>
          <w:b w:val="0"/>
          <w:i/>
          <w:sz w:val="20"/>
          <w:szCs w:val="20"/>
        </w:rPr>
        <w:t>Raxcacó Reyes Vs. Guatemala</w:t>
      </w:r>
      <w:r w:rsidRPr="0064597D">
        <w:rPr>
          <w:rStyle w:val="Refdenotaalpie"/>
          <w:bCs/>
          <w:sz w:val="20"/>
          <w:szCs w:val="20"/>
        </w:rPr>
        <w:footnoteReference w:id="171"/>
      </w:r>
      <w:r w:rsidRPr="0064597D">
        <w:rPr>
          <w:rStyle w:val="Textoennegrita"/>
          <w:b w:val="0"/>
          <w:sz w:val="20"/>
          <w:szCs w:val="20"/>
        </w:rPr>
        <w:t xml:space="preserve">. </w:t>
      </w:r>
      <w:r w:rsidR="00C560F7" w:rsidRPr="0064597D">
        <w:rPr>
          <w:sz w:val="20"/>
          <w:szCs w:val="20"/>
          <w:lang w:val="es-CO"/>
        </w:rPr>
        <w:t>Asimismo</w:t>
      </w:r>
      <w:r w:rsidR="00C560F7" w:rsidRPr="0064597D">
        <w:rPr>
          <w:sz w:val="20"/>
          <w:szCs w:val="20"/>
        </w:rPr>
        <w:t>, el Tribunal Europeo de Derechos Humanos</w:t>
      </w:r>
      <w:r w:rsidR="00C560F7" w:rsidRPr="0064597D">
        <w:rPr>
          <w:rStyle w:val="Refdenotaalpie"/>
          <w:rFonts w:cs="AmnestyTradeGothic"/>
          <w:sz w:val="20"/>
          <w:szCs w:val="20"/>
        </w:rPr>
        <w:footnoteReference w:id="172"/>
      </w:r>
      <w:r w:rsidR="00C560F7" w:rsidRPr="0064597D">
        <w:rPr>
          <w:sz w:val="20"/>
          <w:szCs w:val="20"/>
        </w:rPr>
        <w:t>, el Sistema Universal de Derechos Humanos</w:t>
      </w:r>
      <w:r w:rsidR="00C560F7" w:rsidRPr="0064597D">
        <w:rPr>
          <w:rStyle w:val="Refdenotaalpie"/>
          <w:sz w:val="20"/>
          <w:szCs w:val="20"/>
        </w:rPr>
        <w:footnoteReference w:id="173"/>
      </w:r>
      <w:r w:rsidR="00C560F7" w:rsidRPr="0064597D">
        <w:rPr>
          <w:sz w:val="20"/>
          <w:szCs w:val="20"/>
        </w:rPr>
        <w:t xml:space="preserve"> y algunos tribunales nacionales</w:t>
      </w:r>
      <w:r w:rsidR="00C560F7" w:rsidRPr="0064597D">
        <w:rPr>
          <w:rStyle w:val="Refdenotaalpie"/>
          <w:sz w:val="20"/>
          <w:szCs w:val="20"/>
        </w:rPr>
        <w:footnoteReference w:id="174"/>
      </w:r>
      <w:r w:rsidR="00C560F7" w:rsidRPr="0064597D">
        <w:rPr>
          <w:sz w:val="20"/>
          <w:szCs w:val="20"/>
        </w:rPr>
        <w:t xml:space="preserve"> advierten que el llamado “corredor de la muerte” causa una afectación al derecho a la integridad personal por la angustia en la que se encuentran </w:t>
      </w:r>
      <w:r w:rsidR="00C560F7" w:rsidRPr="0064597D">
        <w:rPr>
          <w:kern w:val="2"/>
          <w:sz w:val="20"/>
          <w:szCs w:val="20"/>
          <w:lang w:eastAsia="en-US"/>
        </w:rPr>
        <w:t>las</w:t>
      </w:r>
      <w:r w:rsidR="00C560F7" w:rsidRPr="0064597D">
        <w:rPr>
          <w:sz w:val="20"/>
          <w:szCs w:val="20"/>
        </w:rPr>
        <w:t xml:space="preserve"> personas condenadas a muerte, situación, que genera traumas psicológicos por la manifestación presente y creciente de la ejecución de la pena máxima</w:t>
      </w:r>
      <w:r w:rsidR="00C560F7" w:rsidRPr="0064597D">
        <w:rPr>
          <w:rStyle w:val="Refdenotaalpie"/>
          <w:sz w:val="20"/>
          <w:szCs w:val="20"/>
        </w:rPr>
        <w:footnoteReference w:id="175"/>
      </w:r>
      <w:r w:rsidR="00C560F7" w:rsidRPr="0064597D">
        <w:rPr>
          <w:sz w:val="20"/>
          <w:szCs w:val="20"/>
        </w:rPr>
        <w:t>, por ende, es considerado como un trato cruel inhumano y degradante.</w:t>
      </w:r>
      <w:r w:rsidR="00C560F7">
        <w:rPr>
          <w:sz w:val="20"/>
          <w:szCs w:val="20"/>
        </w:rPr>
        <w:t xml:space="preserve"> </w:t>
      </w:r>
      <w:r w:rsidR="00E32B28" w:rsidRPr="0064597D">
        <w:rPr>
          <w:rStyle w:val="Textoennegrita"/>
          <w:b w:val="0"/>
          <w:sz w:val="20"/>
          <w:szCs w:val="20"/>
        </w:rPr>
        <w:t xml:space="preserve">La Corte observa que, </w:t>
      </w:r>
      <w:r w:rsidR="00196EEB" w:rsidRPr="0064597D">
        <w:rPr>
          <w:rStyle w:val="Textoennegrita"/>
          <w:b w:val="0"/>
          <w:sz w:val="20"/>
          <w:szCs w:val="20"/>
        </w:rPr>
        <w:t xml:space="preserve">tanto </w:t>
      </w:r>
      <w:r w:rsidR="00E32B28" w:rsidRPr="0064597D">
        <w:rPr>
          <w:rStyle w:val="Textoennegrita"/>
          <w:b w:val="0"/>
          <w:sz w:val="20"/>
          <w:szCs w:val="20"/>
        </w:rPr>
        <w:t xml:space="preserve">en </w:t>
      </w:r>
      <w:r w:rsidRPr="0064597D">
        <w:rPr>
          <w:sz w:val="20"/>
          <w:szCs w:val="20"/>
        </w:rPr>
        <w:t xml:space="preserve">el </w:t>
      </w:r>
      <w:r w:rsidRPr="0064597D">
        <w:rPr>
          <w:i/>
          <w:sz w:val="20"/>
          <w:szCs w:val="20"/>
        </w:rPr>
        <w:t>caso Hilaire, Constantine y Benjamin y otros Vs. Trinidad y Tobago</w:t>
      </w:r>
      <w:r w:rsidR="00E32B28" w:rsidRPr="0064597D">
        <w:rPr>
          <w:sz w:val="20"/>
          <w:szCs w:val="20"/>
        </w:rPr>
        <w:t xml:space="preserve"> </w:t>
      </w:r>
      <w:r w:rsidR="00196EEB" w:rsidRPr="0064597D">
        <w:rPr>
          <w:sz w:val="20"/>
          <w:szCs w:val="20"/>
        </w:rPr>
        <w:t xml:space="preserve">como en el caso </w:t>
      </w:r>
      <w:r w:rsidR="00196EEB" w:rsidRPr="0064597D">
        <w:rPr>
          <w:i/>
          <w:sz w:val="20"/>
          <w:szCs w:val="20"/>
        </w:rPr>
        <w:t>Raxcacó Reyes Vs. Guatemala</w:t>
      </w:r>
      <w:r w:rsidR="00196EEB" w:rsidRPr="0064597D">
        <w:rPr>
          <w:sz w:val="20"/>
          <w:szCs w:val="20"/>
        </w:rPr>
        <w:t xml:space="preserve"> </w:t>
      </w:r>
      <w:r w:rsidR="00113A46" w:rsidRPr="0064597D">
        <w:rPr>
          <w:sz w:val="20"/>
          <w:szCs w:val="20"/>
        </w:rPr>
        <w:t xml:space="preserve">se </w:t>
      </w:r>
      <w:r w:rsidR="00E32B28" w:rsidRPr="0064597D">
        <w:rPr>
          <w:sz w:val="20"/>
          <w:szCs w:val="20"/>
        </w:rPr>
        <w:t xml:space="preserve">realizó una valoración de los peritajes aportados relativos a las condiciones de detención </w:t>
      </w:r>
      <w:r w:rsidR="00196EEB" w:rsidRPr="0064597D">
        <w:rPr>
          <w:sz w:val="20"/>
          <w:szCs w:val="20"/>
        </w:rPr>
        <w:t>específicas</w:t>
      </w:r>
      <w:r w:rsidR="00113A46" w:rsidRPr="0064597D">
        <w:rPr>
          <w:sz w:val="20"/>
          <w:szCs w:val="20"/>
        </w:rPr>
        <w:t xml:space="preserve"> y propias de las personas condenadas a muerte y v</w:t>
      </w:r>
      <w:r w:rsidR="00196EEB" w:rsidRPr="0064597D">
        <w:rPr>
          <w:sz w:val="20"/>
          <w:szCs w:val="20"/>
        </w:rPr>
        <w:t xml:space="preserve">íctimas del caso, así como sobre el impacto concreto sobre ellas, </w:t>
      </w:r>
      <w:r w:rsidR="00113A46" w:rsidRPr="0064597D">
        <w:rPr>
          <w:sz w:val="20"/>
          <w:szCs w:val="20"/>
        </w:rPr>
        <w:t>las cuales</w:t>
      </w:r>
      <w:r w:rsidR="00E32B28" w:rsidRPr="0064597D">
        <w:rPr>
          <w:sz w:val="20"/>
          <w:szCs w:val="20"/>
        </w:rPr>
        <w:t xml:space="preserve"> condujeron a una violación de los artículos 5.1 y 5.2 de la Convención Americana, en relación con el artículo 1.1 del mismo instrumento</w:t>
      </w:r>
      <w:r w:rsidR="00E32B28" w:rsidRPr="0064597D">
        <w:rPr>
          <w:rStyle w:val="Refdenotaalpie"/>
          <w:sz w:val="20"/>
          <w:szCs w:val="20"/>
        </w:rPr>
        <w:footnoteReference w:id="176"/>
      </w:r>
      <w:r w:rsidRPr="0064597D">
        <w:rPr>
          <w:sz w:val="20"/>
          <w:szCs w:val="20"/>
        </w:rPr>
        <w:t xml:space="preserve">. </w:t>
      </w:r>
      <w:r w:rsidR="00C665EE" w:rsidRPr="0064597D">
        <w:rPr>
          <w:rFonts w:eastAsia="Calibri" w:cs="Calibri"/>
          <w:sz w:val="20"/>
          <w:szCs w:val="20"/>
        </w:rPr>
        <w:t xml:space="preserve">A la vista de lo anterior, para determinar la existencia de una violación a la integridad personal derivada del fenómeno del corredor de la muerte, es necesario analizar las circunstancias personales </w:t>
      </w:r>
      <w:r w:rsidR="00E60B4C" w:rsidRPr="0064597D">
        <w:rPr>
          <w:rFonts w:eastAsia="Calibri" w:cs="Calibri"/>
          <w:sz w:val="20"/>
          <w:szCs w:val="20"/>
        </w:rPr>
        <w:t xml:space="preserve">y </w:t>
      </w:r>
      <w:r w:rsidR="00C665EE" w:rsidRPr="0064597D">
        <w:rPr>
          <w:rFonts w:eastAsia="Calibri" w:cs="Calibri"/>
          <w:sz w:val="20"/>
          <w:szCs w:val="20"/>
        </w:rPr>
        <w:lastRenderedPageBreak/>
        <w:t xml:space="preserve">particulares del caso para poder valorar si un determinado trato o pena </w:t>
      </w:r>
      <w:r w:rsidR="00E60B4C" w:rsidRPr="0064597D">
        <w:rPr>
          <w:rFonts w:eastAsia="Calibri" w:cs="Calibri"/>
          <w:sz w:val="20"/>
          <w:szCs w:val="20"/>
        </w:rPr>
        <w:t>alcanzó el</w:t>
      </w:r>
      <w:r w:rsidR="00C665EE" w:rsidRPr="0064597D">
        <w:rPr>
          <w:rFonts w:eastAsia="Calibri" w:cs="Calibri"/>
          <w:sz w:val="20"/>
          <w:szCs w:val="20"/>
        </w:rPr>
        <w:t xml:space="preserve"> nivel mínimo de gravedad para calificarse como cruel, inhumano o degradante</w:t>
      </w:r>
      <w:r w:rsidR="00C665EE" w:rsidRPr="0064597D">
        <w:rPr>
          <w:rStyle w:val="Refdenotaalpie"/>
          <w:rFonts w:eastAsia="Calibri" w:cs="Calibri"/>
          <w:sz w:val="20"/>
          <w:szCs w:val="20"/>
        </w:rPr>
        <w:footnoteReference w:id="177"/>
      </w:r>
      <w:r w:rsidR="00C665EE" w:rsidRPr="0064597D">
        <w:rPr>
          <w:rFonts w:eastAsia="Calibri" w:cs="Calibri"/>
          <w:sz w:val="20"/>
          <w:szCs w:val="20"/>
        </w:rPr>
        <w:t>.</w:t>
      </w:r>
      <w:r w:rsidR="00DC2970" w:rsidRPr="0064597D">
        <w:rPr>
          <w:rFonts w:eastAsia="Calibri" w:cs="Calibri"/>
          <w:sz w:val="20"/>
          <w:szCs w:val="20"/>
        </w:rPr>
        <w:t xml:space="preserve"> </w:t>
      </w:r>
    </w:p>
    <w:p w14:paraId="6273D5D4" w14:textId="77777777" w:rsidR="00C560F7" w:rsidRPr="00C560F7" w:rsidRDefault="00C560F7" w:rsidP="00C560F7">
      <w:pPr>
        <w:widowControl/>
        <w:tabs>
          <w:tab w:val="left" w:pos="567"/>
        </w:tabs>
        <w:adjustRightInd/>
        <w:spacing w:line="240" w:lineRule="auto"/>
        <w:contextualSpacing/>
        <w:textAlignment w:val="auto"/>
        <w:rPr>
          <w:bCs/>
          <w:iCs/>
          <w:sz w:val="20"/>
          <w:szCs w:val="20"/>
        </w:rPr>
      </w:pPr>
    </w:p>
    <w:p w14:paraId="45D78C11" w14:textId="5DAED6C4" w:rsidR="004665E2" w:rsidRPr="0064597D" w:rsidRDefault="0025643C" w:rsidP="000E3A01">
      <w:pPr>
        <w:widowControl/>
        <w:numPr>
          <w:ilvl w:val="0"/>
          <w:numId w:val="1"/>
        </w:numPr>
        <w:tabs>
          <w:tab w:val="left" w:pos="567"/>
        </w:tabs>
        <w:adjustRightInd/>
        <w:spacing w:line="240" w:lineRule="auto"/>
        <w:ind w:left="0" w:firstLine="0"/>
        <w:contextualSpacing/>
        <w:textAlignment w:val="auto"/>
        <w:rPr>
          <w:bCs/>
          <w:iCs/>
          <w:sz w:val="20"/>
          <w:szCs w:val="20"/>
        </w:rPr>
      </w:pPr>
      <w:r w:rsidRPr="0064597D">
        <w:rPr>
          <w:sz w:val="20"/>
          <w:szCs w:val="20"/>
        </w:rPr>
        <w:t>L</w:t>
      </w:r>
      <w:r w:rsidR="00642788" w:rsidRPr="0064597D">
        <w:rPr>
          <w:sz w:val="20"/>
          <w:szCs w:val="20"/>
        </w:rPr>
        <w:t>a</w:t>
      </w:r>
      <w:r w:rsidR="00642788" w:rsidRPr="0064597D">
        <w:rPr>
          <w:rFonts w:eastAsia="Calibri"/>
          <w:kern w:val="2"/>
          <w:sz w:val="20"/>
          <w:szCs w:val="20"/>
          <w:lang w:eastAsia="en-US"/>
        </w:rPr>
        <w:t xml:space="preserve"> Corte observa </w:t>
      </w:r>
      <w:r w:rsidR="0070405E">
        <w:rPr>
          <w:rFonts w:eastAsia="Calibri"/>
          <w:kern w:val="2"/>
          <w:sz w:val="20"/>
          <w:szCs w:val="20"/>
          <w:lang w:eastAsia="en-US"/>
        </w:rPr>
        <w:t xml:space="preserve">en primer lugar </w:t>
      </w:r>
      <w:r w:rsidR="00642788" w:rsidRPr="0064597D">
        <w:rPr>
          <w:rFonts w:eastAsia="Calibri"/>
          <w:kern w:val="2"/>
          <w:sz w:val="20"/>
          <w:szCs w:val="20"/>
          <w:lang w:eastAsia="en-US"/>
        </w:rPr>
        <w:t xml:space="preserve">que </w:t>
      </w:r>
      <w:r w:rsidR="00642788" w:rsidRPr="0064597D">
        <w:rPr>
          <w:sz w:val="20"/>
          <w:szCs w:val="20"/>
          <w:lang w:val="es-ES_tradnl"/>
        </w:rPr>
        <w:t xml:space="preserve">el señor Ruiz Fuentes permaneció durante 6 años y 5 meses bajo una constante amenaza de que en cualquier momento podía ser ejecutado. </w:t>
      </w:r>
      <w:r w:rsidR="004665E2" w:rsidRPr="0064597D">
        <w:rPr>
          <w:sz w:val="20"/>
          <w:szCs w:val="20"/>
          <w:lang w:val="es-ES_tradnl"/>
        </w:rPr>
        <w:t>C</w:t>
      </w:r>
      <w:r w:rsidR="00642788" w:rsidRPr="0064597D">
        <w:rPr>
          <w:color w:val="000000" w:themeColor="text1"/>
          <w:sz w:val="20"/>
          <w:szCs w:val="20"/>
        </w:rPr>
        <w:t>omo resultado de esta sentencia condenatoria</w:t>
      </w:r>
      <w:r w:rsidR="00AE047F" w:rsidRPr="0064597D">
        <w:rPr>
          <w:color w:val="000000" w:themeColor="text1"/>
          <w:sz w:val="20"/>
          <w:szCs w:val="20"/>
        </w:rPr>
        <w:t>,</w:t>
      </w:r>
      <w:r w:rsidR="00642788" w:rsidRPr="0064597D">
        <w:rPr>
          <w:color w:val="000000" w:themeColor="text1"/>
          <w:sz w:val="20"/>
          <w:szCs w:val="20"/>
        </w:rPr>
        <w:t xml:space="preserve"> </w:t>
      </w:r>
      <w:r w:rsidR="00642788" w:rsidRPr="0064597D">
        <w:rPr>
          <w:sz w:val="20"/>
          <w:szCs w:val="20"/>
        </w:rPr>
        <w:t>el señor Ruiz Fuentes tuvo que contemplar la</w:t>
      </w:r>
      <w:r w:rsidR="00642788" w:rsidRPr="0064597D">
        <w:rPr>
          <w:spacing w:val="23"/>
          <w:sz w:val="20"/>
          <w:szCs w:val="20"/>
        </w:rPr>
        <w:t xml:space="preserve"> </w:t>
      </w:r>
      <w:r w:rsidR="00642788" w:rsidRPr="0064597D">
        <w:rPr>
          <w:sz w:val="20"/>
          <w:szCs w:val="20"/>
        </w:rPr>
        <w:t>perspectiva</w:t>
      </w:r>
      <w:r w:rsidR="00642788" w:rsidRPr="0064597D">
        <w:rPr>
          <w:spacing w:val="10"/>
          <w:sz w:val="20"/>
          <w:szCs w:val="20"/>
        </w:rPr>
        <w:t xml:space="preserve"> </w:t>
      </w:r>
      <w:r w:rsidR="00642788" w:rsidRPr="0064597D">
        <w:rPr>
          <w:sz w:val="20"/>
          <w:szCs w:val="20"/>
        </w:rPr>
        <w:t>de</w:t>
      </w:r>
      <w:r w:rsidR="00642788" w:rsidRPr="0064597D">
        <w:rPr>
          <w:spacing w:val="8"/>
          <w:sz w:val="20"/>
          <w:szCs w:val="20"/>
        </w:rPr>
        <w:t xml:space="preserve"> </w:t>
      </w:r>
      <w:r w:rsidR="00642788" w:rsidRPr="0064597D">
        <w:rPr>
          <w:sz w:val="20"/>
          <w:szCs w:val="20"/>
        </w:rPr>
        <w:t>la extinción de su vida</w:t>
      </w:r>
      <w:r w:rsidR="00642788" w:rsidRPr="0064597D">
        <w:rPr>
          <w:rStyle w:val="Refdenotaalpie"/>
          <w:sz w:val="20"/>
          <w:szCs w:val="20"/>
        </w:rPr>
        <w:footnoteReference w:id="178"/>
      </w:r>
      <w:r w:rsidR="00642788" w:rsidRPr="0064597D">
        <w:rPr>
          <w:sz w:val="20"/>
          <w:szCs w:val="20"/>
        </w:rPr>
        <w:t xml:space="preserve"> durante </w:t>
      </w:r>
      <w:r w:rsidR="004665E2" w:rsidRPr="0064597D">
        <w:rPr>
          <w:sz w:val="20"/>
          <w:szCs w:val="20"/>
        </w:rPr>
        <w:t>dicho tiempo</w:t>
      </w:r>
      <w:r w:rsidR="00642788" w:rsidRPr="0064597D">
        <w:rPr>
          <w:bCs/>
          <w:iCs/>
          <w:sz w:val="20"/>
          <w:szCs w:val="20"/>
        </w:rPr>
        <w:t>.</w:t>
      </w:r>
      <w:r w:rsidR="0070405E">
        <w:rPr>
          <w:bCs/>
          <w:iCs/>
          <w:sz w:val="20"/>
          <w:szCs w:val="20"/>
        </w:rPr>
        <w:t xml:space="preserve"> Asimismo, l</w:t>
      </w:r>
      <w:r w:rsidR="00DC2970" w:rsidRPr="0064597D">
        <w:rPr>
          <w:sz w:val="20"/>
          <w:szCs w:val="20"/>
        </w:rPr>
        <w:t>a Corte destaca que</w:t>
      </w:r>
      <w:r w:rsidRPr="0064597D">
        <w:rPr>
          <w:sz w:val="20"/>
          <w:szCs w:val="20"/>
        </w:rPr>
        <w:t xml:space="preserve"> la forma en la que se impone una condena a pena de muerte puede constituir un factor que determine su incompatibilidad con lo establecido en el artículo 5 de la Convención Americana</w:t>
      </w:r>
      <w:r w:rsidRPr="0064597D">
        <w:rPr>
          <w:rStyle w:val="Refdenotaalpie"/>
          <w:sz w:val="20"/>
          <w:szCs w:val="20"/>
        </w:rPr>
        <w:footnoteReference w:id="179"/>
      </w:r>
      <w:r w:rsidRPr="0064597D">
        <w:rPr>
          <w:sz w:val="20"/>
          <w:szCs w:val="20"/>
        </w:rPr>
        <w:t xml:space="preserve">. La Corte </w:t>
      </w:r>
      <w:r w:rsidR="0070405E">
        <w:rPr>
          <w:sz w:val="20"/>
          <w:szCs w:val="20"/>
        </w:rPr>
        <w:t>advierte</w:t>
      </w:r>
      <w:r w:rsidRPr="0064597D">
        <w:rPr>
          <w:sz w:val="20"/>
          <w:szCs w:val="20"/>
        </w:rPr>
        <w:t xml:space="preserve"> que </w:t>
      </w:r>
      <w:r w:rsidR="00642788" w:rsidRPr="0064597D">
        <w:rPr>
          <w:sz w:val="20"/>
          <w:szCs w:val="20"/>
          <w:lang w:val="es-ES_tradnl"/>
        </w:rPr>
        <w:t xml:space="preserve">el señor Ruiz Fuentes fue condenado a la pena capital en el marco de un procedimiento penal en el que se produjeron patentes violaciones de los artículos 4.2 y 4.6 de la Convención, y en violación de varios preceptos relativos al debido proceso en el marco del procedimiento penal (ver </w:t>
      </w:r>
      <w:r w:rsidR="00642788" w:rsidRPr="0064597D">
        <w:rPr>
          <w:i/>
          <w:sz w:val="20"/>
          <w:szCs w:val="20"/>
          <w:lang w:val="es-ES_tradnl"/>
        </w:rPr>
        <w:t>infra</w:t>
      </w:r>
      <w:r w:rsidR="00642788" w:rsidRPr="0064597D">
        <w:rPr>
          <w:sz w:val="20"/>
          <w:szCs w:val="20"/>
          <w:lang w:val="es-ES_tradnl"/>
        </w:rPr>
        <w:t xml:space="preserve"> </w:t>
      </w:r>
      <w:r w:rsidR="007C2F92" w:rsidRPr="0064597D">
        <w:rPr>
          <w:sz w:val="20"/>
          <w:szCs w:val="20"/>
          <w:lang w:val="es-ES_tradnl"/>
        </w:rPr>
        <w:t>párrs. 14</w:t>
      </w:r>
      <w:r w:rsidR="0070405E">
        <w:rPr>
          <w:sz w:val="20"/>
          <w:szCs w:val="20"/>
          <w:lang w:val="es-ES_tradnl"/>
        </w:rPr>
        <w:t>6</w:t>
      </w:r>
      <w:r w:rsidR="007C2F92" w:rsidRPr="0064597D">
        <w:rPr>
          <w:sz w:val="20"/>
          <w:szCs w:val="20"/>
          <w:lang w:val="es-ES_tradnl"/>
        </w:rPr>
        <w:t xml:space="preserve"> a </w:t>
      </w:r>
      <w:r w:rsidR="0070405E">
        <w:rPr>
          <w:sz w:val="20"/>
          <w:szCs w:val="20"/>
          <w:lang w:val="es-ES_tradnl"/>
        </w:rPr>
        <w:t>168</w:t>
      </w:r>
      <w:r w:rsidR="00642788" w:rsidRPr="0064597D">
        <w:rPr>
          <w:sz w:val="20"/>
          <w:szCs w:val="20"/>
          <w:lang w:val="es-ES_tradnl"/>
        </w:rPr>
        <w:t xml:space="preserve">). </w:t>
      </w:r>
      <w:r w:rsidR="00642788" w:rsidRPr="0064597D">
        <w:rPr>
          <w:sz w:val="20"/>
          <w:szCs w:val="20"/>
        </w:rPr>
        <w:t>La Corte considera que el proceso penal al que fue sometido el señor Ruiz Fuentes</w:t>
      </w:r>
      <w:r w:rsidR="00745F52" w:rsidRPr="0064597D">
        <w:rPr>
          <w:sz w:val="20"/>
          <w:szCs w:val="20"/>
        </w:rPr>
        <w:t xml:space="preserve">, </w:t>
      </w:r>
      <w:r w:rsidR="00DC2970" w:rsidRPr="0064597D">
        <w:rPr>
          <w:sz w:val="20"/>
          <w:szCs w:val="20"/>
        </w:rPr>
        <w:t>cuyo resultado</w:t>
      </w:r>
      <w:r w:rsidR="00745F52" w:rsidRPr="0064597D">
        <w:rPr>
          <w:sz w:val="20"/>
          <w:szCs w:val="20"/>
        </w:rPr>
        <w:t xml:space="preserve"> además</w:t>
      </w:r>
      <w:r w:rsidR="00DC2970" w:rsidRPr="0064597D">
        <w:rPr>
          <w:sz w:val="20"/>
          <w:szCs w:val="20"/>
        </w:rPr>
        <w:t xml:space="preserve"> fue la imposición de la pena de muerte</w:t>
      </w:r>
      <w:r w:rsidR="00745F52" w:rsidRPr="0064597D">
        <w:rPr>
          <w:sz w:val="20"/>
          <w:szCs w:val="20"/>
        </w:rPr>
        <w:t>,</w:t>
      </w:r>
      <w:r w:rsidR="00642788" w:rsidRPr="0064597D">
        <w:rPr>
          <w:sz w:val="20"/>
          <w:szCs w:val="20"/>
        </w:rPr>
        <w:t xml:space="preserve"> pudo producirle un profundo sufrimiento, angustia, ansiedad, frustración y estrés, del cual incluso pudo derivar algún tipo de trastorno por estrés post-traumático, tal y como ha sucedido en otros casos de personas condenadas a pena de muerte</w:t>
      </w:r>
      <w:r w:rsidR="00642788" w:rsidRPr="0064597D">
        <w:rPr>
          <w:rStyle w:val="Refdenotaalpie"/>
          <w:sz w:val="20"/>
          <w:szCs w:val="20"/>
        </w:rPr>
        <w:footnoteReference w:id="180"/>
      </w:r>
      <w:r w:rsidR="00642788" w:rsidRPr="0064597D">
        <w:rPr>
          <w:sz w:val="20"/>
          <w:szCs w:val="20"/>
        </w:rPr>
        <w:t>.</w:t>
      </w:r>
    </w:p>
    <w:p w14:paraId="6C4BA0FF" w14:textId="77777777" w:rsidR="004665E2" w:rsidRPr="0064597D" w:rsidRDefault="004665E2" w:rsidP="004665E2">
      <w:pPr>
        <w:widowControl/>
        <w:tabs>
          <w:tab w:val="left" w:pos="567"/>
        </w:tabs>
        <w:adjustRightInd/>
        <w:spacing w:line="240" w:lineRule="auto"/>
        <w:contextualSpacing/>
        <w:textAlignment w:val="auto"/>
        <w:rPr>
          <w:bCs/>
          <w:iCs/>
          <w:sz w:val="20"/>
          <w:szCs w:val="20"/>
        </w:rPr>
      </w:pPr>
    </w:p>
    <w:p w14:paraId="22626BC4" w14:textId="5665602A" w:rsidR="00642788" w:rsidRPr="0064597D" w:rsidRDefault="00642788" w:rsidP="00AE047F">
      <w:pPr>
        <w:widowControl/>
        <w:numPr>
          <w:ilvl w:val="0"/>
          <w:numId w:val="1"/>
        </w:numPr>
        <w:tabs>
          <w:tab w:val="left" w:pos="567"/>
        </w:tabs>
        <w:adjustRightInd/>
        <w:spacing w:line="240" w:lineRule="auto"/>
        <w:ind w:left="0" w:firstLine="0"/>
        <w:contextualSpacing/>
        <w:textAlignment w:val="auto"/>
        <w:rPr>
          <w:bCs/>
          <w:iCs/>
          <w:sz w:val="20"/>
          <w:szCs w:val="20"/>
        </w:rPr>
      </w:pPr>
      <w:r w:rsidRPr="0064597D">
        <w:rPr>
          <w:color w:val="000000" w:themeColor="text1"/>
          <w:sz w:val="20"/>
          <w:szCs w:val="20"/>
        </w:rPr>
        <w:t xml:space="preserve">Por tal motivo, </w:t>
      </w:r>
      <w:r w:rsidRPr="0064597D">
        <w:rPr>
          <w:sz w:val="20"/>
          <w:szCs w:val="20"/>
        </w:rPr>
        <w:t xml:space="preserve">la Corte concluye que el señor Ruiz Fuentes enfrentó graves sufrimientos psíquicos provenientes de la angustia de </w:t>
      </w:r>
      <w:r w:rsidR="003D3DBF">
        <w:rPr>
          <w:sz w:val="20"/>
          <w:szCs w:val="20"/>
        </w:rPr>
        <w:t>encontrarse</w:t>
      </w:r>
      <w:r w:rsidRPr="0064597D">
        <w:rPr>
          <w:sz w:val="20"/>
          <w:szCs w:val="20"/>
        </w:rPr>
        <w:t xml:space="preserve"> en el “corredor de la muerte” tras un procedimiento que tuvo numerosas falencias, lo cual </w:t>
      </w:r>
      <w:r w:rsidRPr="0064597D">
        <w:rPr>
          <w:bCs/>
          <w:iCs/>
          <w:sz w:val="20"/>
          <w:szCs w:val="20"/>
        </w:rPr>
        <w:t>fue violatorio de su derecho a la integridad física, psíquica y moral, contenido en el artículo 5.1 de la Convención Americana y ha constituido un trato cruel, inhumano y degradante contrario al artículo 5.2 de la misma, todo ello con relación al artículo 1.1 del mismo instrumento.</w:t>
      </w:r>
    </w:p>
    <w:p w14:paraId="5D65F099" w14:textId="74E85BFF" w:rsidR="00BB0F77" w:rsidRPr="0064597D" w:rsidRDefault="00832D41" w:rsidP="002F4F08">
      <w:pPr>
        <w:pStyle w:val="Ttulo1"/>
        <w:rPr>
          <w:caps w:val="0"/>
        </w:rPr>
      </w:pPr>
      <w:bookmarkStart w:id="76" w:name="_Toc24014563"/>
      <w:r w:rsidRPr="0064597D">
        <w:t>V</w:t>
      </w:r>
      <w:r w:rsidR="00EA52BD" w:rsidRPr="0064597D">
        <w:t>I</w:t>
      </w:r>
      <w:r w:rsidRPr="0064597D">
        <w:t>II-</w:t>
      </w:r>
      <w:r w:rsidR="00971496" w:rsidRPr="0064597D">
        <w:t>4</w:t>
      </w:r>
      <w:r w:rsidRPr="0064597D">
        <w:br/>
      </w:r>
      <w:r w:rsidR="00BB0F77" w:rsidRPr="0064597D">
        <w:t xml:space="preserve">DERECHO </w:t>
      </w:r>
      <w:r w:rsidR="009D73ED" w:rsidRPr="0064597D">
        <w:t>A LAS GARANTÍAS JUDICIALES</w:t>
      </w:r>
      <w:r w:rsidR="00CC1D10" w:rsidRPr="0064597D">
        <w:t xml:space="preserve"> </w:t>
      </w:r>
      <w:r w:rsidR="001B7763" w:rsidRPr="0064597D">
        <w:t>Y A LA PROTECCIÓN JUDICIAL</w:t>
      </w:r>
      <w:r w:rsidR="001B7763" w:rsidRPr="0064597D">
        <w:rPr>
          <w:rStyle w:val="Refdenotaalpie"/>
        </w:rPr>
        <w:footnoteReference w:id="181"/>
      </w:r>
      <w:bookmarkEnd w:id="76"/>
      <w:r w:rsidRPr="0064597D">
        <w:rPr>
          <w:vertAlign w:val="superscript"/>
        </w:rPr>
        <w:t xml:space="preserve"> </w:t>
      </w:r>
    </w:p>
    <w:p w14:paraId="75FADE15" w14:textId="77777777" w:rsidR="00BB0F77" w:rsidRPr="0064597D" w:rsidRDefault="00BB0F77" w:rsidP="00377181">
      <w:pPr>
        <w:pStyle w:val="Ttulo2"/>
      </w:pPr>
      <w:bookmarkStart w:id="77" w:name="_Toc24014564"/>
      <w:r w:rsidRPr="0064597D">
        <w:t>A.</w:t>
      </w:r>
      <w:r w:rsidRPr="0064597D">
        <w:tab/>
        <w:t>Argumentos de las partes y de la Comisión</w:t>
      </w:r>
      <w:bookmarkEnd w:id="77"/>
    </w:p>
    <w:p w14:paraId="4BB7A68B" w14:textId="432AA0A2" w:rsidR="00FE6E94" w:rsidRPr="0064597D" w:rsidRDefault="000353F2" w:rsidP="00492BBB">
      <w:pPr>
        <w:numPr>
          <w:ilvl w:val="0"/>
          <w:numId w:val="1"/>
        </w:numPr>
        <w:tabs>
          <w:tab w:val="left" w:pos="567"/>
        </w:tabs>
        <w:spacing w:line="240" w:lineRule="auto"/>
        <w:ind w:left="0" w:firstLine="0"/>
        <w:rPr>
          <w:b/>
          <w:sz w:val="20"/>
          <w:szCs w:val="20"/>
        </w:rPr>
      </w:pPr>
      <w:r w:rsidRPr="0064597D">
        <w:rPr>
          <w:sz w:val="20"/>
          <w:szCs w:val="20"/>
        </w:rPr>
        <w:t>En cuanto al procedimiento penal seguido contra el señor Ruiz Fuentes, l</w:t>
      </w:r>
      <w:r w:rsidR="00BB0F77" w:rsidRPr="0064597D">
        <w:rPr>
          <w:sz w:val="20"/>
          <w:szCs w:val="20"/>
        </w:rPr>
        <w:t xml:space="preserve">a </w:t>
      </w:r>
      <w:r w:rsidR="00BB0F77" w:rsidRPr="0064597D">
        <w:rPr>
          <w:b/>
          <w:i/>
          <w:sz w:val="20"/>
          <w:szCs w:val="20"/>
        </w:rPr>
        <w:t>Comisión</w:t>
      </w:r>
      <w:r w:rsidR="00BB0F77" w:rsidRPr="0064597D">
        <w:rPr>
          <w:sz w:val="20"/>
          <w:szCs w:val="20"/>
        </w:rPr>
        <w:t xml:space="preserve"> sostuvo que</w:t>
      </w:r>
      <w:r w:rsidR="00FE6E94" w:rsidRPr="0064597D">
        <w:rPr>
          <w:sz w:val="20"/>
          <w:szCs w:val="20"/>
        </w:rPr>
        <w:t xml:space="preserve"> el señor Ruiz Fuentes se vio impedido de presentar pruebas de descargo a su favor debido a que la persona que ejercía su defensa omitió una formalidad que ocasionó que el Tribunal no le diera trámite al memorial de ofrecimiento de prueba. En este sentido, la Comisión concluyó que la pasividad y omisión de la autoridad judicial estatal comprometió la responsabilidad internacional del Estado en tanto es obligación de los jueces y juezas de efectuar un control de los procesos para asegurarse que toda persona sometida a un proceso penal pueda ejercer su derecho de defensa. </w:t>
      </w:r>
      <w:r w:rsidR="00EC5FD2" w:rsidRPr="0064597D">
        <w:rPr>
          <w:sz w:val="20"/>
          <w:szCs w:val="20"/>
        </w:rPr>
        <w:t xml:space="preserve">En </w:t>
      </w:r>
      <w:r w:rsidR="0034637D" w:rsidRPr="0064597D">
        <w:rPr>
          <w:sz w:val="20"/>
          <w:szCs w:val="20"/>
        </w:rPr>
        <w:t>segundo</w:t>
      </w:r>
      <w:r w:rsidR="00EC5FD2" w:rsidRPr="0064597D">
        <w:rPr>
          <w:sz w:val="20"/>
          <w:szCs w:val="20"/>
        </w:rPr>
        <w:t xml:space="preserve"> lugar, la Comisión señaló que el recurso de apelación especial interpuesto por el señor Ruiz Fuentes contra la sentencia que lo condenó a la pena de muerte no cumplió con los estándares interamericanos</w:t>
      </w:r>
      <w:r w:rsidR="00A35A84" w:rsidRPr="0064597D">
        <w:rPr>
          <w:sz w:val="20"/>
          <w:szCs w:val="20"/>
        </w:rPr>
        <w:t xml:space="preserve"> con respecto al artículo 8.2.h. </w:t>
      </w:r>
      <w:r w:rsidR="00EC5FD2" w:rsidRPr="0064597D">
        <w:rPr>
          <w:sz w:val="20"/>
          <w:szCs w:val="20"/>
        </w:rPr>
        <w:t>Finalmente, la Comisión consideró que ningún de los recursos interpuestos por el señor Ruiz Fuentes fueron efectivos, pues no se analizó el fondo de las cuestiones de debido proceso planteadas por él.</w:t>
      </w:r>
    </w:p>
    <w:p w14:paraId="0E6647D1" w14:textId="77777777" w:rsidR="009C268F" w:rsidRPr="0064597D" w:rsidRDefault="009C268F" w:rsidP="009C268F">
      <w:pPr>
        <w:tabs>
          <w:tab w:val="left" w:pos="567"/>
        </w:tabs>
        <w:spacing w:line="240" w:lineRule="auto"/>
        <w:rPr>
          <w:sz w:val="20"/>
          <w:szCs w:val="20"/>
        </w:rPr>
      </w:pPr>
    </w:p>
    <w:p w14:paraId="5F7D0BD8" w14:textId="312BCD83" w:rsidR="00EC5FD2" w:rsidRPr="0064597D" w:rsidRDefault="009C268F" w:rsidP="00EE3B43">
      <w:pPr>
        <w:numPr>
          <w:ilvl w:val="0"/>
          <w:numId w:val="1"/>
        </w:numPr>
        <w:tabs>
          <w:tab w:val="left" w:pos="567"/>
        </w:tabs>
        <w:spacing w:line="240" w:lineRule="auto"/>
        <w:ind w:left="0" w:firstLine="0"/>
        <w:rPr>
          <w:b/>
          <w:sz w:val="20"/>
          <w:szCs w:val="20"/>
        </w:rPr>
      </w:pPr>
      <w:r w:rsidRPr="0064597D">
        <w:rPr>
          <w:sz w:val="20"/>
          <w:szCs w:val="20"/>
        </w:rPr>
        <w:t xml:space="preserve">Por otro lado, en cuanto la investigación de los actos de tortura sufridos por el señor Ruiz </w:t>
      </w:r>
      <w:r w:rsidRPr="0064597D">
        <w:rPr>
          <w:sz w:val="20"/>
          <w:szCs w:val="20"/>
        </w:rPr>
        <w:lastRenderedPageBreak/>
        <w:t xml:space="preserve">Fuentes al momento de su detención el 6 de agosto de 1997, la Comisión indicó que, hasta la fecha, el Estado guatemalteco no ha iniciado investigación alguna sobre estos hechos. En consecuencia, la Comisión concluyó que el Estado de Guatemala violó los derechos consagrados en los artículos 8.1 y 25.1 de la Convención Americana en relación con las obligaciones establecidas en el artículo 1.1 del mismo instrumento, así como las obligaciones establecidas en los artículos 1, 6 y 8 de la CIPST. </w:t>
      </w:r>
    </w:p>
    <w:p w14:paraId="7877E597" w14:textId="77777777" w:rsidR="00A35A84" w:rsidRPr="0064597D" w:rsidRDefault="00A35A84" w:rsidP="00A35A84">
      <w:pPr>
        <w:tabs>
          <w:tab w:val="left" w:pos="567"/>
        </w:tabs>
        <w:spacing w:line="240" w:lineRule="auto"/>
        <w:rPr>
          <w:b/>
          <w:sz w:val="20"/>
          <w:szCs w:val="20"/>
        </w:rPr>
      </w:pPr>
    </w:p>
    <w:p w14:paraId="494C82BF" w14:textId="09E632B2" w:rsidR="00FE6E94" w:rsidRPr="0064597D" w:rsidRDefault="009B3DAF" w:rsidP="00A570ED">
      <w:pPr>
        <w:numPr>
          <w:ilvl w:val="0"/>
          <w:numId w:val="1"/>
        </w:numPr>
        <w:tabs>
          <w:tab w:val="left" w:pos="567"/>
        </w:tabs>
        <w:spacing w:line="240" w:lineRule="auto"/>
        <w:ind w:left="0" w:firstLine="0"/>
        <w:rPr>
          <w:sz w:val="20"/>
          <w:szCs w:val="20"/>
        </w:rPr>
      </w:pPr>
      <w:r w:rsidRPr="0064597D">
        <w:rPr>
          <w:sz w:val="20"/>
          <w:szCs w:val="20"/>
        </w:rPr>
        <w:t>Asimismo</w:t>
      </w:r>
      <w:r w:rsidR="00FE6E94" w:rsidRPr="0064597D">
        <w:rPr>
          <w:sz w:val="20"/>
          <w:szCs w:val="20"/>
        </w:rPr>
        <w:t>, la Comisión observó que</w:t>
      </w:r>
      <w:r w:rsidR="000353F2" w:rsidRPr="0064597D">
        <w:rPr>
          <w:sz w:val="20"/>
          <w:szCs w:val="20"/>
        </w:rPr>
        <w:t>,</w:t>
      </w:r>
      <w:r w:rsidR="00FE6E94" w:rsidRPr="0064597D">
        <w:rPr>
          <w:sz w:val="20"/>
          <w:szCs w:val="20"/>
        </w:rPr>
        <w:t xml:space="preserve"> pasados casi 12 añ</w:t>
      </w:r>
      <w:r w:rsidR="000353F2" w:rsidRPr="0064597D">
        <w:rPr>
          <w:sz w:val="20"/>
          <w:szCs w:val="20"/>
        </w:rPr>
        <w:t>os desde la muerte del señor Rui</w:t>
      </w:r>
      <w:r w:rsidR="00FE6E94" w:rsidRPr="0064597D">
        <w:rPr>
          <w:sz w:val="20"/>
          <w:szCs w:val="20"/>
        </w:rPr>
        <w:t>z Fuentes, el Estado no ha</w:t>
      </w:r>
      <w:r w:rsidR="000353F2" w:rsidRPr="0064597D">
        <w:rPr>
          <w:sz w:val="20"/>
          <w:szCs w:val="20"/>
        </w:rPr>
        <w:t>bía</w:t>
      </w:r>
      <w:r w:rsidR="00FE6E94" w:rsidRPr="0064597D">
        <w:rPr>
          <w:sz w:val="20"/>
          <w:szCs w:val="20"/>
        </w:rPr>
        <w:t xml:space="preserve"> dispuestos todos los medios a su alcance para establecer y dar seguimiento a las líneas de investigación.</w:t>
      </w:r>
      <w:r w:rsidR="00E51192" w:rsidRPr="0064597D">
        <w:rPr>
          <w:sz w:val="20"/>
          <w:szCs w:val="20"/>
        </w:rPr>
        <w:t xml:space="preserve"> </w:t>
      </w:r>
      <w:r w:rsidR="00FE6E94" w:rsidRPr="0064597D">
        <w:rPr>
          <w:sz w:val="20"/>
          <w:szCs w:val="20"/>
        </w:rPr>
        <w:t>En este sentido, hizo notar que conforme a la propia descripción del Estado se omitieron diligencias fundamentales para esclarecer los hechos</w:t>
      </w:r>
      <w:r w:rsidR="003D261F" w:rsidRPr="0064597D">
        <w:rPr>
          <w:sz w:val="20"/>
          <w:szCs w:val="20"/>
        </w:rPr>
        <w:t>.</w:t>
      </w:r>
      <w:r w:rsidR="00A570ED" w:rsidRPr="0064597D">
        <w:rPr>
          <w:b/>
          <w:sz w:val="20"/>
          <w:szCs w:val="20"/>
        </w:rPr>
        <w:t xml:space="preserve"> </w:t>
      </w:r>
      <w:r w:rsidR="00A570ED" w:rsidRPr="0064597D">
        <w:rPr>
          <w:sz w:val="20"/>
          <w:szCs w:val="20"/>
        </w:rPr>
        <w:t>L</w:t>
      </w:r>
      <w:r w:rsidR="00FE6E94" w:rsidRPr="0064597D">
        <w:rPr>
          <w:sz w:val="20"/>
          <w:szCs w:val="20"/>
        </w:rPr>
        <w:t xml:space="preserve">a Comisión alegó que los indicios </w:t>
      </w:r>
      <w:r w:rsidR="008D576D" w:rsidRPr="0064597D">
        <w:rPr>
          <w:sz w:val="20"/>
          <w:szCs w:val="20"/>
        </w:rPr>
        <w:t xml:space="preserve">que existían sobre el posible </w:t>
      </w:r>
      <w:r w:rsidR="00FE6E94" w:rsidRPr="0064597D">
        <w:rPr>
          <w:sz w:val="20"/>
          <w:szCs w:val="20"/>
        </w:rPr>
        <w:t>encubrimiento</w:t>
      </w:r>
      <w:r w:rsidR="00DB0443" w:rsidRPr="0064597D">
        <w:rPr>
          <w:sz w:val="20"/>
          <w:szCs w:val="20"/>
        </w:rPr>
        <w:t xml:space="preserve"> </w:t>
      </w:r>
      <w:r w:rsidR="008D576D" w:rsidRPr="0064597D">
        <w:rPr>
          <w:sz w:val="20"/>
          <w:szCs w:val="20"/>
        </w:rPr>
        <w:t xml:space="preserve">de los hechos </w:t>
      </w:r>
      <w:r w:rsidR="00FE6E94" w:rsidRPr="0064597D">
        <w:rPr>
          <w:sz w:val="20"/>
          <w:szCs w:val="20"/>
        </w:rPr>
        <w:t xml:space="preserve">tampoco fueron investigados. Por lo anterior, la Comisión concluyó que el Estado es responsable por la violación de los derechos establecidos en los artículos 8.1 y 25.1 de la Convención, en relación con el artículo 1.1 del mismo instrumento, en perjuicio del señor Ruiz Fuentes. </w:t>
      </w:r>
    </w:p>
    <w:p w14:paraId="1740A43E" w14:textId="77777777" w:rsidR="00FE6E94" w:rsidRPr="0064597D" w:rsidRDefault="00FE6E94" w:rsidP="00FE6E94">
      <w:pPr>
        <w:tabs>
          <w:tab w:val="left" w:pos="567"/>
        </w:tabs>
        <w:autoSpaceDE w:val="0"/>
        <w:autoSpaceDN w:val="0"/>
        <w:spacing w:line="240" w:lineRule="auto"/>
        <w:rPr>
          <w:sz w:val="20"/>
          <w:szCs w:val="20"/>
        </w:rPr>
      </w:pPr>
    </w:p>
    <w:p w14:paraId="6ADAB53F" w14:textId="57A8543F" w:rsidR="00FE6E94" w:rsidRPr="0064597D" w:rsidRDefault="00EC5FD2" w:rsidP="00EE3B43">
      <w:pPr>
        <w:numPr>
          <w:ilvl w:val="0"/>
          <w:numId w:val="1"/>
        </w:numPr>
        <w:tabs>
          <w:tab w:val="left" w:pos="567"/>
        </w:tabs>
        <w:autoSpaceDE w:val="0"/>
        <w:autoSpaceDN w:val="0"/>
        <w:spacing w:line="240" w:lineRule="auto"/>
        <w:ind w:left="0" w:firstLine="0"/>
        <w:rPr>
          <w:sz w:val="20"/>
          <w:szCs w:val="20"/>
        </w:rPr>
      </w:pPr>
      <w:r w:rsidRPr="0064597D">
        <w:rPr>
          <w:sz w:val="20"/>
          <w:szCs w:val="20"/>
        </w:rPr>
        <w:t>En cuanto al procedimiento penal seguido contra el señor Ruiz Fuentes, l</w:t>
      </w:r>
      <w:r w:rsidR="002913C3" w:rsidRPr="0064597D">
        <w:rPr>
          <w:sz w:val="20"/>
          <w:szCs w:val="20"/>
        </w:rPr>
        <w:t>a</w:t>
      </w:r>
      <w:r w:rsidR="00FE6E94" w:rsidRPr="0064597D">
        <w:rPr>
          <w:sz w:val="20"/>
          <w:szCs w:val="20"/>
        </w:rPr>
        <w:t xml:space="preserve">s </w:t>
      </w:r>
      <w:r w:rsidR="00FE6E94" w:rsidRPr="0064597D">
        <w:rPr>
          <w:b/>
          <w:i/>
          <w:sz w:val="20"/>
          <w:szCs w:val="20"/>
        </w:rPr>
        <w:t>representantes</w:t>
      </w:r>
      <w:r w:rsidRPr="0064597D">
        <w:rPr>
          <w:sz w:val="20"/>
          <w:szCs w:val="20"/>
        </w:rPr>
        <w:t xml:space="preserve"> señalaron </w:t>
      </w:r>
      <w:r w:rsidR="00FE6E94" w:rsidRPr="0064597D">
        <w:rPr>
          <w:sz w:val="20"/>
          <w:szCs w:val="20"/>
        </w:rPr>
        <w:t>que el Estado violó el derecho de defensa de la presunta víctima en la medida en que</w:t>
      </w:r>
      <w:r w:rsidR="007C2F92" w:rsidRPr="0064597D">
        <w:rPr>
          <w:sz w:val="20"/>
          <w:szCs w:val="20"/>
        </w:rPr>
        <w:t>:</w:t>
      </w:r>
      <w:r w:rsidR="00FE6E94" w:rsidRPr="0064597D">
        <w:rPr>
          <w:sz w:val="20"/>
          <w:szCs w:val="20"/>
        </w:rPr>
        <w:t xml:space="preserve"> </w:t>
      </w:r>
      <w:r w:rsidR="00201195" w:rsidRPr="0064597D">
        <w:rPr>
          <w:sz w:val="20"/>
          <w:szCs w:val="20"/>
        </w:rPr>
        <w:t>(i)</w:t>
      </w:r>
      <w:r w:rsidR="007C2F92" w:rsidRPr="0064597D">
        <w:rPr>
          <w:sz w:val="20"/>
          <w:szCs w:val="20"/>
        </w:rPr>
        <w:t> </w:t>
      </w:r>
      <w:r w:rsidR="00FE6E94" w:rsidRPr="0064597D">
        <w:rPr>
          <w:sz w:val="20"/>
          <w:szCs w:val="20"/>
        </w:rPr>
        <w:t>no ejerció un control judicial adecuado sobre las actuaciones negligentes de su abogado</w:t>
      </w:r>
      <w:r w:rsidR="00FE6E94" w:rsidRPr="0064597D">
        <w:rPr>
          <w:rStyle w:val="Refdenotaalpie"/>
          <w:sz w:val="20"/>
          <w:szCs w:val="20"/>
        </w:rPr>
        <w:footnoteReference w:id="182"/>
      </w:r>
      <w:r w:rsidR="00FE6E94" w:rsidRPr="0064597D">
        <w:rPr>
          <w:sz w:val="20"/>
          <w:szCs w:val="20"/>
        </w:rPr>
        <w:t>,</w:t>
      </w:r>
      <w:r w:rsidR="00201195" w:rsidRPr="0064597D">
        <w:rPr>
          <w:sz w:val="20"/>
          <w:szCs w:val="20"/>
        </w:rPr>
        <w:t xml:space="preserve"> y (ii)</w:t>
      </w:r>
      <w:r w:rsidR="00FE6E94" w:rsidRPr="0064597D">
        <w:rPr>
          <w:sz w:val="20"/>
          <w:szCs w:val="20"/>
        </w:rPr>
        <w:t xml:space="preserve"> no tomó las medidas necesarias para garantizar que la presunta víctima tuviera suficiente tiempo para la presentación de su defensa. </w:t>
      </w:r>
    </w:p>
    <w:p w14:paraId="57F6DCB5" w14:textId="77777777" w:rsidR="00A35A84" w:rsidRPr="0064597D" w:rsidRDefault="00A35A84" w:rsidP="00A35A84">
      <w:pPr>
        <w:tabs>
          <w:tab w:val="left" w:pos="567"/>
        </w:tabs>
        <w:autoSpaceDE w:val="0"/>
        <w:autoSpaceDN w:val="0"/>
        <w:spacing w:line="240" w:lineRule="auto"/>
        <w:rPr>
          <w:sz w:val="20"/>
          <w:szCs w:val="20"/>
        </w:rPr>
      </w:pPr>
    </w:p>
    <w:p w14:paraId="63683469" w14:textId="5C3FB101" w:rsidR="00FE6E94" w:rsidRPr="0064597D" w:rsidRDefault="00DE3A13" w:rsidP="00492BBB">
      <w:pPr>
        <w:numPr>
          <w:ilvl w:val="0"/>
          <w:numId w:val="1"/>
        </w:numPr>
        <w:tabs>
          <w:tab w:val="left" w:pos="567"/>
        </w:tabs>
        <w:autoSpaceDE w:val="0"/>
        <w:autoSpaceDN w:val="0"/>
        <w:spacing w:line="240" w:lineRule="auto"/>
        <w:ind w:left="0" w:firstLine="0"/>
        <w:rPr>
          <w:b/>
          <w:sz w:val="20"/>
          <w:szCs w:val="20"/>
        </w:rPr>
      </w:pPr>
      <w:r w:rsidRPr="0064597D">
        <w:rPr>
          <w:sz w:val="20"/>
          <w:szCs w:val="20"/>
        </w:rPr>
        <w:t>Los</w:t>
      </w:r>
      <w:r w:rsidR="00FE6E94" w:rsidRPr="0064597D">
        <w:rPr>
          <w:sz w:val="20"/>
          <w:szCs w:val="20"/>
        </w:rPr>
        <w:t xml:space="preserve"> representantes</w:t>
      </w:r>
      <w:r w:rsidRPr="0064597D">
        <w:rPr>
          <w:sz w:val="20"/>
          <w:szCs w:val="20"/>
        </w:rPr>
        <w:t xml:space="preserve"> también</w:t>
      </w:r>
      <w:r w:rsidR="00FE6E94" w:rsidRPr="0064597D">
        <w:rPr>
          <w:sz w:val="20"/>
          <w:szCs w:val="20"/>
        </w:rPr>
        <w:t xml:space="preserve"> alegaron que </w:t>
      </w:r>
      <w:r w:rsidRPr="0064597D">
        <w:rPr>
          <w:sz w:val="20"/>
          <w:szCs w:val="20"/>
        </w:rPr>
        <w:t>el señor Ruiz Fuentes no dispuso de</w:t>
      </w:r>
      <w:r w:rsidR="00FE6E94" w:rsidRPr="0064597D">
        <w:rPr>
          <w:sz w:val="20"/>
          <w:szCs w:val="20"/>
        </w:rPr>
        <w:t xml:space="preserve"> un recurso que permitiera la revisión integral de la sentencia condenatoria. </w:t>
      </w:r>
      <w:r w:rsidR="00201195" w:rsidRPr="0064597D">
        <w:rPr>
          <w:sz w:val="20"/>
          <w:szCs w:val="20"/>
        </w:rPr>
        <w:t>C</w:t>
      </w:r>
      <w:r w:rsidR="00FE6E94" w:rsidRPr="0064597D">
        <w:rPr>
          <w:rFonts w:cs="Arial"/>
          <w:sz w:val="20"/>
          <w:szCs w:val="20"/>
        </w:rPr>
        <w:t xml:space="preserve">oncluyeron que el artículo </w:t>
      </w:r>
      <w:r w:rsidR="00201195" w:rsidRPr="0064597D">
        <w:rPr>
          <w:rFonts w:cs="Arial"/>
          <w:sz w:val="20"/>
          <w:szCs w:val="20"/>
        </w:rPr>
        <w:t xml:space="preserve">430 del Código Procesal Penal que establece que “[l]a sentencia no podrá en ningún caso hacer mérito de la prueba o de los hechos que se declaren probados” </w:t>
      </w:r>
      <w:r w:rsidR="00FE6E94" w:rsidRPr="0064597D">
        <w:rPr>
          <w:rFonts w:cs="Arial"/>
          <w:sz w:val="20"/>
          <w:szCs w:val="20"/>
        </w:rPr>
        <w:t xml:space="preserve">limita la revisión de sentencia recurrida </w:t>
      </w:r>
      <w:r w:rsidR="00FE6E94" w:rsidRPr="0064597D">
        <w:rPr>
          <w:rFonts w:cs="Arial"/>
          <w:i/>
          <w:sz w:val="20"/>
          <w:szCs w:val="20"/>
        </w:rPr>
        <w:t>a priori</w:t>
      </w:r>
      <w:r w:rsidR="00FE6E94" w:rsidRPr="0064597D">
        <w:rPr>
          <w:rFonts w:cs="Arial"/>
          <w:sz w:val="20"/>
          <w:szCs w:val="20"/>
        </w:rPr>
        <w:t xml:space="preserve">, excluyendo la posibilidad de revisar cuestiones fácticas y probatorias y limitando la revisión únicamente al </w:t>
      </w:r>
      <w:r w:rsidR="00FE6E94" w:rsidRPr="0064597D">
        <w:rPr>
          <w:sz w:val="20"/>
          <w:szCs w:val="20"/>
        </w:rPr>
        <w:t>derecho</w:t>
      </w:r>
      <w:r w:rsidR="002961B3" w:rsidRPr="0064597D">
        <w:rPr>
          <w:sz w:val="20"/>
          <w:szCs w:val="20"/>
        </w:rPr>
        <w:t>.</w:t>
      </w:r>
    </w:p>
    <w:p w14:paraId="2FAF8A2B" w14:textId="77777777" w:rsidR="00E51192" w:rsidRPr="0064597D" w:rsidRDefault="00E51192" w:rsidP="00E51192">
      <w:pPr>
        <w:tabs>
          <w:tab w:val="left" w:pos="567"/>
        </w:tabs>
        <w:autoSpaceDE w:val="0"/>
        <w:autoSpaceDN w:val="0"/>
        <w:spacing w:line="240" w:lineRule="auto"/>
        <w:rPr>
          <w:b/>
          <w:sz w:val="20"/>
          <w:szCs w:val="20"/>
        </w:rPr>
      </w:pPr>
    </w:p>
    <w:p w14:paraId="4E17B81E" w14:textId="679DECD2" w:rsidR="00D3219F" w:rsidRPr="0064597D" w:rsidRDefault="00D3219F" w:rsidP="001E4FB6">
      <w:pPr>
        <w:numPr>
          <w:ilvl w:val="0"/>
          <w:numId w:val="1"/>
        </w:numPr>
        <w:tabs>
          <w:tab w:val="left" w:pos="567"/>
        </w:tabs>
        <w:autoSpaceDE w:val="0"/>
        <w:autoSpaceDN w:val="0"/>
        <w:spacing w:line="240" w:lineRule="auto"/>
        <w:ind w:left="0" w:firstLine="0"/>
        <w:rPr>
          <w:rFonts w:eastAsiaTheme="minorHAnsi" w:cs="Arial"/>
          <w:sz w:val="20"/>
          <w:szCs w:val="20"/>
          <w:lang w:eastAsia="en-US"/>
        </w:rPr>
      </w:pPr>
      <w:r w:rsidRPr="0064597D">
        <w:rPr>
          <w:sz w:val="20"/>
          <w:szCs w:val="20"/>
        </w:rPr>
        <w:t xml:space="preserve">Por otro lado, en cuanto a las investigaciones que se desencadenaron con motivo de la muerte del señor Ruiz Fuentes, </w:t>
      </w:r>
      <w:r w:rsidR="00FE6E94" w:rsidRPr="0064597D">
        <w:rPr>
          <w:sz w:val="20"/>
          <w:szCs w:val="20"/>
        </w:rPr>
        <w:t xml:space="preserve">los representantes alegaron que durante las </w:t>
      </w:r>
      <w:r w:rsidR="00FE6E94" w:rsidRPr="0064597D">
        <w:rPr>
          <w:rFonts w:eastAsiaTheme="minorHAnsi" w:cs="Arial"/>
          <w:sz w:val="20"/>
          <w:szCs w:val="20"/>
          <w:lang w:eastAsia="en-US"/>
        </w:rPr>
        <w:t>primeras</w:t>
      </w:r>
      <w:r w:rsidR="00FE6E94" w:rsidRPr="0064597D">
        <w:rPr>
          <w:sz w:val="20"/>
          <w:szCs w:val="20"/>
        </w:rPr>
        <w:t xml:space="preserve"> etapas de la investigación, se presentaron graves omisiones, deficiencias e irregularidades que continuaron posteriormente, toda vez que las autoridades no han realizado una investigación completa y exhaustiva de los hechos. </w:t>
      </w:r>
    </w:p>
    <w:p w14:paraId="5B69E3ED" w14:textId="77777777" w:rsidR="00C430C8" w:rsidRPr="0064597D" w:rsidRDefault="00C430C8" w:rsidP="00C430C8">
      <w:pPr>
        <w:tabs>
          <w:tab w:val="left" w:pos="567"/>
        </w:tabs>
        <w:autoSpaceDE w:val="0"/>
        <w:autoSpaceDN w:val="0"/>
        <w:spacing w:line="240" w:lineRule="auto"/>
        <w:rPr>
          <w:rFonts w:eastAsiaTheme="minorHAnsi" w:cs="Arial"/>
          <w:sz w:val="20"/>
          <w:szCs w:val="20"/>
          <w:lang w:eastAsia="en-US"/>
        </w:rPr>
      </w:pPr>
    </w:p>
    <w:p w14:paraId="4A3BD0FC" w14:textId="2A11B6ED" w:rsidR="00201195" w:rsidRPr="0064597D" w:rsidRDefault="00245330" w:rsidP="00201195">
      <w:pPr>
        <w:numPr>
          <w:ilvl w:val="0"/>
          <w:numId w:val="1"/>
        </w:numPr>
        <w:tabs>
          <w:tab w:val="left" w:pos="567"/>
        </w:tabs>
        <w:autoSpaceDE w:val="0"/>
        <w:autoSpaceDN w:val="0"/>
        <w:spacing w:line="240" w:lineRule="auto"/>
        <w:ind w:left="0" w:firstLine="0"/>
        <w:rPr>
          <w:b/>
          <w:sz w:val="20"/>
          <w:szCs w:val="20"/>
        </w:rPr>
      </w:pPr>
      <w:r w:rsidRPr="0064597D">
        <w:rPr>
          <w:sz w:val="20"/>
          <w:szCs w:val="20"/>
        </w:rPr>
        <w:t>Por otro lado, en cuanto la investigación de los actos de tortura sufridos por el señor Ruiz Fuentes al momento de su detención el 6 de agosto de 1997,</w:t>
      </w:r>
      <w:r w:rsidR="00201195" w:rsidRPr="0064597D">
        <w:rPr>
          <w:sz w:val="20"/>
          <w:szCs w:val="20"/>
        </w:rPr>
        <w:t xml:space="preserve"> los representantes alegaron que el Estado de Guatemala no </w:t>
      </w:r>
      <w:r w:rsidR="00572A96" w:rsidRPr="0064597D">
        <w:rPr>
          <w:sz w:val="20"/>
          <w:szCs w:val="20"/>
        </w:rPr>
        <w:t xml:space="preserve">los </w:t>
      </w:r>
      <w:r w:rsidR="00201195" w:rsidRPr="0064597D">
        <w:rPr>
          <w:sz w:val="20"/>
          <w:szCs w:val="20"/>
        </w:rPr>
        <w:t xml:space="preserve">investigó, a pesar de </w:t>
      </w:r>
      <w:r w:rsidR="00572A96" w:rsidRPr="0064597D">
        <w:rPr>
          <w:sz w:val="20"/>
          <w:szCs w:val="20"/>
        </w:rPr>
        <w:t xml:space="preserve">haber sido </w:t>
      </w:r>
      <w:r w:rsidR="00201195" w:rsidRPr="0064597D">
        <w:rPr>
          <w:sz w:val="20"/>
          <w:szCs w:val="20"/>
        </w:rPr>
        <w:t>denunci</w:t>
      </w:r>
      <w:r w:rsidR="00572A96" w:rsidRPr="0064597D">
        <w:rPr>
          <w:sz w:val="20"/>
          <w:szCs w:val="20"/>
        </w:rPr>
        <w:t>ados</w:t>
      </w:r>
      <w:r w:rsidR="00201195" w:rsidRPr="0064597D">
        <w:rPr>
          <w:sz w:val="20"/>
          <w:szCs w:val="20"/>
        </w:rPr>
        <w:t xml:space="preserve"> en reiteradas ocasiones. </w:t>
      </w:r>
    </w:p>
    <w:p w14:paraId="73CD236B" w14:textId="77777777" w:rsidR="00201195" w:rsidRPr="0064597D" w:rsidRDefault="00201195" w:rsidP="00201195">
      <w:pPr>
        <w:tabs>
          <w:tab w:val="left" w:pos="567"/>
        </w:tabs>
        <w:autoSpaceDE w:val="0"/>
        <w:autoSpaceDN w:val="0"/>
        <w:spacing w:line="240" w:lineRule="auto"/>
        <w:rPr>
          <w:rFonts w:eastAsiaTheme="minorHAnsi" w:cs="Arial"/>
          <w:sz w:val="20"/>
          <w:szCs w:val="20"/>
          <w:lang w:eastAsia="en-US"/>
        </w:rPr>
      </w:pPr>
    </w:p>
    <w:p w14:paraId="1FD4B1D7" w14:textId="759F65A4" w:rsidR="00FE6E94" w:rsidRPr="0064597D" w:rsidRDefault="00FE6E94" w:rsidP="00492BBB">
      <w:pPr>
        <w:numPr>
          <w:ilvl w:val="0"/>
          <w:numId w:val="1"/>
        </w:numPr>
        <w:tabs>
          <w:tab w:val="left" w:pos="567"/>
        </w:tabs>
        <w:autoSpaceDE w:val="0"/>
        <w:autoSpaceDN w:val="0"/>
        <w:spacing w:line="240" w:lineRule="auto"/>
        <w:ind w:left="0" w:firstLine="0"/>
        <w:rPr>
          <w:sz w:val="20"/>
          <w:szCs w:val="20"/>
        </w:rPr>
      </w:pPr>
      <w:r w:rsidRPr="0064597D">
        <w:rPr>
          <w:sz w:val="20"/>
          <w:szCs w:val="20"/>
        </w:rPr>
        <w:t xml:space="preserve">El </w:t>
      </w:r>
      <w:r w:rsidRPr="0064597D">
        <w:rPr>
          <w:b/>
          <w:i/>
          <w:sz w:val="20"/>
          <w:szCs w:val="20"/>
        </w:rPr>
        <w:t>Estado</w:t>
      </w:r>
      <w:r w:rsidRPr="0064597D">
        <w:rPr>
          <w:sz w:val="20"/>
          <w:szCs w:val="20"/>
        </w:rPr>
        <w:t xml:space="preserve"> recalcó que el señor Ruiz Fuentes gozó de los derechos consagrados en la legislación interna a fin de garantizarle un proceso legal, justo y apegado a derecho. El Estado recalcó que la Corte Interamericana no constituye una instancia de apelación de sentencias dictadas por los órganos jurisdiccionales internos de los Estado parte de la Organización de los Estados Americanos y que los órganos del Sistema Interamericano de Derechos Humanos constituyen un sistema subsidiario facultado exclusivamente para interpretar la Convención Americana sobre Derechos Humanos.</w:t>
      </w:r>
      <w:r w:rsidRPr="0064597D">
        <w:rPr>
          <w:b/>
          <w:sz w:val="20"/>
          <w:szCs w:val="20"/>
        </w:rPr>
        <w:t xml:space="preserve"> </w:t>
      </w:r>
      <w:r w:rsidR="00743A2F" w:rsidRPr="0064597D">
        <w:rPr>
          <w:sz w:val="20"/>
          <w:szCs w:val="20"/>
        </w:rPr>
        <w:t>Asimismo, e</w:t>
      </w:r>
      <w:r w:rsidRPr="0064597D">
        <w:rPr>
          <w:sz w:val="20"/>
          <w:szCs w:val="20"/>
        </w:rPr>
        <w:t>n sus alegatos finales escritos, el Estado indicó que los errores comet</w:t>
      </w:r>
      <w:r w:rsidR="00743A2F" w:rsidRPr="0064597D">
        <w:rPr>
          <w:sz w:val="20"/>
          <w:szCs w:val="20"/>
        </w:rPr>
        <w:t>ido por la defensa del señor Rui</w:t>
      </w:r>
      <w:r w:rsidRPr="0064597D">
        <w:rPr>
          <w:sz w:val="20"/>
          <w:szCs w:val="20"/>
        </w:rPr>
        <w:t>z Fuentes no puede</w:t>
      </w:r>
      <w:r w:rsidR="00572A96" w:rsidRPr="0064597D">
        <w:rPr>
          <w:sz w:val="20"/>
          <w:szCs w:val="20"/>
        </w:rPr>
        <w:t>n</w:t>
      </w:r>
      <w:r w:rsidRPr="0064597D">
        <w:rPr>
          <w:sz w:val="20"/>
          <w:szCs w:val="20"/>
        </w:rPr>
        <w:t xml:space="preserve"> ni debe</w:t>
      </w:r>
      <w:r w:rsidR="00572A96" w:rsidRPr="0064597D">
        <w:rPr>
          <w:sz w:val="20"/>
          <w:szCs w:val="20"/>
        </w:rPr>
        <w:t>n</w:t>
      </w:r>
      <w:r w:rsidRPr="0064597D">
        <w:rPr>
          <w:sz w:val="20"/>
          <w:szCs w:val="20"/>
        </w:rPr>
        <w:t xml:space="preserve"> ser atribuible al Estado. Además, mencionó que existía procedimientos administrativos y disciplinarios a dónde acudir antes situaciones como las ocurridas, lo anterior sin que la presunta víctima haya ejercido tal derecho. Por último, el Estado reafirmó que el señor Ruíz Fuentes tuvo acceso a todos los recursos y remedios procesales previamente </w:t>
      </w:r>
      <w:r w:rsidRPr="0064597D">
        <w:rPr>
          <w:sz w:val="20"/>
          <w:szCs w:val="20"/>
        </w:rPr>
        <w:lastRenderedPageBreak/>
        <w:t>establecidos, de los cuales hizo uso, garantizándosele y protegiéndosele judicialmente. En este aspecto, mencionó que muestra de ello es el hecho de que la sentencia de pena de muerte fue corregida y conmutada por la privación de libertad.</w:t>
      </w:r>
      <w:r w:rsidR="00DB0443" w:rsidRPr="0064597D">
        <w:rPr>
          <w:sz w:val="20"/>
          <w:szCs w:val="20"/>
        </w:rPr>
        <w:t xml:space="preserve"> </w:t>
      </w:r>
    </w:p>
    <w:p w14:paraId="3A9AAB70" w14:textId="77777777" w:rsidR="00BB0F77" w:rsidRPr="0064597D" w:rsidRDefault="00BB0F77" w:rsidP="00377181">
      <w:pPr>
        <w:pStyle w:val="Ttulo2"/>
      </w:pPr>
      <w:bookmarkStart w:id="78" w:name="_Toc24014565"/>
      <w:r w:rsidRPr="0064597D">
        <w:t>B.</w:t>
      </w:r>
      <w:r w:rsidRPr="0064597D">
        <w:tab/>
        <w:t>Consideraciones de la Corte</w:t>
      </w:r>
      <w:bookmarkEnd w:id="78"/>
    </w:p>
    <w:p w14:paraId="22193B4E" w14:textId="1C1E2042" w:rsidR="00BB0F77" w:rsidRPr="0064597D" w:rsidRDefault="00544B95" w:rsidP="00377181">
      <w:pPr>
        <w:pStyle w:val="Ttulo3"/>
        <w:rPr>
          <w:lang w:eastAsia="en-US"/>
        </w:rPr>
      </w:pPr>
      <w:bookmarkStart w:id="79" w:name="_Toc24014566"/>
      <w:r w:rsidRPr="0064597D">
        <w:t xml:space="preserve">b.1 </w:t>
      </w:r>
      <w:r w:rsidRPr="0064597D">
        <w:tab/>
      </w:r>
      <w:r w:rsidR="006B597B" w:rsidRPr="0064597D">
        <w:rPr>
          <w:lang w:eastAsia="en-US"/>
        </w:rPr>
        <w:t>P</w:t>
      </w:r>
      <w:r w:rsidR="004857BF" w:rsidRPr="0064597D">
        <w:rPr>
          <w:lang w:eastAsia="en-US"/>
        </w:rPr>
        <w:t>rocedimiento penal seguido contra el</w:t>
      </w:r>
      <w:r w:rsidR="00BB0F77" w:rsidRPr="0064597D">
        <w:rPr>
          <w:lang w:eastAsia="en-US"/>
        </w:rPr>
        <w:t xml:space="preserve"> señor Ruiz Fuentes</w:t>
      </w:r>
      <w:bookmarkEnd w:id="79"/>
    </w:p>
    <w:p w14:paraId="0087DFAA" w14:textId="5A1BDB01" w:rsidR="00A83408" w:rsidRPr="0064597D" w:rsidRDefault="00A83408" w:rsidP="00A83408">
      <w:pPr>
        <w:numPr>
          <w:ilvl w:val="0"/>
          <w:numId w:val="1"/>
        </w:numPr>
        <w:tabs>
          <w:tab w:val="left" w:pos="567"/>
        </w:tabs>
        <w:autoSpaceDE w:val="0"/>
        <w:autoSpaceDN w:val="0"/>
        <w:spacing w:line="240" w:lineRule="auto"/>
        <w:ind w:left="0" w:firstLine="0"/>
        <w:rPr>
          <w:sz w:val="20"/>
          <w:szCs w:val="20"/>
          <w:lang w:val="es-ES" w:eastAsia="en-US"/>
        </w:rPr>
      </w:pPr>
      <w:r w:rsidRPr="0064597D">
        <w:rPr>
          <w:sz w:val="20"/>
          <w:szCs w:val="20"/>
          <w:lang w:val="es-ES" w:eastAsia="en-US"/>
        </w:rPr>
        <w:t xml:space="preserve">En este caso, la Corte ha sido llamada a determinar si en el proceso penal seguido en contra del señor </w:t>
      </w:r>
      <w:r w:rsidR="003C6180" w:rsidRPr="0064597D">
        <w:rPr>
          <w:sz w:val="20"/>
          <w:szCs w:val="20"/>
          <w:lang w:val="es-ES" w:eastAsia="en-US"/>
        </w:rPr>
        <w:t>Rui</w:t>
      </w:r>
      <w:r w:rsidRPr="0064597D">
        <w:rPr>
          <w:sz w:val="20"/>
          <w:szCs w:val="20"/>
          <w:lang w:val="es-ES" w:eastAsia="en-US"/>
        </w:rPr>
        <w:t>z Fuentes</w:t>
      </w:r>
      <w:r w:rsidR="008729AF" w:rsidRPr="0064597D">
        <w:rPr>
          <w:sz w:val="20"/>
          <w:szCs w:val="20"/>
          <w:lang w:val="es-ES" w:eastAsia="en-US"/>
        </w:rPr>
        <w:t xml:space="preserve"> en primera instancia</w:t>
      </w:r>
      <w:r w:rsidRPr="0064597D">
        <w:rPr>
          <w:sz w:val="20"/>
          <w:szCs w:val="20"/>
          <w:lang w:val="es-ES" w:eastAsia="en-US"/>
        </w:rPr>
        <w:t>,</w:t>
      </w:r>
      <w:r w:rsidR="008729AF" w:rsidRPr="0064597D">
        <w:rPr>
          <w:sz w:val="20"/>
          <w:szCs w:val="20"/>
          <w:lang w:val="es-ES" w:eastAsia="en-US"/>
        </w:rPr>
        <w:t xml:space="preserve"> el cual</w:t>
      </w:r>
      <w:r w:rsidRPr="0064597D">
        <w:rPr>
          <w:sz w:val="20"/>
          <w:szCs w:val="20"/>
          <w:lang w:val="es-ES" w:eastAsia="en-US"/>
        </w:rPr>
        <w:t xml:space="preserve"> culminó en una sentencia condenatoria a pena de muerte, fueron observadas las </w:t>
      </w:r>
      <w:r w:rsidRPr="0064597D">
        <w:rPr>
          <w:sz w:val="20"/>
          <w:szCs w:val="20"/>
        </w:rPr>
        <w:t>garantías</w:t>
      </w:r>
      <w:r w:rsidRPr="0064597D">
        <w:rPr>
          <w:sz w:val="20"/>
          <w:szCs w:val="20"/>
          <w:lang w:val="es-ES" w:eastAsia="en-US"/>
        </w:rPr>
        <w:t xml:space="preserve"> del debido proceso, según lo exige, en particular, el artículo 8 de la Convención, y si dicha persona tuvo acceso a un recurso efectivo en los términos del artículo 25, ambos en relación con el artículo 1.1 de ese instrumento. </w:t>
      </w:r>
    </w:p>
    <w:p w14:paraId="01E00EFD" w14:textId="77777777" w:rsidR="00851D8C" w:rsidRPr="0064597D" w:rsidRDefault="00851D8C" w:rsidP="00851D8C">
      <w:pPr>
        <w:tabs>
          <w:tab w:val="left" w:pos="567"/>
        </w:tabs>
        <w:autoSpaceDE w:val="0"/>
        <w:autoSpaceDN w:val="0"/>
        <w:spacing w:line="240" w:lineRule="auto"/>
        <w:rPr>
          <w:sz w:val="20"/>
          <w:szCs w:val="20"/>
          <w:lang w:val="es-ES" w:eastAsia="en-US"/>
        </w:rPr>
      </w:pPr>
    </w:p>
    <w:p w14:paraId="3E9FB7B6" w14:textId="05EDD95C" w:rsidR="00A83408" w:rsidRPr="0064597D" w:rsidRDefault="00A83408" w:rsidP="00A83408">
      <w:pPr>
        <w:numPr>
          <w:ilvl w:val="0"/>
          <w:numId w:val="1"/>
        </w:numPr>
        <w:tabs>
          <w:tab w:val="left" w:pos="567"/>
        </w:tabs>
        <w:autoSpaceDE w:val="0"/>
        <w:autoSpaceDN w:val="0"/>
        <w:spacing w:line="240" w:lineRule="auto"/>
        <w:ind w:left="0" w:firstLine="0"/>
        <w:rPr>
          <w:sz w:val="20"/>
          <w:szCs w:val="20"/>
          <w:lang w:val="es-ES" w:eastAsia="en-US"/>
        </w:rPr>
      </w:pPr>
      <w:r w:rsidRPr="0064597D">
        <w:rPr>
          <w:sz w:val="20"/>
          <w:szCs w:val="20"/>
          <w:lang w:val="es-ES" w:eastAsia="en-US"/>
        </w:rPr>
        <w:t xml:space="preserve">La Corte </w:t>
      </w:r>
      <w:r w:rsidRPr="0064597D">
        <w:rPr>
          <w:sz w:val="20"/>
          <w:szCs w:val="20"/>
        </w:rPr>
        <w:t>recuerda</w:t>
      </w:r>
      <w:r w:rsidRPr="0064597D">
        <w:rPr>
          <w:sz w:val="20"/>
          <w:szCs w:val="20"/>
          <w:lang w:val="es-ES" w:eastAsia="en-US"/>
        </w:rPr>
        <w:t xml:space="preserve"> que, en este caso en que se cuestiona lo actuado en el marco de un proceso penal, los órganos del sistema interamericano de derechos humanos no funcionan como una instancia de apelación o revisión de sentencias dictadas en procesos internos. Su función es determinar la compatibilidad de las actuaciones realizadas en dichos procesos con la Convención Americana</w:t>
      </w:r>
      <w:r w:rsidRPr="0064597D">
        <w:rPr>
          <w:rStyle w:val="Refdenotaalpie"/>
          <w:sz w:val="20"/>
          <w:szCs w:val="20"/>
          <w:lang w:val="es-ES" w:eastAsia="en-US"/>
        </w:rPr>
        <w:footnoteReference w:id="183"/>
      </w:r>
      <w:r w:rsidRPr="0064597D">
        <w:rPr>
          <w:sz w:val="20"/>
          <w:szCs w:val="20"/>
          <w:lang w:val="es-ES" w:eastAsia="en-US"/>
        </w:rPr>
        <w:t>. A esto se limita el Tribunal en la presente sentencia.</w:t>
      </w:r>
    </w:p>
    <w:p w14:paraId="05788604" w14:textId="77777777" w:rsidR="00541480" w:rsidRPr="0064597D" w:rsidRDefault="00541480" w:rsidP="00541480">
      <w:pPr>
        <w:tabs>
          <w:tab w:val="left" w:pos="567"/>
        </w:tabs>
        <w:autoSpaceDE w:val="0"/>
        <w:autoSpaceDN w:val="0"/>
        <w:spacing w:line="240" w:lineRule="auto"/>
        <w:rPr>
          <w:sz w:val="20"/>
          <w:szCs w:val="20"/>
          <w:lang w:val="es-ES" w:eastAsia="en-US"/>
        </w:rPr>
      </w:pPr>
    </w:p>
    <w:p w14:paraId="0AFA8506" w14:textId="7273BA5E" w:rsidR="00A83408" w:rsidRPr="0064597D" w:rsidRDefault="00A83408" w:rsidP="00A83408">
      <w:pPr>
        <w:numPr>
          <w:ilvl w:val="0"/>
          <w:numId w:val="1"/>
        </w:numPr>
        <w:tabs>
          <w:tab w:val="left" w:pos="567"/>
        </w:tabs>
        <w:autoSpaceDE w:val="0"/>
        <w:autoSpaceDN w:val="0"/>
        <w:spacing w:line="240" w:lineRule="auto"/>
        <w:ind w:left="0" w:firstLine="0"/>
        <w:rPr>
          <w:sz w:val="20"/>
          <w:szCs w:val="20"/>
          <w:lang w:val="es-ES" w:eastAsia="en-US"/>
        </w:rPr>
      </w:pPr>
      <w:r w:rsidRPr="0064597D">
        <w:rPr>
          <w:sz w:val="20"/>
          <w:szCs w:val="20"/>
          <w:lang w:val="es-ES" w:eastAsia="en-US"/>
        </w:rPr>
        <w:t>La Corte destaca el deber que tienen los Estados de proteger a todas las personas, evitando los delitos, sancionar a los responsables de éstos y mantener el orden público, particularmente cuando se trata de hechos como los que dieron origen al proceso penal seguido contra el señor Ruíz Fuentes, que no solo comportan una lesión a los individuos, sino al conjunto de la sociedad, y merecen el más enérgico rechazo, más aún</w:t>
      </w:r>
      <w:r w:rsidR="00D84387" w:rsidRPr="0064597D">
        <w:rPr>
          <w:sz w:val="20"/>
          <w:szCs w:val="20"/>
          <w:lang w:val="es-ES" w:eastAsia="en-US"/>
        </w:rPr>
        <w:t>,</w:t>
      </w:r>
      <w:r w:rsidRPr="0064597D">
        <w:rPr>
          <w:sz w:val="20"/>
          <w:szCs w:val="20"/>
          <w:lang w:val="es-ES" w:eastAsia="en-US"/>
        </w:rPr>
        <w:t xml:space="preserve"> cuando perjudican a niñas y niños. Sin embargo, la lucha de los Estados contra el crimen debe desarrollarse dentro de los límites y conforme a los procedimientos que permitan preservar tanto la seguridad pública como el pleno respeto a los derechos humanos de quienes se hallen sometidos a su jurisdicción</w:t>
      </w:r>
      <w:r w:rsidRPr="0064597D">
        <w:rPr>
          <w:rStyle w:val="Refdenotaalpie"/>
          <w:sz w:val="20"/>
          <w:szCs w:val="20"/>
          <w:lang w:val="en-US" w:eastAsia="en-US"/>
        </w:rPr>
        <w:footnoteReference w:id="184"/>
      </w:r>
      <w:r w:rsidRPr="0064597D">
        <w:rPr>
          <w:sz w:val="20"/>
          <w:szCs w:val="20"/>
          <w:lang w:val="es-ES" w:eastAsia="en-US"/>
        </w:rPr>
        <w:t xml:space="preserve">. </w:t>
      </w:r>
    </w:p>
    <w:p w14:paraId="491FC384" w14:textId="77777777" w:rsidR="00851D8C" w:rsidRPr="0064597D" w:rsidRDefault="00851D8C" w:rsidP="00851D8C">
      <w:pPr>
        <w:tabs>
          <w:tab w:val="left" w:pos="567"/>
        </w:tabs>
        <w:autoSpaceDE w:val="0"/>
        <w:autoSpaceDN w:val="0"/>
        <w:spacing w:line="240" w:lineRule="auto"/>
        <w:rPr>
          <w:sz w:val="20"/>
          <w:szCs w:val="20"/>
          <w:lang w:val="es-ES" w:eastAsia="en-US"/>
        </w:rPr>
      </w:pPr>
    </w:p>
    <w:p w14:paraId="39152DF7" w14:textId="57695FBA" w:rsidR="00A83408" w:rsidRPr="0064597D" w:rsidRDefault="00A83408" w:rsidP="006958DA">
      <w:pPr>
        <w:numPr>
          <w:ilvl w:val="0"/>
          <w:numId w:val="1"/>
        </w:numPr>
        <w:tabs>
          <w:tab w:val="left" w:pos="567"/>
        </w:tabs>
        <w:autoSpaceDE w:val="0"/>
        <w:autoSpaceDN w:val="0"/>
        <w:spacing w:line="240" w:lineRule="auto"/>
        <w:ind w:left="0" w:firstLine="0"/>
        <w:rPr>
          <w:sz w:val="20"/>
          <w:szCs w:val="20"/>
          <w:lang w:val="es-ES" w:eastAsia="en-US"/>
        </w:rPr>
      </w:pPr>
      <w:r w:rsidRPr="0064597D">
        <w:rPr>
          <w:sz w:val="20"/>
          <w:szCs w:val="20"/>
          <w:lang w:val="es-ES" w:eastAsia="en-US"/>
        </w:rPr>
        <w:t xml:space="preserve">Con el </w:t>
      </w:r>
      <w:r w:rsidRPr="0064597D">
        <w:rPr>
          <w:sz w:val="20"/>
          <w:szCs w:val="20"/>
        </w:rPr>
        <w:t>propósito</w:t>
      </w:r>
      <w:r w:rsidRPr="0064597D">
        <w:rPr>
          <w:sz w:val="20"/>
          <w:szCs w:val="20"/>
          <w:lang w:val="es-ES" w:eastAsia="en-US"/>
        </w:rPr>
        <w:t xml:space="preserve"> de establecer si el Estado violó disposiciones de la Convención, la Corte debe determinar</w:t>
      </w:r>
      <w:r w:rsidR="00BD4C7C" w:rsidRPr="0064597D">
        <w:rPr>
          <w:sz w:val="20"/>
          <w:szCs w:val="20"/>
          <w:lang w:val="es-ES" w:eastAsia="en-US"/>
        </w:rPr>
        <w:t xml:space="preserve"> </w:t>
      </w:r>
      <w:r w:rsidR="007A2779" w:rsidRPr="0064597D">
        <w:rPr>
          <w:sz w:val="20"/>
          <w:szCs w:val="20"/>
          <w:lang w:val="es-ES" w:eastAsia="en-US"/>
        </w:rPr>
        <w:t xml:space="preserve">dos cuestiones. Por un lado, deberá determinar </w:t>
      </w:r>
      <w:r w:rsidR="00BD4C7C" w:rsidRPr="0064597D">
        <w:rPr>
          <w:sz w:val="20"/>
          <w:szCs w:val="20"/>
          <w:lang w:val="es-ES" w:eastAsia="en-US"/>
        </w:rPr>
        <w:t>si se vio vulnerado el derecho de defensa del señor Ruiz Fuentes</w:t>
      </w:r>
      <w:r w:rsidR="007A2779" w:rsidRPr="0064597D">
        <w:rPr>
          <w:sz w:val="20"/>
          <w:szCs w:val="20"/>
          <w:lang w:val="es-ES" w:eastAsia="en-US"/>
        </w:rPr>
        <w:t xml:space="preserve"> </w:t>
      </w:r>
      <w:r w:rsidR="00217017" w:rsidRPr="0064597D">
        <w:rPr>
          <w:sz w:val="20"/>
          <w:szCs w:val="20"/>
          <w:lang w:val="es-ES" w:eastAsia="en-US"/>
        </w:rPr>
        <w:t>p</w:t>
      </w:r>
      <w:r w:rsidR="00ED65D0" w:rsidRPr="0064597D">
        <w:rPr>
          <w:sz w:val="20"/>
          <w:szCs w:val="20"/>
          <w:lang w:val="es-ES" w:eastAsia="en-US"/>
        </w:rPr>
        <w:t xml:space="preserve">or </w:t>
      </w:r>
      <w:r w:rsidR="00450751" w:rsidRPr="0064597D">
        <w:rPr>
          <w:sz w:val="20"/>
          <w:szCs w:val="20"/>
          <w:lang w:val="es-ES" w:eastAsia="en-US"/>
        </w:rPr>
        <w:t>la imposibilidad de aportar pruebas de descargo</w:t>
      </w:r>
      <w:r w:rsidR="007A2779" w:rsidRPr="0064597D">
        <w:rPr>
          <w:sz w:val="20"/>
          <w:szCs w:val="20"/>
          <w:lang w:val="es-ES" w:eastAsia="en-US"/>
        </w:rPr>
        <w:t xml:space="preserve"> lo cual, según la Comisión, supuso una violación de los artículos 8.2.c</w:t>
      </w:r>
      <w:r w:rsidR="001B4B25" w:rsidRPr="0064597D">
        <w:rPr>
          <w:sz w:val="20"/>
          <w:szCs w:val="20"/>
          <w:lang w:val="es-ES" w:eastAsia="en-US"/>
        </w:rPr>
        <w:t>)</w:t>
      </w:r>
      <w:r w:rsidR="007A2779" w:rsidRPr="0064597D">
        <w:rPr>
          <w:sz w:val="20"/>
          <w:szCs w:val="20"/>
          <w:lang w:val="es-ES" w:eastAsia="en-US"/>
        </w:rPr>
        <w:t xml:space="preserve"> y 8.2.f</w:t>
      </w:r>
      <w:r w:rsidR="001B4B25" w:rsidRPr="0064597D">
        <w:rPr>
          <w:sz w:val="20"/>
          <w:szCs w:val="20"/>
          <w:lang w:val="es-ES" w:eastAsia="en-US"/>
        </w:rPr>
        <w:t>)</w:t>
      </w:r>
      <w:r w:rsidR="007A2779" w:rsidRPr="0064597D">
        <w:rPr>
          <w:sz w:val="20"/>
          <w:szCs w:val="20"/>
          <w:lang w:val="es-ES" w:eastAsia="en-US"/>
        </w:rPr>
        <w:t xml:space="preserve"> de la Convención Americana y, según las representantes, </w:t>
      </w:r>
      <w:r w:rsidR="007A2779" w:rsidRPr="0064597D">
        <w:rPr>
          <w:sz w:val="20"/>
          <w:szCs w:val="20"/>
        </w:rPr>
        <w:t>de los artículos 8.2.d</w:t>
      </w:r>
      <w:r w:rsidR="001B4B25" w:rsidRPr="0064597D">
        <w:rPr>
          <w:sz w:val="20"/>
          <w:szCs w:val="20"/>
        </w:rPr>
        <w:t>)</w:t>
      </w:r>
      <w:r w:rsidR="007A2779" w:rsidRPr="0064597D">
        <w:rPr>
          <w:sz w:val="20"/>
          <w:szCs w:val="20"/>
        </w:rPr>
        <w:t xml:space="preserve"> y 8.2.f</w:t>
      </w:r>
      <w:r w:rsidR="001B4B25" w:rsidRPr="0064597D">
        <w:rPr>
          <w:sz w:val="20"/>
          <w:szCs w:val="20"/>
        </w:rPr>
        <w:t>)</w:t>
      </w:r>
      <w:r w:rsidR="007A2779" w:rsidRPr="0064597D">
        <w:rPr>
          <w:sz w:val="20"/>
          <w:szCs w:val="20"/>
        </w:rPr>
        <w:t xml:space="preserve"> de la Convención Americana, todo e</w:t>
      </w:r>
      <w:r w:rsidR="00A570ED" w:rsidRPr="0064597D">
        <w:rPr>
          <w:sz w:val="20"/>
          <w:szCs w:val="20"/>
        </w:rPr>
        <w:t>llo en relación con el artículo</w:t>
      </w:r>
      <w:r w:rsidR="007A2779" w:rsidRPr="0064597D">
        <w:rPr>
          <w:sz w:val="20"/>
          <w:szCs w:val="20"/>
        </w:rPr>
        <w:t xml:space="preserve"> 1.1 del mismo instrumento</w:t>
      </w:r>
      <w:r w:rsidR="007A2779" w:rsidRPr="0064597D">
        <w:rPr>
          <w:sz w:val="20"/>
          <w:szCs w:val="20"/>
          <w:lang w:val="es-ES" w:eastAsia="en-US"/>
        </w:rPr>
        <w:t>.</w:t>
      </w:r>
      <w:r w:rsidR="00B130BB" w:rsidRPr="0064597D">
        <w:rPr>
          <w:sz w:val="20"/>
          <w:szCs w:val="20"/>
          <w:lang w:val="es-ES" w:eastAsia="en-US"/>
        </w:rPr>
        <w:t xml:space="preserve"> </w:t>
      </w:r>
      <w:r w:rsidR="007A2779" w:rsidRPr="0064597D">
        <w:rPr>
          <w:sz w:val="20"/>
          <w:szCs w:val="20"/>
          <w:lang w:val="es-ES" w:eastAsia="en-US"/>
        </w:rPr>
        <w:t>Por otro lado, la Corte deberá determinar si el hecho de que el nuevo abogado desi</w:t>
      </w:r>
      <w:r w:rsidR="002961B3" w:rsidRPr="0064597D">
        <w:rPr>
          <w:sz w:val="20"/>
          <w:szCs w:val="20"/>
          <w:lang w:val="es-ES" w:eastAsia="en-US"/>
        </w:rPr>
        <w:t>g</w:t>
      </w:r>
      <w:r w:rsidR="007A2779" w:rsidRPr="0064597D">
        <w:rPr>
          <w:sz w:val="20"/>
          <w:szCs w:val="20"/>
          <w:lang w:val="es-ES" w:eastAsia="en-US"/>
        </w:rPr>
        <w:t>nado para el señor Ruiz Fuentes dispusiera de tan sólo veinticuatro horas para preparar su defensa, supuso según las representantes, una violación de los artículos 8.2.c</w:t>
      </w:r>
      <w:r w:rsidR="001B4B25" w:rsidRPr="0064597D">
        <w:rPr>
          <w:sz w:val="20"/>
          <w:szCs w:val="20"/>
          <w:lang w:val="es-ES" w:eastAsia="en-US"/>
        </w:rPr>
        <w:t>)</w:t>
      </w:r>
      <w:r w:rsidR="007A2779" w:rsidRPr="0064597D">
        <w:rPr>
          <w:sz w:val="20"/>
          <w:szCs w:val="20"/>
          <w:lang w:val="es-ES" w:eastAsia="en-US"/>
        </w:rPr>
        <w:t>, 8.2.d</w:t>
      </w:r>
      <w:r w:rsidR="001B4B25" w:rsidRPr="0064597D">
        <w:rPr>
          <w:sz w:val="20"/>
          <w:szCs w:val="20"/>
          <w:lang w:val="es-ES" w:eastAsia="en-US"/>
        </w:rPr>
        <w:t>)</w:t>
      </w:r>
      <w:r w:rsidR="007A2779" w:rsidRPr="0064597D">
        <w:rPr>
          <w:sz w:val="20"/>
          <w:szCs w:val="20"/>
          <w:lang w:val="es-ES" w:eastAsia="en-US"/>
        </w:rPr>
        <w:t xml:space="preserve"> y 8.2.f</w:t>
      </w:r>
      <w:r w:rsidR="001B4B25" w:rsidRPr="0064597D">
        <w:rPr>
          <w:sz w:val="20"/>
          <w:szCs w:val="20"/>
          <w:lang w:val="es-ES" w:eastAsia="en-US"/>
        </w:rPr>
        <w:t>)</w:t>
      </w:r>
      <w:r w:rsidR="007A2779" w:rsidRPr="0064597D">
        <w:rPr>
          <w:sz w:val="20"/>
          <w:szCs w:val="20"/>
          <w:lang w:val="es-ES" w:eastAsia="en-US"/>
        </w:rPr>
        <w:t xml:space="preserve"> de la Co</w:t>
      </w:r>
      <w:r w:rsidR="00D84387" w:rsidRPr="0064597D">
        <w:rPr>
          <w:sz w:val="20"/>
          <w:szCs w:val="20"/>
          <w:lang w:val="es-ES" w:eastAsia="en-US"/>
        </w:rPr>
        <w:t>nvención Americana.</w:t>
      </w:r>
    </w:p>
    <w:p w14:paraId="3AB283D0" w14:textId="77777777" w:rsidR="00A74D23" w:rsidRPr="0064597D" w:rsidRDefault="00A74D23" w:rsidP="00A74D23">
      <w:pPr>
        <w:tabs>
          <w:tab w:val="left" w:pos="567"/>
        </w:tabs>
        <w:autoSpaceDE w:val="0"/>
        <w:autoSpaceDN w:val="0"/>
        <w:spacing w:line="240" w:lineRule="auto"/>
        <w:rPr>
          <w:sz w:val="20"/>
          <w:szCs w:val="20"/>
          <w:lang w:val="es-ES" w:eastAsia="en-US"/>
        </w:rPr>
      </w:pPr>
    </w:p>
    <w:p w14:paraId="2F19C62E" w14:textId="13A374CC" w:rsidR="009340D0" w:rsidRPr="0064597D" w:rsidRDefault="00A83408" w:rsidP="0082006C">
      <w:pPr>
        <w:numPr>
          <w:ilvl w:val="0"/>
          <w:numId w:val="1"/>
        </w:numPr>
        <w:tabs>
          <w:tab w:val="left" w:pos="567"/>
        </w:tabs>
        <w:autoSpaceDE w:val="0"/>
        <w:autoSpaceDN w:val="0"/>
        <w:spacing w:line="240" w:lineRule="auto"/>
        <w:ind w:left="0" w:firstLine="0"/>
        <w:rPr>
          <w:sz w:val="20"/>
          <w:szCs w:val="20"/>
          <w:lang w:val="es-ES" w:eastAsia="en-US"/>
        </w:rPr>
      </w:pPr>
      <w:r w:rsidRPr="0064597D">
        <w:rPr>
          <w:sz w:val="20"/>
          <w:szCs w:val="20"/>
          <w:lang w:val="es-ES" w:eastAsia="en-US"/>
        </w:rPr>
        <w:t xml:space="preserve">Con </w:t>
      </w:r>
      <w:r w:rsidRPr="0064597D">
        <w:rPr>
          <w:sz w:val="20"/>
          <w:szCs w:val="20"/>
        </w:rPr>
        <w:t>respecto</w:t>
      </w:r>
      <w:r w:rsidRPr="0064597D">
        <w:rPr>
          <w:sz w:val="20"/>
          <w:szCs w:val="20"/>
          <w:lang w:val="es-ES" w:eastAsia="en-US"/>
        </w:rPr>
        <w:t xml:space="preserve"> al primer punto, la Corte observa que es un hecho no controvertido que</w:t>
      </w:r>
      <w:r w:rsidR="00851D8C" w:rsidRPr="0064597D">
        <w:rPr>
          <w:sz w:val="20"/>
          <w:szCs w:val="20"/>
          <w:lang w:val="es-ES" w:eastAsia="en-US"/>
        </w:rPr>
        <w:t xml:space="preserve"> el señor Ruiz Fuentes se vio privado de </w:t>
      </w:r>
      <w:r w:rsidR="0010044D" w:rsidRPr="0064597D">
        <w:rPr>
          <w:sz w:val="20"/>
          <w:szCs w:val="20"/>
          <w:lang w:val="es-ES" w:eastAsia="en-US"/>
        </w:rPr>
        <w:t xml:space="preserve">aportar prueba de descargo </w:t>
      </w:r>
      <w:r w:rsidR="00851D8C" w:rsidRPr="0064597D">
        <w:rPr>
          <w:sz w:val="20"/>
          <w:szCs w:val="20"/>
          <w:lang w:val="es-ES" w:eastAsia="en-US"/>
        </w:rPr>
        <w:t>en el marco d</w:t>
      </w:r>
      <w:r w:rsidR="0010044D" w:rsidRPr="0064597D">
        <w:rPr>
          <w:sz w:val="20"/>
          <w:szCs w:val="20"/>
          <w:lang w:val="es-ES" w:eastAsia="en-US"/>
        </w:rPr>
        <w:t>el procedimiento penal</w:t>
      </w:r>
      <w:r w:rsidR="00851D8C" w:rsidRPr="0064597D">
        <w:rPr>
          <w:sz w:val="20"/>
          <w:szCs w:val="20"/>
          <w:lang w:val="es-ES" w:eastAsia="en-US"/>
        </w:rPr>
        <w:t xml:space="preserve"> </w:t>
      </w:r>
      <w:r w:rsidR="0010044D" w:rsidRPr="0064597D">
        <w:rPr>
          <w:sz w:val="20"/>
          <w:szCs w:val="20"/>
          <w:lang w:val="es-ES" w:eastAsia="en-US"/>
        </w:rPr>
        <w:t xml:space="preserve">debido a que </w:t>
      </w:r>
      <w:r w:rsidR="00851D8C" w:rsidRPr="0064597D">
        <w:rPr>
          <w:sz w:val="20"/>
          <w:szCs w:val="20"/>
          <w:lang w:val="es-ES" w:eastAsia="en-US"/>
        </w:rPr>
        <w:t>su entonces defensor omitió firmar y sellar el memorial correspondiente, razón por la cual el Tribunal no le dio trámite al mismo</w:t>
      </w:r>
      <w:r w:rsidR="0010044D" w:rsidRPr="0064597D">
        <w:rPr>
          <w:sz w:val="20"/>
          <w:szCs w:val="20"/>
          <w:lang w:val="es-ES" w:eastAsia="en-US"/>
        </w:rPr>
        <w:t xml:space="preserve">. </w:t>
      </w:r>
      <w:r w:rsidR="009340D0" w:rsidRPr="0064597D">
        <w:rPr>
          <w:sz w:val="20"/>
          <w:szCs w:val="20"/>
          <w:lang w:val="es-ES" w:eastAsia="en-US"/>
        </w:rPr>
        <w:t>La Corte observa que, c</w:t>
      </w:r>
      <w:r w:rsidR="009340D0" w:rsidRPr="0064597D">
        <w:rPr>
          <w:sz w:val="20"/>
          <w:szCs w:val="20"/>
        </w:rPr>
        <w:t>on respecto a la supuesta vulneración al derecho de defensa por la imposibilidad de presentar medios de prueba durante el debate, la Corte de Apelaciones indicó que “</w:t>
      </w:r>
      <w:r w:rsidR="009340D0" w:rsidRPr="0064597D">
        <w:rPr>
          <w:rFonts w:cs="Arial"/>
          <w:sz w:val="20"/>
          <w:szCs w:val="20"/>
        </w:rPr>
        <w:t>[…],</w:t>
      </w:r>
      <w:r w:rsidR="009340D0" w:rsidRPr="0064597D">
        <w:rPr>
          <w:rFonts w:cs="Arial"/>
        </w:rPr>
        <w:t xml:space="preserve"> </w:t>
      </w:r>
      <w:r w:rsidR="009340D0" w:rsidRPr="0064597D">
        <w:rPr>
          <w:sz w:val="20"/>
          <w:szCs w:val="20"/>
        </w:rPr>
        <w:t xml:space="preserve">el derecho de defensa en ningún momento se le conculcó al recurrente, pues contó durante todo el juicio con su abogado defensor, quien hizo valer todos las garantías que a él le asisten, y si se rechazó la prueba propuesta fue por la forma antitécnica como su abogado ofreció la prueba a rendir, no obstante ello, el recurrente pudo accionar durante el </w:t>
      </w:r>
      <w:r w:rsidR="009340D0" w:rsidRPr="0064597D">
        <w:rPr>
          <w:sz w:val="20"/>
          <w:szCs w:val="20"/>
        </w:rPr>
        <w:lastRenderedPageBreak/>
        <w:t>trámite del juicio correspondiente de donde no hubo la inobservancia pretendida”</w:t>
      </w:r>
      <w:r w:rsidR="009340D0" w:rsidRPr="0064597D">
        <w:rPr>
          <w:rStyle w:val="Refdenotaalpie"/>
          <w:sz w:val="20"/>
          <w:szCs w:val="20"/>
        </w:rPr>
        <w:footnoteReference w:id="185"/>
      </w:r>
      <w:r w:rsidR="009340D0" w:rsidRPr="0064597D">
        <w:rPr>
          <w:sz w:val="20"/>
          <w:szCs w:val="20"/>
        </w:rPr>
        <w:t>.</w:t>
      </w:r>
    </w:p>
    <w:p w14:paraId="2EE0E517" w14:textId="77777777" w:rsidR="009340D0" w:rsidRPr="0064597D" w:rsidRDefault="009340D0" w:rsidP="00C430C8">
      <w:pPr>
        <w:tabs>
          <w:tab w:val="left" w:pos="567"/>
        </w:tabs>
        <w:autoSpaceDE w:val="0"/>
        <w:autoSpaceDN w:val="0"/>
        <w:spacing w:line="240" w:lineRule="auto"/>
        <w:rPr>
          <w:sz w:val="20"/>
          <w:szCs w:val="20"/>
          <w:lang w:val="es-ES" w:eastAsia="en-US"/>
        </w:rPr>
      </w:pPr>
    </w:p>
    <w:p w14:paraId="6B0B475B" w14:textId="35CF469E" w:rsidR="0082006C" w:rsidRPr="0064597D" w:rsidRDefault="009340D0" w:rsidP="0082006C">
      <w:pPr>
        <w:numPr>
          <w:ilvl w:val="0"/>
          <w:numId w:val="1"/>
        </w:numPr>
        <w:tabs>
          <w:tab w:val="left" w:pos="567"/>
        </w:tabs>
        <w:autoSpaceDE w:val="0"/>
        <w:autoSpaceDN w:val="0"/>
        <w:spacing w:line="240" w:lineRule="auto"/>
        <w:ind w:left="0" w:firstLine="0"/>
        <w:rPr>
          <w:sz w:val="20"/>
          <w:szCs w:val="20"/>
          <w:lang w:val="es-ES" w:eastAsia="en-US"/>
        </w:rPr>
      </w:pPr>
      <w:r w:rsidRPr="0064597D">
        <w:rPr>
          <w:sz w:val="20"/>
          <w:szCs w:val="20"/>
          <w:lang w:val="es-ES"/>
        </w:rPr>
        <w:t>L</w:t>
      </w:r>
      <w:r w:rsidR="0082006C" w:rsidRPr="0064597D">
        <w:rPr>
          <w:sz w:val="20"/>
          <w:szCs w:val="20"/>
          <w:lang w:val="es-ES"/>
        </w:rPr>
        <w:t xml:space="preserve">a Corte recuerda que el derecho a la defensa es un componente central del debido proceso que obliga al Estado a tratar al individuo en todo momento como un verdadero sujeto del proceso, en el más </w:t>
      </w:r>
      <w:r w:rsidR="0082006C" w:rsidRPr="0064597D">
        <w:rPr>
          <w:sz w:val="20"/>
          <w:szCs w:val="20"/>
        </w:rPr>
        <w:t>amplio</w:t>
      </w:r>
      <w:r w:rsidR="0082006C" w:rsidRPr="0064597D">
        <w:rPr>
          <w:sz w:val="20"/>
          <w:szCs w:val="20"/>
          <w:lang w:val="es-ES"/>
        </w:rPr>
        <w:t xml:space="preserve"> sentido de este concepto, y no simplemente como objeto del mismo</w:t>
      </w:r>
      <w:r w:rsidR="0082006C" w:rsidRPr="0064597D">
        <w:rPr>
          <w:rStyle w:val="Refdenotaalpie"/>
          <w:sz w:val="20"/>
          <w:szCs w:val="20"/>
          <w:lang w:val="es-ES"/>
        </w:rPr>
        <w:footnoteReference w:id="186"/>
      </w:r>
      <w:r w:rsidR="0082006C" w:rsidRPr="0064597D">
        <w:rPr>
          <w:sz w:val="20"/>
          <w:szCs w:val="20"/>
          <w:lang w:val="es-ES"/>
        </w:rPr>
        <w:t>. El derecho a la defensa debe necesariamente poder ejercerse desde que se señala a una persona como posible autor o partícipe de un hecho punible y solo culmina cuando finaliza el proceso, incluyendo, en su caso, la etapa de ejecución de la pena</w:t>
      </w:r>
      <w:r w:rsidR="0082006C" w:rsidRPr="0064597D">
        <w:rPr>
          <w:rStyle w:val="Refdenotaalpie"/>
          <w:sz w:val="20"/>
          <w:szCs w:val="20"/>
          <w:lang w:val="es-ES"/>
        </w:rPr>
        <w:footnoteReference w:id="187"/>
      </w:r>
      <w:r w:rsidR="0082006C" w:rsidRPr="0064597D">
        <w:rPr>
          <w:sz w:val="20"/>
          <w:szCs w:val="20"/>
          <w:lang w:val="es-ES"/>
        </w:rPr>
        <w:t xml:space="preserve">. </w:t>
      </w:r>
    </w:p>
    <w:p w14:paraId="443DCB74" w14:textId="77777777" w:rsidR="0082006C" w:rsidRPr="0064597D" w:rsidRDefault="0082006C" w:rsidP="0082006C">
      <w:pPr>
        <w:tabs>
          <w:tab w:val="left" w:pos="567"/>
        </w:tabs>
        <w:autoSpaceDE w:val="0"/>
        <w:autoSpaceDN w:val="0"/>
        <w:spacing w:line="240" w:lineRule="auto"/>
        <w:rPr>
          <w:sz w:val="20"/>
          <w:szCs w:val="20"/>
          <w:lang w:val="es-ES" w:eastAsia="en-US"/>
        </w:rPr>
      </w:pPr>
    </w:p>
    <w:p w14:paraId="6ED1DB75" w14:textId="2B44DD22" w:rsidR="00217017" w:rsidRPr="0064597D" w:rsidRDefault="003B3E94" w:rsidP="00FD5666">
      <w:pPr>
        <w:numPr>
          <w:ilvl w:val="0"/>
          <w:numId w:val="1"/>
        </w:numPr>
        <w:tabs>
          <w:tab w:val="left" w:pos="567"/>
        </w:tabs>
        <w:autoSpaceDE w:val="0"/>
        <w:autoSpaceDN w:val="0"/>
        <w:spacing w:line="240" w:lineRule="auto"/>
        <w:ind w:left="0" w:firstLine="0"/>
        <w:rPr>
          <w:sz w:val="20"/>
          <w:szCs w:val="20"/>
          <w:lang w:val="es-ES" w:eastAsia="en-US"/>
        </w:rPr>
      </w:pPr>
      <w:r w:rsidRPr="0064597D">
        <w:rPr>
          <w:sz w:val="20"/>
          <w:szCs w:val="20"/>
          <w:lang w:val="es-ES" w:eastAsia="en-US"/>
        </w:rPr>
        <w:t xml:space="preserve">Sentado lo anterior, </w:t>
      </w:r>
      <w:r w:rsidR="00A24E1D" w:rsidRPr="0064597D">
        <w:rPr>
          <w:sz w:val="20"/>
          <w:szCs w:val="20"/>
        </w:rPr>
        <w:t xml:space="preserve">la Corte destaca que </w:t>
      </w:r>
      <w:r w:rsidR="000A63C3" w:rsidRPr="0064597D">
        <w:rPr>
          <w:sz w:val="20"/>
          <w:szCs w:val="20"/>
        </w:rPr>
        <w:t>es deber del Estado garantizar el ejercicio pleno y libre del derecho de defensa, independientemente de que la representación sea lleva</w:t>
      </w:r>
      <w:r w:rsidR="004665E2" w:rsidRPr="0064597D">
        <w:rPr>
          <w:sz w:val="20"/>
          <w:szCs w:val="20"/>
        </w:rPr>
        <w:t>d</w:t>
      </w:r>
      <w:r w:rsidR="000A63C3" w:rsidRPr="0064597D">
        <w:rPr>
          <w:sz w:val="20"/>
          <w:szCs w:val="20"/>
        </w:rPr>
        <w:t xml:space="preserve">a cabo por un defensor público o privado. En el presente caso, la Corte observa que </w:t>
      </w:r>
      <w:r w:rsidR="00A24E1D" w:rsidRPr="0064597D">
        <w:rPr>
          <w:sz w:val="20"/>
          <w:szCs w:val="20"/>
        </w:rPr>
        <w:t xml:space="preserve">la razón por la cual la prueba aportada por el señor Ruiz Fuentes no fue admitida se debió a que </w:t>
      </w:r>
      <w:r w:rsidR="00A24E1D" w:rsidRPr="0064597D">
        <w:rPr>
          <w:rFonts w:cs="Arial"/>
          <w:sz w:val="20"/>
          <w:szCs w:val="20"/>
        </w:rPr>
        <w:t xml:space="preserve">el memorial </w:t>
      </w:r>
      <w:r w:rsidR="00A24E1D" w:rsidRPr="0064597D">
        <w:rPr>
          <w:sz w:val="20"/>
          <w:szCs w:val="20"/>
        </w:rPr>
        <w:t>respectivo</w:t>
      </w:r>
      <w:r w:rsidR="00DB0443" w:rsidRPr="0064597D">
        <w:rPr>
          <w:sz w:val="20"/>
          <w:szCs w:val="20"/>
        </w:rPr>
        <w:t xml:space="preserve"> </w:t>
      </w:r>
      <w:r w:rsidR="00A24E1D" w:rsidRPr="0064597D">
        <w:rPr>
          <w:rFonts w:cs="Arial"/>
          <w:sz w:val="20"/>
          <w:szCs w:val="20"/>
        </w:rPr>
        <w:t xml:space="preserve">carecía de firma y </w:t>
      </w:r>
      <w:r w:rsidR="00541480" w:rsidRPr="0064597D">
        <w:rPr>
          <w:rFonts w:cs="Arial"/>
          <w:sz w:val="20"/>
          <w:szCs w:val="20"/>
        </w:rPr>
        <w:t xml:space="preserve">sello abogado defensor, lo que </w:t>
      </w:r>
      <w:r w:rsidR="007309C7" w:rsidRPr="0064597D">
        <w:rPr>
          <w:rFonts w:cs="Arial"/>
          <w:sz w:val="20"/>
          <w:szCs w:val="20"/>
        </w:rPr>
        <w:t>hizo que el documento no tuviera ninguna validez</w:t>
      </w:r>
      <w:r w:rsidR="00541480" w:rsidRPr="0064597D">
        <w:rPr>
          <w:rFonts w:cs="Arial"/>
          <w:sz w:val="20"/>
          <w:szCs w:val="20"/>
        </w:rPr>
        <w:t xml:space="preserve"> en aplicación de la legalidad procesal vigente al momento de los hechos</w:t>
      </w:r>
      <w:r w:rsidR="00B130BB" w:rsidRPr="0064597D">
        <w:rPr>
          <w:rStyle w:val="Refdenotaalpie"/>
          <w:sz w:val="20"/>
          <w:szCs w:val="20"/>
        </w:rPr>
        <w:footnoteReference w:id="188"/>
      </w:r>
      <w:r w:rsidR="007309C7" w:rsidRPr="0064597D">
        <w:rPr>
          <w:rFonts w:cs="Arial"/>
          <w:sz w:val="20"/>
          <w:szCs w:val="20"/>
        </w:rPr>
        <w:t>. La Corte observa, por tanto, que la prueba propuesta fue rechazada por un grave y claro fallo procesal cometido por el abogado defensor</w:t>
      </w:r>
      <w:r w:rsidR="007309C7" w:rsidRPr="0064597D">
        <w:rPr>
          <w:rStyle w:val="Refdenotaalpie"/>
          <w:sz w:val="20"/>
          <w:szCs w:val="20"/>
        </w:rPr>
        <w:footnoteReference w:id="189"/>
      </w:r>
      <w:r w:rsidR="00B130BB" w:rsidRPr="0064597D">
        <w:rPr>
          <w:rFonts w:cs="Arial"/>
          <w:sz w:val="20"/>
          <w:szCs w:val="20"/>
        </w:rPr>
        <w:t xml:space="preserve">. </w:t>
      </w:r>
      <w:r w:rsidR="0082006C" w:rsidRPr="0064597D">
        <w:rPr>
          <w:sz w:val="20"/>
          <w:szCs w:val="20"/>
          <w:lang w:val="es-ES" w:eastAsia="en-US"/>
        </w:rPr>
        <w:t>A la vista de lo anterior, la Corte considera que el Estado guatemalteco no puede ser considerado responsable por la omisión que haya podido tener un defensor privado</w:t>
      </w:r>
      <w:r w:rsidRPr="0064597D">
        <w:rPr>
          <w:sz w:val="20"/>
          <w:szCs w:val="20"/>
          <w:lang w:val="es-ES" w:eastAsia="en-US"/>
        </w:rPr>
        <w:t xml:space="preserve">, máxime cuando en el presente caso la Corte no cuenta con </w:t>
      </w:r>
      <w:r w:rsidR="004665E2" w:rsidRPr="0064597D">
        <w:rPr>
          <w:sz w:val="20"/>
          <w:szCs w:val="20"/>
          <w:lang w:val="es-ES" w:eastAsia="en-US"/>
        </w:rPr>
        <w:t>argumentos</w:t>
      </w:r>
      <w:r w:rsidRPr="0064597D">
        <w:rPr>
          <w:sz w:val="20"/>
          <w:szCs w:val="20"/>
          <w:lang w:val="es-ES" w:eastAsia="en-US"/>
        </w:rPr>
        <w:t xml:space="preserve"> ni con prueba pertinente que eventualmente pudiera</w:t>
      </w:r>
      <w:r w:rsidR="004665E2" w:rsidRPr="0064597D">
        <w:rPr>
          <w:sz w:val="20"/>
          <w:szCs w:val="20"/>
          <w:lang w:val="es-ES" w:eastAsia="en-US"/>
        </w:rPr>
        <w:t>n</w:t>
      </w:r>
      <w:r w:rsidRPr="0064597D">
        <w:rPr>
          <w:sz w:val="20"/>
          <w:szCs w:val="20"/>
          <w:lang w:val="es-ES" w:eastAsia="en-US"/>
        </w:rPr>
        <w:t xml:space="preserve"> acreditar que la inacción del defensor privado se debió a algún tipo de obstaculización o intervención indebida del Estado</w:t>
      </w:r>
      <w:r w:rsidR="0082006C" w:rsidRPr="0064597D">
        <w:rPr>
          <w:sz w:val="20"/>
          <w:szCs w:val="20"/>
          <w:lang w:val="es-ES" w:eastAsia="en-US"/>
        </w:rPr>
        <w:t xml:space="preserve">. </w:t>
      </w:r>
      <w:r w:rsidR="00263ED1" w:rsidRPr="0064597D">
        <w:rPr>
          <w:sz w:val="20"/>
          <w:szCs w:val="20"/>
          <w:lang w:val="es-ES" w:eastAsia="en-US"/>
        </w:rPr>
        <w:t xml:space="preserve">Por ende, la Corte considera que el Estado no violó </w:t>
      </w:r>
      <w:r w:rsidR="0082142D" w:rsidRPr="0064597D">
        <w:rPr>
          <w:sz w:val="20"/>
          <w:szCs w:val="20"/>
          <w:lang w:val="es-ES" w:eastAsia="en-US"/>
        </w:rPr>
        <w:t>los artículos 8.2.d</w:t>
      </w:r>
      <w:r w:rsidR="001B4B25" w:rsidRPr="0064597D">
        <w:rPr>
          <w:sz w:val="20"/>
          <w:szCs w:val="20"/>
          <w:lang w:val="es-ES" w:eastAsia="en-US"/>
        </w:rPr>
        <w:t>)</w:t>
      </w:r>
      <w:r w:rsidR="0082142D" w:rsidRPr="0064597D">
        <w:rPr>
          <w:sz w:val="20"/>
          <w:szCs w:val="20"/>
          <w:lang w:val="es-ES" w:eastAsia="en-US"/>
        </w:rPr>
        <w:t xml:space="preserve"> y</w:t>
      </w:r>
      <w:r w:rsidR="00263ED1" w:rsidRPr="0064597D">
        <w:rPr>
          <w:sz w:val="20"/>
          <w:szCs w:val="20"/>
          <w:lang w:val="es-ES" w:eastAsia="en-US"/>
        </w:rPr>
        <w:t xml:space="preserve"> 8.2.f</w:t>
      </w:r>
      <w:r w:rsidR="001B4B25" w:rsidRPr="0064597D">
        <w:rPr>
          <w:sz w:val="20"/>
          <w:szCs w:val="20"/>
          <w:lang w:val="es-ES" w:eastAsia="en-US"/>
        </w:rPr>
        <w:t>)</w:t>
      </w:r>
      <w:r w:rsidR="00263ED1" w:rsidRPr="0064597D">
        <w:rPr>
          <w:sz w:val="20"/>
          <w:szCs w:val="20"/>
          <w:lang w:val="es-ES" w:eastAsia="en-US"/>
        </w:rPr>
        <w:t xml:space="preserve"> de la Convención Americana.</w:t>
      </w:r>
    </w:p>
    <w:p w14:paraId="0D28FE0F" w14:textId="77777777" w:rsidR="00217017" w:rsidRPr="0064597D" w:rsidRDefault="00217017" w:rsidP="00217017">
      <w:pPr>
        <w:tabs>
          <w:tab w:val="left" w:pos="567"/>
        </w:tabs>
        <w:autoSpaceDE w:val="0"/>
        <w:autoSpaceDN w:val="0"/>
        <w:spacing w:line="240" w:lineRule="auto"/>
        <w:rPr>
          <w:sz w:val="20"/>
          <w:szCs w:val="20"/>
          <w:lang w:val="es-ES" w:eastAsia="en-US"/>
        </w:rPr>
      </w:pPr>
    </w:p>
    <w:p w14:paraId="0D8C9C6E" w14:textId="47B3F75D" w:rsidR="002820AA" w:rsidRPr="0064597D" w:rsidRDefault="00217017" w:rsidP="00492BBB">
      <w:pPr>
        <w:numPr>
          <w:ilvl w:val="0"/>
          <w:numId w:val="1"/>
        </w:numPr>
        <w:tabs>
          <w:tab w:val="left" w:pos="567"/>
        </w:tabs>
        <w:autoSpaceDE w:val="0"/>
        <w:autoSpaceDN w:val="0"/>
        <w:spacing w:line="240" w:lineRule="auto"/>
        <w:ind w:left="0" w:firstLine="0"/>
        <w:rPr>
          <w:sz w:val="20"/>
          <w:szCs w:val="20"/>
          <w:lang w:val="es-ES" w:eastAsia="en-US"/>
        </w:rPr>
      </w:pPr>
      <w:r w:rsidRPr="0064597D">
        <w:rPr>
          <w:sz w:val="20"/>
          <w:szCs w:val="20"/>
          <w:lang w:val="es-ES" w:eastAsia="en-US"/>
        </w:rPr>
        <w:t>Con respecto al segundo punto, t</w:t>
      </w:r>
      <w:r w:rsidR="0010044D" w:rsidRPr="0064597D">
        <w:rPr>
          <w:sz w:val="20"/>
          <w:szCs w:val="20"/>
          <w:lang w:val="es-ES" w:eastAsia="en-US"/>
        </w:rPr>
        <w:t xml:space="preserve">ampoco es un hecho controvertido que </w:t>
      </w:r>
      <w:r w:rsidR="00A83408" w:rsidRPr="0064597D">
        <w:rPr>
          <w:sz w:val="20"/>
          <w:szCs w:val="20"/>
          <w:lang w:val="es-ES" w:eastAsia="en-US"/>
        </w:rPr>
        <w:t xml:space="preserve">el día del debate oral y público, previo a la condenatoria a muerte, </w:t>
      </w:r>
      <w:r w:rsidR="00070340" w:rsidRPr="0064597D">
        <w:rPr>
          <w:sz w:val="20"/>
          <w:szCs w:val="20"/>
          <w:lang w:val="es-ES" w:eastAsia="en-US"/>
        </w:rPr>
        <w:t>a</w:t>
      </w:r>
      <w:r w:rsidR="00197DAE" w:rsidRPr="0064597D">
        <w:rPr>
          <w:sz w:val="20"/>
          <w:szCs w:val="20"/>
          <w:lang w:val="es-ES" w:eastAsia="en-US"/>
        </w:rPr>
        <w:t xml:space="preserve">nte la ausencia </w:t>
      </w:r>
      <w:r w:rsidR="00C3573D" w:rsidRPr="0064597D">
        <w:rPr>
          <w:sz w:val="20"/>
          <w:szCs w:val="20"/>
          <w:lang w:val="es-ES" w:eastAsia="en-US"/>
        </w:rPr>
        <w:t>del</w:t>
      </w:r>
      <w:r w:rsidR="00197DAE" w:rsidRPr="0064597D">
        <w:rPr>
          <w:sz w:val="20"/>
          <w:szCs w:val="20"/>
          <w:lang w:val="es-ES" w:eastAsia="en-US"/>
        </w:rPr>
        <w:t xml:space="preserve"> letrado</w:t>
      </w:r>
      <w:r w:rsidR="00070340" w:rsidRPr="0064597D">
        <w:rPr>
          <w:sz w:val="20"/>
          <w:szCs w:val="20"/>
          <w:lang w:val="es-ES" w:eastAsia="en-US"/>
        </w:rPr>
        <w:t xml:space="preserve"> del señor Ruiz Fuentes</w:t>
      </w:r>
      <w:r w:rsidR="00197DAE" w:rsidRPr="0064597D">
        <w:rPr>
          <w:sz w:val="20"/>
          <w:szCs w:val="20"/>
          <w:lang w:val="es-ES" w:eastAsia="en-US"/>
        </w:rPr>
        <w:t xml:space="preserve">, </w:t>
      </w:r>
      <w:r w:rsidR="00A83408" w:rsidRPr="0064597D">
        <w:rPr>
          <w:sz w:val="20"/>
          <w:szCs w:val="20"/>
          <w:lang w:val="es-ES" w:eastAsia="en-US"/>
        </w:rPr>
        <w:t>el Tribunal</w:t>
      </w:r>
      <w:r w:rsidR="00197DAE" w:rsidRPr="0064597D">
        <w:rPr>
          <w:sz w:val="20"/>
          <w:szCs w:val="20"/>
          <w:lang w:val="es-ES" w:eastAsia="en-US"/>
        </w:rPr>
        <w:t xml:space="preserve"> </w:t>
      </w:r>
      <w:r w:rsidR="00C3573D" w:rsidRPr="0064597D">
        <w:rPr>
          <w:sz w:val="20"/>
          <w:szCs w:val="20"/>
          <w:lang w:val="es-ES" w:eastAsia="en-US"/>
        </w:rPr>
        <w:t xml:space="preserve">de </w:t>
      </w:r>
      <w:r w:rsidR="00197DAE" w:rsidRPr="0064597D">
        <w:rPr>
          <w:sz w:val="20"/>
          <w:szCs w:val="20"/>
          <w:lang w:val="es-ES" w:eastAsia="en-US"/>
        </w:rPr>
        <w:t xml:space="preserve">Sentencia Penal </w:t>
      </w:r>
      <w:r w:rsidR="003C53B9" w:rsidRPr="0064597D">
        <w:rPr>
          <w:sz w:val="20"/>
          <w:szCs w:val="20"/>
          <w:lang w:val="es-ES" w:eastAsia="en-US"/>
        </w:rPr>
        <w:t xml:space="preserve">declaró el abandono del </w:t>
      </w:r>
      <w:r w:rsidR="00C3573D" w:rsidRPr="0064597D">
        <w:rPr>
          <w:sz w:val="20"/>
          <w:szCs w:val="20"/>
          <w:lang w:val="es-ES" w:eastAsia="en-US"/>
        </w:rPr>
        <w:t>mismo</w:t>
      </w:r>
      <w:r w:rsidR="003C53B9" w:rsidRPr="0064597D">
        <w:rPr>
          <w:sz w:val="20"/>
          <w:szCs w:val="20"/>
          <w:lang w:val="es-ES" w:eastAsia="en-US"/>
        </w:rPr>
        <w:t xml:space="preserve"> y </w:t>
      </w:r>
      <w:r w:rsidR="00A83408" w:rsidRPr="0064597D">
        <w:rPr>
          <w:sz w:val="20"/>
          <w:szCs w:val="20"/>
          <w:lang w:val="es-ES" w:eastAsia="en-US"/>
        </w:rPr>
        <w:t xml:space="preserve">nombró un </w:t>
      </w:r>
      <w:r w:rsidR="00197DAE" w:rsidRPr="0064597D">
        <w:rPr>
          <w:sz w:val="20"/>
          <w:szCs w:val="20"/>
          <w:lang w:val="es-ES" w:eastAsia="en-US"/>
        </w:rPr>
        <w:t xml:space="preserve">nuevo </w:t>
      </w:r>
      <w:r w:rsidR="00A83408" w:rsidRPr="0064597D">
        <w:rPr>
          <w:sz w:val="20"/>
          <w:szCs w:val="20"/>
          <w:lang w:val="es-ES" w:eastAsia="en-US"/>
        </w:rPr>
        <w:t>defensor</w:t>
      </w:r>
      <w:r w:rsidR="003C53B9" w:rsidRPr="0064597D">
        <w:rPr>
          <w:sz w:val="20"/>
          <w:szCs w:val="20"/>
          <w:lang w:val="es-ES" w:eastAsia="en-US"/>
        </w:rPr>
        <w:t xml:space="preserve">, quien ya figuraba como apersonado </w:t>
      </w:r>
      <w:r w:rsidR="00C3573D" w:rsidRPr="0064597D">
        <w:rPr>
          <w:sz w:val="20"/>
          <w:szCs w:val="20"/>
          <w:lang w:val="es-ES" w:eastAsia="en-US"/>
        </w:rPr>
        <w:t>en la causa</w:t>
      </w:r>
      <w:r w:rsidR="003C53B9" w:rsidRPr="0064597D">
        <w:rPr>
          <w:rStyle w:val="Refdenotaalpie"/>
          <w:sz w:val="20"/>
          <w:szCs w:val="20"/>
          <w:lang w:val="es-ES" w:eastAsia="en-US"/>
        </w:rPr>
        <w:footnoteReference w:id="190"/>
      </w:r>
      <w:r w:rsidR="003C53B9" w:rsidRPr="0064597D">
        <w:rPr>
          <w:sz w:val="20"/>
          <w:szCs w:val="20"/>
          <w:lang w:val="es-ES" w:eastAsia="en-US"/>
        </w:rPr>
        <w:t>.</w:t>
      </w:r>
      <w:r w:rsidR="00DB0443" w:rsidRPr="0064597D">
        <w:rPr>
          <w:sz w:val="20"/>
          <w:szCs w:val="20"/>
          <w:lang w:val="es-ES" w:eastAsia="en-US"/>
        </w:rPr>
        <w:t xml:space="preserve"> </w:t>
      </w:r>
      <w:r w:rsidR="003C53B9" w:rsidRPr="0064597D">
        <w:rPr>
          <w:sz w:val="20"/>
          <w:szCs w:val="20"/>
          <w:lang w:val="es-ES" w:eastAsia="en-US"/>
        </w:rPr>
        <w:t xml:space="preserve">El señor Ruiz Fuentes dio su consentimiento a que </w:t>
      </w:r>
      <w:r w:rsidR="00C3573D" w:rsidRPr="0064597D">
        <w:rPr>
          <w:sz w:val="20"/>
          <w:szCs w:val="20"/>
          <w:lang w:val="es-ES" w:eastAsia="en-US"/>
        </w:rPr>
        <w:t>el nuevo abogado</w:t>
      </w:r>
      <w:r w:rsidR="003C53B9" w:rsidRPr="0064597D">
        <w:rPr>
          <w:sz w:val="20"/>
          <w:szCs w:val="20"/>
          <w:lang w:val="es-ES" w:eastAsia="en-US"/>
        </w:rPr>
        <w:t xml:space="preserve"> lo defendiera en el juicio</w:t>
      </w:r>
      <w:r w:rsidR="003C53B9" w:rsidRPr="0064597D">
        <w:rPr>
          <w:rStyle w:val="Refdenotaalpie"/>
          <w:sz w:val="20"/>
          <w:szCs w:val="20"/>
          <w:lang w:val="es-ES" w:eastAsia="en-US"/>
        </w:rPr>
        <w:footnoteReference w:id="191"/>
      </w:r>
      <w:r w:rsidR="003C53B9" w:rsidRPr="0064597D">
        <w:rPr>
          <w:sz w:val="20"/>
          <w:szCs w:val="20"/>
          <w:lang w:val="es-ES" w:eastAsia="en-US"/>
        </w:rPr>
        <w:t xml:space="preserve">. </w:t>
      </w:r>
      <w:r w:rsidR="002820AA" w:rsidRPr="0064597D">
        <w:rPr>
          <w:sz w:val="20"/>
          <w:szCs w:val="20"/>
          <w:lang w:val="es-ES" w:eastAsia="en-US"/>
        </w:rPr>
        <w:t>Tras dicha designación, el abogado solicitó que se suspendiera el debate en aras de poder preparar la defensa de su cliente. No obstante lo anterior, el Tribunal de Sentencia Penal decidió aplazar el debate durante veinticuatro horas y ello con base a que “el licenciado […]</w:t>
      </w:r>
      <w:r w:rsidR="00C3573D" w:rsidRPr="0064597D">
        <w:rPr>
          <w:sz w:val="20"/>
          <w:szCs w:val="20"/>
          <w:lang w:val="es-ES" w:eastAsia="en-US"/>
        </w:rPr>
        <w:t xml:space="preserve"> </w:t>
      </w:r>
      <w:r w:rsidR="002820AA" w:rsidRPr="0064597D">
        <w:rPr>
          <w:sz w:val="20"/>
          <w:szCs w:val="20"/>
          <w:lang w:val="es-ES" w:eastAsia="en-US"/>
        </w:rPr>
        <w:t>fungía como defensor de otro de los sindicados” y que, por tanto, conocía el proceso</w:t>
      </w:r>
      <w:r w:rsidR="002820AA" w:rsidRPr="0064597D">
        <w:rPr>
          <w:rStyle w:val="Refdenotaalpie"/>
          <w:sz w:val="20"/>
          <w:szCs w:val="20"/>
          <w:lang w:val="es-ES" w:eastAsia="en-US"/>
        </w:rPr>
        <w:footnoteReference w:id="192"/>
      </w:r>
      <w:r w:rsidR="002820AA" w:rsidRPr="0064597D">
        <w:rPr>
          <w:sz w:val="20"/>
          <w:szCs w:val="20"/>
          <w:lang w:val="es-ES" w:eastAsia="en-US"/>
        </w:rPr>
        <w:t xml:space="preserve">. </w:t>
      </w:r>
    </w:p>
    <w:p w14:paraId="21411DFB" w14:textId="77777777" w:rsidR="002820AA" w:rsidRPr="0064597D" w:rsidRDefault="002820AA" w:rsidP="002820AA">
      <w:pPr>
        <w:tabs>
          <w:tab w:val="left" w:pos="567"/>
        </w:tabs>
        <w:autoSpaceDE w:val="0"/>
        <w:autoSpaceDN w:val="0"/>
        <w:spacing w:line="240" w:lineRule="auto"/>
        <w:rPr>
          <w:sz w:val="20"/>
          <w:szCs w:val="20"/>
          <w:lang w:val="es-ES" w:eastAsia="en-US"/>
        </w:rPr>
      </w:pPr>
    </w:p>
    <w:p w14:paraId="5A27EE30" w14:textId="0D73C3FF" w:rsidR="002820AA" w:rsidRPr="0064597D" w:rsidRDefault="00A77F6A" w:rsidP="005326EE">
      <w:pPr>
        <w:numPr>
          <w:ilvl w:val="0"/>
          <w:numId w:val="1"/>
        </w:numPr>
        <w:tabs>
          <w:tab w:val="left" w:pos="567"/>
        </w:tabs>
        <w:autoSpaceDE w:val="0"/>
        <w:autoSpaceDN w:val="0"/>
        <w:spacing w:line="240" w:lineRule="auto"/>
        <w:ind w:left="0" w:firstLine="0"/>
        <w:rPr>
          <w:sz w:val="20"/>
          <w:szCs w:val="20"/>
          <w:lang w:val="es-ES" w:eastAsia="en-US"/>
        </w:rPr>
      </w:pPr>
      <w:r w:rsidRPr="0064597D">
        <w:rPr>
          <w:sz w:val="20"/>
          <w:szCs w:val="20"/>
          <w:lang w:val="es-ES" w:eastAsia="en-US"/>
        </w:rPr>
        <w:t>La Corte recuerda que “contar con el tiempo y los medios adecuados para preparar la defensa”, en los términos del artículo 8</w:t>
      </w:r>
      <w:r w:rsidR="007C2F92" w:rsidRPr="0064597D">
        <w:rPr>
          <w:sz w:val="20"/>
          <w:szCs w:val="20"/>
          <w:lang w:val="es-ES" w:eastAsia="en-US"/>
        </w:rPr>
        <w:t>.2.c</w:t>
      </w:r>
      <w:r w:rsidR="001B4B25" w:rsidRPr="0064597D">
        <w:rPr>
          <w:sz w:val="20"/>
          <w:szCs w:val="20"/>
          <w:lang w:val="es-ES" w:eastAsia="en-US"/>
        </w:rPr>
        <w:t>)</w:t>
      </w:r>
      <w:r w:rsidRPr="0064597D">
        <w:rPr>
          <w:sz w:val="20"/>
          <w:szCs w:val="20"/>
          <w:lang w:val="es-ES" w:eastAsia="en-US"/>
        </w:rPr>
        <w:t xml:space="preserve"> del tratado, es una de “las garantías inherentes al derecho de defensa”</w:t>
      </w:r>
      <w:r w:rsidRPr="0064597D">
        <w:rPr>
          <w:sz w:val="20"/>
          <w:szCs w:val="20"/>
          <w:vertAlign w:val="superscript"/>
          <w:lang w:val="es-ES" w:eastAsia="en-US"/>
        </w:rPr>
        <w:footnoteReference w:id="193"/>
      </w:r>
      <w:r w:rsidRPr="0064597D">
        <w:rPr>
          <w:sz w:val="20"/>
          <w:szCs w:val="20"/>
          <w:lang w:val="es-ES" w:eastAsia="en-US"/>
        </w:rPr>
        <w:t>.</w:t>
      </w:r>
      <w:r w:rsidR="00DB0443" w:rsidRPr="0064597D">
        <w:rPr>
          <w:sz w:val="20"/>
          <w:szCs w:val="20"/>
          <w:lang w:val="es-ES" w:eastAsia="en-US"/>
        </w:rPr>
        <w:t xml:space="preserve"> </w:t>
      </w:r>
      <w:r w:rsidR="005326EE" w:rsidRPr="0064597D">
        <w:rPr>
          <w:sz w:val="20"/>
          <w:szCs w:val="20"/>
          <w:lang w:val="es-ES" w:eastAsia="en-US"/>
        </w:rPr>
        <w:t>Si</w:t>
      </w:r>
      <w:r w:rsidR="004D498D" w:rsidRPr="0064597D">
        <w:rPr>
          <w:sz w:val="20"/>
          <w:szCs w:val="20"/>
          <w:lang w:val="es-ES" w:eastAsia="en-US"/>
        </w:rPr>
        <w:t xml:space="preserve"> </w:t>
      </w:r>
      <w:r w:rsidR="005326EE" w:rsidRPr="0064597D">
        <w:rPr>
          <w:sz w:val="20"/>
          <w:szCs w:val="20"/>
          <w:lang w:val="es-ES" w:eastAsia="en-US"/>
        </w:rPr>
        <w:t>el</w:t>
      </w:r>
      <w:r w:rsidR="004D498D" w:rsidRPr="0064597D">
        <w:rPr>
          <w:sz w:val="20"/>
          <w:szCs w:val="20"/>
          <w:lang w:val="es-ES" w:eastAsia="en-US"/>
        </w:rPr>
        <w:t xml:space="preserve"> </w:t>
      </w:r>
      <w:r w:rsidR="005326EE" w:rsidRPr="0064597D">
        <w:rPr>
          <w:sz w:val="20"/>
          <w:szCs w:val="20"/>
          <w:lang w:val="es-ES" w:eastAsia="en-US"/>
        </w:rPr>
        <w:t>Estado</w:t>
      </w:r>
      <w:r w:rsidR="004D498D" w:rsidRPr="0064597D">
        <w:rPr>
          <w:sz w:val="20"/>
          <w:szCs w:val="20"/>
          <w:lang w:val="es-ES" w:eastAsia="en-US"/>
        </w:rPr>
        <w:t xml:space="preserve"> </w:t>
      </w:r>
      <w:r w:rsidR="005326EE" w:rsidRPr="0064597D">
        <w:rPr>
          <w:sz w:val="20"/>
          <w:szCs w:val="20"/>
          <w:lang w:val="es-ES" w:eastAsia="en-US"/>
        </w:rPr>
        <w:t>pretende</w:t>
      </w:r>
      <w:r w:rsidR="004D498D" w:rsidRPr="0064597D">
        <w:rPr>
          <w:sz w:val="20"/>
          <w:szCs w:val="20"/>
          <w:lang w:val="es-ES" w:eastAsia="en-US"/>
        </w:rPr>
        <w:t xml:space="preserve"> </w:t>
      </w:r>
      <w:r w:rsidR="005326EE" w:rsidRPr="0064597D">
        <w:rPr>
          <w:sz w:val="20"/>
          <w:szCs w:val="20"/>
          <w:lang w:val="es-ES" w:eastAsia="en-US"/>
        </w:rPr>
        <w:t>limitar</w:t>
      </w:r>
      <w:r w:rsidR="004D498D" w:rsidRPr="0064597D">
        <w:rPr>
          <w:sz w:val="20"/>
          <w:szCs w:val="20"/>
          <w:lang w:val="es-ES" w:eastAsia="en-US"/>
        </w:rPr>
        <w:t xml:space="preserve"> </w:t>
      </w:r>
      <w:r w:rsidR="005326EE" w:rsidRPr="0064597D">
        <w:rPr>
          <w:sz w:val="20"/>
          <w:szCs w:val="20"/>
          <w:lang w:val="es-ES" w:eastAsia="en-US"/>
        </w:rPr>
        <w:t>este</w:t>
      </w:r>
      <w:r w:rsidR="004D498D" w:rsidRPr="0064597D">
        <w:rPr>
          <w:sz w:val="20"/>
          <w:szCs w:val="20"/>
          <w:lang w:val="es-ES" w:eastAsia="en-US"/>
        </w:rPr>
        <w:t xml:space="preserve"> </w:t>
      </w:r>
      <w:r w:rsidR="005326EE" w:rsidRPr="0064597D">
        <w:rPr>
          <w:sz w:val="20"/>
          <w:szCs w:val="20"/>
          <w:lang w:val="es-ES" w:eastAsia="en-US"/>
        </w:rPr>
        <w:t>derecho,</w:t>
      </w:r>
      <w:r w:rsidR="004D498D" w:rsidRPr="0064597D">
        <w:rPr>
          <w:sz w:val="20"/>
          <w:szCs w:val="20"/>
          <w:lang w:val="es-ES" w:eastAsia="en-US"/>
        </w:rPr>
        <w:t xml:space="preserve"> </w:t>
      </w:r>
      <w:r w:rsidR="005326EE" w:rsidRPr="0064597D">
        <w:rPr>
          <w:sz w:val="20"/>
          <w:szCs w:val="20"/>
          <w:lang w:val="es-ES" w:eastAsia="en-US"/>
        </w:rPr>
        <w:t>debe</w:t>
      </w:r>
      <w:r w:rsidR="004D498D" w:rsidRPr="0064597D">
        <w:rPr>
          <w:sz w:val="20"/>
          <w:szCs w:val="20"/>
          <w:lang w:val="es-ES" w:eastAsia="en-US"/>
        </w:rPr>
        <w:t xml:space="preserve"> </w:t>
      </w:r>
      <w:r w:rsidR="005326EE" w:rsidRPr="0064597D">
        <w:rPr>
          <w:sz w:val="20"/>
          <w:szCs w:val="20"/>
          <w:lang w:val="es-ES" w:eastAsia="en-US"/>
        </w:rPr>
        <w:t>respetar</w:t>
      </w:r>
      <w:r w:rsidR="004D498D" w:rsidRPr="0064597D">
        <w:rPr>
          <w:sz w:val="20"/>
          <w:szCs w:val="20"/>
          <w:lang w:val="es-ES" w:eastAsia="en-US"/>
        </w:rPr>
        <w:t xml:space="preserve"> </w:t>
      </w:r>
      <w:r w:rsidR="005326EE" w:rsidRPr="0064597D">
        <w:rPr>
          <w:sz w:val="20"/>
          <w:szCs w:val="20"/>
          <w:lang w:val="es-ES" w:eastAsia="en-US"/>
        </w:rPr>
        <w:t>el</w:t>
      </w:r>
      <w:r w:rsidR="004D498D" w:rsidRPr="0064597D">
        <w:rPr>
          <w:sz w:val="20"/>
          <w:szCs w:val="20"/>
          <w:lang w:val="es-ES" w:eastAsia="en-US"/>
        </w:rPr>
        <w:t xml:space="preserve"> </w:t>
      </w:r>
      <w:r w:rsidR="005326EE" w:rsidRPr="0064597D">
        <w:rPr>
          <w:sz w:val="20"/>
          <w:szCs w:val="20"/>
          <w:lang w:val="es-ES" w:eastAsia="en-US"/>
        </w:rPr>
        <w:t>principio</w:t>
      </w:r>
      <w:r w:rsidR="004D498D" w:rsidRPr="0064597D">
        <w:rPr>
          <w:sz w:val="20"/>
          <w:szCs w:val="20"/>
          <w:lang w:val="es-ES" w:eastAsia="en-US"/>
        </w:rPr>
        <w:t xml:space="preserve"> </w:t>
      </w:r>
      <w:r w:rsidR="005326EE" w:rsidRPr="0064597D">
        <w:rPr>
          <w:sz w:val="20"/>
          <w:szCs w:val="20"/>
          <w:lang w:val="es-ES" w:eastAsia="en-US"/>
        </w:rPr>
        <w:t>de</w:t>
      </w:r>
      <w:r w:rsidR="004D498D" w:rsidRPr="0064597D">
        <w:rPr>
          <w:sz w:val="20"/>
          <w:szCs w:val="20"/>
          <w:lang w:val="es-ES" w:eastAsia="en-US"/>
        </w:rPr>
        <w:t xml:space="preserve"> </w:t>
      </w:r>
      <w:r w:rsidR="005326EE" w:rsidRPr="0064597D">
        <w:rPr>
          <w:sz w:val="20"/>
          <w:szCs w:val="20"/>
          <w:lang w:val="es-ES" w:eastAsia="en-US"/>
        </w:rPr>
        <w:t>legalidad,</w:t>
      </w:r>
      <w:r w:rsidR="004D498D" w:rsidRPr="0064597D">
        <w:rPr>
          <w:sz w:val="20"/>
          <w:szCs w:val="20"/>
          <w:lang w:val="es-ES" w:eastAsia="en-US"/>
        </w:rPr>
        <w:t xml:space="preserve"> </w:t>
      </w:r>
      <w:r w:rsidR="005326EE" w:rsidRPr="0064597D">
        <w:rPr>
          <w:sz w:val="20"/>
          <w:szCs w:val="20"/>
          <w:lang w:val="es-ES" w:eastAsia="en-US"/>
        </w:rPr>
        <w:t>argüir</w:t>
      </w:r>
      <w:r w:rsidR="004D498D" w:rsidRPr="0064597D">
        <w:rPr>
          <w:sz w:val="20"/>
          <w:szCs w:val="20"/>
          <w:lang w:val="es-ES" w:eastAsia="en-US"/>
        </w:rPr>
        <w:t xml:space="preserve"> </w:t>
      </w:r>
      <w:r w:rsidR="005326EE" w:rsidRPr="0064597D">
        <w:rPr>
          <w:sz w:val="20"/>
          <w:szCs w:val="20"/>
          <w:lang w:val="es-ES" w:eastAsia="en-US"/>
        </w:rPr>
        <w:t>de</w:t>
      </w:r>
      <w:r w:rsidR="004D498D" w:rsidRPr="0064597D">
        <w:rPr>
          <w:sz w:val="20"/>
          <w:szCs w:val="20"/>
          <w:lang w:val="es-ES" w:eastAsia="en-US"/>
        </w:rPr>
        <w:t xml:space="preserve"> </w:t>
      </w:r>
      <w:r w:rsidR="005326EE" w:rsidRPr="0064597D">
        <w:rPr>
          <w:sz w:val="20"/>
          <w:szCs w:val="20"/>
          <w:lang w:val="es-ES" w:eastAsia="en-US"/>
        </w:rPr>
        <w:t>manera</w:t>
      </w:r>
      <w:r w:rsidR="004D498D" w:rsidRPr="0064597D">
        <w:rPr>
          <w:sz w:val="20"/>
          <w:szCs w:val="20"/>
          <w:lang w:val="es-ES" w:eastAsia="en-US"/>
        </w:rPr>
        <w:t xml:space="preserve"> </w:t>
      </w:r>
      <w:r w:rsidR="005326EE" w:rsidRPr="0064597D">
        <w:rPr>
          <w:sz w:val="20"/>
          <w:szCs w:val="20"/>
          <w:lang w:val="es-ES" w:eastAsia="en-US"/>
        </w:rPr>
        <w:t>fundada</w:t>
      </w:r>
      <w:r w:rsidR="004D498D" w:rsidRPr="0064597D">
        <w:rPr>
          <w:sz w:val="20"/>
          <w:szCs w:val="20"/>
          <w:lang w:val="es-ES" w:eastAsia="en-US"/>
        </w:rPr>
        <w:t xml:space="preserve"> </w:t>
      </w:r>
      <w:r w:rsidR="005326EE" w:rsidRPr="0064597D">
        <w:rPr>
          <w:sz w:val="20"/>
          <w:szCs w:val="20"/>
          <w:lang w:val="es-ES" w:eastAsia="en-US"/>
        </w:rPr>
        <w:t>cuál</w:t>
      </w:r>
      <w:r w:rsidR="004D498D" w:rsidRPr="0064597D">
        <w:rPr>
          <w:sz w:val="20"/>
          <w:szCs w:val="20"/>
          <w:lang w:val="es-ES" w:eastAsia="en-US"/>
        </w:rPr>
        <w:t xml:space="preserve"> </w:t>
      </w:r>
      <w:r w:rsidR="005326EE" w:rsidRPr="0064597D">
        <w:rPr>
          <w:sz w:val="20"/>
          <w:szCs w:val="20"/>
          <w:lang w:val="es-ES" w:eastAsia="en-US"/>
        </w:rPr>
        <w:t>es</w:t>
      </w:r>
      <w:r w:rsidR="004D498D" w:rsidRPr="0064597D">
        <w:rPr>
          <w:sz w:val="20"/>
          <w:szCs w:val="20"/>
          <w:lang w:val="es-ES" w:eastAsia="en-US"/>
        </w:rPr>
        <w:t xml:space="preserve"> </w:t>
      </w:r>
      <w:r w:rsidR="005326EE" w:rsidRPr="0064597D">
        <w:rPr>
          <w:sz w:val="20"/>
          <w:szCs w:val="20"/>
          <w:lang w:val="es-ES" w:eastAsia="en-US"/>
        </w:rPr>
        <w:t>el</w:t>
      </w:r>
      <w:r w:rsidR="004D498D" w:rsidRPr="0064597D">
        <w:rPr>
          <w:sz w:val="20"/>
          <w:szCs w:val="20"/>
          <w:lang w:val="es-ES" w:eastAsia="en-US"/>
        </w:rPr>
        <w:t xml:space="preserve"> </w:t>
      </w:r>
      <w:r w:rsidR="005326EE" w:rsidRPr="0064597D">
        <w:rPr>
          <w:sz w:val="20"/>
          <w:szCs w:val="20"/>
          <w:lang w:val="es-ES" w:eastAsia="en-US"/>
        </w:rPr>
        <w:t>fin</w:t>
      </w:r>
      <w:r w:rsidR="004D498D" w:rsidRPr="0064597D">
        <w:rPr>
          <w:sz w:val="20"/>
          <w:szCs w:val="20"/>
          <w:lang w:val="es-ES" w:eastAsia="en-US"/>
        </w:rPr>
        <w:t xml:space="preserve"> </w:t>
      </w:r>
      <w:r w:rsidR="005326EE" w:rsidRPr="0064597D">
        <w:rPr>
          <w:sz w:val="20"/>
          <w:szCs w:val="20"/>
          <w:lang w:val="es-ES" w:eastAsia="en-US"/>
        </w:rPr>
        <w:t>legítimo</w:t>
      </w:r>
      <w:r w:rsidR="004D498D" w:rsidRPr="0064597D">
        <w:rPr>
          <w:sz w:val="20"/>
          <w:szCs w:val="20"/>
          <w:lang w:val="es-ES" w:eastAsia="en-US"/>
        </w:rPr>
        <w:t xml:space="preserve"> </w:t>
      </w:r>
      <w:r w:rsidR="005326EE" w:rsidRPr="0064597D">
        <w:rPr>
          <w:sz w:val="20"/>
          <w:szCs w:val="20"/>
          <w:lang w:val="es-ES" w:eastAsia="en-US"/>
        </w:rPr>
        <w:t>que</w:t>
      </w:r>
      <w:r w:rsidR="004D498D" w:rsidRPr="0064597D">
        <w:rPr>
          <w:sz w:val="20"/>
          <w:szCs w:val="20"/>
          <w:lang w:val="es-ES" w:eastAsia="en-US"/>
        </w:rPr>
        <w:t xml:space="preserve"> </w:t>
      </w:r>
      <w:r w:rsidR="005326EE" w:rsidRPr="0064597D">
        <w:rPr>
          <w:sz w:val="20"/>
          <w:szCs w:val="20"/>
          <w:lang w:val="es-ES" w:eastAsia="en-US"/>
        </w:rPr>
        <w:t>pretende</w:t>
      </w:r>
      <w:r w:rsidR="004D498D" w:rsidRPr="0064597D">
        <w:rPr>
          <w:sz w:val="20"/>
          <w:szCs w:val="20"/>
          <w:lang w:val="es-ES" w:eastAsia="en-US"/>
        </w:rPr>
        <w:t xml:space="preserve"> </w:t>
      </w:r>
      <w:r w:rsidR="005326EE" w:rsidRPr="0064597D">
        <w:rPr>
          <w:sz w:val="20"/>
          <w:szCs w:val="20"/>
          <w:lang w:val="es-ES" w:eastAsia="en-US"/>
        </w:rPr>
        <w:t>conseguir</w:t>
      </w:r>
      <w:r w:rsidR="004D498D" w:rsidRPr="0064597D">
        <w:rPr>
          <w:sz w:val="20"/>
          <w:szCs w:val="20"/>
          <w:lang w:val="es-ES" w:eastAsia="en-US"/>
        </w:rPr>
        <w:t xml:space="preserve"> </w:t>
      </w:r>
      <w:r w:rsidR="005326EE" w:rsidRPr="0064597D">
        <w:rPr>
          <w:sz w:val="20"/>
          <w:szCs w:val="20"/>
          <w:lang w:val="es-ES" w:eastAsia="en-US"/>
        </w:rPr>
        <w:t>y</w:t>
      </w:r>
      <w:r w:rsidR="004D498D" w:rsidRPr="0064597D">
        <w:rPr>
          <w:sz w:val="20"/>
          <w:szCs w:val="20"/>
          <w:lang w:val="es-ES" w:eastAsia="en-US"/>
        </w:rPr>
        <w:t xml:space="preserve"> </w:t>
      </w:r>
      <w:r w:rsidR="005326EE" w:rsidRPr="0064597D">
        <w:rPr>
          <w:sz w:val="20"/>
          <w:szCs w:val="20"/>
          <w:lang w:val="es-ES" w:eastAsia="en-US"/>
        </w:rPr>
        <w:t>demostrar</w:t>
      </w:r>
      <w:r w:rsidR="004D498D" w:rsidRPr="0064597D">
        <w:rPr>
          <w:sz w:val="20"/>
          <w:szCs w:val="20"/>
          <w:lang w:val="es-ES" w:eastAsia="en-US"/>
        </w:rPr>
        <w:t xml:space="preserve"> </w:t>
      </w:r>
      <w:r w:rsidR="005326EE" w:rsidRPr="0064597D">
        <w:rPr>
          <w:sz w:val="20"/>
          <w:szCs w:val="20"/>
          <w:lang w:val="es-ES" w:eastAsia="en-US"/>
        </w:rPr>
        <w:t>que</w:t>
      </w:r>
      <w:r w:rsidR="004D498D" w:rsidRPr="0064597D">
        <w:rPr>
          <w:sz w:val="20"/>
          <w:szCs w:val="20"/>
          <w:lang w:val="es-ES" w:eastAsia="en-US"/>
        </w:rPr>
        <w:t xml:space="preserve"> </w:t>
      </w:r>
      <w:r w:rsidR="005326EE" w:rsidRPr="0064597D">
        <w:rPr>
          <w:sz w:val="20"/>
          <w:szCs w:val="20"/>
          <w:lang w:val="es-ES" w:eastAsia="en-US"/>
        </w:rPr>
        <w:t>el</w:t>
      </w:r>
      <w:r w:rsidR="004D498D" w:rsidRPr="0064597D">
        <w:rPr>
          <w:sz w:val="20"/>
          <w:szCs w:val="20"/>
          <w:lang w:val="es-ES" w:eastAsia="en-US"/>
        </w:rPr>
        <w:t xml:space="preserve"> </w:t>
      </w:r>
      <w:r w:rsidR="005326EE" w:rsidRPr="0064597D">
        <w:rPr>
          <w:sz w:val="20"/>
          <w:szCs w:val="20"/>
          <w:lang w:val="es-ES" w:eastAsia="en-US"/>
        </w:rPr>
        <w:t>medio</w:t>
      </w:r>
      <w:r w:rsidR="004D498D" w:rsidRPr="0064597D">
        <w:rPr>
          <w:sz w:val="20"/>
          <w:szCs w:val="20"/>
          <w:lang w:val="es-ES" w:eastAsia="en-US"/>
        </w:rPr>
        <w:t xml:space="preserve"> </w:t>
      </w:r>
      <w:r w:rsidR="005326EE" w:rsidRPr="0064597D">
        <w:rPr>
          <w:sz w:val="20"/>
          <w:szCs w:val="20"/>
          <w:lang w:val="es-ES" w:eastAsia="en-US"/>
        </w:rPr>
        <w:t>a</w:t>
      </w:r>
      <w:r w:rsidR="004D498D" w:rsidRPr="0064597D">
        <w:rPr>
          <w:sz w:val="20"/>
          <w:szCs w:val="20"/>
          <w:lang w:val="es-ES" w:eastAsia="en-US"/>
        </w:rPr>
        <w:t xml:space="preserve"> </w:t>
      </w:r>
      <w:r w:rsidR="005326EE" w:rsidRPr="0064597D">
        <w:rPr>
          <w:sz w:val="20"/>
          <w:szCs w:val="20"/>
          <w:lang w:val="es-ES" w:eastAsia="en-US"/>
        </w:rPr>
        <w:t>utilizar</w:t>
      </w:r>
      <w:r w:rsidR="004D498D" w:rsidRPr="0064597D">
        <w:rPr>
          <w:sz w:val="20"/>
          <w:szCs w:val="20"/>
          <w:lang w:val="es-ES" w:eastAsia="en-US"/>
        </w:rPr>
        <w:t xml:space="preserve"> </w:t>
      </w:r>
      <w:r w:rsidR="005326EE" w:rsidRPr="0064597D">
        <w:rPr>
          <w:sz w:val="20"/>
          <w:szCs w:val="20"/>
          <w:lang w:val="es-ES" w:eastAsia="en-US"/>
        </w:rPr>
        <w:lastRenderedPageBreak/>
        <w:t>para</w:t>
      </w:r>
      <w:r w:rsidR="004D498D" w:rsidRPr="0064597D">
        <w:rPr>
          <w:sz w:val="20"/>
          <w:szCs w:val="20"/>
          <w:lang w:val="es-ES" w:eastAsia="en-US"/>
        </w:rPr>
        <w:t xml:space="preserve"> </w:t>
      </w:r>
      <w:r w:rsidR="005326EE" w:rsidRPr="0064597D">
        <w:rPr>
          <w:sz w:val="20"/>
          <w:szCs w:val="20"/>
          <w:lang w:val="es-ES" w:eastAsia="en-US"/>
        </w:rPr>
        <w:t>llegar</w:t>
      </w:r>
      <w:r w:rsidR="004D498D" w:rsidRPr="0064597D">
        <w:rPr>
          <w:sz w:val="20"/>
          <w:szCs w:val="20"/>
          <w:lang w:val="es-ES" w:eastAsia="en-US"/>
        </w:rPr>
        <w:t xml:space="preserve"> </w:t>
      </w:r>
      <w:r w:rsidR="005326EE" w:rsidRPr="0064597D">
        <w:rPr>
          <w:sz w:val="20"/>
          <w:szCs w:val="20"/>
          <w:lang w:val="es-ES" w:eastAsia="en-US"/>
        </w:rPr>
        <w:t>a</w:t>
      </w:r>
      <w:r w:rsidR="004D498D" w:rsidRPr="0064597D">
        <w:rPr>
          <w:sz w:val="20"/>
          <w:szCs w:val="20"/>
          <w:lang w:val="es-ES" w:eastAsia="en-US"/>
        </w:rPr>
        <w:t xml:space="preserve"> </w:t>
      </w:r>
      <w:r w:rsidR="005326EE" w:rsidRPr="0064597D">
        <w:rPr>
          <w:sz w:val="20"/>
          <w:szCs w:val="20"/>
          <w:lang w:val="es-ES" w:eastAsia="en-US"/>
        </w:rPr>
        <w:t>ese</w:t>
      </w:r>
      <w:r w:rsidR="004D498D" w:rsidRPr="0064597D">
        <w:rPr>
          <w:sz w:val="20"/>
          <w:szCs w:val="20"/>
          <w:lang w:val="es-ES" w:eastAsia="en-US"/>
        </w:rPr>
        <w:t xml:space="preserve"> </w:t>
      </w:r>
      <w:r w:rsidR="005326EE" w:rsidRPr="0064597D">
        <w:rPr>
          <w:sz w:val="20"/>
          <w:szCs w:val="20"/>
          <w:lang w:val="es-ES" w:eastAsia="en-US"/>
        </w:rPr>
        <w:t>fin</w:t>
      </w:r>
      <w:r w:rsidR="004D498D" w:rsidRPr="0064597D">
        <w:rPr>
          <w:sz w:val="20"/>
          <w:szCs w:val="20"/>
          <w:lang w:val="es-ES" w:eastAsia="en-US"/>
        </w:rPr>
        <w:t xml:space="preserve"> </w:t>
      </w:r>
      <w:r w:rsidR="005326EE" w:rsidRPr="0064597D">
        <w:rPr>
          <w:sz w:val="20"/>
          <w:szCs w:val="20"/>
          <w:lang w:val="es-ES" w:eastAsia="en-US"/>
        </w:rPr>
        <w:t>es</w:t>
      </w:r>
      <w:r w:rsidR="004D498D" w:rsidRPr="0064597D">
        <w:rPr>
          <w:sz w:val="20"/>
          <w:szCs w:val="20"/>
          <w:lang w:val="es-ES" w:eastAsia="en-US"/>
        </w:rPr>
        <w:t xml:space="preserve"> </w:t>
      </w:r>
      <w:r w:rsidR="005326EE" w:rsidRPr="0064597D">
        <w:rPr>
          <w:sz w:val="20"/>
          <w:szCs w:val="20"/>
          <w:lang w:val="es-ES" w:eastAsia="en-US"/>
        </w:rPr>
        <w:t>idóneo,</w:t>
      </w:r>
      <w:r w:rsidR="004D498D" w:rsidRPr="0064597D">
        <w:rPr>
          <w:sz w:val="20"/>
          <w:szCs w:val="20"/>
          <w:lang w:val="es-ES" w:eastAsia="en-US"/>
        </w:rPr>
        <w:t xml:space="preserve"> </w:t>
      </w:r>
      <w:r w:rsidR="005326EE" w:rsidRPr="0064597D">
        <w:rPr>
          <w:sz w:val="20"/>
          <w:szCs w:val="20"/>
          <w:lang w:val="es-ES" w:eastAsia="en-US"/>
        </w:rPr>
        <w:t>necesario</w:t>
      </w:r>
      <w:r w:rsidR="004D498D" w:rsidRPr="0064597D">
        <w:rPr>
          <w:sz w:val="20"/>
          <w:szCs w:val="20"/>
          <w:lang w:val="es-ES" w:eastAsia="en-US"/>
        </w:rPr>
        <w:t xml:space="preserve"> </w:t>
      </w:r>
      <w:r w:rsidR="005326EE" w:rsidRPr="0064597D">
        <w:rPr>
          <w:sz w:val="20"/>
          <w:szCs w:val="20"/>
          <w:lang w:val="es-ES" w:eastAsia="en-US"/>
        </w:rPr>
        <w:t>y</w:t>
      </w:r>
      <w:r w:rsidR="004D498D" w:rsidRPr="0064597D">
        <w:rPr>
          <w:sz w:val="20"/>
          <w:szCs w:val="20"/>
          <w:lang w:val="es-ES" w:eastAsia="en-US"/>
        </w:rPr>
        <w:t xml:space="preserve"> </w:t>
      </w:r>
      <w:r w:rsidR="005326EE" w:rsidRPr="0064597D">
        <w:rPr>
          <w:sz w:val="20"/>
          <w:szCs w:val="20"/>
          <w:lang w:val="es-ES" w:eastAsia="en-US"/>
        </w:rPr>
        <w:t>estrictamente</w:t>
      </w:r>
      <w:r w:rsidR="004D498D" w:rsidRPr="0064597D">
        <w:rPr>
          <w:sz w:val="20"/>
          <w:szCs w:val="20"/>
          <w:lang w:val="es-ES" w:eastAsia="en-US"/>
        </w:rPr>
        <w:t xml:space="preserve"> </w:t>
      </w:r>
      <w:r w:rsidR="005326EE" w:rsidRPr="0064597D">
        <w:rPr>
          <w:sz w:val="20"/>
          <w:szCs w:val="20"/>
          <w:lang w:val="es-ES" w:eastAsia="en-US"/>
        </w:rPr>
        <w:t>proporcional.</w:t>
      </w:r>
      <w:r w:rsidR="004D498D" w:rsidRPr="0064597D">
        <w:rPr>
          <w:sz w:val="20"/>
          <w:szCs w:val="20"/>
          <w:lang w:val="es-ES" w:eastAsia="en-US"/>
        </w:rPr>
        <w:t xml:space="preserve"> </w:t>
      </w:r>
      <w:r w:rsidR="005326EE" w:rsidRPr="0064597D">
        <w:rPr>
          <w:sz w:val="20"/>
          <w:szCs w:val="20"/>
          <w:lang w:val="es-ES" w:eastAsia="en-US"/>
        </w:rPr>
        <w:t>Caso</w:t>
      </w:r>
      <w:r w:rsidR="004D498D" w:rsidRPr="0064597D">
        <w:rPr>
          <w:sz w:val="20"/>
          <w:szCs w:val="20"/>
          <w:lang w:val="es-ES" w:eastAsia="en-US"/>
        </w:rPr>
        <w:t xml:space="preserve"> </w:t>
      </w:r>
      <w:r w:rsidR="005326EE" w:rsidRPr="0064597D">
        <w:rPr>
          <w:sz w:val="20"/>
          <w:szCs w:val="20"/>
          <w:lang w:val="es-ES" w:eastAsia="en-US"/>
        </w:rPr>
        <w:t>contrario,</w:t>
      </w:r>
      <w:r w:rsidR="004D498D" w:rsidRPr="0064597D">
        <w:rPr>
          <w:sz w:val="20"/>
          <w:szCs w:val="20"/>
          <w:lang w:val="es-ES" w:eastAsia="en-US"/>
        </w:rPr>
        <w:t xml:space="preserve"> </w:t>
      </w:r>
      <w:r w:rsidR="005326EE" w:rsidRPr="0064597D">
        <w:rPr>
          <w:sz w:val="20"/>
          <w:szCs w:val="20"/>
          <w:lang w:val="es-ES" w:eastAsia="en-US"/>
        </w:rPr>
        <w:t>la</w:t>
      </w:r>
      <w:r w:rsidR="004D498D" w:rsidRPr="0064597D">
        <w:rPr>
          <w:sz w:val="20"/>
          <w:szCs w:val="20"/>
          <w:lang w:val="es-ES" w:eastAsia="en-US"/>
        </w:rPr>
        <w:t xml:space="preserve"> </w:t>
      </w:r>
      <w:r w:rsidR="005326EE" w:rsidRPr="0064597D">
        <w:rPr>
          <w:sz w:val="20"/>
          <w:szCs w:val="20"/>
          <w:lang w:val="es-ES" w:eastAsia="en-US"/>
        </w:rPr>
        <w:t>restricción</w:t>
      </w:r>
      <w:r w:rsidR="004D498D" w:rsidRPr="0064597D">
        <w:rPr>
          <w:sz w:val="20"/>
          <w:szCs w:val="20"/>
          <w:lang w:val="es-ES" w:eastAsia="en-US"/>
        </w:rPr>
        <w:t xml:space="preserve"> </w:t>
      </w:r>
      <w:r w:rsidR="005326EE" w:rsidRPr="0064597D">
        <w:rPr>
          <w:sz w:val="20"/>
          <w:szCs w:val="20"/>
          <w:lang w:val="es-ES" w:eastAsia="en-US"/>
        </w:rPr>
        <w:t>del</w:t>
      </w:r>
      <w:r w:rsidR="004D498D" w:rsidRPr="0064597D">
        <w:rPr>
          <w:sz w:val="20"/>
          <w:szCs w:val="20"/>
          <w:lang w:val="es-ES" w:eastAsia="en-US"/>
        </w:rPr>
        <w:t xml:space="preserve"> </w:t>
      </w:r>
      <w:r w:rsidR="005326EE" w:rsidRPr="0064597D">
        <w:rPr>
          <w:sz w:val="20"/>
          <w:szCs w:val="20"/>
          <w:lang w:val="es-ES" w:eastAsia="en-US"/>
        </w:rPr>
        <w:t>derecho</w:t>
      </w:r>
      <w:r w:rsidR="004D498D" w:rsidRPr="0064597D">
        <w:rPr>
          <w:sz w:val="20"/>
          <w:szCs w:val="20"/>
          <w:lang w:val="es-ES" w:eastAsia="en-US"/>
        </w:rPr>
        <w:t xml:space="preserve"> </w:t>
      </w:r>
      <w:r w:rsidR="005326EE" w:rsidRPr="0064597D">
        <w:rPr>
          <w:sz w:val="20"/>
          <w:szCs w:val="20"/>
          <w:lang w:val="es-ES" w:eastAsia="en-US"/>
        </w:rPr>
        <w:t>de</w:t>
      </w:r>
      <w:r w:rsidR="004D498D" w:rsidRPr="0064597D">
        <w:rPr>
          <w:sz w:val="20"/>
          <w:szCs w:val="20"/>
          <w:lang w:val="es-ES" w:eastAsia="en-US"/>
        </w:rPr>
        <w:t xml:space="preserve"> </w:t>
      </w:r>
      <w:r w:rsidR="005326EE" w:rsidRPr="0064597D">
        <w:rPr>
          <w:sz w:val="20"/>
          <w:szCs w:val="20"/>
          <w:lang w:val="es-ES" w:eastAsia="en-US"/>
        </w:rPr>
        <w:t>defensa</w:t>
      </w:r>
      <w:r w:rsidR="004D498D" w:rsidRPr="0064597D">
        <w:rPr>
          <w:sz w:val="20"/>
          <w:szCs w:val="20"/>
          <w:lang w:val="es-ES" w:eastAsia="en-US"/>
        </w:rPr>
        <w:t xml:space="preserve"> </w:t>
      </w:r>
      <w:r w:rsidR="005326EE" w:rsidRPr="0064597D">
        <w:rPr>
          <w:sz w:val="20"/>
          <w:szCs w:val="20"/>
          <w:lang w:val="es-ES" w:eastAsia="en-US"/>
        </w:rPr>
        <w:t>del</w:t>
      </w:r>
      <w:r w:rsidR="004D498D" w:rsidRPr="0064597D">
        <w:rPr>
          <w:sz w:val="20"/>
          <w:szCs w:val="20"/>
          <w:lang w:val="es-ES" w:eastAsia="en-US"/>
        </w:rPr>
        <w:t xml:space="preserve"> </w:t>
      </w:r>
      <w:r w:rsidR="005326EE" w:rsidRPr="0064597D">
        <w:rPr>
          <w:sz w:val="20"/>
          <w:szCs w:val="20"/>
          <w:lang w:val="es-ES" w:eastAsia="en-US"/>
        </w:rPr>
        <w:t>individuo</w:t>
      </w:r>
      <w:r w:rsidR="004D498D" w:rsidRPr="0064597D">
        <w:rPr>
          <w:sz w:val="20"/>
          <w:szCs w:val="20"/>
          <w:lang w:val="es-ES" w:eastAsia="en-US"/>
        </w:rPr>
        <w:t xml:space="preserve"> </w:t>
      </w:r>
      <w:r w:rsidR="005326EE" w:rsidRPr="0064597D">
        <w:rPr>
          <w:sz w:val="20"/>
          <w:szCs w:val="20"/>
          <w:lang w:val="es-ES" w:eastAsia="en-US"/>
        </w:rPr>
        <w:t>será</w:t>
      </w:r>
      <w:r w:rsidR="004D498D" w:rsidRPr="0064597D">
        <w:rPr>
          <w:sz w:val="20"/>
          <w:szCs w:val="20"/>
          <w:lang w:val="es-ES" w:eastAsia="en-US"/>
        </w:rPr>
        <w:t xml:space="preserve"> </w:t>
      </w:r>
      <w:r w:rsidR="005326EE" w:rsidRPr="0064597D">
        <w:rPr>
          <w:sz w:val="20"/>
          <w:szCs w:val="20"/>
          <w:lang w:val="es-ES" w:eastAsia="en-US"/>
        </w:rPr>
        <w:t>contraria</w:t>
      </w:r>
      <w:r w:rsidR="004D498D" w:rsidRPr="0064597D">
        <w:rPr>
          <w:sz w:val="20"/>
          <w:szCs w:val="20"/>
          <w:lang w:val="es-ES" w:eastAsia="en-US"/>
        </w:rPr>
        <w:t xml:space="preserve"> </w:t>
      </w:r>
      <w:r w:rsidR="005326EE" w:rsidRPr="0064597D">
        <w:rPr>
          <w:sz w:val="20"/>
          <w:szCs w:val="20"/>
          <w:lang w:val="es-ES" w:eastAsia="en-US"/>
        </w:rPr>
        <w:t>a</w:t>
      </w:r>
      <w:r w:rsidR="004D498D" w:rsidRPr="0064597D">
        <w:rPr>
          <w:sz w:val="20"/>
          <w:szCs w:val="20"/>
          <w:lang w:val="es-ES" w:eastAsia="en-US"/>
        </w:rPr>
        <w:t xml:space="preserve"> </w:t>
      </w:r>
      <w:r w:rsidR="005326EE" w:rsidRPr="0064597D">
        <w:rPr>
          <w:sz w:val="20"/>
          <w:szCs w:val="20"/>
          <w:lang w:val="es-ES" w:eastAsia="en-US"/>
        </w:rPr>
        <w:t>la</w:t>
      </w:r>
      <w:r w:rsidR="004D498D" w:rsidRPr="0064597D">
        <w:rPr>
          <w:sz w:val="20"/>
          <w:szCs w:val="20"/>
          <w:lang w:val="es-ES" w:eastAsia="en-US"/>
        </w:rPr>
        <w:t xml:space="preserve"> </w:t>
      </w:r>
      <w:r w:rsidR="005326EE" w:rsidRPr="0064597D">
        <w:rPr>
          <w:sz w:val="20"/>
          <w:szCs w:val="20"/>
          <w:lang w:val="es-ES" w:eastAsia="en-US"/>
        </w:rPr>
        <w:t>Convención</w:t>
      </w:r>
      <w:r w:rsidR="00DB0443" w:rsidRPr="0064597D">
        <w:rPr>
          <w:sz w:val="20"/>
          <w:szCs w:val="20"/>
          <w:vertAlign w:val="superscript"/>
          <w:lang w:val="es-ES" w:eastAsia="en-US"/>
        </w:rPr>
        <w:footnoteReference w:id="194"/>
      </w:r>
      <w:r w:rsidR="005326EE" w:rsidRPr="0064597D">
        <w:rPr>
          <w:sz w:val="20"/>
          <w:szCs w:val="20"/>
          <w:lang w:val="es-ES" w:eastAsia="en-US"/>
        </w:rPr>
        <w:t>.</w:t>
      </w:r>
      <w:r w:rsidR="004D498D" w:rsidRPr="0064597D">
        <w:rPr>
          <w:sz w:val="20"/>
          <w:szCs w:val="20"/>
          <w:lang w:val="es-ES" w:eastAsia="en-US"/>
        </w:rPr>
        <w:t xml:space="preserve"> </w:t>
      </w:r>
    </w:p>
    <w:p w14:paraId="1D76A537" w14:textId="77777777" w:rsidR="00A77F6A" w:rsidRPr="0064597D" w:rsidRDefault="00A77F6A" w:rsidP="00A77F6A">
      <w:pPr>
        <w:tabs>
          <w:tab w:val="left" w:pos="567"/>
        </w:tabs>
        <w:autoSpaceDE w:val="0"/>
        <w:autoSpaceDN w:val="0"/>
        <w:spacing w:line="240" w:lineRule="auto"/>
        <w:rPr>
          <w:sz w:val="20"/>
          <w:szCs w:val="20"/>
          <w:lang w:val="es-ES" w:eastAsia="en-US"/>
        </w:rPr>
      </w:pPr>
    </w:p>
    <w:p w14:paraId="6C1630C0" w14:textId="0355F8AA" w:rsidR="00A83408" w:rsidRPr="0064597D" w:rsidRDefault="002820AA" w:rsidP="00A04BDD">
      <w:pPr>
        <w:numPr>
          <w:ilvl w:val="0"/>
          <w:numId w:val="1"/>
        </w:numPr>
        <w:tabs>
          <w:tab w:val="left" w:pos="567"/>
        </w:tabs>
        <w:autoSpaceDE w:val="0"/>
        <w:autoSpaceDN w:val="0"/>
        <w:spacing w:line="240" w:lineRule="auto"/>
        <w:ind w:left="0" w:firstLine="0"/>
        <w:rPr>
          <w:sz w:val="20"/>
          <w:szCs w:val="20"/>
          <w:lang w:val="es-ES" w:eastAsia="en-US"/>
        </w:rPr>
      </w:pPr>
      <w:r w:rsidRPr="0064597D">
        <w:rPr>
          <w:sz w:val="20"/>
          <w:szCs w:val="20"/>
          <w:lang w:val="es-ES" w:eastAsia="en-US"/>
        </w:rPr>
        <w:t>En el presente caso, la Corte observa que e</w:t>
      </w:r>
      <w:r w:rsidR="00197DAE" w:rsidRPr="0064597D">
        <w:rPr>
          <w:sz w:val="20"/>
          <w:szCs w:val="20"/>
          <w:lang w:val="es-ES" w:eastAsia="en-US"/>
        </w:rPr>
        <w:t>l reciente</w:t>
      </w:r>
      <w:r w:rsidR="00193149" w:rsidRPr="0064597D">
        <w:rPr>
          <w:sz w:val="20"/>
          <w:szCs w:val="20"/>
          <w:lang w:val="es-ES" w:eastAsia="en-US"/>
        </w:rPr>
        <w:t>mente</w:t>
      </w:r>
      <w:r w:rsidR="00197DAE" w:rsidRPr="0064597D">
        <w:rPr>
          <w:sz w:val="20"/>
          <w:szCs w:val="20"/>
          <w:lang w:val="es-ES" w:eastAsia="en-US"/>
        </w:rPr>
        <w:t xml:space="preserve"> designado abogado cont</w:t>
      </w:r>
      <w:r w:rsidRPr="0064597D">
        <w:rPr>
          <w:sz w:val="20"/>
          <w:szCs w:val="20"/>
          <w:lang w:val="es-ES" w:eastAsia="en-US"/>
        </w:rPr>
        <w:t xml:space="preserve">ó </w:t>
      </w:r>
      <w:r w:rsidR="00A83408" w:rsidRPr="0064597D">
        <w:rPr>
          <w:rFonts w:cs="Arial"/>
          <w:sz w:val="20"/>
          <w:szCs w:val="20"/>
        </w:rPr>
        <w:t>con un día para preparar la defensa técnica de su representado</w:t>
      </w:r>
      <w:r w:rsidR="00197DAE" w:rsidRPr="0064597D">
        <w:rPr>
          <w:rStyle w:val="Refdenotaalpie"/>
          <w:rFonts w:cs="Arial"/>
          <w:sz w:val="20"/>
          <w:szCs w:val="20"/>
        </w:rPr>
        <w:footnoteReference w:id="195"/>
      </w:r>
      <w:r w:rsidR="00A83408" w:rsidRPr="0064597D">
        <w:rPr>
          <w:i/>
          <w:sz w:val="20"/>
          <w:szCs w:val="20"/>
          <w:lang w:val="es-ES" w:eastAsia="en-US"/>
        </w:rPr>
        <w:t xml:space="preserve">. </w:t>
      </w:r>
      <w:r w:rsidR="00197DAE" w:rsidRPr="0064597D">
        <w:rPr>
          <w:sz w:val="20"/>
          <w:szCs w:val="20"/>
          <w:lang w:val="es-ES" w:eastAsia="en-US"/>
        </w:rPr>
        <w:t>La Corte</w:t>
      </w:r>
      <w:r w:rsidR="00A32604" w:rsidRPr="0064597D">
        <w:rPr>
          <w:sz w:val="20"/>
          <w:szCs w:val="20"/>
          <w:lang w:val="es-ES" w:eastAsia="en-US"/>
        </w:rPr>
        <w:t xml:space="preserve"> además</w:t>
      </w:r>
      <w:r w:rsidR="00197DAE" w:rsidRPr="0064597D">
        <w:rPr>
          <w:sz w:val="20"/>
          <w:szCs w:val="20"/>
          <w:lang w:val="es-ES" w:eastAsia="en-US"/>
        </w:rPr>
        <w:t xml:space="preserve"> </w:t>
      </w:r>
      <w:r w:rsidR="00DA7F1B">
        <w:rPr>
          <w:sz w:val="20"/>
          <w:szCs w:val="20"/>
          <w:lang w:val="es-ES" w:eastAsia="en-US"/>
        </w:rPr>
        <w:t>advierte</w:t>
      </w:r>
      <w:r w:rsidR="00197DAE" w:rsidRPr="0064597D">
        <w:rPr>
          <w:sz w:val="20"/>
          <w:szCs w:val="20"/>
          <w:lang w:val="es-ES" w:eastAsia="en-US"/>
        </w:rPr>
        <w:t xml:space="preserve"> que la r</w:t>
      </w:r>
      <w:r w:rsidR="0082006C" w:rsidRPr="0064597D">
        <w:rPr>
          <w:sz w:val="20"/>
          <w:szCs w:val="20"/>
          <w:lang w:val="es-ES" w:eastAsia="en-US"/>
        </w:rPr>
        <w:t xml:space="preserve">azón por la que se otorgó un solo día es porque </w:t>
      </w:r>
      <w:r w:rsidR="00193149" w:rsidRPr="0064597D">
        <w:rPr>
          <w:sz w:val="20"/>
          <w:szCs w:val="20"/>
          <w:lang w:val="es-ES" w:eastAsia="en-US"/>
        </w:rPr>
        <w:t xml:space="preserve">el tribunal de primera instancia asumía que el </w:t>
      </w:r>
      <w:r w:rsidR="0082006C" w:rsidRPr="0064597D">
        <w:rPr>
          <w:sz w:val="20"/>
          <w:szCs w:val="20"/>
          <w:lang w:val="es-ES" w:eastAsia="en-US"/>
        </w:rPr>
        <w:t xml:space="preserve">abogado ya conocía </w:t>
      </w:r>
      <w:r w:rsidR="00D84387" w:rsidRPr="0064597D">
        <w:rPr>
          <w:sz w:val="20"/>
          <w:szCs w:val="20"/>
          <w:lang w:val="es-ES" w:eastAsia="en-US"/>
        </w:rPr>
        <w:t xml:space="preserve">el </w:t>
      </w:r>
      <w:r w:rsidR="0082006C" w:rsidRPr="0064597D">
        <w:rPr>
          <w:sz w:val="20"/>
          <w:szCs w:val="20"/>
          <w:lang w:val="es-ES" w:eastAsia="en-US"/>
        </w:rPr>
        <w:t>caso.</w:t>
      </w:r>
      <w:r w:rsidR="00A32604" w:rsidRPr="0064597D">
        <w:rPr>
          <w:sz w:val="20"/>
          <w:szCs w:val="20"/>
          <w:lang w:val="es-ES" w:eastAsia="en-US"/>
        </w:rPr>
        <w:t xml:space="preserve"> N</w:t>
      </w:r>
      <w:r w:rsidR="00A77F6A" w:rsidRPr="0064597D">
        <w:rPr>
          <w:sz w:val="20"/>
          <w:szCs w:val="20"/>
          <w:lang w:val="es-ES" w:eastAsia="en-US"/>
        </w:rPr>
        <w:t>o obstante,</w:t>
      </w:r>
      <w:r w:rsidR="00A32604" w:rsidRPr="0064597D">
        <w:rPr>
          <w:sz w:val="20"/>
          <w:szCs w:val="20"/>
          <w:lang w:val="es-ES" w:eastAsia="en-US"/>
        </w:rPr>
        <w:t xml:space="preserve"> la Corte considera</w:t>
      </w:r>
      <w:r w:rsidR="00A77F6A" w:rsidRPr="0064597D">
        <w:rPr>
          <w:sz w:val="20"/>
          <w:szCs w:val="20"/>
          <w:lang w:val="es-ES" w:eastAsia="en-US"/>
        </w:rPr>
        <w:t xml:space="preserve"> que tal argumentación es insuficiente, toda vez que las circunstancias de cada uno de los procesado</w:t>
      </w:r>
      <w:r w:rsidR="005326EE" w:rsidRPr="0064597D">
        <w:rPr>
          <w:sz w:val="20"/>
          <w:szCs w:val="20"/>
          <w:lang w:val="es-ES" w:eastAsia="en-US"/>
        </w:rPr>
        <w:t>s</w:t>
      </w:r>
      <w:r w:rsidR="00A77F6A" w:rsidRPr="0064597D">
        <w:rPr>
          <w:sz w:val="20"/>
          <w:szCs w:val="20"/>
          <w:lang w:val="es-ES" w:eastAsia="en-US"/>
        </w:rPr>
        <w:t xml:space="preserve"> </w:t>
      </w:r>
      <w:r w:rsidR="00A32604" w:rsidRPr="0064597D">
        <w:rPr>
          <w:sz w:val="20"/>
          <w:szCs w:val="20"/>
          <w:lang w:val="es-ES" w:eastAsia="en-US"/>
        </w:rPr>
        <w:t>posee</w:t>
      </w:r>
      <w:r w:rsidR="00A77F6A" w:rsidRPr="0064597D">
        <w:rPr>
          <w:sz w:val="20"/>
          <w:szCs w:val="20"/>
          <w:lang w:val="es-ES" w:eastAsia="en-US"/>
        </w:rPr>
        <w:t xml:space="preserve"> sus características y complejidades particulares, lo cual amerita que el abogado o abogada posea tiempo suficiente para poder analizar el caso de manera exhaustiva y diseñar así, la estrategia de defensa</w:t>
      </w:r>
      <w:r w:rsidR="00A04BDD" w:rsidRPr="0064597D">
        <w:rPr>
          <w:sz w:val="20"/>
          <w:szCs w:val="20"/>
          <w:lang w:val="es-ES" w:eastAsia="en-US"/>
        </w:rPr>
        <w:t xml:space="preserve"> adecuada</w:t>
      </w:r>
      <w:r w:rsidR="00A32604" w:rsidRPr="0064597D">
        <w:rPr>
          <w:rStyle w:val="Refdenotaalpie"/>
          <w:sz w:val="20"/>
          <w:szCs w:val="20"/>
          <w:lang w:val="es-ES" w:eastAsia="en-US"/>
        </w:rPr>
        <w:footnoteReference w:id="196"/>
      </w:r>
      <w:r w:rsidR="00A77F6A" w:rsidRPr="0064597D">
        <w:rPr>
          <w:sz w:val="20"/>
          <w:szCs w:val="20"/>
          <w:lang w:val="es-ES" w:eastAsia="en-US"/>
        </w:rPr>
        <w:t>.</w:t>
      </w:r>
      <w:r w:rsidR="005326EE" w:rsidRPr="0064597D">
        <w:rPr>
          <w:sz w:val="20"/>
          <w:szCs w:val="20"/>
          <w:lang w:val="es-ES" w:eastAsia="en-US"/>
        </w:rPr>
        <w:t xml:space="preserve"> En el presente caso</w:t>
      </w:r>
      <w:r w:rsidR="005A6C94" w:rsidRPr="0064597D">
        <w:rPr>
          <w:sz w:val="20"/>
          <w:szCs w:val="20"/>
          <w:lang w:val="es-ES" w:eastAsia="en-US"/>
        </w:rPr>
        <w:t xml:space="preserve"> </w:t>
      </w:r>
      <w:r w:rsidR="005326EE" w:rsidRPr="0064597D">
        <w:rPr>
          <w:sz w:val="20"/>
          <w:szCs w:val="20"/>
          <w:lang w:val="es-ES" w:eastAsia="en-US"/>
        </w:rPr>
        <w:t>la Corte considera</w:t>
      </w:r>
      <w:r w:rsidR="005A6C94" w:rsidRPr="0064597D">
        <w:rPr>
          <w:sz w:val="20"/>
          <w:szCs w:val="20"/>
          <w:lang w:val="es-ES" w:eastAsia="en-US"/>
        </w:rPr>
        <w:t xml:space="preserve">, por tanto, </w:t>
      </w:r>
      <w:r w:rsidR="005326EE" w:rsidRPr="0064597D">
        <w:rPr>
          <w:sz w:val="20"/>
          <w:szCs w:val="20"/>
          <w:lang w:val="es-ES" w:eastAsia="en-US"/>
        </w:rPr>
        <w:t xml:space="preserve">que el plazo concedido fue </w:t>
      </w:r>
      <w:r w:rsidR="00A04BDD" w:rsidRPr="0064597D">
        <w:rPr>
          <w:sz w:val="20"/>
          <w:szCs w:val="20"/>
          <w:lang w:val="es-ES" w:eastAsia="en-US"/>
        </w:rPr>
        <w:t>extremadamente corto, considerando la necesidad del examen de la causa, la relevancia del procedimiento y sus eventuales consecuencias, así como la revisión del acervo probatorio a que tiene derecho cualquier imputado</w:t>
      </w:r>
      <w:r w:rsidR="00A04BDD" w:rsidRPr="0064597D">
        <w:rPr>
          <w:rStyle w:val="Refdenotaalpie"/>
          <w:sz w:val="20"/>
          <w:szCs w:val="20"/>
          <w:lang w:val="es-ES" w:eastAsia="en-US"/>
        </w:rPr>
        <w:footnoteReference w:id="197"/>
      </w:r>
      <w:r w:rsidR="00D84387" w:rsidRPr="0064597D">
        <w:rPr>
          <w:sz w:val="20"/>
          <w:szCs w:val="20"/>
          <w:lang w:val="es-ES" w:eastAsia="en-US"/>
        </w:rPr>
        <w:t>.</w:t>
      </w:r>
      <w:r w:rsidR="00DD182D" w:rsidRPr="0064597D">
        <w:rPr>
          <w:sz w:val="20"/>
          <w:szCs w:val="20"/>
          <w:lang w:val="es-ES" w:eastAsia="en-US"/>
        </w:rPr>
        <w:t xml:space="preserve"> </w:t>
      </w:r>
    </w:p>
    <w:p w14:paraId="0DF3F1A5" w14:textId="77777777" w:rsidR="00DB0443" w:rsidRPr="0064597D" w:rsidRDefault="00DB0443" w:rsidP="00DB0443">
      <w:pPr>
        <w:tabs>
          <w:tab w:val="left" w:pos="567"/>
        </w:tabs>
        <w:autoSpaceDE w:val="0"/>
        <w:autoSpaceDN w:val="0"/>
        <w:spacing w:line="240" w:lineRule="auto"/>
        <w:rPr>
          <w:sz w:val="20"/>
          <w:szCs w:val="20"/>
          <w:lang w:val="es-ES" w:eastAsia="en-US"/>
        </w:rPr>
      </w:pPr>
    </w:p>
    <w:p w14:paraId="0DBBC16C" w14:textId="6E864D1C" w:rsidR="00263ED1" w:rsidRPr="0064597D" w:rsidRDefault="00DB0443" w:rsidP="00D0432D">
      <w:pPr>
        <w:numPr>
          <w:ilvl w:val="0"/>
          <w:numId w:val="1"/>
        </w:numPr>
        <w:tabs>
          <w:tab w:val="left" w:pos="567"/>
        </w:tabs>
        <w:autoSpaceDE w:val="0"/>
        <w:autoSpaceDN w:val="0"/>
        <w:spacing w:line="240" w:lineRule="auto"/>
        <w:ind w:left="0" w:firstLine="0"/>
        <w:rPr>
          <w:sz w:val="20"/>
          <w:szCs w:val="20"/>
          <w:lang w:val="es-ES" w:eastAsia="en-US"/>
        </w:rPr>
      </w:pPr>
      <w:r w:rsidRPr="0064597D">
        <w:rPr>
          <w:sz w:val="20"/>
          <w:szCs w:val="20"/>
          <w:lang w:val="es-ES" w:eastAsia="en-US"/>
        </w:rPr>
        <w:t>Por lo anterior, el Tribunal concluye que el Estado violó el artículo 8.2.c</w:t>
      </w:r>
      <w:r w:rsidR="007C2F92" w:rsidRPr="0064597D">
        <w:rPr>
          <w:sz w:val="20"/>
          <w:szCs w:val="20"/>
          <w:lang w:val="es-ES" w:eastAsia="en-US"/>
        </w:rPr>
        <w:t>)</w:t>
      </w:r>
      <w:r w:rsidRPr="0064597D">
        <w:rPr>
          <w:sz w:val="20"/>
          <w:szCs w:val="20"/>
          <w:lang w:val="es-ES" w:eastAsia="en-US"/>
        </w:rPr>
        <w:t xml:space="preserve"> de la Convención, en relación con el artículo 1.1 de la misma, en perjuicio del señor Hugo Humberto Ruiz Fuentes.</w:t>
      </w:r>
      <w:r w:rsidR="007E45E1" w:rsidRPr="0064597D">
        <w:rPr>
          <w:sz w:val="20"/>
          <w:szCs w:val="20"/>
          <w:lang w:val="es-ES" w:eastAsia="en-US"/>
        </w:rPr>
        <w:t xml:space="preserve"> </w:t>
      </w:r>
    </w:p>
    <w:p w14:paraId="2AB9FE43" w14:textId="42CD2BCA" w:rsidR="00FE532C" w:rsidRPr="0064597D" w:rsidRDefault="00544B95" w:rsidP="00377181">
      <w:pPr>
        <w:pStyle w:val="Ttulo3"/>
        <w:rPr>
          <w:lang w:eastAsia="en-US"/>
        </w:rPr>
      </w:pPr>
      <w:bookmarkStart w:id="80" w:name="_Toc24014567"/>
      <w:r w:rsidRPr="0064597D">
        <w:t xml:space="preserve">b.2 </w:t>
      </w:r>
      <w:r w:rsidRPr="0064597D">
        <w:tab/>
      </w:r>
      <w:r w:rsidR="00FE532C" w:rsidRPr="0064597D">
        <w:rPr>
          <w:lang w:eastAsia="en-US"/>
        </w:rPr>
        <w:t>Derecho a recurrir la sentencia condenatoria del señor Ruiz Fuentes</w:t>
      </w:r>
      <w:bookmarkEnd w:id="80"/>
    </w:p>
    <w:p w14:paraId="373B1357" w14:textId="75D85D7F" w:rsidR="003F1600" w:rsidRPr="0064597D" w:rsidRDefault="003F1600" w:rsidP="00A83408">
      <w:pPr>
        <w:numPr>
          <w:ilvl w:val="0"/>
          <w:numId w:val="1"/>
        </w:numPr>
        <w:tabs>
          <w:tab w:val="left" w:pos="567"/>
        </w:tabs>
        <w:autoSpaceDE w:val="0"/>
        <w:autoSpaceDN w:val="0"/>
        <w:spacing w:line="240" w:lineRule="auto"/>
        <w:ind w:left="0" w:firstLine="0"/>
        <w:rPr>
          <w:kern w:val="2"/>
          <w:sz w:val="20"/>
          <w:szCs w:val="20"/>
          <w:lang w:eastAsia="en-US"/>
        </w:rPr>
      </w:pPr>
      <w:r w:rsidRPr="0064597D">
        <w:rPr>
          <w:kern w:val="2"/>
          <w:sz w:val="20"/>
          <w:szCs w:val="20"/>
          <w:lang w:eastAsia="en-US"/>
        </w:rPr>
        <w:t>La Corte se ha referido en su jurisprudencia constante sobre el alcance y contenido del artículo 8.2.h) de la Convención, así como a los estándares que deben ser observados para asegurar la garantía del derecho a recurrir el fallo ante</w:t>
      </w:r>
      <w:r w:rsidR="005A6C94" w:rsidRPr="0064597D">
        <w:rPr>
          <w:kern w:val="2"/>
          <w:sz w:val="20"/>
          <w:szCs w:val="20"/>
          <w:lang w:eastAsia="en-US"/>
        </w:rPr>
        <w:t xml:space="preserve"> un</w:t>
      </w:r>
      <w:r w:rsidRPr="0064597D">
        <w:rPr>
          <w:kern w:val="2"/>
          <w:sz w:val="20"/>
          <w:szCs w:val="20"/>
          <w:lang w:eastAsia="en-US"/>
        </w:rPr>
        <w:t xml:space="preserve"> juez o tribunal superior. El Tribunal ha entendido que dicho derecho consiste en una garantía mínima y primordial que “se debe respetar en el marco del debido proceso legal, en aras de permitir que una sentencia adversa pueda ser revisada por un juez o tribunal distinto y de superior jerarquía […]”</w:t>
      </w:r>
      <w:r w:rsidRPr="0064597D">
        <w:rPr>
          <w:kern w:val="2"/>
          <w:sz w:val="20"/>
          <w:szCs w:val="20"/>
          <w:vertAlign w:val="superscript"/>
          <w:lang w:eastAsia="en-US"/>
        </w:rPr>
        <w:footnoteReference w:id="198"/>
      </w:r>
      <w:r w:rsidRPr="0064597D">
        <w:rPr>
          <w:kern w:val="2"/>
          <w:sz w:val="20"/>
          <w:szCs w:val="20"/>
          <w:lang w:eastAsia="en-US"/>
        </w:rPr>
        <w:t>. Teniendo en cuenta que las garantías judiciales buscan que quien esté incurso en un proceso no sea sometido a decisiones arbitrarias, la Corte ha interpretado que el derecho a recurrir el fallo no puede ser efectivo si no se garantiza respecto de todo aquél que es condenado</w:t>
      </w:r>
      <w:r w:rsidRPr="0064597D">
        <w:rPr>
          <w:kern w:val="2"/>
          <w:sz w:val="20"/>
          <w:szCs w:val="20"/>
          <w:vertAlign w:val="superscript"/>
          <w:lang w:eastAsia="en-US"/>
        </w:rPr>
        <w:footnoteReference w:id="199"/>
      </w:r>
      <w:r w:rsidRPr="0064597D">
        <w:rPr>
          <w:kern w:val="2"/>
          <w:sz w:val="20"/>
          <w:szCs w:val="20"/>
          <w:lang w:eastAsia="en-US"/>
        </w:rPr>
        <w:t>, ya que la condena es la manifestación del ejercicio del poder punitivo del Estado</w:t>
      </w:r>
      <w:r w:rsidRPr="0064597D">
        <w:rPr>
          <w:kern w:val="2"/>
          <w:sz w:val="20"/>
          <w:szCs w:val="20"/>
          <w:vertAlign w:val="superscript"/>
          <w:lang w:eastAsia="en-US"/>
        </w:rPr>
        <w:footnoteReference w:id="200"/>
      </w:r>
      <w:r w:rsidRPr="0064597D">
        <w:rPr>
          <w:kern w:val="2"/>
          <w:sz w:val="20"/>
          <w:szCs w:val="20"/>
          <w:lang w:eastAsia="en-US"/>
        </w:rPr>
        <w:t>. La Corte ha considerado el derecho a recurrir el fallo como una de las garantías mínimas que tiene toda persona que es sometida a una investigación y proceso penal</w:t>
      </w:r>
      <w:r w:rsidRPr="0064597D">
        <w:rPr>
          <w:kern w:val="2"/>
          <w:sz w:val="20"/>
          <w:szCs w:val="20"/>
          <w:vertAlign w:val="superscript"/>
          <w:lang w:eastAsia="en-US"/>
        </w:rPr>
        <w:footnoteReference w:id="201"/>
      </w:r>
      <w:r w:rsidRPr="0064597D">
        <w:rPr>
          <w:kern w:val="2"/>
          <w:sz w:val="20"/>
          <w:szCs w:val="20"/>
          <w:lang w:eastAsia="en-US"/>
        </w:rPr>
        <w:t>.</w:t>
      </w:r>
    </w:p>
    <w:p w14:paraId="7061C2B9" w14:textId="77777777" w:rsidR="003F1600" w:rsidRPr="0064597D" w:rsidRDefault="003F1600" w:rsidP="003F1600">
      <w:pPr>
        <w:widowControl/>
        <w:tabs>
          <w:tab w:val="left" w:pos="567"/>
        </w:tabs>
        <w:adjustRightInd/>
        <w:spacing w:line="240" w:lineRule="auto"/>
        <w:textAlignment w:val="auto"/>
        <w:rPr>
          <w:kern w:val="2"/>
          <w:sz w:val="20"/>
          <w:szCs w:val="20"/>
          <w:lang w:eastAsia="en-US"/>
        </w:rPr>
      </w:pPr>
    </w:p>
    <w:p w14:paraId="4E83DAE3" w14:textId="5E66B66D" w:rsidR="003F1600" w:rsidRPr="0064597D" w:rsidRDefault="003F1600" w:rsidP="00A83408">
      <w:pPr>
        <w:numPr>
          <w:ilvl w:val="0"/>
          <w:numId w:val="1"/>
        </w:numPr>
        <w:tabs>
          <w:tab w:val="left" w:pos="567"/>
        </w:tabs>
        <w:autoSpaceDE w:val="0"/>
        <w:autoSpaceDN w:val="0"/>
        <w:spacing w:line="240" w:lineRule="auto"/>
        <w:ind w:left="0" w:firstLine="0"/>
        <w:rPr>
          <w:kern w:val="2"/>
          <w:sz w:val="20"/>
          <w:szCs w:val="20"/>
          <w:lang w:eastAsia="en-US"/>
        </w:rPr>
      </w:pPr>
      <w:r w:rsidRPr="0064597D">
        <w:rPr>
          <w:kern w:val="2"/>
          <w:sz w:val="20"/>
          <w:szCs w:val="20"/>
          <w:lang w:eastAsia="en-US"/>
        </w:rPr>
        <w:t xml:space="preserve">Además, el Tribunal ha sostenido que el artículo 8.2.h) de la Convención se refiere a un recurso ordinario, </w:t>
      </w:r>
      <w:r w:rsidRPr="0064597D">
        <w:rPr>
          <w:sz w:val="20"/>
          <w:szCs w:val="20"/>
        </w:rPr>
        <w:t>accesible</w:t>
      </w:r>
      <w:r w:rsidRPr="0064597D">
        <w:rPr>
          <w:kern w:val="2"/>
          <w:sz w:val="20"/>
          <w:szCs w:val="20"/>
          <w:lang w:eastAsia="en-US"/>
        </w:rPr>
        <w:t xml:space="preserve"> y eficaz</w:t>
      </w:r>
      <w:r w:rsidR="002D65EA" w:rsidRPr="0064597D">
        <w:rPr>
          <w:kern w:val="2"/>
          <w:sz w:val="20"/>
          <w:szCs w:val="20"/>
          <w:lang w:eastAsia="en-US"/>
        </w:rPr>
        <w:t>;</w:t>
      </w:r>
      <w:r w:rsidRPr="0064597D">
        <w:rPr>
          <w:kern w:val="2"/>
          <w:sz w:val="20"/>
          <w:szCs w:val="20"/>
          <w:lang w:eastAsia="en-US"/>
        </w:rPr>
        <w:t xml:space="preserve"> es decir</w:t>
      </w:r>
      <w:r w:rsidR="002D65EA" w:rsidRPr="0064597D">
        <w:rPr>
          <w:kern w:val="2"/>
          <w:sz w:val="20"/>
          <w:szCs w:val="20"/>
          <w:lang w:eastAsia="en-US"/>
        </w:rPr>
        <w:t>,</w:t>
      </w:r>
      <w:r w:rsidRPr="0064597D">
        <w:rPr>
          <w:kern w:val="2"/>
          <w:sz w:val="20"/>
          <w:szCs w:val="20"/>
          <w:lang w:eastAsia="en-US"/>
        </w:rPr>
        <w:t xml:space="preserve"> que no debe requerir mayores complejidades que tornen </w:t>
      </w:r>
      <w:r w:rsidRPr="0064597D">
        <w:rPr>
          <w:kern w:val="2"/>
          <w:sz w:val="20"/>
          <w:szCs w:val="20"/>
          <w:lang w:eastAsia="en-US"/>
        </w:rPr>
        <w:lastRenderedPageBreak/>
        <w:t>ilusorio este derecho. Debe entenderse que, independientemente del régimen o sistema recursivo que adopten los Estados Partes, y de la denominación que den al medio de impugnación de la sentencia condenatoria, para que éste sea eficaz debe constituir un medio adecuado para procurar la corrección de una condena errónea. Ello requiere que pueda analizar las cuestiones fácticas, probatorias y jurídicas en que se basa la sentencia impugnada, puesto que en la actividad jurisdiccional existe una interdependencia entre las determinaciones fácticas y la aplicación del derecho, de forma tal que una errónea determinación de los hechos implica una errada o indebida aplicación del derecho. Consecuentemente, las causales de procedencia del recurso deben posibilitar un control amplio de los aspectos impugnados de la sentencia condenatoria</w:t>
      </w:r>
      <w:r w:rsidRPr="0064597D">
        <w:rPr>
          <w:kern w:val="2"/>
          <w:sz w:val="20"/>
          <w:szCs w:val="20"/>
          <w:vertAlign w:val="superscript"/>
          <w:lang w:eastAsia="en-US"/>
        </w:rPr>
        <w:footnoteReference w:id="202"/>
      </w:r>
      <w:r w:rsidRPr="0064597D">
        <w:rPr>
          <w:kern w:val="2"/>
          <w:sz w:val="20"/>
          <w:szCs w:val="20"/>
          <w:lang w:eastAsia="en-US"/>
        </w:rPr>
        <w:t>.</w:t>
      </w:r>
    </w:p>
    <w:p w14:paraId="33711686" w14:textId="77777777" w:rsidR="003F1600" w:rsidRPr="0064597D" w:rsidRDefault="003F1600" w:rsidP="003F1600">
      <w:pPr>
        <w:widowControl/>
        <w:tabs>
          <w:tab w:val="left" w:pos="567"/>
        </w:tabs>
        <w:adjustRightInd/>
        <w:spacing w:line="240" w:lineRule="auto"/>
        <w:textAlignment w:val="auto"/>
        <w:rPr>
          <w:kern w:val="2"/>
          <w:sz w:val="20"/>
          <w:szCs w:val="20"/>
          <w:lang w:eastAsia="en-US"/>
        </w:rPr>
      </w:pPr>
    </w:p>
    <w:p w14:paraId="54F1E61C" w14:textId="073889BE" w:rsidR="00C514AF" w:rsidRPr="0064597D" w:rsidRDefault="00FC6ADA" w:rsidP="00A173EB">
      <w:pPr>
        <w:numPr>
          <w:ilvl w:val="0"/>
          <w:numId w:val="1"/>
        </w:numPr>
        <w:tabs>
          <w:tab w:val="left" w:pos="567"/>
        </w:tabs>
        <w:autoSpaceDE w:val="0"/>
        <w:autoSpaceDN w:val="0"/>
        <w:spacing w:line="240" w:lineRule="auto"/>
        <w:ind w:left="0" w:firstLine="0"/>
        <w:rPr>
          <w:sz w:val="20"/>
          <w:szCs w:val="20"/>
        </w:rPr>
      </w:pPr>
      <w:r w:rsidRPr="0064597D">
        <w:rPr>
          <w:sz w:val="20"/>
          <w:szCs w:val="20"/>
        </w:rPr>
        <w:t>Sentado lo anterior, l</w:t>
      </w:r>
      <w:r w:rsidR="00D05E9D" w:rsidRPr="0064597D">
        <w:rPr>
          <w:sz w:val="20"/>
          <w:szCs w:val="20"/>
        </w:rPr>
        <w:t>a Corte observa que e</w:t>
      </w:r>
      <w:r w:rsidR="00C514AF" w:rsidRPr="0064597D">
        <w:rPr>
          <w:sz w:val="20"/>
          <w:szCs w:val="20"/>
        </w:rPr>
        <w:t xml:space="preserve">l Código </w:t>
      </w:r>
      <w:r w:rsidR="00C514AF" w:rsidRPr="0064597D">
        <w:rPr>
          <w:rFonts w:eastAsia="MS Mincho"/>
          <w:sz w:val="20"/>
          <w:szCs w:val="20"/>
          <w:lang w:eastAsia="en-US"/>
        </w:rPr>
        <w:t>Procesal</w:t>
      </w:r>
      <w:r w:rsidR="00C514AF" w:rsidRPr="0064597D">
        <w:rPr>
          <w:sz w:val="20"/>
          <w:szCs w:val="20"/>
        </w:rPr>
        <w:t xml:space="preserve"> Penal guatemalteco contempla dos recursos que pretenden satisfacer</w:t>
      </w:r>
      <w:r w:rsidRPr="0064597D">
        <w:rPr>
          <w:sz w:val="20"/>
          <w:szCs w:val="20"/>
        </w:rPr>
        <w:t xml:space="preserve"> el derecho a recurrir el fallo:</w:t>
      </w:r>
      <w:r w:rsidR="00C514AF" w:rsidRPr="0064597D">
        <w:rPr>
          <w:sz w:val="20"/>
          <w:szCs w:val="20"/>
        </w:rPr>
        <w:t xml:space="preserve"> el recurso de apelación especial y el recurso de casación. </w:t>
      </w:r>
      <w:r w:rsidR="005C2AAD" w:rsidRPr="0064597D">
        <w:rPr>
          <w:sz w:val="20"/>
          <w:szCs w:val="20"/>
        </w:rPr>
        <w:t>El artículo 430 del Código Procesal Penal señala con respecto a</w:t>
      </w:r>
      <w:r w:rsidR="00C514AF" w:rsidRPr="0064597D">
        <w:rPr>
          <w:sz w:val="20"/>
          <w:szCs w:val="20"/>
        </w:rPr>
        <w:t xml:space="preserve">l recurso de apelación </w:t>
      </w:r>
      <w:r w:rsidR="005C2AAD" w:rsidRPr="0064597D">
        <w:rPr>
          <w:sz w:val="20"/>
          <w:szCs w:val="20"/>
        </w:rPr>
        <w:t>lo siguiente</w:t>
      </w:r>
      <w:r w:rsidR="00C514AF" w:rsidRPr="0064597D">
        <w:rPr>
          <w:sz w:val="20"/>
          <w:szCs w:val="20"/>
        </w:rPr>
        <w:t xml:space="preserve">: </w:t>
      </w:r>
    </w:p>
    <w:p w14:paraId="075AEE45" w14:textId="1A24DB21" w:rsidR="00C514AF" w:rsidRPr="0064597D" w:rsidRDefault="005C2AAD" w:rsidP="00C514AF">
      <w:pPr>
        <w:pStyle w:val="Prrafodelista"/>
        <w:spacing w:before="100" w:beforeAutospacing="1" w:after="100" w:afterAutospacing="1" w:line="240" w:lineRule="auto"/>
        <w:ind w:right="624"/>
        <w:rPr>
          <w:sz w:val="16"/>
          <w:szCs w:val="16"/>
        </w:rPr>
      </w:pPr>
      <w:r w:rsidRPr="0064597D">
        <w:rPr>
          <w:sz w:val="16"/>
          <w:szCs w:val="16"/>
        </w:rPr>
        <w:t>“A</w:t>
      </w:r>
      <w:r w:rsidR="00C514AF" w:rsidRPr="0064597D">
        <w:rPr>
          <w:sz w:val="16"/>
          <w:szCs w:val="16"/>
        </w:rPr>
        <w:t>rtículo 430.</w:t>
      </w:r>
      <w:r w:rsidR="00DB0443" w:rsidRPr="0064597D">
        <w:rPr>
          <w:sz w:val="16"/>
          <w:szCs w:val="16"/>
        </w:rPr>
        <w:t xml:space="preserve"> </w:t>
      </w:r>
      <w:r w:rsidR="00C514AF" w:rsidRPr="0064597D">
        <w:rPr>
          <w:sz w:val="16"/>
          <w:szCs w:val="16"/>
        </w:rPr>
        <w:t>La sentencia no podrá en ningún caso hacer mérito de la prueba o de los hechos que se declaren probados conforme a las reglas de la sana crítica razonada. Únicamente podrá referirse a ellos para aplicación de la ley sustantiva o cuando exista manifiesta contradicción con la sentencia recurrida.”</w:t>
      </w:r>
    </w:p>
    <w:p w14:paraId="3DE7C262" w14:textId="3252415E" w:rsidR="00FC6ADA" w:rsidRPr="0064597D" w:rsidRDefault="00C514AF" w:rsidP="009340D0">
      <w:pPr>
        <w:numPr>
          <w:ilvl w:val="0"/>
          <w:numId w:val="1"/>
        </w:numPr>
        <w:tabs>
          <w:tab w:val="left" w:pos="567"/>
        </w:tabs>
        <w:autoSpaceDE w:val="0"/>
        <w:autoSpaceDN w:val="0"/>
        <w:spacing w:line="240" w:lineRule="auto"/>
        <w:ind w:left="0" w:firstLine="0"/>
        <w:rPr>
          <w:sz w:val="20"/>
          <w:szCs w:val="20"/>
        </w:rPr>
      </w:pPr>
      <w:r w:rsidRPr="0064597D">
        <w:rPr>
          <w:sz w:val="20"/>
          <w:szCs w:val="18"/>
        </w:rPr>
        <w:t xml:space="preserve">De la </w:t>
      </w:r>
      <w:r w:rsidRPr="0064597D">
        <w:rPr>
          <w:sz w:val="20"/>
          <w:szCs w:val="20"/>
        </w:rPr>
        <w:t>legislación</w:t>
      </w:r>
      <w:r w:rsidRPr="0064597D">
        <w:rPr>
          <w:sz w:val="20"/>
          <w:szCs w:val="18"/>
        </w:rPr>
        <w:t xml:space="preserve"> </w:t>
      </w:r>
      <w:r w:rsidRPr="0064597D">
        <w:rPr>
          <w:rFonts w:eastAsia="MS Mincho"/>
          <w:sz w:val="20"/>
          <w:szCs w:val="20"/>
          <w:lang w:eastAsia="en-US"/>
        </w:rPr>
        <w:t>transcrita</w:t>
      </w:r>
      <w:r w:rsidRPr="0064597D">
        <w:rPr>
          <w:sz w:val="20"/>
          <w:szCs w:val="18"/>
        </w:rPr>
        <w:t xml:space="preserve"> se desprende que el recurso de apelación especial es un recurso </w:t>
      </w:r>
      <w:r w:rsidR="00193149" w:rsidRPr="0064597D">
        <w:rPr>
          <w:sz w:val="20"/>
          <w:szCs w:val="18"/>
        </w:rPr>
        <w:t xml:space="preserve">en cierta medida </w:t>
      </w:r>
      <w:r w:rsidRPr="0064597D">
        <w:rPr>
          <w:sz w:val="20"/>
          <w:szCs w:val="18"/>
        </w:rPr>
        <w:t xml:space="preserve">limitado, </w:t>
      </w:r>
      <w:r w:rsidR="00193149" w:rsidRPr="0064597D">
        <w:rPr>
          <w:sz w:val="20"/>
          <w:szCs w:val="18"/>
        </w:rPr>
        <w:t>toda vez que</w:t>
      </w:r>
      <w:r w:rsidRPr="0064597D">
        <w:rPr>
          <w:sz w:val="20"/>
          <w:szCs w:val="18"/>
        </w:rPr>
        <w:t xml:space="preserve"> </w:t>
      </w:r>
      <w:r w:rsidR="009340D0" w:rsidRPr="0064597D">
        <w:rPr>
          <w:sz w:val="20"/>
          <w:szCs w:val="18"/>
        </w:rPr>
        <w:t>sólo</w:t>
      </w:r>
      <w:r w:rsidRPr="0064597D">
        <w:rPr>
          <w:sz w:val="20"/>
          <w:szCs w:val="18"/>
        </w:rPr>
        <w:t xml:space="preserve"> permite la revisión de hechos </w:t>
      </w:r>
      <w:r w:rsidR="009340D0" w:rsidRPr="0064597D">
        <w:rPr>
          <w:sz w:val="20"/>
          <w:szCs w:val="18"/>
        </w:rPr>
        <w:t>“para aplicación de la ley sustantiva o cuando exista manifiesta contradicción con la sentencia recurrida.”</w:t>
      </w:r>
    </w:p>
    <w:p w14:paraId="0DC7220F" w14:textId="77777777" w:rsidR="007A54CA" w:rsidRPr="0064597D" w:rsidRDefault="007A54CA" w:rsidP="007A54CA">
      <w:pPr>
        <w:tabs>
          <w:tab w:val="left" w:pos="567"/>
        </w:tabs>
        <w:autoSpaceDE w:val="0"/>
        <w:autoSpaceDN w:val="0"/>
        <w:spacing w:line="240" w:lineRule="auto"/>
        <w:rPr>
          <w:sz w:val="20"/>
          <w:szCs w:val="20"/>
        </w:rPr>
      </w:pPr>
    </w:p>
    <w:p w14:paraId="294EA01F" w14:textId="77777777" w:rsidR="007A54CA" w:rsidRPr="0064597D" w:rsidRDefault="007A54CA" w:rsidP="007A54CA">
      <w:pPr>
        <w:numPr>
          <w:ilvl w:val="0"/>
          <w:numId w:val="1"/>
        </w:numPr>
        <w:tabs>
          <w:tab w:val="left" w:pos="567"/>
        </w:tabs>
        <w:autoSpaceDE w:val="0"/>
        <w:autoSpaceDN w:val="0"/>
        <w:spacing w:line="240" w:lineRule="auto"/>
        <w:ind w:left="0" w:firstLine="0"/>
        <w:rPr>
          <w:sz w:val="20"/>
          <w:szCs w:val="20"/>
        </w:rPr>
      </w:pPr>
      <w:r w:rsidRPr="0064597D">
        <w:rPr>
          <w:sz w:val="20"/>
          <w:szCs w:val="18"/>
        </w:rPr>
        <w:t>Por su parte, e</w:t>
      </w:r>
      <w:r w:rsidRPr="0064597D">
        <w:rPr>
          <w:sz w:val="20"/>
          <w:szCs w:val="20"/>
        </w:rPr>
        <w:t xml:space="preserve">l recurso de casación está regulado, en lo relevante, de la siguiente manera: </w:t>
      </w:r>
    </w:p>
    <w:p w14:paraId="48618613" w14:textId="77777777" w:rsidR="007A54CA" w:rsidRPr="0064597D" w:rsidRDefault="007A54CA" w:rsidP="007A54CA">
      <w:pPr>
        <w:pStyle w:val="Prrafodelista"/>
        <w:autoSpaceDE w:val="0"/>
        <w:autoSpaceDN w:val="0"/>
        <w:spacing w:line="240" w:lineRule="auto"/>
        <w:ind w:left="0"/>
        <w:rPr>
          <w:sz w:val="20"/>
          <w:szCs w:val="20"/>
        </w:rPr>
      </w:pPr>
    </w:p>
    <w:p w14:paraId="6061654F" w14:textId="436A6167" w:rsidR="007A54CA" w:rsidRPr="0064597D" w:rsidRDefault="00523392" w:rsidP="007A54CA">
      <w:pPr>
        <w:pStyle w:val="Prrafodelista"/>
        <w:autoSpaceDE w:val="0"/>
        <w:autoSpaceDN w:val="0"/>
        <w:spacing w:line="240" w:lineRule="auto"/>
        <w:ind w:left="706" w:right="619"/>
        <w:contextualSpacing/>
        <w:rPr>
          <w:sz w:val="16"/>
          <w:szCs w:val="16"/>
        </w:rPr>
      </w:pPr>
      <w:r w:rsidRPr="0064597D">
        <w:rPr>
          <w:sz w:val="16"/>
          <w:szCs w:val="16"/>
        </w:rPr>
        <w:t xml:space="preserve">“Artículo 442. </w:t>
      </w:r>
      <w:r w:rsidR="007A54CA" w:rsidRPr="0064597D">
        <w:rPr>
          <w:sz w:val="16"/>
          <w:szCs w:val="16"/>
        </w:rPr>
        <w:t>El tribunal de casación conocerá únicamente de los errores jurídicos contenidos en la resolución recurrida. Está sujeto a los hechos que se hayan tenido como probados por el tribunal de sentencia, y solamente en los casos en que advierta violación de una norma constitucional o legal, podrá disponer de la anulación y el reenvío para la corrección debida.”</w:t>
      </w:r>
    </w:p>
    <w:p w14:paraId="0BD2FE79" w14:textId="77777777" w:rsidR="007A54CA" w:rsidRPr="0064597D" w:rsidRDefault="007A54CA" w:rsidP="007A54CA">
      <w:pPr>
        <w:autoSpaceDE w:val="0"/>
        <w:autoSpaceDN w:val="0"/>
        <w:spacing w:line="240" w:lineRule="auto"/>
        <w:ind w:right="619"/>
        <w:contextualSpacing/>
        <w:rPr>
          <w:sz w:val="16"/>
          <w:szCs w:val="16"/>
        </w:rPr>
      </w:pPr>
    </w:p>
    <w:p w14:paraId="1685F26B" w14:textId="74A2B73C" w:rsidR="007A54CA" w:rsidRPr="0064597D" w:rsidRDefault="007A54CA" w:rsidP="007A54CA">
      <w:pPr>
        <w:numPr>
          <w:ilvl w:val="0"/>
          <w:numId w:val="1"/>
        </w:numPr>
        <w:tabs>
          <w:tab w:val="left" w:pos="567"/>
        </w:tabs>
        <w:autoSpaceDE w:val="0"/>
        <w:autoSpaceDN w:val="0"/>
        <w:spacing w:line="240" w:lineRule="auto"/>
        <w:ind w:left="0" w:firstLine="0"/>
        <w:rPr>
          <w:sz w:val="16"/>
          <w:szCs w:val="16"/>
        </w:rPr>
      </w:pPr>
      <w:r w:rsidRPr="0064597D">
        <w:rPr>
          <w:sz w:val="20"/>
          <w:szCs w:val="20"/>
        </w:rPr>
        <w:t xml:space="preserve">De las </w:t>
      </w:r>
      <w:r w:rsidRPr="0064597D">
        <w:rPr>
          <w:sz w:val="20"/>
          <w:szCs w:val="18"/>
        </w:rPr>
        <w:t>normas</w:t>
      </w:r>
      <w:r w:rsidRPr="0064597D">
        <w:rPr>
          <w:sz w:val="20"/>
          <w:szCs w:val="20"/>
        </w:rPr>
        <w:t xml:space="preserve"> </w:t>
      </w:r>
      <w:r w:rsidRPr="0064597D">
        <w:rPr>
          <w:rFonts w:eastAsia="MS Mincho"/>
          <w:sz w:val="20"/>
          <w:szCs w:val="20"/>
          <w:lang w:eastAsia="en-US"/>
        </w:rPr>
        <w:t>transcritas</w:t>
      </w:r>
      <w:r w:rsidRPr="0064597D">
        <w:rPr>
          <w:sz w:val="20"/>
          <w:szCs w:val="20"/>
        </w:rPr>
        <w:t xml:space="preserve"> se desprende que el recurso de casación no permite la revisión de hechos ni de pruebas, sólo de derecho. </w:t>
      </w:r>
    </w:p>
    <w:p w14:paraId="1C7FDA26" w14:textId="277582F0" w:rsidR="00FC6ADA" w:rsidRPr="0064597D" w:rsidRDefault="00FC6ADA" w:rsidP="00FC6ADA">
      <w:pPr>
        <w:tabs>
          <w:tab w:val="left" w:pos="567"/>
        </w:tabs>
        <w:autoSpaceDE w:val="0"/>
        <w:autoSpaceDN w:val="0"/>
        <w:spacing w:line="240" w:lineRule="auto"/>
        <w:rPr>
          <w:sz w:val="20"/>
          <w:szCs w:val="20"/>
        </w:rPr>
      </w:pPr>
    </w:p>
    <w:p w14:paraId="1B6140DB" w14:textId="008A4F5F" w:rsidR="00FC6ADA" w:rsidRPr="0064597D" w:rsidRDefault="00C03867" w:rsidP="0061682C">
      <w:pPr>
        <w:numPr>
          <w:ilvl w:val="0"/>
          <w:numId w:val="1"/>
        </w:numPr>
        <w:tabs>
          <w:tab w:val="left" w:pos="567"/>
        </w:tabs>
        <w:autoSpaceDE w:val="0"/>
        <w:autoSpaceDN w:val="0"/>
        <w:spacing w:line="240" w:lineRule="auto"/>
        <w:ind w:left="0" w:firstLine="0"/>
        <w:rPr>
          <w:rFonts w:cs="Arial"/>
        </w:rPr>
      </w:pPr>
      <w:r w:rsidRPr="0064597D">
        <w:rPr>
          <w:rFonts w:cs="Verdana"/>
          <w:sz w:val="20"/>
          <w:szCs w:val="20"/>
        </w:rPr>
        <w:t>L</w:t>
      </w:r>
      <w:r w:rsidR="00FC6ADA" w:rsidRPr="0064597D">
        <w:rPr>
          <w:rFonts w:cs="Verdana"/>
          <w:sz w:val="20"/>
          <w:szCs w:val="20"/>
        </w:rPr>
        <w:t xml:space="preserve">a Corte recuerda que el señor Ruiz Fuentes y las otras dos personas condenadas a pena de muerte interpusieron un recurso de apelación especial por motivos de fondo y forma contra la sentencia dictada el 14 de mayo de 1999 por el </w:t>
      </w:r>
      <w:r w:rsidR="00011243" w:rsidRPr="0064597D">
        <w:rPr>
          <w:rFonts w:cs="Verdana"/>
          <w:sz w:val="20"/>
          <w:szCs w:val="20"/>
        </w:rPr>
        <w:t>Tribunal Sexto de Sentencia Penal</w:t>
      </w:r>
      <w:r w:rsidR="00FC6ADA" w:rsidRPr="0064597D">
        <w:rPr>
          <w:rStyle w:val="Refdenotaalpie"/>
          <w:rFonts w:cs="Verdana"/>
          <w:sz w:val="20"/>
          <w:szCs w:val="20"/>
        </w:rPr>
        <w:footnoteReference w:id="203"/>
      </w:r>
      <w:r w:rsidR="00FC6ADA" w:rsidRPr="0064597D">
        <w:rPr>
          <w:rFonts w:cs="Verdana"/>
          <w:sz w:val="20"/>
          <w:szCs w:val="20"/>
        </w:rPr>
        <w:t>. El señor Ruiz Fuentes fundamentó su apelación alegando que</w:t>
      </w:r>
      <w:r w:rsidR="001B4B25" w:rsidRPr="0064597D">
        <w:rPr>
          <w:rFonts w:cs="Verdana"/>
          <w:sz w:val="20"/>
          <w:szCs w:val="20"/>
        </w:rPr>
        <w:t>:</w:t>
      </w:r>
      <w:r w:rsidR="00FC6ADA" w:rsidRPr="0064597D">
        <w:rPr>
          <w:rFonts w:cs="Verdana"/>
          <w:sz w:val="20"/>
          <w:szCs w:val="20"/>
        </w:rPr>
        <w:t xml:space="preserve"> (i) el Tribunal </w:t>
      </w:r>
      <w:r w:rsidR="00FC6ADA" w:rsidRPr="0064597D">
        <w:rPr>
          <w:sz w:val="20"/>
          <w:szCs w:val="20"/>
        </w:rPr>
        <w:t>de sentencia dio por acreditados hechos distintos a los</w:t>
      </w:r>
      <w:r w:rsidR="00FC6ADA" w:rsidRPr="0064597D">
        <w:rPr>
          <w:rFonts w:cs="Verdana"/>
          <w:sz w:val="20"/>
          <w:szCs w:val="20"/>
        </w:rPr>
        <w:t xml:space="preserve"> </w:t>
      </w:r>
      <w:r w:rsidR="00FC6ADA" w:rsidRPr="0064597D">
        <w:rPr>
          <w:sz w:val="20"/>
          <w:szCs w:val="20"/>
        </w:rPr>
        <w:t>formulados en la acusación, afectando con ello su derecho a la defensa, (ii) se le privó de su derecho de ofrecer y aportar prueba durante el debate,</w:t>
      </w:r>
      <w:r w:rsidR="00FC6ADA" w:rsidRPr="0064597D">
        <w:rPr>
          <w:rFonts w:cs="Verdana"/>
          <w:sz w:val="20"/>
          <w:szCs w:val="20"/>
        </w:rPr>
        <w:t xml:space="preserve"> </w:t>
      </w:r>
      <w:r w:rsidR="00F066C2" w:rsidRPr="0064597D">
        <w:rPr>
          <w:rFonts w:cs="Verdana"/>
          <w:sz w:val="20"/>
          <w:szCs w:val="20"/>
        </w:rPr>
        <w:t xml:space="preserve">(iii) se produjo una errónea valoración de la prueba por parte del juez </w:t>
      </w:r>
      <w:r w:rsidR="00F066C2" w:rsidRPr="0064597D">
        <w:rPr>
          <w:rFonts w:cs="Verdana"/>
          <w:i/>
          <w:sz w:val="20"/>
          <w:szCs w:val="20"/>
        </w:rPr>
        <w:t>a quo</w:t>
      </w:r>
      <w:r w:rsidR="00F066C2" w:rsidRPr="0064597D">
        <w:rPr>
          <w:rFonts w:cs="Verdana"/>
          <w:sz w:val="20"/>
          <w:szCs w:val="20"/>
        </w:rPr>
        <w:t xml:space="preserve"> </w:t>
      </w:r>
      <w:r w:rsidR="00FC6ADA" w:rsidRPr="0064597D">
        <w:rPr>
          <w:sz w:val="20"/>
          <w:szCs w:val="20"/>
        </w:rPr>
        <w:t>y (</w:t>
      </w:r>
      <w:r w:rsidR="00F066C2" w:rsidRPr="0064597D">
        <w:rPr>
          <w:sz w:val="20"/>
          <w:szCs w:val="20"/>
        </w:rPr>
        <w:t>iv</w:t>
      </w:r>
      <w:r w:rsidR="00FC6ADA" w:rsidRPr="0064597D">
        <w:rPr>
          <w:sz w:val="20"/>
          <w:szCs w:val="20"/>
        </w:rPr>
        <w:t xml:space="preserve">) que el Tribunal aplicó indebidamente el artículo 201 del Código Penal irrespetando el artículo 46 de la Constitución y el artículo 4 de la Convención, pues </w:t>
      </w:r>
      <w:r w:rsidR="00FC6ADA" w:rsidRPr="0064597D">
        <w:rPr>
          <w:rFonts w:cs="Arial"/>
          <w:sz w:val="20"/>
          <w:szCs w:val="20"/>
        </w:rPr>
        <w:t xml:space="preserve">al </w:t>
      </w:r>
      <w:r w:rsidR="00FC6ADA" w:rsidRPr="0064597D">
        <w:rPr>
          <w:sz w:val="20"/>
          <w:szCs w:val="20"/>
        </w:rPr>
        <w:t>momento de su ratificación la pena</w:t>
      </w:r>
      <w:r w:rsidR="00FC6ADA" w:rsidRPr="0064597D">
        <w:rPr>
          <w:rFonts w:cs="Verdana"/>
          <w:sz w:val="20"/>
          <w:szCs w:val="20"/>
        </w:rPr>
        <w:t xml:space="preserve"> </w:t>
      </w:r>
      <w:r w:rsidR="00FC6ADA" w:rsidRPr="0064597D">
        <w:rPr>
          <w:sz w:val="20"/>
          <w:szCs w:val="20"/>
        </w:rPr>
        <w:t>de muerte no estaba prevista para el secuestro cuando la víctima no fallecía</w:t>
      </w:r>
      <w:r w:rsidR="00FC6ADA" w:rsidRPr="0064597D">
        <w:rPr>
          <w:rStyle w:val="Refdenotaalpie"/>
          <w:sz w:val="20"/>
          <w:szCs w:val="20"/>
        </w:rPr>
        <w:footnoteReference w:id="204"/>
      </w:r>
      <w:r w:rsidR="00FC6ADA" w:rsidRPr="0064597D">
        <w:rPr>
          <w:sz w:val="20"/>
          <w:szCs w:val="20"/>
        </w:rPr>
        <w:t>.</w:t>
      </w:r>
    </w:p>
    <w:p w14:paraId="1B9106B4" w14:textId="77777777" w:rsidR="00FC6ADA" w:rsidRPr="0064597D" w:rsidRDefault="00FC6ADA" w:rsidP="00FC6ADA">
      <w:pPr>
        <w:tabs>
          <w:tab w:val="left" w:pos="567"/>
        </w:tabs>
        <w:spacing w:line="240" w:lineRule="auto"/>
        <w:rPr>
          <w:rFonts w:cs="Arial"/>
          <w:sz w:val="20"/>
          <w:szCs w:val="20"/>
          <w:highlight w:val="yellow"/>
        </w:rPr>
      </w:pPr>
    </w:p>
    <w:p w14:paraId="166FBC3C" w14:textId="77777777" w:rsidR="003E5D3C" w:rsidRPr="0064597D" w:rsidRDefault="00FC6ADA" w:rsidP="00FC6ADA">
      <w:pPr>
        <w:numPr>
          <w:ilvl w:val="0"/>
          <w:numId w:val="1"/>
        </w:numPr>
        <w:tabs>
          <w:tab w:val="left" w:pos="567"/>
          <w:tab w:val="num" w:pos="1569"/>
          <w:tab w:val="num" w:pos="12305"/>
        </w:tabs>
        <w:spacing w:line="240" w:lineRule="auto"/>
        <w:ind w:left="0" w:firstLine="0"/>
        <w:rPr>
          <w:sz w:val="20"/>
          <w:szCs w:val="20"/>
        </w:rPr>
      </w:pPr>
      <w:r w:rsidRPr="0064597D">
        <w:rPr>
          <w:sz w:val="20"/>
          <w:szCs w:val="20"/>
        </w:rPr>
        <w:t>El 13 de septiembre de 1999 la Corte de Apelaciones declaró sin lugar el recurso de apelación especial planteado por el señor Ruiz Fuentes y los demás condenados</w:t>
      </w:r>
      <w:r w:rsidRPr="0064597D">
        <w:rPr>
          <w:rStyle w:val="Refdenotaalpie"/>
          <w:sz w:val="20"/>
          <w:szCs w:val="20"/>
        </w:rPr>
        <w:footnoteReference w:id="205"/>
      </w:r>
      <w:r w:rsidRPr="0064597D">
        <w:rPr>
          <w:sz w:val="20"/>
          <w:szCs w:val="20"/>
        </w:rPr>
        <w:t xml:space="preserve">. En lo </w:t>
      </w:r>
      <w:r w:rsidR="00C03867" w:rsidRPr="0064597D">
        <w:rPr>
          <w:sz w:val="20"/>
          <w:szCs w:val="20"/>
        </w:rPr>
        <w:t>relevante para el</w:t>
      </w:r>
      <w:r w:rsidRPr="0064597D">
        <w:rPr>
          <w:sz w:val="20"/>
          <w:szCs w:val="20"/>
        </w:rPr>
        <w:t xml:space="preserve"> presente </w:t>
      </w:r>
      <w:r w:rsidR="00C03867" w:rsidRPr="0064597D">
        <w:rPr>
          <w:sz w:val="20"/>
          <w:szCs w:val="20"/>
        </w:rPr>
        <w:t>acápite</w:t>
      </w:r>
      <w:r w:rsidRPr="0064597D">
        <w:rPr>
          <w:sz w:val="20"/>
          <w:szCs w:val="20"/>
        </w:rPr>
        <w:t xml:space="preserve">, </w:t>
      </w:r>
      <w:r w:rsidR="00C03867" w:rsidRPr="0064597D">
        <w:rPr>
          <w:sz w:val="20"/>
          <w:szCs w:val="20"/>
        </w:rPr>
        <w:t>se destaca que el tribunal de apelaci</w:t>
      </w:r>
      <w:r w:rsidR="00F066C2" w:rsidRPr="0064597D">
        <w:rPr>
          <w:sz w:val="20"/>
          <w:szCs w:val="20"/>
        </w:rPr>
        <w:t xml:space="preserve">ón </w:t>
      </w:r>
      <w:r w:rsidR="003E5D3C" w:rsidRPr="0064597D">
        <w:rPr>
          <w:sz w:val="20"/>
          <w:szCs w:val="20"/>
        </w:rPr>
        <w:t>señaló, e</w:t>
      </w:r>
      <w:r w:rsidRPr="0064597D">
        <w:rPr>
          <w:sz w:val="20"/>
          <w:szCs w:val="20"/>
        </w:rPr>
        <w:t xml:space="preserve">n relación con el alegato según el cual el Tribunal dio por acreditados </w:t>
      </w:r>
      <w:r w:rsidRPr="0064597D">
        <w:rPr>
          <w:rFonts w:cs="Verdana"/>
          <w:sz w:val="20"/>
          <w:szCs w:val="20"/>
        </w:rPr>
        <w:t>hechos</w:t>
      </w:r>
      <w:r w:rsidRPr="0064597D">
        <w:rPr>
          <w:sz w:val="20"/>
          <w:szCs w:val="20"/>
        </w:rPr>
        <w:t xml:space="preserve"> distintos a los de la acusación,</w:t>
      </w:r>
      <w:r w:rsidR="00C03867" w:rsidRPr="0064597D">
        <w:rPr>
          <w:sz w:val="20"/>
          <w:szCs w:val="20"/>
        </w:rPr>
        <w:t xml:space="preserve"> </w:t>
      </w:r>
      <w:r w:rsidR="003E5D3C" w:rsidRPr="0064597D">
        <w:rPr>
          <w:sz w:val="20"/>
          <w:szCs w:val="20"/>
        </w:rPr>
        <w:t>lo siguiente:</w:t>
      </w:r>
    </w:p>
    <w:p w14:paraId="0BFE5E80" w14:textId="77777777" w:rsidR="003E5D3C" w:rsidRPr="0064597D" w:rsidRDefault="003E5D3C" w:rsidP="003E5D3C">
      <w:pPr>
        <w:tabs>
          <w:tab w:val="left" w:pos="567"/>
        </w:tabs>
        <w:spacing w:line="240" w:lineRule="auto"/>
        <w:rPr>
          <w:sz w:val="20"/>
          <w:szCs w:val="20"/>
        </w:rPr>
      </w:pPr>
    </w:p>
    <w:p w14:paraId="1DC23995" w14:textId="7638FCF8" w:rsidR="00FC6ADA" w:rsidRPr="0064597D" w:rsidRDefault="00FC6ADA" w:rsidP="00193149">
      <w:pPr>
        <w:tabs>
          <w:tab w:val="left" w:pos="720"/>
          <w:tab w:val="num" w:pos="12305"/>
        </w:tabs>
        <w:spacing w:line="240" w:lineRule="auto"/>
        <w:ind w:left="720" w:right="720"/>
        <w:rPr>
          <w:sz w:val="18"/>
          <w:szCs w:val="18"/>
        </w:rPr>
      </w:pPr>
      <w:r w:rsidRPr="0064597D">
        <w:rPr>
          <w:sz w:val="18"/>
          <w:szCs w:val="18"/>
        </w:rPr>
        <w:t>“</w:t>
      </w:r>
      <w:r w:rsidR="003E5D3C" w:rsidRPr="0064597D">
        <w:rPr>
          <w:sz w:val="18"/>
          <w:szCs w:val="18"/>
        </w:rPr>
        <w:t>[E]</w:t>
      </w:r>
      <w:r w:rsidRPr="0064597D">
        <w:rPr>
          <w:sz w:val="18"/>
          <w:szCs w:val="18"/>
        </w:rPr>
        <w:t>sta Sala en la sentencia no puede en ningún caso hacer mérito de la prueba o de los hechos que se declaren probados conforme a las reg</w:t>
      </w:r>
      <w:r w:rsidR="003E5D3C" w:rsidRPr="0064597D">
        <w:rPr>
          <w:sz w:val="18"/>
          <w:szCs w:val="18"/>
        </w:rPr>
        <w:t xml:space="preserve">las de la sana crítica razonada: </w:t>
      </w:r>
      <w:r w:rsidRPr="0064597D">
        <w:rPr>
          <w:sz w:val="18"/>
          <w:szCs w:val="18"/>
        </w:rPr>
        <w:t>la decisión es correcta</w:t>
      </w:r>
      <w:r w:rsidR="003E5D3C" w:rsidRPr="0064597D">
        <w:rPr>
          <w:sz w:val="18"/>
          <w:szCs w:val="18"/>
        </w:rPr>
        <w:t>. Por lo que se concluye que los hechos tenidos por acreditados por el tribunal son ciertos</w:t>
      </w:r>
      <w:r w:rsidRPr="0064597D">
        <w:rPr>
          <w:sz w:val="18"/>
          <w:szCs w:val="18"/>
        </w:rPr>
        <w:t>”</w:t>
      </w:r>
      <w:r w:rsidRPr="0064597D">
        <w:rPr>
          <w:rStyle w:val="Refdenotaalpie"/>
          <w:sz w:val="18"/>
          <w:szCs w:val="18"/>
        </w:rPr>
        <w:footnoteReference w:id="206"/>
      </w:r>
      <w:r w:rsidRPr="0064597D">
        <w:rPr>
          <w:sz w:val="18"/>
          <w:szCs w:val="18"/>
        </w:rPr>
        <w:t xml:space="preserve">. </w:t>
      </w:r>
    </w:p>
    <w:p w14:paraId="3F27C406" w14:textId="77777777" w:rsidR="00FC6ADA" w:rsidRPr="0064597D" w:rsidRDefault="00FC6ADA" w:rsidP="00FC6ADA">
      <w:pPr>
        <w:tabs>
          <w:tab w:val="left" w:pos="567"/>
        </w:tabs>
        <w:spacing w:line="240" w:lineRule="auto"/>
        <w:rPr>
          <w:sz w:val="20"/>
          <w:szCs w:val="20"/>
          <w:highlight w:val="yellow"/>
        </w:rPr>
      </w:pPr>
    </w:p>
    <w:p w14:paraId="0F67245C" w14:textId="77777777" w:rsidR="00193149" w:rsidRPr="0064597D" w:rsidRDefault="00193149" w:rsidP="0082142D">
      <w:pPr>
        <w:numPr>
          <w:ilvl w:val="0"/>
          <w:numId w:val="1"/>
        </w:numPr>
        <w:tabs>
          <w:tab w:val="left" w:pos="567"/>
        </w:tabs>
        <w:autoSpaceDE w:val="0"/>
        <w:autoSpaceDN w:val="0"/>
        <w:spacing w:line="240" w:lineRule="auto"/>
        <w:ind w:left="0" w:firstLine="0"/>
        <w:rPr>
          <w:rFonts w:eastAsia="Calibri"/>
          <w:kern w:val="2"/>
          <w:sz w:val="20"/>
          <w:szCs w:val="20"/>
          <w:lang w:eastAsia="en-US"/>
        </w:rPr>
      </w:pPr>
      <w:r w:rsidRPr="0064597D">
        <w:rPr>
          <w:rFonts w:eastAsia="Calibri"/>
          <w:kern w:val="2"/>
          <w:sz w:val="20"/>
          <w:szCs w:val="20"/>
          <w:lang w:eastAsia="en-US"/>
        </w:rPr>
        <w:t>Con respecto a los argumentos relativos a la errónea valoración de la prueba según las reglas de la sana crítica, la Corte de Apelaciones indicó lo siguiente:</w:t>
      </w:r>
    </w:p>
    <w:p w14:paraId="7F6BCF31" w14:textId="77777777" w:rsidR="00193149" w:rsidRPr="0064597D" w:rsidRDefault="00193149" w:rsidP="00193149">
      <w:pPr>
        <w:tabs>
          <w:tab w:val="left" w:pos="567"/>
        </w:tabs>
        <w:autoSpaceDE w:val="0"/>
        <w:autoSpaceDN w:val="0"/>
        <w:spacing w:line="240" w:lineRule="auto"/>
        <w:rPr>
          <w:rFonts w:eastAsia="Calibri"/>
          <w:kern w:val="2"/>
          <w:sz w:val="20"/>
          <w:szCs w:val="20"/>
          <w:highlight w:val="yellow"/>
          <w:lang w:eastAsia="en-US"/>
        </w:rPr>
      </w:pPr>
    </w:p>
    <w:p w14:paraId="3C69A5FD" w14:textId="0CEAF462" w:rsidR="00193149" w:rsidRPr="0064597D" w:rsidRDefault="00193149" w:rsidP="00193149">
      <w:pPr>
        <w:tabs>
          <w:tab w:val="left" w:pos="567"/>
          <w:tab w:val="num" w:pos="12305"/>
        </w:tabs>
        <w:spacing w:line="240" w:lineRule="auto"/>
        <w:ind w:left="720" w:right="720"/>
        <w:rPr>
          <w:sz w:val="18"/>
          <w:szCs w:val="18"/>
        </w:rPr>
      </w:pPr>
      <w:r w:rsidRPr="0064597D">
        <w:rPr>
          <w:sz w:val="18"/>
          <w:szCs w:val="18"/>
        </w:rPr>
        <w:t>“[E]l tribunal de primer grado argumentó y fundamentó adecuadamente la sentencia que se impugna, al concatenar el hecho de la acusación con las pruebas rendidas, para arriba a la conclusión de certeza jurídica que el recurrente es autor del delito de Plagio o Secuestro, atendiendo a los actos propios que este realizó en la ejecución del delito, quedando plenamente establecida la relación de causalidad”</w:t>
      </w:r>
      <w:r w:rsidRPr="0064597D">
        <w:rPr>
          <w:sz w:val="18"/>
          <w:szCs w:val="18"/>
          <w:vertAlign w:val="superscript"/>
        </w:rPr>
        <w:footnoteReference w:id="207"/>
      </w:r>
      <w:r w:rsidRPr="0064597D">
        <w:rPr>
          <w:sz w:val="18"/>
          <w:szCs w:val="18"/>
        </w:rPr>
        <w:t>.</w:t>
      </w:r>
    </w:p>
    <w:p w14:paraId="187B2ECE" w14:textId="77777777" w:rsidR="00EB2A20" w:rsidRPr="0064597D" w:rsidRDefault="00EB2A20" w:rsidP="00193149">
      <w:pPr>
        <w:tabs>
          <w:tab w:val="left" w:pos="567"/>
          <w:tab w:val="num" w:pos="12305"/>
        </w:tabs>
        <w:spacing w:line="240" w:lineRule="auto"/>
        <w:ind w:left="720" w:right="720"/>
        <w:rPr>
          <w:sz w:val="18"/>
          <w:szCs w:val="18"/>
        </w:rPr>
      </w:pPr>
    </w:p>
    <w:p w14:paraId="34B0A11F" w14:textId="5F818979" w:rsidR="00A32604" w:rsidRPr="0064597D" w:rsidRDefault="00A173EB" w:rsidP="0082142D">
      <w:pPr>
        <w:numPr>
          <w:ilvl w:val="0"/>
          <w:numId w:val="1"/>
        </w:numPr>
        <w:tabs>
          <w:tab w:val="left" w:pos="567"/>
        </w:tabs>
        <w:autoSpaceDE w:val="0"/>
        <w:autoSpaceDN w:val="0"/>
        <w:spacing w:line="240" w:lineRule="auto"/>
        <w:ind w:left="0" w:firstLine="0"/>
        <w:rPr>
          <w:rFonts w:eastAsia="Calibri"/>
          <w:b/>
          <w:kern w:val="2"/>
          <w:sz w:val="20"/>
          <w:szCs w:val="20"/>
          <w:lang w:eastAsia="en-US"/>
        </w:rPr>
      </w:pPr>
      <w:r w:rsidRPr="0064597D">
        <w:rPr>
          <w:sz w:val="20"/>
          <w:szCs w:val="20"/>
          <w:lang w:val="es-PE"/>
        </w:rPr>
        <w:t>El Tribunal observa</w:t>
      </w:r>
      <w:r w:rsidR="00193149" w:rsidRPr="0064597D">
        <w:rPr>
          <w:sz w:val="20"/>
          <w:szCs w:val="20"/>
          <w:lang w:val="es-PE"/>
        </w:rPr>
        <w:t xml:space="preserve"> que la respuesta brindada por la Corte de Apelaciones se limitó </w:t>
      </w:r>
      <w:r w:rsidR="001B4B25" w:rsidRPr="0064597D">
        <w:rPr>
          <w:sz w:val="20"/>
          <w:szCs w:val="20"/>
          <w:lang w:val="es-PE"/>
        </w:rPr>
        <w:t xml:space="preserve">a </w:t>
      </w:r>
      <w:r w:rsidR="003B1109" w:rsidRPr="0064597D">
        <w:rPr>
          <w:sz w:val="20"/>
          <w:szCs w:val="20"/>
          <w:lang w:val="es-PE"/>
        </w:rPr>
        <w:t>rechazar lo alegado por el recurrente</w:t>
      </w:r>
      <w:r w:rsidR="00193149" w:rsidRPr="0064597D">
        <w:rPr>
          <w:sz w:val="20"/>
          <w:szCs w:val="20"/>
          <w:lang w:val="es-PE"/>
        </w:rPr>
        <w:t xml:space="preserve"> sin proceder a realizar ningún tipo de revisión </w:t>
      </w:r>
      <w:r w:rsidRPr="0064597D">
        <w:rPr>
          <w:sz w:val="20"/>
          <w:szCs w:val="20"/>
          <w:lang w:val="es-PE"/>
        </w:rPr>
        <w:t>de cuestiones fácticas y/o probatorias</w:t>
      </w:r>
      <w:r w:rsidR="003B1109" w:rsidRPr="0064597D">
        <w:rPr>
          <w:sz w:val="20"/>
          <w:szCs w:val="20"/>
          <w:lang w:val="es-PE"/>
        </w:rPr>
        <w:t xml:space="preserve"> </w:t>
      </w:r>
      <w:r w:rsidR="00A320CC" w:rsidRPr="0064597D">
        <w:rPr>
          <w:sz w:val="20"/>
          <w:szCs w:val="20"/>
          <w:lang w:val="es-PE"/>
        </w:rPr>
        <w:t xml:space="preserve">ni de analizar </w:t>
      </w:r>
      <w:r w:rsidR="00247B97" w:rsidRPr="0064597D">
        <w:rPr>
          <w:sz w:val="20"/>
          <w:szCs w:val="20"/>
          <w:lang w:val="es-PE"/>
        </w:rPr>
        <w:t>los motivos específicos e individualizados argüidos por el señor Ruiz Fuentes en su recurso de apelación</w:t>
      </w:r>
      <w:r w:rsidRPr="0064597D">
        <w:rPr>
          <w:sz w:val="20"/>
          <w:szCs w:val="20"/>
          <w:lang w:val="es-PE"/>
        </w:rPr>
        <w:t>.</w:t>
      </w:r>
      <w:r w:rsidR="008E16E4" w:rsidRPr="0064597D">
        <w:rPr>
          <w:sz w:val="20"/>
          <w:szCs w:val="20"/>
          <w:lang w:val="es-PE"/>
        </w:rPr>
        <w:t xml:space="preserve"> En efecto, la Corte </w:t>
      </w:r>
      <w:r w:rsidR="00523392" w:rsidRPr="0064597D">
        <w:rPr>
          <w:sz w:val="20"/>
          <w:szCs w:val="20"/>
          <w:lang w:val="es-PE"/>
        </w:rPr>
        <w:t>de A</w:t>
      </w:r>
      <w:r w:rsidR="008E16E4" w:rsidRPr="0064597D">
        <w:rPr>
          <w:sz w:val="20"/>
          <w:szCs w:val="20"/>
          <w:lang w:val="es-PE"/>
        </w:rPr>
        <w:t xml:space="preserve">pelaciones, por un lado, esgrimió la </w:t>
      </w:r>
      <w:r w:rsidR="00A320CC" w:rsidRPr="0064597D">
        <w:rPr>
          <w:sz w:val="20"/>
          <w:szCs w:val="20"/>
          <w:lang w:val="es-PE"/>
        </w:rPr>
        <w:t>intangibilidad de la prueba consagrada en el artículo 430 del Código Procesal Penal</w:t>
      </w:r>
      <w:r w:rsidR="008E16E4" w:rsidRPr="0064597D">
        <w:rPr>
          <w:sz w:val="20"/>
          <w:szCs w:val="20"/>
          <w:lang w:val="es-PE"/>
        </w:rPr>
        <w:t xml:space="preserve"> para no entrar </w:t>
      </w:r>
      <w:r w:rsidR="00A320CC" w:rsidRPr="0064597D">
        <w:rPr>
          <w:sz w:val="20"/>
          <w:szCs w:val="20"/>
          <w:lang w:val="es-PE"/>
        </w:rPr>
        <w:t xml:space="preserve">a analizar ninguno los argumentos esgrimidos </w:t>
      </w:r>
      <w:r w:rsidR="008E16E4" w:rsidRPr="0064597D">
        <w:rPr>
          <w:sz w:val="20"/>
          <w:szCs w:val="20"/>
          <w:lang w:val="es-PE"/>
        </w:rPr>
        <w:t>por el señor Ruiz Fuentes con respecto a la discordancia entre la acusación y los hechos acreditados. Asimismo, y con respecto a las numerosas cuestiones que expuso el señor Ruiz Fuentes en su</w:t>
      </w:r>
      <w:r w:rsidR="00A320CC" w:rsidRPr="0064597D">
        <w:rPr>
          <w:sz w:val="20"/>
          <w:szCs w:val="20"/>
          <w:lang w:val="es-PE"/>
        </w:rPr>
        <w:t xml:space="preserve"> recurso</w:t>
      </w:r>
      <w:r w:rsidR="008E16E4" w:rsidRPr="0064597D">
        <w:rPr>
          <w:sz w:val="20"/>
          <w:szCs w:val="20"/>
          <w:lang w:val="es-PE"/>
        </w:rPr>
        <w:t xml:space="preserve"> de apelación en relación con la valoración de la prueba realizada por el juez </w:t>
      </w:r>
      <w:r w:rsidR="008E16E4" w:rsidRPr="0064597D">
        <w:rPr>
          <w:i/>
          <w:sz w:val="20"/>
          <w:szCs w:val="20"/>
          <w:lang w:val="es-PE"/>
        </w:rPr>
        <w:t>a quo</w:t>
      </w:r>
      <w:r w:rsidR="008E16E4" w:rsidRPr="0064597D">
        <w:rPr>
          <w:sz w:val="20"/>
          <w:szCs w:val="20"/>
          <w:lang w:val="es-PE"/>
        </w:rPr>
        <w:t xml:space="preserve">, la Corte de Apelaciones se limitó a dar respuesta abstracta, vaga y sin entrar </w:t>
      </w:r>
      <w:r w:rsidR="00A320CC" w:rsidRPr="0064597D">
        <w:rPr>
          <w:sz w:val="20"/>
          <w:szCs w:val="20"/>
          <w:lang w:val="es-PE"/>
        </w:rPr>
        <w:t>a analizar de manera específica ninguno</w:t>
      </w:r>
      <w:r w:rsidR="008E16E4" w:rsidRPr="0064597D">
        <w:rPr>
          <w:sz w:val="20"/>
          <w:szCs w:val="20"/>
          <w:lang w:val="es-PE"/>
        </w:rPr>
        <w:t xml:space="preserve"> de los motivos aducidos por el señor Ruiz Fuentes. </w:t>
      </w:r>
      <w:r w:rsidRPr="0064597D">
        <w:rPr>
          <w:sz w:val="20"/>
          <w:szCs w:val="20"/>
          <w:lang w:val="es-PE"/>
        </w:rPr>
        <w:t xml:space="preserve">En consecuencia, el Tribunal considera que la negativa por parte de la Sala </w:t>
      </w:r>
      <w:r w:rsidR="00C03867" w:rsidRPr="0064597D">
        <w:rPr>
          <w:sz w:val="20"/>
          <w:szCs w:val="20"/>
          <w:lang w:val="es-PE"/>
        </w:rPr>
        <w:t>Cuarta</w:t>
      </w:r>
      <w:r w:rsidRPr="0064597D">
        <w:rPr>
          <w:sz w:val="20"/>
          <w:szCs w:val="20"/>
          <w:lang w:val="es-PE"/>
        </w:rPr>
        <w:t xml:space="preserve"> de la Corte de Apelaciones de revisar </w:t>
      </w:r>
      <w:r w:rsidR="00A320CC" w:rsidRPr="0064597D">
        <w:rPr>
          <w:sz w:val="20"/>
          <w:szCs w:val="20"/>
          <w:lang w:val="es-PE"/>
        </w:rPr>
        <w:t>las</w:t>
      </w:r>
      <w:r w:rsidR="00247B97" w:rsidRPr="0064597D">
        <w:rPr>
          <w:sz w:val="20"/>
          <w:szCs w:val="20"/>
          <w:lang w:val="es-PE"/>
        </w:rPr>
        <w:t xml:space="preserve"> </w:t>
      </w:r>
      <w:r w:rsidR="00096BA0" w:rsidRPr="0064597D">
        <w:rPr>
          <w:sz w:val="20"/>
          <w:szCs w:val="20"/>
          <w:lang w:val="es-PE"/>
        </w:rPr>
        <w:t>cuestiones</w:t>
      </w:r>
      <w:r w:rsidR="00247B97" w:rsidRPr="0064597D">
        <w:rPr>
          <w:sz w:val="20"/>
          <w:szCs w:val="20"/>
          <w:lang w:val="es-PE"/>
        </w:rPr>
        <w:t xml:space="preserve"> planteada</w:t>
      </w:r>
      <w:r w:rsidR="00A320CC" w:rsidRPr="0064597D">
        <w:rPr>
          <w:sz w:val="20"/>
          <w:szCs w:val="20"/>
          <w:lang w:val="es-PE"/>
        </w:rPr>
        <w:t>s</w:t>
      </w:r>
      <w:r w:rsidR="00247B97" w:rsidRPr="0064597D">
        <w:rPr>
          <w:sz w:val="20"/>
          <w:szCs w:val="20"/>
          <w:lang w:val="es-PE"/>
        </w:rPr>
        <w:t xml:space="preserve"> por la </w:t>
      </w:r>
      <w:r w:rsidR="00A320CC" w:rsidRPr="0064597D">
        <w:rPr>
          <w:sz w:val="20"/>
          <w:szCs w:val="20"/>
          <w:lang w:val="es-PE"/>
        </w:rPr>
        <w:t xml:space="preserve">defensa del señor Ruiz Fuentes </w:t>
      </w:r>
      <w:r w:rsidRPr="0064597D">
        <w:rPr>
          <w:sz w:val="20"/>
          <w:szCs w:val="20"/>
          <w:lang w:val="es-PE"/>
        </w:rPr>
        <w:t>constituyó</w:t>
      </w:r>
      <w:r w:rsidR="00A320CC" w:rsidRPr="0064597D">
        <w:rPr>
          <w:sz w:val="20"/>
          <w:szCs w:val="20"/>
          <w:lang w:val="es-PE"/>
        </w:rPr>
        <w:t xml:space="preserve"> en el presente caso</w:t>
      </w:r>
      <w:r w:rsidRPr="0064597D">
        <w:rPr>
          <w:sz w:val="20"/>
          <w:szCs w:val="20"/>
          <w:lang w:val="es-PE"/>
        </w:rPr>
        <w:t xml:space="preserve"> un hecho ilícito internacional en tanto resultó en un incumplimiento del deber de revisión integral del fallo establecido en el artículo 8.2.h)</w:t>
      </w:r>
      <w:r w:rsidR="00C03867" w:rsidRPr="0064597D">
        <w:rPr>
          <w:sz w:val="20"/>
          <w:szCs w:val="20"/>
          <w:lang w:val="es-PE"/>
        </w:rPr>
        <w:t xml:space="preserve">. </w:t>
      </w:r>
    </w:p>
    <w:p w14:paraId="6E0220EB" w14:textId="77777777" w:rsidR="00A32604" w:rsidRPr="0064597D" w:rsidRDefault="00A32604" w:rsidP="00A32604">
      <w:pPr>
        <w:tabs>
          <w:tab w:val="left" w:pos="567"/>
        </w:tabs>
        <w:autoSpaceDE w:val="0"/>
        <w:autoSpaceDN w:val="0"/>
        <w:spacing w:line="240" w:lineRule="auto"/>
        <w:rPr>
          <w:rFonts w:eastAsia="Calibri"/>
          <w:b/>
          <w:kern w:val="2"/>
          <w:sz w:val="20"/>
          <w:szCs w:val="20"/>
          <w:highlight w:val="yellow"/>
          <w:lang w:eastAsia="en-US"/>
        </w:rPr>
      </w:pPr>
    </w:p>
    <w:p w14:paraId="3B3F06D7" w14:textId="77777777" w:rsidR="007A54CA" w:rsidRPr="0064597D" w:rsidRDefault="00C03867" w:rsidP="007A54CA">
      <w:pPr>
        <w:numPr>
          <w:ilvl w:val="0"/>
          <w:numId w:val="1"/>
        </w:numPr>
        <w:tabs>
          <w:tab w:val="left" w:pos="567"/>
        </w:tabs>
        <w:autoSpaceDE w:val="0"/>
        <w:autoSpaceDN w:val="0"/>
        <w:spacing w:line="240" w:lineRule="auto"/>
        <w:ind w:left="0" w:firstLine="0"/>
        <w:rPr>
          <w:rFonts w:eastAsia="Verdana" w:cs="Verdana"/>
          <w:sz w:val="20"/>
          <w:szCs w:val="20"/>
        </w:rPr>
      </w:pPr>
      <w:r w:rsidRPr="0064597D">
        <w:rPr>
          <w:sz w:val="20"/>
          <w:szCs w:val="20"/>
        </w:rPr>
        <w:t>Por otro lado, e</w:t>
      </w:r>
      <w:r w:rsidR="000761D6" w:rsidRPr="0064597D">
        <w:rPr>
          <w:sz w:val="20"/>
          <w:szCs w:val="20"/>
        </w:rPr>
        <w:t xml:space="preserve">n razón de que el artículo </w:t>
      </w:r>
      <w:r w:rsidR="00A83408" w:rsidRPr="0064597D">
        <w:rPr>
          <w:sz w:val="20"/>
          <w:szCs w:val="20"/>
        </w:rPr>
        <w:t>8.2.h</w:t>
      </w:r>
      <w:r w:rsidR="00BD4C7C" w:rsidRPr="0064597D">
        <w:rPr>
          <w:sz w:val="20"/>
          <w:szCs w:val="20"/>
        </w:rPr>
        <w:t>)</w:t>
      </w:r>
      <w:r w:rsidR="00A83408" w:rsidRPr="0064597D">
        <w:rPr>
          <w:sz w:val="20"/>
          <w:szCs w:val="20"/>
        </w:rPr>
        <w:t xml:space="preserve"> </w:t>
      </w:r>
      <w:r w:rsidR="000761D6" w:rsidRPr="0064597D">
        <w:rPr>
          <w:sz w:val="20"/>
          <w:szCs w:val="20"/>
        </w:rPr>
        <w:t>de la Convención tiene un contenido jurídico propio y el principio de efectividad (</w:t>
      </w:r>
      <w:r w:rsidR="000761D6" w:rsidRPr="0064597D">
        <w:rPr>
          <w:i/>
          <w:sz w:val="20"/>
          <w:szCs w:val="20"/>
        </w:rPr>
        <w:t>effet utile</w:t>
      </w:r>
      <w:r w:rsidR="000761D6" w:rsidRPr="0064597D">
        <w:rPr>
          <w:sz w:val="20"/>
          <w:szCs w:val="20"/>
        </w:rPr>
        <w:t xml:space="preserve">) es transversal a la protección debida de todos los derechos reconocidos en ese </w:t>
      </w:r>
      <w:r w:rsidR="000761D6" w:rsidRPr="0064597D">
        <w:rPr>
          <w:rFonts w:eastAsia="MS Mincho"/>
          <w:sz w:val="20"/>
          <w:szCs w:val="20"/>
          <w:lang w:eastAsia="en-US"/>
        </w:rPr>
        <w:t>instrumento</w:t>
      </w:r>
      <w:r w:rsidR="000761D6" w:rsidRPr="0064597D">
        <w:rPr>
          <w:sz w:val="20"/>
          <w:szCs w:val="20"/>
        </w:rPr>
        <w:t>, el Tribunal considera</w:t>
      </w:r>
      <w:r w:rsidR="00DB0443" w:rsidRPr="0064597D">
        <w:rPr>
          <w:sz w:val="20"/>
          <w:szCs w:val="20"/>
        </w:rPr>
        <w:t xml:space="preserve"> </w:t>
      </w:r>
      <w:r w:rsidR="000761D6" w:rsidRPr="0064597D">
        <w:rPr>
          <w:sz w:val="20"/>
          <w:szCs w:val="20"/>
        </w:rPr>
        <w:t>innecesario</w:t>
      </w:r>
      <w:r w:rsidR="00DB0443" w:rsidRPr="0064597D">
        <w:rPr>
          <w:sz w:val="20"/>
          <w:szCs w:val="20"/>
        </w:rPr>
        <w:t xml:space="preserve"> </w:t>
      </w:r>
      <w:r w:rsidR="000761D6" w:rsidRPr="0064597D">
        <w:rPr>
          <w:sz w:val="20"/>
          <w:szCs w:val="20"/>
        </w:rPr>
        <w:t>analizar</w:t>
      </w:r>
      <w:r w:rsidR="00DB0443" w:rsidRPr="0064597D">
        <w:rPr>
          <w:sz w:val="20"/>
          <w:szCs w:val="20"/>
        </w:rPr>
        <w:t xml:space="preserve"> </w:t>
      </w:r>
      <w:r w:rsidR="000761D6" w:rsidRPr="0064597D">
        <w:rPr>
          <w:sz w:val="20"/>
          <w:szCs w:val="20"/>
        </w:rPr>
        <w:t>aquella</w:t>
      </w:r>
      <w:r w:rsidR="00DB0443" w:rsidRPr="0064597D">
        <w:rPr>
          <w:sz w:val="20"/>
          <w:szCs w:val="20"/>
        </w:rPr>
        <w:t xml:space="preserve"> </w:t>
      </w:r>
      <w:r w:rsidR="000761D6" w:rsidRPr="0064597D">
        <w:rPr>
          <w:sz w:val="20"/>
          <w:szCs w:val="20"/>
        </w:rPr>
        <w:t>disposición</w:t>
      </w:r>
      <w:r w:rsidR="00DB0443" w:rsidRPr="0064597D">
        <w:rPr>
          <w:sz w:val="20"/>
          <w:szCs w:val="20"/>
        </w:rPr>
        <w:t xml:space="preserve"> </w:t>
      </w:r>
      <w:r w:rsidR="000761D6" w:rsidRPr="0064597D">
        <w:rPr>
          <w:sz w:val="20"/>
          <w:szCs w:val="20"/>
        </w:rPr>
        <w:t>en</w:t>
      </w:r>
      <w:r w:rsidR="00DB0443" w:rsidRPr="0064597D">
        <w:rPr>
          <w:sz w:val="20"/>
          <w:szCs w:val="20"/>
        </w:rPr>
        <w:t xml:space="preserve"> </w:t>
      </w:r>
      <w:r w:rsidR="000761D6" w:rsidRPr="0064597D">
        <w:rPr>
          <w:sz w:val="20"/>
          <w:szCs w:val="20"/>
        </w:rPr>
        <w:t>relación</w:t>
      </w:r>
      <w:r w:rsidR="00DB0443" w:rsidRPr="0064597D">
        <w:rPr>
          <w:sz w:val="20"/>
          <w:szCs w:val="20"/>
        </w:rPr>
        <w:t xml:space="preserve"> </w:t>
      </w:r>
      <w:r w:rsidR="000761D6" w:rsidRPr="0064597D">
        <w:rPr>
          <w:sz w:val="20"/>
          <w:szCs w:val="20"/>
        </w:rPr>
        <w:t>con</w:t>
      </w:r>
      <w:r w:rsidR="00DB0443" w:rsidRPr="0064597D">
        <w:rPr>
          <w:sz w:val="20"/>
          <w:szCs w:val="20"/>
        </w:rPr>
        <w:t xml:space="preserve"> </w:t>
      </w:r>
      <w:r w:rsidR="000761D6" w:rsidRPr="0064597D">
        <w:rPr>
          <w:sz w:val="20"/>
          <w:szCs w:val="20"/>
        </w:rPr>
        <w:t>el</w:t>
      </w:r>
      <w:r w:rsidR="00DB0443" w:rsidRPr="0064597D">
        <w:rPr>
          <w:sz w:val="20"/>
          <w:szCs w:val="20"/>
        </w:rPr>
        <w:t xml:space="preserve"> </w:t>
      </w:r>
      <w:r w:rsidR="000761D6" w:rsidRPr="0064597D">
        <w:rPr>
          <w:sz w:val="20"/>
          <w:szCs w:val="20"/>
        </w:rPr>
        <w:t>artículo</w:t>
      </w:r>
      <w:r w:rsidR="00DB0443" w:rsidRPr="0064597D">
        <w:rPr>
          <w:sz w:val="20"/>
          <w:szCs w:val="20"/>
        </w:rPr>
        <w:t xml:space="preserve"> </w:t>
      </w:r>
      <w:r w:rsidR="000761D6" w:rsidRPr="0064597D">
        <w:rPr>
          <w:sz w:val="20"/>
          <w:szCs w:val="20"/>
        </w:rPr>
        <w:t>25</w:t>
      </w:r>
      <w:r w:rsidR="00DB0443" w:rsidRPr="0064597D">
        <w:rPr>
          <w:sz w:val="20"/>
          <w:szCs w:val="20"/>
        </w:rPr>
        <w:t xml:space="preserve"> </w:t>
      </w:r>
      <w:r w:rsidR="000761D6" w:rsidRPr="0064597D">
        <w:rPr>
          <w:sz w:val="20"/>
          <w:szCs w:val="20"/>
        </w:rPr>
        <w:t>de</w:t>
      </w:r>
      <w:r w:rsidR="00DB0443" w:rsidRPr="0064597D">
        <w:rPr>
          <w:sz w:val="20"/>
          <w:szCs w:val="20"/>
        </w:rPr>
        <w:t xml:space="preserve"> </w:t>
      </w:r>
      <w:r w:rsidR="000761D6" w:rsidRPr="0064597D">
        <w:rPr>
          <w:sz w:val="20"/>
          <w:szCs w:val="20"/>
        </w:rPr>
        <w:t>la Convención</w:t>
      </w:r>
      <w:r w:rsidR="000761D6" w:rsidRPr="0064597D">
        <w:rPr>
          <w:rStyle w:val="Refdenotaalpie"/>
          <w:sz w:val="20"/>
          <w:szCs w:val="20"/>
        </w:rPr>
        <w:footnoteReference w:id="208"/>
      </w:r>
      <w:r w:rsidR="00037672" w:rsidRPr="0064597D">
        <w:rPr>
          <w:sz w:val="20"/>
          <w:szCs w:val="20"/>
        </w:rPr>
        <w:t>.</w:t>
      </w:r>
      <w:r w:rsidR="00ED65D0" w:rsidRPr="0064597D">
        <w:rPr>
          <w:sz w:val="20"/>
          <w:szCs w:val="20"/>
        </w:rPr>
        <w:t xml:space="preserve"> Asimismo, en relación con el alegato de la Comisión respecto a que ningún de los restantes recursos interpuestos por el señor Ruiz Fuentes fueron efectivos, la Corte advierte </w:t>
      </w:r>
      <w:r w:rsidR="008265DC" w:rsidRPr="0064597D">
        <w:rPr>
          <w:rFonts w:cs="Times"/>
          <w:sz w:val="20"/>
          <w:szCs w:val="20"/>
          <w:shd w:val="clear" w:color="auto" w:fill="FFFFFF"/>
        </w:rPr>
        <w:t xml:space="preserve">que la Comisión no esgrimió ningún argumento en particular ni desplegó actividad probatoria alguna. Por ende, no hay elementos que puedan configurar la alegada violación. </w:t>
      </w:r>
    </w:p>
    <w:p w14:paraId="0B0CDDA5" w14:textId="77777777" w:rsidR="007A54CA" w:rsidRPr="0064597D" w:rsidRDefault="007A54CA" w:rsidP="007A54CA">
      <w:pPr>
        <w:tabs>
          <w:tab w:val="left" w:pos="567"/>
        </w:tabs>
        <w:autoSpaceDE w:val="0"/>
        <w:autoSpaceDN w:val="0"/>
        <w:spacing w:line="240" w:lineRule="auto"/>
        <w:rPr>
          <w:rFonts w:eastAsia="Verdana" w:cs="Verdana"/>
          <w:sz w:val="20"/>
          <w:szCs w:val="20"/>
        </w:rPr>
      </w:pPr>
    </w:p>
    <w:p w14:paraId="7F7479A2" w14:textId="7BF64A0E" w:rsidR="00C514AF" w:rsidRPr="0064597D" w:rsidRDefault="008265DC" w:rsidP="007A54CA">
      <w:pPr>
        <w:numPr>
          <w:ilvl w:val="0"/>
          <w:numId w:val="1"/>
        </w:numPr>
        <w:tabs>
          <w:tab w:val="left" w:pos="567"/>
        </w:tabs>
        <w:autoSpaceDE w:val="0"/>
        <w:autoSpaceDN w:val="0"/>
        <w:spacing w:line="240" w:lineRule="auto"/>
        <w:ind w:left="0" w:firstLine="0"/>
        <w:rPr>
          <w:rFonts w:eastAsia="Verdana" w:cs="Verdana"/>
          <w:sz w:val="20"/>
          <w:szCs w:val="20"/>
        </w:rPr>
      </w:pPr>
      <w:r w:rsidRPr="0064597D">
        <w:rPr>
          <w:sz w:val="20"/>
          <w:szCs w:val="20"/>
        </w:rPr>
        <w:t xml:space="preserve">En </w:t>
      </w:r>
      <w:r w:rsidRPr="0064597D">
        <w:rPr>
          <w:sz w:val="20"/>
          <w:szCs w:val="20"/>
          <w:lang w:val="es-PE"/>
        </w:rPr>
        <w:t>vista</w:t>
      </w:r>
      <w:r w:rsidRPr="0064597D">
        <w:rPr>
          <w:sz w:val="20"/>
          <w:szCs w:val="20"/>
        </w:rPr>
        <w:t xml:space="preserve"> de las consideraciones anteriores</w:t>
      </w:r>
      <w:r w:rsidR="00C514AF" w:rsidRPr="0064597D">
        <w:rPr>
          <w:sz w:val="20"/>
          <w:szCs w:val="20"/>
        </w:rPr>
        <w:t xml:space="preserve">, la Corte concluye que el Estado violó el derecho a recurrir del fallo, contemplado en el artículo 8.2 h) de la Convención Americana, en relación </w:t>
      </w:r>
      <w:r w:rsidR="00C514AF" w:rsidRPr="0064597D">
        <w:rPr>
          <w:rFonts w:eastAsia="MS Mincho"/>
          <w:sz w:val="20"/>
          <w:szCs w:val="20"/>
          <w:lang w:eastAsia="en-US"/>
        </w:rPr>
        <w:t>con</w:t>
      </w:r>
      <w:r w:rsidR="00C514AF" w:rsidRPr="0064597D">
        <w:rPr>
          <w:sz w:val="20"/>
          <w:szCs w:val="20"/>
        </w:rPr>
        <w:t xml:space="preserve"> </w:t>
      </w:r>
      <w:r w:rsidR="006B597B" w:rsidRPr="0064597D">
        <w:rPr>
          <w:sz w:val="20"/>
          <w:szCs w:val="20"/>
        </w:rPr>
        <w:t>el artículo</w:t>
      </w:r>
      <w:r w:rsidR="00C514AF" w:rsidRPr="0064597D">
        <w:rPr>
          <w:sz w:val="20"/>
          <w:szCs w:val="20"/>
        </w:rPr>
        <w:t xml:space="preserve"> 1.1 del mi</w:t>
      </w:r>
      <w:r w:rsidR="00C03867" w:rsidRPr="0064597D">
        <w:rPr>
          <w:sz w:val="20"/>
          <w:szCs w:val="20"/>
        </w:rPr>
        <w:t>smo instrumento en perjuicio del señor Hugo Humberto Ruiz Fuentes</w:t>
      </w:r>
      <w:r w:rsidR="00C514AF" w:rsidRPr="0064597D">
        <w:rPr>
          <w:sz w:val="20"/>
          <w:szCs w:val="20"/>
        </w:rPr>
        <w:t>.</w:t>
      </w:r>
    </w:p>
    <w:p w14:paraId="24A209BE" w14:textId="0A5987E7" w:rsidR="009832CB" w:rsidRPr="0064597D" w:rsidRDefault="00544B95" w:rsidP="00377181">
      <w:pPr>
        <w:pStyle w:val="Ttulo3"/>
        <w:rPr>
          <w:lang w:eastAsia="en-US"/>
        </w:rPr>
      </w:pPr>
      <w:bookmarkStart w:id="81" w:name="_Toc24014568"/>
      <w:r w:rsidRPr="0064597D">
        <w:t xml:space="preserve">b.3 </w:t>
      </w:r>
      <w:r w:rsidRPr="0064597D">
        <w:tab/>
      </w:r>
      <w:r w:rsidR="009832CB" w:rsidRPr="0064597D">
        <w:rPr>
          <w:lang w:eastAsia="en-US"/>
        </w:rPr>
        <w:t>Investigación de las torturas sufridas por el señor Ruiz Fuentes</w:t>
      </w:r>
      <w:bookmarkEnd w:id="81"/>
    </w:p>
    <w:p w14:paraId="775C75D8" w14:textId="47D9BB48" w:rsidR="009832CB" w:rsidRPr="0064597D" w:rsidRDefault="009C268F" w:rsidP="00977E3C">
      <w:pPr>
        <w:numPr>
          <w:ilvl w:val="0"/>
          <w:numId w:val="1"/>
        </w:numPr>
        <w:tabs>
          <w:tab w:val="left" w:pos="567"/>
        </w:tabs>
        <w:autoSpaceDE w:val="0"/>
        <w:autoSpaceDN w:val="0"/>
        <w:spacing w:line="240" w:lineRule="auto"/>
        <w:ind w:left="0" w:firstLine="0"/>
        <w:rPr>
          <w:rFonts w:eastAsia="MS Mincho"/>
          <w:sz w:val="20"/>
          <w:szCs w:val="20"/>
          <w:lang w:eastAsia="en-US"/>
        </w:rPr>
      </w:pPr>
      <w:r w:rsidRPr="0064597D">
        <w:rPr>
          <w:rFonts w:eastAsia="MS Mincho"/>
          <w:sz w:val="20"/>
          <w:szCs w:val="20"/>
          <w:lang w:eastAsia="en-US"/>
        </w:rPr>
        <w:t>En el presente caso</w:t>
      </w:r>
      <w:r w:rsidR="009B3DAF" w:rsidRPr="0064597D">
        <w:rPr>
          <w:rFonts w:eastAsia="MS Mincho"/>
          <w:sz w:val="20"/>
          <w:szCs w:val="20"/>
          <w:lang w:eastAsia="en-US"/>
        </w:rPr>
        <w:t xml:space="preserve">, la Comisión y las representantes alegaron que el Estado </w:t>
      </w:r>
      <w:r w:rsidR="009B3DAF" w:rsidRPr="0064597D">
        <w:rPr>
          <w:sz w:val="20"/>
          <w:szCs w:val="20"/>
        </w:rPr>
        <w:t>no ha iniciado investigación alguna sobre las torturas sufridas por el señor Ruiz al momento de su detención</w:t>
      </w:r>
      <w:r w:rsidR="00FE2F23" w:rsidRPr="0064597D">
        <w:rPr>
          <w:sz w:val="20"/>
          <w:szCs w:val="20"/>
        </w:rPr>
        <w:t xml:space="preserve"> el </w:t>
      </w:r>
      <w:r w:rsidR="00FE2F23" w:rsidRPr="0064597D">
        <w:rPr>
          <w:kern w:val="2"/>
          <w:sz w:val="20"/>
          <w:szCs w:val="20"/>
          <w:lang w:eastAsia="en-US"/>
        </w:rPr>
        <w:t>6 de agosto del 1997</w:t>
      </w:r>
      <w:r w:rsidR="00FE2F23" w:rsidRPr="0064597D">
        <w:rPr>
          <w:sz w:val="20"/>
          <w:szCs w:val="20"/>
        </w:rPr>
        <w:t>, en violación de los artículos</w:t>
      </w:r>
      <w:r w:rsidR="009B3DAF" w:rsidRPr="0064597D">
        <w:rPr>
          <w:sz w:val="20"/>
          <w:szCs w:val="20"/>
        </w:rPr>
        <w:t xml:space="preserve"> 8.1 y 25.1 de la Convención Americana en relación </w:t>
      </w:r>
      <w:r w:rsidR="009B3DAF" w:rsidRPr="0064597D">
        <w:rPr>
          <w:sz w:val="20"/>
          <w:szCs w:val="20"/>
        </w:rPr>
        <w:lastRenderedPageBreak/>
        <w:t>con las obligaciones establecidas en el artículo 1.1 del mismo instrumento, así como las obligaciones establecidas en los artículos 1, 6 y 8 de la CIPST</w:t>
      </w:r>
      <w:r w:rsidR="00FE2F23" w:rsidRPr="0064597D">
        <w:rPr>
          <w:sz w:val="20"/>
          <w:szCs w:val="20"/>
        </w:rPr>
        <w:t>.</w:t>
      </w:r>
    </w:p>
    <w:p w14:paraId="1104F22D" w14:textId="77777777" w:rsidR="009540AE" w:rsidRPr="0064597D" w:rsidRDefault="009540AE" w:rsidP="009540AE">
      <w:pPr>
        <w:tabs>
          <w:tab w:val="left" w:pos="567"/>
        </w:tabs>
        <w:autoSpaceDE w:val="0"/>
        <w:autoSpaceDN w:val="0"/>
        <w:spacing w:line="240" w:lineRule="auto"/>
        <w:rPr>
          <w:rFonts w:eastAsia="MS Mincho"/>
          <w:sz w:val="20"/>
          <w:szCs w:val="20"/>
          <w:lang w:eastAsia="en-US"/>
        </w:rPr>
      </w:pPr>
    </w:p>
    <w:p w14:paraId="22B1AFBD" w14:textId="21A0C9F5" w:rsidR="009540AE" w:rsidRPr="0064597D" w:rsidRDefault="009540AE" w:rsidP="009540AE">
      <w:pPr>
        <w:numPr>
          <w:ilvl w:val="0"/>
          <w:numId w:val="1"/>
        </w:numPr>
        <w:tabs>
          <w:tab w:val="left" w:pos="567"/>
        </w:tabs>
        <w:autoSpaceDE w:val="0"/>
        <w:autoSpaceDN w:val="0"/>
        <w:spacing w:line="240" w:lineRule="auto"/>
        <w:ind w:left="0" w:firstLine="0"/>
        <w:rPr>
          <w:rFonts w:eastAsia="MS Mincho"/>
          <w:sz w:val="20"/>
          <w:szCs w:val="20"/>
          <w:lang w:eastAsia="en-US"/>
        </w:rPr>
      </w:pPr>
      <w:r w:rsidRPr="0064597D">
        <w:rPr>
          <w:rFonts w:cs="Arial"/>
          <w:sz w:val="20"/>
          <w:szCs w:val="20"/>
        </w:rPr>
        <w:t>La Corte recuerda que, a la luz de la obligación general de los Estados partes de respetar y garantizar los derechos a toda persona sujeta a su jurisdicción, contenida en el artículo 1.1 de la Convención Americana, el Estado tiene el deber de iniciar de oficio e inmediatamente una investigación efectiva que permita identificar, juzgar y sancionar a los responsables, cuando existe denuncia o razón fundada para creer que se ha cometido un acto de tortura en violación del artículo 5 de la Convención Americana</w:t>
      </w:r>
      <w:r w:rsidRPr="0064597D">
        <w:rPr>
          <w:rStyle w:val="Refdenotaalpie"/>
          <w:rFonts w:cs="Arial"/>
          <w:sz w:val="20"/>
          <w:szCs w:val="20"/>
        </w:rPr>
        <w:footnoteReference w:id="209"/>
      </w:r>
      <w:r w:rsidRPr="0064597D">
        <w:rPr>
          <w:rFonts w:cs="Arial"/>
          <w:sz w:val="20"/>
          <w:szCs w:val="20"/>
        </w:rPr>
        <w:t xml:space="preserve">. </w:t>
      </w:r>
      <w:r w:rsidR="002834B1" w:rsidRPr="0064597D">
        <w:rPr>
          <w:rFonts w:cs="Arial"/>
          <w:sz w:val="20"/>
          <w:szCs w:val="20"/>
        </w:rPr>
        <w:t>En el presente caso</w:t>
      </w:r>
      <w:r w:rsidRPr="0064597D">
        <w:rPr>
          <w:rFonts w:cs="Arial"/>
          <w:sz w:val="20"/>
          <w:szCs w:val="20"/>
        </w:rPr>
        <w:t xml:space="preserve">, la Corte considera que el Estado de Guatemala no actuó con arreglo a esas previsiones. </w:t>
      </w:r>
    </w:p>
    <w:p w14:paraId="098B9589" w14:textId="77777777" w:rsidR="00FE2F23" w:rsidRPr="0064597D" w:rsidRDefault="00FE2F23" w:rsidP="00FE2F23">
      <w:pPr>
        <w:tabs>
          <w:tab w:val="left" w:pos="567"/>
        </w:tabs>
        <w:autoSpaceDE w:val="0"/>
        <w:autoSpaceDN w:val="0"/>
        <w:spacing w:line="240" w:lineRule="auto"/>
        <w:rPr>
          <w:rFonts w:eastAsia="MS Mincho"/>
          <w:sz w:val="20"/>
          <w:szCs w:val="20"/>
          <w:lang w:eastAsia="en-US"/>
        </w:rPr>
      </w:pPr>
    </w:p>
    <w:p w14:paraId="1661887E" w14:textId="539696A0" w:rsidR="00F72752" w:rsidRPr="0064597D" w:rsidRDefault="009540AE" w:rsidP="00671499">
      <w:pPr>
        <w:numPr>
          <w:ilvl w:val="0"/>
          <w:numId w:val="1"/>
        </w:numPr>
        <w:tabs>
          <w:tab w:val="left" w:pos="567"/>
        </w:tabs>
        <w:autoSpaceDE w:val="0"/>
        <w:autoSpaceDN w:val="0"/>
        <w:spacing w:line="240" w:lineRule="auto"/>
        <w:ind w:left="0" w:firstLine="0"/>
        <w:rPr>
          <w:rFonts w:eastAsia="MS Mincho"/>
          <w:sz w:val="20"/>
          <w:szCs w:val="20"/>
          <w:lang w:eastAsia="en-US"/>
        </w:rPr>
      </w:pPr>
      <w:r w:rsidRPr="0064597D">
        <w:rPr>
          <w:sz w:val="20"/>
          <w:szCs w:val="20"/>
          <w:lang w:eastAsia="en-US"/>
        </w:rPr>
        <w:t>Efectivamente, l</w:t>
      </w:r>
      <w:r w:rsidR="000B3E8C" w:rsidRPr="0064597D">
        <w:rPr>
          <w:sz w:val="20"/>
          <w:szCs w:val="20"/>
          <w:lang w:eastAsia="en-US"/>
        </w:rPr>
        <w:t>a Corte observa que, a pesar de la gravedad de las lesiones que presentaba el señor Ruiz Fuentes cuando ingresó al Hospital Roosevelt tras haber sido detenido, el Estado no inició ningún tipo de investigación de oficio para determinar el origen de las mismas. Tampoco se inició ningún tipo de investigación</w:t>
      </w:r>
      <w:r w:rsidR="006F6792" w:rsidRPr="0064597D">
        <w:rPr>
          <w:sz w:val="20"/>
          <w:szCs w:val="20"/>
          <w:lang w:eastAsia="en-US"/>
        </w:rPr>
        <w:t>,</w:t>
      </w:r>
      <w:r w:rsidR="000B3E8C" w:rsidRPr="0064597D">
        <w:rPr>
          <w:sz w:val="20"/>
          <w:szCs w:val="20"/>
          <w:lang w:eastAsia="en-US"/>
        </w:rPr>
        <w:t xml:space="preserve"> cuando el señor Ruiz </w:t>
      </w:r>
      <w:r w:rsidR="00F72752" w:rsidRPr="0064597D">
        <w:rPr>
          <w:sz w:val="20"/>
          <w:szCs w:val="20"/>
          <w:lang w:eastAsia="en-US"/>
        </w:rPr>
        <w:t>Fuentes</w:t>
      </w:r>
      <w:r w:rsidR="000B3E8C" w:rsidRPr="0064597D">
        <w:rPr>
          <w:sz w:val="20"/>
          <w:szCs w:val="20"/>
          <w:lang w:eastAsia="en-US"/>
        </w:rPr>
        <w:t xml:space="preserve"> denunció</w:t>
      </w:r>
      <w:r w:rsidR="006F6792" w:rsidRPr="0064597D">
        <w:rPr>
          <w:sz w:val="20"/>
          <w:szCs w:val="20"/>
          <w:lang w:eastAsia="en-US"/>
        </w:rPr>
        <w:t xml:space="preserve"> el </w:t>
      </w:r>
      <w:r w:rsidR="00EB1301" w:rsidRPr="0064597D">
        <w:rPr>
          <w:sz w:val="20"/>
          <w:szCs w:val="20"/>
          <w:lang w:eastAsia="en-US"/>
        </w:rPr>
        <w:t>29</w:t>
      </w:r>
      <w:r w:rsidR="006F6792" w:rsidRPr="0064597D">
        <w:rPr>
          <w:sz w:val="20"/>
          <w:szCs w:val="20"/>
          <w:lang w:eastAsia="en-US"/>
        </w:rPr>
        <w:t xml:space="preserve"> de </w:t>
      </w:r>
      <w:r w:rsidR="00EB1301" w:rsidRPr="0064597D">
        <w:rPr>
          <w:sz w:val="20"/>
          <w:szCs w:val="20"/>
          <w:lang w:eastAsia="en-US"/>
        </w:rPr>
        <w:t>abril</w:t>
      </w:r>
      <w:r w:rsidR="006F6792" w:rsidRPr="0064597D">
        <w:rPr>
          <w:sz w:val="20"/>
          <w:szCs w:val="20"/>
          <w:lang w:eastAsia="en-US"/>
        </w:rPr>
        <w:t xml:space="preserve"> de 1998 </w:t>
      </w:r>
      <w:r w:rsidR="000B3E8C" w:rsidRPr="0064597D">
        <w:rPr>
          <w:sz w:val="20"/>
          <w:szCs w:val="20"/>
          <w:lang w:eastAsia="en-US"/>
        </w:rPr>
        <w:t xml:space="preserve">los hechos </w:t>
      </w:r>
      <w:r w:rsidR="000B3E8C" w:rsidRPr="0064597D">
        <w:rPr>
          <w:sz w:val="20"/>
          <w:szCs w:val="20"/>
        </w:rPr>
        <w:t>ante la Jueza Octava de Primera Instancia Penal, donde detalló de manera minuciosa los malos tratos a los que alegaba haber sido sometido</w:t>
      </w:r>
      <w:r w:rsidR="000B3E8C" w:rsidRPr="0064597D">
        <w:rPr>
          <w:rStyle w:val="Refdenotaalpie"/>
          <w:sz w:val="20"/>
          <w:szCs w:val="20"/>
        </w:rPr>
        <w:footnoteReference w:id="210"/>
      </w:r>
      <w:r w:rsidR="000B3E8C" w:rsidRPr="0064597D">
        <w:rPr>
          <w:sz w:val="20"/>
          <w:szCs w:val="20"/>
        </w:rPr>
        <w:t xml:space="preserve">. </w:t>
      </w:r>
      <w:r w:rsidR="00F72752" w:rsidRPr="0064597D">
        <w:rPr>
          <w:rFonts w:cs="Arial"/>
          <w:sz w:val="20"/>
          <w:szCs w:val="20"/>
        </w:rPr>
        <w:t>La Corte observa, además, que en el marco de dicha declaración, el abogado defensor solicitó expresamente a la Jueza que se llevase a cabo una investigación de los hechos denunciados, por ser constitutivos de tortura</w:t>
      </w:r>
      <w:r w:rsidR="00F72752" w:rsidRPr="0064597D">
        <w:rPr>
          <w:rStyle w:val="Refdenotaalpie"/>
          <w:rFonts w:cs="Arial"/>
          <w:sz w:val="20"/>
          <w:szCs w:val="20"/>
        </w:rPr>
        <w:footnoteReference w:id="211"/>
      </w:r>
      <w:r w:rsidR="00F72752" w:rsidRPr="0064597D">
        <w:rPr>
          <w:rFonts w:cs="Arial"/>
          <w:sz w:val="20"/>
          <w:szCs w:val="20"/>
        </w:rPr>
        <w:t xml:space="preserve">. </w:t>
      </w:r>
    </w:p>
    <w:p w14:paraId="3366DDE1" w14:textId="77777777" w:rsidR="00F72752" w:rsidRPr="0064597D" w:rsidRDefault="00F72752" w:rsidP="00F72752">
      <w:pPr>
        <w:tabs>
          <w:tab w:val="left" w:pos="567"/>
        </w:tabs>
        <w:autoSpaceDE w:val="0"/>
        <w:autoSpaceDN w:val="0"/>
        <w:spacing w:line="240" w:lineRule="auto"/>
        <w:rPr>
          <w:rFonts w:eastAsia="MS Mincho"/>
          <w:sz w:val="20"/>
          <w:szCs w:val="20"/>
          <w:lang w:eastAsia="en-US"/>
        </w:rPr>
      </w:pPr>
    </w:p>
    <w:p w14:paraId="68F6C32D" w14:textId="7B56D2BD" w:rsidR="009540AE" w:rsidRPr="0064597D" w:rsidRDefault="00123029" w:rsidP="00977E3C">
      <w:pPr>
        <w:numPr>
          <w:ilvl w:val="0"/>
          <w:numId w:val="1"/>
        </w:numPr>
        <w:tabs>
          <w:tab w:val="left" w:pos="567"/>
        </w:tabs>
        <w:autoSpaceDE w:val="0"/>
        <w:autoSpaceDN w:val="0"/>
        <w:spacing w:line="240" w:lineRule="auto"/>
        <w:ind w:left="0" w:firstLine="0"/>
        <w:rPr>
          <w:rFonts w:eastAsia="MS Mincho"/>
          <w:sz w:val="20"/>
          <w:szCs w:val="20"/>
          <w:lang w:eastAsia="en-US"/>
        </w:rPr>
      </w:pPr>
      <w:r w:rsidRPr="0064597D">
        <w:rPr>
          <w:sz w:val="20"/>
          <w:szCs w:val="20"/>
        </w:rPr>
        <w:t>Por otro lado, t</w:t>
      </w:r>
      <w:r w:rsidR="006F6792" w:rsidRPr="0064597D">
        <w:rPr>
          <w:sz w:val="20"/>
          <w:szCs w:val="20"/>
        </w:rPr>
        <w:t xml:space="preserve">ampoco se abrió ningún tipo de investigación tras las declaraciones realizadas </w:t>
      </w:r>
      <w:r w:rsidR="00550C28" w:rsidRPr="0064597D">
        <w:rPr>
          <w:sz w:val="20"/>
          <w:szCs w:val="20"/>
        </w:rPr>
        <w:t xml:space="preserve">el </w:t>
      </w:r>
      <w:r w:rsidR="00671499" w:rsidRPr="0064597D">
        <w:rPr>
          <w:sz w:val="20"/>
          <w:szCs w:val="20"/>
        </w:rPr>
        <w:t>21 de abril de 1999</w:t>
      </w:r>
      <w:r w:rsidR="00EB1301" w:rsidRPr="0064597D">
        <w:rPr>
          <w:sz w:val="20"/>
          <w:szCs w:val="20"/>
        </w:rPr>
        <w:t xml:space="preserve"> </w:t>
      </w:r>
      <w:r w:rsidR="00550C28" w:rsidRPr="0064597D">
        <w:rPr>
          <w:sz w:val="20"/>
          <w:szCs w:val="20"/>
        </w:rPr>
        <w:t xml:space="preserve">en el </w:t>
      </w:r>
      <w:r w:rsidR="00550C28" w:rsidRPr="0064597D">
        <w:rPr>
          <w:rFonts w:eastAsia="MS Mincho"/>
          <w:sz w:val="20"/>
          <w:szCs w:val="20"/>
          <w:lang w:eastAsia="en-US"/>
        </w:rPr>
        <w:t>marco</w:t>
      </w:r>
      <w:r w:rsidR="00550C28" w:rsidRPr="0064597D">
        <w:rPr>
          <w:sz w:val="20"/>
          <w:szCs w:val="20"/>
        </w:rPr>
        <w:t xml:space="preserve"> del juicio oral ante el </w:t>
      </w:r>
      <w:r w:rsidR="00011243" w:rsidRPr="0064597D">
        <w:rPr>
          <w:rFonts w:cs="Verdana"/>
          <w:sz w:val="20"/>
          <w:szCs w:val="20"/>
        </w:rPr>
        <w:t>Tribunal Sexto de Sentencia Penal</w:t>
      </w:r>
      <w:r w:rsidRPr="0064597D">
        <w:rPr>
          <w:rStyle w:val="Refdenotaalpie"/>
          <w:sz w:val="20"/>
          <w:szCs w:val="20"/>
        </w:rPr>
        <w:footnoteReference w:id="212"/>
      </w:r>
      <w:r w:rsidR="00550C28" w:rsidRPr="0064597D">
        <w:rPr>
          <w:sz w:val="20"/>
          <w:szCs w:val="20"/>
        </w:rPr>
        <w:t xml:space="preserve">, </w:t>
      </w:r>
      <w:r w:rsidR="006F6792" w:rsidRPr="0064597D">
        <w:rPr>
          <w:sz w:val="20"/>
          <w:szCs w:val="20"/>
        </w:rPr>
        <w:t xml:space="preserve">tanto por el señor Ruiz Fuentes como por el señor </w:t>
      </w:r>
      <w:r w:rsidR="00DA7F1B">
        <w:rPr>
          <w:rFonts w:cs="Arial"/>
          <w:sz w:val="20"/>
          <w:szCs w:val="20"/>
        </w:rPr>
        <w:t>J.M.M.R.</w:t>
      </w:r>
      <w:r w:rsidR="00550C28" w:rsidRPr="0064597D">
        <w:rPr>
          <w:rFonts w:cs="Arial"/>
          <w:sz w:val="20"/>
          <w:szCs w:val="20"/>
        </w:rPr>
        <w:t>, momento en el que incluso el señor Ruiz Fuentes aportó una serie de radiografías que acreditaban las graves lesiones sufridas</w:t>
      </w:r>
      <w:r w:rsidR="00550C28" w:rsidRPr="0064597D">
        <w:rPr>
          <w:rStyle w:val="Refdenotaalpie"/>
          <w:rFonts w:cs="Arial"/>
          <w:sz w:val="20"/>
          <w:szCs w:val="20"/>
        </w:rPr>
        <w:footnoteReference w:id="213"/>
      </w:r>
      <w:r w:rsidR="00550C28" w:rsidRPr="0064597D">
        <w:rPr>
          <w:rFonts w:cs="Arial"/>
          <w:sz w:val="20"/>
          <w:szCs w:val="20"/>
        </w:rPr>
        <w:t>.</w:t>
      </w:r>
      <w:r w:rsidR="00F32361" w:rsidRPr="0064597D">
        <w:rPr>
          <w:rFonts w:cs="Arial"/>
          <w:sz w:val="20"/>
          <w:szCs w:val="20"/>
        </w:rPr>
        <w:t xml:space="preserve"> La Corte observa que el referido </w:t>
      </w:r>
      <w:r w:rsidR="00011243" w:rsidRPr="0064597D">
        <w:rPr>
          <w:rFonts w:cs="Verdana"/>
          <w:sz w:val="20"/>
          <w:szCs w:val="20"/>
        </w:rPr>
        <w:t>Tribunal Sexto de Sentencia Penal</w:t>
      </w:r>
      <w:r w:rsidR="00011243" w:rsidRPr="0064597D">
        <w:rPr>
          <w:rFonts w:cs="Arial"/>
          <w:sz w:val="20"/>
          <w:szCs w:val="20"/>
        </w:rPr>
        <w:t xml:space="preserve"> </w:t>
      </w:r>
      <w:r w:rsidR="00F32361" w:rsidRPr="0064597D">
        <w:rPr>
          <w:rFonts w:cs="Arial"/>
          <w:sz w:val="20"/>
          <w:szCs w:val="20"/>
        </w:rPr>
        <w:t xml:space="preserve">con base únicamente a las declaraciones de los agentes policiales que intervinieron en la captura del señor Ruiz Fuentes, </w:t>
      </w:r>
      <w:r w:rsidR="00FE3B32" w:rsidRPr="0064597D">
        <w:rPr>
          <w:rFonts w:cs="Arial"/>
          <w:sz w:val="20"/>
          <w:szCs w:val="20"/>
        </w:rPr>
        <w:t>dio por válida la versión ofrecida por los mismos</w:t>
      </w:r>
      <w:r w:rsidR="00FE3B32" w:rsidRPr="0064597D">
        <w:rPr>
          <w:rStyle w:val="Refdenotaalpie"/>
          <w:rFonts w:cs="Arial"/>
          <w:sz w:val="20"/>
          <w:szCs w:val="20"/>
        </w:rPr>
        <w:footnoteReference w:id="214"/>
      </w:r>
      <w:r w:rsidR="00FE3B32" w:rsidRPr="0064597D">
        <w:rPr>
          <w:rFonts w:cs="Arial"/>
          <w:sz w:val="20"/>
          <w:szCs w:val="20"/>
        </w:rPr>
        <w:t>.</w:t>
      </w:r>
      <w:r w:rsidR="00324EC8" w:rsidRPr="0064597D">
        <w:rPr>
          <w:rFonts w:cs="Arial"/>
          <w:sz w:val="20"/>
          <w:szCs w:val="20"/>
        </w:rPr>
        <w:t xml:space="preserve"> </w:t>
      </w:r>
    </w:p>
    <w:p w14:paraId="10B21CFA" w14:textId="77777777" w:rsidR="009540AE" w:rsidRPr="0064597D" w:rsidRDefault="009540AE" w:rsidP="009540AE">
      <w:pPr>
        <w:tabs>
          <w:tab w:val="left" w:pos="567"/>
        </w:tabs>
        <w:autoSpaceDE w:val="0"/>
        <w:autoSpaceDN w:val="0"/>
        <w:spacing w:line="240" w:lineRule="auto"/>
        <w:rPr>
          <w:rFonts w:eastAsia="MS Mincho"/>
          <w:sz w:val="20"/>
          <w:szCs w:val="20"/>
          <w:lang w:eastAsia="en-US"/>
        </w:rPr>
      </w:pPr>
    </w:p>
    <w:p w14:paraId="66EB92B0" w14:textId="70718FC1" w:rsidR="00324EC8" w:rsidRPr="0064597D" w:rsidRDefault="00324EC8" w:rsidP="00324EC8">
      <w:pPr>
        <w:numPr>
          <w:ilvl w:val="0"/>
          <w:numId w:val="1"/>
        </w:numPr>
        <w:tabs>
          <w:tab w:val="left" w:pos="567"/>
        </w:tabs>
        <w:autoSpaceDE w:val="0"/>
        <w:autoSpaceDN w:val="0"/>
        <w:spacing w:line="240" w:lineRule="auto"/>
        <w:ind w:left="0" w:firstLine="0"/>
        <w:rPr>
          <w:rFonts w:cs="Arial"/>
          <w:i/>
          <w:sz w:val="20"/>
          <w:szCs w:val="20"/>
        </w:rPr>
      </w:pPr>
      <w:r w:rsidRPr="0064597D">
        <w:rPr>
          <w:rFonts w:cs="Arial"/>
          <w:sz w:val="20"/>
          <w:szCs w:val="20"/>
        </w:rPr>
        <w:t xml:space="preserve">Asimismo, este Tribunal recuerda que en otros casos ha señalado que </w:t>
      </w:r>
      <w:r w:rsidRPr="0064597D">
        <w:rPr>
          <w:sz w:val="20"/>
          <w:szCs w:val="20"/>
        </w:rPr>
        <w:t xml:space="preserve">la obligación de investigar se ve reforzada por lo dispuesto en los artículos 1, 6 y 8 de la </w:t>
      </w:r>
      <w:r w:rsidRPr="0064597D">
        <w:rPr>
          <w:rFonts w:cs="Arial"/>
          <w:sz w:val="20"/>
          <w:szCs w:val="20"/>
        </w:rPr>
        <w:t>CIPST</w:t>
      </w:r>
      <w:r w:rsidRPr="0064597D">
        <w:rPr>
          <w:sz w:val="20"/>
          <w:szCs w:val="20"/>
        </w:rPr>
        <w:t xml:space="preserve"> que obligan al Estado a “toma[r] medidas efectivas para prevenir y sancionar la tortura en el ámbito de su jurisdicción”, así como a “prevenir y sancionar […] otros tratos o penas crueles, inhumanos o degradantes”. Además, de acuerdo con lo dispuesto en el artículo 8 de dicha Convención, los Estados partes garantizarán a toda persona que denuncie haber sido sometida a tortura en el ámbito de su jurisdicción el derecho a que el caso sea examinado imparcialmente. Asimismo, cuando exista denuncia o razón fundada para creer que se ha cometido un acto de tortura en el ámbito de su jurisdicción, los Estados partes garantizarán que sus respectivas autoridades procederán de oficio y de inmediato a realizar una investigación sobre el caso y a iniciar, cuando corresponda, el respectivo proceso penal. De acuerdo a ello, la Corte ha considerado en varias oportunidades que cuando se produce una falta al deber de investigar alegados hechos de tortura, ello también implicaba una afectación a estos artículos de la </w:t>
      </w:r>
      <w:r w:rsidRPr="0064597D">
        <w:rPr>
          <w:sz w:val="20"/>
          <w:szCs w:val="20"/>
        </w:rPr>
        <w:lastRenderedPageBreak/>
        <w:t>CIPST</w:t>
      </w:r>
      <w:r w:rsidRPr="0064597D">
        <w:rPr>
          <w:rStyle w:val="Refdenotaalpie"/>
          <w:sz w:val="20"/>
          <w:szCs w:val="20"/>
        </w:rPr>
        <w:footnoteReference w:id="215"/>
      </w:r>
      <w:r w:rsidRPr="0064597D">
        <w:rPr>
          <w:sz w:val="20"/>
          <w:szCs w:val="20"/>
        </w:rPr>
        <w:t xml:space="preserve">. </w:t>
      </w:r>
    </w:p>
    <w:p w14:paraId="3E58B705" w14:textId="77777777" w:rsidR="00550C28" w:rsidRPr="0064597D" w:rsidRDefault="00550C28" w:rsidP="00550C28">
      <w:pPr>
        <w:tabs>
          <w:tab w:val="left" w:pos="567"/>
        </w:tabs>
        <w:autoSpaceDE w:val="0"/>
        <w:autoSpaceDN w:val="0"/>
        <w:spacing w:line="240" w:lineRule="auto"/>
        <w:rPr>
          <w:rFonts w:eastAsia="MS Mincho"/>
          <w:sz w:val="20"/>
          <w:szCs w:val="20"/>
          <w:lang w:val="es-ES_tradnl" w:eastAsia="en-US"/>
        </w:rPr>
      </w:pPr>
    </w:p>
    <w:p w14:paraId="3074FEAD" w14:textId="6CCBCF84" w:rsidR="00FE2F23" w:rsidRPr="0064597D" w:rsidRDefault="00FE2F23" w:rsidP="00FE2F23">
      <w:pPr>
        <w:numPr>
          <w:ilvl w:val="0"/>
          <w:numId w:val="1"/>
        </w:numPr>
        <w:tabs>
          <w:tab w:val="left" w:pos="567"/>
        </w:tabs>
        <w:autoSpaceDE w:val="0"/>
        <w:autoSpaceDN w:val="0"/>
        <w:spacing w:line="240" w:lineRule="auto"/>
        <w:ind w:left="0" w:firstLine="0"/>
        <w:rPr>
          <w:rFonts w:eastAsia="Calibri" w:cs="Helvetica"/>
          <w:sz w:val="20"/>
          <w:szCs w:val="20"/>
          <w:lang w:val="es-MX" w:bidi="en-US"/>
        </w:rPr>
      </w:pPr>
      <w:r w:rsidRPr="0064597D">
        <w:rPr>
          <w:rFonts w:eastAsia="MS Mincho"/>
          <w:sz w:val="20"/>
          <w:szCs w:val="20"/>
          <w:lang w:eastAsia="en-US"/>
        </w:rPr>
        <w:t>En consecuencia, la Corte concluye que</w:t>
      </w:r>
      <w:r w:rsidRPr="0064597D">
        <w:rPr>
          <w:rFonts w:eastAsia="Calibri" w:cs="Helvetica"/>
          <w:sz w:val="20"/>
          <w:szCs w:val="20"/>
          <w:lang w:val="es-MX" w:bidi="en-US"/>
        </w:rPr>
        <w:t xml:space="preserve"> l</w:t>
      </w:r>
      <w:r w:rsidRPr="0064597D">
        <w:rPr>
          <w:sz w:val="20"/>
          <w:szCs w:val="20"/>
          <w:lang w:val="es-MX"/>
        </w:rPr>
        <w:t xml:space="preserve">a falta de investigación oportuna de hechos tan graves evidencia un incumplimiento de la obligación del Estado de garantizar el derecho a la integridad personal, así como una denegación de justicia, que constituyó una violación de los artículos 8.1 y 25 de la </w:t>
      </w:r>
      <w:r w:rsidRPr="0064597D">
        <w:rPr>
          <w:rFonts w:eastAsia="MS Mincho"/>
          <w:sz w:val="20"/>
          <w:szCs w:val="20"/>
          <w:lang w:eastAsia="en-US"/>
        </w:rPr>
        <w:t>Convención</w:t>
      </w:r>
      <w:r w:rsidRPr="0064597D">
        <w:rPr>
          <w:sz w:val="20"/>
          <w:szCs w:val="20"/>
          <w:lang w:val="es-MX"/>
        </w:rPr>
        <w:t xml:space="preserve">, en relación con el artículo 1.1 de la misma, y un incumplimiento de las obligaciones contraídas en virtud de los artículos 1, 6 y 8 de la Convención Interamericana para Prevenir y Sancionar la Tortura, en perjuicio del señor </w:t>
      </w:r>
      <w:r w:rsidR="00F32361" w:rsidRPr="0064597D">
        <w:rPr>
          <w:sz w:val="20"/>
          <w:szCs w:val="20"/>
          <w:lang w:val="es-MX"/>
        </w:rPr>
        <w:t>Hugo Humberto Ruiz Fuentes</w:t>
      </w:r>
      <w:r w:rsidRPr="0064597D">
        <w:rPr>
          <w:sz w:val="20"/>
          <w:szCs w:val="20"/>
          <w:lang w:val="es-MX"/>
        </w:rPr>
        <w:t xml:space="preserve">. </w:t>
      </w:r>
    </w:p>
    <w:p w14:paraId="426839D0" w14:textId="77777777" w:rsidR="00581B20" w:rsidRPr="0064597D" w:rsidRDefault="00581B20" w:rsidP="00581B20">
      <w:pPr>
        <w:pStyle w:val="Ttulo3"/>
        <w:rPr>
          <w:lang w:eastAsia="en-US"/>
        </w:rPr>
      </w:pPr>
      <w:bookmarkStart w:id="82" w:name="_Toc24014569"/>
      <w:r w:rsidRPr="0064597D">
        <w:t xml:space="preserve">b.4 </w:t>
      </w:r>
      <w:r w:rsidRPr="0064597D">
        <w:tab/>
      </w:r>
      <w:r w:rsidRPr="0064597D">
        <w:rPr>
          <w:lang w:eastAsia="en-US"/>
        </w:rPr>
        <w:t>Investigación de la muerte del señor Ruiz Fuentes</w:t>
      </w:r>
      <w:bookmarkEnd w:id="82"/>
    </w:p>
    <w:p w14:paraId="337EB65B" w14:textId="77777777" w:rsidR="00581B20" w:rsidRPr="0064597D" w:rsidRDefault="00581B20" w:rsidP="00581B20">
      <w:pPr>
        <w:numPr>
          <w:ilvl w:val="0"/>
          <w:numId w:val="1"/>
        </w:numPr>
        <w:tabs>
          <w:tab w:val="left" w:pos="567"/>
        </w:tabs>
        <w:autoSpaceDE w:val="0"/>
        <w:autoSpaceDN w:val="0"/>
        <w:spacing w:line="240" w:lineRule="auto"/>
        <w:ind w:left="0" w:firstLine="0"/>
        <w:rPr>
          <w:b/>
          <w:sz w:val="20"/>
          <w:szCs w:val="20"/>
        </w:rPr>
      </w:pPr>
      <w:r w:rsidRPr="0064597D">
        <w:rPr>
          <w:sz w:val="20"/>
          <w:szCs w:val="20"/>
        </w:rPr>
        <w:t>La Corte ha señalado de manera consistente que el deber de investigar es una obligación de medios y no de resultados, que debe ser asumida por el Estado como un deber jurídico propio y no como una simple formalidad condenada de antemano a ser infructuosa, o como una mera gestión de intereses particulares, que dependa de la iniciativa procesal de las víctimas o de sus familiares o de la aportación privada de elementos probatorios. Además la investigación debe ser seria, objetiva y efectiva, y estar orientada a la determinación de la verdad y a la persecución, captura, y eventual enjuiciamiento y castigo de los autores de los hechos</w:t>
      </w:r>
      <w:r w:rsidRPr="0064597D">
        <w:rPr>
          <w:rStyle w:val="Refdenotaalpie"/>
          <w:sz w:val="20"/>
          <w:szCs w:val="20"/>
        </w:rPr>
        <w:footnoteReference w:id="216"/>
      </w:r>
      <w:r w:rsidRPr="0064597D">
        <w:rPr>
          <w:sz w:val="20"/>
          <w:szCs w:val="20"/>
        </w:rPr>
        <w:t>.</w:t>
      </w:r>
    </w:p>
    <w:p w14:paraId="1F269A13" w14:textId="77777777" w:rsidR="00581B20" w:rsidRPr="0064597D" w:rsidRDefault="00581B20" w:rsidP="00581B20">
      <w:pPr>
        <w:pStyle w:val="Normal1"/>
        <w:widowControl/>
        <w:contextualSpacing/>
        <w:jc w:val="both"/>
        <w:rPr>
          <w:rFonts w:ascii="Verdana" w:hAnsi="Verdana"/>
          <w:b/>
        </w:rPr>
      </w:pPr>
    </w:p>
    <w:p w14:paraId="6A3C7FDC" w14:textId="77777777" w:rsidR="00581B20" w:rsidRPr="0064597D" w:rsidRDefault="00581B20" w:rsidP="00581B20">
      <w:pPr>
        <w:numPr>
          <w:ilvl w:val="0"/>
          <w:numId w:val="1"/>
        </w:numPr>
        <w:tabs>
          <w:tab w:val="left" w:pos="567"/>
        </w:tabs>
        <w:autoSpaceDE w:val="0"/>
        <w:autoSpaceDN w:val="0"/>
        <w:spacing w:line="240" w:lineRule="auto"/>
        <w:ind w:left="0" w:firstLine="0"/>
        <w:rPr>
          <w:rFonts w:eastAsia="Verdana" w:cs="Verdana"/>
          <w:sz w:val="20"/>
          <w:szCs w:val="20"/>
        </w:rPr>
      </w:pPr>
      <w:r w:rsidRPr="0064597D">
        <w:rPr>
          <w:rFonts w:cs="Times"/>
          <w:sz w:val="20"/>
          <w:szCs w:val="20"/>
          <w:shd w:val="clear" w:color="auto" w:fill="FFFFFF"/>
        </w:rPr>
        <w:t>Pa</w:t>
      </w:r>
      <w:r w:rsidRPr="0064597D">
        <w:rPr>
          <w:rFonts w:eastAsia="Verdana" w:cs="Verdana"/>
          <w:sz w:val="20"/>
          <w:szCs w:val="20"/>
        </w:rPr>
        <w:t xml:space="preserve">ra poder determinar si la investigación fue realizada de manera diligente, la Corte referirá diversas </w:t>
      </w:r>
      <w:r w:rsidRPr="0064597D">
        <w:rPr>
          <w:rFonts w:eastAsia="MS Mincho"/>
          <w:sz w:val="20"/>
          <w:szCs w:val="20"/>
          <w:lang w:eastAsia="en-US"/>
        </w:rPr>
        <w:t>diligencias</w:t>
      </w:r>
      <w:r w:rsidRPr="0064597D">
        <w:rPr>
          <w:rFonts w:eastAsia="Verdana" w:cs="Verdana"/>
          <w:sz w:val="20"/>
          <w:szCs w:val="20"/>
        </w:rPr>
        <w:t xml:space="preserve"> del proceso penal, relacionadas con el tratamiento de la escena del delito, la realización de la autopsia y otros medios de prueba.</w:t>
      </w:r>
    </w:p>
    <w:p w14:paraId="2E020D6A" w14:textId="77777777" w:rsidR="00581B20" w:rsidRPr="0064597D" w:rsidRDefault="00581B20" w:rsidP="00581B20">
      <w:pPr>
        <w:tabs>
          <w:tab w:val="left" w:pos="567"/>
        </w:tabs>
        <w:autoSpaceDE w:val="0"/>
        <w:autoSpaceDN w:val="0"/>
        <w:spacing w:line="240" w:lineRule="auto"/>
        <w:rPr>
          <w:rFonts w:eastAsia="Verdana" w:cs="Verdana"/>
          <w:sz w:val="20"/>
          <w:szCs w:val="20"/>
        </w:rPr>
      </w:pPr>
    </w:p>
    <w:p w14:paraId="1FC963F7" w14:textId="77777777" w:rsidR="00581B20" w:rsidRPr="0064597D" w:rsidRDefault="00581B20" w:rsidP="00581B20">
      <w:pPr>
        <w:numPr>
          <w:ilvl w:val="0"/>
          <w:numId w:val="1"/>
        </w:numPr>
        <w:tabs>
          <w:tab w:val="left" w:pos="567"/>
        </w:tabs>
        <w:autoSpaceDE w:val="0"/>
        <w:autoSpaceDN w:val="0"/>
        <w:spacing w:line="240" w:lineRule="auto"/>
        <w:ind w:left="0" w:firstLine="0"/>
        <w:rPr>
          <w:rFonts w:eastAsia="Verdana" w:cs="Verdana"/>
          <w:sz w:val="20"/>
          <w:szCs w:val="20"/>
        </w:rPr>
      </w:pPr>
      <w:r w:rsidRPr="0064597D">
        <w:rPr>
          <w:sz w:val="20"/>
          <w:szCs w:val="20"/>
        </w:rPr>
        <w:t>La Corte observa que el 14 de noviembre de 2005 fue encontrado el cadáver del señor Ruiz Fuentes en la Avenida 0 Calle 5ta de la Colonia Monja Blanca de Barberena, Santa Rosa</w:t>
      </w:r>
      <w:r w:rsidRPr="0064597D">
        <w:rPr>
          <w:rStyle w:val="Refdenotaalpie"/>
          <w:sz w:val="20"/>
          <w:szCs w:val="20"/>
        </w:rPr>
        <w:footnoteReference w:id="217"/>
      </w:r>
      <w:r w:rsidRPr="0064597D">
        <w:rPr>
          <w:sz w:val="20"/>
          <w:szCs w:val="20"/>
        </w:rPr>
        <w:t xml:space="preserve">. </w:t>
      </w:r>
      <w:r w:rsidRPr="0064597D">
        <w:rPr>
          <w:rFonts w:eastAsiaTheme="minorHAnsi" w:cs="Arial"/>
          <w:spacing w:val="-2"/>
          <w:sz w:val="20"/>
          <w:szCs w:val="20"/>
        </w:rPr>
        <w:t>Según el acta policial de ese mismo día, el cadáver del señor Ruiz Fuentes tenía una posición decúbito dorsal, con los brazos y piernas estiradas, y los ojos cerrados</w:t>
      </w:r>
      <w:r w:rsidRPr="0064597D">
        <w:rPr>
          <w:rStyle w:val="Refdenotaalpie"/>
          <w:rFonts w:eastAsiaTheme="minorHAnsi" w:cs="Arial"/>
          <w:spacing w:val="-2"/>
          <w:sz w:val="20"/>
          <w:szCs w:val="20"/>
        </w:rPr>
        <w:footnoteReference w:id="218"/>
      </w:r>
      <w:r w:rsidRPr="0064597D">
        <w:rPr>
          <w:rFonts w:eastAsiaTheme="minorHAnsi" w:cs="Arial"/>
          <w:spacing w:val="-2"/>
          <w:sz w:val="20"/>
          <w:szCs w:val="20"/>
        </w:rPr>
        <w:t xml:space="preserve">. </w:t>
      </w:r>
    </w:p>
    <w:p w14:paraId="0C0CC703" w14:textId="77777777" w:rsidR="00581B20" w:rsidRPr="0064597D" w:rsidRDefault="00581B20" w:rsidP="00581B20">
      <w:pPr>
        <w:tabs>
          <w:tab w:val="left" w:pos="567"/>
        </w:tabs>
        <w:autoSpaceDE w:val="0"/>
        <w:autoSpaceDN w:val="0"/>
        <w:spacing w:line="240" w:lineRule="auto"/>
        <w:rPr>
          <w:rFonts w:eastAsia="Verdana" w:cs="Verdana"/>
          <w:sz w:val="20"/>
          <w:szCs w:val="20"/>
        </w:rPr>
      </w:pPr>
    </w:p>
    <w:p w14:paraId="613B6E1E" w14:textId="77777777" w:rsidR="00581B20" w:rsidRPr="0064597D" w:rsidRDefault="00581B20" w:rsidP="00581B20">
      <w:pPr>
        <w:numPr>
          <w:ilvl w:val="0"/>
          <w:numId w:val="1"/>
        </w:numPr>
        <w:tabs>
          <w:tab w:val="left" w:pos="567"/>
        </w:tabs>
        <w:autoSpaceDE w:val="0"/>
        <w:autoSpaceDN w:val="0"/>
        <w:spacing w:line="240" w:lineRule="auto"/>
        <w:ind w:left="0" w:firstLine="0"/>
        <w:rPr>
          <w:rFonts w:eastAsia="Verdana" w:cs="Verdana"/>
          <w:sz w:val="20"/>
          <w:szCs w:val="20"/>
        </w:rPr>
      </w:pPr>
      <w:r w:rsidRPr="0064597D">
        <w:rPr>
          <w:rFonts w:eastAsia="Verdana" w:cs="Verdana"/>
          <w:sz w:val="20"/>
          <w:szCs w:val="20"/>
        </w:rPr>
        <w:t xml:space="preserve">La Corte ha establecido que la eficiente determinación de la verdad en el marco de la obligación de investigar una posible muerte, debe mostrarse desde las primeras diligencias con toda acuciosidad. Ha especificado este Tribunal que las autoridades estatales que conducen una investigación de este tipo deben intentar como mínimo, </w:t>
      </w:r>
      <w:r w:rsidRPr="0064597D">
        <w:rPr>
          <w:rFonts w:eastAsia="Verdana" w:cs="Verdana"/>
          <w:i/>
          <w:sz w:val="20"/>
          <w:szCs w:val="20"/>
        </w:rPr>
        <w:t>inter alia</w:t>
      </w:r>
      <w:r w:rsidRPr="0064597D">
        <w:rPr>
          <w:rFonts w:eastAsia="Verdana" w:cs="Verdana"/>
          <w:sz w:val="20"/>
          <w:szCs w:val="20"/>
        </w:rPr>
        <w:t>: (i) identificar a la víctima; (ii) recuperar y preservar el material probatorio relacionado con la muerte, con el fin de ayudar en cualquier potencial investigación penal de los responsables; (iii) identificar posibles testigos y obtener sus declaraciones en relación con la muerte que se investiga; (iv) determinar la causa, forma, lugar y momento de la muerte, así como cualquier patrón o práctica que pueda haber causado la muerte, y (v) distinguir entre muerte natural, muerte accidental, suicidio y homicidio. Además, es necesario investigar exhaustivamente la escena del delito, se deben realizar autopsias y análisis de restos humanos, en forma rigurosa, por profesionales competentes y empleando los procedimientos más apropiados</w:t>
      </w:r>
      <w:r w:rsidRPr="0064597D">
        <w:rPr>
          <w:rStyle w:val="Refdenotaalpie"/>
          <w:rFonts w:eastAsia="Verdana" w:cs="Verdana"/>
          <w:sz w:val="20"/>
          <w:szCs w:val="20"/>
        </w:rPr>
        <w:footnoteReference w:id="219"/>
      </w:r>
      <w:r w:rsidRPr="0064597D">
        <w:rPr>
          <w:rFonts w:eastAsia="Verdana" w:cs="Verdana"/>
          <w:sz w:val="20"/>
          <w:szCs w:val="20"/>
        </w:rPr>
        <w:t>.</w:t>
      </w:r>
    </w:p>
    <w:p w14:paraId="3FFC5F4C" w14:textId="77777777" w:rsidR="00581B20" w:rsidRPr="0064597D" w:rsidRDefault="00581B20" w:rsidP="00581B20">
      <w:pPr>
        <w:tabs>
          <w:tab w:val="left" w:pos="567"/>
        </w:tabs>
        <w:autoSpaceDE w:val="0"/>
        <w:autoSpaceDN w:val="0"/>
        <w:spacing w:line="240" w:lineRule="auto"/>
        <w:rPr>
          <w:rFonts w:eastAsia="Verdana" w:cs="Verdana"/>
          <w:sz w:val="20"/>
          <w:szCs w:val="20"/>
        </w:rPr>
      </w:pPr>
    </w:p>
    <w:p w14:paraId="4FE0BDC0" w14:textId="66CB2C9C" w:rsidR="00581B20" w:rsidRPr="0064597D" w:rsidRDefault="00581B20" w:rsidP="00581B20">
      <w:pPr>
        <w:numPr>
          <w:ilvl w:val="0"/>
          <w:numId w:val="1"/>
        </w:numPr>
        <w:tabs>
          <w:tab w:val="left" w:pos="567"/>
          <w:tab w:val="num" w:pos="1569"/>
          <w:tab w:val="num" w:pos="12305"/>
        </w:tabs>
        <w:spacing w:line="240" w:lineRule="auto"/>
        <w:ind w:left="0" w:firstLine="0"/>
        <w:rPr>
          <w:rFonts w:eastAsia="Verdana" w:cs="Verdana"/>
          <w:sz w:val="20"/>
          <w:szCs w:val="20"/>
        </w:rPr>
      </w:pPr>
      <w:r w:rsidRPr="0064597D">
        <w:rPr>
          <w:rFonts w:eastAsiaTheme="minorHAnsi" w:cs="Arial"/>
          <w:spacing w:val="-2"/>
          <w:sz w:val="20"/>
          <w:szCs w:val="20"/>
        </w:rPr>
        <w:t xml:space="preserve">La Corte observa, en primer lugar, que la protección, preservación y acordonamiento de la escena del crimen fue deficiente. A este respecto el perito </w:t>
      </w:r>
      <w:r w:rsidRPr="0064597D">
        <w:rPr>
          <w:sz w:val="20"/>
          <w:szCs w:val="20"/>
        </w:rPr>
        <w:t xml:space="preserve">Carranza Izquierdo destacó que, en vista a las </w:t>
      </w:r>
      <w:r w:rsidRPr="0064597D">
        <w:rPr>
          <w:sz w:val="20"/>
          <w:szCs w:val="20"/>
        </w:rPr>
        <w:lastRenderedPageBreak/>
        <w:t xml:space="preserve">fotografías realizadas por los especialistas de la escena del crimen, se podía observar cómo había “mucho personal del ministerio público, policía nacional civil, bomberos y juzgados adentro del acordonamiento”, lo cual causó una contaminación de la escena del crimen. </w:t>
      </w:r>
      <w:r w:rsidRPr="0064597D">
        <w:rPr>
          <w:rFonts w:eastAsia="Verdana" w:cs="Verdana"/>
          <w:sz w:val="20"/>
          <w:szCs w:val="20"/>
          <w:lang w:val="es-MX"/>
        </w:rPr>
        <w:t>Asimismo, el vídeo y las fotos tomadas por los especialistas, así como el croquis realizado de la escena fueron deficientes en tanto que no se podía determinar exactamente el lugar exacto donde se produjo el hecho. También se destaca el hecho de que al cadáver del señor Ruiz Fuentes no le protegieron las manos con una bolsa de papel manila, y ello pese a tener un arma de fuego en la mano derecha. Lo anterior era necesario para poder realizar las pruebas de absorción atómica para determinar si había residuos de un disparo. También llama la atención la omisión de las autoridades estatales a la hora de embalar la ropa del señor Ruiz Fuentes para realizar las pruebas pertinentes sobre la distancia de los disparos</w:t>
      </w:r>
      <w:r w:rsidRPr="0064597D">
        <w:rPr>
          <w:rStyle w:val="Refdenotaalpie"/>
          <w:rFonts w:eastAsia="Verdana" w:cs="Verdana"/>
          <w:sz w:val="20"/>
          <w:szCs w:val="20"/>
          <w:lang w:val="es-MX"/>
        </w:rPr>
        <w:footnoteReference w:id="220"/>
      </w:r>
      <w:r w:rsidRPr="0064597D">
        <w:rPr>
          <w:rFonts w:eastAsia="Verdana" w:cs="Verdana"/>
          <w:sz w:val="20"/>
          <w:szCs w:val="20"/>
          <w:lang w:val="es-MX"/>
        </w:rPr>
        <w:t>. En ese sentido, este Tribunal, a la luz de los artículos 8.1 y 25.1 de la Convención Americana, ha indicado que en aras de garantizar la efectividad de la investigación, se debe evitar omisiones en la recaudación de prueba y en el seguimiento de líneas lógicas de investigación. Cuando los hechos se refieren a la muerte violenta de una persona, la investigación iniciada debe ser conducida de tal forma que pudiese garantizar el debido análisis de las hipótesis de autoría surgidas a raíz de la misma</w:t>
      </w:r>
      <w:r w:rsidRPr="0064597D">
        <w:rPr>
          <w:rStyle w:val="Refdenotaalpie"/>
          <w:rFonts w:eastAsia="Verdana" w:cs="Verdana"/>
          <w:sz w:val="20"/>
          <w:szCs w:val="20"/>
          <w:lang w:val="es-MX"/>
        </w:rPr>
        <w:footnoteReference w:id="221"/>
      </w:r>
      <w:r w:rsidRPr="0064597D">
        <w:rPr>
          <w:rFonts w:eastAsia="Verdana" w:cs="Verdana"/>
          <w:sz w:val="20"/>
          <w:szCs w:val="20"/>
          <w:lang w:val="es-MX"/>
        </w:rPr>
        <w:t>.</w:t>
      </w:r>
    </w:p>
    <w:p w14:paraId="7BDC521A" w14:textId="77777777" w:rsidR="00581B20" w:rsidRPr="0064597D" w:rsidRDefault="00581B20" w:rsidP="00581B20">
      <w:pPr>
        <w:tabs>
          <w:tab w:val="left" w:pos="567"/>
        </w:tabs>
        <w:spacing w:line="240" w:lineRule="auto"/>
        <w:rPr>
          <w:rFonts w:eastAsia="Verdana" w:cs="Verdana"/>
          <w:sz w:val="20"/>
          <w:szCs w:val="20"/>
        </w:rPr>
      </w:pPr>
    </w:p>
    <w:p w14:paraId="4E46AA1A" w14:textId="3DC89ECA" w:rsidR="00581B20" w:rsidRPr="0064597D" w:rsidRDefault="00581B20" w:rsidP="00581B20">
      <w:pPr>
        <w:numPr>
          <w:ilvl w:val="0"/>
          <w:numId w:val="1"/>
        </w:numPr>
        <w:tabs>
          <w:tab w:val="left" w:pos="567"/>
          <w:tab w:val="num" w:pos="1569"/>
          <w:tab w:val="num" w:pos="12305"/>
        </w:tabs>
        <w:spacing w:line="240" w:lineRule="auto"/>
        <w:ind w:left="0" w:firstLine="0"/>
        <w:rPr>
          <w:rFonts w:eastAsia="Verdana" w:cs="Verdana"/>
          <w:sz w:val="20"/>
          <w:szCs w:val="20"/>
        </w:rPr>
      </w:pPr>
      <w:r w:rsidRPr="0064597D">
        <w:rPr>
          <w:sz w:val="20"/>
          <w:szCs w:val="20"/>
        </w:rPr>
        <w:t>En lo que se refiere a la autopsia médico legal realizada el 15 de noviembre de 2005</w:t>
      </w:r>
      <w:r w:rsidRPr="0064597D">
        <w:rPr>
          <w:rStyle w:val="Refdenotaalpie"/>
          <w:sz w:val="20"/>
          <w:szCs w:val="20"/>
        </w:rPr>
        <w:footnoteReference w:id="222"/>
      </w:r>
      <w:r w:rsidRPr="0064597D">
        <w:rPr>
          <w:sz w:val="20"/>
          <w:szCs w:val="20"/>
        </w:rPr>
        <w:t xml:space="preserve">, la Corte observa que la información que la misma contiene –que además abarca una sola página– también es insuficiente. </w:t>
      </w:r>
      <w:r w:rsidRPr="0064597D">
        <w:rPr>
          <w:sz w:val="20"/>
          <w:szCs w:val="20"/>
          <w:lang w:val="es-EC"/>
        </w:rPr>
        <w:t xml:space="preserve">La Corte recuerda que las autopsias tienen como objetivo recolectar, como mínimo, información para identificar a la persona muerta, la hora, fecha, causa y forma de la muerte. </w:t>
      </w:r>
      <w:r w:rsidRPr="0064597D">
        <w:rPr>
          <w:bCs/>
          <w:sz w:val="20"/>
          <w:szCs w:val="20"/>
          <w:lang w:val="es-EC"/>
        </w:rPr>
        <w:t xml:space="preserve">Estas deben respetar ciertas formalidades básicas, como indicar la fecha y hora de inicio y finalización, así como el lugar donde se realiza y el nombre del funcionario que la ejecuta. Asimismo, se debe, </w:t>
      </w:r>
      <w:r w:rsidRPr="0064597D">
        <w:rPr>
          <w:bCs/>
          <w:i/>
          <w:sz w:val="20"/>
          <w:szCs w:val="20"/>
          <w:lang w:val="es-EC"/>
        </w:rPr>
        <w:t>inter alia</w:t>
      </w:r>
      <w:r w:rsidRPr="0064597D">
        <w:rPr>
          <w:bCs/>
          <w:sz w:val="20"/>
          <w:szCs w:val="20"/>
          <w:lang w:val="es-EC"/>
        </w:rPr>
        <w:t>, fotografiar adecuadamente el cuerpo; tomar radiografías del cadáver, de su bolsa o envoltorio y después de desvestirlo, documentar toda lesión</w:t>
      </w:r>
      <w:r w:rsidRPr="0064597D">
        <w:rPr>
          <w:rStyle w:val="Refdenotaalpie"/>
          <w:bCs/>
          <w:sz w:val="20"/>
          <w:szCs w:val="20"/>
          <w:lang w:val="es-EC"/>
        </w:rPr>
        <w:footnoteReference w:id="223"/>
      </w:r>
      <w:r w:rsidRPr="0064597D">
        <w:rPr>
          <w:bCs/>
          <w:sz w:val="20"/>
          <w:szCs w:val="20"/>
          <w:lang w:val="es-EC"/>
        </w:rPr>
        <w:t>. En el presente caso, a</w:t>
      </w:r>
      <w:r w:rsidRPr="0064597D">
        <w:rPr>
          <w:sz w:val="20"/>
          <w:szCs w:val="20"/>
        </w:rPr>
        <w:t xml:space="preserve"> título de ejemplo, la Corte destaca que en dicha autopsia: (i) no se tomaron fotografías ni vídeos desde el inicio del reconocimiento externo del cadáver, ni de reconocimiento interno; (ii) no se revisó la ropa, (iii) no se embaló la ropa para realizar pruebas para detectar restos de pólvora en la ropa y (iv) no se hizo referencia a la distancia probable de disparo</w:t>
      </w:r>
      <w:r w:rsidRPr="0064597D">
        <w:rPr>
          <w:rStyle w:val="Refdenotaalpie"/>
          <w:sz w:val="20"/>
          <w:szCs w:val="20"/>
        </w:rPr>
        <w:footnoteReference w:id="224"/>
      </w:r>
      <w:r w:rsidRPr="0064597D">
        <w:rPr>
          <w:sz w:val="20"/>
          <w:szCs w:val="20"/>
        </w:rPr>
        <w:t>.</w:t>
      </w:r>
      <w:r w:rsidR="00DA7F1B">
        <w:rPr>
          <w:sz w:val="20"/>
          <w:szCs w:val="20"/>
        </w:rPr>
        <w:t xml:space="preserve"> L</w:t>
      </w:r>
      <w:r w:rsidRPr="0064597D">
        <w:rPr>
          <w:sz w:val="20"/>
          <w:szCs w:val="20"/>
        </w:rPr>
        <w:t xml:space="preserve">a Corte </w:t>
      </w:r>
      <w:r w:rsidR="00DA7F1B">
        <w:rPr>
          <w:sz w:val="20"/>
          <w:szCs w:val="20"/>
        </w:rPr>
        <w:t xml:space="preserve">también </w:t>
      </w:r>
      <w:r w:rsidRPr="0064597D">
        <w:rPr>
          <w:sz w:val="20"/>
          <w:szCs w:val="20"/>
        </w:rPr>
        <w:t>destaca que no se siguió el protocolo de Naciones Unidas “Protocolo de Minnesota” o “Protocolo modelo para la investigación legal de ejecuciones extralegales, arbitrarias y sumarias”</w:t>
      </w:r>
      <w:r w:rsidRPr="0064597D">
        <w:rPr>
          <w:rStyle w:val="Refdenotaalpie"/>
          <w:sz w:val="20"/>
          <w:szCs w:val="20"/>
        </w:rPr>
        <w:footnoteReference w:id="225"/>
      </w:r>
      <w:r w:rsidRPr="0064597D">
        <w:rPr>
          <w:sz w:val="20"/>
          <w:szCs w:val="20"/>
        </w:rPr>
        <w:t>.</w:t>
      </w:r>
      <w:r w:rsidRPr="0064597D">
        <w:rPr>
          <w:rFonts w:eastAsia="Verdana" w:cs="Verdana"/>
          <w:sz w:val="20"/>
          <w:szCs w:val="20"/>
          <w:lang w:val="es-MX"/>
        </w:rPr>
        <w:t xml:space="preserve"> </w:t>
      </w:r>
    </w:p>
    <w:p w14:paraId="07F88EA0" w14:textId="77777777" w:rsidR="00581B20" w:rsidRPr="0064597D" w:rsidRDefault="00581B20" w:rsidP="00581B20">
      <w:pPr>
        <w:tabs>
          <w:tab w:val="left" w:pos="567"/>
          <w:tab w:val="num" w:pos="12305"/>
        </w:tabs>
        <w:spacing w:line="240" w:lineRule="auto"/>
        <w:rPr>
          <w:rFonts w:eastAsia="Verdana" w:cs="Verdana"/>
          <w:sz w:val="20"/>
          <w:szCs w:val="20"/>
        </w:rPr>
      </w:pPr>
    </w:p>
    <w:p w14:paraId="6584482B" w14:textId="60671A2E" w:rsidR="00581B20" w:rsidRPr="0064597D" w:rsidRDefault="00581B20" w:rsidP="00581B20">
      <w:pPr>
        <w:numPr>
          <w:ilvl w:val="0"/>
          <w:numId w:val="1"/>
        </w:numPr>
        <w:tabs>
          <w:tab w:val="left" w:pos="567"/>
          <w:tab w:val="num" w:pos="1569"/>
          <w:tab w:val="num" w:pos="12305"/>
        </w:tabs>
        <w:spacing w:line="240" w:lineRule="auto"/>
        <w:ind w:left="0" w:firstLine="0"/>
        <w:rPr>
          <w:rFonts w:eastAsia="Calibri"/>
          <w:b/>
          <w:kern w:val="2"/>
          <w:sz w:val="20"/>
          <w:szCs w:val="20"/>
          <w:lang w:eastAsia="en-US"/>
        </w:rPr>
      </w:pPr>
      <w:r w:rsidRPr="0064597D">
        <w:rPr>
          <w:sz w:val="20"/>
          <w:szCs w:val="20"/>
        </w:rPr>
        <w:t>Por otro lado, a este Tribunal llama la atención el hecho de que de la investigación relativa al arma de fuego encontrada en la mano derecha del señor Ruiz Fuentes no se ha podido determinar todavía cómo es posible que dicha arma llegara a manos del señor Ruiz Fuentes. En relación con la toma de declaraciones para esclarecer las circunstancias que rodearon la muerte del señor Ruiz Fuentes, la Corte observa que en el expediente únicamente consta el interrogatorio de tres agentes de la PNC que estuvieron presentes en el lugar de los hechos</w:t>
      </w:r>
      <w:r w:rsidRPr="0064597D">
        <w:rPr>
          <w:rStyle w:val="Refdenotaalpie"/>
          <w:sz w:val="20"/>
          <w:szCs w:val="20"/>
        </w:rPr>
        <w:footnoteReference w:id="226"/>
      </w:r>
      <w:r w:rsidRPr="0064597D">
        <w:rPr>
          <w:sz w:val="20"/>
          <w:szCs w:val="20"/>
        </w:rPr>
        <w:t xml:space="preserve">. Tampoco consta que las autoridades </w:t>
      </w:r>
      <w:r w:rsidRPr="0064597D">
        <w:rPr>
          <w:sz w:val="20"/>
          <w:szCs w:val="20"/>
        </w:rPr>
        <w:lastRenderedPageBreak/>
        <w:t>judiciales tomaran declaración de los testigos que presuntamente presenciaron el evento.</w:t>
      </w:r>
    </w:p>
    <w:p w14:paraId="1ED194BB" w14:textId="77777777" w:rsidR="00581B20" w:rsidRPr="0064597D" w:rsidRDefault="00581B20" w:rsidP="00581B20">
      <w:pPr>
        <w:tabs>
          <w:tab w:val="left" w:pos="567"/>
        </w:tabs>
        <w:spacing w:line="240" w:lineRule="auto"/>
        <w:rPr>
          <w:rFonts w:eastAsia="Calibri"/>
          <w:b/>
          <w:kern w:val="2"/>
          <w:sz w:val="20"/>
          <w:szCs w:val="20"/>
          <w:lang w:eastAsia="en-US"/>
        </w:rPr>
      </w:pPr>
    </w:p>
    <w:p w14:paraId="69438E1E" w14:textId="77777777" w:rsidR="00581B20" w:rsidRPr="0064597D" w:rsidRDefault="00581B20" w:rsidP="00581B20">
      <w:pPr>
        <w:numPr>
          <w:ilvl w:val="0"/>
          <w:numId w:val="1"/>
        </w:numPr>
        <w:tabs>
          <w:tab w:val="left" w:pos="567"/>
          <w:tab w:val="num" w:pos="1569"/>
          <w:tab w:val="num" w:pos="12305"/>
        </w:tabs>
        <w:spacing w:line="240" w:lineRule="auto"/>
        <w:ind w:left="0" w:firstLine="0"/>
        <w:rPr>
          <w:rFonts w:eastAsia="Calibri"/>
          <w:b/>
          <w:kern w:val="2"/>
          <w:sz w:val="20"/>
          <w:szCs w:val="20"/>
          <w:lang w:eastAsia="en-US"/>
        </w:rPr>
      </w:pPr>
      <w:r w:rsidRPr="0064597D">
        <w:rPr>
          <w:sz w:val="20"/>
          <w:szCs w:val="20"/>
        </w:rPr>
        <w:t>Asimismo, l</w:t>
      </w:r>
      <w:r w:rsidRPr="0064597D">
        <w:rPr>
          <w:kern w:val="2"/>
          <w:sz w:val="20"/>
          <w:szCs w:val="20"/>
          <w:lang w:eastAsia="en-US"/>
        </w:rPr>
        <w:t>a Corte destaca que, transcurridos más de 14 años desde la muerte del señor Ruiz Fuentes, la investigación sobre las circunstancias que rodean su muerte continúa abierta.</w:t>
      </w:r>
    </w:p>
    <w:p w14:paraId="5FAFF9FA" w14:textId="77777777" w:rsidR="00581B20" w:rsidRPr="0064597D" w:rsidRDefault="00581B20" w:rsidP="00581B20">
      <w:pPr>
        <w:tabs>
          <w:tab w:val="left" w:pos="567"/>
          <w:tab w:val="num" w:pos="12305"/>
        </w:tabs>
        <w:spacing w:line="240" w:lineRule="auto"/>
        <w:rPr>
          <w:rFonts w:eastAsia="Calibri"/>
          <w:b/>
          <w:kern w:val="2"/>
          <w:sz w:val="20"/>
          <w:szCs w:val="20"/>
          <w:lang w:eastAsia="en-US"/>
        </w:rPr>
      </w:pPr>
    </w:p>
    <w:p w14:paraId="7D15C6EE" w14:textId="77777777" w:rsidR="00581B20" w:rsidRPr="0064597D" w:rsidRDefault="00581B20" w:rsidP="00581B20">
      <w:pPr>
        <w:widowControl/>
        <w:numPr>
          <w:ilvl w:val="0"/>
          <w:numId w:val="1"/>
        </w:numPr>
        <w:tabs>
          <w:tab w:val="left" w:pos="567"/>
        </w:tabs>
        <w:adjustRightInd/>
        <w:spacing w:line="240" w:lineRule="auto"/>
        <w:ind w:left="0" w:firstLine="0"/>
        <w:textAlignment w:val="auto"/>
        <w:rPr>
          <w:sz w:val="20"/>
          <w:szCs w:val="20"/>
        </w:rPr>
      </w:pPr>
      <w:r w:rsidRPr="0064597D">
        <w:rPr>
          <w:rFonts w:eastAsia="Calibri"/>
          <w:kern w:val="2"/>
          <w:sz w:val="20"/>
          <w:szCs w:val="20"/>
          <w:lang w:eastAsia="en-US"/>
        </w:rPr>
        <w:t xml:space="preserve">En consecuencia, </w:t>
      </w:r>
      <w:r w:rsidRPr="0064597D">
        <w:rPr>
          <w:sz w:val="20"/>
          <w:szCs w:val="20"/>
        </w:rPr>
        <w:t xml:space="preserve">en el presente caso, esta Corte considera que el Estado omitió realizar un conjunto de actos de </w:t>
      </w:r>
      <w:r w:rsidRPr="0064597D">
        <w:rPr>
          <w:kern w:val="2"/>
          <w:sz w:val="20"/>
          <w:szCs w:val="20"/>
          <w:lang w:eastAsia="en-US"/>
        </w:rPr>
        <w:t>investigación</w:t>
      </w:r>
      <w:r w:rsidRPr="0064597D">
        <w:rPr>
          <w:sz w:val="20"/>
          <w:szCs w:val="20"/>
        </w:rPr>
        <w:t xml:space="preserve"> idóneos e insustituibles, que resultaron contrarios a “pautas objetivas” en el procesamiento del crimen. La Corte considera que las omisiones ocurridas en la investigación del presente caso han impedido que desde el día de la muerte del señor Ruiz Fuentes hasta la actualidad no se hayan podido esclarecer los hechos ni investigado de manera diligente, juzgado, y en su caso, sancionado a los posibles responsables de los hechos, pese a que han transcurrido desde el inicio de la investigación.</w:t>
      </w:r>
    </w:p>
    <w:p w14:paraId="477D93DE" w14:textId="77777777" w:rsidR="00581B20" w:rsidRPr="0064597D" w:rsidRDefault="00581B20" w:rsidP="00581B20">
      <w:pPr>
        <w:widowControl/>
        <w:tabs>
          <w:tab w:val="left" w:pos="567"/>
        </w:tabs>
        <w:adjustRightInd/>
        <w:spacing w:line="240" w:lineRule="auto"/>
        <w:textAlignment w:val="auto"/>
        <w:rPr>
          <w:rFonts w:eastAsia="Calibri"/>
          <w:b/>
          <w:kern w:val="2"/>
          <w:sz w:val="20"/>
          <w:szCs w:val="20"/>
          <w:lang w:eastAsia="en-US"/>
        </w:rPr>
      </w:pPr>
    </w:p>
    <w:p w14:paraId="379E8BC8" w14:textId="77777777" w:rsidR="00581B20" w:rsidRPr="0064597D" w:rsidRDefault="00581B20" w:rsidP="00581B20">
      <w:pPr>
        <w:widowControl/>
        <w:numPr>
          <w:ilvl w:val="0"/>
          <w:numId w:val="1"/>
        </w:numPr>
        <w:tabs>
          <w:tab w:val="left" w:pos="567"/>
        </w:tabs>
        <w:adjustRightInd/>
        <w:spacing w:line="240" w:lineRule="auto"/>
        <w:ind w:left="0" w:firstLine="0"/>
        <w:textAlignment w:val="auto"/>
        <w:rPr>
          <w:rFonts w:eastAsia="Verdana" w:cs="Verdana"/>
          <w:sz w:val="20"/>
          <w:szCs w:val="20"/>
          <w:lang w:val="es-MX"/>
        </w:rPr>
      </w:pPr>
      <w:r w:rsidRPr="0064597D">
        <w:rPr>
          <w:rFonts w:cs="Arial"/>
          <w:sz w:val="20"/>
          <w:szCs w:val="20"/>
        </w:rPr>
        <w:t xml:space="preserve">Con base en lo expuesto, la Corte concluye que el Estado no actuó con diligencia debida para investigar, juzgar, y en su caso, sancionar a los posibles responsables de la muerte violenta del señor Ruiz Fuentes dentro de un plazo razonable. Por lo que </w:t>
      </w:r>
      <w:r w:rsidRPr="0064597D">
        <w:rPr>
          <w:rFonts w:cs="Verdana"/>
          <w:sz w:val="20"/>
          <w:szCs w:val="20"/>
        </w:rPr>
        <w:t>considera que el Estado violó los artículos 8.1 y 25.1 de la Convención Americana, en relación con el artículo 1.1 del mismo tratado</w:t>
      </w:r>
      <w:r w:rsidRPr="0064597D">
        <w:rPr>
          <w:rFonts w:cs="Arial"/>
          <w:sz w:val="20"/>
          <w:szCs w:val="20"/>
        </w:rPr>
        <w:t>, en perjuicio del señor Hugo Humberto Ruiz Fuentes y su hermana.</w:t>
      </w:r>
    </w:p>
    <w:p w14:paraId="58655338" w14:textId="77777777" w:rsidR="00581B20" w:rsidRPr="0064597D" w:rsidRDefault="00581B20" w:rsidP="00581B20">
      <w:pPr>
        <w:pStyle w:val="Prrafodelista"/>
        <w:autoSpaceDE w:val="0"/>
        <w:autoSpaceDN w:val="0"/>
        <w:spacing w:line="240" w:lineRule="auto"/>
        <w:ind w:left="0"/>
        <w:textAlignment w:val="auto"/>
        <w:rPr>
          <w:rFonts w:cs="Arial"/>
          <w:sz w:val="20"/>
          <w:szCs w:val="20"/>
        </w:rPr>
      </w:pPr>
    </w:p>
    <w:p w14:paraId="773EFA53" w14:textId="4F02F368" w:rsidR="009E4F6C" w:rsidRPr="0064597D" w:rsidRDefault="009E4F6C" w:rsidP="002F4F08">
      <w:pPr>
        <w:pStyle w:val="Ttulo1"/>
        <w:rPr>
          <w:caps w:val="0"/>
          <w:lang w:eastAsia="en-US"/>
        </w:rPr>
      </w:pPr>
      <w:bookmarkStart w:id="83" w:name="_Toc495658690"/>
      <w:bookmarkStart w:id="84" w:name="_Toc514172658"/>
      <w:bookmarkStart w:id="85" w:name="_Toc24014570"/>
      <w:r w:rsidRPr="0064597D">
        <w:rPr>
          <w:lang w:eastAsia="en-US"/>
        </w:rPr>
        <w:t>VI</w:t>
      </w:r>
      <w:r w:rsidR="00EA52BD" w:rsidRPr="0064597D">
        <w:rPr>
          <w:lang w:eastAsia="en-US"/>
        </w:rPr>
        <w:t>I</w:t>
      </w:r>
      <w:r w:rsidRPr="0064597D">
        <w:rPr>
          <w:lang w:eastAsia="en-US"/>
        </w:rPr>
        <w:t>I-</w:t>
      </w:r>
      <w:r w:rsidR="00971496" w:rsidRPr="0064597D">
        <w:rPr>
          <w:lang w:eastAsia="en-US"/>
        </w:rPr>
        <w:t>5</w:t>
      </w:r>
      <w:r w:rsidRPr="0064597D">
        <w:rPr>
          <w:lang w:eastAsia="en-US"/>
        </w:rPr>
        <w:br/>
      </w:r>
      <w:r w:rsidR="00577676" w:rsidRPr="0064597D">
        <w:rPr>
          <w:lang w:eastAsia="en-US"/>
        </w:rPr>
        <w:t>DERECHO</w:t>
      </w:r>
      <w:r w:rsidR="00774CC4" w:rsidRPr="0064597D">
        <w:rPr>
          <w:lang w:eastAsia="en-US"/>
        </w:rPr>
        <w:t xml:space="preserve"> A LA INTEGRIDAD </w:t>
      </w:r>
      <w:r w:rsidR="009D73ED" w:rsidRPr="0064597D">
        <w:rPr>
          <w:lang w:eastAsia="en-US"/>
        </w:rPr>
        <w:t>PERSONAL</w:t>
      </w:r>
      <w:r w:rsidRPr="0064597D">
        <w:rPr>
          <w:lang w:eastAsia="en-US"/>
        </w:rPr>
        <w:t xml:space="preserve"> </w:t>
      </w:r>
      <w:r w:rsidR="004305CD" w:rsidRPr="0064597D">
        <w:rPr>
          <w:lang w:eastAsia="en-US"/>
        </w:rPr>
        <w:t xml:space="preserve">DE LA HERMANA DEL </w:t>
      </w:r>
      <w:r w:rsidR="00162B86" w:rsidRPr="0064597D">
        <w:rPr>
          <w:lang w:eastAsia="en-US"/>
        </w:rPr>
        <w:t>SEÑOR R</w:t>
      </w:r>
      <w:r w:rsidR="004305CD" w:rsidRPr="0064597D">
        <w:rPr>
          <w:lang w:eastAsia="en-US"/>
        </w:rPr>
        <w:t>UIZ FUENTES</w:t>
      </w:r>
      <w:bookmarkEnd w:id="83"/>
      <w:bookmarkEnd w:id="84"/>
      <w:r w:rsidR="001B7763" w:rsidRPr="0064597D">
        <w:rPr>
          <w:rStyle w:val="Refdenotaalpie"/>
          <w:lang w:eastAsia="en-US"/>
        </w:rPr>
        <w:footnoteReference w:id="227"/>
      </w:r>
      <w:bookmarkEnd w:id="85"/>
    </w:p>
    <w:p w14:paraId="461626B5" w14:textId="77777777" w:rsidR="009E4F6C" w:rsidRPr="0064597D" w:rsidRDefault="009E4F6C" w:rsidP="00377181">
      <w:pPr>
        <w:pStyle w:val="Ttulo2"/>
      </w:pPr>
      <w:bookmarkStart w:id="86" w:name="_Toc495658691"/>
      <w:bookmarkStart w:id="87" w:name="_Toc514172659"/>
      <w:bookmarkStart w:id="88" w:name="_Toc24014571"/>
      <w:r w:rsidRPr="0064597D">
        <w:t>A.</w:t>
      </w:r>
      <w:r w:rsidRPr="0064597D">
        <w:tab/>
        <w:t>Argumentos de las partes y de la Comisión</w:t>
      </w:r>
      <w:bookmarkEnd w:id="86"/>
      <w:bookmarkEnd w:id="87"/>
      <w:bookmarkEnd w:id="88"/>
    </w:p>
    <w:p w14:paraId="21B7F369" w14:textId="77777777" w:rsidR="009E4F6C" w:rsidRPr="0064597D" w:rsidRDefault="009E4F6C" w:rsidP="00960A67">
      <w:pPr>
        <w:numPr>
          <w:ilvl w:val="0"/>
          <w:numId w:val="1"/>
        </w:numPr>
        <w:tabs>
          <w:tab w:val="left" w:pos="567"/>
          <w:tab w:val="num" w:pos="12305"/>
        </w:tabs>
        <w:spacing w:line="240" w:lineRule="auto"/>
        <w:ind w:left="0" w:firstLine="0"/>
        <w:rPr>
          <w:sz w:val="20"/>
          <w:szCs w:val="20"/>
        </w:rPr>
      </w:pPr>
      <w:r w:rsidRPr="0064597D">
        <w:rPr>
          <w:sz w:val="20"/>
          <w:szCs w:val="20"/>
        </w:rPr>
        <w:t>La</w:t>
      </w:r>
      <w:r w:rsidRPr="0064597D">
        <w:rPr>
          <w:b/>
          <w:sz w:val="20"/>
          <w:szCs w:val="20"/>
        </w:rPr>
        <w:t xml:space="preserve"> </w:t>
      </w:r>
      <w:r w:rsidRPr="0064597D">
        <w:rPr>
          <w:b/>
          <w:i/>
          <w:sz w:val="20"/>
          <w:szCs w:val="20"/>
        </w:rPr>
        <w:t>Comisión</w:t>
      </w:r>
      <w:r w:rsidRPr="0064597D">
        <w:rPr>
          <w:sz w:val="20"/>
          <w:szCs w:val="20"/>
        </w:rPr>
        <w:t xml:space="preserve"> </w:t>
      </w:r>
      <w:r w:rsidR="00BB3BC1" w:rsidRPr="0064597D">
        <w:rPr>
          <w:sz w:val="20"/>
          <w:szCs w:val="20"/>
        </w:rPr>
        <w:t>no realizó ninguna a</w:t>
      </w:r>
      <w:r w:rsidR="00777EC1" w:rsidRPr="0064597D">
        <w:rPr>
          <w:sz w:val="20"/>
          <w:szCs w:val="20"/>
        </w:rPr>
        <w:t>legación específica al respecto.</w:t>
      </w:r>
    </w:p>
    <w:p w14:paraId="2901D857" w14:textId="77777777" w:rsidR="00960A67" w:rsidRPr="0064597D" w:rsidRDefault="00960A67" w:rsidP="00960A67">
      <w:pPr>
        <w:tabs>
          <w:tab w:val="left" w:pos="567"/>
        </w:tabs>
        <w:spacing w:line="240" w:lineRule="auto"/>
        <w:rPr>
          <w:sz w:val="20"/>
          <w:szCs w:val="20"/>
        </w:rPr>
      </w:pPr>
    </w:p>
    <w:p w14:paraId="46D5493D" w14:textId="31B9908E" w:rsidR="009E4F6C" w:rsidRPr="0064597D" w:rsidRDefault="002269FD" w:rsidP="00960A67">
      <w:pPr>
        <w:numPr>
          <w:ilvl w:val="0"/>
          <w:numId w:val="1"/>
        </w:numPr>
        <w:tabs>
          <w:tab w:val="left" w:pos="567"/>
          <w:tab w:val="num" w:pos="12305"/>
        </w:tabs>
        <w:spacing w:line="240" w:lineRule="auto"/>
        <w:ind w:left="0" w:firstLine="0"/>
        <w:rPr>
          <w:sz w:val="20"/>
          <w:szCs w:val="20"/>
        </w:rPr>
      </w:pPr>
      <w:r w:rsidRPr="0064597D">
        <w:rPr>
          <w:sz w:val="20"/>
          <w:szCs w:val="20"/>
        </w:rPr>
        <w:t xml:space="preserve">Las </w:t>
      </w:r>
      <w:r w:rsidRPr="0064597D">
        <w:rPr>
          <w:b/>
          <w:i/>
          <w:sz w:val="20"/>
          <w:szCs w:val="20"/>
        </w:rPr>
        <w:t>representantes</w:t>
      </w:r>
      <w:r w:rsidR="00740290" w:rsidRPr="0064597D">
        <w:rPr>
          <w:sz w:val="20"/>
          <w:szCs w:val="20"/>
        </w:rPr>
        <w:t xml:space="preserve"> se refirieron a las afectaciones que padecieron </w:t>
      </w:r>
      <w:r w:rsidR="004305CD" w:rsidRPr="0064597D">
        <w:rPr>
          <w:sz w:val="20"/>
          <w:szCs w:val="20"/>
        </w:rPr>
        <w:t>la</w:t>
      </w:r>
      <w:r w:rsidR="00740290" w:rsidRPr="0064597D">
        <w:rPr>
          <w:sz w:val="20"/>
          <w:szCs w:val="20"/>
        </w:rPr>
        <w:t xml:space="preserve"> hermana del señor Ruiz Fuentes; </w:t>
      </w:r>
      <w:r w:rsidR="00512F82" w:rsidRPr="0064597D">
        <w:rPr>
          <w:sz w:val="20"/>
          <w:szCs w:val="20"/>
        </w:rPr>
        <w:t>W.E.R.F.</w:t>
      </w:r>
      <w:r w:rsidR="00740290" w:rsidRPr="0064597D">
        <w:rPr>
          <w:sz w:val="20"/>
          <w:szCs w:val="20"/>
        </w:rPr>
        <w:t xml:space="preserve">, su hija y </w:t>
      </w:r>
      <w:r w:rsidR="000F7AD4" w:rsidRPr="0064597D">
        <w:rPr>
          <w:sz w:val="20"/>
          <w:szCs w:val="20"/>
        </w:rPr>
        <w:t>A.M.V.</w:t>
      </w:r>
      <w:r w:rsidR="00740290" w:rsidRPr="0064597D">
        <w:rPr>
          <w:sz w:val="20"/>
          <w:szCs w:val="20"/>
        </w:rPr>
        <w:t>, su conviviente. Indicaron que cuando el señor Ruiz Fuentes estuvo ingresado en el hospital para ser intervenido quirúrgicamente, tanto su hermana como su pareja estuvieron visitándole y encargándose de sus cuidados. Ellas fueron testigo, no sólo de la severidad de las lesiones, sino también de cómo el personal de la PNC e incluso el Jefe del SIC visitaron al señor Ruiz Fuentes para tratar de convencerle de que</w:t>
      </w:r>
      <w:r w:rsidR="001B4B25" w:rsidRPr="0064597D">
        <w:rPr>
          <w:sz w:val="20"/>
          <w:szCs w:val="20"/>
        </w:rPr>
        <w:t xml:space="preserve"> no</w:t>
      </w:r>
      <w:r w:rsidR="00740290" w:rsidRPr="0064597D">
        <w:rPr>
          <w:sz w:val="20"/>
          <w:szCs w:val="20"/>
        </w:rPr>
        <w:t xml:space="preserve"> denunciase los hechos. Lo anterior les causó angustia y temor. </w:t>
      </w:r>
      <w:r w:rsidRPr="0064597D">
        <w:rPr>
          <w:sz w:val="20"/>
          <w:szCs w:val="20"/>
        </w:rPr>
        <w:t>Las representantes</w:t>
      </w:r>
      <w:r w:rsidR="00740290" w:rsidRPr="0064597D">
        <w:rPr>
          <w:sz w:val="20"/>
          <w:szCs w:val="20"/>
        </w:rPr>
        <w:t xml:space="preserve"> señalaron además que los familiares del señor Ruiz Fuentes padecieron graves sufrimientos psicológicos provenientes de la angustia generada por </w:t>
      </w:r>
      <w:r w:rsidR="00781D88" w:rsidRPr="0064597D">
        <w:rPr>
          <w:sz w:val="20"/>
          <w:szCs w:val="20"/>
        </w:rPr>
        <w:t xml:space="preserve">saber que el señor Ruiz Fuentes permanecía en el corredor de la muerte sometido a condiciones carcelarias extremas, ante la incertidumbre de una posible ejecución. Por otro lado, </w:t>
      </w:r>
      <w:r w:rsidRPr="0064597D">
        <w:rPr>
          <w:sz w:val="20"/>
          <w:szCs w:val="20"/>
        </w:rPr>
        <w:t>las representantes</w:t>
      </w:r>
      <w:r w:rsidR="00781D88" w:rsidRPr="0064597D">
        <w:rPr>
          <w:sz w:val="20"/>
          <w:szCs w:val="20"/>
        </w:rPr>
        <w:t xml:space="preserve"> indicaron que la ejecución del señor Ruiz Fuentes les causó un profundo sufrimiento. A lo anterior se añade el hecho de que la ejecución extrajudicial permanece a día de hoy en la impunidad. Por último, </w:t>
      </w:r>
      <w:r w:rsidR="002961B3" w:rsidRPr="0064597D">
        <w:rPr>
          <w:sz w:val="20"/>
          <w:szCs w:val="20"/>
        </w:rPr>
        <w:t>las representantes</w:t>
      </w:r>
      <w:r w:rsidR="00781D88" w:rsidRPr="0064597D">
        <w:rPr>
          <w:sz w:val="20"/>
          <w:szCs w:val="20"/>
        </w:rPr>
        <w:t xml:space="preserve"> adujeron que el involucramiento de los familiares en el impulso del proceso interno provocó que ellas mismas fueran víctimas de amenazas e intimidaciones, lo cual llevó incluso a que </w:t>
      </w:r>
      <w:r w:rsidR="004305CD" w:rsidRPr="0064597D">
        <w:rPr>
          <w:sz w:val="20"/>
          <w:szCs w:val="20"/>
        </w:rPr>
        <w:t xml:space="preserve">la hermana del señor Ruiz Fuentes </w:t>
      </w:r>
      <w:r w:rsidR="00781D88" w:rsidRPr="0064597D">
        <w:rPr>
          <w:sz w:val="20"/>
          <w:szCs w:val="20"/>
        </w:rPr>
        <w:t xml:space="preserve">tuviera que trasladarse a vivir fuera de Guatemala, lo cual alteró profundamente su proyecto de vida. </w:t>
      </w:r>
    </w:p>
    <w:p w14:paraId="7F677582" w14:textId="77777777" w:rsidR="00213907" w:rsidRPr="0064597D" w:rsidRDefault="00213907" w:rsidP="00213907">
      <w:pPr>
        <w:tabs>
          <w:tab w:val="left" w:pos="567"/>
        </w:tabs>
        <w:spacing w:line="240" w:lineRule="auto"/>
        <w:rPr>
          <w:sz w:val="20"/>
          <w:szCs w:val="20"/>
        </w:rPr>
      </w:pPr>
    </w:p>
    <w:p w14:paraId="3F13FFF3" w14:textId="614BACBC" w:rsidR="009E4F6C" w:rsidRPr="0064597D" w:rsidRDefault="009E4F6C" w:rsidP="00960A67">
      <w:pPr>
        <w:numPr>
          <w:ilvl w:val="0"/>
          <w:numId w:val="1"/>
        </w:numPr>
        <w:tabs>
          <w:tab w:val="left" w:pos="567"/>
          <w:tab w:val="num" w:pos="12305"/>
        </w:tabs>
        <w:spacing w:line="240" w:lineRule="auto"/>
        <w:ind w:left="0" w:firstLine="0"/>
        <w:rPr>
          <w:sz w:val="20"/>
          <w:szCs w:val="20"/>
        </w:rPr>
      </w:pPr>
      <w:r w:rsidRPr="0064597D">
        <w:rPr>
          <w:sz w:val="20"/>
          <w:szCs w:val="20"/>
        </w:rPr>
        <w:t>El</w:t>
      </w:r>
      <w:r w:rsidRPr="0064597D">
        <w:rPr>
          <w:b/>
          <w:sz w:val="20"/>
          <w:szCs w:val="20"/>
        </w:rPr>
        <w:t xml:space="preserve"> </w:t>
      </w:r>
      <w:r w:rsidRPr="0064597D">
        <w:rPr>
          <w:b/>
          <w:i/>
          <w:sz w:val="20"/>
          <w:szCs w:val="20"/>
        </w:rPr>
        <w:t>Estado</w:t>
      </w:r>
      <w:r w:rsidRPr="0064597D">
        <w:rPr>
          <w:sz w:val="20"/>
          <w:szCs w:val="20"/>
        </w:rPr>
        <w:t xml:space="preserve"> </w:t>
      </w:r>
      <w:r w:rsidR="00577676" w:rsidRPr="0064597D">
        <w:rPr>
          <w:sz w:val="20"/>
          <w:szCs w:val="20"/>
        </w:rPr>
        <w:t>manifestó que, si bien no duda de la afectación y</w:t>
      </w:r>
      <w:r w:rsidR="00DB0443" w:rsidRPr="0064597D">
        <w:rPr>
          <w:sz w:val="20"/>
          <w:szCs w:val="20"/>
        </w:rPr>
        <w:t xml:space="preserve"> </w:t>
      </w:r>
      <w:r w:rsidR="00577676" w:rsidRPr="0064597D">
        <w:rPr>
          <w:sz w:val="20"/>
          <w:szCs w:val="20"/>
        </w:rPr>
        <w:t>sufrimiento vivido por los familiares del señor Ruiz Fuentes, dicho sufrimiento y/o padecimiento fueron a consecuencia de los actos ilícitos cometidos por el señor Ruiz Fuentes, de lo cual el Estado carece de responsabilidad alguna. El Estado además negó que se hubiera hostigado a los familiares del señor Ruiz Fuentes al ejercer su derecho a presentar las denuncias que consideren pertinentes ante los órganos correspondientes.</w:t>
      </w:r>
      <w:r w:rsidR="00577676" w:rsidRPr="0064597D">
        <w:rPr>
          <w:b/>
          <w:sz w:val="20"/>
          <w:szCs w:val="20"/>
        </w:rPr>
        <w:t xml:space="preserve"> </w:t>
      </w:r>
    </w:p>
    <w:p w14:paraId="58E825D8" w14:textId="77777777" w:rsidR="009E4F6C" w:rsidRPr="0064597D" w:rsidRDefault="009E4F6C" w:rsidP="00377181">
      <w:pPr>
        <w:pStyle w:val="Ttulo2"/>
      </w:pPr>
      <w:bookmarkStart w:id="89" w:name="_Toc495658692"/>
      <w:bookmarkStart w:id="90" w:name="_Toc514172660"/>
      <w:bookmarkStart w:id="91" w:name="_Toc24014572"/>
      <w:r w:rsidRPr="0064597D">
        <w:lastRenderedPageBreak/>
        <w:t>B.</w:t>
      </w:r>
      <w:r w:rsidRPr="0064597D">
        <w:tab/>
        <w:t>Consideraciones de la Corte</w:t>
      </w:r>
      <w:bookmarkEnd w:id="89"/>
      <w:bookmarkEnd w:id="90"/>
      <w:bookmarkEnd w:id="91"/>
    </w:p>
    <w:p w14:paraId="7D1B90FD" w14:textId="77777777" w:rsidR="009E4F6C" w:rsidRPr="0064597D" w:rsidRDefault="009E4F6C" w:rsidP="00A518F8">
      <w:pPr>
        <w:numPr>
          <w:ilvl w:val="0"/>
          <w:numId w:val="1"/>
        </w:numPr>
        <w:tabs>
          <w:tab w:val="left" w:pos="567"/>
          <w:tab w:val="num" w:pos="12305"/>
        </w:tabs>
        <w:spacing w:line="240" w:lineRule="auto"/>
        <w:ind w:left="0" w:firstLine="0"/>
        <w:rPr>
          <w:rFonts w:eastAsiaTheme="minorHAnsi" w:cstheme="minorBidi"/>
          <w:sz w:val="20"/>
          <w:szCs w:val="20"/>
          <w:lang w:eastAsia="en-US"/>
        </w:rPr>
      </w:pPr>
      <w:bookmarkStart w:id="92" w:name="_Ref462932771"/>
      <w:r w:rsidRPr="0064597D">
        <w:rPr>
          <w:rFonts w:eastAsiaTheme="minorHAnsi" w:cstheme="minorBidi"/>
          <w:sz w:val="20"/>
          <w:szCs w:val="20"/>
          <w:lang w:eastAsia="en-US"/>
        </w:rPr>
        <w:t xml:space="preserve">La Corte ha afirmado, en reiteradas oportunidades, que los familiares de las víctimas de </w:t>
      </w:r>
      <w:r w:rsidRPr="0064597D">
        <w:rPr>
          <w:sz w:val="20"/>
          <w:szCs w:val="20"/>
        </w:rPr>
        <w:t>violaciones</w:t>
      </w:r>
      <w:r w:rsidRPr="0064597D">
        <w:rPr>
          <w:rFonts w:eastAsiaTheme="minorHAnsi" w:cstheme="minorBidi"/>
          <w:sz w:val="20"/>
          <w:szCs w:val="20"/>
          <w:lang w:eastAsia="en-US"/>
        </w:rPr>
        <w:t xml:space="preserve"> de los derechos humanos pueden ser, a su vez, víctimas</w:t>
      </w:r>
      <w:r w:rsidRPr="0064597D">
        <w:rPr>
          <w:rFonts w:eastAsiaTheme="minorHAnsi" w:cstheme="minorBidi"/>
          <w:sz w:val="20"/>
          <w:szCs w:val="20"/>
          <w:vertAlign w:val="superscript"/>
          <w:lang w:eastAsia="en-US"/>
        </w:rPr>
        <w:footnoteReference w:id="228"/>
      </w:r>
      <w:r w:rsidRPr="0064597D">
        <w:rPr>
          <w:rFonts w:eastAsiaTheme="minorHAnsi" w:cstheme="minorBidi"/>
          <w:sz w:val="20"/>
          <w:szCs w:val="20"/>
          <w:lang w:eastAsia="en-US"/>
        </w:rPr>
        <w:t xml:space="preserve">. Este Tribunal ha </w:t>
      </w:r>
      <w:r w:rsidRPr="0064597D">
        <w:rPr>
          <w:sz w:val="20"/>
          <w:szCs w:val="20"/>
        </w:rPr>
        <w:t>considerado</w:t>
      </w:r>
      <w:r w:rsidRPr="0064597D">
        <w:rPr>
          <w:rFonts w:eastAsiaTheme="minorHAnsi" w:cstheme="minorBidi"/>
          <w:sz w:val="20"/>
          <w:szCs w:val="20"/>
          <w:lang w:eastAsia="en-US"/>
        </w:rPr>
        <w:t xml:space="preserve"> que se puede declarar violado el derecho a la integridad psíquica y moral de “familiares directos” u otras personas con vínculos estrechos con las víctimas con motivo del sufrimiento adicional que aquéllos han padecido como producto de las circunstancias particulares de las violaciones perpetradas contra sus seres queridos, y a causa de las posteriores actuaciones u omisiones de las autoridades estatales frente a estos hechos</w:t>
      </w:r>
      <w:r w:rsidRPr="0064597D">
        <w:rPr>
          <w:rFonts w:eastAsiaTheme="minorHAnsi" w:cstheme="minorBidi"/>
          <w:sz w:val="20"/>
          <w:szCs w:val="20"/>
          <w:vertAlign w:val="superscript"/>
          <w:lang w:eastAsia="en-US"/>
        </w:rPr>
        <w:footnoteReference w:id="229"/>
      </w:r>
      <w:r w:rsidRPr="0064597D">
        <w:rPr>
          <w:rFonts w:eastAsiaTheme="minorHAnsi" w:cstheme="minorBidi"/>
          <w:sz w:val="20"/>
          <w:szCs w:val="20"/>
          <w:lang w:eastAsia="en-US"/>
        </w:rPr>
        <w:t>, tomando en cuenta, entre otros elementos, las gestiones realizadas para obtener justicia y la existencia de un estrecho vínculo familiar</w:t>
      </w:r>
      <w:r w:rsidRPr="0064597D">
        <w:rPr>
          <w:rFonts w:eastAsiaTheme="minorHAnsi" w:cstheme="minorBidi"/>
          <w:sz w:val="20"/>
          <w:szCs w:val="20"/>
          <w:vertAlign w:val="superscript"/>
          <w:lang w:eastAsia="en-US"/>
        </w:rPr>
        <w:footnoteReference w:id="230"/>
      </w:r>
      <w:r w:rsidRPr="0064597D">
        <w:rPr>
          <w:rFonts w:eastAsiaTheme="minorHAnsi" w:cstheme="minorBidi"/>
          <w:sz w:val="20"/>
          <w:szCs w:val="20"/>
          <w:lang w:eastAsia="en-US"/>
        </w:rPr>
        <w:t>.</w:t>
      </w:r>
    </w:p>
    <w:bookmarkEnd w:id="92"/>
    <w:p w14:paraId="259639F7" w14:textId="77777777" w:rsidR="009E4F6C" w:rsidRPr="0064597D" w:rsidRDefault="009E4F6C" w:rsidP="009E4F6C">
      <w:pPr>
        <w:tabs>
          <w:tab w:val="left" w:pos="567"/>
        </w:tabs>
        <w:spacing w:line="240" w:lineRule="auto"/>
        <w:rPr>
          <w:rFonts w:eastAsia="MS Mincho"/>
          <w:spacing w:val="-2"/>
          <w:sz w:val="20"/>
          <w:szCs w:val="20"/>
        </w:rPr>
      </w:pPr>
    </w:p>
    <w:p w14:paraId="0F3A7C8B" w14:textId="677CAEC5" w:rsidR="009134ED" w:rsidRPr="0064597D" w:rsidRDefault="009E4F6C" w:rsidP="00213907">
      <w:pPr>
        <w:numPr>
          <w:ilvl w:val="0"/>
          <w:numId w:val="1"/>
        </w:numPr>
        <w:tabs>
          <w:tab w:val="left" w:pos="567"/>
          <w:tab w:val="num" w:pos="12305"/>
        </w:tabs>
        <w:spacing w:line="240" w:lineRule="auto"/>
        <w:ind w:left="0" w:firstLine="0"/>
        <w:rPr>
          <w:sz w:val="20"/>
          <w:szCs w:val="20"/>
        </w:rPr>
      </w:pPr>
      <w:r w:rsidRPr="0064597D">
        <w:rPr>
          <w:rFonts w:eastAsia="MS Mincho"/>
          <w:spacing w:val="-2"/>
          <w:sz w:val="20"/>
          <w:szCs w:val="20"/>
        </w:rPr>
        <w:t xml:space="preserve">La Corte nota que </w:t>
      </w:r>
      <w:r w:rsidR="009134ED" w:rsidRPr="0064597D">
        <w:rPr>
          <w:rFonts w:eastAsia="MS Mincho"/>
          <w:spacing w:val="-2"/>
          <w:sz w:val="20"/>
          <w:szCs w:val="20"/>
        </w:rPr>
        <w:t xml:space="preserve">la </w:t>
      </w:r>
      <w:r w:rsidR="001B4B25" w:rsidRPr="0064597D">
        <w:rPr>
          <w:rFonts w:eastAsia="MS Mincho"/>
          <w:spacing w:val="-2"/>
          <w:sz w:val="20"/>
          <w:szCs w:val="20"/>
        </w:rPr>
        <w:t>hermana del señor</w:t>
      </w:r>
      <w:r w:rsidR="009134ED" w:rsidRPr="0064597D">
        <w:rPr>
          <w:rFonts w:eastAsia="MS Mincho"/>
          <w:spacing w:val="-2"/>
          <w:sz w:val="20"/>
          <w:szCs w:val="20"/>
        </w:rPr>
        <w:t xml:space="preserve"> Ruiz Fuentes declaró lo siguiente</w:t>
      </w:r>
      <w:r w:rsidR="00E412B5" w:rsidRPr="0064597D">
        <w:rPr>
          <w:rFonts w:eastAsia="MS Mincho"/>
          <w:spacing w:val="-2"/>
          <w:sz w:val="20"/>
          <w:szCs w:val="20"/>
        </w:rPr>
        <w:t xml:space="preserve"> con respecto al momento en el que sentenciaron a su hermano a pena de muerte</w:t>
      </w:r>
      <w:r w:rsidR="009134ED" w:rsidRPr="0064597D">
        <w:rPr>
          <w:rFonts w:eastAsia="MS Mincho"/>
          <w:spacing w:val="-2"/>
          <w:sz w:val="20"/>
          <w:szCs w:val="20"/>
        </w:rPr>
        <w:t>:</w:t>
      </w:r>
    </w:p>
    <w:p w14:paraId="51C8A2BB" w14:textId="77777777" w:rsidR="00E412B5" w:rsidRPr="0064597D" w:rsidRDefault="00E412B5" w:rsidP="00E412B5">
      <w:pPr>
        <w:tabs>
          <w:tab w:val="left" w:pos="567"/>
        </w:tabs>
        <w:spacing w:line="240" w:lineRule="auto"/>
        <w:rPr>
          <w:sz w:val="20"/>
          <w:szCs w:val="20"/>
        </w:rPr>
      </w:pPr>
    </w:p>
    <w:p w14:paraId="1917CFA8" w14:textId="01BA5086" w:rsidR="009E4F6C" w:rsidRPr="0064597D" w:rsidRDefault="00DA7F1B" w:rsidP="00E412B5">
      <w:pPr>
        <w:tabs>
          <w:tab w:val="left" w:pos="567"/>
        </w:tabs>
        <w:spacing w:line="240" w:lineRule="auto"/>
        <w:ind w:left="720" w:right="720"/>
        <w:rPr>
          <w:rFonts w:eastAsia="MS Mincho"/>
          <w:spacing w:val="-2"/>
          <w:sz w:val="18"/>
          <w:szCs w:val="18"/>
        </w:rPr>
      </w:pPr>
      <w:r>
        <w:rPr>
          <w:rFonts w:eastAsia="MS Mincho"/>
          <w:spacing w:val="-2"/>
          <w:sz w:val="18"/>
          <w:szCs w:val="18"/>
        </w:rPr>
        <w:t xml:space="preserve">[…] </w:t>
      </w:r>
      <w:r w:rsidR="009134ED" w:rsidRPr="0064597D">
        <w:rPr>
          <w:rFonts w:eastAsia="MS Mincho"/>
          <w:spacing w:val="-2"/>
          <w:sz w:val="18"/>
          <w:szCs w:val="18"/>
        </w:rPr>
        <w:t>Cuando sentenciaron a la pena de muerte a mi hermano fue muy duro para mí […] Cuando escuché en la sentencia el nombre de mi hermano condenado a pena de muerte, yo dije van</w:t>
      </w:r>
      <w:r w:rsidR="00512F82" w:rsidRPr="0064597D">
        <w:rPr>
          <w:rFonts w:eastAsia="MS Mincho"/>
          <w:spacing w:val="-2"/>
          <w:sz w:val="18"/>
          <w:szCs w:val="18"/>
        </w:rPr>
        <w:t xml:space="preserve"> </w:t>
      </w:r>
      <w:r w:rsidR="009134ED" w:rsidRPr="0064597D">
        <w:rPr>
          <w:rFonts w:eastAsia="MS Mincho"/>
          <w:spacing w:val="-2"/>
          <w:sz w:val="18"/>
          <w:szCs w:val="18"/>
        </w:rPr>
        <w:t>a matar a mi hermano […] y empecé a llorar y me salí a llorar con [mi hija]</w:t>
      </w:r>
      <w:r w:rsidR="00E412B5" w:rsidRPr="0064597D">
        <w:rPr>
          <w:rFonts w:eastAsia="MS Mincho"/>
          <w:spacing w:val="-2"/>
          <w:sz w:val="18"/>
          <w:szCs w:val="18"/>
        </w:rPr>
        <w:t>. Yo recordé la ejecución que habían hecho en Pavón y que la habían pasado por televisión, de dos personas y sentía como un ataque de nervios, pasé toda la noche llorando</w:t>
      </w:r>
      <w:r w:rsidR="00E412B5" w:rsidRPr="0064597D">
        <w:rPr>
          <w:rStyle w:val="Refdenotaalpie"/>
          <w:rFonts w:eastAsia="MS Mincho"/>
          <w:spacing w:val="-2"/>
          <w:sz w:val="18"/>
          <w:szCs w:val="18"/>
        </w:rPr>
        <w:footnoteReference w:id="231"/>
      </w:r>
      <w:r w:rsidR="004D498D" w:rsidRPr="0064597D">
        <w:rPr>
          <w:rFonts w:eastAsia="MS Mincho"/>
          <w:spacing w:val="-2"/>
          <w:sz w:val="18"/>
          <w:szCs w:val="18"/>
        </w:rPr>
        <w:t xml:space="preserve"> </w:t>
      </w:r>
    </w:p>
    <w:p w14:paraId="41860CD7" w14:textId="77777777" w:rsidR="00E412B5" w:rsidRPr="0064597D" w:rsidRDefault="00E412B5" w:rsidP="00E412B5">
      <w:pPr>
        <w:tabs>
          <w:tab w:val="left" w:pos="567"/>
        </w:tabs>
        <w:spacing w:line="240" w:lineRule="auto"/>
        <w:ind w:left="720" w:right="720"/>
        <w:rPr>
          <w:sz w:val="20"/>
          <w:szCs w:val="20"/>
        </w:rPr>
      </w:pPr>
    </w:p>
    <w:p w14:paraId="4EA75F68" w14:textId="010B1073" w:rsidR="00E412B5" w:rsidRPr="0064597D" w:rsidRDefault="00E412B5" w:rsidP="00D71F65">
      <w:pPr>
        <w:numPr>
          <w:ilvl w:val="0"/>
          <w:numId w:val="1"/>
        </w:numPr>
        <w:tabs>
          <w:tab w:val="left" w:pos="567"/>
          <w:tab w:val="num" w:pos="12305"/>
        </w:tabs>
        <w:spacing w:line="240" w:lineRule="auto"/>
        <w:ind w:left="0" w:firstLine="0"/>
        <w:rPr>
          <w:sz w:val="20"/>
          <w:szCs w:val="20"/>
        </w:rPr>
      </w:pPr>
      <w:r w:rsidRPr="0064597D">
        <w:rPr>
          <w:rFonts w:eastAsia="MS Mincho"/>
          <w:spacing w:val="-2"/>
          <w:sz w:val="20"/>
          <w:szCs w:val="20"/>
        </w:rPr>
        <w:t xml:space="preserve">La </w:t>
      </w:r>
      <w:r w:rsidR="001B4B25" w:rsidRPr="0064597D">
        <w:rPr>
          <w:rFonts w:eastAsia="MS Mincho"/>
          <w:spacing w:val="-2"/>
          <w:sz w:val="20"/>
          <w:szCs w:val="20"/>
        </w:rPr>
        <w:t xml:space="preserve">hermana del señor </w:t>
      </w:r>
      <w:r w:rsidRPr="0064597D">
        <w:rPr>
          <w:rFonts w:eastAsia="MS Mincho"/>
          <w:spacing w:val="-2"/>
          <w:sz w:val="20"/>
          <w:szCs w:val="20"/>
        </w:rPr>
        <w:t>Ruiz Fuentes señaló además que los hechos produjeron que se enfermara “de los nervios, y emocionalmente”. Indicó que tuvo parálisis en la mitad de la cara debido al estrés, tal y como le indicó un médico</w:t>
      </w:r>
      <w:r w:rsidRPr="0064597D">
        <w:rPr>
          <w:rStyle w:val="Refdenotaalpie"/>
          <w:rFonts w:eastAsia="MS Mincho"/>
          <w:spacing w:val="-2"/>
          <w:sz w:val="20"/>
          <w:szCs w:val="20"/>
        </w:rPr>
        <w:footnoteReference w:id="232"/>
      </w:r>
      <w:r w:rsidR="003F7C36" w:rsidRPr="0064597D">
        <w:rPr>
          <w:rFonts w:eastAsia="MS Mincho"/>
          <w:spacing w:val="-2"/>
          <w:sz w:val="20"/>
          <w:szCs w:val="20"/>
        </w:rPr>
        <w:t xml:space="preserve">. </w:t>
      </w:r>
      <w:r w:rsidRPr="0064597D">
        <w:rPr>
          <w:rFonts w:eastAsia="MS Mincho"/>
          <w:spacing w:val="-2"/>
          <w:sz w:val="20"/>
          <w:szCs w:val="20"/>
        </w:rPr>
        <w:t>La Corte también destaca el peritaje brindado por el psicólogo Juan Cristóbal Aldana, quien indic</w:t>
      </w:r>
      <w:r w:rsidR="00727880" w:rsidRPr="0064597D">
        <w:rPr>
          <w:rFonts w:eastAsia="MS Mincho"/>
          <w:spacing w:val="-2"/>
          <w:sz w:val="20"/>
          <w:szCs w:val="20"/>
        </w:rPr>
        <w:t xml:space="preserve">ó que la </w:t>
      </w:r>
      <w:r w:rsidR="001B4B25" w:rsidRPr="0064597D">
        <w:rPr>
          <w:rFonts w:eastAsia="MS Mincho"/>
          <w:spacing w:val="-2"/>
          <w:sz w:val="20"/>
          <w:szCs w:val="20"/>
        </w:rPr>
        <w:t xml:space="preserve">hermana del señor </w:t>
      </w:r>
      <w:r w:rsidR="00727880" w:rsidRPr="0064597D">
        <w:rPr>
          <w:rFonts w:eastAsia="MS Mincho"/>
          <w:spacing w:val="-2"/>
          <w:sz w:val="20"/>
          <w:szCs w:val="20"/>
        </w:rPr>
        <w:t xml:space="preserve">Ruiz Fuentes sufría de “fatiga por compasión”, la cual aparece como resultado de proporcionar altos niveles de energía y compasión a los que sufren, y al no ver resultados de mejora del sufrimiento tiende a expresar problemas psicosociales”. Con respecto a los efectos psicosociales de la pena de muerte impuesta a su hermano, el perito indicó que </w:t>
      </w:r>
      <w:r w:rsidR="001B4B25" w:rsidRPr="0064597D">
        <w:rPr>
          <w:rFonts w:eastAsia="MS Mincho"/>
          <w:spacing w:val="-2"/>
          <w:sz w:val="20"/>
          <w:szCs w:val="20"/>
        </w:rPr>
        <w:t xml:space="preserve">la hermana del señor </w:t>
      </w:r>
      <w:r w:rsidR="00727880" w:rsidRPr="0064597D">
        <w:rPr>
          <w:rFonts w:eastAsia="MS Mincho"/>
          <w:spacing w:val="-2"/>
          <w:sz w:val="20"/>
          <w:szCs w:val="20"/>
        </w:rPr>
        <w:t>Ruiz Fue</w:t>
      </w:r>
      <w:r w:rsidR="00EB4024" w:rsidRPr="0064597D">
        <w:rPr>
          <w:rFonts w:eastAsia="MS Mincho"/>
          <w:spacing w:val="-2"/>
          <w:sz w:val="20"/>
          <w:szCs w:val="20"/>
        </w:rPr>
        <w:t>n</w:t>
      </w:r>
      <w:r w:rsidR="00727880" w:rsidRPr="0064597D">
        <w:rPr>
          <w:rFonts w:eastAsia="MS Mincho"/>
          <w:spacing w:val="-2"/>
          <w:sz w:val="20"/>
          <w:szCs w:val="20"/>
        </w:rPr>
        <w:t xml:space="preserve">tes se vio sometida a un síndrome de “generación de esperanza dentro de una situación sin esperanza”, lo cual incluía “distorsiones cognitivas donde al escuchar la sentencia de la pena de muerte […] queda vaciada emocionalmente”. En relación a los efectos que produjo la ejecución extrajudicial de su hermano, el perito indicó que </w:t>
      </w:r>
      <w:r w:rsidR="00512F82" w:rsidRPr="0064597D">
        <w:rPr>
          <w:rFonts w:eastAsia="MS Mincho"/>
          <w:spacing w:val="-2"/>
          <w:sz w:val="20"/>
          <w:szCs w:val="20"/>
        </w:rPr>
        <w:t xml:space="preserve">la </w:t>
      </w:r>
      <w:r w:rsidR="001B4B25" w:rsidRPr="0064597D">
        <w:rPr>
          <w:rFonts w:eastAsia="MS Mincho"/>
          <w:spacing w:val="-2"/>
          <w:sz w:val="20"/>
          <w:szCs w:val="20"/>
        </w:rPr>
        <w:t xml:space="preserve">hermana del señor </w:t>
      </w:r>
      <w:r w:rsidR="00512F82" w:rsidRPr="0064597D">
        <w:rPr>
          <w:rFonts w:eastAsia="MS Mincho"/>
          <w:spacing w:val="-2"/>
          <w:sz w:val="20"/>
          <w:szCs w:val="20"/>
        </w:rPr>
        <w:t xml:space="preserve">Ruiz Fuentes </w:t>
      </w:r>
      <w:r w:rsidR="00727880" w:rsidRPr="0064597D">
        <w:rPr>
          <w:rFonts w:eastAsia="MS Mincho"/>
          <w:spacing w:val="-2"/>
          <w:sz w:val="20"/>
          <w:szCs w:val="20"/>
        </w:rPr>
        <w:t>quedó sometida a un “traum</w:t>
      </w:r>
      <w:r w:rsidR="00512F82" w:rsidRPr="0064597D">
        <w:rPr>
          <w:rFonts w:eastAsia="MS Mincho"/>
          <w:spacing w:val="-2"/>
          <w:sz w:val="20"/>
          <w:szCs w:val="20"/>
        </w:rPr>
        <w:t>a</w:t>
      </w:r>
      <w:r w:rsidR="00727880" w:rsidRPr="0064597D">
        <w:rPr>
          <w:rFonts w:eastAsia="MS Mincho"/>
          <w:spacing w:val="-2"/>
          <w:sz w:val="20"/>
          <w:szCs w:val="20"/>
        </w:rPr>
        <w:t xml:space="preserve"> vicario manifestando una fuerte traumatización, pues mantuvo una relación interpersonal (emocional-afectiva), intersubjetiva (identificación con el dolor) y interemocional (altos niveles de estrés) por lo que su hermano vivió desde su detención hasta su muerte”. </w:t>
      </w:r>
      <w:r w:rsidR="00EB4024" w:rsidRPr="0064597D">
        <w:rPr>
          <w:rFonts w:eastAsia="MS Mincho"/>
          <w:spacing w:val="-2"/>
          <w:sz w:val="20"/>
          <w:szCs w:val="20"/>
        </w:rPr>
        <w:t xml:space="preserve">El perito concluyó que </w:t>
      </w:r>
      <w:r w:rsidR="001B4B25" w:rsidRPr="0064597D">
        <w:rPr>
          <w:rFonts w:eastAsia="MS Mincho"/>
          <w:spacing w:val="-2"/>
          <w:sz w:val="20"/>
          <w:szCs w:val="20"/>
        </w:rPr>
        <w:t xml:space="preserve">la hermana del señor </w:t>
      </w:r>
      <w:r w:rsidR="00EB4024" w:rsidRPr="0064597D">
        <w:rPr>
          <w:rFonts w:eastAsia="MS Mincho"/>
          <w:spacing w:val="-2"/>
          <w:sz w:val="20"/>
          <w:szCs w:val="20"/>
        </w:rPr>
        <w:t xml:space="preserve">Ruiz Fuentes </w:t>
      </w:r>
      <w:r w:rsidR="00512F82" w:rsidRPr="0064597D">
        <w:rPr>
          <w:rFonts w:eastAsia="MS Mincho"/>
          <w:spacing w:val="-2"/>
          <w:sz w:val="20"/>
          <w:szCs w:val="20"/>
        </w:rPr>
        <w:t>sufre</w:t>
      </w:r>
      <w:r w:rsidR="00EB4024" w:rsidRPr="0064597D">
        <w:rPr>
          <w:rFonts w:eastAsia="MS Mincho"/>
          <w:spacing w:val="-2"/>
          <w:sz w:val="20"/>
          <w:szCs w:val="20"/>
        </w:rPr>
        <w:t xml:space="preserve"> un “desgaste emocional […] que posiblemente sea un detonante de una depresión en su vida de adulto mayor”</w:t>
      </w:r>
      <w:r w:rsidR="00EB4024" w:rsidRPr="0064597D">
        <w:rPr>
          <w:rStyle w:val="Refdenotaalpie"/>
          <w:rFonts w:eastAsia="MS Mincho"/>
          <w:spacing w:val="-2"/>
          <w:sz w:val="20"/>
          <w:szCs w:val="20"/>
        </w:rPr>
        <w:footnoteReference w:id="233"/>
      </w:r>
      <w:r w:rsidR="00EB4024" w:rsidRPr="0064597D">
        <w:rPr>
          <w:rFonts w:eastAsia="MS Mincho"/>
          <w:spacing w:val="-2"/>
          <w:sz w:val="20"/>
          <w:szCs w:val="20"/>
        </w:rPr>
        <w:t>.</w:t>
      </w:r>
    </w:p>
    <w:p w14:paraId="060407AE" w14:textId="77777777" w:rsidR="00727880" w:rsidRPr="0064597D" w:rsidRDefault="00727880" w:rsidP="00727880">
      <w:pPr>
        <w:tabs>
          <w:tab w:val="left" w:pos="567"/>
        </w:tabs>
        <w:spacing w:line="240" w:lineRule="auto"/>
        <w:rPr>
          <w:sz w:val="20"/>
          <w:szCs w:val="20"/>
        </w:rPr>
      </w:pPr>
    </w:p>
    <w:p w14:paraId="63A74B17" w14:textId="53C924F5" w:rsidR="004E3F95" w:rsidRPr="0064597D" w:rsidRDefault="00CA44FC" w:rsidP="00A54911">
      <w:pPr>
        <w:numPr>
          <w:ilvl w:val="0"/>
          <w:numId w:val="1"/>
        </w:numPr>
        <w:tabs>
          <w:tab w:val="left" w:pos="567"/>
          <w:tab w:val="num" w:pos="12305"/>
        </w:tabs>
        <w:spacing w:line="240" w:lineRule="auto"/>
        <w:ind w:left="0" w:firstLine="0"/>
        <w:rPr>
          <w:rFonts w:cs="Arial"/>
          <w:sz w:val="20"/>
          <w:szCs w:val="20"/>
        </w:rPr>
      </w:pPr>
      <w:r w:rsidRPr="0064597D">
        <w:rPr>
          <w:sz w:val="20"/>
          <w:szCs w:val="20"/>
          <w:lang w:val="es-ES" w:eastAsia="es-ES_tradnl"/>
        </w:rPr>
        <w:t xml:space="preserve">Por consiguiente, </w:t>
      </w:r>
      <w:r w:rsidR="001C042E" w:rsidRPr="0064597D">
        <w:rPr>
          <w:sz w:val="20"/>
          <w:szCs w:val="20"/>
          <w:lang w:val="es-ES" w:eastAsia="es-ES_tradnl"/>
        </w:rPr>
        <w:t xml:space="preserve">en vista de la prueba e información aportada al expediente, </w:t>
      </w:r>
      <w:r w:rsidRPr="0064597D">
        <w:rPr>
          <w:sz w:val="20"/>
          <w:szCs w:val="20"/>
          <w:lang w:val="es-ES" w:eastAsia="es-ES_tradnl"/>
        </w:rPr>
        <w:t xml:space="preserve">este Tribunal </w:t>
      </w:r>
      <w:r w:rsidRPr="0064597D">
        <w:rPr>
          <w:sz w:val="20"/>
          <w:szCs w:val="20"/>
        </w:rPr>
        <w:t>considera</w:t>
      </w:r>
      <w:r w:rsidRPr="0064597D">
        <w:rPr>
          <w:sz w:val="20"/>
          <w:szCs w:val="20"/>
          <w:lang w:val="es-ES" w:eastAsia="es-ES_tradnl"/>
        </w:rPr>
        <w:t xml:space="preserve"> que, como consecuencia directa </w:t>
      </w:r>
      <w:r w:rsidRPr="0064597D">
        <w:rPr>
          <w:sz w:val="20"/>
          <w:szCs w:val="20"/>
        </w:rPr>
        <w:t>de</w:t>
      </w:r>
      <w:r w:rsidR="001B4B25" w:rsidRPr="0064597D">
        <w:rPr>
          <w:sz w:val="20"/>
          <w:szCs w:val="20"/>
        </w:rPr>
        <w:t>:</w:t>
      </w:r>
      <w:r w:rsidR="006603F9" w:rsidRPr="0064597D">
        <w:rPr>
          <w:sz w:val="20"/>
          <w:szCs w:val="20"/>
          <w:lang w:val="es-ES" w:eastAsia="es-ES_tradnl"/>
        </w:rPr>
        <w:t xml:space="preserve"> </w:t>
      </w:r>
      <w:r w:rsidR="00546083" w:rsidRPr="0064597D">
        <w:rPr>
          <w:sz w:val="20"/>
          <w:szCs w:val="20"/>
          <w:lang w:val="es-ES" w:eastAsia="es-ES_tradnl"/>
        </w:rPr>
        <w:t xml:space="preserve">(i) </w:t>
      </w:r>
      <w:r w:rsidR="006603F9" w:rsidRPr="0064597D">
        <w:rPr>
          <w:sz w:val="20"/>
          <w:szCs w:val="20"/>
          <w:lang w:val="es-ES" w:eastAsia="es-ES_tradnl"/>
        </w:rPr>
        <w:t>las torturas sufridas por su hermano</w:t>
      </w:r>
      <w:r w:rsidR="001228C1" w:rsidRPr="0064597D">
        <w:rPr>
          <w:sz w:val="20"/>
          <w:szCs w:val="20"/>
          <w:lang w:val="es-ES" w:eastAsia="es-ES_tradnl"/>
        </w:rPr>
        <w:t xml:space="preserve"> el </w:t>
      </w:r>
      <w:r w:rsidR="00546083" w:rsidRPr="0064597D">
        <w:rPr>
          <w:sz w:val="20"/>
          <w:szCs w:val="20"/>
          <w:lang w:val="es-ES" w:eastAsia="es-ES_tradnl"/>
        </w:rPr>
        <w:t xml:space="preserve">día de su detención el </w:t>
      </w:r>
      <w:r w:rsidR="003F7C36" w:rsidRPr="0064597D">
        <w:rPr>
          <w:sz w:val="20"/>
          <w:szCs w:val="20"/>
          <w:lang w:val="es-ES" w:eastAsia="es-ES_tradnl"/>
        </w:rPr>
        <w:t>6</w:t>
      </w:r>
      <w:r w:rsidR="001228C1" w:rsidRPr="0064597D">
        <w:rPr>
          <w:sz w:val="20"/>
          <w:szCs w:val="20"/>
          <w:lang w:val="es-ES" w:eastAsia="es-ES_tradnl"/>
        </w:rPr>
        <w:t xml:space="preserve"> de </w:t>
      </w:r>
      <w:r w:rsidR="003F7C36" w:rsidRPr="0064597D">
        <w:rPr>
          <w:sz w:val="20"/>
          <w:szCs w:val="20"/>
          <w:lang w:val="es-ES" w:eastAsia="es-ES_tradnl"/>
        </w:rPr>
        <w:t>agosto</w:t>
      </w:r>
      <w:r w:rsidR="001228C1" w:rsidRPr="0064597D">
        <w:rPr>
          <w:sz w:val="20"/>
          <w:szCs w:val="20"/>
          <w:lang w:val="es-ES" w:eastAsia="es-ES_tradnl"/>
        </w:rPr>
        <w:t xml:space="preserve"> de 1997, así como las ulteriores secuelas;</w:t>
      </w:r>
      <w:r w:rsidR="006603F9" w:rsidRPr="0064597D">
        <w:rPr>
          <w:sz w:val="20"/>
          <w:szCs w:val="20"/>
          <w:lang w:val="es-ES" w:eastAsia="es-ES_tradnl"/>
        </w:rPr>
        <w:t xml:space="preserve"> </w:t>
      </w:r>
      <w:r w:rsidR="00546083" w:rsidRPr="0064597D">
        <w:rPr>
          <w:sz w:val="20"/>
          <w:szCs w:val="20"/>
          <w:lang w:val="es-ES" w:eastAsia="es-ES_tradnl"/>
        </w:rPr>
        <w:t xml:space="preserve">(ii) </w:t>
      </w:r>
      <w:r w:rsidR="006603F9" w:rsidRPr="0064597D">
        <w:rPr>
          <w:sz w:val="20"/>
          <w:szCs w:val="20"/>
          <w:lang w:val="es-ES" w:eastAsia="es-ES_tradnl"/>
        </w:rPr>
        <w:t>la imposición de la pena de muerte</w:t>
      </w:r>
      <w:r w:rsidR="00523392" w:rsidRPr="0064597D">
        <w:rPr>
          <w:sz w:val="20"/>
          <w:szCs w:val="20"/>
          <w:lang w:val="es-ES" w:eastAsia="es-ES_tradnl"/>
        </w:rPr>
        <w:t>;</w:t>
      </w:r>
      <w:r w:rsidR="006603F9" w:rsidRPr="0064597D">
        <w:rPr>
          <w:sz w:val="20"/>
          <w:szCs w:val="20"/>
          <w:lang w:val="es-ES" w:eastAsia="es-ES_tradnl"/>
        </w:rPr>
        <w:t xml:space="preserve"> </w:t>
      </w:r>
      <w:r w:rsidR="00546083" w:rsidRPr="0064597D">
        <w:rPr>
          <w:sz w:val="20"/>
          <w:szCs w:val="20"/>
          <w:lang w:val="es-ES" w:eastAsia="es-ES_tradnl"/>
        </w:rPr>
        <w:t xml:space="preserve">(iii) </w:t>
      </w:r>
      <w:r w:rsidR="001228C1" w:rsidRPr="0064597D">
        <w:rPr>
          <w:sz w:val="20"/>
          <w:szCs w:val="20"/>
          <w:lang w:val="es-ES" w:eastAsia="es-ES_tradnl"/>
        </w:rPr>
        <w:t>la</w:t>
      </w:r>
      <w:r w:rsidR="006603F9" w:rsidRPr="0064597D">
        <w:rPr>
          <w:sz w:val="20"/>
          <w:szCs w:val="20"/>
          <w:lang w:val="es-ES" w:eastAsia="es-ES_tradnl"/>
        </w:rPr>
        <w:t xml:space="preserve"> posterior ejecución extrajudicial</w:t>
      </w:r>
      <w:r w:rsidR="00523392" w:rsidRPr="0064597D">
        <w:rPr>
          <w:sz w:val="20"/>
          <w:szCs w:val="20"/>
          <w:lang w:val="es-ES" w:eastAsia="es-ES_tradnl"/>
        </w:rPr>
        <w:t>,</w:t>
      </w:r>
      <w:r w:rsidR="001228C1" w:rsidRPr="0064597D">
        <w:rPr>
          <w:sz w:val="20"/>
          <w:szCs w:val="20"/>
          <w:lang w:val="es-ES" w:eastAsia="es-ES_tradnl"/>
        </w:rPr>
        <w:t xml:space="preserve"> y </w:t>
      </w:r>
      <w:r w:rsidR="00546083" w:rsidRPr="0064597D">
        <w:rPr>
          <w:sz w:val="20"/>
          <w:szCs w:val="20"/>
          <w:lang w:val="es-ES" w:eastAsia="es-ES_tradnl"/>
        </w:rPr>
        <w:t xml:space="preserve">(iv) </w:t>
      </w:r>
      <w:r w:rsidR="001228C1" w:rsidRPr="0064597D">
        <w:rPr>
          <w:sz w:val="20"/>
          <w:szCs w:val="20"/>
          <w:lang w:val="es-ES" w:eastAsia="es-ES_tradnl"/>
        </w:rPr>
        <w:t>la ausencia de investigación de los hechos por parte de las autoridades estatales</w:t>
      </w:r>
      <w:r w:rsidR="006603F9" w:rsidRPr="0064597D">
        <w:rPr>
          <w:sz w:val="20"/>
          <w:szCs w:val="20"/>
          <w:lang w:val="es-ES" w:eastAsia="es-ES_tradnl"/>
        </w:rPr>
        <w:t>,</w:t>
      </w:r>
      <w:r w:rsidRPr="0064597D">
        <w:rPr>
          <w:lang w:val="es-ES" w:eastAsia="es-ES_tradnl"/>
        </w:rPr>
        <w:t xml:space="preserve"> </w:t>
      </w:r>
      <w:r w:rsidR="001C042E" w:rsidRPr="0064597D">
        <w:rPr>
          <w:sz w:val="20"/>
          <w:szCs w:val="20"/>
        </w:rPr>
        <w:t xml:space="preserve">la </w:t>
      </w:r>
      <w:r w:rsidR="001B4B25" w:rsidRPr="0064597D">
        <w:rPr>
          <w:sz w:val="20"/>
          <w:szCs w:val="20"/>
        </w:rPr>
        <w:t>hermana del señor</w:t>
      </w:r>
      <w:r w:rsidR="001C042E" w:rsidRPr="0064597D">
        <w:rPr>
          <w:sz w:val="20"/>
          <w:szCs w:val="20"/>
        </w:rPr>
        <w:t xml:space="preserve"> Ruiz Fuentes padeció un profundo sufrimiento y angustia en detrimento de su integridad </w:t>
      </w:r>
      <w:r w:rsidR="00512F82" w:rsidRPr="0064597D">
        <w:rPr>
          <w:sz w:val="20"/>
          <w:szCs w:val="20"/>
        </w:rPr>
        <w:t>psíquica</w:t>
      </w:r>
      <w:r w:rsidR="001C042E" w:rsidRPr="0064597D">
        <w:rPr>
          <w:sz w:val="20"/>
          <w:szCs w:val="20"/>
        </w:rPr>
        <w:t xml:space="preserve"> y moral. En consecuencia, la Corte concluye que el Estado violó el derecho a la integridad personal establecido en el </w:t>
      </w:r>
      <w:r w:rsidR="00512F82" w:rsidRPr="0064597D">
        <w:rPr>
          <w:sz w:val="20"/>
          <w:szCs w:val="20"/>
        </w:rPr>
        <w:t>artículo</w:t>
      </w:r>
      <w:r w:rsidR="001C042E" w:rsidRPr="0064597D">
        <w:rPr>
          <w:sz w:val="20"/>
          <w:szCs w:val="20"/>
        </w:rPr>
        <w:t xml:space="preserve"> 5.1 de la </w:t>
      </w:r>
      <w:r w:rsidR="00512F82" w:rsidRPr="0064597D">
        <w:rPr>
          <w:sz w:val="20"/>
          <w:szCs w:val="20"/>
        </w:rPr>
        <w:t>Convención</w:t>
      </w:r>
      <w:r w:rsidR="001C042E" w:rsidRPr="0064597D">
        <w:rPr>
          <w:sz w:val="20"/>
          <w:szCs w:val="20"/>
        </w:rPr>
        <w:t xml:space="preserve"> Americana, en </w:t>
      </w:r>
      <w:r w:rsidR="00512F82" w:rsidRPr="0064597D">
        <w:rPr>
          <w:sz w:val="20"/>
          <w:szCs w:val="20"/>
        </w:rPr>
        <w:t>relación</w:t>
      </w:r>
      <w:r w:rsidR="001C042E" w:rsidRPr="0064597D">
        <w:rPr>
          <w:sz w:val="20"/>
          <w:szCs w:val="20"/>
        </w:rPr>
        <w:t xml:space="preserve"> con el </w:t>
      </w:r>
      <w:r w:rsidR="00512F82" w:rsidRPr="0064597D">
        <w:rPr>
          <w:sz w:val="20"/>
          <w:szCs w:val="20"/>
        </w:rPr>
        <w:t>artículo</w:t>
      </w:r>
      <w:r w:rsidR="001C042E" w:rsidRPr="0064597D">
        <w:rPr>
          <w:sz w:val="20"/>
          <w:szCs w:val="20"/>
        </w:rPr>
        <w:t xml:space="preserve"> 1.1 del mismo instrumento.</w:t>
      </w:r>
    </w:p>
    <w:p w14:paraId="73597AC2" w14:textId="77777777" w:rsidR="00A74874" w:rsidRPr="0064597D" w:rsidRDefault="00413443" w:rsidP="00A74874">
      <w:pPr>
        <w:pStyle w:val="Ttulo1"/>
      </w:pPr>
      <w:bookmarkStart w:id="93" w:name="_Toc24014573"/>
      <w:bookmarkStart w:id="94" w:name="_Toc514172661"/>
      <w:bookmarkStart w:id="95" w:name="_Toc375517149"/>
      <w:bookmarkStart w:id="96" w:name="_Toc449460763"/>
      <w:bookmarkStart w:id="97" w:name="_Toc459158147"/>
      <w:bookmarkStart w:id="98" w:name="_Toc495658693"/>
      <w:bookmarkStart w:id="99" w:name="_Toc15933770"/>
      <w:r w:rsidRPr="0064597D">
        <w:lastRenderedPageBreak/>
        <w:t>IX</w:t>
      </w:r>
      <w:r w:rsidRPr="0064597D">
        <w:br/>
        <w:t>REPARACIONES</w:t>
      </w:r>
      <w:bookmarkEnd w:id="93"/>
    </w:p>
    <w:bookmarkEnd w:id="94"/>
    <w:bookmarkEnd w:id="95"/>
    <w:bookmarkEnd w:id="96"/>
    <w:bookmarkEnd w:id="97"/>
    <w:bookmarkEnd w:id="98"/>
    <w:bookmarkEnd w:id="99"/>
    <w:p w14:paraId="2B4F932D" w14:textId="00EC35BA" w:rsidR="00413443" w:rsidRPr="0064597D" w:rsidRDefault="00413443" w:rsidP="00A74874">
      <w:pPr>
        <w:numPr>
          <w:ilvl w:val="0"/>
          <w:numId w:val="1"/>
        </w:numPr>
        <w:tabs>
          <w:tab w:val="left" w:pos="567"/>
          <w:tab w:val="num" w:pos="5057"/>
        </w:tabs>
        <w:spacing w:line="240" w:lineRule="auto"/>
        <w:ind w:left="0" w:firstLine="0"/>
        <w:textAlignment w:val="auto"/>
        <w:rPr>
          <w:bCs/>
          <w:sz w:val="20"/>
          <w:szCs w:val="20"/>
          <w:lang w:bidi="en-US"/>
        </w:rPr>
      </w:pPr>
      <w:r w:rsidRPr="0064597D">
        <w:rPr>
          <w:bCs/>
          <w:sz w:val="20"/>
          <w:szCs w:val="20"/>
          <w:lang w:bidi="en-US"/>
        </w:rPr>
        <w:t>Sobre la base de lo dispuesto en el artículo 63.1 de la Convención Americana</w:t>
      </w:r>
      <w:r w:rsidRPr="0064597D">
        <w:rPr>
          <w:bCs/>
          <w:sz w:val="20"/>
          <w:szCs w:val="20"/>
          <w:vertAlign w:val="superscript"/>
          <w:lang w:bidi="en-US"/>
        </w:rPr>
        <w:footnoteReference w:id="234"/>
      </w:r>
      <w:r w:rsidRPr="0064597D">
        <w:rPr>
          <w:bCs/>
          <w:sz w:val="20"/>
          <w:szCs w:val="20"/>
          <w:lang w:bidi="en-US"/>
        </w:rPr>
        <w:t>, la Corte ha indicado que toda violación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r w:rsidRPr="0064597D">
        <w:rPr>
          <w:bCs/>
          <w:sz w:val="20"/>
          <w:szCs w:val="20"/>
          <w:vertAlign w:val="superscript"/>
          <w:lang w:bidi="en-US"/>
        </w:rPr>
        <w:footnoteReference w:id="235"/>
      </w:r>
      <w:r w:rsidRPr="0064597D">
        <w:rPr>
          <w:bCs/>
          <w:sz w:val="20"/>
          <w:szCs w:val="20"/>
          <w:lang w:bidi="en-US"/>
        </w:rPr>
        <w:t>.</w:t>
      </w:r>
    </w:p>
    <w:p w14:paraId="26CDFC44" w14:textId="77777777" w:rsidR="00413443" w:rsidRPr="0064597D" w:rsidRDefault="00413443" w:rsidP="00413443">
      <w:pPr>
        <w:autoSpaceDE w:val="0"/>
        <w:autoSpaceDN w:val="0"/>
        <w:spacing w:line="240" w:lineRule="auto"/>
        <w:rPr>
          <w:rFonts w:cs="Verdana"/>
          <w:sz w:val="20"/>
          <w:szCs w:val="20"/>
        </w:rPr>
      </w:pPr>
    </w:p>
    <w:p w14:paraId="47538B27" w14:textId="77777777" w:rsidR="00413443" w:rsidRPr="0064597D" w:rsidRDefault="00413443" w:rsidP="00413443">
      <w:pPr>
        <w:numPr>
          <w:ilvl w:val="0"/>
          <w:numId w:val="1"/>
        </w:numPr>
        <w:tabs>
          <w:tab w:val="left" w:pos="567"/>
          <w:tab w:val="num" w:pos="5057"/>
        </w:tabs>
        <w:spacing w:line="240" w:lineRule="auto"/>
        <w:ind w:left="0" w:firstLine="0"/>
        <w:textAlignment w:val="auto"/>
        <w:rPr>
          <w:sz w:val="20"/>
          <w:szCs w:val="20"/>
          <w:lang w:bidi="en-US"/>
        </w:rPr>
      </w:pPr>
      <w:r w:rsidRPr="0064597D">
        <w:rPr>
          <w:bCs/>
          <w:sz w:val="20"/>
          <w:szCs w:val="20"/>
          <w:lang w:bidi="en-US"/>
        </w:rPr>
        <w:t xml:space="preserve">La </w:t>
      </w:r>
      <w:r w:rsidRPr="0064597D">
        <w:rPr>
          <w:sz w:val="20"/>
          <w:szCs w:val="20"/>
          <w:lang w:eastAsia="es-ES" w:bidi="en-US"/>
        </w:rPr>
        <w:t>reparación</w:t>
      </w:r>
      <w:r w:rsidRPr="0064597D">
        <w:rPr>
          <w:bCs/>
          <w:sz w:val="20"/>
          <w:szCs w:val="20"/>
          <w:lang w:bidi="en-US"/>
        </w:rPr>
        <w:t xml:space="preserve"> del daño ocasionado por la infracción de una obligación internacional requiere, siempre que sea posible, la plena restitución (</w:t>
      </w:r>
      <w:r w:rsidRPr="0064597D">
        <w:rPr>
          <w:bCs/>
          <w:i/>
          <w:sz w:val="20"/>
          <w:szCs w:val="20"/>
          <w:lang w:bidi="en-US"/>
        </w:rPr>
        <w:t>restitutio in integrum</w:t>
      </w:r>
      <w:r w:rsidRPr="0064597D">
        <w:rPr>
          <w:bCs/>
          <w:sz w:val="20"/>
          <w:szCs w:val="20"/>
          <w:lang w:bidi="en-US"/>
        </w:rPr>
        <w:t>), que consiste en el restablecimiento de la situación anterior. De no ser esto factible, como ocurre en la mayoría de los casos de violaciones a derechos humanos, el Tribunal determinará medidas para garantizar los derechos conculcados y reparar las consecuencias que las infracciones produjeron</w:t>
      </w:r>
      <w:r w:rsidRPr="0064597D">
        <w:rPr>
          <w:sz w:val="20"/>
          <w:szCs w:val="20"/>
          <w:vertAlign w:val="superscript"/>
          <w:lang w:bidi="en-US"/>
        </w:rPr>
        <w:footnoteReference w:id="236"/>
      </w:r>
      <w:r w:rsidRPr="0064597D">
        <w:rPr>
          <w:bCs/>
          <w:sz w:val="20"/>
          <w:szCs w:val="20"/>
          <w:lang w:bidi="en-US"/>
        </w:rPr>
        <w:t xml:space="preserve">. Por tanto, </w:t>
      </w:r>
      <w:r w:rsidRPr="0064597D">
        <w:rPr>
          <w:sz w:val="20"/>
          <w:szCs w:val="20"/>
          <w:lang w:bidi="en-US"/>
        </w:rPr>
        <w:t>la Corte ha considerado la necesidad de otorgar diversas medidas de reparación a fin de resarcir los daños de manera integral por lo que, además de las compensaciones pecuniarias, las medidas de restitución, rehabilitación, satisfacción y garantías de no repetición tienen especial relevancia por los daños ocasionados</w:t>
      </w:r>
      <w:r w:rsidRPr="0064597D">
        <w:rPr>
          <w:sz w:val="20"/>
          <w:szCs w:val="20"/>
          <w:vertAlign w:val="superscript"/>
          <w:lang w:bidi="en-US"/>
        </w:rPr>
        <w:footnoteReference w:id="237"/>
      </w:r>
      <w:r w:rsidRPr="0064597D">
        <w:rPr>
          <w:sz w:val="20"/>
          <w:szCs w:val="20"/>
          <w:lang w:bidi="en-US"/>
        </w:rPr>
        <w:t>.</w:t>
      </w:r>
    </w:p>
    <w:p w14:paraId="6B0E37D3" w14:textId="77777777" w:rsidR="00413443" w:rsidRPr="0064597D" w:rsidRDefault="00413443" w:rsidP="00413443">
      <w:pPr>
        <w:autoSpaceDE w:val="0"/>
        <w:autoSpaceDN w:val="0"/>
        <w:spacing w:line="240" w:lineRule="auto"/>
        <w:rPr>
          <w:rFonts w:cs="Verdana"/>
          <w:sz w:val="20"/>
          <w:szCs w:val="20"/>
        </w:rPr>
      </w:pPr>
    </w:p>
    <w:p w14:paraId="1B807FA2" w14:textId="77777777" w:rsidR="00413443" w:rsidRPr="0064597D" w:rsidRDefault="00413443" w:rsidP="00413443">
      <w:pPr>
        <w:numPr>
          <w:ilvl w:val="0"/>
          <w:numId w:val="1"/>
        </w:numPr>
        <w:tabs>
          <w:tab w:val="left" w:pos="567"/>
          <w:tab w:val="num" w:pos="12305"/>
        </w:tabs>
        <w:spacing w:line="240" w:lineRule="auto"/>
        <w:ind w:left="0" w:firstLine="0"/>
        <w:textAlignment w:val="auto"/>
        <w:rPr>
          <w:sz w:val="20"/>
          <w:szCs w:val="20"/>
        </w:rPr>
      </w:pPr>
      <w:r w:rsidRPr="0064597D">
        <w:rPr>
          <w:sz w:val="20"/>
          <w:szCs w:val="20"/>
          <w:lang w:bidi="en-US"/>
        </w:rPr>
        <w:t xml:space="preserve">La </w:t>
      </w:r>
      <w:r w:rsidRPr="0064597D">
        <w:rPr>
          <w:bCs/>
          <w:sz w:val="20"/>
          <w:szCs w:val="20"/>
          <w:lang w:bidi="en-US"/>
        </w:rPr>
        <w:t>Corte</w:t>
      </w:r>
      <w:r w:rsidRPr="0064597D">
        <w:rPr>
          <w:sz w:val="20"/>
          <w:szCs w:val="20"/>
          <w:lang w:bidi="en-US"/>
        </w:rPr>
        <w:t xml:space="preserve"> ha establecido que las reparaciones deben tener un nexo causal con los hechos del caso, las violaciones declaradas, los daños acreditados, así como las medidas solicitadas para reparar los daños respectivos. Por lo tanto, la Corte deberá observar dicha concurrencia para pronunciarse debidamente y conforme a derecho</w:t>
      </w:r>
      <w:r w:rsidRPr="0064597D">
        <w:rPr>
          <w:sz w:val="20"/>
          <w:szCs w:val="20"/>
          <w:vertAlign w:val="superscript"/>
          <w:lang w:bidi="en-US"/>
        </w:rPr>
        <w:footnoteReference w:id="238"/>
      </w:r>
      <w:r w:rsidRPr="0064597D">
        <w:rPr>
          <w:sz w:val="20"/>
          <w:szCs w:val="20"/>
          <w:lang w:bidi="en-US"/>
        </w:rPr>
        <w:t xml:space="preserve">. </w:t>
      </w:r>
      <w:r w:rsidRPr="0064597D">
        <w:rPr>
          <w:sz w:val="20"/>
          <w:szCs w:val="20"/>
        </w:rPr>
        <w:t>Asimismo, la Corte estima que las reparaciones deberán incluir un análisis que contemple no sólo el derecho de la víctima a obtener una reparación, sino que, además, incorpore una perspectiva de género, tanto en su formulación como en su implementación</w:t>
      </w:r>
      <w:r w:rsidRPr="0064597D">
        <w:rPr>
          <w:rStyle w:val="Refdenotaalpie"/>
          <w:sz w:val="20"/>
          <w:szCs w:val="20"/>
        </w:rPr>
        <w:footnoteReference w:id="239"/>
      </w:r>
      <w:r w:rsidRPr="0064597D">
        <w:rPr>
          <w:sz w:val="20"/>
          <w:szCs w:val="20"/>
        </w:rPr>
        <w:t>.</w:t>
      </w:r>
    </w:p>
    <w:p w14:paraId="2BAD2592" w14:textId="77777777" w:rsidR="00413443" w:rsidRPr="0064597D" w:rsidRDefault="00413443" w:rsidP="00413443">
      <w:pPr>
        <w:tabs>
          <w:tab w:val="left" w:pos="567"/>
        </w:tabs>
        <w:spacing w:line="240" w:lineRule="auto"/>
        <w:rPr>
          <w:sz w:val="20"/>
          <w:szCs w:val="20"/>
          <w:lang w:bidi="en-US"/>
        </w:rPr>
      </w:pPr>
    </w:p>
    <w:p w14:paraId="575517CC" w14:textId="17625E26" w:rsidR="00413443" w:rsidRPr="0064597D" w:rsidRDefault="00413443" w:rsidP="00413443">
      <w:pPr>
        <w:numPr>
          <w:ilvl w:val="0"/>
          <w:numId w:val="1"/>
        </w:numPr>
        <w:tabs>
          <w:tab w:val="left" w:pos="567"/>
          <w:tab w:val="num" w:pos="5057"/>
        </w:tabs>
        <w:spacing w:line="240" w:lineRule="auto"/>
        <w:ind w:left="0" w:firstLine="0"/>
        <w:textAlignment w:val="auto"/>
        <w:rPr>
          <w:sz w:val="20"/>
          <w:szCs w:val="20"/>
          <w:lang w:bidi="en-US"/>
        </w:rPr>
      </w:pPr>
      <w:r w:rsidRPr="0064597D">
        <w:rPr>
          <w:sz w:val="20"/>
          <w:szCs w:val="20"/>
        </w:rPr>
        <w:t>Tomando en cuenta las violaciones a la Convención Americana declaradas en los capítulos anteriores, a la luz de los criterios fijados en la jurisprudencia del Tribunal en relación con la naturaleza y alcances de la obligación de reparar</w:t>
      </w:r>
      <w:r w:rsidRPr="0064597D">
        <w:rPr>
          <w:rFonts w:eastAsia="Calibri"/>
          <w:sz w:val="20"/>
          <w:szCs w:val="20"/>
          <w:vertAlign w:val="superscript"/>
        </w:rPr>
        <w:footnoteReference w:id="240"/>
      </w:r>
      <w:r w:rsidRPr="0064597D">
        <w:rPr>
          <w:sz w:val="20"/>
          <w:szCs w:val="20"/>
        </w:rPr>
        <w:t>, la Corte analizará las pretensiones presentadas por la Comisión y las representantes, así como los argumentos del Estado al respecto, con el objeto de disponer a continuación las medidas tendientes a reparar dichas violaciones.</w:t>
      </w:r>
    </w:p>
    <w:p w14:paraId="772303D3" w14:textId="4A4BFDA9" w:rsidR="00072585" w:rsidRPr="0064597D" w:rsidRDefault="00072585" w:rsidP="00072585">
      <w:pPr>
        <w:pStyle w:val="Ttulo2"/>
      </w:pPr>
      <w:bookmarkStart w:id="100" w:name="_Toc24014574"/>
      <w:bookmarkStart w:id="101" w:name="_Toc15933771"/>
      <w:r w:rsidRPr="0064597D">
        <w:t>A.</w:t>
      </w:r>
      <w:r w:rsidRPr="0064597D">
        <w:tab/>
        <w:t>Parte lesionada</w:t>
      </w:r>
      <w:bookmarkEnd w:id="100"/>
    </w:p>
    <w:bookmarkEnd w:id="101"/>
    <w:p w14:paraId="27209663" w14:textId="4DD257AC" w:rsidR="00413443" w:rsidRPr="0064597D" w:rsidRDefault="00413443" w:rsidP="00537AAE">
      <w:pPr>
        <w:numPr>
          <w:ilvl w:val="0"/>
          <w:numId w:val="1"/>
        </w:numPr>
        <w:tabs>
          <w:tab w:val="left" w:pos="567"/>
          <w:tab w:val="num" w:pos="5057"/>
        </w:tabs>
        <w:spacing w:line="240" w:lineRule="auto"/>
        <w:ind w:left="0" w:firstLine="0"/>
        <w:textAlignment w:val="auto"/>
        <w:rPr>
          <w:sz w:val="20"/>
          <w:szCs w:val="20"/>
          <w:lang w:val="es-ES" w:eastAsia="es-ES_tradnl"/>
        </w:rPr>
      </w:pPr>
      <w:r w:rsidRPr="0064597D">
        <w:rPr>
          <w:sz w:val="20"/>
          <w:szCs w:val="20"/>
          <w:lang w:val="es-ES" w:eastAsia="es-ES_tradnl"/>
        </w:rPr>
        <w:t xml:space="preserve">Este Tribunal considera parte lesionada, en los términos del artículo 63.1 de la </w:t>
      </w:r>
      <w:r w:rsidRPr="0064597D">
        <w:rPr>
          <w:sz w:val="20"/>
          <w:szCs w:val="20"/>
        </w:rPr>
        <w:t>Convención</w:t>
      </w:r>
      <w:r w:rsidRPr="0064597D">
        <w:rPr>
          <w:sz w:val="20"/>
          <w:szCs w:val="20"/>
          <w:lang w:val="es-ES" w:eastAsia="es-ES_tradnl"/>
        </w:rPr>
        <w:t xml:space="preserve">, a </w:t>
      </w:r>
      <w:r w:rsidRPr="0064597D">
        <w:rPr>
          <w:sz w:val="20"/>
          <w:szCs w:val="20"/>
          <w:lang w:eastAsia="es-ES" w:bidi="en-US"/>
        </w:rPr>
        <w:t>quienes</w:t>
      </w:r>
      <w:r w:rsidRPr="0064597D">
        <w:rPr>
          <w:sz w:val="20"/>
          <w:szCs w:val="20"/>
          <w:lang w:val="es-ES" w:eastAsia="es-ES_tradnl"/>
        </w:rPr>
        <w:t xml:space="preserve"> han sido </w:t>
      </w:r>
      <w:r w:rsidRPr="0064597D">
        <w:rPr>
          <w:sz w:val="20"/>
          <w:szCs w:val="20"/>
          <w:lang w:eastAsia="es-ES" w:bidi="en-US"/>
        </w:rPr>
        <w:t>declaradas</w:t>
      </w:r>
      <w:r w:rsidRPr="0064597D">
        <w:rPr>
          <w:sz w:val="20"/>
          <w:szCs w:val="20"/>
          <w:lang w:val="es-ES" w:eastAsia="es-ES_tradnl"/>
        </w:rPr>
        <w:t xml:space="preserve"> víctimas de la violación de algún derecho reconocido en la misma. Por lo tanto, esta Corte considera como “parte lesionada” al señor Hugo Humberto Ruiz Fuentes y a su hermana</w:t>
      </w:r>
      <w:r w:rsidR="004305CD" w:rsidRPr="0064597D">
        <w:rPr>
          <w:sz w:val="20"/>
          <w:szCs w:val="20"/>
          <w:lang w:val="es-ES" w:eastAsia="es-ES_tradnl"/>
        </w:rPr>
        <w:t>,</w:t>
      </w:r>
      <w:r w:rsidR="00A13065" w:rsidRPr="0064597D">
        <w:rPr>
          <w:sz w:val="20"/>
          <w:szCs w:val="20"/>
        </w:rPr>
        <w:t xml:space="preserve"> </w:t>
      </w:r>
      <w:r w:rsidRPr="0064597D">
        <w:rPr>
          <w:sz w:val="20"/>
          <w:szCs w:val="20"/>
          <w:lang w:val="es-ES" w:eastAsia="es-ES_tradnl"/>
        </w:rPr>
        <w:t xml:space="preserve">quienes en su carácter de víctimas de las violaciones declaradas en </w:t>
      </w:r>
      <w:r w:rsidR="006179A5" w:rsidRPr="0064597D">
        <w:rPr>
          <w:sz w:val="20"/>
          <w:szCs w:val="20"/>
          <w:lang w:val="es-ES" w:eastAsia="es-ES_tradnl"/>
        </w:rPr>
        <w:t>el</w:t>
      </w:r>
      <w:r w:rsidRPr="0064597D">
        <w:rPr>
          <w:sz w:val="20"/>
          <w:szCs w:val="20"/>
          <w:lang w:val="es-ES" w:eastAsia="es-ES_tradnl"/>
        </w:rPr>
        <w:t xml:space="preserve"> capítulo </w:t>
      </w:r>
      <w:r w:rsidR="006179A5" w:rsidRPr="0064597D">
        <w:rPr>
          <w:sz w:val="20"/>
          <w:szCs w:val="20"/>
          <w:lang w:val="es-ES" w:eastAsia="es-ES_tradnl"/>
        </w:rPr>
        <w:t>VIII</w:t>
      </w:r>
      <w:r w:rsidRPr="0064597D">
        <w:rPr>
          <w:sz w:val="20"/>
          <w:szCs w:val="20"/>
          <w:lang w:val="es-ES" w:eastAsia="es-ES_tradnl"/>
        </w:rPr>
        <w:t xml:space="preserve"> serán beneficiarios de las reparaciones que la Corte ordene. </w:t>
      </w:r>
      <w:r w:rsidR="00514160" w:rsidRPr="0064597D">
        <w:rPr>
          <w:sz w:val="20"/>
          <w:szCs w:val="20"/>
          <w:lang w:val="es-ES" w:eastAsia="es-ES_tradnl"/>
        </w:rPr>
        <w:t>En consecuencia, la Corte solo se referirá a los alegatos de las partes y la Comisión relativos a las personas que han sido declaradas víctimas.</w:t>
      </w:r>
    </w:p>
    <w:p w14:paraId="4ACA1FF9" w14:textId="7769467F" w:rsidR="00072585" w:rsidRPr="0064597D" w:rsidRDefault="00072585" w:rsidP="00072585">
      <w:pPr>
        <w:pStyle w:val="Ttulo2"/>
      </w:pPr>
      <w:bookmarkStart w:id="102" w:name="_Toc24014575"/>
      <w:bookmarkStart w:id="103" w:name="_Toc15064196"/>
      <w:bookmarkStart w:id="104" w:name="_Toc15933772"/>
      <w:r w:rsidRPr="0064597D">
        <w:lastRenderedPageBreak/>
        <w:t>B.</w:t>
      </w:r>
      <w:r w:rsidRPr="0064597D">
        <w:tab/>
        <w:t>Investigación, determinación, enjuiciamiento y, en su caso, sanción de todos los responsables</w:t>
      </w:r>
      <w:bookmarkEnd w:id="102"/>
    </w:p>
    <w:bookmarkEnd w:id="103"/>
    <w:bookmarkEnd w:id="104"/>
    <w:p w14:paraId="330A8A8F" w14:textId="3BF4D4FC" w:rsidR="00413443" w:rsidRPr="0064597D" w:rsidRDefault="00413443" w:rsidP="00413443">
      <w:pPr>
        <w:numPr>
          <w:ilvl w:val="0"/>
          <w:numId w:val="1"/>
        </w:numPr>
        <w:tabs>
          <w:tab w:val="left" w:pos="567"/>
          <w:tab w:val="num" w:pos="5057"/>
        </w:tabs>
        <w:spacing w:line="240" w:lineRule="auto"/>
        <w:ind w:left="0" w:firstLine="0"/>
        <w:textAlignment w:val="auto"/>
        <w:rPr>
          <w:rFonts w:eastAsia="MS Mincho"/>
          <w:sz w:val="20"/>
          <w:szCs w:val="20"/>
          <w:lang w:bidi="en-US"/>
        </w:rPr>
      </w:pPr>
      <w:r w:rsidRPr="0064597D">
        <w:rPr>
          <w:rFonts w:eastAsia="MS Mincho"/>
          <w:sz w:val="20"/>
          <w:szCs w:val="20"/>
          <w:lang w:bidi="en-US"/>
        </w:rPr>
        <w:t xml:space="preserve">La </w:t>
      </w:r>
      <w:r w:rsidRPr="0064597D">
        <w:rPr>
          <w:rFonts w:eastAsia="MS Mincho"/>
          <w:b/>
          <w:i/>
          <w:sz w:val="20"/>
          <w:szCs w:val="20"/>
          <w:lang w:bidi="en-US"/>
        </w:rPr>
        <w:t>Comisión</w:t>
      </w:r>
      <w:r w:rsidRPr="0064597D">
        <w:rPr>
          <w:rFonts w:eastAsia="MS Mincho"/>
          <w:sz w:val="20"/>
          <w:szCs w:val="20"/>
          <w:lang w:bidi="en-US"/>
        </w:rPr>
        <w:t xml:space="preserve"> </w:t>
      </w:r>
      <w:r w:rsidRPr="0064597D">
        <w:rPr>
          <w:rFonts w:cs="Cambria"/>
          <w:sz w:val="20"/>
          <w:szCs w:val="20"/>
        </w:rPr>
        <w:t xml:space="preserve">señaló </w:t>
      </w:r>
      <w:r w:rsidR="00897D25" w:rsidRPr="0064597D">
        <w:rPr>
          <w:rFonts w:cs="Cambria"/>
          <w:sz w:val="20"/>
          <w:szCs w:val="20"/>
        </w:rPr>
        <w:t>que el Estado</w:t>
      </w:r>
      <w:r w:rsidRPr="0064597D">
        <w:rPr>
          <w:rFonts w:cs="Cambria"/>
          <w:sz w:val="20"/>
          <w:szCs w:val="20"/>
        </w:rPr>
        <w:t xml:space="preserve"> debía investigar los actos de tortura y la ejecución extrajudicial sufridos por el señor Ruiz Fuentes de manera diligente, efectiva y en un plazo razonable con el objeto de esclarecer los hechos en forma completa, identificar a los autores e imponer las sanciones que corresponden.</w:t>
      </w:r>
      <w:r w:rsidR="006179A5" w:rsidRPr="0064597D">
        <w:rPr>
          <w:rFonts w:cs="Cambria"/>
          <w:sz w:val="20"/>
          <w:szCs w:val="20"/>
        </w:rPr>
        <w:t xml:space="preserve"> L</w:t>
      </w:r>
      <w:r w:rsidRPr="0064597D">
        <w:rPr>
          <w:rFonts w:cs="Cambria"/>
          <w:sz w:val="20"/>
          <w:szCs w:val="20"/>
        </w:rPr>
        <w:t xml:space="preserve">a Comisión </w:t>
      </w:r>
      <w:r w:rsidR="006179A5" w:rsidRPr="0064597D">
        <w:rPr>
          <w:rFonts w:cs="Cambria"/>
          <w:sz w:val="20"/>
          <w:szCs w:val="20"/>
        </w:rPr>
        <w:t>destacó también</w:t>
      </w:r>
      <w:r w:rsidRPr="0064597D">
        <w:rPr>
          <w:rFonts w:cs="Cambria"/>
          <w:sz w:val="20"/>
          <w:szCs w:val="20"/>
        </w:rPr>
        <w:t xml:space="preserve"> la necesidad de que en las investigaciones a futuro se remuevan todos los obstáculos que han causado la situación de impunidad actual y que se esclarezcan las autorías materiales e intelectuales del hecho desentrañando las estructuras criminales que permitieron que este hecho tuviera lugar.</w:t>
      </w:r>
    </w:p>
    <w:p w14:paraId="3672673E" w14:textId="77777777" w:rsidR="00413443" w:rsidRPr="0064597D" w:rsidRDefault="00413443" w:rsidP="00413443">
      <w:pPr>
        <w:tabs>
          <w:tab w:val="left" w:pos="709"/>
          <w:tab w:val="num" w:pos="1427"/>
        </w:tabs>
        <w:spacing w:line="240" w:lineRule="auto"/>
        <w:ind w:right="-90"/>
        <w:rPr>
          <w:sz w:val="20"/>
          <w:szCs w:val="20"/>
        </w:rPr>
      </w:pPr>
    </w:p>
    <w:p w14:paraId="481FAE31" w14:textId="3A9B9C97" w:rsidR="00413443" w:rsidRPr="0064597D" w:rsidRDefault="00897D25" w:rsidP="006958DA">
      <w:pPr>
        <w:numPr>
          <w:ilvl w:val="0"/>
          <w:numId w:val="1"/>
        </w:numPr>
        <w:tabs>
          <w:tab w:val="left" w:pos="567"/>
          <w:tab w:val="num" w:pos="5057"/>
        </w:tabs>
        <w:spacing w:line="240" w:lineRule="auto"/>
        <w:ind w:left="0" w:firstLine="0"/>
        <w:textAlignment w:val="auto"/>
        <w:rPr>
          <w:rFonts w:eastAsia="Verdana" w:cs="Verdana"/>
          <w:b/>
          <w:bCs/>
          <w:sz w:val="20"/>
          <w:szCs w:val="20"/>
        </w:rPr>
      </w:pPr>
      <w:r w:rsidRPr="0064597D">
        <w:rPr>
          <w:bCs/>
          <w:sz w:val="20"/>
          <w:szCs w:val="20"/>
          <w:lang w:bidi="en-US"/>
        </w:rPr>
        <w:t>En el mismo sentido, l</w:t>
      </w:r>
      <w:r w:rsidR="00413443" w:rsidRPr="0064597D">
        <w:rPr>
          <w:bCs/>
          <w:sz w:val="20"/>
          <w:szCs w:val="20"/>
          <w:lang w:bidi="en-US"/>
        </w:rPr>
        <w:t xml:space="preserve">as </w:t>
      </w:r>
      <w:r w:rsidR="00413443" w:rsidRPr="0064597D">
        <w:rPr>
          <w:b/>
          <w:bCs/>
          <w:i/>
          <w:sz w:val="20"/>
          <w:szCs w:val="20"/>
          <w:lang w:bidi="en-US"/>
        </w:rPr>
        <w:t>representantes</w:t>
      </w:r>
      <w:r w:rsidR="00413443" w:rsidRPr="0064597D">
        <w:rPr>
          <w:rFonts w:eastAsia="MS Mincho"/>
          <w:sz w:val="20"/>
          <w:szCs w:val="20"/>
          <w:lang w:bidi="en-US"/>
        </w:rPr>
        <w:t xml:space="preserve">, por su parte, solicitaron que se ordenara al Estado </w:t>
      </w:r>
      <w:r w:rsidR="00413443" w:rsidRPr="0064597D">
        <w:rPr>
          <w:rFonts w:cs="Arial"/>
          <w:sz w:val="20"/>
          <w:szCs w:val="20"/>
        </w:rPr>
        <w:t xml:space="preserve">que investigue de manera seria y efectiva en los términos descritos, tanto los actos de tortura cometidos en contra del señor Ruiz Fuentes al momento de ser capturados como su ejecución extrajudicial. </w:t>
      </w:r>
    </w:p>
    <w:p w14:paraId="54EAA21B" w14:textId="77777777" w:rsidR="00514160" w:rsidRPr="0064597D" w:rsidRDefault="00514160" w:rsidP="00514160">
      <w:pPr>
        <w:tabs>
          <w:tab w:val="left" w:pos="567"/>
        </w:tabs>
        <w:spacing w:line="240" w:lineRule="auto"/>
        <w:textAlignment w:val="auto"/>
        <w:rPr>
          <w:rFonts w:eastAsia="Verdana" w:cs="Verdana"/>
          <w:b/>
          <w:bCs/>
          <w:sz w:val="20"/>
          <w:szCs w:val="20"/>
        </w:rPr>
      </w:pPr>
    </w:p>
    <w:p w14:paraId="026A75A8" w14:textId="7ED32CE9" w:rsidR="00413443" w:rsidRPr="0064597D" w:rsidRDefault="00413443" w:rsidP="00413443">
      <w:pPr>
        <w:numPr>
          <w:ilvl w:val="0"/>
          <w:numId w:val="1"/>
        </w:numPr>
        <w:tabs>
          <w:tab w:val="left" w:pos="567"/>
          <w:tab w:val="num" w:pos="5057"/>
        </w:tabs>
        <w:spacing w:line="240" w:lineRule="auto"/>
        <w:ind w:left="0" w:firstLine="0"/>
        <w:textAlignment w:val="auto"/>
        <w:rPr>
          <w:rFonts w:eastAsia="MS Mincho"/>
          <w:b/>
          <w:sz w:val="20"/>
          <w:szCs w:val="20"/>
        </w:rPr>
      </w:pPr>
      <w:r w:rsidRPr="0064597D">
        <w:rPr>
          <w:rFonts w:eastAsia="MS Mincho"/>
          <w:sz w:val="20"/>
          <w:szCs w:val="20"/>
          <w:lang w:bidi="en-US"/>
        </w:rPr>
        <w:t>El</w:t>
      </w:r>
      <w:r w:rsidRPr="0064597D">
        <w:rPr>
          <w:sz w:val="20"/>
          <w:szCs w:val="20"/>
          <w:lang w:bidi="en-US"/>
        </w:rPr>
        <w:t xml:space="preserve"> </w:t>
      </w:r>
      <w:r w:rsidRPr="0064597D">
        <w:rPr>
          <w:b/>
          <w:i/>
          <w:sz w:val="20"/>
          <w:szCs w:val="20"/>
          <w:lang w:bidi="en-US"/>
        </w:rPr>
        <w:t>Estado</w:t>
      </w:r>
      <w:r w:rsidRPr="0064597D">
        <w:rPr>
          <w:sz w:val="20"/>
          <w:szCs w:val="20"/>
          <w:lang w:bidi="en-US"/>
        </w:rPr>
        <w:t xml:space="preserve"> manifestó que en ningún momento los peticionarios y la Comisión han probado la existencia de actos de tortura, tampoco que la muerte del señor Ruiz Fuentes haya sido una ejecución extrajudicial, menos aún la participación de agentes de seguridad del Estado en la comisión de dicho acto. </w:t>
      </w:r>
    </w:p>
    <w:p w14:paraId="49305811" w14:textId="77777777" w:rsidR="00413443" w:rsidRPr="0064597D" w:rsidRDefault="00413443" w:rsidP="00413443">
      <w:pPr>
        <w:tabs>
          <w:tab w:val="left" w:pos="567"/>
        </w:tabs>
        <w:spacing w:line="240" w:lineRule="auto"/>
        <w:textAlignment w:val="auto"/>
        <w:rPr>
          <w:rFonts w:eastAsia="MS Mincho"/>
          <w:sz w:val="20"/>
          <w:szCs w:val="20"/>
        </w:rPr>
      </w:pPr>
    </w:p>
    <w:p w14:paraId="0ECA987C" w14:textId="35E13286" w:rsidR="00514160" w:rsidRPr="0064597D" w:rsidRDefault="00680C3F" w:rsidP="00514160">
      <w:pPr>
        <w:numPr>
          <w:ilvl w:val="0"/>
          <w:numId w:val="1"/>
        </w:numPr>
        <w:tabs>
          <w:tab w:val="left" w:pos="567"/>
          <w:tab w:val="num" w:pos="5057"/>
        </w:tabs>
        <w:spacing w:line="240" w:lineRule="auto"/>
        <w:ind w:left="0" w:firstLine="0"/>
        <w:textAlignment w:val="auto"/>
        <w:rPr>
          <w:sz w:val="20"/>
          <w:szCs w:val="20"/>
        </w:rPr>
      </w:pPr>
      <w:r w:rsidRPr="0064597D">
        <w:rPr>
          <w:sz w:val="20"/>
          <w:szCs w:val="20"/>
        </w:rPr>
        <w:t xml:space="preserve">Teniendo en cuenta que actualmente se encuentra abierto el proceso penal para esclarecer los hechos relacionados con la muerte del señor </w:t>
      </w:r>
      <w:r w:rsidRPr="0064597D">
        <w:rPr>
          <w:rFonts w:eastAsia="MS Mincho"/>
          <w:sz w:val="20"/>
          <w:szCs w:val="20"/>
          <w:lang w:bidi="en-US"/>
        </w:rPr>
        <w:t>Ruiz Fuentes</w:t>
      </w:r>
      <w:r w:rsidRPr="0064597D">
        <w:rPr>
          <w:sz w:val="20"/>
          <w:szCs w:val="20"/>
        </w:rPr>
        <w:t xml:space="preserve">, la </w:t>
      </w:r>
      <w:r w:rsidRPr="0064597D">
        <w:rPr>
          <w:b/>
          <w:i/>
          <w:sz w:val="20"/>
          <w:szCs w:val="20"/>
        </w:rPr>
        <w:t>Corte</w:t>
      </w:r>
      <w:r w:rsidRPr="0064597D">
        <w:rPr>
          <w:sz w:val="20"/>
          <w:szCs w:val="20"/>
        </w:rPr>
        <w:t xml:space="preserve"> dispone que el Estado debe continuar con las investigaciones que sean necesarias para identificar, juzgar y, en su caso, sancionar a los responsables </w:t>
      </w:r>
      <w:r w:rsidRPr="0064597D">
        <w:rPr>
          <w:rFonts w:eastAsia="MS Mincho"/>
          <w:sz w:val="20"/>
          <w:szCs w:val="20"/>
          <w:lang w:bidi="en-US"/>
        </w:rPr>
        <w:t>de</w:t>
      </w:r>
      <w:r w:rsidRPr="0064597D">
        <w:rPr>
          <w:sz w:val="20"/>
          <w:szCs w:val="20"/>
        </w:rPr>
        <w:t xml:space="preserve"> su muerte. Dicha obligación debe ser cumplida de acuerdo a los estándares establecidos por la jurisprudencia de esta Corte</w:t>
      </w:r>
      <w:r w:rsidRPr="0064597D">
        <w:rPr>
          <w:rStyle w:val="Refdenotaalpie"/>
          <w:sz w:val="20"/>
          <w:szCs w:val="20"/>
        </w:rPr>
        <w:footnoteReference w:id="241"/>
      </w:r>
      <w:r w:rsidR="00514160" w:rsidRPr="0064597D">
        <w:rPr>
          <w:sz w:val="20"/>
          <w:szCs w:val="20"/>
        </w:rPr>
        <w:t>, esto es, con la debida diligencia y en un plazo razonable</w:t>
      </w:r>
      <w:r w:rsidR="00514160" w:rsidRPr="0064597D">
        <w:rPr>
          <w:rStyle w:val="Refdenotaalpie"/>
          <w:sz w:val="20"/>
          <w:szCs w:val="20"/>
        </w:rPr>
        <w:footnoteReference w:id="242"/>
      </w:r>
      <w:r w:rsidR="00514160" w:rsidRPr="0064597D">
        <w:rPr>
          <w:sz w:val="20"/>
          <w:szCs w:val="20"/>
        </w:rPr>
        <w:t xml:space="preserve">. A tal fin, el Estado debe: </w:t>
      </w:r>
      <w:r w:rsidR="001B4B25" w:rsidRPr="0064597D">
        <w:rPr>
          <w:sz w:val="20"/>
          <w:szCs w:val="20"/>
        </w:rPr>
        <w:t>(i)</w:t>
      </w:r>
      <w:r w:rsidR="00514160" w:rsidRPr="0064597D">
        <w:rPr>
          <w:sz w:val="20"/>
          <w:szCs w:val="20"/>
        </w:rPr>
        <w:t xml:space="preserve"> asegurar que los distintos órganos del sistema de justicia involucrados en el caso cuenten con los recursos humanos y materiales necesarios para desempeñar sus tareas de manera adecuada, independiente e imparcial y que las personas que participen en la investigación, entre ellas víctimas, testigos y operadores de justicia, cuenten con las debidas garantías de seguridad</w:t>
      </w:r>
      <w:r w:rsidR="00514160" w:rsidRPr="0064597D">
        <w:rPr>
          <w:sz w:val="20"/>
          <w:szCs w:val="20"/>
          <w:vertAlign w:val="superscript"/>
        </w:rPr>
        <w:footnoteReference w:id="243"/>
      </w:r>
      <w:r w:rsidR="00A15444" w:rsidRPr="0064597D">
        <w:rPr>
          <w:sz w:val="20"/>
          <w:szCs w:val="20"/>
        </w:rPr>
        <w:t xml:space="preserve"> y</w:t>
      </w:r>
      <w:r w:rsidR="001B4B25" w:rsidRPr="0064597D">
        <w:rPr>
          <w:sz w:val="20"/>
          <w:szCs w:val="20"/>
        </w:rPr>
        <w:t xml:space="preserve"> (ii) </w:t>
      </w:r>
      <w:r w:rsidR="00514160" w:rsidRPr="0064597D">
        <w:rPr>
          <w:sz w:val="20"/>
          <w:szCs w:val="20"/>
        </w:rPr>
        <w:t>asegurar el pleno acceso y capacidad de actuar de los familiares del señor Ruiz Fuentes en todas las etapas de estas investigaciones, de acuerdo con la ley interna y las normas de la Convención Americana</w:t>
      </w:r>
      <w:r w:rsidR="00514160" w:rsidRPr="0064597D">
        <w:rPr>
          <w:sz w:val="20"/>
          <w:szCs w:val="20"/>
          <w:vertAlign w:val="superscript"/>
        </w:rPr>
        <w:footnoteReference w:id="244"/>
      </w:r>
      <w:r w:rsidR="00514160" w:rsidRPr="0064597D">
        <w:rPr>
          <w:sz w:val="20"/>
          <w:szCs w:val="20"/>
        </w:rPr>
        <w:t>.</w:t>
      </w:r>
    </w:p>
    <w:p w14:paraId="32865C75" w14:textId="77777777" w:rsidR="00514160" w:rsidRPr="0064597D" w:rsidRDefault="00514160" w:rsidP="00514160">
      <w:pPr>
        <w:tabs>
          <w:tab w:val="left" w:pos="567"/>
        </w:tabs>
        <w:spacing w:line="240" w:lineRule="auto"/>
        <w:textAlignment w:val="auto"/>
        <w:rPr>
          <w:sz w:val="20"/>
          <w:szCs w:val="20"/>
        </w:rPr>
      </w:pPr>
    </w:p>
    <w:p w14:paraId="279AEDF0" w14:textId="04E67241" w:rsidR="00680C3F" w:rsidRPr="0064597D" w:rsidRDefault="00680C3F" w:rsidP="00680C3F">
      <w:pPr>
        <w:numPr>
          <w:ilvl w:val="0"/>
          <w:numId w:val="1"/>
        </w:numPr>
        <w:tabs>
          <w:tab w:val="left" w:pos="567"/>
          <w:tab w:val="num" w:pos="5057"/>
        </w:tabs>
        <w:spacing w:line="240" w:lineRule="auto"/>
        <w:ind w:left="0" w:firstLine="0"/>
        <w:textAlignment w:val="auto"/>
        <w:rPr>
          <w:sz w:val="20"/>
          <w:szCs w:val="20"/>
        </w:rPr>
      </w:pPr>
      <w:r w:rsidRPr="0064597D">
        <w:rPr>
          <w:sz w:val="20"/>
          <w:szCs w:val="20"/>
        </w:rPr>
        <w:t xml:space="preserve">Asimismo, en relación con las torturas sufridas por el señor Ruiz Fuentes al momento de su detención el </w:t>
      </w:r>
      <w:r w:rsidR="00DA7F1B">
        <w:rPr>
          <w:sz w:val="20"/>
          <w:szCs w:val="20"/>
        </w:rPr>
        <w:t xml:space="preserve">6 de agosto de 1997, </w:t>
      </w:r>
      <w:r w:rsidRPr="0064597D">
        <w:rPr>
          <w:sz w:val="20"/>
          <w:szCs w:val="20"/>
          <w:lang w:val="es-PE"/>
        </w:rPr>
        <w:t xml:space="preserve">la Corte determina que el Estado debe iniciar, de acuerdo a lo previsto en la legislación interna, en un plazo </w:t>
      </w:r>
      <w:r w:rsidR="008D1A0F" w:rsidRPr="0064597D">
        <w:rPr>
          <w:sz w:val="20"/>
          <w:szCs w:val="20"/>
          <w:lang w:val="es-PE"/>
        </w:rPr>
        <w:t>no superior a seis meses</w:t>
      </w:r>
      <w:r w:rsidRPr="0064597D">
        <w:rPr>
          <w:sz w:val="20"/>
          <w:szCs w:val="20"/>
          <w:lang w:val="es-PE"/>
        </w:rPr>
        <w:t xml:space="preserve">, la investigación para esclarecer los hechos alegados, </w:t>
      </w:r>
      <w:r w:rsidR="004665E2" w:rsidRPr="0064597D">
        <w:rPr>
          <w:sz w:val="20"/>
          <w:szCs w:val="20"/>
          <w:lang w:val="es-PE"/>
        </w:rPr>
        <w:t xml:space="preserve">y realizarla con la debida diligencia, posibilitando </w:t>
      </w:r>
      <w:r w:rsidRPr="0064597D">
        <w:rPr>
          <w:sz w:val="20"/>
          <w:szCs w:val="20"/>
          <w:lang w:val="es-PE"/>
        </w:rPr>
        <w:t>la participación de los familiares de la víctima o por medio de sus representantes y el acceso a las actuaciones que se desarrollen.</w:t>
      </w:r>
    </w:p>
    <w:p w14:paraId="6765E5D7" w14:textId="3DE31951" w:rsidR="00072585" w:rsidRPr="0064597D" w:rsidRDefault="00072585" w:rsidP="00072585">
      <w:pPr>
        <w:pStyle w:val="Ttulo2"/>
      </w:pPr>
      <w:bookmarkStart w:id="105" w:name="_Toc24014576"/>
      <w:bookmarkStart w:id="106" w:name="_Toc15933773"/>
      <w:r w:rsidRPr="0064597D">
        <w:lastRenderedPageBreak/>
        <w:t>C.</w:t>
      </w:r>
      <w:r w:rsidRPr="0064597D">
        <w:tab/>
        <w:t>Medidas de satisfacción y garantías de no repetición</w:t>
      </w:r>
      <w:bookmarkEnd w:id="105"/>
    </w:p>
    <w:p w14:paraId="1B5F98F9" w14:textId="3C868825" w:rsidR="00413443" w:rsidRPr="0064597D" w:rsidRDefault="00E068B2" w:rsidP="00377181">
      <w:pPr>
        <w:pStyle w:val="Ttulo3"/>
        <w:rPr>
          <w:b/>
        </w:rPr>
      </w:pPr>
      <w:bookmarkStart w:id="107" w:name="_Toc15064199"/>
      <w:bookmarkStart w:id="108" w:name="_Toc15933775"/>
      <w:bookmarkStart w:id="109" w:name="_Toc24014577"/>
      <w:bookmarkEnd w:id="106"/>
      <w:r w:rsidRPr="0064597D">
        <w:t>c</w:t>
      </w:r>
      <w:r w:rsidR="00413443" w:rsidRPr="0064597D">
        <w:t>.</w:t>
      </w:r>
      <w:r w:rsidR="006958DA" w:rsidRPr="0064597D">
        <w:t>1</w:t>
      </w:r>
      <w:r w:rsidR="00413443" w:rsidRPr="0064597D">
        <w:t xml:space="preserve"> </w:t>
      </w:r>
      <w:r w:rsidR="00413443" w:rsidRPr="0064597D">
        <w:tab/>
        <w:t>Medidas de satisfacción</w:t>
      </w:r>
      <w:bookmarkEnd w:id="107"/>
      <w:bookmarkEnd w:id="108"/>
      <w:bookmarkEnd w:id="109"/>
    </w:p>
    <w:p w14:paraId="3DFB4391" w14:textId="066EE19B" w:rsidR="00413443" w:rsidRPr="0064597D" w:rsidRDefault="00413443" w:rsidP="00413443">
      <w:pPr>
        <w:numPr>
          <w:ilvl w:val="0"/>
          <w:numId w:val="1"/>
        </w:numPr>
        <w:tabs>
          <w:tab w:val="num" w:pos="0"/>
          <w:tab w:val="left" w:pos="567"/>
        </w:tabs>
        <w:spacing w:line="240" w:lineRule="auto"/>
        <w:ind w:left="0" w:firstLine="0"/>
        <w:textAlignment w:val="auto"/>
        <w:rPr>
          <w:rFonts w:eastAsia="MS Mincho"/>
          <w:i/>
          <w:sz w:val="20"/>
          <w:szCs w:val="20"/>
          <w:lang w:bidi="en-US"/>
        </w:rPr>
      </w:pPr>
      <w:r w:rsidRPr="0064597D">
        <w:rPr>
          <w:rFonts w:eastAsia="MS Mincho"/>
          <w:sz w:val="20"/>
          <w:szCs w:val="20"/>
          <w:lang w:bidi="en-US"/>
        </w:rPr>
        <w:t xml:space="preserve">Las </w:t>
      </w:r>
      <w:r w:rsidRPr="0064597D">
        <w:rPr>
          <w:rFonts w:eastAsia="MS Mincho"/>
          <w:b/>
          <w:i/>
          <w:sz w:val="20"/>
          <w:szCs w:val="20"/>
          <w:lang w:bidi="en-US"/>
        </w:rPr>
        <w:t>representantes</w:t>
      </w:r>
      <w:r w:rsidRPr="0064597D">
        <w:rPr>
          <w:rFonts w:eastAsia="MS Mincho"/>
          <w:b/>
          <w:sz w:val="20"/>
          <w:szCs w:val="20"/>
          <w:lang w:bidi="en-US"/>
        </w:rPr>
        <w:t xml:space="preserve"> </w:t>
      </w:r>
      <w:r w:rsidRPr="0064597D">
        <w:rPr>
          <w:rFonts w:eastAsia="MS Mincho"/>
          <w:sz w:val="20"/>
          <w:szCs w:val="20"/>
          <w:lang w:bidi="en-US"/>
        </w:rPr>
        <w:t xml:space="preserve">solicitaron a la Corte que ordenara al Estado </w:t>
      </w:r>
      <w:r w:rsidRPr="0064597D">
        <w:rPr>
          <w:rFonts w:cs="Arial"/>
          <w:sz w:val="20"/>
          <w:szCs w:val="20"/>
        </w:rPr>
        <w:t>que la sentencia sea publicada en</w:t>
      </w:r>
      <w:r w:rsidR="005A2275" w:rsidRPr="0064597D">
        <w:rPr>
          <w:rFonts w:cs="Arial"/>
          <w:sz w:val="20"/>
          <w:szCs w:val="20"/>
        </w:rPr>
        <w:t xml:space="preserve"> un diario de cobertura naciona</w:t>
      </w:r>
      <w:r w:rsidR="00E12081" w:rsidRPr="0064597D">
        <w:rPr>
          <w:rFonts w:cs="Arial"/>
          <w:sz w:val="20"/>
          <w:szCs w:val="20"/>
        </w:rPr>
        <w:t>l</w:t>
      </w:r>
      <w:r w:rsidRPr="0064597D">
        <w:rPr>
          <w:rFonts w:cs="Arial"/>
          <w:sz w:val="20"/>
          <w:szCs w:val="20"/>
        </w:rPr>
        <w:t xml:space="preserve">, y el acceso a la misma quede disponible en la página web del Ministerio de Relaciones Exteriores de Guatemala, de la Comisión Presidencial Coordinadora de la Política del Ejecutivo en Materia de Derechos Humanos (COPREDEH), de la </w:t>
      </w:r>
      <w:r w:rsidR="00537AAE" w:rsidRPr="0064597D">
        <w:rPr>
          <w:sz w:val="20"/>
          <w:szCs w:val="20"/>
        </w:rPr>
        <w:t>PNC</w:t>
      </w:r>
      <w:r w:rsidRPr="0064597D">
        <w:rPr>
          <w:rFonts w:cs="Arial"/>
          <w:sz w:val="20"/>
          <w:szCs w:val="20"/>
        </w:rPr>
        <w:t>, del Ministerio de Gobernación y del Sistema Penitenciario</w:t>
      </w:r>
      <w:r w:rsidRPr="0064597D">
        <w:rPr>
          <w:rFonts w:cs="Arial"/>
          <w:b/>
          <w:sz w:val="20"/>
          <w:szCs w:val="20"/>
        </w:rPr>
        <w:t xml:space="preserve">. </w:t>
      </w:r>
    </w:p>
    <w:p w14:paraId="6B5BE0F3" w14:textId="77777777" w:rsidR="00413443" w:rsidRPr="0064597D" w:rsidRDefault="00413443" w:rsidP="00413443">
      <w:pPr>
        <w:tabs>
          <w:tab w:val="left" w:pos="567"/>
        </w:tabs>
        <w:spacing w:line="240" w:lineRule="auto"/>
        <w:textAlignment w:val="auto"/>
        <w:rPr>
          <w:rFonts w:eastAsia="MS Mincho"/>
          <w:i/>
          <w:sz w:val="20"/>
          <w:szCs w:val="20"/>
          <w:lang w:bidi="en-US"/>
        </w:rPr>
      </w:pPr>
    </w:p>
    <w:p w14:paraId="09B352EE" w14:textId="66D1ADA1" w:rsidR="00572BBA" w:rsidRPr="0064597D" w:rsidRDefault="00572BBA" w:rsidP="00572BBA">
      <w:pPr>
        <w:numPr>
          <w:ilvl w:val="0"/>
          <w:numId w:val="1"/>
        </w:numPr>
        <w:tabs>
          <w:tab w:val="left" w:pos="567"/>
          <w:tab w:val="num" w:pos="5057"/>
        </w:tabs>
        <w:spacing w:line="240" w:lineRule="auto"/>
        <w:ind w:left="0" w:firstLine="0"/>
        <w:textAlignment w:val="auto"/>
        <w:rPr>
          <w:rFonts w:eastAsia="MS Mincho"/>
          <w:b/>
          <w:sz w:val="20"/>
          <w:szCs w:val="20"/>
          <w:lang w:bidi="en-US"/>
        </w:rPr>
      </w:pPr>
      <w:r w:rsidRPr="0064597D">
        <w:rPr>
          <w:rFonts w:eastAsia="MS Mincho"/>
          <w:sz w:val="20"/>
          <w:szCs w:val="20"/>
          <w:lang w:bidi="en-US"/>
        </w:rPr>
        <w:t>Asimismo, solicitaron</w:t>
      </w:r>
      <w:r w:rsidRPr="0064597D">
        <w:rPr>
          <w:rFonts w:eastAsia="MS Mincho"/>
          <w:b/>
          <w:i/>
          <w:sz w:val="20"/>
          <w:szCs w:val="20"/>
          <w:lang w:bidi="en-US"/>
        </w:rPr>
        <w:t xml:space="preserve"> </w:t>
      </w:r>
      <w:r w:rsidRPr="0064597D">
        <w:rPr>
          <w:rFonts w:eastAsia="MS Mincho"/>
          <w:sz w:val="20"/>
          <w:szCs w:val="20"/>
          <w:lang w:bidi="en-US"/>
        </w:rPr>
        <w:t xml:space="preserve">que se ordenara al Estado la realización de un acto </w:t>
      </w:r>
      <w:r w:rsidRPr="0064597D">
        <w:rPr>
          <w:rFonts w:cs="Arial"/>
          <w:sz w:val="20"/>
          <w:szCs w:val="20"/>
        </w:rPr>
        <w:t xml:space="preserve">de reconocimiento de responsabilidad ante la familia de la víctima, en el cual acepte expresamente que el señor Ruíz Fuentes fue torturado y ejecutado por agentes del Estado en el marco de un plan criminal dirigido a la mal llamada “limpieza social selectiva”. </w:t>
      </w:r>
    </w:p>
    <w:p w14:paraId="38E39508" w14:textId="77777777" w:rsidR="00B8112F" w:rsidRPr="0064597D" w:rsidRDefault="00B8112F" w:rsidP="00B8112F">
      <w:pPr>
        <w:tabs>
          <w:tab w:val="left" w:pos="0"/>
        </w:tabs>
        <w:spacing w:line="240" w:lineRule="auto"/>
        <w:textAlignment w:val="auto"/>
        <w:rPr>
          <w:rFonts w:eastAsia="MS Mincho"/>
          <w:i/>
          <w:sz w:val="20"/>
          <w:szCs w:val="20"/>
          <w:lang w:bidi="en-US"/>
        </w:rPr>
      </w:pPr>
    </w:p>
    <w:p w14:paraId="3ED1AADC" w14:textId="14FEEDC8" w:rsidR="00413443" w:rsidRPr="0064597D" w:rsidRDefault="00413443" w:rsidP="00413443">
      <w:pPr>
        <w:numPr>
          <w:ilvl w:val="0"/>
          <w:numId w:val="1"/>
        </w:numPr>
        <w:tabs>
          <w:tab w:val="left" w:pos="0"/>
        </w:tabs>
        <w:spacing w:line="240" w:lineRule="auto"/>
        <w:ind w:left="0" w:firstLine="0"/>
        <w:textAlignment w:val="auto"/>
        <w:rPr>
          <w:rFonts w:eastAsia="MS Mincho"/>
          <w:i/>
          <w:sz w:val="20"/>
          <w:szCs w:val="20"/>
          <w:lang w:bidi="en-US"/>
        </w:rPr>
      </w:pPr>
      <w:r w:rsidRPr="0064597D">
        <w:rPr>
          <w:rFonts w:eastAsia="MS Mincho"/>
          <w:sz w:val="20"/>
          <w:szCs w:val="20"/>
          <w:lang w:bidi="en-US"/>
        </w:rPr>
        <w:t xml:space="preserve">El </w:t>
      </w:r>
      <w:r w:rsidRPr="0064597D">
        <w:rPr>
          <w:rFonts w:eastAsia="MS Mincho"/>
          <w:b/>
          <w:i/>
          <w:sz w:val="20"/>
          <w:szCs w:val="20"/>
          <w:lang w:bidi="en-US"/>
        </w:rPr>
        <w:t>Estado</w:t>
      </w:r>
      <w:r w:rsidRPr="0064597D">
        <w:rPr>
          <w:rFonts w:eastAsia="MS Mincho"/>
          <w:sz w:val="20"/>
          <w:szCs w:val="20"/>
          <w:lang w:bidi="en-US"/>
        </w:rPr>
        <w:t xml:space="preserve"> alegó que en todo momento actuó con apego a derecho, por consiguiente rechaza toda imputación que se le pretende atribuir por parte de la Comisión como de las representantes debido a que en ningún momento han probado dicha responsabilidad, por lo que se </w:t>
      </w:r>
      <w:r w:rsidR="005A2275" w:rsidRPr="0064597D">
        <w:rPr>
          <w:rFonts w:eastAsia="MS Mincho"/>
          <w:sz w:val="20"/>
          <w:szCs w:val="20"/>
          <w:lang w:bidi="en-US"/>
        </w:rPr>
        <w:t>opuso a</w:t>
      </w:r>
      <w:r w:rsidRPr="0064597D">
        <w:rPr>
          <w:rFonts w:eastAsia="MS Mincho"/>
          <w:sz w:val="20"/>
          <w:szCs w:val="20"/>
          <w:lang w:bidi="en-US"/>
        </w:rPr>
        <w:t xml:space="preserve"> la publicación de la sentencia. </w:t>
      </w:r>
    </w:p>
    <w:p w14:paraId="1E4FA055" w14:textId="77777777" w:rsidR="005A2275" w:rsidRPr="0064597D" w:rsidRDefault="005A2275" w:rsidP="005A2275">
      <w:pPr>
        <w:tabs>
          <w:tab w:val="left" w:pos="0"/>
        </w:tabs>
        <w:spacing w:line="240" w:lineRule="auto"/>
        <w:textAlignment w:val="auto"/>
        <w:rPr>
          <w:rFonts w:eastAsia="MS Mincho"/>
          <w:i/>
          <w:sz w:val="20"/>
          <w:szCs w:val="20"/>
          <w:lang w:bidi="en-US"/>
        </w:rPr>
      </w:pPr>
    </w:p>
    <w:p w14:paraId="3C0B7336" w14:textId="77777777" w:rsidR="005A2275" w:rsidRPr="0064597D" w:rsidRDefault="005A2275" w:rsidP="005A2275">
      <w:pPr>
        <w:numPr>
          <w:ilvl w:val="0"/>
          <w:numId w:val="1"/>
        </w:numPr>
        <w:tabs>
          <w:tab w:val="left" w:pos="567"/>
          <w:tab w:val="num" w:pos="5057"/>
        </w:tabs>
        <w:spacing w:line="240" w:lineRule="auto"/>
        <w:ind w:left="0" w:firstLine="0"/>
        <w:textAlignment w:val="auto"/>
        <w:rPr>
          <w:rFonts w:eastAsia="MS Mincho"/>
          <w:b/>
          <w:sz w:val="20"/>
          <w:szCs w:val="20"/>
          <w:lang w:bidi="en-US"/>
        </w:rPr>
      </w:pPr>
      <w:r w:rsidRPr="0064597D">
        <w:rPr>
          <w:rFonts w:eastAsia="MS Mincho"/>
          <w:sz w:val="20"/>
          <w:szCs w:val="20"/>
          <w:lang w:bidi="en-US"/>
        </w:rPr>
        <w:t>La</w:t>
      </w:r>
      <w:r w:rsidRPr="0064597D">
        <w:rPr>
          <w:rFonts w:eastAsia="MS Mincho"/>
          <w:b/>
          <w:sz w:val="20"/>
          <w:szCs w:val="20"/>
          <w:lang w:bidi="en-US"/>
        </w:rPr>
        <w:t xml:space="preserve"> </w:t>
      </w:r>
      <w:r w:rsidRPr="0064597D">
        <w:rPr>
          <w:rFonts w:eastAsia="MS Mincho"/>
          <w:b/>
          <w:i/>
          <w:sz w:val="20"/>
          <w:szCs w:val="20"/>
          <w:lang w:bidi="en-US"/>
        </w:rPr>
        <w:t>Comisión</w:t>
      </w:r>
      <w:r w:rsidRPr="0064597D">
        <w:rPr>
          <w:rFonts w:eastAsia="MS Mincho"/>
          <w:b/>
          <w:sz w:val="20"/>
          <w:szCs w:val="20"/>
          <w:lang w:bidi="en-US"/>
        </w:rPr>
        <w:t xml:space="preserve"> </w:t>
      </w:r>
      <w:r w:rsidRPr="0064597D">
        <w:rPr>
          <w:rFonts w:eastAsia="MS Mincho"/>
          <w:sz w:val="20"/>
          <w:szCs w:val="20"/>
          <w:lang w:bidi="en-US"/>
        </w:rPr>
        <w:t>no presentó alegatos específicos sobre este punto.</w:t>
      </w:r>
    </w:p>
    <w:p w14:paraId="0C949902" w14:textId="77777777" w:rsidR="00413443" w:rsidRPr="0064597D" w:rsidRDefault="00413443" w:rsidP="00413443">
      <w:pPr>
        <w:tabs>
          <w:tab w:val="left" w:pos="0"/>
        </w:tabs>
        <w:spacing w:line="240" w:lineRule="auto"/>
        <w:rPr>
          <w:rFonts w:eastAsia="MS Mincho"/>
          <w:i/>
          <w:sz w:val="20"/>
          <w:szCs w:val="20"/>
          <w:lang w:bidi="en-US"/>
        </w:rPr>
      </w:pPr>
    </w:p>
    <w:p w14:paraId="1C517C54" w14:textId="7B97184D" w:rsidR="00413443" w:rsidRPr="0064597D" w:rsidRDefault="00413443" w:rsidP="00D0432D">
      <w:pPr>
        <w:numPr>
          <w:ilvl w:val="0"/>
          <w:numId w:val="1"/>
        </w:numPr>
        <w:tabs>
          <w:tab w:val="left" w:pos="0"/>
        </w:tabs>
        <w:spacing w:line="240" w:lineRule="auto"/>
        <w:ind w:left="0" w:firstLine="0"/>
        <w:textAlignment w:val="auto"/>
        <w:rPr>
          <w:rFonts w:eastAsia="MS Mincho"/>
          <w:i/>
          <w:sz w:val="20"/>
          <w:szCs w:val="20"/>
          <w:lang w:bidi="en-US"/>
        </w:rPr>
      </w:pPr>
      <w:r w:rsidRPr="0064597D">
        <w:rPr>
          <w:rFonts w:eastAsia="MS Mincho"/>
          <w:sz w:val="20"/>
          <w:szCs w:val="20"/>
          <w:lang w:bidi="en-US"/>
        </w:rPr>
        <w:t xml:space="preserve">La </w:t>
      </w:r>
      <w:r w:rsidRPr="0064597D">
        <w:rPr>
          <w:rFonts w:eastAsia="MS Mincho"/>
          <w:b/>
          <w:i/>
          <w:sz w:val="20"/>
          <w:szCs w:val="20"/>
          <w:lang w:bidi="en-US"/>
        </w:rPr>
        <w:t>Corte</w:t>
      </w:r>
      <w:r w:rsidRPr="0064597D">
        <w:rPr>
          <w:rFonts w:eastAsia="MS Mincho"/>
          <w:sz w:val="20"/>
          <w:szCs w:val="20"/>
          <w:lang w:bidi="en-US"/>
        </w:rPr>
        <w:t xml:space="preserve"> estima, como lo ha dispuesto en otros casos</w:t>
      </w:r>
      <w:r w:rsidRPr="0064597D">
        <w:rPr>
          <w:rStyle w:val="Refdenotaalpie"/>
          <w:rFonts w:eastAsia="MS Mincho"/>
          <w:sz w:val="20"/>
          <w:szCs w:val="20"/>
          <w:lang w:bidi="en-US"/>
        </w:rPr>
        <w:footnoteReference w:id="245"/>
      </w:r>
      <w:r w:rsidRPr="0064597D">
        <w:rPr>
          <w:rFonts w:eastAsia="MS Mincho"/>
          <w:sz w:val="20"/>
          <w:szCs w:val="20"/>
          <w:lang w:bidi="en-US"/>
        </w:rPr>
        <w:t xml:space="preserve">, que el Estado debe publicar, en el plazo de seis meses, contado a partir de la notificación de la presente Sentencia: a) el resumen oficial de la presente Sentencia elaborado por la Corte, por una sola vez, en el Diario Oficial en un tamaño de letra legible y adecuado; b) el resumen oficial de la presente Sentencia elaborado por la Corte, por una sola vez, en un diario de amplia circulación nacional en un tamaño de letra legible y adecuado, y c) la presente Sentencia en su integridad, disponible por un período de un año, en un sitio </w:t>
      </w:r>
      <w:r w:rsidRPr="0064597D">
        <w:rPr>
          <w:rFonts w:eastAsia="MS Mincho"/>
          <w:i/>
          <w:sz w:val="20"/>
          <w:szCs w:val="20"/>
          <w:lang w:bidi="en-US"/>
        </w:rPr>
        <w:t>web</w:t>
      </w:r>
      <w:r w:rsidR="00537AAE" w:rsidRPr="0064597D">
        <w:rPr>
          <w:rFonts w:eastAsia="MS Mincho"/>
          <w:sz w:val="20"/>
          <w:szCs w:val="20"/>
          <w:lang w:bidi="en-US"/>
        </w:rPr>
        <w:t xml:space="preserve"> oficial del Estado</w:t>
      </w:r>
      <w:r w:rsidRPr="0064597D">
        <w:rPr>
          <w:rFonts w:eastAsia="MS Mincho"/>
          <w:sz w:val="20"/>
          <w:szCs w:val="20"/>
          <w:lang w:bidi="en-US"/>
        </w:rPr>
        <w:t>.</w:t>
      </w:r>
      <w:r w:rsidRPr="0064597D">
        <w:rPr>
          <w:rFonts w:eastAsia="MS Mincho"/>
          <w:i/>
          <w:sz w:val="20"/>
          <w:szCs w:val="20"/>
          <w:lang w:bidi="en-US"/>
        </w:rPr>
        <w:t xml:space="preserve"> </w:t>
      </w:r>
      <w:r w:rsidRPr="0064597D">
        <w:rPr>
          <w:rFonts w:eastAsiaTheme="minorHAnsi" w:cs="Verdana"/>
          <w:sz w:val="20"/>
          <w:szCs w:val="20"/>
          <w:lang w:eastAsia="en-US"/>
        </w:rPr>
        <w:t xml:space="preserve">El Estado deberá informar de forma inmediata a este Tribunal una vez que proceda a realizar cada una </w:t>
      </w:r>
      <w:r w:rsidRPr="0064597D">
        <w:rPr>
          <w:rFonts w:eastAsia="MS Mincho"/>
          <w:sz w:val="20"/>
          <w:szCs w:val="20"/>
          <w:lang w:bidi="en-US"/>
        </w:rPr>
        <w:t>de</w:t>
      </w:r>
      <w:r w:rsidRPr="0064597D">
        <w:rPr>
          <w:rFonts w:eastAsiaTheme="minorHAnsi" w:cs="Verdana"/>
          <w:sz w:val="20"/>
          <w:szCs w:val="20"/>
          <w:lang w:eastAsia="en-US"/>
        </w:rPr>
        <w:t xml:space="preserve"> las publicaciones dispuestas, independientemente del plazo de un año para presentar su primer informe dispuesto en el punto resolutivo </w:t>
      </w:r>
      <w:r w:rsidR="005F2FF2" w:rsidRPr="0064597D">
        <w:rPr>
          <w:rFonts w:eastAsiaTheme="minorHAnsi" w:cs="Verdana"/>
          <w:sz w:val="20"/>
          <w:szCs w:val="20"/>
          <w:lang w:eastAsia="en-US"/>
        </w:rPr>
        <w:t>17</w:t>
      </w:r>
      <w:r w:rsidRPr="0064597D">
        <w:rPr>
          <w:rFonts w:eastAsiaTheme="minorHAnsi" w:cs="Verdana"/>
          <w:sz w:val="20"/>
          <w:szCs w:val="20"/>
          <w:lang w:eastAsia="en-US"/>
        </w:rPr>
        <w:t xml:space="preserve"> de la Sentencia.</w:t>
      </w:r>
    </w:p>
    <w:p w14:paraId="7872B0B6" w14:textId="77777777" w:rsidR="00572BBA" w:rsidRPr="0064597D" w:rsidRDefault="00572BBA" w:rsidP="00572BBA">
      <w:pPr>
        <w:tabs>
          <w:tab w:val="left" w:pos="0"/>
        </w:tabs>
        <w:spacing w:line="240" w:lineRule="auto"/>
        <w:textAlignment w:val="auto"/>
        <w:rPr>
          <w:rFonts w:eastAsia="MS Mincho"/>
          <w:i/>
          <w:sz w:val="20"/>
          <w:szCs w:val="20"/>
          <w:lang w:bidi="en-US"/>
        </w:rPr>
      </w:pPr>
    </w:p>
    <w:p w14:paraId="6C0C94F8" w14:textId="4206E4D8" w:rsidR="00572BBA" w:rsidRPr="0064597D" w:rsidRDefault="00572BBA" w:rsidP="00D0432D">
      <w:pPr>
        <w:numPr>
          <w:ilvl w:val="0"/>
          <w:numId w:val="1"/>
        </w:numPr>
        <w:tabs>
          <w:tab w:val="left" w:pos="0"/>
        </w:tabs>
        <w:spacing w:line="240" w:lineRule="auto"/>
        <w:ind w:left="0" w:firstLine="0"/>
        <w:textAlignment w:val="auto"/>
        <w:rPr>
          <w:rFonts w:eastAsia="MS Mincho"/>
          <w:i/>
          <w:sz w:val="20"/>
          <w:szCs w:val="20"/>
          <w:lang w:bidi="en-US"/>
        </w:rPr>
      </w:pPr>
      <w:r w:rsidRPr="0064597D">
        <w:rPr>
          <w:rFonts w:eastAsia="MS Mincho"/>
          <w:sz w:val="20"/>
          <w:szCs w:val="20"/>
          <w:lang w:bidi="en-US"/>
        </w:rPr>
        <w:t xml:space="preserve">Respecto a la realización del acto de reconocimiento </w:t>
      </w:r>
      <w:r w:rsidRPr="0064597D">
        <w:rPr>
          <w:rFonts w:cs="Arial"/>
          <w:sz w:val="20"/>
          <w:szCs w:val="20"/>
        </w:rPr>
        <w:t>de responsabilidad</w:t>
      </w:r>
      <w:r w:rsidRPr="0064597D">
        <w:rPr>
          <w:rFonts w:eastAsia="MS Mincho"/>
          <w:sz w:val="20"/>
          <w:szCs w:val="20"/>
          <w:lang w:bidi="en-US"/>
        </w:rPr>
        <w:t xml:space="preserve"> solicitado por las representantes, este T</w:t>
      </w:r>
      <w:r w:rsidRPr="0064597D">
        <w:rPr>
          <w:sz w:val="20"/>
          <w:szCs w:val="20"/>
          <w:lang w:val="es-PE"/>
        </w:rPr>
        <w:t xml:space="preserve">ribunal considera que la </w:t>
      </w:r>
      <w:r w:rsidRPr="0064597D">
        <w:rPr>
          <w:rFonts w:cs="Arial"/>
          <w:sz w:val="20"/>
          <w:szCs w:val="20"/>
        </w:rPr>
        <w:t>emisión</w:t>
      </w:r>
      <w:r w:rsidRPr="0064597D">
        <w:rPr>
          <w:sz w:val="20"/>
          <w:szCs w:val="20"/>
          <w:lang w:val="es-PE"/>
        </w:rPr>
        <w:t xml:space="preserve"> de la presente Sentencia y las reparaciones ordenadas en la misma resultan suficientes y adecuadas.</w:t>
      </w:r>
    </w:p>
    <w:p w14:paraId="6B7008CE" w14:textId="73C527DA" w:rsidR="00413443" w:rsidRPr="0064597D" w:rsidRDefault="00E068B2" w:rsidP="00377181">
      <w:pPr>
        <w:pStyle w:val="Ttulo3"/>
      </w:pPr>
      <w:bookmarkStart w:id="110" w:name="_Toc15064200"/>
      <w:bookmarkStart w:id="111" w:name="_Toc15933776"/>
      <w:bookmarkStart w:id="112" w:name="_Toc24014578"/>
      <w:r w:rsidRPr="0064597D">
        <w:t>c</w:t>
      </w:r>
      <w:r w:rsidR="00413443" w:rsidRPr="0064597D">
        <w:t>.</w:t>
      </w:r>
      <w:r w:rsidR="006958DA" w:rsidRPr="0064597D">
        <w:t>2</w:t>
      </w:r>
      <w:r w:rsidR="00413443" w:rsidRPr="0064597D">
        <w:t xml:space="preserve"> </w:t>
      </w:r>
      <w:r w:rsidR="00413443" w:rsidRPr="0064597D">
        <w:tab/>
        <w:t>Garantías de no repetición</w:t>
      </w:r>
      <w:bookmarkEnd w:id="110"/>
      <w:bookmarkEnd w:id="111"/>
      <w:bookmarkEnd w:id="112"/>
    </w:p>
    <w:p w14:paraId="5420BEDD" w14:textId="12F4C18A" w:rsidR="00E5477C" w:rsidRPr="0064597D" w:rsidRDefault="00413443" w:rsidP="00413443">
      <w:pPr>
        <w:numPr>
          <w:ilvl w:val="0"/>
          <w:numId w:val="1"/>
        </w:numPr>
        <w:tabs>
          <w:tab w:val="left" w:pos="567"/>
        </w:tabs>
        <w:spacing w:line="240" w:lineRule="auto"/>
        <w:ind w:left="0" w:firstLine="0"/>
        <w:textAlignment w:val="auto"/>
        <w:rPr>
          <w:rFonts w:eastAsia="MS Mincho"/>
          <w:sz w:val="20"/>
          <w:szCs w:val="20"/>
          <w:lang w:bidi="en-US"/>
        </w:rPr>
      </w:pPr>
      <w:r w:rsidRPr="0064597D">
        <w:rPr>
          <w:rFonts w:eastAsia="MS Mincho"/>
          <w:sz w:val="20"/>
          <w:szCs w:val="20"/>
          <w:lang w:bidi="en-US"/>
        </w:rPr>
        <w:t xml:space="preserve">La </w:t>
      </w:r>
      <w:r w:rsidRPr="0064597D">
        <w:rPr>
          <w:rFonts w:eastAsia="MS Mincho" w:cs="Verdana"/>
          <w:b/>
          <w:i/>
          <w:sz w:val="20"/>
          <w:szCs w:val="20"/>
          <w:lang w:bidi="en-US"/>
        </w:rPr>
        <w:t>Comisión</w:t>
      </w:r>
      <w:r w:rsidRPr="0064597D">
        <w:rPr>
          <w:rFonts w:eastAsia="MS Mincho"/>
          <w:sz w:val="20"/>
          <w:szCs w:val="20"/>
          <w:lang w:bidi="en-US"/>
        </w:rPr>
        <w:t xml:space="preserve"> solicitó a</w:t>
      </w:r>
      <w:r w:rsidRPr="0064597D">
        <w:rPr>
          <w:sz w:val="20"/>
          <w:szCs w:val="20"/>
        </w:rPr>
        <w:t xml:space="preserve"> la</w:t>
      </w:r>
      <w:r w:rsidR="005A2275" w:rsidRPr="0064597D">
        <w:rPr>
          <w:sz w:val="20"/>
          <w:szCs w:val="20"/>
        </w:rPr>
        <w:t xml:space="preserve"> Corte</w:t>
      </w:r>
      <w:r w:rsidRPr="0064597D">
        <w:rPr>
          <w:sz w:val="20"/>
          <w:szCs w:val="20"/>
        </w:rPr>
        <w:t xml:space="preserve"> </w:t>
      </w:r>
      <w:r w:rsidR="005A2275" w:rsidRPr="0064597D">
        <w:rPr>
          <w:sz w:val="20"/>
          <w:szCs w:val="20"/>
        </w:rPr>
        <w:t xml:space="preserve">que, </w:t>
      </w:r>
      <w:r w:rsidR="005A2275" w:rsidRPr="0064597D">
        <w:rPr>
          <w:rFonts w:cs="Cambria"/>
          <w:sz w:val="20"/>
          <w:szCs w:val="20"/>
        </w:rPr>
        <w:t xml:space="preserve">en la medida en que el señor Ruiz Fuentes no contó con una revisión integral de su condena de primera instancia, que se ordenara la </w:t>
      </w:r>
      <w:r w:rsidR="005A2275" w:rsidRPr="0064597D">
        <w:rPr>
          <w:rFonts w:cs="Cambria"/>
          <w:spacing w:val="-2"/>
          <w:sz w:val="20"/>
          <w:szCs w:val="20"/>
        </w:rPr>
        <w:t>a</w:t>
      </w:r>
      <w:r w:rsidR="005A2275" w:rsidRPr="0064597D">
        <w:rPr>
          <w:rFonts w:cs="Cambria"/>
          <w:sz w:val="20"/>
          <w:szCs w:val="20"/>
        </w:rPr>
        <w:t>d</w:t>
      </w:r>
      <w:r w:rsidR="005A2275" w:rsidRPr="0064597D">
        <w:rPr>
          <w:rFonts w:cs="Cambria"/>
          <w:spacing w:val="-2"/>
          <w:sz w:val="20"/>
          <w:szCs w:val="20"/>
        </w:rPr>
        <w:t>e</w:t>
      </w:r>
      <w:r w:rsidR="005A2275" w:rsidRPr="0064597D">
        <w:rPr>
          <w:rFonts w:cs="Cambria"/>
          <w:spacing w:val="1"/>
          <w:sz w:val="20"/>
          <w:szCs w:val="20"/>
        </w:rPr>
        <w:t>c</w:t>
      </w:r>
      <w:r w:rsidR="005A2275" w:rsidRPr="0064597D">
        <w:rPr>
          <w:rFonts w:cs="Cambria"/>
          <w:sz w:val="20"/>
          <w:szCs w:val="20"/>
        </w:rPr>
        <w:t>u</w:t>
      </w:r>
      <w:r w:rsidR="005A2275" w:rsidRPr="0064597D">
        <w:rPr>
          <w:rFonts w:cs="Cambria"/>
          <w:spacing w:val="-2"/>
          <w:sz w:val="20"/>
          <w:szCs w:val="20"/>
        </w:rPr>
        <w:t>a</w:t>
      </w:r>
      <w:r w:rsidR="005A2275" w:rsidRPr="0064597D">
        <w:rPr>
          <w:rFonts w:cs="Cambria"/>
          <w:spacing w:val="1"/>
          <w:sz w:val="20"/>
          <w:szCs w:val="20"/>
        </w:rPr>
        <w:t>c</w:t>
      </w:r>
      <w:r w:rsidR="005A2275" w:rsidRPr="0064597D">
        <w:rPr>
          <w:rFonts w:cs="Cambria"/>
          <w:spacing w:val="-1"/>
          <w:sz w:val="20"/>
          <w:szCs w:val="20"/>
        </w:rPr>
        <w:t>i</w:t>
      </w:r>
      <w:r w:rsidR="005A2275" w:rsidRPr="0064597D">
        <w:rPr>
          <w:rFonts w:cs="Cambria"/>
          <w:sz w:val="20"/>
          <w:szCs w:val="20"/>
        </w:rPr>
        <w:t xml:space="preserve">ón </w:t>
      </w:r>
      <w:r w:rsidR="005A2275" w:rsidRPr="0064597D">
        <w:rPr>
          <w:rFonts w:cs="Cambria"/>
          <w:spacing w:val="-1"/>
          <w:sz w:val="20"/>
          <w:szCs w:val="20"/>
        </w:rPr>
        <w:t>n</w:t>
      </w:r>
      <w:r w:rsidR="005A2275" w:rsidRPr="0064597D">
        <w:rPr>
          <w:rFonts w:cs="Cambria"/>
          <w:sz w:val="20"/>
          <w:szCs w:val="20"/>
        </w:rPr>
        <w:t>o</w:t>
      </w:r>
      <w:r w:rsidR="005A2275" w:rsidRPr="0064597D">
        <w:rPr>
          <w:rFonts w:cs="Cambria"/>
          <w:spacing w:val="-3"/>
          <w:sz w:val="20"/>
          <w:szCs w:val="20"/>
        </w:rPr>
        <w:t>r</w:t>
      </w:r>
      <w:r w:rsidR="005A2275" w:rsidRPr="0064597D">
        <w:rPr>
          <w:rFonts w:cs="Cambria"/>
          <w:spacing w:val="1"/>
          <w:sz w:val="20"/>
          <w:szCs w:val="20"/>
        </w:rPr>
        <w:t>m</w:t>
      </w:r>
      <w:r w:rsidR="005A2275" w:rsidRPr="0064597D">
        <w:rPr>
          <w:rFonts w:cs="Cambria"/>
          <w:sz w:val="20"/>
          <w:szCs w:val="20"/>
        </w:rPr>
        <w:t>at</w:t>
      </w:r>
      <w:r w:rsidR="005A2275" w:rsidRPr="0064597D">
        <w:rPr>
          <w:rFonts w:cs="Cambria"/>
          <w:spacing w:val="1"/>
          <w:sz w:val="20"/>
          <w:szCs w:val="20"/>
        </w:rPr>
        <w:t>i</w:t>
      </w:r>
      <w:r w:rsidR="005A2275" w:rsidRPr="0064597D">
        <w:rPr>
          <w:rFonts w:cs="Cambria"/>
          <w:spacing w:val="-1"/>
          <w:sz w:val="20"/>
          <w:szCs w:val="20"/>
        </w:rPr>
        <w:t>v</w:t>
      </w:r>
      <w:r w:rsidR="005A2275" w:rsidRPr="0064597D">
        <w:rPr>
          <w:rFonts w:cs="Cambria"/>
          <w:sz w:val="20"/>
          <w:szCs w:val="20"/>
        </w:rPr>
        <w:t>a</w:t>
      </w:r>
      <w:r w:rsidR="005A2275" w:rsidRPr="0064597D">
        <w:rPr>
          <w:rFonts w:cs="Cambria"/>
          <w:spacing w:val="47"/>
          <w:sz w:val="20"/>
          <w:szCs w:val="20"/>
        </w:rPr>
        <w:t xml:space="preserve"> </w:t>
      </w:r>
      <w:r w:rsidR="005A2275" w:rsidRPr="0064597D">
        <w:rPr>
          <w:rFonts w:cs="Cambria"/>
          <w:sz w:val="20"/>
          <w:szCs w:val="20"/>
        </w:rPr>
        <w:t>del re</w:t>
      </w:r>
      <w:r w:rsidR="005A2275" w:rsidRPr="0064597D">
        <w:rPr>
          <w:rFonts w:cs="Cambria"/>
          <w:spacing w:val="1"/>
          <w:sz w:val="20"/>
          <w:szCs w:val="20"/>
        </w:rPr>
        <w:t>c</w:t>
      </w:r>
      <w:r w:rsidR="005A2275" w:rsidRPr="0064597D">
        <w:rPr>
          <w:rFonts w:cs="Cambria"/>
          <w:sz w:val="20"/>
          <w:szCs w:val="20"/>
        </w:rPr>
        <w:t>u</w:t>
      </w:r>
      <w:r w:rsidR="005A2275" w:rsidRPr="0064597D">
        <w:rPr>
          <w:rFonts w:cs="Cambria"/>
          <w:spacing w:val="-3"/>
          <w:sz w:val="20"/>
          <w:szCs w:val="20"/>
        </w:rPr>
        <w:t>r</w:t>
      </w:r>
      <w:r w:rsidR="005A2275" w:rsidRPr="0064597D">
        <w:rPr>
          <w:rFonts w:cs="Cambria"/>
          <w:spacing w:val="1"/>
          <w:sz w:val="20"/>
          <w:szCs w:val="20"/>
        </w:rPr>
        <w:t>s</w:t>
      </w:r>
      <w:r w:rsidR="005A2275" w:rsidRPr="0064597D">
        <w:rPr>
          <w:rFonts w:cs="Cambria"/>
          <w:sz w:val="20"/>
          <w:szCs w:val="20"/>
        </w:rPr>
        <w:t xml:space="preserve">o </w:t>
      </w:r>
      <w:r w:rsidR="005A2275" w:rsidRPr="0064597D">
        <w:rPr>
          <w:rFonts w:cs="Cambria"/>
          <w:spacing w:val="-2"/>
          <w:sz w:val="20"/>
          <w:szCs w:val="20"/>
        </w:rPr>
        <w:t>d</w:t>
      </w:r>
      <w:r w:rsidR="005A2275" w:rsidRPr="0064597D">
        <w:rPr>
          <w:rFonts w:cs="Cambria"/>
          <w:sz w:val="20"/>
          <w:szCs w:val="20"/>
        </w:rPr>
        <w:t>e apel</w:t>
      </w:r>
      <w:r w:rsidR="005A2275" w:rsidRPr="0064597D">
        <w:rPr>
          <w:rFonts w:cs="Cambria"/>
          <w:spacing w:val="-2"/>
          <w:sz w:val="20"/>
          <w:szCs w:val="20"/>
        </w:rPr>
        <w:t>a</w:t>
      </w:r>
      <w:r w:rsidR="005A2275" w:rsidRPr="0064597D">
        <w:rPr>
          <w:rFonts w:cs="Cambria"/>
          <w:spacing w:val="1"/>
          <w:sz w:val="20"/>
          <w:szCs w:val="20"/>
        </w:rPr>
        <w:t>c</w:t>
      </w:r>
      <w:r w:rsidR="005A2275" w:rsidRPr="0064597D">
        <w:rPr>
          <w:rFonts w:cs="Cambria"/>
          <w:spacing w:val="-1"/>
          <w:sz w:val="20"/>
          <w:szCs w:val="20"/>
        </w:rPr>
        <w:t>i</w:t>
      </w:r>
      <w:r w:rsidR="005A2275" w:rsidRPr="0064597D">
        <w:rPr>
          <w:rFonts w:cs="Cambria"/>
          <w:sz w:val="20"/>
          <w:szCs w:val="20"/>
        </w:rPr>
        <w:t>ó</w:t>
      </w:r>
      <w:r w:rsidR="005A2275" w:rsidRPr="0064597D">
        <w:rPr>
          <w:rFonts w:cs="Cambria"/>
          <w:spacing w:val="-1"/>
          <w:sz w:val="20"/>
          <w:szCs w:val="20"/>
        </w:rPr>
        <w:t>n</w:t>
      </w:r>
      <w:r w:rsidR="005A2275" w:rsidRPr="0064597D">
        <w:rPr>
          <w:rFonts w:cs="Cambria"/>
          <w:sz w:val="20"/>
          <w:szCs w:val="20"/>
        </w:rPr>
        <w:t>, a f</w:t>
      </w:r>
      <w:r w:rsidR="005A2275" w:rsidRPr="0064597D">
        <w:rPr>
          <w:rFonts w:cs="Cambria"/>
          <w:spacing w:val="1"/>
          <w:sz w:val="20"/>
          <w:szCs w:val="20"/>
        </w:rPr>
        <w:t>i</w:t>
      </w:r>
      <w:r w:rsidR="005A2275" w:rsidRPr="0064597D">
        <w:rPr>
          <w:rFonts w:cs="Cambria"/>
          <w:sz w:val="20"/>
          <w:szCs w:val="20"/>
        </w:rPr>
        <w:t>n</w:t>
      </w:r>
      <w:r w:rsidR="005A2275" w:rsidRPr="0064597D">
        <w:rPr>
          <w:rFonts w:cs="Cambria"/>
          <w:spacing w:val="-4"/>
          <w:sz w:val="20"/>
          <w:szCs w:val="20"/>
        </w:rPr>
        <w:t xml:space="preserve"> </w:t>
      </w:r>
      <w:r w:rsidR="005A2275" w:rsidRPr="0064597D">
        <w:rPr>
          <w:rFonts w:cs="Cambria"/>
          <w:sz w:val="20"/>
          <w:szCs w:val="20"/>
        </w:rPr>
        <w:t xml:space="preserve">de </w:t>
      </w:r>
      <w:r w:rsidR="005A2275" w:rsidRPr="0064597D">
        <w:rPr>
          <w:rFonts w:cs="Cambria"/>
          <w:spacing w:val="-1"/>
          <w:sz w:val="20"/>
          <w:szCs w:val="20"/>
        </w:rPr>
        <w:t>q</w:t>
      </w:r>
      <w:r w:rsidR="005A2275" w:rsidRPr="0064597D">
        <w:rPr>
          <w:rFonts w:cs="Cambria"/>
          <w:sz w:val="20"/>
          <w:szCs w:val="20"/>
        </w:rPr>
        <w:t xml:space="preserve">ue </w:t>
      </w:r>
      <w:r w:rsidR="005A2275" w:rsidRPr="0064597D">
        <w:rPr>
          <w:rFonts w:cs="Cambria"/>
          <w:spacing w:val="1"/>
          <w:sz w:val="20"/>
          <w:szCs w:val="20"/>
        </w:rPr>
        <w:t>c</w:t>
      </w:r>
      <w:r w:rsidR="005A2275" w:rsidRPr="0064597D">
        <w:rPr>
          <w:rFonts w:cs="Cambria"/>
          <w:spacing w:val="-2"/>
          <w:sz w:val="20"/>
          <w:szCs w:val="20"/>
        </w:rPr>
        <w:t>u</w:t>
      </w:r>
      <w:r w:rsidR="005A2275" w:rsidRPr="0064597D">
        <w:rPr>
          <w:rFonts w:cs="Cambria"/>
          <w:spacing w:val="1"/>
          <w:sz w:val="20"/>
          <w:szCs w:val="20"/>
        </w:rPr>
        <w:t>m</w:t>
      </w:r>
      <w:r w:rsidR="005A2275" w:rsidRPr="0064597D">
        <w:rPr>
          <w:rFonts w:cs="Cambria"/>
          <w:sz w:val="20"/>
          <w:szCs w:val="20"/>
        </w:rPr>
        <w:t>pla</w:t>
      </w:r>
      <w:r w:rsidR="005A2275" w:rsidRPr="0064597D">
        <w:rPr>
          <w:rFonts w:cs="Cambria"/>
          <w:spacing w:val="-3"/>
          <w:sz w:val="20"/>
          <w:szCs w:val="20"/>
        </w:rPr>
        <w:t xml:space="preserve"> </w:t>
      </w:r>
      <w:r w:rsidR="005A2275" w:rsidRPr="0064597D">
        <w:rPr>
          <w:rFonts w:cs="Cambria"/>
          <w:spacing w:val="1"/>
          <w:sz w:val="20"/>
          <w:szCs w:val="20"/>
        </w:rPr>
        <w:t>c</w:t>
      </w:r>
      <w:r w:rsidR="005A2275" w:rsidRPr="0064597D">
        <w:rPr>
          <w:rFonts w:cs="Cambria"/>
          <w:sz w:val="20"/>
          <w:szCs w:val="20"/>
        </w:rPr>
        <w:t>on</w:t>
      </w:r>
      <w:r w:rsidR="005A2275" w:rsidRPr="0064597D">
        <w:rPr>
          <w:rFonts w:cs="Cambria"/>
          <w:spacing w:val="-1"/>
          <w:sz w:val="20"/>
          <w:szCs w:val="20"/>
        </w:rPr>
        <w:t xml:space="preserve"> </w:t>
      </w:r>
      <w:r w:rsidR="005A2275" w:rsidRPr="0064597D">
        <w:rPr>
          <w:rFonts w:cs="Cambria"/>
          <w:sz w:val="20"/>
          <w:szCs w:val="20"/>
        </w:rPr>
        <w:t xml:space="preserve">el </w:t>
      </w:r>
      <w:r w:rsidR="005A2275" w:rsidRPr="0064597D">
        <w:rPr>
          <w:rFonts w:cs="Cambria"/>
          <w:spacing w:val="-2"/>
          <w:sz w:val="20"/>
          <w:szCs w:val="20"/>
        </w:rPr>
        <w:t>e</w:t>
      </w:r>
      <w:r w:rsidR="005A2275" w:rsidRPr="0064597D">
        <w:rPr>
          <w:rFonts w:cs="Cambria"/>
          <w:spacing w:val="1"/>
          <w:sz w:val="20"/>
          <w:szCs w:val="20"/>
        </w:rPr>
        <w:t>s</w:t>
      </w:r>
      <w:r w:rsidR="005A2275" w:rsidRPr="0064597D">
        <w:rPr>
          <w:rFonts w:cs="Cambria"/>
          <w:sz w:val="20"/>
          <w:szCs w:val="20"/>
        </w:rPr>
        <w:t>t</w:t>
      </w:r>
      <w:r w:rsidR="005A2275" w:rsidRPr="0064597D">
        <w:rPr>
          <w:rFonts w:cs="Cambria"/>
          <w:spacing w:val="-2"/>
          <w:sz w:val="20"/>
          <w:szCs w:val="20"/>
        </w:rPr>
        <w:t>á</w:t>
      </w:r>
      <w:r w:rsidR="005A2275" w:rsidRPr="0064597D">
        <w:rPr>
          <w:rFonts w:cs="Cambria"/>
          <w:spacing w:val="-1"/>
          <w:sz w:val="20"/>
          <w:szCs w:val="20"/>
        </w:rPr>
        <w:t>n</w:t>
      </w:r>
      <w:r w:rsidR="005A2275" w:rsidRPr="0064597D">
        <w:rPr>
          <w:rFonts w:cs="Cambria"/>
          <w:sz w:val="20"/>
          <w:szCs w:val="20"/>
        </w:rPr>
        <w:t>dar</w:t>
      </w:r>
      <w:r w:rsidR="005A2275" w:rsidRPr="0064597D">
        <w:rPr>
          <w:rFonts w:cs="Cambria"/>
          <w:spacing w:val="-1"/>
          <w:sz w:val="20"/>
          <w:szCs w:val="20"/>
        </w:rPr>
        <w:t xml:space="preserve"> </w:t>
      </w:r>
      <w:r w:rsidR="005A2275" w:rsidRPr="0064597D">
        <w:rPr>
          <w:rFonts w:cs="Cambria"/>
          <w:sz w:val="20"/>
          <w:szCs w:val="20"/>
        </w:rPr>
        <w:t>de repar</w:t>
      </w:r>
      <w:r w:rsidR="005A2275" w:rsidRPr="0064597D">
        <w:rPr>
          <w:rFonts w:cs="Cambria"/>
          <w:spacing w:val="-2"/>
          <w:sz w:val="20"/>
          <w:szCs w:val="20"/>
        </w:rPr>
        <w:t>a</w:t>
      </w:r>
      <w:r w:rsidR="005A2275" w:rsidRPr="0064597D">
        <w:rPr>
          <w:rFonts w:cs="Cambria"/>
          <w:spacing w:val="1"/>
          <w:sz w:val="20"/>
          <w:szCs w:val="20"/>
        </w:rPr>
        <w:t>c</w:t>
      </w:r>
      <w:r w:rsidR="005A2275" w:rsidRPr="0064597D">
        <w:rPr>
          <w:rFonts w:cs="Cambria"/>
          <w:spacing w:val="-1"/>
          <w:sz w:val="20"/>
          <w:szCs w:val="20"/>
        </w:rPr>
        <w:t>i</w:t>
      </w:r>
      <w:r w:rsidR="005A2275" w:rsidRPr="0064597D">
        <w:rPr>
          <w:rFonts w:cs="Cambria"/>
          <w:sz w:val="20"/>
          <w:szCs w:val="20"/>
        </w:rPr>
        <w:t>ón</w:t>
      </w:r>
      <w:r w:rsidR="005A2275" w:rsidRPr="0064597D">
        <w:rPr>
          <w:rFonts w:cs="Cambria"/>
          <w:spacing w:val="-1"/>
          <w:sz w:val="20"/>
          <w:szCs w:val="20"/>
        </w:rPr>
        <w:t xml:space="preserve"> </w:t>
      </w:r>
      <w:r w:rsidR="005A2275" w:rsidRPr="0064597D">
        <w:rPr>
          <w:rFonts w:cs="Cambria"/>
          <w:spacing w:val="1"/>
          <w:sz w:val="20"/>
          <w:szCs w:val="20"/>
        </w:rPr>
        <w:t>i</w:t>
      </w:r>
      <w:r w:rsidR="005A2275" w:rsidRPr="0064597D">
        <w:rPr>
          <w:rFonts w:cs="Cambria"/>
          <w:spacing w:val="-1"/>
          <w:sz w:val="20"/>
          <w:szCs w:val="20"/>
        </w:rPr>
        <w:t>n</w:t>
      </w:r>
      <w:r w:rsidR="005A2275" w:rsidRPr="0064597D">
        <w:rPr>
          <w:rFonts w:cs="Cambria"/>
          <w:sz w:val="20"/>
          <w:szCs w:val="20"/>
        </w:rPr>
        <w:t>te</w:t>
      </w:r>
      <w:r w:rsidR="005A2275" w:rsidRPr="0064597D">
        <w:rPr>
          <w:rFonts w:cs="Cambria"/>
          <w:spacing w:val="-1"/>
          <w:sz w:val="20"/>
          <w:szCs w:val="20"/>
        </w:rPr>
        <w:t>g</w:t>
      </w:r>
      <w:r w:rsidR="005A2275" w:rsidRPr="0064597D">
        <w:rPr>
          <w:rFonts w:cs="Cambria"/>
          <w:spacing w:val="-3"/>
          <w:sz w:val="20"/>
          <w:szCs w:val="20"/>
        </w:rPr>
        <w:t>r</w:t>
      </w:r>
      <w:r w:rsidR="005A2275" w:rsidRPr="0064597D">
        <w:rPr>
          <w:rFonts w:cs="Cambria"/>
          <w:sz w:val="20"/>
          <w:szCs w:val="20"/>
        </w:rPr>
        <w:t>al</w:t>
      </w:r>
      <w:r w:rsidR="005A2275" w:rsidRPr="0064597D">
        <w:rPr>
          <w:sz w:val="20"/>
          <w:szCs w:val="20"/>
        </w:rPr>
        <w:t xml:space="preserve">. </w:t>
      </w:r>
    </w:p>
    <w:p w14:paraId="48569165" w14:textId="77777777" w:rsidR="00E5477C" w:rsidRPr="0064597D" w:rsidRDefault="00E5477C" w:rsidP="00E5477C">
      <w:pPr>
        <w:tabs>
          <w:tab w:val="left" w:pos="567"/>
        </w:tabs>
        <w:spacing w:line="240" w:lineRule="auto"/>
        <w:textAlignment w:val="auto"/>
        <w:rPr>
          <w:rFonts w:eastAsia="MS Mincho"/>
          <w:sz w:val="20"/>
          <w:szCs w:val="20"/>
          <w:lang w:bidi="en-US"/>
        </w:rPr>
      </w:pPr>
    </w:p>
    <w:p w14:paraId="15AA7A76" w14:textId="7EB793D0" w:rsidR="00E5477C" w:rsidRPr="0064597D" w:rsidRDefault="00E5477C" w:rsidP="00E5477C">
      <w:pPr>
        <w:numPr>
          <w:ilvl w:val="0"/>
          <w:numId w:val="1"/>
        </w:numPr>
        <w:tabs>
          <w:tab w:val="left" w:pos="567"/>
        </w:tabs>
        <w:spacing w:line="240" w:lineRule="auto"/>
        <w:ind w:left="0" w:firstLine="0"/>
        <w:textAlignment w:val="auto"/>
        <w:rPr>
          <w:rFonts w:eastAsia="MS Mincho"/>
          <w:sz w:val="20"/>
          <w:szCs w:val="20"/>
          <w:lang w:bidi="en-US"/>
        </w:rPr>
      </w:pPr>
      <w:r w:rsidRPr="0064597D">
        <w:rPr>
          <w:sz w:val="20"/>
          <w:szCs w:val="20"/>
        </w:rPr>
        <w:t>En cuanto al marco normativo que regula la pena de muerte, la Comisión solicitó que el Estado de Guatemala adoptara las medidas legislativas, administrativas y de otra índole necesaria para que la legislación interna sea consistente con dicha práctica y así continuar en el camino hacia la abolición de la pena de muerte. Asimismo, solicitó a la Corte que, en virtud del artículo 4.2 de la Convención,</w:t>
      </w:r>
      <w:r w:rsidRPr="0064597D">
        <w:rPr>
          <w:rFonts w:cs="Cambria"/>
          <w:sz w:val="20"/>
          <w:szCs w:val="20"/>
        </w:rPr>
        <w:t xml:space="preserve"> establezca que</w:t>
      </w:r>
      <w:r w:rsidRPr="0064597D">
        <w:rPr>
          <w:sz w:val="20"/>
          <w:szCs w:val="20"/>
        </w:rPr>
        <w:t xml:space="preserve"> el Estado </w:t>
      </w:r>
      <w:r w:rsidRPr="0064597D">
        <w:rPr>
          <w:rFonts w:cs="Cambria"/>
          <w:sz w:val="20"/>
          <w:szCs w:val="20"/>
        </w:rPr>
        <w:t>tiene una prohibición absoluta a futuro de reestablecer la pena de muerte, tomando en cuenta la situación actual.</w:t>
      </w:r>
    </w:p>
    <w:p w14:paraId="4828CC78" w14:textId="77777777" w:rsidR="00E5477C" w:rsidRPr="0064597D" w:rsidRDefault="00E5477C" w:rsidP="00E5477C">
      <w:pPr>
        <w:tabs>
          <w:tab w:val="left" w:pos="567"/>
        </w:tabs>
        <w:spacing w:line="240" w:lineRule="auto"/>
        <w:textAlignment w:val="auto"/>
        <w:rPr>
          <w:rFonts w:eastAsia="MS Mincho"/>
          <w:sz w:val="20"/>
          <w:szCs w:val="20"/>
          <w:lang w:bidi="en-US"/>
        </w:rPr>
      </w:pPr>
    </w:p>
    <w:p w14:paraId="0638B97C" w14:textId="63AE9B88" w:rsidR="00413443" w:rsidRPr="0064597D" w:rsidRDefault="00413443" w:rsidP="00413443">
      <w:pPr>
        <w:numPr>
          <w:ilvl w:val="0"/>
          <w:numId w:val="1"/>
        </w:numPr>
        <w:tabs>
          <w:tab w:val="left" w:pos="567"/>
        </w:tabs>
        <w:spacing w:line="240" w:lineRule="auto"/>
        <w:ind w:left="0" w:firstLine="0"/>
        <w:textAlignment w:val="auto"/>
        <w:rPr>
          <w:rFonts w:eastAsia="MS Mincho"/>
          <w:sz w:val="20"/>
          <w:szCs w:val="20"/>
          <w:lang w:bidi="en-US"/>
        </w:rPr>
      </w:pPr>
      <w:r w:rsidRPr="0064597D">
        <w:rPr>
          <w:sz w:val="20"/>
          <w:szCs w:val="20"/>
        </w:rPr>
        <w:t xml:space="preserve">En cuanto a la prohibición de tortura, </w:t>
      </w:r>
      <w:r w:rsidR="00E5477C" w:rsidRPr="0064597D">
        <w:rPr>
          <w:sz w:val="20"/>
          <w:szCs w:val="20"/>
        </w:rPr>
        <w:t xml:space="preserve">la Comisión consideró que </w:t>
      </w:r>
      <w:r w:rsidRPr="0064597D">
        <w:rPr>
          <w:sz w:val="20"/>
          <w:szCs w:val="20"/>
        </w:rPr>
        <w:t xml:space="preserve">el Estado debe adoptar medidas administrativas y de otra índole dirigidas a capacitar a los cuerpos de seguridad en la prohibición </w:t>
      </w:r>
      <w:r w:rsidRPr="0064597D">
        <w:rPr>
          <w:sz w:val="20"/>
          <w:szCs w:val="20"/>
        </w:rPr>
        <w:lastRenderedPageBreak/>
        <w:t xml:space="preserve">absoluta de la </w:t>
      </w:r>
      <w:r w:rsidR="00E5477C" w:rsidRPr="0064597D">
        <w:rPr>
          <w:sz w:val="20"/>
          <w:szCs w:val="20"/>
        </w:rPr>
        <w:t xml:space="preserve">tortura, así como </w:t>
      </w:r>
      <w:r w:rsidRPr="0064597D">
        <w:rPr>
          <w:sz w:val="20"/>
          <w:szCs w:val="20"/>
        </w:rPr>
        <w:t xml:space="preserve">realizar capacitaciones sobre el uso de la fuerza conforme a los estándares internacionales en el marco de operativos de captura de personas privadas de libertad que se hayan dado a la fuga de los centros de detención. </w:t>
      </w:r>
    </w:p>
    <w:p w14:paraId="1F096D74" w14:textId="77777777" w:rsidR="00E35EC6" w:rsidRPr="0064597D" w:rsidRDefault="00E35EC6" w:rsidP="00E35EC6">
      <w:pPr>
        <w:tabs>
          <w:tab w:val="left" w:pos="567"/>
        </w:tabs>
        <w:spacing w:line="240" w:lineRule="auto"/>
        <w:textAlignment w:val="auto"/>
        <w:rPr>
          <w:rFonts w:eastAsia="MS Mincho"/>
          <w:sz w:val="20"/>
          <w:szCs w:val="20"/>
          <w:lang w:bidi="en-US"/>
        </w:rPr>
      </w:pPr>
    </w:p>
    <w:p w14:paraId="1A7342DA" w14:textId="3C918BBF" w:rsidR="00413443" w:rsidRPr="0064597D" w:rsidRDefault="00413443" w:rsidP="00E5477C">
      <w:pPr>
        <w:numPr>
          <w:ilvl w:val="0"/>
          <w:numId w:val="1"/>
        </w:numPr>
        <w:tabs>
          <w:tab w:val="left" w:pos="567"/>
        </w:tabs>
        <w:spacing w:line="240" w:lineRule="auto"/>
        <w:ind w:left="0" w:firstLine="0"/>
        <w:textAlignment w:val="auto"/>
        <w:rPr>
          <w:rFonts w:eastAsia="MS Mincho"/>
          <w:sz w:val="20"/>
          <w:szCs w:val="20"/>
          <w:lang w:bidi="en-US"/>
        </w:rPr>
      </w:pPr>
      <w:r w:rsidRPr="0064597D">
        <w:rPr>
          <w:rFonts w:eastAsia="MS Mincho"/>
          <w:iCs/>
          <w:sz w:val="20"/>
          <w:szCs w:val="20"/>
          <w:lang w:bidi="en-US"/>
        </w:rPr>
        <w:t xml:space="preserve">Las </w:t>
      </w:r>
      <w:r w:rsidRPr="0064597D">
        <w:rPr>
          <w:rFonts w:eastAsia="MS Mincho"/>
          <w:b/>
          <w:i/>
          <w:iCs/>
          <w:sz w:val="20"/>
          <w:szCs w:val="20"/>
          <w:lang w:bidi="en-US"/>
        </w:rPr>
        <w:t>representantes</w:t>
      </w:r>
      <w:r w:rsidR="002808D1" w:rsidRPr="0064597D">
        <w:rPr>
          <w:rFonts w:eastAsia="MS Mincho"/>
          <w:sz w:val="20"/>
          <w:szCs w:val="20"/>
          <w:lang w:bidi="en-US"/>
        </w:rPr>
        <w:t xml:space="preserve"> coincidieron </w:t>
      </w:r>
      <w:r w:rsidR="00E5477C" w:rsidRPr="0064597D">
        <w:rPr>
          <w:rFonts w:eastAsia="MS Mincho"/>
          <w:sz w:val="20"/>
          <w:szCs w:val="20"/>
          <w:lang w:bidi="en-US"/>
        </w:rPr>
        <w:t>con las</w:t>
      </w:r>
      <w:r w:rsidR="002808D1" w:rsidRPr="0064597D">
        <w:rPr>
          <w:rFonts w:eastAsia="MS Mincho"/>
          <w:sz w:val="20"/>
          <w:szCs w:val="20"/>
          <w:lang w:bidi="en-US"/>
        </w:rPr>
        <w:t xml:space="preserve"> </w:t>
      </w:r>
      <w:r w:rsidR="00E5477C" w:rsidRPr="0064597D">
        <w:rPr>
          <w:rFonts w:eastAsia="MS Mincho"/>
          <w:sz w:val="20"/>
          <w:szCs w:val="20"/>
          <w:lang w:bidi="en-US"/>
        </w:rPr>
        <w:t>peticiones formuladas</w:t>
      </w:r>
      <w:r w:rsidR="002808D1" w:rsidRPr="0064597D">
        <w:rPr>
          <w:rFonts w:eastAsia="MS Mincho"/>
          <w:sz w:val="20"/>
          <w:szCs w:val="20"/>
          <w:lang w:bidi="en-US"/>
        </w:rPr>
        <w:t xml:space="preserve"> </w:t>
      </w:r>
      <w:r w:rsidR="00E5477C" w:rsidRPr="0064597D">
        <w:rPr>
          <w:rFonts w:eastAsia="MS Mincho"/>
          <w:sz w:val="20"/>
          <w:szCs w:val="20"/>
          <w:lang w:bidi="en-US"/>
        </w:rPr>
        <w:t>por</w:t>
      </w:r>
      <w:r w:rsidR="002808D1" w:rsidRPr="0064597D">
        <w:rPr>
          <w:rFonts w:eastAsia="MS Mincho"/>
          <w:sz w:val="20"/>
          <w:szCs w:val="20"/>
          <w:lang w:bidi="en-US"/>
        </w:rPr>
        <w:t xml:space="preserve"> </w:t>
      </w:r>
      <w:r w:rsidR="00E5477C" w:rsidRPr="0064597D">
        <w:rPr>
          <w:rFonts w:eastAsia="MS Mincho"/>
          <w:sz w:val="20"/>
          <w:szCs w:val="20"/>
          <w:lang w:bidi="en-US"/>
        </w:rPr>
        <w:t xml:space="preserve">la </w:t>
      </w:r>
      <w:r w:rsidR="002808D1" w:rsidRPr="0064597D">
        <w:rPr>
          <w:rFonts w:eastAsia="MS Mincho"/>
          <w:sz w:val="20"/>
          <w:szCs w:val="20"/>
          <w:lang w:bidi="en-US"/>
        </w:rPr>
        <w:t>C</w:t>
      </w:r>
      <w:r w:rsidR="00E5477C" w:rsidRPr="0064597D">
        <w:rPr>
          <w:sz w:val="20"/>
          <w:szCs w:val="20"/>
        </w:rPr>
        <w:t xml:space="preserve">omisión. Adicionalmente </w:t>
      </w:r>
      <w:r w:rsidR="000B4B2C" w:rsidRPr="0064597D">
        <w:rPr>
          <w:rFonts w:cs="Arial"/>
          <w:sz w:val="20"/>
          <w:szCs w:val="20"/>
        </w:rPr>
        <w:t xml:space="preserve">solicitaron a la Corte que ordene al Estado de Guatemala que modifique su legislación en materia de tortura en el sentido que debe enmendar los artículos 201 </w:t>
      </w:r>
      <w:r w:rsidR="000B4B2C" w:rsidRPr="0064597D">
        <w:rPr>
          <w:rFonts w:cs="Arial"/>
          <w:i/>
          <w:sz w:val="20"/>
          <w:szCs w:val="20"/>
        </w:rPr>
        <w:t>bis</w:t>
      </w:r>
      <w:r w:rsidR="000B4B2C" w:rsidRPr="0064597D">
        <w:rPr>
          <w:rFonts w:cs="Arial"/>
          <w:sz w:val="20"/>
          <w:szCs w:val="20"/>
        </w:rPr>
        <w:t xml:space="preserve"> y 425 del Código Penal para tipificar penalmente la tortura según los estándares internacionales en la materia. </w:t>
      </w:r>
    </w:p>
    <w:p w14:paraId="52D86196" w14:textId="77777777" w:rsidR="00413443" w:rsidRPr="0064597D" w:rsidRDefault="00413443" w:rsidP="00413443">
      <w:pPr>
        <w:tabs>
          <w:tab w:val="left" w:pos="567"/>
        </w:tabs>
        <w:spacing w:line="240" w:lineRule="auto"/>
        <w:textAlignment w:val="auto"/>
        <w:rPr>
          <w:rFonts w:eastAsia="MS Mincho"/>
          <w:sz w:val="20"/>
          <w:szCs w:val="20"/>
          <w:highlight w:val="yellow"/>
          <w:lang w:bidi="en-US"/>
        </w:rPr>
      </w:pPr>
    </w:p>
    <w:p w14:paraId="7007D4E6" w14:textId="46F085BB" w:rsidR="00CF1E9F" w:rsidRPr="0064597D" w:rsidRDefault="002808D1" w:rsidP="00EE3B43">
      <w:pPr>
        <w:numPr>
          <w:ilvl w:val="0"/>
          <w:numId w:val="1"/>
        </w:numPr>
        <w:tabs>
          <w:tab w:val="left" w:pos="567"/>
        </w:tabs>
        <w:spacing w:line="240" w:lineRule="auto"/>
        <w:ind w:left="0" w:firstLine="0"/>
        <w:textAlignment w:val="auto"/>
        <w:rPr>
          <w:rFonts w:eastAsia="MS Mincho"/>
          <w:sz w:val="20"/>
          <w:szCs w:val="20"/>
          <w:lang w:bidi="en-US"/>
        </w:rPr>
      </w:pPr>
      <w:r w:rsidRPr="0064597D">
        <w:rPr>
          <w:rFonts w:cs="Arial"/>
          <w:sz w:val="20"/>
          <w:szCs w:val="20"/>
        </w:rPr>
        <w:t>Por otro lado, l</w:t>
      </w:r>
      <w:r w:rsidR="00CF1E9F" w:rsidRPr="0064597D">
        <w:rPr>
          <w:rFonts w:cs="Arial"/>
          <w:sz w:val="20"/>
          <w:szCs w:val="20"/>
        </w:rPr>
        <w:t xml:space="preserve">as </w:t>
      </w:r>
      <w:r w:rsidR="000B4B2C" w:rsidRPr="0064597D">
        <w:rPr>
          <w:rFonts w:cs="Arial"/>
          <w:sz w:val="20"/>
          <w:szCs w:val="20"/>
        </w:rPr>
        <w:t>representantes</w:t>
      </w:r>
      <w:r w:rsidR="000B4B2C" w:rsidRPr="0064597D">
        <w:rPr>
          <w:sz w:val="20"/>
          <w:szCs w:val="20"/>
        </w:rPr>
        <w:t xml:space="preserve"> solicitaron</w:t>
      </w:r>
      <w:r w:rsidR="000B4B2C" w:rsidRPr="0064597D">
        <w:rPr>
          <w:rFonts w:eastAsia="MS Mincho"/>
          <w:sz w:val="20"/>
          <w:szCs w:val="20"/>
          <w:lang w:bidi="en-US"/>
        </w:rPr>
        <w:t xml:space="preserve"> que el Estado </w:t>
      </w:r>
      <w:r w:rsidR="000B4B2C" w:rsidRPr="0064597D">
        <w:rPr>
          <w:rFonts w:cs="Arial"/>
          <w:sz w:val="20"/>
          <w:szCs w:val="20"/>
        </w:rPr>
        <w:t xml:space="preserve">implemente una reforma estructural de la institución policial de manera que los procedimientos de selección de personal, los procesos de formación y capacitación de los y las funcionarias policiales, su estructura, composición y función así como la organización interna y control estricto de sus actividades, y el régimen disciplinario aplicable ante violaciones a los derechos humanos cometidas por agentes policiales, cumplan con los estándares internacionales en materia de seguridad ciudadana y respeto a la </w:t>
      </w:r>
      <w:r w:rsidR="000B4B2C" w:rsidRPr="0064597D">
        <w:rPr>
          <w:sz w:val="20"/>
          <w:szCs w:val="20"/>
        </w:rPr>
        <w:t>función</w:t>
      </w:r>
      <w:r w:rsidR="000B4B2C" w:rsidRPr="0064597D">
        <w:rPr>
          <w:rFonts w:cs="Arial"/>
          <w:sz w:val="20"/>
          <w:szCs w:val="20"/>
        </w:rPr>
        <w:t xml:space="preserve"> policial. Indicaron que también resulta necesario que se lleve a cabo una depuración del personal con el que ya cuenta la PNC y que aquellos agentes que han estado involucrados en la comisión de faltas graves o delitos y en particular aquellos que han estado involucrados en graves violaciones a los derechos humanos sean separados de sus cargos. </w:t>
      </w:r>
    </w:p>
    <w:p w14:paraId="1447211E" w14:textId="77777777" w:rsidR="00A35A84" w:rsidRPr="0064597D" w:rsidRDefault="00A35A84" w:rsidP="00A35A84">
      <w:pPr>
        <w:tabs>
          <w:tab w:val="left" w:pos="567"/>
        </w:tabs>
        <w:spacing w:line="240" w:lineRule="auto"/>
        <w:textAlignment w:val="auto"/>
        <w:rPr>
          <w:rFonts w:eastAsia="MS Mincho"/>
          <w:sz w:val="20"/>
          <w:szCs w:val="20"/>
          <w:highlight w:val="yellow"/>
          <w:lang w:bidi="en-US"/>
        </w:rPr>
      </w:pPr>
    </w:p>
    <w:p w14:paraId="0F1D764C" w14:textId="393C4F18" w:rsidR="00537AAE" w:rsidRPr="0064597D" w:rsidRDefault="00413443" w:rsidP="00EE3B43">
      <w:pPr>
        <w:numPr>
          <w:ilvl w:val="0"/>
          <w:numId w:val="1"/>
        </w:numPr>
        <w:tabs>
          <w:tab w:val="left" w:pos="567"/>
        </w:tabs>
        <w:spacing w:line="240" w:lineRule="auto"/>
        <w:ind w:left="0" w:firstLine="0"/>
        <w:textAlignment w:val="auto"/>
        <w:rPr>
          <w:rFonts w:eastAsia="MS Mincho"/>
          <w:sz w:val="20"/>
          <w:szCs w:val="20"/>
          <w:lang w:bidi="en-US"/>
        </w:rPr>
      </w:pPr>
      <w:r w:rsidRPr="0064597D">
        <w:rPr>
          <w:rFonts w:cs="Arial"/>
          <w:sz w:val="20"/>
          <w:szCs w:val="20"/>
        </w:rPr>
        <w:t xml:space="preserve">En cuanto al control judicial adecuado, </w:t>
      </w:r>
      <w:r w:rsidR="00CF1E9F" w:rsidRPr="0064597D">
        <w:rPr>
          <w:rFonts w:cs="Arial"/>
          <w:sz w:val="20"/>
          <w:szCs w:val="20"/>
        </w:rPr>
        <w:t xml:space="preserve">las representantes solicitaron que se ordenara al </w:t>
      </w:r>
      <w:r w:rsidRPr="0064597D">
        <w:rPr>
          <w:rFonts w:cs="Arial"/>
          <w:sz w:val="20"/>
          <w:szCs w:val="20"/>
        </w:rPr>
        <w:t>Estado adoptar medidas que garantice</w:t>
      </w:r>
      <w:r w:rsidR="0096374F" w:rsidRPr="0064597D">
        <w:rPr>
          <w:rFonts w:cs="Arial"/>
          <w:sz w:val="20"/>
          <w:szCs w:val="20"/>
        </w:rPr>
        <w:t>n</w:t>
      </w:r>
      <w:r w:rsidRPr="0064597D">
        <w:rPr>
          <w:rFonts w:cs="Arial"/>
          <w:sz w:val="20"/>
          <w:szCs w:val="20"/>
        </w:rPr>
        <w:t xml:space="preserve"> el respeto de las garantías judiciales de las personas imputadas y la actuación adecuada de los abogados defensores</w:t>
      </w:r>
      <w:r w:rsidR="005F18DA" w:rsidRPr="0064597D">
        <w:rPr>
          <w:rFonts w:cs="Arial"/>
          <w:sz w:val="20"/>
          <w:szCs w:val="20"/>
        </w:rPr>
        <w:t xml:space="preserve">. </w:t>
      </w:r>
    </w:p>
    <w:p w14:paraId="59B31632" w14:textId="77777777" w:rsidR="00A35A84" w:rsidRPr="0064597D" w:rsidRDefault="00A35A84" w:rsidP="00A35A84">
      <w:pPr>
        <w:tabs>
          <w:tab w:val="left" w:pos="567"/>
        </w:tabs>
        <w:spacing w:line="240" w:lineRule="auto"/>
        <w:textAlignment w:val="auto"/>
        <w:rPr>
          <w:rFonts w:eastAsia="MS Mincho"/>
          <w:sz w:val="20"/>
          <w:szCs w:val="20"/>
          <w:lang w:bidi="en-US"/>
        </w:rPr>
      </w:pPr>
    </w:p>
    <w:p w14:paraId="37628C9F" w14:textId="01CF32DC" w:rsidR="005F18DA" w:rsidRPr="0064597D" w:rsidRDefault="005F18DA" w:rsidP="005F18DA">
      <w:pPr>
        <w:numPr>
          <w:ilvl w:val="0"/>
          <w:numId w:val="1"/>
        </w:numPr>
        <w:tabs>
          <w:tab w:val="left" w:pos="567"/>
        </w:tabs>
        <w:spacing w:line="240" w:lineRule="auto"/>
        <w:ind w:left="0" w:firstLine="0"/>
        <w:textAlignment w:val="auto"/>
        <w:rPr>
          <w:rFonts w:eastAsia="MS Mincho"/>
          <w:sz w:val="20"/>
          <w:szCs w:val="20"/>
          <w:lang w:bidi="en-US"/>
        </w:rPr>
      </w:pPr>
      <w:r w:rsidRPr="0064597D">
        <w:rPr>
          <w:rFonts w:eastAsia="MS Mincho"/>
          <w:sz w:val="20"/>
          <w:szCs w:val="20"/>
          <w:lang w:bidi="en-US"/>
        </w:rPr>
        <w:t xml:space="preserve">En </w:t>
      </w:r>
      <w:r w:rsidR="00A61370" w:rsidRPr="0064597D">
        <w:rPr>
          <w:rFonts w:eastAsia="MS Mincho"/>
          <w:sz w:val="20"/>
          <w:szCs w:val="20"/>
          <w:lang w:bidi="en-US"/>
        </w:rPr>
        <w:t xml:space="preserve">relación con </w:t>
      </w:r>
      <w:r w:rsidRPr="0064597D">
        <w:rPr>
          <w:rFonts w:eastAsia="MS Mincho"/>
          <w:sz w:val="20"/>
          <w:szCs w:val="20"/>
          <w:lang w:bidi="en-US"/>
        </w:rPr>
        <w:t xml:space="preserve">la adopción de </w:t>
      </w:r>
      <w:r w:rsidRPr="0064597D">
        <w:rPr>
          <w:rFonts w:cs="Arial"/>
          <w:sz w:val="20"/>
          <w:szCs w:val="20"/>
        </w:rPr>
        <w:t>medidas legislativas para asegurar el acceso a un recurso de apelación adecuado, e</w:t>
      </w:r>
      <w:r w:rsidRPr="0064597D">
        <w:rPr>
          <w:rFonts w:eastAsia="MS Mincho"/>
          <w:sz w:val="20"/>
          <w:szCs w:val="20"/>
          <w:lang w:bidi="en-US"/>
        </w:rPr>
        <w:t xml:space="preserve">l </w:t>
      </w:r>
      <w:r w:rsidRPr="0064597D">
        <w:rPr>
          <w:rFonts w:eastAsia="MS Mincho"/>
          <w:b/>
          <w:i/>
          <w:sz w:val="20"/>
          <w:szCs w:val="20"/>
          <w:lang w:bidi="en-US"/>
        </w:rPr>
        <w:t>Estado</w:t>
      </w:r>
      <w:r w:rsidRPr="0064597D">
        <w:rPr>
          <w:rFonts w:eastAsia="MS Mincho"/>
          <w:sz w:val="20"/>
          <w:szCs w:val="20"/>
          <w:lang w:bidi="en-US"/>
        </w:rPr>
        <w:t xml:space="preserve"> indicó que, si bien </w:t>
      </w:r>
      <w:r w:rsidRPr="0064597D">
        <w:rPr>
          <w:rFonts w:cs="Arial"/>
          <w:sz w:val="20"/>
          <w:szCs w:val="20"/>
        </w:rPr>
        <w:t>existe el requisito formal de no pronunciarse en las sentencias de apelación sobre la valoración de los me</w:t>
      </w:r>
      <w:r w:rsidR="00D72965" w:rsidRPr="0064597D">
        <w:rPr>
          <w:rFonts w:cs="Arial"/>
          <w:sz w:val="20"/>
          <w:szCs w:val="20"/>
        </w:rPr>
        <w:t>dios de prueba en particular, sí</w:t>
      </w:r>
      <w:r w:rsidRPr="0064597D">
        <w:rPr>
          <w:rFonts w:cs="Arial"/>
          <w:sz w:val="20"/>
          <w:szCs w:val="20"/>
        </w:rPr>
        <w:t xml:space="preserve"> existe la posibilidad de que los tribunales de alzada </w:t>
      </w:r>
      <w:r w:rsidR="00D72965" w:rsidRPr="0064597D">
        <w:rPr>
          <w:rFonts w:cs="Arial"/>
          <w:sz w:val="20"/>
          <w:szCs w:val="20"/>
        </w:rPr>
        <w:t>examinen</w:t>
      </w:r>
      <w:r w:rsidRPr="0064597D">
        <w:rPr>
          <w:rFonts w:cs="Arial"/>
          <w:sz w:val="20"/>
          <w:szCs w:val="20"/>
        </w:rPr>
        <w:t xml:space="preserve"> la forma en la que los medios de prueba fueron analizados y si se respetaron las reglas de la sana critica en su valoración. </w:t>
      </w:r>
    </w:p>
    <w:p w14:paraId="74CB989A" w14:textId="77777777" w:rsidR="005F18DA" w:rsidRPr="0064597D" w:rsidRDefault="005F18DA" w:rsidP="005F18DA">
      <w:pPr>
        <w:tabs>
          <w:tab w:val="left" w:pos="567"/>
        </w:tabs>
        <w:spacing w:line="240" w:lineRule="auto"/>
        <w:textAlignment w:val="auto"/>
        <w:rPr>
          <w:rFonts w:eastAsia="MS Mincho"/>
          <w:sz w:val="20"/>
          <w:szCs w:val="20"/>
          <w:lang w:bidi="en-US"/>
        </w:rPr>
      </w:pPr>
    </w:p>
    <w:p w14:paraId="22F6E568" w14:textId="0885D192" w:rsidR="005F18DA" w:rsidRPr="0064597D" w:rsidRDefault="005F18DA" w:rsidP="005F18DA">
      <w:pPr>
        <w:numPr>
          <w:ilvl w:val="0"/>
          <w:numId w:val="1"/>
        </w:numPr>
        <w:tabs>
          <w:tab w:val="left" w:pos="567"/>
        </w:tabs>
        <w:spacing w:line="240" w:lineRule="auto"/>
        <w:ind w:left="0" w:firstLine="0"/>
        <w:textAlignment w:val="auto"/>
        <w:rPr>
          <w:rFonts w:eastAsia="MS Mincho"/>
          <w:sz w:val="20"/>
          <w:szCs w:val="20"/>
          <w:lang w:bidi="en-US"/>
        </w:rPr>
      </w:pPr>
      <w:r w:rsidRPr="0064597D">
        <w:rPr>
          <w:sz w:val="20"/>
          <w:szCs w:val="20"/>
        </w:rPr>
        <w:t>En cuanto al marco normativo que regula la pena de muerte,</w:t>
      </w:r>
      <w:r w:rsidRPr="0064597D">
        <w:rPr>
          <w:rFonts w:eastAsia="MS Mincho"/>
          <w:sz w:val="20"/>
          <w:szCs w:val="20"/>
          <w:lang w:bidi="en-US"/>
        </w:rPr>
        <w:t xml:space="preserve"> el Estado manifestó que ha dedicado su mejor esfuerzo en evitar la aplicación de dicha pena, implementando el mecanismo de la conmuta por la privación de libertad y dicho esfuerzo ha sido reconocido por la Comisión en el Informe de Fondo No. 94/17. Por consiguiente, dicha medida de reparación debe ser declarada innecesaria. </w:t>
      </w:r>
    </w:p>
    <w:p w14:paraId="4D8F7AB8" w14:textId="77777777" w:rsidR="005F18DA" w:rsidRPr="0064597D" w:rsidRDefault="005F18DA" w:rsidP="005F18DA">
      <w:pPr>
        <w:tabs>
          <w:tab w:val="left" w:pos="567"/>
        </w:tabs>
        <w:spacing w:line="240" w:lineRule="auto"/>
        <w:textAlignment w:val="auto"/>
        <w:rPr>
          <w:rFonts w:eastAsia="MS Mincho"/>
          <w:sz w:val="20"/>
          <w:szCs w:val="20"/>
          <w:lang w:bidi="en-US"/>
        </w:rPr>
      </w:pPr>
    </w:p>
    <w:p w14:paraId="0DDF60C1" w14:textId="10C575D4" w:rsidR="005F18DA" w:rsidRPr="0064597D" w:rsidRDefault="005F18DA" w:rsidP="005F18DA">
      <w:pPr>
        <w:numPr>
          <w:ilvl w:val="0"/>
          <w:numId w:val="1"/>
        </w:numPr>
        <w:tabs>
          <w:tab w:val="left" w:pos="567"/>
        </w:tabs>
        <w:spacing w:line="240" w:lineRule="auto"/>
        <w:ind w:left="0" w:firstLine="0"/>
        <w:textAlignment w:val="auto"/>
        <w:rPr>
          <w:rFonts w:eastAsia="MS Mincho"/>
          <w:sz w:val="20"/>
          <w:szCs w:val="20"/>
          <w:lang w:bidi="en-US"/>
        </w:rPr>
      </w:pPr>
      <w:r w:rsidRPr="0064597D">
        <w:rPr>
          <w:sz w:val="20"/>
          <w:szCs w:val="20"/>
        </w:rPr>
        <w:t xml:space="preserve">En cuanto a la materia de prohibición de tortura, </w:t>
      </w:r>
      <w:r w:rsidRPr="0064597D">
        <w:rPr>
          <w:rFonts w:eastAsia="MS Mincho"/>
          <w:sz w:val="20"/>
          <w:szCs w:val="20"/>
          <w:lang w:bidi="en-US"/>
        </w:rPr>
        <w:t xml:space="preserve">el Estado </w:t>
      </w:r>
      <w:r w:rsidRPr="0064597D">
        <w:rPr>
          <w:sz w:val="20"/>
          <w:szCs w:val="20"/>
        </w:rPr>
        <w:t xml:space="preserve">indicó que el delito de tortura se encuentra regulado en la legislación doméstica, motivo por el cual desde el momento en que el ente encargado de la persecución penal tiene información de la comisión de un delito, de oficio activa su protocolo de actuación. </w:t>
      </w:r>
    </w:p>
    <w:p w14:paraId="5AB97824" w14:textId="77777777" w:rsidR="005F18DA" w:rsidRPr="0064597D" w:rsidRDefault="005F18DA" w:rsidP="005F18DA">
      <w:pPr>
        <w:tabs>
          <w:tab w:val="left" w:pos="567"/>
        </w:tabs>
        <w:spacing w:line="240" w:lineRule="auto"/>
        <w:textAlignment w:val="auto"/>
        <w:rPr>
          <w:rFonts w:eastAsia="MS Mincho"/>
          <w:sz w:val="20"/>
          <w:szCs w:val="20"/>
          <w:lang w:bidi="en-US"/>
        </w:rPr>
      </w:pPr>
    </w:p>
    <w:p w14:paraId="2F58C93D" w14:textId="2082B777" w:rsidR="00413443" w:rsidRPr="0064597D" w:rsidRDefault="00537AAE" w:rsidP="00413443">
      <w:pPr>
        <w:numPr>
          <w:ilvl w:val="0"/>
          <w:numId w:val="1"/>
        </w:numPr>
        <w:tabs>
          <w:tab w:val="left" w:pos="567"/>
        </w:tabs>
        <w:spacing w:line="240" w:lineRule="auto"/>
        <w:ind w:left="0" w:firstLine="0"/>
        <w:textAlignment w:val="auto"/>
        <w:rPr>
          <w:rFonts w:eastAsia="MS Mincho"/>
          <w:sz w:val="20"/>
          <w:szCs w:val="20"/>
          <w:lang w:bidi="en-US"/>
        </w:rPr>
      </w:pPr>
      <w:r w:rsidRPr="0064597D">
        <w:rPr>
          <w:sz w:val="20"/>
          <w:szCs w:val="20"/>
        </w:rPr>
        <w:t>En cuanto a la reforma y fortalecimiento de la PNC</w:t>
      </w:r>
      <w:r w:rsidRPr="0064597D">
        <w:rPr>
          <w:rFonts w:eastAsia="MS Mincho"/>
          <w:sz w:val="20"/>
          <w:szCs w:val="20"/>
          <w:lang w:bidi="en-US"/>
        </w:rPr>
        <w:t>, e</w:t>
      </w:r>
      <w:r w:rsidR="00413443" w:rsidRPr="0064597D">
        <w:rPr>
          <w:rFonts w:eastAsia="MS Mincho"/>
          <w:sz w:val="20"/>
          <w:szCs w:val="20"/>
          <w:lang w:bidi="en-US"/>
        </w:rPr>
        <w:t xml:space="preserve">l Estado </w:t>
      </w:r>
      <w:r w:rsidR="00413443" w:rsidRPr="0064597D">
        <w:rPr>
          <w:sz w:val="20"/>
          <w:szCs w:val="20"/>
        </w:rPr>
        <w:t xml:space="preserve">señaló que desde hace un tiempo atrás viene trabajando </w:t>
      </w:r>
      <w:r w:rsidR="0096374F" w:rsidRPr="0064597D">
        <w:rPr>
          <w:sz w:val="20"/>
          <w:szCs w:val="20"/>
        </w:rPr>
        <w:t>y h</w:t>
      </w:r>
      <w:r w:rsidR="00413443" w:rsidRPr="0064597D">
        <w:rPr>
          <w:sz w:val="20"/>
          <w:szCs w:val="20"/>
        </w:rPr>
        <w:t xml:space="preserve">a avanzado de manera significativa. Muestra de ello </w:t>
      </w:r>
      <w:r w:rsidR="005F52E1" w:rsidRPr="0064597D">
        <w:rPr>
          <w:sz w:val="20"/>
          <w:szCs w:val="20"/>
        </w:rPr>
        <w:t>sería</w:t>
      </w:r>
      <w:r w:rsidR="00413443" w:rsidRPr="0064597D">
        <w:rPr>
          <w:sz w:val="20"/>
          <w:szCs w:val="20"/>
        </w:rPr>
        <w:t xml:space="preserve"> la ley vigente de la </w:t>
      </w:r>
      <w:r w:rsidRPr="0064597D">
        <w:rPr>
          <w:sz w:val="20"/>
          <w:szCs w:val="20"/>
        </w:rPr>
        <w:t xml:space="preserve">PNC </w:t>
      </w:r>
      <w:r w:rsidR="00413443" w:rsidRPr="0064597D">
        <w:rPr>
          <w:sz w:val="20"/>
          <w:szCs w:val="20"/>
        </w:rPr>
        <w:t xml:space="preserve">Decreto Numero 11-97 que contempla los aspectos como: a) las funciones principales; b) estructura organizativa; c) principios básicos de actuación; d) de la carrera de la </w:t>
      </w:r>
      <w:r w:rsidRPr="0064597D">
        <w:rPr>
          <w:sz w:val="20"/>
          <w:szCs w:val="20"/>
        </w:rPr>
        <w:t>PNC</w:t>
      </w:r>
      <w:r w:rsidR="00413443" w:rsidRPr="0064597D">
        <w:rPr>
          <w:sz w:val="20"/>
          <w:szCs w:val="20"/>
        </w:rPr>
        <w:t>; e) escalas jerárquicas, grados y ascensos; f) nombramientos y cesantías; g)</w:t>
      </w:r>
      <w:r w:rsidR="00D72965" w:rsidRPr="0064597D">
        <w:rPr>
          <w:sz w:val="20"/>
          <w:szCs w:val="20"/>
        </w:rPr>
        <w:t xml:space="preserve"> </w:t>
      </w:r>
      <w:r w:rsidR="00413443" w:rsidRPr="0064597D">
        <w:rPr>
          <w:sz w:val="20"/>
          <w:szCs w:val="20"/>
        </w:rPr>
        <w:t xml:space="preserve">situaciones administrativas; h) derechos, obligaciones, prohibiciones y destinos; i) régimen disciplinario; j) régimen procesal penal; k) régimen financiero, y l) régimen educativo. </w:t>
      </w:r>
    </w:p>
    <w:p w14:paraId="7C2CE46D" w14:textId="77777777" w:rsidR="00413443" w:rsidRPr="0064597D" w:rsidRDefault="00413443" w:rsidP="00413443">
      <w:pPr>
        <w:tabs>
          <w:tab w:val="left" w:pos="567"/>
        </w:tabs>
        <w:spacing w:line="240" w:lineRule="auto"/>
        <w:textAlignment w:val="auto"/>
        <w:rPr>
          <w:rFonts w:eastAsia="MS Mincho"/>
          <w:sz w:val="20"/>
          <w:szCs w:val="20"/>
          <w:lang w:bidi="en-US"/>
        </w:rPr>
      </w:pPr>
    </w:p>
    <w:p w14:paraId="0ED9BA96" w14:textId="54192A92" w:rsidR="00413443" w:rsidRPr="0064597D" w:rsidRDefault="00413443" w:rsidP="00413443">
      <w:pPr>
        <w:numPr>
          <w:ilvl w:val="0"/>
          <w:numId w:val="1"/>
        </w:numPr>
        <w:tabs>
          <w:tab w:val="left" w:pos="567"/>
        </w:tabs>
        <w:spacing w:line="240" w:lineRule="auto"/>
        <w:ind w:left="0" w:firstLine="0"/>
        <w:textAlignment w:val="auto"/>
        <w:rPr>
          <w:rFonts w:eastAsia="MS Mincho"/>
          <w:sz w:val="20"/>
          <w:szCs w:val="20"/>
          <w:lang w:bidi="en-US"/>
        </w:rPr>
      </w:pPr>
      <w:r w:rsidRPr="0064597D">
        <w:rPr>
          <w:sz w:val="20"/>
          <w:szCs w:val="20"/>
        </w:rPr>
        <w:t>En cuanto a la medida solicitada sobre un control judicial adecuado, el Estado señaló que existen mecanismos y regímenes disciplinarios para todos los servidores públicos y profesionales establecidos por los distintos colegios de profesionales, a través del Tribunal de Honor</w:t>
      </w:r>
      <w:r w:rsidR="000E1DAF" w:rsidRPr="0064597D">
        <w:rPr>
          <w:rStyle w:val="Refdenotaalpie"/>
          <w:sz w:val="20"/>
          <w:szCs w:val="20"/>
        </w:rPr>
        <w:footnoteReference w:id="246"/>
      </w:r>
      <w:r w:rsidRPr="0064597D">
        <w:rPr>
          <w:sz w:val="20"/>
          <w:szCs w:val="20"/>
        </w:rPr>
        <w:t>.</w:t>
      </w:r>
      <w:r w:rsidR="000E1DAF" w:rsidRPr="0064597D">
        <w:rPr>
          <w:sz w:val="20"/>
          <w:szCs w:val="20"/>
        </w:rPr>
        <w:t xml:space="preserve"> </w:t>
      </w:r>
    </w:p>
    <w:p w14:paraId="51D7C2F7" w14:textId="77777777" w:rsidR="00413443" w:rsidRPr="0064597D" w:rsidRDefault="00413443" w:rsidP="00413443">
      <w:pPr>
        <w:tabs>
          <w:tab w:val="left" w:pos="567"/>
        </w:tabs>
        <w:spacing w:line="240" w:lineRule="auto"/>
        <w:textAlignment w:val="auto"/>
        <w:rPr>
          <w:rFonts w:eastAsia="MS Mincho"/>
          <w:sz w:val="20"/>
          <w:szCs w:val="20"/>
          <w:lang w:bidi="en-US"/>
        </w:rPr>
      </w:pPr>
    </w:p>
    <w:p w14:paraId="3E51B539" w14:textId="1E3AB77B" w:rsidR="005F18DA" w:rsidRPr="0064597D" w:rsidRDefault="00B57EC1" w:rsidP="005F18DA">
      <w:pPr>
        <w:tabs>
          <w:tab w:val="left" w:pos="567"/>
        </w:tabs>
        <w:spacing w:line="240" w:lineRule="auto"/>
        <w:rPr>
          <w:rFonts w:cs="Cambria"/>
          <w:spacing w:val="-1"/>
          <w:sz w:val="20"/>
          <w:szCs w:val="20"/>
        </w:rPr>
      </w:pPr>
      <w:r w:rsidRPr="0064597D">
        <w:rPr>
          <w:rFonts w:eastAsia="MS Mincho"/>
          <w:sz w:val="20"/>
          <w:szCs w:val="20"/>
          <w:lang w:bidi="en-US"/>
        </w:rPr>
        <w:tab/>
      </w:r>
      <w:r w:rsidR="005F18DA" w:rsidRPr="0064597D">
        <w:rPr>
          <w:rFonts w:cs="Arial"/>
          <w:i/>
          <w:sz w:val="20"/>
          <w:szCs w:val="20"/>
        </w:rPr>
        <w:tab/>
        <w:t>c.</w:t>
      </w:r>
      <w:r w:rsidR="009772D8" w:rsidRPr="0064597D">
        <w:rPr>
          <w:rFonts w:cs="Arial"/>
          <w:i/>
          <w:sz w:val="20"/>
          <w:szCs w:val="20"/>
        </w:rPr>
        <w:t>2</w:t>
      </w:r>
      <w:r w:rsidR="005F18DA" w:rsidRPr="0064597D">
        <w:rPr>
          <w:rFonts w:cs="Arial"/>
          <w:i/>
          <w:sz w:val="20"/>
          <w:szCs w:val="20"/>
        </w:rPr>
        <w:t xml:space="preserve">.1) </w:t>
      </w:r>
      <w:r w:rsidR="005F18DA" w:rsidRPr="0064597D">
        <w:rPr>
          <w:rFonts w:cs="Cambria"/>
          <w:spacing w:val="-2"/>
          <w:sz w:val="20"/>
          <w:szCs w:val="20"/>
        </w:rPr>
        <w:t>A</w:t>
      </w:r>
      <w:r w:rsidR="005F18DA" w:rsidRPr="0064597D">
        <w:rPr>
          <w:rFonts w:cs="Cambria"/>
          <w:sz w:val="20"/>
          <w:szCs w:val="20"/>
        </w:rPr>
        <w:t>d</w:t>
      </w:r>
      <w:r w:rsidR="005F18DA" w:rsidRPr="0064597D">
        <w:rPr>
          <w:rFonts w:cs="Cambria"/>
          <w:spacing w:val="-2"/>
          <w:sz w:val="20"/>
          <w:szCs w:val="20"/>
        </w:rPr>
        <w:t>e</w:t>
      </w:r>
      <w:r w:rsidR="005F18DA" w:rsidRPr="0064597D">
        <w:rPr>
          <w:rFonts w:cs="Cambria"/>
          <w:spacing w:val="1"/>
          <w:sz w:val="20"/>
          <w:szCs w:val="20"/>
        </w:rPr>
        <w:t>c</w:t>
      </w:r>
      <w:r w:rsidR="005F18DA" w:rsidRPr="0064597D">
        <w:rPr>
          <w:rFonts w:cs="Cambria"/>
          <w:sz w:val="20"/>
          <w:szCs w:val="20"/>
        </w:rPr>
        <w:t>u</w:t>
      </w:r>
      <w:r w:rsidR="005F18DA" w:rsidRPr="0064597D">
        <w:rPr>
          <w:rFonts w:cs="Cambria"/>
          <w:spacing w:val="-2"/>
          <w:sz w:val="20"/>
          <w:szCs w:val="20"/>
        </w:rPr>
        <w:t>a</w:t>
      </w:r>
      <w:r w:rsidR="005F18DA" w:rsidRPr="0064597D">
        <w:rPr>
          <w:rFonts w:cs="Cambria"/>
          <w:spacing w:val="1"/>
          <w:sz w:val="20"/>
          <w:szCs w:val="20"/>
        </w:rPr>
        <w:t>c</w:t>
      </w:r>
      <w:r w:rsidR="005F18DA" w:rsidRPr="0064597D">
        <w:rPr>
          <w:rFonts w:cs="Cambria"/>
          <w:spacing w:val="-1"/>
          <w:sz w:val="20"/>
          <w:szCs w:val="20"/>
        </w:rPr>
        <w:t>i</w:t>
      </w:r>
      <w:r w:rsidR="005F18DA" w:rsidRPr="0064597D">
        <w:rPr>
          <w:rFonts w:cs="Cambria"/>
          <w:sz w:val="20"/>
          <w:szCs w:val="20"/>
        </w:rPr>
        <w:t xml:space="preserve">ón </w:t>
      </w:r>
      <w:r w:rsidR="005F18DA" w:rsidRPr="0064597D">
        <w:rPr>
          <w:rFonts w:cs="Cambria"/>
          <w:spacing w:val="-1"/>
          <w:sz w:val="20"/>
          <w:szCs w:val="20"/>
        </w:rPr>
        <w:t>de la legislación interna a la Convención Americana</w:t>
      </w:r>
    </w:p>
    <w:p w14:paraId="6953AB5E" w14:textId="77777777" w:rsidR="005F18DA" w:rsidRPr="0064597D" w:rsidRDefault="005F18DA" w:rsidP="005F18DA">
      <w:pPr>
        <w:tabs>
          <w:tab w:val="left" w:pos="567"/>
        </w:tabs>
        <w:spacing w:line="240" w:lineRule="auto"/>
        <w:rPr>
          <w:rFonts w:cs="Cambria"/>
          <w:spacing w:val="-1"/>
          <w:sz w:val="20"/>
          <w:szCs w:val="20"/>
        </w:rPr>
      </w:pPr>
    </w:p>
    <w:p w14:paraId="60B34DA8" w14:textId="4DE01D5D" w:rsidR="00D30316" w:rsidRPr="0064597D" w:rsidRDefault="005D1ECE" w:rsidP="001E4FB6">
      <w:pPr>
        <w:numPr>
          <w:ilvl w:val="0"/>
          <w:numId w:val="1"/>
        </w:numPr>
        <w:tabs>
          <w:tab w:val="left" w:pos="567"/>
        </w:tabs>
        <w:autoSpaceDE w:val="0"/>
        <w:autoSpaceDN w:val="0"/>
        <w:spacing w:line="240" w:lineRule="auto"/>
        <w:ind w:left="0" w:firstLine="0"/>
        <w:rPr>
          <w:rFonts w:eastAsia="MS Mincho"/>
          <w:sz w:val="20"/>
          <w:szCs w:val="20"/>
          <w:lang w:bidi="en-US"/>
        </w:rPr>
      </w:pPr>
      <w:r w:rsidRPr="0064597D">
        <w:rPr>
          <w:sz w:val="20"/>
          <w:szCs w:val="20"/>
        </w:rPr>
        <w:t xml:space="preserve">En relación con </w:t>
      </w:r>
      <w:r w:rsidR="001E4FB6" w:rsidRPr="0064597D">
        <w:rPr>
          <w:sz w:val="20"/>
          <w:szCs w:val="20"/>
        </w:rPr>
        <w:t>el</w:t>
      </w:r>
      <w:r w:rsidR="00D30316" w:rsidRPr="0064597D">
        <w:rPr>
          <w:rFonts w:eastAsia="MS Mincho"/>
          <w:sz w:val="20"/>
          <w:szCs w:val="20"/>
          <w:lang w:bidi="en-US"/>
        </w:rPr>
        <w:t xml:space="preserve"> marco legal que regula la pena de muerte, la </w:t>
      </w:r>
      <w:r w:rsidR="00D30316" w:rsidRPr="0064597D">
        <w:rPr>
          <w:rFonts w:eastAsia="MS Mincho"/>
          <w:b/>
          <w:i/>
          <w:sz w:val="20"/>
          <w:szCs w:val="20"/>
          <w:lang w:bidi="en-US"/>
        </w:rPr>
        <w:t>Corte</w:t>
      </w:r>
      <w:r w:rsidR="00D30316" w:rsidRPr="0064597D">
        <w:rPr>
          <w:rFonts w:eastAsia="MS Mincho"/>
          <w:sz w:val="20"/>
          <w:szCs w:val="20"/>
          <w:lang w:bidi="en-US"/>
        </w:rPr>
        <w:t xml:space="preserve"> </w:t>
      </w:r>
      <w:r w:rsidR="004E3976" w:rsidRPr="0064597D">
        <w:rPr>
          <w:rFonts w:eastAsia="MS Mincho"/>
          <w:sz w:val="20"/>
          <w:szCs w:val="20"/>
          <w:lang w:bidi="en-US"/>
        </w:rPr>
        <w:t xml:space="preserve">observa que </w:t>
      </w:r>
      <w:r w:rsidR="00D30316" w:rsidRPr="0064597D">
        <w:rPr>
          <w:rFonts w:eastAsia="MS Mincho"/>
          <w:sz w:val="20"/>
          <w:szCs w:val="20"/>
          <w:lang w:bidi="en-US"/>
        </w:rPr>
        <w:t xml:space="preserve">ya ordenó en el </w:t>
      </w:r>
      <w:r w:rsidR="00D30316" w:rsidRPr="0064597D">
        <w:rPr>
          <w:rFonts w:eastAsia="MS Mincho"/>
          <w:i/>
          <w:sz w:val="20"/>
          <w:szCs w:val="20"/>
          <w:lang w:bidi="en-US"/>
        </w:rPr>
        <w:t>caso Raxcacó Reyes Vs. Guatemala</w:t>
      </w:r>
      <w:r w:rsidR="00D30316" w:rsidRPr="0064597D">
        <w:rPr>
          <w:rFonts w:eastAsia="MS Mincho"/>
          <w:sz w:val="20"/>
          <w:szCs w:val="20"/>
          <w:lang w:bidi="en-US"/>
        </w:rPr>
        <w:t xml:space="preserve"> lo siguiente:</w:t>
      </w:r>
    </w:p>
    <w:p w14:paraId="600F36D1" w14:textId="77777777" w:rsidR="00D30316" w:rsidRPr="0064597D" w:rsidRDefault="00D30316" w:rsidP="00D30316">
      <w:pPr>
        <w:tabs>
          <w:tab w:val="left" w:pos="567"/>
        </w:tabs>
        <w:spacing w:line="240" w:lineRule="auto"/>
        <w:textAlignment w:val="auto"/>
        <w:rPr>
          <w:rFonts w:eastAsia="MS Mincho"/>
          <w:sz w:val="20"/>
          <w:szCs w:val="20"/>
          <w:lang w:bidi="en-US"/>
        </w:rPr>
      </w:pPr>
    </w:p>
    <w:p w14:paraId="42B6CB6A" w14:textId="0DA6C22C" w:rsidR="00D30316" w:rsidRPr="0064597D" w:rsidRDefault="00DA7F1B" w:rsidP="00D30316">
      <w:pPr>
        <w:tabs>
          <w:tab w:val="left" w:pos="567"/>
        </w:tabs>
        <w:spacing w:line="240" w:lineRule="auto"/>
        <w:ind w:left="720" w:right="720"/>
        <w:textAlignment w:val="auto"/>
        <w:rPr>
          <w:rFonts w:cs="Arial"/>
          <w:sz w:val="18"/>
          <w:szCs w:val="18"/>
        </w:rPr>
      </w:pPr>
      <w:r>
        <w:rPr>
          <w:rFonts w:cs="Arial"/>
          <w:sz w:val="18"/>
          <w:szCs w:val="18"/>
        </w:rPr>
        <w:t xml:space="preserve">[…] </w:t>
      </w:r>
      <w:r w:rsidR="00D30316" w:rsidRPr="0064597D">
        <w:rPr>
          <w:rFonts w:cs="Arial"/>
          <w:sz w:val="18"/>
          <w:szCs w:val="18"/>
        </w:rPr>
        <w:t xml:space="preserve">i. </w:t>
      </w:r>
      <w:r w:rsidR="005F2FF2" w:rsidRPr="0064597D">
        <w:rPr>
          <w:rFonts w:cs="Arial"/>
          <w:sz w:val="18"/>
          <w:szCs w:val="18"/>
        </w:rPr>
        <w:t>l</w:t>
      </w:r>
      <w:r w:rsidR="00D30316" w:rsidRPr="0064597D">
        <w:rPr>
          <w:rFonts w:cs="Arial"/>
          <w:sz w:val="18"/>
          <w:szCs w:val="18"/>
        </w:rPr>
        <w:t xml:space="preserve">a modificación, dentro de un plazo razonable, del artículo 201 del Código Penal vigente, de manera que se estructuren tipos penales diversos y específicos para determinar las diferentes formas de plagio o secuestro, en función de sus características, la gravedad de los hechos y las circunstancias del delito, con la correspondiente previsión de punibilidades diferentes, proporcionales a aquéllas, así como la atribución al juzgador de la potestad de individualizar las penas en forma consecuente con los datos del hecho y el autor, dentro de los extremos máximo y mínimo que deberá consagrar cada conminación penal. Esta modificación, en ningún caso, ampliará el catálogo de delitos sancionados con la pena capital previsto con anterioridad a la ratificación de la Convención Americana. Mientras esto ocurra, el Estado deberá abstenerse de aplicar la pena de muerte y ejecutar a los condenados por el delito de plagio o secuestro exclusivamente. </w:t>
      </w:r>
    </w:p>
    <w:p w14:paraId="73614692" w14:textId="77777777" w:rsidR="00D30316" w:rsidRPr="0064597D" w:rsidRDefault="00D30316" w:rsidP="00D30316">
      <w:pPr>
        <w:tabs>
          <w:tab w:val="left" w:pos="567"/>
        </w:tabs>
        <w:spacing w:line="240" w:lineRule="auto"/>
        <w:ind w:left="720" w:right="720"/>
        <w:textAlignment w:val="auto"/>
        <w:rPr>
          <w:rFonts w:cs="Arial"/>
          <w:sz w:val="18"/>
          <w:szCs w:val="18"/>
        </w:rPr>
      </w:pPr>
    </w:p>
    <w:p w14:paraId="75DD5023" w14:textId="5173BFFD" w:rsidR="00D30316" w:rsidRPr="0064597D" w:rsidRDefault="00D30316" w:rsidP="00D30316">
      <w:pPr>
        <w:tabs>
          <w:tab w:val="left" w:pos="567"/>
        </w:tabs>
        <w:spacing w:line="240" w:lineRule="auto"/>
        <w:ind w:left="720" w:right="720"/>
        <w:textAlignment w:val="auto"/>
        <w:rPr>
          <w:rFonts w:eastAsia="MS Mincho"/>
          <w:sz w:val="18"/>
          <w:szCs w:val="18"/>
          <w:lang w:bidi="en-US"/>
        </w:rPr>
      </w:pPr>
      <w:r w:rsidRPr="0064597D">
        <w:rPr>
          <w:rFonts w:cs="Arial"/>
          <w:sz w:val="18"/>
          <w:szCs w:val="18"/>
        </w:rPr>
        <w:t>ii. la adopción, dentro de un plazo razonable, de un procedimiento que garantice que toda persona condenada a muerte tenga derecho a solicitar y, en su caso, obtener indulto o conmutación de pena, conforme a una regulación que establezca la autoridad facultada para concederlo, los supuestos de procedencia y el trámite respectivo; en estos casos no debe ejecutarse la sentencia mientras se encuentre pendiente la decisión sobre el indulto o la conmutación solicitados</w:t>
      </w:r>
      <w:r w:rsidRPr="0064597D">
        <w:rPr>
          <w:rStyle w:val="Refdenotaalpie"/>
          <w:rFonts w:cs="Arial"/>
          <w:sz w:val="18"/>
          <w:szCs w:val="18"/>
        </w:rPr>
        <w:footnoteReference w:id="247"/>
      </w:r>
      <w:r w:rsidR="005F2FF2" w:rsidRPr="0064597D">
        <w:rPr>
          <w:rFonts w:cs="Arial"/>
          <w:sz w:val="18"/>
          <w:szCs w:val="18"/>
        </w:rPr>
        <w:t>.</w:t>
      </w:r>
    </w:p>
    <w:p w14:paraId="1FCE896F" w14:textId="77777777" w:rsidR="00D30316" w:rsidRPr="0064597D" w:rsidRDefault="00D30316" w:rsidP="00D30316">
      <w:pPr>
        <w:tabs>
          <w:tab w:val="left" w:pos="567"/>
        </w:tabs>
        <w:spacing w:line="240" w:lineRule="auto"/>
        <w:textAlignment w:val="auto"/>
        <w:rPr>
          <w:rFonts w:eastAsia="MS Mincho"/>
          <w:sz w:val="20"/>
          <w:szCs w:val="20"/>
          <w:lang w:bidi="en-US"/>
        </w:rPr>
      </w:pPr>
    </w:p>
    <w:p w14:paraId="03EB7526" w14:textId="77777777" w:rsidR="009772D8" w:rsidRPr="0064597D" w:rsidRDefault="00D30316" w:rsidP="000B4B2C">
      <w:pPr>
        <w:numPr>
          <w:ilvl w:val="0"/>
          <w:numId w:val="1"/>
        </w:numPr>
        <w:tabs>
          <w:tab w:val="left" w:pos="567"/>
        </w:tabs>
        <w:autoSpaceDE w:val="0"/>
        <w:autoSpaceDN w:val="0"/>
        <w:spacing w:line="240" w:lineRule="auto"/>
        <w:ind w:left="0" w:firstLine="0"/>
        <w:rPr>
          <w:rFonts w:eastAsia="MS Mincho"/>
          <w:sz w:val="20"/>
          <w:szCs w:val="20"/>
          <w:lang w:bidi="en-US"/>
        </w:rPr>
      </w:pPr>
      <w:r w:rsidRPr="0064597D">
        <w:rPr>
          <w:rFonts w:eastAsia="MS Mincho"/>
          <w:sz w:val="20"/>
          <w:szCs w:val="20"/>
          <w:lang w:bidi="en-US"/>
        </w:rPr>
        <w:t>La Corte considera, por tanto, que no es necesario reiterar</w:t>
      </w:r>
      <w:r w:rsidR="000B4B2C" w:rsidRPr="0064597D">
        <w:rPr>
          <w:rFonts w:eastAsia="MS Mincho"/>
          <w:sz w:val="20"/>
          <w:szCs w:val="20"/>
          <w:lang w:bidi="en-US"/>
        </w:rPr>
        <w:t xml:space="preserve"> </w:t>
      </w:r>
      <w:r w:rsidRPr="0064597D">
        <w:rPr>
          <w:rFonts w:eastAsia="MS Mincho"/>
          <w:sz w:val="20"/>
          <w:szCs w:val="20"/>
          <w:lang w:bidi="en-US"/>
        </w:rPr>
        <w:t>a Guatemala medidas</w:t>
      </w:r>
      <w:r w:rsidR="000B4B2C" w:rsidRPr="0064597D">
        <w:rPr>
          <w:rFonts w:eastAsia="MS Mincho"/>
          <w:sz w:val="20"/>
          <w:szCs w:val="20"/>
          <w:lang w:bidi="en-US"/>
        </w:rPr>
        <w:t xml:space="preserve"> de </w:t>
      </w:r>
      <w:r w:rsidRPr="0064597D">
        <w:rPr>
          <w:rFonts w:eastAsia="MS Mincho"/>
          <w:sz w:val="20"/>
          <w:szCs w:val="20"/>
          <w:lang w:bidi="en-US"/>
        </w:rPr>
        <w:t>reparación sobre la adecuación de sus disposiciones de derecho interno a la Convención Americana a este respecto</w:t>
      </w:r>
      <w:r w:rsidR="00673D2A" w:rsidRPr="0064597D">
        <w:rPr>
          <w:rFonts w:eastAsia="MS Mincho"/>
          <w:sz w:val="20"/>
          <w:szCs w:val="20"/>
          <w:lang w:bidi="en-US"/>
        </w:rPr>
        <w:t>, toda vez que el cumplimiento de dichas medidas está siendo en la actualidad analizado por parte de la Corte en la etapa supervisión de cumplimento correspondiente</w:t>
      </w:r>
      <w:r w:rsidRPr="0064597D">
        <w:rPr>
          <w:rFonts w:eastAsia="MS Mincho"/>
          <w:sz w:val="20"/>
          <w:szCs w:val="20"/>
          <w:lang w:bidi="en-US"/>
        </w:rPr>
        <w:t xml:space="preserve">. </w:t>
      </w:r>
    </w:p>
    <w:p w14:paraId="1FB06248" w14:textId="77777777" w:rsidR="0009788A" w:rsidRPr="0064597D" w:rsidRDefault="0009788A" w:rsidP="0009788A">
      <w:pPr>
        <w:tabs>
          <w:tab w:val="left" w:pos="567"/>
        </w:tabs>
        <w:autoSpaceDE w:val="0"/>
        <w:autoSpaceDN w:val="0"/>
        <w:spacing w:line="240" w:lineRule="auto"/>
        <w:rPr>
          <w:rFonts w:eastAsia="MS Mincho"/>
          <w:sz w:val="20"/>
          <w:szCs w:val="20"/>
          <w:lang w:bidi="en-US"/>
        </w:rPr>
      </w:pPr>
    </w:p>
    <w:p w14:paraId="6AC0128D" w14:textId="7049316C" w:rsidR="00ED2347" w:rsidRPr="0064597D" w:rsidRDefault="00ED2347" w:rsidP="000B4B2C">
      <w:pPr>
        <w:numPr>
          <w:ilvl w:val="0"/>
          <w:numId w:val="1"/>
        </w:numPr>
        <w:tabs>
          <w:tab w:val="left" w:pos="567"/>
        </w:tabs>
        <w:autoSpaceDE w:val="0"/>
        <w:autoSpaceDN w:val="0"/>
        <w:spacing w:line="240" w:lineRule="auto"/>
        <w:ind w:left="0" w:firstLine="0"/>
        <w:rPr>
          <w:rFonts w:eastAsia="MS Mincho"/>
          <w:sz w:val="20"/>
          <w:szCs w:val="20"/>
          <w:lang w:bidi="en-US"/>
        </w:rPr>
      </w:pPr>
      <w:r w:rsidRPr="0064597D">
        <w:rPr>
          <w:rFonts w:eastAsia="MS Mincho"/>
          <w:sz w:val="20"/>
          <w:szCs w:val="20"/>
          <w:lang w:bidi="en-US"/>
        </w:rPr>
        <w:t xml:space="preserve">En cuanto a la adecuación </w:t>
      </w:r>
      <w:r w:rsidR="00845FEF" w:rsidRPr="0064597D">
        <w:rPr>
          <w:rFonts w:eastAsia="MS Mincho"/>
          <w:sz w:val="20"/>
          <w:szCs w:val="20"/>
          <w:lang w:bidi="en-US"/>
        </w:rPr>
        <w:t>del</w:t>
      </w:r>
      <w:r w:rsidRPr="0064597D">
        <w:rPr>
          <w:rFonts w:eastAsia="MS Mincho"/>
          <w:sz w:val="20"/>
          <w:szCs w:val="20"/>
          <w:lang w:bidi="en-US"/>
        </w:rPr>
        <w:t xml:space="preserve"> artículo 201</w:t>
      </w:r>
      <w:r w:rsidR="006350CB" w:rsidRPr="0064597D">
        <w:rPr>
          <w:rFonts w:eastAsia="MS Mincho"/>
          <w:sz w:val="20"/>
          <w:szCs w:val="20"/>
          <w:lang w:bidi="en-US"/>
        </w:rPr>
        <w:t xml:space="preserve"> </w:t>
      </w:r>
      <w:r w:rsidRPr="0064597D">
        <w:rPr>
          <w:rFonts w:eastAsia="MS Mincho"/>
          <w:sz w:val="20"/>
          <w:szCs w:val="20"/>
          <w:lang w:bidi="en-US"/>
        </w:rPr>
        <w:t xml:space="preserve">bis </w:t>
      </w:r>
      <w:r w:rsidR="0009788A" w:rsidRPr="0064597D">
        <w:rPr>
          <w:rFonts w:eastAsia="MS Mincho"/>
          <w:sz w:val="20"/>
          <w:szCs w:val="20"/>
          <w:lang w:bidi="en-US"/>
        </w:rPr>
        <w:t xml:space="preserve">del Código Penal guatemalteco </w:t>
      </w:r>
      <w:r w:rsidRPr="0064597D">
        <w:rPr>
          <w:rFonts w:eastAsia="MS Mincho"/>
          <w:sz w:val="20"/>
          <w:szCs w:val="20"/>
          <w:lang w:bidi="en-US"/>
        </w:rPr>
        <w:t>a los estándares internacionales en relación con la tipificación de la tortura</w:t>
      </w:r>
      <w:r w:rsidR="006350CB" w:rsidRPr="0064597D">
        <w:rPr>
          <w:rFonts w:eastAsia="MS Mincho"/>
          <w:sz w:val="20"/>
          <w:szCs w:val="20"/>
          <w:lang w:bidi="en-US"/>
        </w:rPr>
        <w:t xml:space="preserve">, la Corte observa que </w:t>
      </w:r>
      <w:r w:rsidR="00845FEF" w:rsidRPr="0064597D">
        <w:rPr>
          <w:rFonts w:eastAsia="MS Mincho"/>
          <w:sz w:val="20"/>
          <w:szCs w:val="20"/>
          <w:lang w:bidi="en-US"/>
        </w:rPr>
        <w:t>el referido</w:t>
      </w:r>
      <w:r w:rsidRPr="0064597D">
        <w:rPr>
          <w:rFonts w:eastAsia="MS Mincho"/>
          <w:sz w:val="20"/>
          <w:szCs w:val="20"/>
          <w:lang w:bidi="en-US"/>
        </w:rPr>
        <w:t xml:space="preserve"> art</w:t>
      </w:r>
      <w:r w:rsidR="00845FEF" w:rsidRPr="0064597D">
        <w:rPr>
          <w:rFonts w:eastAsia="MS Mincho"/>
          <w:sz w:val="20"/>
          <w:szCs w:val="20"/>
          <w:lang w:bidi="en-US"/>
        </w:rPr>
        <w:t>ículo</w:t>
      </w:r>
      <w:r w:rsidRPr="0064597D">
        <w:rPr>
          <w:rFonts w:eastAsia="MS Mincho"/>
          <w:sz w:val="20"/>
          <w:szCs w:val="20"/>
          <w:lang w:bidi="en-US"/>
        </w:rPr>
        <w:t xml:space="preserve"> indica </w:t>
      </w:r>
      <w:r w:rsidR="001319EF" w:rsidRPr="0064597D">
        <w:rPr>
          <w:rFonts w:eastAsia="MS Mincho"/>
          <w:sz w:val="20"/>
          <w:szCs w:val="20"/>
          <w:lang w:bidi="en-US"/>
        </w:rPr>
        <w:t xml:space="preserve">actualmente </w:t>
      </w:r>
      <w:r w:rsidRPr="0064597D">
        <w:rPr>
          <w:rFonts w:eastAsia="MS Mincho"/>
          <w:sz w:val="20"/>
          <w:szCs w:val="20"/>
          <w:lang w:bidi="en-US"/>
        </w:rPr>
        <w:t>lo siguiente:</w:t>
      </w:r>
    </w:p>
    <w:p w14:paraId="49F8D472" w14:textId="77777777" w:rsidR="0009788A" w:rsidRPr="0064597D" w:rsidRDefault="0009788A" w:rsidP="0009788A">
      <w:pPr>
        <w:tabs>
          <w:tab w:val="left" w:pos="567"/>
        </w:tabs>
        <w:autoSpaceDE w:val="0"/>
        <w:autoSpaceDN w:val="0"/>
        <w:spacing w:line="240" w:lineRule="auto"/>
        <w:rPr>
          <w:rFonts w:eastAsia="MS Mincho"/>
          <w:sz w:val="20"/>
          <w:szCs w:val="20"/>
          <w:lang w:bidi="en-US"/>
        </w:rPr>
      </w:pPr>
    </w:p>
    <w:p w14:paraId="02D741C5" w14:textId="71788280" w:rsidR="00ED2347" w:rsidRPr="0064597D" w:rsidRDefault="00ED2347" w:rsidP="0009788A">
      <w:pPr>
        <w:tabs>
          <w:tab w:val="left" w:pos="567"/>
        </w:tabs>
        <w:autoSpaceDE w:val="0"/>
        <w:autoSpaceDN w:val="0"/>
        <w:spacing w:line="240" w:lineRule="auto"/>
        <w:ind w:left="720" w:right="720"/>
        <w:rPr>
          <w:rFonts w:eastAsiaTheme="minorHAnsi" w:cs="Arial"/>
          <w:sz w:val="18"/>
          <w:szCs w:val="18"/>
          <w:lang w:eastAsia="en-US"/>
        </w:rPr>
      </w:pPr>
      <w:r w:rsidRPr="0064597D">
        <w:rPr>
          <w:rFonts w:eastAsia="MS Mincho"/>
          <w:sz w:val="18"/>
          <w:szCs w:val="18"/>
          <w:lang w:bidi="en-US"/>
        </w:rPr>
        <w:t xml:space="preserve">Comete el delito de tortura, quien por orden o con la autorización, el apoyo o aquiescencia de autoridades del Estado, inflija </w:t>
      </w:r>
      <w:r w:rsidRPr="0064597D">
        <w:rPr>
          <w:rFonts w:eastAsiaTheme="minorHAnsi" w:cs="Arial"/>
          <w:sz w:val="18"/>
          <w:szCs w:val="18"/>
          <w:lang w:eastAsia="en-US"/>
        </w:rPr>
        <w:t>intencionalmente a una persona dolores o sufrimientos graves, ya sean físicos o mentales con el fin de obtener de ella o de un tercero información o confesión, por un acto que haya cometido o se sospeche que hubiere cometido, o persiga intimidar a una persona o, por ese medio, a otras personas. […]</w:t>
      </w:r>
      <w:r w:rsidR="0009788A" w:rsidRPr="0064597D">
        <w:rPr>
          <w:rFonts w:eastAsiaTheme="minorHAnsi" w:cs="Arial"/>
          <w:sz w:val="18"/>
          <w:szCs w:val="18"/>
          <w:lang w:eastAsia="en-US"/>
        </w:rPr>
        <w:t xml:space="preserve"> </w:t>
      </w:r>
      <w:r w:rsidRPr="0064597D">
        <w:rPr>
          <w:rFonts w:eastAsiaTheme="minorHAnsi" w:cs="Arial"/>
          <w:sz w:val="18"/>
          <w:szCs w:val="18"/>
          <w:lang w:eastAsia="en-US"/>
        </w:rPr>
        <w:t>El o los responsables del delito de tortura serán sancionados con prisión de</w:t>
      </w:r>
      <w:r w:rsidR="0009788A" w:rsidRPr="0064597D">
        <w:rPr>
          <w:rFonts w:eastAsiaTheme="minorHAnsi" w:cs="Arial"/>
          <w:sz w:val="18"/>
          <w:szCs w:val="18"/>
          <w:lang w:eastAsia="en-US"/>
        </w:rPr>
        <w:t xml:space="preserve"> </w:t>
      </w:r>
      <w:r w:rsidRPr="0064597D">
        <w:rPr>
          <w:rFonts w:eastAsiaTheme="minorHAnsi" w:cs="Arial"/>
          <w:sz w:val="18"/>
          <w:szCs w:val="18"/>
          <w:lang w:eastAsia="en-US"/>
        </w:rPr>
        <w:t>veinticinco a treinta años.</w:t>
      </w:r>
    </w:p>
    <w:p w14:paraId="6B0A6AC0" w14:textId="77777777" w:rsidR="0009788A" w:rsidRPr="0064597D" w:rsidRDefault="0009788A" w:rsidP="0009788A">
      <w:pPr>
        <w:tabs>
          <w:tab w:val="left" w:pos="567"/>
        </w:tabs>
        <w:autoSpaceDE w:val="0"/>
        <w:autoSpaceDN w:val="0"/>
        <w:spacing w:line="240" w:lineRule="auto"/>
        <w:ind w:right="720"/>
        <w:rPr>
          <w:rFonts w:eastAsiaTheme="minorHAnsi" w:cs="Arial"/>
          <w:sz w:val="18"/>
          <w:szCs w:val="18"/>
          <w:lang w:eastAsia="en-US"/>
        </w:rPr>
      </w:pPr>
    </w:p>
    <w:p w14:paraId="6A396004" w14:textId="2B1088E2" w:rsidR="0009788A" w:rsidRPr="0064597D" w:rsidRDefault="0009788A" w:rsidP="0009788A">
      <w:pPr>
        <w:numPr>
          <w:ilvl w:val="0"/>
          <w:numId w:val="1"/>
        </w:numPr>
        <w:tabs>
          <w:tab w:val="left" w:pos="567"/>
        </w:tabs>
        <w:autoSpaceDE w:val="0"/>
        <w:autoSpaceDN w:val="0"/>
        <w:spacing w:line="240" w:lineRule="auto"/>
        <w:ind w:left="0" w:firstLine="0"/>
        <w:rPr>
          <w:rFonts w:eastAsia="MS Mincho"/>
          <w:sz w:val="20"/>
          <w:szCs w:val="20"/>
          <w:lang w:bidi="en-US"/>
        </w:rPr>
      </w:pPr>
      <w:r w:rsidRPr="0064597D">
        <w:rPr>
          <w:rFonts w:eastAsiaTheme="minorHAnsi" w:cs="Arial"/>
          <w:sz w:val="20"/>
          <w:szCs w:val="20"/>
          <w:lang w:eastAsia="en-US"/>
        </w:rPr>
        <w:t xml:space="preserve">La Corte </w:t>
      </w:r>
      <w:r w:rsidR="006350CB" w:rsidRPr="0064597D">
        <w:rPr>
          <w:rFonts w:eastAsiaTheme="minorHAnsi" w:cs="Arial"/>
          <w:sz w:val="20"/>
          <w:szCs w:val="20"/>
          <w:lang w:eastAsia="en-US"/>
        </w:rPr>
        <w:t xml:space="preserve">nota que, efectivamente, </w:t>
      </w:r>
      <w:r w:rsidRPr="0064597D">
        <w:rPr>
          <w:rFonts w:eastAsiaTheme="minorHAnsi" w:cs="Arial"/>
          <w:sz w:val="20"/>
          <w:szCs w:val="20"/>
          <w:lang w:eastAsia="en-US"/>
        </w:rPr>
        <w:t>la presente norma no cumple con los requisitos mínimos establecidos en el artículo 2 Convención Interamericana para Prevenir y Sancionar la tortura,</w:t>
      </w:r>
      <w:r w:rsidR="006350CB" w:rsidRPr="0064597D">
        <w:rPr>
          <w:rFonts w:eastAsiaTheme="minorHAnsi" w:cs="Arial"/>
          <w:sz w:val="20"/>
          <w:szCs w:val="20"/>
          <w:lang w:eastAsia="en-US"/>
        </w:rPr>
        <w:t xml:space="preserve"> el </w:t>
      </w:r>
      <w:r w:rsidRPr="0064597D">
        <w:rPr>
          <w:rFonts w:eastAsiaTheme="minorHAnsi" w:cs="Arial"/>
          <w:sz w:val="20"/>
          <w:szCs w:val="20"/>
          <w:lang w:eastAsia="en-US"/>
        </w:rPr>
        <w:t xml:space="preserve">cual establece que se entenderá como tortura: </w:t>
      </w:r>
    </w:p>
    <w:p w14:paraId="17FB75C9" w14:textId="77777777" w:rsidR="0009788A" w:rsidRPr="0064597D" w:rsidRDefault="0009788A" w:rsidP="0009788A">
      <w:pPr>
        <w:tabs>
          <w:tab w:val="left" w:pos="567"/>
        </w:tabs>
        <w:autoSpaceDE w:val="0"/>
        <w:autoSpaceDN w:val="0"/>
        <w:spacing w:line="240" w:lineRule="auto"/>
        <w:rPr>
          <w:rFonts w:eastAsia="MS Mincho"/>
          <w:sz w:val="20"/>
          <w:szCs w:val="20"/>
          <w:lang w:bidi="en-US"/>
        </w:rPr>
      </w:pPr>
    </w:p>
    <w:p w14:paraId="321D04A1" w14:textId="519A36F2" w:rsidR="0009788A" w:rsidRPr="0064597D" w:rsidRDefault="0009788A" w:rsidP="0009788A">
      <w:pPr>
        <w:tabs>
          <w:tab w:val="left" w:pos="567"/>
        </w:tabs>
        <w:autoSpaceDE w:val="0"/>
        <w:autoSpaceDN w:val="0"/>
        <w:spacing w:line="240" w:lineRule="auto"/>
        <w:ind w:left="720" w:right="720"/>
        <w:rPr>
          <w:rFonts w:eastAsia="MS Mincho"/>
          <w:sz w:val="18"/>
          <w:szCs w:val="18"/>
          <w:lang w:bidi="en-US"/>
        </w:rPr>
      </w:pPr>
      <w:r w:rsidRPr="0064597D">
        <w:rPr>
          <w:rFonts w:eastAsiaTheme="minorHAnsi" w:cs="Arial"/>
          <w:sz w:val="18"/>
          <w:szCs w:val="18"/>
          <w:lang w:eastAsia="en-US"/>
        </w:rPr>
        <w:t>[T]odo acto realizado intencionalmente por el cual se inflijan a una persona penas o sufrimientos físicos o mentales, con fines de investigación criminal, como medio intimidatorio, como castigo personal, como medida preventiva, como pena o con cualquier otro fin. Se entenderá también como tortura la aplicación sobre una persona de métodos tendientes a anular la personalidad de la víctima o a disminuir su capacidad física o mental, aunque no causen d</w:t>
      </w:r>
      <w:r w:rsidR="00DA7F1B">
        <w:rPr>
          <w:rFonts w:eastAsiaTheme="minorHAnsi" w:cs="Arial"/>
          <w:sz w:val="18"/>
          <w:szCs w:val="18"/>
          <w:lang w:eastAsia="en-US"/>
        </w:rPr>
        <w:t>olor físico o angustia psíquica</w:t>
      </w:r>
      <w:r w:rsidRPr="0064597D">
        <w:rPr>
          <w:rFonts w:eastAsiaTheme="minorHAnsi" w:cs="Arial"/>
          <w:sz w:val="18"/>
          <w:szCs w:val="18"/>
          <w:lang w:eastAsia="en-US"/>
        </w:rPr>
        <w:t>.</w:t>
      </w:r>
    </w:p>
    <w:p w14:paraId="42ABDDE9" w14:textId="77777777" w:rsidR="009772D8" w:rsidRPr="0064597D" w:rsidRDefault="009772D8" w:rsidP="009772D8">
      <w:pPr>
        <w:tabs>
          <w:tab w:val="left" w:pos="567"/>
        </w:tabs>
        <w:autoSpaceDE w:val="0"/>
        <w:autoSpaceDN w:val="0"/>
        <w:spacing w:line="240" w:lineRule="auto"/>
        <w:rPr>
          <w:rFonts w:eastAsia="MS Mincho"/>
          <w:sz w:val="20"/>
          <w:szCs w:val="20"/>
          <w:lang w:bidi="en-US"/>
        </w:rPr>
      </w:pPr>
    </w:p>
    <w:p w14:paraId="5B5C8E16" w14:textId="4C0A41BD" w:rsidR="0009788A" w:rsidRPr="0064597D" w:rsidRDefault="0009788A" w:rsidP="000B4B2C">
      <w:pPr>
        <w:numPr>
          <w:ilvl w:val="0"/>
          <w:numId w:val="1"/>
        </w:numPr>
        <w:tabs>
          <w:tab w:val="left" w:pos="567"/>
        </w:tabs>
        <w:autoSpaceDE w:val="0"/>
        <w:autoSpaceDN w:val="0"/>
        <w:spacing w:line="240" w:lineRule="auto"/>
        <w:ind w:left="0" w:firstLine="0"/>
        <w:rPr>
          <w:rFonts w:eastAsia="MS Mincho"/>
          <w:sz w:val="20"/>
          <w:szCs w:val="20"/>
          <w:lang w:bidi="en-US"/>
        </w:rPr>
      </w:pPr>
      <w:r w:rsidRPr="0064597D">
        <w:rPr>
          <w:rFonts w:eastAsia="MS Mincho"/>
          <w:sz w:val="20"/>
          <w:szCs w:val="20"/>
          <w:lang w:bidi="en-US"/>
        </w:rPr>
        <w:lastRenderedPageBreak/>
        <w:t xml:space="preserve">Esta falta de adecuación </w:t>
      </w:r>
      <w:r w:rsidR="006350CB" w:rsidRPr="0064597D">
        <w:rPr>
          <w:rFonts w:eastAsia="MS Mincho"/>
          <w:sz w:val="20"/>
          <w:szCs w:val="20"/>
          <w:lang w:bidi="en-US"/>
        </w:rPr>
        <w:t xml:space="preserve">legislativa </w:t>
      </w:r>
      <w:r w:rsidRPr="0064597D">
        <w:rPr>
          <w:rFonts w:eastAsia="MS Mincho"/>
          <w:sz w:val="20"/>
          <w:szCs w:val="20"/>
          <w:lang w:bidi="en-US"/>
        </w:rPr>
        <w:t>también ha sido destacada por la Corte de Constitucionalidad de Guatemala en su sentencia de 17 de julio de 2012</w:t>
      </w:r>
      <w:r w:rsidR="006350CB" w:rsidRPr="0064597D">
        <w:rPr>
          <w:rFonts w:eastAsia="MS Mincho"/>
          <w:sz w:val="20"/>
          <w:szCs w:val="20"/>
          <w:lang w:bidi="en-US"/>
        </w:rPr>
        <w:t>,</w:t>
      </w:r>
      <w:r w:rsidRPr="0064597D">
        <w:rPr>
          <w:rFonts w:eastAsia="MS Mincho"/>
          <w:sz w:val="20"/>
          <w:szCs w:val="20"/>
          <w:lang w:bidi="en-US"/>
        </w:rPr>
        <w:t xml:space="preserve"> en la que </w:t>
      </w:r>
      <w:r w:rsidR="006350CB" w:rsidRPr="0064597D">
        <w:rPr>
          <w:rFonts w:eastAsia="MS Mincho"/>
          <w:sz w:val="20"/>
          <w:szCs w:val="20"/>
          <w:lang w:bidi="en-US"/>
        </w:rPr>
        <w:t xml:space="preserve">expresamente </w:t>
      </w:r>
      <w:r w:rsidRPr="0064597D">
        <w:rPr>
          <w:rFonts w:eastAsia="MS Mincho"/>
          <w:sz w:val="20"/>
          <w:szCs w:val="20"/>
          <w:lang w:bidi="en-US"/>
        </w:rPr>
        <w:t>señaló lo siguiente:</w:t>
      </w:r>
    </w:p>
    <w:p w14:paraId="26D860E9" w14:textId="77777777" w:rsidR="0009788A" w:rsidRPr="0064597D" w:rsidRDefault="0009788A" w:rsidP="0009788A">
      <w:pPr>
        <w:tabs>
          <w:tab w:val="left" w:pos="567"/>
        </w:tabs>
        <w:autoSpaceDE w:val="0"/>
        <w:autoSpaceDN w:val="0"/>
        <w:spacing w:line="240" w:lineRule="auto"/>
        <w:rPr>
          <w:rFonts w:eastAsia="MS Mincho"/>
          <w:sz w:val="20"/>
          <w:szCs w:val="20"/>
          <w:lang w:bidi="en-US"/>
        </w:rPr>
      </w:pPr>
    </w:p>
    <w:p w14:paraId="4CEB4D21" w14:textId="7F32CAE6" w:rsidR="0009788A" w:rsidRPr="0064597D" w:rsidRDefault="0009788A" w:rsidP="00E96256">
      <w:pPr>
        <w:widowControl/>
        <w:autoSpaceDE w:val="0"/>
        <w:autoSpaceDN w:val="0"/>
        <w:spacing w:line="240" w:lineRule="auto"/>
        <w:ind w:left="720" w:right="720"/>
        <w:textAlignment w:val="auto"/>
        <w:rPr>
          <w:rFonts w:eastAsiaTheme="minorHAnsi" w:cs="Arial"/>
          <w:sz w:val="18"/>
          <w:szCs w:val="18"/>
          <w:lang w:eastAsia="en-US"/>
        </w:rPr>
      </w:pPr>
      <w:r w:rsidRPr="0064597D">
        <w:rPr>
          <w:rFonts w:eastAsiaTheme="minorHAnsi" w:cs="Arial"/>
          <w:sz w:val="18"/>
          <w:szCs w:val="18"/>
          <w:lang w:eastAsia="en-US"/>
        </w:rPr>
        <w:t>[…] en la tipificación del delito de tortura, contenida en el artículo 201 Bis del Código Penal, no se incluyen todos los elementos descritos en los tratados internacionales que regulan esa conducta antijurídica, pues se omite: el castigo, la discriminación y cualquier otro fin como parte del tipo penal, así como la aplicación de métodos tendientes a anular la personalidad de la víctima o a disminuir su capacidad física o mental, aunque no causen dolor físico o angustia psíquica, por lo que excluir de la protección del bien jurídico tutelado esos elementos objetivos, provocaría que en el precepto, cuya inconstitucionalidad se denuncia, se haya incurrido en omisión de tipificar actos altamente lesivos a la integridad moral y física de los individuos, necesarios para complementar el tipo delictivo previsto en el artículo 201 del Código Penal, contraviniéndose así el artículo 1 de la Convención Interamericana para p</w:t>
      </w:r>
      <w:r w:rsidR="00A15444" w:rsidRPr="0064597D">
        <w:rPr>
          <w:rFonts w:eastAsiaTheme="minorHAnsi" w:cs="Arial"/>
          <w:sz w:val="18"/>
          <w:szCs w:val="18"/>
          <w:lang w:eastAsia="en-US"/>
        </w:rPr>
        <w:t xml:space="preserve">revenir y sancionar la Tortura </w:t>
      </w:r>
      <w:r w:rsidR="00E96256" w:rsidRPr="0064597D">
        <w:rPr>
          <w:rFonts w:eastAsiaTheme="minorHAnsi" w:cs="Arial"/>
          <w:sz w:val="18"/>
          <w:szCs w:val="18"/>
          <w:lang w:eastAsia="en-US"/>
        </w:rPr>
        <w:t>[…]</w:t>
      </w:r>
      <w:r w:rsidR="001A37B9" w:rsidRPr="0064597D">
        <w:rPr>
          <w:rFonts w:eastAsiaTheme="minorHAnsi" w:cs="Arial"/>
          <w:sz w:val="18"/>
          <w:szCs w:val="18"/>
          <w:lang w:eastAsia="en-US"/>
        </w:rPr>
        <w:t xml:space="preserve"> </w:t>
      </w:r>
      <w:r w:rsidR="00E96256" w:rsidRPr="0064597D">
        <w:rPr>
          <w:rFonts w:eastAsiaTheme="minorHAnsi" w:cs="DejaVuSans"/>
          <w:sz w:val="18"/>
          <w:szCs w:val="18"/>
          <w:lang w:eastAsia="en-US"/>
        </w:rPr>
        <w:t xml:space="preserve">Este Tribunal estima que para cumplir con la tipificación necesaria y en aplicación a los estándares internacionales en materia de derechos humanos, debe establecerse concretamente la descripción de las conductas que constituyen “tortura”, por lo que es necesario introducir por vía de reforma a la norma penal contenida en el artículo 201 Bis del Código Penal las frases de: “el castigo”, “cualquier tipo de discriminación”, “o con cualquier otro fin”, como finalidades del delito de tortura, y expresamente se regule que también constituye este delito “la aplicación sobre una persona de métodos tendientes a anular la personalidad de la víctima o a disminuir su capacidad física o mental, aunque no causen dolor físico </w:t>
      </w:r>
      <w:r w:rsidR="001319EF" w:rsidRPr="0064597D">
        <w:rPr>
          <w:rFonts w:eastAsiaTheme="minorHAnsi" w:cs="DejaVuSans"/>
          <w:sz w:val="18"/>
          <w:szCs w:val="18"/>
          <w:lang w:eastAsia="en-US"/>
        </w:rPr>
        <w:t>o angustia psíquica</w:t>
      </w:r>
      <w:r w:rsidR="00E96256" w:rsidRPr="0064597D">
        <w:rPr>
          <w:rStyle w:val="Refdenotaalpie"/>
          <w:rFonts w:eastAsiaTheme="minorHAnsi" w:cs="Arial"/>
          <w:sz w:val="18"/>
          <w:szCs w:val="18"/>
          <w:lang w:eastAsia="en-US"/>
        </w:rPr>
        <w:footnoteReference w:id="248"/>
      </w:r>
      <w:r w:rsidR="001319EF" w:rsidRPr="0064597D">
        <w:rPr>
          <w:rFonts w:eastAsiaTheme="minorHAnsi" w:cs="DejaVuSans"/>
          <w:sz w:val="18"/>
          <w:szCs w:val="18"/>
          <w:lang w:eastAsia="en-US"/>
        </w:rPr>
        <w:t>.</w:t>
      </w:r>
    </w:p>
    <w:p w14:paraId="03ABA240" w14:textId="77777777" w:rsidR="0009788A" w:rsidRPr="0064597D" w:rsidRDefault="0009788A" w:rsidP="0009788A">
      <w:pPr>
        <w:widowControl/>
        <w:autoSpaceDE w:val="0"/>
        <w:autoSpaceDN w:val="0"/>
        <w:spacing w:line="240" w:lineRule="auto"/>
        <w:jc w:val="left"/>
        <w:textAlignment w:val="auto"/>
        <w:rPr>
          <w:rFonts w:eastAsia="MS Mincho"/>
          <w:sz w:val="20"/>
          <w:szCs w:val="20"/>
          <w:lang w:bidi="en-US"/>
        </w:rPr>
      </w:pPr>
    </w:p>
    <w:p w14:paraId="7921B0F0" w14:textId="77777777" w:rsidR="00E8070F" w:rsidRPr="0064597D" w:rsidRDefault="00845FEF" w:rsidP="001319EF">
      <w:pPr>
        <w:numPr>
          <w:ilvl w:val="0"/>
          <w:numId w:val="1"/>
        </w:numPr>
        <w:tabs>
          <w:tab w:val="left" w:pos="567"/>
        </w:tabs>
        <w:autoSpaceDE w:val="0"/>
        <w:autoSpaceDN w:val="0"/>
        <w:spacing w:line="240" w:lineRule="auto"/>
        <w:ind w:left="0" w:firstLine="0"/>
        <w:rPr>
          <w:rFonts w:eastAsia="MS Mincho"/>
          <w:sz w:val="20"/>
          <w:szCs w:val="20"/>
          <w:lang w:bidi="en-US"/>
        </w:rPr>
      </w:pPr>
      <w:r w:rsidRPr="0064597D">
        <w:rPr>
          <w:rFonts w:eastAsia="MS Mincho"/>
          <w:sz w:val="20"/>
          <w:szCs w:val="20"/>
          <w:lang w:bidi="en-US"/>
        </w:rPr>
        <w:t xml:space="preserve">La Corte de Constitucionalidad concluyó, por tanto, que </w:t>
      </w:r>
      <w:r w:rsidR="00A15444" w:rsidRPr="0064597D">
        <w:rPr>
          <w:rFonts w:eastAsia="MS Mincho"/>
          <w:sz w:val="20"/>
          <w:szCs w:val="20"/>
          <w:lang w:bidi="en-US"/>
        </w:rPr>
        <w:t>e</w:t>
      </w:r>
      <w:r w:rsidRPr="0064597D">
        <w:rPr>
          <w:rFonts w:eastAsia="MS Mincho"/>
          <w:sz w:val="20"/>
          <w:szCs w:val="20"/>
          <w:lang w:bidi="en-US"/>
        </w:rPr>
        <w:t xml:space="preserve">l artículo 201 </w:t>
      </w:r>
      <w:r w:rsidR="00727D30" w:rsidRPr="0064597D">
        <w:rPr>
          <w:rFonts w:eastAsia="MS Mincho"/>
          <w:sz w:val="20"/>
          <w:szCs w:val="20"/>
          <w:lang w:bidi="en-US"/>
        </w:rPr>
        <w:t>b</w:t>
      </w:r>
      <w:r w:rsidRPr="0064597D">
        <w:rPr>
          <w:rFonts w:eastAsia="MS Mincho"/>
          <w:sz w:val="20"/>
          <w:szCs w:val="20"/>
          <w:lang w:bidi="en-US"/>
        </w:rPr>
        <w:t xml:space="preserve">is del Código Penal </w:t>
      </w:r>
      <w:r w:rsidR="00A15444" w:rsidRPr="0064597D">
        <w:rPr>
          <w:rFonts w:eastAsia="MS Mincho"/>
          <w:sz w:val="20"/>
          <w:szCs w:val="20"/>
          <w:lang w:bidi="en-US"/>
        </w:rPr>
        <w:t>debía ser reformado a través de “a</w:t>
      </w:r>
      <w:r w:rsidRPr="0064597D">
        <w:rPr>
          <w:rFonts w:eastAsia="MS Mincho"/>
          <w:sz w:val="20"/>
          <w:szCs w:val="20"/>
          <w:lang w:bidi="en-US"/>
        </w:rPr>
        <w:t>cción legislativa con las adiciones que resulten de las disposiciones contenidas en la Convención de Naciones Unidas contra la Tortura y otros Tratados o Penas Crueles o Degradantes y en la Convención Interamericana para prevenir y sancionar la tortura</w:t>
      </w:r>
      <w:r w:rsidR="00A15444" w:rsidRPr="0064597D">
        <w:rPr>
          <w:rFonts w:eastAsia="MS Mincho"/>
          <w:sz w:val="20"/>
          <w:szCs w:val="20"/>
          <w:lang w:bidi="en-US"/>
        </w:rPr>
        <w:t>”</w:t>
      </w:r>
      <w:r w:rsidRPr="0064597D">
        <w:rPr>
          <w:rStyle w:val="Refdenotaalpie"/>
          <w:rFonts w:eastAsia="MS Mincho"/>
          <w:sz w:val="20"/>
          <w:szCs w:val="20"/>
          <w:lang w:bidi="en-US"/>
        </w:rPr>
        <w:footnoteReference w:id="249"/>
      </w:r>
      <w:r w:rsidRPr="0064597D">
        <w:rPr>
          <w:rFonts w:eastAsia="MS Mincho"/>
          <w:sz w:val="20"/>
          <w:szCs w:val="20"/>
          <w:lang w:bidi="en-US"/>
        </w:rPr>
        <w:t xml:space="preserve">. </w:t>
      </w:r>
      <w:r w:rsidR="001319EF" w:rsidRPr="0064597D">
        <w:rPr>
          <w:rFonts w:eastAsia="MS Mincho"/>
          <w:sz w:val="20"/>
          <w:szCs w:val="20"/>
          <w:lang w:bidi="en-US"/>
        </w:rPr>
        <w:t xml:space="preserve">Con base en los alegatos presentados por el Estado y el acervo probatorio obrante en el presente caso la Corte observa que, a fecha de la presente sentencia, dicha modificación y adecuación legislativa no ha tenido lugar. </w:t>
      </w:r>
    </w:p>
    <w:p w14:paraId="40AEF4A0" w14:textId="77777777" w:rsidR="00E8070F" w:rsidRPr="0064597D" w:rsidRDefault="00E8070F" w:rsidP="00E8070F">
      <w:pPr>
        <w:tabs>
          <w:tab w:val="left" w:pos="567"/>
        </w:tabs>
        <w:autoSpaceDE w:val="0"/>
        <w:autoSpaceDN w:val="0"/>
        <w:spacing w:line="240" w:lineRule="auto"/>
        <w:rPr>
          <w:rFonts w:eastAsia="MS Mincho"/>
          <w:sz w:val="20"/>
          <w:szCs w:val="20"/>
          <w:lang w:bidi="en-US"/>
        </w:rPr>
      </w:pPr>
    </w:p>
    <w:p w14:paraId="405D98EC" w14:textId="521F4347" w:rsidR="001319EF" w:rsidRPr="0064597D" w:rsidRDefault="001319EF" w:rsidP="001319EF">
      <w:pPr>
        <w:numPr>
          <w:ilvl w:val="0"/>
          <w:numId w:val="1"/>
        </w:numPr>
        <w:tabs>
          <w:tab w:val="left" w:pos="567"/>
        </w:tabs>
        <w:autoSpaceDE w:val="0"/>
        <w:autoSpaceDN w:val="0"/>
        <w:spacing w:line="240" w:lineRule="auto"/>
        <w:ind w:left="0" w:firstLine="0"/>
        <w:rPr>
          <w:rFonts w:eastAsia="MS Mincho"/>
          <w:sz w:val="20"/>
          <w:szCs w:val="20"/>
          <w:lang w:bidi="en-US"/>
        </w:rPr>
      </w:pPr>
      <w:r w:rsidRPr="0064597D">
        <w:rPr>
          <w:rFonts w:eastAsia="MS Mincho"/>
          <w:sz w:val="20"/>
          <w:szCs w:val="20"/>
          <w:lang w:bidi="en-US"/>
        </w:rPr>
        <w:t>En consecuencia, la Corte estima pertinente ordenar al Estado que, como una garantía de no repetición de los</w:t>
      </w:r>
      <w:r w:rsidR="000D4F08" w:rsidRPr="0064597D">
        <w:rPr>
          <w:rFonts w:eastAsia="MS Mincho"/>
          <w:sz w:val="20"/>
          <w:szCs w:val="20"/>
          <w:lang w:bidi="en-US"/>
        </w:rPr>
        <w:t xml:space="preserve"> hechos del presente caso, adecú</w:t>
      </w:r>
      <w:r w:rsidRPr="0064597D">
        <w:rPr>
          <w:rFonts w:eastAsia="MS Mincho"/>
          <w:sz w:val="20"/>
          <w:szCs w:val="20"/>
          <w:lang w:bidi="en-US"/>
        </w:rPr>
        <w:t>e en un plazo razonable la tipificación del delito de tortura contenida en el artículo 201 bis del actual Código Penal a los estándares internacionales de derechos humanos.</w:t>
      </w:r>
    </w:p>
    <w:p w14:paraId="7720C4A9" w14:textId="77777777" w:rsidR="00845FEF" w:rsidRPr="0064597D" w:rsidRDefault="00845FEF" w:rsidP="00845FEF">
      <w:pPr>
        <w:tabs>
          <w:tab w:val="left" w:pos="567"/>
        </w:tabs>
        <w:autoSpaceDE w:val="0"/>
        <w:autoSpaceDN w:val="0"/>
        <w:spacing w:line="240" w:lineRule="auto"/>
        <w:rPr>
          <w:rFonts w:eastAsia="MS Mincho"/>
          <w:sz w:val="20"/>
          <w:szCs w:val="20"/>
          <w:lang w:bidi="en-US"/>
        </w:rPr>
      </w:pPr>
    </w:p>
    <w:p w14:paraId="28BB39D1" w14:textId="132C1898" w:rsidR="007A21E6" w:rsidRPr="0064597D" w:rsidRDefault="005D1ECE" w:rsidP="007A21E6">
      <w:pPr>
        <w:numPr>
          <w:ilvl w:val="0"/>
          <w:numId w:val="1"/>
        </w:numPr>
        <w:tabs>
          <w:tab w:val="left" w:pos="567"/>
          <w:tab w:val="num" w:pos="1569"/>
          <w:tab w:val="num" w:pos="12305"/>
        </w:tabs>
        <w:spacing w:line="240" w:lineRule="auto"/>
        <w:ind w:left="0" w:firstLine="0"/>
        <w:rPr>
          <w:rFonts w:eastAsia="Calibri" w:cs="Arial"/>
          <w:bCs/>
          <w:sz w:val="20"/>
          <w:szCs w:val="20"/>
          <w:lang w:val="es-ES_tradnl" w:eastAsia="en-US"/>
        </w:rPr>
      </w:pPr>
      <w:r w:rsidRPr="0064597D">
        <w:rPr>
          <w:rFonts w:eastAsia="MS Mincho"/>
          <w:sz w:val="20"/>
          <w:szCs w:val="20"/>
          <w:lang w:bidi="en-US"/>
        </w:rPr>
        <w:t xml:space="preserve">En cuanto a la solicitud de prohibición de adopción de legislación regresiva en relación a la pena de </w:t>
      </w:r>
      <w:r w:rsidRPr="0064597D">
        <w:rPr>
          <w:sz w:val="20"/>
          <w:szCs w:val="20"/>
        </w:rPr>
        <w:t>muerte</w:t>
      </w:r>
      <w:r w:rsidR="00E35EC6" w:rsidRPr="0064597D">
        <w:rPr>
          <w:sz w:val="20"/>
          <w:szCs w:val="20"/>
        </w:rPr>
        <w:t>,</w:t>
      </w:r>
      <w:r w:rsidRPr="0064597D">
        <w:rPr>
          <w:rFonts w:eastAsia="MS Mincho"/>
          <w:sz w:val="20"/>
          <w:szCs w:val="20"/>
          <w:lang w:bidi="en-US"/>
        </w:rPr>
        <w:t xml:space="preserve"> la Corte se refirió </w:t>
      </w:r>
      <w:r w:rsidR="00DA7F1B" w:rsidRPr="0064597D">
        <w:rPr>
          <w:rFonts w:eastAsia="MS Mincho"/>
          <w:sz w:val="20"/>
          <w:szCs w:val="20"/>
          <w:lang w:bidi="en-US"/>
        </w:rPr>
        <w:t xml:space="preserve">en el apartado VIII-1 de la presente Sentencia </w:t>
      </w:r>
      <w:r w:rsidRPr="0064597D">
        <w:rPr>
          <w:rFonts w:eastAsia="MS Mincho"/>
          <w:sz w:val="20"/>
          <w:szCs w:val="20"/>
          <w:lang w:bidi="en-US"/>
        </w:rPr>
        <w:t xml:space="preserve">al régimen claramente restrictivo de la pena de muerte establecido en el artículo 4 de la Convención Americana y a la tendencia abolicionista recogida en el Protocolo a la Convención a Americana de Derechos Humanos relativo a la Abolición de la Pena de Muerte, también imperante en el sistema universal, por lo que remite a lo ya señalado. </w:t>
      </w:r>
      <w:r w:rsidR="007A21E6" w:rsidRPr="0064597D">
        <w:rPr>
          <w:rFonts w:eastAsia="MS Mincho"/>
          <w:sz w:val="20"/>
          <w:szCs w:val="20"/>
          <w:lang w:bidi="en-US"/>
        </w:rPr>
        <w:t>Además, la Corte destaca lo establecido por</w:t>
      </w:r>
      <w:r w:rsidR="007A21E6" w:rsidRPr="0064597D">
        <w:rPr>
          <w:sz w:val="20"/>
          <w:szCs w:val="20"/>
        </w:rPr>
        <w:t xml:space="preserve"> la Corte de Constitucionalidad de Guatemala en su sentencia de</w:t>
      </w:r>
      <w:r w:rsidR="007A21E6" w:rsidRPr="0064597D">
        <w:rPr>
          <w:rFonts w:eastAsia="Calibri" w:cs="Arial"/>
          <w:bCs/>
          <w:sz w:val="20"/>
          <w:szCs w:val="20"/>
          <w:lang w:val="es-ES_tradnl" w:eastAsia="en-US"/>
        </w:rPr>
        <w:t xml:space="preserve"> 24 de octubre de 2017, en virtud de la cual declaró inconstitucional el citado artículo 201 al considerar que configuraba una obvia violación al artículo 4, numeral 2, de la Convención Americana sobre Derechos Humanos</w:t>
      </w:r>
      <w:r w:rsidR="007A21E6" w:rsidRPr="0064597D">
        <w:rPr>
          <w:rStyle w:val="Refdenotaalpie"/>
          <w:rFonts w:eastAsia="Calibri" w:cs="Arial"/>
          <w:bCs/>
          <w:sz w:val="20"/>
          <w:szCs w:val="20"/>
          <w:lang w:val="es-ES_tradnl" w:eastAsia="en-US"/>
        </w:rPr>
        <w:footnoteReference w:id="250"/>
      </w:r>
      <w:r w:rsidR="007A21E6" w:rsidRPr="0064597D">
        <w:rPr>
          <w:rFonts w:eastAsia="Calibri" w:cs="Arial"/>
          <w:bCs/>
          <w:sz w:val="20"/>
          <w:szCs w:val="20"/>
          <w:lang w:val="es-ES_tradnl" w:eastAsia="en-US"/>
        </w:rPr>
        <w:t xml:space="preserve">. </w:t>
      </w:r>
    </w:p>
    <w:p w14:paraId="68A322E0" w14:textId="77777777" w:rsidR="000B4B2C" w:rsidRPr="0064597D" w:rsidRDefault="000B4B2C" w:rsidP="000B4B2C">
      <w:pPr>
        <w:tabs>
          <w:tab w:val="left" w:pos="567"/>
        </w:tabs>
        <w:autoSpaceDE w:val="0"/>
        <w:autoSpaceDN w:val="0"/>
        <w:spacing w:line="240" w:lineRule="auto"/>
        <w:rPr>
          <w:rFonts w:eastAsia="MS Mincho"/>
          <w:sz w:val="20"/>
          <w:szCs w:val="20"/>
          <w:lang w:bidi="en-US"/>
        </w:rPr>
      </w:pPr>
    </w:p>
    <w:p w14:paraId="032BD1A4" w14:textId="2C55AC69" w:rsidR="005F18DA" w:rsidRPr="0064597D" w:rsidRDefault="001E4FB6" w:rsidP="003E0947">
      <w:pPr>
        <w:numPr>
          <w:ilvl w:val="0"/>
          <w:numId w:val="1"/>
        </w:numPr>
        <w:tabs>
          <w:tab w:val="left" w:pos="567"/>
        </w:tabs>
        <w:autoSpaceDE w:val="0"/>
        <w:autoSpaceDN w:val="0"/>
        <w:spacing w:line="240" w:lineRule="auto"/>
        <w:ind w:left="0" w:firstLine="0"/>
        <w:textAlignment w:val="auto"/>
        <w:rPr>
          <w:rFonts w:eastAsia="MS Mincho"/>
          <w:sz w:val="20"/>
          <w:szCs w:val="20"/>
          <w:lang w:bidi="en-US"/>
        </w:rPr>
      </w:pPr>
      <w:r w:rsidRPr="0064597D">
        <w:rPr>
          <w:rFonts w:eastAsia="MS Mincho"/>
          <w:sz w:val="20"/>
          <w:szCs w:val="20"/>
          <w:lang w:bidi="en-US"/>
        </w:rPr>
        <w:t>Respecto a las restantes medidas</w:t>
      </w:r>
      <w:r w:rsidR="009772D8" w:rsidRPr="0064597D">
        <w:rPr>
          <w:rFonts w:eastAsia="MS Mincho"/>
          <w:sz w:val="20"/>
          <w:szCs w:val="20"/>
          <w:lang w:bidi="en-US"/>
        </w:rPr>
        <w:t xml:space="preserve"> de adecuación normativa</w:t>
      </w:r>
      <w:r w:rsidR="000B4B2C" w:rsidRPr="0064597D">
        <w:rPr>
          <w:rFonts w:eastAsia="MS Mincho"/>
          <w:sz w:val="20"/>
          <w:szCs w:val="20"/>
          <w:lang w:bidi="en-US"/>
        </w:rPr>
        <w:t>, la Corte observa que no existe nexo causal entre las violaciones declaradas y la modificación que se solicita.</w:t>
      </w:r>
    </w:p>
    <w:p w14:paraId="56A74DC5" w14:textId="458FCB47" w:rsidR="000B4B2C" w:rsidRPr="0064597D" w:rsidRDefault="000B4B2C" w:rsidP="000B4B2C">
      <w:pPr>
        <w:tabs>
          <w:tab w:val="left" w:pos="567"/>
        </w:tabs>
        <w:autoSpaceDE w:val="0"/>
        <w:autoSpaceDN w:val="0"/>
        <w:spacing w:line="240" w:lineRule="auto"/>
        <w:textAlignment w:val="auto"/>
        <w:rPr>
          <w:rFonts w:eastAsia="MS Mincho"/>
          <w:sz w:val="20"/>
          <w:szCs w:val="20"/>
          <w:lang w:bidi="en-US"/>
        </w:rPr>
      </w:pPr>
    </w:p>
    <w:p w14:paraId="1181C51E" w14:textId="31969542" w:rsidR="00B57EC1" w:rsidRPr="0064597D" w:rsidRDefault="00821BB7" w:rsidP="00821BB7">
      <w:pPr>
        <w:tabs>
          <w:tab w:val="left" w:pos="567"/>
        </w:tabs>
        <w:spacing w:line="240" w:lineRule="auto"/>
        <w:rPr>
          <w:rFonts w:cs="Arial"/>
          <w:i/>
          <w:sz w:val="20"/>
          <w:szCs w:val="20"/>
        </w:rPr>
      </w:pPr>
      <w:r w:rsidRPr="0064597D">
        <w:rPr>
          <w:rFonts w:cs="Arial"/>
          <w:i/>
          <w:sz w:val="20"/>
          <w:szCs w:val="20"/>
        </w:rPr>
        <w:lastRenderedPageBreak/>
        <w:tab/>
      </w:r>
      <w:r w:rsidR="00B57EC1" w:rsidRPr="0064597D">
        <w:rPr>
          <w:rFonts w:cs="Arial"/>
          <w:i/>
          <w:sz w:val="20"/>
          <w:szCs w:val="20"/>
        </w:rPr>
        <w:t>c.</w:t>
      </w:r>
      <w:r w:rsidR="009772D8" w:rsidRPr="0064597D">
        <w:rPr>
          <w:rFonts w:cs="Arial"/>
          <w:i/>
          <w:sz w:val="20"/>
          <w:szCs w:val="20"/>
        </w:rPr>
        <w:t>2</w:t>
      </w:r>
      <w:r w:rsidR="00B57EC1" w:rsidRPr="0064597D">
        <w:rPr>
          <w:rFonts w:cs="Arial"/>
          <w:i/>
          <w:sz w:val="20"/>
          <w:szCs w:val="20"/>
        </w:rPr>
        <w:t>.2) Medidas de capacitación</w:t>
      </w:r>
    </w:p>
    <w:p w14:paraId="61EB9079" w14:textId="77777777" w:rsidR="00821BB7" w:rsidRPr="0064597D" w:rsidRDefault="00821BB7" w:rsidP="00821BB7">
      <w:pPr>
        <w:tabs>
          <w:tab w:val="left" w:pos="567"/>
        </w:tabs>
        <w:spacing w:line="240" w:lineRule="auto"/>
        <w:textAlignment w:val="auto"/>
        <w:rPr>
          <w:rFonts w:cs="Cambria"/>
          <w:spacing w:val="-2"/>
          <w:sz w:val="20"/>
          <w:szCs w:val="20"/>
        </w:rPr>
      </w:pPr>
    </w:p>
    <w:p w14:paraId="72724FB1" w14:textId="492BACEE" w:rsidR="00543708" w:rsidRPr="0064597D" w:rsidRDefault="00821BB7" w:rsidP="00AB3A42">
      <w:pPr>
        <w:numPr>
          <w:ilvl w:val="0"/>
          <w:numId w:val="1"/>
        </w:numPr>
        <w:tabs>
          <w:tab w:val="left" w:pos="567"/>
        </w:tabs>
        <w:autoSpaceDE w:val="0"/>
        <w:autoSpaceDN w:val="0"/>
        <w:spacing w:line="240" w:lineRule="auto"/>
        <w:ind w:left="0" w:firstLine="0"/>
        <w:textAlignment w:val="auto"/>
        <w:rPr>
          <w:rFonts w:cs="Arial"/>
          <w:bCs/>
          <w:sz w:val="20"/>
          <w:szCs w:val="20"/>
          <w:lang w:val="es-PE"/>
        </w:rPr>
      </w:pPr>
      <w:r w:rsidRPr="0064597D">
        <w:rPr>
          <w:rFonts w:cs="Arial"/>
          <w:sz w:val="20"/>
          <w:szCs w:val="20"/>
        </w:rPr>
        <w:t xml:space="preserve">Esta Corte ha establecido que la </w:t>
      </w:r>
      <w:r w:rsidRPr="0064597D">
        <w:rPr>
          <w:rStyle w:val="highlight"/>
          <w:rFonts w:cs="Arial"/>
          <w:sz w:val="20"/>
          <w:szCs w:val="20"/>
        </w:rPr>
        <w:t>capacitac</w:t>
      </w:r>
      <w:r w:rsidRPr="0064597D">
        <w:rPr>
          <w:rFonts w:cs="Arial"/>
          <w:sz w:val="20"/>
          <w:szCs w:val="20"/>
        </w:rPr>
        <w:t xml:space="preserve">ión de funcionarios públicos es una </w:t>
      </w:r>
      <w:r w:rsidRPr="0064597D">
        <w:rPr>
          <w:rFonts w:eastAsia="MS Mincho"/>
          <w:sz w:val="20"/>
          <w:szCs w:val="20"/>
          <w:lang w:bidi="en-US"/>
        </w:rPr>
        <w:t>medida</w:t>
      </w:r>
      <w:r w:rsidRPr="0064597D">
        <w:rPr>
          <w:rFonts w:cs="Arial"/>
          <w:sz w:val="20"/>
          <w:szCs w:val="20"/>
        </w:rPr>
        <w:t xml:space="preserve"> importante para garantizar la </w:t>
      </w:r>
      <w:r w:rsidRPr="0064597D">
        <w:rPr>
          <w:rFonts w:eastAsia="MS Mincho"/>
          <w:sz w:val="20"/>
          <w:szCs w:val="20"/>
          <w:lang w:bidi="en-US"/>
        </w:rPr>
        <w:t>no</w:t>
      </w:r>
      <w:r w:rsidRPr="0064597D">
        <w:rPr>
          <w:rFonts w:cs="Arial"/>
          <w:sz w:val="20"/>
          <w:szCs w:val="20"/>
        </w:rPr>
        <w:t xml:space="preserve"> </w:t>
      </w:r>
      <w:r w:rsidRPr="0064597D">
        <w:rPr>
          <w:rFonts w:eastAsia="MS Mincho"/>
          <w:sz w:val="20"/>
          <w:szCs w:val="20"/>
          <w:lang w:bidi="en-US"/>
        </w:rPr>
        <w:t>repetición</w:t>
      </w:r>
      <w:r w:rsidRPr="0064597D">
        <w:rPr>
          <w:rFonts w:cs="Arial"/>
          <w:sz w:val="20"/>
          <w:szCs w:val="20"/>
        </w:rPr>
        <w:t xml:space="preserve"> de los hechos que generaron las violaciones. Es así que la </w:t>
      </w:r>
      <w:r w:rsidRPr="0064597D">
        <w:rPr>
          <w:rStyle w:val="highlight"/>
          <w:rFonts w:cs="Arial"/>
          <w:sz w:val="20"/>
          <w:szCs w:val="20"/>
        </w:rPr>
        <w:t>capacitac</w:t>
      </w:r>
      <w:r w:rsidRPr="0064597D">
        <w:rPr>
          <w:rFonts w:cs="Arial"/>
          <w:sz w:val="20"/>
          <w:szCs w:val="20"/>
        </w:rPr>
        <w:t>ión, como sistema de formación continua, se debe extender durante un lapso importante para cumplir sus objetivos</w:t>
      </w:r>
      <w:r w:rsidRPr="0064597D">
        <w:rPr>
          <w:rStyle w:val="Refdenotaalpie"/>
          <w:rFonts w:cs="Arial"/>
          <w:sz w:val="20"/>
          <w:szCs w:val="20"/>
        </w:rPr>
        <w:footnoteReference w:id="251"/>
      </w:r>
      <w:r w:rsidR="00627737" w:rsidRPr="0064597D">
        <w:rPr>
          <w:rFonts w:cs="Arial"/>
          <w:sz w:val="20"/>
          <w:szCs w:val="20"/>
        </w:rPr>
        <w:t xml:space="preserve">. </w:t>
      </w:r>
      <w:r w:rsidR="00627737" w:rsidRPr="0064597D">
        <w:rPr>
          <w:rFonts w:eastAsia="MS Mincho"/>
          <w:sz w:val="20"/>
          <w:szCs w:val="20"/>
          <w:lang w:val="es-PE" w:bidi="en-US"/>
        </w:rPr>
        <w:t xml:space="preserve">A la vista de lo anterior, </w:t>
      </w:r>
      <w:r w:rsidR="00627737" w:rsidRPr="0064597D">
        <w:rPr>
          <w:sz w:val="20"/>
          <w:szCs w:val="20"/>
        </w:rPr>
        <w:t xml:space="preserve">el Estado debe </w:t>
      </w:r>
      <w:r w:rsidR="00AB3A42" w:rsidRPr="0064597D">
        <w:rPr>
          <w:sz w:val="20"/>
          <w:szCs w:val="20"/>
        </w:rPr>
        <w:t xml:space="preserve">incluir, dentro de los cursos de formación de los miembros de </w:t>
      </w:r>
      <w:r w:rsidR="00754F1C" w:rsidRPr="0064597D">
        <w:rPr>
          <w:sz w:val="20"/>
          <w:szCs w:val="20"/>
        </w:rPr>
        <w:t>la policía y organismos de seguridad</w:t>
      </w:r>
      <w:r w:rsidR="00AB3A42" w:rsidRPr="0064597D">
        <w:rPr>
          <w:sz w:val="20"/>
          <w:szCs w:val="20"/>
        </w:rPr>
        <w:t>, capacitación</w:t>
      </w:r>
      <w:r w:rsidR="00754F1C" w:rsidRPr="0064597D">
        <w:rPr>
          <w:sz w:val="20"/>
          <w:szCs w:val="20"/>
        </w:rPr>
        <w:t xml:space="preserve"> específica</w:t>
      </w:r>
      <w:r w:rsidR="00AB3A42" w:rsidRPr="0064597D">
        <w:rPr>
          <w:sz w:val="20"/>
          <w:szCs w:val="20"/>
        </w:rPr>
        <w:t xml:space="preserve"> </w:t>
      </w:r>
      <w:r w:rsidR="00754F1C" w:rsidRPr="0064597D">
        <w:rPr>
          <w:sz w:val="20"/>
          <w:szCs w:val="20"/>
        </w:rPr>
        <w:t>y cursos de carácter permanente sobre la prohibición absoluta de la tortura</w:t>
      </w:r>
      <w:r w:rsidR="00543708" w:rsidRPr="0064597D">
        <w:rPr>
          <w:sz w:val="20"/>
          <w:szCs w:val="20"/>
        </w:rPr>
        <w:t>.</w:t>
      </w:r>
    </w:p>
    <w:p w14:paraId="13F9FD1C" w14:textId="77777777" w:rsidR="00892B87" w:rsidRPr="0064597D" w:rsidRDefault="00892B87" w:rsidP="00892B87">
      <w:pPr>
        <w:tabs>
          <w:tab w:val="left" w:pos="567"/>
        </w:tabs>
        <w:spacing w:line="240" w:lineRule="auto"/>
        <w:textAlignment w:val="auto"/>
        <w:rPr>
          <w:rFonts w:cs="Cambria"/>
          <w:spacing w:val="-2"/>
          <w:sz w:val="20"/>
          <w:szCs w:val="20"/>
        </w:rPr>
      </w:pPr>
    </w:p>
    <w:p w14:paraId="7B128382" w14:textId="41AFFD71" w:rsidR="00B57EC1" w:rsidRPr="0064597D" w:rsidRDefault="00B57EC1" w:rsidP="00B57EC1">
      <w:pPr>
        <w:tabs>
          <w:tab w:val="left" w:pos="567"/>
        </w:tabs>
        <w:spacing w:line="240" w:lineRule="auto"/>
        <w:rPr>
          <w:rFonts w:cs="Arial"/>
          <w:i/>
          <w:sz w:val="20"/>
          <w:szCs w:val="20"/>
        </w:rPr>
      </w:pPr>
      <w:r w:rsidRPr="0064597D">
        <w:rPr>
          <w:rFonts w:cs="Arial"/>
          <w:i/>
          <w:sz w:val="20"/>
          <w:szCs w:val="20"/>
        </w:rPr>
        <w:tab/>
      </w:r>
      <w:r w:rsidRPr="0064597D">
        <w:rPr>
          <w:rFonts w:cs="Arial"/>
          <w:i/>
          <w:sz w:val="20"/>
          <w:szCs w:val="20"/>
        </w:rPr>
        <w:tab/>
        <w:t>c.</w:t>
      </w:r>
      <w:r w:rsidR="009772D8" w:rsidRPr="0064597D">
        <w:rPr>
          <w:rFonts w:cs="Arial"/>
          <w:i/>
          <w:sz w:val="20"/>
          <w:szCs w:val="20"/>
        </w:rPr>
        <w:t>2</w:t>
      </w:r>
      <w:r w:rsidRPr="0064597D">
        <w:rPr>
          <w:rFonts w:cs="Arial"/>
          <w:i/>
          <w:sz w:val="20"/>
          <w:szCs w:val="20"/>
        </w:rPr>
        <w:t>.</w:t>
      </w:r>
      <w:r w:rsidR="00821BB7" w:rsidRPr="0064597D">
        <w:rPr>
          <w:rFonts w:cs="Arial"/>
          <w:i/>
          <w:sz w:val="20"/>
          <w:szCs w:val="20"/>
        </w:rPr>
        <w:t>3</w:t>
      </w:r>
      <w:r w:rsidRPr="0064597D">
        <w:rPr>
          <w:rFonts w:cs="Arial"/>
          <w:i/>
          <w:sz w:val="20"/>
          <w:szCs w:val="20"/>
        </w:rPr>
        <w:t xml:space="preserve">) </w:t>
      </w:r>
      <w:r w:rsidRPr="0064597D">
        <w:rPr>
          <w:rFonts w:cs="Cambria"/>
          <w:spacing w:val="-2"/>
          <w:sz w:val="20"/>
          <w:szCs w:val="20"/>
        </w:rPr>
        <w:t xml:space="preserve">Restantes medidas de </w:t>
      </w:r>
      <w:r w:rsidR="00627737" w:rsidRPr="0064597D">
        <w:rPr>
          <w:rFonts w:cs="Cambria"/>
          <w:spacing w:val="-2"/>
          <w:sz w:val="20"/>
          <w:szCs w:val="20"/>
        </w:rPr>
        <w:t>no repetición</w:t>
      </w:r>
      <w:r w:rsidR="00892B87" w:rsidRPr="0064597D">
        <w:rPr>
          <w:rFonts w:cs="Cambria"/>
          <w:spacing w:val="-2"/>
          <w:sz w:val="20"/>
          <w:szCs w:val="20"/>
        </w:rPr>
        <w:t xml:space="preserve"> </w:t>
      </w:r>
      <w:r w:rsidRPr="0064597D">
        <w:rPr>
          <w:rFonts w:cs="Cambria"/>
          <w:spacing w:val="-2"/>
          <w:sz w:val="20"/>
          <w:szCs w:val="20"/>
        </w:rPr>
        <w:t>solicitadas</w:t>
      </w:r>
    </w:p>
    <w:p w14:paraId="7C2733D8" w14:textId="77777777" w:rsidR="00B57EC1" w:rsidRPr="0064597D" w:rsidRDefault="00B57EC1" w:rsidP="000E2677">
      <w:pPr>
        <w:tabs>
          <w:tab w:val="left" w:pos="567"/>
        </w:tabs>
        <w:spacing w:line="240" w:lineRule="auto"/>
        <w:textAlignment w:val="auto"/>
        <w:rPr>
          <w:rFonts w:eastAsia="MS Mincho"/>
          <w:sz w:val="20"/>
          <w:szCs w:val="20"/>
          <w:lang w:bidi="en-US"/>
        </w:rPr>
      </w:pPr>
    </w:p>
    <w:p w14:paraId="7210473A" w14:textId="39EFB52E" w:rsidR="00892B87" w:rsidRPr="0064597D" w:rsidRDefault="00627737" w:rsidP="00892B87">
      <w:pPr>
        <w:numPr>
          <w:ilvl w:val="0"/>
          <w:numId w:val="1"/>
        </w:numPr>
        <w:tabs>
          <w:tab w:val="left" w:pos="567"/>
        </w:tabs>
        <w:spacing w:line="240" w:lineRule="auto"/>
        <w:ind w:left="0" w:firstLine="0"/>
        <w:textAlignment w:val="auto"/>
        <w:rPr>
          <w:rFonts w:cs="Arial"/>
          <w:bCs/>
          <w:sz w:val="20"/>
          <w:szCs w:val="20"/>
          <w:lang w:val="es-PE"/>
        </w:rPr>
      </w:pPr>
      <w:r w:rsidRPr="0064597D">
        <w:rPr>
          <w:rFonts w:eastAsia="MS Mincho"/>
          <w:sz w:val="20"/>
          <w:szCs w:val="20"/>
          <w:lang w:bidi="en-US"/>
        </w:rPr>
        <w:t xml:space="preserve">Respecto a las restantes medidas de </w:t>
      </w:r>
      <w:r w:rsidR="00572BBA" w:rsidRPr="0064597D">
        <w:rPr>
          <w:rFonts w:eastAsia="MS Mincho"/>
          <w:sz w:val="20"/>
          <w:szCs w:val="20"/>
          <w:lang w:bidi="en-US"/>
        </w:rPr>
        <w:t>no repetición</w:t>
      </w:r>
      <w:r w:rsidRPr="0064597D">
        <w:rPr>
          <w:rFonts w:eastAsia="MS Mincho"/>
          <w:sz w:val="20"/>
          <w:szCs w:val="20"/>
          <w:lang w:bidi="en-US"/>
        </w:rPr>
        <w:t xml:space="preserve"> solicitadas por las representantes, este T</w:t>
      </w:r>
      <w:r w:rsidR="000E2677" w:rsidRPr="0064597D">
        <w:rPr>
          <w:sz w:val="20"/>
          <w:szCs w:val="20"/>
          <w:lang w:val="es-PE"/>
        </w:rPr>
        <w:t xml:space="preserve">ribunal considera que la </w:t>
      </w:r>
      <w:r w:rsidR="000E2677" w:rsidRPr="0064597D">
        <w:rPr>
          <w:rFonts w:cs="Arial"/>
          <w:sz w:val="20"/>
          <w:szCs w:val="20"/>
        </w:rPr>
        <w:t>emisión</w:t>
      </w:r>
      <w:r w:rsidR="000E2677" w:rsidRPr="0064597D">
        <w:rPr>
          <w:sz w:val="20"/>
          <w:szCs w:val="20"/>
          <w:lang w:val="es-PE"/>
        </w:rPr>
        <w:t xml:space="preserve"> de la presente Sentencia y las reparaciones ordenadas en la misma resultan suficientes y adecuadas.</w:t>
      </w:r>
      <w:r w:rsidR="00892B87" w:rsidRPr="0064597D">
        <w:rPr>
          <w:sz w:val="20"/>
          <w:szCs w:val="20"/>
          <w:lang w:val="es-PE"/>
        </w:rPr>
        <w:t xml:space="preserve"> </w:t>
      </w:r>
    </w:p>
    <w:p w14:paraId="0EA52196" w14:textId="326BF78E" w:rsidR="00072585" w:rsidRPr="0064597D" w:rsidRDefault="00072585" w:rsidP="00072585">
      <w:pPr>
        <w:pStyle w:val="Ttulo2"/>
      </w:pPr>
      <w:bookmarkStart w:id="113" w:name="_Toc24014579"/>
      <w:bookmarkStart w:id="114" w:name="_Toc470180110"/>
      <w:bookmarkStart w:id="115" w:name="_Toc15064201"/>
      <w:bookmarkStart w:id="116" w:name="_Toc15933777"/>
      <w:r w:rsidRPr="0064597D">
        <w:t>D.</w:t>
      </w:r>
      <w:r w:rsidRPr="0064597D">
        <w:tab/>
        <w:t>Otras medidas solicitadas</w:t>
      </w:r>
      <w:bookmarkEnd w:id="113"/>
    </w:p>
    <w:bookmarkEnd w:id="114"/>
    <w:bookmarkEnd w:id="115"/>
    <w:bookmarkEnd w:id="116"/>
    <w:p w14:paraId="1692D36C" w14:textId="6483038C" w:rsidR="006958DA" w:rsidRPr="0064597D" w:rsidRDefault="006958DA" w:rsidP="006958DA">
      <w:pPr>
        <w:numPr>
          <w:ilvl w:val="0"/>
          <w:numId w:val="1"/>
        </w:numPr>
        <w:tabs>
          <w:tab w:val="left" w:pos="567"/>
          <w:tab w:val="num" w:pos="5057"/>
        </w:tabs>
        <w:spacing w:line="240" w:lineRule="auto"/>
        <w:ind w:left="0" w:firstLine="0"/>
        <w:textAlignment w:val="auto"/>
        <w:rPr>
          <w:rFonts w:eastAsia="MS Mincho"/>
          <w:sz w:val="20"/>
          <w:szCs w:val="20"/>
          <w:lang w:bidi="en-US"/>
        </w:rPr>
      </w:pPr>
      <w:r w:rsidRPr="0064597D">
        <w:rPr>
          <w:rFonts w:eastAsia="MS Mincho"/>
          <w:sz w:val="20"/>
          <w:szCs w:val="20"/>
          <w:lang w:bidi="en-US"/>
        </w:rPr>
        <w:t xml:space="preserve">Las </w:t>
      </w:r>
      <w:r w:rsidRPr="0064597D">
        <w:rPr>
          <w:rFonts w:eastAsia="MS Mincho"/>
          <w:b/>
          <w:i/>
          <w:sz w:val="20"/>
          <w:szCs w:val="20"/>
          <w:lang w:bidi="en-US"/>
        </w:rPr>
        <w:t>representantes</w:t>
      </w:r>
      <w:r w:rsidRPr="0064597D">
        <w:rPr>
          <w:rFonts w:eastAsia="MS Mincho"/>
          <w:b/>
          <w:sz w:val="20"/>
          <w:szCs w:val="20"/>
          <w:lang w:bidi="en-US"/>
        </w:rPr>
        <w:t xml:space="preserve"> </w:t>
      </w:r>
      <w:r w:rsidRPr="0064597D">
        <w:rPr>
          <w:rFonts w:eastAsia="MS Mincho"/>
          <w:sz w:val="20"/>
          <w:szCs w:val="20"/>
          <w:lang w:bidi="en-US"/>
        </w:rPr>
        <w:t xml:space="preserve">solicitaron </w:t>
      </w:r>
      <w:r w:rsidRPr="0064597D">
        <w:rPr>
          <w:rFonts w:cs="Arial"/>
          <w:sz w:val="20"/>
          <w:szCs w:val="20"/>
        </w:rPr>
        <w:t>a la Corte en sus alegatos finales escritos que ordenara al Estado de Guatemala que brinde atención adecuada a los padecimientos físicos y psicológicos sufridos por la herma</w:t>
      </w:r>
      <w:r w:rsidR="0096374F" w:rsidRPr="0064597D">
        <w:rPr>
          <w:rFonts w:cs="Arial"/>
          <w:sz w:val="20"/>
          <w:szCs w:val="20"/>
        </w:rPr>
        <w:t>na</w:t>
      </w:r>
      <w:r w:rsidR="004305CD" w:rsidRPr="0064597D">
        <w:rPr>
          <w:rFonts w:cs="Arial"/>
          <w:sz w:val="20"/>
          <w:szCs w:val="20"/>
        </w:rPr>
        <w:t xml:space="preserve"> del señor Ruiz Fuentes</w:t>
      </w:r>
      <w:r w:rsidRPr="0064597D">
        <w:rPr>
          <w:rFonts w:cs="Arial"/>
          <w:sz w:val="20"/>
          <w:szCs w:val="20"/>
        </w:rPr>
        <w:t xml:space="preserve">. </w:t>
      </w:r>
    </w:p>
    <w:p w14:paraId="19C58DC2" w14:textId="77777777" w:rsidR="006958DA" w:rsidRPr="0064597D" w:rsidRDefault="006958DA" w:rsidP="006958DA">
      <w:pPr>
        <w:tabs>
          <w:tab w:val="left" w:pos="567"/>
        </w:tabs>
        <w:spacing w:line="240" w:lineRule="auto"/>
        <w:textAlignment w:val="auto"/>
        <w:rPr>
          <w:rFonts w:eastAsia="MS Mincho"/>
          <w:b/>
          <w:sz w:val="20"/>
          <w:szCs w:val="20"/>
          <w:lang w:bidi="en-US"/>
        </w:rPr>
      </w:pPr>
    </w:p>
    <w:p w14:paraId="2FDF9316" w14:textId="112C00E8" w:rsidR="006958DA" w:rsidRPr="0064597D" w:rsidRDefault="00537AAE" w:rsidP="002A2BD7">
      <w:pPr>
        <w:numPr>
          <w:ilvl w:val="0"/>
          <w:numId w:val="1"/>
        </w:numPr>
        <w:tabs>
          <w:tab w:val="left" w:pos="567"/>
        </w:tabs>
        <w:spacing w:line="240" w:lineRule="auto"/>
        <w:ind w:left="0" w:firstLine="0"/>
        <w:textAlignment w:val="auto"/>
        <w:rPr>
          <w:rFonts w:eastAsia="MS Mincho"/>
          <w:b/>
          <w:sz w:val="20"/>
          <w:szCs w:val="20"/>
          <w:lang w:bidi="en-US"/>
        </w:rPr>
      </w:pPr>
      <w:r w:rsidRPr="0064597D">
        <w:rPr>
          <w:sz w:val="20"/>
          <w:szCs w:val="20"/>
        </w:rPr>
        <w:t>Por otro lado, l</w:t>
      </w:r>
      <w:r w:rsidR="00413443" w:rsidRPr="0064597D">
        <w:rPr>
          <w:sz w:val="20"/>
          <w:szCs w:val="20"/>
        </w:rPr>
        <w:t>as representantes</w:t>
      </w:r>
      <w:r w:rsidR="00413443" w:rsidRPr="0064597D">
        <w:rPr>
          <w:b/>
          <w:i/>
          <w:sz w:val="20"/>
          <w:szCs w:val="20"/>
        </w:rPr>
        <w:t xml:space="preserve"> </w:t>
      </w:r>
      <w:r w:rsidR="00413443" w:rsidRPr="0064597D">
        <w:rPr>
          <w:sz w:val="20"/>
          <w:szCs w:val="20"/>
        </w:rPr>
        <w:t xml:space="preserve">solicitaron que la Corte ordene el traslado </w:t>
      </w:r>
      <w:r w:rsidR="00413443" w:rsidRPr="0064597D">
        <w:rPr>
          <w:rFonts w:cs="Arial"/>
          <w:sz w:val="20"/>
          <w:szCs w:val="20"/>
        </w:rPr>
        <w:t>de los restos de Hugo Humberto al cementerio Las Rosas en Mixco</w:t>
      </w:r>
      <w:r w:rsidR="000F40D5" w:rsidRPr="0064597D">
        <w:rPr>
          <w:rFonts w:cs="Arial"/>
          <w:sz w:val="20"/>
          <w:szCs w:val="20"/>
        </w:rPr>
        <w:t>.</w:t>
      </w:r>
      <w:r w:rsidR="00413443" w:rsidRPr="0064597D">
        <w:rPr>
          <w:rFonts w:cs="Arial"/>
          <w:sz w:val="20"/>
          <w:szCs w:val="20"/>
        </w:rPr>
        <w:t xml:space="preserve"> </w:t>
      </w:r>
    </w:p>
    <w:p w14:paraId="7E12BC36" w14:textId="77777777" w:rsidR="00537AAE" w:rsidRPr="0064597D" w:rsidRDefault="00537AAE" w:rsidP="00537AAE">
      <w:pPr>
        <w:tabs>
          <w:tab w:val="left" w:pos="567"/>
        </w:tabs>
        <w:spacing w:line="240" w:lineRule="auto"/>
        <w:textAlignment w:val="auto"/>
        <w:rPr>
          <w:rFonts w:eastAsia="MS Mincho"/>
          <w:b/>
          <w:sz w:val="20"/>
          <w:szCs w:val="20"/>
          <w:lang w:bidi="en-US"/>
        </w:rPr>
      </w:pPr>
    </w:p>
    <w:p w14:paraId="14262299" w14:textId="602B7F19" w:rsidR="006958DA" w:rsidRPr="0064597D" w:rsidRDefault="006958DA" w:rsidP="006958DA">
      <w:pPr>
        <w:numPr>
          <w:ilvl w:val="0"/>
          <w:numId w:val="1"/>
        </w:numPr>
        <w:tabs>
          <w:tab w:val="left" w:pos="567"/>
          <w:tab w:val="num" w:pos="5057"/>
        </w:tabs>
        <w:spacing w:line="240" w:lineRule="auto"/>
        <w:ind w:left="0" w:firstLine="0"/>
        <w:textAlignment w:val="auto"/>
        <w:rPr>
          <w:rFonts w:eastAsia="MS Mincho"/>
          <w:b/>
          <w:sz w:val="20"/>
          <w:szCs w:val="20"/>
          <w:lang w:bidi="en-US"/>
        </w:rPr>
      </w:pPr>
      <w:r w:rsidRPr="0064597D">
        <w:rPr>
          <w:rFonts w:eastAsia="MS Mincho"/>
          <w:sz w:val="20"/>
          <w:szCs w:val="20"/>
          <w:lang w:bidi="en-US"/>
        </w:rPr>
        <w:t>Con respecto a la solicitud de atención médica para la hermana del señor Ruiz Fuentes, el</w:t>
      </w:r>
      <w:r w:rsidRPr="0064597D">
        <w:rPr>
          <w:rFonts w:eastAsia="MS Mincho"/>
          <w:b/>
          <w:sz w:val="20"/>
          <w:szCs w:val="20"/>
          <w:lang w:bidi="en-US"/>
        </w:rPr>
        <w:t xml:space="preserve"> </w:t>
      </w:r>
      <w:r w:rsidRPr="0064597D">
        <w:rPr>
          <w:rFonts w:eastAsia="MS Mincho"/>
          <w:b/>
          <w:i/>
          <w:sz w:val="20"/>
          <w:szCs w:val="20"/>
          <w:lang w:bidi="en-US"/>
        </w:rPr>
        <w:t>Estado</w:t>
      </w:r>
      <w:r w:rsidRPr="0064597D">
        <w:rPr>
          <w:rFonts w:eastAsia="MS Mincho"/>
          <w:b/>
          <w:sz w:val="20"/>
          <w:szCs w:val="20"/>
          <w:lang w:bidi="en-US"/>
        </w:rPr>
        <w:t xml:space="preserve"> </w:t>
      </w:r>
      <w:r w:rsidRPr="0064597D">
        <w:rPr>
          <w:rFonts w:eastAsia="MS Mincho"/>
          <w:sz w:val="20"/>
          <w:szCs w:val="20"/>
          <w:lang w:bidi="en-US"/>
        </w:rPr>
        <w:t xml:space="preserve">manifestó que el sufrimiento y/o padecimiento fueron a consecuencia de los actos ilícitos cometidos por el señor Ruiz Fuentes, de lo cual el Estado carece de responsabilidad alguna. </w:t>
      </w:r>
    </w:p>
    <w:p w14:paraId="7963E77F" w14:textId="77777777" w:rsidR="00413443" w:rsidRPr="0064597D" w:rsidRDefault="00413443" w:rsidP="00413443">
      <w:pPr>
        <w:tabs>
          <w:tab w:val="left" w:pos="567"/>
        </w:tabs>
        <w:spacing w:line="240" w:lineRule="auto"/>
        <w:rPr>
          <w:b/>
          <w:sz w:val="20"/>
          <w:szCs w:val="20"/>
        </w:rPr>
      </w:pPr>
    </w:p>
    <w:p w14:paraId="52B0C916" w14:textId="1E154712" w:rsidR="000F40D5" w:rsidRPr="0064597D" w:rsidRDefault="006958DA" w:rsidP="002A2BD7">
      <w:pPr>
        <w:numPr>
          <w:ilvl w:val="0"/>
          <w:numId w:val="1"/>
        </w:numPr>
        <w:tabs>
          <w:tab w:val="left" w:pos="567"/>
          <w:tab w:val="num" w:pos="12305"/>
        </w:tabs>
        <w:spacing w:line="240" w:lineRule="auto"/>
        <w:ind w:left="0" w:firstLine="0"/>
        <w:rPr>
          <w:b/>
          <w:sz w:val="20"/>
          <w:szCs w:val="20"/>
        </w:rPr>
      </w:pPr>
      <w:r w:rsidRPr="0064597D">
        <w:rPr>
          <w:sz w:val="20"/>
          <w:szCs w:val="20"/>
        </w:rPr>
        <w:t>Asimismo, e</w:t>
      </w:r>
      <w:r w:rsidR="00413443" w:rsidRPr="0064597D">
        <w:rPr>
          <w:sz w:val="20"/>
          <w:szCs w:val="20"/>
        </w:rPr>
        <w:t>l Estado manifestó su rechazo al cumplimiento de la medida del traslado de los restos del señor Ruiz Fuentes, fundado en los siguientes argumentos: a) al momento de la muerte del señor Ruiz Fuentes, los restos mortales fueron entregados a la familia, quien decidió colocarlos en el cementer</w:t>
      </w:r>
      <w:r w:rsidR="0096374F" w:rsidRPr="0064597D">
        <w:rPr>
          <w:sz w:val="20"/>
          <w:szCs w:val="20"/>
        </w:rPr>
        <w:t xml:space="preserve">io general; b) </w:t>
      </w:r>
      <w:r w:rsidR="00413443" w:rsidRPr="0064597D">
        <w:rPr>
          <w:sz w:val="20"/>
          <w:szCs w:val="20"/>
        </w:rPr>
        <w:t xml:space="preserve">Mixco es un municipio del departamento de Guatemala, que la distancia radica en aproximadamente 16 kilómetros, es parte del área metropolitana, totalmente urbanizada, accesible y con suficientes recursos disponibles, entre ellos el transporte colectivo como particular; c) no se </w:t>
      </w:r>
      <w:r w:rsidR="006F6E82" w:rsidRPr="0064597D">
        <w:rPr>
          <w:sz w:val="20"/>
          <w:szCs w:val="20"/>
        </w:rPr>
        <w:t>debía</w:t>
      </w:r>
      <w:r w:rsidR="00413443" w:rsidRPr="0064597D">
        <w:rPr>
          <w:sz w:val="20"/>
          <w:szCs w:val="20"/>
        </w:rPr>
        <w:t xml:space="preserve"> de olvidar que el menor plagiado y secuestrado por el señor Ruiz Fuentes y sus acompañantes estuvo encerrado justamente en un inmueble ubicado en el municipio de Mixco, por lo que el Estado considera que no se puede plantear dicho lugar como el más idóneo, menos aún para el traslado de los restos mortales de la presunta víctima; d) el cementerio general es un lugar público con el que el Estado cuenta para la ubicación de los restos mortales de la población, sin distinción ni privilegios, en donde asisten miles de personas a visitar los restos de sus familiares. </w:t>
      </w:r>
    </w:p>
    <w:p w14:paraId="449D0DF6" w14:textId="77777777" w:rsidR="00537AAE" w:rsidRPr="0064597D" w:rsidRDefault="00537AAE" w:rsidP="00537AAE">
      <w:pPr>
        <w:tabs>
          <w:tab w:val="left" w:pos="567"/>
        </w:tabs>
        <w:spacing w:line="240" w:lineRule="auto"/>
        <w:rPr>
          <w:b/>
          <w:sz w:val="20"/>
          <w:szCs w:val="20"/>
        </w:rPr>
      </w:pPr>
    </w:p>
    <w:p w14:paraId="216249AA" w14:textId="77777777" w:rsidR="000F40D5" w:rsidRPr="0064597D" w:rsidRDefault="000F40D5" w:rsidP="000F40D5">
      <w:pPr>
        <w:numPr>
          <w:ilvl w:val="0"/>
          <w:numId w:val="1"/>
        </w:numPr>
        <w:tabs>
          <w:tab w:val="left" w:pos="567"/>
        </w:tabs>
        <w:spacing w:line="240" w:lineRule="auto"/>
        <w:ind w:left="0" w:firstLine="0"/>
        <w:textAlignment w:val="auto"/>
        <w:rPr>
          <w:rFonts w:eastAsia="Calibri"/>
          <w:b/>
          <w:i/>
          <w:sz w:val="20"/>
          <w:szCs w:val="20"/>
        </w:rPr>
      </w:pPr>
      <w:r w:rsidRPr="0064597D">
        <w:rPr>
          <w:sz w:val="20"/>
          <w:szCs w:val="20"/>
        </w:rPr>
        <w:t xml:space="preserve">La </w:t>
      </w:r>
      <w:r w:rsidRPr="0064597D">
        <w:rPr>
          <w:b/>
          <w:i/>
          <w:sz w:val="20"/>
          <w:szCs w:val="20"/>
        </w:rPr>
        <w:t>Comisión</w:t>
      </w:r>
      <w:r w:rsidRPr="0064597D">
        <w:rPr>
          <w:sz w:val="20"/>
          <w:szCs w:val="20"/>
        </w:rPr>
        <w:t xml:space="preserve"> </w:t>
      </w:r>
      <w:r w:rsidRPr="0064597D">
        <w:rPr>
          <w:rFonts w:eastAsia="MS Mincho"/>
          <w:sz w:val="20"/>
          <w:szCs w:val="20"/>
          <w:lang w:bidi="en-US"/>
        </w:rPr>
        <w:t>no se pronunció acerca de este aspecto.</w:t>
      </w:r>
    </w:p>
    <w:p w14:paraId="66DC8D31" w14:textId="77777777" w:rsidR="00413443" w:rsidRPr="0064597D" w:rsidRDefault="00413443" w:rsidP="00413443">
      <w:pPr>
        <w:tabs>
          <w:tab w:val="left" w:pos="567"/>
        </w:tabs>
        <w:spacing w:line="240" w:lineRule="auto"/>
        <w:rPr>
          <w:b/>
          <w:sz w:val="20"/>
          <w:szCs w:val="20"/>
        </w:rPr>
      </w:pPr>
    </w:p>
    <w:p w14:paraId="74AAECD4" w14:textId="6B5BC76C" w:rsidR="000E2677" w:rsidRPr="0064597D" w:rsidRDefault="00537AAE" w:rsidP="002A2BD7">
      <w:pPr>
        <w:numPr>
          <w:ilvl w:val="0"/>
          <w:numId w:val="1"/>
        </w:numPr>
        <w:tabs>
          <w:tab w:val="left" w:pos="630"/>
          <w:tab w:val="num" w:pos="5057"/>
        </w:tabs>
        <w:spacing w:line="240" w:lineRule="auto"/>
        <w:ind w:left="0" w:firstLine="0"/>
        <w:textAlignment w:val="auto"/>
        <w:rPr>
          <w:rFonts w:cs="Arial"/>
          <w:b/>
          <w:bCs/>
          <w:sz w:val="20"/>
          <w:szCs w:val="20"/>
          <w:lang w:val="es-PE"/>
        </w:rPr>
      </w:pPr>
      <w:r w:rsidRPr="0064597D">
        <w:rPr>
          <w:rFonts w:eastAsia="MS Mincho"/>
          <w:sz w:val="20"/>
          <w:szCs w:val="20"/>
          <w:lang w:bidi="en-US"/>
        </w:rPr>
        <w:t xml:space="preserve">Con respecto a la solicitud de atención médica para la hermana del señor Ruiz Fuentes, la </w:t>
      </w:r>
      <w:r w:rsidRPr="0064597D">
        <w:rPr>
          <w:rFonts w:eastAsia="MS Mincho"/>
          <w:b/>
          <w:i/>
          <w:sz w:val="20"/>
          <w:szCs w:val="20"/>
          <w:lang w:bidi="en-US"/>
        </w:rPr>
        <w:t>Corte</w:t>
      </w:r>
      <w:r w:rsidRPr="0064597D">
        <w:rPr>
          <w:rFonts w:eastAsia="MS Mincho"/>
          <w:sz w:val="20"/>
          <w:szCs w:val="20"/>
          <w:lang w:bidi="en-US"/>
        </w:rPr>
        <w:t xml:space="preserve"> nota que dicha medida fue solicitada por primera vez </w:t>
      </w:r>
      <w:r w:rsidR="0096374F" w:rsidRPr="0064597D">
        <w:rPr>
          <w:rFonts w:eastAsia="MS Mincho"/>
          <w:sz w:val="20"/>
          <w:szCs w:val="20"/>
          <w:lang w:bidi="en-US"/>
        </w:rPr>
        <w:t xml:space="preserve">por </w:t>
      </w:r>
      <w:r w:rsidRPr="0064597D">
        <w:rPr>
          <w:rFonts w:eastAsia="MS Mincho"/>
          <w:sz w:val="20"/>
          <w:szCs w:val="20"/>
          <w:lang w:bidi="en-US"/>
        </w:rPr>
        <w:t xml:space="preserve">las representantes en los alegatos finales escritos. En consecuencia, este Tribunal considera que dicha solicitud es extemporánea. </w:t>
      </w:r>
      <w:r w:rsidR="000F40D5" w:rsidRPr="0064597D">
        <w:rPr>
          <w:rFonts w:cs="Verdana"/>
          <w:sz w:val="20"/>
          <w:szCs w:val="20"/>
        </w:rPr>
        <w:t xml:space="preserve">En relación con la solicitud de traslado </w:t>
      </w:r>
      <w:r w:rsidR="000F40D5" w:rsidRPr="0064597D">
        <w:rPr>
          <w:rFonts w:cs="Arial"/>
          <w:sz w:val="20"/>
          <w:szCs w:val="20"/>
        </w:rPr>
        <w:t>de los restos de Hugo Humberto al cementerio Las Rosas en Mixco</w:t>
      </w:r>
      <w:r w:rsidR="000F40D5" w:rsidRPr="0064597D">
        <w:rPr>
          <w:rFonts w:cs="Verdana"/>
          <w:sz w:val="20"/>
          <w:szCs w:val="20"/>
        </w:rPr>
        <w:t>, la Corte estima que la emisión de la presente Sentencia, así como las demás medidas ordenadas, resultan suficientes y adecuadas para remediar las violaciones sufridas por las víctimas y no estima necesario ordenar medidas adicionales.</w:t>
      </w:r>
      <w:r w:rsidR="006F6E82" w:rsidRPr="0064597D">
        <w:rPr>
          <w:rFonts w:cs="Verdana"/>
          <w:sz w:val="20"/>
          <w:szCs w:val="20"/>
        </w:rPr>
        <w:t xml:space="preserve"> </w:t>
      </w:r>
    </w:p>
    <w:p w14:paraId="1D4F6A59" w14:textId="6E3EC0EA" w:rsidR="00072585" w:rsidRPr="0064597D" w:rsidRDefault="00072585" w:rsidP="00072585">
      <w:pPr>
        <w:pStyle w:val="Ttulo2"/>
      </w:pPr>
      <w:bookmarkStart w:id="117" w:name="_Toc24014580"/>
      <w:bookmarkStart w:id="118" w:name="_Toc514172669"/>
      <w:bookmarkStart w:id="119" w:name="_Toc476390741"/>
      <w:bookmarkStart w:id="120" w:name="_Toc495658701"/>
      <w:bookmarkStart w:id="121" w:name="_Toc15933778"/>
      <w:r w:rsidRPr="0064597D">
        <w:lastRenderedPageBreak/>
        <w:t>E.</w:t>
      </w:r>
      <w:r w:rsidRPr="0064597D">
        <w:tab/>
        <w:t>Indemnizaciones compensatorias</w:t>
      </w:r>
      <w:bookmarkEnd w:id="117"/>
    </w:p>
    <w:p w14:paraId="0F45A563" w14:textId="39914D7C" w:rsidR="00413443" w:rsidRPr="0064597D" w:rsidRDefault="00E068B2" w:rsidP="00544B95">
      <w:pPr>
        <w:pStyle w:val="Ttulo3"/>
      </w:pPr>
      <w:bookmarkStart w:id="122" w:name="_Toc514172670"/>
      <w:bookmarkStart w:id="123" w:name="_Toc476390742"/>
      <w:bookmarkStart w:id="124" w:name="_Toc495658702"/>
      <w:bookmarkStart w:id="125" w:name="_Toc15064203"/>
      <w:bookmarkStart w:id="126" w:name="_Toc15933779"/>
      <w:bookmarkStart w:id="127" w:name="_Toc24014581"/>
      <w:bookmarkEnd w:id="118"/>
      <w:bookmarkEnd w:id="119"/>
      <w:bookmarkEnd w:id="120"/>
      <w:bookmarkEnd w:id="121"/>
      <w:r w:rsidRPr="0064597D">
        <w:t>e</w:t>
      </w:r>
      <w:r w:rsidR="00413443" w:rsidRPr="0064597D">
        <w:t>.1</w:t>
      </w:r>
      <w:r w:rsidR="00413443" w:rsidRPr="0064597D">
        <w:tab/>
        <w:t>Daño material</w:t>
      </w:r>
      <w:bookmarkEnd w:id="122"/>
      <w:bookmarkEnd w:id="123"/>
      <w:bookmarkEnd w:id="124"/>
      <w:bookmarkEnd w:id="125"/>
      <w:bookmarkEnd w:id="126"/>
      <w:bookmarkEnd w:id="127"/>
    </w:p>
    <w:p w14:paraId="28D51122" w14:textId="77777777" w:rsidR="00FF5857" w:rsidRPr="0064597D" w:rsidRDefault="00FF5857" w:rsidP="00FF5857">
      <w:pPr>
        <w:numPr>
          <w:ilvl w:val="0"/>
          <w:numId w:val="1"/>
        </w:numPr>
        <w:tabs>
          <w:tab w:val="left" w:pos="567"/>
        </w:tabs>
        <w:spacing w:line="240" w:lineRule="auto"/>
        <w:ind w:left="0" w:firstLine="0"/>
        <w:textAlignment w:val="auto"/>
        <w:rPr>
          <w:rFonts w:eastAsia="MS Mincho"/>
          <w:sz w:val="20"/>
          <w:szCs w:val="20"/>
          <w:lang w:bidi="en-US"/>
        </w:rPr>
      </w:pPr>
      <w:r w:rsidRPr="0064597D">
        <w:rPr>
          <w:rFonts w:eastAsia="Verdana" w:cs="Verdana"/>
          <w:sz w:val="20"/>
          <w:szCs w:val="20"/>
        </w:rPr>
        <w:t xml:space="preserve">La </w:t>
      </w:r>
      <w:r w:rsidRPr="0064597D">
        <w:rPr>
          <w:rFonts w:eastAsia="Verdana" w:cs="Verdana"/>
          <w:b/>
          <w:i/>
          <w:sz w:val="20"/>
          <w:szCs w:val="20"/>
        </w:rPr>
        <w:t>Comisión</w:t>
      </w:r>
      <w:r w:rsidRPr="0064597D">
        <w:rPr>
          <w:rFonts w:eastAsia="Verdana" w:cs="Verdana"/>
          <w:sz w:val="20"/>
          <w:szCs w:val="20"/>
        </w:rPr>
        <w:t xml:space="preserve"> solicitó que se reparara íntegramente al señor Ruiz Fuentes mediante medidas de compensación pecuniaria y de satisfacción que incluyeran el daño material y el daño inmaterial ocasionado.</w:t>
      </w:r>
    </w:p>
    <w:p w14:paraId="27E78F82" w14:textId="77777777" w:rsidR="00413443" w:rsidRPr="0064597D" w:rsidRDefault="00413443" w:rsidP="00413443">
      <w:pPr>
        <w:tabs>
          <w:tab w:val="left" w:pos="567"/>
        </w:tabs>
        <w:spacing w:line="240" w:lineRule="auto"/>
        <w:textAlignment w:val="auto"/>
        <w:rPr>
          <w:rFonts w:eastAsia="MS Mincho"/>
          <w:bCs/>
          <w:sz w:val="20"/>
          <w:szCs w:val="20"/>
          <w:lang w:bidi="en-US"/>
        </w:rPr>
      </w:pPr>
    </w:p>
    <w:p w14:paraId="648C2993" w14:textId="7FB7D279" w:rsidR="00413443" w:rsidRPr="0064597D" w:rsidRDefault="00413443" w:rsidP="00E12081">
      <w:pPr>
        <w:numPr>
          <w:ilvl w:val="0"/>
          <w:numId w:val="1"/>
        </w:numPr>
        <w:tabs>
          <w:tab w:val="left" w:pos="567"/>
        </w:tabs>
        <w:spacing w:line="240" w:lineRule="auto"/>
        <w:ind w:left="0" w:firstLine="0"/>
        <w:textAlignment w:val="auto"/>
        <w:rPr>
          <w:rFonts w:cs="Arial"/>
          <w:sz w:val="20"/>
          <w:szCs w:val="20"/>
        </w:rPr>
      </w:pPr>
      <w:r w:rsidRPr="0064597D">
        <w:rPr>
          <w:rFonts w:eastAsia="Verdana" w:cs="Verdana"/>
          <w:sz w:val="20"/>
          <w:szCs w:val="20"/>
        </w:rPr>
        <w:t xml:space="preserve">Las </w:t>
      </w:r>
      <w:r w:rsidRPr="0064597D">
        <w:rPr>
          <w:rFonts w:eastAsia="Verdana" w:cs="Verdana"/>
          <w:b/>
          <w:i/>
          <w:sz w:val="20"/>
          <w:szCs w:val="20"/>
        </w:rPr>
        <w:t>representantes</w:t>
      </w:r>
      <w:r w:rsidRPr="0064597D">
        <w:rPr>
          <w:rFonts w:eastAsia="Verdana" w:cs="Verdana"/>
          <w:sz w:val="20"/>
          <w:szCs w:val="20"/>
        </w:rPr>
        <w:t xml:space="preserve"> solicitaron </w:t>
      </w:r>
      <w:r w:rsidRPr="0064597D">
        <w:rPr>
          <w:rFonts w:cs="Arial"/>
          <w:sz w:val="20"/>
          <w:szCs w:val="20"/>
        </w:rPr>
        <w:t xml:space="preserve">a la Corte que determine en equidad la cantidad correspondiente al daño material. Las representantes </w:t>
      </w:r>
      <w:r w:rsidR="000F40D5" w:rsidRPr="0064597D">
        <w:rPr>
          <w:rFonts w:cs="Arial"/>
          <w:sz w:val="20"/>
          <w:szCs w:val="20"/>
        </w:rPr>
        <w:t>precisaron</w:t>
      </w:r>
      <w:r w:rsidRPr="0064597D">
        <w:rPr>
          <w:rFonts w:cs="Arial"/>
          <w:sz w:val="20"/>
          <w:szCs w:val="20"/>
        </w:rPr>
        <w:t xml:space="preserve"> que las víctimas del presente caso han tenido que asumir diversos gastos a raíz de las violaciones a sus derechos. En primer lugar, inicialmente el señor Ruiz Fuentes era asistido por un abogado privado, que actuó de manera negligente, por lo que luego se le asignó un nuevo defensor. </w:t>
      </w:r>
      <w:r w:rsidR="000F40D5" w:rsidRPr="0064597D">
        <w:rPr>
          <w:rFonts w:cs="Arial"/>
          <w:sz w:val="20"/>
          <w:szCs w:val="20"/>
        </w:rPr>
        <w:t>Añadieron que s</w:t>
      </w:r>
      <w:r w:rsidRPr="0064597D">
        <w:rPr>
          <w:rFonts w:cs="Arial"/>
          <w:sz w:val="20"/>
          <w:szCs w:val="20"/>
        </w:rPr>
        <w:t xml:space="preserve">us familiares han tenido que realizar un </w:t>
      </w:r>
      <w:r w:rsidR="000F40D5" w:rsidRPr="0064597D">
        <w:rPr>
          <w:rFonts w:cs="Arial"/>
          <w:sz w:val="20"/>
          <w:szCs w:val="20"/>
        </w:rPr>
        <w:t>sinfín de gastos, dentro de los cuales destacaron los traslados para poder</w:t>
      </w:r>
      <w:r w:rsidRPr="0064597D">
        <w:rPr>
          <w:rFonts w:cs="Arial"/>
          <w:sz w:val="20"/>
          <w:szCs w:val="20"/>
        </w:rPr>
        <w:t xml:space="preserve"> visitarlo cuando estaba detenido. </w:t>
      </w:r>
      <w:r w:rsidR="000F40D5" w:rsidRPr="0064597D">
        <w:rPr>
          <w:rFonts w:cs="Arial"/>
          <w:sz w:val="20"/>
          <w:szCs w:val="20"/>
        </w:rPr>
        <w:t>Tras</w:t>
      </w:r>
      <w:r w:rsidRPr="0064597D">
        <w:rPr>
          <w:rFonts w:cs="Arial"/>
          <w:sz w:val="20"/>
          <w:szCs w:val="20"/>
        </w:rPr>
        <w:t xml:space="preserve"> su muerte, incurrieron en gastos para la realización de los ritos funerarios y</w:t>
      </w:r>
      <w:r w:rsidR="000F40D5" w:rsidRPr="0064597D">
        <w:rPr>
          <w:rFonts w:cs="Arial"/>
          <w:sz w:val="20"/>
          <w:szCs w:val="20"/>
        </w:rPr>
        <w:t>,</w:t>
      </w:r>
      <w:r w:rsidRPr="0064597D">
        <w:rPr>
          <w:rFonts w:cs="Arial"/>
          <w:sz w:val="20"/>
          <w:szCs w:val="20"/>
        </w:rPr>
        <w:t xml:space="preserve"> posteriormente</w:t>
      </w:r>
      <w:r w:rsidR="000F40D5" w:rsidRPr="0064597D">
        <w:rPr>
          <w:rFonts w:cs="Arial"/>
          <w:sz w:val="20"/>
          <w:szCs w:val="20"/>
        </w:rPr>
        <w:t>,</w:t>
      </w:r>
      <w:r w:rsidRPr="0064597D">
        <w:rPr>
          <w:rFonts w:cs="Arial"/>
          <w:sz w:val="20"/>
          <w:szCs w:val="20"/>
        </w:rPr>
        <w:t xml:space="preserve"> han sido uno de los </w:t>
      </w:r>
      <w:r w:rsidRPr="0064597D">
        <w:rPr>
          <w:rFonts w:eastAsia="Calibri"/>
          <w:sz w:val="20"/>
          <w:szCs w:val="20"/>
        </w:rPr>
        <w:t>principales</w:t>
      </w:r>
      <w:r w:rsidRPr="0064597D">
        <w:rPr>
          <w:rFonts w:cs="Arial"/>
          <w:sz w:val="20"/>
          <w:szCs w:val="20"/>
        </w:rPr>
        <w:t xml:space="preserve"> motores para la búsqueda de justicia. </w:t>
      </w:r>
      <w:r w:rsidR="000F40D5" w:rsidRPr="0064597D">
        <w:rPr>
          <w:rFonts w:cs="Arial"/>
          <w:sz w:val="20"/>
          <w:szCs w:val="20"/>
        </w:rPr>
        <w:t>Indicaron que, debido</w:t>
      </w:r>
      <w:r w:rsidRPr="0064597D">
        <w:rPr>
          <w:rFonts w:cs="Arial"/>
          <w:sz w:val="20"/>
          <w:szCs w:val="20"/>
        </w:rPr>
        <w:t xml:space="preserve"> al transcurso del tiempo, las víctimas no cuentan con los comprobantes de los gastos antes mencionados, </w:t>
      </w:r>
      <w:r w:rsidR="000F40D5" w:rsidRPr="0064597D">
        <w:rPr>
          <w:rFonts w:cs="Arial"/>
          <w:sz w:val="20"/>
          <w:szCs w:val="20"/>
        </w:rPr>
        <w:t xml:space="preserve">y, </w:t>
      </w:r>
      <w:r w:rsidRPr="0064597D">
        <w:rPr>
          <w:rFonts w:cs="Arial"/>
          <w:sz w:val="20"/>
          <w:szCs w:val="20"/>
        </w:rPr>
        <w:t xml:space="preserve">en tal sentido, </w:t>
      </w:r>
      <w:r w:rsidR="000F40D5" w:rsidRPr="0064597D">
        <w:rPr>
          <w:rFonts w:cs="Arial"/>
          <w:sz w:val="20"/>
          <w:szCs w:val="20"/>
        </w:rPr>
        <w:t>solicitan</w:t>
      </w:r>
      <w:r w:rsidRPr="0064597D">
        <w:rPr>
          <w:rFonts w:cs="Arial"/>
          <w:sz w:val="20"/>
          <w:szCs w:val="20"/>
        </w:rPr>
        <w:t xml:space="preserve"> a la Corte que determine en equidad la cantidad correspondiente al daño material que deberá ser entregada a cada una de ellas. </w:t>
      </w:r>
    </w:p>
    <w:p w14:paraId="7023E9AE" w14:textId="77777777" w:rsidR="00413443" w:rsidRPr="0064597D" w:rsidRDefault="00413443" w:rsidP="00413443">
      <w:pPr>
        <w:tabs>
          <w:tab w:val="left" w:pos="567"/>
        </w:tabs>
        <w:spacing w:line="240" w:lineRule="auto"/>
        <w:rPr>
          <w:rFonts w:eastAsia="MS Mincho" w:cs="Tahoma"/>
          <w:b/>
          <w:sz w:val="20"/>
          <w:szCs w:val="20"/>
        </w:rPr>
      </w:pPr>
    </w:p>
    <w:p w14:paraId="105AD906" w14:textId="4A12577B" w:rsidR="004862AD" w:rsidRPr="0064597D" w:rsidRDefault="004862AD" w:rsidP="004862AD">
      <w:pPr>
        <w:numPr>
          <w:ilvl w:val="0"/>
          <w:numId w:val="1"/>
        </w:numPr>
        <w:tabs>
          <w:tab w:val="left" w:pos="567"/>
        </w:tabs>
        <w:spacing w:line="240" w:lineRule="auto"/>
        <w:ind w:left="0" w:firstLine="0"/>
        <w:textAlignment w:val="auto"/>
        <w:rPr>
          <w:rFonts w:cs="Arial"/>
          <w:sz w:val="20"/>
          <w:szCs w:val="20"/>
        </w:rPr>
      </w:pPr>
      <w:r w:rsidRPr="0064597D">
        <w:rPr>
          <w:rFonts w:eastAsia="Calibri"/>
          <w:sz w:val="20"/>
          <w:szCs w:val="20"/>
        </w:rPr>
        <w:t>Asimismo, las representantes</w:t>
      </w:r>
      <w:r w:rsidRPr="0064597D">
        <w:rPr>
          <w:b/>
          <w:i/>
          <w:sz w:val="20"/>
          <w:szCs w:val="20"/>
        </w:rPr>
        <w:t xml:space="preserve"> </w:t>
      </w:r>
      <w:r w:rsidRPr="0064597D">
        <w:rPr>
          <w:sz w:val="20"/>
          <w:szCs w:val="20"/>
        </w:rPr>
        <w:t xml:space="preserve">señalaron que el señor </w:t>
      </w:r>
      <w:r w:rsidRPr="0064597D">
        <w:rPr>
          <w:rFonts w:cs="Arial"/>
          <w:sz w:val="20"/>
          <w:szCs w:val="20"/>
        </w:rPr>
        <w:t>Ruiz Fuentes fue privado de su libertad de forma ilegal y arbitraria, torturado y condenado a pena de muerte a través de un proceso que violó sus derechos. Además, posteriormente fue ejecutado por agentes estatales. De esta forma, la violació</w:t>
      </w:r>
      <w:r w:rsidR="006F6E82" w:rsidRPr="0064597D">
        <w:rPr>
          <w:rFonts w:cs="Arial"/>
          <w:sz w:val="20"/>
          <w:szCs w:val="20"/>
        </w:rPr>
        <w:t>n de los derechos de la víctima</w:t>
      </w:r>
      <w:r w:rsidRPr="0064597D">
        <w:rPr>
          <w:rFonts w:cs="Arial"/>
          <w:sz w:val="20"/>
          <w:szCs w:val="20"/>
        </w:rPr>
        <w:t xml:space="preserve"> privó a sus familiares del ingreso que este hubiera recibido si estas violaciones no hubieran ocurrido. Las representantes señalaron que, antes de su detención, en 1997 Hugo Humberto trabajaba en un taller de mecánica</w:t>
      </w:r>
      <w:r w:rsidR="006F6E82" w:rsidRPr="0064597D">
        <w:rPr>
          <w:rFonts w:cs="Arial"/>
          <w:sz w:val="20"/>
          <w:szCs w:val="20"/>
        </w:rPr>
        <w:t>. C</w:t>
      </w:r>
      <w:r w:rsidRPr="0064597D">
        <w:rPr>
          <w:rFonts w:cs="Arial"/>
          <w:sz w:val="20"/>
          <w:szCs w:val="20"/>
        </w:rPr>
        <w:t xml:space="preserve">onsideraron que el Estado debería reembolsar los salarios no devengados por la víctima desde el momento de su detención hasta la fecha. Los representantes solicitaron a la Corte que fije este monto en equidad. </w:t>
      </w:r>
    </w:p>
    <w:p w14:paraId="472C5927" w14:textId="77777777" w:rsidR="004862AD" w:rsidRPr="0064597D" w:rsidRDefault="004862AD" w:rsidP="004862AD">
      <w:pPr>
        <w:tabs>
          <w:tab w:val="left" w:pos="567"/>
        </w:tabs>
        <w:spacing w:line="240" w:lineRule="auto"/>
        <w:textAlignment w:val="auto"/>
        <w:rPr>
          <w:rFonts w:cs="Arial"/>
          <w:sz w:val="20"/>
          <w:szCs w:val="20"/>
        </w:rPr>
      </w:pPr>
    </w:p>
    <w:p w14:paraId="0AFC0A45" w14:textId="33D5741D" w:rsidR="004862AD" w:rsidRPr="0064597D" w:rsidRDefault="00413443" w:rsidP="00FD5666">
      <w:pPr>
        <w:numPr>
          <w:ilvl w:val="0"/>
          <w:numId w:val="1"/>
        </w:numPr>
        <w:tabs>
          <w:tab w:val="left" w:pos="567"/>
        </w:tabs>
        <w:spacing w:line="240" w:lineRule="auto"/>
        <w:ind w:left="0" w:firstLine="0"/>
        <w:textAlignment w:val="auto"/>
        <w:rPr>
          <w:rFonts w:eastAsia="MS Mincho"/>
          <w:sz w:val="20"/>
          <w:szCs w:val="20"/>
          <w:lang w:bidi="en-US"/>
        </w:rPr>
      </w:pPr>
      <w:r w:rsidRPr="0064597D">
        <w:rPr>
          <w:rFonts w:eastAsia="MS Mincho"/>
          <w:sz w:val="20"/>
          <w:szCs w:val="20"/>
          <w:lang w:bidi="en-US"/>
        </w:rPr>
        <w:t xml:space="preserve">El </w:t>
      </w:r>
      <w:r w:rsidRPr="0064597D">
        <w:rPr>
          <w:rFonts w:eastAsia="MS Mincho"/>
          <w:b/>
          <w:i/>
          <w:sz w:val="20"/>
          <w:szCs w:val="20"/>
          <w:lang w:bidi="en-US"/>
        </w:rPr>
        <w:t xml:space="preserve">Estado </w:t>
      </w:r>
      <w:r w:rsidRPr="0064597D">
        <w:rPr>
          <w:rFonts w:eastAsia="MS Mincho"/>
          <w:sz w:val="20"/>
          <w:szCs w:val="20"/>
          <w:lang w:bidi="en-US"/>
        </w:rPr>
        <w:t>manifestó que el señor Ruiz Fuentes se dedicaba a realizar actos ilícitos por medio de los cuales pretendía obtener ingresos económicos de una forma ilegal y en perjuicio de otras personas.</w:t>
      </w:r>
      <w:r w:rsidR="000F40D5" w:rsidRPr="0064597D">
        <w:rPr>
          <w:rFonts w:eastAsia="MS Mincho"/>
          <w:sz w:val="20"/>
          <w:szCs w:val="20"/>
          <w:lang w:bidi="en-US"/>
        </w:rPr>
        <w:t xml:space="preserve"> </w:t>
      </w:r>
      <w:r w:rsidRPr="0064597D">
        <w:rPr>
          <w:rFonts w:eastAsia="MS Mincho"/>
          <w:sz w:val="20"/>
          <w:szCs w:val="20"/>
          <w:lang w:bidi="en-US"/>
        </w:rPr>
        <w:t>Respecto a los servicios prestados por el profesional particular, el Estado consideró que dicha persona gozaba del derecho y la libertad de decidir a quién defiende o no. En ningún momento ni los familiares no sus representantes ha</w:t>
      </w:r>
      <w:r w:rsidR="006F6E82" w:rsidRPr="0064597D">
        <w:rPr>
          <w:rFonts w:eastAsia="MS Mincho"/>
          <w:sz w:val="20"/>
          <w:szCs w:val="20"/>
          <w:lang w:bidi="en-US"/>
        </w:rPr>
        <w:t>brían</w:t>
      </w:r>
      <w:r w:rsidRPr="0064597D">
        <w:rPr>
          <w:rFonts w:eastAsia="MS Mincho"/>
          <w:sz w:val="20"/>
          <w:szCs w:val="20"/>
          <w:lang w:bidi="en-US"/>
        </w:rPr>
        <w:t xml:space="preserve"> demostrado fehacientemente los gastos incurridos durante</w:t>
      </w:r>
      <w:r w:rsidR="006F6E82" w:rsidRPr="0064597D">
        <w:rPr>
          <w:rFonts w:eastAsia="MS Mincho"/>
          <w:sz w:val="20"/>
          <w:szCs w:val="20"/>
          <w:lang w:bidi="en-US"/>
        </w:rPr>
        <w:t xml:space="preserve"> el litigio del presente caso. En consecuencia, el Estado</w:t>
      </w:r>
      <w:r w:rsidRPr="0064597D">
        <w:rPr>
          <w:rFonts w:eastAsia="MS Mincho"/>
          <w:sz w:val="20"/>
          <w:szCs w:val="20"/>
          <w:lang w:bidi="en-US"/>
        </w:rPr>
        <w:t xml:space="preserve"> solicitó a la Corte declarar la </w:t>
      </w:r>
      <w:r w:rsidR="006F6E82" w:rsidRPr="0064597D">
        <w:rPr>
          <w:rFonts w:eastAsia="MS Mincho"/>
          <w:sz w:val="20"/>
          <w:szCs w:val="20"/>
          <w:lang w:bidi="en-US"/>
        </w:rPr>
        <w:t>petición</w:t>
      </w:r>
      <w:r w:rsidRPr="0064597D">
        <w:rPr>
          <w:rFonts w:eastAsia="MS Mincho"/>
          <w:sz w:val="20"/>
          <w:szCs w:val="20"/>
          <w:lang w:bidi="en-US"/>
        </w:rPr>
        <w:t xml:space="preserve"> improcedente. </w:t>
      </w:r>
      <w:r w:rsidR="004862AD" w:rsidRPr="0064597D">
        <w:rPr>
          <w:rFonts w:eastAsia="MS Mincho"/>
          <w:sz w:val="20"/>
          <w:szCs w:val="20"/>
          <w:lang w:bidi="en-US"/>
        </w:rPr>
        <w:t>Por otro lado, el Estado</w:t>
      </w:r>
      <w:r w:rsidR="004862AD" w:rsidRPr="0064597D">
        <w:rPr>
          <w:rFonts w:eastAsia="Verdana" w:cs="Verdana"/>
          <w:sz w:val="20"/>
          <w:szCs w:val="20"/>
        </w:rPr>
        <w:t xml:space="preserve"> </w:t>
      </w:r>
      <w:r w:rsidR="004862AD" w:rsidRPr="0064597D">
        <w:rPr>
          <w:sz w:val="20"/>
          <w:szCs w:val="20"/>
        </w:rPr>
        <w:t>manifestó</w:t>
      </w:r>
      <w:r w:rsidR="004862AD" w:rsidRPr="0064597D">
        <w:rPr>
          <w:rFonts w:eastAsia="Verdana" w:cs="Verdana"/>
          <w:sz w:val="20"/>
          <w:szCs w:val="20"/>
        </w:rPr>
        <w:t xml:space="preserve"> que el plagio o secuestro es un delito no un trabajo, </w:t>
      </w:r>
      <w:r w:rsidR="006F6E82" w:rsidRPr="0064597D">
        <w:rPr>
          <w:rFonts w:eastAsia="Verdana" w:cs="Verdana"/>
          <w:sz w:val="20"/>
          <w:szCs w:val="20"/>
        </w:rPr>
        <w:t xml:space="preserve">y, </w:t>
      </w:r>
      <w:r w:rsidR="004862AD" w:rsidRPr="0064597D">
        <w:rPr>
          <w:rFonts w:eastAsia="Verdana" w:cs="Verdana"/>
          <w:sz w:val="20"/>
          <w:szCs w:val="20"/>
        </w:rPr>
        <w:t xml:space="preserve">por consiguiente, en ningún momento </w:t>
      </w:r>
      <w:r w:rsidR="006F6E82" w:rsidRPr="0064597D">
        <w:rPr>
          <w:rFonts w:eastAsia="Verdana" w:cs="Verdana"/>
          <w:sz w:val="20"/>
          <w:szCs w:val="20"/>
        </w:rPr>
        <w:t>se puede comprometer</w:t>
      </w:r>
      <w:r w:rsidR="004862AD" w:rsidRPr="0064597D">
        <w:rPr>
          <w:rFonts w:eastAsia="Verdana" w:cs="Verdana"/>
          <w:sz w:val="20"/>
          <w:szCs w:val="20"/>
        </w:rPr>
        <w:t xml:space="preserve"> a reembolsar la cantidad solicitada por el señor Ruiz Fuentes de un millón de quetzales como “salario” por el rescate del menor. El Estado señaló que no hay ningún elemento aportado al expediente que permita determinar que el señor Ruiz Fuentes tenía ingresos o ganancias por el ejercicio de alguna profesión l</w:t>
      </w:r>
      <w:r w:rsidR="0096374F" w:rsidRPr="0064597D">
        <w:rPr>
          <w:rFonts w:eastAsia="Verdana" w:cs="Verdana"/>
          <w:sz w:val="20"/>
          <w:szCs w:val="20"/>
        </w:rPr>
        <w:t>í</w:t>
      </w:r>
      <w:r w:rsidR="004862AD" w:rsidRPr="0064597D">
        <w:rPr>
          <w:rFonts w:eastAsia="Verdana" w:cs="Verdana"/>
          <w:sz w:val="20"/>
          <w:szCs w:val="20"/>
        </w:rPr>
        <w:t xml:space="preserve">cita. </w:t>
      </w:r>
    </w:p>
    <w:p w14:paraId="579742D0" w14:textId="2F2288A4" w:rsidR="00413443" w:rsidRPr="0064597D" w:rsidRDefault="00E068B2" w:rsidP="00544B95">
      <w:pPr>
        <w:pStyle w:val="Ttulo3"/>
      </w:pPr>
      <w:bookmarkStart w:id="128" w:name="_Toc514172671"/>
      <w:bookmarkStart w:id="129" w:name="_Toc476390744"/>
      <w:bookmarkStart w:id="130" w:name="_Toc495658703"/>
      <w:bookmarkStart w:id="131" w:name="_Toc15064204"/>
      <w:bookmarkStart w:id="132" w:name="_Toc15933780"/>
      <w:bookmarkStart w:id="133" w:name="_Toc24014582"/>
      <w:r w:rsidRPr="0064597D">
        <w:t>e</w:t>
      </w:r>
      <w:r w:rsidR="00413443" w:rsidRPr="0064597D">
        <w:t>.2</w:t>
      </w:r>
      <w:r w:rsidR="00413443" w:rsidRPr="0064597D">
        <w:tab/>
        <w:t>Daño inmaterial</w:t>
      </w:r>
      <w:bookmarkEnd w:id="128"/>
      <w:bookmarkEnd w:id="129"/>
      <w:bookmarkEnd w:id="130"/>
      <w:bookmarkEnd w:id="131"/>
      <w:bookmarkEnd w:id="132"/>
      <w:bookmarkEnd w:id="133"/>
    </w:p>
    <w:p w14:paraId="4EDE3E5F" w14:textId="77777777" w:rsidR="00FF5857" w:rsidRPr="0064597D" w:rsidRDefault="00FF5857" w:rsidP="00FF5857">
      <w:pPr>
        <w:numPr>
          <w:ilvl w:val="0"/>
          <w:numId w:val="1"/>
        </w:numPr>
        <w:tabs>
          <w:tab w:val="left" w:pos="567"/>
        </w:tabs>
        <w:spacing w:line="240" w:lineRule="auto"/>
        <w:ind w:left="0" w:firstLine="0"/>
        <w:textAlignment w:val="auto"/>
        <w:rPr>
          <w:rFonts w:eastAsia="MS Mincho"/>
          <w:sz w:val="20"/>
          <w:szCs w:val="20"/>
          <w:lang w:bidi="en-US"/>
        </w:rPr>
      </w:pPr>
      <w:r w:rsidRPr="0064597D">
        <w:rPr>
          <w:rFonts w:eastAsia="Verdana" w:cs="Verdana"/>
          <w:sz w:val="20"/>
          <w:szCs w:val="20"/>
        </w:rPr>
        <w:t xml:space="preserve">La </w:t>
      </w:r>
      <w:r w:rsidRPr="0064597D">
        <w:rPr>
          <w:rFonts w:eastAsia="Verdana" w:cs="Verdana"/>
          <w:b/>
          <w:i/>
          <w:sz w:val="20"/>
          <w:szCs w:val="20"/>
        </w:rPr>
        <w:t>Comisión</w:t>
      </w:r>
      <w:r w:rsidRPr="0064597D">
        <w:rPr>
          <w:rFonts w:eastAsia="Verdana" w:cs="Verdana"/>
          <w:sz w:val="20"/>
          <w:szCs w:val="20"/>
        </w:rPr>
        <w:t xml:space="preserve"> solicitó que se reparara íntegramente al señor Ruiz Fuentes mediante medidas de compensación pecuniaria y de satisfacción que incluyeran el daño material y el daño inmaterial ocasionado.</w:t>
      </w:r>
    </w:p>
    <w:p w14:paraId="3F0B9C47" w14:textId="77777777" w:rsidR="00FF5857" w:rsidRPr="0064597D" w:rsidRDefault="00FF5857" w:rsidP="00FF5857">
      <w:pPr>
        <w:tabs>
          <w:tab w:val="left" w:pos="567"/>
        </w:tabs>
        <w:spacing w:line="240" w:lineRule="auto"/>
        <w:textAlignment w:val="auto"/>
        <w:rPr>
          <w:rFonts w:cs="Arial"/>
          <w:sz w:val="20"/>
          <w:szCs w:val="20"/>
        </w:rPr>
      </w:pPr>
    </w:p>
    <w:p w14:paraId="31F3287D" w14:textId="1ED45255" w:rsidR="00413443" w:rsidRPr="0064597D" w:rsidRDefault="00413443" w:rsidP="00413443">
      <w:pPr>
        <w:numPr>
          <w:ilvl w:val="0"/>
          <w:numId w:val="1"/>
        </w:numPr>
        <w:tabs>
          <w:tab w:val="left" w:pos="567"/>
        </w:tabs>
        <w:spacing w:line="240" w:lineRule="auto"/>
        <w:ind w:left="0" w:firstLine="0"/>
        <w:textAlignment w:val="auto"/>
        <w:rPr>
          <w:rFonts w:cs="Arial"/>
          <w:sz w:val="20"/>
          <w:szCs w:val="20"/>
        </w:rPr>
      </w:pPr>
      <w:r w:rsidRPr="0064597D">
        <w:rPr>
          <w:rFonts w:eastAsia="Calibri"/>
          <w:sz w:val="20"/>
          <w:szCs w:val="20"/>
        </w:rPr>
        <w:t xml:space="preserve">Las </w:t>
      </w:r>
      <w:r w:rsidRPr="0064597D">
        <w:rPr>
          <w:rFonts w:eastAsia="Calibri"/>
          <w:b/>
          <w:i/>
          <w:sz w:val="20"/>
          <w:szCs w:val="20"/>
        </w:rPr>
        <w:t>representantes</w:t>
      </w:r>
      <w:r w:rsidRPr="0064597D">
        <w:rPr>
          <w:b/>
          <w:i/>
          <w:sz w:val="20"/>
          <w:szCs w:val="20"/>
        </w:rPr>
        <w:t xml:space="preserve"> </w:t>
      </w:r>
      <w:r w:rsidRPr="0064597D">
        <w:rPr>
          <w:sz w:val="20"/>
          <w:szCs w:val="20"/>
        </w:rPr>
        <w:t xml:space="preserve">señalaron que </w:t>
      </w:r>
      <w:r w:rsidRPr="0064597D">
        <w:rPr>
          <w:rFonts w:cs="Arial"/>
          <w:sz w:val="20"/>
          <w:szCs w:val="20"/>
        </w:rPr>
        <w:t xml:space="preserve">en atención a los elementos de hecho del presente caso, las </w:t>
      </w:r>
      <w:r w:rsidRPr="0064597D">
        <w:rPr>
          <w:rFonts w:eastAsia="MS Mincho"/>
          <w:sz w:val="20"/>
          <w:szCs w:val="20"/>
          <w:lang w:bidi="en-US"/>
        </w:rPr>
        <w:t>violaciones</w:t>
      </w:r>
      <w:r w:rsidRPr="0064597D">
        <w:rPr>
          <w:rFonts w:cs="Arial"/>
          <w:sz w:val="20"/>
          <w:szCs w:val="20"/>
        </w:rPr>
        <w:t xml:space="preserve"> cometidas, los sufrimientos ocasionados, la afectación a los proyectos de vida, así como las restantes consecuencias de orden inmaterial sufridas por las víctimas del presente caso, solicitaron a la Corte que ordene al Estado de Guatemala el pago por concepto de daño inmaterial en términos en equidad. </w:t>
      </w:r>
    </w:p>
    <w:p w14:paraId="58650F76" w14:textId="77777777" w:rsidR="00413443" w:rsidRPr="0064597D" w:rsidRDefault="00413443" w:rsidP="00413443">
      <w:pPr>
        <w:tabs>
          <w:tab w:val="left" w:pos="567"/>
        </w:tabs>
        <w:spacing w:line="240" w:lineRule="auto"/>
        <w:textAlignment w:val="auto"/>
        <w:rPr>
          <w:rFonts w:cs="Arial"/>
          <w:sz w:val="20"/>
          <w:szCs w:val="20"/>
        </w:rPr>
      </w:pPr>
    </w:p>
    <w:p w14:paraId="33E311E2" w14:textId="3463B625" w:rsidR="00A35A84" w:rsidRPr="0064597D" w:rsidRDefault="00413443" w:rsidP="006E6655">
      <w:pPr>
        <w:numPr>
          <w:ilvl w:val="0"/>
          <w:numId w:val="1"/>
        </w:numPr>
        <w:tabs>
          <w:tab w:val="left" w:pos="567"/>
        </w:tabs>
        <w:spacing w:line="240" w:lineRule="auto"/>
        <w:ind w:left="0" w:firstLine="0"/>
        <w:textAlignment w:val="auto"/>
        <w:rPr>
          <w:rFonts w:eastAsia="Calibri"/>
          <w:b/>
          <w:i/>
          <w:sz w:val="20"/>
          <w:szCs w:val="20"/>
        </w:rPr>
      </w:pPr>
      <w:r w:rsidRPr="0064597D">
        <w:rPr>
          <w:rFonts w:eastAsia="MS Mincho"/>
          <w:sz w:val="20"/>
          <w:szCs w:val="20"/>
          <w:lang w:bidi="en-US"/>
        </w:rPr>
        <w:t xml:space="preserve">El </w:t>
      </w:r>
      <w:r w:rsidRPr="0064597D">
        <w:rPr>
          <w:rFonts w:eastAsia="MS Mincho"/>
          <w:b/>
          <w:i/>
          <w:sz w:val="20"/>
          <w:szCs w:val="20"/>
          <w:lang w:bidi="en-US"/>
        </w:rPr>
        <w:t>Estado</w:t>
      </w:r>
      <w:r w:rsidRPr="0064597D">
        <w:rPr>
          <w:rFonts w:eastAsia="Verdana" w:cs="Verdana"/>
          <w:sz w:val="20"/>
          <w:szCs w:val="20"/>
        </w:rPr>
        <w:t xml:space="preserve"> manifestó que las partes perjudicadas en el presente caso fueron el menor </w:t>
      </w:r>
      <w:r w:rsidRPr="0064597D">
        <w:rPr>
          <w:rFonts w:eastAsia="Verdana" w:cs="Verdana"/>
          <w:sz w:val="20"/>
          <w:szCs w:val="20"/>
        </w:rPr>
        <w:lastRenderedPageBreak/>
        <w:t>secuestrado y su grupo familiar, a quienes el Estado en cumplimiento de su deber reparó, aplicando la justicia penal en contra del señor Ruiz Fuentes y sus acompañantes por el ilícito cometido. El Estado rechazo la presente medida de reparación y solicitó a la Cort</w:t>
      </w:r>
      <w:r w:rsidR="00561ADA" w:rsidRPr="0064597D">
        <w:rPr>
          <w:rFonts w:eastAsia="Verdana" w:cs="Verdana"/>
          <w:sz w:val="20"/>
          <w:szCs w:val="20"/>
        </w:rPr>
        <w:t xml:space="preserve">e declararla improcedente. </w:t>
      </w:r>
    </w:p>
    <w:p w14:paraId="5842E883" w14:textId="77777777" w:rsidR="005F2FF2" w:rsidRPr="0064597D" w:rsidRDefault="005F2FF2" w:rsidP="005F2FF2">
      <w:pPr>
        <w:tabs>
          <w:tab w:val="left" w:pos="567"/>
        </w:tabs>
        <w:spacing w:line="240" w:lineRule="auto"/>
        <w:textAlignment w:val="auto"/>
        <w:rPr>
          <w:rFonts w:eastAsia="MS Mincho"/>
          <w:sz w:val="20"/>
          <w:szCs w:val="20"/>
          <w:highlight w:val="yellow"/>
          <w:lang w:bidi="en-US"/>
        </w:rPr>
      </w:pPr>
    </w:p>
    <w:p w14:paraId="4BE7288A" w14:textId="73424288" w:rsidR="00413443" w:rsidRPr="0064597D" w:rsidRDefault="00561ADA" w:rsidP="003E0947">
      <w:pPr>
        <w:numPr>
          <w:ilvl w:val="0"/>
          <w:numId w:val="1"/>
        </w:numPr>
        <w:tabs>
          <w:tab w:val="left" w:pos="567"/>
        </w:tabs>
        <w:spacing w:line="240" w:lineRule="auto"/>
        <w:ind w:left="0" w:firstLine="0"/>
        <w:textAlignment w:val="auto"/>
        <w:rPr>
          <w:rFonts w:eastAsia="Calibri"/>
          <w:b/>
          <w:i/>
          <w:sz w:val="20"/>
          <w:szCs w:val="20"/>
        </w:rPr>
      </w:pPr>
      <w:r w:rsidRPr="0064597D">
        <w:rPr>
          <w:rFonts w:cs="Arial"/>
          <w:sz w:val="20"/>
          <w:szCs w:val="20"/>
        </w:rPr>
        <w:t xml:space="preserve">La </w:t>
      </w:r>
      <w:r w:rsidRPr="0064597D">
        <w:rPr>
          <w:rFonts w:cs="Arial"/>
          <w:b/>
          <w:i/>
          <w:sz w:val="20"/>
          <w:szCs w:val="20"/>
        </w:rPr>
        <w:t>Corte</w:t>
      </w:r>
      <w:r w:rsidRPr="0064597D">
        <w:rPr>
          <w:rFonts w:cs="Arial"/>
          <w:sz w:val="20"/>
          <w:szCs w:val="20"/>
        </w:rPr>
        <w:t xml:space="preserve"> ha desarrollado en su jurisprudencia el concepto de daño material y los supuestos en que corresponde indemnizarlo. Este Tribunal ha establecido que el daño material abarca la pérdida o detrimento de los ingresos de las víctimas, los gastos efectuados con motivo de los hechos y las consecuencias de carácter pecuniario que tengan un nexo causal con los hechos del caso</w:t>
      </w:r>
      <w:r w:rsidRPr="0064597D">
        <w:rPr>
          <w:rStyle w:val="Refdenotaalpie"/>
          <w:rFonts w:cs="Arial"/>
          <w:sz w:val="20"/>
          <w:szCs w:val="20"/>
        </w:rPr>
        <w:footnoteReference w:id="252"/>
      </w:r>
      <w:r w:rsidRPr="0064597D">
        <w:rPr>
          <w:rFonts w:cs="Arial"/>
          <w:sz w:val="20"/>
          <w:szCs w:val="20"/>
        </w:rPr>
        <w:t>. Por otro lado, la</w:t>
      </w:r>
      <w:r w:rsidR="00413443" w:rsidRPr="0064597D">
        <w:rPr>
          <w:sz w:val="20"/>
          <w:szCs w:val="20"/>
        </w:rPr>
        <w:t xml:space="preserve"> Corte ha establecido en su jurisprudencia que el daño inmaterial “puede comprender tanto los sufrimientos y las aflicciones causados por la violación como el menoscabo de valores muy significativos para las personas y cualquier alteración, de carácter no pecuniario, en las condiciones de existencia de las víctimas”. Por otra parte, dado que no es posible asignar al daño inmaterial un equivalente monetario preciso, sólo puede ser objeto de compensación, para los fines de la reparación integral a la víctima, mediante el pago de una cantidad de dinero o la entrega de bienes o servicios apreciables en dinero, que el Tribunal determine en aplicación razonable del arbitrio judicial y en términos de equidad</w:t>
      </w:r>
      <w:r w:rsidR="00413443" w:rsidRPr="0064597D">
        <w:rPr>
          <w:rFonts w:eastAsia="Calibri"/>
          <w:sz w:val="20"/>
          <w:szCs w:val="20"/>
          <w:vertAlign w:val="superscript"/>
        </w:rPr>
        <w:footnoteReference w:id="253"/>
      </w:r>
      <w:r w:rsidR="00413443" w:rsidRPr="0064597D">
        <w:rPr>
          <w:sz w:val="20"/>
          <w:szCs w:val="20"/>
        </w:rPr>
        <w:t>.</w:t>
      </w:r>
    </w:p>
    <w:p w14:paraId="3063B5EB" w14:textId="77777777" w:rsidR="00036060" w:rsidRPr="0064597D" w:rsidRDefault="00036060" w:rsidP="00036060">
      <w:pPr>
        <w:tabs>
          <w:tab w:val="left" w:pos="567"/>
        </w:tabs>
        <w:spacing w:line="240" w:lineRule="auto"/>
        <w:textAlignment w:val="auto"/>
        <w:rPr>
          <w:rFonts w:eastAsia="Calibri"/>
          <w:b/>
          <w:i/>
          <w:sz w:val="20"/>
          <w:szCs w:val="20"/>
        </w:rPr>
      </w:pPr>
    </w:p>
    <w:p w14:paraId="59A52BB1" w14:textId="19DEDF01" w:rsidR="006F6E82" w:rsidRPr="0064597D" w:rsidRDefault="00561ADA" w:rsidP="00E12081">
      <w:pPr>
        <w:numPr>
          <w:ilvl w:val="0"/>
          <w:numId w:val="1"/>
        </w:numPr>
        <w:tabs>
          <w:tab w:val="left" w:pos="567"/>
        </w:tabs>
        <w:spacing w:line="240" w:lineRule="auto"/>
        <w:ind w:left="0" w:firstLine="0"/>
        <w:textAlignment w:val="auto"/>
        <w:rPr>
          <w:sz w:val="20"/>
          <w:szCs w:val="20"/>
        </w:rPr>
      </w:pPr>
      <w:r w:rsidRPr="0064597D">
        <w:rPr>
          <w:sz w:val="20"/>
          <w:szCs w:val="20"/>
          <w:lang w:val="es-PE"/>
        </w:rPr>
        <w:t>En el presente caso, la Corte</w:t>
      </w:r>
      <w:r w:rsidR="005F2FF2" w:rsidRPr="0064597D">
        <w:rPr>
          <w:sz w:val="20"/>
          <w:szCs w:val="20"/>
          <w:lang w:val="es-PE"/>
        </w:rPr>
        <w:t>,</w:t>
      </w:r>
      <w:r w:rsidRPr="0064597D">
        <w:rPr>
          <w:sz w:val="20"/>
          <w:szCs w:val="20"/>
          <w:lang w:val="es-PE"/>
        </w:rPr>
        <w:t xml:space="preserve"> en consideración de las particularidades del caso y el nexo causal de las </w:t>
      </w:r>
      <w:r w:rsidRPr="0064597D">
        <w:rPr>
          <w:rFonts w:cs="Arial"/>
          <w:sz w:val="20"/>
          <w:szCs w:val="20"/>
        </w:rPr>
        <w:t>violaciones</w:t>
      </w:r>
      <w:r w:rsidRPr="0064597D">
        <w:rPr>
          <w:sz w:val="20"/>
          <w:szCs w:val="20"/>
          <w:lang w:val="es-PE"/>
        </w:rPr>
        <w:t xml:space="preserve"> declaradas se pronunciará únicamente sobre el daño inmaterial. </w:t>
      </w:r>
      <w:r w:rsidR="00413443" w:rsidRPr="0064597D">
        <w:rPr>
          <w:sz w:val="20"/>
          <w:szCs w:val="20"/>
        </w:rPr>
        <w:t>En consideración de las circunstancias del presente caso, las violaciones cometidas, los sufrimientos ocasionados y experimentados en diferentes</w:t>
      </w:r>
      <w:r w:rsidR="00274768" w:rsidRPr="0064597D">
        <w:rPr>
          <w:sz w:val="20"/>
          <w:szCs w:val="20"/>
        </w:rPr>
        <w:t xml:space="preserve"> grados, el tiempo transcurrido y </w:t>
      </w:r>
      <w:r w:rsidR="00413443" w:rsidRPr="0064597D">
        <w:rPr>
          <w:sz w:val="20"/>
          <w:szCs w:val="20"/>
        </w:rPr>
        <w:t>la denegación de justicia, el Tribunal pasa a fijar en equidad las indemnizaciones por daño inmaterial a favor de las víctimas.</w:t>
      </w:r>
      <w:r w:rsidRPr="0064597D">
        <w:rPr>
          <w:sz w:val="20"/>
          <w:szCs w:val="20"/>
        </w:rPr>
        <w:t xml:space="preserve"> </w:t>
      </w:r>
    </w:p>
    <w:p w14:paraId="3855E207" w14:textId="77777777" w:rsidR="006F6E82" w:rsidRPr="0064597D" w:rsidRDefault="006F6E82" w:rsidP="006F6E82">
      <w:pPr>
        <w:tabs>
          <w:tab w:val="left" w:pos="567"/>
        </w:tabs>
        <w:spacing w:line="240" w:lineRule="auto"/>
        <w:textAlignment w:val="auto"/>
        <w:rPr>
          <w:sz w:val="20"/>
          <w:szCs w:val="20"/>
        </w:rPr>
      </w:pPr>
    </w:p>
    <w:p w14:paraId="7DE35347" w14:textId="2B9D9BC5" w:rsidR="00E12081" w:rsidRPr="0064597D" w:rsidRDefault="00413443" w:rsidP="00E12081">
      <w:pPr>
        <w:numPr>
          <w:ilvl w:val="0"/>
          <w:numId w:val="1"/>
        </w:numPr>
        <w:tabs>
          <w:tab w:val="left" w:pos="567"/>
        </w:tabs>
        <w:spacing w:line="240" w:lineRule="auto"/>
        <w:ind w:left="0" w:firstLine="0"/>
        <w:textAlignment w:val="auto"/>
        <w:rPr>
          <w:sz w:val="20"/>
          <w:szCs w:val="20"/>
        </w:rPr>
      </w:pPr>
      <w:r w:rsidRPr="0064597D">
        <w:rPr>
          <w:sz w:val="20"/>
          <w:szCs w:val="20"/>
        </w:rPr>
        <w:t xml:space="preserve">En función de ello, la Corte ordena, en equidad, el pago de la suma de </w:t>
      </w:r>
      <w:r w:rsidR="00E12081" w:rsidRPr="0064597D">
        <w:rPr>
          <w:sz w:val="20"/>
          <w:szCs w:val="20"/>
        </w:rPr>
        <w:t>US</w:t>
      </w:r>
      <w:r w:rsidR="007A21E6" w:rsidRPr="0064597D">
        <w:rPr>
          <w:sz w:val="20"/>
          <w:szCs w:val="20"/>
        </w:rPr>
        <w:t>D</w:t>
      </w:r>
      <w:r w:rsidR="00E12081" w:rsidRPr="0064597D">
        <w:rPr>
          <w:sz w:val="20"/>
          <w:szCs w:val="20"/>
        </w:rPr>
        <w:t xml:space="preserve">$ </w:t>
      </w:r>
      <w:r w:rsidR="007A21E6" w:rsidRPr="0064597D">
        <w:rPr>
          <w:sz w:val="20"/>
          <w:szCs w:val="20"/>
        </w:rPr>
        <w:t>6</w:t>
      </w:r>
      <w:r w:rsidR="000D4F08" w:rsidRPr="0064597D">
        <w:rPr>
          <w:sz w:val="20"/>
          <w:szCs w:val="20"/>
        </w:rPr>
        <w:t>0,</w:t>
      </w:r>
      <w:r w:rsidR="00753E51" w:rsidRPr="0064597D">
        <w:rPr>
          <w:sz w:val="20"/>
          <w:szCs w:val="20"/>
        </w:rPr>
        <w:t>000 (</w:t>
      </w:r>
      <w:r w:rsidR="007A21E6" w:rsidRPr="0064597D">
        <w:rPr>
          <w:sz w:val="20"/>
          <w:szCs w:val="20"/>
        </w:rPr>
        <w:t>sesenta</w:t>
      </w:r>
      <w:r w:rsidR="00753E51" w:rsidRPr="0064597D">
        <w:rPr>
          <w:sz w:val="20"/>
          <w:szCs w:val="20"/>
        </w:rPr>
        <w:t xml:space="preserve"> mil</w:t>
      </w:r>
      <w:r w:rsidR="00E12081" w:rsidRPr="0064597D">
        <w:rPr>
          <w:sz w:val="20"/>
          <w:szCs w:val="20"/>
        </w:rPr>
        <w:t xml:space="preserve"> </w:t>
      </w:r>
      <w:r w:rsidRPr="0064597D">
        <w:rPr>
          <w:sz w:val="20"/>
          <w:szCs w:val="20"/>
        </w:rPr>
        <w:t xml:space="preserve">dólares de los Estados Unidos de América), </w:t>
      </w:r>
      <w:r w:rsidR="00561ADA" w:rsidRPr="0064597D">
        <w:rPr>
          <w:sz w:val="20"/>
          <w:szCs w:val="20"/>
        </w:rPr>
        <w:t>por concepto de daño inmaterial</w:t>
      </w:r>
      <w:r w:rsidR="00DA7F1B">
        <w:rPr>
          <w:sz w:val="20"/>
          <w:szCs w:val="20"/>
        </w:rPr>
        <w:t>,</w:t>
      </w:r>
      <w:r w:rsidR="00036060" w:rsidRPr="0064597D">
        <w:rPr>
          <w:sz w:val="20"/>
          <w:szCs w:val="20"/>
        </w:rPr>
        <w:t xml:space="preserve"> en favor </w:t>
      </w:r>
      <w:r w:rsidR="00E12081" w:rsidRPr="0064597D">
        <w:rPr>
          <w:sz w:val="20"/>
          <w:szCs w:val="20"/>
        </w:rPr>
        <w:t>del señor Ruiz Fuentes. El</w:t>
      </w:r>
      <w:r w:rsidR="00FB390B" w:rsidRPr="0064597D">
        <w:rPr>
          <w:sz w:val="20"/>
          <w:szCs w:val="20"/>
        </w:rPr>
        <w:t xml:space="preserve"> </w:t>
      </w:r>
      <w:r w:rsidR="00E12081" w:rsidRPr="0064597D">
        <w:rPr>
          <w:sz w:val="20"/>
          <w:szCs w:val="20"/>
        </w:rPr>
        <w:t xml:space="preserve">monto establecido por la Corte </w:t>
      </w:r>
      <w:r w:rsidR="00E12081" w:rsidRPr="0064597D">
        <w:rPr>
          <w:rFonts w:cs="Arial"/>
          <w:sz w:val="20"/>
          <w:szCs w:val="20"/>
        </w:rPr>
        <w:t>deberá</w:t>
      </w:r>
      <w:r w:rsidR="00E12081" w:rsidRPr="0064597D">
        <w:rPr>
          <w:sz w:val="20"/>
          <w:szCs w:val="20"/>
        </w:rPr>
        <w:t xml:space="preserve"> ser entregado en el plazo de un año a partir de la notificación de la presente Sentencia de acuerdo con los siguientes criterios: </w:t>
      </w:r>
    </w:p>
    <w:p w14:paraId="0A6B90AB" w14:textId="77777777" w:rsidR="00E12081" w:rsidRPr="0064597D" w:rsidRDefault="00E12081" w:rsidP="00E12081">
      <w:pPr>
        <w:tabs>
          <w:tab w:val="left" w:pos="567"/>
        </w:tabs>
        <w:spacing w:line="240" w:lineRule="auto"/>
        <w:textAlignment w:val="auto"/>
        <w:rPr>
          <w:sz w:val="20"/>
          <w:szCs w:val="20"/>
        </w:rPr>
      </w:pPr>
    </w:p>
    <w:p w14:paraId="46DF1738" w14:textId="692C0AD8" w:rsidR="00753E51" w:rsidRPr="0064597D" w:rsidRDefault="00753E51" w:rsidP="00753E51">
      <w:pPr>
        <w:pStyle w:val="Prrafodelista"/>
        <w:numPr>
          <w:ilvl w:val="0"/>
          <w:numId w:val="37"/>
        </w:numPr>
        <w:tabs>
          <w:tab w:val="left" w:pos="567"/>
        </w:tabs>
        <w:spacing w:line="240" w:lineRule="auto"/>
        <w:textAlignment w:val="auto"/>
        <w:rPr>
          <w:sz w:val="20"/>
          <w:szCs w:val="20"/>
        </w:rPr>
      </w:pPr>
      <w:r w:rsidRPr="0064597D">
        <w:rPr>
          <w:sz w:val="20"/>
          <w:szCs w:val="20"/>
        </w:rPr>
        <w:t xml:space="preserve">El veinticinco por ciento (25%) de la indemnización deberá ser entregada a la cónyuge del señor Ruiz Fuentes, la señora </w:t>
      </w:r>
      <w:r w:rsidR="0095672C" w:rsidRPr="0064597D">
        <w:rPr>
          <w:sz w:val="20"/>
          <w:szCs w:val="20"/>
        </w:rPr>
        <w:t>S.J.M.</w:t>
      </w:r>
      <w:r w:rsidRPr="0064597D">
        <w:rPr>
          <w:sz w:val="20"/>
          <w:szCs w:val="20"/>
        </w:rPr>
        <w:t>;</w:t>
      </w:r>
    </w:p>
    <w:p w14:paraId="06131895" w14:textId="77777777" w:rsidR="00753E51" w:rsidRPr="0064597D" w:rsidRDefault="00753E51" w:rsidP="00753E51">
      <w:pPr>
        <w:pStyle w:val="Prrafodelista"/>
        <w:tabs>
          <w:tab w:val="left" w:pos="567"/>
        </w:tabs>
        <w:spacing w:line="240" w:lineRule="auto"/>
        <w:ind w:left="720"/>
        <w:textAlignment w:val="auto"/>
        <w:rPr>
          <w:sz w:val="20"/>
          <w:szCs w:val="20"/>
        </w:rPr>
      </w:pPr>
    </w:p>
    <w:p w14:paraId="29978D0F" w14:textId="34768F7F" w:rsidR="00746397" w:rsidRPr="0064597D" w:rsidRDefault="00746397" w:rsidP="00746397">
      <w:pPr>
        <w:pStyle w:val="Prrafodelista"/>
        <w:numPr>
          <w:ilvl w:val="0"/>
          <w:numId w:val="37"/>
        </w:numPr>
        <w:tabs>
          <w:tab w:val="left" w:pos="567"/>
        </w:tabs>
        <w:spacing w:line="240" w:lineRule="auto"/>
        <w:textAlignment w:val="auto"/>
        <w:rPr>
          <w:sz w:val="20"/>
          <w:szCs w:val="20"/>
        </w:rPr>
      </w:pPr>
      <w:r w:rsidRPr="0064597D">
        <w:rPr>
          <w:sz w:val="20"/>
          <w:szCs w:val="20"/>
        </w:rPr>
        <w:t xml:space="preserve">El </w:t>
      </w:r>
      <w:r w:rsidR="00753E51" w:rsidRPr="0064597D">
        <w:rPr>
          <w:sz w:val="20"/>
          <w:szCs w:val="20"/>
        </w:rPr>
        <w:t>veinticinco</w:t>
      </w:r>
      <w:r w:rsidRPr="0064597D">
        <w:rPr>
          <w:sz w:val="20"/>
          <w:szCs w:val="20"/>
        </w:rPr>
        <w:t xml:space="preserve"> por ciento (</w:t>
      </w:r>
      <w:r w:rsidR="00753E51" w:rsidRPr="0064597D">
        <w:rPr>
          <w:sz w:val="20"/>
          <w:szCs w:val="20"/>
        </w:rPr>
        <w:t>25</w:t>
      </w:r>
      <w:r w:rsidRPr="0064597D">
        <w:rPr>
          <w:sz w:val="20"/>
          <w:szCs w:val="20"/>
        </w:rPr>
        <w:t>%) de la indemnización deberá</w:t>
      </w:r>
      <w:r w:rsidR="00FB390B" w:rsidRPr="0064597D">
        <w:rPr>
          <w:sz w:val="20"/>
          <w:szCs w:val="20"/>
        </w:rPr>
        <w:t xml:space="preserve"> </w:t>
      </w:r>
      <w:r w:rsidRPr="0064597D">
        <w:rPr>
          <w:sz w:val="20"/>
          <w:szCs w:val="20"/>
        </w:rPr>
        <w:t>ser</w:t>
      </w:r>
      <w:r w:rsidR="00FB390B" w:rsidRPr="0064597D">
        <w:rPr>
          <w:sz w:val="20"/>
          <w:szCs w:val="20"/>
        </w:rPr>
        <w:t xml:space="preserve"> </w:t>
      </w:r>
      <w:r w:rsidRPr="0064597D">
        <w:rPr>
          <w:sz w:val="20"/>
          <w:szCs w:val="20"/>
        </w:rPr>
        <w:t>entregada</w:t>
      </w:r>
      <w:r w:rsidR="00FB390B" w:rsidRPr="0064597D">
        <w:rPr>
          <w:sz w:val="20"/>
          <w:szCs w:val="20"/>
        </w:rPr>
        <w:t xml:space="preserve"> </w:t>
      </w:r>
      <w:r w:rsidRPr="0064597D">
        <w:rPr>
          <w:sz w:val="20"/>
          <w:szCs w:val="20"/>
        </w:rPr>
        <w:t>a</w:t>
      </w:r>
      <w:r w:rsidR="00FB390B" w:rsidRPr="0064597D">
        <w:rPr>
          <w:sz w:val="20"/>
          <w:szCs w:val="20"/>
        </w:rPr>
        <w:t xml:space="preserve"> </w:t>
      </w:r>
      <w:r w:rsidRPr="0064597D">
        <w:rPr>
          <w:sz w:val="20"/>
          <w:szCs w:val="20"/>
        </w:rPr>
        <w:t xml:space="preserve">la compañera permanente del señor Ruiz Fuentes, la señora </w:t>
      </w:r>
      <w:r w:rsidR="0095672C" w:rsidRPr="0064597D">
        <w:rPr>
          <w:sz w:val="20"/>
          <w:szCs w:val="20"/>
        </w:rPr>
        <w:t>A.M.V.</w:t>
      </w:r>
      <w:r w:rsidRPr="0064597D">
        <w:rPr>
          <w:sz w:val="20"/>
          <w:szCs w:val="20"/>
        </w:rPr>
        <w:t>;</w:t>
      </w:r>
    </w:p>
    <w:p w14:paraId="360B427B" w14:textId="77777777" w:rsidR="00746397" w:rsidRPr="0064597D" w:rsidRDefault="00746397" w:rsidP="00746397">
      <w:pPr>
        <w:pStyle w:val="Prrafodelista"/>
        <w:tabs>
          <w:tab w:val="left" w:pos="567"/>
        </w:tabs>
        <w:spacing w:line="240" w:lineRule="auto"/>
        <w:ind w:left="720"/>
        <w:textAlignment w:val="auto"/>
        <w:rPr>
          <w:sz w:val="20"/>
          <w:szCs w:val="20"/>
        </w:rPr>
      </w:pPr>
    </w:p>
    <w:p w14:paraId="52D10643" w14:textId="414C4801" w:rsidR="008C44B6" w:rsidRPr="0064597D" w:rsidRDefault="00B47883" w:rsidP="008C44B6">
      <w:pPr>
        <w:pStyle w:val="Prrafodelista"/>
        <w:numPr>
          <w:ilvl w:val="0"/>
          <w:numId w:val="37"/>
        </w:numPr>
        <w:tabs>
          <w:tab w:val="left" w:pos="567"/>
        </w:tabs>
        <w:spacing w:line="240" w:lineRule="auto"/>
        <w:textAlignment w:val="auto"/>
        <w:rPr>
          <w:sz w:val="20"/>
          <w:szCs w:val="20"/>
        </w:rPr>
      </w:pPr>
      <w:r w:rsidRPr="0064597D">
        <w:rPr>
          <w:sz w:val="20"/>
          <w:szCs w:val="20"/>
        </w:rPr>
        <w:t xml:space="preserve"> </w:t>
      </w:r>
      <w:r w:rsidR="00E12081" w:rsidRPr="0064597D">
        <w:rPr>
          <w:sz w:val="20"/>
          <w:szCs w:val="20"/>
        </w:rPr>
        <w:t>El</w:t>
      </w:r>
      <w:r w:rsidR="000013C4" w:rsidRPr="0064597D">
        <w:rPr>
          <w:sz w:val="20"/>
          <w:szCs w:val="20"/>
        </w:rPr>
        <w:t xml:space="preserve"> restante</w:t>
      </w:r>
      <w:r w:rsidR="00E12081" w:rsidRPr="0064597D">
        <w:rPr>
          <w:sz w:val="20"/>
          <w:szCs w:val="20"/>
        </w:rPr>
        <w:t xml:space="preserve"> </w:t>
      </w:r>
      <w:r w:rsidR="000013C4" w:rsidRPr="0064597D">
        <w:rPr>
          <w:sz w:val="20"/>
          <w:szCs w:val="20"/>
        </w:rPr>
        <w:t>cincuenta</w:t>
      </w:r>
      <w:r w:rsidR="00E12081" w:rsidRPr="0064597D">
        <w:rPr>
          <w:sz w:val="20"/>
          <w:szCs w:val="20"/>
        </w:rPr>
        <w:t xml:space="preserve"> por ciento (</w:t>
      </w:r>
      <w:r w:rsidR="000013C4" w:rsidRPr="0064597D">
        <w:rPr>
          <w:sz w:val="20"/>
          <w:szCs w:val="20"/>
        </w:rPr>
        <w:t>50</w:t>
      </w:r>
      <w:r w:rsidR="00E12081" w:rsidRPr="0064597D">
        <w:rPr>
          <w:sz w:val="20"/>
          <w:szCs w:val="20"/>
        </w:rPr>
        <w:t xml:space="preserve">%) de la indemnización </w:t>
      </w:r>
      <w:r w:rsidR="008C44B6" w:rsidRPr="0064597D">
        <w:rPr>
          <w:sz w:val="20"/>
          <w:szCs w:val="20"/>
        </w:rPr>
        <w:t>se repartirá, por partes iguales, entre los hijos de ést</w:t>
      </w:r>
      <w:r w:rsidR="00DA7F1B">
        <w:rPr>
          <w:sz w:val="20"/>
          <w:szCs w:val="20"/>
        </w:rPr>
        <w:t>e</w:t>
      </w:r>
      <w:r w:rsidR="008C44B6" w:rsidRPr="0064597D">
        <w:rPr>
          <w:sz w:val="20"/>
          <w:szCs w:val="20"/>
        </w:rPr>
        <w:t>. Si uno o varios de los hijos hubieren fallecido ya, la parte que le o les corresponda acrecerá a la de los d</w:t>
      </w:r>
      <w:r w:rsidR="00B07AF4" w:rsidRPr="0064597D">
        <w:rPr>
          <w:sz w:val="20"/>
          <w:szCs w:val="20"/>
        </w:rPr>
        <w:t>emás hijos de la misma víctima.</w:t>
      </w:r>
    </w:p>
    <w:p w14:paraId="59824B7E" w14:textId="77777777" w:rsidR="000013C4" w:rsidRPr="0064597D" w:rsidRDefault="000013C4" w:rsidP="000013C4">
      <w:pPr>
        <w:pStyle w:val="Prrafodelista"/>
        <w:tabs>
          <w:tab w:val="left" w:pos="567"/>
        </w:tabs>
        <w:spacing w:line="240" w:lineRule="auto"/>
        <w:ind w:left="720"/>
        <w:textAlignment w:val="auto"/>
        <w:rPr>
          <w:sz w:val="20"/>
          <w:szCs w:val="20"/>
        </w:rPr>
      </w:pPr>
    </w:p>
    <w:p w14:paraId="3B03C98C" w14:textId="26732D4D" w:rsidR="00413443" w:rsidRPr="0064597D" w:rsidRDefault="00E12081" w:rsidP="003E0947">
      <w:pPr>
        <w:numPr>
          <w:ilvl w:val="0"/>
          <w:numId w:val="1"/>
        </w:numPr>
        <w:tabs>
          <w:tab w:val="left" w:pos="567"/>
        </w:tabs>
        <w:spacing w:line="240" w:lineRule="auto"/>
        <w:ind w:left="0" w:firstLine="0"/>
        <w:textAlignment w:val="auto"/>
        <w:rPr>
          <w:sz w:val="20"/>
          <w:szCs w:val="20"/>
        </w:rPr>
      </w:pPr>
      <w:r w:rsidRPr="0064597D">
        <w:rPr>
          <w:sz w:val="20"/>
          <w:szCs w:val="20"/>
        </w:rPr>
        <w:t xml:space="preserve">Asimismo, </w:t>
      </w:r>
      <w:r w:rsidR="006F6E82" w:rsidRPr="0064597D">
        <w:rPr>
          <w:sz w:val="20"/>
          <w:szCs w:val="20"/>
        </w:rPr>
        <w:t>la Corte ordena en equidad</w:t>
      </w:r>
      <w:r w:rsidRPr="0064597D">
        <w:rPr>
          <w:sz w:val="20"/>
          <w:szCs w:val="20"/>
        </w:rPr>
        <w:t xml:space="preserve"> el pago de la suma de US</w:t>
      </w:r>
      <w:r w:rsidR="007A21E6" w:rsidRPr="0064597D">
        <w:rPr>
          <w:sz w:val="20"/>
          <w:szCs w:val="20"/>
        </w:rPr>
        <w:t>D</w:t>
      </w:r>
      <w:r w:rsidRPr="0064597D">
        <w:rPr>
          <w:sz w:val="20"/>
          <w:szCs w:val="20"/>
        </w:rPr>
        <w:t xml:space="preserve">$ </w:t>
      </w:r>
      <w:r w:rsidR="000D4F08" w:rsidRPr="0064597D">
        <w:rPr>
          <w:sz w:val="20"/>
          <w:szCs w:val="20"/>
        </w:rPr>
        <w:t>10,</w:t>
      </w:r>
      <w:r w:rsidR="00FB390B" w:rsidRPr="0064597D">
        <w:rPr>
          <w:sz w:val="20"/>
          <w:szCs w:val="20"/>
        </w:rPr>
        <w:t>000</w:t>
      </w:r>
      <w:r w:rsidRPr="0064597D">
        <w:rPr>
          <w:sz w:val="20"/>
          <w:szCs w:val="20"/>
        </w:rPr>
        <w:t xml:space="preserve"> </w:t>
      </w:r>
      <w:r w:rsidR="007A21E6" w:rsidRPr="0064597D">
        <w:rPr>
          <w:sz w:val="20"/>
          <w:szCs w:val="20"/>
        </w:rPr>
        <w:t>(</w:t>
      </w:r>
      <w:r w:rsidR="00FB390B" w:rsidRPr="0064597D">
        <w:rPr>
          <w:sz w:val="20"/>
          <w:szCs w:val="20"/>
        </w:rPr>
        <w:t xml:space="preserve">diez mil </w:t>
      </w:r>
      <w:r w:rsidRPr="0064597D">
        <w:rPr>
          <w:sz w:val="20"/>
          <w:szCs w:val="20"/>
        </w:rPr>
        <w:t>dólares de los Estados Unidos de América), por concepto de daño inmaterial</w:t>
      </w:r>
      <w:r w:rsidR="00DA7F1B">
        <w:rPr>
          <w:sz w:val="20"/>
          <w:szCs w:val="20"/>
        </w:rPr>
        <w:t>,</w:t>
      </w:r>
      <w:r w:rsidRPr="0064597D">
        <w:rPr>
          <w:sz w:val="20"/>
          <w:szCs w:val="20"/>
        </w:rPr>
        <w:t xml:space="preserve"> en favor de la </w:t>
      </w:r>
      <w:r w:rsidR="004305CD" w:rsidRPr="0064597D">
        <w:rPr>
          <w:sz w:val="20"/>
          <w:szCs w:val="20"/>
        </w:rPr>
        <w:t xml:space="preserve">hermana del señor Ruiz Fuentes </w:t>
      </w:r>
      <w:r w:rsidR="00746397" w:rsidRPr="0064597D">
        <w:rPr>
          <w:sz w:val="20"/>
          <w:szCs w:val="20"/>
        </w:rPr>
        <w:t xml:space="preserve">por las violaciones </w:t>
      </w:r>
      <w:r w:rsidR="000013C4" w:rsidRPr="0064597D">
        <w:rPr>
          <w:sz w:val="20"/>
          <w:szCs w:val="20"/>
        </w:rPr>
        <w:t>acreditas en su perjuicio, que derivaron en afectaciones a integridad física, moral y psicológica</w:t>
      </w:r>
      <w:r w:rsidRPr="0064597D">
        <w:rPr>
          <w:sz w:val="20"/>
          <w:szCs w:val="20"/>
        </w:rPr>
        <w:t>.</w:t>
      </w:r>
    </w:p>
    <w:p w14:paraId="3F1BED20" w14:textId="5B5C216E" w:rsidR="00072585" w:rsidRPr="0064597D" w:rsidRDefault="00072585" w:rsidP="00072585">
      <w:pPr>
        <w:pStyle w:val="Ttulo2"/>
      </w:pPr>
      <w:bookmarkStart w:id="134" w:name="_Toc24014583"/>
      <w:bookmarkStart w:id="135" w:name="_Toc514172672"/>
      <w:bookmarkStart w:id="136" w:name="_Toc476390746"/>
      <w:bookmarkStart w:id="137" w:name="_Toc495658704"/>
      <w:bookmarkStart w:id="138" w:name="_Toc15933781"/>
      <w:r w:rsidRPr="0064597D">
        <w:t>F.</w:t>
      </w:r>
      <w:r w:rsidRPr="0064597D">
        <w:tab/>
        <w:t>Costas y Gastos</w:t>
      </w:r>
      <w:bookmarkEnd w:id="134"/>
    </w:p>
    <w:bookmarkEnd w:id="135"/>
    <w:bookmarkEnd w:id="136"/>
    <w:bookmarkEnd w:id="137"/>
    <w:bookmarkEnd w:id="138"/>
    <w:p w14:paraId="07C63099" w14:textId="75D61503" w:rsidR="001A423E" w:rsidRPr="0064597D" w:rsidRDefault="00413443" w:rsidP="00274768">
      <w:pPr>
        <w:numPr>
          <w:ilvl w:val="0"/>
          <w:numId w:val="1"/>
        </w:numPr>
        <w:tabs>
          <w:tab w:val="num" w:pos="0"/>
          <w:tab w:val="left" w:pos="567"/>
          <w:tab w:val="num" w:pos="1427"/>
        </w:tabs>
        <w:spacing w:line="240" w:lineRule="auto"/>
        <w:ind w:left="0" w:firstLine="0"/>
        <w:textAlignment w:val="auto"/>
        <w:rPr>
          <w:rFonts w:cs="Arial"/>
          <w:sz w:val="20"/>
          <w:szCs w:val="20"/>
        </w:rPr>
      </w:pPr>
      <w:r w:rsidRPr="0064597D">
        <w:rPr>
          <w:rFonts w:eastAsia="MS Mincho"/>
          <w:sz w:val="20"/>
          <w:szCs w:val="20"/>
          <w:lang w:bidi="en-US"/>
        </w:rPr>
        <w:t xml:space="preserve">Las </w:t>
      </w:r>
      <w:r w:rsidRPr="0064597D">
        <w:rPr>
          <w:rFonts w:eastAsia="MS Mincho"/>
          <w:b/>
          <w:i/>
          <w:sz w:val="20"/>
          <w:szCs w:val="20"/>
          <w:lang w:bidi="en-US"/>
        </w:rPr>
        <w:t>representantes</w:t>
      </w:r>
      <w:r w:rsidRPr="0064597D">
        <w:rPr>
          <w:rFonts w:eastAsia="MS Mincho"/>
          <w:sz w:val="20"/>
          <w:szCs w:val="20"/>
          <w:lang w:bidi="en-US"/>
        </w:rPr>
        <w:t xml:space="preserve"> </w:t>
      </w:r>
      <w:r w:rsidRPr="0064597D">
        <w:rPr>
          <w:sz w:val="20"/>
          <w:szCs w:val="20"/>
        </w:rPr>
        <w:t>s</w:t>
      </w:r>
      <w:r w:rsidRPr="0064597D">
        <w:rPr>
          <w:rFonts w:eastAsia="Verdana" w:cs="Verdana"/>
          <w:sz w:val="20"/>
          <w:szCs w:val="20"/>
        </w:rPr>
        <w:t xml:space="preserve">olicitaron a la Corte que ordenara al Estado el pago de las costas y gastos que se hayan originado y originen en la tramitación del caso, tanto en el ámbito interno como ante el sistema interamericano. Concretamente, indicaron que </w:t>
      </w:r>
      <w:r w:rsidRPr="0064597D">
        <w:rPr>
          <w:rFonts w:cs="Arial"/>
          <w:sz w:val="20"/>
          <w:szCs w:val="20"/>
        </w:rPr>
        <w:t xml:space="preserve">el ICCPG ha impulsado </w:t>
      </w:r>
      <w:r w:rsidR="0096374F" w:rsidRPr="0064597D">
        <w:rPr>
          <w:rFonts w:cs="Arial"/>
          <w:sz w:val="20"/>
          <w:szCs w:val="20"/>
        </w:rPr>
        <w:t>la</w:t>
      </w:r>
      <w:r w:rsidRPr="0064597D">
        <w:rPr>
          <w:rFonts w:cs="Arial"/>
          <w:sz w:val="20"/>
          <w:szCs w:val="20"/>
        </w:rPr>
        <w:t xml:space="preserve"> obtención de justicia en </w:t>
      </w:r>
      <w:r w:rsidRPr="0064597D">
        <w:rPr>
          <w:sz w:val="20"/>
          <w:szCs w:val="20"/>
        </w:rPr>
        <w:t>este</w:t>
      </w:r>
      <w:r w:rsidRPr="0064597D">
        <w:rPr>
          <w:rFonts w:cs="Arial"/>
          <w:sz w:val="20"/>
          <w:szCs w:val="20"/>
        </w:rPr>
        <w:t xml:space="preserve"> caso tanto a nivel interno, donde se mostraron como querellantes y actuaron en </w:t>
      </w:r>
      <w:r w:rsidRPr="0064597D">
        <w:rPr>
          <w:rFonts w:cs="Arial"/>
          <w:sz w:val="20"/>
          <w:szCs w:val="20"/>
        </w:rPr>
        <w:lastRenderedPageBreak/>
        <w:t>representación de los familiares de la víctima durante varios años, como a nivel internacional, desde el año 2003. En el ejercicio de dicha representación ha incurrido en gastos que incluyen viajes y alojamiento. Igualmente ha incurrido en gastos administrativos, y otros correspondientes al trabajo jurídico dedicado a la atención específica del caso, lo que incluye la investigación, recopilación y presentación de pruebas, la realización de entrevistas y la preparación de escritos.</w:t>
      </w:r>
    </w:p>
    <w:p w14:paraId="2345232D" w14:textId="77777777" w:rsidR="001A423E" w:rsidRPr="0064597D" w:rsidRDefault="001A423E" w:rsidP="001A423E">
      <w:pPr>
        <w:tabs>
          <w:tab w:val="left" w:pos="567"/>
        </w:tabs>
        <w:spacing w:line="240" w:lineRule="auto"/>
        <w:textAlignment w:val="auto"/>
        <w:rPr>
          <w:rFonts w:cs="Arial"/>
          <w:sz w:val="20"/>
          <w:szCs w:val="20"/>
        </w:rPr>
      </w:pPr>
    </w:p>
    <w:p w14:paraId="06AD6285" w14:textId="0FB14524" w:rsidR="00413443" w:rsidRPr="0064597D" w:rsidRDefault="00413443" w:rsidP="00274768">
      <w:pPr>
        <w:numPr>
          <w:ilvl w:val="0"/>
          <w:numId w:val="1"/>
        </w:numPr>
        <w:tabs>
          <w:tab w:val="num" w:pos="0"/>
          <w:tab w:val="left" w:pos="567"/>
          <w:tab w:val="num" w:pos="1427"/>
        </w:tabs>
        <w:spacing w:line="240" w:lineRule="auto"/>
        <w:ind w:left="0" w:firstLine="0"/>
        <w:textAlignment w:val="auto"/>
        <w:rPr>
          <w:rFonts w:cs="Arial"/>
          <w:sz w:val="20"/>
          <w:szCs w:val="20"/>
        </w:rPr>
      </w:pPr>
      <w:r w:rsidRPr="0064597D">
        <w:rPr>
          <w:rFonts w:cs="Arial"/>
          <w:sz w:val="20"/>
          <w:szCs w:val="20"/>
        </w:rPr>
        <w:t>Asimismo, el CEJIL ha actuado como representante de las víctimas en el proceso internacional desde agosto del año 2003. En el ejercicio de dicha representación ha incurrido en gastos que incluyen viajes y alojamiento. Igualmente ha incurrido en gastos correspondientes al trabajo jurídico dedicado a la atención específica del caso, lo que incluye la investigación, recopilación y presentación de pruebas, la realización de entrevistas y la preparación de escritos. En consideración de lo anterior, solicitaron a la Corte que fije la cantidad de USD</w:t>
      </w:r>
      <w:r w:rsidR="007A21E6" w:rsidRPr="0064597D">
        <w:rPr>
          <w:rFonts w:cs="Arial"/>
          <w:sz w:val="20"/>
          <w:szCs w:val="20"/>
        </w:rPr>
        <w:t>$</w:t>
      </w:r>
      <w:r w:rsidRPr="0064597D">
        <w:rPr>
          <w:rFonts w:cs="Arial"/>
          <w:sz w:val="20"/>
          <w:szCs w:val="20"/>
        </w:rPr>
        <w:t xml:space="preserve"> 23,084.77 por concepto de gastos. Asimismo, solicitaron que la Corte ordene que dicha cantidad sea reintegrada directamente por el Estado guatemalteco a CEJIL. En consideración de lo anterior, solicitaron a la Corte que añada la cantidad de USD</w:t>
      </w:r>
      <w:r w:rsidR="007A21E6" w:rsidRPr="0064597D">
        <w:rPr>
          <w:rFonts w:cs="Arial"/>
          <w:sz w:val="20"/>
          <w:szCs w:val="20"/>
        </w:rPr>
        <w:t>$</w:t>
      </w:r>
      <w:r w:rsidRPr="0064597D">
        <w:rPr>
          <w:rFonts w:cs="Arial"/>
          <w:sz w:val="20"/>
          <w:szCs w:val="20"/>
        </w:rPr>
        <w:t xml:space="preserve"> 9,838</w:t>
      </w:r>
      <w:r w:rsidR="00DB0443" w:rsidRPr="0064597D">
        <w:rPr>
          <w:rFonts w:cs="Arial"/>
          <w:sz w:val="20"/>
          <w:szCs w:val="20"/>
        </w:rPr>
        <w:t xml:space="preserve"> </w:t>
      </w:r>
      <w:r w:rsidRPr="0064597D">
        <w:rPr>
          <w:rFonts w:cs="Arial"/>
          <w:sz w:val="20"/>
          <w:szCs w:val="20"/>
        </w:rPr>
        <w:t>(nueve mil ochocientos treinta y ocho dólares de los Estado</w:t>
      </w:r>
      <w:r w:rsidR="0096374F" w:rsidRPr="0064597D">
        <w:rPr>
          <w:rFonts w:cs="Arial"/>
          <w:sz w:val="20"/>
          <w:szCs w:val="20"/>
        </w:rPr>
        <w:t>s</w:t>
      </w:r>
      <w:r w:rsidRPr="0064597D">
        <w:rPr>
          <w:rFonts w:cs="Arial"/>
          <w:sz w:val="20"/>
          <w:szCs w:val="20"/>
        </w:rPr>
        <w:t xml:space="preserve"> Unidos de América) al monto indicado en </w:t>
      </w:r>
      <w:r w:rsidR="001A423E" w:rsidRPr="0064597D">
        <w:rPr>
          <w:rFonts w:cs="Arial"/>
          <w:sz w:val="20"/>
          <w:szCs w:val="20"/>
        </w:rPr>
        <w:t>su</w:t>
      </w:r>
      <w:r w:rsidRPr="0064597D">
        <w:rPr>
          <w:rFonts w:cs="Arial"/>
          <w:sz w:val="20"/>
          <w:szCs w:val="20"/>
        </w:rPr>
        <w:t xml:space="preserve"> ESAP, y fije un monto de USD</w:t>
      </w:r>
      <w:r w:rsidR="007A21E6" w:rsidRPr="0064597D">
        <w:rPr>
          <w:rFonts w:cs="Arial"/>
          <w:sz w:val="20"/>
          <w:szCs w:val="20"/>
        </w:rPr>
        <w:t>$</w:t>
      </w:r>
      <w:r w:rsidRPr="0064597D">
        <w:rPr>
          <w:rFonts w:cs="Arial"/>
          <w:sz w:val="20"/>
          <w:szCs w:val="20"/>
        </w:rPr>
        <w:t xml:space="preserve"> 32,922 (treinta y dos mil novecientos veintidós dólares de los Estados Unidos de América) en concepto de gastos y costas. Asimismo, solicitaron que la Corte ordene que dicha cantidad sea reintegrada directamente por el Estado guatemalteco a CEJIL. </w:t>
      </w:r>
      <w:r w:rsidR="001A423E" w:rsidRPr="0064597D">
        <w:rPr>
          <w:rFonts w:cs="Arial"/>
          <w:sz w:val="20"/>
          <w:szCs w:val="20"/>
        </w:rPr>
        <w:t>Por último</w:t>
      </w:r>
      <w:r w:rsidRPr="0064597D">
        <w:rPr>
          <w:rFonts w:cs="Arial"/>
          <w:sz w:val="20"/>
          <w:szCs w:val="20"/>
        </w:rPr>
        <w:t>, solicitaron a la Corte que en su sentencia establezca la posibilidad de fijar gastos futuros producto del seguimiento del cumplimiento de la sentencia que dicte con relación a este caso.</w:t>
      </w:r>
    </w:p>
    <w:p w14:paraId="44A92C35" w14:textId="77777777" w:rsidR="00413443" w:rsidRPr="0064597D" w:rsidRDefault="00413443" w:rsidP="00413443">
      <w:pPr>
        <w:tabs>
          <w:tab w:val="left" w:pos="567"/>
        </w:tabs>
        <w:spacing w:line="240" w:lineRule="auto"/>
        <w:rPr>
          <w:sz w:val="20"/>
          <w:szCs w:val="20"/>
        </w:rPr>
      </w:pPr>
    </w:p>
    <w:p w14:paraId="2911C752" w14:textId="2AA34D2C" w:rsidR="00413443" w:rsidRPr="0064597D" w:rsidRDefault="00413443" w:rsidP="00413443">
      <w:pPr>
        <w:numPr>
          <w:ilvl w:val="0"/>
          <w:numId w:val="1"/>
        </w:numPr>
        <w:tabs>
          <w:tab w:val="left" w:pos="567"/>
        </w:tabs>
        <w:spacing w:line="240" w:lineRule="auto"/>
        <w:ind w:left="0" w:firstLine="0"/>
        <w:textAlignment w:val="auto"/>
        <w:rPr>
          <w:sz w:val="20"/>
          <w:szCs w:val="20"/>
        </w:rPr>
      </w:pPr>
      <w:r w:rsidRPr="0064597D">
        <w:rPr>
          <w:rFonts w:eastAsia="MS Mincho"/>
          <w:sz w:val="20"/>
          <w:szCs w:val="20"/>
          <w:lang w:bidi="en-US"/>
        </w:rPr>
        <w:t xml:space="preserve">El </w:t>
      </w:r>
      <w:r w:rsidRPr="0064597D">
        <w:rPr>
          <w:rFonts w:eastAsia="MS Mincho"/>
          <w:b/>
          <w:i/>
          <w:sz w:val="20"/>
          <w:szCs w:val="20"/>
          <w:lang w:bidi="en-US"/>
        </w:rPr>
        <w:t>Estado</w:t>
      </w:r>
      <w:r w:rsidRPr="0064597D">
        <w:rPr>
          <w:rFonts w:eastAsia="MS Mincho"/>
          <w:sz w:val="20"/>
          <w:szCs w:val="20"/>
          <w:lang w:bidi="en-US"/>
        </w:rPr>
        <w:t xml:space="preserve"> manifestó que los comprobantes presentados por el ICCPG carecen de veracidad y certeza jurídica </w:t>
      </w:r>
      <w:r w:rsidR="001A423E" w:rsidRPr="0064597D">
        <w:rPr>
          <w:rFonts w:eastAsia="MS Mincho"/>
          <w:sz w:val="20"/>
          <w:szCs w:val="20"/>
          <w:lang w:bidi="en-US"/>
        </w:rPr>
        <w:t xml:space="preserve">y, </w:t>
      </w:r>
      <w:r w:rsidRPr="0064597D">
        <w:rPr>
          <w:rFonts w:eastAsia="MS Mincho"/>
          <w:sz w:val="20"/>
          <w:szCs w:val="20"/>
          <w:lang w:bidi="en-US"/>
        </w:rPr>
        <w:t>por consiguiente</w:t>
      </w:r>
      <w:r w:rsidR="001A423E" w:rsidRPr="0064597D">
        <w:rPr>
          <w:rFonts w:eastAsia="MS Mincho"/>
          <w:sz w:val="20"/>
          <w:szCs w:val="20"/>
          <w:lang w:bidi="en-US"/>
        </w:rPr>
        <w:t>,</w:t>
      </w:r>
      <w:r w:rsidRPr="0064597D">
        <w:rPr>
          <w:rFonts w:eastAsia="MS Mincho"/>
          <w:sz w:val="20"/>
          <w:szCs w:val="20"/>
          <w:lang w:bidi="en-US"/>
        </w:rPr>
        <w:t xml:space="preserve"> no son confiables. Además, el ICCPG presentó como comprobante las planillas de pago de salario de todos los empleados como la única fuente de ingresos y el único trabajo realizado fuese el litigio del caso del señor Ruiz Fuentes. Aunado a lo anterior,</w:t>
      </w:r>
      <w:r w:rsidR="001A423E" w:rsidRPr="0064597D">
        <w:rPr>
          <w:rFonts w:eastAsia="MS Mincho"/>
          <w:sz w:val="20"/>
          <w:szCs w:val="20"/>
          <w:lang w:bidi="en-US"/>
        </w:rPr>
        <w:t xml:space="preserve"> según el Estado</w:t>
      </w:r>
      <w:r w:rsidRPr="0064597D">
        <w:rPr>
          <w:rFonts w:eastAsia="MS Mincho"/>
          <w:sz w:val="20"/>
          <w:szCs w:val="20"/>
          <w:lang w:bidi="en-US"/>
        </w:rPr>
        <w:t xml:space="preserve"> existe incongruencia respecto a la fecha de algunos comprobantes. Por todo lo expuesto, el Estado rechazó todos y cada uno de los supuestos gastos incurridos por el ICCPG, toda vez que no tienen íntima relación con el caso objeto del prese</w:t>
      </w:r>
      <w:r w:rsidR="00C718A9" w:rsidRPr="0064597D">
        <w:rPr>
          <w:rFonts w:eastAsia="MS Mincho"/>
          <w:sz w:val="20"/>
          <w:szCs w:val="20"/>
          <w:lang w:bidi="en-US"/>
        </w:rPr>
        <w:t>nte escrito, por lo que solicitó</w:t>
      </w:r>
      <w:r w:rsidRPr="0064597D">
        <w:rPr>
          <w:rFonts w:eastAsia="MS Mincho"/>
          <w:sz w:val="20"/>
          <w:szCs w:val="20"/>
          <w:lang w:bidi="en-US"/>
        </w:rPr>
        <w:t xml:space="preserve"> a la Corte </w:t>
      </w:r>
      <w:r w:rsidR="000D4F08" w:rsidRPr="0064597D">
        <w:rPr>
          <w:rFonts w:eastAsia="MS Mincho"/>
          <w:sz w:val="20"/>
          <w:szCs w:val="20"/>
          <w:lang w:bidi="en-US"/>
        </w:rPr>
        <w:t xml:space="preserve">que </w:t>
      </w:r>
      <w:r w:rsidRPr="0064597D">
        <w:rPr>
          <w:rFonts w:eastAsia="MS Mincho"/>
          <w:sz w:val="20"/>
          <w:szCs w:val="20"/>
          <w:lang w:bidi="en-US"/>
        </w:rPr>
        <w:t>declara</w:t>
      </w:r>
      <w:r w:rsidR="000D4F08" w:rsidRPr="0064597D">
        <w:rPr>
          <w:rFonts w:eastAsia="MS Mincho"/>
          <w:sz w:val="20"/>
          <w:szCs w:val="20"/>
          <w:lang w:bidi="en-US"/>
        </w:rPr>
        <w:t>ra su improcedencia y los denegara</w:t>
      </w:r>
      <w:r w:rsidRPr="0064597D">
        <w:rPr>
          <w:rFonts w:eastAsia="MS Mincho"/>
          <w:sz w:val="20"/>
          <w:szCs w:val="20"/>
          <w:lang w:bidi="en-US"/>
        </w:rPr>
        <w:t xml:space="preserve">. De igual forma, el Estado </w:t>
      </w:r>
      <w:r w:rsidR="001A423E" w:rsidRPr="0064597D">
        <w:rPr>
          <w:rFonts w:eastAsia="MS Mincho"/>
          <w:sz w:val="20"/>
          <w:szCs w:val="20"/>
          <w:lang w:bidi="en-US"/>
        </w:rPr>
        <w:t>solicitó</w:t>
      </w:r>
      <w:r w:rsidRPr="0064597D">
        <w:rPr>
          <w:rFonts w:eastAsia="MS Mincho"/>
          <w:sz w:val="20"/>
          <w:szCs w:val="20"/>
          <w:lang w:bidi="en-US"/>
        </w:rPr>
        <w:t xml:space="preserve"> a la Corte requer</w:t>
      </w:r>
      <w:r w:rsidR="001A423E" w:rsidRPr="0064597D">
        <w:rPr>
          <w:rFonts w:eastAsia="MS Mincho"/>
          <w:sz w:val="20"/>
          <w:szCs w:val="20"/>
          <w:lang w:bidi="en-US"/>
        </w:rPr>
        <w:t>i</w:t>
      </w:r>
      <w:r w:rsidRPr="0064597D">
        <w:rPr>
          <w:rFonts w:eastAsia="MS Mincho"/>
          <w:sz w:val="20"/>
          <w:szCs w:val="20"/>
          <w:lang w:bidi="en-US"/>
        </w:rPr>
        <w:t xml:space="preserve">r a CEJIL la acreditación de los supuestos gastos incurridos que </w:t>
      </w:r>
      <w:r w:rsidR="001A423E" w:rsidRPr="0064597D">
        <w:rPr>
          <w:rFonts w:eastAsia="MS Mincho"/>
          <w:sz w:val="20"/>
          <w:szCs w:val="20"/>
          <w:lang w:bidi="en-US"/>
        </w:rPr>
        <w:t>tuvieran</w:t>
      </w:r>
      <w:r w:rsidRPr="0064597D">
        <w:rPr>
          <w:rFonts w:eastAsia="MS Mincho"/>
          <w:sz w:val="20"/>
          <w:szCs w:val="20"/>
          <w:lang w:bidi="en-US"/>
        </w:rPr>
        <w:t xml:space="preserve"> íntima relación con el caso objeto del presente escrito con los respectivos documentos de soporte a los gastos efectuados. </w:t>
      </w:r>
      <w:r w:rsidR="001A423E" w:rsidRPr="0064597D">
        <w:rPr>
          <w:rFonts w:eastAsia="MS Mincho"/>
          <w:sz w:val="20"/>
          <w:szCs w:val="20"/>
          <w:lang w:bidi="en-US"/>
        </w:rPr>
        <w:t>Según el Estado, e</w:t>
      </w:r>
      <w:r w:rsidRPr="0064597D">
        <w:rPr>
          <w:rFonts w:eastAsia="MS Mincho"/>
          <w:sz w:val="20"/>
          <w:szCs w:val="20"/>
          <w:lang w:bidi="en-US"/>
        </w:rPr>
        <w:t xml:space="preserve">l detalle y los </w:t>
      </w:r>
      <w:r w:rsidR="001A423E" w:rsidRPr="0064597D">
        <w:rPr>
          <w:rFonts w:eastAsia="MS Mincho"/>
          <w:sz w:val="20"/>
          <w:szCs w:val="20"/>
          <w:lang w:bidi="en-US"/>
        </w:rPr>
        <w:t>montos</w:t>
      </w:r>
      <w:r w:rsidRPr="0064597D">
        <w:rPr>
          <w:rFonts w:eastAsia="MS Mincho"/>
          <w:sz w:val="20"/>
          <w:szCs w:val="20"/>
          <w:lang w:bidi="en-US"/>
        </w:rPr>
        <w:t xml:space="preserve"> presentados en el cuadro incorporado al ESAP no constituyen prueba alguna ni certeza legal de los mismos, por lo que el Estado se abstiene de pronunciarse al respecto. </w:t>
      </w:r>
    </w:p>
    <w:p w14:paraId="2A185501" w14:textId="77777777" w:rsidR="00413443" w:rsidRPr="0064597D" w:rsidRDefault="00413443" w:rsidP="00413443">
      <w:pPr>
        <w:tabs>
          <w:tab w:val="left" w:pos="567"/>
        </w:tabs>
        <w:spacing w:line="240" w:lineRule="auto"/>
        <w:ind w:left="825"/>
        <w:rPr>
          <w:sz w:val="20"/>
          <w:szCs w:val="20"/>
        </w:rPr>
      </w:pPr>
    </w:p>
    <w:p w14:paraId="0281D465" w14:textId="77777777" w:rsidR="00413443" w:rsidRPr="0064597D" w:rsidRDefault="00413443" w:rsidP="00413443">
      <w:pPr>
        <w:numPr>
          <w:ilvl w:val="0"/>
          <w:numId w:val="1"/>
        </w:numPr>
        <w:tabs>
          <w:tab w:val="left" w:pos="567"/>
        </w:tabs>
        <w:spacing w:line="240" w:lineRule="auto"/>
        <w:ind w:left="0" w:firstLine="0"/>
        <w:textAlignment w:val="auto"/>
        <w:rPr>
          <w:sz w:val="20"/>
          <w:szCs w:val="20"/>
        </w:rPr>
      </w:pPr>
      <w:r w:rsidRPr="0064597D">
        <w:rPr>
          <w:rFonts w:eastAsia="MS Mincho"/>
          <w:sz w:val="20"/>
          <w:szCs w:val="20"/>
          <w:lang w:bidi="en-US"/>
        </w:rPr>
        <w:t>La</w:t>
      </w:r>
      <w:r w:rsidRPr="0064597D">
        <w:rPr>
          <w:rFonts w:eastAsia="MS Mincho"/>
          <w:b/>
          <w:i/>
          <w:sz w:val="20"/>
          <w:szCs w:val="20"/>
          <w:lang w:bidi="en-US"/>
        </w:rPr>
        <w:t xml:space="preserve"> Comisión</w:t>
      </w:r>
      <w:r w:rsidRPr="0064597D">
        <w:rPr>
          <w:rFonts w:eastAsia="MS Mincho"/>
          <w:b/>
          <w:sz w:val="20"/>
          <w:szCs w:val="20"/>
          <w:lang w:bidi="en-US"/>
        </w:rPr>
        <w:t xml:space="preserve"> </w:t>
      </w:r>
      <w:r w:rsidRPr="0064597D">
        <w:rPr>
          <w:rFonts w:eastAsia="MS Mincho"/>
          <w:sz w:val="20"/>
          <w:szCs w:val="20"/>
          <w:lang w:bidi="en-US"/>
        </w:rPr>
        <w:t>no presentó alegatos específicos sobre este punto.</w:t>
      </w:r>
    </w:p>
    <w:p w14:paraId="49BDCFAD" w14:textId="77777777" w:rsidR="00413443" w:rsidRPr="0064597D" w:rsidRDefault="00413443" w:rsidP="00413443">
      <w:pPr>
        <w:spacing w:line="240" w:lineRule="auto"/>
        <w:ind w:left="708"/>
        <w:rPr>
          <w:sz w:val="20"/>
          <w:szCs w:val="20"/>
        </w:rPr>
      </w:pPr>
    </w:p>
    <w:p w14:paraId="247BB25A" w14:textId="0661EA95" w:rsidR="00413443" w:rsidRPr="0064597D" w:rsidRDefault="00413443" w:rsidP="00FD5666">
      <w:pPr>
        <w:numPr>
          <w:ilvl w:val="0"/>
          <w:numId w:val="1"/>
        </w:numPr>
        <w:tabs>
          <w:tab w:val="left" w:pos="567"/>
        </w:tabs>
        <w:spacing w:line="240" w:lineRule="auto"/>
        <w:ind w:left="0" w:firstLine="0"/>
        <w:textAlignment w:val="auto"/>
        <w:rPr>
          <w:rFonts w:eastAsia="MS Mincho"/>
          <w:sz w:val="20"/>
          <w:szCs w:val="20"/>
          <w:lang w:bidi="en-US"/>
        </w:rPr>
      </w:pPr>
      <w:r w:rsidRPr="0064597D">
        <w:rPr>
          <w:rFonts w:cs="Verdana"/>
          <w:bCs/>
          <w:iCs/>
          <w:sz w:val="20"/>
          <w:szCs w:val="20"/>
        </w:rPr>
        <w:t xml:space="preserve">La </w:t>
      </w:r>
      <w:r w:rsidRPr="0064597D">
        <w:rPr>
          <w:rFonts w:cs="Verdana"/>
          <w:b/>
          <w:bCs/>
          <w:i/>
          <w:iCs/>
          <w:sz w:val="20"/>
          <w:szCs w:val="20"/>
        </w:rPr>
        <w:t>Corte</w:t>
      </w:r>
      <w:r w:rsidRPr="0064597D">
        <w:rPr>
          <w:rFonts w:cs="Verdana"/>
          <w:bCs/>
          <w:iCs/>
          <w:sz w:val="20"/>
          <w:szCs w:val="20"/>
        </w:rPr>
        <w:t xml:space="preserve"> reitera que, conforme a su jurisprudencia</w:t>
      </w:r>
      <w:r w:rsidRPr="0064597D">
        <w:rPr>
          <w:rFonts w:cs="Verdana"/>
          <w:bCs/>
          <w:iCs/>
          <w:sz w:val="20"/>
          <w:szCs w:val="20"/>
          <w:vertAlign w:val="superscript"/>
        </w:rPr>
        <w:footnoteReference w:id="254"/>
      </w:r>
      <w:r w:rsidRPr="0064597D">
        <w:rPr>
          <w:rFonts w:cs="Verdana"/>
          <w:bCs/>
          <w:iCs/>
          <w:sz w:val="20"/>
          <w:szCs w:val="20"/>
        </w:rPr>
        <w:t xml:space="preserve">, las costas y gastos hacen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 En cuanto al reembolso de las costas y gastos, corresponde al Tribunal apreciar prudentemente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derechos humanos. Esta apreciación puede ser realizada con base en el principio de equidad y tomando en cuenta los gastos señalados por las partes, siempre que su </w:t>
      </w:r>
      <w:r w:rsidRPr="0064597D">
        <w:rPr>
          <w:rFonts w:cs="Verdana"/>
          <w:bCs/>
          <w:i/>
          <w:iCs/>
          <w:sz w:val="20"/>
          <w:szCs w:val="20"/>
        </w:rPr>
        <w:t xml:space="preserve">quantum </w:t>
      </w:r>
      <w:r w:rsidRPr="0064597D">
        <w:rPr>
          <w:rFonts w:cs="Verdana"/>
          <w:bCs/>
          <w:iCs/>
          <w:sz w:val="20"/>
          <w:szCs w:val="20"/>
        </w:rPr>
        <w:t>sea razonable</w:t>
      </w:r>
      <w:r w:rsidRPr="0064597D">
        <w:rPr>
          <w:rFonts w:cs="Verdana"/>
          <w:bCs/>
          <w:iCs/>
          <w:sz w:val="20"/>
          <w:szCs w:val="20"/>
          <w:vertAlign w:val="superscript"/>
        </w:rPr>
        <w:footnoteReference w:id="255"/>
      </w:r>
      <w:r w:rsidRPr="0064597D">
        <w:rPr>
          <w:rFonts w:cs="Verdana"/>
          <w:bCs/>
          <w:iCs/>
          <w:sz w:val="20"/>
          <w:szCs w:val="20"/>
        </w:rPr>
        <w:t>.</w:t>
      </w:r>
      <w:r w:rsidR="006F6E82" w:rsidRPr="0064597D">
        <w:rPr>
          <w:rFonts w:cs="Verdana"/>
          <w:bCs/>
          <w:iCs/>
          <w:sz w:val="20"/>
          <w:szCs w:val="20"/>
        </w:rPr>
        <w:t xml:space="preserve"> </w:t>
      </w:r>
      <w:r w:rsidRPr="0064597D">
        <w:rPr>
          <w:rFonts w:eastAsia="MS Mincho"/>
          <w:sz w:val="20"/>
          <w:szCs w:val="20"/>
          <w:lang w:bidi="en-US"/>
        </w:rPr>
        <w:t xml:space="preserve">El Tribunal </w:t>
      </w:r>
      <w:r w:rsidR="006F6E82" w:rsidRPr="0064597D">
        <w:rPr>
          <w:rFonts w:eastAsia="MS Mincho"/>
          <w:sz w:val="20"/>
          <w:szCs w:val="20"/>
          <w:lang w:bidi="en-US"/>
        </w:rPr>
        <w:t xml:space="preserve">también </w:t>
      </w:r>
      <w:r w:rsidRPr="0064597D">
        <w:rPr>
          <w:rFonts w:eastAsia="MS Mincho"/>
          <w:sz w:val="20"/>
          <w:szCs w:val="20"/>
          <w:lang w:bidi="en-US"/>
        </w:rPr>
        <w:t xml:space="preserve">ha señalado que “las pretensiones de las víctimas o sus representantes en materia de costas y gastos, y las pruebas que las sustentan, deben presentarse a </w:t>
      </w:r>
      <w:r w:rsidRPr="0064597D">
        <w:rPr>
          <w:rFonts w:eastAsia="MS Mincho"/>
          <w:sz w:val="20"/>
          <w:szCs w:val="20"/>
          <w:lang w:bidi="en-US"/>
        </w:rPr>
        <w:lastRenderedPageBreak/>
        <w:t>la Corte en el primer momento procesal que se les concede, esto es, en el escrito de solicitudes y argumentos, sin perjuicio de que tales pretensiones se actualicen en un momento posterior, conforme a las nuevas costas y gastos en que se haya incurrido con ocasión del procedimiento ante esta Corte”</w:t>
      </w:r>
      <w:r w:rsidRPr="0064597D">
        <w:rPr>
          <w:rFonts w:eastAsia="MS Mincho"/>
          <w:sz w:val="20"/>
          <w:szCs w:val="20"/>
          <w:vertAlign w:val="superscript"/>
          <w:lang w:bidi="en-US"/>
        </w:rPr>
        <w:footnoteReference w:id="256"/>
      </w:r>
      <w:r w:rsidRPr="0064597D">
        <w:rPr>
          <w:rFonts w:eastAsia="MS Mincho"/>
          <w:sz w:val="20"/>
          <w:szCs w:val="20"/>
          <w:lang w:bidi="en-US"/>
        </w:rPr>
        <w:t xml:space="preserve">. Asimismo, la Corte reitera que no es suficiente la remisión de documentos probatorios, sino que se requiere que las partes hagan una argumentación que relacione la prueba con el hecho que se considera representado, y que, al tratarse de alegados desembolsos económicos, se establezcan con claridad los </w:t>
      </w:r>
      <w:r w:rsidRPr="0064597D">
        <w:rPr>
          <w:rStyle w:val="Nmerodelnea"/>
          <w:rFonts w:eastAsia="MS Mincho"/>
        </w:rPr>
        <w:t>rubros</w:t>
      </w:r>
      <w:r w:rsidRPr="0064597D">
        <w:rPr>
          <w:rFonts w:eastAsia="MS Mincho"/>
          <w:sz w:val="20"/>
          <w:szCs w:val="20"/>
          <w:lang w:bidi="en-US"/>
        </w:rPr>
        <w:t xml:space="preserve"> y la justificación de los mismos</w:t>
      </w:r>
      <w:r w:rsidRPr="0064597D">
        <w:rPr>
          <w:rFonts w:eastAsia="MS Mincho"/>
          <w:sz w:val="20"/>
          <w:szCs w:val="20"/>
          <w:vertAlign w:val="superscript"/>
          <w:lang w:bidi="en-US"/>
        </w:rPr>
        <w:footnoteReference w:id="257"/>
      </w:r>
      <w:r w:rsidRPr="0064597D">
        <w:rPr>
          <w:rFonts w:eastAsia="MS Mincho"/>
          <w:sz w:val="20"/>
          <w:szCs w:val="20"/>
          <w:lang w:bidi="en-US"/>
        </w:rPr>
        <w:t>.</w:t>
      </w:r>
    </w:p>
    <w:p w14:paraId="3875ED94" w14:textId="77777777" w:rsidR="00413443" w:rsidRPr="0064597D" w:rsidRDefault="00413443" w:rsidP="00413443">
      <w:pPr>
        <w:tabs>
          <w:tab w:val="left" w:pos="720"/>
        </w:tabs>
        <w:spacing w:line="240" w:lineRule="auto"/>
        <w:rPr>
          <w:rFonts w:eastAsia="Times"/>
          <w:sz w:val="20"/>
          <w:szCs w:val="20"/>
          <w:highlight w:val="yellow"/>
        </w:rPr>
      </w:pPr>
    </w:p>
    <w:p w14:paraId="67429AB1" w14:textId="5549B442" w:rsidR="00515BF9" w:rsidRPr="0064597D" w:rsidRDefault="00413443" w:rsidP="00FD5666">
      <w:pPr>
        <w:numPr>
          <w:ilvl w:val="0"/>
          <w:numId w:val="1"/>
        </w:numPr>
        <w:tabs>
          <w:tab w:val="left" w:pos="567"/>
        </w:tabs>
        <w:spacing w:line="240" w:lineRule="auto"/>
        <w:ind w:left="0" w:firstLine="0"/>
        <w:textAlignment w:val="auto"/>
        <w:rPr>
          <w:rFonts w:eastAsia="MS Mincho"/>
          <w:sz w:val="20"/>
          <w:szCs w:val="20"/>
        </w:rPr>
      </w:pPr>
      <w:r w:rsidRPr="0064597D">
        <w:rPr>
          <w:rFonts w:eastAsia="Times"/>
          <w:sz w:val="20"/>
          <w:szCs w:val="20"/>
        </w:rPr>
        <w:t xml:space="preserve">La Corte nota que las representantes remitieron comprobantes de los gastos incurridos en </w:t>
      </w:r>
      <w:r w:rsidR="001A423E" w:rsidRPr="0064597D">
        <w:rPr>
          <w:rFonts w:eastAsia="Times"/>
          <w:sz w:val="20"/>
          <w:szCs w:val="20"/>
        </w:rPr>
        <w:t>la defensa técnica del presente caso</w:t>
      </w:r>
      <w:r w:rsidRPr="0064597D">
        <w:rPr>
          <w:sz w:val="20"/>
          <w:szCs w:val="20"/>
        </w:rPr>
        <w:t xml:space="preserve"> </w:t>
      </w:r>
      <w:r w:rsidRPr="0064597D">
        <w:rPr>
          <w:rFonts w:eastAsia="Times"/>
          <w:sz w:val="20"/>
          <w:szCs w:val="20"/>
        </w:rPr>
        <w:t xml:space="preserve">referentes a diversos </w:t>
      </w:r>
      <w:r w:rsidR="001A423E" w:rsidRPr="0064597D">
        <w:rPr>
          <w:rFonts w:eastAsia="Times"/>
          <w:sz w:val="20"/>
          <w:szCs w:val="20"/>
        </w:rPr>
        <w:t>boletos de avión coordinación del litigio asistencia jurídica, investigación, recopilación y presentación de pruebas, realización de entrevistas y preparación de escritos.</w:t>
      </w:r>
      <w:r w:rsidR="006F6E82" w:rsidRPr="0064597D">
        <w:rPr>
          <w:rFonts w:eastAsia="Times"/>
          <w:sz w:val="20"/>
          <w:szCs w:val="20"/>
        </w:rPr>
        <w:t xml:space="preserve"> </w:t>
      </w:r>
      <w:r w:rsidR="00515BF9" w:rsidRPr="0064597D">
        <w:rPr>
          <w:rFonts w:eastAsia="MS Mincho"/>
          <w:sz w:val="20"/>
          <w:szCs w:val="20"/>
        </w:rPr>
        <w:t>Teniendo en cuenta todo lo anterior, la Corte fija, en equidad, la cantidad de USD</w:t>
      </w:r>
      <w:r w:rsidR="007A21E6" w:rsidRPr="0064597D">
        <w:rPr>
          <w:rFonts w:cs="Arial"/>
          <w:sz w:val="20"/>
          <w:szCs w:val="20"/>
        </w:rPr>
        <w:t>$</w:t>
      </w:r>
      <w:r w:rsidR="00515BF9" w:rsidRPr="0064597D">
        <w:rPr>
          <w:rFonts w:eastAsia="MS Mincho"/>
          <w:sz w:val="20"/>
          <w:szCs w:val="20"/>
        </w:rPr>
        <w:t xml:space="preserve"> </w:t>
      </w:r>
      <w:r w:rsidR="007A21E6" w:rsidRPr="0064597D">
        <w:rPr>
          <w:rFonts w:eastAsia="MS Mincho"/>
          <w:sz w:val="20"/>
          <w:szCs w:val="20"/>
        </w:rPr>
        <w:t>30</w:t>
      </w:r>
      <w:r w:rsidR="004C0FB0" w:rsidRPr="0064597D">
        <w:rPr>
          <w:rFonts w:eastAsia="MS Mincho"/>
          <w:sz w:val="20"/>
          <w:szCs w:val="20"/>
        </w:rPr>
        <w:t>,</w:t>
      </w:r>
      <w:r w:rsidR="007A21E6" w:rsidRPr="0064597D">
        <w:rPr>
          <w:rFonts w:eastAsia="MS Mincho"/>
          <w:sz w:val="20"/>
          <w:szCs w:val="20"/>
        </w:rPr>
        <w:t>000</w:t>
      </w:r>
      <w:r w:rsidR="00515BF9" w:rsidRPr="0064597D">
        <w:rPr>
          <w:rFonts w:eastAsia="MS Mincho"/>
          <w:sz w:val="20"/>
          <w:szCs w:val="20"/>
        </w:rPr>
        <w:t xml:space="preserve"> (</w:t>
      </w:r>
      <w:r w:rsidR="007A21E6" w:rsidRPr="0064597D">
        <w:rPr>
          <w:rFonts w:eastAsia="MS Mincho"/>
          <w:sz w:val="20"/>
          <w:szCs w:val="20"/>
        </w:rPr>
        <w:t>treinta mil</w:t>
      </w:r>
      <w:r w:rsidR="00515BF9" w:rsidRPr="0064597D">
        <w:rPr>
          <w:rFonts w:eastAsia="MS Mincho"/>
          <w:sz w:val="20"/>
          <w:szCs w:val="20"/>
        </w:rPr>
        <w:t xml:space="preserve"> dólares de los Estados Unidos de América) por los gastos incurridos en la tramitación del proceso ante el sistema interamericano de derechos humanos. Dicho monto deberá ser entregado, dentro del plazo de un año contado a partir de la notificación del presente Fallo, de la siguiente manera: al Instituto de Estudios Comparados en Ciencias Penales de Guatemala la suma de USD$</w:t>
      </w:r>
      <w:r w:rsidR="007A21E6" w:rsidRPr="0064597D">
        <w:rPr>
          <w:rFonts w:eastAsia="MS Mincho"/>
          <w:sz w:val="20"/>
          <w:szCs w:val="20"/>
        </w:rPr>
        <w:t>20</w:t>
      </w:r>
      <w:r w:rsidR="004C0FB0" w:rsidRPr="0064597D">
        <w:rPr>
          <w:rFonts w:eastAsia="MS Mincho"/>
          <w:sz w:val="20"/>
          <w:szCs w:val="20"/>
        </w:rPr>
        <w:t>,</w:t>
      </w:r>
      <w:r w:rsidR="007A21E6" w:rsidRPr="0064597D">
        <w:rPr>
          <w:rFonts w:eastAsia="MS Mincho"/>
          <w:sz w:val="20"/>
          <w:szCs w:val="20"/>
        </w:rPr>
        <w:t>000 (veinte mil</w:t>
      </w:r>
      <w:r w:rsidR="00515BF9" w:rsidRPr="0064597D">
        <w:rPr>
          <w:rFonts w:eastAsia="MS Mincho"/>
          <w:sz w:val="20"/>
          <w:szCs w:val="20"/>
        </w:rPr>
        <w:t xml:space="preserve"> dólares de los Estados Unidos de América) y al </w:t>
      </w:r>
      <w:r w:rsidR="001A423E" w:rsidRPr="0064597D">
        <w:rPr>
          <w:rFonts w:eastAsia="MS Mincho"/>
          <w:sz w:val="20"/>
          <w:szCs w:val="20"/>
        </w:rPr>
        <w:t>Centro por la Justicia y el Derecho Internacional l</w:t>
      </w:r>
      <w:r w:rsidR="00515BF9" w:rsidRPr="0064597D">
        <w:rPr>
          <w:rFonts w:eastAsia="MS Mincho"/>
          <w:sz w:val="20"/>
          <w:szCs w:val="20"/>
        </w:rPr>
        <w:t>a suma de USD$</w:t>
      </w:r>
      <w:r w:rsidR="007A21E6" w:rsidRPr="0064597D">
        <w:rPr>
          <w:rFonts w:eastAsia="MS Mincho"/>
          <w:sz w:val="20"/>
          <w:szCs w:val="20"/>
        </w:rPr>
        <w:t>10</w:t>
      </w:r>
      <w:r w:rsidR="004C0FB0" w:rsidRPr="0064597D">
        <w:rPr>
          <w:rFonts w:eastAsia="MS Mincho"/>
          <w:sz w:val="20"/>
          <w:szCs w:val="20"/>
        </w:rPr>
        <w:t>,</w:t>
      </w:r>
      <w:r w:rsidR="007A21E6" w:rsidRPr="0064597D">
        <w:rPr>
          <w:rFonts w:eastAsia="MS Mincho"/>
          <w:sz w:val="20"/>
          <w:szCs w:val="20"/>
        </w:rPr>
        <w:t>000</w:t>
      </w:r>
      <w:r w:rsidR="00515BF9" w:rsidRPr="0064597D">
        <w:rPr>
          <w:rFonts w:eastAsia="MS Mincho"/>
          <w:sz w:val="20"/>
          <w:szCs w:val="20"/>
        </w:rPr>
        <w:t xml:space="preserve"> </w:t>
      </w:r>
      <w:r w:rsidR="007A21E6" w:rsidRPr="0064597D">
        <w:rPr>
          <w:rFonts w:eastAsia="MS Mincho"/>
          <w:sz w:val="20"/>
          <w:szCs w:val="20"/>
        </w:rPr>
        <w:t>(diez mil</w:t>
      </w:r>
      <w:r w:rsidR="00515BF9" w:rsidRPr="0064597D">
        <w:rPr>
          <w:rFonts w:eastAsia="MS Mincho"/>
          <w:sz w:val="20"/>
          <w:szCs w:val="20"/>
        </w:rPr>
        <w:t xml:space="preserve"> dólares de los Estados Unidos de América). En la etapa de supervisión de cumplimiento de la presente Sentencia, la Corte podrá disponer que el Estado reembolse a las víctimas o sus representantes los gastos razonables en que incurran en dicha etapa procesal.</w:t>
      </w:r>
    </w:p>
    <w:p w14:paraId="3262E343" w14:textId="5B409027" w:rsidR="00072585" w:rsidRPr="0064597D" w:rsidRDefault="00072585" w:rsidP="00072585">
      <w:pPr>
        <w:pStyle w:val="Ttulo2"/>
      </w:pPr>
      <w:bookmarkStart w:id="139" w:name="_Toc24014584"/>
      <w:bookmarkStart w:id="140" w:name="_Toc514172673"/>
      <w:bookmarkStart w:id="141" w:name="_Toc476390747"/>
      <w:bookmarkStart w:id="142" w:name="_Toc495658705"/>
      <w:bookmarkStart w:id="143" w:name="_Toc15933782"/>
      <w:r w:rsidRPr="0064597D">
        <w:t>G.</w:t>
      </w:r>
      <w:r w:rsidRPr="0064597D">
        <w:tab/>
        <w:t>Reintegro de los gastos al Fondo de Asistencia Legal de Víctimas de la Corte Interamericana</w:t>
      </w:r>
      <w:bookmarkEnd w:id="139"/>
    </w:p>
    <w:bookmarkEnd w:id="140"/>
    <w:bookmarkEnd w:id="141"/>
    <w:bookmarkEnd w:id="142"/>
    <w:bookmarkEnd w:id="143"/>
    <w:p w14:paraId="05195D79" w14:textId="77777777" w:rsidR="00913083" w:rsidRPr="0064597D" w:rsidRDefault="00913083" w:rsidP="005F3ED6">
      <w:pPr>
        <w:numPr>
          <w:ilvl w:val="0"/>
          <w:numId w:val="1"/>
        </w:numPr>
        <w:tabs>
          <w:tab w:val="left" w:pos="567"/>
          <w:tab w:val="num" w:pos="5057"/>
        </w:tabs>
        <w:spacing w:line="240" w:lineRule="auto"/>
        <w:ind w:left="0" w:firstLine="0"/>
        <w:rPr>
          <w:rFonts w:cs="Arial"/>
          <w:sz w:val="20"/>
          <w:szCs w:val="20"/>
        </w:rPr>
      </w:pPr>
      <w:r w:rsidRPr="0064597D">
        <w:rPr>
          <w:rFonts w:eastAsia="MS Mincho" w:cs="Verdana"/>
          <w:snapToGrid w:val="0"/>
          <w:sz w:val="20"/>
          <w:szCs w:val="20"/>
          <w:lang w:eastAsia="es-ES" w:bidi="en-US"/>
        </w:rPr>
        <w:t xml:space="preserve">En el 2008 la Asamblea General de la Organización de Estados Americanos creó el Fondo de </w:t>
      </w:r>
      <w:r w:rsidRPr="0064597D">
        <w:rPr>
          <w:rFonts w:eastAsia="MS Mincho"/>
          <w:sz w:val="20"/>
          <w:szCs w:val="20"/>
          <w:lang w:bidi="en-US"/>
        </w:rPr>
        <w:t>Asistencia</w:t>
      </w:r>
      <w:r w:rsidRPr="0064597D">
        <w:rPr>
          <w:rFonts w:eastAsia="MS Mincho" w:cs="Verdana"/>
          <w:snapToGrid w:val="0"/>
          <w:sz w:val="20"/>
          <w:szCs w:val="20"/>
          <w:lang w:eastAsia="es-ES" w:bidi="en-US"/>
        </w:rPr>
        <w:t xml:space="preserve"> Legal del Sistema Interamericano de Derechos Humanos, con el “objeto [de] facilitar acceso al sistema interamericano de derechos humanos a aquellas personas que actualmente no tienen los recursos necesarios para llevar su caso al sistema”</w:t>
      </w:r>
      <w:r w:rsidRPr="0064597D">
        <w:rPr>
          <w:rFonts w:eastAsia="MS Mincho" w:cs="Verdana"/>
          <w:snapToGrid w:val="0"/>
          <w:sz w:val="20"/>
          <w:szCs w:val="20"/>
          <w:vertAlign w:val="superscript"/>
          <w:lang w:eastAsia="es-ES" w:bidi="en-US"/>
        </w:rPr>
        <w:footnoteReference w:id="258"/>
      </w:r>
      <w:r w:rsidRPr="0064597D">
        <w:rPr>
          <w:rFonts w:eastAsia="MS Mincho" w:cs="Verdana"/>
          <w:snapToGrid w:val="0"/>
          <w:sz w:val="20"/>
          <w:szCs w:val="20"/>
          <w:lang w:eastAsia="es-ES" w:bidi="en-US"/>
        </w:rPr>
        <w:t xml:space="preserve">. </w:t>
      </w:r>
    </w:p>
    <w:p w14:paraId="5252282E" w14:textId="77777777" w:rsidR="00913083" w:rsidRPr="0064597D" w:rsidRDefault="00913083" w:rsidP="00913083">
      <w:pPr>
        <w:tabs>
          <w:tab w:val="left" w:pos="567"/>
        </w:tabs>
        <w:spacing w:line="240" w:lineRule="auto"/>
        <w:rPr>
          <w:rFonts w:cs="Arial"/>
          <w:sz w:val="20"/>
          <w:szCs w:val="20"/>
        </w:rPr>
      </w:pPr>
    </w:p>
    <w:p w14:paraId="0F3752D0" w14:textId="25823340" w:rsidR="0078088A" w:rsidRPr="0064597D" w:rsidRDefault="00913083" w:rsidP="00913083">
      <w:pPr>
        <w:numPr>
          <w:ilvl w:val="0"/>
          <w:numId w:val="1"/>
        </w:numPr>
        <w:tabs>
          <w:tab w:val="left" w:pos="567"/>
          <w:tab w:val="num" w:pos="5057"/>
        </w:tabs>
        <w:spacing w:line="240" w:lineRule="auto"/>
        <w:ind w:left="0" w:firstLine="0"/>
        <w:rPr>
          <w:rFonts w:eastAsia="MS Mincho" w:cs="Verdana"/>
          <w:snapToGrid w:val="0"/>
          <w:sz w:val="20"/>
          <w:szCs w:val="20"/>
          <w:lang w:eastAsia="es-ES" w:bidi="en-US"/>
        </w:rPr>
      </w:pPr>
      <w:r w:rsidRPr="0064597D">
        <w:rPr>
          <w:rFonts w:eastAsia="MS Mincho" w:cs="Verdana"/>
          <w:snapToGrid w:val="0"/>
          <w:sz w:val="20"/>
          <w:szCs w:val="20"/>
          <w:lang w:eastAsia="es-ES" w:bidi="en-US"/>
        </w:rPr>
        <w:t xml:space="preserve">Mediante nota de Secretaría de la Corte de </w:t>
      </w:r>
      <w:r w:rsidR="00D83972" w:rsidRPr="0064597D">
        <w:rPr>
          <w:rFonts w:eastAsia="MS Mincho" w:cs="Verdana"/>
          <w:snapToGrid w:val="0"/>
          <w:sz w:val="20"/>
          <w:szCs w:val="20"/>
          <w:lang w:eastAsia="es-ES" w:bidi="en-US"/>
        </w:rPr>
        <w:t>17</w:t>
      </w:r>
      <w:r w:rsidRPr="0064597D">
        <w:rPr>
          <w:rFonts w:eastAsia="MS Mincho" w:cs="Verdana"/>
          <w:snapToGrid w:val="0"/>
          <w:sz w:val="20"/>
          <w:szCs w:val="20"/>
          <w:lang w:eastAsia="es-ES" w:bidi="en-US"/>
        </w:rPr>
        <w:t xml:space="preserve"> de julio de 2019, se remitió un informe al Estado sobre las erogaciones efectuadas en aplicación del Fondo de Asistencia Legal de Víctimas</w:t>
      </w:r>
      <w:r w:rsidR="0078088A" w:rsidRPr="0064597D">
        <w:rPr>
          <w:rFonts w:eastAsia="MS Mincho" w:cs="Verdana"/>
          <w:snapToGrid w:val="0"/>
          <w:sz w:val="20"/>
          <w:szCs w:val="20"/>
          <w:lang w:eastAsia="es-ES" w:bidi="en-US"/>
        </w:rPr>
        <w:t xml:space="preserve"> </w:t>
      </w:r>
      <w:r w:rsidRPr="0064597D">
        <w:rPr>
          <w:rFonts w:eastAsia="MS Mincho" w:cs="Verdana"/>
          <w:snapToGrid w:val="0"/>
          <w:sz w:val="20"/>
          <w:szCs w:val="20"/>
          <w:lang w:eastAsia="es-ES" w:bidi="en-US"/>
        </w:rPr>
        <w:t>en el presente caso, las cuales ascendieron</w:t>
      </w:r>
      <w:r w:rsidR="0078088A" w:rsidRPr="0064597D">
        <w:rPr>
          <w:rFonts w:eastAsia="MS Mincho" w:cs="Verdana"/>
          <w:snapToGrid w:val="0"/>
          <w:sz w:val="20"/>
          <w:szCs w:val="20"/>
          <w:lang w:eastAsia="es-ES" w:bidi="en-US"/>
        </w:rPr>
        <w:t xml:space="preserve"> </w:t>
      </w:r>
      <w:r w:rsidRPr="0064597D">
        <w:rPr>
          <w:rFonts w:eastAsia="MS Mincho" w:cs="Verdana"/>
          <w:snapToGrid w:val="0"/>
          <w:sz w:val="20"/>
          <w:szCs w:val="20"/>
          <w:lang w:eastAsia="es-ES" w:bidi="en-US"/>
        </w:rPr>
        <w:t>a la suma de USD $</w:t>
      </w:r>
      <w:r w:rsidR="00D83972" w:rsidRPr="0064597D">
        <w:rPr>
          <w:rFonts w:eastAsia="MS Mincho" w:cs="Verdana"/>
          <w:snapToGrid w:val="0"/>
          <w:sz w:val="20"/>
          <w:szCs w:val="20"/>
          <w:lang w:eastAsia="es-ES" w:bidi="en-US"/>
        </w:rPr>
        <w:t>1,943.20</w:t>
      </w:r>
      <w:r w:rsidRPr="0064597D">
        <w:rPr>
          <w:rFonts w:eastAsia="MS Mincho" w:cs="Verdana"/>
          <w:snapToGrid w:val="0"/>
          <w:sz w:val="20"/>
          <w:szCs w:val="20"/>
          <w:lang w:eastAsia="es-ES" w:bidi="en-US"/>
        </w:rPr>
        <w:t xml:space="preserve"> (</w:t>
      </w:r>
      <w:r w:rsidR="00D83972" w:rsidRPr="0064597D">
        <w:rPr>
          <w:rFonts w:eastAsia="MS Mincho" w:cs="Verdana"/>
          <w:snapToGrid w:val="0"/>
          <w:sz w:val="20"/>
          <w:szCs w:val="20"/>
          <w:lang w:eastAsia="es-ES" w:bidi="en-US"/>
        </w:rPr>
        <w:t xml:space="preserve">mil novecientos cuarenta y tres con 2/10 </w:t>
      </w:r>
      <w:r w:rsidRPr="0064597D">
        <w:rPr>
          <w:rFonts w:eastAsia="MS Mincho" w:cs="Verdana"/>
          <w:snapToGrid w:val="0"/>
          <w:sz w:val="20"/>
          <w:szCs w:val="20"/>
          <w:lang w:eastAsia="es-ES" w:bidi="en-US"/>
        </w:rPr>
        <w:t>dólares de los Estados Unidos de América) y, según lo dispuesto en el artículo 5 del Reglamento de la Corte sobre el Funcionamiento del referido Fondo, se otorgó un plazo para que Guatemala presentara las observaciones que estimara pertinentes.</w:t>
      </w:r>
      <w:r w:rsidR="0078088A" w:rsidRPr="0064597D">
        <w:rPr>
          <w:rFonts w:eastAsia="MS Mincho" w:cs="Verdana"/>
          <w:snapToGrid w:val="0"/>
          <w:sz w:val="20"/>
          <w:szCs w:val="20"/>
          <w:lang w:eastAsia="es-ES" w:bidi="en-US"/>
        </w:rPr>
        <w:t xml:space="preserve"> </w:t>
      </w:r>
      <w:r w:rsidRPr="0064597D">
        <w:rPr>
          <w:rFonts w:eastAsia="MS Mincho" w:cs="Verdana"/>
          <w:snapToGrid w:val="0"/>
          <w:sz w:val="20"/>
          <w:szCs w:val="20"/>
          <w:lang w:eastAsia="es-ES" w:bidi="en-US"/>
        </w:rPr>
        <w:t xml:space="preserve">El Estado presentó sus observaciones el </w:t>
      </w:r>
      <w:r w:rsidR="00B14C3E" w:rsidRPr="0064597D">
        <w:rPr>
          <w:rFonts w:eastAsia="MS Mincho" w:cs="Verdana"/>
          <w:snapToGrid w:val="0"/>
          <w:sz w:val="20"/>
          <w:szCs w:val="20"/>
          <w:lang w:eastAsia="es-ES" w:bidi="en-US"/>
        </w:rPr>
        <w:t>14</w:t>
      </w:r>
      <w:r w:rsidRPr="0064597D">
        <w:rPr>
          <w:rFonts w:eastAsia="MS Mincho" w:cs="Verdana"/>
          <w:snapToGrid w:val="0"/>
          <w:sz w:val="20"/>
          <w:szCs w:val="20"/>
          <w:lang w:eastAsia="es-ES" w:bidi="en-US"/>
        </w:rPr>
        <w:t xml:space="preserve"> de </w:t>
      </w:r>
      <w:r w:rsidR="00B14C3E" w:rsidRPr="0064597D">
        <w:rPr>
          <w:rFonts w:eastAsia="MS Mincho" w:cs="Verdana"/>
          <w:snapToGrid w:val="0"/>
          <w:sz w:val="20"/>
          <w:szCs w:val="20"/>
          <w:lang w:eastAsia="es-ES" w:bidi="en-US"/>
        </w:rPr>
        <w:t>julio</w:t>
      </w:r>
      <w:r w:rsidR="0078088A" w:rsidRPr="0064597D">
        <w:rPr>
          <w:rFonts w:eastAsia="MS Mincho" w:cs="Verdana"/>
          <w:snapToGrid w:val="0"/>
          <w:sz w:val="20"/>
          <w:szCs w:val="20"/>
          <w:lang w:eastAsia="es-ES" w:bidi="en-US"/>
        </w:rPr>
        <w:t xml:space="preserve"> </w:t>
      </w:r>
      <w:r w:rsidRPr="0064597D">
        <w:rPr>
          <w:rFonts w:eastAsia="MS Mincho" w:cs="Verdana"/>
          <w:snapToGrid w:val="0"/>
          <w:sz w:val="20"/>
          <w:szCs w:val="20"/>
          <w:lang w:eastAsia="es-ES" w:bidi="en-US"/>
        </w:rPr>
        <w:t xml:space="preserve">de 2019, en las cuales </w:t>
      </w:r>
      <w:r w:rsidR="00CC2A46" w:rsidRPr="0064597D">
        <w:rPr>
          <w:rFonts w:eastAsia="MS Mincho" w:cs="Verdana"/>
          <w:snapToGrid w:val="0"/>
          <w:sz w:val="20"/>
          <w:szCs w:val="20"/>
          <w:lang w:eastAsia="es-ES" w:bidi="en-US"/>
        </w:rPr>
        <w:t>reiteró lo expuesto en su escrito de contestación de demanda y consideró que</w:t>
      </w:r>
      <w:r w:rsidR="002B2691" w:rsidRPr="0064597D">
        <w:rPr>
          <w:rFonts w:eastAsia="MS Mincho" w:cs="Verdana"/>
          <w:snapToGrid w:val="0"/>
          <w:sz w:val="20"/>
          <w:szCs w:val="20"/>
          <w:lang w:eastAsia="es-ES" w:bidi="en-US"/>
        </w:rPr>
        <w:t>:</w:t>
      </w:r>
      <w:r w:rsidR="00CC2A46" w:rsidRPr="0064597D">
        <w:rPr>
          <w:rFonts w:eastAsia="MS Mincho" w:cs="Verdana"/>
          <w:snapToGrid w:val="0"/>
          <w:sz w:val="20"/>
          <w:szCs w:val="20"/>
          <w:lang w:eastAsia="es-ES" w:bidi="en-US"/>
        </w:rPr>
        <w:t xml:space="preserve"> (i) el monto a pagar no lo cubre la Corte, sin</w:t>
      </w:r>
      <w:r w:rsidR="004C0FB0" w:rsidRPr="0064597D">
        <w:rPr>
          <w:rFonts w:eastAsia="MS Mincho" w:cs="Verdana"/>
          <w:snapToGrid w:val="0"/>
          <w:sz w:val="20"/>
          <w:szCs w:val="20"/>
          <w:lang w:eastAsia="es-ES" w:bidi="en-US"/>
        </w:rPr>
        <w:t>o</w:t>
      </w:r>
      <w:r w:rsidR="00CC2A46" w:rsidRPr="0064597D">
        <w:rPr>
          <w:rFonts w:eastAsia="MS Mincho" w:cs="Verdana"/>
          <w:snapToGrid w:val="0"/>
          <w:sz w:val="20"/>
          <w:szCs w:val="20"/>
          <w:lang w:eastAsia="es-ES" w:bidi="en-US"/>
        </w:rPr>
        <w:t xml:space="preserve"> que dicha responsabilidad se delega en el Estado; (ii) tanto la Comisión como los representantes de las supuestas víctimas identificaron únicamente a la hermana del señor Ruiz Fuentes; (iii) el objeto de la declaración de las personas ofrecidas por el ICCPG fue en el mismo sentido y, por consiguiente, no aportaron información fáctica que permitiera a los señores jueces esclarecer los verdaderos hechos del caso, motivo por el cual se violentó el principio de economía procesal alegado oportunamente por el Estado; (iv) el Estado considera que las principales víctimas del caso fueron los familiares del menor</w:t>
      </w:r>
      <w:r w:rsidR="00656467" w:rsidRPr="0064597D">
        <w:rPr>
          <w:rFonts w:eastAsia="MS Mincho" w:cs="Verdana"/>
          <w:snapToGrid w:val="0"/>
          <w:sz w:val="20"/>
          <w:szCs w:val="20"/>
          <w:lang w:eastAsia="es-ES" w:bidi="en-US"/>
        </w:rPr>
        <w:t xml:space="preserve"> P.A.L.W.</w:t>
      </w:r>
      <w:r w:rsidR="00CC2A46" w:rsidRPr="0064597D">
        <w:rPr>
          <w:rFonts w:eastAsia="MS Mincho" w:cs="Verdana"/>
          <w:snapToGrid w:val="0"/>
          <w:sz w:val="20"/>
          <w:szCs w:val="20"/>
          <w:lang w:eastAsia="es-ES" w:bidi="en-US"/>
        </w:rPr>
        <w:t xml:space="preserve">; (v) las supuestas víctimas, sus representantes y la Comisión Interamericana fundamentaron el caso </w:t>
      </w:r>
      <w:r w:rsidR="004C0FB0" w:rsidRPr="0064597D">
        <w:rPr>
          <w:rFonts w:eastAsia="MS Mincho" w:cs="Verdana"/>
          <w:snapToGrid w:val="0"/>
          <w:sz w:val="20"/>
          <w:szCs w:val="20"/>
          <w:lang w:eastAsia="es-ES" w:bidi="en-US"/>
        </w:rPr>
        <w:lastRenderedPageBreak/>
        <w:t>en</w:t>
      </w:r>
      <w:r w:rsidR="00CC2A46" w:rsidRPr="0064597D">
        <w:rPr>
          <w:rFonts w:eastAsia="MS Mincho" w:cs="Verdana"/>
          <w:snapToGrid w:val="0"/>
          <w:sz w:val="20"/>
          <w:szCs w:val="20"/>
          <w:lang w:eastAsia="es-ES" w:bidi="en-US"/>
        </w:rPr>
        <w:t xml:space="preserve"> hechos falsos, lo cual quedó evidenciado y probado por el Estado en el momento oportuno; (vi) </w:t>
      </w:r>
      <w:r w:rsidR="002B2691" w:rsidRPr="0064597D">
        <w:rPr>
          <w:rFonts w:eastAsia="MS Mincho" w:cs="Verdana"/>
          <w:snapToGrid w:val="0"/>
          <w:sz w:val="20"/>
          <w:szCs w:val="20"/>
          <w:lang w:eastAsia="es-ES" w:bidi="en-US"/>
        </w:rPr>
        <w:t xml:space="preserve">y </w:t>
      </w:r>
      <w:r w:rsidR="00CC2A46" w:rsidRPr="0064597D">
        <w:rPr>
          <w:rFonts w:eastAsia="MS Mincho" w:cs="Verdana"/>
          <w:snapToGrid w:val="0"/>
          <w:sz w:val="20"/>
          <w:szCs w:val="20"/>
          <w:lang w:eastAsia="es-ES" w:bidi="en-US"/>
        </w:rPr>
        <w:t xml:space="preserve">el Estado cumplió con su deber de investigar, juzgar y sancionar a los responsables de los hechos ocurridos en perjuicio del menor </w:t>
      </w:r>
      <w:r w:rsidR="00656467" w:rsidRPr="0064597D">
        <w:rPr>
          <w:rFonts w:eastAsia="MS Mincho" w:cs="Verdana"/>
          <w:snapToGrid w:val="0"/>
          <w:sz w:val="20"/>
          <w:szCs w:val="20"/>
          <w:lang w:eastAsia="es-ES" w:bidi="en-US"/>
        </w:rPr>
        <w:t>P.A.L.W.</w:t>
      </w:r>
      <w:r w:rsidR="00EC436E" w:rsidRPr="0064597D">
        <w:rPr>
          <w:rFonts w:eastAsia="MS Mincho" w:cs="Verdana"/>
          <w:snapToGrid w:val="0"/>
          <w:sz w:val="20"/>
          <w:szCs w:val="20"/>
          <w:lang w:eastAsia="es-ES" w:bidi="en-US"/>
        </w:rPr>
        <w:t xml:space="preserve"> </w:t>
      </w:r>
      <w:r w:rsidR="00CC2A46" w:rsidRPr="0064597D">
        <w:rPr>
          <w:rFonts w:eastAsia="MS Mincho" w:cs="Verdana"/>
          <w:snapToGrid w:val="0"/>
          <w:sz w:val="20"/>
          <w:szCs w:val="20"/>
          <w:lang w:eastAsia="es-ES" w:bidi="en-US"/>
        </w:rPr>
        <w:t>y sus familiares, quienes fueron víctimas de un grupo de secuestradores, situación por la cual la Corte debe declarar que el Estado carece de responsabilidad internacional en el presente caso.</w:t>
      </w:r>
      <w:r w:rsidR="0078088A" w:rsidRPr="0064597D">
        <w:rPr>
          <w:rFonts w:eastAsia="MS Mincho" w:cs="Verdana"/>
          <w:snapToGrid w:val="0"/>
          <w:sz w:val="20"/>
          <w:szCs w:val="20"/>
          <w:lang w:eastAsia="es-ES" w:bidi="en-US"/>
        </w:rPr>
        <w:t xml:space="preserve"> </w:t>
      </w:r>
    </w:p>
    <w:p w14:paraId="75AA0F73" w14:textId="77777777" w:rsidR="0078088A" w:rsidRPr="0064597D" w:rsidRDefault="0078088A" w:rsidP="0078088A">
      <w:pPr>
        <w:tabs>
          <w:tab w:val="left" w:pos="567"/>
        </w:tabs>
        <w:spacing w:line="240" w:lineRule="auto"/>
        <w:rPr>
          <w:rFonts w:eastAsia="MS Mincho" w:cs="Verdana"/>
          <w:snapToGrid w:val="0"/>
          <w:sz w:val="20"/>
          <w:szCs w:val="20"/>
          <w:lang w:eastAsia="es-ES" w:bidi="en-US"/>
        </w:rPr>
      </w:pPr>
    </w:p>
    <w:p w14:paraId="17181C20" w14:textId="230B5130" w:rsidR="00413443" w:rsidRPr="0064597D" w:rsidRDefault="00913083" w:rsidP="00913083">
      <w:pPr>
        <w:numPr>
          <w:ilvl w:val="0"/>
          <w:numId w:val="1"/>
        </w:numPr>
        <w:tabs>
          <w:tab w:val="left" w:pos="567"/>
          <w:tab w:val="num" w:pos="5057"/>
        </w:tabs>
        <w:spacing w:line="240" w:lineRule="auto"/>
        <w:ind w:left="0" w:firstLine="0"/>
        <w:rPr>
          <w:rFonts w:eastAsia="MS Mincho" w:cs="Verdana"/>
          <w:snapToGrid w:val="0"/>
          <w:sz w:val="20"/>
          <w:szCs w:val="20"/>
          <w:lang w:eastAsia="es-ES" w:bidi="en-US"/>
        </w:rPr>
      </w:pPr>
      <w:r w:rsidRPr="0064597D">
        <w:rPr>
          <w:rFonts w:eastAsia="MS Mincho" w:cs="Verdana"/>
          <w:snapToGrid w:val="0"/>
          <w:sz w:val="20"/>
          <w:szCs w:val="20"/>
          <w:lang w:eastAsia="es-ES" w:bidi="en-US"/>
        </w:rPr>
        <w:t>A la luz del artículo 5 del Reglamento del Fondo, en razón de las violaciones declaradas en la presente Sentencia y que se cumplió con los requisitos para acogerse al Fondo, la Corte ordena al Estado el reintegro a dicho Fondo de la cantidad de</w:t>
      </w:r>
      <w:r w:rsidR="00D83972" w:rsidRPr="0064597D">
        <w:rPr>
          <w:rFonts w:eastAsia="MS Mincho" w:cs="Verdana"/>
          <w:snapToGrid w:val="0"/>
          <w:sz w:val="20"/>
          <w:szCs w:val="20"/>
          <w:lang w:eastAsia="es-ES" w:bidi="en-US"/>
        </w:rPr>
        <w:t xml:space="preserve"> USD</w:t>
      </w:r>
      <w:r w:rsidRPr="0064597D">
        <w:rPr>
          <w:rFonts w:eastAsia="MS Mincho" w:cs="Verdana"/>
          <w:snapToGrid w:val="0"/>
          <w:sz w:val="20"/>
          <w:szCs w:val="20"/>
          <w:lang w:eastAsia="es-ES" w:bidi="en-US"/>
        </w:rPr>
        <w:t xml:space="preserve"> </w:t>
      </w:r>
      <w:r w:rsidR="00D83972" w:rsidRPr="0064597D">
        <w:rPr>
          <w:rFonts w:eastAsia="MS Mincho" w:cs="Verdana"/>
          <w:snapToGrid w:val="0"/>
          <w:sz w:val="20"/>
          <w:szCs w:val="20"/>
          <w:lang w:eastAsia="es-ES" w:bidi="en-US"/>
        </w:rPr>
        <w:t>$1,943.20 (mil novecientos cuarenta y tres con 2/10 dólares de los Estados Unidos de América)</w:t>
      </w:r>
      <w:r w:rsidRPr="0064597D">
        <w:rPr>
          <w:rFonts w:eastAsia="MS Mincho" w:cs="Verdana"/>
          <w:snapToGrid w:val="0"/>
          <w:sz w:val="20"/>
          <w:szCs w:val="20"/>
          <w:lang w:eastAsia="es-ES" w:bidi="en-US"/>
        </w:rPr>
        <w:t xml:space="preserve"> por concepto de los gastos necesarios realizados. Dicha cantidad deberá ser reintegrada en el plazo de</w:t>
      </w:r>
      <w:r w:rsidR="0078088A" w:rsidRPr="0064597D">
        <w:rPr>
          <w:rFonts w:eastAsia="MS Mincho" w:cs="Verdana"/>
          <w:snapToGrid w:val="0"/>
          <w:sz w:val="20"/>
          <w:szCs w:val="20"/>
          <w:lang w:eastAsia="es-ES" w:bidi="en-US"/>
        </w:rPr>
        <w:t xml:space="preserve"> </w:t>
      </w:r>
      <w:r w:rsidRPr="0064597D">
        <w:rPr>
          <w:rFonts w:eastAsia="MS Mincho" w:cs="Verdana"/>
          <w:snapToGrid w:val="0"/>
          <w:sz w:val="20"/>
          <w:szCs w:val="20"/>
          <w:lang w:eastAsia="es-ES" w:bidi="en-US"/>
        </w:rPr>
        <w:t>seis meses, contados a partir de la notificación del presente Fallo</w:t>
      </w:r>
      <w:r w:rsidR="00B14C3E" w:rsidRPr="0064597D">
        <w:rPr>
          <w:rFonts w:eastAsia="MS Mincho" w:cs="Verdana"/>
          <w:snapToGrid w:val="0"/>
          <w:sz w:val="20"/>
          <w:szCs w:val="20"/>
          <w:lang w:eastAsia="es-ES" w:bidi="en-US"/>
        </w:rPr>
        <w:t>.</w:t>
      </w:r>
    </w:p>
    <w:p w14:paraId="59E4C6DB" w14:textId="65A313A7" w:rsidR="00755998" w:rsidRPr="0064597D" w:rsidRDefault="00755998" w:rsidP="00755998">
      <w:pPr>
        <w:pStyle w:val="Ttulo2"/>
      </w:pPr>
      <w:bookmarkStart w:id="144" w:name="_Toc24014585"/>
      <w:bookmarkStart w:id="145" w:name="_Toc514172674"/>
      <w:bookmarkStart w:id="146" w:name="_Toc476390748"/>
      <w:bookmarkStart w:id="147" w:name="_Toc495658706"/>
      <w:bookmarkStart w:id="148" w:name="_Toc15933783"/>
      <w:r w:rsidRPr="0064597D">
        <w:t>H.</w:t>
      </w:r>
      <w:r w:rsidRPr="0064597D">
        <w:tab/>
        <w:t>Modalidad de cumplimiento de los pagos ordenados</w:t>
      </w:r>
      <w:bookmarkEnd w:id="144"/>
    </w:p>
    <w:bookmarkEnd w:id="145"/>
    <w:bookmarkEnd w:id="146"/>
    <w:bookmarkEnd w:id="147"/>
    <w:bookmarkEnd w:id="148"/>
    <w:p w14:paraId="7C0C6EB9" w14:textId="586E84C4" w:rsidR="00413443" w:rsidRPr="0064597D" w:rsidRDefault="00413443" w:rsidP="00413443">
      <w:pPr>
        <w:numPr>
          <w:ilvl w:val="0"/>
          <w:numId w:val="1"/>
        </w:numPr>
        <w:tabs>
          <w:tab w:val="left" w:pos="567"/>
          <w:tab w:val="num" w:pos="5057"/>
        </w:tabs>
        <w:spacing w:line="240" w:lineRule="auto"/>
        <w:ind w:left="0" w:firstLine="0"/>
        <w:rPr>
          <w:rFonts w:eastAsia="MS Mincho"/>
          <w:sz w:val="20"/>
          <w:szCs w:val="20"/>
          <w:lang w:bidi="en-US"/>
        </w:rPr>
      </w:pPr>
      <w:r w:rsidRPr="0064597D">
        <w:rPr>
          <w:rFonts w:eastAsia="MS Mincho"/>
          <w:sz w:val="20"/>
          <w:szCs w:val="20"/>
          <w:lang w:bidi="en-US"/>
        </w:rPr>
        <w:t xml:space="preserve">El </w:t>
      </w:r>
      <w:r w:rsidRPr="0064597D">
        <w:rPr>
          <w:rFonts w:eastAsia="MS Mincho" w:cs="Verdana"/>
          <w:snapToGrid w:val="0"/>
          <w:sz w:val="20"/>
          <w:szCs w:val="20"/>
          <w:lang w:eastAsia="es-ES" w:bidi="en-US"/>
        </w:rPr>
        <w:t>Estado</w:t>
      </w:r>
      <w:r w:rsidRPr="0064597D">
        <w:rPr>
          <w:rFonts w:eastAsia="MS Mincho"/>
          <w:sz w:val="20"/>
          <w:szCs w:val="20"/>
          <w:lang w:bidi="en-US"/>
        </w:rPr>
        <w:t xml:space="preserve"> deberá efectuar el pago de las indemnizaciones por concepto de daño material e </w:t>
      </w:r>
      <w:r w:rsidRPr="0064597D">
        <w:rPr>
          <w:rFonts w:eastAsia="MS Mincho" w:cs="Verdana"/>
          <w:snapToGrid w:val="0"/>
          <w:sz w:val="20"/>
          <w:szCs w:val="20"/>
          <w:lang w:eastAsia="es-ES" w:bidi="en-US"/>
        </w:rPr>
        <w:t>inmaterial</w:t>
      </w:r>
      <w:r w:rsidRPr="0064597D">
        <w:rPr>
          <w:rFonts w:eastAsia="MS Mincho"/>
          <w:sz w:val="20"/>
          <w:szCs w:val="20"/>
          <w:lang w:bidi="en-US"/>
        </w:rPr>
        <w:t xml:space="preserve"> y el reintegro de costas y gastos establecidos en la presente Sentencia directamente a las personas y organizaciones indicadas en la misma</w:t>
      </w:r>
      <w:r w:rsidRPr="0064597D">
        <w:rPr>
          <w:rFonts w:eastAsia="MS Mincho"/>
          <w:sz w:val="20"/>
          <w:szCs w:val="20"/>
          <w:lang w:val="es-ES_tradnl" w:bidi="en-US"/>
        </w:rPr>
        <w:t xml:space="preserve">, </w:t>
      </w:r>
      <w:r w:rsidRPr="0064597D">
        <w:rPr>
          <w:rFonts w:eastAsia="MS Mincho"/>
          <w:sz w:val="20"/>
          <w:szCs w:val="20"/>
          <w:lang w:bidi="en-US"/>
        </w:rPr>
        <w:t xml:space="preserve">dentro del plazo de un año, contado a partir de la notificación del presente </w:t>
      </w:r>
      <w:r w:rsidR="00E068B2" w:rsidRPr="0064597D">
        <w:rPr>
          <w:rFonts w:eastAsia="MS Mincho"/>
          <w:sz w:val="20"/>
          <w:szCs w:val="20"/>
          <w:lang w:bidi="en-US"/>
        </w:rPr>
        <w:t>f</w:t>
      </w:r>
      <w:r w:rsidRPr="0064597D">
        <w:rPr>
          <w:rFonts w:eastAsia="MS Mincho"/>
          <w:sz w:val="20"/>
          <w:szCs w:val="20"/>
          <w:lang w:bidi="en-US"/>
        </w:rPr>
        <w:t>allo, en los términos de los siguientes párrafos.</w:t>
      </w:r>
    </w:p>
    <w:p w14:paraId="0400A24D" w14:textId="77777777" w:rsidR="00413443" w:rsidRPr="0064597D" w:rsidRDefault="00413443" w:rsidP="00413443">
      <w:pPr>
        <w:tabs>
          <w:tab w:val="left" w:pos="720"/>
        </w:tabs>
        <w:spacing w:line="240" w:lineRule="auto"/>
        <w:ind w:right="-90"/>
        <w:contextualSpacing/>
        <w:rPr>
          <w:rFonts w:eastAsia="MS Mincho"/>
          <w:sz w:val="20"/>
          <w:szCs w:val="20"/>
        </w:rPr>
      </w:pPr>
    </w:p>
    <w:p w14:paraId="275F1773" w14:textId="26BE6AB0" w:rsidR="00413443" w:rsidRPr="0064597D" w:rsidRDefault="00413443" w:rsidP="00413443">
      <w:pPr>
        <w:numPr>
          <w:ilvl w:val="0"/>
          <w:numId w:val="1"/>
        </w:numPr>
        <w:tabs>
          <w:tab w:val="left" w:pos="567"/>
          <w:tab w:val="num" w:pos="5057"/>
        </w:tabs>
        <w:spacing w:line="240" w:lineRule="auto"/>
        <w:ind w:left="0" w:firstLine="0"/>
        <w:rPr>
          <w:rFonts w:eastAsia="MS Mincho"/>
          <w:sz w:val="20"/>
          <w:szCs w:val="20"/>
          <w:lang w:bidi="en-US"/>
        </w:rPr>
      </w:pPr>
      <w:r w:rsidRPr="0064597D">
        <w:rPr>
          <w:rFonts w:eastAsia="MS Mincho"/>
          <w:sz w:val="20"/>
          <w:szCs w:val="20"/>
          <w:lang w:bidi="en-US"/>
        </w:rPr>
        <w:t xml:space="preserve">En </w:t>
      </w:r>
      <w:r w:rsidRPr="0064597D">
        <w:rPr>
          <w:rFonts w:eastAsia="MS Mincho" w:cs="Verdana"/>
          <w:snapToGrid w:val="0"/>
          <w:sz w:val="20"/>
          <w:szCs w:val="20"/>
          <w:lang w:eastAsia="es-ES" w:bidi="en-US"/>
        </w:rPr>
        <w:t>caso</w:t>
      </w:r>
      <w:r w:rsidRPr="0064597D">
        <w:rPr>
          <w:rFonts w:eastAsia="MS Mincho"/>
          <w:sz w:val="20"/>
          <w:szCs w:val="20"/>
          <w:lang w:bidi="en-US"/>
        </w:rPr>
        <w:t xml:space="preserve"> de que </w:t>
      </w:r>
      <w:r w:rsidR="006F6E82" w:rsidRPr="0064597D">
        <w:rPr>
          <w:rFonts w:eastAsia="MS Mincho"/>
          <w:sz w:val="20"/>
          <w:szCs w:val="20"/>
          <w:lang w:bidi="en-US"/>
        </w:rPr>
        <w:t>los beneficiarios</w:t>
      </w:r>
      <w:r w:rsidRPr="0064597D">
        <w:rPr>
          <w:rFonts w:eastAsia="MS Mincho"/>
          <w:sz w:val="20"/>
          <w:szCs w:val="20"/>
          <w:lang w:bidi="en-US"/>
        </w:rPr>
        <w:t xml:space="preserve"> haya</w:t>
      </w:r>
      <w:r w:rsidR="00C718A9" w:rsidRPr="0064597D">
        <w:rPr>
          <w:rFonts w:eastAsia="MS Mincho"/>
          <w:sz w:val="20"/>
          <w:szCs w:val="20"/>
          <w:lang w:bidi="en-US"/>
        </w:rPr>
        <w:t>n</w:t>
      </w:r>
      <w:r w:rsidR="00E068B2" w:rsidRPr="0064597D">
        <w:rPr>
          <w:rFonts w:eastAsia="MS Mincho"/>
          <w:sz w:val="20"/>
          <w:szCs w:val="20"/>
          <w:lang w:bidi="en-US"/>
        </w:rPr>
        <w:t xml:space="preserve"> </w:t>
      </w:r>
      <w:r w:rsidRPr="0064597D">
        <w:rPr>
          <w:rFonts w:eastAsia="MS Mincho"/>
          <w:sz w:val="20"/>
          <w:szCs w:val="20"/>
          <w:lang w:bidi="en-US"/>
        </w:rPr>
        <w:t>fallecido o fallezca</w:t>
      </w:r>
      <w:r w:rsidR="00C718A9" w:rsidRPr="0064597D">
        <w:rPr>
          <w:rFonts w:eastAsia="MS Mincho"/>
          <w:sz w:val="20"/>
          <w:szCs w:val="20"/>
          <w:lang w:bidi="en-US"/>
        </w:rPr>
        <w:t>n</w:t>
      </w:r>
      <w:r w:rsidRPr="0064597D">
        <w:rPr>
          <w:rFonts w:eastAsia="MS Mincho"/>
          <w:sz w:val="20"/>
          <w:szCs w:val="20"/>
          <w:lang w:bidi="en-US"/>
        </w:rPr>
        <w:t xml:space="preserve"> antes de que les sea entregada la indemnización respectiva, ésta se efectuará directamente a sus derechohabientes, conforme al derecho interno aplicable.</w:t>
      </w:r>
    </w:p>
    <w:p w14:paraId="06136874" w14:textId="77777777" w:rsidR="00413443" w:rsidRPr="0064597D" w:rsidRDefault="00413443" w:rsidP="00413443">
      <w:pPr>
        <w:tabs>
          <w:tab w:val="left" w:pos="0"/>
          <w:tab w:val="num" w:pos="11028"/>
        </w:tabs>
        <w:spacing w:line="240" w:lineRule="auto"/>
        <w:ind w:right="-90"/>
        <w:rPr>
          <w:rFonts w:eastAsia="MS Mincho"/>
          <w:sz w:val="20"/>
          <w:szCs w:val="20"/>
          <w:lang w:bidi="en-US"/>
        </w:rPr>
      </w:pPr>
    </w:p>
    <w:p w14:paraId="319ADD2B" w14:textId="048C57BE" w:rsidR="00413443" w:rsidRPr="0064597D" w:rsidRDefault="00413443" w:rsidP="00413443">
      <w:pPr>
        <w:numPr>
          <w:ilvl w:val="0"/>
          <w:numId w:val="1"/>
        </w:numPr>
        <w:tabs>
          <w:tab w:val="left" w:pos="567"/>
          <w:tab w:val="num" w:pos="5057"/>
        </w:tabs>
        <w:spacing w:line="240" w:lineRule="auto"/>
        <w:ind w:left="0" w:firstLine="0"/>
        <w:rPr>
          <w:rFonts w:eastAsia="MS Mincho"/>
          <w:sz w:val="20"/>
          <w:szCs w:val="20"/>
          <w:lang w:bidi="en-US"/>
        </w:rPr>
      </w:pPr>
      <w:r w:rsidRPr="0064597D">
        <w:rPr>
          <w:rFonts w:eastAsia="MS Mincho"/>
          <w:sz w:val="20"/>
          <w:szCs w:val="20"/>
          <w:lang w:bidi="en-US"/>
        </w:rPr>
        <w:t xml:space="preserve">En lo que respecta a la moneda de pago de las indemnizaciones y reintegro de costas y gastos, el Estado debe cumplir sus obligaciones monetarias mediante el pago en dólares de los Estados Unidos de América o, de no ser esto posible, en su equivalente en moneda </w:t>
      </w:r>
      <w:r w:rsidR="00E068B2" w:rsidRPr="0064597D">
        <w:rPr>
          <w:rFonts w:eastAsia="MS Mincho"/>
          <w:sz w:val="20"/>
          <w:szCs w:val="20"/>
          <w:lang w:bidi="en-US"/>
        </w:rPr>
        <w:t>guatemalteca</w:t>
      </w:r>
      <w:r w:rsidRPr="0064597D">
        <w:rPr>
          <w:rFonts w:eastAsia="MS Mincho"/>
          <w:sz w:val="20"/>
          <w:szCs w:val="20"/>
          <w:lang w:bidi="en-US"/>
        </w:rPr>
        <w:t xml:space="preserve">, utilizando para el cálculo respectivo la tasa más alta y más beneficiosa para las víctimas que permita su ordenamiento interno, vigente al momento del pago. Durante la etapa de supervisión de cumplimiento de la sentencia, la Corte podrá reajustar prudentemente el equivalente de estas cifras en moneda </w:t>
      </w:r>
      <w:r w:rsidR="00D72965" w:rsidRPr="0064597D">
        <w:rPr>
          <w:rFonts w:eastAsia="MS Mincho"/>
          <w:sz w:val="20"/>
          <w:szCs w:val="20"/>
          <w:lang w:bidi="en-US"/>
        </w:rPr>
        <w:t>guatemalteca</w:t>
      </w:r>
      <w:r w:rsidRPr="0064597D">
        <w:rPr>
          <w:rFonts w:eastAsia="MS Mincho"/>
          <w:sz w:val="20"/>
          <w:szCs w:val="20"/>
          <w:lang w:bidi="en-US"/>
        </w:rPr>
        <w:t>, con el objeto de evitar que las variaciones cambiarias afecten sustancialmente el valor adquisitivo de esos montos.</w:t>
      </w:r>
    </w:p>
    <w:p w14:paraId="1D2388D9" w14:textId="77777777" w:rsidR="00413443" w:rsidRPr="0064597D" w:rsidRDefault="00413443" w:rsidP="00413443">
      <w:pPr>
        <w:tabs>
          <w:tab w:val="left" w:pos="567"/>
        </w:tabs>
        <w:spacing w:line="240" w:lineRule="auto"/>
        <w:rPr>
          <w:rFonts w:eastAsia="MS Mincho"/>
          <w:sz w:val="20"/>
          <w:szCs w:val="20"/>
          <w:lang w:bidi="en-US"/>
        </w:rPr>
      </w:pPr>
    </w:p>
    <w:p w14:paraId="7745B895" w14:textId="371990DA" w:rsidR="00413443" w:rsidRPr="0064597D" w:rsidRDefault="00413443" w:rsidP="00413443">
      <w:pPr>
        <w:numPr>
          <w:ilvl w:val="0"/>
          <w:numId w:val="1"/>
        </w:numPr>
        <w:tabs>
          <w:tab w:val="left" w:pos="567"/>
          <w:tab w:val="num" w:pos="5057"/>
        </w:tabs>
        <w:spacing w:line="240" w:lineRule="auto"/>
        <w:ind w:left="0" w:firstLine="0"/>
        <w:rPr>
          <w:rFonts w:eastAsia="MS Mincho"/>
          <w:sz w:val="20"/>
          <w:szCs w:val="20"/>
          <w:lang w:bidi="en-US"/>
        </w:rPr>
      </w:pPr>
      <w:r w:rsidRPr="0064597D">
        <w:rPr>
          <w:rFonts w:eastAsia="MS Mincho"/>
          <w:sz w:val="20"/>
          <w:szCs w:val="20"/>
          <w:lang w:bidi="en-US"/>
        </w:rPr>
        <w:t xml:space="preserve">Si por causas atribuibles a los beneficiarios de las indemnizaciones o a sus derechohabientes no fuese posible el pago de las cantidades determinadas dentro del plazo indicado, el Estado consignará dichos montos a su favor en una cuenta o certificado de depósito en una institución financiera </w:t>
      </w:r>
      <w:r w:rsidR="00E068B2" w:rsidRPr="0064597D">
        <w:rPr>
          <w:rFonts w:eastAsia="MS Mincho"/>
          <w:sz w:val="20"/>
          <w:szCs w:val="20"/>
          <w:lang w:bidi="en-US"/>
        </w:rPr>
        <w:t>guatemalteca</w:t>
      </w:r>
      <w:r w:rsidRPr="0064597D">
        <w:rPr>
          <w:rFonts w:eastAsia="MS Mincho"/>
          <w:sz w:val="20"/>
          <w:szCs w:val="20"/>
          <w:lang w:bidi="en-US"/>
        </w:rPr>
        <w:t xml:space="preserve"> solvente, en dólares estadounidenses, y en las condiciones financieras más favorables que permitan la legislación y la práctica bancaria. Si no se reclama la indemnización correspondiente una vez transcurridos diez años, las cantidades serán devueltas al Estado con los intereses devengados.</w:t>
      </w:r>
    </w:p>
    <w:p w14:paraId="48C71E78" w14:textId="77777777" w:rsidR="00413443" w:rsidRPr="0064597D" w:rsidRDefault="00413443" w:rsidP="00413443">
      <w:pPr>
        <w:spacing w:line="240" w:lineRule="auto"/>
        <w:ind w:left="720"/>
        <w:rPr>
          <w:sz w:val="20"/>
          <w:szCs w:val="20"/>
          <w:lang w:eastAsia="x-none"/>
        </w:rPr>
      </w:pPr>
    </w:p>
    <w:p w14:paraId="19E8C2A1" w14:textId="33B22256" w:rsidR="00413443" w:rsidRPr="0064597D" w:rsidRDefault="00413443" w:rsidP="00413443">
      <w:pPr>
        <w:numPr>
          <w:ilvl w:val="0"/>
          <w:numId w:val="1"/>
        </w:numPr>
        <w:tabs>
          <w:tab w:val="left" w:pos="567"/>
          <w:tab w:val="num" w:pos="5057"/>
        </w:tabs>
        <w:spacing w:line="240" w:lineRule="auto"/>
        <w:ind w:left="0" w:firstLine="0"/>
        <w:rPr>
          <w:rFonts w:eastAsia="MS Mincho"/>
          <w:sz w:val="20"/>
          <w:szCs w:val="20"/>
          <w:lang w:bidi="en-US"/>
        </w:rPr>
      </w:pPr>
      <w:r w:rsidRPr="0064597D">
        <w:rPr>
          <w:rFonts w:eastAsia="MS Mincho"/>
          <w:sz w:val="20"/>
          <w:szCs w:val="20"/>
          <w:lang w:bidi="en-US"/>
        </w:rPr>
        <w:t xml:space="preserve">Las cantidades asignadas en la presente Sentencia como indemnización y como reintegro de costas y gastos deberán ser entregadas a </w:t>
      </w:r>
      <w:r w:rsidR="00E068B2" w:rsidRPr="0064597D">
        <w:rPr>
          <w:rFonts w:eastAsia="MS Mincho"/>
          <w:sz w:val="20"/>
          <w:szCs w:val="20"/>
          <w:lang w:bidi="en-US"/>
        </w:rPr>
        <w:t>la persona</w:t>
      </w:r>
      <w:r w:rsidRPr="0064597D">
        <w:rPr>
          <w:rFonts w:eastAsia="MS Mincho"/>
          <w:sz w:val="20"/>
          <w:szCs w:val="20"/>
          <w:lang w:bidi="en-US"/>
        </w:rPr>
        <w:t xml:space="preserve"> y organizaciones indicadas en forma íntegra, conforme a lo establecido en esta Sentencia, sin reducciones derivadas de eventuales cargas fiscales.</w:t>
      </w:r>
    </w:p>
    <w:p w14:paraId="117F5695" w14:textId="77777777" w:rsidR="00413443" w:rsidRPr="0064597D" w:rsidRDefault="00413443" w:rsidP="00413443">
      <w:pPr>
        <w:spacing w:line="240" w:lineRule="auto"/>
        <w:ind w:left="720"/>
        <w:rPr>
          <w:sz w:val="20"/>
          <w:szCs w:val="20"/>
          <w:lang w:eastAsia="x-none"/>
        </w:rPr>
      </w:pPr>
    </w:p>
    <w:p w14:paraId="5D295F87" w14:textId="58B19570" w:rsidR="00413443" w:rsidRPr="0064597D" w:rsidRDefault="00413443" w:rsidP="00413443">
      <w:pPr>
        <w:numPr>
          <w:ilvl w:val="0"/>
          <w:numId w:val="1"/>
        </w:numPr>
        <w:tabs>
          <w:tab w:val="left" w:pos="567"/>
          <w:tab w:val="num" w:pos="5057"/>
        </w:tabs>
        <w:spacing w:line="240" w:lineRule="auto"/>
        <w:ind w:left="0" w:firstLine="0"/>
        <w:rPr>
          <w:rFonts w:eastAsia="MS Mincho"/>
          <w:sz w:val="20"/>
          <w:szCs w:val="20"/>
          <w:lang w:bidi="en-US"/>
        </w:rPr>
      </w:pPr>
      <w:r w:rsidRPr="0064597D">
        <w:rPr>
          <w:rFonts w:eastAsia="MS Mincho"/>
          <w:spacing w:val="-2"/>
          <w:sz w:val="20"/>
          <w:szCs w:val="20"/>
          <w:lang w:bidi="en-US"/>
        </w:rPr>
        <w:t>En caso de que el Estado incurriera en mora</w:t>
      </w:r>
      <w:r w:rsidRPr="0064597D">
        <w:rPr>
          <w:rFonts w:eastAsia="MS Mincho" w:cs="Verdana"/>
          <w:spacing w:val="-2"/>
          <w:sz w:val="20"/>
          <w:szCs w:val="20"/>
          <w:lang w:bidi="en-US"/>
        </w:rPr>
        <w:t xml:space="preserve">, incluyendo en el reintegro de los gastos al Fondo de </w:t>
      </w:r>
      <w:r w:rsidRPr="0064597D">
        <w:rPr>
          <w:rFonts w:eastAsia="MS Mincho"/>
          <w:sz w:val="20"/>
          <w:szCs w:val="20"/>
          <w:lang w:bidi="en-US"/>
        </w:rPr>
        <w:t>Asistencia</w:t>
      </w:r>
      <w:r w:rsidRPr="0064597D">
        <w:rPr>
          <w:rFonts w:eastAsia="MS Mincho" w:cs="Verdana"/>
          <w:spacing w:val="-2"/>
          <w:sz w:val="20"/>
          <w:szCs w:val="20"/>
          <w:lang w:bidi="en-US"/>
        </w:rPr>
        <w:t xml:space="preserve"> Legal de Víctimas de la Corte</w:t>
      </w:r>
      <w:r w:rsidRPr="0064597D">
        <w:rPr>
          <w:rFonts w:eastAsia="MS Mincho"/>
          <w:spacing w:val="-2"/>
          <w:sz w:val="20"/>
          <w:szCs w:val="20"/>
          <w:lang w:bidi="en-US"/>
        </w:rPr>
        <w:t xml:space="preserve">, deberá pagar un interés sobre la cantidad adeudada, correspondiente al interés bancario moratorio en la República </w:t>
      </w:r>
      <w:r w:rsidR="00E068B2" w:rsidRPr="0064597D">
        <w:rPr>
          <w:rFonts w:eastAsia="MS Mincho"/>
          <w:spacing w:val="-2"/>
          <w:sz w:val="20"/>
          <w:szCs w:val="20"/>
          <w:lang w:bidi="en-US"/>
        </w:rPr>
        <w:t>de Guatemala</w:t>
      </w:r>
      <w:r w:rsidRPr="0064597D">
        <w:rPr>
          <w:rFonts w:eastAsia="MS Mincho"/>
          <w:spacing w:val="-2"/>
          <w:sz w:val="20"/>
          <w:szCs w:val="20"/>
          <w:lang w:bidi="en-US"/>
        </w:rPr>
        <w:t>.</w:t>
      </w:r>
    </w:p>
    <w:p w14:paraId="746FC0BD" w14:textId="77777777" w:rsidR="00413443" w:rsidRPr="0064597D" w:rsidRDefault="00413443" w:rsidP="00E068B2">
      <w:pPr>
        <w:pStyle w:val="Ttulo1"/>
      </w:pPr>
      <w:bookmarkStart w:id="149" w:name="_Toc495658707"/>
      <w:bookmarkStart w:id="150" w:name="_Toc470180115"/>
      <w:bookmarkStart w:id="151" w:name="_Toc459158160"/>
      <w:bookmarkStart w:id="152" w:name="_Toc375517156"/>
      <w:bookmarkStart w:id="153" w:name="_Toc514172675"/>
      <w:bookmarkStart w:id="154" w:name="_Toc15933784"/>
      <w:bookmarkStart w:id="155" w:name="_Toc24014586"/>
      <w:r w:rsidRPr="0064597D">
        <w:t>X</w:t>
      </w:r>
      <w:r w:rsidRPr="0064597D">
        <w:br/>
        <w:t>PUNTOS RESOLUTIVOS</w:t>
      </w:r>
      <w:bookmarkEnd w:id="149"/>
      <w:bookmarkEnd w:id="150"/>
      <w:bookmarkEnd w:id="151"/>
      <w:bookmarkEnd w:id="152"/>
      <w:bookmarkEnd w:id="153"/>
      <w:bookmarkEnd w:id="154"/>
      <w:bookmarkEnd w:id="155"/>
    </w:p>
    <w:p w14:paraId="2FE7F4C7" w14:textId="4AA2A72F" w:rsidR="00703F3B" w:rsidRPr="0064597D" w:rsidRDefault="00DE123F" w:rsidP="00703F3B">
      <w:pPr>
        <w:tabs>
          <w:tab w:val="left" w:pos="720"/>
        </w:tabs>
        <w:spacing w:before="360" w:after="360" w:line="20" w:lineRule="atLeast"/>
        <w:ind w:right="-86"/>
        <w:contextualSpacing/>
        <w:rPr>
          <w:rFonts w:eastAsia="MS Mincho"/>
          <w:b/>
          <w:bCs/>
          <w:sz w:val="20"/>
          <w:szCs w:val="20"/>
          <w:lang w:bidi="en-US"/>
        </w:rPr>
      </w:pPr>
      <w:r w:rsidRPr="0064597D">
        <w:rPr>
          <w:rFonts w:eastAsia="MS Mincho"/>
          <w:b/>
          <w:bCs/>
          <w:sz w:val="20"/>
          <w:szCs w:val="20"/>
          <w:lang w:bidi="en-US"/>
        </w:rPr>
        <w:t>LA CORTE</w:t>
      </w:r>
    </w:p>
    <w:p w14:paraId="6FB33FC7" w14:textId="77777777" w:rsidR="00DE123F" w:rsidRPr="0064597D" w:rsidRDefault="00DE123F" w:rsidP="00703F3B">
      <w:pPr>
        <w:tabs>
          <w:tab w:val="left" w:pos="720"/>
        </w:tabs>
        <w:spacing w:before="360" w:after="360" w:line="20" w:lineRule="atLeast"/>
        <w:ind w:right="-86"/>
        <w:contextualSpacing/>
        <w:rPr>
          <w:rFonts w:eastAsia="MS Mincho"/>
          <w:b/>
          <w:bCs/>
          <w:sz w:val="20"/>
          <w:szCs w:val="20"/>
          <w:lang w:bidi="en-US"/>
        </w:rPr>
      </w:pPr>
    </w:p>
    <w:p w14:paraId="42BD1C06" w14:textId="77777777" w:rsidR="00DE123F" w:rsidRPr="0064597D" w:rsidRDefault="00DE123F" w:rsidP="00DE123F">
      <w:pPr>
        <w:tabs>
          <w:tab w:val="left" w:pos="720"/>
        </w:tabs>
        <w:spacing w:before="360" w:after="360" w:line="20" w:lineRule="atLeast"/>
        <w:ind w:right="-86"/>
        <w:contextualSpacing/>
        <w:rPr>
          <w:rFonts w:eastAsia="MS Mincho"/>
          <w:b/>
          <w:bCs/>
          <w:sz w:val="20"/>
          <w:szCs w:val="20"/>
          <w:lang w:bidi="en-US"/>
        </w:rPr>
      </w:pPr>
      <w:r w:rsidRPr="0064597D">
        <w:rPr>
          <w:rFonts w:eastAsia="MS Mincho"/>
          <w:b/>
          <w:bCs/>
          <w:sz w:val="20"/>
          <w:szCs w:val="20"/>
          <w:lang w:bidi="en-US"/>
        </w:rPr>
        <w:t xml:space="preserve">DECIDE, </w:t>
      </w:r>
    </w:p>
    <w:p w14:paraId="6BE8DB02" w14:textId="77777777" w:rsidR="00DE123F" w:rsidRPr="0064597D" w:rsidRDefault="00DE123F" w:rsidP="00DE123F">
      <w:pPr>
        <w:tabs>
          <w:tab w:val="left" w:pos="720"/>
        </w:tabs>
        <w:spacing w:before="360" w:after="360" w:line="20" w:lineRule="atLeast"/>
        <w:ind w:right="-86"/>
        <w:contextualSpacing/>
        <w:rPr>
          <w:rFonts w:eastAsia="MS Mincho"/>
          <w:b/>
          <w:bCs/>
          <w:sz w:val="20"/>
          <w:szCs w:val="20"/>
          <w:lang w:bidi="en-US"/>
        </w:rPr>
      </w:pPr>
    </w:p>
    <w:p w14:paraId="5F26CAD8" w14:textId="77777777" w:rsidR="00DE123F" w:rsidRPr="0064597D" w:rsidRDefault="00DE123F" w:rsidP="00DE123F">
      <w:pPr>
        <w:tabs>
          <w:tab w:val="left" w:pos="720"/>
        </w:tabs>
        <w:spacing w:before="360" w:after="360" w:line="20" w:lineRule="atLeast"/>
        <w:ind w:right="-86"/>
        <w:contextualSpacing/>
        <w:rPr>
          <w:rFonts w:eastAsia="MS Mincho"/>
          <w:bCs/>
          <w:sz w:val="20"/>
          <w:szCs w:val="20"/>
          <w:lang w:bidi="en-US"/>
        </w:rPr>
      </w:pPr>
      <w:r w:rsidRPr="0064597D">
        <w:rPr>
          <w:rFonts w:eastAsia="MS Mincho"/>
          <w:bCs/>
          <w:sz w:val="20"/>
          <w:szCs w:val="20"/>
          <w:lang w:bidi="en-US"/>
        </w:rPr>
        <w:t>Por unanimidad,</w:t>
      </w:r>
    </w:p>
    <w:p w14:paraId="6E40A8B1" w14:textId="77777777" w:rsidR="00DE123F" w:rsidRPr="0064597D" w:rsidRDefault="00DE123F" w:rsidP="00DE123F">
      <w:pPr>
        <w:tabs>
          <w:tab w:val="left" w:pos="720"/>
        </w:tabs>
        <w:spacing w:before="360" w:after="360" w:line="20" w:lineRule="atLeast"/>
        <w:ind w:right="-86"/>
        <w:contextualSpacing/>
        <w:rPr>
          <w:rFonts w:eastAsia="MS Mincho"/>
          <w:b/>
          <w:bCs/>
          <w:sz w:val="20"/>
          <w:szCs w:val="20"/>
          <w:lang w:bidi="en-US"/>
        </w:rPr>
      </w:pPr>
    </w:p>
    <w:p w14:paraId="4194818A" w14:textId="69700392" w:rsidR="00DE123F" w:rsidRPr="0064597D" w:rsidRDefault="00DE123F" w:rsidP="00DE123F">
      <w:pPr>
        <w:numPr>
          <w:ilvl w:val="0"/>
          <w:numId w:val="7"/>
        </w:numPr>
        <w:tabs>
          <w:tab w:val="left" w:pos="720"/>
        </w:tabs>
        <w:spacing w:line="20" w:lineRule="atLeast"/>
        <w:ind w:right="-90"/>
        <w:contextualSpacing/>
        <w:rPr>
          <w:kern w:val="2"/>
          <w:sz w:val="20"/>
          <w:szCs w:val="20"/>
        </w:rPr>
      </w:pPr>
      <w:r w:rsidRPr="0064597D">
        <w:rPr>
          <w:kern w:val="2"/>
          <w:sz w:val="20"/>
          <w:szCs w:val="20"/>
        </w:rPr>
        <w:t xml:space="preserve">Desestimar la excepción preliminar interpuesta por el Estado, en los términos de los párrafos </w:t>
      </w:r>
      <w:r w:rsidR="002B2691" w:rsidRPr="0064597D">
        <w:rPr>
          <w:kern w:val="2"/>
          <w:sz w:val="20"/>
          <w:szCs w:val="20"/>
        </w:rPr>
        <w:t>18</w:t>
      </w:r>
      <w:r w:rsidRPr="0064597D">
        <w:rPr>
          <w:kern w:val="2"/>
          <w:sz w:val="20"/>
          <w:szCs w:val="20"/>
        </w:rPr>
        <w:t xml:space="preserve"> a </w:t>
      </w:r>
      <w:r w:rsidR="002B2691" w:rsidRPr="0064597D">
        <w:rPr>
          <w:kern w:val="2"/>
          <w:sz w:val="20"/>
          <w:szCs w:val="20"/>
        </w:rPr>
        <w:t>19</w:t>
      </w:r>
      <w:r w:rsidRPr="0064597D">
        <w:rPr>
          <w:kern w:val="2"/>
          <w:sz w:val="20"/>
          <w:szCs w:val="20"/>
        </w:rPr>
        <w:t xml:space="preserve"> de esta Sentencia.</w:t>
      </w:r>
    </w:p>
    <w:p w14:paraId="4E8FEE39" w14:textId="77777777" w:rsidR="00DE123F" w:rsidRPr="0064597D" w:rsidRDefault="00DE123F" w:rsidP="00703F3B">
      <w:pPr>
        <w:tabs>
          <w:tab w:val="left" w:pos="720"/>
        </w:tabs>
        <w:spacing w:before="360" w:after="360" w:line="20" w:lineRule="atLeast"/>
        <w:ind w:right="-86"/>
        <w:contextualSpacing/>
        <w:rPr>
          <w:rFonts w:eastAsia="MS Mincho"/>
          <w:b/>
          <w:bCs/>
          <w:sz w:val="20"/>
          <w:szCs w:val="20"/>
          <w:lang w:bidi="en-US"/>
        </w:rPr>
      </w:pPr>
    </w:p>
    <w:p w14:paraId="36DB9FD8" w14:textId="77777777" w:rsidR="00703F3B" w:rsidRPr="0064597D" w:rsidRDefault="00703F3B" w:rsidP="00703F3B">
      <w:pPr>
        <w:tabs>
          <w:tab w:val="left" w:pos="720"/>
        </w:tabs>
        <w:spacing w:before="360" w:after="360" w:line="20" w:lineRule="atLeast"/>
        <w:ind w:right="-86"/>
        <w:contextualSpacing/>
        <w:rPr>
          <w:rFonts w:eastAsia="MS Mincho"/>
          <w:b/>
          <w:bCs/>
          <w:sz w:val="20"/>
          <w:szCs w:val="20"/>
          <w:lang w:bidi="en-US"/>
        </w:rPr>
      </w:pPr>
      <w:r w:rsidRPr="0064597D">
        <w:rPr>
          <w:rFonts w:eastAsia="MS Mincho"/>
          <w:b/>
          <w:bCs/>
          <w:sz w:val="20"/>
          <w:szCs w:val="20"/>
          <w:lang w:bidi="en-US"/>
        </w:rPr>
        <w:t>DECLARA:</w:t>
      </w:r>
    </w:p>
    <w:p w14:paraId="228FF491" w14:textId="77777777" w:rsidR="00703F3B" w:rsidRPr="0064597D" w:rsidRDefault="00703F3B" w:rsidP="00703F3B">
      <w:pPr>
        <w:tabs>
          <w:tab w:val="left" w:pos="720"/>
        </w:tabs>
        <w:spacing w:line="20" w:lineRule="atLeast"/>
        <w:ind w:right="-90"/>
        <w:contextualSpacing/>
        <w:rPr>
          <w:rFonts w:eastAsia="MS Mincho"/>
          <w:sz w:val="20"/>
          <w:szCs w:val="20"/>
          <w:lang w:bidi="en-US"/>
        </w:rPr>
      </w:pPr>
    </w:p>
    <w:p w14:paraId="07A62304" w14:textId="08B56C82" w:rsidR="00703F3B" w:rsidRPr="0064597D" w:rsidRDefault="00703F3B" w:rsidP="00703F3B">
      <w:pPr>
        <w:tabs>
          <w:tab w:val="left" w:pos="720"/>
        </w:tabs>
        <w:spacing w:line="20" w:lineRule="atLeast"/>
        <w:ind w:right="-90"/>
        <w:contextualSpacing/>
        <w:rPr>
          <w:rFonts w:eastAsia="MS Mincho"/>
          <w:sz w:val="20"/>
          <w:szCs w:val="20"/>
          <w:lang w:bidi="en-US"/>
        </w:rPr>
      </w:pPr>
      <w:r w:rsidRPr="0064597D">
        <w:rPr>
          <w:rFonts w:eastAsia="MS Mincho"/>
          <w:sz w:val="20"/>
          <w:szCs w:val="20"/>
          <w:lang w:bidi="en-US"/>
        </w:rPr>
        <w:t xml:space="preserve">Por </w:t>
      </w:r>
      <w:r w:rsidR="007A21E6" w:rsidRPr="0064597D">
        <w:rPr>
          <w:rFonts w:eastAsia="MS Mincho"/>
          <w:sz w:val="20"/>
          <w:szCs w:val="20"/>
          <w:lang w:bidi="en-US"/>
        </w:rPr>
        <w:t>unanimidad</w:t>
      </w:r>
      <w:r w:rsidRPr="0064597D">
        <w:rPr>
          <w:rFonts w:eastAsia="MS Mincho"/>
          <w:sz w:val="20"/>
          <w:szCs w:val="20"/>
          <w:lang w:bidi="en-US"/>
        </w:rPr>
        <w:t>, que:</w:t>
      </w:r>
    </w:p>
    <w:p w14:paraId="0B99F6BF" w14:textId="77777777" w:rsidR="00703F3B" w:rsidRPr="0064597D" w:rsidRDefault="00703F3B" w:rsidP="00703F3B">
      <w:pPr>
        <w:spacing w:line="20" w:lineRule="atLeast"/>
        <w:ind w:right="-90"/>
        <w:contextualSpacing/>
        <w:rPr>
          <w:rFonts w:eastAsia="MS Mincho"/>
          <w:sz w:val="20"/>
          <w:szCs w:val="20"/>
          <w:lang w:bidi="en-US"/>
        </w:rPr>
      </w:pPr>
    </w:p>
    <w:p w14:paraId="2C9BA9E5" w14:textId="245DE589" w:rsidR="00703F3B" w:rsidRPr="0064597D" w:rsidRDefault="00703F3B" w:rsidP="00703F3B">
      <w:pPr>
        <w:numPr>
          <w:ilvl w:val="0"/>
          <w:numId w:val="7"/>
        </w:numPr>
        <w:tabs>
          <w:tab w:val="left" w:pos="720"/>
        </w:tabs>
        <w:spacing w:line="20" w:lineRule="atLeast"/>
        <w:ind w:right="-90"/>
        <w:contextualSpacing/>
        <w:rPr>
          <w:sz w:val="20"/>
          <w:szCs w:val="20"/>
        </w:rPr>
      </w:pPr>
      <w:r w:rsidRPr="0064597D">
        <w:rPr>
          <w:kern w:val="2"/>
          <w:sz w:val="20"/>
          <w:szCs w:val="20"/>
        </w:rPr>
        <w:t xml:space="preserve">El Estado es responsable por la violación del derecho a la vida consagrado </w:t>
      </w:r>
      <w:r w:rsidRPr="0064597D">
        <w:rPr>
          <w:sz w:val="20"/>
          <w:szCs w:val="20"/>
        </w:rPr>
        <w:t xml:space="preserve">en </w:t>
      </w:r>
      <w:r w:rsidR="00CA0126" w:rsidRPr="0064597D">
        <w:rPr>
          <w:sz w:val="20"/>
          <w:szCs w:val="20"/>
        </w:rPr>
        <w:t>los</w:t>
      </w:r>
      <w:r w:rsidRPr="0064597D">
        <w:rPr>
          <w:sz w:val="20"/>
          <w:szCs w:val="20"/>
        </w:rPr>
        <w:t xml:space="preserve"> artículo</w:t>
      </w:r>
      <w:r w:rsidR="00CA0126" w:rsidRPr="0064597D">
        <w:rPr>
          <w:sz w:val="20"/>
          <w:szCs w:val="20"/>
        </w:rPr>
        <w:t>s</w:t>
      </w:r>
      <w:r w:rsidRPr="0064597D">
        <w:rPr>
          <w:sz w:val="20"/>
          <w:szCs w:val="20"/>
        </w:rPr>
        <w:t xml:space="preserve"> 4.2 y 4.6</w:t>
      </w:r>
      <w:r w:rsidR="00CA0126" w:rsidRPr="0064597D">
        <w:rPr>
          <w:sz w:val="20"/>
          <w:szCs w:val="20"/>
        </w:rPr>
        <w:t xml:space="preserve"> </w:t>
      </w:r>
      <w:r w:rsidRPr="0064597D">
        <w:rPr>
          <w:sz w:val="20"/>
          <w:szCs w:val="20"/>
        </w:rPr>
        <w:t>de la Convención</w:t>
      </w:r>
      <w:r w:rsidRPr="0064597D">
        <w:rPr>
          <w:kern w:val="2"/>
          <w:sz w:val="20"/>
          <w:szCs w:val="20"/>
        </w:rPr>
        <w:t xml:space="preserve"> Americana sobre Derechos Humanos</w:t>
      </w:r>
      <w:r w:rsidRPr="0064597D">
        <w:rPr>
          <w:sz w:val="20"/>
          <w:szCs w:val="20"/>
        </w:rPr>
        <w:t xml:space="preserve">, en relación </w:t>
      </w:r>
      <w:r w:rsidRPr="0064597D">
        <w:rPr>
          <w:kern w:val="2"/>
          <w:sz w:val="20"/>
          <w:szCs w:val="20"/>
        </w:rPr>
        <w:t>con la obligación de garantizar los derechos establecida en el artículo 1.1 y 2 de la Convención</w:t>
      </w:r>
      <w:r w:rsidR="007A21E6" w:rsidRPr="0064597D">
        <w:rPr>
          <w:kern w:val="2"/>
          <w:sz w:val="20"/>
          <w:szCs w:val="20"/>
        </w:rPr>
        <w:t>, por la imposición de la pena de muerte, en perjuicio</w:t>
      </w:r>
      <w:r w:rsidRPr="0064597D">
        <w:rPr>
          <w:kern w:val="2"/>
          <w:sz w:val="20"/>
          <w:szCs w:val="20"/>
        </w:rPr>
        <w:t xml:space="preserve"> Hugo Humberto Ruiz Fuentes, </w:t>
      </w:r>
      <w:r w:rsidRPr="0064597D">
        <w:rPr>
          <w:sz w:val="20"/>
          <w:szCs w:val="20"/>
        </w:rPr>
        <w:t xml:space="preserve">en los términos de los párrafos </w:t>
      </w:r>
      <w:r w:rsidR="00470E44" w:rsidRPr="0064597D">
        <w:rPr>
          <w:sz w:val="20"/>
          <w:szCs w:val="20"/>
        </w:rPr>
        <w:t>78</w:t>
      </w:r>
      <w:r w:rsidRPr="0064597D">
        <w:rPr>
          <w:sz w:val="20"/>
          <w:szCs w:val="20"/>
        </w:rPr>
        <w:t xml:space="preserve"> a </w:t>
      </w:r>
      <w:r w:rsidR="00BE49FF">
        <w:rPr>
          <w:sz w:val="20"/>
          <w:szCs w:val="20"/>
        </w:rPr>
        <w:t>94</w:t>
      </w:r>
      <w:r w:rsidRPr="0064597D">
        <w:rPr>
          <w:sz w:val="20"/>
          <w:szCs w:val="20"/>
        </w:rPr>
        <w:t xml:space="preserve"> de la presente Sentencia.</w:t>
      </w:r>
    </w:p>
    <w:p w14:paraId="549766D1" w14:textId="77777777" w:rsidR="00CA131D" w:rsidRPr="0064597D" w:rsidRDefault="00CA131D" w:rsidP="00CA131D">
      <w:pPr>
        <w:tabs>
          <w:tab w:val="left" w:pos="720"/>
        </w:tabs>
        <w:spacing w:line="20" w:lineRule="atLeast"/>
        <w:ind w:right="-90"/>
        <w:contextualSpacing/>
        <w:rPr>
          <w:sz w:val="20"/>
          <w:szCs w:val="20"/>
        </w:rPr>
      </w:pPr>
    </w:p>
    <w:p w14:paraId="53FAF5B6" w14:textId="42795CD7" w:rsidR="00703F3B" w:rsidRPr="0064597D" w:rsidRDefault="004C0FB0" w:rsidP="008D1A0F">
      <w:pPr>
        <w:numPr>
          <w:ilvl w:val="0"/>
          <w:numId w:val="7"/>
        </w:numPr>
        <w:tabs>
          <w:tab w:val="left" w:pos="720"/>
        </w:tabs>
        <w:spacing w:line="20" w:lineRule="atLeast"/>
        <w:ind w:right="-90"/>
        <w:contextualSpacing/>
        <w:rPr>
          <w:rFonts w:eastAsia="MS Mincho"/>
          <w:sz w:val="20"/>
          <w:szCs w:val="20"/>
          <w:lang w:eastAsia="en-US"/>
        </w:rPr>
      </w:pPr>
      <w:r w:rsidRPr="0064597D">
        <w:rPr>
          <w:kern w:val="2"/>
          <w:sz w:val="20"/>
          <w:szCs w:val="20"/>
        </w:rPr>
        <w:t>El</w:t>
      </w:r>
      <w:r w:rsidR="00703F3B" w:rsidRPr="0064597D">
        <w:rPr>
          <w:kern w:val="2"/>
          <w:sz w:val="20"/>
          <w:szCs w:val="20"/>
        </w:rPr>
        <w:t xml:space="preserve"> Estado es responsable por la violación del derecho a la vida consagrado</w:t>
      </w:r>
      <w:r w:rsidR="00CA0126" w:rsidRPr="0064597D">
        <w:rPr>
          <w:kern w:val="2"/>
          <w:sz w:val="20"/>
          <w:szCs w:val="20"/>
        </w:rPr>
        <w:t xml:space="preserve"> </w:t>
      </w:r>
      <w:r w:rsidR="00703F3B" w:rsidRPr="0064597D">
        <w:rPr>
          <w:rFonts w:eastAsia="Verdana" w:cs="Verdana"/>
          <w:spacing w:val="1"/>
          <w:sz w:val="20"/>
          <w:szCs w:val="20"/>
          <w:lang w:val="es-ES"/>
        </w:rPr>
        <w:t xml:space="preserve">en el artículo 4.1 </w:t>
      </w:r>
      <w:r w:rsidR="008D1A0F" w:rsidRPr="0064597D">
        <w:rPr>
          <w:rFonts w:eastAsia="Verdana" w:cs="Verdana"/>
          <w:spacing w:val="1"/>
          <w:sz w:val="20"/>
          <w:szCs w:val="20"/>
          <w:lang w:val="es-ES"/>
        </w:rPr>
        <w:t xml:space="preserve">de la Convención Americana sobre Derechos Humanos, </w:t>
      </w:r>
      <w:r w:rsidR="00703F3B" w:rsidRPr="0064597D">
        <w:rPr>
          <w:rFonts w:eastAsia="Verdana" w:cs="Verdana"/>
          <w:spacing w:val="1"/>
          <w:sz w:val="20"/>
          <w:szCs w:val="20"/>
          <w:lang w:val="es-ES"/>
        </w:rPr>
        <w:t xml:space="preserve">en relación con lo dispuesto en el artículo 1.1 de la </w:t>
      </w:r>
      <w:r w:rsidR="00703F3B" w:rsidRPr="0064597D">
        <w:rPr>
          <w:kern w:val="2"/>
          <w:sz w:val="20"/>
          <w:szCs w:val="20"/>
        </w:rPr>
        <w:t>Convención</w:t>
      </w:r>
      <w:r w:rsidR="00703F3B" w:rsidRPr="0064597D">
        <w:rPr>
          <w:rFonts w:eastAsia="Verdana" w:cs="Verdana"/>
          <w:spacing w:val="1"/>
          <w:sz w:val="20"/>
          <w:szCs w:val="20"/>
          <w:lang w:val="es-ES"/>
        </w:rPr>
        <w:t xml:space="preserve">, </w:t>
      </w:r>
      <w:r w:rsidR="007A21E6" w:rsidRPr="0064597D">
        <w:rPr>
          <w:kern w:val="2"/>
          <w:sz w:val="20"/>
          <w:szCs w:val="20"/>
        </w:rPr>
        <w:t>por la muerte de Hugo Humberto Ruiz Fuentes,</w:t>
      </w:r>
      <w:r w:rsidR="00703F3B" w:rsidRPr="0064597D">
        <w:rPr>
          <w:kern w:val="2"/>
          <w:sz w:val="20"/>
          <w:szCs w:val="20"/>
        </w:rPr>
        <w:t xml:space="preserve"> </w:t>
      </w:r>
      <w:r w:rsidR="00703F3B" w:rsidRPr="0064597D">
        <w:rPr>
          <w:sz w:val="20"/>
          <w:szCs w:val="20"/>
        </w:rPr>
        <w:t xml:space="preserve">en los términos de los párrafos </w:t>
      </w:r>
      <w:r w:rsidR="00470E44" w:rsidRPr="0064597D">
        <w:rPr>
          <w:sz w:val="20"/>
          <w:szCs w:val="20"/>
        </w:rPr>
        <w:t>10</w:t>
      </w:r>
      <w:r w:rsidR="00BE49FF">
        <w:rPr>
          <w:sz w:val="20"/>
          <w:szCs w:val="20"/>
        </w:rPr>
        <w:t>0</w:t>
      </w:r>
      <w:r w:rsidR="00703F3B" w:rsidRPr="0064597D">
        <w:rPr>
          <w:sz w:val="20"/>
          <w:szCs w:val="20"/>
        </w:rPr>
        <w:t xml:space="preserve"> a </w:t>
      </w:r>
      <w:r w:rsidR="00BE49FF">
        <w:rPr>
          <w:sz w:val="20"/>
          <w:szCs w:val="20"/>
        </w:rPr>
        <w:t>113</w:t>
      </w:r>
      <w:r w:rsidR="00703F3B" w:rsidRPr="0064597D">
        <w:rPr>
          <w:sz w:val="20"/>
          <w:szCs w:val="20"/>
        </w:rPr>
        <w:t xml:space="preserve"> de la presente Sentencia.</w:t>
      </w:r>
    </w:p>
    <w:p w14:paraId="46FD69CD" w14:textId="77777777" w:rsidR="00703F3B" w:rsidRPr="0064597D" w:rsidRDefault="00703F3B" w:rsidP="00703F3B">
      <w:pPr>
        <w:tabs>
          <w:tab w:val="left" w:pos="720"/>
        </w:tabs>
        <w:spacing w:line="20" w:lineRule="atLeast"/>
        <w:ind w:right="-90"/>
        <w:contextualSpacing/>
        <w:rPr>
          <w:sz w:val="20"/>
          <w:szCs w:val="20"/>
        </w:rPr>
      </w:pPr>
    </w:p>
    <w:p w14:paraId="2BF7B76B" w14:textId="19A62A0B" w:rsidR="00703F3B" w:rsidRPr="0064597D" w:rsidRDefault="00703F3B" w:rsidP="00703F3B">
      <w:pPr>
        <w:numPr>
          <w:ilvl w:val="0"/>
          <w:numId w:val="7"/>
        </w:numPr>
        <w:tabs>
          <w:tab w:val="left" w:pos="720"/>
        </w:tabs>
        <w:spacing w:line="20" w:lineRule="atLeast"/>
        <w:ind w:right="-90"/>
        <w:contextualSpacing/>
        <w:rPr>
          <w:b/>
          <w:i/>
          <w:sz w:val="20"/>
          <w:szCs w:val="20"/>
          <w:lang w:eastAsia="en-US"/>
        </w:rPr>
      </w:pPr>
      <w:r w:rsidRPr="0064597D">
        <w:rPr>
          <w:sz w:val="20"/>
          <w:szCs w:val="20"/>
          <w:lang w:val="es-ES_tradnl"/>
        </w:rPr>
        <w:t>El Estado es responsable por la violación del derecho a la integridad personal y prohibición de</w:t>
      </w:r>
      <w:r w:rsidR="00CA0126" w:rsidRPr="0064597D">
        <w:rPr>
          <w:sz w:val="20"/>
          <w:szCs w:val="20"/>
          <w:lang w:val="es-ES_tradnl"/>
        </w:rPr>
        <w:t xml:space="preserve"> </w:t>
      </w:r>
      <w:r w:rsidRPr="0064597D">
        <w:rPr>
          <w:sz w:val="20"/>
          <w:szCs w:val="20"/>
          <w:lang w:val="es-ES_tradnl"/>
        </w:rPr>
        <w:t>la</w:t>
      </w:r>
      <w:r w:rsidR="00CA0126" w:rsidRPr="0064597D">
        <w:rPr>
          <w:sz w:val="20"/>
          <w:szCs w:val="20"/>
          <w:lang w:val="es-ES_tradnl"/>
        </w:rPr>
        <w:t xml:space="preserve"> </w:t>
      </w:r>
      <w:r w:rsidRPr="0064597D">
        <w:rPr>
          <w:sz w:val="20"/>
          <w:szCs w:val="20"/>
          <w:lang w:val="es-ES_tradnl"/>
        </w:rPr>
        <w:t>tortura</w:t>
      </w:r>
      <w:r w:rsidR="00CA0126" w:rsidRPr="0064597D">
        <w:rPr>
          <w:sz w:val="20"/>
          <w:szCs w:val="20"/>
          <w:lang w:val="es-ES_tradnl"/>
        </w:rPr>
        <w:t xml:space="preserve"> </w:t>
      </w:r>
      <w:r w:rsidRPr="0064597D">
        <w:rPr>
          <w:sz w:val="20"/>
          <w:szCs w:val="20"/>
          <w:lang w:val="es-ES_tradnl"/>
        </w:rPr>
        <w:t>y</w:t>
      </w:r>
      <w:r w:rsidR="00CA0126" w:rsidRPr="0064597D">
        <w:rPr>
          <w:sz w:val="20"/>
          <w:szCs w:val="20"/>
          <w:lang w:val="es-ES_tradnl"/>
        </w:rPr>
        <w:t xml:space="preserve"> </w:t>
      </w:r>
      <w:r w:rsidRPr="0064597D">
        <w:rPr>
          <w:sz w:val="20"/>
          <w:szCs w:val="20"/>
          <w:lang w:val="es-ES_tradnl"/>
        </w:rPr>
        <w:t>otros</w:t>
      </w:r>
      <w:r w:rsidR="00CA0126" w:rsidRPr="0064597D">
        <w:rPr>
          <w:sz w:val="20"/>
          <w:szCs w:val="20"/>
          <w:lang w:val="es-ES_tradnl"/>
        </w:rPr>
        <w:t xml:space="preserve"> </w:t>
      </w:r>
      <w:r w:rsidRPr="0064597D">
        <w:rPr>
          <w:kern w:val="2"/>
          <w:sz w:val="20"/>
          <w:szCs w:val="20"/>
        </w:rPr>
        <w:t>tratos</w:t>
      </w:r>
      <w:r w:rsidR="00CA0126" w:rsidRPr="0064597D">
        <w:rPr>
          <w:sz w:val="20"/>
          <w:szCs w:val="20"/>
          <w:lang w:val="es-ES_tradnl"/>
        </w:rPr>
        <w:t xml:space="preserve"> </w:t>
      </w:r>
      <w:r w:rsidRPr="0064597D">
        <w:rPr>
          <w:sz w:val="20"/>
          <w:szCs w:val="20"/>
          <w:lang w:val="es-ES_tradnl"/>
        </w:rPr>
        <w:t>crueles,</w:t>
      </w:r>
      <w:r w:rsidR="00CA0126" w:rsidRPr="0064597D">
        <w:rPr>
          <w:sz w:val="20"/>
          <w:szCs w:val="20"/>
          <w:lang w:val="es-ES_tradnl"/>
        </w:rPr>
        <w:t xml:space="preserve"> </w:t>
      </w:r>
      <w:r w:rsidRPr="0064597D">
        <w:rPr>
          <w:sz w:val="20"/>
          <w:szCs w:val="20"/>
          <w:lang w:val="es-ES_tradnl"/>
        </w:rPr>
        <w:t>inhumanos</w:t>
      </w:r>
      <w:r w:rsidR="00CA0126" w:rsidRPr="0064597D">
        <w:rPr>
          <w:sz w:val="20"/>
          <w:szCs w:val="20"/>
          <w:lang w:val="es-ES_tradnl"/>
        </w:rPr>
        <w:t xml:space="preserve"> </w:t>
      </w:r>
      <w:r w:rsidRPr="0064597D">
        <w:rPr>
          <w:sz w:val="20"/>
          <w:szCs w:val="20"/>
          <w:lang w:val="es-ES_tradnl"/>
        </w:rPr>
        <w:t>o</w:t>
      </w:r>
      <w:r w:rsidR="00CA0126" w:rsidRPr="0064597D">
        <w:rPr>
          <w:sz w:val="20"/>
          <w:szCs w:val="20"/>
          <w:lang w:val="es-ES_tradnl"/>
        </w:rPr>
        <w:t xml:space="preserve"> </w:t>
      </w:r>
      <w:r w:rsidRPr="0064597D">
        <w:rPr>
          <w:sz w:val="20"/>
          <w:szCs w:val="20"/>
          <w:lang w:val="es-ES_tradnl"/>
        </w:rPr>
        <w:t xml:space="preserve">degradantes, consagrado en </w:t>
      </w:r>
      <w:r w:rsidR="00063252" w:rsidRPr="0064597D">
        <w:rPr>
          <w:sz w:val="20"/>
          <w:szCs w:val="20"/>
          <w:lang w:eastAsia="en-US"/>
        </w:rPr>
        <w:t>los</w:t>
      </w:r>
      <w:r w:rsidRPr="0064597D">
        <w:rPr>
          <w:sz w:val="20"/>
          <w:szCs w:val="20"/>
          <w:lang w:eastAsia="en-US"/>
        </w:rPr>
        <w:t xml:space="preserve"> artículo</w:t>
      </w:r>
      <w:r w:rsidR="00063252" w:rsidRPr="0064597D">
        <w:rPr>
          <w:sz w:val="20"/>
          <w:szCs w:val="20"/>
          <w:lang w:eastAsia="en-US"/>
        </w:rPr>
        <w:t>s 5.1,</w:t>
      </w:r>
      <w:r w:rsidRPr="0064597D">
        <w:rPr>
          <w:sz w:val="20"/>
          <w:szCs w:val="20"/>
          <w:lang w:eastAsia="en-US"/>
        </w:rPr>
        <w:t xml:space="preserve"> 5.2 de la </w:t>
      </w:r>
      <w:r w:rsidR="008D1A0F" w:rsidRPr="0064597D">
        <w:rPr>
          <w:rFonts w:eastAsia="Verdana" w:cs="Verdana"/>
          <w:spacing w:val="1"/>
          <w:sz w:val="20"/>
          <w:szCs w:val="20"/>
          <w:lang w:val="es-ES"/>
        </w:rPr>
        <w:t>Convención Americana sobre Derechos Humanos</w:t>
      </w:r>
      <w:r w:rsidRPr="0064597D">
        <w:rPr>
          <w:sz w:val="20"/>
          <w:szCs w:val="20"/>
          <w:lang w:eastAsia="en-US"/>
        </w:rPr>
        <w:t xml:space="preserve">, </w:t>
      </w:r>
      <w:r w:rsidRPr="0064597D">
        <w:rPr>
          <w:bCs/>
          <w:iCs/>
          <w:sz w:val="20"/>
          <w:szCs w:val="20"/>
        </w:rPr>
        <w:t>en relación con el artículo 1.1 de la Convención</w:t>
      </w:r>
      <w:r w:rsidRPr="0064597D">
        <w:rPr>
          <w:sz w:val="20"/>
          <w:szCs w:val="20"/>
          <w:lang w:eastAsia="en-US"/>
        </w:rPr>
        <w:t xml:space="preserve">, </w:t>
      </w:r>
      <w:r w:rsidR="00063252" w:rsidRPr="0064597D">
        <w:rPr>
          <w:sz w:val="20"/>
          <w:szCs w:val="20"/>
          <w:lang w:eastAsia="en-US"/>
        </w:rPr>
        <w:t xml:space="preserve">y en los artículos 1 y </w:t>
      </w:r>
      <w:r w:rsidRPr="0064597D">
        <w:rPr>
          <w:sz w:val="20"/>
          <w:szCs w:val="20"/>
          <w:lang w:eastAsia="en-US"/>
        </w:rPr>
        <w:t>6 de la Convención Interamericana para prevenir y sancionar la tortura</w:t>
      </w:r>
      <w:r w:rsidRPr="0064597D">
        <w:rPr>
          <w:rFonts w:eastAsia="Verdana" w:cs="Verdana"/>
          <w:spacing w:val="1"/>
          <w:sz w:val="20"/>
          <w:szCs w:val="20"/>
          <w:lang w:val="es-ES"/>
        </w:rPr>
        <w:t xml:space="preserve">, </w:t>
      </w:r>
      <w:r w:rsidRPr="0064597D">
        <w:rPr>
          <w:kern w:val="2"/>
          <w:sz w:val="20"/>
          <w:szCs w:val="20"/>
        </w:rPr>
        <w:t xml:space="preserve">en perjuicio de Hugo Humberto Ruiz Fuentes, </w:t>
      </w:r>
      <w:r w:rsidRPr="0064597D">
        <w:rPr>
          <w:sz w:val="20"/>
          <w:szCs w:val="20"/>
        </w:rPr>
        <w:t xml:space="preserve">en los términos de los párrafos </w:t>
      </w:r>
      <w:r w:rsidR="00BE49FF">
        <w:rPr>
          <w:sz w:val="20"/>
          <w:szCs w:val="20"/>
        </w:rPr>
        <w:t>123</w:t>
      </w:r>
      <w:r w:rsidRPr="0064597D">
        <w:rPr>
          <w:sz w:val="20"/>
          <w:szCs w:val="20"/>
        </w:rPr>
        <w:t xml:space="preserve"> a </w:t>
      </w:r>
      <w:r w:rsidR="00470E44" w:rsidRPr="0064597D">
        <w:rPr>
          <w:sz w:val="20"/>
          <w:szCs w:val="20"/>
        </w:rPr>
        <w:t>13</w:t>
      </w:r>
      <w:r w:rsidR="00BE49FF">
        <w:rPr>
          <w:sz w:val="20"/>
          <w:szCs w:val="20"/>
        </w:rPr>
        <w:t>7</w:t>
      </w:r>
      <w:r w:rsidRPr="0064597D">
        <w:rPr>
          <w:sz w:val="20"/>
          <w:szCs w:val="20"/>
        </w:rPr>
        <w:t xml:space="preserve"> de la presente Sentencia.</w:t>
      </w:r>
    </w:p>
    <w:p w14:paraId="64157DDF" w14:textId="77777777" w:rsidR="00703F3B" w:rsidRPr="0064597D" w:rsidRDefault="00703F3B" w:rsidP="00703F3B">
      <w:pPr>
        <w:tabs>
          <w:tab w:val="left" w:pos="567"/>
        </w:tabs>
        <w:spacing w:line="240" w:lineRule="auto"/>
        <w:rPr>
          <w:sz w:val="20"/>
          <w:szCs w:val="20"/>
        </w:rPr>
      </w:pPr>
    </w:p>
    <w:p w14:paraId="43B5E2D1" w14:textId="67693B1E" w:rsidR="008D1A0F" w:rsidRPr="0064597D" w:rsidRDefault="00703F3B" w:rsidP="008D1A0F">
      <w:pPr>
        <w:numPr>
          <w:ilvl w:val="0"/>
          <w:numId w:val="7"/>
        </w:numPr>
        <w:tabs>
          <w:tab w:val="left" w:pos="720"/>
        </w:tabs>
        <w:spacing w:line="20" w:lineRule="atLeast"/>
        <w:ind w:right="-90"/>
        <w:contextualSpacing/>
        <w:rPr>
          <w:b/>
          <w:i/>
          <w:sz w:val="20"/>
          <w:szCs w:val="20"/>
          <w:lang w:eastAsia="en-US"/>
        </w:rPr>
      </w:pPr>
      <w:r w:rsidRPr="0064597D">
        <w:rPr>
          <w:sz w:val="20"/>
          <w:szCs w:val="20"/>
        </w:rPr>
        <w:t xml:space="preserve">El Estado es responsable por la violación del derecho a las garantías judiciales </w:t>
      </w:r>
      <w:r w:rsidRPr="0064597D">
        <w:rPr>
          <w:rFonts w:eastAsia="Verdana" w:cs="Verdana"/>
          <w:sz w:val="20"/>
          <w:szCs w:val="20"/>
        </w:rPr>
        <w:t xml:space="preserve">consagrado en los artículos </w:t>
      </w:r>
      <w:r w:rsidR="008D1A0F" w:rsidRPr="0064597D">
        <w:rPr>
          <w:rFonts w:eastAsia="Verdana" w:cs="Verdana"/>
          <w:sz w:val="20"/>
          <w:szCs w:val="20"/>
        </w:rPr>
        <w:t>8.2.c</w:t>
      </w:r>
      <w:r w:rsidR="007C2F92" w:rsidRPr="0064597D">
        <w:rPr>
          <w:rFonts w:eastAsia="Verdana" w:cs="Verdana"/>
          <w:sz w:val="20"/>
          <w:szCs w:val="20"/>
        </w:rPr>
        <w:t>)</w:t>
      </w:r>
      <w:r w:rsidR="008D1A0F" w:rsidRPr="0064597D">
        <w:rPr>
          <w:rFonts w:eastAsia="Verdana" w:cs="Verdana"/>
          <w:sz w:val="20"/>
          <w:szCs w:val="20"/>
        </w:rPr>
        <w:t xml:space="preserve"> y 8.2.h</w:t>
      </w:r>
      <w:r w:rsidR="007C2F92" w:rsidRPr="0064597D">
        <w:rPr>
          <w:rFonts w:eastAsia="Verdana" w:cs="Verdana"/>
          <w:sz w:val="20"/>
          <w:szCs w:val="20"/>
        </w:rPr>
        <w:t>)</w:t>
      </w:r>
      <w:r w:rsidRPr="0064597D">
        <w:rPr>
          <w:rFonts w:eastAsia="Verdana" w:cs="Verdana"/>
          <w:sz w:val="20"/>
          <w:szCs w:val="20"/>
        </w:rPr>
        <w:t xml:space="preserve"> de la </w:t>
      </w:r>
      <w:r w:rsidR="008D1A0F" w:rsidRPr="0064597D">
        <w:rPr>
          <w:rFonts w:eastAsia="Verdana" w:cs="Verdana"/>
          <w:spacing w:val="1"/>
          <w:sz w:val="20"/>
          <w:szCs w:val="20"/>
          <w:lang w:val="es-ES"/>
        </w:rPr>
        <w:t>Convención Americana sobre Derechos Humanos</w:t>
      </w:r>
      <w:r w:rsidRPr="0064597D">
        <w:rPr>
          <w:rFonts w:eastAsia="Verdana" w:cs="Verdana"/>
          <w:sz w:val="20"/>
          <w:szCs w:val="20"/>
        </w:rPr>
        <w:t xml:space="preserve">, en relación con el 1.1 </w:t>
      </w:r>
      <w:r w:rsidRPr="0064597D">
        <w:rPr>
          <w:sz w:val="20"/>
          <w:szCs w:val="20"/>
          <w:lang w:val="es-ES_tradnl"/>
        </w:rPr>
        <w:t>de la Convención</w:t>
      </w:r>
      <w:r w:rsidRPr="0064597D">
        <w:rPr>
          <w:rFonts w:eastAsia="Verdana" w:cs="Verdana"/>
          <w:sz w:val="20"/>
          <w:szCs w:val="20"/>
        </w:rPr>
        <w:t>,</w:t>
      </w:r>
      <w:r w:rsidRPr="0064597D">
        <w:rPr>
          <w:sz w:val="20"/>
          <w:szCs w:val="20"/>
          <w:lang w:val="es-ES_tradnl"/>
        </w:rPr>
        <w:t xml:space="preserve"> </w:t>
      </w:r>
      <w:r w:rsidR="008D1A0F" w:rsidRPr="0064597D">
        <w:rPr>
          <w:kern w:val="2"/>
          <w:sz w:val="20"/>
          <w:szCs w:val="20"/>
        </w:rPr>
        <w:t xml:space="preserve">en perjuicio de Hugo Humberto Ruiz Fuentes, </w:t>
      </w:r>
      <w:r w:rsidR="008D1A0F" w:rsidRPr="0064597D">
        <w:rPr>
          <w:sz w:val="20"/>
          <w:szCs w:val="20"/>
        </w:rPr>
        <w:t xml:space="preserve">en los términos de los párrafos </w:t>
      </w:r>
      <w:r w:rsidR="00470E44" w:rsidRPr="0064597D">
        <w:rPr>
          <w:sz w:val="20"/>
          <w:szCs w:val="20"/>
        </w:rPr>
        <w:t>14</w:t>
      </w:r>
      <w:r w:rsidR="00BE49FF">
        <w:rPr>
          <w:sz w:val="20"/>
          <w:szCs w:val="20"/>
        </w:rPr>
        <w:t>6</w:t>
      </w:r>
      <w:r w:rsidR="008D1A0F" w:rsidRPr="0064597D">
        <w:rPr>
          <w:sz w:val="20"/>
          <w:szCs w:val="20"/>
        </w:rPr>
        <w:t xml:space="preserve"> a </w:t>
      </w:r>
      <w:r w:rsidR="00BE49FF">
        <w:rPr>
          <w:sz w:val="20"/>
          <w:szCs w:val="20"/>
        </w:rPr>
        <w:t>168</w:t>
      </w:r>
      <w:r w:rsidR="008D1A0F" w:rsidRPr="0064597D">
        <w:rPr>
          <w:sz w:val="20"/>
          <w:szCs w:val="20"/>
        </w:rPr>
        <w:t xml:space="preserve"> de la presente Sentencia.</w:t>
      </w:r>
    </w:p>
    <w:p w14:paraId="671CEC7C" w14:textId="77777777" w:rsidR="008D1A0F" w:rsidRPr="0064597D" w:rsidRDefault="008D1A0F" w:rsidP="008D1A0F">
      <w:pPr>
        <w:tabs>
          <w:tab w:val="left" w:pos="720"/>
        </w:tabs>
        <w:spacing w:line="20" w:lineRule="atLeast"/>
        <w:ind w:right="-90"/>
        <w:contextualSpacing/>
        <w:rPr>
          <w:b/>
          <w:i/>
          <w:sz w:val="20"/>
          <w:szCs w:val="20"/>
          <w:lang w:eastAsia="en-US"/>
        </w:rPr>
      </w:pPr>
    </w:p>
    <w:p w14:paraId="2A1FCF7A" w14:textId="090FB2FA" w:rsidR="00CC3D0C" w:rsidRPr="0064597D" w:rsidRDefault="008D1A0F" w:rsidP="00CC3D0C">
      <w:pPr>
        <w:numPr>
          <w:ilvl w:val="0"/>
          <w:numId w:val="7"/>
        </w:numPr>
        <w:tabs>
          <w:tab w:val="left" w:pos="720"/>
        </w:tabs>
        <w:spacing w:line="20" w:lineRule="atLeast"/>
        <w:ind w:right="-90"/>
        <w:contextualSpacing/>
        <w:rPr>
          <w:b/>
          <w:i/>
          <w:sz w:val="20"/>
          <w:szCs w:val="20"/>
          <w:lang w:eastAsia="en-US"/>
        </w:rPr>
      </w:pPr>
      <w:r w:rsidRPr="0064597D">
        <w:rPr>
          <w:sz w:val="20"/>
          <w:szCs w:val="20"/>
        </w:rPr>
        <w:t xml:space="preserve">El Estado es responsable por la violación del derecho a las garantías judiciales </w:t>
      </w:r>
      <w:r w:rsidR="009B2836" w:rsidRPr="0064597D">
        <w:rPr>
          <w:sz w:val="20"/>
          <w:szCs w:val="20"/>
        </w:rPr>
        <w:t xml:space="preserve">y protección judicial </w:t>
      </w:r>
      <w:r w:rsidRPr="0064597D">
        <w:rPr>
          <w:rFonts w:eastAsia="Verdana" w:cs="Verdana"/>
          <w:sz w:val="20"/>
          <w:szCs w:val="20"/>
        </w:rPr>
        <w:t>consagrado</w:t>
      </w:r>
      <w:r w:rsidR="009B2836" w:rsidRPr="0064597D">
        <w:rPr>
          <w:rFonts w:eastAsia="Verdana" w:cs="Verdana"/>
          <w:sz w:val="20"/>
          <w:szCs w:val="20"/>
        </w:rPr>
        <w:t>s</w:t>
      </w:r>
      <w:r w:rsidRPr="0064597D">
        <w:rPr>
          <w:rFonts w:eastAsia="Verdana" w:cs="Verdana"/>
          <w:sz w:val="20"/>
          <w:szCs w:val="20"/>
        </w:rPr>
        <w:t xml:space="preserve"> en los artículos 8.1 y 25 de la </w:t>
      </w:r>
      <w:r w:rsidRPr="0064597D">
        <w:rPr>
          <w:rFonts w:eastAsia="Verdana" w:cs="Verdana"/>
          <w:spacing w:val="1"/>
          <w:sz w:val="20"/>
          <w:szCs w:val="20"/>
          <w:lang w:val="es-ES"/>
        </w:rPr>
        <w:t>Convención Americana sobre Derechos Humanos</w:t>
      </w:r>
      <w:r w:rsidRPr="0064597D">
        <w:rPr>
          <w:rFonts w:eastAsia="Verdana" w:cs="Verdana"/>
          <w:sz w:val="20"/>
          <w:szCs w:val="20"/>
        </w:rPr>
        <w:t xml:space="preserve">, en relación con el 1.1 </w:t>
      </w:r>
      <w:r w:rsidRPr="0064597D">
        <w:rPr>
          <w:sz w:val="20"/>
          <w:szCs w:val="20"/>
          <w:lang w:val="es-ES_tradnl"/>
        </w:rPr>
        <w:t>de la Convención</w:t>
      </w:r>
      <w:r w:rsidRPr="0064597D">
        <w:rPr>
          <w:rFonts w:eastAsia="Verdana" w:cs="Verdana"/>
          <w:sz w:val="20"/>
          <w:szCs w:val="20"/>
        </w:rPr>
        <w:t>,</w:t>
      </w:r>
      <w:r w:rsidRPr="0064597D">
        <w:rPr>
          <w:sz w:val="20"/>
          <w:szCs w:val="20"/>
          <w:lang w:val="es-ES_tradnl"/>
        </w:rPr>
        <w:t xml:space="preserve"> </w:t>
      </w:r>
      <w:r w:rsidRPr="0064597D">
        <w:rPr>
          <w:sz w:val="20"/>
          <w:szCs w:val="20"/>
          <w:lang w:eastAsia="en-US"/>
        </w:rPr>
        <w:t>y en los artículos 1</w:t>
      </w:r>
      <w:r w:rsidR="00CD292B" w:rsidRPr="0064597D">
        <w:rPr>
          <w:sz w:val="20"/>
          <w:szCs w:val="20"/>
          <w:lang w:eastAsia="en-US"/>
        </w:rPr>
        <w:t xml:space="preserve">, </w:t>
      </w:r>
      <w:r w:rsidRPr="0064597D">
        <w:rPr>
          <w:sz w:val="20"/>
          <w:szCs w:val="20"/>
          <w:lang w:eastAsia="en-US"/>
        </w:rPr>
        <w:t xml:space="preserve">6 y 8 de la Convención Interamericana para prevenir y sancionar la </w:t>
      </w:r>
      <w:r w:rsidR="00391244" w:rsidRPr="0064597D">
        <w:rPr>
          <w:sz w:val="20"/>
          <w:szCs w:val="20"/>
          <w:lang w:eastAsia="en-US"/>
        </w:rPr>
        <w:t>t</w:t>
      </w:r>
      <w:r w:rsidRPr="0064597D">
        <w:rPr>
          <w:sz w:val="20"/>
          <w:szCs w:val="20"/>
          <w:lang w:eastAsia="en-US"/>
        </w:rPr>
        <w:t>ortura,</w:t>
      </w:r>
      <w:r w:rsidRPr="0064597D">
        <w:rPr>
          <w:kern w:val="2"/>
          <w:sz w:val="20"/>
          <w:szCs w:val="20"/>
        </w:rPr>
        <w:t xml:space="preserve"> en perjuicio de Hugo Humberto Ruiz Fuentes, </w:t>
      </w:r>
      <w:r w:rsidRPr="0064597D">
        <w:rPr>
          <w:sz w:val="20"/>
          <w:szCs w:val="20"/>
        </w:rPr>
        <w:t xml:space="preserve">en los términos de los párrafos </w:t>
      </w:r>
      <w:r w:rsidR="00470E44" w:rsidRPr="0064597D">
        <w:rPr>
          <w:sz w:val="20"/>
          <w:szCs w:val="20"/>
        </w:rPr>
        <w:t>1</w:t>
      </w:r>
      <w:r w:rsidR="00BE49FF">
        <w:rPr>
          <w:sz w:val="20"/>
          <w:szCs w:val="20"/>
        </w:rPr>
        <w:t>69</w:t>
      </w:r>
      <w:r w:rsidRPr="0064597D">
        <w:rPr>
          <w:sz w:val="20"/>
          <w:szCs w:val="20"/>
        </w:rPr>
        <w:t xml:space="preserve"> a </w:t>
      </w:r>
      <w:r w:rsidR="00470E44" w:rsidRPr="0064597D">
        <w:rPr>
          <w:sz w:val="20"/>
          <w:szCs w:val="20"/>
        </w:rPr>
        <w:t>17</w:t>
      </w:r>
      <w:r w:rsidR="00BE49FF">
        <w:rPr>
          <w:sz w:val="20"/>
          <w:szCs w:val="20"/>
        </w:rPr>
        <w:t>4</w:t>
      </w:r>
      <w:r w:rsidRPr="0064597D">
        <w:rPr>
          <w:sz w:val="20"/>
          <w:szCs w:val="20"/>
        </w:rPr>
        <w:t xml:space="preserve"> de la presente Sentencia</w:t>
      </w:r>
      <w:r w:rsidR="009B2836" w:rsidRPr="0064597D">
        <w:rPr>
          <w:sz w:val="20"/>
          <w:szCs w:val="20"/>
        </w:rPr>
        <w:t>,</w:t>
      </w:r>
      <w:r w:rsidR="009B2836" w:rsidRPr="0064597D">
        <w:rPr>
          <w:b/>
          <w:sz w:val="20"/>
          <w:szCs w:val="20"/>
        </w:rPr>
        <w:t xml:space="preserve"> </w:t>
      </w:r>
      <w:r w:rsidR="009B2836" w:rsidRPr="0064597D">
        <w:rPr>
          <w:sz w:val="20"/>
          <w:szCs w:val="20"/>
        </w:rPr>
        <w:t xml:space="preserve">y por la violación del derecho a las garantías judiciales y protección judicial </w:t>
      </w:r>
      <w:r w:rsidR="009B2836" w:rsidRPr="0064597D">
        <w:rPr>
          <w:rFonts w:eastAsia="Verdana" w:cs="Verdana"/>
          <w:sz w:val="20"/>
          <w:szCs w:val="20"/>
        </w:rPr>
        <w:t xml:space="preserve">consagrados en los artículos 8.1 y 25 de la </w:t>
      </w:r>
      <w:r w:rsidR="009B2836" w:rsidRPr="0064597D">
        <w:rPr>
          <w:rFonts w:eastAsia="Verdana" w:cs="Verdana"/>
          <w:spacing w:val="1"/>
          <w:sz w:val="20"/>
          <w:szCs w:val="20"/>
          <w:lang w:val="es-ES"/>
        </w:rPr>
        <w:t>Convención Americana sobre Derechos Humanos</w:t>
      </w:r>
      <w:r w:rsidR="009B2836" w:rsidRPr="0064597D">
        <w:rPr>
          <w:rFonts w:eastAsia="Verdana" w:cs="Verdana"/>
          <w:sz w:val="20"/>
          <w:szCs w:val="20"/>
        </w:rPr>
        <w:t xml:space="preserve">, en relación con el 1.1 </w:t>
      </w:r>
      <w:r w:rsidR="009B2836" w:rsidRPr="0064597D">
        <w:rPr>
          <w:sz w:val="20"/>
          <w:szCs w:val="20"/>
          <w:lang w:val="es-ES_tradnl"/>
        </w:rPr>
        <w:t>de la Convención</w:t>
      </w:r>
      <w:r w:rsidR="009B2836" w:rsidRPr="0064597D">
        <w:rPr>
          <w:rFonts w:eastAsia="Verdana" w:cs="Verdana"/>
          <w:sz w:val="20"/>
          <w:szCs w:val="20"/>
        </w:rPr>
        <w:t>,</w:t>
      </w:r>
      <w:r w:rsidR="009B2836" w:rsidRPr="0064597D">
        <w:rPr>
          <w:sz w:val="20"/>
          <w:szCs w:val="20"/>
          <w:lang w:val="es-ES_tradnl"/>
        </w:rPr>
        <w:t xml:space="preserve"> </w:t>
      </w:r>
      <w:r w:rsidR="009B2836" w:rsidRPr="0064597D">
        <w:rPr>
          <w:sz w:val="20"/>
          <w:szCs w:val="20"/>
        </w:rPr>
        <w:t xml:space="preserve">en perjuicio de Hugo Humberto Ruiz Fuentes </w:t>
      </w:r>
      <w:r w:rsidR="009B2836" w:rsidRPr="0064597D">
        <w:rPr>
          <w:kern w:val="2"/>
          <w:sz w:val="20"/>
          <w:szCs w:val="20"/>
        </w:rPr>
        <w:t>y su hermana,</w:t>
      </w:r>
      <w:r w:rsidR="009B2836" w:rsidRPr="0064597D">
        <w:rPr>
          <w:sz w:val="20"/>
          <w:szCs w:val="20"/>
        </w:rPr>
        <w:t xml:space="preserve"> en los términos de los párrafos 17</w:t>
      </w:r>
      <w:r w:rsidR="00BE49FF">
        <w:rPr>
          <w:sz w:val="20"/>
          <w:szCs w:val="20"/>
        </w:rPr>
        <w:t>5</w:t>
      </w:r>
      <w:r w:rsidR="009B2836" w:rsidRPr="0064597D">
        <w:rPr>
          <w:sz w:val="20"/>
          <w:szCs w:val="20"/>
        </w:rPr>
        <w:t xml:space="preserve"> a 18</w:t>
      </w:r>
      <w:r w:rsidR="00BE49FF">
        <w:rPr>
          <w:sz w:val="20"/>
          <w:szCs w:val="20"/>
        </w:rPr>
        <w:t>4</w:t>
      </w:r>
      <w:r w:rsidR="009B2836" w:rsidRPr="0064597D">
        <w:rPr>
          <w:sz w:val="20"/>
          <w:szCs w:val="20"/>
        </w:rPr>
        <w:t xml:space="preserve"> de la presente Sentencia.</w:t>
      </w:r>
    </w:p>
    <w:p w14:paraId="0290DC90" w14:textId="77777777" w:rsidR="009B2836" w:rsidRPr="0064597D" w:rsidRDefault="009B2836" w:rsidP="009B2836">
      <w:pPr>
        <w:tabs>
          <w:tab w:val="left" w:pos="720"/>
        </w:tabs>
        <w:spacing w:line="20" w:lineRule="atLeast"/>
        <w:ind w:right="-90"/>
        <w:contextualSpacing/>
        <w:rPr>
          <w:b/>
          <w:i/>
          <w:sz w:val="20"/>
          <w:szCs w:val="20"/>
          <w:lang w:eastAsia="en-US"/>
        </w:rPr>
      </w:pPr>
    </w:p>
    <w:p w14:paraId="0570AF4F" w14:textId="0E075A6E" w:rsidR="00703F3B" w:rsidRPr="0064597D" w:rsidRDefault="00063252" w:rsidP="008D1A0F">
      <w:pPr>
        <w:numPr>
          <w:ilvl w:val="0"/>
          <w:numId w:val="7"/>
        </w:numPr>
        <w:tabs>
          <w:tab w:val="left" w:pos="720"/>
        </w:tabs>
        <w:spacing w:line="20" w:lineRule="atLeast"/>
        <w:ind w:right="-90"/>
        <w:contextualSpacing/>
        <w:rPr>
          <w:sz w:val="20"/>
          <w:szCs w:val="20"/>
        </w:rPr>
      </w:pPr>
      <w:r w:rsidRPr="0064597D">
        <w:rPr>
          <w:sz w:val="20"/>
          <w:szCs w:val="20"/>
        </w:rPr>
        <w:t>El Estado es responsable por la violación del derecho a la integridad personal, reconocido en el artículo</w:t>
      </w:r>
      <w:r w:rsidR="008D1A0F" w:rsidRPr="0064597D">
        <w:rPr>
          <w:sz w:val="20"/>
          <w:szCs w:val="20"/>
        </w:rPr>
        <w:t xml:space="preserve"> </w:t>
      </w:r>
      <w:r w:rsidRPr="0064597D">
        <w:rPr>
          <w:sz w:val="20"/>
          <w:szCs w:val="20"/>
        </w:rPr>
        <w:t xml:space="preserve">5.1 de la Convención Americana de Derechos Humanos, en relación con el artículo 1.1 de la misma, en perjuicio </w:t>
      </w:r>
      <w:r w:rsidR="007D2F43" w:rsidRPr="0064597D">
        <w:rPr>
          <w:sz w:val="20"/>
          <w:szCs w:val="20"/>
        </w:rPr>
        <w:t>de la hermana del señor Ruiz Fuentes</w:t>
      </w:r>
      <w:r w:rsidRPr="0064597D">
        <w:rPr>
          <w:sz w:val="20"/>
          <w:szCs w:val="20"/>
        </w:rPr>
        <w:t xml:space="preserve">, en los términos de los párrafos </w:t>
      </w:r>
      <w:r w:rsidR="00BE49FF">
        <w:rPr>
          <w:sz w:val="20"/>
          <w:szCs w:val="20"/>
        </w:rPr>
        <w:t>188</w:t>
      </w:r>
      <w:r w:rsidRPr="0064597D">
        <w:rPr>
          <w:sz w:val="20"/>
          <w:szCs w:val="20"/>
        </w:rPr>
        <w:t xml:space="preserve"> a </w:t>
      </w:r>
      <w:r w:rsidR="00BE49FF">
        <w:rPr>
          <w:sz w:val="20"/>
          <w:szCs w:val="20"/>
        </w:rPr>
        <w:t>191</w:t>
      </w:r>
      <w:r w:rsidRPr="0064597D">
        <w:rPr>
          <w:sz w:val="20"/>
          <w:szCs w:val="20"/>
        </w:rPr>
        <w:t xml:space="preserve"> de la presente Sentencia.</w:t>
      </w:r>
    </w:p>
    <w:p w14:paraId="5A31168D" w14:textId="77777777" w:rsidR="007A21E6" w:rsidRPr="0064597D" w:rsidRDefault="007A21E6" w:rsidP="007A21E6">
      <w:pPr>
        <w:tabs>
          <w:tab w:val="left" w:pos="720"/>
        </w:tabs>
        <w:spacing w:line="20" w:lineRule="atLeast"/>
        <w:ind w:right="-90"/>
        <w:contextualSpacing/>
        <w:rPr>
          <w:b/>
          <w:sz w:val="20"/>
          <w:szCs w:val="20"/>
        </w:rPr>
      </w:pPr>
    </w:p>
    <w:p w14:paraId="49F72824" w14:textId="7A7CDBA9" w:rsidR="007A21E6" w:rsidRPr="0064597D" w:rsidRDefault="007A21E6" w:rsidP="007A21E6">
      <w:pPr>
        <w:numPr>
          <w:ilvl w:val="0"/>
          <w:numId w:val="7"/>
        </w:numPr>
        <w:tabs>
          <w:tab w:val="left" w:pos="720"/>
        </w:tabs>
        <w:spacing w:line="20" w:lineRule="atLeast"/>
        <w:ind w:right="-90"/>
        <w:contextualSpacing/>
        <w:rPr>
          <w:sz w:val="20"/>
          <w:szCs w:val="20"/>
        </w:rPr>
      </w:pPr>
      <w:r w:rsidRPr="0064597D">
        <w:rPr>
          <w:kern w:val="2"/>
          <w:sz w:val="20"/>
          <w:szCs w:val="20"/>
        </w:rPr>
        <w:t xml:space="preserve">El Estado no es responsable por la violación del derecho a la vida consagrado </w:t>
      </w:r>
      <w:r w:rsidRPr="0064597D">
        <w:rPr>
          <w:sz w:val="20"/>
          <w:szCs w:val="20"/>
        </w:rPr>
        <w:t>en el artículo 4.1 de la Convención</w:t>
      </w:r>
      <w:r w:rsidRPr="0064597D">
        <w:rPr>
          <w:kern w:val="2"/>
          <w:sz w:val="20"/>
          <w:szCs w:val="20"/>
        </w:rPr>
        <w:t xml:space="preserve"> Americana sobre Derechos Humanos</w:t>
      </w:r>
      <w:r w:rsidRPr="0064597D">
        <w:rPr>
          <w:sz w:val="20"/>
          <w:szCs w:val="20"/>
        </w:rPr>
        <w:t xml:space="preserve">, en relación </w:t>
      </w:r>
      <w:r w:rsidRPr="0064597D">
        <w:rPr>
          <w:kern w:val="2"/>
          <w:sz w:val="20"/>
          <w:szCs w:val="20"/>
        </w:rPr>
        <w:t>con la obligación de garantizar los derechos establecida en el artículo 1.1 de la Convención,</w:t>
      </w:r>
      <w:r w:rsidRPr="0064597D">
        <w:rPr>
          <w:sz w:val="20"/>
          <w:szCs w:val="20"/>
        </w:rPr>
        <w:t xml:space="preserve"> </w:t>
      </w:r>
      <w:r w:rsidRPr="0064597D">
        <w:rPr>
          <w:kern w:val="2"/>
          <w:sz w:val="20"/>
          <w:szCs w:val="20"/>
        </w:rPr>
        <w:t xml:space="preserve">por la imposición de la pena de muerte, en perjuicio de Hugo Humberto Ruiz Fuentes, </w:t>
      </w:r>
      <w:r w:rsidRPr="0064597D">
        <w:rPr>
          <w:sz w:val="20"/>
          <w:szCs w:val="20"/>
        </w:rPr>
        <w:t xml:space="preserve">en los términos de </w:t>
      </w:r>
      <w:r w:rsidR="00BE49FF">
        <w:rPr>
          <w:sz w:val="20"/>
          <w:szCs w:val="20"/>
        </w:rPr>
        <w:t>del párrafo 89</w:t>
      </w:r>
      <w:r w:rsidRPr="0064597D">
        <w:rPr>
          <w:sz w:val="20"/>
          <w:szCs w:val="20"/>
        </w:rPr>
        <w:t xml:space="preserve"> de la presente Sentencia.</w:t>
      </w:r>
    </w:p>
    <w:p w14:paraId="12569D06" w14:textId="77777777" w:rsidR="007A21E6" w:rsidRPr="0064597D" w:rsidRDefault="007A21E6" w:rsidP="007A21E6">
      <w:pPr>
        <w:tabs>
          <w:tab w:val="left" w:pos="720"/>
        </w:tabs>
        <w:spacing w:line="20" w:lineRule="atLeast"/>
        <w:ind w:right="-90"/>
        <w:contextualSpacing/>
        <w:rPr>
          <w:sz w:val="20"/>
          <w:szCs w:val="20"/>
        </w:rPr>
      </w:pPr>
    </w:p>
    <w:p w14:paraId="4F020F76" w14:textId="77777777" w:rsidR="00703F3B" w:rsidRPr="0064597D" w:rsidRDefault="00703F3B" w:rsidP="00703F3B">
      <w:pPr>
        <w:tabs>
          <w:tab w:val="left" w:pos="720"/>
        </w:tabs>
        <w:spacing w:before="360" w:after="360" w:line="20" w:lineRule="atLeast"/>
        <w:ind w:right="-86"/>
        <w:contextualSpacing/>
        <w:rPr>
          <w:rFonts w:eastAsia="MS Mincho"/>
          <w:b/>
          <w:bCs/>
          <w:sz w:val="20"/>
          <w:szCs w:val="20"/>
          <w:lang w:bidi="en-US"/>
        </w:rPr>
      </w:pPr>
      <w:r w:rsidRPr="0064597D">
        <w:rPr>
          <w:rFonts w:eastAsia="MS Mincho"/>
          <w:b/>
          <w:bCs/>
          <w:sz w:val="20"/>
          <w:szCs w:val="20"/>
          <w:lang w:bidi="en-US"/>
        </w:rPr>
        <w:lastRenderedPageBreak/>
        <w:t>Y DISPONE:</w:t>
      </w:r>
    </w:p>
    <w:p w14:paraId="1D1810B0" w14:textId="77777777" w:rsidR="00703F3B" w:rsidRPr="0064597D" w:rsidRDefault="00703F3B" w:rsidP="00703F3B">
      <w:pPr>
        <w:tabs>
          <w:tab w:val="left" w:pos="720"/>
        </w:tabs>
        <w:spacing w:line="20" w:lineRule="atLeast"/>
        <w:ind w:right="-90"/>
        <w:contextualSpacing/>
        <w:rPr>
          <w:rFonts w:eastAsia="MS Mincho"/>
          <w:b/>
          <w:bCs/>
          <w:sz w:val="20"/>
          <w:szCs w:val="20"/>
          <w:lang w:bidi="en-US"/>
        </w:rPr>
      </w:pPr>
    </w:p>
    <w:p w14:paraId="3F44FC37" w14:textId="0A34F27C" w:rsidR="00703F3B" w:rsidRPr="0064597D" w:rsidRDefault="00703F3B" w:rsidP="00703F3B">
      <w:pPr>
        <w:tabs>
          <w:tab w:val="left" w:pos="720"/>
        </w:tabs>
        <w:spacing w:line="20" w:lineRule="atLeast"/>
        <w:ind w:right="-90"/>
        <w:contextualSpacing/>
        <w:rPr>
          <w:rFonts w:eastAsia="MS Mincho"/>
          <w:sz w:val="20"/>
          <w:szCs w:val="20"/>
          <w:lang w:bidi="en-US"/>
        </w:rPr>
      </w:pPr>
      <w:r w:rsidRPr="0064597D">
        <w:rPr>
          <w:rFonts w:eastAsia="MS Mincho"/>
          <w:sz w:val="20"/>
          <w:szCs w:val="20"/>
          <w:lang w:bidi="en-US"/>
        </w:rPr>
        <w:t xml:space="preserve">Por </w:t>
      </w:r>
      <w:r w:rsidR="000678D0" w:rsidRPr="0064597D">
        <w:rPr>
          <w:rFonts w:eastAsia="MS Mincho"/>
          <w:sz w:val="20"/>
          <w:szCs w:val="20"/>
          <w:lang w:bidi="en-US"/>
        </w:rPr>
        <w:t>unanimidad</w:t>
      </w:r>
      <w:r w:rsidRPr="0064597D">
        <w:rPr>
          <w:rFonts w:eastAsia="MS Mincho"/>
          <w:sz w:val="20"/>
          <w:szCs w:val="20"/>
          <w:lang w:bidi="en-US"/>
        </w:rPr>
        <w:t>, que:</w:t>
      </w:r>
    </w:p>
    <w:p w14:paraId="548CA05F" w14:textId="77777777" w:rsidR="00703F3B" w:rsidRPr="0064597D" w:rsidRDefault="00703F3B" w:rsidP="00703F3B">
      <w:pPr>
        <w:tabs>
          <w:tab w:val="left" w:pos="720"/>
        </w:tabs>
        <w:spacing w:line="20" w:lineRule="atLeast"/>
        <w:ind w:right="-90"/>
        <w:contextualSpacing/>
        <w:rPr>
          <w:rFonts w:eastAsia="MS Mincho"/>
          <w:bCs/>
          <w:sz w:val="20"/>
          <w:szCs w:val="20"/>
          <w:lang w:bidi="en-US"/>
        </w:rPr>
      </w:pPr>
    </w:p>
    <w:p w14:paraId="31F146E9" w14:textId="77777777" w:rsidR="00703F3B" w:rsidRPr="0064597D" w:rsidRDefault="00703F3B" w:rsidP="00703F3B">
      <w:pPr>
        <w:numPr>
          <w:ilvl w:val="0"/>
          <w:numId w:val="7"/>
        </w:numPr>
        <w:tabs>
          <w:tab w:val="left" w:pos="720"/>
        </w:tabs>
        <w:spacing w:line="20" w:lineRule="atLeast"/>
        <w:ind w:right="-90"/>
        <w:contextualSpacing/>
        <w:rPr>
          <w:bCs/>
          <w:sz w:val="20"/>
          <w:szCs w:val="20"/>
        </w:rPr>
      </w:pPr>
      <w:r w:rsidRPr="0064597D">
        <w:rPr>
          <w:sz w:val="20"/>
          <w:szCs w:val="20"/>
        </w:rPr>
        <w:t>Esta</w:t>
      </w:r>
      <w:r w:rsidRPr="0064597D">
        <w:rPr>
          <w:bCs/>
          <w:sz w:val="20"/>
          <w:szCs w:val="20"/>
        </w:rPr>
        <w:t xml:space="preserve"> Sentencia constituye, por sí misma, una forma de reparación.</w:t>
      </w:r>
    </w:p>
    <w:p w14:paraId="103A2FCA" w14:textId="77777777" w:rsidR="00703F3B" w:rsidRPr="0064597D" w:rsidRDefault="00703F3B" w:rsidP="00703F3B">
      <w:pPr>
        <w:tabs>
          <w:tab w:val="left" w:pos="720"/>
        </w:tabs>
        <w:spacing w:line="20" w:lineRule="atLeast"/>
        <w:ind w:right="-90"/>
        <w:contextualSpacing/>
        <w:rPr>
          <w:bCs/>
          <w:sz w:val="20"/>
          <w:szCs w:val="20"/>
        </w:rPr>
      </w:pPr>
    </w:p>
    <w:p w14:paraId="69B2F4BE" w14:textId="35F713B4" w:rsidR="008D1A0F" w:rsidRPr="0064597D" w:rsidRDefault="00703F3B" w:rsidP="008D1A0F">
      <w:pPr>
        <w:numPr>
          <w:ilvl w:val="0"/>
          <w:numId w:val="7"/>
        </w:numPr>
        <w:tabs>
          <w:tab w:val="left" w:pos="720"/>
        </w:tabs>
        <w:spacing w:line="20" w:lineRule="atLeast"/>
        <w:ind w:right="-90"/>
        <w:contextualSpacing/>
        <w:rPr>
          <w:b/>
          <w:i/>
          <w:sz w:val="20"/>
          <w:szCs w:val="20"/>
          <w:lang w:eastAsia="en-US"/>
        </w:rPr>
      </w:pPr>
      <w:r w:rsidRPr="0064597D">
        <w:rPr>
          <w:sz w:val="20"/>
          <w:szCs w:val="20"/>
          <w:lang w:val="es-PE"/>
        </w:rPr>
        <w:t xml:space="preserve">El Estado </w:t>
      </w:r>
      <w:r w:rsidR="008A1151" w:rsidRPr="0064597D">
        <w:rPr>
          <w:sz w:val="20"/>
          <w:szCs w:val="20"/>
          <w:lang w:val="es-PE"/>
        </w:rPr>
        <w:t>continuará</w:t>
      </w:r>
      <w:r w:rsidR="008D1A0F" w:rsidRPr="0064597D">
        <w:rPr>
          <w:sz w:val="20"/>
          <w:szCs w:val="20"/>
        </w:rPr>
        <w:t xml:space="preserve"> con las investigaciones que sean necesarias para identificar, juzgar y, en su caso, sancionar a los responsables </w:t>
      </w:r>
      <w:r w:rsidR="008D1A0F" w:rsidRPr="0064597D">
        <w:rPr>
          <w:rFonts w:eastAsia="MS Mincho"/>
          <w:sz w:val="20"/>
          <w:szCs w:val="20"/>
          <w:lang w:bidi="en-US"/>
        </w:rPr>
        <w:t>de</w:t>
      </w:r>
      <w:r w:rsidR="008D1A0F" w:rsidRPr="0064597D">
        <w:rPr>
          <w:sz w:val="20"/>
          <w:szCs w:val="20"/>
        </w:rPr>
        <w:t xml:space="preserve"> la muerte del señor Hugo Humberto Ruiz Fuentes</w:t>
      </w:r>
      <w:r w:rsidRPr="0064597D">
        <w:rPr>
          <w:sz w:val="20"/>
          <w:szCs w:val="20"/>
        </w:rPr>
        <w:t xml:space="preserve">, </w:t>
      </w:r>
      <w:r w:rsidR="008D1A0F" w:rsidRPr="0064597D">
        <w:rPr>
          <w:sz w:val="20"/>
          <w:szCs w:val="20"/>
        </w:rPr>
        <w:t xml:space="preserve">en los términos </w:t>
      </w:r>
      <w:r w:rsidR="00AC2AC7" w:rsidRPr="0064597D">
        <w:rPr>
          <w:sz w:val="20"/>
          <w:szCs w:val="20"/>
        </w:rPr>
        <w:t>del párrafo</w:t>
      </w:r>
      <w:r w:rsidR="008D1A0F" w:rsidRPr="0064597D">
        <w:rPr>
          <w:sz w:val="20"/>
          <w:szCs w:val="20"/>
        </w:rPr>
        <w:t xml:space="preserve"> </w:t>
      </w:r>
      <w:r w:rsidR="00450C8F">
        <w:rPr>
          <w:sz w:val="20"/>
          <w:szCs w:val="20"/>
        </w:rPr>
        <w:t>200</w:t>
      </w:r>
      <w:r w:rsidR="008D1A0F" w:rsidRPr="0064597D">
        <w:rPr>
          <w:sz w:val="20"/>
          <w:szCs w:val="20"/>
        </w:rPr>
        <w:t xml:space="preserve"> de la presente Sentencia.</w:t>
      </w:r>
    </w:p>
    <w:p w14:paraId="0CAB006D" w14:textId="77777777" w:rsidR="008D1A0F" w:rsidRPr="0064597D" w:rsidRDefault="008D1A0F" w:rsidP="008D1A0F">
      <w:pPr>
        <w:tabs>
          <w:tab w:val="left" w:pos="720"/>
        </w:tabs>
        <w:spacing w:line="20" w:lineRule="atLeast"/>
        <w:ind w:right="-90"/>
        <w:contextualSpacing/>
        <w:rPr>
          <w:b/>
          <w:i/>
          <w:sz w:val="20"/>
          <w:szCs w:val="20"/>
          <w:lang w:eastAsia="en-US"/>
        </w:rPr>
      </w:pPr>
    </w:p>
    <w:p w14:paraId="00C73918" w14:textId="2CDE2CB8" w:rsidR="008D1A0F" w:rsidRPr="0064597D" w:rsidRDefault="008D1A0F" w:rsidP="008D1A0F">
      <w:pPr>
        <w:numPr>
          <w:ilvl w:val="0"/>
          <w:numId w:val="7"/>
        </w:numPr>
        <w:tabs>
          <w:tab w:val="left" w:pos="720"/>
        </w:tabs>
        <w:spacing w:line="20" w:lineRule="atLeast"/>
        <w:ind w:right="-90"/>
        <w:contextualSpacing/>
        <w:rPr>
          <w:sz w:val="20"/>
          <w:szCs w:val="20"/>
        </w:rPr>
      </w:pPr>
      <w:r w:rsidRPr="0064597D">
        <w:rPr>
          <w:sz w:val="20"/>
          <w:szCs w:val="20"/>
          <w:lang w:val="es-PE"/>
        </w:rPr>
        <w:t xml:space="preserve">El Estado </w:t>
      </w:r>
      <w:r w:rsidR="008A1151" w:rsidRPr="0064597D">
        <w:rPr>
          <w:sz w:val="20"/>
          <w:szCs w:val="20"/>
          <w:lang w:val="es-PE"/>
        </w:rPr>
        <w:t>iniciará</w:t>
      </w:r>
      <w:r w:rsidRPr="0064597D">
        <w:rPr>
          <w:sz w:val="20"/>
          <w:szCs w:val="20"/>
          <w:lang w:val="es-PE"/>
        </w:rPr>
        <w:t xml:space="preserve">, de acuerdo a lo previsto en la legislación interna, en un plazo no superior a seis meses, </w:t>
      </w:r>
      <w:r w:rsidRPr="0064597D">
        <w:rPr>
          <w:sz w:val="20"/>
          <w:szCs w:val="20"/>
        </w:rPr>
        <w:t xml:space="preserve">las investigaciones que sean necesarias para identificar, juzgar y, en su caso, sancionar a los responsables de las torturas sufridas por el señor Hugo Humberto </w:t>
      </w:r>
      <w:r w:rsidR="00AC2AC7" w:rsidRPr="0064597D">
        <w:rPr>
          <w:sz w:val="20"/>
          <w:szCs w:val="20"/>
        </w:rPr>
        <w:t xml:space="preserve">del párrafo </w:t>
      </w:r>
      <w:r w:rsidR="00450C8F">
        <w:rPr>
          <w:sz w:val="20"/>
          <w:szCs w:val="20"/>
        </w:rPr>
        <w:t>201</w:t>
      </w:r>
      <w:r w:rsidR="00AC2AC7" w:rsidRPr="0064597D">
        <w:rPr>
          <w:sz w:val="20"/>
          <w:szCs w:val="20"/>
        </w:rPr>
        <w:t xml:space="preserve"> </w:t>
      </w:r>
      <w:r w:rsidRPr="0064597D">
        <w:rPr>
          <w:sz w:val="20"/>
          <w:szCs w:val="20"/>
        </w:rPr>
        <w:t>de la presente Sentencia.</w:t>
      </w:r>
    </w:p>
    <w:p w14:paraId="447A8438" w14:textId="77777777" w:rsidR="008D1A0F" w:rsidRPr="0064597D" w:rsidRDefault="008D1A0F" w:rsidP="008D1A0F">
      <w:pPr>
        <w:tabs>
          <w:tab w:val="left" w:pos="720"/>
        </w:tabs>
        <w:spacing w:line="20" w:lineRule="atLeast"/>
        <w:ind w:right="-90"/>
        <w:contextualSpacing/>
        <w:rPr>
          <w:sz w:val="20"/>
          <w:szCs w:val="20"/>
        </w:rPr>
      </w:pPr>
    </w:p>
    <w:p w14:paraId="1BF27817" w14:textId="3B9966E0" w:rsidR="008D1A0F" w:rsidRPr="0064597D" w:rsidRDefault="008D1A0F" w:rsidP="008D1A0F">
      <w:pPr>
        <w:numPr>
          <w:ilvl w:val="0"/>
          <w:numId w:val="7"/>
        </w:numPr>
        <w:tabs>
          <w:tab w:val="left" w:pos="720"/>
        </w:tabs>
        <w:spacing w:line="20" w:lineRule="atLeast"/>
        <w:ind w:right="-90"/>
        <w:contextualSpacing/>
        <w:rPr>
          <w:bCs/>
          <w:sz w:val="20"/>
          <w:szCs w:val="20"/>
        </w:rPr>
      </w:pPr>
      <w:r w:rsidRPr="0064597D">
        <w:rPr>
          <w:bCs/>
          <w:sz w:val="20"/>
          <w:szCs w:val="20"/>
        </w:rPr>
        <w:t xml:space="preserve">El Estado </w:t>
      </w:r>
      <w:r w:rsidR="008A1151" w:rsidRPr="0064597D">
        <w:rPr>
          <w:bCs/>
          <w:sz w:val="20"/>
          <w:szCs w:val="20"/>
        </w:rPr>
        <w:t>realizará</w:t>
      </w:r>
      <w:r w:rsidRPr="0064597D">
        <w:rPr>
          <w:bCs/>
          <w:sz w:val="20"/>
          <w:szCs w:val="20"/>
        </w:rPr>
        <w:t xml:space="preserve"> las publicaciones indicadas en el párrafo </w:t>
      </w:r>
      <w:r w:rsidR="00450C8F">
        <w:rPr>
          <w:bCs/>
          <w:sz w:val="20"/>
          <w:szCs w:val="20"/>
        </w:rPr>
        <w:t>206</w:t>
      </w:r>
      <w:r w:rsidRPr="0064597D">
        <w:rPr>
          <w:bCs/>
          <w:sz w:val="20"/>
          <w:szCs w:val="20"/>
        </w:rPr>
        <w:t xml:space="preserve"> de la presente Sentencia.</w:t>
      </w:r>
    </w:p>
    <w:p w14:paraId="5F3275A2" w14:textId="77777777" w:rsidR="008D1A0F" w:rsidRPr="0064597D" w:rsidRDefault="008D1A0F" w:rsidP="008D1A0F">
      <w:pPr>
        <w:tabs>
          <w:tab w:val="left" w:pos="720"/>
        </w:tabs>
        <w:spacing w:line="20" w:lineRule="atLeast"/>
        <w:ind w:right="-90"/>
        <w:contextualSpacing/>
        <w:rPr>
          <w:bCs/>
          <w:sz w:val="20"/>
          <w:szCs w:val="20"/>
        </w:rPr>
      </w:pPr>
    </w:p>
    <w:p w14:paraId="5CCE79A7" w14:textId="6947A6B0" w:rsidR="008D1A0F" w:rsidRPr="0064597D" w:rsidRDefault="008D1A0F" w:rsidP="008D1A0F">
      <w:pPr>
        <w:numPr>
          <w:ilvl w:val="0"/>
          <w:numId w:val="7"/>
        </w:numPr>
        <w:tabs>
          <w:tab w:val="left" w:pos="720"/>
        </w:tabs>
        <w:spacing w:line="20" w:lineRule="atLeast"/>
        <w:ind w:right="-90"/>
        <w:contextualSpacing/>
        <w:rPr>
          <w:rFonts w:cs="Arial"/>
          <w:bCs/>
          <w:sz w:val="20"/>
          <w:szCs w:val="20"/>
          <w:lang w:val="es-PE"/>
        </w:rPr>
      </w:pPr>
      <w:r w:rsidRPr="0064597D">
        <w:rPr>
          <w:sz w:val="20"/>
          <w:szCs w:val="20"/>
        </w:rPr>
        <w:t xml:space="preserve">El Estado </w:t>
      </w:r>
      <w:r w:rsidR="008A1151" w:rsidRPr="0064597D">
        <w:rPr>
          <w:sz w:val="20"/>
          <w:szCs w:val="20"/>
        </w:rPr>
        <w:t>incluirá</w:t>
      </w:r>
      <w:r w:rsidRPr="0064597D">
        <w:rPr>
          <w:sz w:val="20"/>
          <w:szCs w:val="20"/>
        </w:rPr>
        <w:t>, dentro de los cursos de formación de los miembros de la policía y organismos de seguridad, capacitación específica y cursos de carácter permanente sobre la prohibición absoluta de la tortura.</w:t>
      </w:r>
    </w:p>
    <w:p w14:paraId="63A9E0CA" w14:textId="77777777" w:rsidR="008D1A0F" w:rsidRPr="0064597D" w:rsidRDefault="008D1A0F" w:rsidP="00656467">
      <w:pPr>
        <w:tabs>
          <w:tab w:val="left" w:pos="720"/>
        </w:tabs>
        <w:spacing w:line="20" w:lineRule="atLeast"/>
        <w:ind w:right="-90"/>
        <w:contextualSpacing/>
        <w:rPr>
          <w:bCs/>
          <w:sz w:val="20"/>
          <w:szCs w:val="20"/>
        </w:rPr>
      </w:pPr>
    </w:p>
    <w:p w14:paraId="30164459" w14:textId="06EA84BC" w:rsidR="00703F3B" w:rsidRPr="0064597D" w:rsidRDefault="00703F3B" w:rsidP="00703F3B">
      <w:pPr>
        <w:numPr>
          <w:ilvl w:val="0"/>
          <w:numId w:val="7"/>
        </w:numPr>
        <w:tabs>
          <w:tab w:val="left" w:pos="720"/>
        </w:tabs>
        <w:spacing w:line="20" w:lineRule="atLeast"/>
        <w:ind w:right="-90"/>
        <w:contextualSpacing/>
        <w:rPr>
          <w:bCs/>
          <w:sz w:val="20"/>
          <w:szCs w:val="20"/>
        </w:rPr>
      </w:pPr>
      <w:r w:rsidRPr="0064597D">
        <w:rPr>
          <w:bCs/>
          <w:sz w:val="20"/>
          <w:szCs w:val="20"/>
        </w:rPr>
        <w:t xml:space="preserve">El Estado </w:t>
      </w:r>
      <w:r w:rsidR="008A1151" w:rsidRPr="0064597D">
        <w:rPr>
          <w:bCs/>
          <w:sz w:val="20"/>
          <w:szCs w:val="20"/>
        </w:rPr>
        <w:t>pagará</w:t>
      </w:r>
      <w:r w:rsidR="00AC2AC7" w:rsidRPr="0064597D">
        <w:rPr>
          <w:bCs/>
          <w:sz w:val="20"/>
          <w:szCs w:val="20"/>
        </w:rPr>
        <w:t xml:space="preserve"> las cantidades fijadas en los</w:t>
      </w:r>
      <w:r w:rsidRPr="0064597D">
        <w:rPr>
          <w:bCs/>
          <w:sz w:val="20"/>
          <w:szCs w:val="20"/>
        </w:rPr>
        <w:t xml:space="preserve"> párrafo</w:t>
      </w:r>
      <w:r w:rsidR="00AC2AC7" w:rsidRPr="0064597D">
        <w:rPr>
          <w:bCs/>
          <w:sz w:val="20"/>
          <w:szCs w:val="20"/>
        </w:rPr>
        <w:t>s</w:t>
      </w:r>
      <w:r w:rsidRPr="0064597D">
        <w:rPr>
          <w:bCs/>
          <w:sz w:val="20"/>
          <w:szCs w:val="20"/>
        </w:rPr>
        <w:t xml:space="preserve"> </w:t>
      </w:r>
      <w:r w:rsidR="00450C8F">
        <w:rPr>
          <w:bCs/>
          <w:sz w:val="20"/>
          <w:szCs w:val="20"/>
        </w:rPr>
        <w:t>245</w:t>
      </w:r>
      <w:r w:rsidR="00AC2AC7" w:rsidRPr="0064597D">
        <w:rPr>
          <w:bCs/>
          <w:sz w:val="20"/>
          <w:szCs w:val="20"/>
        </w:rPr>
        <w:t>, 2</w:t>
      </w:r>
      <w:r w:rsidR="00450C8F">
        <w:rPr>
          <w:bCs/>
          <w:sz w:val="20"/>
          <w:szCs w:val="20"/>
        </w:rPr>
        <w:t>46</w:t>
      </w:r>
      <w:r w:rsidR="00AC2AC7" w:rsidRPr="0064597D">
        <w:rPr>
          <w:bCs/>
          <w:sz w:val="20"/>
          <w:szCs w:val="20"/>
        </w:rPr>
        <w:t xml:space="preserve"> y 25</w:t>
      </w:r>
      <w:r w:rsidR="00450C8F">
        <w:rPr>
          <w:bCs/>
          <w:sz w:val="20"/>
          <w:szCs w:val="20"/>
        </w:rPr>
        <w:t>2</w:t>
      </w:r>
      <w:r w:rsidR="00AC2AC7" w:rsidRPr="0064597D">
        <w:rPr>
          <w:bCs/>
          <w:sz w:val="20"/>
          <w:szCs w:val="20"/>
        </w:rPr>
        <w:t xml:space="preserve"> </w:t>
      </w:r>
      <w:r w:rsidRPr="0064597D">
        <w:rPr>
          <w:bCs/>
          <w:sz w:val="20"/>
          <w:szCs w:val="20"/>
        </w:rPr>
        <w:t>de la presente Sentencia por concepto de indemnización por daño inmaterial</w:t>
      </w:r>
      <w:r w:rsidR="00656467" w:rsidRPr="0064597D">
        <w:rPr>
          <w:bCs/>
          <w:sz w:val="20"/>
          <w:szCs w:val="20"/>
        </w:rPr>
        <w:t xml:space="preserve"> y costas</w:t>
      </w:r>
      <w:r w:rsidRPr="0064597D">
        <w:rPr>
          <w:bCs/>
          <w:sz w:val="20"/>
          <w:szCs w:val="20"/>
        </w:rPr>
        <w:t>.</w:t>
      </w:r>
    </w:p>
    <w:p w14:paraId="6148D3AF" w14:textId="77777777" w:rsidR="00703F3B" w:rsidRPr="0064597D" w:rsidRDefault="00703F3B" w:rsidP="00703F3B">
      <w:pPr>
        <w:tabs>
          <w:tab w:val="left" w:pos="720"/>
        </w:tabs>
        <w:spacing w:line="20" w:lineRule="atLeast"/>
        <w:ind w:right="-90"/>
        <w:contextualSpacing/>
        <w:rPr>
          <w:bCs/>
          <w:sz w:val="20"/>
          <w:szCs w:val="20"/>
        </w:rPr>
      </w:pPr>
    </w:p>
    <w:p w14:paraId="41EDDA1C" w14:textId="1275146D" w:rsidR="00703F3B" w:rsidRPr="0064597D" w:rsidRDefault="00703F3B" w:rsidP="00703F3B">
      <w:pPr>
        <w:numPr>
          <w:ilvl w:val="0"/>
          <w:numId w:val="7"/>
        </w:numPr>
        <w:tabs>
          <w:tab w:val="left" w:pos="720"/>
        </w:tabs>
        <w:spacing w:line="20" w:lineRule="atLeast"/>
        <w:ind w:right="-90"/>
        <w:contextualSpacing/>
        <w:rPr>
          <w:sz w:val="20"/>
          <w:szCs w:val="20"/>
        </w:rPr>
      </w:pPr>
      <w:r w:rsidRPr="0064597D">
        <w:rPr>
          <w:sz w:val="20"/>
          <w:szCs w:val="20"/>
        </w:rPr>
        <w:t xml:space="preserve">El Estado </w:t>
      </w:r>
      <w:r w:rsidR="008A1151" w:rsidRPr="0064597D">
        <w:rPr>
          <w:sz w:val="20"/>
          <w:szCs w:val="20"/>
        </w:rPr>
        <w:t>reintegrará</w:t>
      </w:r>
      <w:r w:rsidRPr="0064597D">
        <w:rPr>
          <w:sz w:val="20"/>
          <w:szCs w:val="20"/>
        </w:rPr>
        <w:t xml:space="preserve"> al Fondo de Asistencia Legal de Víctimas de la Corte Interamericana de Derechos Humanos la cantidad erogada durante la tramitación del presente caso, en los términos del párrafo </w:t>
      </w:r>
      <w:r w:rsidR="00D714A4">
        <w:rPr>
          <w:sz w:val="20"/>
          <w:szCs w:val="20"/>
        </w:rPr>
        <w:t>255</w:t>
      </w:r>
      <w:r w:rsidRPr="0064597D">
        <w:rPr>
          <w:sz w:val="20"/>
          <w:szCs w:val="20"/>
        </w:rPr>
        <w:t xml:space="preserve"> de esta Sentencia.</w:t>
      </w:r>
    </w:p>
    <w:p w14:paraId="5CD52F79" w14:textId="77777777" w:rsidR="00703F3B" w:rsidRPr="0064597D" w:rsidRDefault="00703F3B" w:rsidP="00703F3B">
      <w:pPr>
        <w:tabs>
          <w:tab w:val="left" w:pos="720"/>
        </w:tabs>
        <w:spacing w:line="20" w:lineRule="atLeast"/>
        <w:ind w:right="-90"/>
        <w:contextualSpacing/>
        <w:rPr>
          <w:sz w:val="20"/>
          <w:szCs w:val="20"/>
        </w:rPr>
      </w:pPr>
    </w:p>
    <w:p w14:paraId="798B23D9" w14:textId="49213EA2" w:rsidR="00703F3B" w:rsidRPr="0064597D" w:rsidRDefault="00703F3B" w:rsidP="00703F3B">
      <w:pPr>
        <w:numPr>
          <w:ilvl w:val="0"/>
          <w:numId w:val="7"/>
        </w:numPr>
        <w:tabs>
          <w:tab w:val="left" w:pos="720"/>
        </w:tabs>
        <w:spacing w:line="20" w:lineRule="atLeast"/>
        <w:ind w:right="-90"/>
        <w:contextualSpacing/>
        <w:rPr>
          <w:rFonts w:eastAsia="MS Mincho"/>
          <w:bCs/>
          <w:sz w:val="20"/>
          <w:szCs w:val="20"/>
          <w:lang w:bidi="en-US"/>
        </w:rPr>
      </w:pPr>
      <w:r w:rsidRPr="0064597D">
        <w:rPr>
          <w:bCs/>
          <w:sz w:val="20"/>
          <w:szCs w:val="20"/>
        </w:rPr>
        <w:t xml:space="preserve">El Estado, dentro del plazo de un año contado a partir de la notificación de esta Sentencia, </w:t>
      </w:r>
      <w:r w:rsidR="008A1151" w:rsidRPr="0064597D">
        <w:rPr>
          <w:bCs/>
          <w:sz w:val="20"/>
          <w:szCs w:val="20"/>
        </w:rPr>
        <w:t>rendirá</w:t>
      </w:r>
      <w:r w:rsidRPr="0064597D">
        <w:rPr>
          <w:bCs/>
          <w:sz w:val="20"/>
          <w:szCs w:val="20"/>
        </w:rPr>
        <w:t xml:space="preserve"> al Tribunal un informe sobre las medidas adoptadas para cumplir con la misma</w:t>
      </w:r>
      <w:r w:rsidR="00E136CA" w:rsidRPr="0064597D">
        <w:rPr>
          <w:bCs/>
          <w:sz w:val="20"/>
          <w:szCs w:val="20"/>
        </w:rPr>
        <w:t>.</w:t>
      </w:r>
    </w:p>
    <w:p w14:paraId="69EB3570" w14:textId="1B2E4719" w:rsidR="00703F3B" w:rsidRPr="0064597D" w:rsidRDefault="005101FE" w:rsidP="00703F3B">
      <w:pPr>
        <w:tabs>
          <w:tab w:val="left" w:pos="720"/>
        </w:tabs>
        <w:spacing w:line="20" w:lineRule="atLeast"/>
        <w:ind w:right="-90"/>
        <w:contextualSpacing/>
        <w:rPr>
          <w:rFonts w:eastAsia="MS Mincho"/>
          <w:bCs/>
          <w:sz w:val="20"/>
          <w:szCs w:val="20"/>
          <w:lang w:bidi="en-US"/>
        </w:rPr>
      </w:pPr>
      <w:r w:rsidRPr="0064597D">
        <w:rPr>
          <w:rFonts w:eastAsia="MS Mincho"/>
          <w:bCs/>
          <w:sz w:val="20"/>
          <w:szCs w:val="20"/>
          <w:lang w:bidi="en-US"/>
        </w:rPr>
        <w:t xml:space="preserve"> </w:t>
      </w:r>
    </w:p>
    <w:p w14:paraId="7F6E0265" w14:textId="77777777" w:rsidR="00703F3B" w:rsidRPr="0064597D" w:rsidRDefault="00703F3B" w:rsidP="00703F3B">
      <w:pPr>
        <w:numPr>
          <w:ilvl w:val="0"/>
          <w:numId w:val="7"/>
        </w:numPr>
        <w:tabs>
          <w:tab w:val="left" w:pos="720"/>
        </w:tabs>
        <w:spacing w:line="20" w:lineRule="atLeast"/>
        <w:ind w:right="-90"/>
        <w:contextualSpacing/>
        <w:rPr>
          <w:b/>
          <w:bCs/>
          <w:sz w:val="20"/>
          <w:szCs w:val="20"/>
        </w:rPr>
      </w:pPr>
      <w:r w:rsidRPr="0064597D">
        <w:rPr>
          <w:bCs/>
          <w:sz w:val="20"/>
          <w:szCs w:val="20"/>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14:paraId="3A5ECE6F" w14:textId="77777777" w:rsidR="00703F3B" w:rsidRPr="0064597D" w:rsidRDefault="00703F3B" w:rsidP="00703F3B">
      <w:pPr>
        <w:tabs>
          <w:tab w:val="left" w:pos="720"/>
        </w:tabs>
        <w:spacing w:line="20" w:lineRule="atLeast"/>
        <w:ind w:right="-93"/>
        <w:contextualSpacing/>
        <w:rPr>
          <w:rFonts w:cs="Verdana"/>
          <w:color w:val="FF0000"/>
          <w:sz w:val="20"/>
          <w:szCs w:val="20"/>
        </w:rPr>
      </w:pPr>
    </w:p>
    <w:p w14:paraId="582FF884" w14:textId="361D5692" w:rsidR="002055E2" w:rsidRDefault="00703F3B" w:rsidP="00F26380">
      <w:pPr>
        <w:tabs>
          <w:tab w:val="left" w:pos="720"/>
        </w:tabs>
        <w:spacing w:line="20" w:lineRule="atLeast"/>
        <w:ind w:right="-93"/>
        <w:contextualSpacing/>
        <w:rPr>
          <w:rFonts w:cs="Verdana"/>
          <w:sz w:val="20"/>
          <w:szCs w:val="20"/>
        </w:rPr>
      </w:pPr>
      <w:r w:rsidRPr="0064597D">
        <w:rPr>
          <w:rFonts w:cs="Verdana"/>
          <w:sz w:val="20"/>
          <w:szCs w:val="20"/>
        </w:rPr>
        <w:t xml:space="preserve">Redactada en español en San José, Costa Rica, el </w:t>
      </w:r>
      <w:r w:rsidR="008A1151" w:rsidRPr="0064597D">
        <w:rPr>
          <w:rFonts w:cs="Verdana"/>
          <w:sz w:val="20"/>
          <w:szCs w:val="20"/>
        </w:rPr>
        <w:t>10</w:t>
      </w:r>
      <w:r w:rsidRPr="0064597D">
        <w:rPr>
          <w:rFonts w:cs="Verdana"/>
          <w:sz w:val="20"/>
          <w:szCs w:val="20"/>
        </w:rPr>
        <w:t xml:space="preserve"> de octubre de 2019.</w:t>
      </w:r>
    </w:p>
    <w:p w14:paraId="1E8EF61C" w14:textId="77777777" w:rsidR="002055E2" w:rsidRDefault="002055E2">
      <w:pPr>
        <w:widowControl/>
        <w:adjustRightInd/>
        <w:spacing w:after="200" w:line="276" w:lineRule="auto"/>
        <w:jc w:val="left"/>
        <w:textAlignment w:val="auto"/>
        <w:rPr>
          <w:rFonts w:cs="Verdana"/>
          <w:sz w:val="20"/>
          <w:szCs w:val="20"/>
        </w:rPr>
      </w:pPr>
      <w:r>
        <w:rPr>
          <w:rFonts w:cs="Verdana"/>
          <w:sz w:val="20"/>
          <w:szCs w:val="20"/>
        </w:rPr>
        <w:br w:type="page"/>
      </w:r>
    </w:p>
    <w:p w14:paraId="66743431" w14:textId="77777777" w:rsidR="002055E2" w:rsidRPr="00745B6E" w:rsidRDefault="002055E2" w:rsidP="002055E2">
      <w:pPr>
        <w:keepNext/>
        <w:outlineLvl w:val="0"/>
        <w:rPr>
          <w:sz w:val="20"/>
        </w:rPr>
      </w:pPr>
      <w:r w:rsidRPr="00745B6E">
        <w:rPr>
          <w:sz w:val="20"/>
          <w:lang w:val="es-ES"/>
        </w:rPr>
        <w:lastRenderedPageBreak/>
        <w:t xml:space="preserve">Corte IDH. </w:t>
      </w:r>
      <w:r w:rsidRPr="00745B6E">
        <w:rPr>
          <w:i/>
          <w:sz w:val="20"/>
          <w:lang w:val="es-ES"/>
        </w:rPr>
        <w:t xml:space="preserve">Caso </w:t>
      </w:r>
      <w:r>
        <w:rPr>
          <w:i/>
          <w:sz w:val="20"/>
          <w:lang w:val="es-ES"/>
        </w:rPr>
        <w:t>Ruiz Fuentes y otra</w:t>
      </w:r>
      <w:r w:rsidRPr="00745B6E">
        <w:rPr>
          <w:i/>
          <w:sz w:val="20"/>
          <w:lang w:val="es-ES"/>
        </w:rPr>
        <w:t xml:space="preserve"> Vs. </w:t>
      </w:r>
      <w:r>
        <w:rPr>
          <w:i/>
          <w:sz w:val="20"/>
          <w:lang w:val="es-ES"/>
        </w:rPr>
        <w:t>Guatemala</w:t>
      </w:r>
      <w:r w:rsidRPr="00745B6E">
        <w:rPr>
          <w:i/>
          <w:sz w:val="20"/>
          <w:lang w:val="es-ES"/>
        </w:rPr>
        <w:t xml:space="preserve">. </w:t>
      </w:r>
      <w:r>
        <w:rPr>
          <w:i/>
          <w:sz w:val="20"/>
          <w:lang w:val="es-ES"/>
        </w:rPr>
        <w:t>Excepción Preliminar, Fondo, Reparaciones y Costas. Sentencia de 10 de octubre de 2019.</w:t>
      </w:r>
    </w:p>
    <w:p w14:paraId="1303376F" w14:textId="77777777" w:rsidR="002055E2" w:rsidRPr="00745B6E" w:rsidRDefault="002055E2" w:rsidP="002055E2">
      <w:pPr>
        <w:jc w:val="center"/>
        <w:rPr>
          <w:sz w:val="20"/>
          <w:lang w:val="es-ES"/>
        </w:rPr>
      </w:pPr>
    </w:p>
    <w:p w14:paraId="77696101" w14:textId="77777777" w:rsidR="002055E2" w:rsidRPr="00745B6E" w:rsidRDefault="002055E2" w:rsidP="002055E2">
      <w:pPr>
        <w:jc w:val="center"/>
        <w:rPr>
          <w:sz w:val="20"/>
          <w:lang w:val="es-ES"/>
        </w:rPr>
      </w:pPr>
    </w:p>
    <w:p w14:paraId="20BB4CCA" w14:textId="77777777" w:rsidR="002055E2" w:rsidRPr="00745B6E" w:rsidRDefault="002055E2" w:rsidP="002055E2">
      <w:pPr>
        <w:jc w:val="center"/>
        <w:rPr>
          <w:sz w:val="20"/>
          <w:lang w:val="es-ES"/>
        </w:rPr>
      </w:pPr>
      <w:r w:rsidRPr="00745B6E">
        <w:rPr>
          <w:sz w:val="20"/>
          <w:lang w:val="es-ES"/>
        </w:rPr>
        <w:t xml:space="preserve">Eduardo Ferrer Mac-Gregor Poisot </w:t>
      </w:r>
    </w:p>
    <w:p w14:paraId="4C7DAABD" w14:textId="77777777" w:rsidR="002055E2" w:rsidRPr="00745B6E" w:rsidRDefault="002055E2" w:rsidP="002055E2">
      <w:pPr>
        <w:jc w:val="center"/>
        <w:rPr>
          <w:sz w:val="20"/>
          <w:lang w:val="es-ES"/>
        </w:rPr>
      </w:pPr>
      <w:r w:rsidRPr="00745B6E">
        <w:rPr>
          <w:sz w:val="20"/>
          <w:lang w:val="es-ES"/>
        </w:rPr>
        <w:t xml:space="preserve">Presidente </w:t>
      </w:r>
    </w:p>
    <w:p w14:paraId="0C0BE7D6" w14:textId="77777777" w:rsidR="002055E2" w:rsidRPr="00745B6E" w:rsidRDefault="002055E2" w:rsidP="002055E2">
      <w:pPr>
        <w:rPr>
          <w:sz w:val="20"/>
          <w:lang w:val="es-ES"/>
        </w:rPr>
      </w:pPr>
    </w:p>
    <w:p w14:paraId="051CA55C" w14:textId="77777777" w:rsidR="002055E2" w:rsidRPr="00745B6E" w:rsidRDefault="002055E2" w:rsidP="002055E2">
      <w:pPr>
        <w:rPr>
          <w:sz w:val="20"/>
          <w:lang w:val="es-ES"/>
        </w:rPr>
      </w:pPr>
    </w:p>
    <w:p w14:paraId="37007ED5" w14:textId="77777777" w:rsidR="002055E2" w:rsidRPr="00745B6E" w:rsidRDefault="002055E2" w:rsidP="002055E2">
      <w:pPr>
        <w:rPr>
          <w:sz w:val="20"/>
          <w:lang w:val="es-ES"/>
        </w:rPr>
      </w:pPr>
      <w:r w:rsidRPr="00745B6E">
        <w:rPr>
          <w:sz w:val="20"/>
          <w:lang w:val="es-ES"/>
        </w:rPr>
        <w:t>Eduardo Vio Grossi</w:t>
      </w:r>
      <w:r>
        <w:rPr>
          <w:sz w:val="20"/>
          <w:lang w:val="es-ES"/>
        </w:rPr>
        <w:tab/>
      </w:r>
      <w:r>
        <w:rPr>
          <w:sz w:val="20"/>
          <w:lang w:val="es-ES"/>
        </w:rPr>
        <w:tab/>
      </w:r>
      <w:r>
        <w:rPr>
          <w:sz w:val="20"/>
          <w:lang w:val="es-ES"/>
        </w:rPr>
        <w:tab/>
      </w:r>
      <w:r>
        <w:rPr>
          <w:sz w:val="20"/>
          <w:lang w:val="es-ES"/>
        </w:rPr>
        <w:tab/>
      </w:r>
      <w:r>
        <w:rPr>
          <w:sz w:val="20"/>
          <w:lang w:val="es-ES"/>
        </w:rPr>
        <w:tab/>
      </w:r>
      <w:r>
        <w:rPr>
          <w:sz w:val="20"/>
          <w:lang w:val="es-ES"/>
        </w:rPr>
        <w:tab/>
      </w:r>
      <w:r w:rsidRPr="00745B6E">
        <w:rPr>
          <w:sz w:val="20"/>
          <w:lang w:val="es-ES"/>
        </w:rPr>
        <w:t>H</w:t>
      </w:r>
      <w:r>
        <w:rPr>
          <w:sz w:val="20"/>
          <w:lang w:val="es-ES"/>
        </w:rPr>
        <w:t xml:space="preserve">umberto Antonio </w:t>
      </w:r>
      <w:r w:rsidRPr="00745B6E">
        <w:rPr>
          <w:sz w:val="20"/>
          <w:lang w:val="es-ES"/>
        </w:rPr>
        <w:t>Sierra Porto</w:t>
      </w:r>
    </w:p>
    <w:p w14:paraId="290E8500" w14:textId="77777777" w:rsidR="002055E2" w:rsidRPr="00745B6E" w:rsidRDefault="002055E2" w:rsidP="002055E2">
      <w:pPr>
        <w:rPr>
          <w:sz w:val="20"/>
          <w:lang w:val="es-ES"/>
        </w:rPr>
      </w:pPr>
    </w:p>
    <w:p w14:paraId="4DA3B2DD" w14:textId="77777777" w:rsidR="002055E2" w:rsidRPr="00745B6E" w:rsidRDefault="002055E2" w:rsidP="002055E2">
      <w:pPr>
        <w:rPr>
          <w:sz w:val="20"/>
          <w:lang w:val="es-ES"/>
        </w:rPr>
      </w:pPr>
    </w:p>
    <w:p w14:paraId="1C11ABCB" w14:textId="77777777" w:rsidR="002055E2" w:rsidRPr="00745B6E" w:rsidRDefault="002055E2" w:rsidP="002055E2">
      <w:pPr>
        <w:rPr>
          <w:sz w:val="20"/>
          <w:lang w:val="es-ES"/>
        </w:rPr>
      </w:pPr>
    </w:p>
    <w:p w14:paraId="6CF8469D" w14:textId="77777777" w:rsidR="002055E2" w:rsidRPr="00745B6E" w:rsidRDefault="002055E2" w:rsidP="002055E2">
      <w:pPr>
        <w:jc w:val="center"/>
        <w:rPr>
          <w:sz w:val="20"/>
          <w:lang w:val="es-ES"/>
        </w:rPr>
      </w:pPr>
      <w:r w:rsidRPr="00745B6E">
        <w:rPr>
          <w:sz w:val="20"/>
          <w:lang w:val="es-ES"/>
        </w:rPr>
        <w:t>Elizabeth Odio Benito</w:t>
      </w:r>
      <w:r w:rsidRPr="00745B6E">
        <w:rPr>
          <w:sz w:val="20"/>
          <w:lang w:val="es-ES"/>
        </w:rPr>
        <w:tab/>
      </w:r>
      <w:r w:rsidRPr="00745B6E">
        <w:rPr>
          <w:sz w:val="20"/>
          <w:lang w:val="es-ES"/>
        </w:rPr>
        <w:tab/>
      </w:r>
      <w:r w:rsidRPr="00745B6E">
        <w:rPr>
          <w:sz w:val="20"/>
          <w:lang w:val="es-ES"/>
        </w:rPr>
        <w:tab/>
      </w:r>
      <w:r w:rsidRPr="00745B6E">
        <w:rPr>
          <w:sz w:val="20"/>
          <w:lang w:val="es-ES"/>
        </w:rPr>
        <w:tab/>
      </w:r>
      <w:r w:rsidRPr="00745B6E">
        <w:rPr>
          <w:sz w:val="20"/>
          <w:lang w:val="es-ES"/>
        </w:rPr>
        <w:tab/>
        <w:t xml:space="preserve">        </w:t>
      </w:r>
      <w:r>
        <w:rPr>
          <w:sz w:val="20"/>
          <w:lang w:val="es-ES"/>
        </w:rPr>
        <w:t>L. Patricio Pazmiño Freire</w:t>
      </w:r>
    </w:p>
    <w:p w14:paraId="0BB9D3E6" w14:textId="77777777" w:rsidR="002055E2" w:rsidRPr="00745B6E" w:rsidRDefault="002055E2" w:rsidP="002055E2">
      <w:pPr>
        <w:rPr>
          <w:sz w:val="20"/>
          <w:lang w:val="es-ES"/>
        </w:rPr>
      </w:pPr>
    </w:p>
    <w:p w14:paraId="7693177D" w14:textId="77777777" w:rsidR="002055E2" w:rsidRPr="00745B6E" w:rsidRDefault="002055E2" w:rsidP="002055E2">
      <w:pPr>
        <w:rPr>
          <w:sz w:val="20"/>
          <w:lang w:val="es-ES"/>
        </w:rPr>
      </w:pPr>
    </w:p>
    <w:p w14:paraId="03F91172" w14:textId="77777777" w:rsidR="002055E2" w:rsidRDefault="002055E2" w:rsidP="002055E2">
      <w:pPr>
        <w:jc w:val="center"/>
        <w:rPr>
          <w:sz w:val="20"/>
          <w:lang w:val="es-ES"/>
        </w:rPr>
      </w:pPr>
    </w:p>
    <w:p w14:paraId="051EFFC9" w14:textId="77777777" w:rsidR="002055E2" w:rsidRPr="00745B6E" w:rsidRDefault="002055E2" w:rsidP="002055E2">
      <w:pPr>
        <w:rPr>
          <w:sz w:val="20"/>
        </w:rPr>
      </w:pPr>
      <w:r>
        <w:rPr>
          <w:sz w:val="20"/>
        </w:rPr>
        <w:tab/>
      </w:r>
      <w:r>
        <w:rPr>
          <w:sz w:val="20"/>
        </w:rPr>
        <w:tab/>
      </w:r>
      <w:r>
        <w:rPr>
          <w:sz w:val="20"/>
        </w:rPr>
        <w:tab/>
      </w:r>
      <w:r>
        <w:rPr>
          <w:sz w:val="20"/>
        </w:rPr>
        <w:tab/>
      </w:r>
      <w:r w:rsidRPr="00745B6E">
        <w:rPr>
          <w:sz w:val="20"/>
        </w:rPr>
        <w:t xml:space="preserve">Ricardo </w:t>
      </w:r>
      <w:r>
        <w:rPr>
          <w:sz w:val="20"/>
        </w:rPr>
        <w:t xml:space="preserve">C. </w:t>
      </w:r>
      <w:r w:rsidRPr="00745B6E">
        <w:rPr>
          <w:sz w:val="20"/>
        </w:rPr>
        <w:t>Pérez Manrique</w:t>
      </w:r>
    </w:p>
    <w:p w14:paraId="11476C6F" w14:textId="77777777" w:rsidR="002055E2" w:rsidRPr="00745B6E" w:rsidRDefault="002055E2" w:rsidP="002055E2">
      <w:pPr>
        <w:rPr>
          <w:sz w:val="20"/>
          <w:lang w:val="es-ES"/>
        </w:rPr>
      </w:pPr>
    </w:p>
    <w:p w14:paraId="7C178A74" w14:textId="77777777" w:rsidR="002055E2" w:rsidRPr="00745B6E" w:rsidRDefault="002055E2" w:rsidP="002055E2">
      <w:pPr>
        <w:rPr>
          <w:sz w:val="20"/>
          <w:lang w:val="es-ES"/>
        </w:rPr>
      </w:pPr>
    </w:p>
    <w:p w14:paraId="314B88BC" w14:textId="77777777" w:rsidR="002055E2" w:rsidRPr="00745B6E" w:rsidRDefault="002055E2" w:rsidP="002055E2">
      <w:pPr>
        <w:rPr>
          <w:sz w:val="20"/>
          <w:lang w:val="es-ES"/>
        </w:rPr>
      </w:pPr>
    </w:p>
    <w:p w14:paraId="39C95FE6" w14:textId="77777777" w:rsidR="002055E2" w:rsidRPr="00745B6E" w:rsidRDefault="002055E2" w:rsidP="002055E2">
      <w:pPr>
        <w:jc w:val="center"/>
        <w:rPr>
          <w:sz w:val="20"/>
          <w:lang w:val="es-ES"/>
        </w:rPr>
      </w:pPr>
      <w:r w:rsidRPr="00745B6E">
        <w:rPr>
          <w:sz w:val="20"/>
          <w:lang w:val="es-ES"/>
        </w:rPr>
        <w:t>Pablo Saavedra Alessandri</w:t>
      </w:r>
    </w:p>
    <w:p w14:paraId="7D70DEF5" w14:textId="77777777" w:rsidR="002055E2" w:rsidRPr="00745B6E" w:rsidRDefault="002055E2" w:rsidP="002055E2">
      <w:pPr>
        <w:jc w:val="center"/>
        <w:rPr>
          <w:sz w:val="20"/>
          <w:lang w:val="es-ES"/>
        </w:rPr>
      </w:pPr>
      <w:r w:rsidRPr="00745B6E">
        <w:rPr>
          <w:sz w:val="20"/>
          <w:lang w:val="es-ES"/>
        </w:rPr>
        <w:t>Secretario</w:t>
      </w:r>
    </w:p>
    <w:p w14:paraId="6E264620" w14:textId="77777777" w:rsidR="002055E2" w:rsidRPr="00745B6E" w:rsidRDefault="002055E2" w:rsidP="002055E2">
      <w:pPr>
        <w:rPr>
          <w:sz w:val="20"/>
          <w:lang w:val="es-ES"/>
        </w:rPr>
      </w:pPr>
    </w:p>
    <w:p w14:paraId="4D5D33D5" w14:textId="77777777" w:rsidR="002055E2" w:rsidRDefault="002055E2" w:rsidP="002055E2">
      <w:pPr>
        <w:pStyle w:val="Textonotapie"/>
        <w:rPr>
          <w:lang w:val="es-ES"/>
        </w:rPr>
      </w:pPr>
    </w:p>
    <w:p w14:paraId="0B9A561D" w14:textId="77777777" w:rsidR="002055E2" w:rsidRDefault="002055E2" w:rsidP="002055E2">
      <w:pPr>
        <w:pStyle w:val="Textonotapie"/>
        <w:rPr>
          <w:lang w:val="es-ES"/>
        </w:rPr>
      </w:pPr>
    </w:p>
    <w:p w14:paraId="3AE640F2" w14:textId="77777777" w:rsidR="002055E2" w:rsidRPr="00745B6E" w:rsidRDefault="002055E2" w:rsidP="002055E2">
      <w:pPr>
        <w:pStyle w:val="Textonotapie"/>
        <w:rPr>
          <w:lang w:val="es-ES"/>
        </w:rPr>
      </w:pPr>
    </w:p>
    <w:p w14:paraId="2E565669" w14:textId="77777777" w:rsidR="002055E2" w:rsidRPr="00745B6E" w:rsidRDefault="002055E2" w:rsidP="002055E2">
      <w:pPr>
        <w:pStyle w:val="Textonotapie"/>
        <w:rPr>
          <w:lang w:val="es-ES"/>
        </w:rPr>
      </w:pPr>
    </w:p>
    <w:p w14:paraId="413DD376" w14:textId="77777777" w:rsidR="002055E2" w:rsidRPr="00745B6E" w:rsidRDefault="002055E2" w:rsidP="002055E2">
      <w:pPr>
        <w:rPr>
          <w:sz w:val="20"/>
          <w:lang w:val="es-ES"/>
        </w:rPr>
      </w:pPr>
      <w:r w:rsidRPr="00745B6E">
        <w:rPr>
          <w:sz w:val="20"/>
          <w:lang w:val="es-ES"/>
        </w:rPr>
        <w:t>Comuníquese y ejecútese,</w:t>
      </w:r>
    </w:p>
    <w:p w14:paraId="7BE61D1F" w14:textId="77777777" w:rsidR="002055E2" w:rsidRPr="00745B6E" w:rsidRDefault="002055E2" w:rsidP="002055E2">
      <w:pPr>
        <w:rPr>
          <w:sz w:val="20"/>
          <w:lang w:val="es-ES"/>
        </w:rPr>
      </w:pPr>
    </w:p>
    <w:p w14:paraId="33389F97" w14:textId="77777777" w:rsidR="002055E2" w:rsidRPr="00745B6E" w:rsidRDefault="002055E2" w:rsidP="002055E2">
      <w:pPr>
        <w:rPr>
          <w:sz w:val="20"/>
          <w:lang w:val="es-ES"/>
        </w:rPr>
      </w:pPr>
    </w:p>
    <w:p w14:paraId="1E4F44BD" w14:textId="77777777" w:rsidR="002055E2" w:rsidRPr="00745B6E" w:rsidRDefault="002055E2" w:rsidP="002055E2">
      <w:pPr>
        <w:ind w:left="4956"/>
        <w:jc w:val="center"/>
        <w:rPr>
          <w:sz w:val="20"/>
          <w:lang w:val="es-ES"/>
        </w:rPr>
      </w:pPr>
      <w:r w:rsidRPr="00745B6E">
        <w:rPr>
          <w:sz w:val="20"/>
          <w:lang w:val="es-ES"/>
        </w:rPr>
        <w:t>Eduardo Ferrer Mac-Gregor Poisot</w:t>
      </w:r>
    </w:p>
    <w:p w14:paraId="620CDB2D" w14:textId="77777777" w:rsidR="002055E2" w:rsidRPr="00745B6E" w:rsidRDefault="002055E2" w:rsidP="002055E2">
      <w:pPr>
        <w:ind w:left="4956"/>
        <w:jc w:val="center"/>
        <w:rPr>
          <w:sz w:val="20"/>
          <w:lang w:val="es-ES"/>
        </w:rPr>
      </w:pPr>
      <w:r w:rsidRPr="00745B6E">
        <w:rPr>
          <w:sz w:val="20"/>
          <w:lang w:val="es-ES"/>
        </w:rPr>
        <w:t>Presidente</w:t>
      </w:r>
    </w:p>
    <w:p w14:paraId="2241495B" w14:textId="77777777" w:rsidR="002055E2" w:rsidRPr="00745B6E" w:rsidRDefault="002055E2" w:rsidP="002055E2">
      <w:pPr>
        <w:rPr>
          <w:sz w:val="20"/>
          <w:lang w:val="es-ES"/>
        </w:rPr>
      </w:pPr>
    </w:p>
    <w:p w14:paraId="1AC93D26" w14:textId="77777777" w:rsidR="002055E2" w:rsidRPr="00745B6E" w:rsidRDefault="002055E2" w:rsidP="002055E2">
      <w:pPr>
        <w:rPr>
          <w:sz w:val="20"/>
          <w:lang w:val="es-ES"/>
        </w:rPr>
      </w:pPr>
      <w:bookmarkStart w:id="156" w:name="_GoBack"/>
      <w:bookmarkEnd w:id="156"/>
    </w:p>
    <w:p w14:paraId="353BA9C8" w14:textId="77777777" w:rsidR="002055E2" w:rsidRPr="00745B6E" w:rsidRDefault="002055E2" w:rsidP="002055E2">
      <w:pPr>
        <w:rPr>
          <w:sz w:val="20"/>
          <w:lang w:val="es-ES"/>
        </w:rPr>
      </w:pPr>
      <w:r w:rsidRPr="00745B6E">
        <w:rPr>
          <w:sz w:val="20"/>
          <w:lang w:val="es-ES"/>
        </w:rPr>
        <w:t>Pablo Saavedra Alessandri</w:t>
      </w:r>
    </w:p>
    <w:p w14:paraId="4CED225D" w14:textId="77777777" w:rsidR="002055E2" w:rsidRPr="00745B6E" w:rsidRDefault="002055E2" w:rsidP="002055E2">
      <w:pPr>
        <w:rPr>
          <w:sz w:val="20"/>
        </w:rPr>
      </w:pPr>
      <w:r w:rsidRPr="00745B6E">
        <w:rPr>
          <w:sz w:val="20"/>
          <w:lang w:val="es-ES"/>
        </w:rPr>
        <w:tab/>
      </w:r>
      <w:r w:rsidRPr="00745B6E">
        <w:rPr>
          <w:sz w:val="20"/>
        </w:rPr>
        <w:t>Secretario</w:t>
      </w:r>
    </w:p>
    <w:p w14:paraId="479B912D" w14:textId="77777777" w:rsidR="00703F3B" w:rsidRPr="0064597D" w:rsidRDefault="00703F3B" w:rsidP="00F26380">
      <w:pPr>
        <w:tabs>
          <w:tab w:val="left" w:pos="720"/>
        </w:tabs>
        <w:spacing w:line="20" w:lineRule="atLeast"/>
        <w:ind w:right="-93"/>
        <w:contextualSpacing/>
        <w:rPr>
          <w:sz w:val="20"/>
          <w:szCs w:val="20"/>
        </w:rPr>
      </w:pPr>
    </w:p>
    <w:p w14:paraId="6C281518" w14:textId="77777777" w:rsidR="00703F3B" w:rsidRPr="0064597D" w:rsidRDefault="00703F3B" w:rsidP="00703F3B"/>
    <w:sectPr w:rsidR="00703F3B" w:rsidRPr="0064597D" w:rsidSect="000E3A01">
      <w:type w:val="continuous"/>
      <w:pgSz w:w="12240" w:h="15840" w:code="1"/>
      <w:pgMar w:top="1440" w:right="1080" w:bottom="547" w:left="108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E2692B" w14:textId="77777777" w:rsidR="00656033" w:rsidRDefault="00656033" w:rsidP="00833D5A">
      <w:pPr>
        <w:spacing w:line="240" w:lineRule="auto"/>
      </w:pPr>
      <w:r>
        <w:separator/>
      </w:r>
    </w:p>
  </w:endnote>
  <w:endnote w:type="continuationSeparator" w:id="0">
    <w:p w14:paraId="5007F67D" w14:textId="77777777" w:rsidR="00656033" w:rsidRDefault="00656033" w:rsidP="00833D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Times">
    <w:panose1 w:val="00000500000000020000"/>
    <w:charset w:val="00"/>
    <w:family w:val="auto"/>
    <w:pitch w:val="variable"/>
    <w:sig w:usb0="E00002FF" w:usb1="5000205A"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ヒラギノ角ゴ Pro W3">
    <w:altName w:val="MS Mincho"/>
    <w:panose1 w:val="020B0300000000000000"/>
    <w:charset w:val="80"/>
    <w:family w:val="swiss"/>
    <w:pitch w:val="variable"/>
    <w:sig w:usb0="E00002FF" w:usb1="7AC7FFFF" w:usb2="00000012" w:usb3="00000000" w:csb0="0002000D" w:csb1="00000000"/>
  </w:font>
  <w:font w:name="Arial-ItalicMT">
    <w:panose1 w:val="020B0604020202020204"/>
    <w:charset w:val="00"/>
    <w:family w:val="swiss"/>
    <w:notTrueType/>
    <w:pitch w:val="default"/>
    <w:sig w:usb0="00000003" w:usb1="00000000" w:usb2="00000000" w:usb3="00000000" w:csb0="00000001" w:csb1="00000000"/>
  </w:font>
  <w:font w:name="Helvetica">
    <w:panose1 w:val="00000000000000000000"/>
    <w:charset w:val="00"/>
    <w:family w:val="swiss"/>
    <w:notTrueType/>
    <w:pitch w:val="variable"/>
    <w:sig w:usb0="00000003" w:usb1="00000000" w:usb2="00000000" w:usb3="00000000" w:csb0="00000001" w:csb1="00000000"/>
  </w:font>
  <w:font w:name="AmnestyTradeGothic">
    <w:panose1 w:val="020B0604020202020204"/>
    <w:charset w:val="00"/>
    <w:family w:val="swiss"/>
    <w:notTrueType/>
    <w:pitch w:val="default"/>
    <w:sig w:usb0="00000003" w:usb1="00000000" w:usb2="00000000" w:usb3="00000000" w:csb0="00000001" w:csb1="00000000"/>
  </w:font>
  <w:font w:name="AmnestyTradeGothic-Light">
    <w:panose1 w:val="020B0604020202020204"/>
    <w:charset w:val="00"/>
    <w:family w:val="swiss"/>
    <w:notTrueType/>
    <w:pitch w:val="default"/>
    <w:sig w:usb0="00000003" w:usb1="00000000" w:usb2="00000000" w:usb3="00000000" w:csb0="00000001" w:csb1="00000000"/>
  </w:font>
  <w:font w:name="AmnestyTradeGothic-LightObl">
    <w:panose1 w:val="020B0604020202020204"/>
    <w:charset w:val="00"/>
    <w:family w:val="swiss"/>
    <w:notTrueType/>
    <w:pitch w:val="default"/>
    <w:sig w:usb0="00000003" w:usb1="00000000" w:usb2="00000000" w:usb3="00000000" w:csb0="00000001" w:csb1="00000000"/>
  </w:font>
  <w:font w:name="DejaVuSans">
    <w:panose1 w:val="020B0604020202020204"/>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18"/>
        <w:szCs w:val="18"/>
      </w:rPr>
      <w:id w:val="1396474226"/>
      <w:docPartObj>
        <w:docPartGallery w:val="Page Numbers (Bottom of Page)"/>
        <w:docPartUnique/>
      </w:docPartObj>
    </w:sdtPr>
    <w:sdtEndPr>
      <w:rPr>
        <w:noProof/>
      </w:rPr>
    </w:sdtEndPr>
    <w:sdtContent>
      <w:p w14:paraId="1A6BA86E" w14:textId="5AD07A67" w:rsidR="001A2991" w:rsidRPr="00B47883" w:rsidRDefault="001A2991" w:rsidP="00B47883">
        <w:pPr>
          <w:pStyle w:val="Piedepgina"/>
          <w:spacing w:before="120"/>
          <w:jc w:val="center"/>
          <w:rPr>
            <w:sz w:val="18"/>
            <w:szCs w:val="18"/>
          </w:rPr>
        </w:pPr>
        <w:r w:rsidRPr="00B47883">
          <w:rPr>
            <w:sz w:val="18"/>
            <w:szCs w:val="18"/>
          </w:rPr>
          <w:fldChar w:fldCharType="begin"/>
        </w:r>
        <w:r w:rsidRPr="00B47883">
          <w:rPr>
            <w:sz w:val="18"/>
            <w:szCs w:val="18"/>
          </w:rPr>
          <w:instrText xml:space="preserve"> PAGE   \* MERGEFORMAT </w:instrText>
        </w:r>
        <w:r w:rsidRPr="00B47883">
          <w:rPr>
            <w:sz w:val="18"/>
            <w:szCs w:val="18"/>
          </w:rPr>
          <w:fldChar w:fldCharType="separate"/>
        </w:r>
        <w:r w:rsidR="007E04F7">
          <w:rPr>
            <w:noProof/>
            <w:sz w:val="18"/>
            <w:szCs w:val="18"/>
          </w:rPr>
          <w:t>61</w:t>
        </w:r>
        <w:r w:rsidRPr="00B47883">
          <w:rPr>
            <w:noProof/>
            <w:sz w:val="18"/>
            <w:szCs w:val="18"/>
          </w:rPr>
          <w:fldChar w:fldCharType="end"/>
        </w:r>
      </w:p>
    </w:sdtContent>
  </w:sdt>
  <w:p w14:paraId="440FCD34" w14:textId="77777777" w:rsidR="001A2991" w:rsidRPr="00B47883" w:rsidRDefault="001A2991">
    <w:pPr>
      <w:pStyle w:val="Piedepgina"/>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C16F83" w14:textId="77777777" w:rsidR="00656033" w:rsidRDefault="00656033" w:rsidP="00833D5A">
      <w:pPr>
        <w:spacing w:line="240" w:lineRule="auto"/>
      </w:pPr>
      <w:r>
        <w:separator/>
      </w:r>
    </w:p>
  </w:footnote>
  <w:footnote w:type="continuationSeparator" w:id="0">
    <w:p w14:paraId="61A37ECA" w14:textId="77777777" w:rsidR="00656033" w:rsidRDefault="00656033" w:rsidP="00833D5A">
      <w:pPr>
        <w:spacing w:line="240" w:lineRule="auto"/>
      </w:pPr>
      <w:r>
        <w:continuationSeparator/>
      </w:r>
    </w:p>
  </w:footnote>
  <w:footnote w:id="1">
    <w:p w14:paraId="4E0D6F03" w14:textId="6F9DA728" w:rsidR="001A2991" w:rsidRPr="007E04F7" w:rsidRDefault="001A2991" w:rsidP="0064597D">
      <w:pPr>
        <w:pStyle w:val="Textonotapie"/>
        <w:rPr>
          <w:sz w:val="16"/>
          <w:szCs w:val="16"/>
        </w:rPr>
      </w:pPr>
      <w:r w:rsidRPr="007E04F7">
        <w:rPr>
          <w:rStyle w:val="Refdenotaalpie"/>
          <w:sz w:val="16"/>
          <w:szCs w:val="16"/>
        </w:rPr>
        <w:footnoteRef/>
      </w:r>
      <w:r w:rsidRPr="007E04F7">
        <w:rPr>
          <w:sz w:val="16"/>
          <w:szCs w:val="16"/>
        </w:rPr>
        <w:t xml:space="preserve"> </w:t>
      </w:r>
      <w:r w:rsidRPr="007E04F7">
        <w:rPr>
          <w:sz w:val="16"/>
          <w:szCs w:val="16"/>
        </w:rPr>
        <w:tab/>
        <w:t>El Juez Eugenio Raúl Zaffaroni se excusó de participar en el presente caso, conforme a lo dispuesto en el artículo 21 de su Reglamento, lo cual fue aceptado por el Pleno de la Corte.</w:t>
      </w:r>
    </w:p>
  </w:footnote>
  <w:footnote w:id="2">
    <w:p w14:paraId="6F3C8F7D" w14:textId="05CB1B70" w:rsidR="001A2991" w:rsidRPr="007E04F7" w:rsidRDefault="001A2991" w:rsidP="0064597D">
      <w:pPr>
        <w:pStyle w:val="Textonotapie"/>
        <w:tabs>
          <w:tab w:val="left" w:pos="567"/>
        </w:tabs>
        <w:rPr>
          <w:sz w:val="16"/>
          <w:szCs w:val="16"/>
        </w:rPr>
      </w:pPr>
      <w:r w:rsidRPr="007E04F7">
        <w:rPr>
          <w:rStyle w:val="Refdenotaalpie"/>
          <w:sz w:val="16"/>
          <w:szCs w:val="16"/>
        </w:rPr>
        <w:t>**</w:t>
      </w:r>
      <w:r w:rsidRPr="007E04F7">
        <w:rPr>
          <w:sz w:val="16"/>
          <w:szCs w:val="16"/>
        </w:rPr>
        <w:t xml:space="preserve"> </w:t>
      </w:r>
      <w:r w:rsidRPr="007E04F7">
        <w:rPr>
          <w:sz w:val="16"/>
          <w:szCs w:val="16"/>
        </w:rPr>
        <w:tab/>
      </w:r>
      <w:r w:rsidRPr="007E04F7">
        <w:rPr>
          <w:rFonts w:cs="Arial"/>
          <w:sz w:val="16"/>
          <w:szCs w:val="16"/>
        </w:rPr>
        <w:t xml:space="preserve">A solicitud de las representantes de las presuntas víctimas y por decisión del pleno de la Corte, reunido durante su 131 Período Ordinario de Sesiones, se reservó la identidad de los familiares del señor Hugo Humberto Ruiz Fuentes. </w:t>
      </w:r>
    </w:p>
  </w:footnote>
  <w:footnote w:id="3">
    <w:p w14:paraId="2D3FC158" w14:textId="77777777" w:rsidR="001A2991" w:rsidRPr="007E04F7" w:rsidRDefault="001A2991" w:rsidP="0064597D">
      <w:pPr>
        <w:pStyle w:val="Textonotapie"/>
        <w:tabs>
          <w:tab w:val="left" w:pos="567"/>
        </w:tabs>
        <w:rPr>
          <w:sz w:val="16"/>
          <w:szCs w:val="16"/>
          <w:lang w:val="es-CR"/>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w:t>
      </w:r>
      <w:r w:rsidRPr="007E04F7">
        <w:rPr>
          <w:rStyle w:val="Textoennegrita"/>
          <w:b w:val="0"/>
          <w:i/>
          <w:sz w:val="16"/>
          <w:szCs w:val="16"/>
        </w:rPr>
        <w:t>Caso Raxcacó Reyes y otros respecto Guatemala. Medidas Provisionales</w:t>
      </w:r>
      <w:r w:rsidRPr="007E04F7">
        <w:rPr>
          <w:rStyle w:val="Textoennegrita"/>
          <w:b w:val="0"/>
          <w:sz w:val="16"/>
          <w:szCs w:val="16"/>
        </w:rPr>
        <w:t>. Resolución de la Corte Interamericana de Derechos Humanos de 30 de agosto de 2004, punto resolutivo no. 1.</w:t>
      </w:r>
    </w:p>
  </w:footnote>
  <w:footnote w:id="4">
    <w:p w14:paraId="66BF592C" w14:textId="77777777" w:rsidR="001A2991" w:rsidRPr="007E04F7" w:rsidRDefault="001A2991" w:rsidP="0064597D">
      <w:pPr>
        <w:pStyle w:val="Textonotapie"/>
        <w:tabs>
          <w:tab w:val="left" w:pos="567"/>
        </w:tabs>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w:t>
      </w:r>
      <w:r w:rsidRPr="007E04F7">
        <w:rPr>
          <w:rStyle w:val="Refdenotaalpie"/>
          <w:i/>
          <w:sz w:val="16"/>
          <w:szCs w:val="16"/>
          <w:vertAlign w:val="baseline"/>
          <w:lang w:val="es-CR"/>
        </w:rPr>
        <w:t>Caso Raxcacó Reyes y otros respecto Guatemala. Medidas Provisionales</w:t>
      </w:r>
      <w:r w:rsidRPr="007E04F7">
        <w:rPr>
          <w:rStyle w:val="Refdenotaalpie"/>
          <w:sz w:val="16"/>
          <w:szCs w:val="16"/>
          <w:vertAlign w:val="baseline"/>
          <w:lang w:val="es-CR"/>
        </w:rPr>
        <w:t>. Resolución de la Corte Interamericana de Derechos Humanos de 4 de julio de 2006.</w:t>
      </w:r>
    </w:p>
  </w:footnote>
  <w:footnote w:id="5">
    <w:p w14:paraId="55CCE792" w14:textId="5291DCAC" w:rsidR="001A2991" w:rsidRPr="007E04F7" w:rsidRDefault="001A2991" w:rsidP="0064597D">
      <w:pPr>
        <w:pStyle w:val="Textonotapie"/>
        <w:tabs>
          <w:tab w:val="left" w:pos="567"/>
        </w:tabs>
        <w:rPr>
          <w:sz w:val="16"/>
          <w:szCs w:val="16"/>
          <w:lang w:val="es-CR"/>
        </w:rPr>
      </w:pPr>
      <w:r w:rsidRPr="007E04F7">
        <w:rPr>
          <w:rStyle w:val="Refdenotaalpie"/>
          <w:sz w:val="16"/>
          <w:szCs w:val="16"/>
          <w:lang w:val="es-CR"/>
        </w:rPr>
        <w:footnoteRef/>
      </w:r>
      <w:r w:rsidRPr="007E04F7">
        <w:rPr>
          <w:sz w:val="16"/>
          <w:szCs w:val="16"/>
          <w:lang w:val="es-CR"/>
        </w:rPr>
        <w:t xml:space="preserve"> </w:t>
      </w:r>
      <w:r w:rsidRPr="007E04F7">
        <w:rPr>
          <w:sz w:val="16"/>
          <w:szCs w:val="16"/>
          <w:lang w:val="es-CR"/>
        </w:rPr>
        <w:tab/>
        <w:t>El mismo fue notificado a las partes el 24 de marzo de 2008. En dicho informe, la Comisión decidió que la petición era admisible respecto de la presunta violación de los derechos reconocidos en los artículos 4, 5, 8.1, 11.1 y 25 de la Convención Americana, todos ellos en conexión con el artículo 1.1 de dicho instrumento y los artículos 1, 6 y 8 de la Convención Interamericana para Prevenir y Sancionar la Tortura, en perjuicio de Hugo Humberto Ruiz Fuentes.</w:t>
      </w:r>
      <w:r w:rsidRPr="007E04F7">
        <w:rPr>
          <w:i/>
          <w:sz w:val="16"/>
          <w:szCs w:val="16"/>
          <w:lang w:val="es-CR"/>
        </w:rPr>
        <w:t xml:space="preserve"> Cfr. </w:t>
      </w:r>
      <w:r w:rsidRPr="007E04F7">
        <w:rPr>
          <w:sz w:val="16"/>
          <w:szCs w:val="16"/>
          <w:lang w:val="es-CR"/>
        </w:rPr>
        <w:t xml:space="preserve">Informe de Admisibilidad No. 14/07, </w:t>
      </w:r>
      <w:r w:rsidRPr="007E04F7">
        <w:rPr>
          <w:i/>
          <w:sz w:val="16"/>
          <w:szCs w:val="16"/>
          <w:lang w:val="es-CR"/>
        </w:rPr>
        <w:t>Caso Hugo Humberto Ruiz Fuentes Vs. Guatemala</w:t>
      </w:r>
      <w:r w:rsidRPr="007E04F7">
        <w:rPr>
          <w:sz w:val="16"/>
          <w:szCs w:val="16"/>
          <w:lang w:val="es-CR"/>
        </w:rPr>
        <w:t>, de 5 de marzo de 2008 (expediente de prueba, folios 2269 a 2284).</w:t>
      </w:r>
    </w:p>
  </w:footnote>
  <w:footnote w:id="6">
    <w:p w14:paraId="30DC9CD0" w14:textId="0071684F" w:rsidR="001A2991" w:rsidRPr="007E04F7" w:rsidRDefault="001A2991" w:rsidP="0064597D">
      <w:pPr>
        <w:pStyle w:val="Textonotapie"/>
        <w:tabs>
          <w:tab w:val="left" w:pos="567"/>
        </w:tabs>
        <w:rPr>
          <w:rFonts w:eastAsiaTheme="minorHAnsi"/>
          <w:sz w:val="16"/>
          <w:szCs w:val="16"/>
          <w:lang w:eastAsia="en-US"/>
        </w:rPr>
      </w:pPr>
      <w:r w:rsidRPr="007E04F7">
        <w:rPr>
          <w:rStyle w:val="Refdenotaalpie"/>
          <w:sz w:val="16"/>
          <w:szCs w:val="16"/>
        </w:rPr>
        <w:footnoteRef/>
      </w:r>
      <w:r w:rsidRPr="007E04F7">
        <w:rPr>
          <w:sz w:val="16"/>
          <w:szCs w:val="16"/>
        </w:rPr>
        <w:t xml:space="preserve"> </w:t>
      </w:r>
      <w:r w:rsidRPr="007E04F7">
        <w:rPr>
          <w:sz w:val="16"/>
          <w:szCs w:val="16"/>
        </w:rPr>
        <w:tab/>
        <w:t>La Comisión concluyó que el Estado de Guatemala era responsable por “</w:t>
      </w:r>
      <w:r w:rsidRPr="007E04F7">
        <w:rPr>
          <w:rFonts w:eastAsiaTheme="minorHAnsi"/>
          <w:sz w:val="16"/>
          <w:szCs w:val="16"/>
          <w:lang w:eastAsia="en-US"/>
        </w:rPr>
        <w:t>la violación de los derechos a la vida, a la integridad personal, a las garantías judiciales y a la protección judicial establecidos en los artículos 4.1, 4.2, 4.6, 5.1, 5.2, 8.1, 8.2 c), f), g), h) y 25.1 de la Convención Americana en relación con las obligaciones establecidas en los artículos 1.1 y 2 del mismo instrumento, en perjuicio de Hugo Humberto Ruiz Fuentes</w:t>
      </w:r>
      <w:r w:rsidRPr="007E04F7">
        <w:rPr>
          <w:sz w:val="16"/>
          <w:szCs w:val="16"/>
        </w:rPr>
        <w:t xml:space="preserve">”. </w:t>
      </w:r>
    </w:p>
    <w:p w14:paraId="1A78AA10" w14:textId="1998AE49" w:rsidR="001A2991" w:rsidRPr="007E04F7" w:rsidRDefault="001A2991" w:rsidP="0064597D">
      <w:pPr>
        <w:widowControl/>
        <w:autoSpaceDE w:val="0"/>
        <w:autoSpaceDN w:val="0"/>
        <w:spacing w:line="240" w:lineRule="auto"/>
        <w:textAlignment w:val="auto"/>
        <w:rPr>
          <w:rFonts w:eastAsiaTheme="minorHAnsi"/>
          <w:sz w:val="16"/>
          <w:szCs w:val="16"/>
          <w:lang w:eastAsia="en-US"/>
        </w:rPr>
      </w:pPr>
      <w:r w:rsidRPr="007E04F7">
        <w:rPr>
          <w:sz w:val="16"/>
          <w:szCs w:val="16"/>
        </w:rPr>
        <w:t>Asimismo, la Comisión concluyó que el Estado violó “</w:t>
      </w:r>
      <w:r w:rsidRPr="007E04F7">
        <w:rPr>
          <w:rFonts w:eastAsiaTheme="minorHAnsi"/>
          <w:sz w:val="16"/>
          <w:szCs w:val="16"/>
          <w:lang w:eastAsia="en-US"/>
        </w:rPr>
        <w:t xml:space="preserve">los derechos a la integridad personal, garantías judiciales y protección judicial establecidos en los artículos 5.1, 8.1 y 25.1 de la Convención Americana en relación con las obligaciones establecidas en el artículo 1.1 del mismo instrumento, en perjuicio de los familiares de Hugo Humberto Ruiz Fuentes”. </w:t>
      </w:r>
      <w:r w:rsidRPr="007E04F7">
        <w:rPr>
          <w:sz w:val="16"/>
          <w:szCs w:val="16"/>
        </w:rPr>
        <w:t>Finalmente, la Comisión concluyó que el Estado violó “</w:t>
      </w:r>
      <w:r w:rsidRPr="007E04F7">
        <w:rPr>
          <w:rFonts w:eastAsiaTheme="minorHAnsi"/>
          <w:sz w:val="16"/>
          <w:szCs w:val="16"/>
          <w:lang w:eastAsia="en-US"/>
        </w:rPr>
        <w:t>los artículos 1, 6 y 8 de la Convención Interamericana para Prevenir y Sancionar la Tortura</w:t>
      </w:r>
      <w:r w:rsidRPr="007E04F7">
        <w:rPr>
          <w:sz w:val="16"/>
          <w:szCs w:val="16"/>
        </w:rPr>
        <w:t xml:space="preserve">”. </w:t>
      </w:r>
    </w:p>
  </w:footnote>
  <w:footnote w:id="7">
    <w:p w14:paraId="3F2C964B" w14:textId="11983FE0" w:rsidR="001A2991" w:rsidRPr="007E04F7" w:rsidRDefault="001A2991" w:rsidP="0064597D">
      <w:pPr>
        <w:pStyle w:val="Textonotapie"/>
        <w:tabs>
          <w:tab w:val="left" w:pos="567"/>
        </w:tabs>
        <w:rPr>
          <w:sz w:val="16"/>
          <w:szCs w:val="16"/>
          <w:lang w:val="es-CR"/>
        </w:rPr>
      </w:pPr>
      <w:r w:rsidRPr="007E04F7">
        <w:rPr>
          <w:rStyle w:val="Refdenotaalpie"/>
          <w:sz w:val="16"/>
          <w:szCs w:val="16"/>
          <w:lang w:val="es-CR"/>
        </w:rPr>
        <w:footnoteRef/>
      </w:r>
      <w:r w:rsidRPr="007E04F7">
        <w:rPr>
          <w:sz w:val="16"/>
          <w:szCs w:val="16"/>
          <w:lang w:val="es-CR"/>
        </w:rPr>
        <w:t xml:space="preserve"> </w:t>
      </w:r>
      <w:r w:rsidRPr="007E04F7">
        <w:rPr>
          <w:sz w:val="16"/>
          <w:szCs w:val="16"/>
          <w:lang w:val="es-CR"/>
        </w:rPr>
        <w:tab/>
        <w:t xml:space="preserve">La Comisión designó, como sus delegados ante la Corte, al Comisionado Luis Ernesto Vargas Silva y al Secretario Ejecutivo Paulo Abrão. Asimismo, designó como asesoras legales a la señora Elizabeth Abi-Mershed, entonces Secretaria Ejecutiva Adjunta, así como a la señora Silvia Serrano Guzmán, abogada de la Secretaría Ejecutiva. </w:t>
      </w:r>
    </w:p>
  </w:footnote>
  <w:footnote w:id="8">
    <w:p w14:paraId="2C8E8C9F" w14:textId="18D72F1F" w:rsidR="001A2991" w:rsidRPr="007E04F7" w:rsidRDefault="001A2991" w:rsidP="0064597D">
      <w:pPr>
        <w:pStyle w:val="Textonotapie"/>
        <w:tabs>
          <w:tab w:val="left" w:pos="567"/>
        </w:tabs>
        <w:rPr>
          <w:sz w:val="16"/>
          <w:szCs w:val="16"/>
          <w:lang w:val="es-CR"/>
        </w:rPr>
      </w:pPr>
      <w:r w:rsidRPr="007E04F7">
        <w:rPr>
          <w:rStyle w:val="Refdenotaalpie"/>
          <w:sz w:val="16"/>
          <w:szCs w:val="16"/>
          <w:lang w:val="es-CR"/>
        </w:rPr>
        <w:footnoteRef/>
      </w:r>
      <w:r w:rsidRPr="007E04F7">
        <w:rPr>
          <w:sz w:val="16"/>
          <w:szCs w:val="16"/>
          <w:lang w:val="es-CR"/>
        </w:rPr>
        <w:t xml:space="preserve"> </w:t>
      </w:r>
      <w:r w:rsidRPr="007E04F7">
        <w:rPr>
          <w:sz w:val="16"/>
          <w:szCs w:val="16"/>
          <w:lang w:val="es-CR"/>
        </w:rPr>
        <w:tab/>
        <w:t xml:space="preserve">El Centro por la Justicia y el Derecho Internacional (CEJIL) y el Instituto de Estudios Comparados en Ciencias Penales de Guatemala (ICCPG) ejercen la representación de las presuntas víctimas en este caso. </w:t>
      </w:r>
    </w:p>
  </w:footnote>
  <w:footnote w:id="9">
    <w:p w14:paraId="73B56D46" w14:textId="7977C985" w:rsidR="001A2991" w:rsidRPr="007E04F7" w:rsidRDefault="001A2991" w:rsidP="0064597D">
      <w:pPr>
        <w:pStyle w:val="Textonotapie"/>
        <w:tabs>
          <w:tab w:val="left" w:pos="567"/>
        </w:tabs>
        <w:rPr>
          <w:sz w:val="16"/>
          <w:szCs w:val="16"/>
          <w:lang w:val="es-CR"/>
        </w:rPr>
      </w:pPr>
      <w:r w:rsidRPr="007E04F7">
        <w:rPr>
          <w:rStyle w:val="Refdenotaalpie"/>
          <w:sz w:val="16"/>
          <w:szCs w:val="16"/>
          <w:lang w:val="es-CR"/>
        </w:rPr>
        <w:footnoteRef/>
      </w:r>
      <w:r w:rsidRPr="007E04F7">
        <w:rPr>
          <w:sz w:val="16"/>
          <w:szCs w:val="16"/>
          <w:lang w:val="es-CR"/>
        </w:rPr>
        <w:t xml:space="preserve"> </w:t>
      </w:r>
      <w:r w:rsidRPr="007E04F7">
        <w:rPr>
          <w:sz w:val="16"/>
          <w:szCs w:val="16"/>
          <w:lang w:val="es-CR"/>
        </w:rPr>
        <w:tab/>
      </w:r>
      <w:r w:rsidRPr="007E04F7">
        <w:rPr>
          <w:i/>
          <w:sz w:val="16"/>
          <w:szCs w:val="16"/>
          <w:lang w:val="es-CR"/>
        </w:rPr>
        <w:t xml:space="preserve">Cfr. Caso Ruiz Fuentes Vs. Guatemala. Convocatoria a Audiencia. </w:t>
      </w:r>
      <w:r w:rsidRPr="007E04F7">
        <w:rPr>
          <w:sz w:val="16"/>
          <w:szCs w:val="16"/>
          <w:lang w:val="es-CR"/>
        </w:rPr>
        <w:t xml:space="preserve">Resolución del Presidente de la Corte Interamericana de 14 de febrero de 2017. Disponible en: </w:t>
      </w:r>
      <w:hyperlink r:id="rId1" w:history="1">
        <w:r w:rsidRPr="007E04F7">
          <w:rPr>
            <w:rStyle w:val="Hipervnculo"/>
            <w:sz w:val="16"/>
            <w:szCs w:val="16"/>
          </w:rPr>
          <w:t>http://www.corteidh.or.cr/docs/asuntos/ruiz_fuentes_14_02_19.pdf</w:t>
        </w:r>
      </w:hyperlink>
      <w:r w:rsidRPr="007E04F7">
        <w:rPr>
          <w:rStyle w:val="Hipervnculo"/>
          <w:color w:val="auto"/>
          <w:sz w:val="16"/>
          <w:szCs w:val="16"/>
        </w:rPr>
        <w:t xml:space="preserve"> </w:t>
      </w:r>
      <w:r w:rsidRPr="007E04F7">
        <w:rPr>
          <w:sz w:val="16"/>
          <w:szCs w:val="16"/>
          <w:lang w:val="es-CR"/>
        </w:rPr>
        <w:t xml:space="preserve"> </w:t>
      </w:r>
    </w:p>
  </w:footnote>
  <w:footnote w:id="10">
    <w:p w14:paraId="122E1B81" w14:textId="77777777" w:rsidR="001A2991" w:rsidRPr="007E04F7" w:rsidRDefault="001A2991" w:rsidP="0064597D">
      <w:pPr>
        <w:pStyle w:val="Textonotapie"/>
        <w:tabs>
          <w:tab w:val="left" w:pos="567"/>
        </w:tabs>
        <w:rPr>
          <w:sz w:val="16"/>
          <w:szCs w:val="16"/>
          <w:lang w:val="es-CR"/>
        </w:rPr>
      </w:pPr>
      <w:r w:rsidRPr="007E04F7">
        <w:rPr>
          <w:rStyle w:val="Refdenotaalpie"/>
          <w:sz w:val="16"/>
          <w:szCs w:val="16"/>
          <w:lang w:val="es-CR"/>
        </w:rPr>
        <w:footnoteRef/>
      </w:r>
      <w:r w:rsidRPr="007E04F7">
        <w:rPr>
          <w:sz w:val="16"/>
          <w:szCs w:val="16"/>
          <w:lang w:val="es-CR"/>
        </w:rPr>
        <w:t xml:space="preserve"> </w:t>
      </w:r>
      <w:r w:rsidRPr="007E04F7">
        <w:rPr>
          <w:sz w:val="16"/>
          <w:szCs w:val="16"/>
          <w:lang w:val="es-CR"/>
        </w:rPr>
        <w:tab/>
        <w:t xml:space="preserve">A esta audiencia comparecieron: </w:t>
      </w:r>
    </w:p>
    <w:p w14:paraId="2F78CEF7" w14:textId="77777777" w:rsidR="001A2991" w:rsidRPr="007E04F7" w:rsidRDefault="001A2991" w:rsidP="0064597D">
      <w:pPr>
        <w:pStyle w:val="Textonotapie"/>
        <w:tabs>
          <w:tab w:val="left" w:pos="810"/>
        </w:tabs>
        <w:ind w:left="900" w:right="90"/>
        <w:rPr>
          <w:sz w:val="16"/>
          <w:szCs w:val="16"/>
          <w:lang w:val="es-CR"/>
        </w:rPr>
      </w:pPr>
      <w:r w:rsidRPr="007E04F7">
        <w:rPr>
          <w:sz w:val="16"/>
          <w:szCs w:val="16"/>
          <w:lang w:val="es-CR"/>
        </w:rPr>
        <w:t>a) por la Comisión Interamericana: el Comisionado Luis Ernesto Vargas Ilva y la Asesora Silvia Serrano Guzmán;</w:t>
      </w:r>
    </w:p>
    <w:p w14:paraId="0726A5F2" w14:textId="3F40ABAE" w:rsidR="001A2991" w:rsidRPr="007E04F7" w:rsidRDefault="001A2991" w:rsidP="0064597D">
      <w:pPr>
        <w:pStyle w:val="Textonotapie"/>
        <w:tabs>
          <w:tab w:val="left" w:pos="810"/>
        </w:tabs>
        <w:ind w:left="900" w:right="90"/>
        <w:rPr>
          <w:sz w:val="16"/>
          <w:szCs w:val="16"/>
          <w:lang w:val="es-CR"/>
        </w:rPr>
      </w:pPr>
      <w:r w:rsidRPr="007E04F7">
        <w:rPr>
          <w:sz w:val="16"/>
          <w:szCs w:val="16"/>
          <w:lang w:val="es-CR"/>
        </w:rPr>
        <w:t xml:space="preserve">b) por las representantes de las presuntas víctimas: por el Instituto de Estudios Comparados en Ciencias Penales de Guatemala (ICCPG), Alejandro Rodríguez y por el Centro por la Justicia y el Derecho Internacional (CEJIL), Marcela Martino, Gisela de León, Paola Limón, Luisa Gómez y Camila Ormar, y </w:t>
      </w:r>
    </w:p>
    <w:p w14:paraId="62AEEED8" w14:textId="17882F32" w:rsidR="001A2991" w:rsidRPr="007E04F7" w:rsidRDefault="001A2991" w:rsidP="0064597D">
      <w:pPr>
        <w:pStyle w:val="Textonotapie"/>
        <w:tabs>
          <w:tab w:val="left" w:pos="810"/>
        </w:tabs>
        <w:ind w:left="900" w:right="90"/>
        <w:rPr>
          <w:strike/>
          <w:sz w:val="16"/>
          <w:szCs w:val="16"/>
          <w:lang w:val="es-CR"/>
        </w:rPr>
      </w:pPr>
      <w:r w:rsidRPr="007E04F7">
        <w:rPr>
          <w:sz w:val="16"/>
          <w:szCs w:val="16"/>
          <w:lang w:val="es-CR"/>
        </w:rPr>
        <w:t>c) por el Estado de Guatemala: el Presidente de COPREDEH Jorge Luis Borrayo Reyes, el Director Ejecutivo de COPREDEH Felipe Sánchez González, la Directora de Defensores Carla Gabriela Morales, los Asesores de la Dirección de Seguimiento de Casos Internacionales Steffany Rebeca Vásquez y Rafael Eduardo Bran y el Fiscal del Ministerio Publico Carlos Alberto de León Moreno.</w:t>
      </w:r>
    </w:p>
  </w:footnote>
  <w:footnote w:id="11">
    <w:p w14:paraId="381EFD21" w14:textId="77777777" w:rsidR="001A2991" w:rsidRPr="007E04F7" w:rsidRDefault="001A2991" w:rsidP="0064597D">
      <w:pPr>
        <w:pStyle w:val="Textonotapie"/>
        <w:tabs>
          <w:tab w:val="left" w:pos="567"/>
        </w:tabs>
        <w:rPr>
          <w:sz w:val="16"/>
          <w:szCs w:val="16"/>
          <w:lang w:val="es-CR"/>
        </w:rPr>
      </w:pPr>
      <w:r w:rsidRPr="007E04F7">
        <w:rPr>
          <w:rStyle w:val="Refdenotaalpie"/>
          <w:sz w:val="16"/>
          <w:szCs w:val="16"/>
        </w:rPr>
        <w:footnoteRef/>
      </w:r>
      <w:r w:rsidRPr="007E04F7">
        <w:rPr>
          <w:sz w:val="16"/>
          <w:szCs w:val="16"/>
        </w:rPr>
        <w:t xml:space="preserve"> </w:t>
      </w:r>
      <w:r w:rsidRPr="007E04F7">
        <w:rPr>
          <w:sz w:val="16"/>
          <w:szCs w:val="16"/>
          <w:lang w:val="es-CR"/>
        </w:rPr>
        <w:tab/>
        <w:t>El escrito firmado por Francisco J. Rivera Juaristi, en su carácter de Director de dicha clínica, versa sobre el fenómeno del corredor de la muerte y el derecho a la integridad personal.</w:t>
      </w:r>
    </w:p>
  </w:footnote>
  <w:footnote w:id="12">
    <w:p w14:paraId="17E1A312" w14:textId="6E7BAB58" w:rsidR="001A2991" w:rsidRPr="007E04F7" w:rsidRDefault="001A2991" w:rsidP="0064597D">
      <w:pPr>
        <w:pStyle w:val="Textonotapie"/>
        <w:tabs>
          <w:tab w:val="left" w:pos="567"/>
        </w:tabs>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rFonts w:cs="Arial"/>
          <w:i/>
          <w:sz w:val="16"/>
          <w:szCs w:val="16"/>
        </w:rPr>
        <w:t xml:space="preserve">Cfr. Caso Las Palmeras Vs. Colombia. Excepciones Preliminares. </w:t>
      </w:r>
      <w:r w:rsidRPr="007E04F7">
        <w:rPr>
          <w:rFonts w:cs="Arial"/>
          <w:sz w:val="16"/>
          <w:szCs w:val="16"/>
        </w:rPr>
        <w:t xml:space="preserve">Sentencia de 4 de febrero de 2000. Serie C No. 67, párr. 34, y </w:t>
      </w:r>
      <w:r w:rsidRPr="007E04F7">
        <w:rPr>
          <w:rFonts w:cs="Arial"/>
          <w:i/>
          <w:sz w:val="16"/>
          <w:szCs w:val="16"/>
        </w:rPr>
        <w:t>Caso Muelle Flores Vs. Perú. Excepciones Preliminares, Fondo, Reparaciones y Costas</w:t>
      </w:r>
      <w:r w:rsidRPr="007E04F7">
        <w:rPr>
          <w:rFonts w:cs="Arial"/>
          <w:sz w:val="16"/>
          <w:szCs w:val="16"/>
        </w:rPr>
        <w:t>. Sentencia de 6 de marzo de 2019. Serie C No. 375, párr. 20.</w:t>
      </w:r>
    </w:p>
  </w:footnote>
  <w:footnote w:id="13">
    <w:p w14:paraId="4639B956" w14:textId="72423A47" w:rsidR="001A2991" w:rsidRPr="007E04F7" w:rsidRDefault="001A2991" w:rsidP="0064597D">
      <w:pPr>
        <w:pStyle w:val="Textonotapie"/>
        <w:tabs>
          <w:tab w:val="left" w:pos="567"/>
        </w:tabs>
        <w:rPr>
          <w:sz w:val="16"/>
          <w:szCs w:val="16"/>
          <w:lang w:val="es-CR"/>
        </w:rPr>
      </w:pPr>
      <w:r w:rsidRPr="007E04F7">
        <w:rPr>
          <w:rStyle w:val="Refdenotaalpie"/>
          <w:sz w:val="16"/>
          <w:szCs w:val="16"/>
        </w:rPr>
        <w:footnoteRef/>
      </w:r>
      <w:r w:rsidRPr="007E04F7">
        <w:rPr>
          <w:sz w:val="16"/>
          <w:szCs w:val="16"/>
        </w:rPr>
        <w:t xml:space="preserve"> </w:t>
      </w:r>
      <w:r w:rsidRPr="007E04F7">
        <w:rPr>
          <w:sz w:val="16"/>
          <w:szCs w:val="16"/>
        </w:rPr>
        <w:tab/>
      </w:r>
      <w:r w:rsidRPr="007E04F7">
        <w:rPr>
          <w:rFonts w:cs="Arial"/>
          <w:i/>
          <w:sz w:val="16"/>
          <w:szCs w:val="16"/>
        </w:rPr>
        <w:t>Cfr. Caso Castañeda Gutman Vs. México. Excepciones Preliminares, Fondo, Reparaciones y Costas</w:t>
      </w:r>
      <w:r w:rsidRPr="007E04F7">
        <w:rPr>
          <w:rFonts w:cs="Arial"/>
          <w:sz w:val="16"/>
          <w:szCs w:val="16"/>
        </w:rPr>
        <w:t xml:space="preserve">. Sentencia de 6 de agosto de 2008. Serie C No. 184, párr. 39, y </w:t>
      </w:r>
      <w:r w:rsidRPr="007E04F7">
        <w:rPr>
          <w:rFonts w:cs="Arial"/>
          <w:i/>
          <w:sz w:val="16"/>
          <w:szCs w:val="16"/>
        </w:rPr>
        <w:t xml:space="preserve">Caso Muelle Flores Vs. Perú, supra, </w:t>
      </w:r>
      <w:r w:rsidRPr="007E04F7">
        <w:rPr>
          <w:rFonts w:cs="Arial"/>
          <w:sz w:val="16"/>
          <w:szCs w:val="16"/>
        </w:rPr>
        <w:t>párr. 20.</w:t>
      </w:r>
    </w:p>
  </w:footnote>
  <w:footnote w:id="14">
    <w:p w14:paraId="2F88033E" w14:textId="4AE8B7D7" w:rsidR="001A2991" w:rsidRPr="007E04F7" w:rsidRDefault="001A2991" w:rsidP="0064597D">
      <w:pPr>
        <w:pStyle w:val="Textonotapie"/>
        <w:tabs>
          <w:tab w:val="left" w:pos="567"/>
        </w:tabs>
        <w:rPr>
          <w:i/>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 xml:space="preserve">Cfr. Caso de las Masacres de Ituango Vs. Colombia. Excepción Preliminar, Fondo, Reparaciones y Costas. </w:t>
      </w:r>
      <w:r w:rsidRPr="007E04F7">
        <w:rPr>
          <w:sz w:val="16"/>
          <w:szCs w:val="16"/>
        </w:rPr>
        <w:t xml:space="preserve">Sentencia de 1 de julio de 2006. Serie C No. 148, párr. 98 y </w:t>
      </w:r>
      <w:r w:rsidRPr="007E04F7">
        <w:rPr>
          <w:i/>
          <w:sz w:val="16"/>
          <w:szCs w:val="16"/>
        </w:rPr>
        <w:t xml:space="preserve">Caso Gorigoitía Vs. Argentina. Excepción Preliminar, Fondo, Reparaciones y Costas. </w:t>
      </w:r>
      <w:r w:rsidRPr="007E04F7">
        <w:rPr>
          <w:sz w:val="16"/>
          <w:szCs w:val="16"/>
        </w:rPr>
        <w:t>Sentencia de 2 de septiembre de 2019. Serie C No. 382, párr. 25</w:t>
      </w:r>
      <w:r w:rsidRPr="007E04F7">
        <w:rPr>
          <w:rStyle w:val="Textoennegrita"/>
          <w:b w:val="0"/>
          <w:sz w:val="16"/>
          <w:szCs w:val="16"/>
          <w:shd w:val="clear" w:color="auto" w:fill="FFFFFF"/>
        </w:rPr>
        <w:t>.</w:t>
      </w:r>
    </w:p>
  </w:footnote>
  <w:footnote w:id="15">
    <w:p w14:paraId="0FF123B0" w14:textId="3D7289B4" w:rsidR="001A2991" w:rsidRPr="007E04F7" w:rsidRDefault="001A2991" w:rsidP="0064597D">
      <w:pPr>
        <w:pStyle w:val="Textonotapie"/>
        <w:tabs>
          <w:tab w:val="left" w:pos="567"/>
        </w:tabs>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 xml:space="preserve">Cfr. Caso Masacres de Río Negro Vs. Guatemala. Excepción Preliminar, Fondo, Reparaciones y Costas. </w:t>
      </w:r>
      <w:r w:rsidRPr="007E04F7">
        <w:rPr>
          <w:sz w:val="16"/>
          <w:szCs w:val="16"/>
        </w:rPr>
        <w:t xml:space="preserve">Sentencia de 4 de septiembre de 2012. Serie C No. 250, párr. 48, y </w:t>
      </w:r>
      <w:r w:rsidRPr="007E04F7">
        <w:rPr>
          <w:rStyle w:val="Textoennegrita"/>
          <w:b w:val="0"/>
          <w:i/>
          <w:sz w:val="16"/>
          <w:szCs w:val="16"/>
          <w:shd w:val="clear" w:color="auto" w:fill="FFFFFF"/>
        </w:rPr>
        <w:t xml:space="preserve">Caso Martínez Coronado Vs. Guatemala. Fondo, Reparaciones y Costas. </w:t>
      </w:r>
      <w:r w:rsidRPr="007E04F7">
        <w:rPr>
          <w:rStyle w:val="Textoennegrita"/>
          <w:b w:val="0"/>
          <w:sz w:val="16"/>
          <w:szCs w:val="16"/>
          <w:shd w:val="clear" w:color="auto" w:fill="FFFFFF"/>
        </w:rPr>
        <w:t>Sentencia de 10 de mayo de 2019. Serie C No. 376, párr. 18.</w:t>
      </w:r>
    </w:p>
  </w:footnote>
  <w:footnote w:id="16">
    <w:p w14:paraId="6F6A0646" w14:textId="65803CEA" w:rsidR="001A2991" w:rsidRPr="007E04F7" w:rsidRDefault="001A2991" w:rsidP="0064597D">
      <w:pPr>
        <w:pStyle w:val="Textonotapie"/>
        <w:tabs>
          <w:tab w:val="left" w:pos="567"/>
        </w:tabs>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 Caso Omeara Carrascal y otros Vs. Colombia. Fondo, Reparaciones y Costas</w:t>
      </w:r>
      <w:r w:rsidRPr="007E04F7">
        <w:rPr>
          <w:sz w:val="16"/>
          <w:szCs w:val="16"/>
        </w:rPr>
        <w:t xml:space="preserve">. Sentencia de 21 de noviembre de 2018. Serie C No. 368, párrs. 55 y 56, y </w:t>
      </w:r>
      <w:r w:rsidRPr="007E04F7">
        <w:rPr>
          <w:i/>
          <w:sz w:val="16"/>
          <w:szCs w:val="16"/>
        </w:rPr>
        <w:t xml:space="preserve">Caso Martínez Coronado Vs. Guatemala, </w:t>
      </w:r>
      <w:r w:rsidRPr="007E04F7">
        <w:rPr>
          <w:rFonts w:cs="Arial"/>
          <w:i/>
          <w:sz w:val="16"/>
          <w:szCs w:val="16"/>
        </w:rPr>
        <w:t>supra,</w:t>
      </w:r>
      <w:r w:rsidRPr="007E04F7">
        <w:rPr>
          <w:sz w:val="16"/>
          <w:szCs w:val="16"/>
        </w:rPr>
        <w:t xml:space="preserve"> párr. 19. </w:t>
      </w:r>
      <w:r w:rsidRPr="007E04F7">
        <w:rPr>
          <w:sz w:val="16"/>
          <w:szCs w:val="16"/>
        </w:rPr>
        <w:tab/>
        <w:t xml:space="preserve"> </w:t>
      </w:r>
    </w:p>
  </w:footnote>
  <w:footnote w:id="17">
    <w:p w14:paraId="40FBF617" w14:textId="05FCCDA2" w:rsidR="001A2991" w:rsidRPr="007E04F7" w:rsidRDefault="001A2991" w:rsidP="0064597D">
      <w:pPr>
        <w:pStyle w:val="Textonotapie"/>
        <w:tabs>
          <w:tab w:val="left" w:pos="567"/>
        </w:tabs>
        <w:rPr>
          <w:sz w:val="16"/>
          <w:szCs w:val="16"/>
        </w:rPr>
      </w:pPr>
      <w:r w:rsidRPr="007E04F7">
        <w:rPr>
          <w:rStyle w:val="Refdenotaalpie"/>
          <w:rFonts w:eastAsiaTheme="majorEastAsia"/>
          <w:sz w:val="16"/>
          <w:szCs w:val="16"/>
        </w:rPr>
        <w:footnoteRef/>
      </w:r>
      <w:r w:rsidRPr="007E04F7">
        <w:rPr>
          <w:sz w:val="16"/>
          <w:szCs w:val="16"/>
        </w:rPr>
        <w:t xml:space="preserve"> </w:t>
      </w:r>
      <w:r w:rsidRPr="007E04F7">
        <w:rPr>
          <w:sz w:val="16"/>
          <w:szCs w:val="16"/>
        </w:rPr>
        <w:tab/>
        <w:t xml:space="preserve">De manera general, esos hechos se refieren a que la detención del señor Ruiz Fuentes fue presuntamente ilegal y arbitraria y no respetó las garantías contenidas en los artículos 7.4 y 7.5 de la Convención Americana (violación de los artículos 7.1, 7.2, 7.3, 7.4 y 7.5 de la Convención Americana, en relación con el artículo 1.1 del mismo instrumento). </w:t>
      </w:r>
    </w:p>
  </w:footnote>
  <w:footnote w:id="18">
    <w:p w14:paraId="6C84B8ED" w14:textId="6FD5D66B" w:rsidR="001A2991" w:rsidRPr="007E04F7" w:rsidRDefault="001A2991" w:rsidP="0064597D">
      <w:pPr>
        <w:pStyle w:val="Textonotapie"/>
        <w:tabs>
          <w:tab w:val="left" w:pos="567"/>
        </w:tabs>
        <w:rPr>
          <w:sz w:val="16"/>
          <w:szCs w:val="16"/>
        </w:rPr>
      </w:pPr>
      <w:r w:rsidRPr="007E04F7">
        <w:rPr>
          <w:rStyle w:val="Refdenotaalpie"/>
          <w:sz w:val="16"/>
          <w:szCs w:val="16"/>
        </w:rPr>
        <w:footnoteRef/>
      </w:r>
      <w:r w:rsidRPr="007E04F7">
        <w:rPr>
          <w:sz w:val="16"/>
          <w:szCs w:val="16"/>
        </w:rPr>
        <w:t xml:space="preserve"> </w:t>
      </w:r>
      <w:r w:rsidRPr="007E04F7">
        <w:rPr>
          <w:sz w:val="16"/>
          <w:szCs w:val="16"/>
        </w:rPr>
        <w:tab/>
        <w:t xml:space="preserve">Las representantes argumentaron que (i) la detención del señor Ruiz Fuentes fue ilegal y arbitraria, (ii) que no fue informado de las razones de su detención y los cargos formulados en su contra y que (iii) su detención no fue sometida a control judicial. </w:t>
      </w:r>
    </w:p>
  </w:footnote>
  <w:footnote w:id="19">
    <w:p w14:paraId="7073F8EB" w14:textId="385AA720" w:rsidR="001A2991" w:rsidRPr="007E04F7" w:rsidRDefault="001A2991" w:rsidP="0064597D">
      <w:pPr>
        <w:pStyle w:val="Textonotapie"/>
        <w:tabs>
          <w:tab w:val="left" w:pos="567"/>
        </w:tabs>
        <w:rPr>
          <w:sz w:val="16"/>
          <w:szCs w:val="16"/>
        </w:rPr>
      </w:pPr>
      <w:r w:rsidRPr="007E04F7">
        <w:rPr>
          <w:rStyle w:val="Refdenotaalpie"/>
          <w:sz w:val="16"/>
          <w:szCs w:val="16"/>
        </w:rPr>
        <w:footnoteRef/>
      </w:r>
      <w:r w:rsidRPr="007E04F7">
        <w:rPr>
          <w:sz w:val="16"/>
          <w:szCs w:val="16"/>
        </w:rPr>
        <w:t xml:space="preserve"> </w:t>
      </w:r>
      <w:r w:rsidRPr="007E04F7">
        <w:rPr>
          <w:sz w:val="16"/>
          <w:szCs w:val="16"/>
        </w:rPr>
        <w:tab/>
        <w:t>Las representantes indicaron, por un lado, que el Estado de Guatemala no había brindado la atención médica adecuada al señor Ruiz Fuentes mientras permaneció privado de libertad. Precisaron que se retrasó por varias semanas la nueva intervención que precisaba el señor Ruiz Fuentes para cerrar la bolsa de colostomía y reestablecer su tránsito intestinal. Añadieron que todas las dilaciones y retrasos injustificados para brindar al señor Ruiz Fuentes la atención posoperatoria que necesitaba llevaron a que la víctima cursase una infección de la herida, que le generó problemas de salud que requirieron un nuevo tratamiento médico en el Hospital Roosevelt. Por otro lado, las representantes indicaron que las condiciones carcelarias a las que estuvo sometido el señor Ruiz Fuentes fueron extremadamente severas y contrarias a la dignidad humana, destacando, entre ellas: hacinamiento, mala alimentación, serias falencias en la infraestructura sanitaria básica, ausencia de servicio médico y psicológico suficiente para contrarrestar la angustia y el estrés que padecía, oportunidades educativas y laborales muy limitadas, y, además, sometido a duras restricciones de sus visitas.</w:t>
      </w:r>
    </w:p>
  </w:footnote>
  <w:footnote w:id="20">
    <w:p w14:paraId="53A35216" w14:textId="6B2D1AD1" w:rsidR="001A2991" w:rsidRPr="007E04F7" w:rsidRDefault="001A2991" w:rsidP="0064597D">
      <w:pPr>
        <w:pStyle w:val="Textonotapie"/>
        <w:tabs>
          <w:tab w:val="left" w:pos="567"/>
        </w:tabs>
        <w:rPr>
          <w:sz w:val="16"/>
          <w:szCs w:val="16"/>
        </w:rPr>
      </w:pPr>
      <w:r w:rsidRPr="007E04F7">
        <w:rPr>
          <w:rStyle w:val="Refdenotaalpie"/>
          <w:sz w:val="16"/>
          <w:szCs w:val="16"/>
        </w:rPr>
        <w:footnoteRef/>
      </w:r>
      <w:r w:rsidRPr="007E04F7">
        <w:rPr>
          <w:sz w:val="16"/>
          <w:szCs w:val="16"/>
        </w:rPr>
        <w:t xml:space="preserve"> </w:t>
      </w:r>
      <w:r w:rsidRPr="007E04F7">
        <w:rPr>
          <w:sz w:val="16"/>
          <w:szCs w:val="16"/>
        </w:rPr>
        <w:tab/>
        <w:t>Esto es 1) la detención del señor Ruiz Fuentes y las alegadas torturas cometidas, 2) las alegadas falencias ocurridas en el marco del procedimiento penal, 3) la condena a pena de muerte, 4) la posterior muerte del señor Ruiz Fuentes y 5) las alegadas afectaciones a la integridad personal a la hermana del señor Ruiz Fuentes.</w:t>
      </w:r>
    </w:p>
  </w:footnote>
  <w:footnote w:id="21">
    <w:p w14:paraId="70EDFEED" w14:textId="2B7BA347" w:rsidR="001A2991" w:rsidRPr="007E04F7" w:rsidRDefault="001A2991" w:rsidP="0064597D">
      <w:pPr>
        <w:pStyle w:val="Textonotapie"/>
        <w:tabs>
          <w:tab w:val="left" w:pos="567"/>
        </w:tabs>
        <w:rPr>
          <w:b/>
          <w:sz w:val="16"/>
          <w:szCs w:val="16"/>
          <w:lang w:val="es-CR"/>
        </w:rPr>
      </w:pPr>
      <w:r w:rsidRPr="007E04F7">
        <w:rPr>
          <w:rStyle w:val="Refdenotaalpie"/>
          <w:sz w:val="16"/>
          <w:szCs w:val="16"/>
        </w:rPr>
        <w:footnoteRef/>
      </w:r>
      <w:r w:rsidRPr="007E04F7">
        <w:rPr>
          <w:sz w:val="16"/>
          <w:szCs w:val="16"/>
          <w:lang w:val="es-CR"/>
        </w:rPr>
        <w:t xml:space="preserve"> </w:t>
      </w:r>
      <w:r w:rsidRPr="007E04F7">
        <w:rPr>
          <w:sz w:val="16"/>
          <w:szCs w:val="16"/>
          <w:lang w:val="es-CR"/>
        </w:rPr>
        <w:tab/>
      </w:r>
      <w:r w:rsidRPr="007E04F7">
        <w:rPr>
          <w:i/>
          <w:sz w:val="16"/>
          <w:szCs w:val="16"/>
          <w:lang w:val="es-CR"/>
        </w:rPr>
        <w:t>Cfr</w:t>
      </w:r>
      <w:r w:rsidRPr="007E04F7">
        <w:rPr>
          <w:sz w:val="16"/>
          <w:szCs w:val="16"/>
          <w:lang w:val="es-CR"/>
        </w:rPr>
        <w:t xml:space="preserve">. </w:t>
      </w:r>
      <w:r w:rsidRPr="007E04F7">
        <w:rPr>
          <w:bCs/>
          <w:i/>
          <w:sz w:val="16"/>
          <w:szCs w:val="16"/>
        </w:rPr>
        <w:t xml:space="preserve">Caso Vera Vera y otra Vs. Ecuador. Excepción Preliminar, Fondo, Reparaciones y Costas. </w:t>
      </w:r>
      <w:r w:rsidRPr="007E04F7">
        <w:rPr>
          <w:bCs/>
          <w:sz w:val="16"/>
          <w:szCs w:val="16"/>
        </w:rPr>
        <w:t>Sentencia de 19 de mayo de 2011. Serie C No. 226</w:t>
      </w:r>
      <w:r w:rsidRPr="007E04F7">
        <w:rPr>
          <w:iCs/>
          <w:sz w:val="16"/>
          <w:szCs w:val="16"/>
          <w:lang w:val="es-MX"/>
        </w:rPr>
        <w:t>,</w:t>
      </w:r>
      <w:r w:rsidRPr="007E04F7">
        <w:rPr>
          <w:rStyle w:val="Textoennegrita"/>
          <w:b w:val="0"/>
          <w:sz w:val="16"/>
          <w:szCs w:val="16"/>
        </w:rPr>
        <w:t xml:space="preserve"> párr. 32, y </w:t>
      </w:r>
      <w:r w:rsidRPr="007E04F7">
        <w:rPr>
          <w:rStyle w:val="Textoennegrita"/>
          <w:b w:val="0"/>
          <w:i/>
          <w:sz w:val="16"/>
          <w:szCs w:val="16"/>
        </w:rPr>
        <w:t>Caso Villamizar Durán y otros Vs. Colombia. Excepción Preliminar, Fondo, Reparaciones y Costas.</w:t>
      </w:r>
      <w:r w:rsidRPr="007E04F7">
        <w:rPr>
          <w:rStyle w:val="Textoennegrita"/>
          <w:b w:val="0"/>
          <w:sz w:val="16"/>
          <w:szCs w:val="16"/>
        </w:rPr>
        <w:t xml:space="preserve"> Sentencia de 20 de noviembre de 2018. Serie C No. 364, párr. 49</w:t>
      </w:r>
      <w:r w:rsidRPr="007E04F7">
        <w:rPr>
          <w:rStyle w:val="Textoennegrita"/>
          <w:b w:val="0"/>
          <w:sz w:val="16"/>
          <w:szCs w:val="16"/>
          <w:lang w:val="es-CR"/>
        </w:rPr>
        <w:t>.</w:t>
      </w:r>
    </w:p>
  </w:footnote>
  <w:footnote w:id="22">
    <w:p w14:paraId="7331AA3E" w14:textId="4B1D6FBB" w:rsidR="001A2991" w:rsidRPr="007E04F7" w:rsidRDefault="001A2991" w:rsidP="0064597D">
      <w:pPr>
        <w:pStyle w:val="Textonotapie"/>
        <w:tabs>
          <w:tab w:val="left" w:pos="567"/>
        </w:tabs>
        <w:rPr>
          <w:sz w:val="16"/>
          <w:szCs w:val="16"/>
        </w:rPr>
      </w:pPr>
      <w:r w:rsidRPr="007E04F7">
        <w:rPr>
          <w:rStyle w:val="Refdenotaalpie"/>
          <w:sz w:val="16"/>
          <w:szCs w:val="16"/>
        </w:rPr>
        <w:footnoteRef/>
      </w:r>
      <w:r w:rsidRPr="007E04F7">
        <w:rPr>
          <w:sz w:val="16"/>
          <w:szCs w:val="16"/>
        </w:rPr>
        <w:t xml:space="preserve"> </w:t>
      </w:r>
      <w:r w:rsidRPr="007E04F7">
        <w:rPr>
          <w:sz w:val="16"/>
          <w:szCs w:val="16"/>
        </w:rPr>
        <w:tab/>
        <w:t xml:space="preserve">La prueba documental puede ser presentada, en general y de conformidad con el artículo 57.2 del Reglamento, junto con los escritos de sometimiento del caso, de solicitudes y argumentos o de contestación, según corresponda, y no es admisible la prueba remitida fuera de esas oportunidades procesales, salvo en las excepciones establecidas en el referido artículo 57.2 del Reglamento (a saber, fuerza mayor o impedimento grave) o salvo si se tratara de un hecho superviniente, es decir, ocurrido con posterioridad a los citados momentos procesales. </w:t>
      </w:r>
      <w:r w:rsidRPr="007E04F7">
        <w:rPr>
          <w:i/>
          <w:sz w:val="16"/>
          <w:szCs w:val="16"/>
        </w:rPr>
        <w:t>Cfr.</w:t>
      </w:r>
      <w:r w:rsidRPr="007E04F7">
        <w:rPr>
          <w:sz w:val="16"/>
          <w:szCs w:val="16"/>
        </w:rPr>
        <w:t xml:space="preserve"> </w:t>
      </w:r>
      <w:r w:rsidRPr="007E04F7">
        <w:rPr>
          <w:i/>
          <w:sz w:val="16"/>
          <w:szCs w:val="16"/>
        </w:rPr>
        <w:t xml:space="preserve">Caso Familia Barrios Vs. Venezuela. Fondo, Reparaciones y Costas. </w:t>
      </w:r>
      <w:r w:rsidRPr="007E04F7">
        <w:rPr>
          <w:sz w:val="16"/>
          <w:szCs w:val="16"/>
        </w:rPr>
        <w:t xml:space="preserve">Sentencia de 24 de noviembre de 2011. Serie C No. 237, párrs. 17 y 18, y </w:t>
      </w:r>
      <w:r w:rsidRPr="007E04F7">
        <w:rPr>
          <w:rStyle w:val="Textoennegrita"/>
          <w:b w:val="0"/>
          <w:i/>
          <w:sz w:val="16"/>
          <w:szCs w:val="16"/>
          <w:shd w:val="clear" w:color="auto" w:fill="FFFFFF"/>
        </w:rPr>
        <w:t xml:space="preserve">Caso Muelle Flores Vs. Perú. Excepciones Preliminares, Fondo, Reparaciones y Costas. </w:t>
      </w:r>
      <w:r w:rsidRPr="007E04F7">
        <w:rPr>
          <w:rStyle w:val="Textoennegrita"/>
          <w:b w:val="0"/>
          <w:sz w:val="16"/>
          <w:szCs w:val="16"/>
          <w:shd w:val="clear" w:color="auto" w:fill="FFFFFF"/>
        </w:rPr>
        <w:t>Sentencia de 6 de marzo de 2019. Serie C No. 375,</w:t>
      </w:r>
      <w:r w:rsidRPr="007E04F7">
        <w:rPr>
          <w:rStyle w:val="Textoennegrita"/>
          <w:b w:val="0"/>
          <w:i/>
          <w:sz w:val="16"/>
          <w:szCs w:val="16"/>
          <w:shd w:val="clear" w:color="auto" w:fill="FFFFFF"/>
        </w:rPr>
        <w:t xml:space="preserve"> </w:t>
      </w:r>
      <w:r w:rsidRPr="007E04F7">
        <w:rPr>
          <w:rStyle w:val="Textoennegrita"/>
          <w:b w:val="0"/>
          <w:sz w:val="16"/>
          <w:szCs w:val="16"/>
          <w:shd w:val="clear" w:color="auto" w:fill="FFFFFF"/>
        </w:rPr>
        <w:t>párr. 38</w:t>
      </w:r>
      <w:r w:rsidRPr="007E04F7">
        <w:rPr>
          <w:rStyle w:val="Textoennegrita"/>
          <w:b w:val="0"/>
          <w:i/>
          <w:sz w:val="16"/>
          <w:szCs w:val="16"/>
          <w:shd w:val="clear" w:color="auto" w:fill="FFFFFF"/>
        </w:rPr>
        <w:t>.</w:t>
      </w:r>
    </w:p>
  </w:footnote>
  <w:footnote w:id="23">
    <w:p w14:paraId="2EDDE609" w14:textId="28DA7812" w:rsidR="001A2991" w:rsidRPr="007E04F7" w:rsidRDefault="001A2991" w:rsidP="0064597D">
      <w:pPr>
        <w:pStyle w:val="Textonotapie"/>
        <w:tabs>
          <w:tab w:val="left" w:pos="567"/>
        </w:tabs>
        <w:rPr>
          <w:sz w:val="16"/>
          <w:szCs w:val="16"/>
          <w:lang w:val="es-ES"/>
        </w:rPr>
      </w:pPr>
      <w:r w:rsidRPr="007E04F7">
        <w:rPr>
          <w:rStyle w:val="Refdenotaalpie"/>
          <w:sz w:val="16"/>
          <w:szCs w:val="16"/>
        </w:rPr>
        <w:footnoteRef/>
      </w:r>
      <w:r w:rsidRPr="007E04F7">
        <w:rPr>
          <w:sz w:val="16"/>
          <w:szCs w:val="16"/>
        </w:rPr>
        <w:t xml:space="preserve"> </w:t>
      </w:r>
      <w:r w:rsidRPr="007E04F7">
        <w:rPr>
          <w:sz w:val="16"/>
          <w:szCs w:val="16"/>
        </w:rPr>
        <w:tab/>
        <w:t>(i) Escrito de acusación del Ministerio Público por delito de ejecución extrajudicial en el marco del expediente MP:M3542-2005-4338 de 6 de marzo de 2019; (ii) Observaciones Finales del Informe Periódico del Comité contra la Tortura CAT/C/GTM/CO/7, de 23 de noviembre de 2018; (iii) “Informe Anual circunstanciado de actividades y de la situación de los Derechos Humanos de 2018”, elaborado por el Procurador de los Derechos Humanos de Guatemala; (iv) documentos de soporte de gastos y costas incurridos por CEJIL, y (v) los certificados de nacimiento de Herbert Ruiz Marroquín, Jenyfer Ruiz Marroquín y Hugo Ruiz Marroquín.</w:t>
      </w:r>
    </w:p>
  </w:footnote>
  <w:footnote w:id="24">
    <w:p w14:paraId="535CFD37" w14:textId="550FDF44" w:rsidR="001A2991" w:rsidRPr="007E04F7" w:rsidRDefault="001A2991" w:rsidP="0064597D">
      <w:pPr>
        <w:pStyle w:val="Textonotapie"/>
        <w:tabs>
          <w:tab w:val="left" w:pos="567"/>
        </w:tabs>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Anexo </w:t>
      </w:r>
      <w:r w:rsidRPr="007E04F7">
        <w:rPr>
          <w:rStyle w:val="Refdenotaalpie"/>
          <w:rFonts w:eastAsia="Calibri"/>
          <w:sz w:val="16"/>
          <w:szCs w:val="16"/>
          <w:vertAlign w:val="baseline"/>
          <w:lang w:val="es-CR"/>
        </w:rPr>
        <w:t>no</w:t>
      </w:r>
      <w:r w:rsidRPr="007E04F7">
        <w:rPr>
          <w:sz w:val="16"/>
          <w:szCs w:val="16"/>
        </w:rPr>
        <w:t>. 18 aportado por la Comisión en su Informe de Fondo (Expediente de prueba, folios 225 a 230).</w:t>
      </w:r>
    </w:p>
  </w:footnote>
  <w:footnote w:id="25">
    <w:p w14:paraId="0B65B9BC" w14:textId="2E779757" w:rsidR="001A2991" w:rsidRPr="007E04F7" w:rsidRDefault="001A2991" w:rsidP="0064597D">
      <w:pPr>
        <w:pStyle w:val="Textonotapie"/>
        <w:tabs>
          <w:tab w:val="left" w:pos="567"/>
        </w:tabs>
        <w:rPr>
          <w:sz w:val="16"/>
          <w:szCs w:val="16"/>
        </w:rPr>
      </w:pPr>
      <w:r w:rsidRPr="007E04F7">
        <w:rPr>
          <w:rStyle w:val="Refdenotaalpie"/>
          <w:sz w:val="16"/>
          <w:szCs w:val="16"/>
        </w:rPr>
        <w:footnoteRef/>
      </w:r>
      <w:r w:rsidRPr="007E04F7">
        <w:rPr>
          <w:sz w:val="16"/>
          <w:szCs w:val="16"/>
        </w:rPr>
        <w:t xml:space="preserve"> </w:t>
      </w:r>
      <w:r w:rsidRPr="007E04F7">
        <w:rPr>
          <w:sz w:val="16"/>
          <w:szCs w:val="16"/>
        </w:rPr>
        <w:tab/>
        <w:t>En audiencia pública la Corte recibió las declaraciones de A.M.V. y Jorge Santos, así como el dictamen de Guillermo Austreberto Carranza.</w:t>
      </w:r>
    </w:p>
  </w:footnote>
  <w:footnote w:id="26">
    <w:p w14:paraId="5D77024D" w14:textId="63B1F608" w:rsidR="001A2991" w:rsidRPr="007E04F7" w:rsidRDefault="001A2991" w:rsidP="0064597D">
      <w:pPr>
        <w:pStyle w:val="Textonotapie"/>
        <w:tabs>
          <w:tab w:val="left" w:pos="567"/>
        </w:tabs>
        <w:rPr>
          <w:sz w:val="16"/>
          <w:szCs w:val="16"/>
        </w:rPr>
      </w:pPr>
      <w:r w:rsidRPr="007E04F7">
        <w:rPr>
          <w:rStyle w:val="Refdenotaalpie"/>
          <w:sz w:val="16"/>
          <w:szCs w:val="16"/>
        </w:rPr>
        <w:footnoteRef/>
      </w:r>
      <w:r w:rsidRPr="007E04F7">
        <w:rPr>
          <w:sz w:val="16"/>
          <w:szCs w:val="16"/>
        </w:rPr>
        <w:t xml:space="preserve"> </w:t>
      </w:r>
      <w:r w:rsidRPr="007E04F7">
        <w:rPr>
          <w:sz w:val="16"/>
          <w:szCs w:val="16"/>
        </w:rPr>
        <w:tab/>
        <w:t>La Corte recibió las declaraciones rendidas ante fedatario público (afidávit) de la hermana del señor Ruiz Fuentes, W.E.R.V., Benedicto Tenas, propuestos por las representantes; los peritos Juan Cristóbal Aldana, Leonel González, Edgar René Celada Quezada, propuestos por las representantes, así como de los peritos propuestos por la Comisión Parvais Jabbar y Edward Fitzgerald.</w:t>
      </w:r>
    </w:p>
  </w:footnote>
  <w:footnote w:id="27">
    <w:p w14:paraId="3476D1E6" w14:textId="77777777" w:rsidR="001A2991" w:rsidRPr="007E04F7" w:rsidRDefault="001A2991" w:rsidP="0064597D">
      <w:pPr>
        <w:pStyle w:val="Textonotapie"/>
        <w:tabs>
          <w:tab w:val="left" w:pos="567"/>
        </w:tabs>
        <w:rPr>
          <w:sz w:val="16"/>
          <w:szCs w:val="16"/>
          <w:lang w:val="es-CR"/>
        </w:rPr>
      </w:pPr>
      <w:r w:rsidRPr="007E04F7">
        <w:rPr>
          <w:rStyle w:val="Refdenotaalpie"/>
          <w:rFonts w:eastAsia="Calibri"/>
          <w:sz w:val="16"/>
          <w:szCs w:val="16"/>
          <w:lang w:val="es-CR"/>
        </w:rPr>
        <w:footnoteRef/>
      </w:r>
      <w:r w:rsidRPr="007E04F7">
        <w:rPr>
          <w:sz w:val="16"/>
          <w:szCs w:val="16"/>
          <w:lang w:val="es-CR"/>
        </w:rPr>
        <w:t xml:space="preserve"> </w:t>
      </w:r>
      <w:r w:rsidRPr="007E04F7">
        <w:rPr>
          <w:sz w:val="16"/>
          <w:szCs w:val="16"/>
          <w:lang w:val="es-CR"/>
        </w:rPr>
        <w:tab/>
        <w:t>Los objetos de todas estas declaraciones se encuentran establecidos en la Resolución del Presidente de la Corte Interamericana emitida el</w:t>
      </w:r>
      <w:r w:rsidRPr="007E04F7">
        <w:rPr>
          <w:i/>
          <w:sz w:val="16"/>
          <w:szCs w:val="16"/>
          <w:lang w:val="es-CR"/>
        </w:rPr>
        <w:t xml:space="preserve"> </w:t>
      </w:r>
      <w:r w:rsidRPr="007E04F7">
        <w:rPr>
          <w:sz w:val="16"/>
          <w:szCs w:val="16"/>
          <w:lang w:val="es-CR"/>
        </w:rPr>
        <w:t>14 de febrero de 2019. Disponible en:</w:t>
      </w:r>
    </w:p>
    <w:p w14:paraId="4CE068A0" w14:textId="704CD2F1" w:rsidR="001A2991" w:rsidRPr="007E04F7" w:rsidRDefault="00656033" w:rsidP="0064597D">
      <w:pPr>
        <w:pStyle w:val="Textonotapie"/>
        <w:tabs>
          <w:tab w:val="left" w:pos="567"/>
        </w:tabs>
        <w:rPr>
          <w:rFonts w:eastAsia="ヒラギノ角ゴ Pro W3"/>
          <w:sz w:val="16"/>
          <w:szCs w:val="16"/>
          <w:lang w:val="es-CR"/>
        </w:rPr>
      </w:pPr>
      <w:hyperlink r:id="rId2" w:history="1">
        <w:r w:rsidR="001A2991" w:rsidRPr="007E04F7">
          <w:rPr>
            <w:rStyle w:val="Hipervnculo"/>
            <w:rFonts w:eastAsia="ヒラギノ角ゴ Pro W3"/>
            <w:sz w:val="16"/>
            <w:szCs w:val="16"/>
            <w:lang w:val="es-CR"/>
          </w:rPr>
          <w:t>http://www.corteidh.or.cr/docs/asuntos/ruiz_fuentes_14_02_19.pdf</w:t>
        </w:r>
      </w:hyperlink>
      <w:r w:rsidR="001A2991" w:rsidRPr="007E04F7">
        <w:rPr>
          <w:rFonts w:eastAsia="ヒラギノ角ゴ Pro W3"/>
          <w:sz w:val="16"/>
          <w:szCs w:val="16"/>
          <w:lang w:val="es-CR"/>
        </w:rPr>
        <w:t xml:space="preserve"> </w:t>
      </w:r>
    </w:p>
  </w:footnote>
  <w:footnote w:id="28">
    <w:p w14:paraId="721F3D8B" w14:textId="2F20547A"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t>El Estado indicó en particular que los peritos “obviaron exponer que dicha condena fue conmutada por la de privación de libertad. También obviaron manifestarse respecto al hecho de que después de diversos intentos, al final el señor Ruiz Fuentes logró fugarse del centro de privación de libertad, por consiguiente, tampoco estaba bajo custodia del Estado, tampoco hacen referencia a los verdaderos hechos del caso, de los delitos cometidos por el señor Ruiz Fuentes en perjuicio de un menor, por consiguiente, el peritaje es parcializado de forma intencional”.</w:t>
      </w:r>
    </w:p>
  </w:footnote>
  <w:footnote w:id="29">
    <w:p w14:paraId="3388F143" w14:textId="77777777"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rStyle w:val="Refdenotaalpie"/>
          <w:sz w:val="16"/>
          <w:szCs w:val="16"/>
          <w:vertAlign w:val="baseline"/>
        </w:rPr>
        <w:t>Constitución</w:t>
      </w:r>
      <w:r w:rsidRPr="007E04F7">
        <w:rPr>
          <w:sz w:val="16"/>
          <w:szCs w:val="16"/>
        </w:rPr>
        <w:t xml:space="preserve"> Política de la República de Guatemala decretada por la Asamblea Constituyente, 31 de mayo de 1985, Reformada por la Consulta Popular Acuerdo Legislativo 18-93:</w:t>
      </w:r>
    </w:p>
    <w:p w14:paraId="35981B70" w14:textId="77777777" w:rsidR="001A2991" w:rsidRPr="007E04F7" w:rsidRDefault="001A2991" w:rsidP="0064597D">
      <w:pPr>
        <w:pStyle w:val="Textonotapie"/>
        <w:ind w:left="720" w:right="720"/>
        <w:rPr>
          <w:sz w:val="16"/>
          <w:szCs w:val="16"/>
          <w:lang w:val="es-PE"/>
        </w:rPr>
      </w:pPr>
      <w:r w:rsidRPr="007E04F7">
        <w:rPr>
          <w:sz w:val="16"/>
          <w:szCs w:val="16"/>
          <w:lang w:val="es-CR"/>
        </w:rPr>
        <w:t xml:space="preserve">“Artículo 18. </w:t>
      </w:r>
      <w:r w:rsidRPr="007E04F7">
        <w:rPr>
          <w:sz w:val="16"/>
          <w:szCs w:val="16"/>
          <w:lang w:val="es-PE"/>
        </w:rPr>
        <w:t>Pena de muerte. La pena de muerte no podrá imponerse en los siguientes casos:</w:t>
      </w:r>
    </w:p>
    <w:p w14:paraId="27617054" w14:textId="77777777" w:rsidR="001A2991" w:rsidRPr="007E04F7" w:rsidRDefault="001A2991" w:rsidP="0064597D">
      <w:pPr>
        <w:pStyle w:val="Textonotapie"/>
        <w:ind w:left="720" w:right="720"/>
        <w:rPr>
          <w:sz w:val="16"/>
          <w:szCs w:val="16"/>
          <w:lang w:val="es-PE"/>
        </w:rPr>
      </w:pPr>
      <w:r w:rsidRPr="007E04F7">
        <w:rPr>
          <w:sz w:val="16"/>
          <w:szCs w:val="16"/>
          <w:lang w:val="es-PE"/>
        </w:rPr>
        <w:t>a. Con fundamento en presunciones;</w:t>
      </w:r>
    </w:p>
    <w:p w14:paraId="601F1BC8" w14:textId="77777777" w:rsidR="001A2991" w:rsidRPr="007E04F7" w:rsidRDefault="001A2991" w:rsidP="0064597D">
      <w:pPr>
        <w:pStyle w:val="Textonotapie"/>
        <w:ind w:left="720" w:right="720"/>
        <w:rPr>
          <w:sz w:val="16"/>
          <w:szCs w:val="16"/>
          <w:lang w:val="es-PE"/>
        </w:rPr>
      </w:pPr>
      <w:r w:rsidRPr="007E04F7">
        <w:rPr>
          <w:sz w:val="16"/>
          <w:szCs w:val="16"/>
          <w:lang w:val="es-PE"/>
        </w:rPr>
        <w:t>b. A las mujeres;</w:t>
      </w:r>
    </w:p>
    <w:p w14:paraId="2479BC9F" w14:textId="77777777" w:rsidR="001A2991" w:rsidRPr="007E04F7" w:rsidRDefault="001A2991" w:rsidP="0064597D">
      <w:pPr>
        <w:pStyle w:val="Textonotapie"/>
        <w:ind w:left="720" w:right="720"/>
        <w:rPr>
          <w:sz w:val="16"/>
          <w:szCs w:val="16"/>
          <w:lang w:val="es-PE"/>
        </w:rPr>
      </w:pPr>
      <w:r w:rsidRPr="007E04F7">
        <w:rPr>
          <w:sz w:val="16"/>
          <w:szCs w:val="16"/>
          <w:lang w:val="es-PE"/>
        </w:rPr>
        <w:t>c. A los mayores de sesenta años;</w:t>
      </w:r>
    </w:p>
    <w:p w14:paraId="6D45E7FD" w14:textId="77777777" w:rsidR="001A2991" w:rsidRPr="007E04F7" w:rsidRDefault="001A2991" w:rsidP="0064597D">
      <w:pPr>
        <w:pStyle w:val="Textonotapie"/>
        <w:ind w:left="720" w:right="720"/>
        <w:rPr>
          <w:sz w:val="16"/>
          <w:szCs w:val="16"/>
          <w:lang w:val="es-PE"/>
        </w:rPr>
      </w:pPr>
      <w:r w:rsidRPr="007E04F7">
        <w:rPr>
          <w:sz w:val="16"/>
          <w:szCs w:val="16"/>
          <w:lang w:val="es-PE"/>
        </w:rPr>
        <w:t>d. A los reos de delitos políticos y comunes conexos con los políticos; y</w:t>
      </w:r>
    </w:p>
    <w:p w14:paraId="2DE1D903" w14:textId="77777777" w:rsidR="001A2991" w:rsidRPr="007E04F7" w:rsidRDefault="001A2991" w:rsidP="0064597D">
      <w:pPr>
        <w:pStyle w:val="Textonotapie"/>
        <w:ind w:left="720" w:right="720"/>
        <w:rPr>
          <w:sz w:val="16"/>
          <w:szCs w:val="16"/>
          <w:lang w:val="es-PE"/>
        </w:rPr>
      </w:pPr>
      <w:r w:rsidRPr="007E04F7">
        <w:rPr>
          <w:sz w:val="16"/>
          <w:szCs w:val="16"/>
          <w:lang w:val="es-PE"/>
        </w:rPr>
        <w:t xml:space="preserve">e. </w:t>
      </w:r>
      <w:r w:rsidRPr="007E04F7">
        <w:rPr>
          <w:iCs/>
          <w:sz w:val="16"/>
          <w:szCs w:val="16"/>
          <w:lang w:val="es-PE"/>
        </w:rPr>
        <w:t>A</w:t>
      </w:r>
      <w:r w:rsidRPr="007E04F7">
        <w:rPr>
          <w:i/>
          <w:iCs/>
          <w:sz w:val="16"/>
          <w:szCs w:val="16"/>
          <w:lang w:val="es-PE"/>
        </w:rPr>
        <w:t xml:space="preserve"> </w:t>
      </w:r>
      <w:r w:rsidRPr="007E04F7">
        <w:rPr>
          <w:sz w:val="16"/>
          <w:szCs w:val="16"/>
          <w:lang w:val="es-PE"/>
        </w:rPr>
        <w:t>reos cuya extradición haya sido concedida bajo esa condición.</w:t>
      </w:r>
    </w:p>
    <w:p w14:paraId="4C4F048E" w14:textId="77777777" w:rsidR="001A2991" w:rsidRPr="007E04F7" w:rsidRDefault="001A2991" w:rsidP="0064597D">
      <w:pPr>
        <w:pStyle w:val="Textonotapie"/>
        <w:ind w:left="720" w:right="720"/>
        <w:rPr>
          <w:sz w:val="16"/>
          <w:szCs w:val="16"/>
          <w:lang w:val="es-PE"/>
        </w:rPr>
      </w:pPr>
      <w:r w:rsidRPr="007E04F7">
        <w:rPr>
          <w:sz w:val="16"/>
          <w:szCs w:val="16"/>
          <w:lang w:val="es-PE"/>
        </w:rPr>
        <w:t xml:space="preserve">Contra la sentencia que imponga la pena de muerte, serán admisibles todos los recursos legales pertinentes, inclusive el de casación; éste siempre será admitido para su trámite. La pena se ejecutará después de agotarse todos los recursos. </w:t>
      </w:r>
    </w:p>
    <w:p w14:paraId="46C2C19A" w14:textId="03ADCE3A" w:rsidR="001A2991" w:rsidRPr="007E04F7" w:rsidRDefault="001A2991" w:rsidP="0064597D">
      <w:pPr>
        <w:pStyle w:val="Textonotapie"/>
        <w:ind w:left="720" w:right="720"/>
        <w:rPr>
          <w:sz w:val="16"/>
          <w:szCs w:val="16"/>
        </w:rPr>
      </w:pPr>
      <w:r w:rsidRPr="007E04F7">
        <w:rPr>
          <w:sz w:val="16"/>
          <w:szCs w:val="16"/>
          <w:lang w:val="es-PE"/>
        </w:rPr>
        <w:t>El Congreso de la República podrá abolir la pena de muerte”.</w:t>
      </w:r>
    </w:p>
  </w:footnote>
  <w:footnote w:id="30">
    <w:p w14:paraId="388A05C4" w14:textId="77777777" w:rsidR="001A2991" w:rsidRPr="007E04F7" w:rsidRDefault="001A2991" w:rsidP="0064597D">
      <w:pPr>
        <w:tabs>
          <w:tab w:val="left" w:pos="567"/>
        </w:tabs>
        <w:spacing w:line="240" w:lineRule="auto"/>
        <w:rPr>
          <w:rFonts w:cs="Verdana"/>
          <w:sz w:val="16"/>
          <w:szCs w:val="16"/>
        </w:rPr>
      </w:pPr>
      <w:r w:rsidRPr="007E04F7">
        <w:rPr>
          <w:rStyle w:val="Refdenotaalpie"/>
          <w:sz w:val="16"/>
          <w:szCs w:val="16"/>
        </w:rPr>
        <w:footnoteRef/>
      </w:r>
      <w:r w:rsidRPr="007E04F7">
        <w:rPr>
          <w:sz w:val="16"/>
          <w:szCs w:val="16"/>
          <w:lang w:val="pt-BR"/>
        </w:rPr>
        <w:t xml:space="preserve"> </w:t>
      </w:r>
      <w:r w:rsidRPr="007E04F7">
        <w:rPr>
          <w:sz w:val="16"/>
          <w:szCs w:val="16"/>
          <w:lang w:val="pt-BR"/>
        </w:rPr>
        <w:tab/>
      </w:r>
      <w:r w:rsidRPr="007E04F7">
        <w:rPr>
          <w:rFonts w:cs="Verdana"/>
          <w:sz w:val="16"/>
          <w:szCs w:val="16"/>
        </w:rPr>
        <w:t>Decreto Legislativo No. 17/73 (Código Penal) emitido por el Congreso de la República de Guatemala el 5 de julio de 1973.</w:t>
      </w:r>
    </w:p>
  </w:footnote>
  <w:footnote w:id="31">
    <w:p w14:paraId="220BFB5C" w14:textId="77777777" w:rsidR="001A2991" w:rsidRPr="007E04F7" w:rsidRDefault="001A2991" w:rsidP="0064597D">
      <w:pPr>
        <w:tabs>
          <w:tab w:val="left" w:pos="567"/>
        </w:tabs>
        <w:spacing w:line="240" w:lineRule="auto"/>
        <w:rPr>
          <w:rFonts w:cs="Verdana"/>
          <w:sz w:val="16"/>
          <w:szCs w:val="16"/>
        </w:rPr>
      </w:pPr>
      <w:r w:rsidRPr="007E04F7">
        <w:rPr>
          <w:rStyle w:val="Refdenotaalpie"/>
          <w:sz w:val="16"/>
          <w:szCs w:val="16"/>
        </w:rPr>
        <w:footnoteRef/>
      </w:r>
      <w:r w:rsidRPr="007E04F7">
        <w:rPr>
          <w:sz w:val="16"/>
          <w:szCs w:val="16"/>
          <w:lang w:val="pt-BR"/>
        </w:rPr>
        <w:t xml:space="preserve"> </w:t>
      </w:r>
      <w:r w:rsidRPr="007E04F7">
        <w:rPr>
          <w:sz w:val="16"/>
          <w:szCs w:val="16"/>
          <w:lang w:val="pt-BR"/>
        </w:rPr>
        <w:tab/>
      </w:r>
      <w:r w:rsidRPr="007E04F7">
        <w:rPr>
          <w:rFonts w:cs="Verdana"/>
          <w:sz w:val="16"/>
          <w:szCs w:val="16"/>
        </w:rPr>
        <w:t>Decreto Legislativo No. 17/73 (Código Penal) emitido por el Congreso de la República de Guatemala el 5 de julio de 1973.</w:t>
      </w:r>
    </w:p>
  </w:footnote>
  <w:footnote w:id="32">
    <w:p w14:paraId="40B6B304" w14:textId="77777777" w:rsidR="001A2991" w:rsidRPr="007E04F7" w:rsidRDefault="001A2991" w:rsidP="0064597D">
      <w:pPr>
        <w:tabs>
          <w:tab w:val="left" w:pos="567"/>
        </w:tabs>
        <w:spacing w:line="240" w:lineRule="auto"/>
        <w:rPr>
          <w:rFonts w:cs="Verdana"/>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rFonts w:cs="Verdana"/>
          <w:sz w:val="16"/>
          <w:szCs w:val="16"/>
        </w:rPr>
        <w:t>Decreto Legislativo No. 38/94 emitido por el Congreso de la República de Guatemala el 26 de abril de 1994.</w:t>
      </w:r>
    </w:p>
  </w:footnote>
  <w:footnote w:id="33">
    <w:p w14:paraId="3BFE7BF1" w14:textId="77777777" w:rsidR="001A2991" w:rsidRPr="007E04F7" w:rsidRDefault="001A2991" w:rsidP="0064597D">
      <w:pPr>
        <w:tabs>
          <w:tab w:val="left" w:pos="567"/>
        </w:tabs>
        <w:spacing w:line="240" w:lineRule="auto"/>
        <w:rPr>
          <w:rFonts w:cs="Verdana"/>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rFonts w:cs="Verdana"/>
          <w:sz w:val="16"/>
          <w:szCs w:val="16"/>
        </w:rPr>
        <w:t>Decreto Legislativo No. 14/95 emitido por el Congreso de la República de Guatemala el 16 de marzo de 1995.</w:t>
      </w:r>
    </w:p>
  </w:footnote>
  <w:footnote w:id="34">
    <w:p w14:paraId="2CE59E13" w14:textId="46B9D4E8" w:rsidR="001A2991" w:rsidRPr="007E04F7" w:rsidRDefault="001A2991" w:rsidP="0064597D">
      <w:pPr>
        <w:tabs>
          <w:tab w:val="left" w:pos="567"/>
        </w:tabs>
        <w:spacing w:line="240" w:lineRule="auto"/>
        <w:rPr>
          <w:rFonts w:cs="Verdana"/>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rFonts w:cs="Verdana"/>
          <w:sz w:val="16"/>
          <w:szCs w:val="16"/>
        </w:rPr>
        <w:t>Decreto Legislativo No. 81/96 emitido por el Congreso de la República de Guatemala el 19 de septiembre de 1996.</w:t>
      </w:r>
    </w:p>
  </w:footnote>
  <w:footnote w:id="35">
    <w:p w14:paraId="7FEE0A5A" w14:textId="237A2A95" w:rsidR="001A2991" w:rsidRPr="007E04F7" w:rsidRDefault="001A2991" w:rsidP="0064597D">
      <w:pPr>
        <w:tabs>
          <w:tab w:val="left" w:pos="567"/>
        </w:tabs>
        <w:spacing w:line="240" w:lineRule="auto"/>
        <w:rPr>
          <w:rFonts w:cs="Verdana"/>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 xml:space="preserve">Cfr. </w:t>
      </w:r>
      <w:r w:rsidRPr="007E04F7">
        <w:rPr>
          <w:sz w:val="16"/>
          <w:szCs w:val="16"/>
        </w:rPr>
        <w:t>Sentencia de la Corte de Constitucionalidad de la República de Guatemala</w:t>
      </w:r>
      <w:r w:rsidRPr="007E04F7">
        <w:rPr>
          <w:rFonts w:cs="Verdana"/>
          <w:sz w:val="16"/>
          <w:szCs w:val="16"/>
        </w:rPr>
        <w:t>, en calidad de Tribunal Extraordinario de Amparo, de 31 de octubre del 2000, Expediente No. 30-2000 (expediente de prueba, folio 1365).</w:t>
      </w:r>
    </w:p>
  </w:footnote>
  <w:footnote w:id="36">
    <w:p w14:paraId="6A101B86" w14:textId="3185843F"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Acción de amparo interpuesta por Hugo Humberto Ruiz Fuentes y </w:t>
      </w:r>
      <w:r w:rsidRPr="007E04F7">
        <w:rPr>
          <w:rFonts w:cs="Arial"/>
          <w:sz w:val="16"/>
          <w:szCs w:val="16"/>
        </w:rPr>
        <w:t xml:space="preserve">J.M.M.R. </w:t>
      </w:r>
      <w:r w:rsidRPr="007E04F7">
        <w:rPr>
          <w:sz w:val="16"/>
          <w:szCs w:val="16"/>
        </w:rPr>
        <w:t xml:space="preserve">(expediente de prueba, folios 1339 a 1345), y Sentencia de la Corte de Constitucionalidad de la República de Guatemala, dictada en el expediente 889-2000, de 4 de julio de 2001 (expediente de prueba, folios 1351 a 1367). Véase también, </w:t>
      </w:r>
      <w:r w:rsidRPr="007E04F7">
        <w:rPr>
          <w:rStyle w:val="Textoennegrita"/>
          <w:b w:val="0"/>
          <w:i/>
          <w:sz w:val="16"/>
          <w:szCs w:val="16"/>
        </w:rPr>
        <w:t>Caso Raxcacó Reyes Vs. Guatemala. Fondo, Reparaciones y Costas</w:t>
      </w:r>
      <w:r w:rsidRPr="007E04F7">
        <w:rPr>
          <w:rStyle w:val="Textoennegrita"/>
          <w:b w:val="0"/>
          <w:sz w:val="16"/>
          <w:szCs w:val="16"/>
        </w:rPr>
        <w:t>. Sentencia de 15 de septiembre de 2005. Serie C No. 13, párr. 43.6.</w:t>
      </w:r>
    </w:p>
  </w:footnote>
  <w:footnote w:id="37">
    <w:p w14:paraId="06FCD533" w14:textId="582803F8"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 xml:space="preserve">Cfr. </w:t>
      </w:r>
      <w:r w:rsidRPr="007E04F7">
        <w:rPr>
          <w:sz w:val="16"/>
          <w:szCs w:val="16"/>
        </w:rPr>
        <w:t>Sentencia de la Corte de Constitucionalidad de la República de Guatemala, de 4 de julio de 2001, Expediente 889-2000 (expediente de prueba, folio 1365).</w:t>
      </w:r>
    </w:p>
  </w:footnote>
  <w:footnote w:id="38">
    <w:p w14:paraId="1E0E349C" w14:textId="77777777" w:rsidR="001A2991" w:rsidRPr="007E04F7" w:rsidRDefault="001A2991" w:rsidP="0064597D">
      <w:pPr>
        <w:tabs>
          <w:tab w:val="left" w:pos="567"/>
        </w:tabs>
        <w:spacing w:line="240" w:lineRule="auto"/>
        <w:rPr>
          <w:sz w:val="16"/>
          <w:szCs w:val="16"/>
          <w:lang w:val="es-ES_tradnl"/>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w:t>
      </w:r>
      <w:r w:rsidRPr="007E04F7">
        <w:rPr>
          <w:rStyle w:val="Textoennegrita"/>
          <w:b w:val="0"/>
          <w:i/>
          <w:sz w:val="16"/>
          <w:szCs w:val="16"/>
        </w:rPr>
        <w:t>Caso Raxcacó Reyes Vs. Guatemala. Fondo, Reparaciones y Costas</w:t>
      </w:r>
      <w:r w:rsidRPr="007E04F7">
        <w:rPr>
          <w:rStyle w:val="Textoennegrita"/>
          <w:b w:val="0"/>
          <w:sz w:val="16"/>
          <w:szCs w:val="16"/>
        </w:rPr>
        <w:t>. Sentencia de 15 de septiembre de 2005. Serie C No. 133.</w:t>
      </w:r>
    </w:p>
  </w:footnote>
  <w:footnote w:id="39">
    <w:p w14:paraId="220515E5" w14:textId="6B126A98" w:rsidR="001A2991" w:rsidRPr="007E04F7" w:rsidRDefault="001A2991" w:rsidP="0064597D">
      <w:pPr>
        <w:tabs>
          <w:tab w:val="left" w:pos="567"/>
        </w:tabs>
        <w:spacing w:line="240" w:lineRule="auto"/>
        <w:rPr>
          <w:sz w:val="16"/>
          <w:szCs w:val="16"/>
          <w:lang w:val="es-ES_tradnl"/>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Sentencia de la Corte de Constitucionalidad de la República de Guatemala, de 24 de octubre de 2018, Expediente 5986-2016. </w:t>
      </w:r>
    </w:p>
  </w:footnote>
  <w:footnote w:id="40">
    <w:p w14:paraId="629952C9" w14:textId="53D772D6"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lang w:val="es-ES"/>
        </w:rPr>
        <w:t xml:space="preserve"> </w:t>
      </w:r>
      <w:r w:rsidRPr="007E04F7">
        <w:rPr>
          <w:sz w:val="16"/>
          <w:szCs w:val="16"/>
          <w:lang w:val="es-ES"/>
        </w:rPr>
        <w:tab/>
      </w:r>
      <w:r w:rsidRPr="007E04F7">
        <w:rPr>
          <w:sz w:val="16"/>
          <w:szCs w:val="16"/>
        </w:rPr>
        <w:t>Decreto Legislativo No. 159 emitido por la Asamblea Nacional Legislativa de la República de Guatemala, de 20 de abril del 1892.</w:t>
      </w:r>
    </w:p>
  </w:footnote>
  <w:footnote w:id="41">
    <w:p w14:paraId="6FFED745" w14:textId="2F2C1570"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t xml:space="preserve">Para un mayor desarrollo, véase </w:t>
      </w:r>
      <w:r w:rsidRPr="007E04F7">
        <w:rPr>
          <w:rStyle w:val="Textoennegrita"/>
          <w:b w:val="0"/>
          <w:i/>
          <w:sz w:val="16"/>
          <w:szCs w:val="16"/>
        </w:rPr>
        <w:t>Caso Raxcacó Reyes Vs. Guatemala, supra</w:t>
      </w:r>
      <w:r w:rsidRPr="007E04F7">
        <w:rPr>
          <w:rStyle w:val="Textoennegrita"/>
          <w:b w:val="0"/>
          <w:sz w:val="16"/>
          <w:szCs w:val="16"/>
        </w:rPr>
        <w:t>, párr. 43.17.</w:t>
      </w:r>
      <w:r w:rsidRPr="007E04F7">
        <w:rPr>
          <w:rStyle w:val="Textoennegrita"/>
          <w:sz w:val="16"/>
          <w:szCs w:val="16"/>
        </w:rPr>
        <w:t xml:space="preserve"> </w:t>
      </w:r>
    </w:p>
  </w:footnote>
  <w:footnote w:id="42">
    <w:p w14:paraId="1E9563E3" w14:textId="15A37293"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Oficio No. 4325-97 emitido por el Departamento de Investigaciones Criminológicas de la Policía Nacional, de 6 de agosto de 1997 (expediente de prueba, folio 5).</w:t>
      </w:r>
    </w:p>
  </w:footnote>
  <w:footnote w:id="43">
    <w:p w14:paraId="6425ABA4" w14:textId="7086E72A"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Oficio No. 4325-97 emitido por el Departamento de Investigaciones Criminológicas de la Policía Nacional, de 6 de agosto de 1997 (expediente de prueba, folio 5).</w:t>
      </w:r>
    </w:p>
  </w:footnote>
  <w:footnote w:id="44">
    <w:p w14:paraId="1436AAEA" w14:textId="6CD108A4"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Oficio No. 4325-97 emitido por el Departamento de Investigaciones Criminológicas de la Policía Nacional, de 6 de agosto de 1997 (expediente de prueba, folio 5). Véase también, </w:t>
      </w:r>
      <w:r w:rsidRPr="007E04F7">
        <w:rPr>
          <w:rFonts w:cs="Verdana"/>
          <w:iCs/>
          <w:sz w:val="16"/>
          <w:szCs w:val="16"/>
        </w:rPr>
        <w:t>S</w:t>
      </w:r>
      <w:r w:rsidRPr="007E04F7">
        <w:rPr>
          <w:rFonts w:cs="Verdana"/>
          <w:sz w:val="16"/>
          <w:szCs w:val="16"/>
        </w:rPr>
        <w:t>entencia emitida por el Tribunal Sexto de Sentencia Penal, Narcoactividad y Delitos contra el Ambiente de Guatemala, de 14 de mayo de 1999 (expediente de prueba, folio 7341).</w:t>
      </w:r>
    </w:p>
  </w:footnote>
  <w:footnote w:id="45">
    <w:p w14:paraId="271B2563" w14:textId="4645DDDB"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Oficio No. 4325-97 emitido por el Departamento de Investigaciones Criminológicas de la Policía Nacional, de 6 de agosto de 1997 (expediente de prueba, folio 5).</w:t>
      </w:r>
    </w:p>
  </w:footnote>
  <w:footnote w:id="46">
    <w:p w14:paraId="67F2663B" w14:textId="77D73624" w:rsidR="001A2991" w:rsidRPr="007E04F7" w:rsidRDefault="001A2991" w:rsidP="0064597D">
      <w:pPr>
        <w:tabs>
          <w:tab w:val="left" w:pos="567"/>
        </w:tabs>
        <w:spacing w:line="240" w:lineRule="auto"/>
        <w:rPr>
          <w:rFonts w:cs="Verdana"/>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rFonts w:cs="Verdana"/>
          <w:i/>
          <w:iCs/>
          <w:sz w:val="16"/>
          <w:szCs w:val="16"/>
        </w:rPr>
        <w:t>Cfr. S</w:t>
      </w:r>
      <w:r w:rsidRPr="007E04F7">
        <w:rPr>
          <w:rFonts w:cs="Verdana"/>
          <w:sz w:val="16"/>
          <w:szCs w:val="16"/>
        </w:rPr>
        <w:t>entencia emitida por el Tribunal Sexto de Sentencia Penal, Narcoactividad y Delitos contra el Ambiente de Guatemala, de 14 de mayo de 1999 (expediente de prueba, folio 7341).</w:t>
      </w:r>
    </w:p>
  </w:footnote>
  <w:footnote w:id="47">
    <w:p w14:paraId="56D15393" w14:textId="07A4CB6B"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t>El término abdomen agudo se refiere a un cuadro grave de emergencia médica, caracterizado por síntomas y signos localizados en la cavidad abdominal. Véase Informe médico No. 492-484 emitido por el Hospital Roosevelt, de 9 de diciembre de 1997 (expediente de prueba, folio 15).</w:t>
      </w:r>
    </w:p>
  </w:footnote>
  <w:footnote w:id="48">
    <w:p w14:paraId="37801C19" w14:textId="41171DC7"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Informe médico No. 492-484 emitido por el Hospital Roosevelt, de 9 de diciembre de 1997 (expediente de prueba, folio 15). Véase también, Informe del médico residente del Departamento de Cirugía del Hospital Roosevelt, de 20 de enero de 1998 (expediente de prueba, folio 17).</w:t>
      </w:r>
    </w:p>
  </w:footnote>
  <w:footnote w:id="49">
    <w:p w14:paraId="48C2C1EC" w14:textId="4508F138"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Informe médico del Departamento de Cirugía del Hospital Roosevelt, de 11 de diciembre de 2000 (expediente de prueba, folio 21).</w:t>
      </w:r>
    </w:p>
  </w:footnote>
  <w:footnote w:id="50">
    <w:p w14:paraId="72966894" w14:textId="79419254"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Informe del médico residente del Departamento de Cirugía del Hospital Roosevelt, de 20 de enero de 1998 (expediente de prueba, folio 17).</w:t>
      </w:r>
    </w:p>
  </w:footnote>
  <w:footnote w:id="51">
    <w:p w14:paraId="0F36DA8C" w14:textId="49AD1805"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t xml:space="preserve">Esto es, desde su ingreso el 6 de agosto de 1997 hasta el alta el 18 de agosto de 1997. </w:t>
      </w:r>
      <w:r w:rsidRPr="007E04F7">
        <w:rPr>
          <w:i/>
          <w:sz w:val="16"/>
          <w:szCs w:val="16"/>
        </w:rPr>
        <w:t>Cfr.</w:t>
      </w:r>
      <w:r w:rsidRPr="007E04F7">
        <w:rPr>
          <w:sz w:val="16"/>
          <w:szCs w:val="16"/>
        </w:rPr>
        <w:t xml:space="preserve"> Informe del médico residente del Departamento de Cirugía del Hospital Roosevelt, de 20 de enero de 1998 (expediente de prueba, folio 17).</w:t>
      </w:r>
    </w:p>
  </w:footnote>
  <w:footnote w:id="52">
    <w:p w14:paraId="466AEC2C" w14:textId="4BECED14"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Informe del médico residente del Departamento de Cirugía del Hospital Roosevelt, de 20 de enero de 1998 (expediente de prueba, folio 17).</w:t>
      </w:r>
    </w:p>
  </w:footnote>
  <w:footnote w:id="53">
    <w:p w14:paraId="0EF3407C" w14:textId="1A533C8E"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Informe del médico residente del Departamento de Cirugía del Hospital Roosevelt, de 20 de enero de 1998 (expediente de prueba, folio 17). Véase también, Informe del Departamento Médico Forense dirigido al Juzgado no.8 de Primera Instancia Penal, Narcoactividad y delitos contra el Ambiente de Guatemala, de 13 de febrero de 1998 (expediente de prueba, folio 19).</w:t>
      </w:r>
    </w:p>
  </w:footnote>
  <w:footnote w:id="54">
    <w:p w14:paraId="24FD8920" w14:textId="7CE01CBC"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Informe médico del Departamento de Cirugía del Hospital Roosevelt, de 11 de diciembre de 2000 (expediente de prueba, folio 21).</w:t>
      </w:r>
    </w:p>
  </w:footnote>
  <w:footnote w:id="55">
    <w:p w14:paraId="12259ECA" w14:textId="77777777"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Declaración del señor Ruiz Fuentes rendida ante la Jueza Octava de Primera Instancia Penal, Narcoactividad y Delitos contra el Ambiente, de 29 de abril de 1998 (expediente de prueba, folios 8 a 13).</w:t>
      </w:r>
    </w:p>
  </w:footnote>
  <w:footnote w:id="56">
    <w:p w14:paraId="484970C4" w14:textId="0646C591"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Declaración del señor Ruiz Fuentes rendida ante la Jueza Octava de Primera Instancia Penal, Narcoactividad y Delitos contra el Ambiente, de 29 de abril de 1998 (expediente de prueba, folio 11).</w:t>
      </w:r>
    </w:p>
  </w:footnote>
  <w:footnote w:id="57">
    <w:p w14:paraId="4477F0AF" w14:textId="77777777"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Declaración del señor Ruiz Fuentes rendida ante la Jueza Octava de Primera Instancia Penal, Narcoactividad y Delitos contra el Ambiente, de 29 de abril de 1998 (expediente de prueba, folio 12).</w:t>
      </w:r>
    </w:p>
  </w:footnote>
  <w:footnote w:id="58">
    <w:p w14:paraId="48594F7A" w14:textId="64160512"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Acta de debate C-4-98. Declaración de Hugo Humberto Ruiz Fuentes en audiencias de juicio oral y público ante el Tribunal Sexto de Sentencia Penal, Narcoactividad y Delitos contra el Ambiente, de 21 de abril de 1999 (expediente de prueba, folios 1142 y 1143).</w:t>
      </w:r>
    </w:p>
  </w:footnote>
  <w:footnote w:id="59">
    <w:p w14:paraId="254AD65C" w14:textId="3BCD62A0"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Acta de debate C-4-98. Declaración de Hugo Humberto Ruiz Fuentes en audiencias de juicio oral y público ante el Tribunal Sexto de Sentencia Penal, Narcoactividad y Delitos contra el Ambiente, de 21 de abril de 1999 (expediente de prueba, folio 1143).</w:t>
      </w:r>
    </w:p>
  </w:footnote>
  <w:footnote w:id="60">
    <w:p w14:paraId="430E557F" w14:textId="0AA42D12"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t xml:space="preserve">El señor J.M.M.R. declaró lo siguiente: “Lo condujeron al vehículo de atrás […] lo ingresaron, no se identificaron y no le decían por qué lo detenían y solo decían que ellos eran los que estaban secuestrados; adentro del penal había más gente y lo pusieron boca abajo y le taparon los ojos con una cinta adhesiva gris y también en las manos, lo golpearon y le preguntaban que dónde estaban los secuestrados. Después de un tiempo, con rumbo desconocido, llegaron a un lugar y llegó una persona que le quitó las vendas y dijo que era de los secuestradores. En eso llevaron a Hugo Humberto Ruiz quien estaba inconsciente y dijeron que mejor lo sacaran porque si no ahí se iba a morir”. </w:t>
      </w:r>
      <w:r w:rsidRPr="007E04F7">
        <w:rPr>
          <w:i/>
          <w:sz w:val="16"/>
          <w:szCs w:val="16"/>
        </w:rPr>
        <w:t>Cfr.</w:t>
      </w:r>
      <w:r w:rsidRPr="007E04F7">
        <w:rPr>
          <w:sz w:val="16"/>
          <w:szCs w:val="16"/>
        </w:rPr>
        <w:t xml:space="preserve"> Acta de debate C-4-98. Declaración de </w:t>
      </w:r>
      <w:r w:rsidRPr="007E04F7">
        <w:rPr>
          <w:rFonts w:cs="Arial"/>
          <w:sz w:val="16"/>
          <w:szCs w:val="16"/>
        </w:rPr>
        <w:t xml:space="preserve">J.M.M.R. </w:t>
      </w:r>
      <w:r w:rsidRPr="007E04F7">
        <w:rPr>
          <w:sz w:val="16"/>
          <w:szCs w:val="16"/>
        </w:rPr>
        <w:t>en audiencias de juicio oral y público ante el Tribunal Sexto de Sentencia Penal, Narcoactividad y Delitos contra el Ambiente, de 21 de abril de 1999 (expediente de prueba, folio 1141).</w:t>
      </w:r>
    </w:p>
  </w:footnote>
  <w:footnote w:id="61">
    <w:p w14:paraId="6E9603F4" w14:textId="0AEA08F4"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Acta de debate C-4-98. Declaración de Hugo Humberto Ruiz Fuentes en audiencias de juicio oral y público ante el Tribunal Sexto de Sentencia Penal, Narcoactividad y Delitos contra el Ambiente, de 21 de abril de 1999 (expediente de prueba, folio 1143).</w:t>
      </w:r>
    </w:p>
  </w:footnote>
  <w:footnote w:id="62">
    <w:p w14:paraId="09A85A49" w14:textId="57161E12" w:rsidR="001A2991" w:rsidRPr="007E04F7" w:rsidRDefault="001A2991" w:rsidP="0064597D">
      <w:pPr>
        <w:tabs>
          <w:tab w:val="left" w:pos="567"/>
        </w:tabs>
        <w:spacing w:line="240" w:lineRule="auto"/>
        <w:rPr>
          <w:sz w:val="16"/>
          <w:szCs w:val="16"/>
          <w:lang w:val="es-ES_tradnl"/>
        </w:rPr>
      </w:pPr>
      <w:r w:rsidRPr="007E04F7">
        <w:rPr>
          <w:rStyle w:val="Refdenotaalpie"/>
          <w:sz w:val="16"/>
          <w:szCs w:val="16"/>
        </w:rPr>
        <w:footnoteRef/>
      </w:r>
      <w:r w:rsidRPr="007E04F7">
        <w:rPr>
          <w:sz w:val="16"/>
          <w:szCs w:val="16"/>
        </w:rPr>
        <w:t xml:space="preserve"> </w:t>
      </w:r>
      <w:r w:rsidRPr="007E04F7">
        <w:rPr>
          <w:sz w:val="16"/>
          <w:szCs w:val="16"/>
        </w:rPr>
        <w:tab/>
      </w:r>
      <w:r w:rsidRPr="007E04F7">
        <w:rPr>
          <w:rFonts w:cs="Verdana"/>
          <w:i/>
          <w:iCs/>
          <w:sz w:val="16"/>
          <w:szCs w:val="16"/>
        </w:rPr>
        <w:t xml:space="preserve">Cfr. </w:t>
      </w:r>
      <w:r w:rsidRPr="007E04F7">
        <w:rPr>
          <w:rFonts w:cs="Verdana"/>
          <w:sz w:val="16"/>
          <w:szCs w:val="16"/>
        </w:rPr>
        <w:t xml:space="preserve">Sentencia emitida por el Tribunal Sexto de Sentencia Penal, Narcoactividad y Delitos contra el Ambiente de Guatemala, de 14 de mayo de 1999 (expediente de prueba, folios 7339 y 7340. 7341 y 7334). El señor Ruiz Fuentes fue puesto a disposición judicial el 8 de agosto de 1997, tras haberle realizado una intervención quirúrgica el 6 de agosto de 1997. </w:t>
      </w:r>
      <w:r w:rsidRPr="007E04F7">
        <w:rPr>
          <w:rFonts w:cs="Verdana"/>
          <w:i/>
          <w:sz w:val="16"/>
          <w:szCs w:val="16"/>
        </w:rPr>
        <w:t>Cfr</w:t>
      </w:r>
      <w:r w:rsidRPr="007E04F7">
        <w:rPr>
          <w:rFonts w:cs="Verdana"/>
          <w:sz w:val="16"/>
          <w:szCs w:val="16"/>
        </w:rPr>
        <w:t>. Entrevista realizada a Hugo Humberto Ruiz Fuentes en el Centro Preventivo de la Zona 18, realizada por Alejandro Rodríguez, sin fecha (expediente de prueba, folio 521).</w:t>
      </w:r>
    </w:p>
  </w:footnote>
  <w:footnote w:id="63">
    <w:p w14:paraId="1A9C4E94" w14:textId="77777777"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rFonts w:cs="Verdana"/>
          <w:i/>
          <w:iCs/>
          <w:sz w:val="16"/>
          <w:szCs w:val="16"/>
        </w:rPr>
        <w:t xml:space="preserve">Cfr. </w:t>
      </w:r>
      <w:r w:rsidRPr="007E04F7">
        <w:rPr>
          <w:rFonts w:cs="Verdana"/>
          <w:sz w:val="16"/>
          <w:szCs w:val="16"/>
        </w:rPr>
        <w:t>sentencia emitida por el Tribunal Sexto de Sentencia Penal, Narcoactividad y Delitos contra el Ambiente de Guatemala, de 14 de mayo de 1999 (expediente de prueba, folio 7334).</w:t>
      </w:r>
    </w:p>
  </w:footnote>
  <w:footnote w:id="64">
    <w:p w14:paraId="797F561C" w14:textId="4F66200D"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Acta de debate C-4-98, Tribunal Sexto de Sentencia Penal, Narcoactividad y Delitos contra el Ambiente, de 21 de abril de 1999 (expediente de prueba,</w:t>
      </w:r>
      <w:r w:rsidRPr="007E04F7">
        <w:rPr>
          <w:rFonts w:cs="Verdana"/>
          <w:sz w:val="16"/>
          <w:szCs w:val="16"/>
        </w:rPr>
        <w:t xml:space="preserve"> </w:t>
      </w:r>
      <w:r w:rsidRPr="007E04F7">
        <w:rPr>
          <w:sz w:val="16"/>
          <w:szCs w:val="16"/>
        </w:rPr>
        <w:t>folios 1135 y 1136).</w:t>
      </w:r>
    </w:p>
  </w:footnote>
  <w:footnote w:id="65">
    <w:p w14:paraId="42524281" w14:textId="38874DD8"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rFonts w:cs="Verdana"/>
          <w:i/>
          <w:iCs/>
          <w:sz w:val="16"/>
          <w:szCs w:val="16"/>
        </w:rPr>
        <w:t xml:space="preserve">Cfr. </w:t>
      </w:r>
      <w:r w:rsidRPr="007E04F7">
        <w:rPr>
          <w:rFonts w:cs="Verdana"/>
          <w:sz w:val="16"/>
          <w:szCs w:val="16"/>
        </w:rPr>
        <w:t>Sentencia emitida por el Tribunal Sexto de Sentencia Penal, Narcoactividad y Delitos contra el Ambiente, de 14 de mayo de 1999 (expediente de prueba, folio 7203).</w:t>
      </w:r>
    </w:p>
  </w:footnote>
  <w:footnote w:id="66">
    <w:p w14:paraId="1A03EF44" w14:textId="77777777" w:rsidR="001A2991" w:rsidRPr="007E04F7" w:rsidRDefault="001A2991" w:rsidP="0064597D">
      <w:pPr>
        <w:tabs>
          <w:tab w:val="left" w:pos="567"/>
        </w:tabs>
        <w:spacing w:line="240" w:lineRule="auto"/>
        <w:rPr>
          <w:rFonts w:cs="Verdana"/>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rFonts w:cs="Verdana"/>
          <w:i/>
          <w:iCs/>
          <w:sz w:val="16"/>
          <w:szCs w:val="16"/>
        </w:rPr>
        <w:t xml:space="preserve">Cfr. </w:t>
      </w:r>
      <w:r w:rsidRPr="007E04F7">
        <w:rPr>
          <w:rFonts w:cs="Verdana"/>
          <w:sz w:val="16"/>
          <w:szCs w:val="16"/>
        </w:rPr>
        <w:t>Sentencia emitida por la Sala Cuarta de la Corte de Apelaciones de Guatemala, de 13 de septiembre de 1999 (expediente de prueba, folio 100).</w:t>
      </w:r>
    </w:p>
  </w:footnote>
  <w:footnote w:id="67">
    <w:p w14:paraId="23FEBBAD" w14:textId="77777777"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rFonts w:cs="Verdana"/>
          <w:i/>
          <w:iCs/>
          <w:sz w:val="16"/>
          <w:szCs w:val="16"/>
        </w:rPr>
        <w:t xml:space="preserve">Cfr. </w:t>
      </w:r>
      <w:r w:rsidRPr="007E04F7">
        <w:rPr>
          <w:rFonts w:cs="Verdana"/>
          <w:sz w:val="16"/>
          <w:szCs w:val="16"/>
        </w:rPr>
        <w:t>Sentencia emitida por la Sala Cuarta de la Corte de Apelaciones de Guatemala, de 13 de septiembre de 1999 (expediente de prueba, folios 105 y 106).</w:t>
      </w:r>
    </w:p>
  </w:footnote>
  <w:footnote w:id="68">
    <w:p w14:paraId="7E72A99F" w14:textId="77777777"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rFonts w:cs="Verdana"/>
          <w:i/>
          <w:iCs/>
          <w:sz w:val="16"/>
          <w:szCs w:val="16"/>
        </w:rPr>
        <w:t xml:space="preserve">Cfr. </w:t>
      </w:r>
      <w:r w:rsidRPr="007E04F7">
        <w:rPr>
          <w:rFonts w:cs="Verdana"/>
          <w:sz w:val="16"/>
          <w:szCs w:val="16"/>
        </w:rPr>
        <w:t>Recurso de apelación especial interpuesto por Hugo Humberto Ruiz Fuentes ante la Sala Cuarta de la Corte de Apelaciones (expediente de prueba, folio 762).</w:t>
      </w:r>
    </w:p>
  </w:footnote>
  <w:footnote w:id="69">
    <w:p w14:paraId="53FDD2CC" w14:textId="1F96AA78" w:rsidR="001A2991" w:rsidRPr="007E04F7" w:rsidRDefault="001A2991" w:rsidP="0064597D">
      <w:pPr>
        <w:tabs>
          <w:tab w:val="left" w:pos="567"/>
        </w:tabs>
        <w:spacing w:line="240" w:lineRule="auto"/>
        <w:rPr>
          <w:sz w:val="16"/>
          <w:szCs w:val="16"/>
          <w:lang w:val="es-ES_tradnl"/>
        </w:rPr>
      </w:pPr>
      <w:r w:rsidRPr="007E04F7">
        <w:rPr>
          <w:rStyle w:val="Refdenotaalpie"/>
          <w:sz w:val="16"/>
          <w:szCs w:val="16"/>
        </w:rPr>
        <w:footnoteRef/>
      </w:r>
      <w:r w:rsidRPr="007E04F7">
        <w:rPr>
          <w:sz w:val="16"/>
          <w:szCs w:val="16"/>
        </w:rPr>
        <w:t xml:space="preserve"> </w:t>
      </w:r>
      <w:r w:rsidRPr="007E04F7">
        <w:rPr>
          <w:sz w:val="16"/>
          <w:szCs w:val="16"/>
        </w:rPr>
        <w:tab/>
      </w:r>
      <w:r w:rsidRPr="007E04F7">
        <w:rPr>
          <w:rFonts w:cs="Verdana"/>
          <w:i/>
          <w:iCs/>
          <w:sz w:val="16"/>
          <w:szCs w:val="16"/>
        </w:rPr>
        <w:t xml:space="preserve">Cfr. </w:t>
      </w:r>
      <w:r w:rsidRPr="007E04F7">
        <w:rPr>
          <w:rFonts w:cs="Verdana"/>
          <w:sz w:val="16"/>
          <w:szCs w:val="16"/>
        </w:rPr>
        <w:t>Recurso de apelación especial interpuesto por Hugo Humberto Ruiz Fuentes ante la Sala Cuarta de la Corte de Apelaciones (expediente de prueba, folios 768 a 771).</w:t>
      </w:r>
    </w:p>
  </w:footnote>
  <w:footnote w:id="70">
    <w:p w14:paraId="720F8BBD" w14:textId="77777777"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rFonts w:cs="Verdana"/>
          <w:i/>
          <w:iCs/>
          <w:sz w:val="16"/>
          <w:szCs w:val="16"/>
        </w:rPr>
        <w:t>Cfr. S</w:t>
      </w:r>
      <w:r w:rsidRPr="007E04F7">
        <w:rPr>
          <w:rFonts w:cs="Verdana"/>
          <w:sz w:val="16"/>
          <w:szCs w:val="16"/>
        </w:rPr>
        <w:t>entencia emitida por la Sala Cuarta de la Corte de Apelaciones de Guatemala, de 13 de septiembre de 1999 (expediente de prueba, folio 108).</w:t>
      </w:r>
    </w:p>
  </w:footnote>
  <w:footnote w:id="71">
    <w:p w14:paraId="5970B743" w14:textId="77777777"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rFonts w:cs="Verdana"/>
          <w:i/>
          <w:iCs/>
          <w:sz w:val="16"/>
          <w:szCs w:val="16"/>
        </w:rPr>
        <w:t xml:space="preserve">Cfr. </w:t>
      </w:r>
      <w:r w:rsidRPr="007E04F7">
        <w:rPr>
          <w:rFonts w:cs="Verdana"/>
          <w:sz w:val="16"/>
          <w:szCs w:val="16"/>
        </w:rPr>
        <w:t>Sentencia emitida por la Sala Cuarta de la Corte de Apelaciones de Guatemala, de 13 de septiembre de 1999 (expediente de prueba, folios 120 y 121).</w:t>
      </w:r>
    </w:p>
  </w:footnote>
  <w:footnote w:id="72">
    <w:p w14:paraId="3AF4E721" w14:textId="77777777"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rFonts w:cs="Verdana"/>
          <w:i/>
          <w:iCs/>
          <w:sz w:val="16"/>
          <w:szCs w:val="16"/>
        </w:rPr>
        <w:t xml:space="preserve">Cfr. </w:t>
      </w:r>
      <w:r w:rsidRPr="007E04F7">
        <w:rPr>
          <w:rFonts w:cs="Verdana"/>
          <w:sz w:val="16"/>
          <w:szCs w:val="16"/>
        </w:rPr>
        <w:t>Recurso de casación presentado el 4 de noviembre de 1999 (expediente de prueba, folios 123 a 133).</w:t>
      </w:r>
    </w:p>
  </w:footnote>
  <w:footnote w:id="73">
    <w:p w14:paraId="4F138E2F" w14:textId="0C695597"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rFonts w:cs="Verdana"/>
          <w:sz w:val="16"/>
          <w:szCs w:val="16"/>
        </w:rPr>
        <w:t xml:space="preserve">Con respecto a la aplicación del artículo 4.2 de la Convención, la Corte Suprema de Justicia señaló lo siguiente: “[D]esde el inicio de la vigencia de la Convención Americana sobre Derechos Humanos, ya contemplaba la pena de muerte, y aún con las reformas contenidas por los Decretos 14-95 y 81-96 del Congreso de la República, no se ha modificado el tipo penal en su estructura, ya que continúa individualizando las mismas conductas que prohibía con anterioridad a ellas, en determinadas condiciones se aplicaba ya la pena de muerte. En tal virtud la aplicación de la muerte no se extendió a otro delito como lo prohíbe la mencionada Convención, no existiendo por lo tanto una interpretación extensiva de la norma, sino una interpretación literal. Por tal razón el recurso interpuesto por el presente subcaso deviene improcedente”. </w:t>
      </w:r>
      <w:r w:rsidRPr="007E04F7">
        <w:rPr>
          <w:rFonts w:cs="Verdana"/>
          <w:i/>
          <w:iCs/>
          <w:sz w:val="16"/>
          <w:szCs w:val="16"/>
        </w:rPr>
        <w:t xml:space="preserve">Cfr. </w:t>
      </w:r>
      <w:r w:rsidRPr="007E04F7">
        <w:rPr>
          <w:rFonts w:cs="Verdana"/>
          <w:sz w:val="16"/>
          <w:szCs w:val="16"/>
        </w:rPr>
        <w:t>Sentencia emitida por la Corte Suprema de Justicia, de 20 de julio de 2000 (expediente de prueba, folios 135 a 156).</w:t>
      </w:r>
    </w:p>
  </w:footnote>
  <w:footnote w:id="74">
    <w:p w14:paraId="5E05AC7E" w14:textId="7614025C"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rFonts w:cs="Verdana"/>
          <w:i/>
          <w:iCs/>
          <w:sz w:val="16"/>
          <w:szCs w:val="16"/>
        </w:rPr>
        <w:t xml:space="preserve">Cfr. </w:t>
      </w:r>
      <w:r w:rsidRPr="007E04F7">
        <w:rPr>
          <w:rFonts w:cs="Verdana"/>
          <w:sz w:val="16"/>
          <w:szCs w:val="16"/>
        </w:rPr>
        <w:t xml:space="preserve">Acción de amparo interpuesta el 29 de agosto de 2000 (expediente de prueba, folio 159). </w:t>
      </w:r>
    </w:p>
  </w:footnote>
  <w:footnote w:id="75">
    <w:p w14:paraId="03084643" w14:textId="77777777"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rFonts w:cs="Verdana"/>
          <w:i/>
          <w:iCs/>
          <w:sz w:val="16"/>
          <w:szCs w:val="16"/>
        </w:rPr>
        <w:t xml:space="preserve">Cfr. </w:t>
      </w:r>
      <w:r w:rsidRPr="007E04F7">
        <w:rPr>
          <w:rFonts w:cs="Verdana"/>
          <w:sz w:val="16"/>
          <w:szCs w:val="16"/>
        </w:rPr>
        <w:t xml:space="preserve">Recurso de revisión no. 23-2002, decisión de la Cámara Penal de la Corte Suprema de Justicia, de 1 de diciembre de 2003 (expediente de prueba, folio 185). </w:t>
      </w:r>
    </w:p>
  </w:footnote>
  <w:footnote w:id="76">
    <w:p w14:paraId="6F7C24C5" w14:textId="277EE034"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rFonts w:cs="Verdana"/>
          <w:i/>
          <w:iCs/>
          <w:sz w:val="16"/>
          <w:szCs w:val="16"/>
        </w:rPr>
        <w:t xml:space="preserve">Cfr. </w:t>
      </w:r>
      <w:r w:rsidRPr="007E04F7">
        <w:rPr>
          <w:rFonts w:cs="Verdana"/>
          <w:sz w:val="16"/>
          <w:szCs w:val="16"/>
        </w:rPr>
        <w:t xml:space="preserve">Recurso de revisión no. 23-2002, decisión de la Cámara Penal de la Corte Suprema de Justicia, de 1 de diciembre de 2003 (expediente de prueba, folio 197). </w:t>
      </w:r>
    </w:p>
  </w:footnote>
  <w:footnote w:id="77">
    <w:p w14:paraId="089B8EC3" w14:textId="78AB8891"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rFonts w:cs="Verdana"/>
          <w:i/>
          <w:iCs/>
          <w:sz w:val="16"/>
          <w:szCs w:val="16"/>
        </w:rPr>
        <w:t xml:space="preserve">Cfr. </w:t>
      </w:r>
      <w:r w:rsidRPr="007E04F7">
        <w:rPr>
          <w:rFonts w:cs="Verdana"/>
          <w:sz w:val="16"/>
          <w:szCs w:val="16"/>
        </w:rPr>
        <w:t xml:space="preserve">Recurso de revisión no. 23-2002, decisión de la Cámara Penal de la Corte Suprema de Justicia, de 1 de diciembre de 2003, (expediente de prueba, folios 212 y 213). </w:t>
      </w:r>
    </w:p>
  </w:footnote>
  <w:footnote w:id="78">
    <w:p w14:paraId="52C07654" w14:textId="7531C4DE"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rFonts w:cs="Verdana"/>
          <w:i/>
          <w:iCs/>
          <w:sz w:val="16"/>
          <w:szCs w:val="16"/>
        </w:rPr>
        <w:t xml:space="preserve">Cfr. </w:t>
      </w:r>
      <w:r w:rsidRPr="007E04F7">
        <w:rPr>
          <w:rFonts w:cs="Verdana"/>
          <w:sz w:val="16"/>
          <w:szCs w:val="16"/>
        </w:rPr>
        <w:t xml:space="preserve">Recurso de gracia interpuesto por el señor Ruiz Fuentes ante el Ministro de Gobernación, de 16 de diciembre de 2003 (expediente de prueba, folios 224). </w:t>
      </w:r>
    </w:p>
  </w:footnote>
  <w:footnote w:id="79">
    <w:p w14:paraId="3C8843CA" w14:textId="4BBF0EF8" w:rsidR="001A2991" w:rsidRPr="007E04F7" w:rsidRDefault="001A2991" w:rsidP="0064597D">
      <w:pPr>
        <w:tabs>
          <w:tab w:val="left" w:pos="567"/>
        </w:tabs>
        <w:spacing w:line="240" w:lineRule="auto"/>
        <w:rPr>
          <w:rFonts w:cs="Arial"/>
          <w:sz w:val="16"/>
          <w:szCs w:val="16"/>
        </w:rPr>
      </w:pPr>
      <w:r w:rsidRPr="007E04F7">
        <w:rPr>
          <w:rStyle w:val="Refdenotaalpie"/>
          <w:sz w:val="16"/>
          <w:szCs w:val="16"/>
        </w:rPr>
        <w:footnoteRef/>
      </w:r>
      <w:r w:rsidRPr="007E04F7">
        <w:rPr>
          <w:sz w:val="16"/>
          <w:szCs w:val="16"/>
        </w:rPr>
        <w:t xml:space="preserve"> </w:t>
      </w:r>
      <w:r w:rsidRPr="007E04F7">
        <w:rPr>
          <w:sz w:val="16"/>
          <w:szCs w:val="16"/>
        </w:rPr>
        <w:tab/>
        <w:t xml:space="preserve">Ver </w:t>
      </w:r>
      <w:r w:rsidRPr="007E04F7">
        <w:rPr>
          <w:rFonts w:cs="Arial"/>
          <w:i/>
          <w:sz w:val="16"/>
          <w:szCs w:val="16"/>
        </w:rPr>
        <w:t xml:space="preserve">Caso </w:t>
      </w:r>
      <w:r w:rsidRPr="007E04F7">
        <w:rPr>
          <w:rFonts w:cs="Arial"/>
          <w:i/>
          <w:iCs/>
          <w:sz w:val="16"/>
          <w:szCs w:val="16"/>
        </w:rPr>
        <w:t xml:space="preserve">Raxcacó Reyes Vs. Guatemala </w:t>
      </w:r>
      <w:r w:rsidRPr="007E04F7">
        <w:rPr>
          <w:rFonts w:cs="Arial"/>
          <w:i/>
          <w:sz w:val="16"/>
          <w:szCs w:val="16"/>
        </w:rPr>
        <w:t>Fondo, Reparaciones y Costas, supra</w:t>
      </w:r>
      <w:r w:rsidRPr="007E04F7">
        <w:rPr>
          <w:rFonts w:cs="Arial"/>
          <w:sz w:val="16"/>
          <w:szCs w:val="16"/>
        </w:rPr>
        <w:t xml:space="preserve">, párr. 43.18, donde se indica que, debido a la falta de regulación legal, el recurso de gracia interpuesto por el también condenado señor Raxcacó Reyes el 19 de mayo de 2004 no había sido tramitado. </w:t>
      </w:r>
    </w:p>
  </w:footnote>
  <w:footnote w:id="80">
    <w:p w14:paraId="529D7CF7" w14:textId="77777777"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w:t>
      </w:r>
      <w:r w:rsidRPr="007E04F7">
        <w:rPr>
          <w:rFonts w:cs="Verdana"/>
          <w:sz w:val="16"/>
          <w:szCs w:val="16"/>
        </w:rPr>
        <w:t>Plan de acción interno No. 002-2005, “Operación Gavilán”, de 24 de octubre de 2005 (expediente de prueba, folio 228).</w:t>
      </w:r>
    </w:p>
  </w:footnote>
  <w:footnote w:id="81">
    <w:p w14:paraId="7ECFEEBC" w14:textId="71631D2B"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rFonts w:cs="Verdana"/>
          <w:i/>
          <w:iCs/>
          <w:sz w:val="16"/>
          <w:szCs w:val="16"/>
        </w:rPr>
        <w:t xml:space="preserve">Cfr. </w:t>
      </w:r>
      <w:r w:rsidRPr="007E04F7">
        <w:rPr>
          <w:rFonts w:cs="Verdana"/>
          <w:sz w:val="16"/>
          <w:szCs w:val="16"/>
        </w:rPr>
        <w:t>Plan de acción interno No. 002-2005, “Operación Gavilán”, de 24 de octubre de 2005 (expediente de prueba, folio 228).</w:t>
      </w:r>
    </w:p>
  </w:footnote>
  <w:footnote w:id="82">
    <w:p w14:paraId="31EC333F" w14:textId="256AB049"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rFonts w:cs="Verdana"/>
          <w:i/>
          <w:iCs/>
          <w:sz w:val="16"/>
          <w:szCs w:val="16"/>
        </w:rPr>
        <w:t xml:space="preserve">Cfr. </w:t>
      </w:r>
      <w:r w:rsidRPr="007E04F7">
        <w:rPr>
          <w:rFonts w:cs="Verdana"/>
          <w:sz w:val="16"/>
          <w:szCs w:val="16"/>
        </w:rPr>
        <w:t>Plan de acción interno No. 002-2005, “Operación Gavilán”, de 24 de octubre de 2005 (expediente de prueba, folios 227 y 228).</w:t>
      </w:r>
    </w:p>
  </w:footnote>
  <w:footnote w:id="83">
    <w:p w14:paraId="06F8ACE1" w14:textId="77777777"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Acta policial de 14 de noviembre de 2005, Diligencia No. 1709-2005 (expediente de prueba, folio 233).</w:t>
      </w:r>
    </w:p>
  </w:footnote>
  <w:footnote w:id="84">
    <w:p w14:paraId="7D7102F8" w14:textId="77777777"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Acta policial de 14 de noviembre de 2005, Diligencia No. 1709-2005 (expediente de prueba, folio 233). </w:t>
      </w:r>
    </w:p>
  </w:footnote>
  <w:footnote w:id="85">
    <w:p w14:paraId="5A2F1901" w14:textId="7F0DF1FC"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Autopsia practicada por el Dr. Edgar Ricardo Arriola Barrios, Médico Forense Departamental del Organismo Judicial de Cuilapa, Santa Rosa, de 15 de noviembre de 2005 (expediente de prueba, folio 231).</w:t>
      </w:r>
    </w:p>
  </w:footnote>
  <w:footnote w:id="86">
    <w:p w14:paraId="5BDF307A" w14:textId="77777777"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rFonts w:cs="Verdana"/>
          <w:i/>
          <w:iCs/>
          <w:sz w:val="16"/>
          <w:szCs w:val="16"/>
        </w:rPr>
        <w:t xml:space="preserve">Cfr. </w:t>
      </w:r>
      <w:r w:rsidRPr="007E04F7">
        <w:rPr>
          <w:rFonts w:cs="Verdana"/>
          <w:iCs/>
          <w:sz w:val="16"/>
          <w:szCs w:val="16"/>
        </w:rPr>
        <w:t xml:space="preserve">Expediente de Investigación del </w:t>
      </w:r>
      <w:r w:rsidRPr="007E04F7">
        <w:rPr>
          <w:rFonts w:cs="Arial"/>
          <w:sz w:val="16"/>
          <w:szCs w:val="16"/>
        </w:rPr>
        <w:t xml:space="preserve">Ministerio Público No. 332/2005/4338 </w:t>
      </w:r>
      <w:r w:rsidRPr="007E04F7">
        <w:rPr>
          <w:rFonts w:cs="Verdana"/>
          <w:sz w:val="16"/>
          <w:szCs w:val="16"/>
        </w:rPr>
        <w:t>(expediente de prueba, folio 1609).</w:t>
      </w:r>
    </w:p>
  </w:footnote>
  <w:footnote w:id="87">
    <w:p w14:paraId="1C538E7E" w14:textId="77777777"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rFonts w:cs="Verdana"/>
          <w:i/>
          <w:iCs/>
          <w:sz w:val="16"/>
          <w:szCs w:val="16"/>
        </w:rPr>
        <w:t xml:space="preserve">Cfr. </w:t>
      </w:r>
      <w:r w:rsidRPr="007E04F7">
        <w:rPr>
          <w:rFonts w:cs="Verdana"/>
          <w:sz w:val="16"/>
          <w:szCs w:val="16"/>
        </w:rPr>
        <w:t>Informe del Estado de Guatemala a la Comisión Interamericana de Derechos Humanos con relación al caso P652-04 – Hugo Humberto Ruiz Fuentes, de 24 de julio de 2007 (expediente de prueba, folio 1120).</w:t>
      </w:r>
    </w:p>
  </w:footnote>
  <w:footnote w:id="88">
    <w:p w14:paraId="4C8E26E7" w14:textId="5A786386"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rFonts w:cs="Verdana"/>
          <w:i/>
          <w:iCs/>
          <w:sz w:val="16"/>
          <w:szCs w:val="16"/>
        </w:rPr>
        <w:t xml:space="preserve">Cfr. </w:t>
      </w:r>
      <w:r w:rsidRPr="007E04F7">
        <w:rPr>
          <w:rFonts w:cs="Verdana"/>
          <w:sz w:val="16"/>
          <w:szCs w:val="16"/>
        </w:rPr>
        <w:t>Informe de la Sección Balística del Ministerio Publico, de 28 de marzo de 2006 (expediente de prueba, folio 335).</w:t>
      </w:r>
    </w:p>
  </w:footnote>
  <w:footnote w:id="89">
    <w:p w14:paraId="04774F6D" w14:textId="77777777"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rFonts w:cs="Verdana"/>
          <w:i/>
          <w:iCs/>
          <w:sz w:val="16"/>
          <w:szCs w:val="16"/>
        </w:rPr>
        <w:t xml:space="preserve">Cfr. </w:t>
      </w:r>
      <w:r w:rsidRPr="007E04F7">
        <w:rPr>
          <w:rFonts w:cs="Verdana"/>
          <w:sz w:val="16"/>
          <w:szCs w:val="16"/>
        </w:rPr>
        <w:t>Acta número 80-2005 levantada en la comisaría número 11 de la Policía Nacional Civil, de 7 de noviembre de 2005 (expediente de prueba, folio 343).</w:t>
      </w:r>
    </w:p>
  </w:footnote>
  <w:footnote w:id="90">
    <w:p w14:paraId="702EC476" w14:textId="32895F11"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rFonts w:cs="Verdana"/>
          <w:i/>
          <w:iCs/>
          <w:sz w:val="16"/>
          <w:szCs w:val="16"/>
        </w:rPr>
        <w:t xml:space="preserve">Cfr. </w:t>
      </w:r>
      <w:r w:rsidRPr="007E04F7">
        <w:rPr>
          <w:rFonts w:cs="Verdana"/>
          <w:sz w:val="16"/>
          <w:szCs w:val="16"/>
        </w:rPr>
        <w:t>Resolución de la Sub-Dirección General de Finanzas y Logística de la Dirección General de la Policía Nacional Civil, de 10 de julio de 2006 (expediente de prueba, folio 343).</w:t>
      </w:r>
    </w:p>
  </w:footnote>
  <w:footnote w:id="91">
    <w:p w14:paraId="55489D08" w14:textId="3B7E305C"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t xml:space="preserve">En particular, dicho informe indica lo siguiente: “El Sr. H. Ruiz fue capturado el día 14 de noviembre 2005 en el Municipio de Mixco, Departamento de Guatemala, derivado de lo cual uno de los posibles implicados en el ilícito, el Director General de la Policía Nacional [E.S.V.] tuvo conocimiento de su recaptura. Posteriormente el Sr. H. Ruiz fue trasladado al Municipio de Barberena, Departamento de Santa Rosa, lugar en el que fue ejecutado ese mismo día simulando un enfrentamiento armado con personas desconocidas. En el informe oficial de la PNC, el fallecimiento del Sr. H. Ruiz se debió a que se tenía conocimiento que la persona fallecida era perseguida por sujetos desconocidos, con quien sostuvo un enfrentamiento armado del cual resultó muerto. Sin embargo, […] el Ministerio de Gobernación pagó la recompensa ofrecida indicando que la misma fue otorgada por información proporcionada por particulares que llevó a la localización del Sr. H. Ruiz, quien al momento en que las fuerzas de seguridad intentaban su captura, se opuso y fue abatido […], versión que contradice el informe policial. Cabe destacar que en la escena del crimen según testigos, fueron vistos el Sr. [V.S.D.] y el entonces Director General de la PNC, [E.S.V] […] Mediante resolución de fecha 14 de agosto de 2008 emitida por el Juzgado de Primera Instancia Penal, Narcoactividad y Delitos Contra el Ambiente del Departamento de Santa Rosa, Cuilapa, se ordenó la aprehensión del Sr. [E.R.C.C.], sindicado del delito de Ejecución Extrajudicial, misma que a la fecha no se ha verificado”. </w:t>
      </w:r>
      <w:r w:rsidRPr="007E04F7">
        <w:rPr>
          <w:rFonts w:cs="Verdana"/>
          <w:i/>
          <w:iCs/>
          <w:sz w:val="16"/>
          <w:szCs w:val="16"/>
        </w:rPr>
        <w:t xml:space="preserve">Cfr. </w:t>
      </w:r>
      <w:r w:rsidRPr="007E04F7">
        <w:rPr>
          <w:rFonts w:cs="Verdana"/>
          <w:sz w:val="16"/>
          <w:szCs w:val="16"/>
        </w:rPr>
        <w:t>Informe del Estado de Guatemala a la Comisión Interamericana de Derechos Humanos en el caso 12.650 Hugo Humberto Ruiz Fuentes, de 27 de octubre de 2016 (expediente de prueba, folios 2568 a 2570).</w:t>
      </w:r>
    </w:p>
  </w:footnote>
  <w:footnote w:id="92">
    <w:p w14:paraId="5B5B92B2" w14:textId="283182CD"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rFonts w:cs="Verdana"/>
          <w:i/>
          <w:iCs/>
          <w:sz w:val="16"/>
          <w:szCs w:val="16"/>
        </w:rPr>
        <w:t xml:space="preserve">Cfr. </w:t>
      </w:r>
      <w:r w:rsidRPr="007E04F7">
        <w:rPr>
          <w:rFonts w:cs="Verdana"/>
          <w:sz w:val="16"/>
          <w:szCs w:val="16"/>
        </w:rPr>
        <w:t>Informe del Estado de Guatemala a la Comisión Interamericana de Derechos Humanos en el caso 12.650 Hugo Humberto Ruiz Fuentes, de 27 de octubre de 2016 (expediente de prueba, folio 2569). Véase también, declaración del Estado a una pregunta efectuada por el Juez Pérez Manrique con respecto a la información de la que dispone el Estado sobre el estado actual de la investigación de la muerte del señor Ruiz Fuentes, el cual señaló que “el proceso se encuentra en la etapa intermedia y que por lo tanto no es adecuado que este honorable Tribunal conozca de ese caso, porque no ha concluido todavía la investigación” (</w:t>
      </w:r>
      <w:r w:rsidRPr="007E04F7">
        <w:rPr>
          <w:rFonts w:cs="Verdana"/>
          <w:i/>
          <w:sz w:val="16"/>
          <w:szCs w:val="16"/>
        </w:rPr>
        <w:t>Cfr</w:t>
      </w:r>
      <w:r w:rsidRPr="007E04F7">
        <w:rPr>
          <w:rFonts w:cs="Verdana"/>
          <w:sz w:val="16"/>
          <w:szCs w:val="16"/>
        </w:rPr>
        <w:t xml:space="preserve">. Declaración del Estado brindada </w:t>
      </w:r>
      <w:r w:rsidRPr="007E04F7">
        <w:rPr>
          <w:sz w:val="16"/>
          <w:szCs w:val="16"/>
        </w:rPr>
        <w:t>en la audiencia pública ante la Corte Interamericana celebrada el 5 de marzo de 2019)</w:t>
      </w:r>
      <w:r w:rsidRPr="007E04F7">
        <w:rPr>
          <w:rFonts w:cs="Arial"/>
          <w:spacing w:val="-2"/>
          <w:sz w:val="16"/>
          <w:szCs w:val="16"/>
        </w:rPr>
        <w:t xml:space="preserve">. Véase también </w:t>
      </w:r>
      <w:r w:rsidRPr="007E04F7">
        <w:rPr>
          <w:color w:val="393939"/>
          <w:sz w:val="16"/>
          <w:szCs w:val="16"/>
        </w:rPr>
        <w:t xml:space="preserve">Nota de prensa aparecida en “La Hora” </w:t>
      </w:r>
      <w:r w:rsidRPr="007E04F7">
        <w:rPr>
          <w:rFonts w:cs="Verdana"/>
          <w:sz w:val="16"/>
          <w:szCs w:val="16"/>
        </w:rPr>
        <w:t xml:space="preserve">titulada “Ejecuciones y Tortura: Jueza autoriza a sindicados presenciar entrevista a las víctimas”, </w:t>
      </w:r>
      <w:r w:rsidRPr="007E04F7">
        <w:rPr>
          <w:color w:val="393939"/>
          <w:sz w:val="16"/>
          <w:szCs w:val="16"/>
        </w:rPr>
        <w:t xml:space="preserve">de 11 de diciembre </w:t>
      </w:r>
      <w:r w:rsidRPr="007E04F7">
        <w:rPr>
          <w:rFonts w:cs="Verdana"/>
          <w:sz w:val="16"/>
          <w:szCs w:val="16"/>
        </w:rPr>
        <w:t xml:space="preserve">de 2018, disponible aquí: </w:t>
      </w:r>
      <w:hyperlink r:id="rId3" w:history="1">
        <w:r w:rsidRPr="007E04F7">
          <w:rPr>
            <w:rStyle w:val="Hipervnculo"/>
            <w:rFonts w:cs="Verdana"/>
            <w:sz w:val="16"/>
            <w:szCs w:val="16"/>
          </w:rPr>
          <w:t>https://lahora.gt/ejecuciones-y-tortura-jueza-autoriza-a-sindicados-presenciar-entrevista-a-las-victimas/</w:t>
        </w:r>
      </w:hyperlink>
      <w:r w:rsidRPr="007E04F7">
        <w:rPr>
          <w:rFonts w:cs="Verdana"/>
          <w:sz w:val="16"/>
          <w:szCs w:val="16"/>
        </w:rPr>
        <w:t xml:space="preserve"> </w:t>
      </w:r>
    </w:p>
  </w:footnote>
  <w:footnote w:id="93">
    <w:p w14:paraId="084E153C" w14:textId="16EA5A1C"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t>Artículo 4 de la Convención Americana.</w:t>
      </w:r>
    </w:p>
  </w:footnote>
  <w:footnote w:id="94">
    <w:p w14:paraId="61C8153A" w14:textId="27111761"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w:t>
      </w:r>
      <w:r w:rsidRPr="007E04F7">
        <w:rPr>
          <w:i/>
          <w:sz w:val="16"/>
          <w:szCs w:val="16"/>
        </w:rPr>
        <w:t>Caso Martínez Coronado Vs. Guatemala. Fondo, Reparaciones y Costas</w:t>
      </w:r>
      <w:r w:rsidRPr="007E04F7">
        <w:rPr>
          <w:sz w:val="16"/>
          <w:szCs w:val="16"/>
        </w:rPr>
        <w:t>. Sentencia de 10 de mayo de 2019. Serie C No. 376.</w:t>
      </w:r>
    </w:p>
  </w:footnote>
  <w:footnote w:id="95">
    <w:p w14:paraId="25FA2BC8" w14:textId="5A075BF0" w:rsidR="001A2991" w:rsidRPr="007E04F7" w:rsidRDefault="001A2991" w:rsidP="0064597D">
      <w:pPr>
        <w:tabs>
          <w:tab w:val="left" w:pos="567"/>
        </w:tabs>
        <w:spacing w:line="240" w:lineRule="auto"/>
        <w:rPr>
          <w:sz w:val="16"/>
          <w:szCs w:val="16"/>
          <w:lang w:val="es-ES_tradnl"/>
        </w:rPr>
      </w:pPr>
      <w:r w:rsidRPr="007E04F7">
        <w:rPr>
          <w:rStyle w:val="Refdenotaalpie"/>
          <w:sz w:val="16"/>
          <w:szCs w:val="16"/>
        </w:rPr>
        <w:footnoteRef/>
      </w:r>
      <w:r w:rsidRPr="007E04F7">
        <w:rPr>
          <w:sz w:val="16"/>
          <w:szCs w:val="16"/>
        </w:rPr>
        <w:t xml:space="preserve"> </w:t>
      </w:r>
      <w:r w:rsidRPr="007E04F7">
        <w:rPr>
          <w:sz w:val="16"/>
          <w:szCs w:val="16"/>
        </w:rPr>
        <w:tab/>
      </w:r>
      <w:r w:rsidRPr="007E04F7">
        <w:rPr>
          <w:i/>
          <w:iCs/>
          <w:sz w:val="16"/>
          <w:szCs w:val="16"/>
        </w:rPr>
        <w:t>Cfr</w:t>
      </w:r>
      <w:r w:rsidRPr="007E04F7">
        <w:rPr>
          <w:sz w:val="16"/>
          <w:szCs w:val="16"/>
        </w:rPr>
        <w:t xml:space="preserve">. </w:t>
      </w:r>
      <w:r w:rsidRPr="007E04F7">
        <w:rPr>
          <w:i/>
          <w:sz w:val="16"/>
          <w:szCs w:val="16"/>
        </w:rPr>
        <w:t xml:space="preserve">Caso Martínez Coronado Vs. Guatemala, </w:t>
      </w:r>
      <w:r w:rsidRPr="007E04F7">
        <w:rPr>
          <w:rFonts w:cs="Arial"/>
          <w:i/>
          <w:sz w:val="16"/>
          <w:szCs w:val="16"/>
        </w:rPr>
        <w:t xml:space="preserve">supra, </w:t>
      </w:r>
      <w:r w:rsidRPr="007E04F7">
        <w:rPr>
          <w:sz w:val="16"/>
          <w:szCs w:val="16"/>
        </w:rPr>
        <w:t xml:space="preserve"> párr. 62.</w:t>
      </w:r>
    </w:p>
  </w:footnote>
  <w:footnote w:id="96">
    <w:p w14:paraId="38881E0A" w14:textId="67A84B52"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iCs/>
          <w:sz w:val="16"/>
          <w:szCs w:val="16"/>
        </w:rPr>
        <w:t>Cfr</w:t>
      </w:r>
      <w:r w:rsidRPr="007E04F7">
        <w:rPr>
          <w:sz w:val="16"/>
          <w:szCs w:val="16"/>
        </w:rPr>
        <w:t xml:space="preserve">. </w:t>
      </w:r>
      <w:r w:rsidRPr="007E04F7">
        <w:rPr>
          <w:i/>
          <w:sz w:val="16"/>
          <w:szCs w:val="16"/>
        </w:rPr>
        <w:t xml:space="preserve">Caso Martínez Coronado Vs. Guatemala, </w:t>
      </w:r>
      <w:r w:rsidRPr="007E04F7">
        <w:rPr>
          <w:rFonts w:cs="Arial"/>
          <w:i/>
          <w:sz w:val="16"/>
          <w:szCs w:val="16"/>
        </w:rPr>
        <w:t xml:space="preserve">supra, </w:t>
      </w:r>
      <w:r w:rsidRPr="007E04F7">
        <w:rPr>
          <w:sz w:val="16"/>
          <w:szCs w:val="16"/>
        </w:rPr>
        <w:t xml:space="preserve"> párr. 62.</w:t>
      </w:r>
    </w:p>
  </w:footnote>
  <w:footnote w:id="97">
    <w:p w14:paraId="53D013C8" w14:textId="6C9C78A8"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w:t>
      </w:r>
      <w:r w:rsidRPr="007E04F7">
        <w:rPr>
          <w:rFonts w:cs="Verdana"/>
          <w:iCs/>
          <w:sz w:val="16"/>
          <w:szCs w:val="16"/>
        </w:rPr>
        <w:t>S</w:t>
      </w:r>
      <w:r w:rsidRPr="007E04F7">
        <w:rPr>
          <w:rFonts w:cs="Verdana"/>
          <w:sz w:val="16"/>
          <w:szCs w:val="16"/>
        </w:rPr>
        <w:t>entencia emitida por el Tribunal Sexto de Sentencia Penal, Narcoactividad y Delitos contra el Ambiente de Guatemala, de 14 de mayo de 1999 (expediente de prueba, folios 7138 a 7204)</w:t>
      </w:r>
      <w:r w:rsidRPr="007E04F7">
        <w:rPr>
          <w:sz w:val="16"/>
          <w:szCs w:val="16"/>
        </w:rPr>
        <w:t>.</w:t>
      </w:r>
    </w:p>
  </w:footnote>
  <w:footnote w:id="98">
    <w:p w14:paraId="7093D178" w14:textId="616E8492" w:rsidR="001A2991" w:rsidRPr="007E04F7" w:rsidRDefault="001A2991" w:rsidP="0064597D">
      <w:pPr>
        <w:tabs>
          <w:tab w:val="left" w:pos="567"/>
        </w:tabs>
        <w:spacing w:line="240" w:lineRule="auto"/>
        <w:rPr>
          <w:sz w:val="16"/>
          <w:szCs w:val="16"/>
          <w:lang w:val="es-ES"/>
        </w:rPr>
      </w:pPr>
      <w:r w:rsidRPr="007E04F7">
        <w:rPr>
          <w:rStyle w:val="Refdenotaalpie"/>
          <w:sz w:val="16"/>
          <w:szCs w:val="16"/>
        </w:rPr>
        <w:footnoteRef/>
      </w:r>
      <w:r w:rsidRPr="007E04F7">
        <w:rPr>
          <w:sz w:val="16"/>
          <w:szCs w:val="16"/>
        </w:rPr>
        <w:t xml:space="preserve"> </w:t>
      </w:r>
      <w:r w:rsidRPr="007E04F7">
        <w:rPr>
          <w:sz w:val="16"/>
          <w:szCs w:val="16"/>
          <w:lang w:val="es-ES"/>
        </w:rPr>
        <w:tab/>
      </w:r>
      <w:r w:rsidRPr="007E04F7">
        <w:rPr>
          <w:i/>
          <w:sz w:val="16"/>
          <w:szCs w:val="16"/>
        </w:rPr>
        <w:t>Cfr</w:t>
      </w:r>
      <w:r w:rsidRPr="007E04F7">
        <w:rPr>
          <w:sz w:val="16"/>
          <w:szCs w:val="16"/>
        </w:rPr>
        <w:t xml:space="preserve">. </w:t>
      </w:r>
      <w:r w:rsidRPr="007E04F7">
        <w:rPr>
          <w:rFonts w:cs="Verdana"/>
          <w:iCs/>
          <w:sz w:val="16"/>
          <w:szCs w:val="16"/>
        </w:rPr>
        <w:t>S</w:t>
      </w:r>
      <w:r w:rsidRPr="007E04F7">
        <w:rPr>
          <w:rFonts w:cs="Verdana"/>
          <w:sz w:val="16"/>
          <w:szCs w:val="16"/>
        </w:rPr>
        <w:t>entencia emitida por el Tribunal Sexto de Sentencia Penal, Narcoactividad y Delitos contra el Ambiente de Guatemala, de 14 de mayo de 1999 (expediente de prueba, folios 7138 a 7204)</w:t>
      </w:r>
      <w:r w:rsidRPr="007E04F7">
        <w:rPr>
          <w:sz w:val="16"/>
          <w:szCs w:val="16"/>
        </w:rPr>
        <w:t>.</w:t>
      </w:r>
    </w:p>
  </w:footnote>
  <w:footnote w:id="99">
    <w:p w14:paraId="71D7E56C" w14:textId="4953259F"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iCs/>
          <w:sz w:val="16"/>
          <w:szCs w:val="16"/>
        </w:rPr>
        <w:t>Cfr</w:t>
      </w:r>
      <w:r w:rsidRPr="007E04F7">
        <w:rPr>
          <w:sz w:val="16"/>
          <w:szCs w:val="16"/>
        </w:rPr>
        <w:t xml:space="preserve">. </w:t>
      </w:r>
      <w:r w:rsidRPr="007E04F7">
        <w:rPr>
          <w:i/>
          <w:sz w:val="16"/>
          <w:szCs w:val="16"/>
        </w:rPr>
        <w:t xml:space="preserve">Caso Martínez Coronado Vs. Guatemala, </w:t>
      </w:r>
      <w:r w:rsidRPr="007E04F7">
        <w:rPr>
          <w:rFonts w:cs="Arial"/>
          <w:i/>
          <w:sz w:val="16"/>
          <w:szCs w:val="16"/>
        </w:rPr>
        <w:t xml:space="preserve">supra, </w:t>
      </w:r>
      <w:r w:rsidRPr="007E04F7">
        <w:rPr>
          <w:sz w:val="16"/>
          <w:szCs w:val="16"/>
        </w:rPr>
        <w:t xml:space="preserve"> párr. 63.</w:t>
      </w:r>
    </w:p>
  </w:footnote>
  <w:footnote w:id="100">
    <w:p w14:paraId="028951C1" w14:textId="1B4DDB87" w:rsidR="001A2991" w:rsidRPr="007E04F7" w:rsidRDefault="001A2991" w:rsidP="0064597D">
      <w:pPr>
        <w:tabs>
          <w:tab w:val="left" w:pos="567"/>
        </w:tabs>
        <w:spacing w:line="240" w:lineRule="auto"/>
        <w:rPr>
          <w:sz w:val="16"/>
          <w:szCs w:val="16"/>
          <w:u w:val="single"/>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Protocolo a la Convención Americana sobre Derechos Humanos relativo a la Abolición de la Pena de muerte. Estado de firmas y ratificaciones. Disponible en: </w:t>
      </w:r>
      <w:hyperlink r:id="rId4" w:history="1">
        <w:r w:rsidRPr="007E04F7">
          <w:rPr>
            <w:rStyle w:val="Hipervnculo"/>
            <w:sz w:val="16"/>
            <w:szCs w:val="16"/>
          </w:rPr>
          <w:t>http://www.oas.org/juridico/spanish/tratados/a-53.html</w:t>
        </w:r>
      </w:hyperlink>
      <w:r w:rsidRPr="007E04F7">
        <w:rPr>
          <w:rStyle w:val="Hipervnculo"/>
          <w:color w:val="auto"/>
          <w:sz w:val="16"/>
          <w:szCs w:val="16"/>
        </w:rPr>
        <w:t xml:space="preserve">  </w:t>
      </w:r>
    </w:p>
  </w:footnote>
  <w:footnote w:id="101">
    <w:p w14:paraId="691213C8" w14:textId="331D2E57" w:rsidR="001A2991" w:rsidRPr="007E04F7" w:rsidRDefault="001A2991" w:rsidP="0064597D">
      <w:pPr>
        <w:tabs>
          <w:tab w:val="left" w:pos="567"/>
        </w:tabs>
        <w:spacing w:line="240" w:lineRule="auto"/>
        <w:rPr>
          <w:i/>
          <w:sz w:val="16"/>
          <w:szCs w:val="16"/>
        </w:rPr>
      </w:pPr>
      <w:r w:rsidRPr="007E04F7">
        <w:rPr>
          <w:rStyle w:val="Refdenotaalpie"/>
          <w:sz w:val="16"/>
          <w:szCs w:val="16"/>
        </w:rPr>
        <w:footnoteRef/>
      </w:r>
      <w:r w:rsidRPr="007E04F7">
        <w:rPr>
          <w:sz w:val="16"/>
          <w:szCs w:val="16"/>
        </w:rPr>
        <w:t xml:space="preserve"> </w:t>
      </w:r>
      <w:r w:rsidRPr="007E04F7">
        <w:rPr>
          <w:sz w:val="16"/>
          <w:szCs w:val="16"/>
        </w:rPr>
        <w:tab/>
        <w:t xml:space="preserve">En el Sistema Interamericano, los trece Estados que han suscrito y ratificado el Protocolo </w:t>
      </w:r>
      <w:r w:rsidRPr="007E04F7">
        <w:rPr>
          <w:sz w:val="16"/>
          <w:szCs w:val="16"/>
          <w:lang w:val="es-ES"/>
        </w:rPr>
        <w:t>a la Convención Americana sobre Derechos Humanos relativo a la Abolición de la Pena de Muerte son: Argentina, Costa Rica, Ecuador, Honduras, México, Nicaragua, Panamá, Paraguay, República Dominicana, Uruguay, Venezuela, junto con dos que han ratificado el Protocolo con una reserva sobre la aplicación de la pena de muerte en tiempo de guerra y por delitos graves de carácter militar: Brasil y Chile.</w:t>
      </w:r>
      <w:r w:rsidRPr="007E04F7">
        <w:rPr>
          <w:i/>
          <w:sz w:val="16"/>
          <w:szCs w:val="16"/>
          <w:lang w:val="es-ES"/>
        </w:rPr>
        <w:t xml:space="preserve"> </w:t>
      </w:r>
      <w:r w:rsidRPr="007E04F7">
        <w:rPr>
          <w:i/>
          <w:sz w:val="16"/>
          <w:szCs w:val="16"/>
        </w:rPr>
        <w:t xml:space="preserve">Cfr. </w:t>
      </w:r>
      <w:r w:rsidRPr="007E04F7">
        <w:rPr>
          <w:sz w:val="16"/>
          <w:szCs w:val="16"/>
        </w:rPr>
        <w:t>Protocolo a la Convención Americana sobre Derechos Humanos relativo a la Abolición de la Pena de Muerte, Estado de firmas y ratificaciones disponible aquí</w:t>
      </w:r>
      <w:r w:rsidRPr="007E04F7">
        <w:rPr>
          <w:i/>
          <w:sz w:val="16"/>
          <w:szCs w:val="16"/>
        </w:rPr>
        <w:t xml:space="preserve">: </w:t>
      </w:r>
      <w:hyperlink r:id="rId5" w:history="1">
        <w:r w:rsidRPr="007E04F7">
          <w:rPr>
            <w:rStyle w:val="Hipervnculo"/>
            <w:sz w:val="16"/>
            <w:szCs w:val="16"/>
          </w:rPr>
          <w:t>https://www.oas.org/juridico/spanish/firmas/a-53.html</w:t>
        </w:r>
      </w:hyperlink>
      <w:r w:rsidRPr="007E04F7">
        <w:rPr>
          <w:rStyle w:val="Hipervnculo"/>
          <w:color w:val="auto"/>
          <w:sz w:val="16"/>
          <w:szCs w:val="16"/>
        </w:rPr>
        <w:t xml:space="preserve"> </w:t>
      </w:r>
    </w:p>
  </w:footnote>
  <w:footnote w:id="102">
    <w:p w14:paraId="758DC21D" w14:textId="2C92DA0D" w:rsidR="001A2991" w:rsidRPr="007E04F7" w:rsidRDefault="001A2991" w:rsidP="0064597D">
      <w:pPr>
        <w:pStyle w:val="Textonotapie"/>
        <w:rPr>
          <w:sz w:val="16"/>
          <w:szCs w:val="16"/>
        </w:rPr>
      </w:pPr>
      <w:r w:rsidRPr="007E04F7">
        <w:rPr>
          <w:rStyle w:val="Refdenotaalpie"/>
          <w:sz w:val="16"/>
          <w:szCs w:val="16"/>
        </w:rPr>
        <w:footnoteRef/>
      </w:r>
      <w:r w:rsidRPr="007E04F7">
        <w:rPr>
          <w:sz w:val="16"/>
          <w:szCs w:val="16"/>
        </w:rPr>
        <w:t xml:space="preserve"> La frase “y cuando esta no pueda ser impuesta” se refiere al artículo 43 del mismo Código Penal, que establece que:</w:t>
      </w:r>
    </w:p>
    <w:p w14:paraId="31E2FE50" w14:textId="77777777" w:rsidR="001A2991" w:rsidRPr="007E04F7" w:rsidRDefault="001A2991" w:rsidP="0064597D">
      <w:pPr>
        <w:pStyle w:val="Textonotapie"/>
        <w:ind w:left="720"/>
        <w:rPr>
          <w:sz w:val="16"/>
          <w:szCs w:val="16"/>
        </w:rPr>
      </w:pPr>
      <w:r w:rsidRPr="007E04F7">
        <w:rPr>
          <w:sz w:val="16"/>
          <w:szCs w:val="16"/>
        </w:rPr>
        <w:t xml:space="preserve">“No podrá imponerse la pena de muerte: </w:t>
      </w:r>
    </w:p>
    <w:p w14:paraId="64CFC610" w14:textId="77777777" w:rsidR="001A2991" w:rsidRPr="007E04F7" w:rsidRDefault="001A2991" w:rsidP="0064597D">
      <w:pPr>
        <w:pStyle w:val="Textonotapie"/>
        <w:ind w:left="720"/>
        <w:rPr>
          <w:sz w:val="16"/>
          <w:szCs w:val="16"/>
        </w:rPr>
      </w:pPr>
      <w:r w:rsidRPr="007E04F7">
        <w:rPr>
          <w:sz w:val="16"/>
          <w:szCs w:val="16"/>
        </w:rPr>
        <w:t>1. Por delitos políticos.</w:t>
      </w:r>
    </w:p>
    <w:p w14:paraId="11EE482E" w14:textId="77777777" w:rsidR="001A2991" w:rsidRPr="007E04F7" w:rsidRDefault="001A2991" w:rsidP="0064597D">
      <w:pPr>
        <w:pStyle w:val="Textonotapie"/>
        <w:ind w:left="720"/>
        <w:rPr>
          <w:sz w:val="16"/>
          <w:szCs w:val="16"/>
        </w:rPr>
      </w:pPr>
      <w:r w:rsidRPr="007E04F7">
        <w:rPr>
          <w:sz w:val="16"/>
          <w:szCs w:val="16"/>
        </w:rPr>
        <w:t xml:space="preserve">2. Cuando la condena se fundamente en presunciones. </w:t>
      </w:r>
    </w:p>
    <w:p w14:paraId="7D53C38E" w14:textId="77777777" w:rsidR="001A2991" w:rsidRPr="007E04F7" w:rsidRDefault="001A2991" w:rsidP="0064597D">
      <w:pPr>
        <w:pStyle w:val="Textonotapie"/>
        <w:ind w:left="720"/>
        <w:rPr>
          <w:sz w:val="16"/>
          <w:szCs w:val="16"/>
        </w:rPr>
      </w:pPr>
      <w:r w:rsidRPr="007E04F7">
        <w:rPr>
          <w:sz w:val="16"/>
          <w:szCs w:val="16"/>
        </w:rPr>
        <w:t xml:space="preserve">3. A mujeres. </w:t>
      </w:r>
    </w:p>
    <w:p w14:paraId="47AA7FB7" w14:textId="1894F4C7" w:rsidR="001A2991" w:rsidRPr="007E04F7" w:rsidRDefault="001A2991" w:rsidP="0064597D">
      <w:pPr>
        <w:pStyle w:val="Textonotapie"/>
        <w:ind w:left="720"/>
        <w:rPr>
          <w:sz w:val="16"/>
          <w:szCs w:val="16"/>
          <w:lang w:val="es-CR"/>
        </w:rPr>
      </w:pPr>
      <w:r w:rsidRPr="007E04F7">
        <w:rPr>
          <w:sz w:val="16"/>
          <w:szCs w:val="16"/>
        </w:rPr>
        <w:t>4. A varones mayores de setenta años”.</w:t>
      </w:r>
    </w:p>
  </w:footnote>
  <w:footnote w:id="103">
    <w:p w14:paraId="72F27588" w14:textId="4C2688CC"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w:t>
      </w:r>
      <w:r w:rsidRPr="007E04F7">
        <w:rPr>
          <w:rStyle w:val="Textoennegrita"/>
          <w:b w:val="0"/>
          <w:i/>
          <w:sz w:val="16"/>
          <w:szCs w:val="16"/>
          <w:shd w:val="clear" w:color="auto" w:fill="FFFFFF"/>
        </w:rPr>
        <w:t>Caso Raxcacó Reyes Vs. Guatemala</w:t>
      </w:r>
      <w:r w:rsidRPr="007E04F7">
        <w:rPr>
          <w:i/>
          <w:sz w:val="16"/>
          <w:szCs w:val="16"/>
        </w:rPr>
        <w:t xml:space="preserve">, </w:t>
      </w:r>
      <w:r w:rsidRPr="007E04F7">
        <w:rPr>
          <w:rFonts w:cs="Arial"/>
          <w:i/>
          <w:sz w:val="16"/>
          <w:szCs w:val="16"/>
        </w:rPr>
        <w:t>supra,</w:t>
      </w:r>
      <w:r w:rsidRPr="007E04F7">
        <w:rPr>
          <w:sz w:val="16"/>
          <w:szCs w:val="16"/>
        </w:rPr>
        <w:t xml:space="preserve"> </w:t>
      </w:r>
      <w:r w:rsidRPr="007E04F7">
        <w:rPr>
          <w:rStyle w:val="Textoennegrita"/>
          <w:b w:val="0"/>
          <w:sz w:val="16"/>
          <w:szCs w:val="16"/>
          <w:shd w:val="clear" w:color="auto" w:fill="FFFFFF"/>
        </w:rPr>
        <w:t>párr. 63.</w:t>
      </w:r>
    </w:p>
  </w:footnote>
  <w:footnote w:id="104">
    <w:p w14:paraId="5A93CB61" w14:textId="5864D295"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w:t>
      </w:r>
      <w:r w:rsidRPr="007E04F7">
        <w:rPr>
          <w:rStyle w:val="Textoennegrita"/>
          <w:b w:val="0"/>
          <w:i/>
          <w:sz w:val="16"/>
          <w:szCs w:val="16"/>
          <w:shd w:val="clear" w:color="auto" w:fill="FFFFFF"/>
        </w:rPr>
        <w:t>Caso Raxcacó Reyes Vs. Guatemala</w:t>
      </w:r>
      <w:r w:rsidRPr="007E04F7">
        <w:rPr>
          <w:i/>
          <w:sz w:val="16"/>
          <w:szCs w:val="16"/>
        </w:rPr>
        <w:t xml:space="preserve">, </w:t>
      </w:r>
      <w:r w:rsidRPr="007E04F7">
        <w:rPr>
          <w:rFonts w:cs="Arial"/>
          <w:i/>
          <w:sz w:val="16"/>
          <w:szCs w:val="16"/>
        </w:rPr>
        <w:t>supra,</w:t>
      </w:r>
      <w:r w:rsidRPr="007E04F7">
        <w:rPr>
          <w:rStyle w:val="Textoennegrita"/>
          <w:b w:val="0"/>
          <w:sz w:val="16"/>
          <w:szCs w:val="16"/>
          <w:shd w:val="clear" w:color="auto" w:fill="FFFFFF"/>
        </w:rPr>
        <w:t xml:space="preserve"> párr. 64.</w:t>
      </w:r>
    </w:p>
  </w:footnote>
  <w:footnote w:id="105">
    <w:p w14:paraId="72EE3482" w14:textId="6C84C192"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w:t>
      </w:r>
      <w:r w:rsidRPr="007E04F7">
        <w:rPr>
          <w:rStyle w:val="Textoennegrita"/>
          <w:b w:val="0"/>
          <w:i/>
          <w:sz w:val="16"/>
          <w:szCs w:val="16"/>
          <w:shd w:val="clear" w:color="auto" w:fill="FFFFFF"/>
        </w:rPr>
        <w:t>Caso Raxcacó Reyes Vs. Guatemala</w:t>
      </w:r>
      <w:r w:rsidRPr="007E04F7">
        <w:rPr>
          <w:i/>
          <w:sz w:val="16"/>
          <w:szCs w:val="16"/>
        </w:rPr>
        <w:t xml:space="preserve">, </w:t>
      </w:r>
      <w:r w:rsidRPr="007E04F7">
        <w:rPr>
          <w:rFonts w:cs="Arial"/>
          <w:i/>
          <w:sz w:val="16"/>
          <w:szCs w:val="16"/>
        </w:rPr>
        <w:t>supra,</w:t>
      </w:r>
      <w:r w:rsidRPr="007E04F7">
        <w:rPr>
          <w:sz w:val="16"/>
          <w:szCs w:val="16"/>
        </w:rPr>
        <w:t xml:space="preserve"> </w:t>
      </w:r>
      <w:r w:rsidRPr="007E04F7">
        <w:rPr>
          <w:rStyle w:val="Textoennegrita"/>
          <w:b w:val="0"/>
          <w:sz w:val="16"/>
          <w:szCs w:val="16"/>
          <w:shd w:val="clear" w:color="auto" w:fill="FFFFFF"/>
        </w:rPr>
        <w:t xml:space="preserve">párrs. 65 y 66. </w:t>
      </w:r>
    </w:p>
  </w:footnote>
  <w:footnote w:id="106">
    <w:p w14:paraId="469494AF" w14:textId="57D819C1" w:rsidR="001A2991" w:rsidRPr="007E04F7" w:rsidRDefault="001A2991" w:rsidP="0064597D">
      <w:pPr>
        <w:tabs>
          <w:tab w:val="left" w:pos="567"/>
        </w:tabs>
        <w:spacing w:line="240" w:lineRule="auto"/>
        <w:rPr>
          <w:sz w:val="16"/>
          <w:szCs w:val="16"/>
          <w:lang w:val="es-ES_tradnl"/>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Sentencia de la Corte de Constitucionalidad de la República de Guatemala, de 24 de octubre de 2018, Expediente 5986-2016. </w:t>
      </w:r>
    </w:p>
  </w:footnote>
  <w:footnote w:id="107">
    <w:p w14:paraId="37614B20" w14:textId="1860D316"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ONU, Comité de Derechos Humanos, </w:t>
      </w:r>
      <w:r w:rsidRPr="007E04F7">
        <w:rPr>
          <w:i/>
          <w:sz w:val="16"/>
          <w:szCs w:val="16"/>
        </w:rPr>
        <w:t>Kennedy c. Trinidad y Tobago</w:t>
      </w:r>
      <w:r w:rsidRPr="007E04F7">
        <w:rPr>
          <w:sz w:val="16"/>
          <w:szCs w:val="16"/>
        </w:rPr>
        <w:t xml:space="preserve"> (Comunicación No. 845/1999), UN Doc. CCPR/C/74/D/845/1999 de 28 de marzo de 2002, párr. 7.3; ONU, Comité de Derechos Humanos, </w:t>
      </w:r>
      <w:r w:rsidRPr="007E04F7">
        <w:rPr>
          <w:i/>
          <w:sz w:val="16"/>
          <w:szCs w:val="16"/>
        </w:rPr>
        <w:t>Thompson c. San Vicente y Las Granadinas</w:t>
      </w:r>
      <w:r w:rsidRPr="007E04F7">
        <w:rPr>
          <w:sz w:val="16"/>
          <w:szCs w:val="16"/>
        </w:rPr>
        <w:t xml:space="preserve"> (Comunicación No. 806/1998), UN Doc. CCPR/C/70/D/806/1998 de 5 de diciembre de 2000, párr. 8.2; ONU, Comité de Derechos Humanos, </w:t>
      </w:r>
      <w:r w:rsidRPr="007E04F7">
        <w:rPr>
          <w:i/>
          <w:sz w:val="16"/>
          <w:szCs w:val="16"/>
        </w:rPr>
        <w:t>Pagdayawon c. Filipinas</w:t>
      </w:r>
      <w:r w:rsidRPr="007E04F7">
        <w:rPr>
          <w:sz w:val="16"/>
          <w:szCs w:val="16"/>
        </w:rPr>
        <w:t xml:space="preserve">, Comunicación 1110/2002, párr. 5.2. </w:t>
      </w:r>
    </w:p>
  </w:footnote>
  <w:footnote w:id="108">
    <w:p w14:paraId="2A8BD3AF" w14:textId="528AEDEB" w:rsidR="001A2991" w:rsidRPr="007E04F7" w:rsidRDefault="001A2991" w:rsidP="0064597D">
      <w:pPr>
        <w:tabs>
          <w:tab w:val="left" w:pos="567"/>
        </w:tabs>
        <w:spacing w:line="240" w:lineRule="auto"/>
        <w:rPr>
          <w:sz w:val="16"/>
          <w:szCs w:val="16"/>
          <w:lang w:val="es-ES" w:eastAsia="es-ES_tradnl"/>
        </w:rPr>
      </w:pPr>
      <w:r w:rsidRPr="007E04F7">
        <w:rPr>
          <w:rStyle w:val="Refdenotaalpie"/>
          <w:sz w:val="16"/>
          <w:szCs w:val="16"/>
          <w:lang w:val="es-ES"/>
        </w:rPr>
        <w:footnoteRef/>
      </w:r>
      <w:r w:rsidRPr="007E04F7">
        <w:rPr>
          <w:sz w:val="16"/>
          <w:szCs w:val="16"/>
          <w:lang w:val="es-ES"/>
        </w:rPr>
        <w:t xml:space="preserve"> </w:t>
      </w:r>
      <w:r w:rsidRPr="007E04F7">
        <w:rPr>
          <w:sz w:val="16"/>
          <w:szCs w:val="16"/>
          <w:lang w:val="es-ES"/>
        </w:rPr>
        <w:tab/>
      </w:r>
      <w:r w:rsidRPr="007E04F7">
        <w:rPr>
          <w:i/>
          <w:iCs/>
          <w:sz w:val="16"/>
          <w:szCs w:val="16"/>
          <w:lang w:val="es-ES"/>
        </w:rPr>
        <w:t>Cfr</w:t>
      </w:r>
      <w:r w:rsidRPr="007E04F7">
        <w:rPr>
          <w:sz w:val="16"/>
          <w:szCs w:val="16"/>
          <w:lang w:val="es-ES"/>
        </w:rPr>
        <w:t xml:space="preserve">. </w:t>
      </w:r>
      <w:r w:rsidRPr="007E04F7">
        <w:rPr>
          <w:i/>
          <w:sz w:val="16"/>
          <w:szCs w:val="16"/>
          <w:lang w:val="es-ES"/>
        </w:rPr>
        <w:t>Caso Boyce y otros Vs. Barbados. Excepción Preliminar, Fondo, Reparaciones y Costas.</w:t>
      </w:r>
      <w:r w:rsidRPr="007E04F7">
        <w:rPr>
          <w:sz w:val="16"/>
          <w:szCs w:val="16"/>
          <w:lang w:val="es-ES"/>
        </w:rPr>
        <w:t xml:space="preserve"> Sentencia de 20 de noviembre de 2007. Serie C No. 16, párr. 54 y 55 y 108. Ver también, Naciones Unidas, Consejo de Derechos Humanos, Informe anual del Alto Comisionado de las Naciones Unidas para los Derechos Humanos e informes de la Oficina del Alto Comisionado y del Secretario General, </w:t>
      </w:r>
      <w:r w:rsidRPr="007E04F7">
        <w:rPr>
          <w:sz w:val="16"/>
          <w:szCs w:val="16"/>
          <w:lang w:val="es-ES" w:eastAsia="es-ES_tradnl"/>
        </w:rPr>
        <w:t xml:space="preserve">de 14 de septiembre de 2018, A/HRC/39/19, párr. 24, y Naciones Unidas, Consejo Económico y Social, Informe del Secretario General, “La pena capital y la aplicación de las salvaguardias para garantizar la protección de los derechos de los condenados a la pena de muerte”, E/2015/49, párr. 63. </w:t>
      </w:r>
    </w:p>
  </w:footnote>
  <w:footnote w:id="109">
    <w:p w14:paraId="1F39A576" w14:textId="693CA834" w:rsidR="001A2991" w:rsidRPr="007E04F7" w:rsidRDefault="001A2991" w:rsidP="0064597D">
      <w:pPr>
        <w:tabs>
          <w:tab w:val="left" w:pos="567"/>
        </w:tabs>
        <w:spacing w:line="240" w:lineRule="auto"/>
        <w:rPr>
          <w:b/>
          <w:sz w:val="16"/>
          <w:szCs w:val="16"/>
        </w:rPr>
      </w:pPr>
      <w:r w:rsidRPr="007E04F7">
        <w:rPr>
          <w:rStyle w:val="Refdenotaalpie"/>
          <w:sz w:val="16"/>
          <w:szCs w:val="16"/>
        </w:rPr>
        <w:footnoteRef/>
      </w:r>
      <w:r w:rsidRPr="007E04F7">
        <w:rPr>
          <w:sz w:val="16"/>
          <w:szCs w:val="16"/>
        </w:rPr>
        <w:t xml:space="preserve"> </w:t>
      </w:r>
      <w:r w:rsidRPr="007E04F7">
        <w:rPr>
          <w:b/>
          <w:sz w:val="16"/>
          <w:szCs w:val="16"/>
        </w:rPr>
        <w:tab/>
      </w:r>
      <w:r w:rsidRPr="007E04F7">
        <w:rPr>
          <w:i/>
          <w:sz w:val="16"/>
          <w:szCs w:val="16"/>
        </w:rPr>
        <w:t>Cfr</w:t>
      </w:r>
      <w:r w:rsidRPr="007E04F7">
        <w:rPr>
          <w:sz w:val="16"/>
          <w:szCs w:val="16"/>
        </w:rPr>
        <w:t xml:space="preserve">. </w:t>
      </w:r>
      <w:r w:rsidRPr="007E04F7">
        <w:rPr>
          <w:i/>
          <w:sz w:val="16"/>
          <w:szCs w:val="16"/>
        </w:rPr>
        <w:t>Mutatis mutandis</w:t>
      </w:r>
      <w:r w:rsidRPr="007E04F7">
        <w:rPr>
          <w:sz w:val="16"/>
          <w:szCs w:val="16"/>
        </w:rPr>
        <w:t>,</w:t>
      </w:r>
      <w:r w:rsidRPr="007E04F7">
        <w:rPr>
          <w:b/>
          <w:sz w:val="16"/>
          <w:szCs w:val="16"/>
        </w:rPr>
        <w:t xml:space="preserve"> </w:t>
      </w:r>
      <w:r w:rsidRPr="007E04F7">
        <w:rPr>
          <w:rStyle w:val="Textoennegrita"/>
          <w:b w:val="0"/>
          <w:i/>
          <w:sz w:val="16"/>
          <w:szCs w:val="16"/>
        </w:rPr>
        <w:t>Caso Raxcacó Reyes Vs. Guatemala</w:t>
      </w:r>
      <w:r w:rsidRPr="007E04F7">
        <w:rPr>
          <w:i/>
          <w:sz w:val="16"/>
          <w:szCs w:val="16"/>
        </w:rPr>
        <w:t xml:space="preserve">, </w:t>
      </w:r>
      <w:r w:rsidRPr="007E04F7">
        <w:rPr>
          <w:rFonts w:cs="Arial"/>
          <w:i/>
          <w:sz w:val="16"/>
          <w:szCs w:val="16"/>
        </w:rPr>
        <w:t xml:space="preserve">supra, </w:t>
      </w:r>
      <w:r w:rsidRPr="007E04F7">
        <w:rPr>
          <w:sz w:val="16"/>
          <w:szCs w:val="16"/>
        </w:rPr>
        <w:t xml:space="preserve"> </w:t>
      </w:r>
      <w:r w:rsidRPr="007E04F7">
        <w:rPr>
          <w:rStyle w:val="Textoennegrita"/>
          <w:b w:val="0"/>
          <w:sz w:val="16"/>
          <w:szCs w:val="16"/>
        </w:rPr>
        <w:t>párrs. 81 y 82.</w:t>
      </w:r>
    </w:p>
  </w:footnote>
  <w:footnote w:id="110">
    <w:p w14:paraId="4B194232" w14:textId="02059023"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ab/>
      </w:r>
      <w:r w:rsidRPr="007E04F7">
        <w:rPr>
          <w:i/>
          <w:sz w:val="16"/>
          <w:szCs w:val="16"/>
        </w:rPr>
        <w:t>Cfr.</w:t>
      </w:r>
      <w:r w:rsidRPr="007E04F7">
        <w:rPr>
          <w:sz w:val="16"/>
          <w:szCs w:val="16"/>
        </w:rPr>
        <w:t xml:space="preserve"> </w:t>
      </w:r>
      <w:r w:rsidRPr="007E04F7">
        <w:rPr>
          <w:i/>
          <w:iCs/>
          <w:sz w:val="16"/>
          <w:szCs w:val="16"/>
          <w:lang w:val="es-ES"/>
        </w:rPr>
        <w:t xml:space="preserve">Caso Fermín Ramírez Vs. Guatemala. Fondo, Reparaciones y Costas, supra, </w:t>
      </w:r>
      <w:r w:rsidRPr="007E04F7">
        <w:rPr>
          <w:sz w:val="16"/>
          <w:szCs w:val="16"/>
          <w:lang w:val="es-ES"/>
        </w:rPr>
        <w:t xml:space="preserve">párr. 107, y </w:t>
      </w:r>
      <w:r w:rsidRPr="007E04F7">
        <w:rPr>
          <w:rStyle w:val="Textoennegrita"/>
          <w:b w:val="0"/>
          <w:i/>
          <w:sz w:val="16"/>
          <w:szCs w:val="16"/>
          <w:shd w:val="clear" w:color="auto" w:fill="FFFFFF"/>
        </w:rPr>
        <w:t>Caso Raxcacó Reyes Vs. Guatemala</w:t>
      </w:r>
      <w:r w:rsidRPr="007E04F7">
        <w:rPr>
          <w:i/>
          <w:sz w:val="16"/>
          <w:szCs w:val="16"/>
        </w:rPr>
        <w:t xml:space="preserve">, </w:t>
      </w:r>
      <w:r w:rsidRPr="007E04F7">
        <w:rPr>
          <w:rFonts w:cs="Arial"/>
          <w:i/>
          <w:sz w:val="16"/>
          <w:szCs w:val="16"/>
        </w:rPr>
        <w:t>supra,</w:t>
      </w:r>
      <w:r w:rsidRPr="007E04F7">
        <w:rPr>
          <w:sz w:val="16"/>
          <w:szCs w:val="16"/>
        </w:rPr>
        <w:t xml:space="preserve"> p</w:t>
      </w:r>
      <w:r w:rsidRPr="007E04F7">
        <w:rPr>
          <w:rStyle w:val="Textoennegrita"/>
          <w:b w:val="0"/>
          <w:sz w:val="16"/>
          <w:szCs w:val="16"/>
          <w:shd w:val="clear" w:color="auto" w:fill="FFFFFF"/>
        </w:rPr>
        <w:t xml:space="preserve">árr. 85. </w:t>
      </w:r>
    </w:p>
  </w:footnote>
  <w:footnote w:id="111">
    <w:p w14:paraId="230D5035" w14:textId="2A0DE4DE" w:rsidR="001A2991" w:rsidRPr="007E04F7" w:rsidRDefault="001A2991" w:rsidP="0064597D">
      <w:pPr>
        <w:tabs>
          <w:tab w:val="left" w:pos="567"/>
        </w:tabs>
        <w:spacing w:line="240" w:lineRule="auto"/>
        <w:rPr>
          <w:sz w:val="16"/>
          <w:szCs w:val="16"/>
          <w:lang w:val="es-ES"/>
        </w:rPr>
      </w:pPr>
      <w:r w:rsidRPr="007E04F7">
        <w:rPr>
          <w:rStyle w:val="Refdenotaalpie"/>
          <w:sz w:val="16"/>
          <w:szCs w:val="16"/>
        </w:rPr>
        <w:footnoteRef/>
      </w:r>
      <w:r w:rsidRPr="007E04F7">
        <w:rPr>
          <w:sz w:val="16"/>
          <w:szCs w:val="16"/>
        </w:rPr>
        <w:t xml:space="preserve"> </w:t>
      </w:r>
      <w:r w:rsidRPr="007E04F7">
        <w:rPr>
          <w:sz w:val="16"/>
          <w:szCs w:val="16"/>
        </w:rPr>
        <w:tab/>
      </w:r>
      <w:r w:rsidRPr="007E04F7">
        <w:rPr>
          <w:i/>
          <w:iCs/>
          <w:sz w:val="16"/>
          <w:szCs w:val="16"/>
        </w:rPr>
        <w:t>Cfr</w:t>
      </w:r>
      <w:r w:rsidRPr="007E04F7">
        <w:rPr>
          <w:sz w:val="16"/>
          <w:szCs w:val="16"/>
        </w:rPr>
        <w:t xml:space="preserve">. </w:t>
      </w:r>
      <w:r w:rsidRPr="007E04F7">
        <w:rPr>
          <w:i/>
          <w:iCs/>
          <w:sz w:val="16"/>
          <w:szCs w:val="16"/>
          <w:lang w:val="es-ES"/>
        </w:rPr>
        <w:t xml:space="preserve">Caso Fermín Ramírez Vs. Guatemala, supra, </w:t>
      </w:r>
      <w:r w:rsidRPr="007E04F7">
        <w:rPr>
          <w:sz w:val="16"/>
          <w:szCs w:val="16"/>
          <w:lang w:val="es-ES"/>
        </w:rPr>
        <w:t>párr. 109.</w:t>
      </w:r>
    </w:p>
  </w:footnote>
  <w:footnote w:id="112">
    <w:p w14:paraId="50CAC523" w14:textId="3D0EC0EA"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ab/>
      </w:r>
      <w:r w:rsidRPr="007E04F7">
        <w:rPr>
          <w:i/>
          <w:iCs/>
          <w:sz w:val="16"/>
          <w:szCs w:val="16"/>
        </w:rPr>
        <w:t>Cfr</w:t>
      </w:r>
      <w:r w:rsidRPr="007E04F7">
        <w:rPr>
          <w:sz w:val="16"/>
          <w:szCs w:val="16"/>
        </w:rPr>
        <w:t xml:space="preserve">. </w:t>
      </w:r>
      <w:r w:rsidRPr="007E04F7">
        <w:rPr>
          <w:i/>
          <w:iCs/>
          <w:sz w:val="16"/>
          <w:szCs w:val="16"/>
          <w:lang w:val="es-ES"/>
        </w:rPr>
        <w:t xml:space="preserve">Caso Fermín Ramírez Vs. Guatemala. Fondo, Reparaciones y Costas, supra, </w:t>
      </w:r>
      <w:r w:rsidRPr="007E04F7">
        <w:rPr>
          <w:sz w:val="16"/>
          <w:szCs w:val="16"/>
          <w:lang w:val="es-ES"/>
        </w:rPr>
        <w:t xml:space="preserve">párr. 110, y </w:t>
      </w:r>
      <w:r w:rsidRPr="007E04F7">
        <w:rPr>
          <w:rStyle w:val="Textoennegrita"/>
          <w:b w:val="0"/>
          <w:i/>
          <w:sz w:val="16"/>
          <w:szCs w:val="16"/>
          <w:shd w:val="clear" w:color="auto" w:fill="FFFFFF"/>
        </w:rPr>
        <w:t xml:space="preserve">Caso Raxcacó Reyes Vs. Guatemala, supra, </w:t>
      </w:r>
      <w:r w:rsidRPr="007E04F7">
        <w:rPr>
          <w:rStyle w:val="Textoennegrita"/>
          <w:b w:val="0"/>
          <w:sz w:val="16"/>
          <w:szCs w:val="16"/>
          <w:shd w:val="clear" w:color="auto" w:fill="FFFFFF"/>
        </w:rPr>
        <w:t>párr. 90</w:t>
      </w:r>
      <w:r w:rsidRPr="007E04F7">
        <w:rPr>
          <w:i/>
          <w:sz w:val="16"/>
          <w:szCs w:val="16"/>
        </w:rPr>
        <w:t xml:space="preserve">. </w:t>
      </w:r>
    </w:p>
  </w:footnote>
  <w:footnote w:id="113">
    <w:p w14:paraId="0DF9BF49" w14:textId="779B1A37"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iCs/>
          <w:sz w:val="16"/>
          <w:szCs w:val="16"/>
        </w:rPr>
        <w:t>Cfr</w:t>
      </w:r>
      <w:r w:rsidRPr="007E04F7">
        <w:rPr>
          <w:sz w:val="16"/>
          <w:szCs w:val="16"/>
        </w:rPr>
        <w:t xml:space="preserve">. </w:t>
      </w:r>
      <w:r w:rsidRPr="007E04F7">
        <w:rPr>
          <w:rFonts w:cs="Verdana"/>
          <w:i/>
          <w:iCs/>
          <w:sz w:val="16"/>
          <w:szCs w:val="16"/>
        </w:rPr>
        <w:t xml:space="preserve">Caso </w:t>
      </w:r>
      <w:r w:rsidRPr="007E04F7">
        <w:rPr>
          <w:rStyle w:val="Textoennegrita"/>
          <w:b w:val="0"/>
          <w:i/>
          <w:sz w:val="16"/>
          <w:szCs w:val="16"/>
          <w:shd w:val="clear" w:color="auto" w:fill="FFFFFF"/>
        </w:rPr>
        <w:t>Raxcacó Reyes Vs. Guatemala</w:t>
      </w:r>
      <w:r w:rsidRPr="007E04F7">
        <w:rPr>
          <w:i/>
          <w:sz w:val="16"/>
          <w:szCs w:val="16"/>
        </w:rPr>
        <w:t xml:space="preserve">, </w:t>
      </w:r>
      <w:r w:rsidRPr="007E04F7">
        <w:rPr>
          <w:rFonts w:cs="Arial"/>
          <w:i/>
          <w:sz w:val="16"/>
          <w:szCs w:val="16"/>
        </w:rPr>
        <w:t xml:space="preserve">supra, </w:t>
      </w:r>
      <w:r w:rsidRPr="007E04F7">
        <w:rPr>
          <w:rFonts w:cs="Arial"/>
          <w:sz w:val="16"/>
          <w:szCs w:val="16"/>
        </w:rPr>
        <w:t>párr</w:t>
      </w:r>
      <w:r w:rsidRPr="007E04F7">
        <w:rPr>
          <w:rFonts w:cs="Arial"/>
          <w:i/>
          <w:sz w:val="16"/>
          <w:szCs w:val="16"/>
        </w:rPr>
        <w:t xml:space="preserve">. </w:t>
      </w:r>
      <w:r w:rsidRPr="007E04F7">
        <w:rPr>
          <w:rFonts w:cs="Arial"/>
          <w:sz w:val="16"/>
          <w:szCs w:val="16"/>
        </w:rPr>
        <w:t>89</w:t>
      </w:r>
      <w:r w:rsidRPr="007E04F7">
        <w:rPr>
          <w:rFonts w:cs="Arial"/>
          <w:i/>
          <w:sz w:val="16"/>
          <w:szCs w:val="16"/>
        </w:rPr>
        <w:t xml:space="preserve"> </w:t>
      </w:r>
      <w:r w:rsidRPr="007E04F7">
        <w:rPr>
          <w:rStyle w:val="Textoennegrita"/>
          <w:b w:val="0"/>
          <w:sz w:val="16"/>
          <w:szCs w:val="16"/>
          <w:shd w:val="clear" w:color="auto" w:fill="FFFFFF"/>
        </w:rPr>
        <w:t xml:space="preserve">y </w:t>
      </w:r>
      <w:r w:rsidRPr="007E04F7">
        <w:rPr>
          <w:rStyle w:val="Textoennegrita"/>
          <w:b w:val="0"/>
          <w:i/>
          <w:sz w:val="16"/>
          <w:szCs w:val="16"/>
          <w:shd w:val="clear" w:color="auto" w:fill="FFFFFF"/>
        </w:rPr>
        <w:t>Caso Palamara Iribarne Vs. Chile. Fondo, Reparaciones y Costas</w:t>
      </w:r>
      <w:r w:rsidRPr="007E04F7">
        <w:rPr>
          <w:rStyle w:val="Textoennegrita"/>
          <w:b w:val="0"/>
          <w:sz w:val="16"/>
          <w:szCs w:val="16"/>
          <w:shd w:val="clear" w:color="auto" w:fill="FFFFFF"/>
        </w:rPr>
        <w:t>. Sentencia de 22 de noviembre de 2005. Serie C No. 135, párr. 89.</w:t>
      </w:r>
    </w:p>
  </w:footnote>
  <w:footnote w:id="114">
    <w:p w14:paraId="412C18C1" w14:textId="6B8AB911" w:rsidR="001A2991" w:rsidRPr="007E04F7" w:rsidRDefault="001A2991" w:rsidP="0064597D">
      <w:pPr>
        <w:tabs>
          <w:tab w:val="left" w:pos="567"/>
        </w:tabs>
        <w:spacing w:line="240" w:lineRule="auto"/>
        <w:rPr>
          <w:rFonts w:cs="Verdana"/>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rFonts w:cs="Verdana"/>
          <w:i/>
          <w:iCs/>
          <w:sz w:val="16"/>
          <w:szCs w:val="16"/>
        </w:rPr>
        <w:t xml:space="preserve">Cfr. </w:t>
      </w:r>
      <w:r w:rsidRPr="007E04F7">
        <w:rPr>
          <w:i/>
          <w:iCs/>
          <w:sz w:val="16"/>
          <w:szCs w:val="16"/>
          <w:lang w:val="es-ES"/>
        </w:rPr>
        <w:t>Caso Fermín Ramírez Vs. Guatemala</w:t>
      </w:r>
      <w:r w:rsidRPr="007E04F7">
        <w:rPr>
          <w:i/>
          <w:sz w:val="16"/>
          <w:szCs w:val="16"/>
        </w:rPr>
        <w:t xml:space="preserve">, </w:t>
      </w:r>
      <w:r w:rsidRPr="007E04F7">
        <w:rPr>
          <w:rFonts w:cs="Arial"/>
          <w:i/>
          <w:sz w:val="16"/>
          <w:szCs w:val="16"/>
        </w:rPr>
        <w:t xml:space="preserve">supra, </w:t>
      </w:r>
      <w:r w:rsidRPr="007E04F7">
        <w:rPr>
          <w:sz w:val="16"/>
          <w:szCs w:val="16"/>
        </w:rPr>
        <w:t xml:space="preserve"> </w:t>
      </w:r>
      <w:r w:rsidRPr="007E04F7">
        <w:rPr>
          <w:sz w:val="16"/>
          <w:szCs w:val="16"/>
          <w:lang w:val="es-ES"/>
        </w:rPr>
        <w:t xml:space="preserve">párr. 110, y </w:t>
      </w:r>
      <w:r w:rsidRPr="007E04F7">
        <w:rPr>
          <w:rFonts w:cs="Verdana"/>
          <w:i/>
          <w:iCs/>
          <w:sz w:val="16"/>
          <w:szCs w:val="16"/>
        </w:rPr>
        <w:t xml:space="preserve">Caso </w:t>
      </w:r>
      <w:r w:rsidRPr="007E04F7">
        <w:rPr>
          <w:rStyle w:val="Textoennegrita"/>
          <w:b w:val="0"/>
          <w:i/>
          <w:sz w:val="16"/>
          <w:szCs w:val="16"/>
          <w:shd w:val="clear" w:color="auto" w:fill="FFFFFF"/>
        </w:rPr>
        <w:t>Raxcacó Reyes Vs. Guatemala</w:t>
      </w:r>
      <w:r w:rsidRPr="007E04F7">
        <w:rPr>
          <w:i/>
          <w:sz w:val="16"/>
          <w:szCs w:val="16"/>
        </w:rPr>
        <w:t xml:space="preserve">, </w:t>
      </w:r>
      <w:r w:rsidRPr="007E04F7">
        <w:rPr>
          <w:rFonts w:cs="Arial"/>
          <w:i/>
          <w:sz w:val="16"/>
          <w:szCs w:val="16"/>
        </w:rPr>
        <w:t xml:space="preserve">supra, </w:t>
      </w:r>
      <w:r w:rsidRPr="007E04F7">
        <w:rPr>
          <w:rStyle w:val="Textoennegrita"/>
          <w:b w:val="0"/>
          <w:sz w:val="16"/>
          <w:szCs w:val="16"/>
          <w:shd w:val="clear" w:color="auto" w:fill="FFFFFF"/>
        </w:rPr>
        <w:t xml:space="preserve">párr. 88. </w:t>
      </w:r>
    </w:p>
  </w:footnote>
  <w:footnote w:id="115">
    <w:p w14:paraId="37408FD2" w14:textId="202BF66F" w:rsidR="001A2991" w:rsidRPr="007E04F7" w:rsidRDefault="001A2991" w:rsidP="0064597D">
      <w:pPr>
        <w:tabs>
          <w:tab w:val="left" w:pos="567"/>
        </w:tabs>
        <w:spacing w:line="240" w:lineRule="auto"/>
        <w:rPr>
          <w:sz w:val="16"/>
          <w:szCs w:val="16"/>
          <w:lang w:val="es-ES_tradnl"/>
        </w:rPr>
      </w:pPr>
      <w:r w:rsidRPr="007E04F7">
        <w:rPr>
          <w:rStyle w:val="Refdenotaalpie"/>
          <w:sz w:val="16"/>
          <w:szCs w:val="16"/>
        </w:rPr>
        <w:footnoteRef/>
      </w:r>
      <w:r w:rsidRPr="007E04F7">
        <w:rPr>
          <w:sz w:val="16"/>
          <w:szCs w:val="16"/>
        </w:rPr>
        <w:t xml:space="preserve"> </w:t>
      </w:r>
      <w:r w:rsidRPr="007E04F7">
        <w:rPr>
          <w:sz w:val="16"/>
          <w:szCs w:val="16"/>
        </w:rPr>
        <w:tab/>
        <w:t xml:space="preserve">Artículo 4 </w:t>
      </w:r>
      <w:r w:rsidRPr="007E04F7">
        <w:rPr>
          <w:rStyle w:val="Refdenotaalpie"/>
          <w:sz w:val="16"/>
          <w:szCs w:val="16"/>
          <w:vertAlign w:val="baseline"/>
        </w:rPr>
        <w:t>de</w:t>
      </w:r>
      <w:r w:rsidRPr="007E04F7">
        <w:rPr>
          <w:sz w:val="16"/>
          <w:szCs w:val="16"/>
        </w:rPr>
        <w:t xml:space="preserve"> la Convención Americana. </w:t>
      </w:r>
    </w:p>
  </w:footnote>
  <w:footnote w:id="116">
    <w:p w14:paraId="4D01562D" w14:textId="77777777" w:rsidR="001A2991" w:rsidRPr="007E04F7" w:rsidRDefault="001A2991" w:rsidP="0064597D">
      <w:pPr>
        <w:tabs>
          <w:tab w:val="left" w:pos="567"/>
        </w:tabs>
        <w:spacing w:line="240" w:lineRule="auto"/>
        <w:rPr>
          <w:sz w:val="16"/>
          <w:szCs w:val="16"/>
          <w:lang w:val="es-ES"/>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w:t>
      </w:r>
      <w:r w:rsidRPr="007E04F7">
        <w:rPr>
          <w:rFonts w:cs="Verdana"/>
          <w:sz w:val="16"/>
          <w:szCs w:val="16"/>
        </w:rPr>
        <w:t>Informe pericial del Dr. Guillermo Austreberto Carranza Izquierdo, de 3 de junio de 2008 (expediente de prueba, folios 238 a 249).</w:t>
      </w:r>
    </w:p>
  </w:footnote>
  <w:footnote w:id="117">
    <w:p w14:paraId="765E0055" w14:textId="77777777" w:rsidR="001A2991" w:rsidRPr="007E04F7" w:rsidRDefault="001A2991" w:rsidP="0064597D">
      <w:pPr>
        <w:tabs>
          <w:tab w:val="left" w:pos="567"/>
        </w:tabs>
        <w:spacing w:line="240" w:lineRule="auto"/>
        <w:rPr>
          <w:sz w:val="16"/>
          <w:szCs w:val="16"/>
          <w:lang w:val="pt-BR"/>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lang w:val="es-AR"/>
        </w:rPr>
        <w:t>Cfr</w:t>
      </w:r>
      <w:r w:rsidRPr="007E04F7">
        <w:rPr>
          <w:sz w:val="16"/>
          <w:szCs w:val="16"/>
          <w:lang w:val="es-AR"/>
        </w:rPr>
        <w:t>.</w:t>
      </w:r>
      <w:r w:rsidRPr="007E04F7">
        <w:rPr>
          <w:rFonts w:eastAsiaTheme="minorEastAsia" w:cs="Courier New"/>
          <w:i/>
          <w:noProof/>
          <w:sz w:val="16"/>
          <w:szCs w:val="16"/>
          <w:lang w:val="pt-BR"/>
        </w:rPr>
        <w:t xml:space="preserve"> </w:t>
      </w:r>
      <w:r w:rsidRPr="007E04F7">
        <w:rPr>
          <w:i/>
          <w:sz w:val="16"/>
          <w:szCs w:val="16"/>
          <w:lang w:val="pt-BR"/>
        </w:rPr>
        <w:t>Caso de los “Niños de la Calle” (Villagrán Morales y otros) Vs. Guatemala.</w:t>
      </w:r>
      <w:r w:rsidRPr="007E04F7">
        <w:rPr>
          <w:i/>
          <w:iCs/>
          <w:sz w:val="16"/>
          <w:szCs w:val="16"/>
          <w:lang w:val="es-AR"/>
        </w:rPr>
        <w:t xml:space="preserve"> Fondo. </w:t>
      </w:r>
      <w:r w:rsidRPr="007E04F7">
        <w:rPr>
          <w:iCs/>
          <w:sz w:val="16"/>
          <w:szCs w:val="16"/>
          <w:lang w:val="es-AR"/>
        </w:rPr>
        <w:t>Sentencia de 19 de noviembre de 1999. Serie C No. 63</w:t>
      </w:r>
      <w:r w:rsidRPr="007E04F7">
        <w:rPr>
          <w:sz w:val="16"/>
          <w:szCs w:val="16"/>
          <w:lang w:val="pt-BR"/>
        </w:rPr>
        <w:t xml:space="preserve">, párr. 144, </w:t>
      </w:r>
      <w:r w:rsidRPr="007E04F7">
        <w:rPr>
          <w:sz w:val="16"/>
          <w:szCs w:val="16"/>
          <w:lang w:val="es-ES" w:eastAsia="es-ES"/>
        </w:rPr>
        <w:t xml:space="preserve">y </w:t>
      </w:r>
      <w:r w:rsidRPr="007E04F7">
        <w:rPr>
          <w:rStyle w:val="Textoennegrita"/>
          <w:b w:val="0"/>
          <w:i/>
          <w:sz w:val="16"/>
          <w:szCs w:val="16"/>
          <w:shd w:val="clear" w:color="auto" w:fill="FFFFFF"/>
        </w:rPr>
        <w:t xml:space="preserve">Caso Omeara Carrascal y otros Vs. Colombia. Fondo, Reparaciones y Costas. </w:t>
      </w:r>
      <w:r w:rsidRPr="007E04F7">
        <w:rPr>
          <w:rStyle w:val="Textoennegrita"/>
          <w:b w:val="0"/>
          <w:sz w:val="16"/>
          <w:szCs w:val="16"/>
          <w:shd w:val="clear" w:color="auto" w:fill="FFFFFF"/>
        </w:rPr>
        <w:t>Sentencia de 21 de noviembre de 2018. Serie C No. 368, párr. 175.</w:t>
      </w:r>
    </w:p>
  </w:footnote>
  <w:footnote w:id="118">
    <w:p w14:paraId="0F3FA3E9" w14:textId="71AA6133" w:rsidR="001A2991" w:rsidRPr="007E04F7" w:rsidRDefault="001A2991" w:rsidP="0064597D">
      <w:pPr>
        <w:tabs>
          <w:tab w:val="left" w:pos="567"/>
        </w:tabs>
        <w:spacing w:line="240" w:lineRule="auto"/>
        <w:rPr>
          <w:bCs/>
          <w:sz w:val="16"/>
          <w:szCs w:val="16"/>
          <w:lang w:val="pt-BR"/>
        </w:rPr>
      </w:pPr>
      <w:r w:rsidRPr="007E04F7">
        <w:rPr>
          <w:rStyle w:val="Refdenotaalpie"/>
          <w:sz w:val="16"/>
          <w:szCs w:val="16"/>
        </w:rPr>
        <w:footnoteRef/>
      </w:r>
      <w:r w:rsidRPr="007E04F7">
        <w:rPr>
          <w:sz w:val="16"/>
          <w:szCs w:val="16"/>
        </w:rPr>
        <w:tab/>
      </w:r>
      <w:r w:rsidRPr="007E04F7">
        <w:rPr>
          <w:i/>
          <w:sz w:val="16"/>
          <w:szCs w:val="16"/>
          <w:lang w:val="es-AR"/>
        </w:rPr>
        <w:t>Cfr</w:t>
      </w:r>
      <w:r w:rsidRPr="007E04F7">
        <w:rPr>
          <w:sz w:val="16"/>
          <w:szCs w:val="16"/>
          <w:lang w:val="es-AR"/>
        </w:rPr>
        <w:t xml:space="preserve">. </w:t>
      </w:r>
      <w:r w:rsidRPr="007E04F7">
        <w:rPr>
          <w:i/>
          <w:iCs/>
          <w:sz w:val="16"/>
          <w:szCs w:val="16"/>
          <w:lang w:val="es-AR"/>
        </w:rPr>
        <w:t>Caso de los “Niños de la Calle” (Villagrán Morales y otros) Vs. Guatemala, supra,</w:t>
      </w:r>
      <w:r w:rsidRPr="007E04F7">
        <w:rPr>
          <w:iCs/>
          <w:sz w:val="16"/>
          <w:szCs w:val="16"/>
          <w:lang w:val="es-AR"/>
        </w:rPr>
        <w:t xml:space="preserve"> párrs. </w:t>
      </w:r>
      <w:r w:rsidRPr="007E04F7">
        <w:rPr>
          <w:sz w:val="16"/>
          <w:szCs w:val="16"/>
          <w:lang w:val="es-AR"/>
        </w:rPr>
        <w:t xml:space="preserve">144 y 145, y </w:t>
      </w:r>
      <w:r w:rsidRPr="007E04F7">
        <w:rPr>
          <w:rStyle w:val="Textoennegrita"/>
          <w:b w:val="0"/>
          <w:i/>
          <w:sz w:val="16"/>
          <w:szCs w:val="16"/>
          <w:shd w:val="clear" w:color="auto" w:fill="FFFFFF"/>
        </w:rPr>
        <w:t xml:space="preserve">Caso Omeara Carrascal y otros Vs. Colombia. Fondo, Reparaciones y Costas, supra, </w:t>
      </w:r>
      <w:r w:rsidRPr="007E04F7">
        <w:rPr>
          <w:rStyle w:val="Textoennegrita"/>
          <w:b w:val="0"/>
          <w:sz w:val="16"/>
          <w:szCs w:val="16"/>
          <w:shd w:val="clear" w:color="auto" w:fill="FFFFFF"/>
        </w:rPr>
        <w:t>párr. 175.</w:t>
      </w:r>
    </w:p>
  </w:footnote>
  <w:footnote w:id="119">
    <w:p w14:paraId="177FCBD5" w14:textId="7D10B9A6"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Acta policial de 14 de noviembre de 2005, Diligencia No. 1709-2005 (expediente de prueba, folio 233), y Autopsia practicada por el Dr. Edgar Ricardo Arriola Barrios, Médico Forense Departamental del Organismo Judicial de Cuilapa, Santa Rosa, de 15 de noviembre de 2005 (expediente de prueba, folio 231).</w:t>
      </w:r>
    </w:p>
  </w:footnote>
  <w:footnote w:id="120">
    <w:p w14:paraId="1CBB67F9" w14:textId="77777777"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Acta policial de 14 de noviembre de 2005, Diligencia No. 1709-2005 (expediente de prueba, folio 233).</w:t>
      </w:r>
    </w:p>
  </w:footnote>
  <w:footnote w:id="121">
    <w:p w14:paraId="5C907AC5" w14:textId="77777777"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Acta policial de 14 de noviembre de 2005, Diligencia No. 1709-2005 (expediente de prueba, folio 233).</w:t>
      </w:r>
    </w:p>
  </w:footnote>
  <w:footnote w:id="122">
    <w:p w14:paraId="2DC2C410" w14:textId="77777777"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Acta policial de 14 de noviembre de 2005, Diligencia No. 1709-2005 (expediente de prueba, folio 233).</w:t>
      </w:r>
    </w:p>
  </w:footnote>
  <w:footnote w:id="123">
    <w:p w14:paraId="23E87441" w14:textId="77777777"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Acta policial de 14 de noviembre de 2005, Diligencia No. 1709-2005 (expediente de prueba, folio 233). </w:t>
      </w:r>
    </w:p>
  </w:footnote>
  <w:footnote w:id="124">
    <w:p w14:paraId="27C09E4F" w14:textId="51BB1986"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Autopsia practicada por el Dr. Edgar Ricardo Arriola Barrios, Médico Forense Departamental del Organismo Judicial de Cuilapa, Santa Rosa, de 15 de noviembre de 2005 (expediente de prueba, folio 231).</w:t>
      </w:r>
    </w:p>
  </w:footnote>
  <w:footnote w:id="125">
    <w:p w14:paraId="2385F51F" w14:textId="238BB251"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Autopsia practicada por el Dr. Edgar Ricardo Arriola Barrios, Médico Forense Departamental del Organismo Judicial de Cuilapa, Santa Rosa, de 15 de noviembre de 2005 (expediente de prueba, folio 231). Véase también, Informe pericial del Dr. Guillermo Austreberto Carranza Izquierdo, de 3 de junio de 2008 (expediente de prueba, folio 243).</w:t>
      </w:r>
    </w:p>
  </w:footnote>
  <w:footnote w:id="126">
    <w:p w14:paraId="1D09A5FE" w14:textId="66C9C61E"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Informe pericial del Dr. Guillermo Austreberto Carranza Izquierdo, de 3 de junio de 2008 (expediente de prueba, folio 243). Véase también, Peritaje rendido por Guillermo Austreberto Carranza Izquierdo en la audiencia pública ante la Corte Interamericana celebrada el 5 de marzo de 2019.</w:t>
      </w:r>
    </w:p>
  </w:footnote>
  <w:footnote w:id="127">
    <w:p w14:paraId="3BB360D4" w14:textId="5EAA6914"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t xml:space="preserve">El perito Guillermo Carranza concluyó en su informe pericial de 3 de junio de 2008 lo siguiente: “[L]a primera herida y la mortal, causada por proyectil de arma de fuego, fue la que recibió el señor Hugo Humberto Ruiz Fuentes en el ángulo interno del párpado superior del ojo derecho con salida en la región occipital izquierda del cráneo, y que fue un disparo a corta distancia.[…] La posición víctima-victimario es de pie, frente a frente, apuntando el cañón del arma de fuego en un ángulo de 90 grados, a una distancia de 15 centímetros de la víctima, razón por la cual la víctima parpadeó de forma refleja y la herida está sobre el párpado, con los hallazgos de los residuos productos del disparo consistentes en ahumamiento y tatuaje alrededor de la herida”. </w:t>
      </w:r>
      <w:r w:rsidRPr="007E04F7">
        <w:rPr>
          <w:i/>
          <w:sz w:val="16"/>
          <w:szCs w:val="16"/>
        </w:rPr>
        <w:t>Cfr</w:t>
      </w:r>
      <w:r w:rsidRPr="007E04F7">
        <w:rPr>
          <w:sz w:val="16"/>
          <w:szCs w:val="16"/>
        </w:rPr>
        <w:t>. Peritaje rendido por Guillermo Austreberto Carranza Izquierdo en la audiencia pública ante la Corte Interamericana celebrada el 5 de marzo de 2019.</w:t>
      </w:r>
    </w:p>
  </w:footnote>
  <w:footnote w:id="128">
    <w:p w14:paraId="1631C1DD" w14:textId="6774C597"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rFonts w:cs="Verdana"/>
          <w:i/>
          <w:iCs/>
          <w:sz w:val="16"/>
          <w:szCs w:val="16"/>
        </w:rPr>
        <w:t xml:space="preserve">Cfr. </w:t>
      </w:r>
      <w:r w:rsidRPr="007E04F7">
        <w:rPr>
          <w:sz w:val="16"/>
          <w:szCs w:val="16"/>
        </w:rPr>
        <w:t>Declaración rendida ante notario por la hermana del señor Ruiz Fuentes, de 28 de febrero de 2019 (expediente de prueba, folio 8480).</w:t>
      </w:r>
    </w:p>
  </w:footnote>
  <w:footnote w:id="129">
    <w:p w14:paraId="656384F7" w14:textId="04287BD1" w:rsidR="001A2991" w:rsidRPr="007E04F7" w:rsidRDefault="001A2991" w:rsidP="0064597D">
      <w:pPr>
        <w:tabs>
          <w:tab w:val="left" w:pos="567"/>
        </w:tabs>
        <w:spacing w:line="240" w:lineRule="auto"/>
        <w:rPr>
          <w:sz w:val="16"/>
          <w:szCs w:val="16"/>
          <w:lang w:val="es-ES_tradnl"/>
        </w:rPr>
      </w:pPr>
      <w:r w:rsidRPr="007E04F7">
        <w:rPr>
          <w:rStyle w:val="Refdenotaalpie"/>
          <w:sz w:val="16"/>
          <w:szCs w:val="16"/>
        </w:rPr>
        <w:footnoteRef/>
      </w:r>
      <w:r w:rsidRPr="007E04F7">
        <w:rPr>
          <w:sz w:val="16"/>
          <w:szCs w:val="16"/>
        </w:rPr>
        <w:t xml:space="preserve"> </w:t>
      </w:r>
      <w:r w:rsidRPr="007E04F7">
        <w:rPr>
          <w:sz w:val="16"/>
          <w:szCs w:val="16"/>
        </w:rPr>
        <w:tab/>
        <w:t xml:space="preserve">Según la declaración del Agente de la Policía Nacional Civil Meregildo Cermeño Cabrera, “a las 20:00 aproximadamente, él se encontraba cenando, cuando escuchó varios disparos de arma de fuego”. “Varios minutos” después, el señor Cermeño acudió al lugar de los hechos, donde “observó que habían varias personas vestidas de particular, con gorros pasa montañas, con armas de fuego y armas largas y cortas, los que se encontraba al mando del comisario V.S.D.”. </w:t>
      </w:r>
      <w:r w:rsidRPr="007E04F7">
        <w:rPr>
          <w:rFonts w:cs="Verdana"/>
          <w:i/>
          <w:sz w:val="16"/>
          <w:szCs w:val="16"/>
        </w:rPr>
        <w:t>Cfr</w:t>
      </w:r>
      <w:r w:rsidRPr="007E04F7">
        <w:rPr>
          <w:rFonts w:cs="Verdana"/>
          <w:sz w:val="16"/>
          <w:szCs w:val="16"/>
        </w:rPr>
        <w:t>. Declaración de Meregildo Cermeño Cabrera rendida ante la Fiscalía del Ministerio Público, el 7 de noviembre de 2007 (expediente de prueba, folios 316 y 317). Véase también, Informe del Estado de Guatemala a la Comisión Interamericana de Derechos Humanos en el caso 12.650 Hugo Humberto Ruiz Fuentes, de 27 de octubre de 2016 (expediente de prueba, folio 2568) en el que se indica que “en la escena del crimen, según testigos, fueron vistos el Sr. V.S.D. y el entonces Director General de la PNC, E.S.V.” y Acta policial de 14 de noviembre de 2005, Diligencia No. 1709-2005 (expediente de prueba, folio 233).</w:t>
      </w:r>
    </w:p>
  </w:footnote>
  <w:footnote w:id="130">
    <w:p w14:paraId="0DE704CB" w14:textId="6C200FCD"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Informe pericial del Dr. Guillermo Austreberto Carranza Izquierdo, de 3 de junio de 2008 (expediente de prueba, folios 242 y 243). Véase también, Peritaje rendido por Guillermo Austreberto Carranza Izquierdo en la audiencia pública ante la Corte Interamericana celebrada el 5 de marzo de 2019.</w:t>
      </w:r>
    </w:p>
  </w:footnote>
  <w:footnote w:id="131">
    <w:p w14:paraId="3E955919" w14:textId="349AEB6E"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Peritaje rendido por Guillermo Austreberto Carranza Izquierdo en la audiencia pública ante la Corte Interamericana celebrada el 5 de marzo de 2019.</w:t>
      </w:r>
    </w:p>
  </w:footnote>
  <w:footnote w:id="132">
    <w:p w14:paraId="0287E742" w14:textId="4DF2A3A3"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t xml:space="preserve">A este respecto, </w:t>
      </w:r>
      <w:r w:rsidRPr="007E04F7">
        <w:rPr>
          <w:rFonts w:eastAsiaTheme="minorHAnsi" w:cs="Arial"/>
          <w:spacing w:val="-2"/>
          <w:sz w:val="16"/>
          <w:szCs w:val="16"/>
        </w:rPr>
        <w:t>el perito Carranza Izquierdo indicó que, debido a la herida que recibió el señor Ruiz Fuentes en el rostro, “no e[ra] posible que el arma de fuego no present[ara] machas de sangre, contrario a lo que se observa en la mano derecha, [donde] hay vestigios de sangre hasta en el lecho ungueal”</w:t>
      </w:r>
      <w:r w:rsidRPr="007E04F7">
        <w:rPr>
          <w:rStyle w:val="Refdenotaalpie"/>
          <w:rFonts w:eastAsiaTheme="minorHAnsi" w:cs="Arial"/>
          <w:spacing w:val="-2"/>
          <w:sz w:val="16"/>
          <w:szCs w:val="16"/>
        </w:rPr>
        <w:t xml:space="preserve"> </w:t>
      </w:r>
      <w:r w:rsidRPr="007E04F7">
        <w:rPr>
          <w:rFonts w:eastAsiaTheme="minorHAnsi" w:cs="Arial"/>
          <w:spacing w:val="-2"/>
          <w:sz w:val="16"/>
          <w:szCs w:val="16"/>
        </w:rPr>
        <w:t xml:space="preserve">(esto es, el área situada debajo de la uña). </w:t>
      </w:r>
      <w:r w:rsidRPr="007E04F7">
        <w:rPr>
          <w:i/>
          <w:sz w:val="16"/>
          <w:szCs w:val="16"/>
        </w:rPr>
        <w:t>Cfr</w:t>
      </w:r>
      <w:r w:rsidRPr="007E04F7">
        <w:rPr>
          <w:sz w:val="16"/>
          <w:szCs w:val="16"/>
        </w:rPr>
        <w:t>. Peritaje rendido por Guillermo Austreberto Carranza Izquierdo en la audiencia pública ante la Corte Interamericana celebrada el 5 de marzo de 2019.</w:t>
      </w:r>
    </w:p>
  </w:footnote>
  <w:footnote w:id="133">
    <w:p w14:paraId="198C5B78" w14:textId="77777777"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Informe pericial del Dr. Guillermo Austreberto Carranza Izquierdo, de 3 de junio de 2008 (expediente de prueba, folio 243).</w:t>
      </w:r>
    </w:p>
  </w:footnote>
  <w:footnote w:id="134">
    <w:p w14:paraId="75CEC6E7" w14:textId="138DA862"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Informe pericial del Dr. Guillermo Austreberto Carranza Izquierdo, de 3 de junio de 2008 (expediente de prueba, folio 243 y 247). Véase también, Peritaje rendido por Guillermo Austreberto Carranza Izquierdo en la audiencia pública ante la Corte Interamericana celebrada el 5 de marzo de 2019.</w:t>
      </w:r>
    </w:p>
  </w:footnote>
  <w:footnote w:id="135">
    <w:p w14:paraId="18B1762B" w14:textId="1C34A03F"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Sobre este particular, el perito Guillermo Carranza indicó que “[e]n toda escena del crimen, los procedimientos manda[n] que en donde se encuentra evidencia de un tiroteo, en el que se halle un arma de fuego, como en este caso, se debe de practicar una prueba de absorción atómica”, esto es, una prueba para analizar los residuos producidos por un eventual disparo, algo no que se realizó en el presente caso. </w:t>
      </w:r>
      <w:r w:rsidRPr="007E04F7">
        <w:rPr>
          <w:i/>
          <w:iCs/>
          <w:sz w:val="16"/>
          <w:szCs w:val="16"/>
        </w:rPr>
        <w:t>Cfr</w:t>
      </w:r>
      <w:r w:rsidRPr="007E04F7">
        <w:rPr>
          <w:sz w:val="16"/>
          <w:szCs w:val="16"/>
        </w:rPr>
        <w:t>. Informe pericial del Dr. Guillermo Austreberto Carranza Izquierdo, de 3 de junio de 2008 (expediente de prueba, folio 243 y 247). Véase también, peritaje rendido por Guillermo Austreberto Carranza Izquierdo en la audiencia pública ante la Corte Interamericana celebrada el 5 de marzo de 2019.</w:t>
      </w:r>
    </w:p>
  </w:footnote>
  <w:footnote w:id="136">
    <w:p w14:paraId="44710792" w14:textId="29F4481C"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rFonts w:cs="Verdana"/>
          <w:i/>
          <w:iCs/>
          <w:sz w:val="16"/>
          <w:szCs w:val="16"/>
        </w:rPr>
        <w:t>Cfr.</w:t>
      </w:r>
      <w:r w:rsidRPr="007E04F7">
        <w:rPr>
          <w:sz w:val="16"/>
          <w:szCs w:val="16"/>
        </w:rPr>
        <w:t xml:space="preserve"> Nota de prensa aparecida en “El Periódico” </w:t>
      </w:r>
      <w:r w:rsidRPr="007E04F7">
        <w:rPr>
          <w:rFonts w:cs="Verdana"/>
          <w:sz w:val="16"/>
          <w:szCs w:val="16"/>
        </w:rPr>
        <w:t xml:space="preserve">titulada “Abaten a tiros a uno de los reos prófugos”, </w:t>
      </w:r>
      <w:r w:rsidRPr="007E04F7">
        <w:rPr>
          <w:sz w:val="16"/>
          <w:szCs w:val="16"/>
        </w:rPr>
        <w:t xml:space="preserve">de 15 de noviembre </w:t>
      </w:r>
      <w:r w:rsidRPr="007E04F7">
        <w:rPr>
          <w:rFonts w:cs="Verdana"/>
          <w:sz w:val="16"/>
          <w:szCs w:val="16"/>
        </w:rPr>
        <w:t>de 2005 (expediente de prueba, expediente de trámite ante la Comisión, tomo II folio 436). En el mismo sentido se pronunció e</w:t>
      </w:r>
      <w:r w:rsidRPr="007E04F7">
        <w:rPr>
          <w:sz w:val="16"/>
          <w:szCs w:val="16"/>
        </w:rPr>
        <w:t xml:space="preserve">l comisario de la Policía y jefe del SIC [V.S.D.], quien confirmó a los medios de prensa que “llevaban cuatro días siguiendo al prófugo, y que fue hasta anoche que lograron ubicarlo, y al solicitarle que se detuviera éste desenfundo un arma, originando el saldo antes mencionado” </w:t>
      </w:r>
      <w:r w:rsidRPr="007E04F7">
        <w:rPr>
          <w:rFonts w:cs="Verdana"/>
          <w:i/>
          <w:iCs/>
          <w:sz w:val="16"/>
          <w:szCs w:val="16"/>
        </w:rPr>
        <w:t>Cfr.</w:t>
      </w:r>
      <w:r w:rsidRPr="007E04F7">
        <w:rPr>
          <w:sz w:val="16"/>
          <w:szCs w:val="16"/>
        </w:rPr>
        <w:t xml:space="preserve"> Nota de prensa aparecida en “La Hora” </w:t>
      </w:r>
      <w:r w:rsidRPr="007E04F7">
        <w:rPr>
          <w:rFonts w:cs="Verdana"/>
          <w:sz w:val="16"/>
          <w:szCs w:val="16"/>
        </w:rPr>
        <w:t xml:space="preserve">titulada “Catorce siguen fugados”, </w:t>
      </w:r>
      <w:r w:rsidRPr="007E04F7">
        <w:rPr>
          <w:sz w:val="16"/>
          <w:szCs w:val="16"/>
        </w:rPr>
        <w:t xml:space="preserve">de 15 de noviembre </w:t>
      </w:r>
      <w:r w:rsidRPr="007E04F7">
        <w:rPr>
          <w:rFonts w:cs="Verdana"/>
          <w:sz w:val="16"/>
          <w:szCs w:val="16"/>
        </w:rPr>
        <w:t xml:space="preserve">de 2005 (expediente de prueba, folio 438). En otro periódico, en cuanto el enfrentamiento con agentes del SIC, el comisario V.S.D. indicó “[c]uando los detectives procedieron a solicitarle [al señor Ruiz Fuentes] que se identificara, desenfundó una pistola y empezó a dispararles. En medio del fuego cruzado el prófugo cayo a media calle”. </w:t>
      </w:r>
      <w:r w:rsidRPr="007E04F7">
        <w:rPr>
          <w:rFonts w:cs="Verdana"/>
          <w:i/>
          <w:iCs/>
          <w:sz w:val="16"/>
          <w:szCs w:val="16"/>
        </w:rPr>
        <w:t>Cfr.</w:t>
      </w:r>
      <w:r w:rsidRPr="007E04F7">
        <w:rPr>
          <w:sz w:val="16"/>
          <w:szCs w:val="16"/>
        </w:rPr>
        <w:t xml:space="preserve"> Nota de prensa aparecida en “Nuestro Diario” </w:t>
      </w:r>
      <w:r w:rsidRPr="007E04F7">
        <w:rPr>
          <w:rFonts w:cs="Verdana"/>
          <w:sz w:val="16"/>
          <w:szCs w:val="16"/>
        </w:rPr>
        <w:t>titulada “Prófugo abatido en enfrentamiento, de</w:t>
      </w:r>
      <w:r w:rsidRPr="007E04F7">
        <w:rPr>
          <w:sz w:val="16"/>
          <w:szCs w:val="16"/>
        </w:rPr>
        <w:t xml:space="preserve"> 15 de noviembre </w:t>
      </w:r>
      <w:r w:rsidRPr="007E04F7">
        <w:rPr>
          <w:rFonts w:cs="Verdana"/>
          <w:sz w:val="16"/>
          <w:szCs w:val="16"/>
        </w:rPr>
        <w:t>de 2005 (expediente de prueba, folio 440).</w:t>
      </w:r>
    </w:p>
  </w:footnote>
  <w:footnote w:id="137">
    <w:p w14:paraId="6B0F18F9" w14:textId="4324A0D5"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t xml:space="preserve">En este sentido declaró el señor Marroquín Solis, funcionario de la Dirección de Investigación Criminal de la Policía Nacional Civil de Cuilapa, Santa Rosa, quien indicó que “no se pudo establecer la identidad de las personas responsables de dicho hecho, solo se estableció que eran personas desconocidas que perseguían al hoy fallecido y que le causaron la muerte”. </w:t>
      </w:r>
      <w:r w:rsidRPr="007E04F7">
        <w:rPr>
          <w:i/>
          <w:sz w:val="16"/>
          <w:szCs w:val="16"/>
        </w:rPr>
        <w:t>Cfr</w:t>
      </w:r>
      <w:r w:rsidRPr="007E04F7">
        <w:rPr>
          <w:sz w:val="16"/>
          <w:szCs w:val="16"/>
        </w:rPr>
        <w:t xml:space="preserve">. Declaración de Juan José Marroquín Solis rendida ante la Fiscalía Distrital del Ministerio Público, Cuilapa, Santa Rosa, de 21 de marzo de 2006 (expediente de prueba, folio 313). En el mismo sentido se pronunció el señor Meregildo Cermeño Cabrera en su declaración rendida ante la Fiscalía del Ministerio Público el 7 de noviembre de 2007. </w:t>
      </w:r>
      <w:r w:rsidRPr="007E04F7">
        <w:rPr>
          <w:i/>
          <w:sz w:val="16"/>
          <w:szCs w:val="16"/>
        </w:rPr>
        <w:t>Cfr</w:t>
      </w:r>
      <w:r w:rsidRPr="007E04F7">
        <w:rPr>
          <w:sz w:val="16"/>
          <w:szCs w:val="16"/>
        </w:rPr>
        <w:t>. Declaración de Meregildo Cermeño Cabrera rendida ante la Fiscalía del Ministerio Público, de 7 de noviembre de 2007 (expediente de prueba, folios 316 y 317).</w:t>
      </w:r>
    </w:p>
  </w:footnote>
  <w:footnote w:id="138">
    <w:p w14:paraId="0EDF38BB" w14:textId="6F3AE298"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Informe del Fiscal Distrital dirigido al Coordinador de la Secretaría Técnica del Ministerio Público, de 8 de junio de 2007 (expediente de prueba, folio 322).</w:t>
      </w:r>
    </w:p>
  </w:footnote>
  <w:footnote w:id="139">
    <w:p w14:paraId="0FC3203D" w14:textId="77777777"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Informe del Estado de Guatemala </w:t>
      </w:r>
      <w:r w:rsidRPr="007E04F7">
        <w:rPr>
          <w:rFonts w:cs="Verdana"/>
          <w:sz w:val="16"/>
          <w:szCs w:val="16"/>
        </w:rPr>
        <w:t>a la Comisión Interamericana de Derechos Humanos relacionado al caso del señor Hugo Humberto Ruiz Fuentes</w:t>
      </w:r>
      <w:r w:rsidRPr="007E04F7">
        <w:rPr>
          <w:sz w:val="16"/>
          <w:szCs w:val="16"/>
        </w:rPr>
        <w:t>, de 21 de febrero de 2006 (expediente de prueba, folio 934).</w:t>
      </w:r>
    </w:p>
  </w:footnote>
  <w:footnote w:id="140">
    <w:p w14:paraId="4BB88187" w14:textId="77777777"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Informe del Estado de Guatemala </w:t>
      </w:r>
      <w:r w:rsidRPr="007E04F7">
        <w:rPr>
          <w:rFonts w:cs="Verdana"/>
          <w:sz w:val="16"/>
          <w:szCs w:val="16"/>
        </w:rPr>
        <w:t>a la Comisión Interamericana de Derechos Humanos con relación al caso Hugo Humberto Ruiz Fuentes (Caso 12.650)</w:t>
      </w:r>
      <w:r w:rsidRPr="007E04F7">
        <w:rPr>
          <w:sz w:val="16"/>
          <w:szCs w:val="16"/>
        </w:rPr>
        <w:t>, de 22 de julio de 2009 (expediente de prueba, folio 2121).</w:t>
      </w:r>
    </w:p>
  </w:footnote>
  <w:footnote w:id="141">
    <w:p w14:paraId="004DE8D2" w14:textId="77777777"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w:t>
      </w:r>
      <w:r w:rsidRPr="007E04F7">
        <w:rPr>
          <w:i/>
          <w:sz w:val="16"/>
          <w:szCs w:val="16"/>
        </w:rPr>
        <w:t>Caso Raxcacó Reyes y otros respecto Guatemala. Medidas Provisionales</w:t>
      </w:r>
      <w:r w:rsidRPr="007E04F7">
        <w:rPr>
          <w:sz w:val="16"/>
          <w:szCs w:val="16"/>
        </w:rPr>
        <w:t>. Resolución de la Corte Interamericana de Derechos Humanos de 4 de julio de 2006, párr. 20.</w:t>
      </w:r>
    </w:p>
  </w:footnote>
  <w:footnote w:id="142">
    <w:p w14:paraId="47E96C6C" w14:textId="04C17C21"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Contestación del Estado de 14 de agosto de 20</w:t>
      </w:r>
      <w:r w:rsidR="007B2C2E" w:rsidRPr="007E04F7">
        <w:rPr>
          <w:sz w:val="16"/>
          <w:szCs w:val="16"/>
        </w:rPr>
        <w:t>18 (expediente de fondo, folio 368</w:t>
      </w:r>
      <w:r w:rsidRPr="007E04F7">
        <w:rPr>
          <w:sz w:val="16"/>
          <w:szCs w:val="16"/>
        </w:rPr>
        <w:t xml:space="preserve">). </w:t>
      </w:r>
    </w:p>
  </w:footnote>
  <w:footnote w:id="143">
    <w:p w14:paraId="0D29D888" w14:textId="77777777"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Recurso de apelación presentado por la Fiscalía Especial Contra la Impunidad (FECI) del Ministerio Público, de 29 de noviembre de 2018 (expediente de prueba, folio 8405 y 8406). Véase también, comunicado de prensa de la CICIG “Ejecuciones extrajudiciales y torturas 2004-2007”, de 29 de octubre de 2019, disponible aquí: </w:t>
      </w:r>
    </w:p>
    <w:p w14:paraId="19648E02" w14:textId="77777777" w:rsidR="001A2991" w:rsidRPr="007E04F7" w:rsidRDefault="00656033" w:rsidP="0064597D">
      <w:pPr>
        <w:tabs>
          <w:tab w:val="left" w:pos="567"/>
        </w:tabs>
        <w:spacing w:line="240" w:lineRule="auto"/>
        <w:rPr>
          <w:sz w:val="16"/>
          <w:szCs w:val="16"/>
        </w:rPr>
      </w:pPr>
      <w:hyperlink r:id="rId6" w:history="1">
        <w:r w:rsidR="001A2991" w:rsidRPr="007E04F7">
          <w:rPr>
            <w:rStyle w:val="Hipervnculo"/>
            <w:sz w:val="16"/>
            <w:szCs w:val="16"/>
          </w:rPr>
          <w:t>https://www.cicig.org/casos/ejecuciones-extrajudiciales-y-torturas-2004-2007/</w:t>
        </w:r>
      </w:hyperlink>
      <w:r w:rsidR="001A2991" w:rsidRPr="007E04F7">
        <w:rPr>
          <w:sz w:val="16"/>
          <w:szCs w:val="16"/>
        </w:rPr>
        <w:t xml:space="preserve"> </w:t>
      </w:r>
    </w:p>
  </w:footnote>
  <w:footnote w:id="144">
    <w:p w14:paraId="41A8A9D5" w14:textId="77777777"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Recurso de apelación presentado por la Fiscalía Especial Contra la Impunidad (FECI) del Ministerio Público, de 29 de noviembre de 2018 (expediente de prueba, folios 8406 y 8407).</w:t>
      </w:r>
    </w:p>
  </w:footnote>
  <w:footnote w:id="145">
    <w:p w14:paraId="7E8838AD" w14:textId="77777777" w:rsidR="001A2991" w:rsidRPr="007E04F7" w:rsidRDefault="001A2991" w:rsidP="0064597D">
      <w:pPr>
        <w:tabs>
          <w:tab w:val="left" w:pos="567"/>
        </w:tabs>
        <w:spacing w:line="240" w:lineRule="auto"/>
        <w:rPr>
          <w:sz w:val="16"/>
          <w:szCs w:val="16"/>
          <w:lang w:val="es-ES_tradnl"/>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Recurso de apelación presentado por la Fiscalía Especial Contra la Impunidad (FECI) del Ministerio Público, de 29 de noviembre de 2018 (expediente de prueba, folio 8407).</w:t>
      </w:r>
    </w:p>
  </w:footnote>
  <w:footnote w:id="146">
    <w:p w14:paraId="2D93DC53" w14:textId="188BEDD9" w:rsidR="001A2991" w:rsidRPr="007E04F7" w:rsidRDefault="001A2991" w:rsidP="0064597D">
      <w:pPr>
        <w:tabs>
          <w:tab w:val="left" w:pos="567"/>
        </w:tabs>
        <w:spacing w:line="240" w:lineRule="auto"/>
        <w:rPr>
          <w:sz w:val="16"/>
          <w:szCs w:val="16"/>
          <w:lang w:val="es-ES_tradnl"/>
        </w:rPr>
      </w:pPr>
      <w:r w:rsidRPr="007E04F7">
        <w:rPr>
          <w:rStyle w:val="Refdenotaalpie"/>
          <w:sz w:val="16"/>
          <w:szCs w:val="16"/>
        </w:rPr>
        <w:footnoteRef/>
      </w:r>
      <w:r w:rsidRPr="007E04F7">
        <w:rPr>
          <w:sz w:val="16"/>
          <w:szCs w:val="16"/>
        </w:rPr>
        <w:t xml:space="preserve"> </w:t>
      </w:r>
      <w:r w:rsidRPr="007E04F7">
        <w:rPr>
          <w:sz w:val="16"/>
          <w:szCs w:val="16"/>
        </w:rPr>
        <w:tab/>
        <w:t xml:space="preserve">Artículo 5 </w:t>
      </w:r>
      <w:r w:rsidRPr="007E04F7">
        <w:rPr>
          <w:rStyle w:val="Refdenotaalpie"/>
          <w:sz w:val="16"/>
          <w:szCs w:val="16"/>
          <w:vertAlign w:val="baseline"/>
        </w:rPr>
        <w:t>de</w:t>
      </w:r>
      <w:r w:rsidRPr="007E04F7">
        <w:rPr>
          <w:sz w:val="16"/>
          <w:szCs w:val="16"/>
        </w:rPr>
        <w:t xml:space="preserve"> la Convención Americana y artículos 1 y 6 de la Convención Interamericana para prevenir y sancionar la tortura.</w:t>
      </w:r>
    </w:p>
  </w:footnote>
  <w:footnote w:id="147">
    <w:p w14:paraId="40A130B4" w14:textId="77777777" w:rsidR="001A2991" w:rsidRPr="007E04F7" w:rsidRDefault="001A2991" w:rsidP="0064597D">
      <w:pPr>
        <w:tabs>
          <w:tab w:val="left" w:pos="567"/>
        </w:tabs>
        <w:spacing w:line="240" w:lineRule="auto"/>
        <w:rPr>
          <w:sz w:val="16"/>
          <w:szCs w:val="16"/>
          <w:lang w:val="es-ES"/>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w:t>
      </w:r>
      <w:r w:rsidRPr="007E04F7">
        <w:rPr>
          <w:rStyle w:val="Refdenotaalpie"/>
          <w:sz w:val="16"/>
          <w:szCs w:val="16"/>
          <w:vertAlign w:val="baseline"/>
        </w:rPr>
        <w:t>Declaración</w:t>
      </w:r>
      <w:r w:rsidRPr="007E04F7">
        <w:rPr>
          <w:sz w:val="16"/>
          <w:szCs w:val="16"/>
        </w:rPr>
        <w:t xml:space="preserve"> del señor Ruiz Fuentes rendida ante la Jueza Octava de Primera Instancia Penal, Narcoactividad y Delitos contra el Ambiente, de 29 de abril de 1998 (expediente de prueba, folios 8 a 13).</w:t>
      </w:r>
    </w:p>
  </w:footnote>
  <w:footnote w:id="148">
    <w:p w14:paraId="795B0BB6" w14:textId="31C476C3" w:rsidR="001A2991" w:rsidRPr="007E04F7" w:rsidRDefault="001A2991" w:rsidP="0064597D">
      <w:pPr>
        <w:tabs>
          <w:tab w:val="left" w:pos="567"/>
        </w:tabs>
        <w:spacing w:line="240" w:lineRule="auto"/>
        <w:rPr>
          <w:i/>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 Caso Maritza Urrutia Vs. Guatemala. Fondo, Reparaciones y Costas.</w:t>
      </w:r>
      <w:r w:rsidRPr="007E04F7">
        <w:rPr>
          <w:sz w:val="16"/>
          <w:szCs w:val="16"/>
        </w:rPr>
        <w:t xml:space="preserve"> Sentencia de 27 de noviembre de 2003. Serie C No. 103, párr. 92, y </w:t>
      </w:r>
      <w:r w:rsidRPr="007E04F7">
        <w:rPr>
          <w:rStyle w:val="Textoennegrita"/>
          <w:b w:val="0"/>
          <w:i/>
          <w:sz w:val="16"/>
          <w:szCs w:val="16"/>
        </w:rPr>
        <w:t xml:space="preserve">Caso Mujeres Víctimas de Tortura Sexual en Atenco Vs. México. Fondo, Reparaciones y Costas. </w:t>
      </w:r>
      <w:r w:rsidRPr="007E04F7">
        <w:rPr>
          <w:rStyle w:val="Textoennegrita"/>
          <w:b w:val="0"/>
          <w:sz w:val="16"/>
          <w:szCs w:val="16"/>
        </w:rPr>
        <w:t>Sentencia de 28 de noviembre de 2018. Serie C No. 371, párrs. 177 y 178</w:t>
      </w:r>
      <w:r w:rsidRPr="007E04F7">
        <w:rPr>
          <w:rFonts w:cs="Courier New"/>
          <w:sz w:val="16"/>
          <w:szCs w:val="16"/>
        </w:rPr>
        <w:t>.</w:t>
      </w:r>
    </w:p>
  </w:footnote>
  <w:footnote w:id="149">
    <w:p w14:paraId="34DD398F" w14:textId="46E870C5" w:rsidR="001A2991" w:rsidRPr="007E04F7" w:rsidRDefault="001A2991" w:rsidP="0064597D">
      <w:pPr>
        <w:tabs>
          <w:tab w:val="left" w:pos="567"/>
        </w:tabs>
        <w:spacing w:line="240" w:lineRule="auto"/>
        <w:rPr>
          <w:i/>
          <w:sz w:val="16"/>
          <w:szCs w:val="16"/>
        </w:rPr>
      </w:pPr>
      <w:r w:rsidRPr="007E04F7">
        <w:rPr>
          <w:rStyle w:val="Refdenotaalpie"/>
          <w:rFonts w:eastAsia="Calibri"/>
          <w:sz w:val="16"/>
          <w:szCs w:val="16"/>
        </w:rPr>
        <w:footnoteRef/>
      </w:r>
      <w:r w:rsidRPr="007E04F7">
        <w:rPr>
          <w:sz w:val="16"/>
          <w:szCs w:val="16"/>
        </w:rPr>
        <w:t xml:space="preserve"> </w:t>
      </w:r>
      <w:r w:rsidRPr="007E04F7">
        <w:rPr>
          <w:sz w:val="16"/>
          <w:szCs w:val="16"/>
        </w:rPr>
        <w:tab/>
      </w:r>
      <w:r w:rsidRPr="007E04F7">
        <w:rPr>
          <w:i/>
          <w:sz w:val="16"/>
          <w:szCs w:val="16"/>
        </w:rPr>
        <w:t xml:space="preserve">Cfr. Caso Loayza Tamayo Vs. Perú. Fondo, supra, </w:t>
      </w:r>
      <w:r w:rsidRPr="007E04F7">
        <w:rPr>
          <w:sz w:val="16"/>
          <w:szCs w:val="16"/>
        </w:rPr>
        <w:t xml:space="preserve">párr. 57, y </w:t>
      </w:r>
      <w:r w:rsidRPr="007E04F7">
        <w:rPr>
          <w:rStyle w:val="Textoennegrita"/>
          <w:b w:val="0"/>
          <w:i/>
          <w:sz w:val="16"/>
          <w:szCs w:val="16"/>
        </w:rPr>
        <w:t>Caso Mujeres Víctimas de Tortura Sexual en Atenco Vs. México</w:t>
      </w:r>
      <w:r w:rsidRPr="007E04F7">
        <w:rPr>
          <w:i/>
          <w:sz w:val="16"/>
          <w:szCs w:val="16"/>
        </w:rPr>
        <w:t xml:space="preserve">, </w:t>
      </w:r>
      <w:r w:rsidRPr="007E04F7">
        <w:rPr>
          <w:rFonts w:cs="Arial"/>
          <w:i/>
          <w:sz w:val="16"/>
          <w:szCs w:val="16"/>
        </w:rPr>
        <w:t xml:space="preserve">supra, </w:t>
      </w:r>
      <w:r w:rsidRPr="007E04F7">
        <w:rPr>
          <w:sz w:val="16"/>
          <w:szCs w:val="16"/>
        </w:rPr>
        <w:t xml:space="preserve"> </w:t>
      </w:r>
      <w:r w:rsidRPr="007E04F7">
        <w:rPr>
          <w:rFonts w:cs="Courier New"/>
          <w:sz w:val="16"/>
          <w:szCs w:val="16"/>
        </w:rPr>
        <w:t>párr. 177.</w:t>
      </w:r>
    </w:p>
  </w:footnote>
  <w:footnote w:id="150">
    <w:p w14:paraId="25F5E0EB" w14:textId="399C94F3" w:rsidR="001A2991" w:rsidRPr="007E04F7" w:rsidRDefault="001A2991" w:rsidP="0064597D">
      <w:pPr>
        <w:tabs>
          <w:tab w:val="left" w:pos="567"/>
        </w:tabs>
        <w:spacing w:line="240" w:lineRule="auto"/>
        <w:rPr>
          <w:sz w:val="16"/>
          <w:szCs w:val="16"/>
        </w:rPr>
      </w:pPr>
      <w:r w:rsidRPr="007E04F7">
        <w:rPr>
          <w:rStyle w:val="Refdenotaalpie"/>
          <w:rFonts w:eastAsia="Calibri"/>
          <w:sz w:val="16"/>
          <w:szCs w:val="16"/>
        </w:rPr>
        <w:footnoteRef/>
      </w:r>
      <w:r w:rsidRPr="007E04F7">
        <w:rPr>
          <w:sz w:val="16"/>
          <w:szCs w:val="16"/>
        </w:rPr>
        <w:t xml:space="preserve"> </w:t>
      </w:r>
      <w:r w:rsidRPr="007E04F7">
        <w:rPr>
          <w:sz w:val="16"/>
          <w:szCs w:val="16"/>
        </w:rPr>
        <w:tab/>
      </w:r>
      <w:r w:rsidRPr="007E04F7">
        <w:rPr>
          <w:i/>
          <w:sz w:val="16"/>
          <w:szCs w:val="16"/>
        </w:rPr>
        <w:t xml:space="preserve">Cfr. Caso Ximenes Lopes Vs. Brasil. </w:t>
      </w:r>
      <w:r w:rsidRPr="007E04F7">
        <w:rPr>
          <w:sz w:val="16"/>
          <w:szCs w:val="16"/>
        </w:rPr>
        <w:t>Sentencia de 4 de julio de 2006</w:t>
      </w:r>
      <w:r w:rsidRPr="007E04F7">
        <w:rPr>
          <w:i/>
          <w:sz w:val="16"/>
          <w:szCs w:val="16"/>
        </w:rPr>
        <w:t xml:space="preserve">. </w:t>
      </w:r>
      <w:r w:rsidRPr="007E04F7">
        <w:rPr>
          <w:sz w:val="16"/>
          <w:szCs w:val="16"/>
        </w:rPr>
        <w:t xml:space="preserve">Serie C No. 149, párr. 127, y </w:t>
      </w:r>
      <w:r w:rsidRPr="007E04F7">
        <w:rPr>
          <w:rStyle w:val="Textoennegrita"/>
          <w:b w:val="0"/>
          <w:i/>
          <w:sz w:val="16"/>
          <w:szCs w:val="16"/>
        </w:rPr>
        <w:t>Caso Omeara Carrascal y otros Vs. Colombia, supra</w:t>
      </w:r>
      <w:r w:rsidRPr="007E04F7">
        <w:rPr>
          <w:rFonts w:cs="Courier New"/>
          <w:sz w:val="16"/>
          <w:szCs w:val="16"/>
        </w:rPr>
        <w:t>, párr. 193.</w:t>
      </w:r>
    </w:p>
  </w:footnote>
  <w:footnote w:id="151">
    <w:p w14:paraId="01F0BD41" w14:textId="4E1D033F"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Oficio No. 4325-97 emitido por el Departamento de Investigaciones Criminológicas de la Policía Nacional, de 6 de agosto de 1997 (expediente de prueba, folio 5).</w:t>
      </w:r>
    </w:p>
  </w:footnote>
  <w:footnote w:id="152">
    <w:p w14:paraId="64C25329" w14:textId="38987454"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Declaración del señor Ruiz Fuentes rendida ante la Jueza Octava de Primera Instancia Penal, Narcoactividad y Delitos contra el Ambiente, de 29 de abril de 1998 (expediente de prueba, folios 9 y 10). Véase también, Acta de debate C-4-98. Declaración de Hugo Humberto Ruiz Fuentes en audiencias de juicio oral y público ante el Tribunal Sexto de Sentencia Penal, Narcoactividad y Delitos contra el Ambiente, de 21 de abril de 1999 (expediente de prueba, folios 1142 y 1143), y e</w:t>
      </w:r>
      <w:r w:rsidRPr="007E04F7">
        <w:rPr>
          <w:rFonts w:cs="Verdana"/>
          <w:sz w:val="16"/>
          <w:szCs w:val="16"/>
        </w:rPr>
        <w:t>ntrevista realizada a Hugo Humberto Ruiz Fuentes en el Centro Preventivo de la Zona 18, realizada por Alejandro Rodríguez, sin fecha (expediente de prueba, folio 521).</w:t>
      </w:r>
    </w:p>
  </w:footnote>
  <w:footnote w:id="153">
    <w:p w14:paraId="4912701E" w14:textId="03B128DC"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Declaración privada de A.M.V. en la audiencia pública ante la Corte Interamericana celebrada el 5 de marzo de 2019.</w:t>
      </w:r>
    </w:p>
  </w:footnote>
  <w:footnote w:id="154">
    <w:p w14:paraId="63640058" w14:textId="4781C33F"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Declaración privada de A.M.V. en la audiencia pública ante la Corte Interamericana celebrada el 5 de marzo de 2019.</w:t>
      </w:r>
    </w:p>
  </w:footnote>
  <w:footnote w:id="155">
    <w:p w14:paraId="0E6E1AD2" w14:textId="759B440F"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w:t>
      </w:r>
      <w:r w:rsidRPr="007E04F7">
        <w:rPr>
          <w:rFonts w:cstheme="majorHAnsi"/>
          <w:sz w:val="16"/>
          <w:szCs w:val="16"/>
        </w:rPr>
        <w:t>Declaración rendida ante notario por la hermana del señor Ruiz Fuentes, de 28 de febrero de 2019 (expediente de prueba, folio 8476).</w:t>
      </w:r>
    </w:p>
  </w:footnote>
  <w:footnote w:id="156">
    <w:p w14:paraId="31079E84" w14:textId="77777777"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t>El término abdomen agudo se refiere a un cuadro grave de emergencia médica, caracterizado por síntomas y signos localizados en la cavidad abdominal. Véase Informe médico No. 492-484 emitido por el Hospital Roosevelt el 9 de diciembre de 1997 (expediente de prueba, folio 15).</w:t>
      </w:r>
    </w:p>
  </w:footnote>
  <w:footnote w:id="157">
    <w:p w14:paraId="0C58F896" w14:textId="3C1D7CCB"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Informe médico del Departamento de Cirugía del Hospital Roosevelt, de 11 de diciembre de 2000 (expediente de prueba, folio 21).</w:t>
      </w:r>
    </w:p>
  </w:footnote>
  <w:footnote w:id="158">
    <w:p w14:paraId="4C4542AC" w14:textId="24D94AEE"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Informe del Dr. Alejandro Moreno, de 21 de mayo de 2008 (expediente de prueba, folios 23 y 24).</w:t>
      </w:r>
    </w:p>
  </w:footnote>
  <w:footnote w:id="159">
    <w:p w14:paraId="7230EFDC" w14:textId="297AE2F6" w:rsidR="001A2991" w:rsidRPr="007E04F7" w:rsidRDefault="001A2991" w:rsidP="0064597D">
      <w:pPr>
        <w:tabs>
          <w:tab w:val="left" w:pos="567"/>
        </w:tabs>
        <w:spacing w:line="240" w:lineRule="auto"/>
        <w:rPr>
          <w:sz w:val="16"/>
          <w:szCs w:val="16"/>
          <w:lang w:val="es-ES_tradnl"/>
        </w:rPr>
      </w:pPr>
      <w:r w:rsidRPr="007E04F7">
        <w:rPr>
          <w:rStyle w:val="Refdenotaalpie"/>
          <w:sz w:val="16"/>
          <w:szCs w:val="16"/>
        </w:rPr>
        <w:footnoteRef/>
      </w:r>
      <w:r w:rsidRPr="007E04F7">
        <w:rPr>
          <w:sz w:val="16"/>
          <w:szCs w:val="16"/>
        </w:rPr>
        <w:t xml:space="preserve"> </w:t>
      </w:r>
      <w:r w:rsidRPr="007E04F7">
        <w:rPr>
          <w:sz w:val="16"/>
          <w:szCs w:val="16"/>
        </w:rPr>
        <w:tab/>
        <w:t>El señor Ruiz Fuentes también declaró que, a los tres días de estar en el hospital, llegaron “unos muchachos” que le dijeron que “no dijera que le habían pegado, sino que dijera que se había hecho los golpes porque se había caído de una pared de ocho metros y que ellos lo iban a ayudar para que saliera a los dos o tres meses”</w:t>
      </w:r>
      <w:r w:rsidRPr="007E04F7">
        <w:rPr>
          <w:i/>
          <w:sz w:val="16"/>
          <w:szCs w:val="16"/>
        </w:rPr>
        <w:t xml:space="preserve"> Cfr.</w:t>
      </w:r>
      <w:r w:rsidRPr="007E04F7">
        <w:rPr>
          <w:sz w:val="16"/>
          <w:szCs w:val="16"/>
        </w:rPr>
        <w:t xml:space="preserve"> Acta de debate C-4-98. Declaración de Hugo Humberto Ruiz Fuentes en audiencias de juicio oral y público ante el Tribunal Sexto de Sentencia Penal, Narcoactividad y Delitos contra el Ambiente, de 21 de abril de 1999 (expediente de prueba, folio 1143). A lo anterior se añade la carta elaborada por el señor Ruiz Fuentes y dirigida a su hermana indicó que “él tenía miedo de denunciar lo de la tortura, porque el comisario Soto lo llegaba a amenazar”. </w:t>
      </w:r>
      <w:r w:rsidRPr="007E04F7">
        <w:rPr>
          <w:i/>
          <w:sz w:val="16"/>
          <w:szCs w:val="16"/>
        </w:rPr>
        <w:t xml:space="preserve">Cfr. </w:t>
      </w:r>
      <w:r w:rsidRPr="007E04F7">
        <w:rPr>
          <w:sz w:val="16"/>
          <w:szCs w:val="16"/>
        </w:rPr>
        <w:t>Declaración rendida ante notario por la hermana del señor Ruiz Fuentes el 28 de febrero de 2019 (expediente de prueba, folios 8477 a 8480).</w:t>
      </w:r>
    </w:p>
  </w:footnote>
  <w:footnote w:id="160">
    <w:p w14:paraId="4E092967" w14:textId="0ABDC44C"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 xml:space="preserve">Cfr. </w:t>
      </w:r>
      <w:r w:rsidRPr="007E04F7">
        <w:rPr>
          <w:sz w:val="16"/>
          <w:szCs w:val="16"/>
        </w:rPr>
        <w:t xml:space="preserve">Declaración rendida ante notario por la hermana del señor Ruiz Fuentes el 28 de febrero de 2019 (expediente de prueba, folio 8477). </w:t>
      </w:r>
    </w:p>
  </w:footnote>
  <w:footnote w:id="161">
    <w:p w14:paraId="181B9275" w14:textId="7D29C5EA" w:rsidR="001A2991" w:rsidRPr="007E04F7" w:rsidRDefault="001A2991" w:rsidP="0064597D">
      <w:pPr>
        <w:tabs>
          <w:tab w:val="left" w:pos="567"/>
        </w:tabs>
        <w:spacing w:line="240" w:lineRule="auto"/>
        <w:rPr>
          <w:sz w:val="16"/>
          <w:szCs w:val="16"/>
        </w:rPr>
      </w:pPr>
      <w:r w:rsidRPr="007E04F7">
        <w:rPr>
          <w:rStyle w:val="Refdenotaalpie"/>
          <w:rFonts w:eastAsia="Calibri"/>
          <w:sz w:val="16"/>
          <w:szCs w:val="16"/>
        </w:rPr>
        <w:footnoteRef/>
      </w:r>
      <w:r w:rsidRPr="007E04F7">
        <w:rPr>
          <w:rStyle w:val="Refdenotaalpie"/>
          <w:rFonts w:eastAsia="Calibri"/>
          <w:sz w:val="16"/>
          <w:szCs w:val="16"/>
        </w:rPr>
        <w:t xml:space="preserve"> </w:t>
      </w:r>
      <w:r w:rsidRPr="007E04F7">
        <w:rPr>
          <w:sz w:val="16"/>
          <w:szCs w:val="16"/>
        </w:rPr>
        <w:tab/>
      </w:r>
      <w:r w:rsidRPr="007E04F7">
        <w:rPr>
          <w:i/>
          <w:sz w:val="16"/>
          <w:szCs w:val="16"/>
        </w:rPr>
        <w:t xml:space="preserve">Cfr. Caso Bueno Alves Vs. Argentina. Fondo, Reparaciones y Costas. </w:t>
      </w:r>
      <w:r w:rsidRPr="007E04F7">
        <w:rPr>
          <w:sz w:val="16"/>
          <w:szCs w:val="16"/>
        </w:rPr>
        <w:t xml:space="preserve">Sentencia de 11 de mayo de 2007. Serie C No. 164, párr. 79, y </w:t>
      </w:r>
      <w:r w:rsidRPr="007E04F7">
        <w:rPr>
          <w:rStyle w:val="Textoennegrita"/>
          <w:b w:val="0"/>
          <w:i/>
          <w:sz w:val="16"/>
          <w:szCs w:val="16"/>
        </w:rPr>
        <w:t xml:space="preserve">Caso Mujeres Víctimas de Tortura Sexual en Atenco Vs. México, supra, </w:t>
      </w:r>
      <w:r w:rsidRPr="007E04F7">
        <w:rPr>
          <w:rStyle w:val="Textoennegrita"/>
          <w:b w:val="0"/>
          <w:sz w:val="16"/>
          <w:szCs w:val="16"/>
        </w:rPr>
        <w:t>párr. 191.</w:t>
      </w:r>
    </w:p>
  </w:footnote>
  <w:footnote w:id="162">
    <w:p w14:paraId="74CE6167" w14:textId="4387483D"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Declaración del señor Ruiz Fuentes rendida ante la Jueza Octava de Primera Instancia Penal, Narcoactividad y Delitos contra el Ambiente, de 29 de abril de 1998 (expediente de prueba, folios 9 y 10).</w:t>
      </w:r>
    </w:p>
  </w:footnote>
  <w:footnote w:id="163">
    <w:p w14:paraId="2C7B9086" w14:textId="21E70767"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snapToGrid w:val="0"/>
          <w:sz w:val="16"/>
          <w:szCs w:val="16"/>
        </w:rPr>
        <w:t xml:space="preserve">Según su declaración, tras su detención fue sometido a numerosos golpes, “se desmayaba, le pegaban, y como él no sabía nada de lo que le preguntaban lo </w:t>
      </w:r>
      <w:r w:rsidRPr="007E04F7">
        <w:rPr>
          <w:sz w:val="16"/>
          <w:szCs w:val="16"/>
          <w:lang w:eastAsia="en-US"/>
        </w:rPr>
        <w:t>seguían</w:t>
      </w:r>
      <w:r w:rsidRPr="007E04F7">
        <w:rPr>
          <w:snapToGrid w:val="0"/>
          <w:sz w:val="16"/>
          <w:szCs w:val="16"/>
        </w:rPr>
        <w:t xml:space="preserve"> golpeando y torturando para que hablara. Varias horas después lo llevaron a una casa […] para que reconociera a alguien de esa casa, pero como él no conocía a nadie lo siguieron golpeando y le amarraron los pies y las manos, le vendaron los ojos. </w:t>
      </w:r>
      <w:r w:rsidRPr="007E04F7">
        <w:rPr>
          <w:i/>
          <w:sz w:val="16"/>
          <w:szCs w:val="16"/>
        </w:rPr>
        <w:t>Cfr</w:t>
      </w:r>
      <w:r w:rsidRPr="007E04F7">
        <w:rPr>
          <w:sz w:val="16"/>
          <w:szCs w:val="16"/>
        </w:rPr>
        <w:t xml:space="preserve">. </w:t>
      </w:r>
      <w:r w:rsidRPr="007E04F7">
        <w:rPr>
          <w:rFonts w:cstheme="majorHAnsi"/>
          <w:sz w:val="16"/>
          <w:szCs w:val="16"/>
        </w:rPr>
        <w:t>Declaración rendida ante notario por la hermana del señor Ruiz Fuentes, de 28 de febrero de 2019 (expediente de prueba, folio 8476).</w:t>
      </w:r>
    </w:p>
  </w:footnote>
  <w:footnote w:id="164">
    <w:p w14:paraId="6DDC5BB6" w14:textId="3B82B436"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Informe del médico residente del Departamento de Cirugía del Hospital Roosevelt, de 20 de enero de 1998 (expediente de prueba, folio 17).</w:t>
      </w:r>
    </w:p>
  </w:footnote>
  <w:footnote w:id="165">
    <w:p w14:paraId="39B756AB" w14:textId="291A0B6C"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t xml:space="preserve">Esto es, desde su ingreso el 6 de agosto de 1997 hasta el alta el 18 de agosto de 1997. </w:t>
      </w:r>
      <w:r w:rsidRPr="007E04F7">
        <w:rPr>
          <w:i/>
          <w:sz w:val="16"/>
          <w:szCs w:val="16"/>
        </w:rPr>
        <w:t>Cfr.</w:t>
      </w:r>
      <w:r w:rsidRPr="007E04F7">
        <w:rPr>
          <w:sz w:val="16"/>
          <w:szCs w:val="16"/>
        </w:rPr>
        <w:t xml:space="preserve"> Informe del médico residente del Departamento de Cirugía del Hospital Roosevelt, de 20 de enero de 1998 (expediente de prueba, folio 17).</w:t>
      </w:r>
    </w:p>
  </w:footnote>
  <w:footnote w:id="166">
    <w:p w14:paraId="4984BA35" w14:textId="77777777"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Declaración del señor Ruiz Fuentes rendida ante la Jueza Octava de Primera Instancia Penal, Narcoactividad y Delitos contra el Ambiente, de 29 de abril de 1998 (expediente de prueba, folio 11).</w:t>
      </w:r>
    </w:p>
  </w:footnote>
  <w:footnote w:id="167">
    <w:p w14:paraId="03E8662A" w14:textId="039A7965"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Declaración privada de A.M.V. en la audiencia pública ante la Corte Interamericana celebrada el 5 de marzo de 2019.</w:t>
      </w:r>
      <w:r w:rsidRPr="007E04F7" w:rsidDel="004D3591">
        <w:rPr>
          <w:sz w:val="16"/>
          <w:szCs w:val="16"/>
        </w:rPr>
        <w:t xml:space="preserve"> </w:t>
      </w:r>
      <w:r w:rsidRPr="007E04F7">
        <w:rPr>
          <w:sz w:val="16"/>
          <w:szCs w:val="16"/>
        </w:rPr>
        <w:t xml:space="preserve">A este respecto, la hermana del señor Ruiz Fuentes declaró que, en el contexto de la detención, y tras haber sido sometido al interrogatorio donde sufrió múltiples golpes “llegó un señor de apellido Cojulun y le indicó [al comisario] Soto que lo llevaran al hospital porque se estaba muriendo”. Además, indicó que al señor Ruiz Fuentes “[l]o llevaron al hospital y los doctores le dijeron que lo tenían que operar de emergencia y que cuando despertó se sentía muy mal y que le dolía el cuerpo de tantos golpes que los policías le habían dado y que de tantas patadas le habían reventado el intestino y defecaba en las bolsas que le habían colocado en el hospital”. </w:t>
      </w:r>
      <w:r w:rsidRPr="007E04F7">
        <w:rPr>
          <w:i/>
          <w:sz w:val="16"/>
          <w:szCs w:val="16"/>
        </w:rPr>
        <w:t>Cfr</w:t>
      </w:r>
      <w:r w:rsidRPr="007E04F7">
        <w:rPr>
          <w:sz w:val="16"/>
          <w:szCs w:val="16"/>
        </w:rPr>
        <w:t xml:space="preserve">. </w:t>
      </w:r>
      <w:r w:rsidRPr="007E04F7">
        <w:rPr>
          <w:rFonts w:cstheme="majorHAnsi"/>
          <w:sz w:val="16"/>
          <w:szCs w:val="16"/>
        </w:rPr>
        <w:t>Declaración rendida ante notario por la hermana del señor Ruiz Fuentes, de 28 de febrero de 2019 (expediente de prueba, folio 8476).</w:t>
      </w:r>
      <w:r w:rsidRPr="007E04F7">
        <w:rPr>
          <w:i/>
          <w:sz w:val="16"/>
          <w:szCs w:val="16"/>
        </w:rPr>
        <w:t xml:space="preserve"> </w:t>
      </w:r>
      <w:r w:rsidRPr="007E04F7">
        <w:rPr>
          <w:sz w:val="16"/>
          <w:szCs w:val="16"/>
        </w:rPr>
        <w:t xml:space="preserve">En este sentido, el perito Carranza Izquierdo declaró en la audiencia celebrada ante esta Corte que las lesiones fueron “mortales según el protocolo de Estambul”. </w:t>
      </w:r>
      <w:r w:rsidRPr="007E04F7">
        <w:rPr>
          <w:i/>
          <w:sz w:val="16"/>
          <w:szCs w:val="16"/>
        </w:rPr>
        <w:t>Cfr</w:t>
      </w:r>
      <w:r w:rsidRPr="007E04F7">
        <w:rPr>
          <w:sz w:val="16"/>
          <w:szCs w:val="16"/>
        </w:rPr>
        <w:t xml:space="preserve">. Peritaje rendido por Guillermo Austreberto Carranza Izquierdo en la audiencia pública ante la Corte Interamericana celebrada el 5 de marzo de 2019. </w:t>
      </w:r>
    </w:p>
  </w:footnote>
  <w:footnote w:id="168">
    <w:p w14:paraId="2B487EEC" w14:textId="77777777" w:rsidR="00C560F7" w:rsidRPr="007E04F7" w:rsidRDefault="00C560F7" w:rsidP="00C560F7">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iCs/>
          <w:sz w:val="16"/>
          <w:szCs w:val="16"/>
        </w:rPr>
        <w:t>Cfr</w:t>
      </w:r>
      <w:r w:rsidRPr="007E04F7">
        <w:rPr>
          <w:sz w:val="16"/>
          <w:szCs w:val="16"/>
        </w:rPr>
        <w:t xml:space="preserve">. </w:t>
      </w:r>
      <w:r w:rsidRPr="007E04F7">
        <w:rPr>
          <w:i/>
          <w:iCs/>
          <w:sz w:val="16"/>
          <w:szCs w:val="16"/>
        </w:rPr>
        <w:t>Caso Raxcacó Reyes y otros respecto Guatemala. Medidas Provisionales</w:t>
      </w:r>
      <w:r w:rsidRPr="007E04F7">
        <w:rPr>
          <w:sz w:val="16"/>
          <w:szCs w:val="16"/>
        </w:rPr>
        <w:t>. Resolución de la Corte Interamericana de Derechos Humanos, de 30 de agosto de 2004.</w:t>
      </w:r>
    </w:p>
  </w:footnote>
  <w:footnote w:id="169">
    <w:p w14:paraId="1739DF61" w14:textId="77777777" w:rsidR="00C560F7" w:rsidRPr="007E04F7" w:rsidRDefault="00C560F7" w:rsidP="00C560F7">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Informe de Fondo de la Comisión de 30 de julio de 2017, párr. 161 (expediente de fondo, folio 39).</w:t>
      </w:r>
    </w:p>
  </w:footnote>
  <w:footnote w:id="170">
    <w:p w14:paraId="2A58EF53" w14:textId="675F9409"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 xml:space="preserve">Cfr. </w:t>
      </w:r>
      <w:r w:rsidRPr="007E04F7">
        <w:rPr>
          <w:bCs/>
          <w:i/>
          <w:sz w:val="16"/>
          <w:szCs w:val="16"/>
          <w:lang w:eastAsia="en-US"/>
        </w:rPr>
        <w:t>Caso Hilaire, Constantine y Benjamin y otros Vs. Trinidad y Tobago</w:t>
      </w:r>
      <w:r w:rsidRPr="007E04F7">
        <w:rPr>
          <w:bCs/>
          <w:sz w:val="16"/>
          <w:szCs w:val="16"/>
          <w:lang w:eastAsia="en-US"/>
        </w:rPr>
        <w:t xml:space="preserve">. </w:t>
      </w:r>
      <w:r w:rsidRPr="007E04F7">
        <w:rPr>
          <w:bCs/>
          <w:i/>
          <w:sz w:val="16"/>
          <w:szCs w:val="16"/>
          <w:lang w:eastAsia="en-US"/>
        </w:rPr>
        <w:t>Fondo, Reparaciones y Costas.</w:t>
      </w:r>
      <w:r w:rsidRPr="007E04F7">
        <w:rPr>
          <w:bCs/>
          <w:sz w:val="16"/>
          <w:szCs w:val="16"/>
          <w:lang w:eastAsia="en-US"/>
        </w:rPr>
        <w:t xml:space="preserve"> Sentencia de 21 de junio de 2002. Serie C No. 94.</w:t>
      </w:r>
      <w:r w:rsidRPr="007E04F7">
        <w:rPr>
          <w:sz w:val="16"/>
          <w:szCs w:val="16"/>
          <w:lang w:eastAsia="en-US"/>
        </w:rPr>
        <w:t xml:space="preserve"> </w:t>
      </w:r>
    </w:p>
  </w:footnote>
  <w:footnote w:id="171">
    <w:p w14:paraId="5C4BB59A" w14:textId="556352A2"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w:t>
      </w:r>
      <w:r w:rsidRPr="007E04F7">
        <w:rPr>
          <w:rStyle w:val="Textoennegrita"/>
          <w:b w:val="0"/>
          <w:i/>
          <w:sz w:val="16"/>
          <w:szCs w:val="16"/>
        </w:rPr>
        <w:t>Caso Raxcacó Reyes Vs. Guatemala</w:t>
      </w:r>
      <w:r w:rsidRPr="007E04F7">
        <w:rPr>
          <w:i/>
          <w:sz w:val="16"/>
          <w:szCs w:val="16"/>
        </w:rPr>
        <w:t xml:space="preserve">, </w:t>
      </w:r>
      <w:r w:rsidRPr="007E04F7">
        <w:rPr>
          <w:rFonts w:cs="Arial"/>
          <w:i/>
          <w:sz w:val="16"/>
          <w:szCs w:val="16"/>
        </w:rPr>
        <w:t xml:space="preserve">supra, </w:t>
      </w:r>
      <w:r w:rsidRPr="007E04F7">
        <w:rPr>
          <w:rFonts w:cs="Arial"/>
          <w:sz w:val="16"/>
          <w:szCs w:val="16"/>
        </w:rPr>
        <w:t>párrs. 100 a 102</w:t>
      </w:r>
      <w:r w:rsidRPr="007E04F7">
        <w:rPr>
          <w:rStyle w:val="Textoennegrita"/>
          <w:b w:val="0"/>
          <w:sz w:val="16"/>
          <w:szCs w:val="16"/>
        </w:rPr>
        <w:t>.</w:t>
      </w:r>
    </w:p>
  </w:footnote>
  <w:footnote w:id="172">
    <w:p w14:paraId="130EFC9B" w14:textId="77777777" w:rsidR="00C560F7" w:rsidRPr="007E04F7" w:rsidRDefault="00C560F7" w:rsidP="00C560F7">
      <w:pPr>
        <w:tabs>
          <w:tab w:val="left" w:pos="567"/>
        </w:tabs>
        <w:spacing w:line="240" w:lineRule="auto"/>
        <w:rPr>
          <w:rFonts w:cs="AmnestyTradeGothic-Light"/>
          <w:color w:val="000000"/>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TEDH, </w:t>
      </w:r>
      <w:r w:rsidRPr="007E04F7">
        <w:rPr>
          <w:i/>
          <w:sz w:val="16"/>
          <w:szCs w:val="16"/>
        </w:rPr>
        <w:t xml:space="preserve">Case of </w:t>
      </w:r>
      <w:r w:rsidRPr="007E04F7">
        <w:rPr>
          <w:rFonts w:cs="AmnestyTradeGothic-LightObl"/>
          <w:i/>
          <w:iCs/>
          <w:sz w:val="16"/>
          <w:szCs w:val="16"/>
        </w:rPr>
        <w:t xml:space="preserve">Öcalan v. Turkey </w:t>
      </w:r>
      <w:r w:rsidRPr="007E04F7">
        <w:rPr>
          <w:rFonts w:cs="AmnestyTradeGothic-LightObl"/>
          <w:iCs/>
          <w:sz w:val="16"/>
          <w:szCs w:val="16"/>
        </w:rPr>
        <w:t xml:space="preserve">[GC], no. </w:t>
      </w:r>
      <w:r w:rsidRPr="007E04F7">
        <w:rPr>
          <w:rFonts w:cs="AmnestyTradeGothic-Light"/>
          <w:sz w:val="16"/>
          <w:szCs w:val="16"/>
        </w:rPr>
        <w:t xml:space="preserve">46221/99, Sentencia de 12 de mayo de 2005, párrs. 166-169, </w:t>
      </w:r>
      <w:r w:rsidRPr="007E04F7">
        <w:rPr>
          <w:rFonts w:cs="AmnestyTradeGothic-Light"/>
          <w:i/>
          <w:sz w:val="16"/>
          <w:szCs w:val="16"/>
        </w:rPr>
        <w:t xml:space="preserve">Case of </w:t>
      </w:r>
      <w:r w:rsidRPr="007E04F7">
        <w:rPr>
          <w:rFonts w:cs="AmnestyTradeGothic-LightObl"/>
          <w:i/>
          <w:iCs/>
          <w:sz w:val="16"/>
          <w:szCs w:val="16"/>
        </w:rPr>
        <w:t xml:space="preserve">Bader and Kanbor v Sweden, </w:t>
      </w:r>
      <w:r w:rsidRPr="007E04F7">
        <w:rPr>
          <w:rFonts w:cs="AmnestyTradeGothic-LightObl"/>
          <w:iCs/>
          <w:sz w:val="16"/>
          <w:szCs w:val="16"/>
        </w:rPr>
        <w:t>no.</w:t>
      </w:r>
      <w:r w:rsidRPr="007E04F7">
        <w:rPr>
          <w:rFonts w:cs="AmnestyTradeGothic-LightObl"/>
          <w:i/>
          <w:iCs/>
          <w:sz w:val="16"/>
          <w:szCs w:val="16"/>
        </w:rPr>
        <w:t xml:space="preserve"> </w:t>
      </w:r>
      <w:r w:rsidRPr="007E04F7">
        <w:rPr>
          <w:rFonts w:cs="AmnestyTradeGothic-Light"/>
          <w:sz w:val="16"/>
          <w:szCs w:val="16"/>
        </w:rPr>
        <w:t xml:space="preserve">13284/04, Sentencia de 8 de noviembre de 2005, párrs. 42 a 48. </w:t>
      </w:r>
    </w:p>
  </w:footnote>
  <w:footnote w:id="173">
    <w:p w14:paraId="40FD9236" w14:textId="77777777" w:rsidR="00C560F7" w:rsidRPr="007E04F7" w:rsidRDefault="00C560F7" w:rsidP="00C560F7">
      <w:pPr>
        <w:tabs>
          <w:tab w:val="left" w:pos="567"/>
        </w:tabs>
        <w:spacing w:line="240" w:lineRule="auto"/>
        <w:rPr>
          <w:sz w:val="16"/>
          <w:szCs w:val="16"/>
          <w:lang w:val="en-US"/>
        </w:rPr>
      </w:pPr>
      <w:r w:rsidRPr="007E04F7">
        <w:rPr>
          <w:rStyle w:val="Refdenotaalpie"/>
          <w:sz w:val="16"/>
          <w:szCs w:val="16"/>
        </w:rPr>
        <w:footnoteRef/>
      </w:r>
      <w:r w:rsidRPr="007E04F7">
        <w:rPr>
          <w:sz w:val="16"/>
          <w:szCs w:val="16"/>
        </w:rPr>
        <w:t xml:space="preserve"> </w:t>
      </w:r>
      <w:r w:rsidRPr="007E04F7">
        <w:rPr>
          <w:sz w:val="16"/>
          <w:szCs w:val="16"/>
        </w:rPr>
        <w:tab/>
        <w:t xml:space="preserve">Naciones Unidas. Informe del Relator Especial sobre la tortura y otros tratos o penas crueles, inhumanos o degradantes. 9 de agosto de 2012. A/67/279, párr. 42. Se define al fenómeno del corredor de la muerte como: “(…) Consiste en una combinación de circunstancias que producen graves traumas mentales y deterioro físico en los presos sentenciados a muerte. Entre esas circunstancias figuran la prolongada y ansiosa espera de resultados plenos de incertidumbre, el aislamiento, el contacto humano drásticamente reducido e incluso las condiciones físicas en que están alojados algunos reclusos. Con frecuencia, las condiciones del pabellón de los condenados a muerte son peores que las que afectan al resto de la población carcelaria y se deniegan a los presos alojados en ese pabellón muchas cuestiones básicas y de primera necesidad (…)”. Véase también, </w:t>
      </w:r>
      <w:r w:rsidRPr="007E04F7">
        <w:rPr>
          <w:rFonts w:cs="AmnestyTradeGothic-Light"/>
          <w:sz w:val="16"/>
          <w:szCs w:val="16"/>
        </w:rPr>
        <w:t xml:space="preserve">HRC, </w:t>
      </w:r>
      <w:r w:rsidRPr="007E04F7">
        <w:rPr>
          <w:rFonts w:cs="AmnestyTradeGothic-LightObl"/>
          <w:i/>
          <w:iCs/>
          <w:sz w:val="16"/>
          <w:szCs w:val="16"/>
        </w:rPr>
        <w:t>Larrañaga vs. Filipinas</w:t>
      </w:r>
      <w:r w:rsidRPr="007E04F7">
        <w:rPr>
          <w:rFonts w:cs="AmnestyTradeGothic-Light"/>
          <w:sz w:val="16"/>
          <w:szCs w:val="16"/>
        </w:rPr>
        <w:t xml:space="preserve">, Doc. ONU: CCPR/C/87/D/1421/2005 (2006), párr. </w:t>
      </w:r>
      <w:r w:rsidRPr="007E04F7">
        <w:rPr>
          <w:rFonts w:cs="AmnestyTradeGothic-Light"/>
          <w:sz w:val="16"/>
          <w:szCs w:val="16"/>
          <w:lang w:val="en-US"/>
        </w:rPr>
        <w:t xml:space="preserve">7.11; </w:t>
      </w:r>
      <w:r w:rsidRPr="007E04F7">
        <w:rPr>
          <w:rFonts w:cs="AmnestyTradeGothic-LightObl"/>
          <w:i/>
          <w:iCs/>
          <w:sz w:val="16"/>
          <w:szCs w:val="16"/>
          <w:lang w:val="en-US"/>
        </w:rPr>
        <w:t>Mwamba vs. Zambia</w:t>
      </w:r>
      <w:r w:rsidRPr="007E04F7">
        <w:rPr>
          <w:rFonts w:cs="AmnestyTradeGothic-Light"/>
          <w:sz w:val="16"/>
          <w:szCs w:val="16"/>
          <w:lang w:val="en-US"/>
        </w:rPr>
        <w:t>, Doc. ONU: CCPR/C/98/D/1520/2006 (2010), párr. 6.8.</w:t>
      </w:r>
    </w:p>
  </w:footnote>
  <w:footnote w:id="174">
    <w:p w14:paraId="5ADEFB88" w14:textId="77777777" w:rsidR="00C560F7" w:rsidRPr="007E04F7" w:rsidRDefault="00C560F7" w:rsidP="00C560F7">
      <w:pPr>
        <w:tabs>
          <w:tab w:val="left" w:pos="567"/>
        </w:tabs>
        <w:spacing w:line="240" w:lineRule="auto"/>
        <w:rPr>
          <w:sz w:val="16"/>
          <w:szCs w:val="16"/>
          <w:lang w:val="en-US"/>
        </w:rPr>
      </w:pPr>
      <w:r w:rsidRPr="007E04F7">
        <w:rPr>
          <w:rStyle w:val="Refdenotaalpie"/>
          <w:sz w:val="16"/>
          <w:szCs w:val="16"/>
        </w:rPr>
        <w:footnoteRef/>
      </w:r>
      <w:r w:rsidRPr="007E04F7">
        <w:rPr>
          <w:sz w:val="16"/>
          <w:szCs w:val="16"/>
          <w:lang w:val="en-US"/>
        </w:rPr>
        <w:t xml:space="preserve"> </w:t>
      </w:r>
      <w:r w:rsidRPr="007E04F7">
        <w:rPr>
          <w:sz w:val="16"/>
          <w:szCs w:val="16"/>
          <w:lang w:val="en-US"/>
        </w:rPr>
        <w:tab/>
      </w:r>
      <w:r w:rsidRPr="007E04F7">
        <w:rPr>
          <w:i/>
          <w:sz w:val="16"/>
          <w:szCs w:val="16"/>
          <w:lang w:val="en-US"/>
        </w:rPr>
        <w:t xml:space="preserve">Judgment of the Supreme Court of Zimbabwe </w:t>
      </w:r>
      <w:r w:rsidRPr="007E04F7">
        <w:rPr>
          <w:sz w:val="16"/>
          <w:szCs w:val="16"/>
          <w:lang w:val="en-US"/>
        </w:rPr>
        <w:t xml:space="preserve">of 24 June 1993 in Catholic Commissioner for Justice and Peace in </w:t>
      </w:r>
      <w:r w:rsidRPr="007E04F7">
        <w:rPr>
          <w:i/>
          <w:sz w:val="16"/>
          <w:szCs w:val="16"/>
          <w:lang w:val="en-US"/>
        </w:rPr>
        <w:t>Zimbabwe v. Attorney General</w:t>
      </w:r>
      <w:r w:rsidRPr="007E04F7">
        <w:rPr>
          <w:sz w:val="16"/>
          <w:szCs w:val="16"/>
          <w:lang w:val="en-US"/>
        </w:rPr>
        <w:t xml:space="preserve"> (4) SA 239 (ZS); </w:t>
      </w:r>
      <w:r w:rsidRPr="007E04F7">
        <w:rPr>
          <w:i/>
          <w:sz w:val="16"/>
          <w:szCs w:val="16"/>
          <w:lang w:val="en-US"/>
        </w:rPr>
        <w:t>Supreme Court of Uganda in Attorney General v. Susan Kigula</w:t>
      </w:r>
      <w:r w:rsidRPr="007E04F7">
        <w:rPr>
          <w:sz w:val="16"/>
          <w:szCs w:val="16"/>
          <w:lang w:val="en-US"/>
        </w:rPr>
        <w:t xml:space="preserve"> and 417 others (Constitutional Appeal No. 3 of 2006), 2009. AG v Susan Kigula &amp; 417 others, Tribunal Supremo de Uganda (2009); </w:t>
      </w:r>
      <w:r w:rsidRPr="007E04F7">
        <w:rPr>
          <w:i/>
          <w:sz w:val="16"/>
          <w:szCs w:val="16"/>
          <w:lang w:val="en-US"/>
        </w:rPr>
        <w:t>Catholic Commission for Justice and Peace in Zimbabwe v the Attorney General &amp; Others, Tribunal Supremo de Zimbabue</w:t>
      </w:r>
      <w:r w:rsidRPr="007E04F7">
        <w:rPr>
          <w:sz w:val="16"/>
          <w:szCs w:val="16"/>
          <w:lang w:val="en-US"/>
        </w:rPr>
        <w:t xml:space="preserve"> (1993), 2LRC 277; </w:t>
      </w:r>
      <w:r w:rsidRPr="007E04F7">
        <w:rPr>
          <w:i/>
          <w:sz w:val="16"/>
          <w:szCs w:val="16"/>
          <w:lang w:val="en-US"/>
        </w:rPr>
        <w:t>Godfrey Mutiso v Republic, Tribunal de Apelación de Kenia</w:t>
      </w:r>
      <w:r w:rsidRPr="007E04F7">
        <w:rPr>
          <w:sz w:val="16"/>
          <w:szCs w:val="16"/>
          <w:lang w:val="en-US"/>
        </w:rPr>
        <w:t xml:space="preserve"> (2010). </w:t>
      </w:r>
      <w:r w:rsidRPr="007E04F7">
        <w:rPr>
          <w:sz w:val="16"/>
          <w:szCs w:val="16"/>
        </w:rPr>
        <w:t xml:space="preserve">Véase también </w:t>
      </w:r>
      <w:r w:rsidRPr="007E04F7">
        <w:rPr>
          <w:i/>
          <w:sz w:val="16"/>
          <w:szCs w:val="16"/>
        </w:rPr>
        <w:t xml:space="preserve">US v. Burns, </w:t>
      </w:r>
      <w:r w:rsidRPr="007E04F7">
        <w:rPr>
          <w:sz w:val="16"/>
          <w:szCs w:val="16"/>
        </w:rPr>
        <w:t>Tribunal Supremo de Canadá, 2001 SCC 7, párrs. </w:t>
      </w:r>
      <w:r w:rsidRPr="007E04F7">
        <w:rPr>
          <w:sz w:val="16"/>
          <w:szCs w:val="16"/>
          <w:lang w:val="en-US"/>
        </w:rPr>
        <w:t>118-123</w:t>
      </w:r>
    </w:p>
  </w:footnote>
  <w:footnote w:id="175">
    <w:p w14:paraId="3764690C" w14:textId="77777777" w:rsidR="00C560F7" w:rsidRPr="007E04F7" w:rsidRDefault="00C560F7" w:rsidP="00C560F7">
      <w:pPr>
        <w:tabs>
          <w:tab w:val="left" w:pos="567"/>
        </w:tabs>
        <w:spacing w:line="240" w:lineRule="auto"/>
        <w:rPr>
          <w:sz w:val="16"/>
          <w:szCs w:val="16"/>
        </w:rPr>
      </w:pPr>
      <w:r w:rsidRPr="007E04F7">
        <w:rPr>
          <w:rStyle w:val="Refdenotaalpie"/>
          <w:sz w:val="16"/>
          <w:szCs w:val="16"/>
        </w:rPr>
        <w:footnoteRef/>
      </w:r>
      <w:r w:rsidRPr="007E04F7">
        <w:rPr>
          <w:sz w:val="16"/>
          <w:szCs w:val="16"/>
          <w:lang w:val="en-US"/>
        </w:rPr>
        <w:t xml:space="preserve"> </w:t>
      </w:r>
      <w:r w:rsidRPr="007E04F7">
        <w:rPr>
          <w:sz w:val="16"/>
          <w:szCs w:val="16"/>
          <w:lang w:val="en-US"/>
        </w:rPr>
        <w:tab/>
      </w:r>
      <w:r w:rsidRPr="007E04F7">
        <w:rPr>
          <w:i/>
          <w:sz w:val="16"/>
          <w:szCs w:val="16"/>
          <w:lang w:val="en-US"/>
        </w:rPr>
        <w:t>Cfr</w:t>
      </w:r>
      <w:r w:rsidRPr="007E04F7">
        <w:rPr>
          <w:sz w:val="16"/>
          <w:szCs w:val="16"/>
          <w:lang w:val="en-US"/>
        </w:rPr>
        <w:t xml:space="preserve">. TEDH, </w:t>
      </w:r>
      <w:r w:rsidRPr="007E04F7">
        <w:rPr>
          <w:i/>
          <w:sz w:val="16"/>
          <w:szCs w:val="16"/>
          <w:lang w:val="en-US"/>
        </w:rPr>
        <w:t xml:space="preserve">Case of Soering v the United Kingdom </w:t>
      </w:r>
      <w:r w:rsidRPr="007E04F7">
        <w:rPr>
          <w:sz w:val="16"/>
          <w:szCs w:val="16"/>
          <w:lang w:val="en-US"/>
        </w:rPr>
        <w:t>[GS], no. 14038/88, Sentencia de 7 de Julio de 1989, párrs. </w:t>
      </w:r>
      <w:r w:rsidRPr="007E04F7">
        <w:rPr>
          <w:sz w:val="16"/>
          <w:szCs w:val="16"/>
        </w:rPr>
        <w:t>56, 81 y 111.</w:t>
      </w:r>
    </w:p>
  </w:footnote>
  <w:footnote w:id="176">
    <w:p w14:paraId="2CBA829D" w14:textId="71F625AB" w:rsidR="001A2991" w:rsidRPr="007E04F7" w:rsidRDefault="001A2991" w:rsidP="0064597D">
      <w:pPr>
        <w:tabs>
          <w:tab w:val="left" w:pos="567"/>
        </w:tabs>
        <w:spacing w:line="240" w:lineRule="auto"/>
        <w:rPr>
          <w:sz w:val="16"/>
          <w:szCs w:val="16"/>
          <w:lang w:val="es-ES_tradnl"/>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 xml:space="preserve">Cfr. </w:t>
      </w:r>
      <w:r w:rsidRPr="007E04F7">
        <w:rPr>
          <w:bCs/>
          <w:i/>
          <w:sz w:val="16"/>
          <w:szCs w:val="16"/>
          <w:lang w:eastAsia="en-US"/>
        </w:rPr>
        <w:t>Caso Hilaire, Constantine y Benjamin y otros Vs. Trinidad y Tobago</w:t>
      </w:r>
      <w:r w:rsidRPr="007E04F7">
        <w:rPr>
          <w:bCs/>
          <w:sz w:val="16"/>
          <w:szCs w:val="16"/>
          <w:lang w:eastAsia="en-US"/>
        </w:rPr>
        <w:t xml:space="preserve">, </w:t>
      </w:r>
      <w:r w:rsidRPr="007E04F7">
        <w:rPr>
          <w:bCs/>
          <w:i/>
          <w:sz w:val="16"/>
          <w:szCs w:val="16"/>
          <w:lang w:eastAsia="en-US"/>
        </w:rPr>
        <w:t>supra</w:t>
      </w:r>
      <w:r w:rsidRPr="007E04F7">
        <w:rPr>
          <w:bCs/>
          <w:sz w:val="16"/>
          <w:szCs w:val="16"/>
          <w:lang w:eastAsia="en-US"/>
        </w:rPr>
        <w:t xml:space="preserve">, párrs. 167 a 172, y </w:t>
      </w:r>
      <w:r w:rsidRPr="007E04F7">
        <w:rPr>
          <w:rStyle w:val="Textoennegrita"/>
          <w:b w:val="0"/>
          <w:i/>
          <w:sz w:val="16"/>
          <w:szCs w:val="16"/>
        </w:rPr>
        <w:t>Caso Raxcacó Reyes Vs. Guatemala</w:t>
      </w:r>
      <w:r w:rsidRPr="007E04F7">
        <w:rPr>
          <w:i/>
          <w:sz w:val="16"/>
          <w:szCs w:val="16"/>
        </w:rPr>
        <w:t xml:space="preserve">, </w:t>
      </w:r>
      <w:r w:rsidRPr="007E04F7">
        <w:rPr>
          <w:rFonts w:cs="Arial"/>
          <w:i/>
          <w:sz w:val="16"/>
          <w:szCs w:val="16"/>
        </w:rPr>
        <w:t xml:space="preserve">supra, </w:t>
      </w:r>
      <w:r w:rsidRPr="007E04F7">
        <w:rPr>
          <w:rStyle w:val="Textoennegrita"/>
          <w:b w:val="0"/>
          <w:sz w:val="16"/>
          <w:szCs w:val="16"/>
        </w:rPr>
        <w:t>párrs. 100 a 102.</w:t>
      </w:r>
    </w:p>
  </w:footnote>
  <w:footnote w:id="177">
    <w:p w14:paraId="7BC0FE41" w14:textId="176AB9D4"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 Caso Vera Vera y otra Vs. Ecuador. Excepción Preliminar, Fondo, Reparaciones y Costas</w:t>
      </w:r>
      <w:r w:rsidRPr="007E04F7">
        <w:rPr>
          <w:sz w:val="16"/>
          <w:szCs w:val="16"/>
        </w:rPr>
        <w:t xml:space="preserve">. Sentencia de 19 de mayo de 2011. Serie C No. 226, párr. </w:t>
      </w:r>
      <w:r w:rsidRPr="007E04F7">
        <w:rPr>
          <w:sz w:val="16"/>
          <w:szCs w:val="16"/>
          <w:lang w:val="es-ES_tradnl"/>
        </w:rPr>
        <w:t xml:space="preserve">76. Véase también, TEDH, </w:t>
      </w:r>
      <w:r w:rsidRPr="007E04F7">
        <w:rPr>
          <w:i/>
          <w:sz w:val="16"/>
          <w:szCs w:val="16"/>
          <w:lang w:val="es-ES_tradnl"/>
        </w:rPr>
        <w:t>Case of Ireland v. the United Kingdom</w:t>
      </w:r>
      <w:r w:rsidRPr="007E04F7">
        <w:rPr>
          <w:sz w:val="16"/>
          <w:szCs w:val="16"/>
          <w:lang w:val="es-ES_tradnl"/>
        </w:rPr>
        <w:t xml:space="preserve">, no. 5310/71, Sentencia de 18 de enero de 1978, párr. 162; </w:t>
      </w:r>
      <w:r w:rsidRPr="007E04F7">
        <w:rPr>
          <w:i/>
          <w:sz w:val="16"/>
          <w:szCs w:val="16"/>
          <w:lang w:val="es-ES_tradnl"/>
        </w:rPr>
        <w:t>Case of Jalloh v. Germany</w:t>
      </w:r>
      <w:r w:rsidRPr="007E04F7">
        <w:rPr>
          <w:sz w:val="16"/>
          <w:szCs w:val="16"/>
          <w:lang w:val="es-ES_tradnl"/>
        </w:rPr>
        <w:t xml:space="preserve"> [GS], no. 5</w:t>
      </w:r>
      <w:r w:rsidRPr="007E04F7">
        <w:rPr>
          <w:sz w:val="16"/>
          <w:szCs w:val="16"/>
        </w:rPr>
        <w:t>4810/00, Sentencia de 11 de julio de 2006, párr. 67</w:t>
      </w:r>
      <w:r w:rsidRPr="007E04F7">
        <w:rPr>
          <w:sz w:val="16"/>
          <w:szCs w:val="16"/>
          <w:lang w:val="es-ES_tradnl"/>
        </w:rPr>
        <w:t xml:space="preserve"> </w:t>
      </w:r>
      <w:r w:rsidRPr="007E04F7">
        <w:rPr>
          <w:sz w:val="16"/>
          <w:szCs w:val="16"/>
        </w:rPr>
        <w:t xml:space="preserve">y </w:t>
      </w:r>
      <w:r w:rsidRPr="007E04F7">
        <w:rPr>
          <w:rFonts w:cs="Arial"/>
          <w:i/>
          <w:sz w:val="16"/>
          <w:szCs w:val="16"/>
        </w:rPr>
        <w:t xml:space="preserve">Case of Bouyid v. Belgium </w:t>
      </w:r>
      <w:r w:rsidRPr="007E04F7">
        <w:rPr>
          <w:rFonts w:cs="Arial"/>
          <w:sz w:val="16"/>
          <w:szCs w:val="16"/>
        </w:rPr>
        <w:t>[GS], no. 23380/09, Sentencia de 28 de septiembre de 2015, párr. 86.</w:t>
      </w:r>
    </w:p>
  </w:footnote>
  <w:footnote w:id="178">
    <w:p w14:paraId="3B544911" w14:textId="77777777" w:rsidR="001A2991" w:rsidRPr="007E04F7" w:rsidRDefault="001A2991" w:rsidP="0064597D">
      <w:pPr>
        <w:tabs>
          <w:tab w:val="left" w:pos="567"/>
        </w:tabs>
        <w:spacing w:line="240" w:lineRule="auto"/>
        <w:rPr>
          <w:sz w:val="16"/>
          <w:szCs w:val="16"/>
          <w:lang w:val="en-US"/>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Peritaje </w:t>
      </w:r>
      <w:r w:rsidRPr="007E04F7">
        <w:rPr>
          <w:rFonts w:cs="Arial"/>
          <w:bCs/>
          <w:color w:val="000000"/>
          <w:sz w:val="16"/>
          <w:szCs w:val="16"/>
        </w:rPr>
        <w:t>de la licenciada Aída Castro Conde, de 18 de mayo de 2005</w:t>
      </w:r>
      <w:r w:rsidRPr="007E04F7">
        <w:rPr>
          <w:rFonts w:cs="Arial"/>
          <w:b/>
          <w:bCs/>
          <w:color w:val="000000"/>
          <w:sz w:val="16"/>
          <w:szCs w:val="16"/>
        </w:rPr>
        <w:t xml:space="preserve"> </w:t>
      </w:r>
      <w:r w:rsidRPr="007E04F7">
        <w:rPr>
          <w:rFonts w:cs="Arial"/>
          <w:bCs/>
          <w:color w:val="000000"/>
          <w:sz w:val="16"/>
          <w:szCs w:val="16"/>
        </w:rPr>
        <w:t>(expediente de prueba, folio 7531).</w:t>
      </w:r>
      <w:r w:rsidRPr="007E04F7">
        <w:rPr>
          <w:rFonts w:cs="Arial"/>
          <w:b/>
          <w:bCs/>
          <w:color w:val="000000"/>
          <w:sz w:val="16"/>
          <w:szCs w:val="16"/>
        </w:rPr>
        <w:t xml:space="preserve"> </w:t>
      </w:r>
      <w:r w:rsidRPr="007E04F7">
        <w:rPr>
          <w:rFonts w:cs="Arial"/>
          <w:bCs/>
          <w:color w:val="000000"/>
          <w:sz w:val="16"/>
          <w:szCs w:val="16"/>
        </w:rPr>
        <w:t xml:space="preserve">Véase también, </w:t>
      </w:r>
      <w:r w:rsidRPr="007E04F7">
        <w:rPr>
          <w:i/>
          <w:sz w:val="16"/>
          <w:szCs w:val="16"/>
        </w:rPr>
        <w:t xml:space="preserve">Caso Hilaire, Constantine y Benjamin y otros Vs. </w:t>
      </w:r>
      <w:r w:rsidRPr="007E04F7">
        <w:rPr>
          <w:i/>
          <w:sz w:val="16"/>
          <w:szCs w:val="16"/>
          <w:lang w:val="en-US"/>
        </w:rPr>
        <w:t xml:space="preserve">Trinidad y Tobago, supra, </w:t>
      </w:r>
      <w:r w:rsidRPr="007E04F7">
        <w:rPr>
          <w:sz w:val="16"/>
          <w:szCs w:val="16"/>
          <w:lang w:val="en-US"/>
        </w:rPr>
        <w:t>párr. 168.</w:t>
      </w:r>
    </w:p>
  </w:footnote>
  <w:footnote w:id="179">
    <w:p w14:paraId="5DE8FD2F" w14:textId="4EA6CACA" w:rsidR="001A2991" w:rsidRPr="007E04F7" w:rsidRDefault="001A2991" w:rsidP="0064597D">
      <w:pPr>
        <w:tabs>
          <w:tab w:val="left" w:pos="567"/>
        </w:tabs>
        <w:spacing w:line="240" w:lineRule="auto"/>
        <w:rPr>
          <w:sz w:val="16"/>
          <w:szCs w:val="16"/>
          <w:lang w:val="es-ES"/>
        </w:rPr>
      </w:pPr>
      <w:r w:rsidRPr="007E04F7">
        <w:rPr>
          <w:rStyle w:val="Refdenotaalpie"/>
          <w:sz w:val="16"/>
          <w:szCs w:val="16"/>
        </w:rPr>
        <w:footnoteRef/>
      </w:r>
      <w:r w:rsidRPr="007E04F7">
        <w:rPr>
          <w:sz w:val="16"/>
          <w:szCs w:val="16"/>
          <w:lang w:val="en-US"/>
        </w:rPr>
        <w:t xml:space="preserve"> </w:t>
      </w:r>
      <w:r w:rsidRPr="007E04F7">
        <w:rPr>
          <w:sz w:val="16"/>
          <w:szCs w:val="16"/>
          <w:lang w:val="en-US"/>
        </w:rPr>
        <w:tab/>
      </w:r>
      <w:r w:rsidRPr="007E04F7">
        <w:rPr>
          <w:i/>
          <w:iCs/>
          <w:sz w:val="16"/>
          <w:szCs w:val="16"/>
          <w:lang w:val="en-US"/>
        </w:rPr>
        <w:t>Cfr</w:t>
      </w:r>
      <w:r w:rsidRPr="007E04F7">
        <w:rPr>
          <w:sz w:val="16"/>
          <w:szCs w:val="16"/>
          <w:lang w:val="en-US"/>
        </w:rPr>
        <w:t xml:space="preserve">. TEDH, </w:t>
      </w:r>
      <w:r w:rsidRPr="007E04F7">
        <w:rPr>
          <w:i/>
          <w:sz w:val="16"/>
          <w:szCs w:val="16"/>
          <w:lang w:val="en-US"/>
        </w:rPr>
        <w:t xml:space="preserve">Case of Soering v the United Kingdom </w:t>
      </w:r>
      <w:r w:rsidRPr="007E04F7">
        <w:rPr>
          <w:sz w:val="16"/>
          <w:szCs w:val="16"/>
          <w:lang w:val="en-US"/>
        </w:rPr>
        <w:t xml:space="preserve">[GS], </w:t>
      </w:r>
      <w:r w:rsidRPr="007E04F7">
        <w:rPr>
          <w:i/>
          <w:sz w:val="16"/>
          <w:szCs w:val="16"/>
          <w:lang w:val="en-US"/>
        </w:rPr>
        <w:t>supra</w:t>
      </w:r>
      <w:r w:rsidRPr="007E04F7">
        <w:rPr>
          <w:sz w:val="16"/>
          <w:szCs w:val="16"/>
          <w:lang w:val="en-US"/>
        </w:rPr>
        <w:t xml:space="preserve">, párr. </w:t>
      </w:r>
      <w:r w:rsidRPr="007E04F7">
        <w:rPr>
          <w:sz w:val="16"/>
          <w:szCs w:val="16"/>
          <w:lang w:val="es-ES"/>
        </w:rPr>
        <w:t xml:space="preserve">106, y </w:t>
      </w:r>
      <w:r w:rsidRPr="007E04F7">
        <w:rPr>
          <w:i/>
          <w:sz w:val="16"/>
          <w:szCs w:val="16"/>
          <w:lang w:val="es-ES"/>
        </w:rPr>
        <w:t xml:space="preserve">Case of </w:t>
      </w:r>
      <w:r w:rsidRPr="007E04F7">
        <w:rPr>
          <w:i/>
          <w:iCs/>
          <w:sz w:val="16"/>
          <w:szCs w:val="16"/>
          <w:lang w:val="es-ES"/>
        </w:rPr>
        <w:t>Shamayev and others v. Georgia y Rusia</w:t>
      </w:r>
      <w:r w:rsidRPr="007E04F7">
        <w:rPr>
          <w:sz w:val="16"/>
          <w:szCs w:val="16"/>
          <w:lang w:val="es-ES"/>
        </w:rPr>
        <w:t>, no. 36378/02, Sentencia de 12 de abril de 2005, párr. 333.</w:t>
      </w:r>
    </w:p>
  </w:footnote>
  <w:footnote w:id="180">
    <w:p w14:paraId="606AEC58" w14:textId="77777777"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Peritaje de la licenciada Aída Castro Conde, de 18 de mayo de 2005 (expediente de prueba, folio 7528).</w:t>
      </w:r>
    </w:p>
  </w:footnote>
  <w:footnote w:id="181">
    <w:p w14:paraId="111E38E1" w14:textId="2BBAF250"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rStyle w:val="Refdenotaalpie"/>
          <w:sz w:val="16"/>
          <w:szCs w:val="16"/>
          <w:vertAlign w:val="baseline"/>
        </w:rPr>
        <w:t>Artículo</w:t>
      </w:r>
      <w:r w:rsidRPr="007E04F7">
        <w:rPr>
          <w:sz w:val="16"/>
          <w:szCs w:val="16"/>
        </w:rPr>
        <w:t xml:space="preserve"> 8 y 25 </w:t>
      </w:r>
      <w:r w:rsidRPr="007E04F7">
        <w:rPr>
          <w:rStyle w:val="Refdenotaalpie"/>
          <w:sz w:val="16"/>
          <w:szCs w:val="16"/>
          <w:vertAlign w:val="baseline"/>
        </w:rPr>
        <w:t>de</w:t>
      </w:r>
      <w:r w:rsidRPr="007E04F7">
        <w:rPr>
          <w:sz w:val="16"/>
          <w:szCs w:val="16"/>
        </w:rPr>
        <w:t xml:space="preserve"> la </w:t>
      </w:r>
      <w:r w:rsidRPr="007E04F7">
        <w:rPr>
          <w:rStyle w:val="Refdenotaalpie"/>
          <w:sz w:val="16"/>
          <w:szCs w:val="16"/>
          <w:vertAlign w:val="baseline"/>
        </w:rPr>
        <w:t>Convención</w:t>
      </w:r>
      <w:r w:rsidRPr="007E04F7">
        <w:rPr>
          <w:sz w:val="16"/>
          <w:szCs w:val="16"/>
        </w:rPr>
        <w:t xml:space="preserve"> Americana.</w:t>
      </w:r>
    </w:p>
  </w:footnote>
  <w:footnote w:id="182">
    <w:p w14:paraId="4338B5FD" w14:textId="0D2CABAC" w:rsidR="001A2991" w:rsidRPr="007E04F7" w:rsidRDefault="001A2991" w:rsidP="0064597D">
      <w:pPr>
        <w:pStyle w:val="Textonotapie"/>
        <w:rPr>
          <w:sz w:val="16"/>
          <w:szCs w:val="16"/>
        </w:rPr>
      </w:pPr>
      <w:r w:rsidRPr="007E04F7">
        <w:rPr>
          <w:rStyle w:val="Refdenotaalpie"/>
          <w:sz w:val="16"/>
          <w:szCs w:val="16"/>
        </w:rPr>
        <w:footnoteRef/>
      </w:r>
      <w:r w:rsidRPr="007E04F7">
        <w:rPr>
          <w:sz w:val="16"/>
          <w:szCs w:val="16"/>
        </w:rPr>
        <w:t xml:space="preserve"> </w:t>
      </w:r>
      <w:r w:rsidRPr="007E04F7">
        <w:rPr>
          <w:sz w:val="16"/>
          <w:szCs w:val="16"/>
        </w:rPr>
        <w:tab/>
        <w:t xml:space="preserve">Los representantes indicaron que, en primer lugar, se vio privado de presentar prueba de descargo durante el debate debido a que el memorial fue rechazado ya que no contaba con la firma y el sello del defensor, a pesar de que esta formalidad no era exigida por el Código Procesal Penal. En segundo lugar, el día en el que tenía que celebrarse la audiencia de debate, el abogado abandonó súbita e injustificadamente a la víctima en una etapa crucial del proceso. </w:t>
      </w:r>
    </w:p>
  </w:footnote>
  <w:footnote w:id="183">
    <w:p w14:paraId="71AA7E4D" w14:textId="3BBEA97B"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 Caso Castillo Petruzzi y otros Vs. Perú. Excepciones Preliminares.</w:t>
      </w:r>
      <w:r w:rsidRPr="007E04F7">
        <w:rPr>
          <w:sz w:val="16"/>
          <w:szCs w:val="16"/>
        </w:rPr>
        <w:t xml:space="preserve"> Sentencia de 4 de septiembre de 1998. Serie C No. 41, párr. 83, y </w:t>
      </w:r>
      <w:r w:rsidRPr="007E04F7">
        <w:rPr>
          <w:i/>
          <w:sz w:val="16"/>
          <w:szCs w:val="16"/>
        </w:rPr>
        <w:t>Caso Mémoli Vs. Argentina. Excepciones Preliminares, Fondo, Reparaciones y Costas.</w:t>
      </w:r>
      <w:r w:rsidRPr="007E04F7">
        <w:rPr>
          <w:sz w:val="16"/>
          <w:szCs w:val="16"/>
        </w:rPr>
        <w:t xml:space="preserve"> Sentencia de 22 de agosto de 2013. Serie C No. 265, párr. 190.</w:t>
      </w:r>
    </w:p>
  </w:footnote>
  <w:footnote w:id="184">
    <w:p w14:paraId="34BC568B" w14:textId="58A68D6A" w:rsidR="001A2991" w:rsidRPr="007E04F7" w:rsidRDefault="001A2991" w:rsidP="0064597D">
      <w:pPr>
        <w:tabs>
          <w:tab w:val="left" w:pos="567"/>
        </w:tabs>
        <w:spacing w:line="240" w:lineRule="auto"/>
        <w:rPr>
          <w:sz w:val="16"/>
          <w:szCs w:val="16"/>
          <w:lang w:val="es-ES"/>
        </w:rPr>
      </w:pPr>
      <w:r w:rsidRPr="007E04F7">
        <w:rPr>
          <w:rStyle w:val="Refdenotaalpie"/>
          <w:sz w:val="16"/>
          <w:szCs w:val="16"/>
        </w:rPr>
        <w:footnoteRef/>
      </w:r>
      <w:r w:rsidRPr="007E04F7">
        <w:rPr>
          <w:sz w:val="16"/>
          <w:szCs w:val="16"/>
          <w:lang w:val="es-ES"/>
        </w:rPr>
        <w:t xml:space="preserve"> </w:t>
      </w:r>
      <w:r w:rsidRPr="007E04F7">
        <w:rPr>
          <w:sz w:val="16"/>
          <w:szCs w:val="16"/>
          <w:lang w:val="es-ES"/>
        </w:rPr>
        <w:tab/>
      </w:r>
      <w:r w:rsidRPr="007E04F7">
        <w:rPr>
          <w:i/>
          <w:iCs/>
          <w:sz w:val="16"/>
          <w:szCs w:val="16"/>
          <w:lang w:val="es-ES"/>
        </w:rPr>
        <w:t>Cfr. Caso Hilaire, Constantine y Benjamin y otros</w:t>
      </w:r>
      <w:r w:rsidRPr="007E04F7">
        <w:rPr>
          <w:sz w:val="16"/>
          <w:szCs w:val="16"/>
          <w:lang w:val="es-ES"/>
        </w:rPr>
        <w:t xml:space="preserve">, </w:t>
      </w:r>
      <w:r w:rsidRPr="007E04F7">
        <w:rPr>
          <w:i/>
          <w:sz w:val="16"/>
          <w:szCs w:val="16"/>
          <w:lang w:val="es-ES"/>
        </w:rPr>
        <w:t>supra</w:t>
      </w:r>
      <w:r w:rsidRPr="007E04F7">
        <w:rPr>
          <w:sz w:val="16"/>
          <w:szCs w:val="16"/>
          <w:lang w:val="es-ES"/>
        </w:rPr>
        <w:t xml:space="preserve">, párr. 101, y </w:t>
      </w:r>
      <w:r w:rsidRPr="007E04F7">
        <w:rPr>
          <w:i/>
          <w:iCs/>
          <w:sz w:val="16"/>
          <w:szCs w:val="16"/>
          <w:lang w:val="es-ES"/>
        </w:rPr>
        <w:t>Caso Fermín Ramírez Vs. Guatemala, supra</w:t>
      </w:r>
      <w:r w:rsidRPr="007E04F7">
        <w:rPr>
          <w:sz w:val="16"/>
          <w:szCs w:val="16"/>
          <w:lang w:val="es-ES"/>
        </w:rPr>
        <w:t xml:space="preserve">, párr. 63.  </w:t>
      </w:r>
    </w:p>
  </w:footnote>
  <w:footnote w:id="185">
    <w:p w14:paraId="00943A77" w14:textId="77777777"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rFonts w:cs="Verdana"/>
          <w:i/>
          <w:iCs/>
          <w:sz w:val="16"/>
          <w:szCs w:val="16"/>
        </w:rPr>
        <w:t xml:space="preserve">Cfr. </w:t>
      </w:r>
      <w:r w:rsidRPr="007E04F7">
        <w:rPr>
          <w:rFonts w:cs="Verdana"/>
          <w:sz w:val="16"/>
          <w:szCs w:val="16"/>
        </w:rPr>
        <w:t>Sentencia emitida por la Sala Cuarta de la Corte de Apelaciones de Guatemala, de 13 de septiembre de 1999 (expediente de prueba, folio 113).</w:t>
      </w:r>
    </w:p>
  </w:footnote>
  <w:footnote w:id="186">
    <w:p w14:paraId="2ABD586C" w14:textId="77777777" w:rsidR="001A2991" w:rsidRPr="007E04F7" w:rsidRDefault="001A2991" w:rsidP="0064597D">
      <w:pPr>
        <w:tabs>
          <w:tab w:val="left" w:pos="567"/>
        </w:tabs>
        <w:spacing w:line="240" w:lineRule="auto"/>
        <w:rPr>
          <w:sz w:val="16"/>
          <w:szCs w:val="16"/>
          <w:lang w:val="es-ES" w:eastAsia="en-US"/>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 xml:space="preserve">Cfr. </w:t>
      </w:r>
      <w:r w:rsidRPr="007E04F7">
        <w:rPr>
          <w:bCs/>
          <w:i/>
          <w:sz w:val="16"/>
          <w:szCs w:val="16"/>
          <w:lang w:val="es-ES" w:eastAsia="en-US"/>
        </w:rPr>
        <w:t>Caso Barreto Leiva Vs. Venezuela. Fondo, Reparaciones y Costa</w:t>
      </w:r>
      <w:r w:rsidRPr="007E04F7">
        <w:rPr>
          <w:bCs/>
          <w:sz w:val="16"/>
          <w:szCs w:val="16"/>
          <w:lang w:val="es-ES" w:eastAsia="en-US"/>
        </w:rPr>
        <w:t xml:space="preserve">s. Sentencia de 17 de noviembre de 2009. Serie C No. 206, párr. 29 y </w:t>
      </w:r>
      <w:r w:rsidRPr="007E04F7">
        <w:rPr>
          <w:bCs/>
          <w:i/>
          <w:sz w:val="16"/>
          <w:szCs w:val="16"/>
          <w:lang w:val="es-ES" w:eastAsia="en-US"/>
        </w:rPr>
        <w:t>Caso Ruano Torres y otros Vs. El Salvador. Fondo, Reparaciones y Costas.</w:t>
      </w:r>
      <w:r w:rsidRPr="007E04F7">
        <w:rPr>
          <w:bCs/>
          <w:sz w:val="16"/>
          <w:szCs w:val="16"/>
          <w:lang w:val="es-ES" w:eastAsia="en-US"/>
        </w:rPr>
        <w:t xml:space="preserve"> Sentencia de 5 de octubre de 2015. Serie C No. 303, párr. 153.</w:t>
      </w:r>
      <w:r w:rsidRPr="007E04F7">
        <w:rPr>
          <w:b/>
          <w:bCs/>
          <w:sz w:val="16"/>
          <w:szCs w:val="16"/>
          <w:lang w:val="es-ES" w:eastAsia="en-US"/>
        </w:rPr>
        <w:t xml:space="preserve"> </w:t>
      </w:r>
    </w:p>
  </w:footnote>
  <w:footnote w:id="187">
    <w:p w14:paraId="3CF5FED3" w14:textId="6FD419F3"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 xml:space="preserve">Cfr. </w:t>
      </w:r>
      <w:r w:rsidRPr="007E04F7">
        <w:rPr>
          <w:bCs/>
          <w:i/>
          <w:sz w:val="16"/>
          <w:szCs w:val="16"/>
          <w:lang w:val="es-ES" w:eastAsia="en-US"/>
        </w:rPr>
        <w:t>Caso Barreto Leiva Vs. Venezuela</w:t>
      </w:r>
      <w:r w:rsidRPr="007E04F7">
        <w:rPr>
          <w:sz w:val="16"/>
          <w:szCs w:val="16"/>
          <w:lang w:val="es-ES"/>
        </w:rPr>
        <w:t xml:space="preserve">, </w:t>
      </w:r>
      <w:r w:rsidRPr="007E04F7">
        <w:rPr>
          <w:i/>
          <w:sz w:val="16"/>
          <w:szCs w:val="16"/>
          <w:lang w:val="es-ES"/>
        </w:rPr>
        <w:t>supra</w:t>
      </w:r>
      <w:r w:rsidRPr="007E04F7">
        <w:rPr>
          <w:sz w:val="16"/>
          <w:szCs w:val="16"/>
          <w:lang w:val="es-ES"/>
        </w:rPr>
        <w:t>,</w:t>
      </w:r>
      <w:r w:rsidRPr="007E04F7">
        <w:rPr>
          <w:bCs/>
          <w:sz w:val="16"/>
          <w:szCs w:val="16"/>
          <w:lang w:val="es-ES" w:eastAsia="en-US"/>
        </w:rPr>
        <w:t xml:space="preserve"> párr. 29 y </w:t>
      </w:r>
      <w:r w:rsidRPr="007E04F7">
        <w:rPr>
          <w:bCs/>
          <w:i/>
          <w:sz w:val="16"/>
          <w:szCs w:val="16"/>
          <w:lang w:val="es-ES" w:eastAsia="en-US"/>
        </w:rPr>
        <w:t>Caso Ruano Torres y otros Vs. El Salvador</w:t>
      </w:r>
      <w:r w:rsidRPr="007E04F7">
        <w:rPr>
          <w:sz w:val="16"/>
          <w:szCs w:val="16"/>
          <w:lang w:val="es-ES"/>
        </w:rPr>
        <w:t xml:space="preserve">, </w:t>
      </w:r>
      <w:r w:rsidRPr="007E04F7">
        <w:rPr>
          <w:i/>
          <w:sz w:val="16"/>
          <w:szCs w:val="16"/>
          <w:lang w:val="es-ES"/>
        </w:rPr>
        <w:t>supra</w:t>
      </w:r>
      <w:r w:rsidRPr="007E04F7">
        <w:rPr>
          <w:sz w:val="16"/>
          <w:szCs w:val="16"/>
          <w:lang w:val="es-ES"/>
        </w:rPr>
        <w:t>,</w:t>
      </w:r>
      <w:r w:rsidRPr="007E04F7">
        <w:rPr>
          <w:bCs/>
          <w:sz w:val="16"/>
          <w:szCs w:val="16"/>
          <w:lang w:eastAsia="en-US"/>
        </w:rPr>
        <w:t xml:space="preserve"> párr. 153.</w:t>
      </w:r>
    </w:p>
  </w:footnote>
  <w:footnote w:id="188">
    <w:p w14:paraId="46E296A8" w14:textId="77777777"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rFonts w:cs="Verdana"/>
          <w:i/>
          <w:iCs/>
          <w:sz w:val="16"/>
          <w:szCs w:val="16"/>
        </w:rPr>
        <w:t xml:space="preserve">Cfr. </w:t>
      </w:r>
      <w:r w:rsidRPr="007E04F7">
        <w:rPr>
          <w:rFonts w:cs="Verdana"/>
          <w:sz w:val="16"/>
          <w:szCs w:val="16"/>
        </w:rPr>
        <w:t>Sentencia emitida por la Sala Cuarta de la Corte de Apelaciones de Guatemala, de 13 de septiembre de 1999 (expediente de prueba, folio 113).</w:t>
      </w:r>
    </w:p>
  </w:footnote>
  <w:footnote w:id="189">
    <w:p w14:paraId="46A4BA3A" w14:textId="77777777"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rFonts w:cs="Verdana"/>
          <w:i/>
          <w:iCs/>
          <w:sz w:val="16"/>
          <w:szCs w:val="16"/>
        </w:rPr>
        <w:t xml:space="preserve">Cfr. </w:t>
      </w:r>
      <w:r w:rsidRPr="007E04F7">
        <w:rPr>
          <w:rFonts w:cs="Verdana"/>
          <w:sz w:val="16"/>
          <w:szCs w:val="16"/>
        </w:rPr>
        <w:t>Sentencia emitida por la Sala Cuarta de la Corte de Apelaciones de Guatemala, de 13 de septiembre de 1999 (expediente de prueba, folio 113).</w:t>
      </w:r>
    </w:p>
  </w:footnote>
  <w:footnote w:id="190">
    <w:p w14:paraId="2C38B4BE" w14:textId="060C2AA3"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Acta de debate C-4-98. Declaración de Hugo Humberto Ruiz Fuentes en audiencias de juicio oral y público ante el Tribunal Sexto de Sentencia Penal, Narcoactividad y Delitos contra el Ambiente, de 21 de abril de 1999 (expediente de prueba, folio 1135).</w:t>
      </w:r>
    </w:p>
  </w:footnote>
  <w:footnote w:id="191">
    <w:p w14:paraId="6152CCFF" w14:textId="3A82DADF"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Acta de debate C-4-98. Declaración de Hugo Humberto Ruiz Fuentes en audiencias de juicio oral y público ante el Tribunal Sexto de Sentencia Penal, Narcoactividad y Delitos contra el Ambiente, de 21 de abril de 1999 (expediente de prueba, folio 1136).</w:t>
      </w:r>
    </w:p>
  </w:footnote>
  <w:footnote w:id="192">
    <w:p w14:paraId="44448D9B" w14:textId="0FA5D711"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Acta de debate C-4-98. Declaración de Hugo Humberto Ruiz Fuentes en audiencias de juicio oral y público ante el Tribunal Sexto de Sentencia Penal, Narcoactividad y Delitos contra el Ambiente, de 21 de abril de 1999 (expediente de prueba, folio 1136).</w:t>
      </w:r>
    </w:p>
  </w:footnote>
  <w:footnote w:id="193">
    <w:p w14:paraId="3E78D5F6" w14:textId="06C80501"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 xml:space="preserve">Cfr. </w:t>
      </w:r>
      <w:r w:rsidRPr="007E04F7">
        <w:rPr>
          <w:rFonts w:cs="Arial"/>
          <w:i/>
          <w:sz w:val="16"/>
          <w:szCs w:val="16"/>
        </w:rPr>
        <w:t>Caso Palamara Iribarne vs. Chile</w:t>
      </w:r>
      <w:r w:rsidRPr="007E04F7">
        <w:rPr>
          <w:sz w:val="16"/>
          <w:szCs w:val="16"/>
          <w:lang w:val="es-ES"/>
        </w:rPr>
        <w:t xml:space="preserve">, </w:t>
      </w:r>
      <w:r w:rsidRPr="007E04F7">
        <w:rPr>
          <w:i/>
          <w:sz w:val="16"/>
          <w:szCs w:val="16"/>
          <w:lang w:val="es-ES"/>
        </w:rPr>
        <w:t>supra</w:t>
      </w:r>
      <w:r w:rsidRPr="007E04F7">
        <w:rPr>
          <w:sz w:val="16"/>
          <w:szCs w:val="16"/>
          <w:lang w:val="es-ES"/>
        </w:rPr>
        <w:t>,</w:t>
      </w:r>
      <w:r w:rsidRPr="007E04F7">
        <w:rPr>
          <w:rFonts w:cs="Arial"/>
          <w:sz w:val="16"/>
          <w:szCs w:val="16"/>
        </w:rPr>
        <w:t xml:space="preserve"> párr. 170, y </w:t>
      </w:r>
      <w:r w:rsidRPr="007E04F7">
        <w:rPr>
          <w:rFonts w:cs="Arial"/>
          <w:i/>
          <w:sz w:val="16"/>
          <w:szCs w:val="16"/>
        </w:rPr>
        <w:t>Caso Cabrera García y Montiel Flores Vs. México</w:t>
      </w:r>
      <w:r w:rsidRPr="007E04F7">
        <w:rPr>
          <w:rFonts w:cs="Arial"/>
          <w:sz w:val="16"/>
          <w:szCs w:val="16"/>
        </w:rPr>
        <w:t xml:space="preserve">, </w:t>
      </w:r>
      <w:r w:rsidRPr="007E04F7">
        <w:rPr>
          <w:rFonts w:cs="Arial"/>
          <w:i/>
          <w:sz w:val="16"/>
          <w:szCs w:val="16"/>
        </w:rPr>
        <w:t>supra</w:t>
      </w:r>
      <w:r w:rsidRPr="007E04F7">
        <w:rPr>
          <w:rFonts w:cs="Arial"/>
          <w:sz w:val="16"/>
          <w:szCs w:val="16"/>
        </w:rPr>
        <w:t>, párr. 156.</w:t>
      </w:r>
    </w:p>
  </w:footnote>
  <w:footnote w:id="194">
    <w:p w14:paraId="232A9DDD" w14:textId="51DD6BD7"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w:t>
      </w:r>
      <w:r w:rsidRPr="007E04F7">
        <w:rPr>
          <w:rFonts w:cs="Arial"/>
          <w:i/>
          <w:sz w:val="16"/>
          <w:szCs w:val="16"/>
        </w:rPr>
        <w:t>Caso Barreto Leiva Vs. Venezuela</w:t>
      </w:r>
      <w:r w:rsidRPr="007E04F7">
        <w:rPr>
          <w:sz w:val="16"/>
          <w:szCs w:val="16"/>
          <w:lang w:val="es-ES"/>
        </w:rPr>
        <w:t xml:space="preserve">, </w:t>
      </w:r>
      <w:r w:rsidRPr="007E04F7">
        <w:rPr>
          <w:i/>
          <w:sz w:val="16"/>
          <w:szCs w:val="16"/>
          <w:lang w:val="es-ES"/>
        </w:rPr>
        <w:t>supra</w:t>
      </w:r>
      <w:r w:rsidRPr="007E04F7">
        <w:rPr>
          <w:sz w:val="16"/>
          <w:szCs w:val="16"/>
          <w:lang w:val="es-ES"/>
        </w:rPr>
        <w:t>,</w:t>
      </w:r>
      <w:r w:rsidRPr="007E04F7">
        <w:rPr>
          <w:rFonts w:cs="Arial"/>
          <w:sz w:val="16"/>
          <w:szCs w:val="16"/>
        </w:rPr>
        <w:t xml:space="preserve"> párr. 55 y </w:t>
      </w:r>
      <w:r w:rsidRPr="007E04F7">
        <w:rPr>
          <w:rFonts w:cs="Arial"/>
          <w:i/>
          <w:sz w:val="16"/>
          <w:szCs w:val="16"/>
        </w:rPr>
        <w:t>Caso J. Vs. Perú. Excepción Preliminar, Fondo, Reparaciones y Costas</w:t>
      </w:r>
      <w:r w:rsidRPr="007E04F7">
        <w:rPr>
          <w:rFonts w:cs="Arial"/>
          <w:sz w:val="16"/>
          <w:szCs w:val="16"/>
        </w:rPr>
        <w:t>. Sentencia de 27 de noviembre de 2013. Serie C No. 275, párr. 206.</w:t>
      </w:r>
    </w:p>
  </w:footnote>
  <w:footnote w:id="195">
    <w:p w14:paraId="0BE26228" w14:textId="3C539B1B"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Acta de debate C-4-98. Declaración de Hugo Humberto Ruiz Fuentes en audiencias de juicio oral y público ante el Tribunal Sexto de Sentencia Penal, Narcoactividad y Delitos contra el Ambiente, de 21 de abril de 1999 (expediente de prueba, folios 1135 y 1136).</w:t>
      </w:r>
    </w:p>
  </w:footnote>
  <w:footnote w:id="196">
    <w:p w14:paraId="231D18AA" w14:textId="619A20F0"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 mutatis mutandis</w:t>
      </w:r>
      <w:r w:rsidRPr="007E04F7">
        <w:rPr>
          <w:sz w:val="16"/>
          <w:szCs w:val="16"/>
        </w:rPr>
        <w:t xml:space="preserve">, el </w:t>
      </w:r>
      <w:r w:rsidRPr="007E04F7">
        <w:rPr>
          <w:i/>
          <w:sz w:val="16"/>
          <w:szCs w:val="16"/>
        </w:rPr>
        <w:t>Caso Castillo Petruzzi y otros Vs. Perú</w:t>
      </w:r>
      <w:r w:rsidRPr="007E04F7">
        <w:rPr>
          <w:sz w:val="16"/>
          <w:szCs w:val="16"/>
        </w:rPr>
        <w:t xml:space="preserve">, donde los abogados sólo tuvieron acceso al expediente el día anterior al de la emisión de la sentencia de primera instancia, en virtud de lo cual la Corte concluyó que la presencia y actuación de los defensores fueron meramente formales y que las víctimas no contaron con una defensa adecuada. Véase también, </w:t>
      </w:r>
      <w:r w:rsidRPr="007E04F7">
        <w:rPr>
          <w:i/>
          <w:sz w:val="16"/>
          <w:szCs w:val="16"/>
        </w:rPr>
        <w:t>Caso Castillo Petruzzi y otros Vs. Perú</w:t>
      </w:r>
      <w:r w:rsidRPr="007E04F7">
        <w:rPr>
          <w:sz w:val="16"/>
          <w:szCs w:val="16"/>
        </w:rPr>
        <w:t>.</w:t>
      </w:r>
      <w:r w:rsidRPr="007E04F7">
        <w:rPr>
          <w:i/>
          <w:sz w:val="16"/>
          <w:szCs w:val="16"/>
        </w:rPr>
        <w:t>Fondo, Reparaciones y Costas</w:t>
      </w:r>
      <w:r w:rsidRPr="007E04F7">
        <w:rPr>
          <w:sz w:val="16"/>
          <w:szCs w:val="16"/>
        </w:rPr>
        <w:t>. Sentencia de 30 de mayo de 1999. Serie C No. 52, pár. 141.</w:t>
      </w:r>
    </w:p>
  </w:footnote>
  <w:footnote w:id="197">
    <w:p w14:paraId="43A2DD42" w14:textId="4274B867" w:rsidR="001A2991" w:rsidRPr="007E04F7" w:rsidRDefault="001A2991" w:rsidP="0064597D">
      <w:pPr>
        <w:tabs>
          <w:tab w:val="left" w:pos="567"/>
        </w:tabs>
        <w:spacing w:line="240" w:lineRule="auto"/>
        <w:rPr>
          <w:sz w:val="16"/>
          <w:szCs w:val="16"/>
          <w:lang w:val="es-ES_tradnl"/>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w:t>
      </w:r>
      <w:r w:rsidRPr="007E04F7">
        <w:rPr>
          <w:i/>
          <w:sz w:val="16"/>
          <w:szCs w:val="16"/>
        </w:rPr>
        <w:t>Caso de la “Panel Blanca” (Paniagua Morales y otros) Vs. Guatemala. Fondo</w:t>
      </w:r>
      <w:r w:rsidRPr="007E04F7">
        <w:rPr>
          <w:sz w:val="16"/>
          <w:szCs w:val="16"/>
        </w:rPr>
        <w:t xml:space="preserve">. Sentencia de 8 de marzo de 1998. Serie C No. 37, párr. 152, y </w:t>
      </w:r>
      <w:r w:rsidRPr="007E04F7">
        <w:rPr>
          <w:rStyle w:val="Textoennegrita"/>
          <w:b w:val="0"/>
          <w:i/>
          <w:sz w:val="16"/>
          <w:szCs w:val="16"/>
        </w:rPr>
        <w:t>Caso Barreto Leiva Vs. Venezuela</w:t>
      </w:r>
      <w:r w:rsidRPr="007E04F7">
        <w:rPr>
          <w:sz w:val="16"/>
          <w:szCs w:val="16"/>
          <w:lang w:val="es-ES"/>
        </w:rPr>
        <w:t xml:space="preserve">, </w:t>
      </w:r>
      <w:r w:rsidRPr="007E04F7">
        <w:rPr>
          <w:i/>
          <w:sz w:val="16"/>
          <w:szCs w:val="16"/>
          <w:lang w:val="es-ES"/>
        </w:rPr>
        <w:t>supra</w:t>
      </w:r>
      <w:r w:rsidRPr="007E04F7">
        <w:rPr>
          <w:sz w:val="16"/>
          <w:szCs w:val="16"/>
          <w:lang w:val="es-ES"/>
        </w:rPr>
        <w:t>,</w:t>
      </w:r>
      <w:r w:rsidRPr="007E04F7">
        <w:rPr>
          <w:rStyle w:val="Textoennegrita"/>
          <w:b w:val="0"/>
          <w:sz w:val="16"/>
          <w:szCs w:val="16"/>
        </w:rPr>
        <w:t xml:space="preserve"> párr. 54.</w:t>
      </w:r>
    </w:p>
  </w:footnote>
  <w:footnote w:id="198">
    <w:p w14:paraId="45EB95B7" w14:textId="77777777" w:rsidR="001A2991" w:rsidRPr="007E04F7" w:rsidRDefault="001A2991" w:rsidP="0064597D">
      <w:pPr>
        <w:tabs>
          <w:tab w:val="left" w:pos="567"/>
        </w:tabs>
        <w:spacing w:line="240" w:lineRule="auto"/>
        <w:rPr>
          <w:sz w:val="16"/>
          <w:szCs w:val="16"/>
        </w:rPr>
      </w:pPr>
      <w:r w:rsidRPr="007E04F7">
        <w:rPr>
          <w:rStyle w:val="Refdenotaalpie"/>
          <w:rFonts w:eastAsiaTheme="majorEastAsia"/>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w:t>
      </w:r>
      <w:r w:rsidRPr="007E04F7">
        <w:rPr>
          <w:rStyle w:val="Textoennegrita"/>
          <w:b w:val="0"/>
          <w:i/>
          <w:sz w:val="16"/>
          <w:szCs w:val="16"/>
          <w:shd w:val="clear" w:color="auto" w:fill="FFFFFF"/>
        </w:rPr>
        <w:t>Caso Herrera Ulloa Vs. Costa Rica. Excepciones Preliminares, Fondo, Reparaciones y Costas.</w:t>
      </w:r>
      <w:r w:rsidRPr="007E04F7">
        <w:rPr>
          <w:rStyle w:val="Textoennegrita"/>
          <w:b w:val="0"/>
          <w:sz w:val="16"/>
          <w:szCs w:val="16"/>
          <w:shd w:val="clear" w:color="auto" w:fill="FFFFFF"/>
        </w:rPr>
        <w:t xml:space="preserve"> Sentencia de 2 de julio de 2004. Serie C No. 107</w:t>
      </w:r>
      <w:r w:rsidRPr="007E04F7">
        <w:rPr>
          <w:i/>
          <w:sz w:val="16"/>
          <w:szCs w:val="16"/>
        </w:rPr>
        <w:t>,</w:t>
      </w:r>
      <w:r w:rsidRPr="007E04F7">
        <w:rPr>
          <w:sz w:val="16"/>
          <w:szCs w:val="16"/>
        </w:rPr>
        <w:t xml:space="preserve"> párr. 158, y</w:t>
      </w:r>
      <w:r w:rsidRPr="007E04F7">
        <w:rPr>
          <w:i/>
          <w:sz w:val="16"/>
          <w:szCs w:val="16"/>
        </w:rPr>
        <w:t xml:space="preserve"> </w:t>
      </w:r>
      <w:r w:rsidRPr="007E04F7">
        <w:rPr>
          <w:rStyle w:val="Textoennegrita"/>
          <w:b w:val="0"/>
          <w:i/>
          <w:sz w:val="16"/>
          <w:szCs w:val="16"/>
          <w:shd w:val="clear" w:color="auto" w:fill="FFFFFF"/>
        </w:rPr>
        <w:t>Caso Amrhein y otros Vs. Costa Rica. Excepciones Preliminares, Fondo, Reparaciones y Costas.</w:t>
      </w:r>
      <w:r w:rsidRPr="007E04F7">
        <w:rPr>
          <w:rStyle w:val="Textoennegrita"/>
          <w:b w:val="0"/>
          <w:sz w:val="16"/>
          <w:szCs w:val="16"/>
          <w:shd w:val="clear" w:color="auto" w:fill="FFFFFF"/>
        </w:rPr>
        <w:t xml:space="preserve"> Sentencia de 25 de abril de 2018. Serie C No. 354, párr. 255.</w:t>
      </w:r>
    </w:p>
  </w:footnote>
  <w:footnote w:id="199">
    <w:p w14:paraId="79DB60CC" w14:textId="407B287B" w:rsidR="001A2991" w:rsidRPr="007E04F7" w:rsidRDefault="001A2991" w:rsidP="0064597D">
      <w:pPr>
        <w:tabs>
          <w:tab w:val="left" w:pos="567"/>
        </w:tabs>
        <w:spacing w:line="240" w:lineRule="auto"/>
        <w:rPr>
          <w:sz w:val="16"/>
          <w:szCs w:val="16"/>
        </w:rPr>
      </w:pPr>
      <w:r w:rsidRPr="007E04F7">
        <w:rPr>
          <w:rStyle w:val="Refdenotaalpie"/>
          <w:rFonts w:eastAsiaTheme="majorEastAsia"/>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w:t>
      </w:r>
      <w:r w:rsidRPr="007E04F7">
        <w:rPr>
          <w:i/>
          <w:sz w:val="16"/>
          <w:szCs w:val="16"/>
        </w:rPr>
        <w:t>Caso Mohamed Vs. Argentina. Excepción Preliminar, Fondo, Reparaciones y Costas</w:t>
      </w:r>
      <w:r w:rsidRPr="007E04F7">
        <w:rPr>
          <w:sz w:val="16"/>
          <w:szCs w:val="16"/>
        </w:rPr>
        <w:t xml:space="preserve">. Sentencia de 23 noviembre de 2012. Serie C No. 255, párrs. 92 y 93, y </w:t>
      </w:r>
      <w:r w:rsidRPr="007E04F7">
        <w:rPr>
          <w:rStyle w:val="Textoennegrita"/>
          <w:b w:val="0"/>
          <w:i/>
          <w:sz w:val="16"/>
          <w:szCs w:val="16"/>
          <w:shd w:val="clear" w:color="auto" w:fill="FFFFFF"/>
        </w:rPr>
        <w:t>Caso Gorigoitía Vs. Argentina. Excepciones Preliminares, Fondo, Reparaciones y Costas.</w:t>
      </w:r>
      <w:r w:rsidRPr="007E04F7">
        <w:rPr>
          <w:rStyle w:val="Textoennegrita"/>
          <w:b w:val="0"/>
          <w:sz w:val="16"/>
          <w:szCs w:val="16"/>
          <w:shd w:val="clear" w:color="auto" w:fill="FFFFFF"/>
        </w:rPr>
        <w:t xml:space="preserve"> Sentencia de 2 de septiembre de 2019. Serie C No. 382, párr. 47.</w:t>
      </w:r>
    </w:p>
  </w:footnote>
  <w:footnote w:id="200">
    <w:p w14:paraId="701D71B6" w14:textId="022853A6" w:rsidR="001A2991" w:rsidRPr="007E04F7" w:rsidRDefault="001A2991" w:rsidP="0064597D">
      <w:pPr>
        <w:tabs>
          <w:tab w:val="left" w:pos="567"/>
        </w:tabs>
        <w:spacing w:line="240" w:lineRule="auto"/>
        <w:rPr>
          <w:sz w:val="16"/>
          <w:szCs w:val="16"/>
        </w:rPr>
      </w:pPr>
      <w:r w:rsidRPr="007E04F7">
        <w:rPr>
          <w:rStyle w:val="Refdenotaalpie"/>
          <w:rFonts w:eastAsiaTheme="majorEastAsia"/>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w:t>
      </w:r>
      <w:r w:rsidRPr="007E04F7">
        <w:rPr>
          <w:i/>
          <w:sz w:val="16"/>
          <w:szCs w:val="16"/>
        </w:rPr>
        <w:t xml:space="preserve">Caso Baena Ricardo y otros Vs. Panamá. Fondo, Reparaciones y Costas. </w:t>
      </w:r>
      <w:r w:rsidRPr="007E04F7">
        <w:rPr>
          <w:sz w:val="16"/>
          <w:szCs w:val="16"/>
        </w:rPr>
        <w:t xml:space="preserve">Sentencia de 2 de febrero de 2001. Serie C No. 72, párr. 107, y </w:t>
      </w:r>
      <w:r w:rsidRPr="007E04F7">
        <w:rPr>
          <w:rStyle w:val="Textoennegrita"/>
          <w:b w:val="0"/>
          <w:i/>
          <w:sz w:val="16"/>
          <w:szCs w:val="16"/>
          <w:shd w:val="clear" w:color="auto" w:fill="FFFFFF"/>
        </w:rPr>
        <w:t>Caso Gorigoitía Vs. Argentina. Excepciones Preliminares, Fondo, Reparaciones y Costas, supra</w:t>
      </w:r>
      <w:r w:rsidRPr="007E04F7">
        <w:rPr>
          <w:rStyle w:val="Textoennegrita"/>
          <w:b w:val="0"/>
          <w:sz w:val="16"/>
          <w:szCs w:val="16"/>
          <w:shd w:val="clear" w:color="auto" w:fill="FFFFFF"/>
        </w:rPr>
        <w:t>, párr. 47.</w:t>
      </w:r>
    </w:p>
  </w:footnote>
  <w:footnote w:id="201">
    <w:p w14:paraId="34A039D8" w14:textId="2A15388D" w:rsidR="001A2991" w:rsidRPr="007E04F7" w:rsidRDefault="001A2991" w:rsidP="0064597D">
      <w:pPr>
        <w:tabs>
          <w:tab w:val="left" w:pos="567"/>
        </w:tabs>
        <w:spacing w:line="240" w:lineRule="auto"/>
        <w:rPr>
          <w:sz w:val="16"/>
          <w:szCs w:val="16"/>
        </w:rPr>
      </w:pPr>
      <w:r w:rsidRPr="007E04F7">
        <w:rPr>
          <w:rStyle w:val="Refdenotaalpie"/>
          <w:rFonts w:eastAsiaTheme="majorEastAsia"/>
          <w:sz w:val="16"/>
          <w:szCs w:val="16"/>
        </w:rPr>
        <w:footnoteRef/>
      </w:r>
      <w:r w:rsidRPr="007E04F7">
        <w:rPr>
          <w:sz w:val="16"/>
          <w:szCs w:val="16"/>
        </w:rPr>
        <w:t xml:space="preserve"> </w:t>
      </w:r>
      <w:r w:rsidRPr="007E04F7">
        <w:rPr>
          <w:sz w:val="16"/>
          <w:szCs w:val="16"/>
        </w:rPr>
        <w:tab/>
      </w:r>
      <w:r w:rsidRPr="007E04F7">
        <w:rPr>
          <w:i/>
          <w:sz w:val="16"/>
          <w:szCs w:val="16"/>
        </w:rPr>
        <w:t xml:space="preserve">Cfr. </w:t>
      </w:r>
      <w:r w:rsidRPr="007E04F7">
        <w:rPr>
          <w:rStyle w:val="Textoennegrita"/>
          <w:b w:val="0"/>
          <w:i/>
          <w:sz w:val="16"/>
          <w:szCs w:val="16"/>
          <w:shd w:val="clear" w:color="auto" w:fill="FFFFFF"/>
        </w:rPr>
        <w:t>Caso Zegarra Marín Vs. Perú. Excepciones Preliminares, Fondo, Reparaciones y Costas.</w:t>
      </w:r>
      <w:r w:rsidRPr="007E04F7">
        <w:rPr>
          <w:rStyle w:val="Textoennegrita"/>
          <w:b w:val="0"/>
          <w:sz w:val="16"/>
          <w:szCs w:val="16"/>
          <w:shd w:val="clear" w:color="auto" w:fill="FFFFFF"/>
        </w:rPr>
        <w:t xml:space="preserve"> Sentencia de 15 de febrero de 2017. Serie C No. 331</w:t>
      </w:r>
      <w:r w:rsidRPr="007E04F7">
        <w:rPr>
          <w:i/>
          <w:sz w:val="16"/>
          <w:szCs w:val="16"/>
        </w:rPr>
        <w:t>,</w:t>
      </w:r>
      <w:r w:rsidRPr="007E04F7">
        <w:rPr>
          <w:sz w:val="16"/>
          <w:szCs w:val="16"/>
        </w:rPr>
        <w:t xml:space="preserve"> párr. 171, y </w:t>
      </w:r>
      <w:r w:rsidRPr="007E04F7">
        <w:rPr>
          <w:rStyle w:val="Textoennegrita"/>
          <w:b w:val="0"/>
          <w:i/>
          <w:sz w:val="16"/>
          <w:szCs w:val="16"/>
          <w:shd w:val="clear" w:color="auto" w:fill="FFFFFF"/>
        </w:rPr>
        <w:t>Caso Gorigoitía Vs. Argentina. Excepciones Preliminares, Fondo, Reparaciones y Costas, supra</w:t>
      </w:r>
      <w:r w:rsidRPr="007E04F7">
        <w:rPr>
          <w:rStyle w:val="Textoennegrita"/>
          <w:b w:val="0"/>
          <w:sz w:val="16"/>
          <w:szCs w:val="16"/>
          <w:shd w:val="clear" w:color="auto" w:fill="FFFFFF"/>
        </w:rPr>
        <w:t>, párr. 47.</w:t>
      </w:r>
    </w:p>
  </w:footnote>
  <w:footnote w:id="202">
    <w:p w14:paraId="53E5BF4D" w14:textId="1F2C066F" w:rsidR="001A2991" w:rsidRPr="007E04F7" w:rsidRDefault="001A2991" w:rsidP="0064597D">
      <w:pPr>
        <w:tabs>
          <w:tab w:val="left" w:pos="567"/>
        </w:tabs>
        <w:spacing w:line="240" w:lineRule="auto"/>
        <w:rPr>
          <w:sz w:val="16"/>
          <w:szCs w:val="16"/>
          <w:lang w:val="pt-PT"/>
        </w:rPr>
      </w:pPr>
      <w:r w:rsidRPr="007E04F7">
        <w:rPr>
          <w:rStyle w:val="Refdenotaalpie"/>
          <w:rFonts w:eastAsiaTheme="majorEastAsia"/>
          <w:spacing w:val="-4"/>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w:t>
      </w:r>
      <w:r w:rsidRPr="007E04F7">
        <w:rPr>
          <w:rStyle w:val="Textoennegrita"/>
          <w:b w:val="0"/>
          <w:i/>
          <w:sz w:val="16"/>
          <w:szCs w:val="16"/>
          <w:shd w:val="clear" w:color="auto" w:fill="FFFFFF"/>
        </w:rPr>
        <w:t>Caso Herrera Ulloa Vs. Costa Rica</w:t>
      </w:r>
      <w:r w:rsidRPr="007E04F7">
        <w:rPr>
          <w:sz w:val="16"/>
          <w:szCs w:val="16"/>
          <w:lang w:val="es-ES"/>
        </w:rPr>
        <w:t xml:space="preserve">, </w:t>
      </w:r>
      <w:r w:rsidRPr="007E04F7">
        <w:rPr>
          <w:i/>
          <w:sz w:val="16"/>
          <w:szCs w:val="16"/>
          <w:lang w:val="es-ES"/>
        </w:rPr>
        <w:t>supra</w:t>
      </w:r>
      <w:r w:rsidRPr="007E04F7">
        <w:rPr>
          <w:i/>
          <w:sz w:val="16"/>
          <w:szCs w:val="16"/>
        </w:rPr>
        <w:t>,</w:t>
      </w:r>
      <w:r w:rsidRPr="007E04F7">
        <w:rPr>
          <w:sz w:val="16"/>
          <w:szCs w:val="16"/>
        </w:rPr>
        <w:t xml:space="preserve"> párrs. 161, 164 y 165, y </w:t>
      </w:r>
      <w:r w:rsidRPr="007E04F7">
        <w:rPr>
          <w:bCs/>
          <w:i/>
          <w:sz w:val="16"/>
          <w:szCs w:val="16"/>
        </w:rPr>
        <w:t>Caso Zegarra Marín Vs. Perú</w:t>
      </w:r>
      <w:r w:rsidRPr="007E04F7">
        <w:rPr>
          <w:sz w:val="16"/>
          <w:szCs w:val="16"/>
          <w:lang w:val="es-ES"/>
        </w:rPr>
        <w:t xml:space="preserve">, </w:t>
      </w:r>
      <w:r w:rsidRPr="007E04F7">
        <w:rPr>
          <w:i/>
          <w:sz w:val="16"/>
          <w:szCs w:val="16"/>
          <w:lang w:val="es-ES"/>
        </w:rPr>
        <w:t>supra</w:t>
      </w:r>
      <w:r w:rsidRPr="007E04F7">
        <w:rPr>
          <w:sz w:val="16"/>
          <w:szCs w:val="16"/>
          <w:lang w:val="es-ES"/>
        </w:rPr>
        <w:t>,</w:t>
      </w:r>
      <w:r w:rsidRPr="007E04F7">
        <w:rPr>
          <w:sz w:val="16"/>
          <w:szCs w:val="16"/>
        </w:rPr>
        <w:t xml:space="preserve"> párr. 172.</w:t>
      </w:r>
    </w:p>
  </w:footnote>
  <w:footnote w:id="203">
    <w:p w14:paraId="7D01C315" w14:textId="77777777" w:rsidR="001A2991" w:rsidRPr="007E04F7" w:rsidRDefault="001A2991" w:rsidP="0064597D">
      <w:pPr>
        <w:tabs>
          <w:tab w:val="left" w:pos="567"/>
        </w:tabs>
        <w:spacing w:line="240" w:lineRule="auto"/>
        <w:rPr>
          <w:rFonts w:cs="Verdana"/>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rFonts w:cs="Verdana"/>
          <w:i/>
          <w:iCs/>
          <w:sz w:val="16"/>
          <w:szCs w:val="16"/>
        </w:rPr>
        <w:t xml:space="preserve">Cfr. </w:t>
      </w:r>
      <w:r w:rsidRPr="007E04F7">
        <w:rPr>
          <w:rFonts w:cs="Verdana"/>
          <w:sz w:val="16"/>
          <w:szCs w:val="16"/>
        </w:rPr>
        <w:t>Sentencia emitida por la Sala Cuarta de la Corte de Apelaciones de Guatemala, de 13 de septiembre de 1999 (expediente de prueba, folio 100).</w:t>
      </w:r>
    </w:p>
  </w:footnote>
  <w:footnote w:id="204">
    <w:p w14:paraId="3656EA74" w14:textId="2F6132FF"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rFonts w:cs="Verdana"/>
          <w:i/>
          <w:iCs/>
          <w:sz w:val="16"/>
          <w:szCs w:val="16"/>
        </w:rPr>
        <w:t>Cfr. S</w:t>
      </w:r>
      <w:r w:rsidRPr="007E04F7">
        <w:rPr>
          <w:rFonts w:cs="Verdana"/>
          <w:sz w:val="16"/>
          <w:szCs w:val="16"/>
        </w:rPr>
        <w:t>entencia emitida por la Sala Cuarta de la Corte de Apelaciones de Guatemala, de 13 de septiembre de 1999 (expediente de prueba, folios 105 a 108).</w:t>
      </w:r>
    </w:p>
  </w:footnote>
  <w:footnote w:id="205">
    <w:p w14:paraId="7397EB2D" w14:textId="77777777"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rFonts w:cs="Verdana"/>
          <w:i/>
          <w:iCs/>
          <w:sz w:val="16"/>
          <w:szCs w:val="16"/>
        </w:rPr>
        <w:t xml:space="preserve">Cfr. </w:t>
      </w:r>
      <w:r w:rsidRPr="007E04F7">
        <w:rPr>
          <w:rFonts w:cs="Verdana"/>
          <w:sz w:val="16"/>
          <w:szCs w:val="16"/>
        </w:rPr>
        <w:t>Sentencia emitida por la Sala Cuarta de la Corte de Apelaciones de Guatemala, de 13 de septiembre de 1999 (expediente de prueba, folios 120 y 121).</w:t>
      </w:r>
    </w:p>
  </w:footnote>
  <w:footnote w:id="206">
    <w:p w14:paraId="40C49167" w14:textId="77777777"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rFonts w:cs="Verdana"/>
          <w:i/>
          <w:iCs/>
          <w:sz w:val="16"/>
          <w:szCs w:val="16"/>
        </w:rPr>
        <w:t xml:space="preserve">Cfr. </w:t>
      </w:r>
      <w:r w:rsidRPr="007E04F7">
        <w:rPr>
          <w:rFonts w:cs="Verdana"/>
          <w:sz w:val="16"/>
          <w:szCs w:val="16"/>
        </w:rPr>
        <w:t>Sentencia emitida por la Sala Cuarta de la Corte de Apelaciones de Guatemala, de 13 de septiembre de 1999 (expediente de prueba, folios 112 y 113).</w:t>
      </w:r>
    </w:p>
  </w:footnote>
  <w:footnote w:id="207">
    <w:p w14:paraId="742737B8" w14:textId="70EC49E5" w:rsidR="001A2991" w:rsidRPr="007E04F7" w:rsidRDefault="001A2991" w:rsidP="0064597D">
      <w:pPr>
        <w:tabs>
          <w:tab w:val="left" w:pos="567"/>
        </w:tabs>
        <w:spacing w:line="240" w:lineRule="auto"/>
        <w:rPr>
          <w:sz w:val="16"/>
          <w:szCs w:val="16"/>
          <w:lang w:val="es-ES_tradnl"/>
        </w:rPr>
      </w:pPr>
      <w:r w:rsidRPr="007E04F7">
        <w:rPr>
          <w:rStyle w:val="Refdenotaalpie"/>
          <w:sz w:val="16"/>
          <w:szCs w:val="16"/>
        </w:rPr>
        <w:footnoteRef/>
      </w:r>
      <w:r w:rsidRPr="007E04F7">
        <w:rPr>
          <w:sz w:val="16"/>
          <w:szCs w:val="16"/>
        </w:rPr>
        <w:t xml:space="preserve"> </w:t>
      </w:r>
      <w:r w:rsidRPr="007E04F7">
        <w:rPr>
          <w:sz w:val="16"/>
          <w:szCs w:val="16"/>
        </w:rPr>
        <w:tab/>
      </w:r>
      <w:r w:rsidRPr="007E04F7">
        <w:rPr>
          <w:rFonts w:cs="Verdana"/>
          <w:i/>
          <w:iCs/>
          <w:sz w:val="16"/>
          <w:szCs w:val="16"/>
        </w:rPr>
        <w:t xml:space="preserve">Cfr. </w:t>
      </w:r>
      <w:r w:rsidRPr="007E04F7">
        <w:rPr>
          <w:rFonts w:cs="Verdana"/>
          <w:sz w:val="16"/>
          <w:szCs w:val="16"/>
        </w:rPr>
        <w:t>Sentencia emitida por la Sala Cuarta de la Corte de Apelaciones de Guatemala, de 13 de septiembre de 1999 (expediente de prueba, folio 115).</w:t>
      </w:r>
    </w:p>
  </w:footnote>
  <w:footnote w:id="208">
    <w:p w14:paraId="11ACB065" w14:textId="3E3D000D"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 Caso Anzualdo Castro Vs. Perú. Excepción Preliminar, Fondo, Reparaciones y Costas</w:t>
      </w:r>
      <w:r w:rsidRPr="007E04F7">
        <w:rPr>
          <w:sz w:val="16"/>
          <w:szCs w:val="16"/>
        </w:rPr>
        <w:t xml:space="preserve">. Sentencia de 22 de septiembre de 2009. Serie C No. 202, párr. 77, y </w:t>
      </w:r>
      <w:r w:rsidRPr="007E04F7">
        <w:rPr>
          <w:i/>
          <w:sz w:val="16"/>
          <w:szCs w:val="16"/>
        </w:rPr>
        <w:t>Caso Vélez Loor Vs. Panamá. Excepciones Preliminares, Fondo, Reparaciones y Costas</w:t>
      </w:r>
      <w:r w:rsidRPr="007E04F7">
        <w:rPr>
          <w:sz w:val="16"/>
          <w:szCs w:val="16"/>
        </w:rPr>
        <w:t>. Sentencia de 23 de noviembre de 2010. Serie C No. 218, párr. 123.</w:t>
      </w:r>
    </w:p>
  </w:footnote>
  <w:footnote w:id="209">
    <w:p w14:paraId="15AFB6CF" w14:textId="77777777"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w:t>
      </w:r>
      <w:r w:rsidRPr="007E04F7">
        <w:rPr>
          <w:i/>
          <w:sz w:val="16"/>
          <w:szCs w:val="16"/>
        </w:rPr>
        <w:t>Caso Tibi Vs. Ecuador. Excepciones Preliminares, Fondo, Reparaciones y Costas</w:t>
      </w:r>
      <w:r w:rsidRPr="007E04F7">
        <w:rPr>
          <w:sz w:val="16"/>
          <w:szCs w:val="16"/>
        </w:rPr>
        <w:t>. Sentencia de 7 de septiembre de 2004. Serie C No. 114, párr. 159.</w:t>
      </w:r>
    </w:p>
  </w:footnote>
  <w:footnote w:id="210">
    <w:p w14:paraId="3BA8B841" w14:textId="77777777"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Declaración del señor Ruiz Fuentes rendida ante la Jueza Octava de Primera Instancia Penal, Narcoactividad y Delitos contra el Ambiente, de 29 de abril de 1998 (expediente de prueba, folios 8 a 13).</w:t>
      </w:r>
    </w:p>
  </w:footnote>
  <w:footnote w:id="211">
    <w:p w14:paraId="5BED0CB2" w14:textId="77777777" w:rsidR="001A2991" w:rsidRPr="007E04F7" w:rsidRDefault="001A2991" w:rsidP="0064597D">
      <w:pPr>
        <w:tabs>
          <w:tab w:val="left" w:pos="567"/>
        </w:tabs>
        <w:spacing w:line="240" w:lineRule="auto"/>
        <w:rPr>
          <w:sz w:val="16"/>
          <w:szCs w:val="16"/>
          <w:lang w:val="es-ES_tradnl"/>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w:t>
      </w:r>
      <w:r w:rsidRPr="007E04F7">
        <w:rPr>
          <w:rStyle w:val="Refdenotaalpie"/>
          <w:sz w:val="16"/>
          <w:szCs w:val="16"/>
          <w:vertAlign w:val="baseline"/>
        </w:rPr>
        <w:t>Declaración</w:t>
      </w:r>
      <w:r w:rsidRPr="007E04F7">
        <w:rPr>
          <w:sz w:val="16"/>
          <w:szCs w:val="16"/>
        </w:rPr>
        <w:t xml:space="preserve"> del señor Ruiz Fuentes rendida ante la Jueza Octava de Primera Instancia Penal, Narcoactividad y Delitos contra el Ambiente, de 29 de abril de 1998 (expediente de prueba, folio 12).</w:t>
      </w:r>
    </w:p>
  </w:footnote>
  <w:footnote w:id="212">
    <w:p w14:paraId="136A2AB6" w14:textId="1ACE5BA2"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Acta de debate C-4-98. Declaración de </w:t>
      </w:r>
      <w:r w:rsidRPr="007E04F7">
        <w:rPr>
          <w:rFonts w:cs="Arial"/>
          <w:sz w:val="16"/>
          <w:szCs w:val="16"/>
        </w:rPr>
        <w:t xml:space="preserve">J.M.M.R. </w:t>
      </w:r>
      <w:r w:rsidRPr="007E04F7">
        <w:rPr>
          <w:sz w:val="16"/>
          <w:szCs w:val="16"/>
        </w:rPr>
        <w:t>en audiencias de juicio oral y público ante el Tribunal Sexto de Sentencia Penal, Narcoactividad y Delitos contra el Ambiente de 21 de abril de 1999 (expediente de prueba, folios 1134 a 1208).</w:t>
      </w:r>
    </w:p>
  </w:footnote>
  <w:footnote w:id="213">
    <w:p w14:paraId="6DA0F1B6" w14:textId="1D5C8F7D"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Acta de debate C-4-98. Declaración de Hugo Humberto Ruiz Fuentes en audiencias de juicio oral y público ante el Tribunal Sexto de Sentencia Penal, Narcoactividad y Delitos contra el Ambiente de 21 de abril de 1999 (expediente de prueba, folio 1143).</w:t>
      </w:r>
    </w:p>
  </w:footnote>
  <w:footnote w:id="214">
    <w:p w14:paraId="16D15FCA" w14:textId="64FC6B5F"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w:t>
      </w:r>
      <w:r w:rsidRPr="007E04F7">
        <w:rPr>
          <w:rFonts w:cs="Verdana"/>
          <w:iCs/>
          <w:sz w:val="16"/>
          <w:szCs w:val="16"/>
        </w:rPr>
        <w:t>S</w:t>
      </w:r>
      <w:r w:rsidRPr="007E04F7">
        <w:rPr>
          <w:rFonts w:cs="Verdana"/>
          <w:sz w:val="16"/>
          <w:szCs w:val="16"/>
        </w:rPr>
        <w:t>entencia emitida por el Tribunal Sexto de Sentencia Penal, Narcoactividad y Delitos contra el Ambiente de Guatemala, de 14 de mayo de 1999 (expediente de prueba, folios 7351 a 7363).</w:t>
      </w:r>
    </w:p>
  </w:footnote>
  <w:footnote w:id="215">
    <w:p w14:paraId="754F0784" w14:textId="38708F3D"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lang w:val="pt-BR"/>
        </w:rPr>
        <w:t xml:space="preserve"> </w:t>
      </w:r>
      <w:r w:rsidRPr="007E04F7">
        <w:rPr>
          <w:sz w:val="16"/>
          <w:szCs w:val="16"/>
          <w:lang w:val="pt-BR"/>
        </w:rPr>
        <w:tab/>
      </w:r>
      <w:r w:rsidRPr="007E04F7">
        <w:rPr>
          <w:i/>
          <w:sz w:val="16"/>
          <w:szCs w:val="16"/>
          <w:lang w:val="pt-BR"/>
        </w:rPr>
        <w:t xml:space="preserve">Cfr. Caso Favela Nova Brasília Vs. </w:t>
      </w:r>
      <w:r w:rsidRPr="007E04F7">
        <w:rPr>
          <w:i/>
          <w:sz w:val="16"/>
          <w:szCs w:val="16"/>
        </w:rPr>
        <w:t>Brasil</w:t>
      </w:r>
      <w:r w:rsidRPr="007E04F7">
        <w:rPr>
          <w:sz w:val="16"/>
          <w:szCs w:val="16"/>
        </w:rPr>
        <w:t xml:space="preserve">, </w:t>
      </w:r>
      <w:r w:rsidRPr="007E04F7">
        <w:rPr>
          <w:i/>
          <w:sz w:val="16"/>
          <w:szCs w:val="16"/>
        </w:rPr>
        <w:t>supra</w:t>
      </w:r>
      <w:r w:rsidRPr="007E04F7">
        <w:rPr>
          <w:sz w:val="16"/>
          <w:szCs w:val="16"/>
        </w:rPr>
        <w:t xml:space="preserve">, párr. 252, y </w:t>
      </w:r>
      <w:r w:rsidRPr="007E04F7">
        <w:rPr>
          <w:i/>
          <w:sz w:val="16"/>
          <w:szCs w:val="16"/>
        </w:rPr>
        <w:t>Caso Villamizar Durán y otros Vs. Colombia</w:t>
      </w:r>
      <w:r w:rsidRPr="007E04F7">
        <w:rPr>
          <w:sz w:val="16"/>
          <w:szCs w:val="16"/>
        </w:rPr>
        <w:t xml:space="preserve">, </w:t>
      </w:r>
      <w:r w:rsidRPr="007E04F7">
        <w:rPr>
          <w:i/>
          <w:sz w:val="16"/>
          <w:szCs w:val="16"/>
        </w:rPr>
        <w:t>supra</w:t>
      </w:r>
      <w:r w:rsidRPr="007E04F7">
        <w:rPr>
          <w:sz w:val="16"/>
          <w:szCs w:val="16"/>
        </w:rPr>
        <w:t xml:space="preserve">, párr. 185. </w:t>
      </w:r>
    </w:p>
  </w:footnote>
  <w:footnote w:id="216">
    <w:p w14:paraId="423663D6" w14:textId="77777777" w:rsidR="001A2991" w:rsidRPr="007E04F7" w:rsidRDefault="001A2991" w:rsidP="0064597D">
      <w:pPr>
        <w:tabs>
          <w:tab w:val="left" w:pos="567"/>
        </w:tabs>
        <w:spacing w:line="240" w:lineRule="auto"/>
        <w:rPr>
          <w:sz w:val="16"/>
          <w:szCs w:val="16"/>
          <w:lang w:val="es-MX"/>
        </w:rPr>
      </w:pPr>
      <w:r w:rsidRPr="007E04F7">
        <w:rPr>
          <w:rStyle w:val="Refdenotaalpie"/>
          <w:sz w:val="16"/>
          <w:szCs w:val="16"/>
        </w:rPr>
        <w:footnoteRef/>
      </w:r>
      <w:r w:rsidRPr="007E04F7">
        <w:rPr>
          <w:sz w:val="16"/>
          <w:szCs w:val="16"/>
          <w:lang w:val="es-MX"/>
        </w:rPr>
        <w:t xml:space="preserve"> </w:t>
      </w:r>
      <w:r w:rsidRPr="007E04F7">
        <w:rPr>
          <w:sz w:val="16"/>
          <w:szCs w:val="16"/>
          <w:lang w:val="es-MX"/>
        </w:rPr>
        <w:tab/>
      </w:r>
      <w:r w:rsidRPr="007E04F7">
        <w:rPr>
          <w:i/>
          <w:sz w:val="16"/>
          <w:szCs w:val="16"/>
          <w:lang w:val="es-MX"/>
        </w:rPr>
        <w:t>Cfr</w:t>
      </w:r>
      <w:r w:rsidRPr="007E04F7">
        <w:rPr>
          <w:sz w:val="16"/>
          <w:szCs w:val="16"/>
          <w:lang w:val="es-MX"/>
        </w:rPr>
        <w:t xml:space="preserve">. </w:t>
      </w:r>
      <w:r w:rsidRPr="007E04F7">
        <w:rPr>
          <w:i/>
          <w:sz w:val="16"/>
          <w:szCs w:val="16"/>
          <w:lang w:val="es-PE"/>
        </w:rPr>
        <w:t>Caso Juan Humberto Sánchez Vs. Honduras.</w:t>
      </w:r>
      <w:r w:rsidRPr="007E04F7">
        <w:rPr>
          <w:sz w:val="16"/>
          <w:szCs w:val="16"/>
          <w:lang w:val="es-PE"/>
        </w:rPr>
        <w:t xml:space="preserve"> </w:t>
      </w:r>
      <w:r w:rsidRPr="007E04F7">
        <w:rPr>
          <w:i/>
          <w:sz w:val="16"/>
          <w:szCs w:val="16"/>
          <w:lang w:val="es-PE"/>
        </w:rPr>
        <w:t>Excepción Preliminar, Fondo, Reparaciones y Costas</w:t>
      </w:r>
      <w:r w:rsidRPr="007E04F7">
        <w:rPr>
          <w:sz w:val="16"/>
          <w:szCs w:val="16"/>
          <w:lang w:val="es-PE"/>
        </w:rPr>
        <w:t xml:space="preserve">. Sentencia de 7 de junio de 2003. Serie C No. 99, párr. 127, y </w:t>
      </w:r>
      <w:r w:rsidRPr="007E04F7">
        <w:rPr>
          <w:i/>
          <w:sz w:val="16"/>
          <w:szCs w:val="16"/>
          <w:lang w:val="es-MX"/>
        </w:rPr>
        <w:t xml:space="preserve">Caso Arrom Suhurt y Otros Vs. Paraguay. Fondo. </w:t>
      </w:r>
      <w:r w:rsidRPr="007E04F7">
        <w:rPr>
          <w:sz w:val="16"/>
          <w:szCs w:val="16"/>
          <w:lang w:val="es-MX"/>
        </w:rPr>
        <w:t>Sentencia de 13 de mayo de 2019, párr. 142.</w:t>
      </w:r>
    </w:p>
  </w:footnote>
  <w:footnote w:id="217">
    <w:p w14:paraId="235B3FBF" w14:textId="77777777"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Acta policial de 14 de noviembre de 2005, Diligencia No. 1709-2005 (expediente de prueba, folio 233), y Autopsia practicada por el Dr. Edgar Ricardo Arriola Barrios, Médico Forense Departamental del Organismo Judicial de Cuilapa, Santa Rosa, de 15 de noviembre de 2005 (expediente de prueba, folio 231).</w:t>
      </w:r>
    </w:p>
  </w:footnote>
  <w:footnote w:id="218">
    <w:p w14:paraId="7EA949DD" w14:textId="77777777"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Acta policial de 14 de noviembre de 2005, Diligencia No. 1709-2005 (expediente de prueba, folio 233).</w:t>
      </w:r>
    </w:p>
  </w:footnote>
  <w:footnote w:id="219">
    <w:p w14:paraId="3F83AE6D" w14:textId="77777777" w:rsidR="001A2991" w:rsidRPr="007E04F7" w:rsidRDefault="001A2991" w:rsidP="0064597D">
      <w:pPr>
        <w:tabs>
          <w:tab w:val="left" w:pos="567"/>
        </w:tabs>
        <w:spacing w:line="240" w:lineRule="auto"/>
        <w:rPr>
          <w:sz w:val="16"/>
          <w:szCs w:val="16"/>
          <w:lang w:val="es-MX"/>
        </w:rPr>
      </w:pPr>
      <w:r w:rsidRPr="007E04F7">
        <w:rPr>
          <w:rStyle w:val="Refdenotaalpie"/>
          <w:sz w:val="16"/>
          <w:szCs w:val="16"/>
        </w:rPr>
        <w:footnoteRef/>
      </w:r>
      <w:r w:rsidRPr="007E04F7">
        <w:rPr>
          <w:sz w:val="16"/>
          <w:szCs w:val="16"/>
          <w:lang w:val="es-MX"/>
        </w:rPr>
        <w:t xml:space="preserve"> </w:t>
      </w:r>
      <w:r w:rsidRPr="007E04F7">
        <w:rPr>
          <w:sz w:val="16"/>
          <w:szCs w:val="16"/>
          <w:lang w:val="es-MX"/>
        </w:rPr>
        <w:tab/>
      </w:r>
      <w:r w:rsidRPr="007E04F7">
        <w:rPr>
          <w:i/>
          <w:sz w:val="16"/>
          <w:szCs w:val="16"/>
          <w:lang w:val="es-MX"/>
        </w:rPr>
        <w:t>Cfr</w:t>
      </w:r>
      <w:r w:rsidRPr="007E04F7">
        <w:rPr>
          <w:sz w:val="16"/>
          <w:szCs w:val="16"/>
          <w:lang w:val="es-MX"/>
        </w:rPr>
        <w:t xml:space="preserve">. </w:t>
      </w:r>
      <w:r w:rsidRPr="007E04F7">
        <w:rPr>
          <w:i/>
          <w:sz w:val="16"/>
          <w:szCs w:val="16"/>
          <w:lang w:val="es-MX"/>
        </w:rPr>
        <w:t>Caso Juan Humberto Sánchez Vs. Honduras</w:t>
      </w:r>
      <w:r w:rsidRPr="007E04F7">
        <w:rPr>
          <w:sz w:val="16"/>
          <w:szCs w:val="16"/>
          <w:lang w:val="es-ES"/>
        </w:rPr>
        <w:t xml:space="preserve">, </w:t>
      </w:r>
      <w:r w:rsidRPr="007E04F7">
        <w:rPr>
          <w:i/>
          <w:sz w:val="16"/>
          <w:szCs w:val="16"/>
          <w:lang w:val="es-ES"/>
        </w:rPr>
        <w:t>supra</w:t>
      </w:r>
      <w:r w:rsidRPr="007E04F7">
        <w:rPr>
          <w:sz w:val="16"/>
          <w:szCs w:val="16"/>
          <w:lang w:val="es-ES"/>
        </w:rPr>
        <w:t xml:space="preserve">, </w:t>
      </w:r>
      <w:r w:rsidRPr="007E04F7">
        <w:rPr>
          <w:sz w:val="16"/>
          <w:szCs w:val="16"/>
          <w:lang w:val="es-MX"/>
        </w:rPr>
        <w:t xml:space="preserve">párr. 127, y </w:t>
      </w:r>
      <w:r w:rsidRPr="007E04F7">
        <w:rPr>
          <w:i/>
          <w:sz w:val="16"/>
          <w:szCs w:val="16"/>
          <w:lang w:val="es-MX"/>
        </w:rPr>
        <w:t>Caso Pacheco León y Otros Vs. Honduras</w:t>
      </w:r>
      <w:r w:rsidRPr="007E04F7">
        <w:rPr>
          <w:sz w:val="16"/>
          <w:szCs w:val="16"/>
          <w:lang w:val="es-ES"/>
        </w:rPr>
        <w:t xml:space="preserve">, </w:t>
      </w:r>
      <w:r w:rsidRPr="007E04F7">
        <w:rPr>
          <w:i/>
          <w:sz w:val="16"/>
          <w:szCs w:val="16"/>
          <w:lang w:val="es-ES"/>
        </w:rPr>
        <w:t>supra</w:t>
      </w:r>
      <w:r w:rsidRPr="007E04F7">
        <w:rPr>
          <w:sz w:val="16"/>
          <w:szCs w:val="16"/>
          <w:lang w:val="es-ES"/>
        </w:rPr>
        <w:t xml:space="preserve">, </w:t>
      </w:r>
      <w:r w:rsidRPr="007E04F7">
        <w:rPr>
          <w:sz w:val="16"/>
          <w:szCs w:val="16"/>
          <w:lang w:val="es-MX"/>
        </w:rPr>
        <w:t xml:space="preserve"> párr. 79.</w:t>
      </w:r>
    </w:p>
  </w:footnote>
  <w:footnote w:id="220">
    <w:p w14:paraId="03331B71" w14:textId="77777777"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w:t>
      </w:r>
      <w:r w:rsidRPr="007E04F7">
        <w:rPr>
          <w:rFonts w:cs="Verdana"/>
          <w:sz w:val="16"/>
          <w:szCs w:val="16"/>
        </w:rPr>
        <w:t>Informe pericial del Dr. Guillermo Austreberto Carranza Izquierdo, de 3 de junio de 2008 (expediente de prueba, folio 242).</w:t>
      </w:r>
    </w:p>
  </w:footnote>
  <w:footnote w:id="221">
    <w:p w14:paraId="5AB068E9" w14:textId="77777777" w:rsidR="001A2991" w:rsidRPr="007E04F7" w:rsidRDefault="001A2991" w:rsidP="0064597D">
      <w:pPr>
        <w:tabs>
          <w:tab w:val="left" w:pos="567"/>
        </w:tabs>
        <w:spacing w:line="240" w:lineRule="auto"/>
        <w:rPr>
          <w:sz w:val="16"/>
          <w:szCs w:val="16"/>
          <w:lang w:val="es-MX"/>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w:t>
      </w:r>
      <w:r w:rsidRPr="007E04F7">
        <w:rPr>
          <w:i/>
          <w:sz w:val="16"/>
          <w:szCs w:val="16"/>
        </w:rPr>
        <w:t xml:space="preserve">Caso Pacheco León y Otros Vs. </w:t>
      </w:r>
      <w:r w:rsidRPr="007E04F7">
        <w:rPr>
          <w:i/>
          <w:sz w:val="16"/>
          <w:szCs w:val="16"/>
          <w:lang w:val="es-MX"/>
        </w:rPr>
        <w:t>Honduras. Fondo, Reparaciones y Costas</w:t>
      </w:r>
      <w:r w:rsidRPr="007E04F7">
        <w:rPr>
          <w:sz w:val="16"/>
          <w:szCs w:val="16"/>
          <w:lang w:val="es-MX"/>
        </w:rPr>
        <w:t>. Sentencia de 15 de noviembre de 2017, párr. 89.</w:t>
      </w:r>
    </w:p>
  </w:footnote>
  <w:footnote w:id="222">
    <w:p w14:paraId="3CB58897" w14:textId="77777777"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w:t>
      </w:r>
      <w:r w:rsidRPr="007E04F7">
        <w:rPr>
          <w:rFonts w:cs="Verdana"/>
          <w:sz w:val="16"/>
          <w:szCs w:val="16"/>
        </w:rPr>
        <w:t>Autopsia practicada por el Dr. Edgar Ricardo Arriola Barrios, Médico Forense Departamental del Organismo Judicial de Cuilapa, Santa Rosa, de 15 de noviembre de 20</w:t>
      </w:r>
      <w:r w:rsidRPr="007E04F7">
        <w:rPr>
          <w:rFonts w:cs="Verdana"/>
          <w:vanish/>
          <w:sz w:val="16"/>
          <w:szCs w:val="16"/>
        </w:rPr>
        <w:t>0ca que o externo del cadopa del señor Ruiz Fuentes para realizar las pruebas pertinentes sobre l</w:t>
      </w:r>
      <w:r w:rsidRPr="007E04F7">
        <w:rPr>
          <w:rFonts w:cs="Verdana"/>
          <w:sz w:val="16"/>
          <w:szCs w:val="16"/>
        </w:rPr>
        <w:t>05 (expediente de prueba, folio 231).</w:t>
      </w:r>
    </w:p>
  </w:footnote>
  <w:footnote w:id="223">
    <w:p w14:paraId="1B45E073" w14:textId="77777777"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w:t>
      </w:r>
      <w:r w:rsidRPr="007E04F7">
        <w:rPr>
          <w:i/>
          <w:sz w:val="16"/>
          <w:szCs w:val="16"/>
        </w:rPr>
        <w:t>Caso González y otras (“Campo Algodonero”) Vs. México. Excepción Preliminar, Fondo, Reparaciones y Costas</w:t>
      </w:r>
      <w:r w:rsidRPr="007E04F7">
        <w:rPr>
          <w:sz w:val="16"/>
          <w:szCs w:val="16"/>
        </w:rPr>
        <w:t>. Sentencia de 16 de noviembre de 2009. Serie C No. 205, párr. 310.</w:t>
      </w:r>
    </w:p>
  </w:footnote>
  <w:footnote w:id="224">
    <w:p w14:paraId="62C05C37" w14:textId="77777777"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w:t>
      </w:r>
      <w:r w:rsidRPr="007E04F7">
        <w:rPr>
          <w:rFonts w:cs="Verdana"/>
          <w:sz w:val="16"/>
          <w:szCs w:val="16"/>
        </w:rPr>
        <w:t xml:space="preserve">Informe pericial del Dr. Guillermo Austreberto Carranza Izquierdo, de 3 de junio de 2008 (expediente de prueba, folios 244 a 246). Véase también, </w:t>
      </w:r>
      <w:r w:rsidRPr="007E04F7">
        <w:rPr>
          <w:sz w:val="16"/>
          <w:szCs w:val="16"/>
        </w:rPr>
        <w:t>Peritaje rendido por Guillermo Austreberto Carranza Izquierdo en la audiencia pública ante la Corte Interamericana celebrada el 5 de marzo de 2019.</w:t>
      </w:r>
    </w:p>
  </w:footnote>
  <w:footnote w:id="225">
    <w:p w14:paraId="089E8BEA" w14:textId="77777777"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w:t>
      </w:r>
      <w:r w:rsidRPr="007E04F7">
        <w:rPr>
          <w:rFonts w:cs="Verdana"/>
          <w:sz w:val="16"/>
          <w:szCs w:val="16"/>
        </w:rPr>
        <w:t>Informe pericial del Dr. Guillermo Austreberto Carranza Izquierdo, de 3 de junio de 2008 (expediente de prueba, folio 245).</w:t>
      </w:r>
    </w:p>
  </w:footnote>
  <w:footnote w:id="226">
    <w:p w14:paraId="456A52FE" w14:textId="77777777"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rFonts w:cs="Verdana"/>
          <w:sz w:val="16"/>
          <w:szCs w:val="16"/>
        </w:rPr>
        <w:t>Declaración de Juan José Marroquín Solis rendida ante la Fiscalía Distrital del Ministerio Público, Cuilapa, Santa Rosa, de 21 de marzo de 2006 (expediente de prueba, folios 314 y 314); Declaración de Óscar Valero Lara rendida ante la Fiscalía Distrital del Ministerio Público, Cuilapa, Santa Rosa, de 27 de marzo de 2006 (expediente de prueba, folios 1691 a 1694), y Declaración de César Augusto Argueta rendida ante la Fiscalía Distrital del Ministerio Público, Cuilapa, Santa Rosa, de 28 de marzo de 2006 (expediente de prueba, folios 1695 y 1696).</w:t>
      </w:r>
    </w:p>
  </w:footnote>
  <w:footnote w:id="227">
    <w:p w14:paraId="1981DD04" w14:textId="6B014243" w:rsidR="001A2991" w:rsidRPr="007E04F7" w:rsidRDefault="001A2991" w:rsidP="0064597D">
      <w:pPr>
        <w:tabs>
          <w:tab w:val="left" w:pos="567"/>
        </w:tabs>
        <w:spacing w:line="240" w:lineRule="auto"/>
        <w:rPr>
          <w:rStyle w:val="Refdenotaalpie"/>
          <w:sz w:val="16"/>
          <w:szCs w:val="16"/>
        </w:rPr>
      </w:pPr>
      <w:r w:rsidRPr="007E04F7">
        <w:rPr>
          <w:rStyle w:val="Refdenotaalpie"/>
          <w:sz w:val="16"/>
          <w:szCs w:val="16"/>
        </w:rPr>
        <w:footnoteRef/>
      </w:r>
      <w:r w:rsidRPr="007E04F7">
        <w:rPr>
          <w:rStyle w:val="Refdenotaalpie"/>
          <w:sz w:val="16"/>
          <w:szCs w:val="16"/>
        </w:rPr>
        <w:t xml:space="preserve"> </w:t>
      </w:r>
      <w:r w:rsidRPr="007E04F7">
        <w:rPr>
          <w:rStyle w:val="Refdenotaalpie"/>
          <w:sz w:val="16"/>
          <w:szCs w:val="16"/>
        </w:rPr>
        <w:tab/>
      </w:r>
      <w:r w:rsidRPr="007E04F7">
        <w:rPr>
          <w:rStyle w:val="Refdenotaalpie"/>
          <w:sz w:val="16"/>
          <w:szCs w:val="16"/>
          <w:vertAlign w:val="baseline"/>
        </w:rPr>
        <w:t>Artículo 5 de la Convención Americana.</w:t>
      </w:r>
    </w:p>
  </w:footnote>
  <w:footnote w:id="228">
    <w:p w14:paraId="440FD614" w14:textId="2E8045FF"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 xml:space="preserve">Cfr. </w:t>
      </w:r>
      <w:r w:rsidRPr="007E04F7">
        <w:rPr>
          <w:rFonts w:cs="Courier New"/>
          <w:i/>
          <w:sz w:val="16"/>
          <w:szCs w:val="16"/>
        </w:rPr>
        <w:t>Caso de los “Niños de la Calle” (Villagrán Morales y otros) Vs. Guatemala</w:t>
      </w:r>
      <w:r w:rsidRPr="007E04F7">
        <w:rPr>
          <w:sz w:val="16"/>
          <w:szCs w:val="16"/>
          <w:lang w:val="es-ES"/>
        </w:rPr>
        <w:t xml:space="preserve">, </w:t>
      </w:r>
      <w:r w:rsidRPr="007E04F7">
        <w:rPr>
          <w:i/>
          <w:sz w:val="16"/>
          <w:szCs w:val="16"/>
          <w:lang w:val="es-ES"/>
        </w:rPr>
        <w:t>supra</w:t>
      </w:r>
      <w:r w:rsidRPr="007E04F7">
        <w:rPr>
          <w:sz w:val="16"/>
          <w:szCs w:val="16"/>
          <w:lang w:val="es-ES"/>
        </w:rPr>
        <w:t xml:space="preserve">, </w:t>
      </w:r>
      <w:r w:rsidRPr="007E04F7">
        <w:rPr>
          <w:sz w:val="16"/>
          <w:szCs w:val="16"/>
        </w:rPr>
        <w:t xml:space="preserve">párr. 176, y </w:t>
      </w:r>
      <w:r w:rsidRPr="007E04F7">
        <w:rPr>
          <w:i/>
          <w:sz w:val="16"/>
          <w:szCs w:val="16"/>
        </w:rPr>
        <w:t xml:space="preserve">Caso Villaseñor Velarde y otros Vs. Guatemala. Fondo, reparaciones y costas. </w:t>
      </w:r>
      <w:r w:rsidRPr="007E04F7">
        <w:rPr>
          <w:sz w:val="16"/>
          <w:szCs w:val="16"/>
        </w:rPr>
        <w:t>Sentencia de 5 de febrero de 2019</w:t>
      </w:r>
      <w:r w:rsidRPr="007E04F7">
        <w:rPr>
          <w:i/>
          <w:sz w:val="16"/>
          <w:szCs w:val="16"/>
        </w:rPr>
        <w:t xml:space="preserve">. </w:t>
      </w:r>
      <w:r w:rsidRPr="007E04F7">
        <w:rPr>
          <w:rFonts w:cs="Courier New"/>
          <w:sz w:val="16"/>
          <w:szCs w:val="16"/>
        </w:rPr>
        <w:t xml:space="preserve">Serie C No. 374, </w:t>
      </w:r>
      <w:r w:rsidRPr="007E04F7">
        <w:rPr>
          <w:sz w:val="16"/>
          <w:szCs w:val="16"/>
        </w:rPr>
        <w:t>párr. 143.</w:t>
      </w:r>
    </w:p>
  </w:footnote>
  <w:footnote w:id="229">
    <w:p w14:paraId="2E9495AF" w14:textId="14B440B8"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 Caso Blake Vs. Guatemala</w:t>
      </w:r>
      <w:r w:rsidRPr="007E04F7">
        <w:rPr>
          <w:sz w:val="16"/>
          <w:szCs w:val="16"/>
          <w:lang w:val="es-ES"/>
        </w:rPr>
        <w:t xml:space="preserve">, </w:t>
      </w:r>
      <w:r w:rsidRPr="007E04F7">
        <w:rPr>
          <w:i/>
          <w:sz w:val="16"/>
          <w:szCs w:val="16"/>
          <w:lang w:val="es-ES"/>
        </w:rPr>
        <w:t>supra</w:t>
      </w:r>
      <w:r w:rsidRPr="007E04F7">
        <w:rPr>
          <w:sz w:val="16"/>
          <w:szCs w:val="16"/>
          <w:lang w:val="es-ES"/>
        </w:rPr>
        <w:t xml:space="preserve">, </w:t>
      </w:r>
      <w:r w:rsidRPr="007E04F7">
        <w:rPr>
          <w:sz w:val="16"/>
          <w:szCs w:val="16"/>
        </w:rPr>
        <w:t xml:space="preserve"> párr. 114, y </w:t>
      </w:r>
      <w:r w:rsidRPr="007E04F7">
        <w:rPr>
          <w:i/>
          <w:sz w:val="16"/>
          <w:szCs w:val="16"/>
        </w:rPr>
        <w:t>Caso Villaseñor Velarde y otros Vs. Guatemala</w:t>
      </w:r>
      <w:r w:rsidRPr="007E04F7">
        <w:rPr>
          <w:sz w:val="16"/>
          <w:szCs w:val="16"/>
          <w:lang w:val="es-ES"/>
        </w:rPr>
        <w:t xml:space="preserve">, </w:t>
      </w:r>
      <w:r w:rsidRPr="007E04F7">
        <w:rPr>
          <w:i/>
          <w:sz w:val="16"/>
          <w:szCs w:val="16"/>
          <w:lang w:val="es-ES"/>
        </w:rPr>
        <w:t>supra</w:t>
      </w:r>
      <w:r w:rsidRPr="007E04F7">
        <w:rPr>
          <w:sz w:val="16"/>
          <w:szCs w:val="16"/>
          <w:lang w:val="es-ES"/>
        </w:rPr>
        <w:t xml:space="preserve">, </w:t>
      </w:r>
      <w:r w:rsidRPr="007E04F7">
        <w:rPr>
          <w:sz w:val="16"/>
          <w:szCs w:val="16"/>
        </w:rPr>
        <w:t>párr. 143.</w:t>
      </w:r>
    </w:p>
  </w:footnote>
  <w:footnote w:id="230">
    <w:p w14:paraId="153F1AF1" w14:textId="1EBF0E52"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ab/>
      </w:r>
      <w:r w:rsidRPr="007E04F7">
        <w:rPr>
          <w:rFonts w:eastAsiaTheme="minorEastAsia" w:cstheme="minorBidi"/>
          <w:i/>
          <w:sz w:val="16"/>
          <w:szCs w:val="16"/>
          <w:lang w:eastAsia="es-PE"/>
        </w:rPr>
        <w:t>Cfr. Caso Bámaca Velásquez Vs. Guatemala</w:t>
      </w:r>
      <w:r w:rsidRPr="007E04F7">
        <w:rPr>
          <w:sz w:val="16"/>
          <w:szCs w:val="16"/>
          <w:lang w:val="es-ES"/>
        </w:rPr>
        <w:t xml:space="preserve">, </w:t>
      </w:r>
      <w:r w:rsidRPr="007E04F7">
        <w:rPr>
          <w:i/>
          <w:sz w:val="16"/>
          <w:szCs w:val="16"/>
          <w:lang w:val="es-ES"/>
        </w:rPr>
        <w:t>supra</w:t>
      </w:r>
      <w:r w:rsidRPr="007E04F7">
        <w:rPr>
          <w:sz w:val="16"/>
          <w:szCs w:val="16"/>
          <w:lang w:val="es-ES"/>
        </w:rPr>
        <w:t>,</w:t>
      </w:r>
      <w:r w:rsidRPr="007E04F7">
        <w:rPr>
          <w:rFonts w:eastAsiaTheme="minorEastAsia" w:cstheme="minorBidi"/>
          <w:sz w:val="16"/>
          <w:szCs w:val="16"/>
          <w:lang w:eastAsia="es-PE"/>
        </w:rPr>
        <w:t xml:space="preserve"> párr. 163, y </w:t>
      </w:r>
      <w:r w:rsidRPr="007E04F7">
        <w:rPr>
          <w:i/>
          <w:sz w:val="16"/>
          <w:szCs w:val="16"/>
        </w:rPr>
        <w:t>Caso Villaseñor Velarde y otros Vs. Guatemala</w:t>
      </w:r>
      <w:r w:rsidRPr="007E04F7">
        <w:rPr>
          <w:sz w:val="16"/>
          <w:szCs w:val="16"/>
          <w:lang w:val="es-ES"/>
        </w:rPr>
        <w:t xml:space="preserve">, </w:t>
      </w:r>
      <w:r w:rsidRPr="007E04F7">
        <w:rPr>
          <w:i/>
          <w:sz w:val="16"/>
          <w:szCs w:val="16"/>
          <w:lang w:val="es-ES"/>
        </w:rPr>
        <w:t>supra</w:t>
      </w:r>
      <w:r w:rsidRPr="007E04F7">
        <w:rPr>
          <w:sz w:val="16"/>
          <w:szCs w:val="16"/>
          <w:lang w:val="es-ES"/>
        </w:rPr>
        <w:t xml:space="preserve">, </w:t>
      </w:r>
      <w:r w:rsidRPr="007E04F7">
        <w:rPr>
          <w:sz w:val="16"/>
          <w:szCs w:val="16"/>
        </w:rPr>
        <w:t>párr. 143.</w:t>
      </w:r>
    </w:p>
  </w:footnote>
  <w:footnote w:id="231">
    <w:p w14:paraId="30F94427" w14:textId="0720C6FC"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Declaración rendida ante notario por la hermana del señor Ruiz Fuentes, de 28 de febrero de 2019 (expediente de prueba, folio 8479).</w:t>
      </w:r>
    </w:p>
  </w:footnote>
  <w:footnote w:id="232">
    <w:p w14:paraId="6B5F8CBA" w14:textId="1AED7DB7"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Declaración rendida ante notario por la hermana del señor Ruiz Fuentes, de 28 de febrero de 2019 (expediente de prueba, folio 8479).</w:t>
      </w:r>
    </w:p>
  </w:footnote>
  <w:footnote w:id="233">
    <w:p w14:paraId="05C0F024" w14:textId="77777777"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w:t>
      </w:r>
      <w:r w:rsidRPr="007E04F7">
        <w:rPr>
          <w:rFonts w:cs="Verdana"/>
          <w:sz w:val="16"/>
          <w:szCs w:val="16"/>
        </w:rPr>
        <w:t>Informe pericial del Dr. Juan Cristóbal Aldana Alfaro, de 28 de febrero de 2019 (expediente de prueba, folio 8508).</w:t>
      </w:r>
    </w:p>
  </w:footnote>
  <w:footnote w:id="234">
    <w:p w14:paraId="484A9510" w14:textId="77777777" w:rsidR="001A2991" w:rsidRPr="007E04F7" w:rsidRDefault="001A2991" w:rsidP="0064597D">
      <w:pPr>
        <w:pStyle w:val="Textonotapie"/>
        <w:tabs>
          <w:tab w:val="left" w:pos="567"/>
        </w:tabs>
        <w:rPr>
          <w:sz w:val="16"/>
          <w:szCs w:val="16"/>
          <w:lang w:val="es-CR"/>
        </w:rPr>
      </w:pPr>
      <w:r w:rsidRPr="007E04F7">
        <w:rPr>
          <w:rStyle w:val="Refdenotaalpie"/>
          <w:rFonts w:eastAsia="Calibri"/>
          <w:sz w:val="16"/>
          <w:szCs w:val="16"/>
        </w:rPr>
        <w:footnoteRef/>
      </w:r>
      <w:r w:rsidRPr="007E04F7">
        <w:rPr>
          <w:sz w:val="16"/>
          <w:szCs w:val="16"/>
          <w:lang w:val="es-CR"/>
        </w:rPr>
        <w:t xml:space="preserve"> </w:t>
      </w:r>
      <w:r w:rsidRPr="007E04F7">
        <w:rPr>
          <w:sz w:val="16"/>
          <w:szCs w:val="16"/>
          <w:lang w:val="es-CR"/>
        </w:rPr>
        <w:tab/>
        <w:t>El artículo 63.1 de la Convención dispone que “[c]uando decida que hubo violación de un derecho o libertad protegidos en [la] Convención, la Corte dispondrá que se garantice al lesionado en el goce de su derecho o libertad conculcados. Dispondrá asimismo, si ello fuera procedente, que se reparen las consecuencias de la medida o situación que ha configurado la vulneración de esos derechos y el pago de una justa indemnización a la parte lesionada”.</w:t>
      </w:r>
    </w:p>
  </w:footnote>
  <w:footnote w:id="235">
    <w:p w14:paraId="704566F1" w14:textId="154188A9" w:rsidR="001A2991" w:rsidRPr="007E04F7" w:rsidRDefault="001A2991" w:rsidP="0064597D">
      <w:pPr>
        <w:tabs>
          <w:tab w:val="left" w:pos="567"/>
        </w:tabs>
        <w:spacing w:line="240" w:lineRule="auto"/>
        <w:rPr>
          <w:i/>
          <w:sz w:val="16"/>
          <w:szCs w:val="16"/>
          <w:lang w:eastAsia="es-PE"/>
        </w:rPr>
      </w:pPr>
      <w:r w:rsidRPr="007E04F7">
        <w:rPr>
          <w:rStyle w:val="Refdenotaalpie"/>
          <w:rFonts w:eastAsia="Calibri"/>
          <w:sz w:val="16"/>
          <w:szCs w:val="16"/>
        </w:rPr>
        <w:footnoteRef/>
      </w:r>
      <w:r w:rsidRPr="007E04F7">
        <w:rPr>
          <w:sz w:val="16"/>
          <w:szCs w:val="16"/>
        </w:rPr>
        <w:t xml:space="preserve"> </w:t>
      </w:r>
      <w:r w:rsidRPr="007E04F7">
        <w:rPr>
          <w:sz w:val="16"/>
          <w:szCs w:val="16"/>
        </w:rPr>
        <w:tab/>
      </w:r>
      <w:r w:rsidRPr="007E04F7">
        <w:rPr>
          <w:i/>
          <w:sz w:val="16"/>
          <w:szCs w:val="16"/>
          <w:lang w:eastAsia="es-PE"/>
        </w:rPr>
        <w:t xml:space="preserve">Cfr. Caso Velásquez Rodríguez Vs. Honduras. Reparaciones y Costas. </w:t>
      </w:r>
      <w:r w:rsidRPr="007E04F7">
        <w:rPr>
          <w:sz w:val="16"/>
          <w:szCs w:val="16"/>
          <w:lang w:eastAsia="es-PE"/>
        </w:rPr>
        <w:t>Sentencia de 21 de julio de 1989. Serie C No. 7, párr. 25, y</w:t>
      </w:r>
      <w:r w:rsidRPr="007E04F7">
        <w:rPr>
          <w:i/>
          <w:sz w:val="16"/>
          <w:szCs w:val="16"/>
          <w:lang w:eastAsia="es-PE"/>
        </w:rPr>
        <w:t xml:space="preserve"> Caso Gorigoitía Vs. Argentina</w:t>
      </w:r>
      <w:r w:rsidRPr="007E04F7">
        <w:rPr>
          <w:i/>
          <w:sz w:val="16"/>
          <w:szCs w:val="16"/>
        </w:rPr>
        <w:t>, supra</w:t>
      </w:r>
      <w:r w:rsidRPr="007E04F7">
        <w:rPr>
          <w:i/>
          <w:sz w:val="16"/>
          <w:szCs w:val="16"/>
          <w:lang w:eastAsia="es-PE"/>
        </w:rPr>
        <w:t xml:space="preserve">, </w:t>
      </w:r>
      <w:r w:rsidRPr="007E04F7">
        <w:rPr>
          <w:sz w:val="16"/>
          <w:szCs w:val="16"/>
          <w:lang w:eastAsia="es-PE"/>
        </w:rPr>
        <w:t>párr. 59.</w:t>
      </w:r>
    </w:p>
  </w:footnote>
  <w:footnote w:id="236">
    <w:p w14:paraId="318B2D7A" w14:textId="643F66F6" w:rsidR="001A2991" w:rsidRPr="007E04F7" w:rsidRDefault="001A2991" w:rsidP="0064597D">
      <w:pPr>
        <w:tabs>
          <w:tab w:val="left" w:pos="567"/>
        </w:tabs>
        <w:spacing w:line="240" w:lineRule="auto"/>
        <w:rPr>
          <w:i/>
          <w:sz w:val="16"/>
          <w:szCs w:val="16"/>
          <w:lang w:eastAsia="es-PE"/>
        </w:rPr>
      </w:pPr>
      <w:r w:rsidRPr="007E04F7">
        <w:rPr>
          <w:rStyle w:val="Refdenotaalpie"/>
          <w:rFonts w:eastAsia="MS Mincho"/>
          <w:sz w:val="16"/>
          <w:szCs w:val="16"/>
        </w:rPr>
        <w:footnoteRef/>
      </w:r>
      <w:r w:rsidRPr="007E04F7">
        <w:rPr>
          <w:sz w:val="16"/>
          <w:szCs w:val="16"/>
        </w:rPr>
        <w:t xml:space="preserve"> </w:t>
      </w:r>
      <w:r w:rsidRPr="007E04F7">
        <w:rPr>
          <w:sz w:val="16"/>
          <w:szCs w:val="16"/>
        </w:rPr>
        <w:tab/>
      </w:r>
      <w:r w:rsidRPr="007E04F7">
        <w:rPr>
          <w:i/>
          <w:sz w:val="16"/>
          <w:szCs w:val="16"/>
          <w:lang w:eastAsia="es-PE"/>
        </w:rPr>
        <w:t>Cfr. Caso Velásquez Rodríguez Vs. Honduras</w:t>
      </w:r>
      <w:r w:rsidRPr="007E04F7">
        <w:rPr>
          <w:sz w:val="16"/>
          <w:szCs w:val="16"/>
          <w:lang w:val="es-ES"/>
        </w:rPr>
        <w:t xml:space="preserve">, </w:t>
      </w:r>
      <w:r w:rsidRPr="007E04F7">
        <w:rPr>
          <w:i/>
          <w:sz w:val="16"/>
          <w:szCs w:val="16"/>
          <w:lang w:val="es-ES"/>
        </w:rPr>
        <w:t>supra</w:t>
      </w:r>
      <w:r w:rsidRPr="007E04F7">
        <w:rPr>
          <w:sz w:val="16"/>
          <w:szCs w:val="16"/>
          <w:lang w:val="es-ES"/>
        </w:rPr>
        <w:t xml:space="preserve">, </w:t>
      </w:r>
      <w:r w:rsidRPr="007E04F7">
        <w:rPr>
          <w:sz w:val="16"/>
          <w:szCs w:val="16"/>
          <w:lang w:eastAsia="es-PE"/>
        </w:rPr>
        <w:t xml:space="preserve">párrs. 25 y 26, y </w:t>
      </w:r>
      <w:r w:rsidRPr="007E04F7">
        <w:rPr>
          <w:i/>
          <w:sz w:val="16"/>
          <w:szCs w:val="16"/>
          <w:lang w:eastAsia="es-PE"/>
        </w:rPr>
        <w:t>Caso Coc Max y otros (Masacre de Xamán) Vs. Guatemala, supra</w:t>
      </w:r>
      <w:r w:rsidRPr="007E04F7">
        <w:rPr>
          <w:sz w:val="16"/>
          <w:szCs w:val="16"/>
          <w:lang w:eastAsia="es-PE"/>
        </w:rPr>
        <w:t xml:space="preserve">, párr. 144 y </w:t>
      </w:r>
      <w:r w:rsidRPr="007E04F7">
        <w:rPr>
          <w:i/>
          <w:sz w:val="16"/>
          <w:szCs w:val="16"/>
          <w:lang w:eastAsia="es-PE"/>
        </w:rPr>
        <w:t>Caso Gorigoitía Vs. Argentina</w:t>
      </w:r>
      <w:r w:rsidRPr="007E04F7">
        <w:rPr>
          <w:i/>
          <w:sz w:val="16"/>
          <w:szCs w:val="16"/>
        </w:rPr>
        <w:t>, supra</w:t>
      </w:r>
      <w:r w:rsidRPr="007E04F7">
        <w:rPr>
          <w:i/>
          <w:sz w:val="16"/>
          <w:szCs w:val="16"/>
          <w:lang w:eastAsia="es-PE"/>
        </w:rPr>
        <w:t xml:space="preserve">, </w:t>
      </w:r>
      <w:r w:rsidRPr="007E04F7">
        <w:rPr>
          <w:sz w:val="16"/>
          <w:szCs w:val="16"/>
          <w:lang w:eastAsia="es-PE"/>
        </w:rPr>
        <w:t>párr. 60.</w:t>
      </w:r>
    </w:p>
  </w:footnote>
  <w:footnote w:id="237">
    <w:p w14:paraId="435C79F6" w14:textId="61A9320D" w:rsidR="001A2991" w:rsidRPr="007E04F7" w:rsidRDefault="001A2991" w:rsidP="0064597D">
      <w:pPr>
        <w:tabs>
          <w:tab w:val="left" w:pos="567"/>
        </w:tabs>
        <w:spacing w:line="240" w:lineRule="auto"/>
        <w:rPr>
          <w:rFonts w:cs="Courier New"/>
          <w:bCs/>
          <w:sz w:val="16"/>
          <w:szCs w:val="16"/>
        </w:rPr>
      </w:pPr>
      <w:r w:rsidRPr="007E04F7">
        <w:rPr>
          <w:rStyle w:val="Refdenotaalpie"/>
          <w:rFonts w:eastAsia="Calibri"/>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bCs/>
          <w:i/>
          <w:sz w:val="16"/>
          <w:szCs w:val="16"/>
        </w:rPr>
        <w:t xml:space="preserve"> Caso Cantoral Benavides Vs. Perú. </w:t>
      </w:r>
      <w:r w:rsidRPr="007E04F7">
        <w:rPr>
          <w:i/>
          <w:sz w:val="16"/>
          <w:szCs w:val="16"/>
        </w:rPr>
        <w:t>Reparaciones y Costas</w:t>
      </w:r>
      <w:r w:rsidRPr="007E04F7">
        <w:rPr>
          <w:sz w:val="16"/>
          <w:szCs w:val="16"/>
        </w:rPr>
        <w:t xml:space="preserve">. Sentencia de 3 de diciembre de 2001. Serie C No. 88, párrs. 79 a 81, y </w:t>
      </w:r>
      <w:r w:rsidRPr="007E04F7">
        <w:rPr>
          <w:i/>
          <w:sz w:val="16"/>
          <w:szCs w:val="16"/>
          <w:lang w:eastAsia="es-PE"/>
        </w:rPr>
        <w:t>Caso Gorigoitía Vs. Argentina</w:t>
      </w:r>
      <w:r w:rsidRPr="007E04F7">
        <w:rPr>
          <w:i/>
          <w:sz w:val="16"/>
          <w:szCs w:val="16"/>
        </w:rPr>
        <w:t>, supra</w:t>
      </w:r>
      <w:r w:rsidRPr="007E04F7">
        <w:rPr>
          <w:i/>
          <w:sz w:val="16"/>
          <w:szCs w:val="16"/>
          <w:lang w:eastAsia="es-PE"/>
        </w:rPr>
        <w:t xml:space="preserve">, </w:t>
      </w:r>
      <w:r w:rsidRPr="007E04F7">
        <w:rPr>
          <w:sz w:val="16"/>
          <w:szCs w:val="16"/>
          <w:lang w:eastAsia="es-PE"/>
        </w:rPr>
        <w:t>párr. 60.</w:t>
      </w:r>
    </w:p>
  </w:footnote>
  <w:footnote w:id="238">
    <w:p w14:paraId="4DBFA7A3" w14:textId="11E48C9B" w:rsidR="001A2991" w:rsidRPr="007E04F7" w:rsidRDefault="001A2991" w:rsidP="0064597D">
      <w:pPr>
        <w:tabs>
          <w:tab w:val="left" w:pos="567"/>
        </w:tabs>
        <w:spacing w:line="240" w:lineRule="auto"/>
        <w:rPr>
          <w:bCs/>
          <w:sz w:val="16"/>
          <w:szCs w:val="16"/>
        </w:rPr>
      </w:pPr>
      <w:r w:rsidRPr="007E04F7">
        <w:rPr>
          <w:rStyle w:val="Refdenotaalpie"/>
          <w:rFonts w:eastAsia="Calibri"/>
          <w:sz w:val="16"/>
          <w:szCs w:val="16"/>
        </w:rPr>
        <w:footnoteRef/>
      </w:r>
      <w:r w:rsidRPr="007E04F7">
        <w:rPr>
          <w:sz w:val="16"/>
          <w:szCs w:val="16"/>
        </w:rPr>
        <w:t xml:space="preserve"> </w:t>
      </w:r>
      <w:r w:rsidRPr="007E04F7">
        <w:rPr>
          <w:sz w:val="16"/>
          <w:szCs w:val="16"/>
        </w:rPr>
        <w:tab/>
      </w:r>
      <w:r w:rsidRPr="007E04F7">
        <w:rPr>
          <w:i/>
          <w:sz w:val="16"/>
          <w:szCs w:val="16"/>
        </w:rPr>
        <w:t xml:space="preserve">Cfr. Caso Ticona Estrada Vs. Bolivia. Fondo, Reparaciones y Costas. </w:t>
      </w:r>
      <w:r w:rsidRPr="007E04F7">
        <w:rPr>
          <w:sz w:val="16"/>
          <w:szCs w:val="16"/>
        </w:rPr>
        <w:t xml:space="preserve">Sentencia de 27 de noviembre de 2008. Serie C No. 191, párr. 110, y </w:t>
      </w:r>
      <w:r w:rsidRPr="007E04F7">
        <w:rPr>
          <w:i/>
          <w:sz w:val="16"/>
          <w:szCs w:val="16"/>
          <w:lang w:eastAsia="es-PE"/>
        </w:rPr>
        <w:t>Caso Gorigoitía Vs. Argentina</w:t>
      </w:r>
      <w:r w:rsidRPr="007E04F7">
        <w:rPr>
          <w:i/>
          <w:sz w:val="16"/>
          <w:szCs w:val="16"/>
        </w:rPr>
        <w:t>, supra</w:t>
      </w:r>
      <w:r w:rsidRPr="007E04F7">
        <w:rPr>
          <w:i/>
          <w:sz w:val="16"/>
          <w:szCs w:val="16"/>
          <w:lang w:eastAsia="es-PE"/>
        </w:rPr>
        <w:t xml:space="preserve">, </w:t>
      </w:r>
      <w:r w:rsidRPr="007E04F7">
        <w:rPr>
          <w:sz w:val="16"/>
          <w:szCs w:val="16"/>
          <w:lang w:eastAsia="es-PE"/>
        </w:rPr>
        <w:t>párr. 61.</w:t>
      </w:r>
    </w:p>
  </w:footnote>
  <w:footnote w:id="239">
    <w:p w14:paraId="4C8EE6D0" w14:textId="55334ADA" w:rsidR="001A2991" w:rsidRPr="007E04F7" w:rsidRDefault="001A2991" w:rsidP="0064597D">
      <w:pPr>
        <w:pStyle w:val="Textonotapie"/>
        <w:tabs>
          <w:tab w:val="left" w:pos="567"/>
        </w:tabs>
        <w:rPr>
          <w:i/>
          <w:sz w:val="16"/>
          <w:szCs w:val="16"/>
          <w:lang w:val="es-CR"/>
        </w:rPr>
      </w:pPr>
      <w:r w:rsidRPr="007E04F7">
        <w:rPr>
          <w:rStyle w:val="Refdenotaalpie"/>
          <w:sz w:val="16"/>
          <w:szCs w:val="16"/>
        </w:rPr>
        <w:footnoteRef/>
      </w:r>
      <w:r w:rsidRPr="007E04F7">
        <w:rPr>
          <w:sz w:val="16"/>
          <w:szCs w:val="16"/>
          <w:lang w:val="es-CR"/>
        </w:rPr>
        <w:t xml:space="preserve"> </w:t>
      </w:r>
      <w:r w:rsidRPr="007E04F7">
        <w:rPr>
          <w:sz w:val="16"/>
          <w:szCs w:val="16"/>
          <w:lang w:val="es-CR"/>
        </w:rPr>
        <w:tab/>
      </w:r>
      <w:r w:rsidRPr="007E04F7">
        <w:rPr>
          <w:i/>
          <w:sz w:val="16"/>
          <w:szCs w:val="16"/>
          <w:lang w:val="es-CR"/>
        </w:rPr>
        <w:t>Cfr. Caso I.V. Vs Bolivia, supra</w:t>
      </w:r>
      <w:r w:rsidRPr="007E04F7">
        <w:rPr>
          <w:sz w:val="16"/>
          <w:szCs w:val="16"/>
          <w:lang w:val="es-CR"/>
        </w:rPr>
        <w:t xml:space="preserve">, párr. 326, y </w:t>
      </w:r>
      <w:r w:rsidRPr="007E04F7">
        <w:rPr>
          <w:i/>
          <w:sz w:val="16"/>
          <w:szCs w:val="16"/>
          <w:lang w:val="es-CR"/>
        </w:rPr>
        <w:t xml:space="preserve">Caso </w:t>
      </w:r>
      <w:r w:rsidRPr="007E04F7">
        <w:rPr>
          <w:rFonts w:cs="Courier New"/>
          <w:i/>
          <w:sz w:val="16"/>
          <w:szCs w:val="16"/>
          <w:lang w:val="es-CR"/>
        </w:rPr>
        <w:t>López Soto y otros Vs. Venezuela</w:t>
      </w:r>
      <w:r w:rsidRPr="007E04F7">
        <w:rPr>
          <w:i/>
          <w:sz w:val="16"/>
          <w:szCs w:val="16"/>
          <w:lang w:val="es-CR"/>
        </w:rPr>
        <w:t>, supra</w:t>
      </w:r>
      <w:r w:rsidRPr="007E04F7">
        <w:rPr>
          <w:rFonts w:cs="Courier New"/>
          <w:sz w:val="16"/>
          <w:szCs w:val="16"/>
          <w:lang w:val="es-CR"/>
        </w:rPr>
        <w:t>, párr. 270</w:t>
      </w:r>
      <w:r w:rsidRPr="007E04F7">
        <w:rPr>
          <w:sz w:val="16"/>
          <w:szCs w:val="16"/>
          <w:lang w:val="es-CR"/>
        </w:rPr>
        <w:t>.</w:t>
      </w:r>
    </w:p>
  </w:footnote>
  <w:footnote w:id="240">
    <w:p w14:paraId="2139A829" w14:textId="7D2F3F3B" w:rsidR="001A2991" w:rsidRPr="007E04F7" w:rsidRDefault="001A2991" w:rsidP="0064597D">
      <w:pPr>
        <w:pStyle w:val="Textonotapie"/>
        <w:tabs>
          <w:tab w:val="left" w:pos="567"/>
          <w:tab w:val="left" w:pos="709"/>
        </w:tabs>
        <w:rPr>
          <w:i/>
          <w:sz w:val="16"/>
          <w:szCs w:val="16"/>
          <w:lang w:val="es-CR" w:eastAsia="es-PE"/>
        </w:rPr>
      </w:pPr>
      <w:r w:rsidRPr="007E04F7">
        <w:rPr>
          <w:rStyle w:val="Refdenotaalpie"/>
          <w:rFonts w:eastAsia="Calibri"/>
          <w:sz w:val="16"/>
          <w:szCs w:val="16"/>
        </w:rPr>
        <w:footnoteRef/>
      </w:r>
      <w:r w:rsidRPr="007E04F7">
        <w:rPr>
          <w:rFonts w:cs="Verdana"/>
          <w:bCs/>
          <w:i/>
          <w:sz w:val="16"/>
          <w:szCs w:val="16"/>
          <w:lang w:val="es-CR"/>
        </w:rPr>
        <w:tab/>
      </w:r>
      <w:r w:rsidRPr="007E04F7">
        <w:rPr>
          <w:i/>
          <w:sz w:val="16"/>
          <w:szCs w:val="16"/>
          <w:lang w:val="es-CR"/>
        </w:rPr>
        <w:t>Cfr.</w:t>
      </w:r>
      <w:r w:rsidRPr="007E04F7">
        <w:rPr>
          <w:bCs/>
          <w:i/>
          <w:sz w:val="16"/>
          <w:szCs w:val="16"/>
          <w:lang w:val="es-CR"/>
        </w:rPr>
        <w:t xml:space="preserve"> Caso Velásquez Rodríguez Vs. Honduras</w:t>
      </w:r>
      <w:r w:rsidRPr="007E04F7">
        <w:rPr>
          <w:sz w:val="16"/>
          <w:szCs w:val="16"/>
          <w:lang w:val="es-ES"/>
        </w:rPr>
        <w:t xml:space="preserve">, </w:t>
      </w:r>
      <w:r w:rsidRPr="007E04F7">
        <w:rPr>
          <w:i/>
          <w:sz w:val="16"/>
          <w:szCs w:val="16"/>
          <w:lang w:val="es-ES"/>
        </w:rPr>
        <w:t>supra</w:t>
      </w:r>
      <w:r w:rsidRPr="007E04F7">
        <w:rPr>
          <w:sz w:val="16"/>
          <w:szCs w:val="16"/>
          <w:lang w:val="es-ES"/>
        </w:rPr>
        <w:t xml:space="preserve">, </w:t>
      </w:r>
      <w:r w:rsidRPr="007E04F7">
        <w:rPr>
          <w:sz w:val="16"/>
          <w:szCs w:val="16"/>
          <w:lang w:val="es-CR"/>
        </w:rPr>
        <w:t xml:space="preserve">párrs. 25 a 27, y </w:t>
      </w:r>
      <w:r w:rsidRPr="007E04F7">
        <w:rPr>
          <w:i/>
          <w:sz w:val="16"/>
          <w:szCs w:val="16"/>
          <w:lang w:eastAsia="es-PE"/>
        </w:rPr>
        <w:t>Caso Gorigoitía Vs. Argentina</w:t>
      </w:r>
      <w:r w:rsidRPr="007E04F7">
        <w:rPr>
          <w:i/>
          <w:sz w:val="16"/>
          <w:szCs w:val="16"/>
          <w:lang w:val="es-CR" w:eastAsia="es-PE"/>
        </w:rPr>
        <w:t>, supra</w:t>
      </w:r>
      <w:r w:rsidRPr="007E04F7">
        <w:rPr>
          <w:sz w:val="16"/>
          <w:szCs w:val="16"/>
          <w:lang w:val="es-CR" w:eastAsia="es-PE"/>
        </w:rPr>
        <w:t>,</w:t>
      </w:r>
      <w:r w:rsidRPr="007E04F7">
        <w:rPr>
          <w:i/>
          <w:sz w:val="16"/>
          <w:szCs w:val="16"/>
          <w:lang w:val="es-CR" w:eastAsia="es-PE"/>
        </w:rPr>
        <w:t xml:space="preserve"> </w:t>
      </w:r>
      <w:r w:rsidRPr="007E04F7">
        <w:rPr>
          <w:sz w:val="16"/>
          <w:szCs w:val="16"/>
          <w:lang w:val="es-CR" w:eastAsia="es-PE"/>
        </w:rPr>
        <w:t>párr. 62.</w:t>
      </w:r>
    </w:p>
  </w:footnote>
  <w:footnote w:id="241">
    <w:p w14:paraId="6F7AA5C6" w14:textId="5B7A5DE5" w:rsidR="001A2991" w:rsidRPr="007E04F7" w:rsidRDefault="001A2991" w:rsidP="0064597D">
      <w:pPr>
        <w:pStyle w:val="Textonotapie"/>
        <w:tabs>
          <w:tab w:val="left" w:pos="426"/>
          <w:tab w:val="left" w:pos="567"/>
        </w:tabs>
        <w:rPr>
          <w:b/>
          <w:sz w:val="16"/>
          <w:szCs w:val="16"/>
          <w:lang w:val="es-CR"/>
        </w:rPr>
      </w:pPr>
      <w:r w:rsidRPr="007E04F7">
        <w:rPr>
          <w:rStyle w:val="Refdenotaalpie"/>
          <w:sz w:val="16"/>
          <w:szCs w:val="16"/>
        </w:rPr>
        <w:footnoteRef/>
      </w:r>
      <w:r w:rsidRPr="007E04F7">
        <w:rPr>
          <w:sz w:val="16"/>
          <w:szCs w:val="16"/>
          <w:lang w:val="es-CR"/>
        </w:rPr>
        <w:t xml:space="preserve"> </w:t>
      </w:r>
      <w:r w:rsidRPr="007E04F7">
        <w:rPr>
          <w:sz w:val="16"/>
          <w:szCs w:val="16"/>
          <w:lang w:val="es-CR"/>
        </w:rPr>
        <w:tab/>
      </w:r>
      <w:r w:rsidRPr="007E04F7">
        <w:rPr>
          <w:sz w:val="16"/>
          <w:szCs w:val="16"/>
          <w:lang w:val="es-CR"/>
        </w:rPr>
        <w:tab/>
      </w:r>
      <w:r w:rsidRPr="007E04F7">
        <w:rPr>
          <w:i/>
          <w:sz w:val="16"/>
          <w:szCs w:val="16"/>
          <w:lang w:val="es-CR"/>
        </w:rPr>
        <w:t>Cfr</w:t>
      </w:r>
      <w:r w:rsidRPr="007E04F7">
        <w:rPr>
          <w:b/>
          <w:i/>
          <w:sz w:val="16"/>
          <w:szCs w:val="16"/>
          <w:lang w:val="es-CR"/>
        </w:rPr>
        <w:t xml:space="preserve">. </w:t>
      </w:r>
      <w:r w:rsidRPr="007E04F7">
        <w:rPr>
          <w:rStyle w:val="Textoennegrita"/>
          <w:b w:val="0"/>
          <w:i/>
          <w:sz w:val="16"/>
          <w:szCs w:val="16"/>
          <w:shd w:val="clear" w:color="auto" w:fill="FFFFFF"/>
          <w:lang w:val="es-CR"/>
        </w:rPr>
        <w:t>Caso Defensor de Derechos Humanos y otros Vs. Guatemala. Excepciones Preliminares, Fondo, Reparaciones y Costas.</w:t>
      </w:r>
      <w:r w:rsidRPr="007E04F7">
        <w:rPr>
          <w:rStyle w:val="Textoennegrita"/>
          <w:b w:val="0"/>
          <w:sz w:val="16"/>
          <w:szCs w:val="16"/>
          <w:shd w:val="clear" w:color="auto" w:fill="FFFFFF"/>
          <w:lang w:val="es-CR"/>
        </w:rPr>
        <w:t xml:space="preserve"> Sentencia de 28 de agosto de 2014. Serie C No. 283, párr. 252, y </w:t>
      </w:r>
      <w:r w:rsidRPr="007E04F7">
        <w:rPr>
          <w:rStyle w:val="Textoennegrita"/>
          <w:b w:val="0"/>
          <w:i/>
          <w:sz w:val="16"/>
          <w:szCs w:val="16"/>
          <w:shd w:val="clear" w:color="auto" w:fill="FFFFFF"/>
          <w:lang w:val="es-CR"/>
        </w:rPr>
        <w:t>Caso Munárriz Escobar y otros Vs. Perú</w:t>
      </w:r>
      <w:r w:rsidRPr="007E04F7">
        <w:rPr>
          <w:sz w:val="16"/>
          <w:szCs w:val="16"/>
          <w:lang w:val="es-ES"/>
        </w:rPr>
        <w:t xml:space="preserve">, </w:t>
      </w:r>
      <w:r w:rsidRPr="007E04F7">
        <w:rPr>
          <w:i/>
          <w:sz w:val="16"/>
          <w:szCs w:val="16"/>
          <w:lang w:val="es-ES"/>
        </w:rPr>
        <w:t>supra</w:t>
      </w:r>
      <w:r w:rsidRPr="007E04F7">
        <w:rPr>
          <w:sz w:val="16"/>
          <w:szCs w:val="16"/>
          <w:lang w:val="es-ES"/>
        </w:rPr>
        <w:t xml:space="preserve">, </w:t>
      </w:r>
      <w:r w:rsidRPr="007E04F7">
        <w:rPr>
          <w:rStyle w:val="Textoennegrita"/>
          <w:b w:val="0"/>
          <w:sz w:val="16"/>
          <w:szCs w:val="16"/>
          <w:shd w:val="clear" w:color="auto" w:fill="FFFFFF"/>
          <w:lang w:val="es-CR"/>
        </w:rPr>
        <w:t xml:space="preserve"> párr. 122.</w:t>
      </w:r>
    </w:p>
  </w:footnote>
  <w:footnote w:id="242">
    <w:p w14:paraId="602799B0" w14:textId="6A457213" w:rsidR="001A2991" w:rsidRPr="007E04F7" w:rsidRDefault="001A2991" w:rsidP="0064597D">
      <w:pPr>
        <w:pStyle w:val="Textonotapie"/>
        <w:tabs>
          <w:tab w:val="left" w:pos="426"/>
          <w:tab w:val="left" w:pos="567"/>
        </w:tabs>
        <w:rPr>
          <w:b/>
          <w:sz w:val="16"/>
          <w:szCs w:val="16"/>
          <w:lang w:val="es-CR"/>
        </w:rPr>
      </w:pPr>
      <w:r w:rsidRPr="007E04F7">
        <w:rPr>
          <w:rStyle w:val="Refdenotaalpie"/>
          <w:sz w:val="16"/>
          <w:szCs w:val="16"/>
        </w:rPr>
        <w:footnoteRef/>
      </w:r>
      <w:r w:rsidRPr="007E04F7">
        <w:rPr>
          <w:sz w:val="16"/>
          <w:szCs w:val="16"/>
          <w:lang w:val="es-CR"/>
        </w:rPr>
        <w:t xml:space="preserve"> </w:t>
      </w:r>
      <w:r w:rsidRPr="007E04F7">
        <w:rPr>
          <w:sz w:val="16"/>
          <w:szCs w:val="16"/>
          <w:lang w:val="es-CR"/>
        </w:rPr>
        <w:tab/>
      </w:r>
      <w:r w:rsidRPr="007E04F7">
        <w:rPr>
          <w:sz w:val="16"/>
          <w:szCs w:val="16"/>
          <w:lang w:val="es-CR"/>
        </w:rPr>
        <w:tab/>
      </w:r>
      <w:r w:rsidRPr="007E04F7">
        <w:rPr>
          <w:i/>
          <w:sz w:val="16"/>
          <w:szCs w:val="16"/>
          <w:lang w:val="es-CR"/>
        </w:rPr>
        <w:t>Cfr</w:t>
      </w:r>
      <w:r w:rsidRPr="007E04F7">
        <w:rPr>
          <w:b/>
          <w:i/>
          <w:sz w:val="16"/>
          <w:szCs w:val="16"/>
          <w:lang w:val="es-CR"/>
        </w:rPr>
        <w:t xml:space="preserve">. </w:t>
      </w:r>
      <w:r w:rsidRPr="007E04F7">
        <w:rPr>
          <w:rStyle w:val="Textoennegrita"/>
          <w:b w:val="0"/>
          <w:i/>
          <w:sz w:val="16"/>
          <w:szCs w:val="16"/>
          <w:shd w:val="clear" w:color="auto" w:fill="FFFFFF"/>
          <w:lang w:val="es-CR"/>
        </w:rPr>
        <w:t>Caso Defensor de Derechos Humanos y otros Vs. Guatemala</w:t>
      </w:r>
      <w:r w:rsidRPr="007E04F7">
        <w:rPr>
          <w:sz w:val="16"/>
          <w:szCs w:val="16"/>
          <w:lang w:val="es-ES"/>
        </w:rPr>
        <w:t xml:space="preserve">, </w:t>
      </w:r>
      <w:r w:rsidRPr="007E04F7">
        <w:rPr>
          <w:i/>
          <w:sz w:val="16"/>
          <w:szCs w:val="16"/>
          <w:lang w:val="es-ES"/>
        </w:rPr>
        <w:t>supra</w:t>
      </w:r>
      <w:r w:rsidRPr="007E04F7">
        <w:rPr>
          <w:sz w:val="16"/>
          <w:szCs w:val="16"/>
          <w:lang w:val="es-ES"/>
        </w:rPr>
        <w:t xml:space="preserve">, </w:t>
      </w:r>
      <w:r w:rsidRPr="007E04F7">
        <w:rPr>
          <w:rStyle w:val="Textoennegrita"/>
          <w:b w:val="0"/>
          <w:sz w:val="16"/>
          <w:szCs w:val="16"/>
          <w:shd w:val="clear" w:color="auto" w:fill="FFFFFF"/>
          <w:lang w:val="es-CR"/>
        </w:rPr>
        <w:t xml:space="preserve">y </w:t>
      </w:r>
      <w:r w:rsidRPr="007E04F7">
        <w:rPr>
          <w:rStyle w:val="Textoennegrita"/>
          <w:b w:val="0"/>
          <w:i/>
          <w:sz w:val="16"/>
          <w:szCs w:val="16"/>
          <w:shd w:val="clear" w:color="auto" w:fill="FFFFFF"/>
          <w:lang w:val="es-CR"/>
        </w:rPr>
        <w:t>Caso Munárriz Escobar y otros Vs. Perú</w:t>
      </w:r>
      <w:r w:rsidRPr="007E04F7">
        <w:rPr>
          <w:b/>
          <w:i/>
          <w:spacing w:val="-4"/>
          <w:sz w:val="16"/>
          <w:szCs w:val="16"/>
          <w:lang w:val="es-CR"/>
        </w:rPr>
        <w:t xml:space="preserve">, </w:t>
      </w:r>
      <w:r w:rsidRPr="007E04F7">
        <w:rPr>
          <w:i/>
          <w:spacing w:val="-4"/>
          <w:sz w:val="16"/>
          <w:szCs w:val="16"/>
          <w:lang w:val="es-CR"/>
        </w:rPr>
        <w:t>supra</w:t>
      </w:r>
      <w:r w:rsidRPr="007E04F7">
        <w:rPr>
          <w:rStyle w:val="Textoennegrita"/>
          <w:b w:val="0"/>
          <w:sz w:val="16"/>
          <w:szCs w:val="16"/>
          <w:shd w:val="clear" w:color="auto" w:fill="FFFFFF"/>
          <w:lang w:val="es-CR"/>
        </w:rPr>
        <w:t>, párr. 122.</w:t>
      </w:r>
    </w:p>
  </w:footnote>
  <w:footnote w:id="243">
    <w:p w14:paraId="0D489355" w14:textId="03D3EBC7" w:rsidR="001A2991" w:rsidRPr="007E04F7" w:rsidRDefault="001A2991" w:rsidP="0064597D">
      <w:pPr>
        <w:pStyle w:val="Textonotapie"/>
        <w:tabs>
          <w:tab w:val="left" w:pos="567"/>
        </w:tabs>
        <w:rPr>
          <w:spacing w:val="-4"/>
          <w:sz w:val="16"/>
          <w:szCs w:val="16"/>
        </w:rPr>
      </w:pPr>
      <w:r w:rsidRPr="007E04F7">
        <w:rPr>
          <w:rStyle w:val="Refdenotaalpie"/>
          <w:rFonts w:eastAsia="Calibri"/>
          <w:spacing w:val="-4"/>
          <w:sz w:val="16"/>
          <w:szCs w:val="16"/>
        </w:rPr>
        <w:footnoteRef/>
      </w:r>
      <w:r w:rsidRPr="007E04F7">
        <w:rPr>
          <w:spacing w:val="-4"/>
          <w:sz w:val="16"/>
          <w:szCs w:val="16"/>
          <w:lang w:val="pt-BR"/>
        </w:rPr>
        <w:tab/>
      </w:r>
      <w:r w:rsidRPr="007E04F7">
        <w:rPr>
          <w:i/>
          <w:iCs/>
          <w:spacing w:val="-4"/>
          <w:sz w:val="16"/>
          <w:szCs w:val="16"/>
          <w:lang w:val="pt-BR"/>
        </w:rPr>
        <w:t xml:space="preserve">Cfr. </w:t>
      </w:r>
      <w:r w:rsidRPr="007E04F7">
        <w:rPr>
          <w:i/>
          <w:iCs/>
          <w:spacing w:val="-4"/>
          <w:sz w:val="16"/>
          <w:szCs w:val="16"/>
          <w:lang w:val="es-CR"/>
        </w:rPr>
        <w:t xml:space="preserve">Caso De la Masacre de las Dos Erres Vs. Guatemala, supra, </w:t>
      </w:r>
      <w:r w:rsidRPr="007E04F7">
        <w:rPr>
          <w:iCs/>
          <w:spacing w:val="-4"/>
          <w:sz w:val="16"/>
          <w:szCs w:val="16"/>
          <w:lang w:val="es-CO"/>
        </w:rPr>
        <w:t>párr.</w:t>
      </w:r>
      <w:r w:rsidRPr="007E04F7">
        <w:rPr>
          <w:iCs/>
          <w:spacing w:val="-4"/>
          <w:sz w:val="16"/>
          <w:szCs w:val="16"/>
          <w:lang w:val="es-CR"/>
        </w:rPr>
        <w:t xml:space="preserve"> 231, y</w:t>
      </w:r>
      <w:r w:rsidRPr="007E04F7">
        <w:rPr>
          <w:i/>
          <w:iCs/>
          <w:spacing w:val="-4"/>
          <w:sz w:val="16"/>
          <w:szCs w:val="16"/>
          <w:lang w:val="es-CR"/>
        </w:rPr>
        <w:t xml:space="preserve"> </w:t>
      </w:r>
      <w:r w:rsidRPr="007E04F7">
        <w:rPr>
          <w:i/>
          <w:iCs/>
          <w:spacing w:val="-4"/>
          <w:sz w:val="16"/>
          <w:szCs w:val="16"/>
          <w:lang w:val="es-CO"/>
        </w:rPr>
        <w:t>Caso Omeara Carrascal y otros Vs. Colombia</w:t>
      </w:r>
      <w:r w:rsidRPr="007E04F7">
        <w:rPr>
          <w:sz w:val="16"/>
          <w:szCs w:val="16"/>
          <w:lang w:val="es-ES"/>
        </w:rPr>
        <w:t xml:space="preserve">, </w:t>
      </w:r>
      <w:r w:rsidRPr="007E04F7">
        <w:rPr>
          <w:i/>
          <w:sz w:val="16"/>
          <w:szCs w:val="16"/>
          <w:lang w:val="es-ES"/>
        </w:rPr>
        <w:t>supra</w:t>
      </w:r>
      <w:r w:rsidRPr="007E04F7">
        <w:rPr>
          <w:sz w:val="16"/>
          <w:szCs w:val="16"/>
          <w:lang w:val="es-ES"/>
        </w:rPr>
        <w:t xml:space="preserve">, </w:t>
      </w:r>
      <w:r w:rsidRPr="007E04F7">
        <w:rPr>
          <w:iCs/>
          <w:spacing w:val="-4"/>
          <w:sz w:val="16"/>
          <w:szCs w:val="16"/>
          <w:lang w:val="es-CO"/>
        </w:rPr>
        <w:t>párr. 293.</w:t>
      </w:r>
    </w:p>
  </w:footnote>
  <w:footnote w:id="244">
    <w:p w14:paraId="3448E5E4" w14:textId="5CBD4748" w:rsidR="001A2991" w:rsidRPr="007E04F7" w:rsidRDefault="001A2991" w:rsidP="0064597D">
      <w:pPr>
        <w:pStyle w:val="Textonotapie"/>
        <w:tabs>
          <w:tab w:val="left" w:pos="567"/>
        </w:tabs>
        <w:rPr>
          <w:spacing w:val="-4"/>
          <w:sz w:val="16"/>
          <w:szCs w:val="16"/>
          <w:lang w:val="es-CR"/>
        </w:rPr>
      </w:pPr>
      <w:r w:rsidRPr="007E04F7">
        <w:rPr>
          <w:rStyle w:val="Refdenotaalpie"/>
          <w:spacing w:val="-4"/>
          <w:sz w:val="16"/>
          <w:szCs w:val="16"/>
        </w:rPr>
        <w:footnoteRef/>
      </w:r>
      <w:r w:rsidRPr="007E04F7">
        <w:rPr>
          <w:spacing w:val="-4"/>
          <w:sz w:val="16"/>
          <w:szCs w:val="16"/>
        </w:rPr>
        <w:t xml:space="preserve"> </w:t>
      </w:r>
      <w:r w:rsidRPr="007E04F7">
        <w:rPr>
          <w:spacing w:val="-4"/>
          <w:sz w:val="16"/>
          <w:szCs w:val="16"/>
        </w:rPr>
        <w:tab/>
      </w:r>
      <w:r w:rsidRPr="007E04F7">
        <w:rPr>
          <w:i/>
          <w:iCs/>
          <w:spacing w:val="-4"/>
          <w:sz w:val="16"/>
          <w:szCs w:val="16"/>
        </w:rPr>
        <w:t xml:space="preserve">Cfr. Caso Montero Aranguren y otros (Retén de Catia) Vs. Venezuela. Fondo, Reparaciones y Costas. </w:t>
      </w:r>
      <w:r w:rsidRPr="007E04F7">
        <w:rPr>
          <w:iCs/>
          <w:spacing w:val="-4"/>
          <w:sz w:val="16"/>
          <w:szCs w:val="16"/>
        </w:rPr>
        <w:t xml:space="preserve">Sentencia de 5 de julio de 2006. Serie C No. 150, párr. 139, y </w:t>
      </w:r>
      <w:r w:rsidRPr="007E04F7">
        <w:rPr>
          <w:i/>
          <w:iCs/>
          <w:spacing w:val="-4"/>
          <w:sz w:val="16"/>
          <w:szCs w:val="16"/>
          <w:lang w:val="es-CO"/>
        </w:rPr>
        <w:t>Caso</w:t>
      </w:r>
      <w:r w:rsidRPr="007E04F7">
        <w:rPr>
          <w:iCs/>
          <w:spacing w:val="-4"/>
          <w:sz w:val="16"/>
          <w:szCs w:val="16"/>
          <w:lang w:val="es-CO"/>
        </w:rPr>
        <w:t xml:space="preserve"> </w:t>
      </w:r>
      <w:r w:rsidRPr="007E04F7">
        <w:rPr>
          <w:i/>
          <w:iCs/>
          <w:spacing w:val="-4"/>
          <w:sz w:val="16"/>
          <w:szCs w:val="16"/>
          <w:lang w:val="es-CO"/>
        </w:rPr>
        <w:t xml:space="preserve">Terrones Silva y otros Vs. Perú. Excepciones Preliminares, Fondo, Reparaciones y Costas. </w:t>
      </w:r>
      <w:r w:rsidRPr="007E04F7">
        <w:rPr>
          <w:iCs/>
          <w:spacing w:val="-4"/>
          <w:sz w:val="16"/>
          <w:szCs w:val="16"/>
          <w:lang w:val="es-CO"/>
        </w:rPr>
        <w:t xml:space="preserve">Sentencia de 26 de septiembre de 2018. Serie </w:t>
      </w:r>
      <w:r w:rsidRPr="007E04F7">
        <w:rPr>
          <w:rStyle w:val="Textoennegrita"/>
          <w:b w:val="0"/>
          <w:sz w:val="16"/>
          <w:szCs w:val="16"/>
          <w:shd w:val="clear" w:color="auto" w:fill="FFFFFF"/>
          <w:lang w:val="es-CR"/>
        </w:rPr>
        <w:t>C No. 360</w:t>
      </w:r>
      <w:r w:rsidRPr="007E04F7">
        <w:rPr>
          <w:iCs/>
          <w:spacing w:val="-4"/>
          <w:sz w:val="16"/>
          <w:szCs w:val="16"/>
          <w:lang w:val="es-CO"/>
        </w:rPr>
        <w:t>,</w:t>
      </w:r>
      <w:r w:rsidRPr="007E04F7">
        <w:rPr>
          <w:iCs/>
          <w:spacing w:val="-4"/>
          <w:sz w:val="16"/>
          <w:szCs w:val="16"/>
          <w:lang w:val="es-CR"/>
        </w:rPr>
        <w:t xml:space="preserve"> párr. 246. </w:t>
      </w:r>
    </w:p>
  </w:footnote>
  <w:footnote w:id="245">
    <w:p w14:paraId="3CE5E776" w14:textId="49399F1A"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 Caso Comunidad Indígena Yakye Axa Vs. Paraguay. Fondo Reparaciones y Costas.</w:t>
      </w:r>
      <w:r w:rsidRPr="007E04F7">
        <w:rPr>
          <w:sz w:val="16"/>
          <w:szCs w:val="16"/>
        </w:rPr>
        <w:t xml:space="preserve"> Sentencia 17 de junio de 2005. Serie C No. 125, párr. 227, y </w:t>
      </w:r>
      <w:r w:rsidRPr="007E04F7">
        <w:rPr>
          <w:i/>
          <w:sz w:val="16"/>
          <w:szCs w:val="16"/>
          <w:lang w:eastAsia="es-PE"/>
        </w:rPr>
        <w:t>Caso Gorigoitía Vs. Argentina</w:t>
      </w:r>
      <w:r w:rsidRPr="007E04F7">
        <w:rPr>
          <w:i/>
          <w:sz w:val="16"/>
          <w:szCs w:val="16"/>
        </w:rPr>
        <w:t>, supra</w:t>
      </w:r>
      <w:r w:rsidRPr="007E04F7">
        <w:rPr>
          <w:sz w:val="16"/>
          <w:szCs w:val="16"/>
        </w:rPr>
        <w:t>, párr. 68.</w:t>
      </w:r>
    </w:p>
  </w:footnote>
  <w:footnote w:id="246">
    <w:p w14:paraId="1E5DDF63" w14:textId="04B07110"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t>Según el Estado, el régimen jurídico fundamental del procedimiento disciplinario que aplica el Tribunal de Honor del Colegio de Abogados y Notarios de Guatemala se encuentra fundamentado en los artículos 18 y 19 de la ley de Colegiación Profesional Obligatoria, Decreto No. 72-2001 del Congreso de la Republica, entre otros, sobre lo cuales la representación de las presuntas víctimas no puede alegar ignorancia.</w:t>
      </w:r>
    </w:p>
  </w:footnote>
  <w:footnote w:id="247">
    <w:p w14:paraId="3811839D" w14:textId="76102273"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w:t>
      </w:r>
      <w:r w:rsidRPr="007E04F7">
        <w:rPr>
          <w:rStyle w:val="Textoennegrita"/>
          <w:b w:val="0"/>
          <w:i/>
          <w:sz w:val="16"/>
          <w:szCs w:val="16"/>
        </w:rPr>
        <w:t>Caso Raxcacó Reyes Vs. Guatemala</w:t>
      </w:r>
      <w:r w:rsidRPr="007E04F7">
        <w:rPr>
          <w:sz w:val="16"/>
          <w:szCs w:val="16"/>
          <w:lang w:val="es-ES"/>
        </w:rPr>
        <w:t xml:space="preserve">, </w:t>
      </w:r>
      <w:r w:rsidRPr="007E04F7">
        <w:rPr>
          <w:i/>
          <w:sz w:val="16"/>
          <w:szCs w:val="16"/>
          <w:lang w:val="es-ES"/>
        </w:rPr>
        <w:t>supra</w:t>
      </w:r>
      <w:r w:rsidRPr="007E04F7">
        <w:rPr>
          <w:sz w:val="16"/>
          <w:szCs w:val="16"/>
          <w:lang w:val="es-ES"/>
        </w:rPr>
        <w:t xml:space="preserve">, </w:t>
      </w:r>
      <w:r w:rsidRPr="007E04F7">
        <w:rPr>
          <w:rStyle w:val="Textoennegrita"/>
          <w:b w:val="0"/>
          <w:sz w:val="16"/>
          <w:szCs w:val="16"/>
        </w:rPr>
        <w:t>párr. 132.</w:t>
      </w:r>
    </w:p>
  </w:footnote>
  <w:footnote w:id="248">
    <w:p w14:paraId="25789C95" w14:textId="22A20D04" w:rsidR="001A2991" w:rsidRPr="007E04F7" w:rsidRDefault="001A2991" w:rsidP="0064597D">
      <w:pPr>
        <w:tabs>
          <w:tab w:val="left" w:pos="567"/>
        </w:tabs>
        <w:spacing w:line="240" w:lineRule="auto"/>
        <w:rPr>
          <w:sz w:val="16"/>
          <w:szCs w:val="16"/>
          <w:lang w:val="es-ES_tradnl"/>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Sentencia de la Corte de Constitucionalidad de la República de Guatemala, de 17 de julio de 2012, expediente 1822-2011 (expediente de prueba, folios 6855 y 6856).</w:t>
      </w:r>
    </w:p>
  </w:footnote>
  <w:footnote w:id="249">
    <w:p w14:paraId="1AA84D11" w14:textId="7DC73B09"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w:t>
      </w:r>
      <w:r w:rsidRPr="007E04F7">
        <w:rPr>
          <w:rStyle w:val="Refdenotaalpie"/>
          <w:sz w:val="16"/>
          <w:szCs w:val="16"/>
          <w:vertAlign w:val="baseline"/>
        </w:rPr>
        <w:t>Sentencia</w:t>
      </w:r>
      <w:r w:rsidRPr="007E04F7">
        <w:rPr>
          <w:sz w:val="16"/>
          <w:szCs w:val="16"/>
        </w:rPr>
        <w:t xml:space="preserve"> de la Corte de Constitucionalidad de la República de Guatemala, de 17 de julio de 2012, expediente 1822-2011 (expediente de prueba, folio 6858).</w:t>
      </w:r>
    </w:p>
  </w:footnote>
  <w:footnote w:id="250">
    <w:p w14:paraId="31A5C27F" w14:textId="39758EE0" w:rsidR="001A2991" w:rsidRPr="007E04F7" w:rsidRDefault="001A2991" w:rsidP="0064597D">
      <w:pPr>
        <w:tabs>
          <w:tab w:val="left" w:pos="567"/>
        </w:tabs>
        <w:spacing w:line="240" w:lineRule="auto"/>
        <w:rPr>
          <w:sz w:val="16"/>
          <w:szCs w:val="16"/>
          <w:lang w:val="es-ES_tradnl"/>
        </w:rPr>
      </w:pPr>
      <w:r w:rsidRPr="007E04F7">
        <w:rPr>
          <w:rStyle w:val="Refdenotaalpie"/>
          <w:sz w:val="16"/>
          <w:szCs w:val="16"/>
        </w:rPr>
        <w:footnoteRef/>
      </w:r>
      <w:r w:rsidRPr="007E04F7">
        <w:rPr>
          <w:sz w:val="16"/>
          <w:szCs w:val="16"/>
        </w:rPr>
        <w:t xml:space="preserve"> </w:t>
      </w:r>
      <w:r w:rsidRPr="007E04F7">
        <w:rPr>
          <w:sz w:val="16"/>
          <w:szCs w:val="16"/>
        </w:rPr>
        <w:tab/>
      </w:r>
      <w:r w:rsidRPr="007E04F7">
        <w:rPr>
          <w:i/>
          <w:sz w:val="16"/>
          <w:szCs w:val="16"/>
        </w:rPr>
        <w:t>Cfr</w:t>
      </w:r>
      <w:r w:rsidRPr="007E04F7">
        <w:rPr>
          <w:sz w:val="16"/>
          <w:szCs w:val="16"/>
        </w:rPr>
        <w:t xml:space="preserve">. Sentencia de la Corte de Constitucionalidad de la República de Guatemala, de 24 de octubre de 2018, Expediente 5986-2016. </w:t>
      </w:r>
    </w:p>
  </w:footnote>
  <w:footnote w:id="251">
    <w:p w14:paraId="51828F8E" w14:textId="75094C14" w:rsidR="001A2991" w:rsidRPr="007E04F7" w:rsidRDefault="001A2991" w:rsidP="0064597D">
      <w:pPr>
        <w:tabs>
          <w:tab w:val="left" w:pos="567"/>
        </w:tabs>
        <w:spacing w:line="240" w:lineRule="auto"/>
        <w:rPr>
          <w:b/>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rFonts w:cs="Arial"/>
          <w:i/>
          <w:sz w:val="16"/>
          <w:szCs w:val="16"/>
        </w:rPr>
        <w:t>Cfr. Caso Claude Reyes y otros Vs. Chile. Supervisión de Cumplimiento de Sentencia.</w:t>
      </w:r>
      <w:r w:rsidRPr="007E04F7">
        <w:rPr>
          <w:rFonts w:cs="Arial"/>
          <w:sz w:val="16"/>
          <w:szCs w:val="16"/>
        </w:rPr>
        <w:t xml:space="preserve"> Resolución de la Corte de 24 de noviembre de 2008, Considerando 19, y </w:t>
      </w:r>
      <w:r w:rsidRPr="007E04F7">
        <w:rPr>
          <w:rStyle w:val="Textoennegrita"/>
          <w:b w:val="0"/>
          <w:i/>
          <w:sz w:val="16"/>
          <w:szCs w:val="16"/>
        </w:rPr>
        <w:t>Caso Alvarado Espinoza y otros Vs. México. Fondo, Reparaciones y Costas.</w:t>
      </w:r>
      <w:r w:rsidRPr="007E04F7">
        <w:rPr>
          <w:rStyle w:val="Textoennegrita"/>
          <w:b w:val="0"/>
          <w:sz w:val="16"/>
          <w:szCs w:val="16"/>
        </w:rPr>
        <w:t xml:space="preserve"> Sentencia de 28 de noviembre de 2018. Serie C No. 370, párr. 327.</w:t>
      </w:r>
    </w:p>
  </w:footnote>
  <w:footnote w:id="252">
    <w:p w14:paraId="23E9D0D9" w14:textId="690B4EA7" w:rsidR="001A2991" w:rsidRPr="007E04F7" w:rsidRDefault="001A2991" w:rsidP="0064597D">
      <w:pPr>
        <w:tabs>
          <w:tab w:val="left" w:pos="567"/>
        </w:tabs>
        <w:spacing w:line="240" w:lineRule="auto"/>
        <w:rPr>
          <w:sz w:val="16"/>
          <w:szCs w:val="16"/>
        </w:rPr>
      </w:pPr>
      <w:r w:rsidRPr="007E04F7">
        <w:rPr>
          <w:rStyle w:val="Refdenotaalpie"/>
          <w:sz w:val="16"/>
          <w:szCs w:val="16"/>
        </w:rPr>
        <w:footnoteRef/>
      </w:r>
      <w:r w:rsidRPr="007E04F7">
        <w:rPr>
          <w:sz w:val="16"/>
          <w:szCs w:val="16"/>
        </w:rPr>
        <w:t xml:space="preserve"> </w:t>
      </w:r>
      <w:r w:rsidRPr="007E04F7">
        <w:rPr>
          <w:sz w:val="16"/>
          <w:szCs w:val="16"/>
        </w:rPr>
        <w:tab/>
      </w:r>
      <w:r w:rsidRPr="007E04F7">
        <w:rPr>
          <w:rFonts w:cs="Arial"/>
          <w:i/>
          <w:sz w:val="16"/>
          <w:szCs w:val="16"/>
        </w:rPr>
        <w:t>Cfr. Caso Bámaca Velásquez Vs. Guatemala. Reparaciones y Costas</w:t>
      </w:r>
      <w:r w:rsidRPr="007E04F7">
        <w:rPr>
          <w:sz w:val="16"/>
          <w:szCs w:val="16"/>
          <w:lang w:val="es-ES"/>
        </w:rPr>
        <w:t xml:space="preserve">, </w:t>
      </w:r>
      <w:r w:rsidRPr="007E04F7">
        <w:rPr>
          <w:i/>
          <w:sz w:val="16"/>
          <w:szCs w:val="16"/>
          <w:lang w:val="es-ES"/>
        </w:rPr>
        <w:t>supra</w:t>
      </w:r>
      <w:r w:rsidRPr="007E04F7">
        <w:rPr>
          <w:sz w:val="16"/>
          <w:szCs w:val="16"/>
          <w:lang w:val="es-ES"/>
        </w:rPr>
        <w:t xml:space="preserve">, </w:t>
      </w:r>
      <w:r w:rsidRPr="007E04F7">
        <w:rPr>
          <w:rFonts w:cs="Arial"/>
          <w:sz w:val="16"/>
          <w:szCs w:val="16"/>
        </w:rPr>
        <w:t xml:space="preserve">párr. 43, y </w:t>
      </w:r>
      <w:r w:rsidRPr="007E04F7">
        <w:rPr>
          <w:bCs/>
          <w:i/>
          <w:sz w:val="16"/>
          <w:szCs w:val="16"/>
        </w:rPr>
        <w:t>Caso</w:t>
      </w:r>
      <w:r w:rsidRPr="007E04F7">
        <w:rPr>
          <w:i/>
          <w:sz w:val="16"/>
          <w:szCs w:val="16"/>
          <w:lang w:eastAsia="es-PE"/>
        </w:rPr>
        <w:t xml:space="preserve"> Caso Gorigoitía Vs. Argentina</w:t>
      </w:r>
      <w:r w:rsidRPr="007E04F7">
        <w:rPr>
          <w:i/>
          <w:sz w:val="16"/>
          <w:szCs w:val="16"/>
        </w:rPr>
        <w:t>, supra</w:t>
      </w:r>
      <w:r w:rsidRPr="007E04F7">
        <w:rPr>
          <w:bCs/>
          <w:i/>
          <w:sz w:val="16"/>
          <w:szCs w:val="16"/>
        </w:rPr>
        <w:t xml:space="preserve">, </w:t>
      </w:r>
      <w:r w:rsidRPr="007E04F7">
        <w:rPr>
          <w:bCs/>
          <w:sz w:val="16"/>
          <w:szCs w:val="16"/>
        </w:rPr>
        <w:t>párr. 80</w:t>
      </w:r>
      <w:r w:rsidRPr="007E04F7">
        <w:rPr>
          <w:rFonts w:cs="Arial"/>
          <w:sz w:val="16"/>
          <w:szCs w:val="16"/>
        </w:rPr>
        <w:t>.</w:t>
      </w:r>
    </w:p>
  </w:footnote>
  <w:footnote w:id="253">
    <w:p w14:paraId="15917472" w14:textId="2041D53B" w:rsidR="001A2991" w:rsidRPr="007E04F7" w:rsidRDefault="001A2991" w:rsidP="0064597D">
      <w:pPr>
        <w:tabs>
          <w:tab w:val="left" w:pos="567"/>
        </w:tabs>
        <w:spacing w:line="240" w:lineRule="auto"/>
        <w:rPr>
          <w:sz w:val="16"/>
          <w:szCs w:val="16"/>
        </w:rPr>
      </w:pPr>
      <w:r w:rsidRPr="007E04F7">
        <w:rPr>
          <w:rStyle w:val="Refdenotaalpie"/>
          <w:rFonts w:eastAsia="Calibri"/>
          <w:sz w:val="16"/>
          <w:szCs w:val="16"/>
        </w:rPr>
        <w:footnoteRef/>
      </w:r>
      <w:r w:rsidRPr="007E04F7">
        <w:rPr>
          <w:sz w:val="16"/>
          <w:szCs w:val="16"/>
        </w:rPr>
        <w:t xml:space="preserve"> </w:t>
      </w:r>
      <w:r w:rsidRPr="007E04F7">
        <w:rPr>
          <w:sz w:val="16"/>
          <w:szCs w:val="16"/>
        </w:rPr>
        <w:tab/>
      </w:r>
      <w:r w:rsidRPr="007E04F7">
        <w:rPr>
          <w:i/>
          <w:sz w:val="16"/>
          <w:szCs w:val="16"/>
        </w:rPr>
        <w:t>Cfr. Caso de los “Niños de la Calle” (Villagrán Morales y otros) Vs. Guatemala</w:t>
      </w:r>
      <w:r w:rsidRPr="007E04F7">
        <w:rPr>
          <w:sz w:val="16"/>
          <w:szCs w:val="16"/>
        </w:rPr>
        <w:t xml:space="preserve">. </w:t>
      </w:r>
      <w:r w:rsidRPr="007E04F7">
        <w:rPr>
          <w:i/>
          <w:sz w:val="16"/>
          <w:szCs w:val="16"/>
        </w:rPr>
        <w:t xml:space="preserve">Reparaciones y Costas, supra, </w:t>
      </w:r>
      <w:r w:rsidRPr="007E04F7">
        <w:rPr>
          <w:sz w:val="16"/>
          <w:szCs w:val="16"/>
        </w:rPr>
        <w:t>párr. 84, y</w:t>
      </w:r>
      <w:r w:rsidRPr="007E04F7">
        <w:rPr>
          <w:rFonts w:cs="Arial"/>
          <w:sz w:val="16"/>
          <w:szCs w:val="16"/>
        </w:rPr>
        <w:t xml:space="preserve"> </w:t>
      </w:r>
      <w:r w:rsidRPr="007E04F7">
        <w:rPr>
          <w:bCs/>
          <w:i/>
          <w:sz w:val="16"/>
          <w:szCs w:val="16"/>
        </w:rPr>
        <w:t>Caso</w:t>
      </w:r>
      <w:r w:rsidRPr="007E04F7">
        <w:rPr>
          <w:i/>
          <w:sz w:val="16"/>
          <w:szCs w:val="16"/>
          <w:lang w:eastAsia="es-PE"/>
        </w:rPr>
        <w:t xml:space="preserve"> Gorigoitía Vs. Argentina</w:t>
      </w:r>
      <w:r w:rsidRPr="007E04F7">
        <w:rPr>
          <w:i/>
          <w:sz w:val="16"/>
          <w:szCs w:val="16"/>
        </w:rPr>
        <w:t>, supra</w:t>
      </w:r>
      <w:r w:rsidRPr="007E04F7">
        <w:rPr>
          <w:bCs/>
          <w:i/>
          <w:sz w:val="16"/>
          <w:szCs w:val="16"/>
        </w:rPr>
        <w:t xml:space="preserve">, </w:t>
      </w:r>
      <w:r w:rsidRPr="007E04F7">
        <w:rPr>
          <w:bCs/>
          <w:sz w:val="16"/>
          <w:szCs w:val="16"/>
        </w:rPr>
        <w:t>párr. 82</w:t>
      </w:r>
      <w:r w:rsidRPr="007E04F7">
        <w:rPr>
          <w:sz w:val="16"/>
          <w:szCs w:val="16"/>
        </w:rPr>
        <w:t>.</w:t>
      </w:r>
    </w:p>
  </w:footnote>
  <w:footnote w:id="254">
    <w:p w14:paraId="082D0818" w14:textId="192A528D" w:rsidR="001A2991" w:rsidRPr="007E04F7" w:rsidRDefault="001A2991" w:rsidP="0064597D">
      <w:pPr>
        <w:tabs>
          <w:tab w:val="left" w:pos="567"/>
        </w:tabs>
        <w:spacing w:line="240" w:lineRule="auto"/>
        <w:rPr>
          <w:sz w:val="16"/>
          <w:szCs w:val="16"/>
        </w:rPr>
      </w:pPr>
      <w:r w:rsidRPr="007E04F7">
        <w:rPr>
          <w:rStyle w:val="Refdenotaalpie"/>
          <w:rFonts w:eastAsia="Calibri"/>
          <w:sz w:val="16"/>
          <w:szCs w:val="16"/>
        </w:rPr>
        <w:footnoteRef/>
      </w:r>
      <w:r w:rsidRPr="007E04F7">
        <w:rPr>
          <w:sz w:val="16"/>
          <w:szCs w:val="16"/>
        </w:rPr>
        <w:t xml:space="preserve"> </w:t>
      </w:r>
      <w:r w:rsidRPr="007E04F7">
        <w:rPr>
          <w:sz w:val="16"/>
          <w:szCs w:val="16"/>
        </w:rPr>
        <w:tab/>
      </w:r>
      <w:r w:rsidRPr="007E04F7">
        <w:rPr>
          <w:i/>
          <w:sz w:val="16"/>
          <w:szCs w:val="16"/>
        </w:rPr>
        <w:t xml:space="preserve">Cfr. </w:t>
      </w:r>
      <w:r w:rsidRPr="007E04F7">
        <w:rPr>
          <w:rFonts w:eastAsia="Calibri"/>
          <w:bCs/>
          <w:i/>
          <w:sz w:val="16"/>
          <w:szCs w:val="16"/>
          <w:shd w:val="clear" w:color="auto" w:fill="FFFFFF"/>
        </w:rPr>
        <w:t>Caso Garrido y Baigorria Vs. Argentina. Reparaciones y Costas.</w:t>
      </w:r>
      <w:r w:rsidRPr="007E04F7">
        <w:rPr>
          <w:rFonts w:eastAsia="Calibri"/>
          <w:bCs/>
          <w:sz w:val="16"/>
          <w:szCs w:val="16"/>
          <w:shd w:val="clear" w:color="auto" w:fill="FFFFFF"/>
        </w:rPr>
        <w:t xml:space="preserve"> Sentencia de 27 de agosto de 1998. Serie C No. 39, párr. 79, y </w:t>
      </w:r>
      <w:r w:rsidRPr="007E04F7">
        <w:rPr>
          <w:bCs/>
          <w:i/>
          <w:sz w:val="16"/>
          <w:szCs w:val="16"/>
        </w:rPr>
        <w:t>Caso</w:t>
      </w:r>
      <w:r w:rsidRPr="007E04F7">
        <w:rPr>
          <w:i/>
          <w:sz w:val="16"/>
          <w:szCs w:val="16"/>
          <w:lang w:eastAsia="es-PE"/>
        </w:rPr>
        <w:t xml:space="preserve"> Gorigoitía Vs. Argentina</w:t>
      </w:r>
      <w:r w:rsidRPr="007E04F7">
        <w:rPr>
          <w:i/>
          <w:sz w:val="16"/>
          <w:szCs w:val="16"/>
        </w:rPr>
        <w:t>, supra</w:t>
      </w:r>
      <w:r w:rsidRPr="007E04F7">
        <w:rPr>
          <w:bCs/>
          <w:sz w:val="16"/>
          <w:szCs w:val="16"/>
        </w:rPr>
        <w:t>, párr. 80</w:t>
      </w:r>
      <w:r w:rsidRPr="007E04F7">
        <w:rPr>
          <w:sz w:val="16"/>
          <w:szCs w:val="16"/>
        </w:rPr>
        <w:t>.</w:t>
      </w:r>
    </w:p>
  </w:footnote>
  <w:footnote w:id="255">
    <w:p w14:paraId="429C298E" w14:textId="11E79996" w:rsidR="001A2991" w:rsidRPr="007E04F7" w:rsidRDefault="001A2991" w:rsidP="0064597D">
      <w:pPr>
        <w:tabs>
          <w:tab w:val="left" w:pos="567"/>
        </w:tabs>
        <w:spacing w:line="240" w:lineRule="auto"/>
        <w:rPr>
          <w:sz w:val="16"/>
          <w:szCs w:val="16"/>
        </w:rPr>
      </w:pPr>
      <w:r w:rsidRPr="007E04F7">
        <w:rPr>
          <w:rStyle w:val="Refdenotaalpie"/>
          <w:rFonts w:eastAsia="Calibri"/>
          <w:sz w:val="16"/>
          <w:szCs w:val="16"/>
        </w:rPr>
        <w:footnoteRef/>
      </w:r>
      <w:r w:rsidRPr="007E04F7">
        <w:rPr>
          <w:sz w:val="16"/>
          <w:szCs w:val="16"/>
        </w:rPr>
        <w:t xml:space="preserve"> </w:t>
      </w:r>
      <w:r w:rsidRPr="007E04F7">
        <w:rPr>
          <w:sz w:val="16"/>
          <w:szCs w:val="16"/>
        </w:rPr>
        <w:tab/>
      </w:r>
      <w:r w:rsidRPr="007E04F7">
        <w:rPr>
          <w:i/>
          <w:sz w:val="16"/>
          <w:szCs w:val="16"/>
        </w:rPr>
        <w:t xml:space="preserve">Cfr. </w:t>
      </w:r>
      <w:r w:rsidRPr="007E04F7">
        <w:rPr>
          <w:rFonts w:eastAsia="Calibri"/>
          <w:bCs/>
          <w:i/>
          <w:sz w:val="16"/>
          <w:szCs w:val="16"/>
          <w:shd w:val="clear" w:color="auto" w:fill="FFFFFF"/>
        </w:rPr>
        <w:t>Caso Garrido y Baigorria Vs. Argentina. Reparaciones y Costas, supra</w:t>
      </w:r>
      <w:r w:rsidRPr="007E04F7">
        <w:rPr>
          <w:sz w:val="16"/>
          <w:szCs w:val="16"/>
        </w:rPr>
        <w:t xml:space="preserve">, párr. 82, y </w:t>
      </w:r>
      <w:r w:rsidRPr="007E04F7">
        <w:rPr>
          <w:bCs/>
          <w:i/>
          <w:sz w:val="16"/>
          <w:szCs w:val="16"/>
        </w:rPr>
        <w:t>Caso</w:t>
      </w:r>
      <w:r w:rsidRPr="007E04F7">
        <w:rPr>
          <w:i/>
          <w:sz w:val="16"/>
          <w:szCs w:val="16"/>
          <w:lang w:eastAsia="es-PE"/>
        </w:rPr>
        <w:t xml:space="preserve"> Gorigoitía Vs. Argentina</w:t>
      </w:r>
      <w:r w:rsidRPr="007E04F7">
        <w:rPr>
          <w:i/>
          <w:sz w:val="16"/>
          <w:szCs w:val="16"/>
        </w:rPr>
        <w:t>, supra</w:t>
      </w:r>
      <w:r w:rsidRPr="007E04F7">
        <w:rPr>
          <w:bCs/>
          <w:i/>
          <w:sz w:val="16"/>
          <w:szCs w:val="16"/>
        </w:rPr>
        <w:t>, supra,</w:t>
      </w:r>
      <w:r w:rsidRPr="007E04F7">
        <w:rPr>
          <w:rFonts w:eastAsia="Calibri"/>
          <w:bCs/>
          <w:sz w:val="16"/>
          <w:szCs w:val="16"/>
          <w:shd w:val="clear" w:color="auto" w:fill="FFFFFF"/>
        </w:rPr>
        <w:t xml:space="preserve"> párr. 84.</w:t>
      </w:r>
    </w:p>
  </w:footnote>
  <w:footnote w:id="256">
    <w:p w14:paraId="7BF30632" w14:textId="5481E6B4" w:rsidR="001A2991" w:rsidRPr="007E04F7" w:rsidRDefault="001A2991" w:rsidP="0064597D">
      <w:pPr>
        <w:tabs>
          <w:tab w:val="left" w:pos="567"/>
        </w:tabs>
        <w:spacing w:line="240" w:lineRule="auto"/>
        <w:rPr>
          <w:sz w:val="16"/>
          <w:szCs w:val="16"/>
        </w:rPr>
      </w:pPr>
      <w:r w:rsidRPr="007E04F7">
        <w:rPr>
          <w:rStyle w:val="Refdenotaalpie"/>
          <w:rFonts w:eastAsia="Calibri"/>
          <w:sz w:val="16"/>
          <w:szCs w:val="16"/>
        </w:rPr>
        <w:footnoteRef/>
      </w:r>
      <w:r w:rsidRPr="007E04F7">
        <w:rPr>
          <w:sz w:val="16"/>
          <w:szCs w:val="16"/>
        </w:rPr>
        <w:tab/>
      </w:r>
      <w:r w:rsidR="007E04F7" w:rsidRPr="007E04F7">
        <w:rPr>
          <w:i/>
          <w:sz w:val="16"/>
          <w:szCs w:val="16"/>
        </w:rPr>
        <w:t xml:space="preserve">Cfr. </w:t>
      </w:r>
      <w:r w:rsidRPr="007E04F7">
        <w:rPr>
          <w:rFonts w:eastAsia="Calibri"/>
          <w:bCs/>
          <w:i/>
          <w:sz w:val="16"/>
          <w:szCs w:val="16"/>
          <w:shd w:val="clear" w:color="auto" w:fill="FFFFFF"/>
        </w:rPr>
        <w:t>Caso Garrido y Baigorria Vs. Argentina. Reparaciones y Costas, supra</w:t>
      </w:r>
      <w:r w:rsidRPr="007E04F7">
        <w:rPr>
          <w:sz w:val="16"/>
          <w:szCs w:val="16"/>
        </w:rPr>
        <w:t>, párrs. 79 y 82,</w:t>
      </w:r>
      <w:r w:rsidRPr="007E04F7">
        <w:rPr>
          <w:i/>
          <w:sz w:val="16"/>
          <w:szCs w:val="16"/>
        </w:rPr>
        <w:t xml:space="preserve"> </w:t>
      </w:r>
      <w:r w:rsidRPr="007E04F7">
        <w:rPr>
          <w:sz w:val="16"/>
          <w:szCs w:val="16"/>
        </w:rPr>
        <w:t>y</w:t>
      </w:r>
      <w:r w:rsidRPr="007E04F7">
        <w:rPr>
          <w:i/>
          <w:sz w:val="16"/>
          <w:szCs w:val="16"/>
        </w:rPr>
        <w:t xml:space="preserve"> </w:t>
      </w:r>
      <w:r w:rsidRPr="007E04F7">
        <w:rPr>
          <w:bCs/>
          <w:i/>
          <w:sz w:val="16"/>
          <w:szCs w:val="16"/>
        </w:rPr>
        <w:t>Caso</w:t>
      </w:r>
      <w:r w:rsidRPr="007E04F7">
        <w:rPr>
          <w:i/>
          <w:sz w:val="16"/>
          <w:szCs w:val="16"/>
          <w:lang w:eastAsia="es-PE"/>
        </w:rPr>
        <w:t xml:space="preserve"> Gorigoitía Vs. Argentina</w:t>
      </w:r>
      <w:r w:rsidRPr="007E04F7">
        <w:rPr>
          <w:i/>
          <w:sz w:val="16"/>
          <w:szCs w:val="16"/>
        </w:rPr>
        <w:t>, supra</w:t>
      </w:r>
      <w:r w:rsidRPr="007E04F7">
        <w:rPr>
          <w:bCs/>
          <w:i/>
          <w:sz w:val="16"/>
          <w:szCs w:val="16"/>
        </w:rPr>
        <w:t>, supra,</w:t>
      </w:r>
      <w:r w:rsidRPr="007E04F7">
        <w:rPr>
          <w:rFonts w:eastAsia="Calibri"/>
          <w:bCs/>
          <w:sz w:val="16"/>
          <w:szCs w:val="16"/>
          <w:shd w:val="clear" w:color="auto" w:fill="FFFFFF"/>
        </w:rPr>
        <w:t xml:space="preserve"> párr. 85</w:t>
      </w:r>
      <w:r w:rsidRPr="007E04F7">
        <w:rPr>
          <w:sz w:val="16"/>
          <w:szCs w:val="16"/>
        </w:rPr>
        <w:t>.</w:t>
      </w:r>
    </w:p>
  </w:footnote>
  <w:footnote w:id="257">
    <w:p w14:paraId="3541B5A9" w14:textId="322B7427" w:rsidR="001A2991" w:rsidRPr="007E04F7" w:rsidRDefault="001A2991" w:rsidP="0064597D">
      <w:pPr>
        <w:tabs>
          <w:tab w:val="left" w:pos="567"/>
        </w:tabs>
        <w:spacing w:line="240" w:lineRule="auto"/>
        <w:rPr>
          <w:sz w:val="16"/>
          <w:szCs w:val="16"/>
        </w:rPr>
      </w:pPr>
      <w:r w:rsidRPr="007E04F7">
        <w:rPr>
          <w:rStyle w:val="Refdenotaalpie"/>
          <w:rFonts w:eastAsia="Calibri"/>
          <w:sz w:val="16"/>
          <w:szCs w:val="16"/>
        </w:rPr>
        <w:footnoteRef/>
      </w:r>
      <w:r w:rsidRPr="007E04F7">
        <w:rPr>
          <w:sz w:val="16"/>
          <w:szCs w:val="16"/>
        </w:rPr>
        <w:t xml:space="preserve"> </w:t>
      </w:r>
      <w:r w:rsidRPr="007E04F7">
        <w:rPr>
          <w:sz w:val="16"/>
          <w:szCs w:val="16"/>
        </w:rPr>
        <w:tab/>
      </w:r>
      <w:r w:rsidRPr="007E04F7">
        <w:rPr>
          <w:i/>
          <w:sz w:val="16"/>
          <w:szCs w:val="16"/>
        </w:rPr>
        <w:t>Cfr. Caso Chaparro Álvarez y Lapo Íñiguez Vs. Ecuador, supra</w:t>
      </w:r>
      <w:r w:rsidRPr="007E04F7">
        <w:rPr>
          <w:sz w:val="16"/>
          <w:szCs w:val="16"/>
        </w:rPr>
        <w:t>, párr. 277, y</w:t>
      </w:r>
      <w:r w:rsidRPr="007E04F7">
        <w:rPr>
          <w:bCs/>
          <w:i/>
          <w:sz w:val="16"/>
          <w:szCs w:val="16"/>
        </w:rPr>
        <w:t xml:space="preserve"> Caso</w:t>
      </w:r>
      <w:r w:rsidRPr="007E04F7">
        <w:rPr>
          <w:i/>
          <w:sz w:val="16"/>
          <w:szCs w:val="16"/>
          <w:lang w:eastAsia="es-PE"/>
        </w:rPr>
        <w:t xml:space="preserve"> Gorigoitía Vs. Argentina</w:t>
      </w:r>
      <w:r w:rsidRPr="007E04F7">
        <w:rPr>
          <w:i/>
          <w:sz w:val="16"/>
          <w:szCs w:val="16"/>
        </w:rPr>
        <w:t>, supra</w:t>
      </w:r>
      <w:r w:rsidRPr="007E04F7">
        <w:rPr>
          <w:bCs/>
          <w:i/>
          <w:sz w:val="16"/>
          <w:szCs w:val="16"/>
        </w:rPr>
        <w:t xml:space="preserve">, </w:t>
      </w:r>
      <w:r w:rsidRPr="007E04F7">
        <w:rPr>
          <w:rFonts w:eastAsia="Calibri"/>
          <w:bCs/>
          <w:sz w:val="16"/>
          <w:szCs w:val="16"/>
          <w:shd w:val="clear" w:color="auto" w:fill="FFFFFF"/>
        </w:rPr>
        <w:t>párr. 85.</w:t>
      </w:r>
    </w:p>
  </w:footnote>
  <w:footnote w:id="258">
    <w:p w14:paraId="19C71265" w14:textId="77777777" w:rsidR="001A2991" w:rsidRPr="007E04F7" w:rsidRDefault="001A2991" w:rsidP="0064597D">
      <w:pPr>
        <w:pStyle w:val="Textonotapie"/>
        <w:tabs>
          <w:tab w:val="left" w:pos="567"/>
        </w:tabs>
        <w:rPr>
          <w:sz w:val="16"/>
          <w:szCs w:val="16"/>
          <w:u w:val="single"/>
          <w:lang w:val="es-CR"/>
        </w:rPr>
      </w:pPr>
      <w:r w:rsidRPr="007E04F7">
        <w:rPr>
          <w:rStyle w:val="Refdenotaalpie"/>
          <w:rFonts w:eastAsia="Calibri"/>
          <w:sz w:val="16"/>
          <w:szCs w:val="16"/>
        </w:rPr>
        <w:footnoteRef/>
      </w:r>
      <w:r w:rsidRPr="007E04F7">
        <w:rPr>
          <w:sz w:val="16"/>
          <w:szCs w:val="16"/>
          <w:lang w:val="es-CR"/>
        </w:rPr>
        <w:t xml:space="preserve"> </w:t>
      </w:r>
      <w:r w:rsidRPr="007E04F7">
        <w:rPr>
          <w:sz w:val="16"/>
          <w:szCs w:val="16"/>
          <w:lang w:val="es-CR"/>
        </w:rPr>
        <w:tab/>
      </w:r>
      <w:r w:rsidRPr="007E04F7">
        <w:rPr>
          <w:bCs/>
          <w:sz w:val="16"/>
          <w:szCs w:val="16"/>
          <w:lang w:val="es-CR"/>
        </w:rPr>
        <w:t>AG/RES. 2426 (XXXVIII-O/08),</w:t>
      </w:r>
      <w:r w:rsidRPr="007E04F7">
        <w:rPr>
          <w:rFonts w:cs="Verdana"/>
          <w:sz w:val="16"/>
          <w:szCs w:val="16"/>
          <w:lang w:val="es-CR"/>
        </w:rPr>
        <w:t xml:space="preserve"> </w:t>
      </w:r>
      <w:r w:rsidRPr="007E04F7">
        <w:rPr>
          <w:sz w:val="16"/>
          <w:szCs w:val="16"/>
          <w:lang w:val="es-CR"/>
        </w:rPr>
        <w:t xml:space="preserve">Resolución adoptada por la Asamblea General de la OEA </w:t>
      </w:r>
      <w:r w:rsidRPr="007E04F7">
        <w:rPr>
          <w:rFonts w:cs="Verdana"/>
          <w:sz w:val="16"/>
          <w:szCs w:val="16"/>
          <w:lang w:val="es-CR"/>
        </w:rPr>
        <w:t>durante la celebración del XXXVIII Período Ordinario de Sesiones de la OEA,</w:t>
      </w:r>
      <w:r w:rsidRPr="007E04F7">
        <w:rPr>
          <w:bCs/>
          <w:sz w:val="16"/>
          <w:szCs w:val="16"/>
          <w:lang w:val="es-CR"/>
        </w:rPr>
        <w:t xml:space="preserve"> </w:t>
      </w:r>
      <w:r w:rsidRPr="007E04F7">
        <w:rPr>
          <w:sz w:val="16"/>
          <w:szCs w:val="16"/>
          <w:lang w:val="es-CR"/>
        </w:rPr>
        <w:t>en la cuarta sesión plenaria,</w:t>
      </w:r>
      <w:r w:rsidRPr="007E04F7">
        <w:rPr>
          <w:bCs/>
          <w:sz w:val="16"/>
          <w:szCs w:val="16"/>
          <w:lang w:val="es-CR"/>
        </w:rPr>
        <w:t xml:space="preserve"> </w:t>
      </w:r>
      <w:r w:rsidRPr="007E04F7">
        <w:rPr>
          <w:sz w:val="16"/>
          <w:szCs w:val="16"/>
          <w:lang w:val="es-CR"/>
        </w:rPr>
        <w:t xml:space="preserve">celebrada el 3 de junio de 2008, </w:t>
      </w:r>
      <w:r w:rsidRPr="007E04F7">
        <w:rPr>
          <w:i/>
          <w:sz w:val="16"/>
          <w:szCs w:val="16"/>
          <w:lang w:val="es-CR"/>
        </w:rPr>
        <w:t>“Creación del Fondo de Asistencia Legal del Sistema Interamericano de Derechos Humanos</w:t>
      </w:r>
      <w:r w:rsidRPr="007E04F7">
        <w:rPr>
          <w:sz w:val="16"/>
          <w:szCs w:val="16"/>
          <w:lang w:val="es-CR"/>
        </w:rPr>
        <w:t>”, Punto Resolutivo 2.a</w:t>
      </w:r>
      <w:r w:rsidRPr="007E04F7">
        <w:rPr>
          <w:rFonts w:cs="Verdana"/>
          <w:sz w:val="16"/>
          <w:szCs w:val="16"/>
          <w:lang w:val="es-CR"/>
        </w:rPr>
        <w:t xml:space="preserve">), y </w:t>
      </w:r>
      <w:r w:rsidRPr="007E04F7">
        <w:rPr>
          <w:sz w:val="16"/>
          <w:szCs w:val="16"/>
          <w:lang w:val="es-CR"/>
        </w:rPr>
        <w:t>CP/RES. 963 (1728/09), Resolución adoptada el 11 de noviembre de 2009 por el Consejo Permanente de la OEA, “</w:t>
      </w:r>
      <w:r w:rsidRPr="007E04F7">
        <w:rPr>
          <w:i/>
          <w:iCs/>
          <w:sz w:val="16"/>
          <w:szCs w:val="16"/>
          <w:lang w:val="es-CR"/>
        </w:rPr>
        <w:t xml:space="preserve">Reglamento para el Funcionamiento del Fondo de Asistencia </w:t>
      </w:r>
      <w:r w:rsidRPr="007E04F7">
        <w:rPr>
          <w:iCs/>
          <w:sz w:val="16"/>
          <w:szCs w:val="16"/>
          <w:lang w:val="es-CR"/>
        </w:rPr>
        <w:t>Legal</w:t>
      </w:r>
      <w:r w:rsidRPr="007E04F7">
        <w:rPr>
          <w:i/>
          <w:iCs/>
          <w:sz w:val="16"/>
          <w:szCs w:val="16"/>
          <w:lang w:val="es-CR"/>
        </w:rPr>
        <w:t xml:space="preserve"> del Sistema Interamericano de Derechos Humanos</w:t>
      </w:r>
      <w:r w:rsidRPr="007E04F7">
        <w:rPr>
          <w:sz w:val="16"/>
          <w:szCs w:val="16"/>
          <w:lang w:val="es-CR"/>
        </w:rPr>
        <w:t>”, artículo 1.1.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F792B4" w14:textId="19E74EE3" w:rsidR="001A2991" w:rsidRDefault="001A2991">
    <w:pPr>
      <w:pStyle w:val="Encabezad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43BB9"/>
    <w:multiLevelType w:val="hybridMultilevel"/>
    <w:tmpl w:val="750245E0"/>
    <w:lvl w:ilvl="0" w:tplc="018E161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3F6B66"/>
    <w:multiLevelType w:val="hybridMultilevel"/>
    <w:tmpl w:val="3830D59E"/>
    <w:lvl w:ilvl="0" w:tplc="4E2A0C4C">
      <w:start w:val="1"/>
      <w:numFmt w:val="decimal"/>
      <w:lvlText w:val="%1."/>
      <w:lvlJc w:val="left"/>
      <w:pPr>
        <w:ind w:left="5130" w:hanging="360"/>
      </w:pPr>
      <w:rPr>
        <w:rFonts w:ascii="Verdana" w:hAnsi="Verdana" w:hint="default"/>
        <w:b w:val="0"/>
        <w:i w:val="0"/>
        <w:strike w:val="0"/>
        <w:dstrike w:val="0"/>
        <w:color w:val="auto"/>
        <w:sz w:val="20"/>
        <w:szCs w:val="20"/>
        <w:u w:val="none"/>
        <w:effect w:val="none"/>
        <w:vertAlign w:val="baseline"/>
        <w:lang w:val="es-CR"/>
      </w:rPr>
    </w:lvl>
    <w:lvl w:ilvl="1" w:tplc="CEA4ED48">
      <w:start w:val="1"/>
      <w:numFmt w:val="upp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2" w15:restartNumberingAfterBreak="0">
    <w:nsid w:val="07271B0C"/>
    <w:multiLevelType w:val="hybridMultilevel"/>
    <w:tmpl w:val="B0FC2E86"/>
    <w:lvl w:ilvl="0" w:tplc="400C9FC4">
      <w:start w:val="1"/>
      <w:numFmt w:val="decimal"/>
      <w:lvlText w:val="%1."/>
      <w:lvlJc w:val="left"/>
      <w:pPr>
        <w:ind w:left="36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6C5F42"/>
    <w:multiLevelType w:val="hybridMultilevel"/>
    <w:tmpl w:val="0C2AEC58"/>
    <w:lvl w:ilvl="0" w:tplc="140A0017">
      <w:start w:val="1"/>
      <w:numFmt w:val="lowerLetter"/>
      <w:lvlText w:val="%1)"/>
      <w:lvlJc w:val="left"/>
      <w:pPr>
        <w:ind w:left="72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0D897ADC"/>
    <w:multiLevelType w:val="hybridMultilevel"/>
    <w:tmpl w:val="8EF28438"/>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10FC4AE8"/>
    <w:multiLevelType w:val="hybridMultilevel"/>
    <w:tmpl w:val="7B669198"/>
    <w:lvl w:ilvl="0" w:tplc="7AA0DE0C">
      <w:start w:val="1"/>
      <w:numFmt w:val="upperRoman"/>
      <w:lvlText w:val="%1."/>
      <w:lvlJc w:val="left"/>
      <w:pPr>
        <w:ind w:left="1080" w:hanging="72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DD9C5BB8">
      <w:start w:val="1"/>
      <w:numFmt w:val="decimal"/>
      <w:lvlText w:val="%4."/>
      <w:lvlJc w:val="left"/>
      <w:pPr>
        <w:ind w:left="2880" w:hanging="360"/>
      </w:pPr>
      <w:rPr>
        <w:i w:val="0"/>
      </w:rPr>
    </w:lvl>
    <w:lvl w:ilvl="4" w:tplc="04090019">
      <w:start w:val="1"/>
      <w:numFmt w:val="lowerLetter"/>
      <w:lvlText w:val="%5."/>
      <w:lvlJc w:val="left"/>
      <w:pPr>
        <w:ind w:left="644" w:hanging="360"/>
      </w:pPr>
      <w:rPr>
        <w:rFonts w:hint="default"/>
      </w:rPr>
    </w:lvl>
    <w:lvl w:ilvl="5" w:tplc="B0DC9D8C">
      <w:start w:val="5"/>
      <w:numFmt w:val="lowerLetter"/>
      <w:lvlText w:val="%6-"/>
      <w:lvlJc w:val="left"/>
      <w:pPr>
        <w:ind w:left="4500" w:hanging="360"/>
      </w:pPr>
      <w:rPr>
        <w:rFonts w:hint="default"/>
        <w:b/>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0007F9"/>
    <w:multiLevelType w:val="hybridMultilevel"/>
    <w:tmpl w:val="0796724C"/>
    <w:lvl w:ilvl="0" w:tplc="083431E2">
      <w:start w:val="1"/>
      <w:numFmt w:val="bullet"/>
      <w:lvlText w:val="-"/>
      <w:lvlJc w:val="left"/>
      <w:pPr>
        <w:ind w:left="720" w:hanging="360"/>
      </w:pPr>
      <w:rPr>
        <w:rFonts w:ascii="Verdana" w:eastAsiaTheme="minorHAnsi" w:hAnsi="Verdana" w:cs="Times New Roman" w:hint="default"/>
        <w:color w:val="313131"/>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7" w15:restartNumberingAfterBreak="0">
    <w:nsid w:val="1BD32E13"/>
    <w:multiLevelType w:val="hybridMultilevel"/>
    <w:tmpl w:val="A89031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052760"/>
    <w:multiLevelType w:val="hybridMultilevel"/>
    <w:tmpl w:val="AB80FF5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837B61"/>
    <w:multiLevelType w:val="hybridMultilevel"/>
    <w:tmpl w:val="B77CBFE8"/>
    <w:lvl w:ilvl="0" w:tplc="B9E660D2">
      <w:start w:val="1"/>
      <w:numFmt w:val="decimal"/>
      <w:lvlText w:val="%1."/>
      <w:lvlJc w:val="left"/>
      <w:pPr>
        <w:ind w:left="720" w:hanging="360"/>
      </w:pPr>
      <w:rPr>
        <w:rFonts w:hint="default"/>
        <w:b w:val="0"/>
        <w:i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0" w15:restartNumberingAfterBreak="0">
    <w:nsid w:val="2C6144C9"/>
    <w:multiLevelType w:val="hybridMultilevel"/>
    <w:tmpl w:val="CFF0C922"/>
    <w:lvl w:ilvl="0" w:tplc="AAD2F022">
      <w:start w:val="1"/>
      <w:numFmt w:val="decimal"/>
      <w:pStyle w:val="PrrafodeSentencia"/>
      <w:lvlText w:val="%1."/>
      <w:lvlJc w:val="left"/>
      <w:pPr>
        <w:tabs>
          <w:tab w:val="num" w:pos="12305"/>
        </w:tabs>
      </w:pPr>
      <w:rPr>
        <w:rFonts w:ascii="Verdana" w:eastAsia="Times New Roman" w:hAnsi="Verdana"/>
        <w:b w:val="0"/>
        <w:bCs w:val="0"/>
        <w:i w:val="0"/>
        <w:iCs w:val="0"/>
        <w:strike w:val="0"/>
        <w:color w:val="auto"/>
        <w:sz w:val="20"/>
        <w:szCs w:val="20"/>
        <w:lang w:val="es-CO"/>
      </w:rPr>
    </w:lvl>
    <w:lvl w:ilvl="1" w:tplc="D8688752">
      <w:start w:val="1"/>
      <w:numFmt w:val="decimal"/>
      <w:lvlText w:val="%2."/>
      <w:lvlJc w:val="left"/>
      <w:pPr>
        <w:tabs>
          <w:tab w:val="num" w:pos="1080"/>
        </w:tabs>
        <w:ind w:left="1080" w:hanging="360"/>
      </w:pPr>
      <w:rPr>
        <w:rFonts w:hint="default"/>
        <w:b/>
        <w:bCs w:val="0"/>
        <w:i w:val="0"/>
        <w:iCs w:val="0"/>
        <w:color w:val="FF0000"/>
        <w:sz w:val="20"/>
        <w:szCs w:val="20"/>
      </w:rPr>
    </w:lvl>
    <w:lvl w:ilvl="2" w:tplc="0409001B">
      <w:start w:val="1"/>
      <w:numFmt w:val="lowerRoman"/>
      <w:lvlText w:val="%3."/>
      <w:lvlJc w:val="right"/>
      <w:pPr>
        <w:tabs>
          <w:tab w:val="num" w:pos="1530"/>
        </w:tabs>
        <w:ind w:left="1530" w:hanging="180"/>
      </w:pPr>
      <w:rPr>
        <w:b w:val="0"/>
        <w:strike w:val="0"/>
      </w:rPr>
    </w:lvl>
    <w:lvl w:ilvl="3" w:tplc="140A001B">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2E0A7AE1"/>
    <w:multiLevelType w:val="multilevel"/>
    <w:tmpl w:val="976A5FA6"/>
    <w:lvl w:ilvl="0">
      <w:start w:val="1"/>
      <w:numFmt w:val="decimal"/>
      <w:lvlText w:val="%1."/>
      <w:lvlJc w:val="left"/>
      <w:pPr>
        <w:ind w:left="1211" w:hanging="360"/>
      </w:pPr>
      <w:rPr>
        <w:rFonts w:ascii="Verdana" w:hAnsi="Verdana" w:hint="default"/>
        <w:b w:val="0"/>
        <w:i w:val="0"/>
        <w:sz w:val="20"/>
        <w:szCs w:val="20"/>
        <w:lang w:val="es-CR"/>
      </w:rPr>
    </w:lvl>
    <w:lvl w:ilvl="1">
      <w:start w:val="1"/>
      <w:numFmt w:val="lowerLetter"/>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F4767F3"/>
    <w:multiLevelType w:val="hybridMultilevel"/>
    <w:tmpl w:val="C45809BC"/>
    <w:lvl w:ilvl="0" w:tplc="EE1A0456">
      <w:start w:val="1"/>
      <w:numFmt w:val="decimal"/>
      <w:pStyle w:val="Estilo5"/>
      <w:lvlText w:val="%1."/>
      <w:lvlJc w:val="left"/>
      <w:pPr>
        <w:ind w:left="450" w:hanging="360"/>
      </w:pPr>
      <w:rPr>
        <w:rFonts w:ascii="Verdana" w:hAnsi="Verdana" w:hint="default"/>
        <w:b w:val="0"/>
        <w:i w:val="0"/>
        <w:strike w:val="0"/>
        <w:color w:val="auto"/>
        <w:sz w:val="20"/>
        <w:szCs w:val="20"/>
        <w:lang w:val="es-MX"/>
      </w:rPr>
    </w:lvl>
    <w:lvl w:ilvl="1" w:tplc="3CA86E32">
      <w:start w:val="1"/>
      <w:numFmt w:val="lowerLetter"/>
      <w:lvlText w:val="%2)"/>
      <w:lvlJc w:val="left"/>
      <w:pPr>
        <w:ind w:left="1620" w:hanging="360"/>
      </w:pPr>
      <w:rPr>
        <w:rFonts w:ascii="Verdana" w:hAnsi="Verdana" w:cs="Times New Roman" w:hint="default"/>
        <w:b w:val="0"/>
        <w:i w:val="0"/>
        <w:caps w:val="0"/>
        <w:strike w:val="0"/>
        <w:dstrike w:val="0"/>
        <w:vanish w:val="0"/>
        <w:color w:val="auto"/>
        <w:sz w:val="20"/>
        <w:vertAlign w:val="baseline"/>
      </w:rPr>
    </w:lvl>
    <w:lvl w:ilvl="2" w:tplc="3F20288C">
      <w:start w:val="1"/>
      <w:numFmt w:val="lowerRoman"/>
      <w:lvlText w:val="%3."/>
      <w:lvlJc w:val="right"/>
      <w:pPr>
        <w:ind w:left="2160" w:hanging="180"/>
      </w:pPr>
      <w:rPr>
        <w:b w:val="0"/>
      </w:rPr>
    </w:lvl>
    <w:lvl w:ilvl="3" w:tplc="140A000F">
      <w:start w:val="1"/>
      <w:numFmt w:val="decimal"/>
      <w:lvlText w:val="%4."/>
      <w:lvlJc w:val="left"/>
      <w:pPr>
        <w:ind w:left="2880" w:hanging="360"/>
      </w:pPr>
    </w:lvl>
    <w:lvl w:ilvl="4" w:tplc="606ED164">
      <w:start w:val="1"/>
      <w:numFmt w:val="lowerLetter"/>
      <w:pStyle w:val="Estilo3"/>
      <w:lvlText w:val="%5)"/>
      <w:lvlJc w:val="left"/>
      <w:pPr>
        <w:ind w:left="3600" w:hanging="360"/>
      </w:pPr>
      <w:rPr>
        <w:rFonts w:hint="default"/>
        <w:b w:val="0"/>
        <w:i w:val="0"/>
      </w:rPr>
    </w:lvl>
    <w:lvl w:ilvl="5" w:tplc="726C26BC">
      <w:start w:val="1"/>
      <w:numFmt w:val="lowerRoman"/>
      <w:pStyle w:val="Estilo8"/>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3" w15:restartNumberingAfterBreak="0">
    <w:nsid w:val="2F4F17C6"/>
    <w:multiLevelType w:val="hybridMultilevel"/>
    <w:tmpl w:val="64C411CA"/>
    <w:lvl w:ilvl="0" w:tplc="04090015">
      <w:start w:val="1"/>
      <w:numFmt w:val="upperLetter"/>
      <w:lvlText w:val="%1."/>
      <w:lvlJc w:val="left"/>
      <w:pPr>
        <w:ind w:left="1288" w:hanging="360"/>
      </w:pPr>
    </w:lvl>
    <w:lvl w:ilvl="1" w:tplc="04090019">
      <w:start w:val="1"/>
      <w:numFmt w:val="lowerLetter"/>
      <w:lvlText w:val="%2."/>
      <w:lvlJc w:val="left"/>
      <w:pPr>
        <w:ind w:left="2008" w:hanging="360"/>
      </w:pPr>
    </w:lvl>
    <w:lvl w:ilvl="2" w:tplc="0409001B" w:tentative="1">
      <w:start w:val="1"/>
      <w:numFmt w:val="lowerRoman"/>
      <w:lvlText w:val="%3."/>
      <w:lvlJc w:val="right"/>
      <w:pPr>
        <w:ind w:left="2728" w:hanging="180"/>
      </w:pPr>
    </w:lvl>
    <w:lvl w:ilvl="3" w:tplc="0409000F" w:tentative="1">
      <w:start w:val="1"/>
      <w:numFmt w:val="decimal"/>
      <w:lvlText w:val="%4."/>
      <w:lvlJc w:val="left"/>
      <w:pPr>
        <w:ind w:left="3448" w:hanging="360"/>
      </w:pPr>
    </w:lvl>
    <w:lvl w:ilvl="4" w:tplc="04090019" w:tentative="1">
      <w:start w:val="1"/>
      <w:numFmt w:val="lowerLetter"/>
      <w:lvlText w:val="%5."/>
      <w:lvlJc w:val="left"/>
      <w:pPr>
        <w:ind w:left="4168" w:hanging="360"/>
      </w:pPr>
    </w:lvl>
    <w:lvl w:ilvl="5" w:tplc="0409001B" w:tentative="1">
      <w:start w:val="1"/>
      <w:numFmt w:val="lowerRoman"/>
      <w:lvlText w:val="%6."/>
      <w:lvlJc w:val="right"/>
      <w:pPr>
        <w:ind w:left="4888" w:hanging="180"/>
      </w:pPr>
    </w:lvl>
    <w:lvl w:ilvl="6" w:tplc="0409000F" w:tentative="1">
      <w:start w:val="1"/>
      <w:numFmt w:val="decimal"/>
      <w:lvlText w:val="%7."/>
      <w:lvlJc w:val="left"/>
      <w:pPr>
        <w:ind w:left="5608" w:hanging="360"/>
      </w:pPr>
    </w:lvl>
    <w:lvl w:ilvl="7" w:tplc="04090019" w:tentative="1">
      <w:start w:val="1"/>
      <w:numFmt w:val="lowerLetter"/>
      <w:lvlText w:val="%8."/>
      <w:lvlJc w:val="left"/>
      <w:pPr>
        <w:ind w:left="6328" w:hanging="360"/>
      </w:pPr>
    </w:lvl>
    <w:lvl w:ilvl="8" w:tplc="0409001B" w:tentative="1">
      <w:start w:val="1"/>
      <w:numFmt w:val="lowerRoman"/>
      <w:lvlText w:val="%9."/>
      <w:lvlJc w:val="right"/>
      <w:pPr>
        <w:ind w:left="7048" w:hanging="180"/>
      </w:pPr>
    </w:lvl>
  </w:abstractNum>
  <w:abstractNum w:abstractNumId="14" w15:restartNumberingAfterBreak="0">
    <w:nsid w:val="2FE8103F"/>
    <w:multiLevelType w:val="hybridMultilevel"/>
    <w:tmpl w:val="B1E65DDE"/>
    <w:lvl w:ilvl="0" w:tplc="0546C094">
      <w:start w:val="1"/>
      <w:numFmt w:val="decimal"/>
      <w:lvlText w:val="%1."/>
      <w:lvlJc w:val="left"/>
      <w:pPr>
        <w:ind w:left="1080" w:hanging="360"/>
      </w:pPr>
      <w:rPr>
        <w:rFonts w:hint="default"/>
      </w:rPr>
    </w:lvl>
    <w:lvl w:ilvl="1" w:tplc="9E662AE6">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6807B10"/>
    <w:multiLevelType w:val="hybridMultilevel"/>
    <w:tmpl w:val="1A98B54A"/>
    <w:lvl w:ilvl="0" w:tplc="9FA4F6D6">
      <w:start w:val="2"/>
      <w:numFmt w:val="lowerLetter"/>
      <w:lvlText w:val="%1)"/>
      <w:lvlJc w:val="left"/>
      <w:pPr>
        <w:ind w:left="2345" w:hanging="360"/>
      </w:pPr>
    </w:lvl>
    <w:lvl w:ilvl="1" w:tplc="140A0019">
      <w:start w:val="1"/>
      <w:numFmt w:val="lowerLetter"/>
      <w:lvlText w:val="%2."/>
      <w:lvlJc w:val="left"/>
      <w:pPr>
        <w:ind w:left="3065" w:hanging="360"/>
      </w:pPr>
    </w:lvl>
    <w:lvl w:ilvl="2" w:tplc="140A001B">
      <w:start w:val="1"/>
      <w:numFmt w:val="lowerRoman"/>
      <w:lvlText w:val="%3."/>
      <w:lvlJc w:val="right"/>
      <w:pPr>
        <w:ind w:left="3785" w:hanging="180"/>
      </w:pPr>
    </w:lvl>
    <w:lvl w:ilvl="3" w:tplc="140A000F">
      <w:start w:val="1"/>
      <w:numFmt w:val="decimal"/>
      <w:lvlText w:val="%4."/>
      <w:lvlJc w:val="left"/>
      <w:pPr>
        <w:ind w:left="4505" w:hanging="360"/>
      </w:pPr>
    </w:lvl>
    <w:lvl w:ilvl="4" w:tplc="140A0019">
      <w:start w:val="1"/>
      <w:numFmt w:val="lowerLetter"/>
      <w:lvlText w:val="%5."/>
      <w:lvlJc w:val="left"/>
      <w:pPr>
        <w:ind w:left="5225" w:hanging="360"/>
      </w:pPr>
    </w:lvl>
    <w:lvl w:ilvl="5" w:tplc="140A001B">
      <w:start w:val="1"/>
      <w:numFmt w:val="lowerRoman"/>
      <w:lvlText w:val="%6."/>
      <w:lvlJc w:val="right"/>
      <w:pPr>
        <w:ind w:left="5945" w:hanging="180"/>
      </w:pPr>
    </w:lvl>
    <w:lvl w:ilvl="6" w:tplc="140A000F">
      <w:start w:val="1"/>
      <w:numFmt w:val="decimal"/>
      <w:lvlText w:val="%7."/>
      <w:lvlJc w:val="left"/>
      <w:pPr>
        <w:ind w:left="6665" w:hanging="360"/>
      </w:pPr>
    </w:lvl>
    <w:lvl w:ilvl="7" w:tplc="140A0019">
      <w:start w:val="1"/>
      <w:numFmt w:val="lowerLetter"/>
      <w:lvlText w:val="%8."/>
      <w:lvlJc w:val="left"/>
      <w:pPr>
        <w:ind w:left="7385" w:hanging="360"/>
      </w:pPr>
    </w:lvl>
    <w:lvl w:ilvl="8" w:tplc="140A001B">
      <w:start w:val="1"/>
      <w:numFmt w:val="lowerRoman"/>
      <w:lvlText w:val="%9."/>
      <w:lvlJc w:val="right"/>
      <w:pPr>
        <w:ind w:left="8105" w:hanging="180"/>
      </w:pPr>
    </w:lvl>
  </w:abstractNum>
  <w:abstractNum w:abstractNumId="16" w15:restartNumberingAfterBreak="0">
    <w:nsid w:val="36E65998"/>
    <w:multiLevelType w:val="hybridMultilevel"/>
    <w:tmpl w:val="1B120036"/>
    <w:lvl w:ilvl="0" w:tplc="670C958C">
      <w:start w:val="1"/>
      <w:numFmt w:val="decimal"/>
      <w:lvlText w:val="%1."/>
      <w:lvlJc w:val="left"/>
      <w:pPr>
        <w:ind w:left="360" w:hanging="360"/>
      </w:pPr>
      <w:rPr>
        <w:rFonts w:ascii="Verdana" w:hAnsi="Verdana" w:hint="default"/>
        <w:b w:val="0"/>
        <w:i w:val="0"/>
        <w:strike w:val="0"/>
        <w:sz w:val="20"/>
        <w:szCs w:val="20"/>
        <w:lang w:val="es-MX"/>
      </w:rPr>
    </w:lvl>
    <w:lvl w:ilvl="1" w:tplc="140A0019">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7" w15:restartNumberingAfterBreak="0">
    <w:nsid w:val="38792EA1"/>
    <w:multiLevelType w:val="hybridMultilevel"/>
    <w:tmpl w:val="6EB2FF94"/>
    <w:lvl w:ilvl="0" w:tplc="EF16D824">
      <w:start w:val="1"/>
      <w:numFmt w:val="decimal"/>
      <w:lvlText w:val="%1."/>
      <w:lvlJc w:val="left"/>
      <w:pPr>
        <w:ind w:left="360" w:hanging="360"/>
      </w:pPr>
      <w:rPr>
        <w:rFonts w:hint="default"/>
        <w:b w:val="0"/>
        <w:i w:val="0"/>
        <w:color w:val="auto"/>
        <w:sz w:val="20"/>
        <w:szCs w:val="20"/>
      </w:rPr>
    </w:lvl>
    <w:lvl w:ilvl="1" w:tplc="97F4133A">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A44C05"/>
    <w:multiLevelType w:val="hybridMultilevel"/>
    <w:tmpl w:val="23FCDE72"/>
    <w:styleLink w:val="ImportedStyle1"/>
    <w:lvl w:ilvl="0" w:tplc="663461B6">
      <w:start w:val="1"/>
      <w:numFmt w:val="decimal"/>
      <w:lvlText w:val="%1."/>
      <w:lvlJc w:val="left"/>
      <w:pPr>
        <w:ind w:left="540" w:hanging="540"/>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BE480D8">
      <w:start w:val="1"/>
      <w:numFmt w:val="lowerLetter"/>
      <w:lvlText w:val="%2."/>
      <w:lvlJc w:val="left"/>
      <w:pPr>
        <w:ind w:left="720" w:hanging="720"/>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425AE274">
      <w:start w:val="1"/>
      <w:numFmt w:val="lowerRoman"/>
      <w:lvlText w:val="%3."/>
      <w:lvlJc w:val="left"/>
      <w:pPr>
        <w:tabs>
          <w:tab w:val="left" w:pos="540"/>
        </w:tabs>
        <w:ind w:left="1440" w:hanging="682"/>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AFA0C22">
      <w:start w:val="1"/>
      <w:numFmt w:val="decimal"/>
      <w:lvlText w:val="%4."/>
      <w:lvlJc w:val="left"/>
      <w:pPr>
        <w:tabs>
          <w:tab w:val="left" w:pos="540"/>
        </w:tabs>
        <w:ind w:left="2160" w:hanging="720"/>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AA430CE">
      <w:start w:val="1"/>
      <w:numFmt w:val="lowerLetter"/>
      <w:lvlText w:val="%5."/>
      <w:lvlJc w:val="left"/>
      <w:pPr>
        <w:tabs>
          <w:tab w:val="left" w:pos="540"/>
        </w:tabs>
        <w:ind w:left="2880" w:hanging="720"/>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6348524">
      <w:start w:val="1"/>
      <w:numFmt w:val="lowerRoman"/>
      <w:lvlText w:val="%6."/>
      <w:lvlJc w:val="left"/>
      <w:pPr>
        <w:tabs>
          <w:tab w:val="left" w:pos="540"/>
        </w:tabs>
        <w:ind w:left="3600" w:hanging="682"/>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21003F70">
      <w:start w:val="1"/>
      <w:numFmt w:val="decimal"/>
      <w:lvlText w:val="%7."/>
      <w:lvlJc w:val="left"/>
      <w:pPr>
        <w:tabs>
          <w:tab w:val="left" w:pos="540"/>
        </w:tabs>
        <w:ind w:left="4320" w:hanging="720"/>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388CE436">
      <w:start w:val="1"/>
      <w:numFmt w:val="lowerLetter"/>
      <w:lvlText w:val="%8."/>
      <w:lvlJc w:val="left"/>
      <w:pPr>
        <w:tabs>
          <w:tab w:val="left" w:pos="540"/>
        </w:tabs>
        <w:ind w:left="5040" w:hanging="720"/>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BBE8C4A">
      <w:start w:val="1"/>
      <w:numFmt w:val="lowerRoman"/>
      <w:lvlText w:val="%9."/>
      <w:lvlJc w:val="left"/>
      <w:pPr>
        <w:tabs>
          <w:tab w:val="left" w:pos="540"/>
        </w:tabs>
        <w:ind w:left="5760" w:hanging="682"/>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9" w15:restartNumberingAfterBreak="0">
    <w:nsid w:val="3DC61D90"/>
    <w:multiLevelType w:val="hybridMultilevel"/>
    <w:tmpl w:val="26BC633E"/>
    <w:lvl w:ilvl="0" w:tplc="CC2E9194">
      <w:start w:val="1"/>
      <w:numFmt w:val="decimal"/>
      <w:lvlText w:val="%1."/>
      <w:lvlJc w:val="left"/>
      <w:pPr>
        <w:tabs>
          <w:tab w:val="num" w:pos="1080"/>
        </w:tabs>
        <w:ind w:left="1080" w:hanging="360"/>
      </w:pPr>
      <w:rPr>
        <w:rFonts w:ascii="Cambria" w:hAnsi="Cambria" w:cs="Times New Roman" w:hint="default"/>
        <w:b w:val="0"/>
        <w:i w:val="0"/>
        <w:sz w:val="20"/>
        <w:szCs w:val="20"/>
        <w:lang w:val="es-V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C5469CD"/>
    <w:multiLevelType w:val="hybridMultilevel"/>
    <w:tmpl w:val="D7FED382"/>
    <w:lvl w:ilvl="0" w:tplc="264CB88E">
      <w:start w:val="1"/>
      <w:numFmt w:val="decimal"/>
      <w:lvlText w:val="%1."/>
      <w:lvlJc w:val="left"/>
      <w:pPr>
        <w:ind w:left="720" w:hanging="360"/>
      </w:pPr>
      <w:rPr>
        <w:rFonts w:ascii="Verdana" w:eastAsia="Calibri" w:hAnsi="Verdana" w:cs="Times New Roman" w:hint="default"/>
        <w:b w:val="0"/>
        <w:i w:val="0"/>
        <w:strike w:val="0"/>
        <w:color w:val="auto"/>
        <w:sz w:val="20"/>
        <w:szCs w:val="20"/>
      </w:rPr>
    </w:lvl>
    <w:lvl w:ilvl="1" w:tplc="9B3E45F0">
      <w:start w:val="1"/>
      <w:numFmt w:val="lowerLetter"/>
      <w:pStyle w:val="Estilo4"/>
      <w:lvlText w:val="%2)"/>
      <w:lvlJc w:val="left"/>
      <w:pPr>
        <w:ind w:left="1440" w:hanging="360"/>
      </w:pPr>
      <w:rPr>
        <w:rFonts w:ascii="Verdana" w:hAnsi="Verdana" w:cs="Times New Roman" w:hint="default"/>
        <w:b w:val="0"/>
        <w:i/>
        <w:caps w:val="0"/>
        <w:strike w:val="0"/>
        <w:dstrike w:val="0"/>
        <w:vanish w:val="0"/>
        <w:color w:val="auto"/>
        <w:sz w:val="20"/>
        <w:vertAlign w:val="baseline"/>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CCD1B5F"/>
    <w:multiLevelType w:val="hybridMultilevel"/>
    <w:tmpl w:val="F2B0DBD8"/>
    <w:lvl w:ilvl="0" w:tplc="987A0574">
      <w:start w:val="1"/>
      <w:numFmt w:val="decimal"/>
      <w:lvlText w:val="%1."/>
      <w:lvlJc w:val="left"/>
      <w:pPr>
        <w:ind w:left="928" w:hanging="360"/>
      </w:pPr>
      <w:rPr>
        <w:rFonts w:ascii="Verdana" w:eastAsia="Batang" w:hAnsi="Verdana" w:cs="Times"/>
        <w:b w:val="0"/>
        <w:i w:val="0"/>
        <w:color w:val="auto"/>
        <w:sz w:val="20"/>
        <w:szCs w:val="20"/>
      </w:rPr>
    </w:lvl>
    <w:lvl w:ilvl="1" w:tplc="62A25344">
      <w:start w:val="1"/>
      <w:numFmt w:val="lowerLetter"/>
      <w:lvlText w:val="%2)"/>
      <w:lvlJc w:val="left"/>
      <w:pPr>
        <w:ind w:left="1080" w:hanging="360"/>
      </w:pPr>
      <w:rPr>
        <w:rFonts w:ascii="Verdana" w:eastAsia="Batang" w:hAnsi="Verdana" w:cs="Times"/>
      </w:rPr>
    </w:lvl>
    <w:lvl w:ilvl="2" w:tplc="487AF94A">
      <w:start w:val="1"/>
      <w:numFmt w:val="upperLetter"/>
      <w:lvlText w:val="%3."/>
      <w:lvlJc w:val="left"/>
      <w:pPr>
        <w:ind w:left="1980" w:hanging="360"/>
      </w:pPr>
      <w:rPr>
        <w:rFonts w:cs="Tahoma" w:hint="default"/>
      </w:rPr>
    </w:lvl>
    <w:lvl w:ilvl="3" w:tplc="F50C6474">
      <w:start w:val="1"/>
      <w:numFmt w:val="lowerLetter"/>
      <w:lvlText w:val="%4)"/>
      <w:lvlJc w:val="left"/>
      <w:pPr>
        <w:ind w:left="2520" w:hanging="360"/>
      </w:pPr>
      <w:rPr>
        <w:rFonts w:hint="default"/>
      </w:rPr>
    </w:lvl>
    <w:lvl w:ilvl="4" w:tplc="86144CC8">
      <w:start w:val="7"/>
      <w:numFmt w:val="decimal"/>
      <w:lvlText w:val="%5"/>
      <w:lvlJc w:val="left"/>
      <w:pPr>
        <w:ind w:left="3240" w:hanging="360"/>
      </w:pPr>
      <w:rPr>
        <w:rFonts w:hint="default"/>
        <w:i/>
      </w:r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2" w15:restartNumberingAfterBreak="0">
    <w:nsid w:val="53E06E32"/>
    <w:multiLevelType w:val="hybridMultilevel"/>
    <w:tmpl w:val="43A228AC"/>
    <w:lvl w:ilvl="0" w:tplc="E9224E2E">
      <w:start w:val="1"/>
      <w:numFmt w:val="decimal"/>
      <w:lvlText w:val="%1."/>
      <w:lvlJc w:val="left"/>
      <w:pPr>
        <w:tabs>
          <w:tab w:val="num" w:pos="5057"/>
        </w:tabs>
      </w:pPr>
      <w:rPr>
        <w:rFonts w:ascii="Verdana" w:eastAsia="Times New Roman" w:hAnsi="Verdana" w:cs="Times New Roman" w:hint="default"/>
        <w:b w:val="0"/>
        <w:i w:val="0"/>
        <w:strike w:val="0"/>
        <w:color w:val="auto"/>
        <w:sz w:val="20"/>
        <w:lang w:val="es-ES"/>
      </w:rPr>
    </w:lvl>
    <w:lvl w:ilvl="1" w:tplc="91ECB87E">
      <w:start w:val="1"/>
      <w:numFmt w:val="lowerLetter"/>
      <w:lvlText w:val="%2)"/>
      <w:lvlJc w:val="left"/>
      <w:pPr>
        <w:tabs>
          <w:tab w:val="num" w:pos="1080"/>
        </w:tabs>
        <w:ind w:left="1080" w:hanging="360"/>
      </w:pPr>
      <w:rPr>
        <w:rFonts w:cs="Times New Roman" w:hint="default"/>
        <w:b w:val="0"/>
        <w:i w:val="0"/>
        <w:sz w:val="20"/>
      </w:rPr>
    </w:lvl>
    <w:lvl w:ilvl="2" w:tplc="001B0409">
      <w:start w:val="1"/>
      <w:numFmt w:val="lowerRoman"/>
      <w:lvlText w:val="%3."/>
      <w:lvlJc w:val="right"/>
      <w:pPr>
        <w:tabs>
          <w:tab w:val="num" w:pos="2160"/>
        </w:tabs>
        <w:ind w:left="2160" w:hanging="180"/>
      </w:pPr>
      <w:rPr>
        <w:rFonts w:cs="Times New Roman"/>
      </w:rPr>
    </w:lvl>
    <w:lvl w:ilvl="3" w:tplc="000F0409">
      <w:start w:val="1"/>
      <w:numFmt w:val="decimal"/>
      <w:lvlText w:val="%4."/>
      <w:lvlJc w:val="left"/>
      <w:pPr>
        <w:tabs>
          <w:tab w:val="num" w:pos="2880"/>
        </w:tabs>
        <w:ind w:left="2880" w:hanging="360"/>
      </w:pPr>
      <w:rPr>
        <w:rFonts w:cs="Times New Roman"/>
      </w:rPr>
    </w:lvl>
    <w:lvl w:ilvl="4" w:tplc="00190409">
      <w:start w:val="1"/>
      <w:numFmt w:val="lowerLetter"/>
      <w:lvlText w:val="%5."/>
      <w:lvlJc w:val="left"/>
      <w:pPr>
        <w:tabs>
          <w:tab w:val="num" w:pos="3600"/>
        </w:tabs>
        <w:ind w:left="3600" w:hanging="360"/>
      </w:pPr>
      <w:rPr>
        <w:rFonts w:cs="Times New Roman"/>
      </w:rPr>
    </w:lvl>
    <w:lvl w:ilvl="5" w:tplc="001B0409">
      <w:start w:val="1"/>
      <w:numFmt w:val="lowerRoman"/>
      <w:lvlText w:val="%6."/>
      <w:lvlJc w:val="right"/>
      <w:pPr>
        <w:tabs>
          <w:tab w:val="num" w:pos="4320"/>
        </w:tabs>
        <w:ind w:left="4320" w:hanging="180"/>
      </w:pPr>
      <w:rPr>
        <w:rFonts w:cs="Times New Roman"/>
      </w:rPr>
    </w:lvl>
    <w:lvl w:ilvl="6" w:tplc="000F0409">
      <w:start w:val="1"/>
      <w:numFmt w:val="decimal"/>
      <w:lvlText w:val="%7."/>
      <w:lvlJc w:val="left"/>
      <w:pPr>
        <w:tabs>
          <w:tab w:val="num" w:pos="5040"/>
        </w:tabs>
        <w:ind w:left="5040" w:hanging="360"/>
      </w:pPr>
      <w:rPr>
        <w:rFonts w:cs="Times New Roman"/>
      </w:rPr>
    </w:lvl>
    <w:lvl w:ilvl="7" w:tplc="00190409">
      <w:start w:val="1"/>
      <w:numFmt w:val="lowerLetter"/>
      <w:lvlText w:val="%8."/>
      <w:lvlJc w:val="left"/>
      <w:pPr>
        <w:tabs>
          <w:tab w:val="num" w:pos="5760"/>
        </w:tabs>
        <w:ind w:left="5760" w:hanging="360"/>
      </w:pPr>
      <w:rPr>
        <w:rFonts w:cs="Times New Roman"/>
      </w:rPr>
    </w:lvl>
    <w:lvl w:ilvl="8" w:tplc="001B0409">
      <w:start w:val="1"/>
      <w:numFmt w:val="lowerRoman"/>
      <w:lvlText w:val="%9."/>
      <w:lvlJc w:val="right"/>
      <w:pPr>
        <w:tabs>
          <w:tab w:val="num" w:pos="6480"/>
        </w:tabs>
        <w:ind w:left="6480" w:hanging="180"/>
      </w:pPr>
      <w:rPr>
        <w:rFonts w:cs="Times New Roman"/>
      </w:rPr>
    </w:lvl>
  </w:abstractNum>
  <w:abstractNum w:abstractNumId="23" w15:restartNumberingAfterBreak="0">
    <w:nsid w:val="58087B72"/>
    <w:multiLevelType w:val="hybridMultilevel"/>
    <w:tmpl w:val="F55A28EA"/>
    <w:lvl w:ilvl="0" w:tplc="00B22BC8">
      <w:start w:val="1"/>
      <w:numFmt w:val="decimal"/>
      <w:lvlText w:val="%1."/>
      <w:lvlJc w:val="left"/>
      <w:pPr>
        <w:tabs>
          <w:tab w:val="num" w:pos="360"/>
        </w:tabs>
        <w:ind w:left="360" w:hanging="360"/>
      </w:pPr>
      <w:rPr>
        <w:rFonts w:ascii="Verdana" w:hAnsi="Verdana" w:cs="Times New Roman" w:hint="default"/>
        <w:b w:val="0"/>
        <w:i w:val="0"/>
        <w:strike w:val="0"/>
        <w:color w:val="auto"/>
        <w:sz w:val="20"/>
        <w:szCs w:val="2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4" w15:restartNumberingAfterBreak="0">
    <w:nsid w:val="5A8C0434"/>
    <w:multiLevelType w:val="hybridMultilevel"/>
    <w:tmpl w:val="498003F6"/>
    <w:lvl w:ilvl="0" w:tplc="435EF360">
      <w:start w:val="1"/>
      <w:numFmt w:val="decimal"/>
      <w:lvlText w:val="%1."/>
      <w:lvlJc w:val="left"/>
      <w:pPr>
        <w:ind w:left="720" w:hanging="360"/>
      </w:pPr>
      <w:rPr>
        <w:rFonts w:ascii="Verdana" w:hAnsi="Verdana"/>
        <w:b w:val="0"/>
        <w:i w:val="0"/>
        <w:sz w:val="20"/>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5" w15:restartNumberingAfterBreak="0">
    <w:nsid w:val="5DD86B66"/>
    <w:multiLevelType w:val="hybridMultilevel"/>
    <w:tmpl w:val="14902710"/>
    <w:lvl w:ilvl="0" w:tplc="FA0A065E">
      <w:start w:val="1"/>
      <w:numFmt w:val="lowerRoman"/>
      <w:lvlText w:val="%1)"/>
      <w:lvlJc w:val="left"/>
      <w:pPr>
        <w:ind w:left="1854" w:hanging="720"/>
      </w:pPr>
    </w:lvl>
    <w:lvl w:ilvl="1" w:tplc="F538E97A">
      <w:start w:val="1"/>
      <w:numFmt w:val="decimal"/>
      <w:lvlText w:val="%2."/>
      <w:lvlJc w:val="left"/>
      <w:pPr>
        <w:ind w:left="1800" w:hanging="360"/>
      </w:pPr>
      <w:rPr>
        <w:rFonts w:ascii="Verdana" w:hAnsi="Verdana" w:hint="default"/>
        <w:b w:val="0"/>
        <w:i w:val="0"/>
        <w:strike w:val="0"/>
        <w:dstrike w:val="0"/>
        <w:color w:val="auto"/>
        <w:sz w:val="20"/>
        <w:szCs w:val="20"/>
        <w:u w:val="none"/>
        <w:effect w:val="none"/>
        <w:lang w:val="es-ES"/>
      </w:rPr>
    </w:lvl>
    <w:lvl w:ilvl="2" w:tplc="EF566DDC">
      <w:start w:val="1"/>
      <w:numFmt w:val="upperLetter"/>
      <w:lvlText w:val="%3."/>
      <w:lvlJc w:val="left"/>
      <w:pPr>
        <w:ind w:left="0" w:firstLine="0"/>
      </w:pPr>
      <w:rPr>
        <w:b/>
        <w:i/>
      </w:rPr>
    </w:lvl>
    <w:lvl w:ilvl="3" w:tplc="140A000F">
      <w:start w:val="1"/>
      <w:numFmt w:val="decimal"/>
      <w:lvlText w:val="%4."/>
      <w:lvlJc w:val="left"/>
      <w:pPr>
        <w:ind w:left="3654" w:hanging="360"/>
      </w:pPr>
    </w:lvl>
    <w:lvl w:ilvl="4" w:tplc="140A0019">
      <w:start w:val="1"/>
      <w:numFmt w:val="lowerLetter"/>
      <w:lvlText w:val="%5."/>
      <w:lvlJc w:val="left"/>
      <w:pPr>
        <w:ind w:left="4374" w:hanging="360"/>
      </w:pPr>
    </w:lvl>
    <w:lvl w:ilvl="5" w:tplc="140A001B">
      <w:start w:val="1"/>
      <w:numFmt w:val="lowerRoman"/>
      <w:lvlText w:val="%6."/>
      <w:lvlJc w:val="right"/>
      <w:pPr>
        <w:ind w:left="5094" w:hanging="180"/>
      </w:pPr>
    </w:lvl>
    <w:lvl w:ilvl="6" w:tplc="140A000F">
      <w:start w:val="1"/>
      <w:numFmt w:val="decimal"/>
      <w:lvlText w:val="%7."/>
      <w:lvlJc w:val="left"/>
      <w:pPr>
        <w:ind w:left="5814" w:hanging="360"/>
      </w:pPr>
    </w:lvl>
    <w:lvl w:ilvl="7" w:tplc="140A0019">
      <w:start w:val="1"/>
      <w:numFmt w:val="lowerLetter"/>
      <w:lvlText w:val="%8."/>
      <w:lvlJc w:val="left"/>
      <w:pPr>
        <w:ind w:left="6534" w:hanging="360"/>
      </w:pPr>
    </w:lvl>
    <w:lvl w:ilvl="8" w:tplc="140A001B">
      <w:start w:val="1"/>
      <w:numFmt w:val="lowerRoman"/>
      <w:lvlText w:val="%9."/>
      <w:lvlJc w:val="right"/>
      <w:pPr>
        <w:ind w:left="7254" w:hanging="180"/>
      </w:pPr>
    </w:lvl>
  </w:abstractNum>
  <w:abstractNum w:abstractNumId="26" w15:restartNumberingAfterBreak="0">
    <w:nsid w:val="60A0355D"/>
    <w:multiLevelType w:val="hybridMultilevel"/>
    <w:tmpl w:val="BD8050DA"/>
    <w:lvl w:ilvl="0" w:tplc="A64A01AE">
      <w:start w:val="3"/>
      <w:numFmt w:val="upperLetter"/>
      <w:lvlText w:val="%1."/>
      <w:lvlJc w:val="left"/>
      <w:pPr>
        <w:ind w:left="122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081F2A"/>
    <w:multiLevelType w:val="hybridMultilevel"/>
    <w:tmpl w:val="9FA88704"/>
    <w:lvl w:ilvl="0" w:tplc="140A000F">
      <w:start w:val="1"/>
      <w:numFmt w:val="decimal"/>
      <w:lvlText w:val="%1."/>
      <w:lvlJc w:val="left"/>
      <w:pPr>
        <w:ind w:left="-774" w:hanging="360"/>
      </w:pPr>
    </w:lvl>
    <w:lvl w:ilvl="1" w:tplc="140A0019" w:tentative="1">
      <w:start w:val="1"/>
      <w:numFmt w:val="lowerLetter"/>
      <w:lvlText w:val="%2."/>
      <w:lvlJc w:val="left"/>
      <w:pPr>
        <w:ind w:left="-54" w:hanging="360"/>
      </w:pPr>
    </w:lvl>
    <w:lvl w:ilvl="2" w:tplc="140A001B" w:tentative="1">
      <w:start w:val="1"/>
      <w:numFmt w:val="lowerRoman"/>
      <w:lvlText w:val="%3."/>
      <w:lvlJc w:val="right"/>
      <w:pPr>
        <w:ind w:left="666" w:hanging="180"/>
      </w:pPr>
    </w:lvl>
    <w:lvl w:ilvl="3" w:tplc="140A000F" w:tentative="1">
      <w:start w:val="1"/>
      <w:numFmt w:val="decimal"/>
      <w:lvlText w:val="%4."/>
      <w:lvlJc w:val="left"/>
      <w:pPr>
        <w:ind w:left="1386" w:hanging="360"/>
      </w:pPr>
    </w:lvl>
    <w:lvl w:ilvl="4" w:tplc="140A0019" w:tentative="1">
      <w:start w:val="1"/>
      <w:numFmt w:val="lowerLetter"/>
      <w:lvlText w:val="%5."/>
      <w:lvlJc w:val="left"/>
      <w:pPr>
        <w:ind w:left="2106" w:hanging="360"/>
      </w:pPr>
    </w:lvl>
    <w:lvl w:ilvl="5" w:tplc="140A001B" w:tentative="1">
      <w:start w:val="1"/>
      <w:numFmt w:val="lowerRoman"/>
      <w:lvlText w:val="%6."/>
      <w:lvlJc w:val="right"/>
      <w:pPr>
        <w:ind w:left="2826" w:hanging="180"/>
      </w:pPr>
    </w:lvl>
    <w:lvl w:ilvl="6" w:tplc="140A000F" w:tentative="1">
      <w:start w:val="1"/>
      <w:numFmt w:val="decimal"/>
      <w:lvlText w:val="%7."/>
      <w:lvlJc w:val="left"/>
      <w:pPr>
        <w:ind w:left="3546" w:hanging="360"/>
      </w:pPr>
    </w:lvl>
    <w:lvl w:ilvl="7" w:tplc="140A0019" w:tentative="1">
      <w:start w:val="1"/>
      <w:numFmt w:val="lowerLetter"/>
      <w:lvlText w:val="%8."/>
      <w:lvlJc w:val="left"/>
      <w:pPr>
        <w:ind w:left="4266" w:hanging="360"/>
      </w:pPr>
    </w:lvl>
    <w:lvl w:ilvl="8" w:tplc="140A001B" w:tentative="1">
      <w:start w:val="1"/>
      <w:numFmt w:val="lowerRoman"/>
      <w:lvlText w:val="%9."/>
      <w:lvlJc w:val="right"/>
      <w:pPr>
        <w:ind w:left="4986" w:hanging="180"/>
      </w:pPr>
    </w:lvl>
  </w:abstractNum>
  <w:abstractNum w:abstractNumId="28" w15:restartNumberingAfterBreak="0">
    <w:nsid w:val="6450298B"/>
    <w:multiLevelType w:val="hybridMultilevel"/>
    <w:tmpl w:val="9E3C0506"/>
    <w:lvl w:ilvl="0" w:tplc="2C5ADC88">
      <w:start w:val="1"/>
      <w:numFmt w:val="decimal"/>
      <w:lvlText w:val="%1."/>
      <w:lvlJc w:val="left"/>
      <w:pPr>
        <w:ind w:left="360" w:hanging="360"/>
      </w:pPr>
      <w:rPr>
        <w:rFonts w:ascii="Verdana" w:hAnsi="Verdana" w:hint="default"/>
        <w:b w:val="0"/>
        <w:i w:val="0"/>
        <w:strike w:val="0"/>
        <w:color w:val="auto"/>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9" w15:restartNumberingAfterBreak="0">
    <w:nsid w:val="68AF4C44"/>
    <w:multiLevelType w:val="hybridMultilevel"/>
    <w:tmpl w:val="0CC4FA94"/>
    <w:lvl w:ilvl="0" w:tplc="384883AC">
      <w:start w:val="4"/>
      <w:numFmt w:val="upperLetter"/>
      <w:lvlText w:val="%1."/>
      <w:lvlJc w:val="left"/>
      <w:pPr>
        <w:ind w:left="106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975E32"/>
    <w:multiLevelType w:val="hybridMultilevel"/>
    <w:tmpl w:val="23FCDE72"/>
    <w:numStyleLink w:val="ImportedStyle1"/>
  </w:abstractNum>
  <w:abstractNum w:abstractNumId="31" w15:restartNumberingAfterBreak="0">
    <w:nsid w:val="6C9268B9"/>
    <w:multiLevelType w:val="hybridMultilevel"/>
    <w:tmpl w:val="896207C8"/>
    <w:lvl w:ilvl="0" w:tplc="140A0017">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2" w15:restartNumberingAfterBreak="0">
    <w:nsid w:val="6F0B50CC"/>
    <w:multiLevelType w:val="hybridMultilevel"/>
    <w:tmpl w:val="CA883CFC"/>
    <w:lvl w:ilvl="0" w:tplc="0409000F">
      <w:start w:val="1"/>
      <w:numFmt w:val="decimal"/>
      <w:lvlText w:val="%1."/>
      <w:lvlJc w:val="left"/>
      <w:pPr>
        <w:ind w:left="720" w:hanging="360"/>
      </w:pPr>
      <w:rPr>
        <w:rFonts w:hint="default"/>
        <w:color w:val="313131"/>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3" w15:restartNumberingAfterBreak="0">
    <w:nsid w:val="73961595"/>
    <w:multiLevelType w:val="hybridMultilevel"/>
    <w:tmpl w:val="535C7B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940DAC"/>
    <w:multiLevelType w:val="hybridMultilevel"/>
    <w:tmpl w:val="08D052E0"/>
    <w:lvl w:ilvl="0" w:tplc="0C0A0015">
      <w:start w:val="1"/>
      <w:numFmt w:val="upperLetter"/>
      <w:lvlText w:val="%1."/>
      <w:lvlJc w:val="left"/>
      <w:pPr>
        <w:ind w:left="1222" w:hanging="360"/>
      </w:pPr>
    </w:lvl>
    <w:lvl w:ilvl="1" w:tplc="0C0A0019">
      <w:start w:val="1"/>
      <w:numFmt w:val="lowerLetter"/>
      <w:lvlText w:val="%2."/>
      <w:lvlJc w:val="left"/>
      <w:pPr>
        <w:ind w:left="2160" w:hanging="360"/>
      </w:pPr>
    </w:lvl>
    <w:lvl w:ilvl="2" w:tplc="0C0A001B">
      <w:start w:val="1"/>
      <w:numFmt w:val="lowerRoman"/>
      <w:lvlText w:val="%3."/>
      <w:lvlJc w:val="right"/>
      <w:pPr>
        <w:ind w:left="2880" w:hanging="180"/>
      </w:pPr>
    </w:lvl>
    <w:lvl w:ilvl="3" w:tplc="0C0A000F">
      <w:start w:val="1"/>
      <w:numFmt w:val="decimal"/>
      <w:lvlText w:val="%4."/>
      <w:lvlJc w:val="left"/>
      <w:pPr>
        <w:ind w:left="3600" w:hanging="360"/>
      </w:pPr>
    </w:lvl>
    <w:lvl w:ilvl="4" w:tplc="0C0A0019">
      <w:start w:val="1"/>
      <w:numFmt w:val="lowerLetter"/>
      <w:lvlText w:val="%5."/>
      <w:lvlJc w:val="left"/>
      <w:pPr>
        <w:ind w:left="4320" w:hanging="360"/>
      </w:pPr>
    </w:lvl>
    <w:lvl w:ilvl="5" w:tplc="0C0A001B">
      <w:start w:val="1"/>
      <w:numFmt w:val="lowerRoman"/>
      <w:lvlText w:val="%6."/>
      <w:lvlJc w:val="right"/>
      <w:pPr>
        <w:ind w:left="5040" w:hanging="180"/>
      </w:pPr>
    </w:lvl>
    <w:lvl w:ilvl="6" w:tplc="0C0A000F">
      <w:start w:val="1"/>
      <w:numFmt w:val="decimal"/>
      <w:lvlText w:val="%7."/>
      <w:lvlJc w:val="left"/>
      <w:pPr>
        <w:ind w:left="5760" w:hanging="360"/>
      </w:pPr>
    </w:lvl>
    <w:lvl w:ilvl="7" w:tplc="0C0A0019">
      <w:start w:val="1"/>
      <w:numFmt w:val="lowerLetter"/>
      <w:lvlText w:val="%8."/>
      <w:lvlJc w:val="left"/>
      <w:pPr>
        <w:ind w:left="6480" w:hanging="360"/>
      </w:pPr>
    </w:lvl>
    <w:lvl w:ilvl="8" w:tplc="0C0A001B">
      <w:start w:val="1"/>
      <w:numFmt w:val="lowerRoman"/>
      <w:lvlText w:val="%9."/>
      <w:lvlJc w:val="right"/>
      <w:pPr>
        <w:ind w:left="7200" w:hanging="180"/>
      </w:pPr>
    </w:lvl>
  </w:abstractNum>
  <w:abstractNum w:abstractNumId="35" w15:restartNumberingAfterBreak="0">
    <w:nsid w:val="76753A80"/>
    <w:multiLevelType w:val="hybridMultilevel"/>
    <w:tmpl w:val="A44EEC14"/>
    <w:lvl w:ilvl="0" w:tplc="3F0893E6">
      <w:start w:val="1"/>
      <w:numFmt w:val="decimal"/>
      <w:lvlText w:val="%1."/>
      <w:lvlJc w:val="left"/>
      <w:pPr>
        <w:ind w:left="0" w:firstLine="0"/>
      </w:pPr>
      <w:rPr>
        <w:rFonts w:hint="default"/>
        <w:b w:val="0"/>
        <w:i w:val="0"/>
        <w:strike w:val="0"/>
        <w:dstrike w:val="0"/>
        <w:color w:val="auto"/>
        <w:sz w:val="20"/>
        <w:szCs w:val="20"/>
        <w:u w:val="none"/>
        <w:effect w:val="none"/>
        <w:lang w:val="es-ES"/>
      </w:rPr>
    </w:lvl>
    <w:lvl w:ilvl="1" w:tplc="7B389880">
      <w:start w:val="1"/>
      <w:numFmt w:val="lowerLetter"/>
      <w:lvlText w:val="%2."/>
      <w:lvlJc w:val="left"/>
      <w:pPr>
        <w:ind w:left="1298" w:hanging="360"/>
      </w:pPr>
      <w:rPr>
        <w:rFonts w:ascii="Verdana" w:eastAsia="Batang" w:hAnsi="Verdana" w:cs="Times"/>
        <w:i/>
        <w:lang w:val="es-ES_tradnl"/>
      </w:rPr>
    </w:lvl>
    <w:lvl w:ilvl="2" w:tplc="4202A1AC">
      <w:start w:val="1"/>
      <w:numFmt w:val="lowerRoman"/>
      <w:lvlText w:val="%3."/>
      <w:lvlJc w:val="right"/>
      <w:pPr>
        <w:ind w:left="2018" w:hanging="180"/>
      </w:pPr>
      <w:rPr>
        <w:i/>
      </w:rPr>
    </w:lvl>
    <w:lvl w:ilvl="3" w:tplc="3F0893E6">
      <w:start w:val="1"/>
      <w:numFmt w:val="decimal"/>
      <w:lvlText w:val="%4."/>
      <w:lvlJc w:val="left"/>
      <w:pPr>
        <w:ind w:left="2738" w:hanging="360"/>
      </w:pPr>
    </w:lvl>
    <w:lvl w:ilvl="4" w:tplc="E7BA4BB6">
      <w:start w:val="1"/>
      <w:numFmt w:val="lowerLetter"/>
      <w:lvlText w:val="%5."/>
      <w:lvlJc w:val="left"/>
      <w:pPr>
        <w:ind w:left="3458" w:hanging="360"/>
      </w:pPr>
    </w:lvl>
    <w:lvl w:ilvl="5" w:tplc="2C0A001B">
      <w:start w:val="1"/>
      <w:numFmt w:val="lowerRoman"/>
      <w:lvlText w:val="%6."/>
      <w:lvlJc w:val="right"/>
      <w:pPr>
        <w:ind w:left="4178" w:hanging="180"/>
      </w:pPr>
    </w:lvl>
    <w:lvl w:ilvl="6" w:tplc="2C0A000F">
      <w:start w:val="1"/>
      <w:numFmt w:val="decimal"/>
      <w:lvlText w:val="%7."/>
      <w:lvlJc w:val="left"/>
      <w:pPr>
        <w:ind w:left="4898" w:hanging="360"/>
      </w:pPr>
    </w:lvl>
    <w:lvl w:ilvl="7" w:tplc="2C0A0019">
      <w:start w:val="1"/>
      <w:numFmt w:val="lowerLetter"/>
      <w:lvlText w:val="%8."/>
      <w:lvlJc w:val="left"/>
      <w:pPr>
        <w:ind w:left="5618" w:hanging="360"/>
      </w:pPr>
    </w:lvl>
    <w:lvl w:ilvl="8" w:tplc="2C0A001B">
      <w:start w:val="1"/>
      <w:numFmt w:val="lowerRoman"/>
      <w:lvlText w:val="%9."/>
      <w:lvlJc w:val="right"/>
      <w:pPr>
        <w:ind w:left="6338" w:hanging="180"/>
      </w:pPr>
    </w:lvl>
  </w:abstractNum>
  <w:abstractNum w:abstractNumId="36" w15:restartNumberingAfterBreak="0">
    <w:nsid w:val="79354707"/>
    <w:multiLevelType w:val="hybridMultilevel"/>
    <w:tmpl w:val="D3482DF2"/>
    <w:lvl w:ilvl="0" w:tplc="E878CDC4">
      <w:start w:val="1"/>
      <w:numFmt w:val="decimal"/>
      <w:lvlText w:val="%1."/>
      <w:lvlJc w:val="left"/>
      <w:pPr>
        <w:ind w:left="7305" w:hanging="825"/>
      </w:pPr>
      <w:rPr>
        <w:rFonts w:ascii="Verdana" w:eastAsia="Verdana" w:hAnsi="Verdana" w:cs="Verdana" w:hint="default"/>
        <w:b w:val="0"/>
        <w:i w:val="0"/>
        <w:color w:val="auto"/>
        <w:sz w:val="20"/>
        <w:szCs w:val="20"/>
        <w:lang w:val="es-ES"/>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37" w15:restartNumberingAfterBreak="0">
    <w:nsid w:val="7ED21B12"/>
    <w:multiLevelType w:val="hybridMultilevel"/>
    <w:tmpl w:val="8B363210"/>
    <w:lvl w:ilvl="0" w:tplc="FF2AB168">
      <w:start w:val="1"/>
      <w:numFmt w:val="lowerLetter"/>
      <w:lvlText w:val="%1)"/>
      <w:lvlJc w:val="left"/>
      <w:pPr>
        <w:ind w:left="720" w:hanging="360"/>
      </w:pPr>
      <w:rPr>
        <w:rFonts w:ascii="Verdana" w:hAnsi="Verdana" w:cstheme="minorBidi"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F326EBA"/>
    <w:multiLevelType w:val="hybridMultilevel"/>
    <w:tmpl w:val="66D213A8"/>
    <w:lvl w:ilvl="0" w:tplc="140A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6"/>
  </w:num>
  <w:num w:numId="2">
    <w:abstractNumId w:val="3"/>
  </w:num>
  <w:num w:numId="3">
    <w:abstractNumId w:val="10"/>
  </w:num>
  <w:num w:numId="4">
    <w:abstractNumId w:val="20"/>
  </w:num>
  <w:num w:numId="5">
    <w:abstractNumId w:val="34"/>
  </w:num>
  <w:num w:numId="6">
    <w:abstractNumId w:val="1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2"/>
  </w:num>
  <w:num w:numId="8">
    <w:abstractNumId w:val="27"/>
  </w:num>
  <w:num w:numId="9">
    <w:abstractNumId w:val="35"/>
  </w:num>
  <w:num w:numId="10">
    <w:abstractNumId w:val="25"/>
  </w:num>
  <w:num w:numId="11">
    <w:abstractNumId w:val="1"/>
  </w:num>
  <w:num w:numId="12">
    <w:abstractNumId w:val="33"/>
  </w:num>
  <w:num w:numId="13">
    <w:abstractNumId w:val="16"/>
  </w:num>
  <w:num w:numId="14">
    <w:abstractNumId w:val="9"/>
  </w:num>
  <w:num w:numId="15">
    <w:abstractNumId w:val="4"/>
  </w:num>
  <w:num w:numId="16">
    <w:abstractNumId w:val="7"/>
  </w:num>
  <w:num w:numId="17">
    <w:abstractNumId w:val="19"/>
  </w:num>
  <w:num w:numId="18">
    <w:abstractNumId w:val="14"/>
  </w:num>
  <w:num w:numId="19">
    <w:abstractNumId w:val="17"/>
  </w:num>
  <w:num w:numId="20">
    <w:abstractNumId w:val="28"/>
  </w:num>
  <w:num w:numId="21">
    <w:abstractNumId w:val="23"/>
  </w:num>
  <w:num w:numId="22">
    <w:abstractNumId w:val="26"/>
  </w:num>
  <w:num w:numId="23">
    <w:abstractNumId w:val="29"/>
  </w:num>
  <w:num w:numId="24">
    <w:abstractNumId w:val="13"/>
  </w:num>
  <w:num w:numId="25">
    <w:abstractNumId w:val="6"/>
  </w:num>
  <w:num w:numId="26">
    <w:abstractNumId w:val="31"/>
  </w:num>
  <w:num w:numId="27">
    <w:abstractNumId w:val="32"/>
  </w:num>
  <w:num w:numId="28">
    <w:abstractNumId w:val="0"/>
  </w:num>
  <w:num w:numId="29">
    <w:abstractNumId w:val="5"/>
  </w:num>
  <w:num w:numId="30">
    <w:abstractNumId w:val="24"/>
  </w:num>
  <w:num w:numId="31">
    <w:abstractNumId w:val="21"/>
  </w:num>
  <w:num w:numId="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8"/>
  </w:num>
  <w:num w:numId="34">
    <w:abstractNumId w:val="30"/>
    <w:lvlOverride w:ilvl="0">
      <w:lvl w:ilvl="0" w:tplc="0EC285EC">
        <w:start w:val="1"/>
        <w:numFmt w:val="decimal"/>
        <w:lvlText w:val="%1."/>
        <w:lvlJc w:val="left"/>
        <w:pPr>
          <w:ind w:left="360" w:hanging="360"/>
        </w:pPr>
        <w:rPr>
          <w:rFonts w:hAnsi="Arial Unicode MS"/>
          <w:b w:val="0"/>
          <w:i w:val="0"/>
          <w:caps w:val="0"/>
          <w:smallCaps w:val="0"/>
          <w:strike w:val="0"/>
          <w:dstrike w:val="0"/>
          <w:outline w:val="0"/>
          <w:emboss w:val="0"/>
          <w:imprint w:val="0"/>
          <w:spacing w:val="0"/>
          <w:w w:val="100"/>
          <w:kern w:val="0"/>
          <w:position w:val="0"/>
          <w:sz w:val="20"/>
          <w:highlight w:val="none"/>
          <w:vertAlign w:val="baseline"/>
        </w:rPr>
      </w:lvl>
    </w:lvlOverride>
    <w:lvlOverride w:ilvl="1">
      <w:lvl w:ilvl="1" w:tplc="3E94053A">
        <w:start w:val="1"/>
        <w:numFmt w:val="lowerLetter"/>
        <w:lvlText w:val="%2."/>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DDB27544">
        <w:start w:val="1"/>
        <w:numFmt w:val="lowerRoman"/>
        <w:lvlText w:val="%3."/>
        <w:lvlJc w:val="left"/>
        <w:pPr>
          <w:ind w:left="1440" w:hanging="6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21A4F5B4">
        <w:start w:val="1"/>
        <w:numFmt w:val="decimal"/>
        <w:lvlText w:val="%4."/>
        <w:lvlJc w:val="left"/>
        <w:pPr>
          <w:ind w:left="216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7E1A1940">
        <w:start w:val="1"/>
        <w:numFmt w:val="lowerLetter"/>
        <w:lvlText w:val="%5."/>
        <w:lvlJc w:val="left"/>
        <w:pPr>
          <w:ind w:left="288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34A293FC">
        <w:start w:val="1"/>
        <w:numFmt w:val="lowerRoman"/>
        <w:lvlText w:val="%6."/>
        <w:lvlJc w:val="left"/>
        <w:pPr>
          <w:ind w:left="3600" w:hanging="6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B96ABA20">
        <w:start w:val="1"/>
        <w:numFmt w:val="decimal"/>
        <w:lvlText w:val="%7."/>
        <w:lvlJc w:val="left"/>
        <w:pPr>
          <w:ind w:left="43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E3584FE6">
        <w:start w:val="1"/>
        <w:numFmt w:val="lowerLetter"/>
        <w:lvlText w:val="%8."/>
        <w:lvlJc w:val="left"/>
        <w:pPr>
          <w:ind w:left="504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9CFCF840">
        <w:start w:val="1"/>
        <w:numFmt w:val="lowerRoman"/>
        <w:lvlText w:val="%9."/>
        <w:lvlJc w:val="left"/>
        <w:pPr>
          <w:ind w:left="5760" w:hanging="667"/>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5">
    <w:abstractNumId w:val="2"/>
  </w:num>
  <w:num w:numId="36">
    <w:abstractNumId w:val="8"/>
  </w:num>
  <w:num w:numId="37">
    <w:abstractNumId w:val="38"/>
  </w:num>
  <w:num w:numId="38">
    <w:abstractNumId w:val="12"/>
  </w:num>
  <w:num w:numId="39">
    <w:abstractNumId w:val="3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D5A"/>
    <w:rsid w:val="000013C4"/>
    <w:rsid w:val="0000216B"/>
    <w:rsid w:val="00004CA5"/>
    <w:rsid w:val="00005674"/>
    <w:rsid w:val="000057B2"/>
    <w:rsid w:val="000060F7"/>
    <w:rsid w:val="00006191"/>
    <w:rsid w:val="000065D4"/>
    <w:rsid w:val="000066F6"/>
    <w:rsid w:val="00006F24"/>
    <w:rsid w:val="0000748D"/>
    <w:rsid w:val="000075D9"/>
    <w:rsid w:val="00010074"/>
    <w:rsid w:val="00010713"/>
    <w:rsid w:val="0001079E"/>
    <w:rsid w:val="00011243"/>
    <w:rsid w:val="000119D9"/>
    <w:rsid w:val="00011B52"/>
    <w:rsid w:val="00013CDD"/>
    <w:rsid w:val="000145B1"/>
    <w:rsid w:val="00014C38"/>
    <w:rsid w:val="000150BB"/>
    <w:rsid w:val="000152F8"/>
    <w:rsid w:val="00015D01"/>
    <w:rsid w:val="00015E97"/>
    <w:rsid w:val="00017FB2"/>
    <w:rsid w:val="000219C2"/>
    <w:rsid w:val="00022935"/>
    <w:rsid w:val="00022EFC"/>
    <w:rsid w:val="00023A4C"/>
    <w:rsid w:val="00023C79"/>
    <w:rsid w:val="000248ED"/>
    <w:rsid w:val="00025297"/>
    <w:rsid w:val="0002534F"/>
    <w:rsid w:val="00025B68"/>
    <w:rsid w:val="00026EB0"/>
    <w:rsid w:val="0002702C"/>
    <w:rsid w:val="00027F4E"/>
    <w:rsid w:val="000302FF"/>
    <w:rsid w:val="000307C5"/>
    <w:rsid w:val="00031B06"/>
    <w:rsid w:val="00033061"/>
    <w:rsid w:val="00033407"/>
    <w:rsid w:val="00033D3F"/>
    <w:rsid w:val="00035149"/>
    <w:rsid w:val="0003516E"/>
    <w:rsid w:val="000353F2"/>
    <w:rsid w:val="00036060"/>
    <w:rsid w:val="0003622E"/>
    <w:rsid w:val="0003688E"/>
    <w:rsid w:val="00036ECB"/>
    <w:rsid w:val="00037672"/>
    <w:rsid w:val="000377EF"/>
    <w:rsid w:val="00040E00"/>
    <w:rsid w:val="00040F1D"/>
    <w:rsid w:val="0004216E"/>
    <w:rsid w:val="00042AEA"/>
    <w:rsid w:val="000437D3"/>
    <w:rsid w:val="00046D65"/>
    <w:rsid w:val="00047DCB"/>
    <w:rsid w:val="00047DD6"/>
    <w:rsid w:val="00047F6F"/>
    <w:rsid w:val="00050831"/>
    <w:rsid w:val="00050A16"/>
    <w:rsid w:val="00050E74"/>
    <w:rsid w:val="000529DE"/>
    <w:rsid w:val="00052E3A"/>
    <w:rsid w:val="00052EF0"/>
    <w:rsid w:val="00052FB4"/>
    <w:rsid w:val="000535E0"/>
    <w:rsid w:val="00054807"/>
    <w:rsid w:val="00056701"/>
    <w:rsid w:val="0005756C"/>
    <w:rsid w:val="0005766E"/>
    <w:rsid w:val="00060934"/>
    <w:rsid w:val="00060BEC"/>
    <w:rsid w:val="000622DD"/>
    <w:rsid w:val="00062341"/>
    <w:rsid w:val="00063252"/>
    <w:rsid w:val="0006358C"/>
    <w:rsid w:val="0006421B"/>
    <w:rsid w:val="00064278"/>
    <w:rsid w:val="00064DB0"/>
    <w:rsid w:val="0006563B"/>
    <w:rsid w:val="0006564C"/>
    <w:rsid w:val="00065BE5"/>
    <w:rsid w:val="000678D0"/>
    <w:rsid w:val="00067956"/>
    <w:rsid w:val="00070340"/>
    <w:rsid w:val="000707F1"/>
    <w:rsid w:val="00070F7A"/>
    <w:rsid w:val="00071411"/>
    <w:rsid w:val="00072585"/>
    <w:rsid w:val="00073696"/>
    <w:rsid w:val="000736FB"/>
    <w:rsid w:val="00073A0C"/>
    <w:rsid w:val="00073A7F"/>
    <w:rsid w:val="00073AD4"/>
    <w:rsid w:val="0007543A"/>
    <w:rsid w:val="00075902"/>
    <w:rsid w:val="00075BE0"/>
    <w:rsid w:val="000761D6"/>
    <w:rsid w:val="0007693E"/>
    <w:rsid w:val="00076CA9"/>
    <w:rsid w:val="00076D0F"/>
    <w:rsid w:val="0007793F"/>
    <w:rsid w:val="00080917"/>
    <w:rsid w:val="00081F12"/>
    <w:rsid w:val="00082EEC"/>
    <w:rsid w:val="00083381"/>
    <w:rsid w:val="000844E9"/>
    <w:rsid w:val="000876F6"/>
    <w:rsid w:val="00091056"/>
    <w:rsid w:val="000912D6"/>
    <w:rsid w:val="00092EE7"/>
    <w:rsid w:val="00094210"/>
    <w:rsid w:val="00094C95"/>
    <w:rsid w:val="00095517"/>
    <w:rsid w:val="000958F1"/>
    <w:rsid w:val="00096BA0"/>
    <w:rsid w:val="0009788A"/>
    <w:rsid w:val="000A01F8"/>
    <w:rsid w:val="000A0A5C"/>
    <w:rsid w:val="000A1014"/>
    <w:rsid w:val="000A137A"/>
    <w:rsid w:val="000A154C"/>
    <w:rsid w:val="000A3602"/>
    <w:rsid w:val="000A3B04"/>
    <w:rsid w:val="000A3CB7"/>
    <w:rsid w:val="000A46D9"/>
    <w:rsid w:val="000A4902"/>
    <w:rsid w:val="000A5CBC"/>
    <w:rsid w:val="000A63C3"/>
    <w:rsid w:val="000A63FD"/>
    <w:rsid w:val="000A74A9"/>
    <w:rsid w:val="000B0FF3"/>
    <w:rsid w:val="000B21B2"/>
    <w:rsid w:val="000B37EE"/>
    <w:rsid w:val="000B3E8C"/>
    <w:rsid w:val="000B44B4"/>
    <w:rsid w:val="000B44D3"/>
    <w:rsid w:val="000B4B2C"/>
    <w:rsid w:val="000B5710"/>
    <w:rsid w:val="000B5809"/>
    <w:rsid w:val="000B6780"/>
    <w:rsid w:val="000B6AE8"/>
    <w:rsid w:val="000B7969"/>
    <w:rsid w:val="000B7C8E"/>
    <w:rsid w:val="000C10E7"/>
    <w:rsid w:val="000C3751"/>
    <w:rsid w:val="000C375D"/>
    <w:rsid w:val="000C391B"/>
    <w:rsid w:val="000C40D9"/>
    <w:rsid w:val="000C4E98"/>
    <w:rsid w:val="000C55A0"/>
    <w:rsid w:val="000C56AE"/>
    <w:rsid w:val="000C5787"/>
    <w:rsid w:val="000C6E44"/>
    <w:rsid w:val="000C79A0"/>
    <w:rsid w:val="000D02F4"/>
    <w:rsid w:val="000D08C9"/>
    <w:rsid w:val="000D0A93"/>
    <w:rsid w:val="000D1A8F"/>
    <w:rsid w:val="000D2B22"/>
    <w:rsid w:val="000D32D0"/>
    <w:rsid w:val="000D38BD"/>
    <w:rsid w:val="000D4369"/>
    <w:rsid w:val="000D44BB"/>
    <w:rsid w:val="000D492A"/>
    <w:rsid w:val="000D4F08"/>
    <w:rsid w:val="000D6188"/>
    <w:rsid w:val="000D6D73"/>
    <w:rsid w:val="000E04B9"/>
    <w:rsid w:val="000E0660"/>
    <w:rsid w:val="000E1DAF"/>
    <w:rsid w:val="000E1E5E"/>
    <w:rsid w:val="000E2128"/>
    <w:rsid w:val="000E2677"/>
    <w:rsid w:val="000E3A01"/>
    <w:rsid w:val="000E4099"/>
    <w:rsid w:val="000E42B1"/>
    <w:rsid w:val="000E43FA"/>
    <w:rsid w:val="000E770C"/>
    <w:rsid w:val="000E7AA5"/>
    <w:rsid w:val="000F061F"/>
    <w:rsid w:val="000F08F5"/>
    <w:rsid w:val="000F0BE5"/>
    <w:rsid w:val="000F12EA"/>
    <w:rsid w:val="000F3072"/>
    <w:rsid w:val="000F32F3"/>
    <w:rsid w:val="000F398D"/>
    <w:rsid w:val="000F3A2D"/>
    <w:rsid w:val="000F40D5"/>
    <w:rsid w:val="000F43A8"/>
    <w:rsid w:val="000F44DC"/>
    <w:rsid w:val="000F64F4"/>
    <w:rsid w:val="000F670E"/>
    <w:rsid w:val="000F6998"/>
    <w:rsid w:val="000F7AD4"/>
    <w:rsid w:val="000F7C16"/>
    <w:rsid w:val="00100403"/>
    <w:rsid w:val="0010044D"/>
    <w:rsid w:val="001028F3"/>
    <w:rsid w:val="00102B3B"/>
    <w:rsid w:val="001037AF"/>
    <w:rsid w:val="00104168"/>
    <w:rsid w:val="0010513D"/>
    <w:rsid w:val="00106410"/>
    <w:rsid w:val="001065D3"/>
    <w:rsid w:val="00107357"/>
    <w:rsid w:val="00107A54"/>
    <w:rsid w:val="00110598"/>
    <w:rsid w:val="00112729"/>
    <w:rsid w:val="00113A46"/>
    <w:rsid w:val="0011607E"/>
    <w:rsid w:val="00116B13"/>
    <w:rsid w:val="00117DD1"/>
    <w:rsid w:val="00120905"/>
    <w:rsid w:val="0012098C"/>
    <w:rsid w:val="00120EE2"/>
    <w:rsid w:val="00121D96"/>
    <w:rsid w:val="00121F48"/>
    <w:rsid w:val="0012229D"/>
    <w:rsid w:val="001228C1"/>
    <w:rsid w:val="00123029"/>
    <w:rsid w:val="00123D5C"/>
    <w:rsid w:val="00124228"/>
    <w:rsid w:val="00124C0A"/>
    <w:rsid w:val="00126862"/>
    <w:rsid w:val="00126AF5"/>
    <w:rsid w:val="00126FE2"/>
    <w:rsid w:val="00127D3A"/>
    <w:rsid w:val="00130729"/>
    <w:rsid w:val="001307CB"/>
    <w:rsid w:val="00130B34"/>
    <w:rsid w:val="00130FE4"/>
    <w:rsid w:val="001319EF"/>
    <w:rsid w:val="0013206D"/>
    <w:rsid w:val="00132903"/>
    <w:rsid w:val="00132D04"/>
    <w:rsid w:val="00134281"/>
    <w:rsid w:val="001343EE"/>
    <w:rsid w:val="0013488A"/>
    <w:rsid w:val="00135293"/>
    <w:rsid w:val="00136B42"/>
    <w:rsid w:val="001406EF"/>
    <w:rsid w:val="00140896"/>
    <w:rsid w:val="00141068"/>
    <w:rsid w:val="0014173B"/>
    <w:rsid w:val="0014311E"/>
    <w:rsid w:val="0014406B"/>
    <w:rsid w:val="001448A3"/>
    <w:rsid w:val="00144FA3"/>
    <w:rsid w:val="001458EB"/>
    <w:rsid w:val="00145DDC"/>
    <w:rsid w:val="00145F74"/>
    <w:rsid w:val="00147A52"/>
    <w:rsid w:val="0015067E"/>
    <w:rsid w:val="00152ADF"/>
    <w:rsid w:val="001537CB"/>
    <w:rsid w:val="00153ECC"/>
    <w:rsid w:val="00154B0D"/>
    <w:rsid w:val="0015605B"/>
    <w:rsid w:val="00157362"/>
    <w:rsid w:val="00157F6E"/>
    <w:rsid w:val="00161121"/>
    <w:rsid w:val="001628E5"/>
    <w:rsid w:val="00162B86"/>
    <w:rsid w:val="00162D4A"/>
    <w:rsid w:val="00165892"/>
    <w:rsid w:val="00166CD6"/>
    <w:rsid w:val="00167C5B"/>
    <w:rsid w:val="001702C0"/>
    <w:rsid w:val="00170C72"/>
    <w:rsid w:val="00170CB2"/>
    <w:rsid w:val="001717EB"/>
    <w:rsid w:val="001734EC"/>
    <w:rsid w:val="001738E3"/>
    <w:rsid w:val="0017394C"/>
    <w:rsid w:val="001745CA"/>
    <w:rsid w:val="001746FB"/>
    <w:rsid w:val="00176377"/>
    <w:rsid w:val="00177A7B"/>
    <w:rsid w:val="001801E2"/>
    <w:rsid w:val="0018152C"/>
    <w:rsid w:val="001821FB"/>
    <w:rsid w:val="00182C38"/>
    <w:rsid w:val="0018438F"/>
    <w:rsid w:val="001849BA"/>
    <w:rsid w:val="001849E1"/>
    <w:rsid w:val="0018508D"/>
    <w:rsid w:val="00185335"/>
    <w:rsid w:val="00186015"/>
    <w:rsid w:val="00186067"/>
    <w:rsid w:val="001870DC"/>
    <w:rsid w:val="00187212"/>
    <w:rsid w:val="00187A72"/>
    <w:rsid w:val="00190ED5"/>
    <w:rsid w:val="001913F3"/>
    <w:rsid w:val="00192513"/>
    <w:rsid w:val="00192C3D"/>
    <w:rsid w:val="001930E0"/>
    <w:rsid w:val="00193149"/>
    <w:rsid w:val="0019317C"/>
    <w:rsid w:val="00193F2F"/>
    <w:rsid w:val="0019420B"/>
    <w:rsid w:val="001944B8"/>
    <w:rsid w:val="00194724"/>
    <w:rsid w:val="00195CC2"/>
    <w:rsid w:val="00195D49"/>
    <w:rsid w:val="00196CD7"/>
    <w:rsid w:val="00196EEB"/>
    <w:rsid w:val="00197079"/>
    <w:rsid w:val="00197242"/>
    <w:rsid w:val="00197B49"/>
    <w:rsid w:val="00197DAE"/>
    <w:rsid w:val="001A15D9"/>
    <w:rsid w:val="001A1895"/>
    <w:rsid w:val="001A1D28"/>
    <w:rsid w:val="001A2991"/>
    <w:rsid w:val="001A2CB5"/>
    <w:rsid w:val="001A30D4"/>
    <w:rsid w:val="001A37B9"/>
    <w:rsid w:val="001A3F78"/>
    <w:rsid w:val="001A423E"/>
    <w:rsid w:val="001A5DF6"/>
    <w:rsid w:val="001A75C1"/>
    <w:rsid w:val="001A78BB"/>
    <w:rsid w:val="001A7F10"/>
    <w:rsid w:val="001B0C4B"/>
    <w:rsid w:val="001B14E8"/>
    <w:rsid w:val="001B1B0D"/>
    <w:rsid w:val="001B207F"/>
    <w:rsid w:val="001B2088"/>
    <w:rsid w:val="001B3AF9"/>
    <w:rsid w:val="001B4B25"/>
    <w:rsid w:val="001B51E0"/>
    <w:rsid w:val="001B5550"/>
    <w:rsid w:val="001B55A7"/>
    <w:rsid w:val="001B7177"/>
    <w:rsid w:val="001B7560"/>
    <w:rsid w:val="001B7763"/>
    <w:rsid w:val="001C042E"/>
    <w:rsid w:val="001C114C"/>
    <w:rsid w:val="001C26E2"/>
    <w:rsid w:val="001C45D9"/>
    <w:rsid w:val="001C48C0"/>
    <w:rsid w:val="001C4BBD"/>
    <w:rsid w:val="001C5B16"/>
    <w:rsid w:val="001C6C44"/>
    <w:rsid w:val="001D0068"/>
    <w:rsid w:val="001D0959"/>
    <w:rsid w:val="001D0ACA"/>
    <w:rsid w:val="001D405A"/>
    <w:rsid w:val="001D4164"/>
    <w:rsid w:val="001D422B"/>
    <w:rsid w:val="001D427D"/>
    <w:rsid w:val="001D5713"/>
    <w:rsid w:val="001D58A5"/>
    <w:rsid w:val="001D77BB"/>
    <w:rsid w:val="001E0ACE"/>
    <w:rsid w:val="001E1177"/>
    <w:rsid w:val="001E11A2"/>
    <w:rsid w:val="001E155B"/>
    <w:rsid w:val="001E25D3"/>
    <w:rsid w:val="001E276D"/>
    <w:rsid w:val="001E308D"/>
    <w:rsid w:val="001E320B"/>
    <w:rsid w:val="001E4FB6"/>
    <w:rsid w:val="001E5887"/>
    <w:rsid w:val="001E65CF"/>
    <w:rsid w:val="001F0BF8"/>
    <w:rsid w:val="001F22F6"/>
    <w:rsid w:val="001F29D5"/>
    <w:rsid w:val="001F5C74"/>
    <w:rsid w:val="001F6712"/>
    <w:rsid w:val="001F6FA6"/>
    <w:rsid w:val="0020011A"/>
    <w:rsid w:val="002006AC"/>
    <w:rsid w:val="002009A5"/>
    <w:rsid w:val="00200BB6"/>
    <w:rsid w:val="00201195"/>
    <w:rsid w:val="00201EA7"/>
    <w:rsid w:val="002023DD"/>
    <w:rsid w:val="00203BA6"/>
    <w:rsid w:val="002042ED"/>
    <w:rsid w:val="00204840"/>
    <w:rsid w:val="00204A55"/>
    <w:rsid w:val="00204D8D"/>
    <w:rsid w:val="002055E2"/>
    <w:rsid w:val="0020592E"/>
    <w:rsid w:val="00206ABC"/>
    <w:rsid w:val="00210AB5"/>
    <w:rsid w:val="00211AEF"/>
    <w:rsid w:val="00212019"/>
    <w:rsid w:val="002122F1"/>
    <w:rsid w:val="00212522"/>
    <w:rsid w:val="002138FA"/>
    <w:rsid w:val="00213907"/>
    <w:rsid w:val="00213D67"/>
    <w:rsid w:val="0021501D"/>
    <w:rsid w:val="002152A0"/>
    <w:rsid w:val="00215B98"/>
    <w:rsid w:val="00215F5E"/>
    <w:rsid w:val="0021609F"/>
    <w:rsid w:val="00216132"/>
    <w:rsid w:val="002164DF"/>
    <w:rsid w:val="00217017"/>
    <w:rsid w:val="00217558"/>
    <w:rsid w:val="00217709"/>
    <w:rsid w:val="00217F79"/>
    <w:rsid w:val="00220A3D"/>
    <w:rsid w:val="0022106F"/>
    <w:rsid w:val="00221175"/>
    <w:rsid w:val="002240B1"/>
    <w:rsid w:val="00224143"/>
    <w:rsid w:val="002246AD"/>
    <w:rsid w:val="00224BE1"/>
    <w:rsid w:val="002252B4"/>
    <w:rsid w:val="002257B0"/>
    <w:rsid w:val="0022660A"/>
    <w:rsid w:val="0022697E"/>
    <w:rsid w:val="002269FD"/>
    <w:rsid w:val="00227A8C"/>
    <w:rsid w:val="002319CF"/>
    <w:rsid w:val="00231F17"/>
    <w:rsid w:val="0023277C"/>
    <w:rsid w:val="0023330E"/>
    <w:rsid w:val="00233BC0"/>
    <w:rsid w:val="0023533F"/>
    <w:rsid w:val="00235B47"/>
    <w:rsid w:val="00237A50"/>
    <w:rsid w:val="00240080"/>
    <w:rsid w:val="002409A6"/>
    <w:rsid w:val="00240B08"/>
    <w:rsid w:val="0024270E"/>
    <w:rsid w:val="00242A22"/>
    <w:rsid w:val="00242B93"/>
    <w:rsid w:val="00242BBD"/>
    <w:rsid w:val="00242F6B"/>
    <w:rsid w:val="002435E6"/>
    <w:rsid w:val="00243B51"/>
    <w:rsid w:val="0024432A"/>
    <w:rsid w:val="00244674"/>
    <w:rsid w:val="00244AAC"/>
    <w:rsid w:val="00244AC9"/>
    <w:rsid w:val="00244F5A"/>
    <w:rsid w:val="00245330"/>
    <w:rsid w:val="00245590"/>
    <w:rsid w:val="002456B2"/>
    <w:rsid w:val="0024686B"/>
    <w:rsid w:val="00246AB6"/>
    <w:rsid w:val="00246DC5"/>
    <w:rsid w:val="00247535"/>
    <w:rsid w:val="002479A4"/>
    <w:rsid w:val="00247B97"/>
    <w:rsid w:val="002505EE"/>
    <w:rsid w:val="002516A3"/>
    <w:rsid w:val="00251948"/>
    <w:rsid w:val="00254858"/>
    <w:rsid w:val="00254AF1"/>
    <w:rsid w:val="002553C7"/>
    <w:rsid w:val="002557EF"/>
    <w:rsid w:val="0025643C"/>
    <w:rsid w:val="00257426"/>
    <w:rsid w:val="00260BBB"/>
    <w:rsid w:val="0026108D"/>
    <w:rsid w:val="00261223"/>
    <w:rsid w:val="00261651"/>
    <w:rsid w:val="00262041"/>
    <w:rsid w:val="00262554"/>
    <w:rsid w:val="002632BC"/>
    <w:rsid w:val="002637B8"/>
    <w:rsid w:val="00263ED1"/>
    <w:rsid w:val="002645E3"/>
    <w:rsid w:val="00264E96"/>
    <w:rsid w:val="002651E1"/>
    <w:rsid w:val="00266E05"/>
    <w:rsid w:val="00266F0F"/>
    <w:rsid w:val="00267460"/>
    <w:rsid w:val="00270207"/>
    <w:rsid w:val="0027153A"/>
    <w:rsid w:val="002719F1"/>
    <w:rsid w:val="002720F1"/>
    <w:rsid w:val="00272A7E"/>
    <w:rsid w:val="002735DF"/>
    <w:rsid w:val="00273B5B"/>
    <w:rsid w:val="00274172"/>
    <w:rsid w:val="00274768"/>
    <w:rsid w:val="00276649"/>
    <w:rsid w:val="00277F1C"/>
    <w:rsid w:val="00280235"/>
    <w:rsid w:val="002808D1"/>
    <w:rsid w:val="002810A0"/>
    <w:rsid w:val="0028159D"/>
    <w:rsid w:val="0028162C"/>
    <w:rsid w:val="0028174D"/>
    <w:rsid w:val="002820AA"/>
    <w:rsid w:val="002831D5"/>
    <w:rsid w:val="002834B1"/>
    <w:rsid w:val="0028350E"/>
    <w:rsid w:val="0028383B"/>
    <w:rsid w:val="00283CC1"/>
    <w:rsid w:val="0028471D"/>
    <w:rsid w:val="00284755"/>
    <w:rsid w:val="00284F37"/>
    <w:rsid w:val="002853FA"/>
    <w:rsid w:val="0028652F"/>
    <w:rsid w:val="00286955"/>
    <w:rsid w:val="00286AC9"/>
    <w:rsid w:val="00286FFB"/>
    <w:rsid w:val="00290A9C"/>
    <w:rsid w:val="002913C3"/>
    <w:rsid w:val="00291D81"/>
    <w:rsid w:val="00291EB4"/>
    <w:rsid w:val="0029264D"/>
    <w:rsid w:val="00293026"/>
    <w:rsid w:val="002937EE"/>
    <w:rsid w:val="002946C7"/>
    <w:rsid w:val="0029495B"/>
    <w:rsid w:val="002961B3"/>
    <w:rsid w:val="00296490"/>
    <w:rsid w:val="00296B86"/>
    <w:rsid w:val="00297054"/>
    <w:rsid w:val="00297A71"/>
    <w:rsid w:val="002A0F50"/>
    <w:rsid w:val="002A1125"/>
    <w:rsid w:val="002A14C2"/>
    <w:rsid w:val="002A1702"/>
    <w:rsid w:val="002A213B"/>
    <w:rsid w:val="002A229A"/>
    <w:rsid w:val="002A2BD7"/>
    <w:rsid w:val="002A3438"/>
    <w:rsid w:val="002A4192"/>
    <w:rsid w:val="002A4980"/>
    <w:rsid w:val="002A50D3"/>
    <w:rsid w:val="002A5715"/>
    <w:rsid w:val="002A5C1E"/>
    <w:rsid w:val="002A5FA3"/>
    <w:rsid w:val="002A74AD"/>
    <w:rsid w:val="002A7893"/>
    <w:rsid w:val="002B0613"/>
    <w:rsid w:val="002B07DA"/>
    <w:rsid w:val="002B132B"/>
    <w:rsid w:val="002B2691"/>
    <w:rsid w:val="002B269F"/>
    <w:rsid w:val="002B303F"/>
    <w:rsid w:val="002B356D"/>
    <w:rsid w:val="002B39B0"/>
    <w:rsid w:val="002B3DA1"/>
    <w:rsid w:val="002B45FC"/>
    <w:rsid w:val="002B53B7"/>
    <w:rsid w:val="002B5842"/>
    <w:rsid w:val="002B619C"/>
    <w:rsid w:val="002B6893"/>
    <w:rsid w:val="002B772D"/>
    <w:rsid w:val="002C010F"/>
    <w:rsid w:val="002C074B"/>
    <w:rsid w:val="002C1451"/>
    <w:rsid w:val="002C1C60"/>
    <w:rsid w:val="002C28CF"/>
    <w:rsid w:val="002C2C9C"/>
    <w:rsid w:val="002C30DC"/>
    <w:rsid w:val="002C32D9"/>
    <w:rsid w:val="002C35F9"/>
    <w:rsid w:val="002C362C"/>
    <w:rsid w:val="002C3B61"/>
    <w:rsid w:val="002C4320"/>
    <w:rsid w:val="002C4E99"/>
    <w:rsid w:val="002C5F8C"/>
    <w:rsid w:val="002C623F"/>
    <w:rsid w:val="002C6760"/>
    <w:rsid w:val="002C7B98"/>
    <w:rsid w:val="002D0905"/>
    <w:rsid w:val="002D1857"/>
    <w:rsid w:val="002D1E2A"/>
    <w:rsid w:val="002D27C8"/>
    <w:rsid w:val="002D55D5"/>
    <w:rsid w:val="002D5CDE"/>
    <w:rsid w:val="002D65EA"/>
    <w:rsid w:val="002D7408"/>
    <w:rsid w:val="002D7A62"/>
    <w:rsid w:val="002E122C"/>
    <w:rsid w:val="002E1750"/>
    <w:rsid w:val="002E2F8E"/>
    <w:rsid w:val="002E5285"/>
    <w:rsid w:val="002E57CC"/>
    <w:rsid w:val="002E580B"/>
    <w:rsid w:val="002E5CE8"/>
    <w:rsid w:val="002F068E"/>
    <w:rsid w:val="002F3CED"/>
    <w:rsid w:val="002F3E97"/>
    <w:rsid w:val="002F3F43"/>
    <w:rsid w:val="002F4643"/>
    <w:rsid w:val="002F4F08"/>
    <w:rsid w:val="002F659E"/>
    <w:rsid w:val="002F68E5"/>
    <w:rsid w:val="002F6FF1"/>
    <w:rsid w:val="002F7699"/>
    <w:rsid w:val="002F7E29"/>
    <w:rsid w:val="00301093"/>
    <w:rsid w:val="003010AD"/>
    <w:rsid w:val="00301247"/>
    <w:rsid w:val="00301F76"/>
    <w:rsid w:val="0030240D"/>
    <w:rsid w:val="00303C70"/>
    <w:rsid w:val="003049D9"/>
    <w:rsid w:val="0030534F"/>
    <w:rsid w:val="00305F36"/>
    <w:rsid w:val="00306181"/>
    <w:rsid w:val="00306310"/>
    <w:rsid w:val="00306431"/>
    <w:rsid w:val="00306F5D"/>
    <w:rsid w:val="003074AD"/>
    <w:rsid w:val="00310B1C"/>
    <w:rsid w:val="00310CFF"/>
    <w:rsid w:val="003115BA"/>
    <w:rsid w:val="00315276"/>
    <w:rsid w:val="0031673B"/>
    <w:rsid w:val="00317299"/>
    <w:rsid w:val="00321EFA"/>
    <w:rsid w:val="003238E4"/>
    <w:rsid w:val="00324E53"/>
    <w:rsid w:val="00324EC8"/>
    <w:rsid w:val="00326050"/>
    <w:rsid w:val="00327774"/>
    <w:rsid w:val="003303B6"/>
    <w:rsid w:val="003308A6"/>
    <w:rsid w:val="00330FC5"/>
    <w:rsid w:val="003317DA"/>
    <w:rsid w:val="0033222A"/>
    <w:rsid w:val="00332333"/>
    <w:rsid w:val="00332EA2"/>
    <w:rsid w:val="003336E4"/>
    <w:rsid w:val="00333A82"/>
    <w:rsid w:val="0033473D"/>
    <w:rsid w:val="003354C4"/>
    <w:rsid w:val="0033619F"/>
    <w:rsid w:val="00340B46"/>
    <w:rsid w:val="00340D28"/>
    <w:rsid w:val="00341AF9"/>
    <w:rsid w:val="003426B1"/>
    <w:rsid w:val="00342CE6"/>
    <w:rsid w:val="00344A86"/>
    <w:rsid w:val="00345E0C"/>
    <w:rsid w:val="0034637D"/>
    <w:rsid w:val="003477D4"/>
    <w:rsid w:val="00347D38"/>
    <w:rsid w:val="00350B6D"/>
    <w:rsid w:val="00351080"/>
    <w:rsid w:val="00351636"/>
    <w:rsid w:val="003528DA"/>
    <w:rsid w:val="003529C9"/>
    <w:rsid w:val="00352E46"/>
    <w:rsid w:val="00353775"/>
    <w:rsid w:val="003544DD"/>
    <w:rsid w:val="0035451B"/>
    <w:rsid w:val="00354747"/>
    <w:rsid w:val="003556D6"/>
    <w:rsid w:val="0035665D"/>
    <w:rsid w:val="00356691"/>
    <w:rsid w:val="003567F4"/>
    <w:rsid w:val="00356804"/>
    <w:rsid w:val="00357582"/>
    <w:rsid w:val="00357CBF"/>
    <w:rsid w:val="003600BD"/>
    <w:rsid w:val="00360581"/>
    <w:rsid w:val="003607B3"/>
    <w:rsid w:val="003608A0"/>
    <w:rsid w:val="00360CA2"/>
    <w:rsid w:val="00362181"/>
    <w:rsid w:val="0036328E"/>
    <w:rsid w:val="003638DC"/>
    <w:rsid w:val="003645D3"/>
    <w:rsid w:val="003655ED"/>
    <w:rsid w:val="00365A6E"/>
    <w:rsid w:val="00365B72"/>
    <w:rsid w:val="00366AE9"/>
    <w:rsid w:val="00367583"/>
    <w:rsid w:val="003726F8"/>
    <w:rsid w:val="003745D4"/>
    <w:rsid w:val="0037622F"/>
    <w:rsid w:val="0037689D"/>
    <w:rsid w:val="003769D9"/>
    <w:rsid w:val="00377181"/>
    <w:rsid w:val="003775FA"/>
    <w:rsid w:val="0037770C"/>
    <w:rsid w:val="00380806"/>
    <w:rsid w:val="00381FEB"/>
    <w:rsid w:val="00382126"/>
    <w:rsid w:val="00382EE2"/>
    <w:rsid w:val="00383B36"/>
    <w:rsid w:val="0038419D"/>
    <w:rsid w:val="00384244"/>
    <w:rsid w:val="00384310"/>
    <w:rsid w:val="003848FC"/>
    <w:rsid w:val="003852C7"/>
    <w:rsid w:val="003861A1"/>
    <w:rsid w:val="00387DE2"/>
    <w:rsid w:val="0039078F"/>
    <w:rsid w:val="00391164"/>
    <w:rsid w:val="00391244"/>
    <w:rsid w:val="003915A2"/>
    <w:rsid w:val="00391F65"/>
    <w:rsid w:val="003924BD"/>
    <w:rsid w:val="00393372"/>
    <w:rsid w:val="00393708"/>
    <w:rsid w:val="00394ED8"/>
    <w:rsid w:val="00395CA6"/>
    <w:rsid w:val="00396489"/>
    <w:rsid w:val="003A02A7"/>
    <w:rsid w:val="003A093C"/>
    <w:rsid w:val="003A1006"/>
    <w:rsid w:val="003A1042"/>
    <w:rsid w:val="003A213F"/>
    <w:rsid w:val="003A28F1"/>
    <w:rsid w:val="003A39AF"/>
    <w:rsid w:val="003A453C"/>
    <w:rsid w:val="003A46BB"/>
    <w:rsid w:val="003A73BF"/>
    <w:rsid w:val="003A742D"/>
    <w:rsid w:val="003A7A06"/>
    <w:rsid w:val="003B0BA5"/>
    <w:rsid w:val="003B1109"/>
    <w:rsid w:val="003B19EC"/>
    <w:rsid w:val="003B1DBF"/>
    <w:rsid w:val="003B1E05"/>
    <w:rsid w:val="003B1F49"/>
    <w:rsid w:val="003B32D6"/>
    <w:rsid w:val="003B3A50"/>
    <w:rsid w:val="003B3E94"/>
    <w:rsid w:val="003B77E9"/>
    <w:rsid w:val="003C0791"/>
    <w:rsid w:val="003C0EEE"/>
    <w:rsid w:val="003C1401"/>
    <w:rsid w:val="003C179B"/>
    <w:rsid w:val="003C23AB"/>
    <w:rsid w:val="003C24B4"/>
    <w:rsid w:val="003C2FB2"/>
    <w:rsid w:val="003C32EF"/>
    <w:rsid w:val="003C3CB3"/>
    <w:rsid w:val="003C53B9"/>
    <w:rsid w:val="003C547E"/>
    <w:rsid w:val="003C5569"/>
    <w:rsid w:val="003C5989"/>
    <w:rsid w:val="003C5D40"/>
    <w:rsid w:val="003C6180"/>
    <w:rsid w:val="003C6B76"/>
    <w:rsid w:val="003C705D"/>
    <w:rsid w:val="003D261F"/>
    <w:rsid w:val="003D3DBF"/>
    <w:rsid w:val="003D696C"/>
    <w:rsid w:val="003E0573"/>
    <w:rsid w:val="003E0947"/>
    <w:rsid w:val="003E0FF8"/>
    <w:rsid w:val="003E2564"/>
    <w:rsid w:val="003E34EE"/>
    <w:rsid w:val="003E4EC0"/>
    <w:rsid w:val="003E56C3"/>
    <w:rsid w:val="003E5D3C"/>
    <w:rsid w:val="003E6311"/>
    <w:rsid w:val="003E6501"/>
    <w:rsid w:val="003E70AA"/>
    <w:rsid w:val="003E7285"/>
    <w:rsid w:val="003E7829"/>
    <w:rsid w:val="003E7FBA"/>
    <w:rsid w:val="003F07E1"/>
    <w:rsid w:val="003F1600"/>
    <w:rsid w:val="003F1D39"/>
    <w:rsid w:val="003F2799"/>
    <w:rsid w:val="003F36E4"/>
    <w:rsid w:val="003F384A"/>
    <w:rsid w:val="003F387B"/>
    <w:rsid w:val="003F3B73"/>
    <w:rsid w:val="003F3BFD"/>
    <w:rsid w:val="003F3D3E"/>
    <w:rsid w:val="003F4EE0"/>
    <w:rsid w:val="003F50D5"/>
    <w:rsid w:val="003F6359"/>
    <w:rsid w:val="003F753F"/>
    <w:rsid w:val="003F7C36"/>
    <w:rsid w:val="003F7C80"/>
    <w:rsid w:val="003F7F3B"/>
    <w:rsid w:val="00400505"/>
    <w:rsid w:val="004012DF"/>
    <w:rsid w:val="0040149D"/>
    <w:rsid w:val="00401C58"/>
    <w:rsid w:val="004047D8"/>
    <w:rsid w:val="00405581"/>
    <w:rsid w:val="004056DC"/>
    <w:rsid w:val="0041007E"/>
    <w:rsid w:val="0041172D"/>
    <w:rsid w:val="00411E7A"/>
    <w:rsid w:val="00412B60"/>
    <w:rsid w:val="00413330"/>
    <w:rsid w:val="0041336A"/>
    <w:rsid w:val="00413443"/>
    <w:rsid w:val="00413EB2"/>
    <w:rsid w:val="00413F1E"/>
    <w:rsid w:val="00413F45"/>
    <w:rsid w:val="00415312"/>
    <w:rsid w:val="00415708"/>
    <w:rsid w:val="00417419"/>
    <w:rsid w:val="00422942"/>
    <w:rsid w:val="004231D1"/>
    <w:rsid w:val="004234EB"/>
    <w:rsid w:val="00423906"/>
    <w:rsid w:val="004241F1"/>
    <w:rsid w:val="00424C61"/>
    <w:rsid w:val="004305CD"/>
    <w:rsid w:val="00430AB8"/>
    <w:rsid w:val="00430BB1"/>
    <w:rsid w:val="004318A0"/>
    <w:rsid w:val="00431B40"/>
    <w:rsid w:val="00433D0F"/>
    <w:rsid w:val="00433E51"/>
    <w:rsid w:val="004344C1"/>
    <w:rsid w:val="00434992"/>
    <w:rsid w:val="00435701"/>
    <w:rsid w:val="00435ADF"/>
    <w:rsid w:val="00435C0B"/>
    <w:rsid w:val="00435D16"/>
    <w:rsid w:val="00435EB4"/>
    <w:rsid w:val="00437A1D"/>
    <w:rsid w:val="00437D67"/>
    <w:rsid w:val="00440162"/>
    <w:rsid w:val="00440991"/>
    <w:rsid w:val="00440CDD"/>
    <w:rsid w:val="0044135F"/>
    <w:rsid w:val="00441FD4"/>
    <w:rsid w:val="0044268E"/>
    <w:rsid w:val="00442E38"/>
    <w:rsid w:val="00443028"/>
    <w:rsid w:val="00443217"/>
    <w:rsid w:val="00443761"/>
    <w:rsid w:val="00444A95"/>
    <w:rsid w:val="004452EE"/>
    <w:rsid w:val="00446567"/>
    <w:rsid w:val="00446C2F"/>
    <w:rsid w:val="00446D33"/>
    <w:rsid w:val="00446F03"/>
    <w:rsid w:val="0044766C"/>
    <w:rsid w:val="004477ED"/>
    <w:rsid w:val="00450751"/>
    <w:rsid w:val="00450C8F"/>
    <w:rsid w:val="00452569"/>
    <w:rsid w:val="0045331B"/>
    <w:rsid w:val="00453678"/>
    <w:rsid w:val="00453EEF"/>
    <w:rsid w:val="004545D6"/>
    <w:rsid w:val="00454ABB"/>
    <w:rsid w:val="00454FA9"/>
    <w:rsid w:val="00456038"/>
    <w:rsid w:val="004577B5"/>
    <w:rsid w:val="004600E0"/>
    <w:rsid w:val="00460100"/>
    <w:rsid w:val="00460191"/>
    <w:rsid w:val="00461BC4"/>
    <w:rsid w:val="0046205C"/>
    <w:rsid w:val="004626B5"/>
    <w:rsid w:val="004629B4"/>
    <w:rsid w:val="00464148"/>
    <w:rsid w:val="00464B25"/>
    <w:rsid w:val="00464E33"/>
    <w:rsid w:val="00465055"/>
    <w:rsid w:val="00465B28"/>
    <w:rsid w:val="00465B58"/>
    <w:rsid w:val="0046603C"/>
    <w:rsid w:val="004665E2"/>
    <w:rsid w:val="00467DC7"/>
    <w:rsid w:val="004701E0"/>
    <w:rsid w:val="004706DA"/>
    <w:rsid w:val="0047074F"/>
    <w:rsid w:val="00470E44"/>
    <w:rsid w:val="004711FD"/>
    <w:rsid w:val="00471435"/>
    <w:rsid w:val="00471446"/>
    <w:rsid w:val="00472CF9"/>
    <w:rsid w:val="0047300F"/>
    <w:rsid w:val="0047390F"/>
    <w:rsid w:val="00474207"/>
    <w:rsid w:val="0047425D"/>
    <w:rsid w:val="004745A1"/>
    <w:rsid w:val="00475098"/>
    <w:rsid w:val="004750B7"/>
    <w:rsid w:val="0047549E"/>
    <w:rsid w:val="0047577B"/>
    <w:rsid w:val="00476A5A"/>
    <w:rsid w:val="00476C69"/>
    <w:rsid w:val="0047705A"/>
    <w:rsid w:val="004775C8"/>
    <w:rsid w:val="00480513"/>
    <w:rsid w:val="00481B94"/>
    <w:rsid w:val="00482842"/>
    <w:rsid w:val="00482EE0"/>
    <w:rsid w:val="00482FDF"/>
    <w:rsid w:val="00483472"/>
    <w:rsid w:val="004855EA"/>
    <w:rsid w:val="004857BF"/>
    <w:rsid w:val="004862AD"/>
    <w:rsid w:val="0048770D"/>
    <w:rsid w:val="00490837"/>
    <w:rsid w:val="00490A9F"/>
    <w:rsid w:val="00491524"/>
    <w:rsid w:val="00492BBB"/>
    <w:rsid w:val="0049469F"/>
    <w:rsid w:val="00496DCE"/>
    <w:rsid w:val="00496FD7"/>
    <w:rsid w:val="00497745"/>
    <w:rsid w:val="004A111F"/>
    <w:rsid w:val="004A151F"/>
    <w:rsid w:val="004A25F0"/>
    <w:rsid w:val="004A2859"/>
    <w:rsid w:val="004A3AA0"/>
    <w:rsid w:val="004A3C2A"/>
    <w:rsid w:val="004A4AB8"/>
    <w:rsid w:val="004A5338"/>
    <w:rsid w:val="004A5464"/>
    <w:rsid w:val="004A5BAE"/>
    <w:rsid w:val="004A68FC"/>
    <w:rsid w:val="004B052F"/>
    <w:rsid w:val="004B10E9"/>
    <w:rsid w:val="004B122B"/>
    <w:rsid w:val="004B2461"/>
    <w:rsid w:val="004B28A0"/>
    <w:rsid w:val="004B3E95"/>
    <w:rsid w:val="004B460E"/>
    <w:rsid w:val="004B4A71"/>
    <w:rsid w:val="004B6592"/>
    <w:rsid w:val="004B66D1"/>
    <w:rsid w:val="004B67B1"/>
    <w:rsid w:val="004B79B0"/>
    <w:rsid w:val="004B7A62"/>
    <w:rsid w:val="004C017B"/>
    <w:rsid w:val="004C0FB0"/>
    <w:rsid w:val="004C1C0E"/>
    <w:rsid w:val="004C2B96"/>
    <w:rsid w:val="004C4393"/>
    <w:rsid w:val="004C4F04"/>
    <w:rsid w:val="004C6958"/>
    <w:rsid w:val="004C7846"/>
    <w:rsid w:val="004C7999"/>
    <w:rsid w:val="004C7A29"/>
    <w:rsid w:val="004C7B64"/>
    <w:rsid w:val="004C7E8A"/>
    <w:rsid w:val="004C7F14"/>
    <w:rsid w:val="004D17DC"/>
    <w:rsid w:val="004D2D62"/>
    <w:rsid w:val="004D3591"/>
    <w:rsid w:val="004D498D"/>
    <w:rsid w:val="004D4EA8"/>
    <w:rsid w:val="004D59B3"/>
    <w:rsid w:val="004D7AD4"/>
    <w:rsid w:val="004D7C59"/>
    <w:rsid w:val="004D7F59"/>
    <w:rsid w:val="004E1A83"/>
    <w:rsid w:val="004E1D76"/>
    <w:rsid w:val="004E20EE"/>
    <w:rsid w:val="004E2D8A"/>
    <w:rsid w:val="004E3976"/>
    <w:rsid w:val="004E3BEF"/>
    <w:rsid w:val="004E3F95"/>
    <w:rsid w:val="004E456E"/>
    <w:rsid w:val="004E505D"/>
    <w:rsid w:val="004E54E1"/>
    <w:rsid w:val="004E6B6D"/>
    <w:rsid w:val="004F0265"/>
    <w:rsid w:val="004F08B4"/>
    <w:rsid w:val="004F0A4B"/>
    <w:rsid w:val="004F0E0C"/>
    <w:rsid w:val="004F0FDE"/>
    <w:rsid w:val="004F211F"/>
    <w:rsid w:val="004F22D6"/>
    <w:rsid w:val="004F2579"/>
    <w:rsid w:val="004F2F81"/>
    <w:rsid w:val="004F2F99"/>
    <w:rsid w:val="004F338B"/>
    <w:rsid w:val="004F4BB5"/>
    <w:rsid w:val="004F4C08"/>
    <w:rsid w:val="004F526E"/>
    <w:rsid w:val="004F5346"/>
    <w:rsid w:val="004F53EE"/>
    <w:rsid w:val="004F6A65"/>
    <w:rsid w:val="004F6D4D"/>
    <w:rsid w:val="00500CBB"/>
    <w:rsid w:val="00501A8D"/>
    <w:rsid w:val="00503324"/>
    <w:rsid w:val="00503EF7"/>
    <w:rsid w:val="0050411F"/>
    <w:rsid w:val="0050560E"/>
    <w:rsid w:val="00506766"/>
    <w:rsid w:val="0050759D"/>
    <w:rsid w:val="00507C7E"/>
    <w:rsid w:val="005101FE"/>
    <w:rsid w:val="00511351"/>
    <w:rsid w:val="00511FCE"/>
    <w:rsid w:val="00512D19"/>
    <w:rsid w:val="00512F82"/>
    <w:rsid w:val="00514160"/>
    <w:rsid w:val="00514EB7"/>
    <w:rsid w:val="00514FFE"/>
    <w:rsid w:val="00515450"/>
    <w:rsid w:val="00515BF9"/>
    <w:rsid w:val="0051609B"/>
    <w:rsid w:val="00516502"/>
    <w:rsid w:val="00516703"/>
    <w:rsid w:val="00516A4A"/>
    <w:rsid w:val="00520B82"/>
    <w:rsid w:val="00520D6C"/>
    <w:rsid w:val="00520FDF"/>
    <w:rsid w:val="0052226A"/>
    <w:rsid w:val="00522F18"/>
    <w:rsid w:val="00523392"/>
    <w:rsid w:val="00523F9A"/>
    <w:rsid w:val="0052408B"/>
    <w:rsid w:val="00524D5A"/>
    <w:rsid w:val="0052607C"/>
    <w:rsid w:val="0052664C"/>
    <w:rsid w:val="00526FFF"/>
    <w:rsid w:val="00527513"/>
    <w:rsid w:val="00527F6E"/>
    <w:rsid w:val="00530469"/>
    <w:rsid w:val="0053047C"/>
    <w:rsid w:val="00530E0E"/>
    <w:rsid w:val="005316CD"/>
    <w:rsid w:val="00531A7F"/>
    <w:rsid w:val="00531E10"/>
    <w:rsid w:val="005326E7"/>
    <w:rsid w:val="005326EE"/>
    <w:rsid w:val="00533495"/>
    <w:rsid w:val="00533E03"/>
    <w:rsid w:val="005342A1"/>
    <w:rsid w:val="00534B08"/>
    <w:rsid w:val="00535D08"/>
    <w:rsid w:val="005363F5"/>
    <w:rsid w:val="0053644F"/>
    <w:rsid w:val="00536789"/>
    <w:rsid w:val="0053696C"/>
    <w:rsid w:val="00537AAE"/>
    <w:rsid w:val="00541480"/>
    <w:rsid w:val="005422E8"/>
    <w:rsid w:val="00543708"/>
    <w:rsid w:val="00543B2B"/>
    <w:rsid w:val="00544438"/>
    <w:rsid w:val="00544540"/>
    <w:rsid w:val="00544A4C"/>
    <w:rsid w:val="00544B95"/>
    <w:rsid w:val="0054505B"/>
    <w:rsid w:val="00546083"/>
    <w:rsid w:val="0054685E"/>
    <w:rsid w:val="00546DAF"/>
    <w:rsid w:val="00547AF8"/>
    <w:rsid w:val="00547C14"/>
    <w:rsid w:val="00547D2B"/>
    <w:rsid w:val="00547EDC"/>
    <w:rsid w:val="00550059"/>
    <w:rsid w:val="00550A16"/>
    <w:rsid w:val="00550AE7"/>
    <w:rsid w:val="00550C28"/>
    <w:rsid w:val="00550E2B"/>
    <w:rsid w:val="005511F3"/>
    <w:rsid w:val="00551C20"/>
    <w:rsid w:val="00554111"/>
    <w:rsid w:val="005549F0"/>
    <w:rsid w:val="005557D1"/>
    <w:rsid w:val="00556287"/>
    <w:rsid w:val="005578E2"/>
    <w:rsid w:val="005578F2"/>
    <w:rsid w:val="0056007C"/>
    <w:rsid w:val="005613A1"/>
    <w:rsid w:val="00561ADA"/>
    <w:rsid w:val="005635EB"/>
    <w:rsid w:val="00563EE4"/>
    <w:rsid w:val="005640AA"/>
    <w:rsid w:val="00564ACD"/>
    <w:rsid w:val="00566C5B"/>
    <w:rsid w:val="005675BD"/>
    <w:rsid w:val="0057079D"/>
    <w:rsid w:val="005708A8"/>
    <w:rsid w:val="00571690"/>
    <w:rsid w:val="0057191B"/>
    <w:rsid w:val="00571992"/>
    <w:rsid w:val="00571E99"/>
    <w:rsid w:val="00572145"/>
    <w:rsid w:val="0057248E"/>
    <w:rsid w:val="00572A96"/>
    <w:rsid w:val="00572BBA"/>
    <w:rsid w:val="005751DC"/>
    <w:rsid w:val="005758EC"/>
    <w:rsid w:val="00575B8D"/>
    <w:rsid w:val="0057717B"/>
    <w:rsid w:val="00577676"/>
    <w:rsid w:val="00577A4F"/>
    <w:rsid w:val="00577CD7"/>
    <w:rsid w:val="00577FD4"/>
    <w:rsid w:val="00580200"/>
    <w:rsid w:val="005806EC"/>
    <w:rsid w:val="00581B20"/>
    <w:rsid w:val="00583158"/>
    <w:rsid w:val="00584672"/>
    <w:rsid w:val="0058518E"/>
    <w:rsid w:val="0058615A"/>
    <w:rsid w:val="005878E4"/>
    <w:rsid w:val="00587F1F"/>
    <w:rsid w:val="00590100"/>
    <w:rsid w:val="005903CE"/>
    <w:rsid w:val="00590D63"/>
    <w:rsid w:val="0059166A"/>
    <w:rsid w:val="00591CFF"/>
    <w:rsid w:val="00592719"/>
    <w:rsid w:val="00593AF8"/>
    <w:rsid w:val="005947FA"/>
    <w:rsid w:val="00594CC8"/>
    <w:rsid w:val="00595125"/>
    <w:rsid w:val="0059591B"/>
    <w:rsid w:val="00596660"/>
    <w:rsid w:val="005978C8"/>
    <w:rsid w:val="00597C30"/>
    <w:rsid w:val="00597CEA"/>
    <w:rsid w:val="005A024F"/>
    <w:rsid w:val="005A120A"/>
    <w:rsid w:val="005A2275"/>
    <w:rsid w:val="005A27C2"/>
    <w:rsid w:val="005A280E"/>
    <w:rsid w:val="005A4FA2"/>
    <w:rsid w:val="005A51EB"/>
    <w:rsid w:val="005A6C94"/>
    <w:rsid w:val="005A6F14"/>
    <w:rsid w:val="005A78F5"/>
    <w:rsid w:val="005A7D52"/>
    <w:rsid w:val="005B0269"/>
    <w:rsid w:val="005B103B"/>
    <w:rsid w:val="005B12EE"/>
    <w:rsid w:val="005B1C1A"/>
    <w:rsid w:val="005B20E9"/>
    <w:rsid w:val="005B3DD7"/>
    <w:rsid w:val="005B4E7A"/>
    <w:rsid w:val="005B4FCC"/>
    <w:rsid w:val="005B6C22"/>
    <w:rsid w:val="005B6CD2"/>
    <w:rsid w:val="005B7074"/>
    <w:rsid w:val="005C03B8"/>
    <w:rsid w:val="005C04FA"/>
    <w:rsid w:val="005C1450"/>
    <w:rsid w:val="005C25D2"/>
    <w:rsid w:val="005C264A"/>
    <w:rsid w:val="005C2AAD"/>
    <w:rsid w:val="005C2D9E"/>
    <w:rsid w:val="005C4001"/>
    <w:rsid w:val="005C4246"/>
    <w:rsid w:val="005C543F"/>
    <w:rsid w:val="005C5820"/>
    <w:rsid w:val="005C61DE"/>
    <w:rsid w:val="005C69CC"/>
    <w:rsid w:val="005C7849"/>
    <w:rsid w:val="005C7C1D"/>
    <w:rsid w:val="005D0137"/>
    <w:rsid w:val="005D0D0E"/>
    <w:rsid w:val="005D1064"/>
    <w:rsid w:val="005D185D"/>
    <w:rsid w:val="005D196C"/>
    <w:rsid w:val="005D1DE5"/>
    <w:rsid w:val="005D1ECE"/>
    <w:rsid w:val="005D474E"/>
    <w:rsid w:val="005D6B82"/>
    <w:rsid w:val="005D6C40"/>
    <w:rsid w:val="005D7503"/>
    <w:rsid w:val="005E05C5"/>
    <w:rsid w:val="005E1C79"/>
    <w:rsid w:val="005E239B"/>
    <w:rsid w:val="005E2F32"/>
    <w:rsid w:val="005E31D9"/>
    <w:rsid w:val="005E3406"/>
    <w:rsid w:val="005E3DA0"/>
    <w:rsid w:val="005E4404"/>
    <w:rsid w:val="005E4AD2"/>
    <w:rsid w:val="005E54DC"/>
    <w:rsid w:val="005E5BE8"/>
    <w:rsid w:val="005E72BA"/>
    <w:rsid w:val="005E7446"/>
    <w:rsid w:val="005E75B0"/>
    <w:rsid w:val="005E7C33"/>
    <w:rsid w:val="005E7F49"/>
    <w:rsid w:val="005F0058"/>
    <w:rsid w:val="005F0ACC"/>
    <w:rsid w:val="005F18DA"/>
    <w:rsid w:val="005F196B"/>
    <w:rsid w:val="005F2BA3"/>
    <w:rsid w:val="005F2FF2"/>
    <w:rsid w:val="005F328A"/>
    <w:rsid w:val="005F3292"/>
    <w:rsid w:val="005F3ED6"/>
    <w:rsid w:val="005F5047"/>
    <w:rsid w:val="005F52E1"/>
    <w:rsid w:val="005F53D8"/>
    <w:rsid w:val="005F58B8"/>
    <w:rsid w:val="005F5E39"/>
    <w:rsid w:val="005F60A8"/>
    <w:rsid w:val="005F7B7C"/>
    <w:rsid w:val="005F7BE2"/>
    <w:rsid w:val="005F7CBF"/>
    <w:rsid w:val="00600C58"/>
    <w:rsid w:val="006013DB"/>
    <w:rsid w:val="0060435D"/>
    <w:rsid w:val="0060490C"/>
    <w:rsid w:val="00604C41"/>
    <w:rsid w:val="00604E7C"/>
    <w:rsid w:val="00606A42"/>
    <w:rsid w:val="006077BD"/>
    <w:rsid w:val="00611331"/>
    <w:rsid w:val="00611992"/>
    <w:rsid w:val="00611CB5"/>
    <w:rsid w:val="00612B90"/>
    <w:rsid w:val="006141EE"/>
    <w:rsid w:val="00614E0E"/>
    <w:rsid w:val="00614F8A"/>
    <w:rsid w:val="0061682C"/>
    <w:rsid w:val="00616D47"/>
    <w:rsid w:val="00616F2F"/>
    <w:rsid w:val="00617256"/>
    <w:rsid w:val="006175B8"/>
    <w:rsid w:val="006179A5"/>
    <w:rsid w:val="00622AC2"/>
    <w:rsid w:val="00622D9B"/>
    <w:rsid w:val="0062359F"/>
    <w:rsid w:val="0062451B"/>
    <w:rsid w:val="0062591E"/>
    <w:rsid w:val="006265AC"/>
    <w:rsid w:val="006271B2"/>
    <w:rsid w:val="00627737"/>
    <w:rsid w:val="00627ED4"/>
    <w:rsid w:val="00630324"/>
    <w:rsid w:val="006315DA"/>
    <w:rsid w:val="00631FB6"/>
    <w:rsid w:val="006322C2"/>
    <w:rsid w:val="006340BD"/>
    <w:rsid w:val="006343E0"/>
    <w:rsid w:val="00634647"/>
    <w:rsid w:val="00634721"/>
    <w:rsid w:val="006350CB"/>
    <w:rsid w:val="00635422"/>
    <w:rsid w:val="00635B6D"/>
    <w:rsid w:val="00635BDE"/>
    <w:rsid w:val="006365CE"/>
    <w:rsid w:val="006366C9"/>
    <w:rsid w:val="006368FC"/>
    <w:rsid w:val="00636C40"/>
    <w:rsid w:val="00637174"/>
    <w:rsid w:val="00637BEE"/>
    <w:rsid w:val="00637D34"/>
    <w:rsid w:val="00637F84"/>
    <w:rsid w:val="00642788"/>
    <w:rsid w:val="006436F4"/>
    <w:rsid w:val="00644DCA"/>
    <w:rsid w:val="00645336"/>
    <w:rsid w:val="006458EF"/>
    <w:rsid w:val="0064597D"/>
    <w:rsid w:val="00645F87"/>
    <w:rsid w:val="0064633A"/>
    <w:rsid w:val="00646E7A"/>
    <w:rsid w:val="00646F24"/>
    <w:rsid w:val="006473EA"/>
    <w:rsid w:val="006514D7"/>
    <w:rsid w:val="00651681"/>
    <w:rsid w:val="00652A11"/>
    <w:rsid w:val="00652ABF"/>
    <w:rsid w:val="00652E0E"/>
    <w:rsid w:val="00652FEF"/>
    <w:rsid w:val="0065333E"/>
    <w:rsid w:val="00653653"/>
    <w:rsid w:val="00653921"/>
    <w:rsid w:val="00654F55"/>
    <w:rsid w:val="006552C8"/>
    <w:rsid w:val="00655711"/>
    <w:rsid w:val="00655865"/>
    <w:rsid w:val="00655884"/>
    <w:rsid w:val="00656033"/>
    <w:rsid w:val="00656467"/>
    <w:rsid w:val="006603F9"/>
    <w:rsid w:val="00660DBD"/>
    <w:rsid w:val="00660ED5"/>
    <w:rsid w:val="0066155D"/>
    <w:rsid w:val="00662427"/>
    <w:rsid w:val="0066387A"/>
    <w:rsid w:val="00663D4F"/>
    <w:rsid w:val="00663EBC"/>
    <w:rsid w:val="006653BE"/>
    <w:rsid w:val="00665B1E"/>
    <w:rsid w:val="0066744D"/>
    <w:rsid w:val="0067044D"/>
    <w:rsid w:val="00671499"/>
    <w:rsid w:val="00672802"/>
    <w:rsid w:val="0067281C"/>
    <w:rsid w:val="00673A8B"/>
    <w:rsid w:val="00673D2A"/>
    <w:rsid w:val="00674191"/>
    <w:rsid w:val="00675C89"/>
    <w:rsid w:val="00675F41"/>
    <w:rsid w:val="00676191"/>
    <w:rsid w:val="0067650E"/>
    <w:rsid w:val="00676FA0"/>
    <w:rsid w:val="00677C2C"/>
    <w:rsid w:val="00677C8B"/>
    <w:rsid w:val="00680C3F"/>
    <w:rsid w:val="00681277"/>
    <w:rsid w:val="00682328"/>
    <w:rsid w:val="00682C38"/>
    <w:rsid w:val="0068357F"/>
    <w:rsid w:val="00683D83"/>
    <w:rsid w:val="00684AF1"/>
    <w:rsid w:val="006861AB"/>
    <w:rsid w:val="00686C3E"/>
    <w:rsid w:val="00687660"/>
    <w:rsid w:val="006876E2"/>
    <w:rsid w:val="00690E7C"/>
    <w:rsid w:val="0069110A"/>
    <w:rsid w:val="00691C91"/>
    <w:rsid w:val="006925C7"/>
    <w:rsid w:val="006957D9"/>
    <w:rsid w:val="006958DA"/>
    <w:rsid w:val="0069628A"/>
    <w:rsid w:val="00696691"/>
    <w:rsid w:val="00697237"/>
    <w:rsid w:val="00697FC0"/>
    <w:rsid w:val="006A1057"/>
    <w:rsid w:val="006A16F9"/>
    <w:rsid w:val="006A2A72"/>
    <w:rsid w:val="006A3145"/>
    <w:rsid w:val="006A38DF"/>
    <w:rsid w:val="006A4CBB"/>
    <w:rsid w:val="006A62C3"/>
    <w:rsid w:val="006A6D7B"/>
    <w:rsid w:val="006B098D"/>
    <w:rsid w:val="006B1543"/>
    <w:rsid w:val="006B1E41"/>
    <w:rsid w:val="006B3733"/>
    <w:rsid w:val="006B3C01"/>
    <w:rsid w:val="006B3F35"/>
    <w:rsid w:val="006B597B"/>
    <w:rsid w:val="006B5E0C"/>
    <w:rsid w:val="006B6390"/>
    <w:rsid w:val="006B6908"/>
    <w:rsid w:val="006B6C6F"/>
    <w:rsid w:val="006C0629"/>
    <w:rsid w:val="006C102D"/>
    <w:rsid w:val="006C16DA"/>
    <w:rsid w:val="006C2489"/>
    <w:rsid w:val="006C2CA8"/>
    <w:rsid w:val="006C3E2D"/>
    <w:rsid w:val="006C42F9"/>
    <w:rsid w:val="006C4D28"/>
    <w:rsid w:val="006C4F38"/>
    <w:rsid w:val="006C5FD8"/>
    <w:rsid w:val="006C7FD1"/>
    <w:rsid w:val="006D2478"/>
    <w:rsid w:val="006D3084"/>
    <w:rsid w:val="006D32A2"/>
    <w:rsid w:val="006D34EF"/>
    <w:rsid w:val="006D3BD5"/>
    <w:rsid w:val="006D4B5D"/>
    <w:rsid w:val="006D4C35"/>
    <w:rsid w:val="006D535E"/>
    <w:rsid w:val="006D680D"/>
    <w:rsid w:val="006D73E7"/>
    <w:rsid w:val="006E0912"/>
    <w:rsid w:val="006E0B15"/>
    <w:rsid w:val="006E1C35"/>
    <w:rsid w:val="006E38C6"/>
    <w:rsid w:val="006E4994"/>
    <w:rsid w:val="006E4E59"/>
    <w:rsid w:val="006E56DA"/>
    <w:rsid w:val="006E5FCE"/>
    <w:rsid w:val="006E6655"/>
    <w:rsid w:val="006F0568"/>
    <w:rsid w:val="006F30F7"/>
    <w:rsid w:val="006F441F"/>
    <w:rsid w:val="006F4D8F"/>
    <w:rsid w:val="006F4E4C"/>
    <w:rsid w:val="006F5021"/>
    <w:rsid w:val="006F52E5"/>
    <w:rsid w:val="006F5B8D"/>
    <w:rsid w:val="006F5C3E"/>
    <w:rsid w:val="006F6333"/>
    <w:rsid w:val="006F6792"/>
    <w:rsid w:val="006F6E82"/>
    <w:rsid w:val="00700B5E"/>
    <w:rsid w:val="007012D7"/>
    <w:rsid w:val="00702B0B"/>
    <w:rsid w:val="00703F3B"/>
    <w:rsid w:val="0070405E"/>
    <w:rsid w:val="00705FE9"/>
    <w:rsid w:val="007063B0"/>
    <w:rsid w:val="0070665C"/>
    <w:rsid w:val="00706877"/>
    <w:rsid w:val="00710492"/>
    <w:rsid w:val="00710884"/>
    <w:rsid w:val="00710B2F"/>
    <w:rsid w:val="0071134E"/>
    <w:rsid w:val="0071172F"/>
    <w:rsid w:val="00711A25"/>
    <w:rsid w:val="00711A68"/>
    <w:rsid w:val="00713AE0"/>
    <w:rsid w:val="00713B07"/>
    <w:rsid w:val="0071427D"/>
    <w:rsid w:val="007150AF"/>
    <w:rsid w:val="007204D8"/>
    <w:rsid w:val="00720805"/>
    <w:rsid w:val="00721B76"/>
    <w:rsid w:val="00723237"/>
    <w:rsid w:val="00723D4D"/>
    <w:rsid w:val="0072502F"/>
    <w:rsid w:val="00725092"/>
    <w:rsid w:val="0072571A"/>
    <w:rsid w:val="0072611A"/>
    <w:rsid w:val="00726875"/>
    <w:rsid w:val="00726A9C"/>
    <w:rsid w:val="00727880"/>
    <w:rsid w:val="00727D30"/>
    <w:rsid w:val="00730038"/>
    <w:rsid w:val="00730923"/>
    <w:rsid w:val="007309C7"/>
    <w:rsid w:val="00730FCF"/>
    <w:rsid w:val="00731713"/>
    <w:rsid w:val="00731D3E"/>
    <w:rsid w:val="00733140"/>
    <w:rsid w:val="00733573"/>
    <w:rsid w:val="007341C0"/>
    <w:rsid w:val="0073504B"/>
    <w:rsid w:val="0073522D"/>
    <w:rsid w:val="007358A1"/>
    <w:rsid w:val="00736378"/>
    <w:rsid w:val="0073638E"/>
    <w:rsid w:val="00736392"/>
    <w:rsid w:val="00737A34"/>
    <w:rsid w:val="00737B5F"/>
    <w:rsid w:val="00737B95"/>
    <w:rsid w:val="00740290"/>
    <w:rsid w:val="007405C9"/>
    <w:rsid w:val="00740927"/>
    <w:rsid w:val="00740C49"/>
    <w:rsid w:val="007425CA"/>
    <w:rsid w:val="00742AAC"/>
    <w:rsid w:val="00743A2F"/>
    <w:rsid w:val="00744527"/>
    <w:rsid w:val="007454E8"/>
    <w:rsid w:val="00745963"/>
    <w:rsid w:val="00745F52"/>
    <w:rsid w:val="00745FD9"/>
    <w:rsid w:val="0074622A"/>
    <w:rsid w:val="00746397"/>
    <w:rsid w:val="00746FA7"/>
    <w:rsid w:val="00747A64"/>
    <w:rsid w:val="0075056B"/>
    <w:rsid w:val="00750705"/>
    <w:rsid w:val="00750723"/>
    <w:rsid w:val="0075090C"/>
    <w:rsid w:val="007522DB"/>
    <w:rsid w:val="007537B7"/>
    <w:rsid w:val="00753AF7"/>
    <w:rsid w:val="00753E51"/>
    <w:rsid w:val="007548E0"/>
    <w:rsid w:val="00754F1C"/>
    <w:rsid w:val="00755998"/>
    <w:rsid w:val="00757CF7"/>
    <w:rsid w:val="007613F3"/>
    <w:rsid w:val="007616A5"/>
    <w:rsid w:val="00761BB5"/>
    <w:rsid w:val="007622C3"/>
    <w:rsid w:val="007624DE"/>
    <w:rsid w:val="00762928"/>
    <w:rsid w:val="007648C1"/>
    <w:rsid w:val="00764B72"/>
    <w:rsid w:val="00766894"/>
    <w:rsid w:val="007670FC"/>
    <w:rsid w:val="00767BF7"/>
    <w:rsid w:val="00767F41"/>
    <w:rsid w:val="00770773"/>
    <w:rsid w:val="00771FBB"/>
    <w:rsid w:val="00772084"/>
    <w:rsid w:val="00773BD8"/>
    <w:rsid w:val="00774BE5"/>
    <w:rsid w:val="00774CC4"/>
    <w:rsid w:val="00775972"/>
    <w:rsid w:val="00777EC1"/>
    <w:rsid w:val="00780632"/>
    <w:rsid w:val="0078088A"/>
    <w:rsid w:val="007811B2"/>
    <w:rsid w:val="007811D4"/>
    <w:rsid w:val="007814C8"/>
    <w:rsid w:val="00781D88"/>
    <w:rsid w:val="00782C5C"/>
    <w:rsid w:val="007835BA"/>
    <w:rsid w:val="007841A1"/>
    <w:rsid w:val="00784B65"/>
    <w:rsid w:val="007850F7"/>
    <w:rsid w:val="0078687D"/>
    <w:rsid w:val="0078769F"/>
    <w:rsid w:val="00792662"/>
    <w:rsid w:val="00793BD3"/>
    <w:rsid w:val="00794183"/>
    <w:rsid w:val="00795298"/>
    <w:rsid w:val="0079712D"/>
    <w:rsid w:val="007974D3"/>
    <w:rsid w:val="007A0068"/>
    <w:rsid w:val="007A0D06"/>
    <w:rsid w:val="007A2041"/>
    <w:rsid w:val="007A21E6"/>
    <w:rsid w:val="007A26D4"/>
    <w:rsid w:val="007A2779"/>
    <w:rsid w:val="007A2FC4"/>
    <w:rsid w:val="007A3611"/>
    <w:rsid w:val="007A37DC"/>
    <w:rsid w:val="007A3A05"/>
    <w:rsid w:val="007A3A3C"/>
    <w:rsid w:val="007A54CA"/>
    <w:rsid w:val="007A66D9"/>
    <w:rsid w:val="007A6AFB"/>
    <w:rsid w:val="007A7D2F"/>
    <w:rsid w:val="007B005D"/>
    <w:rsid w:val="007B06AD"/>
    <w:rsid w:val="007B07F1"/>
    <w:rsid w:val="007B09C2"/>
    <w:rsid w:val="007B0D1F"/>
    <w:rsid w:val="007B0F3B"/>
    <w:rsid w:val="007B1506"/>
    <w:rsid w:val="007B2C2E"/>
    <w:rsid w:val="007B3985"/>
    <w:rsid w:val="007B45B5"/>
    <w:rsid w:val="007B47AB"/>
    <w:rsid w:val="007B52B0"/>
    <w:rsid w:val="007B55BB"/>
    <w:rsid w:val="007B5E3F"/>
    <w:rsid w:val="007B6BE5"/>
    <w:rsid w:val="007B7EEF"/>
    <w:rsid w:val="007B7F3E"/>
    <w:rsid w:val="007C018B"/>
    <w:rsid w:val="007C0387"/>
    <w:rsid w:val="007C1331"/>
    <w:rsid w:val="007C14F8"/>
    <w:rsid w:val="007C2AAE"/>
    <w:rsid w:val="007C2F92"/>
    <w:rsid w:val="007C356C"/>
    <w:rsid w:val="007C5159"/>
    <w:rsid w:val="007C5304"/>
    <w:rsid w:val="007C5608"/>
    <w:rsid w:val="007C599B"/>
    <w:rsid w:val="007C6ADD"/>
    <w:rsid w:val="007C6E52"/>
    <w:rsid w:val="007C727D"/>
    <w:rsid w:val="007D1C82"/>
    <w:rsid w:val="007D2F43"/>
    <w:rsid w:val="007D395D"/>
    <w:rsid w:val="007D3DF4"/>
    <w:rsid w:val="007D444E"/>
    <w:rsid w:val="007D4D8F"/>
    <w:rsid w:val="007D50B4"/>
    <w:rsid w:val="007D5A44"/>
    <w:rsid w:val="007D5B37"/>
    <w:rsid w:val="007D5B4F"/>
    <w:rsid w:val="007D7935"/>
    <w:rsid w:val="007E04F7"/>
    <w:rsid w:val="007E08D6"/>
    <w:rsid w:val="007E0AA8"/>
    <w:rsid w:val="007E1950"/>
    <w:rsid w:val="007E1B0E"/>
    <w:rsid w:val="007E2E45"/>
    <w:rsid w:val="007E2E53"/>
    <w:rsid w:val="007E45E1"/>
    <w:rsid w:val="007E5734"/>
    <w:rsid w:val="007E5F73"/>
    <w:rsid w:val="007E6B31"/>
    <w:rsid w:val="007E7009"/>
    <w:rsid w:val="007E7D60"/>
    <w:rsid w:val="007F0A1A"/>
    <w:rsid w:val="007F1948"/>
    <w:rsid w:val="007F2188"/>
    <w:rsid w:val="007F26BC"/>
    <w:rsid w:val="007F4157"/>
    <w:rsid w:val="007F450C"/>
    <w:rsid w:val="007F456A"/>
    <w:rsid w:val="007F4FAD"/>
    <w:rsid w:val="007F6655"/>
    <w:rsid w:val="007F776D"/>
    <w:rsid w:val="007F7F4B"/>
    <w:rsid w:val="008006AA"/>
    <w:rsid w:val="00801321"/>
    <w:rsid w:val="0080185E"/>
    <w:rsid w:val="008020A8"/>
    <w:rsid w:val="0080297F"/>
    <w:rsid w:val="00802C1D"/>
    <w:rsid w:val="008033D9"/>
    <w:rsid w:val="0080340E"/>
    <w:rsid w:val="00803780"/>
    <w:rsid w:val="00803F0B"/>
    <w:rsid w:val="008050C4"/>
    <w:rsid w:val="00806357"/>
    <w:rsid w:val="008071EB"/>
    <w:rsid w:val="008078EC"/>
    <w:rsid w:val="00807F4C"/>
    <w:rsid w:val="008100AD"/>
    <w:rsid w:val="00811464"/>
    <w:rsid w:val="0081210B"/>
    <w:rsid w:val="008121E7"/>
    <w:rsid w:val="00813CC0"/>
    <w:rsid w:val="00814EB2"/>
    <w:rsid w:val="008157BE"/>
    <w:rsid w:val="00816387"/>
    <w:rsid w:val="008165C2"/>
    <w:rsid w:val="00816B0F"/>
    <w:rsid w:val="008174F4"/>
    <w:rsid w:val="0082006C"/>
    <w:rsid w:val="00820496"/>
    <w:rsid w:val="008204C8"/>
    <w:rsid w:val="00820C5A"/>
    <w:rsid w:val="0082142D"/>
    <w:rsid w:val="00821BB7"/>
    <w:rsid w:val="008220DE"/>
    <w:rsid w:val="0082261A"/>
    <w:rsid w:val="00822E28"/>
    <w:rsid w:val="008235F3"/>
    <w:rsid w:val="00823674"/>
    <w:rsid w:val="00823EC8"/>
    <w:rsid w:val="00824D24"/>
    <w:rsid w:val="00824E01"/>
    <w:rsid w:val="00825A66"/>
    <w:rsid w:val="008265DC"/>
    <w:rsid w:val="0082736D"/>
    <w:rsid w:val="008275C9"/>
    <w:rsid w:val="00827ED3"/>
    <w:rsid w:val="00830811"/>
    <w:rsid w:val="008316EC"/>
    <w:rsid w:val="00831761"/>
    <w:rsid w:val="00832D41"/>
    <w:rsid w:val="00833D5A"/>
    <w:rsid w:val="00835CC2"/>
    <w:rsid w:val="0083679F"/>
    <w:rsid w:val="00840166"/>
    <w:rsid w:val="00840561"/>
    <w:rsid w:val="00844207"/>
    <w:rsid w:val="00844320"/>
    <w:rsid w:val="00844E61"/>
    <w:rsid w:val="00844E82"/>
    <w:rsid w:val="00845A37"/>
    <w:rsid w:val="00845FEF"/>
    <w:rsid w:val="008510A2"/>
    <w:rsid w:val="00851235"/>
    <w:rsid w:val="00851696"/>
    <w:rsid w:val="00851831"/>
    <w:rsid w:val="00851D8C"/>
    <w:rsid w:val="00852576"/>
    <w:rsid w:val="00853263"/>
    <w:rsid w:val="00853AB3"/>
    <w:rsid w:val="00853DC4"/>
    <w:rsid w:val="00855230"/>
    <w:rsid w:val="00856F22"/>
    <w:rsid w:val="00862003"/>
    <w:rsid w:val="008633E2"/>
    <w:rsid w:val="0086355F"/>
    <w:rsid w:val="00864D2D"/>
    <w:rsid w:val="00866BEF"/>
    <w:rsid w:val="0086714B"/>
    <w:rsid w:val="00867B0B"/>
    <w:rsid w:val="0087010F"/>
    <w:rsid w:val="00870551"/>
    <w:rsid w:val="00870FAF"/>
    <w:rsid w:val="0087165E"/>
    <w:rsid w:val="00871767"/>
    <w:rsid w:val="00872017"/>
    <w:rsid w:val="00872995"/>
    <w:rsid w:val="008729AF"/>
    <w:rsid w:val="00872D1F"/>
    <w:rsid w:val="0087435C"/>
    <w:rsid w:val="00874C5C"/>
    <w:rsid w:val="00874DF4"/>
    <w:rsid w:val="0087515D"/>
    <w:rsid w:val="0087540E"/>
    <w:rsid w:val="008755AD"/>
    <w:rsid w:val="00876368"/>
    <w:rsid w:val="00876519"/>
    <w:rsid w:val="00876CCB"/>
    <w:rsid w:val="008775CA"/>
    <w:rsid w:val="008778DD"/>
    <w:rsid w:val="008807E0"/>
    <w:rsid w:val="00880B6B"/>
    <w:rsid w:val="00881D4E"/>
    <w:rsid w:val="00882BB7"/>
    <w:rsid w:val="00882D37"/>
    <w:rsid w:val="0088504D"/>
    <w:rsid w:val="0088563C"/>
    <w:rsid w:val="00886C33"/>
    <w:rsid w:val="008877A5"/>
    <w:rsid w:val="008903C4"/>
    <w:rsid w:val="00890854"/>
    <w:rsid w:val="00890CB2"/>
    <w:rsid w:val="00890D41"/>
    <w:rsid w:val="0089104E"/>
    <w:rsid w:val="00891F81"/>
    <w:rsid w:val="0089284D"/>
    <w:rsid w:val="0089299E"/>
    <w:rsid w:val="00892B87"/>
    <w:rsid w:val="008939F1"/>
    <w:rsid w:val="00893E2B"/>
    <w:rsid w:val="0089472D"/>
    <w:rsid w:val="00894C49"/>
    <w:rsid w:val="00895A63"/>
    <w:rsid w:val="008966AE"/>
    <w:rsid w:val="00896DA1"/>
    <w:rsid w:val="00896E0A"/>
    <w:rsid w:val="008979B5"/>
    <w:rsid w:val="00897BE5"/>
    <w:rsid w:val="00897CD6"/>
    <w:rsid w:val="00897D25"/>
    <w:rsid w:val="008A0097"/>
    <w:rsid w:val="008A1151"/>
    <w:rsid w:val="008A168A"/>
    <w:rsid w:val="008A38B1"/>
    <w:rsid w:val="008A39D9"/>
    <w:rsid w:val="008A4C65"/>
    <w:rsid w:val="008A4E62"/>
    <w:rsid w:val="008A4F2F"/>
    <w:rsid w:val="008A6223"/>
    <w:rsid w:val="008A6B2F"/>
    <w:rsid w:val="008A718B"/>
    <w:rsid w:val="008A7411"/>
    <w:rsid w:val="008A7D73"/>
    <w:rsid w:val="008B13F4"/>
    <w:rsid w:val="008B1C01"/>
    <w:rsid w:val="008B1F06"/>
    <w:rsid w:val="008B40CD"/>
    <w:rsid w:val="008B4662"/>
    <w:rsid w:val="008B4EB3"/>
    <w:rsid w:val="008B4FF9"/>
    <w:rsid w:val="008B6AA3"/>
    <w:rsid w:val="008B6CE6"/>
    <w:rsid w:val="008B756A"/>
    <w:rsid w:val="008C0AEA"/>
    <w:rsid w:val="008C3289"/>
    <w:rsid w:val="008C35F6"/>
    <w:rsid w:val="008C41C6"/>
    <w:rsid w:val="008C44B6"/>
    <w:rsid w:val="008C4CB4"/>
    <w:rsid w:val="008C532A"/>
    <w:rsid w:val="008C5E83"/>
    <w:rsid w:val="008C64EA"/>
    <w:rsid w:val="008C7023"/>
    <w:rsid w:val="008D0905"/>
    <w:rsid w:val="008D0CB7"/>
    <w:rsid w:val="008D169E"/>
    <w:rsid w:val="008D1A0F"/>
    <w:rsid w:val="008D1A69"/>
    <w:rsid w:val="008D2839"/>
    <w:rsid w:val="008D2C85"/>
    <w:rsid w:val="008D36E5"/>
    <w:rsid w:val="008D3AA6"/>
    <w:rsid w:val="008D3B1F"/>
    <w:rsid w:val="008D4948"/>
    <w:rsid w:val="008D546D"/>
    <w:rsid w:val="008D576D"/>
    <w:rsid w:val="008D57FF"/>
    <w:rsid w:val="008D6A28"/>
    <w:rsid w:val="008E009C"/>
    <w:rsid w:val="008E0D8B"/>
    <w:rsid w:val="008E16E4"/>
    <w:rsid w:val="008E1B5A"/>
    <w:rsid w:val="008E1C10"/>
    <w:rsid w:val="008E2861"/>
    <w:rsid w:val="008E2C7C"/>
    <w:rsid w:val="008E34C5"/>
    <w:rsid w:val="008E426C"/>
    <w:rsid w:val="008E49BB"/>
    <w:rsid w:val="008E5C6D"/>
    <w:rsid w:val="008E673A"/>
    <w:rsid w:val="008E7868"/>
    <w:rsid w:val="008E7DD5"/>
    <w:rsid w:val="008F01D8"/>
    <w:rsid w:val="008F17BD"/>
    <w:rsid w:val="008F1B1B"/>
    <w:rsid w:val="008F20E2"/>
    <w:rsid w:val="008F24E5"/>
    <w:rsid w:val="008F2E29"/>
    <w:rsid w:val="008F3496"/>
    <w:rsid w:val="008F411B"/>
    <w:rsid w:val="008F65CF"/>
    <w:rsid w:val="008F66DB"/>
    <w:rsid w:val="008F6FC4"/>
    <w:rsid w:val="008F734A"/>
    <w:rsid w:val="008F7B01"/>
    <w:rsid w:val="00900B97"/>
    <w:rsid w:val="00901225"/>
    <w:rsid w:val="009025A6"/>
    <w:rsid w:val="00902ED9"/>
    <w:rsid w:val="009030EB"/>
    <w:rsid w:val="00903C53"/>
    <w:rsid w:val="009052E5"/>
    <w:rsid w:val="00907307"/>
    <w:rsid w:val="009074F5"/>
    <w:rsid w:val="00907E55"/>
    <w:rsid w:val="00911F35"/>
    <w:rsid w:val="009124F0"/>
    <w:rsid w:val="00912F5A"/>
    <w:rsid w:val="00913083"/>
    <w:rsid w:val="009134ED"/>
    <w:rsid w:val="00917C65"/>
    <w:rsid w:val="0092385A"/>
    <w:rsid w:val="009250E4"/>
    <w:rsid w:val="009256C8"/>
    <w:rsid w:val="00925CF4"/>
    <w:rsid w:val="00925DF3"/>
    <w:rsid w:val="0092692D"/>
    <w:rsid w:val="00926CC2"/>
    <w:rsid w:val="00926FB8"/>
    <w:rsid w:val="009273A1"/>
    <w:rsid w:val="009273B5"/>
    <w:rsid w:val="009273FF"/>
    <w:rsid w:val="00927698"/>
    <w:rsid w:val="0092776C"/>
    <w:rsid w:val="00930E31"/>
    <w:rsid w:val="0093351F"/>
    <w:rsid w:val="00933530"/>
    <w:rsid w:val="009336A5"/>
    <w:rsid w:val="00933A55"/>
    <w:rsid w:val="009340D0"/>
    <w:rsid w:val="009342F4"/>
    <w:rsid w:val="00934358"/>
    <w:rsid w:val="0093488D"/>
    <w:rsid w:val="00934FDC"/>
    <w:rsid w:val="00935F35"/>
    <w:rsid w:val="009370EF"/>
    <w:rsid w:val="009375A8"/>
    <w:rsid w:val="009404CE"/>
    <w:rsid w:val="00941083"/>
    <w:rsid w:val="00942DA1"/>
    <w:rsid w:val="0094333F"/>
    <w:rsid w:val="00943A58"/>
    <w:rsid w:val="00943A60"/>
    <w:rsid w:val="00944095"/>
    <w:rsid w:val="009444C3"/>
    <w:rsid w:val="0094457E"/>
    <w:rsid w:val="009449FD"/>
    <w:rsid w:val="00945563"/>
    <w:rsid w:val="009466FF"/>
    <w:rsid w:val="0094683D"/>
    <w:rsid w:val="00947A1D"/>
    <w:rsid w:val="00947FF2"/>
    <w:rsid w:val="00950FD0"/>
    <w:rsid w:val="00951430"/>
    <w:rsid w:val="00951BE0"/>
    <w:rsid w:val="00952885"/>
    <w:rsid w:val="0095296B"/>
    <w:rsid w:val="00953525"/>
    <w:rsid w:val="00953C25"/>
    <w:rsid w:val="009540AE"/>
    <w:rsid w:val="00954EC4"/>
    <w:rsid w:val="00956535"/>
    <w:rsid w:val="0095672C"/>
    <w:rsid w:val="009569E9"/>
    <w:rsid w:val="0095749E"/>
    <w:rsid w:val="00960302"/>
    <w:rsid w:val="009603E8"/>
    <w:rsid w:val="009604E5"/>
    <w:rsid w:val="00960A67"/>
    <w:rsid w:val="0096333C"/>
    <w:rsid w:val="0096347D"/>
    <w:rsid w:val="0096374F"/>
    <w:rsid w:val="009637C9"/>
    <w:rsid w:val="00963DAA"/>
    <w:rsid w:val="009643DD"/>
    <w:rsid w:val="00964F74"/>
    <w:rsid w:val="009653BD"/>
    <w:rsid w:val="0096543F"/>
    <w:rsid w:val="00965B42"/>
    <w:rsid w:val="0096644B"/>
    <w:rsid w:val="00966669"/>
    <w:rsid w:val="00966FF4"/>
    <w:rsid w:val="00971496"/>
    <w:rsid w:val="00972140"/>
    <w:rsid w:val="0097479B"/>
    <w:rsid w:val="00974FB4"/>
    <w:rsid w:val="00975B71"/>
    <w:rsid w:val="00976432"/>
    <w:rsid w:val="00976477"/>
    <w:rsid w:val="009772D8"/>
    <w:rsid w:val="0097753F"/>
    <w:rsid w:val="00977E3C"/>
    <w:rsid w:val="00977FDC"/>
    <w:rsid w:val="00980515"/>
    <w:rsid w:val="0098055D"/>
    <w:rsid w:val="00980791"/>
    <w:rsid w:val="009822E8"/>
    <w:rsid w:val="009832CB"/>
    <w:rsid w:val="00983712"/>
    <w:rsid w:val="00983A0E"/>
    <w:rsid w:val="00983DD2"/>
    <w:rsid w:val="00984C70"/>
    <w:rsid w:val="0098608B"/>
    <w:rsid w:val="009868C4"/>
    <w:rsid w:val="009871F8"/>
    <w:rsid w:val="009873C8"/>
    <w:rsid w:val="00990A8E"/>
    <w:rsid w:val="0099156C"/>
    <w:rsid w:val="0099218B"/>
    <w:rsid w:val="00992191"/>
    <w:rsid w:val="00993415"/>
    <w:rsid w:val="009943D5"/>
    <w:rsid w:val="00995703"/>
    <w:rsid w:val="009A03A1"/>
    <w:rsid w:val="009A1578"/>
    <w:rsid w:val="009A2092"/>
    <w:rsid w:val="009A28DE"/>
    <w:rsid w:val="009A2C5B"/>
    <w:rsid w:val="009A2E3A"/>
    <w:rsid w:val="009A2FE1"/>
    <w:rsid w:val="009A3F72"/>
    <w:rsid w:val="009A4462"/>
    <w:rsid w:val="009A49D7"/>
    <w:rsid w:val="009A5256"/>
    <w:rsid w:val="009A53B7"/>
    <w:rsid w:val="009A609D"/>
    <w:rsid w:val="009A6C54"/>
    <w:rsid w:val="009A6DE9"/>
    <w:rsid w:val="009A7722"/>
    <w:rsid w:val="009A7800"/>
    <w:rsid w:val="009A7A06"/>
    <w:rsid w:val="009B0600"/>
    <w:rsid w:val="009B0C0C"/>
    <w:rsid w:val="009B0FFB"/>
    <w:rsid w:val="009B115D"/>
    <w:rsid w:val="009B20D1"/>
    <w:rsid w:val="009B27AF"/>
    <w:rsid w:val="009B2836"/>
    <w:rsid w:val="009B2D10"/>
    <w:rsid w:val="009B3039"/>
    <w:rsid w:val="009B3D46"/>
    <w:rsid w:val="009B3DAF"/>
    <w:rsid w:val="009B444D"/>
    <w:rsid w:val="009B45AF"/>
    <w:rsid w:val="009B4B7E"/>
    <w:rsid w:val="009B68D9"/>
    <w:rsid w:val="009B72C8"/>
    <w:rsid w:val="009B7537"/>
    <w:rsid w:val="009C0413"/>
    <w:rsid w:val="009C0A7B"/>
    <w:rsid w:val="009C268F"/>
    <w:rsid w:val="009C2B82"/>
    <w:rsid w:val="009C3072"/>
    <w:rsid w:val="009C32CB"/>
    <w:rsid w:val="009C3E7A"/>
    <w:rsid w:val="009C541F"/>
    <w:rsid w:val="009C60BB"/>
    <w:rsid w:val="009C615B"/>
    <w:rsid w:val="009C64F1"/>
    <w:rsid w:val="009C699C"/>
    <w:rsid w:val="009C7B6B"/>
    <w:rsid w:val="009C7FFB"/>
    <w:rsid w:val="009D05A8"/>
    <w:rsid w:val="009D0E04"/>
    <w:rsid w:val="009D0F87"/>
    <w:rsid w:val="009D1DA0"/>
    <w:rsid w:val="009D28E1"/>
    <w:rsid w:val="009D4972"/>
    <w:rsid w:val="009D50AE"/>
    <w:rsid w:val="009D587B"/>
    <w:rsid w:val="009D73ED"/>
    <w:rsid w:val="009D7D52"/>
    <w:rsid w:val="009E1B44"/>
    <w:rsid w:val="009E2900"/>
    <w:rsid w:val="009E2AF0"/>
    <w:rsid w:val="009E2C4A"/>
    <w:rsid w:val="009E3206"/>
    <w:rsid w:val="009E347F"/>
    <w:rsid w:val="009E352E"/>
    <w:rsid w:val="009E3610"/>
    <w:rsid w:val="009E37E3"/>
    <w:rsid w:val="009E4046"/>
    <w:rsid w:val="009E4738"/>
    <w:rsid w:val="009E49B8"/>
    <w:rsid w:val="009E4F6C"/>
    <w:rsid w:val="009E5350"/>
    <w:rsid w:val="009E53D8"/>
    <w:rsid w:val="009E550C"/>
    <w:rsid w:val="009E6234"/>
    <w:rsid w:val="009E6A24"/>
    <w:rsid w:val="009F0BA9"/>
    <w:rsid w:val="009F1C79"/>
    <w:rsid w:val="009F2EAF"/>
    <w:rsid w:val="009F385A"/>
    <w:rsid w:val="009F3976"/>
    <w:rsid w:val="009F5061"/>
    <w:rsid w:val="009F5A94"/>
    <w:rsid w:val="009F648F"/>
    <w:rsid w:val="009F65E4"/>
    <w:rsid w:val="009F69BF"/>
    <w:rsid w:val="009F6E83"/>
    <w:rsid w:val="009F73C5"/>
    <w:rsid w:val="00A003CC"/>
    <w:rsid w:val="00A01487"/>
    <w:rsid w:val="00A0150C"/>
    <w:rsid w:val="00A02DD1"/>
    <w:rsid w:val="00A0352F"/>
    <w:rsid w:val="00A037BD"/>
    <w:rsid w:val="00A03C2A"/>
    <w:rsid w:val="00A04BDD"/>
    <w:rsid w:val="00A054C0"/>
    <w:rsid w:val="00A0551C"/>
    <w:rsid w:val="00A05B88"/>
    <w:rsid w:val="00A05C4F"/>
    <w:rsid w:val="00A06A51"/>
    <w:rsid w:val="00A0703B"/>
    <w:rsid w:val="00A07295"/>
    <w:rsid w:val="00A07539"/>
    <w:rsid w:val="00A0789C"/>
    <w:rsid w:val="00A07900"/>
    <w:rsid w:val="00A10969"/>
    <w:rsid w:val="00A11523"/>
    <w:rsid w:val="00A11807"/>
    <w:rsid w:val="00A1265B"/>
    <w:rsid w:val="00A12B43"/>
    <w:rsid w:val="00A13065"/>
    <w:rsid w:val="00A14B85"/>
    <w:rsid w:val="00A151F0"/>
    <w:rsid w:val="00A15444"/>
    <w:rsid w:val="00A1602D"/>
    <w:rsid w:val="00A16F70"/>
    <w:rsid w:val="00A173EB"/>
    <w:rsid w:val="00A2004B"/>
    <w:rsid w:val="00A2032A"/>
    <w:rsid w:val="00A20E3B"/>
    <w:rsid w:val="00A225DA"/>
    <w:rsid w:val="00A22A4B"/>
    <w:rsid w:val="00A234EB"/>
    <w:rsid w:val="00A238B5"/>
    <w:rsid w:val="00A24119"/>
    <w:rsid w:val="00A2496B"/>
    <w:rsid w:val="00A24E1D"/>
    <w:rsid w:val="00A252AF"/>
    <w:rsid w:val="00A25358"/>
    <w:rsid w:val="00A2557D"/>
    <w:rsid w:val="00A26186"/>
    <w:rsid w:val="00A26B9D"/>
    <w:rsid w:val="00A26FDB"/>
    <w:rsid w:val="00A2778F"/>
    <w:rsid w:val="00A278BB"/>
    <w:rsid w:val="00A300DC"/>
    <w:rsid w:val="00A303CD"/>
    <w:rsid w:val="00A308A9"/>
    <w:rsid w:val="00A30C64"/>
    <w:rsid w:val="00A30CF9"/>
    <w:rsid w:val="00A30EDE"/>
    <w:rsid w:val="00A31305"/>
    <w:rsid w:val="00A31407"/>
    <w:rsid w:val="00A320CC"/>
    <w:rsid w:val="00A32604"/>
    <w:rsid w:val="00A32924"/>
    <w:rsid w:val="00A3322E"/>
    <w:rsid w:val="00A3488B"/>
    <w:rsid w:val="00A34E9E"/>
    <w:rsid w:val="00A35A84"/>
    <w:rsid w:val="00A36536"/>
    <w:rsid w:val="00A4183C"/>
    <w:rsid w:val="00A43335"/>
    <w:rsid w:val="00A435D2"/>
    <w:rsid w:val="00A43966"/>
    <w:rsid w:val="00A4444D"/>
    <w:rsid w:val="00A450E5"/>
    <w:rsid w:val="00A45DC9"/>
    <w:rsid w:val="00A45DCD"/>
    <w:rsid w:val="00A475A3"/>
    <w:rsid w:val="00A50BED"/>
    <w:rsid w:val="00A518F8"/>
    <w:rsid w:val="00A51A16"/>
    <w:rsid w:val="00A5210C"/>
    <w:rsid w:val="00A52CFF"/>
    <w:rsid w:val="00A53A6D"/>
    <w:rsid w:val="00A53EF4"/>
    <w:rsid w:val="00A54273"/>
    <w:rsid w:val="00A54911"/>
    <w:rsid w:val="00A55B3E"/>
    <w:rsid w:val="00A564C4"/>
    <w:rsid w:val="00A56F6D"/>
    <w:rsid w:val="00A56FF6"/>
    <w:rsid w:val="00A570ED"/>
    <w:rsid w:val="00A57334"/>
    <w:rsid w:val="00A608FF"/>
    <w:rsid w:val="00A61370"/>
    <w:rsid w:val="00A627DA"/>
    <w:rsid w:val="00A63751"/>
    <w:rsid w:val="00A640CA"/>
    <w:rsid w:val="00A64907"/>
    <w:rsid w:val="00A65120"/>
    <w:rsid w:val="00A6550D"/>
    <w:rsid w:val="00A65984"/>
    <w:rsid w:val="00A660BD"/>
    <w:rsid w:val="00A66442"/>
    <w:rsid w:val="00A66625"/>
    <w:rsid w:val="00A67917"/>
    <w:rsid w:val="00A6797D"/>
    <w:rsid w:val="00A67CD3"/>
    <w:rsid w:val="00A67FA4"/>
    <w:rsid w:val="00A70910"/>
    <w:rsid w:val="00A70F8D"/>
    <w:rsid w:val="00A73879"/>
    <w:rsid w:val="00A73A18"/>
    <w:rsid w:val="00A73D88"/>
    <w:rsid w:val="00A74555"/>
    <w:rsid w:val="00A74874"/>
    <w:rsid w:val="00A74D23"/>
    <w:rsid w:val="00A758E4"/>
    <w:rsid w:val="00A75EDF"/>
    <w:rsid w:val="00A75FA7"/>
    <w:rsid w:val="00A76699"/>
    <w:rsid w:val="00A76AA3"/>
    <w:rsid w:val="00A771A0"/>
    <w:rsid w:val="00A77F6A"/>
    <w:rsid w:val="00A8274F"/>
    <w:rsid w:val="00A83408"/>
    <w:rsid w:val="00A86198"/>
    <w:rsid w:val="00A875C1"/>
    <w:rsid w:val="00A906E3"/>
    <w:rsid w:val="00A90CDD"/>
    <w:rsid w:val="00A91A39"/>
    <w:rsid w:val="00A91B30"/>
    <w:rsid w:val="00A91C76"/>
    <w:rsid w:val="00A9242F"/>
    <w:rsid w:val="00A93351"/>
    <w:rsid w:val="00A934A6"/>
    <w:rsid w:val="00A937FD"/>
    <w:rsid w:val="00A94818"/>
    <w:rsid w:val="00A95651"/>
    <w:rsid w:val="00A95E1C"/>
    <w:rsid w:val="00A97BC5"/>
    <w:rsid w:val="00A97E2F"/>
    <w:rsid w:val="00AA0917"/>
    <w:rsid w:val="00AA1B63"/>
    <w:rsid w:val="00AA2FC5"/>
    <w:rsid w:val="00AA3E18"/>
    <w:rsid w:val="00AA4A85"/>
    <w:rsid w:val="00AA5BA0"/>
    <w:rsid w:val="00AA611C"/>
    <w:rsid w:val="00AA6395"/>
    <w:rsid w:val="00AA6E81"/>
    <w:rsid w:val="00AA758F"/>
    <w:rsid w:val="00AB0956"/>
    <w:rsid w:val="00AB28C4"/>
    <w:rsid w:val="00AB3A42"/>
    <w:rsid w:val="00AB46B0"/>
    <w:rsid w:val="00AB5A26"/>
    <w:rsid w:val="00AB5F69"/>
    <w:rsid w:val="00AB6A54"/>
    <w:rsid w:val="00AB6AD6"/>
    <w:rsid w:val="00AB77A2"/>
    <w:rsid w:val="00AC0854"/>
    <w:rsid w:val="00AC0B34"/>
    <w:rsid w:val="00AC14F1"/>
    <w:rsid w:val="00AC1F76"/>
    <w:rsid w:val="00AC2AC7"/>
    <w:rsid w:val="00AC343F"/>
    <w:rsid w:val="00AC398B"/>
    <w:rsid w:val="00AC46FE"/>
    <w:rsid w:val="00AC4E07"/>
    <w:rsid w:val="00AC5C1A"/>
    <w:rsid w:val="00AC62D6"/>
    <w:rsid w:val="00AC6514"/>
    <w:rsid w:val="00AC6BF2"/>
    <w:rsid w:val="00AC7173"/>
    <w:rsid w:val="00AD0BD6"/>
    <w:rsid w:val="00AD4BCB"/>
    <w:rsid w:val="00AD4E36"/>
    <w:rsid w:val="00AD57E9"/>
    <w:rsid w:val="00AD58E7"/>
    <w:rsid w:val="00AD60D5"/>
    <w:rsid w:val="00AD6183"/>
    <w:rsid w:val="00AD63DF"/>
    <w:rsid w:val="00AD694B"/>
    <w:rsid w:val="00AD7A3A"/>
    <w:rsid w:val="00AD7F0F"/>
    <w:rsid w:val="00AD7F2C"/>
    <w:rsid w:val="00AE02DC"/>
    <w:rsid w:val="00AE047F"/>
    <w:rsid w:val="00AE07C1"/>
    <w:rsid w:val="00AE0910"/>
    <w:rsid w:val="00AE0D23"/>
    <w:rsid w:val="00AE104D"/>
    <w:rsid w:val="00AE18B2"/>
    <w:rsid w:val="00AE1A18"/>
    <w:rsid w:val="00AE2758"/>
    <w:rsid w:val="00AE28C7"/>
    <w:rsid w:val="00AE2BC8"/>
    <w:rsid w:val="00AE32C1"/>
    <w:rsid w:val="00AE4110"/>
    <w:rsid w:val="00AE5FE1"/>
    <w:rsid w:val="00AE6B0B"/>
    <w:rsid w:val="00AE7096"/>
    <w:rsid w:val="00AF0F13"/>
    <w:rsid w:val="00AF1603"/>
    <w:rsid w:val="00AF33D0"/>
    <w:rsid w:val="00AF3FE9"/>
    <w:rsid w:val="00AF48E1"/>
    <w:rsid w:val="00AF6103"/>
    <w:rsid w:val="00AF7CA8"/>
    <w:rsid w:val="00B00098"/>
    <w:rsid w:val="00B002A4"/>
    <w:rsid w:val="00B002DC"/>
    <w:rsid w:val="00B0055F"/>
    <w:rsid w:val="00B00E54"/>
    <w:rsid w:val="00B011D9"/>
    <w:rsid w:val="00B01D52"/>
    <w:rsid w:val="00B03C66"/>
    <w:rsid w:val="00B04E5D"/>
    <w:rsid w:val="00B05769"/>
    <w:rsid w:val="00B057A7"/>
    <w:rsid w:val="00B05E32"/>
    <w:rsid w:val="00B0624C"/>
    <w:rsid w:val="00B0647D"/>
    <w:rsid w:val="00B0670E"/>
    <w:rsid w:val="00B0788C"/>
    <w:rsid w:val="00B07925"/>
    <w:rsid w:val="00B07AF4"/>
    <w:rsid w:val="00B11543"/>
    <w:rsid w:val="00B119DB"/>
    <w:rsid w:val="00B11AFD"/>
    <w:rsid w:val="00B11E2F"/>
    <w:rsid w:val="00B123C4"/>
    <w:rsid w:val="00B12E98"/>
    <w:rsid w:val="00B130BB"/>
    <w:rsid w:val="00B13C7A"/>
    <w:rsid w:val="00B13FE2"/>
    <w:rsid w:val="00B141FC"/>
    <w:rsid w:val="00B14407"/>
    <w:rsid w:val="00B14B06"/>
    <w:rsid w:val="00B14C3E"/>
    <w:rsid w:val="00B15AA3"/>
    <w:rsid w:val="00B162BC"/>
    <w:rsid w:val="00B174F8"/>
    <w:rsid w:val="00B17E6D"/>
    <w:rsid w:val="00B2026A"/>
    <w:rsid w:val="00B20701"/>
    <w:rsid w:val="00B22184"/>
    <w:rsid w:val="00B24328"/>
    <w:rsid w:val="00B24FC6"/>
    <w:rsid w:val="00B25E0F"/>
    <w:rsid w:val="00B27193"/>
    <w:rsid w:val="00B273E8"/>
    <w:rsid w:val="00B27C43"/>
    <w:rsid w:val="00B302A1"/>
    <w:rsid w:val="00B31B34"/>
    <w:rsid w:val="00B3343A"/>
    <w:rsid w:val="00B34AB6"/>
    <w:rsid w:val="00B36741"/>
    <w:rsid w:val="00B36F28"/>
    <w:rsid w:val="00B3705A"/>
    <w:rsid w:val="00B3730B"/>
    <w:rsid w:val="00B373FF"/>
    <w:rsid w:val="00B37F02"/>
    <w:rsid w:val="00B42766"/>
    <w:rsid w:val="00B427D1"/>
    <w:rsid w:val="00B42D84"/>
    <w:rsid w:val="00B45146"/>
    <w:rsid w:val="00B462DE"/>
    <w:rsid w:val="00B47883"/>
    <w:rsid w:val="00B47A48"/>
    <w:rsid w:val="00B50BE3"/>
    <w:rsid w:val="00B5100E"/>
    <w:rsid w:val="00B51807"/>
    <w:rsid w:val="00B5192F"/>
    <w:rsid w:val="00B51AB7"/>
    <w:rsid w:val="00B51C7F"/>
    <w:rsid w:val="00B53452"/>
    <w:rsid w:val="00B53657"/>
    <w:rsid w:val="00B54543"/>
    <w:rsid w:val="00B54A95"/>
    <w:rsid w:val="00B55267"/>
    <w:rsid w:val="00B56C66"/>
    <w:rsid w:val="00B56F76"/>
    <w:rsid w:val="00B5744C"/>
    <w:rsid w:val="00B57EC1"/>
    <w:rsid w:val="00B60E7F"/>
    <w:rsid w:val="00B61854"/>
    <w:rsid w:val="00B62140"/>
    <w:rsid w:val="00B62327"/>
    <w:rsid w:val="00B62810"/>
    <w:rsid w:val="00B64204"/>
    <w:rsid w:val="00B65784"/>
    <w:rsid w:val="00B666B6"/>
    <w:rsid w:val="00B66D6F"/>
    <w:rsid w:val="00B70565"/>
    <w:rsid w:val="00B70F6D"/>
    <w:rsid w:val="00B719AD"/>
    <w:rsid w:val="00B731B7"/>
    <w:rsid w:val="00B741E1"/>
    <w:rsid w:val="00B74D4B"/>
    <w:rsid w:val="00B75A3F"/>
    <w:rsid w:val="00B75AE8"/>
    <w:rsid w:val="00B76133"/>
    <w:rsid w:val="00B7789F"/>
    <w:rsid w:val="00B801F5"/>
    <w:rsid w:val="00B8112F"/>
    <w:rsid w:val="00B825BF"/>
    <w:rsid w:val="00B84E9D"/>
    <w:rsid w:val="00B86E25"/>
    <w:rsid w:val="00B87CC7"/>
    <w:rsid w:val="00B917E8"/>
    <w:rsid w:val="00B91A59"/>
    <w:rsid w:val="00B91E23"/>
    <w:rsid w:val="00B92559"/>
    <w:rsid w:val="00B93796"/>
    <w:rsid w:val="00B9451F"/>
    <w:rsid w:val="00B94797"/>
    <w:rsid w:val="00B94879"/>
    <w:rsid w:val="00B9593C"/>
    <w:rsid w:val="00B965BD"/>
    <w:rsid w:val="00B96A27"/>
    <w:rsid w:val="00B97DFD"/>
    <w:rsid w:val="00BA07F6"/>
    <w:rsid w:val="00BA0CF2"/>
    <w:rsid w:val="00BA0F58"/>
    <w:rsid w:val="00BA11B7"/>
    <w:rsid w:val="00BA1E13"/>
    <w:rsid w:val="00BA218B"/>
    <w:rsid w:val="00BA2E5A"/>
    <w:rsid w:val="00BA344E"/>
    <w:rsid w:val="00BA3F01"/>
    <w:rsid w:val="00BA4B56"/>
    <w:rsid w:val="00BA6D2F"/>
    <w:rsid w:val="00BB0091"/>
    <w:rsid w:val="00BB0F77"/>
    <w:rsid w:val="00BB39E7"/>
    <w:rsid w:val="00BB3BC1"/>
    <w:rsid w:val="00BB3FE8"/>
    <w:rsid w:val="00BB42E3"/>
    <w:rsid w:val="00BB4B7B"/>
    <w:rsid w:val="00BB528A"/>
    <w:rsid w:val="00BB68D5"/>
    <w:rsid w:val="00BB6E79"/>
    <w:rsid w:val="00BB7ACA"/>
    <w:rsid w:val="00BC2042"/>
    <w:rsid w:val="00BC25EF"/>
    <w:rsid w:val="00BC2B0B"/>
    <w:rsid w:val="00BC33C6"/>
    <w:rsid w:val="00BC42EB"/>
    <w:rsid w:val="00BC4710"/>
    <w:rsid w:val="00BC543B"/>
    <w:rsid w:val="00BC60F6"/>
    <w:rsid w:val="00BC6D67"/>
    <w:rsid w:val="00BC7350"/>
    <w:rsid w:val="00BC769B"/>
    <w:rsid w:val="00BD014F"/>
    <w:rsid w:val="00BD01ED"/>
    <w:rsid w:val="00BD05B4"/>
    <w:rsid w:val="00BD07EE"/>
    <w:rsid w:val="00BD0C3A"/>
    <w:rsid w:val="00BD1D9B"/>
    <w:rsid w:val="00BD3773"/>
    <w:rsid w:val="00BD4BD2"/>
    <w:rsid w:val="00BD4C7C"/>
    <w:rsid w:val="00BD4CFE"/>
    <w:rsid w:val="00BD60F8"/>
    <w:rsid w:val="00BD6163"/>
    <w:rsid w:val="00BD6370"/>
    <w:rsid w:val="00BD6749"/>
    <w:rsid w:val="00BD7865"/>
    <w:rsid w:val="00BE2A7E"/>
    <w:rsid w:val="00BE390D"/>
    <w:rsid w:val="00BE49FF"/>
    <w:rsid w:val="00BE5973"/>
    <w:rsid w:val="00BE6031"/>
    <w:rsid w:val="00BE65E4"/>
    <w:rsid w:val="00BE67F8"/>
    <w:rsid w:val="00BF0E55"/>
    <w:rsid w:val="00BF15DC"/>
    <w:rsid w:val="00BF2036"/>
    <w:rsid w:val="00BF2C98"/>
    <w:rsid w:val="00BF3A6E"/>
    <w:rsid w:val="00BF5C67"/>
    <w:rsid w:val="00BF6816"/>
    <w:rsid w:val="00BF74BB"/>
    <w:rsid w:val="00BF7FA0"/>
    <w:rsid w:val="00C00AAA"/>
    <w:rsid w:val="00C01515"/>
    <w:rsid w:val="00C0215A"/>
    <w:rsid w:val="00C024E7"/>
    <w:rsid w:val="00C03867"/>
    <w:rsid w:val="00C04008"/>
    <w:rsid w:val="00C04922"/>
    <w:rsid w:val="00C05A89"/>
    <w:rsid w:val="00C0686D"/>
    <w:rsid w:val="00C07D98"/>
    <w:rsid w:val="00C1187B"/>
    <w:rsid w:val="00C125E9"/>
    <w:rsid w:val="00C12F12"/>
    <w:rsid w:val="00C130E0"/>
    <w:rsid w:val="00C138ED"/>
    <w:rsid w:val="00C13959"/>
    <w:rsid w:val="00C14102"/>
    <w:rsid w:val="00C1486B"/>
    <w:rsid w:val="00C14CFF"/>
    <w:rsid w:val="00C153BE"/>
    <w:rsid w:val="00C164C7"/>
    <w:rsid w:val="00C16EB7"/>
    <w:rsid w:val="00C20A32"/>
    <w:rsid w:val="00C21D7D"/>
    <w:rsid w:val="00C21F05"/>
    <w:rsid w:val="00C22084"/>
    <w:rsid w:val="00C22321"/>
    <w:rsid w:val="00C239F6"/>
    <w:rsid w:val="00C23BC0"/>
    <w:rsid w:val="00C25240"/>
    <w:rsid w:val="00C25431"/>
    <w:rsid w:val="00C255AC"/>
    <w:rsid w:val="00C261DC"/>
    <w:rsid w:val="00C26D50"/>
    <w:rsid w:val="00C27967"/>
    <w:rsid w:val="00C27DF8"/>
    <w:rsid w:val="00C31B7F"/>
    <w:rsid w:val="00C352CA"/>
    <w:rsid w:val="00C354B8"/>
    <w:rsid w:val="00C3573D"/>
    <w:rsid w:val="00C358F3"/>
    <w:rsid w:val="00C36082"/>
    <w:rsid w:val="00C36558"/>
    <w:rsid w:val="00C369AF"/>
    <w:rsid w:val="00C36D7E"/>
    <w:rsid w:val="00C3708C"/>
    <w:rsid w:val="00C3793D"/>
    <w:rsid w:val="00C415B4"/>
    <w:rsid w:val="00C430C8"/>
    <w:rsid w:val="00C50EF6"/>
    <w:rsid w:val="00C514AF"/>
    <w:rsid w:val="00C5225F"/>
    <w:rsid w:val="00C52F60"/>
    <w:rsid w:val="00C53406"/>
    <w:rsid w:val="00C53970"/>
    <w:rsid w:val="00C542B9"/>
    <w:rsid w:val="00C54E84"/>
    <w:rsid w:val="00C5544A"/>
    <w:rsid w:val="00C560F7"/>
    <w:rsid w:val="00C56374"/>
    <w:rsid w:val="00C56C56"/>
    <w:rsid w:val="00C624AA"/>
    <w:rsid w:val="00C63F39"/>
    <w:rsid w:val="00C6410D"/>
    <w:rsid w:val="00C648AF"/>
    <w:rsid w:val="00C652CB"/>
    <w:rsid w:val="00C6536C"/>
    <w:rsid w:val="00C653DB"/>
    <w:rsid w:val="00C65759"/>
    <w:rsid w:val="00C65AB2"/>
    <w:rsid w:val="00C663F8"/>
    <w:rsid w:val="00C665EE"/>
    <w:rsid w:val="00C67853"/>
    <w:rsid w:val="00C7012B"/>
    <w:rsid w:val="00C70B9A"/>
    <w:rsid w:val="00C70CD9"/>
    <w:rsid w:val="00C718A9"/>
    <w:rsid w:val="00C71BE3"/>
    <w:rsid w:val="00C72AEF"/>
    <w:rsid w:val="00C72E4B"/>
    <w:rsid w:val="00C72F95"/>
    <w:rsid w:val="00C7320F"/>
    <w:rsid w:val="00C7525B"/>
    <w:rsid w:val="00C75DC2"/>
    <w:rsid w:val="00C76F3F"/>
    <w:rsid w:val="00C77C42"/>
    <w:rsid w:val="00C77DA6"/>
    <w:rsid w:val="00C77DE3"/>
    <w:rsid w:val="00C80172"/>
    <w:rsid w:val="00C80924"/>
    <w:rsid w:val="00C8127F"/>
    <w:rsid w:val="00C81685"/>
    <w:rsid w:val="00C81823"/>
    <w:rsid w:val="00C8226D"/>
    <w:rsid w:val="00C82272"/>
    <w:rsid w:val="00C82AD1"/>
    <w:rsid w:val="00C82CD6"/>
    <w:rsid w:val="00C82CFE"/>
    <w:rsid w:val="00C8320C"/>
    <w:rsid w:val="00C84093"/>
    <w:rsid w:val="00C844C9"/>
    <w:rsid w:val="00C8499F"/>
    <w:rsid w:val="00C84B7A"/>
    <w:rsid w:val="00C85FB7"/>
    <w:rsid w:val="00C865E3"/>
    <w:rsid w:val="00C8684D"/>
    <w:rsid w:val="00C87578"/>
    <w:rsid w:val="00C87610"/>
    <w:rsid w:val="00C908F6"/>
    <w:rsid w:val="00C91490"/>
    <w:rsid w:val="00C91517"/>
    <w:rsid w:val="00C915FB"/>
    <w:rsid w:val="00C919B6"/>
    <w:rsid w:val="00C91D7F"/>
    <w:rsid w:val="00C943C2"/>
    <w:rsid w:val="00C946C9"/>
    <w:rsid w:val="00C94840"/>
    <w:rsid w:val="00C95ABB"/>
    <w:rsid w:val="00C964DD"/>
    <w:rsid w:val="00C96606"/>
    <w:rsid w:val="00CA0126"/>
    <w:rsid w:val="00CA042F"/>
    <w:rsid w:val="00CA09DB"/>
    <w:rsid w:val="00CA131D"/>
    <w:rsid w:val="00CA44FC"/>
    <w:rsid w:val="00CA5B13"/>
    <w:rsid w:val="00CA5E14"/>
    <w:rsid w:val="00CA68E0"/>
    <w:rsid w:val="00CA7C58"/>
    <w:rsid w:val="00CB10CA"/>
    <w:rsid w:val="00CB11B9"/>
    <w:rsid w:val="00CB1F87"/>
    <w:rsid w:val="00CB2574"/>
    <w:rsid w:val="00CB3D55"/>
    <w:rsid w:val="00CB3FE1"/>
    <w:rsid w:val="00CB5603"/>
    <w:rsid w:val="00CB564C"/>
    <w:rsid w:val="00CB5665"/>
    <w:rsid w:val="00CB5BA4"/>
    <w:rsid w:val="00CB5BF2"/>
    <w:rsid w:val="00CB631F"/>
    <w:rsid w:val="00CB7B68"/>
    <w:rsid w:val="00CB7F00"/>
    <w:rsid w:val="00CC03DB"/>
    <w:rsid w:val="00CC0D78"/>
    <w:rsid w:val="00CC18E1"/>
    <w:rsid w:val="00CC1D10"/>
    <w:rsid w:val="00CC1FA8"/>
    <w:rsid w:val="00CC22CE"/>
    <w:rsid w:val="00CC2671"/>
    <w:rsid w:val="00CC2A46"/>
    <w:rsid w:val="00CC3D0C"/>
    <w:rsid w:val="00CC3E57"/>
    <w:rsid w:val="00CC4F88"/>
    <w:rsid w:val="00CC51E5"/>
    <w:rsid w:val="00CC57ED"/>
    <w:rsid w:val="00CC5CD2"/>
    <w:rsid w:val="00CC5F5B"/>
    <w:rsid w:val="00CC6FDC"/>
    <w:rsid w:val="00CC7516"/>
    <w:rsid w:val="00CC75BC"/>
    <w:rsid w:val="00CC7D7B"/>
    <w:rsid w:val="00CD07CF"/>
    <w:rsid w:val="00CD0B99"/>
    <w:rsid w:val="00CD0D49"/>
    <w:rsid w:val="00CD1B24"/>
    <w:rsid w:val="00CD2049"/>
    <w:rsid w:val="00CD24CD"/>
    <w:rsid w:val="00CD292B"/>
    <w:rsid w:val="00CD3790"/>
    <w:rsid w:val="00CD486A"/>
    <w:rsid w:val="00CD56B4"/>
    <w:rsid w:val="00CD6683"/>
    <w:rsid w:val="00CD6F72"/>
    <w:rsid w:val="00CD7075"/>
    <w:rsid w:val="00CD70C9"/>
    <w:rsid w:val="00CD7157"/>
    <w:rsid w:val="00CD7C38"/>
    <w:rsid w:val="00CE1831"/>
    <w:rsid w:val="00CE222D"/>
    <w:rsid w:val="00CE2E83"/>
    <w:rsid w:val="00CE3058"/>
    <w:rsid w:val="00CE307E"/>
    <w:rsid w:val="00CE3278"/>
    <w:rsid w:val="00CE32BD"/>
    <w:rsid w:val="00CE3526"/>
    <w:rsid w:val="00CE43F4"/>
    <w:rsid w:val="00CE4AE5"/>
    <w:rsid w:val="00CE52E3"/>
    <w:rsid w:val="00CE5B5E"/>
    <w:rsid w:val="00CE627F"/>
    <w:rsid w:val="00CE6F17"/>
    <w:rsid w:val="00CE7404"/>
    <w:rsid w:val="00CE7850"/>
    <w:rsid w:val="00CE7D7A"/>
    <w:rsid w:val="00CF0700"/>
    <w:rsid w:val="00CF077D"/>
    <w:rsid w:val="00CF0BBE"/>
    <w:rsid w:val="00CF1056"/>
    <w:rsid w:val="00CF19B7"/>
    <w:rsid w:val="00CF1E9F"/>
    <w:rsid w:val="00CF3A41"/>
    <w:rsid w:val="00CF53D8"/>
    <w:rsid w:val="00CF75DB"/>
    <w:rsid w:val="00D01673"/>
    <w:rsid w:val="00D01D9D"/>
    <w:rsid w:val="00D022BC"/>
    <w:rsid w:val="00D038A9"/>
    <w:rsid w:val="00D03F8B"/>
    <w:rsid w:val="00D04304"/>
    <w:rsid w:val="00D0432D"/>
    <w:rsid w:val="00D053B5"/>
    <w:rsid w:val="00D056AC"/>
    <w:rsid w:val="00D05DC8"/>
    <w:rsid w:val="00D05E9D"/>
    <w:rsid w:val="00D05EEF"/>
    <w:rsid w:val="00D065EA"/>
    <w:rsid w:val="00D067CB"/>
    <w:rsid w:val="00D11354"/>
    <w:rsid w:val="00D13CD0"/>
    <w:rsid w:val="00D14C91"/>
    <w:rsid w:val="00D173DC"/>
    <w:rsid w:val="00D20AD1"/>
    <w:rsid w:val="00D21935"/>
    <w:rsid w:val="00D22236"/>
    <w:rsid w:val="00D22A3D"/>
    <w:rsid w:val="00D22C27"/>
    <w:rsid w:val="00D23A85"/>
    <w:rsid w:val="00D24D42"/>
    <w:rsid w:val="00D25316"/>
    <w:rsid w:val="00D26807"/>
    <w:rsid w:val="00D26B37"/>
    <w:rsid w:val="00D27ACE"/>
    <w:rsid w:val="00D30316"/>
    <w:rsid w:val="00D305C1"/>
    <w:rsid w:val="00D30B8F"/>
    <w:rsid w:val="00D3219F"/>
    <w:rsid w:val="00D332D8"/>
    <w:rsid w:val="00D33AB4"/>
    <w:rsid w:val="00D3418B"/>
    <w:rsid w:val="00D358D2"/>
    <w:rsid w:val="00D35A96"/>
    <w:rsid w:val="00D364D8"/>
    <w:rsid w:val="00D3678B"/>
    <w:rsid w:val="00D36D59"/>
    <w:rsid w:val="00D37D1F"/>
    <w:rsid w:val="00D37DC8"/>
    <w:rsid w:val="00D4029C"/>
    <w:rsid w:val="00D40505"/>
    <w:rsid w:val="00D4090F"/>
    <w:rsid w:val="00D40910"/>
    <w:rsid w:val="00D40EC7"/>
    <w:rsid w:val="00D4123E"/>
    <w:rsid w:val="00D4124E"/>
    <w:rsid w:val="00D42332"/>
    <w:rsid w:val="00D42986"/>
    <w:rsid w:val="00D4575F"/>
    <w:rsid w:val="00D462EE"/>
    <w:rsid w:val="00D47013"/>
    <w:rsid w:val="00D47380"/>
    <w:rsid w:val="00D47B8B"/>
    <w:rsid w:val="00D47C98"/>
    <w:rsid w:val="00D5021D"/>
    <w:rsid w:val="00D504E7"/>
    <w:rsid w:val="00D50AC3"/>
    <w:rsid w:val="00D5147D"/>
    <w:rsid w:val="00D52CCD"/>
    <w:rsid w:val="00D5304A"/>
    <w:rsid w:val="00D53853"/>
    <w:rsid w:val="00D539AB"/>
    <w:rsid w:val="00D53D25"/>
    <w:rsid w:val="00D54F00"/>
    <w:rsid w:val="00D55E47"/>
    <w:rsid w:val="00D56568"/>
    <w:rsid w:val="00D5799C"/>
    <w:rsid w:val="00D57B07"/>
    <w:rsid w:val="00D601E3"/>
    <w:rsid w:val="00D61F79"/>
    <w:rsid w:val="00D626A7"/>
    <w:rsid w:val="00D631E7"/>
    <w:rsid w:val="00D6341B"/>
    <w:rsid w:val="00D63858"/>
    <w:rsid w:val="00D63BC4"/>
    <w:rsid w:val="00D6406E"/>
    <w:rsid w:val="00D648A9"/>
    <w:rsid w:val="00D65325"/>
    <w:rsid w:val="00D653FE"/>
    <w:rsid w:val="00D660BF"/>
    <w:rsid w:val="00D6617D"/>
    <w:rsid w:val="00D67232"/>
    <w:rsid w:val="00D67691"/>
    <w:rsid w:val="00D67C02"/>
    <w:rsid w:val="00D708CA"/>
    <w:rsid w:val="00D71481"/>
    <w:rsid w:val="00D714A4"/>
    <w:rsid w:val="00D71667"/>
    <w:rsid w:val="00D718CE"/>
    <w:rsid w:val="00D71E57"/>
    <w:rsid w:val="00D71F65"/>
    <w:rsid w:val="00D72086"/>
    <w:rsid w:val="00D727C0"/>
    <w:rsid w:val="00D72965"/>
    <w:rsid w:val="00D730C6"/>
    <w:rsid w:val="00D7321D"/>
    <w:rsid w:val="00D754FD"/>
    <w:rsid w:val="00D75BA1"/>
    <w:rsid w:val="00D774FF"/>
    <w:rsid w:val="00D775B6"/>
    <w:rsid w:val="00D77DC8"/>
    <w:rsid w:val="00D8280D"/>
    <w:rsid w:val="00D82AEB"/>
    <w:rsid w:val="00D82C74"/>
    <w:rsid w:val="00D82EF2"/>
    <w:rsid w:val="00D830E3"/>
    <w:rsid w:val="00D83972"/>
    <w:rsid w:val="00D83F36"/>
    <w:rsid w:val="00D84387"/>
    <w:rsid w:val="00D84A4C"/>
    <w:rsid w:val="00D85F43"/>
    <w:rsid w:val="00D86424"/>
    <w:rsid w:val="00D86740"/>
    <w:rsid w:val="00D87686"/>
    <w:rsid w:val="00D876E1"/>
    <w:rsid w:val="00D87766"/>
    <w:rsid w:val="00D87D48"/>
    <w:rsid w:val="00D87E56"/>
    <w:rsid w:val="00D902B5"/>
    <w:rsid w:val="00D91D0A"/>
    <w:rsid w:val="00D93DF1"/>
    <w:rsid w:val="00D95480"/>
    <w:rsid w:val="00D960A6"/>
    <w:rsid w:val="00DA01EF"/>
    <w:rsid w:val="00DA1173"/>
    <w:rsid w:val="00DA1267"/>
    <w:rsid w:val="00DA1FDF"/>
    <w:rsid w:val="00DA25E6"/>
    <w:rsid w:val="00DA284E"/>
    <w:rsid w:val="00DA3941"/>
    <w:rsid w:val="00DA3A43"/>
    <w:rsid w:val="00DA6605"/>
    <w:rsid w:val="00DA6794"/>
    <w:rsid w:val="00DA6B36"/>
    <w:rsid w:val="00DA7F1B"/>
    <w:rsid w:val="00DB013D"/>
    <w:rsid w:val="00DB0208"/>
    <w:rsid w:val="00DB0443"/>
    <w:rsid w:val="00DB1171"/>
    <w:rsid w:val="00DB226F"/>
    <w:rsid w:val="00DB279F"/>
    <w:rsid w:val="00DB2EB3"/>
    <w:rsid w:val="00DB373F"/>
    <w:rsid w:val="00DB55A1"/>
    <w:rsid w:val="00DB56CE"/>
    <w:rsid w:val="00DB580D"/>
    <w:rsid w:val="00DB63CD"/>
    <w:rsid w:val="00DB677B"/>
    <w:rsid w:val="00DB708F"/>
    <w:rsid w:val="00DB7A09"/>
    <w:rsid w:val="00DB7A90"/>
    <w:rsid w:val="00DC13BB"/>
    <w:rsid w:val="00DC2970"/>
    <w:rsid w:val="00DC3458"/>
    <w:rsid w:val="00DC4C88"/>
    <w:rsid w:val="00DC4CA2"/>
    <w:rsid w:val="00DC4F9C"/>
    <w:rsid w:val="00DC51F8"/>
    <w:rsid w:val="00DC7BF2"/>
    <w:rsid w:val="00DD0223"/>
    <w:rsid w:val="00DD182D"/>
    <w:rsid w:val="00DD1D45"/>
    <w:rsid w:val="00DD33CD"/>
    <w:rsid w:val="00DD42B6"/>
    <w:rsid w:val="00DD4469"/>
    <w:rsid w:val="00DD5A5A"/>
    <w:rsid w:val="00DD5FE7"/>
    <w:rsid w:val="00DD659F"/>
    <w:rsid w:val="00DD6911"/>
    <w:rsid w:val="00DE0373"/>
    <w:rsid w:val="00DE123F"/>
    <w:rsid w:val="00DE1515"/>
    <w:rsid w:val="00DE1665"/>
    <w:rsid w:val="00DE1BF4"/>
    <w:rsid w:val="00DE355D"/>
    <w:rsid w:val="00DE3A13"/>
    <w:rsid w:val="00DE57F8"/>
    <w:rsid w:val="00DE5A17"/>
    <w:rsid w:val="00DE7474"/>
    <w:rsid w:val="00DF0007"/>
    <w:rsid w:val="00DF0021"/>
    <w:rsid w:val="00DF1433"/>
    <w:rsid w:val="00DF1BFC"/>
    <w:rsid w:val="00DF2928"/>
    <w:rsid w:val="00DF3859"/>
    <w:rsid w:val="00DF3F73"/>
    <w:rsid w:val="00DF3FA6"/>
    <w:rsid w:val="00DF4369"/>
    <w:rsid w:val="00DF4ADA"/>
    <w:rsid w:val="00DF515C"/>
    <w:rsid w:val="00DF51D1"/>
    <w:rsid w:val="00DF5646"/>
    <w:rsid w:val="00DF5946"/>
    <w:rsid w:val="00DF5F73"/>
    <w:rsid w:val="00DF63F9"/>
    <w:rsid w:val="00DF7211"/>
    <w:rsid w:val="00DF74BA"/>
    <w:rsid w:val="00E0008F"/>
    <w:rsid w:val="00E002D7"/>
    <w:rsid w:val="00E00D7E"/>
    <w:rsid w:val="00E0159F"/>
    <w:rsid w:val="00E01896"/>
    <w:rsid w:val="00E02203"/>
    <w:rsid w:val="00E02813"/>
    <w:rsid w:val="00E03493"/>
    <w:rsid w:val="00E03BB8"/>
    <w:rsid w:val="00E03FA7"/>
    <w:rsid w:val="00E04147"/>
    <w:rsid w:val="00E04A48"/>
    <w:rsid w:val="00E05C2E"/>
    <w:rsid w:val="00E05FC5"/>
    <w:rsid w:val="00E068B2"/>
    <w:rsid w:val="00E06A06"/>
    <w:rsid w:val="00E06F43"/>
    <w:rsid w:val="00E071FE"/>
    <w:rsid w:val="00E0775A"/>
    <w:rsid w:val="00E07ED9"/>
    <w:rsid w:val="00E104C5"/>
    <w:rsid w:val="00E10B4E"/>
    <w:rsid w:val="00E11361"/>
    <w:rsid w:val="00E12081"/>
    <w:rsid w:val="00E1248A"/>
    <w:rsid w:val="00E12879"/>
    <w:rsid w:val="00E128C6"/>
    <w:rsid w:val="00E136CA"/>
    <w:rsid w:val="00E1388F"/>
    <w:rsid w:val="00E13B6E"/>
    <w:rsid w:val="00E15CA7"/>
    <w:rsid w:val="00E179E8"/>
    <w:rsid w:val="00E17A61"/>
    <w:rsid w:val="00E17DB4"/>
    <w:rsid w:val="00E20B2F"/>
    <w:rsid w:val="00E2118D"/>
    <w:rsid w:val="00E21451"/>
    <w:rsid w:val="00E22404"/>
    <w:rsid w:val="00E2284B"/>
    <w:rsid w:val="00E229A1"/>
    <w:rsid w:val="00E2380F"/>
    <w:rsid w:val="00E239B0"/>
    <w:rsid w:val="00E24774"/>
    <w:rsid w:val="00E2627E"/>
    <w:rsid w:val="00E26AB1"/>
    <w:rsid w:val="00E27EF8"/>
    <w:rsid w:val="00E300FC"/>
    <w:rsid w:val="00E31385"/>
    <w:rsid w:val="00E31B51"/>
    <w:rsid w:val="00E32A53"/>
    <w:rsid w:val="00E32B28"/>
    <w:rsid w:val="00E32DA9"/>
    <w:rsid w:val="00E34C3D"/>
    <w:rsid w:val="00E35810"/>
    <w:rsid w:val="00E35ACF"/>
    <w:rsid w:val="00E35BE3"/>
    <w:rsid w:val="00E35EC6"/>
    <w:rsid w:val="00E364B6"/>
    <w:rsid w:val="00E37695"/>
    <w:rsid w:val="00E40AB3"/>
    <w:rsid w:val="00E412B5"/>
    <w:rsid w:val="00E42442"/>
    <w:rsid w:val="00E42C72"/>
    <w:rsid w:val="00E42EA4"/>
    <w:rsid w:val="00E440CD"/>
    <w:rsid w:val="00E4516C"/>
    <w:rsid w:val="00E4537B"/>
    <w:rsid w:val="00E458CC"/>
    <w:rsid w:val="00E46466"/>
    <w:rsid w:val="00E46847"/>
    <w:rsid w:val="00E476C8"/>
    <w:rsid w:val="00E507AE"/>
    <w:rsid w:val="00E50B5E"/>
    <w:rsid w:val="00E50D8E"/>
    <w:rsid w:val="00E51192"/>
    <w:rsid w:val="00E51418"/>
    <w:rsid w:val="00E5158B"/>
    <w:rsid w:val="00E53D22"/>
    <w:rsid w:val="00E53DEC"/>
    <w:rsid w:val="00E5477C"/>
    <w:rsid w:val="00E54878"/>
    <w:rsid w:val="00E555C2"/>
    <w:rsid w:val="00E55A35"/>
    <w:rsid w:val="00E55DDA"/>
    <w:rsid w:val="00E5661B"/>
    <w:rsid w:val="00E56E67"/>
    <w:rsid w:val="00E56F89"/>
    <w:rsid w:val="00E603C1"/>
    <w:rsid w:val="00E6056B"/>
    <w:rsid w:val="00E60B4C"/>
    <w:rsid w:val="00E60FE6"/>
    <w:rsid w:val="00E61F61"/>
    <w:rsid w:val="00E62062"/>
    <w:rsid w:val="00E62B4E"/>
    <w:rsid w:val="00E63563"/>
    <w:rsid w:val="00E63B07"/>
    <w:rsid w:val="00E63B43"/>
    <w:rsid w:val="00E64AB0"/>
    <w:rsid w:val="00E6588E"/>
    <w:rsid w:val="00E66D21"/>
    <w:rsid w:val="00E70CF5"/>
    <w:rsid w:val="00E715EB"/>
    <w:rsid w:val="00E7215C"/>
    <w:rsid w:val="00E723D5"/>
    <w:rsid w:val="00E725C9"/>
    <w:rsid w:val="00E72944"/>
    <w:rsid w:val="00E73464"/>
    <w:rsid w:val="00E745D3"/>
    <w:rsid w:val="00E76235"/>
    <w:rsid w:val="00E7750A"/>
    <w:rsid w:val="00E77B75"/>
    <w:rsid w:val="00E805AF"/>
    <w:rsid w:val="00E8070F"/>
    <w:rsid w:val="00E824BE"/>
    <w:rsid w:val="00E83AA9"/>
    <w:rsid w:val="00E849C9"/>
    <w:rsid w:val="00E84A3F"/>
    <w:rsid w:val="00E85163"/>
    <w:rsid w:val="00E856EB"/>
    <w:rsid w:val="00E857F6"/>
    <w:rsid w:val="00E86C33"/>
    <w:rsid w:val="00E874DC"/>
    <w:rsid w:val="00E903A1"/>
    <w:rsid w:val="00E904BC"/>
    <w:rsid w:val="00E90586"/>
    <w:rsid w:val="00E90CD4"/>
    <w:rsid w:val="00E91701"/>
    <w:rsid w:val="00E9291F"/>
    <w:rsid w:val="00E92D36"/>
    <w:rsid w:val="00E93B42"/>
    <w:rsid w:val="00E940F3"/>
    <w:rsid w:val="00E94238"/>
    <w:rsid w:val="00E948CA"/>
    <w:rsid w:val="00E96256"/>
    <w:rsid w:val="00E96BF1"/>
    <w:rsid w:val="00E97A5E"/>
    <w:rsid w:val="00EA165E"/>
    <w:rsid w:val="00EA17E9"/>
    <w:rsid w:val="00EA1BC9"/>
    <w:rsid w:val="00EA283F"/>
    <w:rsid w:val="00EA2AC1"/>
    <w:rsid w:val="00EA31A2"/>
    <w:rsid w:val="00EA3C00"/>
    <w:rsid w:val="00EA3C19"/>
    <w:rsid w:val="00EA3C63"/>
    <w:rsid w:val="00EA3F94"/>
    <w:rsid w:val="00EA52BD"/>
    <w:rsid w:val="00EA54FE"/>
    <w:rsid w:val="00EA5A72"/>
    <w:rsid w:val="00EA5D83"/>
    <w:rsid w:val="00EA7E7A"/>
    <w:rsid w:val="00EB1301"/>
    <w:rsid w:val="00EB1EA8"/>
    <w:rsid w:val="00EB2309"/>
    <w:rsid w:val="00EB27C5"/>
    <w:rsid w:val="00EB2A20"/>
    <w:rsid w:val="00EB3AFD"/>
    <w:rsid w:val="00EB3C2F"/>
    <w:rsid w:val="00EB4024"/>
    <w:rsid w:val="00EB6192"/>
    <w:rsid w:val="00EB6321"/>
    <w:rsid w:val="00EB709B"/>
    <w:rsid w:val="00EC00D7"/>
    <w:rsid w:val="00EC32C1"/>
    <w:rsid w:val="00EC3A8A"/>
    <w:rsid w:val="00EC42BE"/>
    <w:rsid w:val="00EC436E"/>
    <w:rsid w:val="00EC48D2"/>
    <w:rsid w:val="00EC595E"/>
    <w:rsid w:val="00EC5D9A"/>
    <w:rsid w:val="00EC5DA8"/>
    <w:rsid w:val="00EC5FD2"/>
    <w:rsid w:val="00EC67B3"/>
    <w:rsid w:val="00EC7987"/>
    <w:rsid w:val="00EC7BEE"/>
    <w:rsid w:val="00ED00D8"/>
    <w:rsid w:val="00ED0466"/>
    <w:rsid w:val="00ED056E"/>
    <w:rsid w:val="00ED1B18"/>
    <w:rsid w:val="00ED1E99"/>
    <w:rsid w:val="00ED2347"/>
    <w:rsid w:val="00ED2426"/>
    <w:rsid w:val="00ED2784"/>
    <w:rsid w:val="00ED38B2"/>
    <w:rsid w:val="00ED46F1"/>
    <w:rsid w:val="00ED50EE"/>
    <w:rsid w:val="00ED5730"/>
    <w:rsid w:val="00ED5C6E"/>
    <w:rsid w:val="00ED65D0"/>
    <w:rsid w:val="00ED69EA"/>
    <w:rsid w:val="00ED6A91"/>
    <w:rsid w:val="00ED6AC9"/>
    <w:rsid w:val="00ED6EDF"/>
    <w:rsid w:val="00ED7FB9"/>
    <w:rsid w:val="00EE012E"/>
    <w:rsid w:val="00EE2055"/>
    <w:rsid w:val="00EE2DE2"/>
    <w:rsid w:val="00EE3A80"/>
    <w:rsid w:val="00EE3B43"/>
    <w:rsid w:val="00EE4B6E"/>
    <w:rsid w:val="00EE5F9B"/>
    <w:rsid w:val="00EE6022"/>
    <w:rsid w:val="00EE616F"/>
    <w:rsid w:val="00EE67EE"/>
    <w:rsid w:val="00EE6E4A"/>
    <w:rsid w:val="00EE7C2F"/>
    <w:rsid w:val="00EF007F"/>
    <w:rsid w:val="00EF0320"/>
    <w:rsid w:val="00EF16C8"/>
    <w:rsid w:val="00EF1A1B"/>
    <w:rsid w:val="00EF1A54"/>
    <w:rsid w:val="00EF1E0A"/>
    <w:rsid w:val="00EF21A1"/>
    <w:rsid w:val="00EF32D9"/>
    <w:rsid w:val="00EF3329"/>
    <w:rsid w:val="00EF3CE1"/>
    <w:rsid w:val="00EF5235"/>
    <w:rsid w:val="00EF60CC"/>
    <w:rsid w:val="00EF657F"/>
    <w:rsid w:val="00EF6928"/>
    <w:rsid w:val="00EF6B03"/>
    <w:rsid w:val="00EF7D17"/>
    <w:rsid w:val="00F01A46"/>
    <w:rsid w:val="00F02233"/>
    <w:rsid w:val="00F03FF7"/>
    <w:rsid w:val="00F05571"/>
    <w:rsid w:val="00F058A5"/>
    <w:rsid w:val="00F0627F"/>
    <w:rsid w:val="00F066C2"/>
    <w:rsid w:val="00F07133"/>
    <w:rsid w:val="00F07550"/>
    <w:rsid w:val="00F104EE"/>
    <w:rsid w:val="00F10C82"/>
    <w:rsid w:val="00F11061"/>
    <w:rsid w:val="00F11556"/>
    <w:rsid w:val="00F115A2"/>
    <w:rsid w:val="00F118FE"/>
    <w:rsid w:val="00F12E42"/>
    <w:rsid w:val="00F1329C"/>
    <w:rsid w:val="00F1354B"/>
    <w:rsid w:val="00F13BC5"/>
    <w:rsid w:val="00F13FB2"/>
    <w:rsid w:val="00F156E2"/>
    <w:rsid w:val="00F15719"/>
    <w:rsid w:val="00F16047"/>
    <w:rsid w:val="00F16BEC"/>
    <w:rsid w:val="00F171A6"/>
    <w:rsid w:val="00F17DC3"/>
    <w:rsid w:val="00F20952"/>
    <w:rsid w:val="00F20E8C"/>
    <w:rsid w:val="00F214DA"/>
    <w:rsid w:val="00F21F68"/>
    <w:rsid w:val="00F2238C"/>
    <w:rsid w:val="00F227A4"/>
    <w:rsid w:val="00F2328E"/>
    <w:rsid w:val="00F241AD"/>
    <w:rsid w:val="00F26380"/>
    <w:rsid w:val="00F30C2C"/>
    <w:rsid w:val="00F3109F"/>
    <w:rsid w:val="00F314C8"/>
    <w:rsid w:val="00F31D77"/>
    <w:rsid w:val="00F31DCA"/>
    <w:rsid w:val="00F31E83"/>
    <w:rsid w:val="00F32361"/>
    <w:rsid w:val="00F324C8"/>
    <w:rsid w:val="00F32B5B"/>
    <w:rsid w:val="00F334E1"/>
    <w:rsid w:val="00F3367D"/>
    <w:rsid w:val="00F3403C"/>
    <w:rsid w:val="00F34070"/>
    <w:rsid w:val="00F34B5D"/>
    <w:rsid w:val="00F34BA9"/>
    <w:rsid w:val="00F34C74"/>
    <w:rsid w:val="00F34EFE"/>
    <w:rsid w:val="00F35695"/>
    <w:rsid w:val="00F36A30"/>
    <w:rsid w:val="00F37326"/>
    <w:rsid w:val="00F378F3"/>
    <w:rsid w:val="00F40F61"/>
    <w:rsid w:val="00F4134C"/>
    <w:rsid w:val="00F414D2"/>
    <w:rsid w:val="00F42492"/>
    <w:rsid w:val="00F436CB"/>
    <w:rsid w:val="00F43B22"/>
    <w:rsid w:val="00F43C87"/>
    <w:rsid w:val="00F447C4"/>
    <w:rsid w:val="00F44AB2"/>
    <w:rsid w:val="00F44E48"/>
    <w:rsid w:val="00F4645B"/>
    <w:rsid w:val="00F46762"/>
    <w:rsid w:val="00F47A18"/>
    <w:rsid w:val="00F502E5"/>
    <w:rsid w:val="00F50946"/>
    <w:rsid w:val="00F5121B"/>
    <w:rsid w:val="00F51591"/>
    <w:rsid w:val="00F520B4"/>
    <w:rsid w:val="00F524F8"/>
    <w:rsid w:val="00F52C5F"/>
    <w:rsid w:val="00F53E99"/>
    <w:rsid w:val="00F54283"/>
    <w:rsid w:val="00F54ECC"/>
    <w:rsid w:val="00F54F49"/>
    <w:rsid w:val="00F55759"/>
    <w:rsid w:val="00F559F3"/>
    <w:rsid w:val="00F56377"/>
    <w:rsid w:val="00F567C1"/>
    <w:rsid w:val="00F568F3"/>
    <w:rsid w:val="00F56AEE"/>
    <w:rsid w:val="00F57D70"/>
    <w:rsid w:val="00F60854"/>
    <w:rsid w:val="00F6156F"/>
    <w:rsid w:val="00F615CE"/>
    <w:rsid w:val="00F618D5"/>
    <w:rsid w:val="00F64C14"/>
    <w:rsid w:val="00F662EB"/>
    <w:rsid w:val="00F664E2"/>
    <w:rsid w:val="00F6735D"/>
    <w:rsid w:val="00F678D3"/>
    <w:rsid w:val="00F7052D"/>
    <w:rsid w:val="00F713FB"/>
    <w:rsid w:val="00F71805"/>
    <w:rsid w:val="00F72122"/>
    <w:rsid w:val="00F72752"/>
    <w:rsid w:val="00F72C6A"/>
    <w:rsid w:val="00F74D31"/>
    <w:rsid w:val="00F7525C"/>
    <w:rsid w:val="00F75638"/>
    <w:rsid w:val="00F75779"/>
    <w:rsid w:val="00F75D0C"/>
    <w:rsid w:val="00F75F8F"/>
    <w:rsid w:val="00F76526"/>
    <w:rsid w:val="00F76843"/>
    <w:rsid w:val="00F7755A"/>
    <w:rsid w:val="00F81B61"/>
    <w:rsid w:val="00F829BA"/>
    <w:rsid w:val="00F83705"/>
    <w:rsid w:val="00F83C23"/>
    <w:rsid w:val="00F84A86"/>
    <w:rsid w:val="00F84B64"/>
    <w:rsid w:val="00F87229"/>
    <w:rsid w:val="00F8722D"/>
    <w:rsid w:val="00F8783A"/>
    <w:rsid w:val="00F87F21"/>
    <w:rsid w:val="00F9246E"/>
    <w:rsid w:val="00F928B9"/>
    <w:rsid w:val="00F92E25"/>
    <w:rsid w:val="00F940A2"/>
    <w:rsid w:val="00F94678"/>
    <w:rsid w:val="00F94CCB"/>
    <w:rsid w:val="00F9595A"/>
    <w:rsid w:val="00F95EC1"/>
    <w:rsid w:val="00F96049"/>
    <w:rsid w:val="00F97D92"/>
    <w:rsid w:val="00FA1268"/>
    <w:rsid w:val="00FA28B0"/>
    <w:rsid w:val="00FA297E"/>
    <w:rsid w:val="00FA2D6D"/>
    <w:rsid w:val="00FA31D2"/>
    <w:rsid w:val="00FA41BB"/>
    <w:rsid w:val="00FA46F9"/>
    <w:rsid w:val="00FA509D"/>
    <w:rsid w:val="00FA57AE"/>
    <w:rsid w:val="00FA5A6A"/>
    <w:rsid w:val="00FA60A1"/>
    <w:rsid w:val="00FA6227"/>
    <w:rsid w:val="00FA7C2F"/>
    <w:rsid w:val="00FB06C8"/>
    <w:rsid w:val="00FB1946"/>
    <w:rsid w:val="00FB22BF"/>
    <w:rsid w:val="00FB28E5"/>
    <w:rsid w:val="00FB342D"/>
    <w:rsid w:val="00FB390B"/>
    <w:rsid w:val="00FB4351"/>
    <w:rsid w:val="00FB4888"/>
    <w:rsid w:val="00FB696A"/>
    <w:rsid w:val="00FB6984"/>
    <w:rsid w:val="00FB6D0B"/>
    <w:rsid w:val="00FB7D40"/>
    <w:rsid w:val="00FB7F0B"/>
    <w:rsid w:val="00FC1A75"/>
    <w:rsid w:val="00FC2845"/>
    <w:rsid w:val="00FC3E2B"/>
    <w:rsid w:val="00FC3F10"/>
    <w:rsid w:val="00FC40ED"/>
    <w:rsid w:val="00FC45EE"/>
    <w:rsid w:val="00FC51D5"/>
    <w:rsid w:val="00FC53C6"/>
    <w:rsid w:val="00FC6ADA"/>
    <w:rsid w:val="00FC6F99"/>
    <w:rsid w:val="00FC79F6"/>
    <w:rsid w:val="00FD1E15"/>
    <w:rsid w:val="00FD1F48"/>
    <w:rsid w:val="00FD346D"/>
    <w:rsid w:val="00FD3652"/>
    <w:rsid w:val="00FD4032"/>
    <w:rsid w:val="00FD4FC9"/>
    <w:rsid w:val="00FD5666"/>
    <w:rsid w:val="00FD572C"/>
    <w:rsid w:val="00FD756F"/>
    <w:rsid w:val="00FD7E8F"/>
    <w:rsid w:val="00FE09C9"/>
    <w:rsid w:val="00FE13F3"/>
    <w:rsid w:val="00FE1D20"/>
    <w:rsid w:val="00FE24C8"/>
    <w:rsid w:val="00FE29A0"/>
    <w:rsid w:val="00FE2F23"/>
    <w:rsid w:val="00FE35A1"/>
    <w:rsid w:val="00FE3B32"/>
    <w:rsid w:val="00FE4A70"/>
    <w:rsid w:val="00FE532C"/>
    <w:rsid w:val="00FE5CA6"/>
    <w:rsid w:val="00FE6705"/>
    <w:rsid w:val="00FE6A29"/>
    <w:rsid w:val="00FE6E94"/>
    <w:rsid w:val="00FE7794"/>
    <w:rsid w:val="00FE7E41"/>
    <w:rsid w:val="00FF002C"/>
    <w:rsid w:val="00FF0D38"/>
    <w:rsid w:val="00FF21BB"/>
    <w:rsid w:val="00FF2B26"/>
    <w:rsid w:val="00FF30EA"/>
    <w:rsid w:val="00FF35C1"/>
    <w:rsid w:val="00FF3D26"/>
    <w:rsid w:val="00FF5857"/>
    <w:rsid w:val="00FF62E0"/>
    <w:rsid w:val="00FF67B6"/>
    <w:rsid w:val="00FF7360"/>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91D104"/>
  <w15:docId w15:val="{2157439B-6A10-405B-8984-AEF5B3A2B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40CDD"/>
    <w:pPr>
      <w:widowControl w:val="0"/>
      <w:adjustRightInd w:val="0"/>
      <w:spacing w:after="0" w:line="360" w:lineRule="atLeast"/>
      <w:jc w:val="both"/>
      <w:textAlignment w:val="baseline"/>
    </w:pPr>
    <w:rPr>
      <w:rFonts w:ascii="Verdana" w:eastAsia="Times New Roman" w:hAnsi="Verdana" w:cs="Times New Roman"/>
      <w:sz w:val="24"/>
      <w:szCs w:val="24"/>
      <w:lang w:eastAsia="es-CR"/>
    </w:rPr>
  </w:style>
  <w:style w:type="paragraph" w:styleId="Ttulo1">
    <w:name w:val="heading 1"/>
    <w:basedOn w:val="Normal"/>
    <w:next w:val="Normal"/>
    <w:link w:val="Ttulo1Car"/>
    <w:uiPriority w:val="9"/>
    <w:qFormat/>
    <w:rsid w:val="002F4F08"/>
    <w:pPr>
      <w:keepNext/>
      <w:keepLines/>
      <w:tabs>
        <w:tab w:val="left" w:pos="851"/>
      </w:tabs>
      <w:spacing w:before="240" w:after="240" w:line="240" w:lineRule="auto"/>
      <w:jc w:val="center"/>
      <w:outlineLvl w:val="0"/>
    </w:pPr>
    <w:rPr>
      <w:rFonts w:cs="Verdana"/>
      <w:b/>
      <w:bCs/>
      <w:caps/>
      <w:snapToGrid w:val="0"/>
      <w:sz w:val="20"/>
      <w:szCs w:val="20"/>
    </w:rPr>
  </w:style>
  <w:style w:type="paragraph" w:styleId="Ttulo2">
    <w:name w:val="heading 2"/>
    <w:basedOn w:val="Normal"/>
    <w:next w:val="Normal"/>
    <w:link w:val="Ttulo2Car"/>
    <w:uiPriority w:val="9"/>
    <w:unhideWhenUsed/>
    <w:qFormat/>
    <w:rsid w:val="00377181"/>
    <w:pPr>
      <w:keepNext/>
      <w:keepLines/>
      <w:tabs>
        <w:tab w:val="left" w:pos="1134"/>
      </w:tabs>
      <w:spacing w:before="240" w:after="240" w:line="240" w:lineRule="auto"/>
      <w:ind w:left="562"/>
      <w:outlineLvl w:val="1"/>
    </w:pPr>
    <w:rPr>
      <w:rFonts w:eastAsia="MS Mincho"/>
      <w:b/>
      <w:bCs/>
      <w:i/>
      <w:sz w:val="20"/>
      <w:szCs w:val="20"/>
    </w:rPr>
  </w:style>
  <w:style w:type="paragraph" w:styleId="Ttulo3">
    <w:name w:val="heading 3"/>
    <w:basedOn w:val="Ttulo2"/>
    <w:next w:val="Normal"/>
    <w:link w:val="Ttulo3Car"/>
    <w:uiPriority w:val="9"/>
    <w:unhideWhenUsed/>
    <w:qFormat/>
    <w:rsid w:val="00C82CD6"/>
    <w:pPr>
      <w:outlineLvl w:val="2"/>
    </w:pPr>
    <w:rPr>
      <w:b w:val="0"/>
    </w:rPr>
  </w:style>
  <w:style w:type="paragraph" w:styleId="Ttulo5">
    <w:name w:val="heading 5"/>
    <w:basedOn w:val="Normal"/>
    <w:next w:val="Normal"/>
    <w:link w:val="Ttulo5Car"/>
    <w:uiPriority w:val="9"/>
    <w:semiHidden/>
    <w:unhideWhenUsed/>
    <w:qFormat/>
    <w:rsid w:val="003C23AB"/>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Ttulo5"/>
    <w:next w:val="Normal"/>
    <w:link w:val="Ttulo6Car"/>
    <w:uiPriority w:val="9"/>
    <w:unhideWhenUsed/>
    <w:qFormat/>
    <w:rsid w:val="003C23AB"/>
    <w:pPr>
      <w:keepNext w:val="0"/>
      <w:keepLines w:val="0"/>
      <w:widowControl/>
      <w:tabs>
        <w:tab w:val="num" w:pos="3600"/>
      </w:tabs>
      <w:adjustRightInd/>
      <w:spacing w:before="0" w:line="240" w:lineRule="auto"/>
      <w:ind w:left="3600" w:hanging="360"/>
      <w:textAlignment w:val="auto"/>
      <w:outlineLvl w:val="5"/>
    </w:pPr>
    <w:rPr>
      <w:rFonts w:ascii="Verdana" w:eastAsia="Times New Roman" w:hAnsi="Verdana" w:cs="Times New Roman"/>
      <w:color w:val="auto"/>
      <w:spacing w:val="-2"/>
      <w:sz w:val="20"/>
      <w:szCs w:val="20"/>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notaalpie">
    <w:name w:val="footnote reference"/>
    <w:aliases w:val="Appel note de bas de page,Footnotes refss,Footnote number,referencia nota al pie,BVI fnr,f,4_G,16 Point,Superscript 6 Point,Texto nota al pie,Footnote Reference Char3,Footnote Reference Char1 Char,Ref. de nota al,Ref. de nota al pi"/>
    <w:link w:val="4GChar"/>
    <w:uiPriority w:val="99"/>
    <w:qFormat/>
    <w:rsid w:val="00833D5A"/>
    <w:rPr>
      <w:vertAlign w:val="superscript"/>
    </w:rPr>
  </w:style>
  <w:style w:type="paragraph" w:styleId="Textonotapie">
    <w:name w:val="footnote text"/>
    <w:aliases w:val="Footnote Text Char Char Char Char Char,Footnote Text Char Char Char Char,Footnote reference,FA Fu,Footnote Text Char Char Char,Footnote Text Cha,FA Fußnotentext,FA Fuﬂnotentext,Footnote Text Char Char,FA Fu?notente,Ca,FA Fu?notentext,C,ft"/>
    <w:basedOn w:val="Normal"/>
    <w:link w:val="TextonotapieCar"/>
    <w:qFormat/>
    <w:rsid w:val="00833D5A"/>
    <w:pPr>
      <w:spacing w:line="240" w:lineRule="auto"/>
    </w:pPr>
    <w:rPr>
      <w:sz w:val="20"/>
      <w:szCs w:val="20"/>
      <w:lang w:val="es-ES_tradnl" w:eastAsia="x-none"/>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FA Fu?notente Car,Ca Car"/>
    <w:basedOn w:val="Fuentedeprrafopredeter"/>
    <w:link w:val="Textonotapie"/>
    <w:qFormat/>
    <w:rsid w:val="00833D5A"/>
    <w:rPr>
      <w:rFonts w:ascii="Verdana" w:eastAsia="Times New Roman" w:hAnsi="Verdana" w:cs="Times New Roman"/>
      <w:sz w:val="20"/>
      <w:szCs w:val="20"/>
      <w:lang w:val="es-ES_tradnl" w:eastAsia="x-none"/>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833D5A"/>
    <w:pPr>
      <w:widowControl/>
      <w:adjustRightInd/>
      <w:spacing w:line="240" w:lineRule="auto"/>
      <w:textAlignment w:val="auto"/>
    </w:pPr>
    <w:rPr>
      <w:rFonts w:asciiTheme="minorHAnsi" w:eastAsiaTheme="minorHAnsi" w:hAnsiTheme="minorHAnsi" w:cstheme="minorBidi"/>
      <w:sz w:val="22"/>
      <w:szCs w:val="22"/>
      <w:vertAlign w:val="superscript"/>
      <w:lang w:eastAsia="en-US"/>
    </w:rPr>
  </w:style>
  <w:style w:type="character" w:styleId="Nmerodelnea">
    <w:name w:val="line number"/>
    <w:basedOn w:val="Fuentedeprrafopredeter"/>
    <w:uiPriority w:val="99"/>
    <w:unhideWhenUsed/>
    <w:rsid w:val="00440CDD"/>
    <w:rPr>
      <w:rFonts w:ascii="Verdana" w:hAnsi="Verdana"/>
      <w:sz w:val="18"/>
    </w:rPr>
  </w:style>
  <w:style w:type="paragraph" w:styleId="Encabezado">
    <w:name w:val="header"/>
    <w:basedOn w:val="Normal"/>
    <w:link w:val="EncabezadoCar"/>
    <w:uiPriority w:val="99"/>
    <w:unhideWhenUsed/>
    <w:rsid w:val="00176377"/>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176377"/>
    <w:rPr>
      <w:rFonts w:ascii="Verdana" w:eastAsia="Times New Roman" w:hAnsi="Verdana" w:cs="Times New Roman"/>
      <w:sz w:val="24"/>
      <w:szCs w:val="24"/>
      <w:lang w:eastAsia="es-CR"/>
    </w:rPr>
  </w:style>
  <w:style w:type="paragraph" w:styleId="Piedepgina">
    <w:name w:val="footer"/>
    <w:basedOn w:val="Normal"/>
    <w:link w:val="PiedepginaCar"/>
    <w:uiPriority w:val="99"/>
    <w:unhideWhenUsed/>
    <w:rsid w:val="00176377"/>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176377"/>
    <w:rPr>
      <w:rFonts w:ascii="Verdana" w:eastAsia="Times New Roman" w:hAnsi="Verdana" w:cs="Times New Roman"/>
      <w:sz w:val="24"/>
      <w:szCs w:val="24"/>
      <w:lang w:eastAsia="es-CR"/>
    </w:rPr>
  </w:style>
  <w:style w:type="character" w:customStyle="1" w:styleId="Ttulo2Car">
    <w:name w:val="Título 2 Car"/>
    <w:basedOn w:val="Fuentedeprrafopredeter"/>
    <w:link w:val="Ttulo2"/>
    <w:uiPriority w:val="9"/>
    <w:rsid w:val="00377181"/>
    <w:rPr>
      <w:rFonts w:ascii="Verdana" w:eastAsia="MS Mincho" w:hAnsi="Verdana" w:cs="Times New Roman"/>
      <w:b/>
      <w:bCs/>
      <w:i/>
      <w:sz w:val="20"/>
      <w:szCs w:val="20"/>
      <w:lang w:eastAsia="es-CR"/>
    </w:rPr>
  </w:style>
  <w:style w:type="paragraph" w:styleId="Prrafodelista">
    <w:name w:val="List Paragraph"/>
    <w:aliases w:val="List Paragraph2,Lista vistosa - Énfasis 11,Párrafo de lista1,Footnote,List Paragraph1,Colorful List - Accent 11,Parrafos,Subtle Emphasis1,Footnote1,List Paragraph11"/>
    <w:basedOn w:val="Normal"/>
    <w:link w:val="PrrafodelistaCar"/>
    <w:uiPriority w:val="34"/>
    <w:qFormat/>
    <w:rsid w:val="00652A11"/>
    <w:pPr>
      <w:ind w:left="708"/>
    </w:pPr>
  </w:style>
  <w:style w:type="character" w:customStyle="1" w:styleId="PrrafodelistaCar">
    <w:name w:val="Párrafo de lista Car"/>
    <w:aliases w:val="List Paragraph2 Car,Lista vistosa - Énfasis 11 Car,Párrafo de lista1 Car,Footnote Car,List Paragraph1 Car,Colorful List - Accent 11 Car,Parrafos Car,Subtle Emphasis1 Car,Footnote1 Car,List Paragraph11 Car"/>
    <w:basedOn w:val="Fuentedeprrafopredeter"/>
    <w:link w:val="Prrafodelista"/>
    <w:uiPriority w:val="34"/>
    <w:rsid w:val="00652A11"/>
    <w:rPr>
      <w:rFonts w:ascii="Verdana" w:eastAsia="Times New Roman" w:hAnsi="Verdana" w:cs="Times New Roman"/>
      <w:sz w:val="24"/>
      <w:szCs w:val="24"/>
      <w:lang w:eastAsia="es-CR"/>
    </w:rPr>
  </w:style>
  <w:style w:type="character" w:styleId="Textoennegrita">
    <w:name w:val="Strong"/>
    <w:aliases w:val="Heading 2.1"/>
    <w:basedOn w:val="Fuentedeprrafopredeter"/>
    <w:uiPriority w:val="22"/>
    <w:qFormat/>
    <w:rsid w:val="00D22236"/>
    <w:rPr>
      <w:b/>
      <w:bCs/>
    </w:rPr>
  </w:style>
  <w:style w:type="paragraph" w:styleId="NormalWeb">
    <w:name w:val="Normal (Web)"/>
    <w:basedOn w:val="Normal"/>
    <w:uiPriority w:val="99"/>
    <w:unhideWhenUsed/>
    <w:rsid w:val="00FA41BB"/>
    <w:rPr>
      <w:rFonts w:ascii="Times New Roman" w:hAnsi="Times New Roman"/>
    </w:rPr>
  </w:style>
  <w:style w:type="character" w:customStyle="1" w:styleId="apple-converted-space">
    <w:name w:val="apple-converted-space"/>
    <w:basedOn w:val="Fuentedeprrafopredeter"/>
    <w:rsid w:val="00FA41BB"/>
  </w:style>
  <w:style w:type="character" w:styleId="Hipervnculo">
    <w:name w:val="Hyperlink"/>
    <w:basedOn w:val="Fuentedeprrafopredeter"/>
    <w:uiPriority w:val="99"/>
    <w:unhideWhenUsed/>
    <w:rsid w:val="00731D3E"/>
    <w:rPr>
      <w:color w:val="0000FF" w:themeColor="hyperlink"/>
      <w:u w:val="single"/>
    </w:rPr>
  </w:style>
  <w:style w:type="character" w:customStyle="1" w:styleId="Ttulo1Car">
    <w:name w:val="Título 1 Car"/>
    <w:basedOn w:val="Fuentedeprrafopredeter"/>
    <w:link w:val="Ttulo1"/>
    <w:uiPriority w:val="9"/>
    <w:rsid w:val="002F4F08"/>
    <w:rPr>
      <w:rFonts w:ascii="Verdana" w:eastAsia="Times New Roman" w:hAnsi="Verdana" w:cs="Verdana"/>
      <w:b/>
      <w:bCs/>
      <w:caps/>
      <w:snapToGrid w:val="0"/>
      <w:sz w:val="20"/>
      <w:szCs w:val="20"/>
      <w:lang w:eastAsia="es-CR"/>
    </w:rPr>
  </w:style>
  <w:style w:type="paragraph" w:styleId="TtuloTDC">
    <w:name w:val="TOC Heading"/>
    <w:basedOn w:val="Ttulo1"/>
    <w:next w:val="Normal"/>
    <w:uiPriority w:val="39"/>
    <w:unhideWhenUsed/>
    <w:qFormat/>
    <w:rsid w:val="00731D3E"/>
    <w:pPr>
      <w:widowControl/>
      <w:adjustRightInd/>
      <w:spacing w:line="276" w:lineRule="auto"/>
      <w:jc w:val="left"/>
      <w:textAlignment w:val="auto"/>
      <w:outlineLvl w:val="9"/>
    </w:pPr>
    <w:rPr>
      <w:lang w:val="en-US" w:eastAsia="ja-JP"/>
    </w:rPr>
  </w:style>
  <w:style w:type="paragraph" w:styleId="TDC1">
    <w:name w:val="toc 1"/>
    <w:basedOn w:val="Normal"/>
    <w:next w:val="Normal"/>
    <w:autoRedefine/>
    <w:uiPriority w:val="39"/>
    <w:unhideWhenUsed/>
    <w:rsid w:val="00B66D6F"/>
    <w:pPr>
      <w:tabs>
        <w:tab w:val="right" w:leader="dot" w:pos="10070"/>
      </w:tabs>
      <w:spacing w:before="120" w:after="120" w:line="240" w:lineRule="auto"/>
    </w:pPr>
    <w:rPr>
      <w:rFonts w:eastAsia="MS Mincho"/>
      <w:b/>
      <w:noProof/>
      <w:sz w:val="20"/>
      <w:szCs w:val="20"/>
    </w:rPr>
  </w:style>
  <w:style w:type="paragraph" w:styleId="TDC2">
    <w:name w:val="toc 2"/>
    <w:basedOn w:val="Normal"/>
    <w:next w:val="Normal"/>
    <w:autoRedefine/>
    <w:uiPriority w:val="39"/>
    <w:unhideWhenUsed/>
    <w:rsid w:val="000B0FF3"/>
    <w:pPr>
      <w:tabs>
        <w:tab w:val="left" w:pos="450"/>
        <w:tab w:val="left" w:pos="630"/>
        <w:tab w:val="right" w:leader="dot" w:pos="10070"/>
      </w:tabs>
      <w:spacing w:line="240" w:lineRule="auto"/>
      <w:ind w:left="240"/>
    </w:pPr>
  </w:style>
  <w:style w:type="paragraph" w:styleId="Textodeglobo">
    <w:name w:val="Balloon Text"/>
    <w:basedOn w:val="Normal"/>
    <w:link w:val="TextodegloboCar"/>
    <w:uiPriority w:val="99"/>
    <w:semiHidden/>
    <w:unhideWhenUsed/>
    <w:rsid w:val="00731D3E"/>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31D3E"/>
    <w:rPr>
      <w:rFonts w:ascii="Tahoma" w:eastAsia="Times New Roman" w:hAnsi="Tahoma" w:cs="Tahoma"/>
      <w:sz w:val="16"/>
      <w:szCs w:val="16"/>
      <w:lang w:eastAsia="es-CR"/>
    </w:rPr>
  </w:style>
  <w:style w:type="table" w:styleId="Tablaconcuadrcula">
    <w:name w:val="Table Grid"/>
    <w:basedOn w:val="Tablanormal"/>
    <w:uiPriority w:val="59"/>
    <w:rsid w:val="00017F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Sinlista"/>
    <w:uiPriority w:val="99"/>
    <w:semiHidden/>
    <w:unhideWhenUsed/>
    <w:rsid w:val="00BB528A"/>
  </w:style>
  <w:style w:type="character" w:styleId="Refdecomentario">
    <w:name w:val="annotation reference"/>
    <w:basedOn w:val="Fuentedeprrafopredeter"/>
    <w:uiPriority w:val="99"/>
    <w:semiHidden/>
    <w:unhideWhenUsed/>
    <w:rsid w:val="00BB528A"/>
    <w:rPr>
      <w:sz w:val="16"/>
      <w:szCs w:val="16"/>
    </w:rPr>
  </w:style>
  <w:style w:type="paragraph" w:styleId="Textocomentario">
    <w:name w:val="annotation text"/>
    <w:basedOn w:val="Normal"/>
    <w:link w:val="TextocomentarioCar"/>
    <w:uiPriority w:val="99"/>
    <w:semiHidden/>
    <w:unhideWhenUsed/>
    <w:rsid w:val="00BB528A"/>
    <w:pPr>
      <w:widowControl/>
      <w:adjustRightInd/>
      <w:spacing w:after="200" w:line="240" w:lineRule="auto"/>
      <w:jc w:val="left"/>
      <w:textAlignment w:val="auto"/>
    </w:pPr>
    <w:rPr>
      <w:rFonts w:asciiTheme="minorHAnsi" w:eastAsiaTheme="minorHAnsi" w:hAnsiTheme="minorHAnsi" w:cstheme="minorBidi"/>
      <w:sz w:val="20"/>
      <w:szCs w:val="20"/>
      <w:lang w:eastAsia="en-US"/>
    </w:rPr>
  </w:style>
  <w:style w:type="character" w:customStyle="1" w:styleId="TextocomentarioCar">
    <w:name w:val="Texto comentario Car"/>
    <w:basedOn w:val="Fuentedeprrafopredeter"/>
    <w:link w:val="Textocomentario"/>
    <w:uiPriority w:val="99"/>
    <w:semiHidden/>
    <w:rsid w:val="00BB528A"/>
    <w:rPr>
      <w:sz w:val="20"/>
      <w:szCs w:val="20"/>
    </w:rPr>
  </w:style>
  <w:style w:type="paragraph" w:styleId="Asuntodelcomentario">
    <w:name w:val="annotation subject"/>
    <w:basedOn w:val="Textocomentario"/>
    <w:next w:val="Textocomentario"/>
    <w:link w:val="AsuntodelcomentarioCar"/>
    <w:uiPriority w:val="99"/>
    <w:semiHidden/>
    <w:unhideWhenUsed/>
    <w:rsid w:val="00BB528A"/>
    <w:rPr>
      <w:b/>
      <w:bCs/>
    </w:rPr>
  </w:style>
  <w:style w:type="character" w:customStyle="1" w:styleId="AsuntodelcomentarioCar">
    <w:name w:val="Asunto del comentario Car"/>
    <w:basedOn w:val="TextocomentarioCar"/>
    <w:link w:val="Asuntodelcomentario"/>
    <w:uiPriority w:val="99"/>
    <w:semiHidden/>
    <w:rsid w:val="00BB528A"/>
    <w:rPr>
      <w:b/>
      <w:bCs/>
      <w:sz w:val="20"/>
      <w:szCs w:val="20"/>
    </w:rPr>
  </w:style>
  <w:style w:type="character" w:customStyle="1" w:styleId="Ttulo3Car">
    <w:name w:val="Título 3 Car"/>
    <w:basedOn w:val="Fuentedeprrafopredeter"/>
    <w:link w:val="Ttulo3"/>
    <w:uiPriority w:val="9"/>
    <w:rsid w:val="00C82CD6"/>
    <w:rPr>
      <w:rFonts w:ascii="Verdana" w:eastAsia="MS Mincho" w:hAnsi="Verdana" w:cs="Times New Roman"/>
      <w:bCs/>
      <w:i/>
      <w:sz w:val="20"/>
      <w:szCs w:val="20"/>
      <w:lang w:eastAsia="es-CR"/>
    </w:rPr>
  </w:style>
  <w:style w:type="character" w:customStyle="1" w:styleId="ListParagraphChar1">
    <w:name w:val="List Paragraph Char1"/>
    <w:aliases w:val="List Paragraph2 Char1,Lista vistosa - Énfasis 11 Char1,Párrafo de lista1 Char1,Footnote Char1,List Paragraph1 Char1"/>
    <w:basedOn w:val="Fuentedeprrafopredeter"/>
    <w:uiPriority w:val="34"/>
    <w:rsid w:val="009E4F6C"/>
    <w:rPr>
      <w:rFonts w:ascii="Verdana" w:eastAsia="Times New Roman" w:hAnsi="Verdana" w:cs="Times New Roman"/>
      <w:sz w:val="24"/>
      <w:szCs w:val="24"/>
      <w:lang w:eastAsia="es-CR"/>
    </w:rPr>
  </w:style>
  <w:style w:type="paragraph" w:customStyle="1" w:styleId="Default">
    <w:name w:val="Default"/>
    <w:rsid w:val="009E4F6C"/>
    <w:pPr>
      <w:autoSpaceDE w:val="0"/>
      <w:autoSpaceDN w:val="0"/>
      <w:adjustRightInd w:val="0"/>
      <w:spacing w:after="0" w:line="240" w:lineRule="auto"/>
    </w:pPr>
    <w:rPr>
      <w:rFonts w:ascii="Verdana" w:hAnsi="Verdana" w:cs="Verdana"/>
      <w:color w:val="000000"/>
      <w:sz w:val="24"/>
      <w:szCs w:val="24"/>
    </w:rPr>
  </w:style>
  <w:style w:type="paragraph" w:customStyle="1" w:styleId="PrrafodeSentencia">
    <w:name w:val="*. Párrafo de Sentencia"/>
    <w:basedOn w:val="Normal"/>
    <w:link w:val="PrrafodeSentenciaChar"/>
    <w:qFormat/>
    <w:rsid w:val="009E4F6C"/>
    <w:pPr>
      <w:widowControl/>
      <w:numPr>
        <w:numId w:val="3"/>
      </w:numPr>
      <w:tabs>
        <w:tab w:val="left" w:pos="567"/>
      </w:tabs>
      <w:adjustRightInd/>
      <w:spacing w:line="240" w:lineRule="auto"/>
      <w:textAlignment w:val="auto"/>
    </w:pPr>
    <w:rPr>
      <w:rFonts w:eastAsia="Batang"/>
      <w:sz w:val="20"/>
      <w:szCs w:val="20"/>
      <w:lang w:val="es-ES_tradnl" w:eastAsia="es-MX"/>
    </w:rPr>
  </w:style>
  <w:style w:type="character" w:customStyle="1" w:styleId="PrrafodeSentenciaChar">
    <w:name w:val="*. Párrafo de Sentencia Char"/>
    <w:link w:val="PrrafodeSentencia"/>
    <w:rsid w:val="009E4F6C"/>
    <w:rPr>
      <w:rFonts w:ascii="Verdana" w:eastAsia="Batang" w:hAnsi="Verdana" w:cs="Times New Roman"/>
      <w:sz w:val="20"/>
      <w:szCs w:val="20"/>
      <w:lang w:val="es-ES_tradnl" w:eastAsia="es-MX"/>
    </w:rPr>
  </w:style>
  <w:style w:type="character" w:customStyle="1" w:styleId="shorttext">
    <w:name w:val="shorttext"/>
    <w:basedOn w:val="Fuentedeprrafopredeter"/>
    <w:rsid w:val="009E4F6C"/>
  </w:style>
  <w:style w:type="paragraph" w:customStyle="1" w:styleId="Estilo4">
    <w:name w:val="Estilo4"/>
    <w:basedOn w:val="Prrafodelista"/>
    <w:qFormat/>
    <w:rsid w:val="009E4F6C"/>
    <w:pPr>
      <w:widowControl/>
      <w:numPr>
        <w:ilvl w:val="1"/>
        <w:numId w:val="4"/>
      </w:numPr>
      <w:adjustRightInd/>
      <w:spacing w:after="120" w:line="240" w:lineRule="auto"/>
      <w:ind w:left="0" w:firstLine="357"/>
      <w:textAlignment w:val="auto"/>
    </w:pPr>
    <w:rPr>
      <w:spacing w:val="-2"/>
      <w:sz w:val="20"/>
      <w:szCs w:val="20"/>
      <w:lang w:eastAsia="en-US"/>
    </w:rPr>
  </w:style>
  <w:style w:type="paragraph" w:customStyle="1" w:styleId="Numberedparagraphs">
    <w:name w:val="Numbered paragraphs"/>
    <w:basedOn w:val="Normal"/>
    <w:qFormat/>
    <w:rsid w:val="009E4F6C"/>
    <w:pPr>
      <w:widowControl/>
      <w:adjustRightInd/>
      <w:spacing w:after="200" w:line="240" w:lineRule="auto"/>
      <w:textAlignment w:val="auto"/>
    </w:pPr>
    <w:rPr>
      <w:rFonts w:eastAsia="MS Mincho"/>
      <w:color w:val="000000"/>
      <w:sz w:val="20"/>
      <w:szCs w:val="20"/>
      <w:lang w:val="es-ES_tradnl" w:eastAsia="en-US"/>
    </w:rPr>
  </w:style>
  <w:style w:type="character" w:customStyle="1" w:styleId="Ttulo6Car">
    <w:name w:val="Título 6 Car"/>
    <w:basedOn w:val="Fuentedeprrafopredeter"/>
    <w:link w:val="Ttulo6"/>
    <w:uiPriority w:val="9"/>
    <w:rsid w:val="003C23AB"/>
    <w:rPr>
      <w:rFonts w:ascii="Verdana" w:eastAsia="Times New Roman" w:hAnsi="Verdana" w:cs="Times New Roman"/>
      <w:spacing w:val="-2"/>
      <w:sz w:val="20"/>
      <w:szCs w:val="20"/>
      <w:lang w:val="es-ES_tradnl" w:eastAsia="es-CR"/>
    </w:rPr>
  </w:style>
  <w:style w:type="character" w:customStyle="1" w:styleId="Ttulo5Car">
    <w:name w:val="Título 5 Car"/>
    <w:basedOn w:val="Fuentedeprrafopredeter"/>
    <w:link w:val="Ttulo5"/>
    <w:uiPriority w:val="9"/>
    <w:semiHidden/>
    <w:rsid w:val="003C23AB"/>
    <w:rPr>
      <w:rFonts w:asciiTheme="majorHAnsi" w:eastAsiaTheme="majorEastAsia" w:hAnsiTheme="majorHAnsi" w:cstheme="majorBidi"/>
      <w:color w:val="243F60" w:themeColor="accent1" w:themeShade="7F"/>
      <w:sz w:val="24"/>
      <w:szCs w:val="24"/>
      <w:lang w:eastAsia="es-CR"/>
    </w:rPr>
  </w:style>
  <w:style w:type="character" w:customStyle="1" w:styleId="FootnoteTextChar1">
    <w:name w:val="Footnote Text Char1"/>
    <w:aliases w:val="2. Footnote Text Char1,Footnote Tesina Char1,FA Fu Char2,Footnote Text Char Char Char Char Char Char2,Footnote Text Char Char Char Char Char3,Footnote reference Char2,Footnote Text Char Char Char Char3,Footnote Text Cha Char2,C Char1"/>
    <w:basedOn w:val="Fuentedeprrafopredeter"/>
    <w:qFormat/>
    <w:rsid w:val="00935F35"/>
    <w:rPr>
      <w:sz w:val="20"/>
      <w:szCs w:val="20"/>
    </w:rPr>
  </w:style>
  <w:style w:type="character" w:customStyle="1" w:styleId="column">
    <w:name w:val="column"/>
    <w:basedOn w:val="Fuentedeprrafopredeter"/>
    <w:rsid w:val="00CD486A"/>
  </w:style>
  <w:style w:type="character" w:customStyle="1" w:styleId="summarytext">
    <w:name w:val="summarytext"/>
    <w:basedOn w:val="Fuentedeprrafopredeter"/>
    <w:rsid w:val="00CD486A"/>
  </w:style>
  <w:style w:type="character" w:customStyle="1" w:styleId="textcolumn">
    <w:name w:val="textcolumn"/>
    <w:basedOn w:val="Fuentedeprrafopredeter"/>
    <w:rsid w:val="00CD486A"/>
  </w:style>
  <w:style w:type="character" w:customStyle="1" w:styleId="more">
    <w:name w:val="more"/>
    <w:basedOn w:val="Fuentedeprrafopredeter"/>
    <w:rsid w:val="00CD486A"/>
  </w:style>
  <w:style w:type="paragraph" w:customStyle="1" w:styleId="FootnotesrefssChar1Char">
    <w:name w:val="Footnotes refss Char1 Char"/>
    <w:aliases w:val="Texto de nota al pie Char1 Char,Appel note de bas de page Char1 Char,Footnote number Char1 Char,referencia nota al pie Char1 Char,BVI fnr Char1 Char,f Char1 Char,4_G Char1 Char,16 Point Char1 Char"/>
    <w:basedOn w:val="Normal"/>
    <w:uiPriority w:val="99"/>
    <w:qFormat/>
    <w:rsid w:val="00E20B2F"/>
    <w:pPr>
      <w:widowControl/>
      <w:adjustRightInd/>
      <w:spacing w:after="160" w:line="240" w:lineRule="exact"/>
      <w:jc w:val="left"/>
      <w:textAlignment w:val="auto"/>
    </w:pPr>
    <w:rPr>
      <w:rFonts w:eastAsiaTheme="minorHAnsi" w:cstheme="minorBidi"/>
      <w:sz w:val="20"/>
      <w:szCs w:val="20"/>
      <w:vertAlign w:val="superscript"/>
      <w:lang w:eastAsia="en-US"/>
    </w:rPr>
  </w:style>
  <w:style w:type="paragraph" w:styleId="Sinespaciado">
    <w:name w:val="No Spacing"/>
    <w:link w:val="SinespaciadoCar"/>
    <w:uiPriority w:val="1"/>
    <w:qFormat/>
    <w:rsid w:val="003F1600"/>
    <w:pPr>
      <w:spacing w:after="0" w:line="240" w:lineRule="auto"/>
    </w:pPr>
  </w:style>
  <w:style w:type="character" w:customStyle="1" w:styleId="SinespaciadoCar">
    <w:name w:val="Sin espaciado Car"/>
    <w:basedOn w:val="Fuentedeprrafopredeter"/>
    <w:link w:val="Sinespaciado"/>
    <w:uiPriority w:val="1"/>
    <w:rsid w:val="003F1600"/>
  </w:style>
  <w:style w:type="paragraph" w:styleId="Textoindependiente3">
    <w:name w:val="Body Text 3"/>
    <w:basedOn w:val="Normal"/>
    <w:link w:val="Textoindependiente3Car"/>
    <w:rsid w:val="00CC7516"/>
    <w:pPr>
      <w:widowControl/>
      <w:adjustRightInd/>
      <w:spacing w:after="120" w:line="240" w:lineRule="auto"/>
      <w:jc w:val="left"/>
      <w:textAlignment w:val="auto"/>
    </w:pPr>
    <w:rPr>
      <w:rFonts w:ascii="Times New Roman" w:hAnsi="Times New Roman"/>
      <w:sz w:val="16"/>
      <w:szCs w:val="16"/>
      <w:lang w:val="es-ES_tradnl" w:eastAsia="es-ES"/>
    </w:rPr>
  </w:style>
  <w:style w:type="character" w:customStyle="1" w:styleId="Textoindependiente3Car">
    <w:name w:val="Texto independiente 3 Car"/>
    <w:basedOn w:val="Fuentedeprrafopredeter"/>
    <w:link w:val="Textoindependiente3"/>
    <w:rsid w:val="00CC7516"/>
    <w:rPr>
      <w:rFonts w:ascii="Times New Roman" w:eastAsia="Times New Roman" w:hAnsi="Times New Roman" w:cs="Times New Roman"/>
      <w:sz w:val="16"/>
      <w:szCs w:val="16"/>
      <w:lang w:val="es-ES_tradnl" w:eastAsia="es-ES"/>
    </w:rPr>
  </w:style>
  <w:style w:type="paragraph" w:styleId="Sangra2detindependiente">
    <w:name w:val="Body Text Indent 2"/>
    <w:basedOn w:val="Normal"/>
    <w:link w:val="Sangra2detindependienteCar"/>
    <w:uiPriority w:val="99"/>
    <w:semiHidden/>
    <w:unhideWhenUsed/>
    <w:rsid w:val="000A154C"/>
    <w:pPr>
      <w:spacing w:after="120" w:line="480" w:lineRule="auto"/>
      <w:ind w:left="360"/>
    </w:pPr>
  </w:style>
  <w:style w:type="character" w:customStyle="1" w:styleId="Sangra2detindependienteCar">
    <w:name w:val="Sangría 2 de t. independiente Car"/>
    <w:basedOn w:val="Fuentedeprrafopredeter"/>
    <w:link w:val="Sangra2detindependiente"/>
    <w:uiPriority w:val="99"/>
    <w:semiHidden/>
    <w:rsid w:val="000A154C"/>
    <w:rPr>
      <w:rFonts w:ascii="Verdana" w:eastAsia="Times New Roman" w:hAnsi="Verdana" w:cs="Times New Roman"/>
      <w:sz w:val="24"/>
      <w:szCs w:val="24"/>
      <w:lang w:eastAsia="es-CR"/>
    </w:rPr>
  </w:style>
  <w:style w:type="paragraph" w:customStyle="1" w:styleId="Normal1">
    <w:name w:val="Normal1"/>
    <w:rsid w:val="000A154C"/>
    <w:pPr>
      <w:widowControl w:val="0"/>
      <w:spacing w:after="0" w:line="240" w:lineRule="auto"/>
    </w:pPr>
    <w:rPr>
      <w:rFonts w:ascii="Times New Roman" w:eastAsia="Times New Roman" w:hAnsi="Times New Roman" w:cs="Times New Roman"/>
      <w:sz w:val="24"/>
      <w:szCs w:val="24"/>
    </w:rPr>
  </w:style>
  <w:style w:type="paragraph" w:styleId="Textodebloque">
    <w:name w:val="Block Text"/>
    <w:basedOn w:val="Normal"/>
    <w:rsid w:val="00EE5F9B"/>
    <w:pPr>
      <w:widowControl/>
      <w:tabs>
        <w:tab w:val="left" w:pos="720"/>
      </w:tabs>
      <w:adjustRightInd/>
      <w:spacing w:line="240" w:lineRule="auto"/>
      <w:ind w:left="720" w:right="720"/>
      <w:textAlignment w:val="auto"/>
    </w:pPr>
    <w:rPr>
      <w:rFonts w:ascii="Garamond" w:hAnsi="Garamond"/>
      <w:sz w:val="22"/>
      <w:szCs w:val="20"/>
      <w:lang w:val="en-GB" w:eastAsia="en-US"/>
    </w:rPr>
  </w:style>
  <w:style w:type="table" w:customStyle="1" w:styleId="GridTable5Dark-Accent11">
    <w:name w:val="Grid Table 5 Dark - Accent 11"/>
    <w:basedOn w:val="Tablanormal"/>
    <w:uiPriority w:val="50"/>
    <w:rsid w:val="00E412B5"/>
    <w:pPr>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customStyle="1" w:styleId="UnresolvedMention1">
    <w:name w:val="Unresolved Mention1"/>
    <w:basedOn w:val="Fuentedeprrafopredeter"/>
    <w:uiPriority w:val="99"/>
    <w:semiHidden/>
    <w:unhideWhenUsed/>
    <w:rsid w:val="00154B0D"/>
    <w:rPr>
      <w:color w:val="605E5C"/>
      <w:shd w:val="clear" w:color="auto" w:fill="E1DFDD"/>
    </w:rPr>
  </w:style>
  <w:style w:type="character" w:customStyle="1" w:styleId="highlight">
    <w:name w:val="highlight"/>
    <w:basedOn w:val="Fuentedeprrafopredeter"/>
    <w:rsid w:val="00A54911"/>
  </w:style>
  <w:style w:type="paragraph" w:customStyle="1" w:styleId="Prrafodelista2">
    <w:name w:val="Párrafo de lista2"/>
    <w:basedOn w:val="Normal"/>
    <w:uiPriority w:val="99"/>
    <w:rsid w:val="00E03493"/>
    <w:pPr>
      <w:widowControl/>
      <w:adjustRightInd/>
      <w:spacing w:line="240" w:lineRule="auto"/>
      <w:ind w:left="720"/>
      <w:jc w:val="left"/>
      <w:textAlignment w:val="auto"/>
    </w:pPr>
    <w:rPr>
      <w:rFonts w:eastAsia="MS Mincho"/>
      <w:sz w:val="20"/>
      <w:szCs w:val="20"/>
      <w:lang w:val="es-ES_tradnl" w:eastAsia="en-US"/>
    </w:rPr>
  </w:style>
  <w:style w:type="paragraph" w:styleId="TDC3">
    <w:name w:val="toc 3"/>
    <w:basedOn w:val="Normal"/>
    <w:next w:val="Normal"/>
    <w:autoRedefine/>
    <w:uiPriority w:val="39"/>
    <w:unhideWhenUsed/>
    <w:rsid w:val="000B0FF3"/>
    <w:pPr>
      <w:tabs>
        <w:tab w:val="left" w:pos="1080"/>
        <w:tab w:val="left" w:pos="1260"/>
        <w:tab w:val="left" w:pos="1440"/>
        <w:tab w:val="left" w:pos="1530"/>
        <w:tab w:val="right" w:leader="dot" w:pos="10070"/>
      </w:tabs>
      <w:spacing w:line="240" w:lineRule="auto"/>
      <w:ind w:left="1080" w:hanging="270"/>
    </w:pPr>
  </w:style>
  <w:style w:type="paragraph" w:customStyle="1" w:styleId="Estilo1">
    <w:name w:val="Estilo1"/>
    <w:basedOn w:val="Normal"/>
    <w:link w:val="Estilo1Car"/>
    <w:qFormat/>
    <w:rsid w:val="00324EC8"/>
    <w:pPr>
      <w:widowControl/>
      <w:adjustRightInd/>
      <w:spacing w:after="120" w:line="240" w:lineRule="auto"/>
      <w:ind w:left="2018" w:right="6" w:hanging="180"/>
      <w:textAlignment w:val="auto"/>
    </w:pPr>
    <w:rPr>
      <w:rFonts w:eastAsia="Batang" w:cs="Times"/>
      <w:i/>
      <w:sz w:val="20"/>
      <w:lang w:val="es-ES_tradnl" w:eastAsia="en-US"/>
    </w:rPr>
  </w:style>
  <w:style w:type="character" w:customStyle="1" w:styleId="Estilo1Car">
    <w:name w:val="Estilo1 Car"/>
    <w:basedOn w:val="Fuentedeprrafopredeter"/>
    <w:link w:val="Estilo1"/>
    <w:rsid w:val="00324EC8"/>
    <w:rPr>
      <w:rFonts w:ascii="Verdana" w:eastAsia="Batang" w:hAnsi="Verdana" w:cs="Times"/>
      <w:i/>
      <w:sz w:val="20"/>
      <w:szCs w:val="24"/>
      <w:lang w:val="es-ES_tradnl"/>
    </w:rPr>
  </w:style>
  <w:style w:type="numbering" w:customStyle="1" w:styleId="ImportedStyle1">
    <w:name w:val="Imported Style 1"/>
    <w:rsid w:val="00C14CFF"/>
    <w:pPr>
      <w:numPr>
        <w:numId w:val="33"/>
      </w:numPr>
    </w:pPr>
  </w:style>
  <w:style w:type="paragraph" w:customStyle="1" w:styleId="Estilo3">
    <w:name w:val="Estilo3"/>
    <w:basedOn w:val="Prrafodelista"/>
    <w:qFormat/>
    <w:rsid w:val="00514160"/>
    <w:pPr>
      <w:widowControl/>
      <w:numPr>
        <w:ilvl w:val="4"/>
        <w:numId w:val="38"/>
      </w:numPr>
      <w:adjustRightInd/>
      <w:spacing w:after="120" w:line="216" w:lineRule="auto"/>
      <w:ind w:right="17"/>
      <w:textAlignment w:val="auto"/>
    </w:pPr>
    <w:rPr>
      <w:rFonts w:eastAsia="Calibri"/>
      <w:spacing w:val="-2"/>
      <w:sz w:val="20"/>
      <w:szCs w:val="20"/>
      <w:lang w:val="es-MX" w:eastAsia="x-none"/>
    </w:rPr>
  </w:style>
  <w:style w:type="paragraph" w:customStyle="1" w:styleId="Estilo5">
    <w:name w:val="Estilo5"/>
    <w:basedOn w:val="Prrafodelista"/>
    <w:link w:val="Estilo5Car"/>
    <w:qFormat/>
    <w:rsid w:val="00514160"/>
    <w:pPr>
      <w:widowControl/>
      <w:numPr>
        <w:numId w:val="38"/>
      </w:numPr>
      <w:adjustRightInd/>
      <w:spacing w:after="120" w:line="216" w:lineRule="auto"/>
      <w:ind w:left="0" w:right="18" w:firstLine="0"/>
      <w:textAlignment w:val="auto"/>
    </w:pPr>
    <w:rPr>
      <w:rFonts w:eastAsia="Calibri"/>
      <w:spacing w:val="-2"/>
      <w:sz w:val="20"/>
      <w:szCs w:val="20"/>
      <w:lang w:val="es-MX" w:eastAsia="x-none"/>
    </w:rPr>
  </w:style>
  <w:style w:type="character" w:customStyle="1" w:styleId="Estilo5Car">
    <w:name w:val="Estilo5 Car"/>
    <w:link w:val="Estilo5"/>
    <w:rsid w:val="00514160"/>
    <w:rPr>
      <w:rFonts w:ascii="Verdana" w:eastAsia="Calibri" w:hAnsi="Verdana" w:cs="Times New Roman"/>
      <w:spacing w:val="-2"/>
      <w:sz w:val="20"/>
      <w:szCs w:val="20"/>
      <w:lang w:val="es-MX" w:eastAsia="x-none"/>
    </w:rPr>
  </w:style>
  <w:style w:type="paragraph" w:customStyle="1" w:styleId="Estilo8">
    <w:name w:val="Estilo8"/>
    <w:basedOn w:val="Estilo3"/>
    <w:qFormat/>
    <w:rsid w:val="00514160"/>
    <w:pPr>
      <w:numPr>
        <w:ilvl w:val="5"/>
      </w:numPr>
      <w:ind w:left="1080" w:hanging="358"/>
    </w:pPr>
  </w:style>
  <w:style w:type="table" w:customStyle="1" w:styleId="GridTable5Dark-Accent12">
    <w:name w:val="Grid Table 5 Dark - Accent 12"/>
    <w:basedOn w:val="Tablanormal"/>
    <w:uiPriority w:val="50"/>
    <w:rsid w:val="00592719"/>
    <w:pPr>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Textonotaalfinal">
    <w:name w:val="endnote text"/>
    <w:basedOn w:val="Normal"/>
    <w:link w:val="TextonotaalfinalCar"/>
    <w:uiPriority w:val="99"/>
    <w:semiHidden/>
    <w:unhideWhenUsed/>
    <w:rsid w:val="008C44B6"/>
    <w:pPr>
      <w:spacing w:line="240" w:lineRule="auto"/>
    </w:pPr>
    <w:rPr>
      <w:sz w:val="20"/>
      <w:szCs w:val="20"/>
    </w:rPr>
  </w:style>
  <w:style w:type="character" w:customStyle="1" w:styleId="TextonotaalfinalCar">
    <w:name w:val="Texto nota al final Car"/>
    <w:basedOn w:val="Fuentedeprrafopredeter"/>
    <w:link w:val="Textonotaalfinal"/>
    <w:uiPriority w:val="99"/>
    <w:semiHidden/>
    <w:rsid w:val="008C44B6"/>
    <w:rPr>
      <w:rFonts w:ascii="Verdana" w:eastAsia="Times New Roman" w:hAnsi="Verdana" w:cs="Times New Roman"/>
      <w:sz w:val="20"/>
      <w:szCs w:val="20"/>
      <w:lang w:eastAsia="es-CR"/>
    </w:rPr>
  </w:style>
  <w:style w:type="character" w:styleId="Refdenotaalfinal">
    <w:name w:val="endnote reference"/>
    <w:basedOn w:val="Fuentedeprrafopredeter"/>
    <w:uiPriority w:val="99"/>
    <w:semiHidden/>
    <w:unhideWhenUsed/>
    <w:rsid w:val="008C44B6"/>
    <w:rPr>
      <w:vertAlign w:val="superscript"/>
    </w:rPr>
  </w:style>
  <w:style w:type="paragraph" w:styleId="Revisin">
    <w:name w:val="Revision"/>
    <w:hidden/>
    <w:uiPriority w:val="99"/>
    <w:semiHidden/>
    <w:rsid w:val="001B51E0"/>
    <w:pPr>
      <w:spacing w:after="0" w:line="240" w:lineRule="auto"/>
    </w:pPr>
    <w:rPr>
      <w:rFonts w:ascii="Verdana" w:eastAsia="Times New Roman" w:hAnsi="Verdana" w:cs="Times New Roman"/>
      <w:sz w:val="24"/>
      <w:szCs w:val="24"/>
      <w:lang w:eastAsia="es-C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783566">
      <w:bodyDiv w:val="1"/>
      <w:marLeft w:val="0"/>
      <w:marRight w:val="0"/>
      <w:marTop w:val="0"/>
      <w:marBottom w:val="0"/>
      <w:divBdr>
        <w:top w:val="none" w:sz="0" w:space="0" w:color="auto"/>
        <w:left w:val="none" w:sz="0" w:space="0" w:color="auto"/>
        <w:bottom w:val="none" w:sz="0" w:space="0" w:color="auto"/>
        <w:right w:val="none" w:sz="0" w:space="0" w:color="auto"/>
      </w:divBdr>
    </w:div>
    <w:div w:id="83108206">
      <w:bodyDiv w:val="1"/>
      <w:marLeft w:val="0"/>
      <w:marRight w:val="0"/>
      <w:marTop w:val="0"/>
      <w:marBottom w:val="0"/>
      <w:divBdr>
        <w:top w:val="none" w:sz="0" w:space="0" w:color="auto"/>
        <w:left w:val="none" w:sz="0" w:space="0" w:color="auto"/>
        <w:bottom w:val="none" w:sz="0" w:space="0" w:color="auto"/>
        <w:right w:val="none" w:sz="0" w:space="0" w:color="auto"/>
      </w:divBdr>
      <w:divsChild>
        <w:div w:id="992833517">
          <w:marLeft w:val="0"/>
          <w:marRight w:val="0"/>
          <w:marTop w:val="0"/>
          <w:marBottom w:val="0"/>
          <w:divBdr>
            <w:top w:val="none" w:sz="0" w:space="0" w:color="auto"/>
            <w:left w:val="none" w:sz="0" w:space="0" w:color="auto"/>
            <w:bottom w:val="none" w:sz="0" w:space="0" w:color="auto"/>
            <w:right w:val="none" w:sz="0" w:space="0" w:color="auto"/>
          </w:divBdr>
          <w:divsChild>
            <w:div w:id="712771596">
              <w:marLeft w:val="0"/>
              <w:marRight w:val="0"/>
              <w:marTop w:val="0"/>
              <w:marBottom w:val="0"/>
              <w:divBdr>
                <w:top w:val="none" w:sz="0" w:space="0" w:color="auto"/>
                <w:left w:val="none" w:sz="0" w:space="0" w:color="auto"/>
                <w:bottom w:val="none" w:sz="0" w:space="0" w:color="auto"/>
                <w:right w:val="none" w:sz="0" w:space="0" w:color="auto"/>
              </w:divBdr>
              <w:divsChild>
                <w:div w:id="71620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09929">
      <w:bodyDiv w:val="1"/>
      <w:marLeft w:val="0"/>
      <w:marRight w:val="0"/>
      <w:marTop w:val="0"/>
      <w:marBottom w:val="0"/>
      <w:divBdr>
        <w:top w:val="none" w:sz="0" w:space="0" w:color="auto"/>
        <w:left w:val="none" w:sz="0" w:space="0" w:color="auto"/>
        <w:bottom w:val="none" w:sz="0" w:space="0" w:color="auto"/>
        <w:right w:val="none" w:sz="0" w:space="0" w:color="auto"/>
      </w:divBdr>
    </w:div>
    <w:div w:id="441725491">
      <w:bodyDiv w:val="1"/>
      <w:marLeft w:val="0"/>
      <w:marRight w:val="0"/>
      <w:marTop w:val="0"/>
      <w:marBottom w:val="0"/>
      <w:divBdr>
        <w:top w:val="none" w:sz="0" w:space="0" w:color="auto"/>
        <w:left w:val="none" w:sz="0" w:space="0" w:color="auto"/>
        <w:bottom w:val="none" w:sz="0" w:space="0" w:color="auto"/>
        <w:right w:val="none" w:sz="0" w:space="0" w:color="auto"/>
      </w:divBdr>
      <w:divsChild>
        <w:div w:id="553010902">
          <w:marLeft w:val="0"/>
          <w:marRight w:val="0"/>
          <w:marTop w:val="0"/>
          <w:marBottom w:val="0"/>
          <w:divBdr>
            <w:top w:val="none" w:sz="0" w:space="0" w:color="auto"/>
            <w:left w:val="none" w:sz="0" w:space="0" w:color="auto"/>
            <w:bottom w:val="none" w:sz="0" w:space="0" w:color="auto"/>
            <w:right w:val="none" w:sz="0" w:space="0" w:color="auto"/>
          </w:divBdr>
          <w:divsChild>
            <w:div w:id="85275189">
              <w:marLeft w:val="0"/>
              <w:marRight w:val="0"/>
              <w:marTop w:val="0"/>
              <w:marBottom w:val="0"/>
              <w:divBdr>
                <w:top w:val="none" w:sz="0" w:space="0" w:color="auto"/>
                <w:left w:val="none" w:sz="0" w:space="0" w:color="auto"/>
                <w:bottom w:val="none" w:sz="0" w:space="0" w:color="auto"/>
                <w:right w:val="none" w:sz="0" w:space="0" w:color="auto"/>
              </w:divBdr>
              <w:divsChild>
                <w:div w:id="18540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659985">
      <w:bodyDiv w:val="1"/>
      <w:marLeft w:val="0"/>
      <w:marRight w:val="0"/>
      <w:marTop w:val="0"/>
      <w:marBottom w:val="0"/>
      <w:divBdr>
        <w:top w:val="none" w:sz="0" w:space="0" w:color="auto"/>
        <w:left w:val="none" w:sz="0" w:space="0" w:color="auto"/>
        <w:bottom w:val="none" w:sz="0" w:space="0" w:color="auto"/>
        <w:right w:val="none" w:sz="0" w:space="0" w:color="auto"/>
      </w:divBdr>
      <w:divsChild>
        <w:div w:id="532620775">
          <w:marLeft w:val="547"/>
          <w:marRight w:val="0"/>
          <w:marTop w:val="0"/>
          <w:marBottom w:val="0"/>
          <w:divBdr>
            <w:top w:val="none" w:sz="0" w:space="0" w:color="auto"/>
            <w:left w:val="none" w:sz="0" w:space="0" w:color="auto"/>
            <w:bottom w:val="none" w:sz="0" w:space="0" w:color="auto"/>
            <w:right w:val="none" w:sz="0" w:space="0" w:color="auto"/>
          </w:divBdr>
        </w:div>
      </w:divsChild>
    </w:div>
    <w:div w:id="567619950">
      <w:bodyDiv w:val="1"/>
      <w:marLeft w:val="0"/>
      <w:marRight w:val="0"/>
      <w:marTop w:val="0"/>
      <w:marBottom w:val="0"/>
      <w:divBdr>
        <w:top w:val="none" w:sz="0" w:space="0" w:color="auto"/>
        <w:left w:val="none" w:sz="0" w:space="0" w:color="auto"/>
        <w:bottom w:val="none" w:sz="0" w:space="0" w:color="auto"/>
        <w:right w:val="none" w:sz="0" w:space="0" w:color="auto"/>
      </w:divBdr>
    </w:div>
    <w:div w:id="669260662">
      <w:bodyDiv w:val="1"/>
      <w:marLeft w:val="0"/>
      <w:marRight w:val="0"/>
      <w:marTop w:val="0"/>
      <w:marBottom w:val="0"/>
      <w:divBdr>
        <w:top w:val="none" w:sz="0" w:space="0" w:color="auto"/>
        <w:left w:val="none" w:sz="0" w:space="0" w:color="auto"/>
        <w:bottom w:val="none" w:sz="0" w:space="0" w:color="auto"/>
        <w:right w:val="none" w:sz="0" w:space="0" w:color="auto"/>
      </w:divBdr>
    </w:div>
    <w:div w:id="750003444">
      <w:bodyDiv w:val="1"/>
      <w:marLeft w:val="0"/>
      <w:marRight w:val="0"/>
      <w:marTop w:val="0"/>
      <w:marBottom w:val="0"/>
      <w:divBdr>
        <w:top w:val="none" w:sz="0" w:space="0" w:color="auto"/>
        <w:left w:val="none" w:sz="0" w:space="0" w:color="auto"/>
        <w:bottom w:val="none" w:sz="0" w:space="0" w:color="auto"/>
        <w:right w:val="none" w:sz="0" w:space="0" w:color="auto"/>
      </w:divBdr>
    </w:div>
    <w:div w:id="755400563">
      <w:bodyDiv w:val="1"/>
      <w:marLeft w:val="0"/>
      <w:marRight w:val="0"/>
      <w:marTop w:val="0"/>
      <w:marBottom w:val="0"/>
      <w:divBdr>
        <w:top w:val="none" w:sz="0" w:space="0" w:color="auto"/>
        <w:left w:val="none" w:sz="0" w:space="0" w:color="auto"/>
        <w:bottom w:val="none" w:sz="0" w:space="0" w:color="auto"/>
        <w:right w:val="none" w:sz="0" w:space="0" w:color="auto"/>
      </w:divBdr>
    </w:div>
    <w:div w:id="799690658">
      <w:bodyDiv w:val="1"/>
      <w:marLeft w:val="0"/>
      <w:marRight w:val="0"/>
      <w:marTop w:val="0"/>
      <w:marBottom w:val="0"/>
      <w:divBdr>
        <w:top w:val="none" w:sz="0" w:space="0" w:color="auto"/>
        <w:left w:val="none" w:sz="0" w:space="0" w:color="auto"/>
        <w:bottom w:val="none" w:sz="0" w:space="0" w:color="auto"/>
        <w:right w:val="none" w:sz="0" w:space="0" w:color="auto"/>
      </w:divBdr>
    </w:div>
    <w:div w:id="833030969">
      <w:bodyDiv w:val="1"/>
      <w:marLeft w:val="0"/>
      <w:marRight w:val="0"/>
      <w:marTop w:val="0"/>
      <w:marBottom w:val="0"/>
      <w:divBdr>
        <w:top w:val="none" w:sz="0" w:space="0" w:color="auto"/>
        <w:left w:val="none" w:sz="0" w:space="0" w:color="auto"/>
        <w:bottom w:val="none" w:sz="0" w:space="0" w:color="auto"/>
        <w:right w:val="none" w:sz="0" w:space="0" w:color="auto"/>
      </w:divBdr>
    </w:div>
    <w:div w:id="985938631">
      <w:bodyDiv w:val="1"/>
      <w:marLeft w:val="0"/>
      <w:marRight w:val="0"/>
      <w:marTop w:val="0"/>
      <w:marBottom w:val="0"/>
      <w:divBdr>
        <w:top w:val="none" w:sz="0" w:space="0" w:color="auto"/>
        <w:left w:val="none" w:sz="0" w:space="0" w:color="auto"/>
        <w:bottom w:val="none" w:sz="0" w:space="0" w:color="auto"/>
        <w:right w:val="none" w:sz="0" w:space="0" w:color="auto"/>
      </w:divBdr>
      <w:divsChild>
        <w:div w:id="771516615">
          <w:marLeft w:val="0"/>
          <w:marRight w:val="0"/>
          <w:marTop w:val="0"/>
          <w:marBottom w:val="0"/>
          <w:divBdr>
            <w:top w:val="none" w:sz="0" w:space="0" w:color="auto"/>
            <w:left w:val="none" w:sz="0" w:space="0" w:color="auto"/>
            <w:bottom w:val="none" w:sz="0" w:space="0" w:color="auto"/>
            <w:right w:val="none" w:sz="0" w:space="0" w:color="auto"/>
          </w:divBdr>
          <w:divsChild>
            <w:div w:id="204104579">
              <w:marLeft w:val="0"/>
              <w:marRight w:val="0"/>
              <w:marTop w:val="0"/>
              <w:marBottom w:val="0"/>
              <w:divBdr>
                <w:top w:val="none" w:sz="0" w:space="0" w:color="auto"/>
                <w:left w:val="none" w:sz="0" w:space="0" w:color="auto"/>
                <w:bottom w:val="none" w:sz="0" w:space="0" w:color="auto"/>
                <w:right w:val="none" w:sz="0" w:space="0" w:color="auto"/>
              </w:divBdr>
              <w:divsChild>
                <w:div w:id="90114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370905">
      <w:bodyDiv w:val="1"/>
      <w:marLeft w:val="0"/>
      <w:marRight w:val="0"/>
      <w:marTop w:val="0"/>
      <w:marBottom w:val="0"/>
      <w:divBdr>
        <w:top w:val="none" w:sz="0" w:space="0" w:color="auto"/>
        <w:left w:val="none" w:sz="0" w:space="0" w:color="auto"/>
        <w:bottom w:val="none" w:sz="0" w:space="0" w:color="auto"/>
        <w:right w:val="none" w:sz="0" w:space="0" w:color="auto"/>
      </w:divBdr>
    </w:div>
    <w:div w:id="1031952506">
      <w:bodyDiv w:val="1"/>
      <w:marLeft w:val="0"/>
      <w:marRight w:val="0"/>
      <w:marTop w:val="0"/>
      <w:marBottom w:val="0"/>
      <w:divBdr>
        <w:top w:val="none" w:sz="0" w:space="0" w:color="auto"/>
        <w:left w:val="none" w:sz="0" w:space="0" w:color="auto"/>
        <w:bottom w:val="none" w:sz="0" w:space="0" w:color="auto"/>
        <w:right w:val="none" w:sz="0" w:space="0" w:color="auto"/>
      </w:divBdr>
      <w:divsChild>
        <w:div w:id="1875337785">
          <w:marLeft w:val="0"/>
          <w:marRight w:val="0"/>
          <w:marTop w:val="0"/>
          <w:marBottom w:val="0"/>
          <w:divBdr>
            <w:top w:val="none" w:sz="0" w:space="0" w:color="auto"/>
            <w:left w:val="none" w:sz="0" w:space="0" w:color="auto"/>
            <w:bottom w:val="none" w:sz="0" w:space="0" w:color="auto"/>
            <w:right w:val="none" w:sz="0" w:space="0" w:color="auto"/>
          </w:divBdr>
          <w:divsChild>
            <w:div w:id="309554090">
              <w:marLeft w:val="0"/>
              <w:marRight w:val="0"/>
              <w:marTop w:val="0"/>
              <w:marBottom w:val="0"/>
              <w:divBdr>
                <w:top w:val="none" w:sz="0" w:space="0" w:color="auto"/>
                <w:left w:val="none" w:sz="0" w:space="0" w:color="auto"/>
                <w:bottom w:val="none" w:sz="0" w:space="0" w:color="auto"/>
                <w:right w:val="none" w:sz="0" w:space="0" w:color="auto"/>
              </w:divBdr>
              <w:divsChild>
                <w:div w:id="87642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805519">
      <w:bodyDiv w:val="1"/>
      <w:marLeft w:val="0"/>
      <w:marRight w:val="0"/>
      <w:marTop w:val="0"/>
      <w:marBottom w:val="0"/>
      <w:divBdr>
        <w:top w:val="none" w:sz="0" w:space="0" w:color="auto"/>
        <w:left w:val="none" w:sz="0" w:space="0" w:color="auto"/>
        <w:bottom w:val="none" w:sz="0" w:space="0" w:color="auto"/>
        <w:right w:val="none" w:sz="0" w:space="0" w:color="auto"/>
      </w:divBdr>
    </w:div>
    <w:div w:id="1178619268">
      <w:bodyDiv w:val="1"/>
      <w:marLeft w:val="0"/>
      <w:marRight w:val="0"/>
      <w:marTop w:val="0"/>
      <w:marBottom w:val="0"/>
      <w:divBdr>
        <w:top w:val="none" w:sz="0" w:space="0" w:color="auto"/>
        <w:left w:val="none" w:sz="0" w:space="0" w:color="auto"/>
        <w:bottom w:val="none" w:sz="0" w:space="0" w:color="auto"/>
        <w:right w:val="none" w:sz="0" w:space="0" w:color="auto"/>
      </w:divBdr>
    </w:div>
    <w:div w:id="1194146913">
      <w:bodyDiv w:val="1"/>
      <w:marLeft w:val="0"/>
      <w:marRight w:val="0"/>
      <w:marTop w:val="0"/>
      <w:marBottom w:val="0"/>
      <w:divBdr>
        <w:top w:val="none" w:sz="0" w:space="0" w:color="auto"/>
        <w:left w:val="none" w:sz="0" w:space="0" w:color="auto"/>
        <w:bottom w:val="none" w:sz="0" w:space="0" w:color="auto"/>
        <w:right w:val="none" w:sz="0" w:space="0" w:color="auto"/>
      </w:divBdr>
      <w:divsChild>
        <w:div w:id="1859466756">
          <w:marLeft w:val="0"/>
          <w:marRight w:val="0"/>
          <w:marTop w:val="0"/>
          <w:marBottom w:val="0"/>
          <w:divBdr>
            <w:top w:val="none" w:sz="0" w:space="0" w:color="auto"/>
            <w:left w:val="none" w:sz="0" w:space="0" w:color="auto"/>
            <w:bottom w:val="none" w:sz="0" w:space="0" w:color="auto"/>
            <w:right w:val="none" w:sz="0" w:space="0" w:color="auto"/>
          </w:divBdr>
          <w:divsChild>
            <w:div w:id="1961960166">
              <w:marLeft w:val="0"/>
              <w:marRight w:val="0"/>
              <w:marTop w:val="0"/>
              <w:marBottom w:val="0"/>
              <w:divBdr>
                <w:top w:val="none" w:sz="0" w:space="0" w:color="auto"/>
                <w:left w:val="none" w:sz="0" w:space="0" w:color="auto"/>
                <w:bottom w:val="none" w:sz="0" w:space="0" w:color="auto"/>
                <w:right w:val="none" w:sz="0" w:space="0" w:color="auto"/>
              </w:divBdr>
              <w:divsChild>
                <w:div w:id="90329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410162">
      <w:bodyDiv w:val="1"/>
      <w:marLeft w:val="0"/>
      <w:marRight w:val="0"/>
      <w:marTop w:val="0"/>
      <w:marBottom w:val="0"/>
      <w:divBdr>
        <w:top w:val="none" w:sz="0" w:space="0" w:color="auto"/>
        <w:left w:val="none" w:sz="0" w:space="0" w:color="auto"/>
        <w:bottom w:val="none" w:sz="0" w:space="0" w:color="auto"/>
        <w:right w:val="none" w:sz="0" w:space="0" w:color="auto"/>
      </w:divBdr>
      <w:divsChild>
        <w:div w:id="564921703">
          <w:marLeft w:val="0"/>
          <w:marRight w:val="0"/>
          <w:marTop w:val="0"/>
          <w:marBottom w:val="0"/>
          <w:divBdr>
            <w:top w:val="none" w:sz="0" w:space="0" w:color="auto"/>
            <w:left w:val="none" w:sz="0" w:space="0" w:color="auto"/>
            <w:bottom w:val="none" w:sz="0" w:space="0" w:color="auto"/>
            <w:right w:val="none" w:sz="0" w:space="0" w:color="auto"/>
          </w:divBdr>
          <w:divsChild>
            <w:div w:id="1412509043">
              <w:marLeft w:val="0"/>
              <w:marRight w:val="0"/>
              <w:marTop w:val="0"/>
              <w:marBottom w:val="0"/>
              <w:divBdr>
                <w:top w:val="none" w:sz="0" w:space="0" w:color="auto"/>
                <w:left w:val="none" w:sz="0" w:space="0" w:color="auto"/>
                <w:bottom w:val="none" w:sz="0" w:space="0" w:color="auto"/>
                <w:right w:val="none" w:sz="0" w:space="0" w:color="auto"/>
              </w:divBdr>
              <w:divsChild>
                <w:div w:id="36965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385950">
      <w:bodyDiv w:val="1"/>
      <w:marLeft w:val="0"/>
      <w:marRight w:val="0"/>
      <w:marTop w:val="0"/>
      <w:marBottom w:val="0"/>
      <w:divBdr>
        <w:top w:val="none" w:sz="0" w:space="0" w:color="auto"/>
        <w:left w:val="none" w:sz="0" w:space="0" w:color="auto"/>
        <w:bottom w:val="none" w:sz="0" w:space="0" w:color="auto"/>
        <w:right w:val="none" w:sz="0" w:space="0" w:color="auto"/>
      </w:divBdr>
    </w:div>
    <w:div w:id="1292249379">
      <w:bodyDiv w:val="1"/>
      <w:marLeft w:val="0"/>
      <w:marRight w:val="0"/>
      <w:marTop w:val="0"/>
      <w:marBottom w:val="0"/>
      <w:divBdr>
        <w:top w:val="none" w:sz="0" w:space="0" w:color="auto"/>
        <w:left w:val="none" w:sz="0" w:space="0" w:color="auto"/>
        <w:bottom w:val="none" w:sz="0" w:space="0" w:color="auto"/>
        <w:right w:val="none" w:sz="0" w:space="0" w:color="auto"/>
      </w:divBdr>
      <w:divsChild>
        <w:div w:id="1230920435">
          <w:marLeft w:val="0"/>
          <w:marRight w:val="0"/>
          <w:marTop w:val="0"/>
          <w:marBottom w:val="0"/>
          <w:divBdr>
            <w:top w:val="none" w:sz="0" w:space="0" w:color="auto"/>
            <w:left w:val="none" w:sz="0" w:space="0" w:color="auto"/>
            <w:bottom w:val="none" w:sz="0" w:space="0" w:color="auto"/>
            <w:right w:val="none" w:sz="0" w:space="0" w:color="auto"/>
          </w:divBdr>
          <w:divsChild>
            <w:div w:id="1109009039">
              <w:marLeft w:val="0"/>
              <w:marRight w:val="0"/>
              <w:marTop w:val="0"/>
              <w:marBottom w:val="0"/>
              <w:divBdr>
                <w:top w:val="none" w:sz="0" w:space="0" w:color="auto"/>
                <w:left w:val="none" w:sz="0" w:space="0" w:color="auto"/>
                <w:bottom w:val="none" w:sz="0" w:space="0" w:color="auto"/>
                <w:right w:val="none" w:sz="0" w:space="0" w:color="auto"/>
              </w:divBdr>
              <w:divsChild>
                <w:div w:id="176267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806982">
      <w:bodyDiv w:val="1"/>
      <w:marLeft w:val="0"/>
      <w:marRight w:val="0"/>
      <w:marTop w:val="0"/>
      <w:marBottom w:val="0"/>
      <w:divBdr>
        <w:top w:val="none" w:sz="0" w:space="0" w:color="auto"/>
        <w:left w:val="none" w:sz="0" w:space="0" w:color="auto"/>
        <w:bottom w:val="none" w:sz="0" w:space="0" w:color="auto"/>
        <w:right w:val="none" w:sz="0" w:space="0" w:color="auto"/>
      </w:divBdr>
      <w:divsChild>
        <w:div w:id="1916088549">
          <w:marLeft w:val="0"/>
          <w:marRight w:val="0"/>
          <w:marTop w:val="0"/>
          <w:marBottom w:val="0"/>
          <w:divBdr>
            <w:top w:val="none" w:sz="0" w:space="0" w:color="auto"/>
            <w:left w:val="none" w:sz="0" w:space="0" w:color="auto"/>
            <w:bottom w:val="none" w:sz="0" w:space="0" w:color="auto"/>
            <w:right w:val="none" w:sz="0" w:space="0" w:color="auto"/>
          </w:divBdr>
          <w:divsChild>
            <w:div w:id="1898084317">
              <w:marLeft w:val="0"/>
              <w:marRight w:val="0"/>
              <w:marTop w:val="0"/>
              <w:marBottom w:val="0"/>
              <w:divBdr>
                <w:top w:val="none" w:sz="0" w:space="0" w:color="auto"/>
                <w:left w:val="none" w:sz="0" w:space="0" w:color="auto"/>
                <w:bottom w:val="none" w:sz="0" w:space="0" w:color="auto"/>
                <w:right w:val="none" w:sz="0" w:space="0" w:color="auto"/>
              </w:divBdr>
              <w:divsChild>
                <w:div w:id="117448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442131">
      <w:bodyDiv w:val="1"/>
      <w:marLeft w:val="0"/>
      <w:marRight w:val="0"/>
      <w:marTop w:val="0"/>
      <w:marBottom w:val="0"/>
      <w:divBdr>
        <w:top w:val="none" w:sz="0" w:space="0" w:color="auto"/>
        <w:left w:val="none" w:sz="0" w:space="0" w:color="auto"/>
        <w:bottom w:val="none" w:sz="0" w:space="0" w:color="auto"/>
        <w:right w:val="none" w:sz="0" w:space="0" w:color="auto"/>
      </w:divBdr>
    </w:div>
    <w:div w:id="1393431302">
      <w:bodyDiv w:val="1"/>
      <w:marLeft w:val="0"/>
      <w:marRight w:val="0"/>
      <w:marTop w:val="0"/>
      <w:marBottom w:val="0"/>
      <w:divBdr>
        <w:top w:val="none" w:sz="0" w:space="0" w:color="auto"/>
        <w:left w:val="none" w:sz="0" w:space="0" w:color="auto"/>
        <w:bottom w:val="none" w:sz="0" w:space="0" w:color="auto"/>
        <w:right w:val="none" w:sz="0" w:space="0" w:color="auto"/>
      </w:divBdr>
      <w:divsChild>
        <w:div w:id="1143740390">
          <w:marLeft w:val="0"/>
          <w:marRight w:val="0"/>
          <w:marTop w:val="0"/>
          <w:marBottom w:val="0"/>
          <w:divBdr>
            <w:top w:val="none" w:sz="0" w:space="0" w:color="auto"/>
            <w:left w:val="none" w:sz="0" w:space="0" w:color="auto"/>
            <w:bottom w:val="none" w:sz="0" w:space="0" w:color="auto"/>
            <w:right w:val="none" w:sz="0" w:space="0" w:color="auto"/>
          </w:divBdr>
          <w:divsChild>
            <w:div w:id="1373579562">
              <w:marLeft w:val="0"/>
              <w:marRight w:val="0"/>
              <w:marTop w:val="0"/>
              <w:marBottom w:val="0"/>
              <w:divBdr>
                <w:top w:val="none" w:sz="0" w:space="0" w:color="auto"/>
                <w:left w:val="none" w:sz="0" w:space="0" w:color="auto"/>
                <w:bottom w:val="none" w:sz="0" w:space="0" w:color="auto"/>
                <w:right w:val="none" w:sz="0" w:space="0" w:color="auto"/>
              </w:divBdr>
              <w:divsChild>
                <w:div w:id="12998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777333">
      <w:bodyDiv w:val="1"/>
      <w:marLeft w:val="0"/>
      <w:marRight w:val="0"/>
      <w:marTop w:val="0"/>
      <w:marBottom w:val="0"/>
      <w:divBdr>
        <w:top w:val="none" w:sz="0" w:space="0" w:color="auto"/>
        <w:left w:val="none" w:sz="0" w:space="0" w:color="auto"/>
        <w:bottom w:val="none" w:sz="0" w:space="0" w:color="auto"/>
        <w:right w:val="none" w:sz="0" w:space="0" w:color="auto"/>
      </w:divBdr>
    </w:div>
    <w:div w:id="1496989829">
      <w:bodyDiv w:val="1"/>
      <w:marLeft w:val="0"/>
      <w:marRight w:val="0"/>
      <w:marTop w:val="0"/>
      <w:marBottom w:val="0"/>
      <w:divBdr>
        <w:top w:val="none" w:sz="0" w:space="0" w:color="auto"/>
        <w:left w:val="none" w:sz="0" w:space="0" w:color="auto"/>
        <w:bottom w:val="none" w:sz="0" w:space="0" w:color="auto"/>
        <w:right w:val="none" w:sz="0" w:space="0" w:color="auto"/>
      </w:divBdr>
      <w:divsChild>
        <w:div w:id="1695227415">
          <w:marLeft w:val="0"/>
          <w:marRight w:val="0"/>
          <w:marTop w:val="0"/>
          <w:marBottom w:val="0"/>
          <w:divBdr>
            <w:top w:val="none" w:sz="0" w:space="0" w:color="auto"/>
            <w:left w:val="none" w:sz="0" w:space="0" w:color="auto"/>
            <w:bottom w:val="none" w:sz="0" w:space="0" w:color="auto"/>
            <w:right w:val="none" w:sz="0" w:space="0" w:color="auto"/>
          </w:divBdr>
          <w:divsChild>
            <w:div w:id="678043342">
              <w:marLeft w:val="0"/>
              <w:marRight w:val="0"/>
              <w:marTop w:val="0"/>
              <w:marBottom w:val="0"/>
              <w:divBdr>
                <w:top w:val="none" w:sz="0" w:space="0" w:color="auto"/>
                <w:left w:val="none" w:sz="0" w:space="0" w:color="auto"/>
                <w:bottom w:val="none" w:sz="0" w:space="0" w:color="auto"/>
                <w:right w:val="none" w:sz="0" w:space="0" w:color="auto"/>
              </w:divBdr>
              <w:divsChild>
                <w:div w:id="164836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067081">
      <w:bodyDiv w:val="1"/>
      <w:marLeft w:val="0"/>
      <w:marRight w:val="0"/>
      <w:marTop w:val="0"/>
      <w:marBottom w:val="0"/>
      <w:divBdr>
        <w:top w:val="none" w:sz="0" w:space="0" w:color="auto"/>
        <w:left w:val="none" w:sz="0" w:space="0" w:color="auto"/>
        <w:bottom w:val="none" w:sz="0" w:space="0" w:color="auto"/>
        <w:right w:val="none" w:sz="0" w:space="0" w:color="auto"/>
      </w:divBdr>
    </w:div>
    <w:div w:id="1527283249">
      <w:bodyDiv w:val="1"/>
      <w:marLeft w:val="0"/>
      <w:marRight w:val="0"/>
      <w:marTop w:val="0"/>
      <w:marBottom w:val="0"/>
      <w:divBdr>
        <w:top w:val="none" w:sz="0" w:space="0" w:color="auto"/>
        <w:left w:val="none" w:sz="0" w:space="0" w:color="auto"/>
        <w:bottom w:val="none" w:sz="0" w:space="0" w:color="auto"/>
        <w:right w:val="none" w:sz="0" w:space="0" w:color="auto"/>
      </w:divBdr>
    </w:div>
    <w:div w:id="1550070670">
      <w:bodyDiv w:val="1"/>
      <w:marLeft w:val="0"/>
      <w:marRight w:val="0"/>
      <w:marTop w:val="0"/>
      <w:marBottom w:val="0"/>
      <w:divBdr>
        <w:top w:val="none" w:sz="0" w:space="0" w:color="auto"/>
        <w:left w:val="none" w:sz="0" w:space="0" w:color="auto"/>
        <w:bottom w:val="none" w:sz="0" w:space="0" w:color="auto"/>
        <w:right w:val="none" w:sz="0" w:space="0" w:color="auto"/>
      </w:divBdr>
    </w:div>
    <w:div w:id="1648129660">
      <w:bodyDiv w:val="1"/>
      <w:marLeft w:val="0"/>
      <w:marRight w:val="0"/>
      <w:marTop w:val="0"/>
      <w:marBottom w:val="0"/>
      <w:divBdr>
        <w:top w:val="none" w:sz="0" w:space="0" w:color="auto"/>
        <w:left w:val="none" w:sz="0" w:space="0" w:color="auto"/>
        <w:bottom w:val="none" w:sz="0" w:space="0" w:color="auto"/>
        <w:right w:val="none" w:sz="0" w:space="0" w:color="auto"/>
      </w:divBdr>
    </w:div>
    <w:div w:id="1648582337">
      <w:bodyDiv w:val="1"/>
      <w:marLeft w:val="0"/>
      <w:marRight w:val="0"/>
      <w:marTop w:val="0"/>
      <w:marBottom w:val="0"/>
      <w:divBdr>
        <w:top w:val="none" w:sz="0" w:space="0" w:color="auto"/>
        <w:left w:val="none" w:sz="0" w:space="0" w:color="auto"/>
        <w:bottom w:val="none" w:sz="0" w:space="0" w:color="auto"/>
        <w:right w:val="none" w:sz="0" w:space="0" w:color="auto"/>
      </w:divBdr>
    </w:div>
    <w:div w:id="1660772341">
      <w:bodyDiv w:val="1"/>
      <w:marLeft w:val="0"/>
      <w:marRight w:val="0"/>
      <w:marTop w:val="0"/>
      <w:marBottom w:val="0"/>
      <w:divBdr>
        <w:top w:val="none" w:sz="0" w:space="0" w:color="auto"/>
        <w:left w:val="none" w:sz="0" w:space="0" w:color="auto"/>
        <w:bottom w:val="none" w:sz="0" w:space="0" w:color="auto"/>
        <w:right w:val="none" w:sz="0" w:space="0" w:color="auto"/>
      </w:divBdr>
    </w:div>
    <w:div w:id="1678576518">
      <w:bodyDiv w:val="1"/>
      <w:marLeft w:val="0"/>
      <w:marRight w:val="0"/>
      <w:marTop w:val="0"/>
      <w:marBottom w:val="0"/>
      <w:divBdr>
        <w:top w:val="none" w:sz="0" w:space="0" w:color="auto"/>
        <w:left w:val="none" w:sz="0" w:space="0" w:color="auto"/>
        <w:bottom w:val="none" w:sz="0" w:space="0" w:color="auto"/>
        <w:right w:val="none" w:sz="0" w:space="0" w:color="auto"/>
      </w:divBdr>
      <w:divsChild>
        <w:div w:id="1667512733">
          <w:marLeft w:val="547"/>
          <w:marRight w:val="0"/>
          <w:marTop w:val="0"/>
          <w:marBottom w:val="0"/>
          <w:divBdr>
            <w:top w:val="none" w:sz="0" w:space="0" w:color="auto"/>
            <w:left w:val="none" w:sz="0" w:space="0" w:color="auto"/>
            <w:bottom w:val="none" w:sz="0" w:space="0" w:color="auto"/>
            <w:right w:val="none" w:sz="0" w:space="0" w:color="auto"/>
          </w:divBdr>
        </w:div>
      </w:divsChild>
    </w:div>
    <w:div w:id="1715427623">
      <w:bodyDiv w:val="1"/>
      <w:marLeft w:val="0"/>
      <w:marRight w:val="0"/>
      <w:marTop w:val="0"/>
      <w:marBottom w:val="0"/>
      <w:divBdr>
        <w:top w:val="none" w:sz="0" w:space="0" w:color="auto"/>
        <w:left w:val="none" w:sz="0" w:space="0" w:color="auto"/>
        <w:bottom w:val="none" w:sz="0" w:space="0" w:color="auto"/>
        <w:right w:val="none" w:sz="0" w:space="0" w:color="auto"/>
      </w:divBdr>
    </w:div>
    <w:div w:id="1731879771">
      <w:bodyDiv w:val="1"/>
      <w:marLeft w:val="0"/>
      <w:marRight w:val="0"/>
      <w:marTop w:val="0"/>
      <w:marBottom w:val="0"/>
      <w:divBdr>
        <w:top w:val="none" w:sz="0" w:space="0" w:color="auto"/>
        <w:left w:val="none" w:sz="0" w:space="0" w:color="auto"/>
        <w:bottom w:val="none" w:sz="0" w:space="0" w:color="auto"/>
        <w:right w:val="none" w:sz="0" w:space="0" w:color="auto"/>
      </w:divBdr>
      <w:divsChild>
        <w:div w:id="1988896059">
          <w:marLeft w:val="0"/>
          <w:marRight w:val="0"/>
          <w:marTop w:val="0"/>
          <w:marBottom w:val="0"/>
          <w:divBdr>
            <w:top w:val="none" w:sz="0" w:space="0" w:color="auto"/>
            <w:left w:val="none" w:sz="0" w:space="0" w:color="auto"/>
            <w:bottom w:val="none" w:sz="0" w:space="0" w:color="auto"/>
            <w:right w:val="none" w:sz="0" w:space="0" w:color="auto"/>
          </w:divBdr>
          <w:divsChild>
            <w:div w:id="1857184725">
              <w:marLeft w:val="0"/>
              <w:marRight w:val="0"/>
              <w:marTop w:val="0"/>
              <w:marBottom w:val="0"/>
              <w:divBdr>
                <w:top w:val="none" w:sz="0" w:space="0" w:color="auto"/>
                <w:left w:val="none" w:sz="0" w:space="0" w:color="auto"/>
                <w:bottom w:val="none" w:sz="0" w:space="0" w:color="auto"/>
                <w:right w:val="none" w:sz="0" w:space="0" w:color="auto"/>
              </w:divBdr>
              <w:divsChild>
                <w:div w:id="183371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145044">
      <w:bodyDiv w:val="1"/>
      <w:marLeft w:val="0"/>
      <w:marRight w:val="0"/>
      <w:marTop w:val="0"/>
      <w:marBottom w:val="0"/>
      <w:divBdr>
        <w:top w:val="none" w:sz="0" w:space="0" w:color="auto"/>
        <w:left w:val="none" w:sz="0" w:space="0" w:color="auto"/>
        <w:bottom w:val="none" w:sz="0" w:space="0" w:color="auto"/>
        <w:right w:val="none" w:sz="0" w:space="0" w:color="auto"/>
      </w:divBdr>
    </w:div>
    <w:div w:id="1758480317">
      <w:bodyDiv w:val="1"/>
      <w:marLeft w:val="0"/>
      <w:marRight w:val="0"/>
      <w:marTop w:val="0"/>
      <w:marBottom w:val="0"/>
      <w:divBdr>
        <w:top w:val="none" w:sz="0" w:space="0" w:color="auto"/>
        <w:left w:val="none" w:sz="0" w:space="0" w:color="auto"/>
        <w:bottom w:val="none" w:sz="0" w:space="0" w:color="auto"/>
        <w:right w:val="none" w:sz="0" w:space="0" w:color="auto"/>
      </w:divBdr>
      <w:divsChild>
        <w:div w:id="890388297">
          <w:marLeft w:val="0"/>
          <w:marRight w:val="0"/>
          <w:marTop w:val="0"/>
          <w:marBottom w:val="0"/>
          <w:divBdr>
            <w:top w:val="none" w:sz="0" w:space="0" w:color="auto"/>
            <w:left w:val="none" w:sz="0" w:space="0" w:color="auto"/>
            <w:bottom w:val="none" w:sz="0" w:space="0" w:color="auto"/>
            <w:right w:val="none" w:sz="0" w:space="0" w:color="auto"/>
          </w:divBdr>
          <w:divsChild>
            <w:div w:id="1262762853">
              <w:marLeft w:val="0"/>
              <w:marRight w:val="0"/>
              <w:marTop w:val="0"/>
              <w:marBottom w:val="0"/>
              <w:divBdr>
                <w:top w:val="none" w:sz="0" w:space="0" w:color="auto"/>
                <w:left w:val="none" w:sz="0" w:space="0" w:color="auto"/>
                <w:bottom w:val="none" w:sz="0" w:space="0" w:color="auto"/>
                <w:right w:val="none" w:sz="0" w:space="0" w:color="auto"/>
              </w:divBdr>
              <w:divsChild>
                <w:div w:id="187526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996635">
      <w:bodyDiv w:val="1"/>
      <w:marLeft w:val="0"/>
      <w:marRight w:val="0"/>
      <w:marTop w:val="0"/>
      <w:marBottom w:val="0"/>
      <w:divBdr>
        <w:top w:val="none" w:sz="0" w:space="0" w:color="auto"/>
        <w:left w:val="none" w:sz="0" w:space="0" w:color="auto"/>
        <w:bottom w:val="none" w:sz="0" w:space="0" w:color="auto"/>
        <w:right w:val="none" w:sz="0" w:space="0" w:color="auto"/>
      </w:divBdr>
    </w:div>
    <w:div w:id="1926761293">
      <w:bodyDiv w:val="1"/>
      <w:marLeft w:val="0"/>
      <w:marRight w:val="0"/>
      <w:marTop w:val="0"/>
      <w:marBottom w:val="0"/>
      <w:divBdr>
        <w:top w:val="none" w:sz="0" w:space="0" w:color="auto"/>
        <w:left w:val="none" w:sz="0" w:space="0" w:color="auto"/>
        <w:bottom w:val="none" w:sz="0" w:space="0" w:color="auto"/>
        <w:right w:val="none" w:sz="0" w:space="0" w:color="auto"/>
      </w:divBdr>
    </w:div>
    <w:div w:id="1928490303">
      <w:bodyDiv w:val="1"/>
      <w:marLeft w:val="0"/>
      <w:marRight w:val="0"/>
      <w:marTop w:val="0"/>
      <w:marBottom w:val="0"/>
      <w:divBdr>
        <w:top w:val="none" w:sz="0" w:space="0" w:color="auto"/>
        <w:left w:val="none" w:sz="0" w:space="0" w:color="auto"/>
        <w:bottom w:val="none" w:sz="0" w:space="0" w:color="auto"/>
        <w:right w:val="none" w:sz="0" w:space="0" w:color="auto"/>
      </w:divBdr>
    </w:div>
    <w:div w:id="1947345115">
      <w:bodyDiv w:val="1"/>
      <w:marLeft w:val="0"/>
      <w:marRight w:val="0"/>
      <w:marTop w:val="0"/>
      <w:marBottom w:val="0"/>
      <w:divBdr>
        <w:top w:val="none" w:sz="0" w:space="0" w:color="auto"/>
        <w:left w:val="none" w:sz="0" w:space="0" w:color="auto"/>
        <w:bottom w:val="none" w:sz="0" w:space="0" w:color="auto"/>
        <w:right w:val="none" w:sz="0" w:space="0" w:color="auto"/>
      </w:divBdr>
    </w:div>
    <w:div w:id="2012682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s://lahora.gt/ejecuciones-y-tortura-jueza-autoriza-a-sindicados-presenciar-entrevista-a-las-victimas/" TargetMode="External"/><Relationship Id="rId2" Type="http://schemas.openxmlformats.org/officeDocument/2006/relationships/hyperlink" Target="http://www.corteidh.or.cr/docs/asuntos/ruiz_fuentes_14_02_19.pdf" TargetMode="External"/><Relationship Id="rId1" Type="http://schemas.openxmlformats.org/officeDocument/2006/relationships/hyperlink" Target="http://www.corteidh.or.cr/docs/asuntos/ruiz_fuentes_14_02_19.pdf" TargetMode="External"/><Relationship Id="rId6" Type="http://schemas.openxmlformats.org/officeDocument/2006/relationships/hyperlink" Target="https://www.cicig.org/casos/ejecuciones-extrajudiciales-y-torturas-2004-2007/" TargetMode="External"/><Relationship Id="rId5" Type="http://schemas.openxmlformats.org/officeDocument/2006/relationships/hyperlink" Target="https://www.oas.org/juridico/spanish/firmas/a-53.html" TargetMode="External"/><Relationship Id="rId4" Type="http://schemas.openxmlformats.org/officeDocument/2006/relationships/hyperlink" Target="http://www.oas.org/juridico/spanish/tratados/a-53.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8D8B84-5D39-3249-9D76-43426138DE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62</Pages>
  <Words>31524</Words>
  <Characters>159202</Characters>
  <Application>Microsoft Office Word</Application>
  <DocSecurity>0</DocSecurity>
  <Lines>2527</Lines>
  <Paragraphs>581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190145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Romina Sijniensky</dc:creator>
  <cp:lastModifiedBy>Microsoft Office User</cp:lastModifiedBy>
  <cp:revision>3</cp:revision>
  <cp:lastPrinted>2019-11-08T17:06:00Z</cp:lastPrinted>
  <dcterms:created xsi:type="dcterms:W3CDTF">2019-11-08T17:06:00Z</dcterms:created>
  <dcterms:modified xsi:type="dcterms:W3CDTF">2019-11-08T17:07:00Z</dcterms:modified>
</cp:coreProperties>
</file>