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8BA25" w14:textId="77777777" w:rsidR="00AB1235" w:rsidRPr="00215EE3" w:rsidRDefault="00AB1235" w:rsidP="008716BD">
      <w:pPr>
        <w:widowControl w:val="0"/>
        <w:rPr>
          <w:rFonts w:eastAsia="Calibri" w:cs="Calibri"/>
          <w:b/>
        </w:rPr>
      </w:pPr>
    </w:p>
    <w:p w14:paraId="09B9F962" w14:textId="276BD8AA" w:rsidR="00AB1235" w:rsidRDefault="00AB1235" w:rsidP="008716BD">
      <w:pPr>
        <w:widowControl w:val="0"/>
        <w:ind w:left="1416" w:hanging="1416"/>
        <w:rPr>
          <w:rFonts w:eastAsia="Calibri" w:cs="Calibri"/>
          <w:b/>
        </w:rPr>
      </w:pPr>
    </w:p>
    <w:p w14:paraId="6F63C6E0" w14:textId="4E06F15B" w:rsidR="00AB1235" w:rsidRDefault="00AB1235" w:rsidP="008716BD">
      <w:pPr>
        <w:widowControl w:val="0"/>
        <w:ind w:left="1416" w:hanging="1416"/>
        <w:rPr>
          <w:rFonts w:eastAsia="Calibri" w:cs="Calibri"/>
          <w:b/>
        </w:rPr>
      </w:pPr>
    </w:p>
    <w:p w14:paraId="7B6605FF" w14:textId="77777777" w:rsidR="00AB1235" w:rsidRPr="00215EE3" w:rsidRDefault="00AB1235" w:rsidP="008716BD">
      <w:pPr>
        <w:widowControl w:val="0"/>
        <w:ind w:left="1416" w:hanging="1416"/>
        <w:rPr>
          <w:rFonts w:eastAsia="Calibri" w:cs="Calibri"/>
          <w:b/>
        </w:rPr>
      </w:pPr>
    </w:p>
    <w:p w14:paraId="3EA0D335" w14:textId="77777777" w:rsidR="00AB1235" w:rsidRPr="00215EE3" w:rsidRDefault="00AB1235" w:rsidP="008716BD">
      <w:pPr>
        <w:widowControl w:val="0"/>
        <w:rPr>
          <w:rFonts w:eastAsia="Calibri" w:cs="Calibri"/>
          <w:b/>
        </w:rPr>
      </w:pPr>
    </w:p>
    <w:p w14:paraId="3AD37158" w14:textId="77777777" w:rsidR="00AB1235" w:rsidRPr="00215EE3" w:rsidRDefault="00AB1235" w:rsidP="008716BD">
      <w:pPr>
        <w:widowControl w:val="0"/>
        <w:rPr>
          <w:rFonts w:eastAsia="Calibri" w:cs="Calibri"/>
          <w:b/>
        </w:rPr>
      </w:pPr>
    </w:p>
    <w:p w14:paraId="5CB015AF" w14:textId="77777777" w:rsidR="00AB1235" w:rsidRPr="00215EE3" w:rsidRDefault="00AB1235" w:rsidP="008716BD">
      <w:pPr>
        <w:widowControl w:val="0"/>
        <w:jc w:val="center"/>
        <w:rPr>
          <w:rFonts w:eastAsia="Calibri" w:cs="Calibri"/>
          <w:b/>
        </w:rPr>
      </w:pPr>
    </w:p>
    <w:p w14:paraId="6A3CB6CF" w14:textId="521745C1" w:rsidR="00AB1235" w:rsidRDefault="00AB1235" w:rsidP="008716BD">
      <w:pPr>
        <w:widowControl w:val="0"/>
        <w:jc w:val="center"/>
        <w:rPr>
          <w:rFonts w:eastAsia="Calibri" w:cs="Calibri"/>
          <w:b/>
        </w:rPr>
      </w:pPr>
    </w:p>
    <w:p w14:paraId="61DBE650" w14:textId="77777777" w:rsidR="00607A62" w:rsidRPr="00215EE3" w:rsidRDefault="00607A62" w:rsidP="008716BD">
      <w:pPr>
        <w:widowControl w:val="0"/>
        <w:jc w:val="center"/>
        <w:rPr>
          <w:rFonts w:eastAsia="Calibri" w:cs="Calibri"/>
          <w:b/>
        </w:rPr>
      </w:pPr>
    </w:p>
    <w:p w14:paraId="32EB44F4" w14:textId="77777777" w:rsidR="00AE74FC" w:rsidRPr="00C92188" w:rsidRDefault="00AE74FC" w:rsidP="008716BD">
      <w:pPr>
        <w:pStyle w:val="Ttulo"/>
        <w:rPr>
          <w:rFonts w:eastAsia="MS Mincho"/>
        </w:rPr>
      </w:pPr>
      <w:r w:rsidRPr="00C92188">
        <w:rPr>
          <w:rFonts w:eastAsia="MS Mincho"/>
        </w:rPr>
        <w:t>CORTE INTERAMERICANA DE DERECHOS HUMANOS</w:t>
      </w:r>
    </w:p>
    <w:p w14:paraId="06C119D7" w14:textId="77777777" w:rsidR="00AE74FC" w:rsidRPr="00C92188" w:rsidRDefault="00AE74FC" w:rsidP="008716BD">
      <w:pPr>
        <w:pStyle w:val="Ttulo"/>
        <w:rPr>
          <w:rFonts w:eastAsia="MS Mincho"/>
        </w:rPr>
      </w:pPr>
    </w:p>
    <w:p w14:paraId="3908EE60" w14:textId="21A082B5" w:rsidR="00AE74FC" w:rsidRPr="00C92188" w:rsidRDefault="00AE74FC" w:rsidP="008716BD">
      <w:pPr>
        <w:jc w:val="center"/>
        <w:rPr>
          <w:rFonts w:eastAsia="MS Mincho" w:cs="Times New Roman"/>
          <w:b/>
          <w:szCs w:val="20"/>
          <w:lang w:val="es-CR" w:eastAsia="es-CR"/>
        </w:rPr>
      </w:pPr>
      <w:bookmarkStart w:id="0" w:name="_Toc424833991"/>
      <w:bookmarkStart w:id="1" w:name="_Toc424834592"/>
      <w:bookmarkStart w:id="2" w:name="_Toc424834675"/>
      <w:bookmarkStart w:id="3" w:name="_Toc424834742"/>
      <w:r w:rsidRPr="00C92188">
        <w:rPr>
          <w:rFonts w:eastAsia="MS Mincho" w:cs="Times New Roman"/>
          <w:b/>
          <w:szCs w:val="20"/>
          <w:lang w:val="es-CR" w:eastAsia="es-CR"/>
        </w:rPr>
        <w:t xml:space="preserve">CASO </w:t>
      </w:r>
      <w:r w:rsidR="00B134FB">
        <w:rPr>
          <w:rFonts w:eastAsia="MS Mincho" w:cs="Times New Roman"/>
          <w:b/>
          <w:szCs w:val="20"/>
          <w:lang w:val="es-CR" w:eastAsia="es-CR"/>
        </w:rPr>
        <w:t>EXTRABAJADORES DEL ORGANISMO JUDICIAL</w:t>
      </w:r>
      <w:r w:rsidR="00B92F82">
        <w:rPr>
          <w:rFonts w:eastAsia="MS Mincho" w:cs="Times New Roman"/>
          <w:b/>
          <w:szCs w:val="20"/>
          <w:lang w:val="es-CR" w:eastAsia="es-CR"/>
        </w:rPr>
        <w:t xml:space="preserve"> </w:t>
      </w:r>
      <w:r w:rsidR="00B92F82" w:rsidRPr="00B134FB">
        <w:rPr>
          <w:rFonts w:eastAsia="MS Mincho" w:cs="Times New Roman"/>
          <w:b/>
          <w:iCs/>
          <w:szCs w:val="20"/>
          <w:lang w:val="es-CR" w:eastAsia="es-CR"/>
        </w:rPr>
        <w:t>VS</w:t>
      </w:r>
      <w:r w:rsidR="00B92F82" w:rsidRPr="006A2707">
        <w:rPr>
          <w:rFonts w:eastAsia="MS Mincho" w:cs="Times New Roman"/>
          <w:b/>
          <w:i/>
          <w:szCs w:val="20"/>
          <w:lang w:val="es-CR" w:eastAsia="es-CR"/>
        </w:rPr>
        <w:t>.</w:t>
      </w:r>
      <w:r w:rsidR="00B92F82">
        <w:rPr>
          <w:rFonts w:eastAsia="MS Mincho" w:cs="Times New Roman"/>
          <w:b/>
          <w:szCs w:val="20"/>
          <w:lang w:val="es-CR" w:eastAsia="es-CR"/>
        </w:rPr>
        <w:t xml:space="preserve"> </w:t>
      </w:r>
      <w:r w:rsidR="00B134FB">
        <w:rPr>
          <w:rFonts w:eastAsia="MS Mincho" w:cs="Times New Roman"/>
          <w:b/>
          <w:szCs w:val="20"/>
          <w:lang w:val="es-CR" w:eastAsia="es-CR"/>
        </w:rPr>
        <w:t>GUATEMALA</w:t>
      </w:r>
    </w:p>
    <w:bookmarkEnd w:id="0"/>
    <w:bookmarkEnd w:id="1"/>
    <w:bookmarkEnd w:id="2"/>
    <w:bookmarkEnd w:id="3"/>
    <w:p w14:paraId="26ADA53B" w14:textId="77777777" w:rsidR="00AE74FC" w:rsidRPr="00C92188" w:rsidRDefault="00AE74FC" w:rsidP="008716BD">
      <w:pPr>
        <w:tabs>
          <w:tab w:val="left" w:pos="567"/>
        </w:tabs>
        <w:jc w:val="center"/>
        <w:rPr>
          <w:b/>
          <w:spacing w:val="-4"/>
          <w:lang w:val="es-CR"/>
        </w:rPr>
      </w:pPr>
    </w:p>
    <w:p w14:paraId="6EA87F6E" w14:textId="12EA602F" w:rsidR="00AE74FC" w:rsidRDefault="00AE74FC" w:rsidP="008716BD">
      <w:pPr>
        <w:tabs>
          <w:tab w:val="left" w:pos="567"/>
        </w:tabs>
        <w:jc w:val="center"/>
        <w:rPr>
          <w:b/>
          <w:spacing w:val="-4"/>
          <w:lang w:val="es-CR"/>
        </w:rPr>
      </w:pPr>
      <w:bookmarkStart w:id="4" w:name="_Toc424833992"/>
      <w:bookmarkStart w:id="5" w:name="_Toc424834593"/>
      <w:bookmarkStart w:id="6" w:name="_Toc424834676"/>
      <w:bookmarkStart w:id="7" w:name="_Toc424834743"/>
      <w:r w:rsidRPr="00B134FB">
        <w:rPr>
          <w:b/>
          <w:spacing w:val="-4"/>
          <w:lang w:val="es-CR"/>
        </w:rPr>
        <w:t xml:space="preserve">SENTENCIA DE </w:t>
      </w:r>
      <w:r w:rsidR="0019324D">
        <w:rPr>
          <w:b/>
          <w:spacing w:val="-4"/>
          <w:lang w:val="es-CR"/>
        </w:rPr>
        <w:t>27</w:t>
      </w:r>
      <w:r w:rsidRPr="00B134FB">
        <w:rPr>
          <w:b/>
          <w:spacing w:val="-4"/>
          <w:lang w:val="es-CR"/>
        </w:rPr>
        <w:t xml:space="preserve"> </w:t>
      </w:r>
      <w:bookmarkEnd w:id="4"/>
      <w:bookmarkEnd w:id="5"/>
      <w:bookmarkEnd w:id="6"/>
      <w:bookmarkEnd w:id="7"/>
      <w:r w:rsidRPr="00B134FB">
        <w:rPr>
          <w:b/>
          <w:spacing w:val="-4"/>
          <w:lang w:val="es-CR"/>
        </w:rPr>
        <w:t xml:space="preserve">DE </w:t>
      </w:r>
      <w:r w:rsidR="0019324D">
        <w:rPr>
          <w:b/>
          <w:spacing w:val="-4"/>
          <w:lang w:val="es-CR"/>
        </w:rPr>
        <w:t>JULIO</w:t>
      </w:r>
      <w:r w:rsidR="00B92F82" w:rsidRPr="00B134FB">
        <w:rPr>
          <w:b/>
          <w:spacing w:val="-4"/>
          <w:lang w:val="es-CR"/>
        </w:rPr>
        <w:t xml:space="preserve"> DE 202</w:t>
      </w:r>
      <w:r w:rsidR="00B134FB">
        <w:rPr>
          <w:b/>
          <w:spacing w:val="-4"/>
          <w:lang w:val="es-CR"/>
        </w:rPr>
        <w:t>2</w:t>
      </w:r>
    </w:p>
    <w:p w14:paraId="512D853D" w14:textId="77777777" w:rsidR="00AE74FC" w:rsidRDefault="00AE74FC" w:rsidP="008716BD">
      <w:pPr>
        <w:tabs>
          <w:tab w:val="left" w:pos="567"/>
        </w:tabs>
        <w:rPr>
          <w:spacing w:val="-4"/>
          <w:lang w:val="es-CR"/>
        </w:rPr>
      </w:pPr>
    </w:p>
    <w:p w14:paraId="5A5D4CC0" w14:textId="618AC2B5" w:rsidR="00AE74FC" w:rsidRPr="00C92188" w:rsidRDefault="006A2707" w:rsidP="008716BD">
      <w:pPr>
        <w:pStyle w:val="Subttulo"/>
      </w:pPr>
      <w:r w:rsidRPr="006A2707">
        <w:rPr>
          <w:rFonts w:cs="Verdana"/>
          <w:b w:val="0"/>
          <w:i w:val="0"/>
          <w:iCs w:val="0"/>
          <w:spacing w:val="-4"/>
          <w:szCs w:val="20"/>
          <w:lang w:val="es-CR" w:eastAsia="es-CR"/>
        </w:rPr>
        <w:t xml:space="preserve"> </w:t>
      </w:r>
      <w:r w:rsidRPr="00D05A8B">
        <w:rPr>
          <w:rFonts w:cs="Verdana"/>
          <w:iCs w:val="0"/>
          <w:spacing w:val="-4"/>
          <w:szCs w:val="20"/>
          <w:lang w:val="es-CR" w:eastAsia="es-CR"/>
        </w:rPr>
        <w:t>(</w:t>
      </w:r>
      <w:r w:rsidR="00D05A8B" w:rsidRPr="00D05A8B">
        <w:rPr>
          <w:rFonts w:cs="Verdana"/>
          <w:iCs w:val="0"/>
          <w:spacing w:val="-4"/>
          <w:szCs w:val="20"/>
          <w:lang w:val="es-CR" w:eastAsia="es-CR"/>
        </w:rPr>
        <w:t>I</w:t>
      </w:r>
      <w:r w:rsidRPr="00D05A8B">
        <w:rPr>
          <w:rFonts w:cs="Verdana"/>
          <w:iCs w:val="0"/>
          <w:spacing w:val="-4"/>
          <w:szCs w:val="20"/>
          <w:lang w:val="es-CR" w:eastAsia="es-CR"/>
        </w:rPr>
        <w:t>nterpretación de la Sentencia de Excepciones Preliminares, Fondo</w:t>
      </w:r>
      <w:r w:rsidR="00B134FB">
        <w:rPr>
          <w:rFonts w:cs="Verdana"/>
          <w:iCs w:val="0"/>
          <w:spacing w:val="-4"/>
          <w:szCs w:val="20"/>
          <w:lang w:val="es-CR" w:eastAsia="es-CR"/>
        </w:rPr>
        <w:t xml:space="preserve"> y </w:t>
      </w:r>
      <w:r w:rsidRPr="006A2707">
        <w:rPr>
          <w:rFonts w:cs="Verdana"/>
          <w:iCs w:val="0"/>
          <w:spacing w:val="-4"/>
          <w:szCs w:val="20"/>
          <w:lang w:val="es-CR" w:eastAsia="es-CR"/>
        </w:rPr>
        <w:t>Reparaciones)</w:t>
      </w:r>
    </w:p>
    <w:p w14:paraId="4856488D" w14:textId="77777777" w:rsidR="00AE74FC" w:rsidRPr="00C92188" w:rsidRDefault="00AE74FC" w:rsidP="008716BD">
      <w:pPr>
        <w:rPr>
          <w:szCs w:val="20"/>
        </w:rPr>
      </w:pPr>
    </w:p>
    <w:p w14:paraId="39C66085" w14:textId="77777777" w:rsidR="00AE74FC" w:rsidRPr="00C92188" w:rsidRDefault="00AE74FC" w:rsidP="008716BD">
      <w:pPr>
        <w:rPr>
          <w:szCs w:val="20"/>
        </w:rPr>
      </w:pPr>
    </w:p>
    <w:p w14:paraId="0A7190A2" w14:textId="77777777" w:rsidR="00AE74FC" w:rsidRPr="00C92188" w:rsidRDefault="00AE74FC" w:rsidP="008716BD">
      <w:pPr>
        <w:rPr>
          <w:szCs w:val="20"/>
        </w:rPr>
      </w:pPr>
    </w:p>
    <w:p w14:paraId="618D1AA6" w14:textId="6AAD0742" w:rsidR="006A2707" w:rsidRDefault="00AE74FC" w:rsidP="008716BD">
      <w:pPr>
        <w:widowControl w:val="0"/>
        <w:tabs>
          <w:tab w:val="left" w:pos="567"/>
          <w:tab w:val="left" w:pos="720"/>
        </w:tabs>
        <w:adjustRightInd w:val="0"/>
        <w:textAlignment w:val="baseline"/>
        <w:rPr>
          <w:rFonts w:cs="Verdana"/>
          <w:i/>
          <w:iCs/>
          <w:spacing w:val="-4"/>
          <w:szCs w:val="20"/>
          <w:lang w:val="es-CR" w:eastAsia="es-CR"/>
        </w:rPr>
      </w:pPr>
      <w:r w:rsidRPr="00C92188">
        <w:rPr>
          <w:rFonts w:cs="Verdana"/>
          <w:spacing w:val="-4"/>
          <w:szCs w:val="20"/>
          <w:lang w:val="es-CR" w:eastAsia="es-CR"/>
        </w:rPr>
        <w:t>En el caso</w:t>
      </w:r>
      <w:r w:rsidRPr="00C92188">
        <w:rPr>
          <w:rFonts w:cs="Verdana"/>
          <w:i/>
          <w:iCs/>
          <w:spacing w:val="-4"/>
          <w:szCs w:val="20"/>
          <w:lang w:val="es-CR" w:eastAsia="es-CR"/>
        </w:rPr>
        <w:t xml:space="preserve"> </w:t>
      </w:r>
      <w:r w:rsidR="00B134FB">
        <w:rPr>
          <w:rFonts w:cs="Verdana"/>
          <w:i/>
          <w:iCs/>
          <w:spacing w:val="-4"/>
          <w:szCs w:val="20"/>
          <w:lang w:val="es-CR" w:eastAsia="es-CR"/>
        </w:rPr>
        <w:t>Extrabajadores del Organismo Judicial</w:t>
      </w:r>
      <w:r w:rsidR="00EB5607">
        <w:rPr>
          <w:rFonts w:cs="Verdana"/>
          <w:i/>
          <w:iCs/>
          <w:spacing w:val="-4"/>
          <w:szCs w:val="20"/>
          <w:lang w:val="es-CR" w:eastAsia="es-CR"/>
        </w:rPr>
        <w:t xml:space="preserve"> Vs. </w:t>
      </w:r>
      <w:r w:rsidR="00B134FB">
        <w:rPr>
          <w:rFonts w:cs="Verdana"/>
          <w:i/>
          <w:iCs/>
          <w:spacing w:val="-4"/>
          <w:szCs w:val="20"/>
          <w:lang w:val="es-CR" w:eastAsia="es-CR"/>
        </w:rPr>
        <w:t>Guatemala</w:t>
      </w:r>
      <w:r w:rsidR="006A2707">
        <w:rPr>
          <w:rFonts w:cs="Verdana"/>
          <w:i/>
          <w:iCs/>
          <w:spacing w:val="-4"/>
          <w:szCs w:val="20"/>
          <w:lang w:val="es-CR" w:eastAsia="es-CR"/>
        </w:rPr>
        <w:t>,</w:t>
      </w:r>
    </w:p>
    <w:p w14:paraId="413DF309" w14:textId="77777777" w:rsidR="006A2707" w:rsidRPr="006A2707" w:rsidRDefault="006A2707" w:rsidP="008716BD">
      <w:pPr>
        <w:widowControl w:val="0"/>
        <w:tabs>
          <w:tab w:val="left" w:pos="567"/>
          <w:tab w:val="left" w:pos="720"/>
        </w:tabs>
        <w:adjustRightInd w:val="0"/>
        <w:textAlignment w:val="baseline"/>
        <w:rPr>
          <w:rFonts w:cs="Verdana"/>
          <w:i/>
          <w:iCs/>
          <w:spacing w:val="-4"/>
          <w:szCs w:val="20"/>
          <w:lang w:val="es-CR" w:eastAsia="es-CR"/>
        </w:rPr>
      </w:pPr>
    </w:p>
    <w:p w14:paraId="432264B6" w14:textId="697DDFAB" w:rsidR="00AE74FC" w:rsidRPr="00C92188" w:rsidRDefault="00AE74FC" w:rsidP="008716BD">
      <w:pPr>
        <w:widowControl w:val="0"/>
        <w:tabs>
          <w:tab w:val="left" w:pos="567"/>
          <w:tab w:val="left" w:pos="720"/>
        </w:tabs>
        <w:adjustRightInd w:val="0"/>
        <w:textAlignment w:val="baseline"/>
        <w:rPr>
          <w:rFonts w:cs="Verdana"/>
          <w:spacing w:val="-4"/>
          <w:szCs w:val="20"/>
          <w:lang w:val="es-CR" w:eastAsia="es-CR"/>
        </w:rPr>
      </w:pPr>
      <w:r w:rsidRPr="00C92188">
        <w:rPr>
          <w:rFonts w:cs="Verdana"/>
          <w:spacing w:val="-4"/>
          <w:szCs w:val="20"/>
          <w:lang w:val="es-CR" w:eastAsia="es-CR"/>
        </w:rPr>
        <w:t>la Corte Interamericana de Derechos Humanos (en adelante “la Corte Interamericana”, “la Corte” o “e</w:t>
      </w:r>
      <w:r w:rsidR="0011671F">
        <w:rPr>
          <w:rFonts w:cs="Verdana"/>
          <w:spacing w:val="-4"/>
          <w:szCs w:val="20"/>
          <w:lang w:val="es-CR" w:eastAsia="es-CR"/>
        </w:rPr>
        <w:t>l</w:t>
      </w:r>
      <w:r w:rsidRPr="00C92188">
        <w:rPr>
          <w:rFonts w:cs="Verdana"/>
          <w:spacing w:val="-4"/>
          <w:szCs w:val="20"/>
          <w:lang w:val="es-CR" w:eastAsia="es-CR"/>
        </w:rPr>
        <w:t xml:space="preserve"> Tribunal”), integrada por los siguientes Jueces</w:t>
      </w:r>
      <w:r w:rsidR="0034292B" w:rsidRPr="003C7A6C">
        <w:rPr>
          <w:rStyle w:val="Refdenotaalpie"/>
          <w:lang w:val="es-CR"/>
        </w:rPr>
        <w:footnoteReference w:customMarkFollows="1" w:id="1"/>
        <w:t>*</w:t>
      </w:r>
      <w:r w:rsidRPr="00C92188">
        <w:rPr>
          <w:rFonts w:cs="Verdana"/>
          <w:spacing w:val="-4"/>
          <w:szCs w:val="20"/>
          <w:lang w:val="es-CR" w:eastAsia="es-CR"/>
        </w:rPr>
        <w:t>:</w:t>
      </w:r>
    </w:p>
    <w:p w14:paraId="197E85A4" w14:textId="77777777" w:rsidR="00AE74FC" w:rsidRPr="00C92188" w:rsidRDefault="00AE74FC" w:rsidP="008716BD">
      <w:pPr>
        <w:widowControl w:val="0"/>
        <w:tabs>
          <w:tab w:val="left" w:pos="567"/>
          <w:tab w:val="left" w:pos="720"/>
        </w:tabs>
        <w:adjustRightInd w:val="0"/>
        <w:textAlignment w:val="baseline"/>
        <w:rPr>
          <w:rFonts w:cs="Verdana"/>
          <w:spacing w:val="-4"/>
          <w:szCs w:val="20"/>
          <w:lang w:val="es-CR" w:eastAsia="es-CR"/>
        </w:rPr>
      </w:pPr>
    </w:p>
    <w:p w14:paraId="15E2BE1B" w14:textId="60BE5165" w:rsidR="00EB5607" w:rsidRPr="00FA4790" w:rsidRDefault="00EB5607" w:rsidP="008716BD">
      <w:pPr>
        <w:widowControl w:val="0"/>
        <w:tabs>
          <w:tab w:val="left" w:pos="567"/>
          <w:tab w:val="left" w:pos="720"/>
          <w:tab w:val="left" w:pos="851"/>
        </w:tabs>
        <w:ind w:right="-174"/>
        <w:rPr>
          <w:rFonts w:cs="Verdana"/>
          <w:lang w:val="es-CR"/>
        </w:rPr>
      </w:pPr>
      <w:r w:rsidRPr="00FA4790">
        <w:rPr>
          <w:rFonts w:cs="Verdana"/>
          <w:lang w:val="es-CR"/>
        </w:rPr>
        <w:t>L.</w:t>
      </w:r>
      <w:r w:rsidRPr="00B56FBA">
        <w:rPr>
          <w:rFonts w:cs="Verdana"/>
          <w:lang w:val="es-US"/>
        </w:rPr>
        <w:t xml:space="preserve"> Patricio</w:t>
      </w:r>
      <w:r w:rsidRPr="00B56FBA">
        <w:rPr>
          <w:rFonts w:cs="Verdana"/>
          <w:lang w:val="es-VE"/>
        </w:rPr>
        <w:t xml:space="preserve"> Pazmiño</w:t>
      </w:r>
      <w:r w:rsidRPr="00FA4790">
        <w:rPr>
          <w:rFonts w:cs="Verdana"/>
          <w:lang w:val="es-CR"/>
        </w:rPr>
        <w:t xml:space="preserve"> Freire,</w:t>
      </w:r>
      <w:r w:rsidRPr="00B56FBA">
        <w:rPr>
          <w:rFonts w:cs="Verdana"/>
        </w:rPr>
        <w:t xml:space="preserve"> </w:t>
      </w:r>
      <w:proofErr w:type="gramStart"/>
      <w:r w:rsidR="00505B0F">
        <w:rPr>
          <w:rFonts w:cs="Verdana"/>
        </w:rPr>
        <w:t>Presidente</w:t>
      </w:r>
      <w:proofErr w:type="gramEnd"/>
      <w:r w:rsidR="00505B0F">
        <w:rPr>
          <w:rFonts w:cs="Verdana"/>
        </w:rPr>
        <w:t xml:space="preserve"> en ejercicio</w:t>
      </w:r>
      <w:r w:rsidRPr="00FA4790">
        <w:rPr>
          <w:rFonts w:cs="Verdana"/>
          <w:lang w:val="es-CR"/>
        </w:rPr>
        <w:t>;</w:t>
      </w:r>
    </w:p>
    <w:p w14:paraId="44DFA72A" w14:textId="77777777" w:rsidR="00EB5607" w:rsidRPr="00FA4790" w:rsidRDefault="00EB5607" w:rsidP="008716BD">
      <w:pPr>
        <w:pStyle w:val="citaindirecta"/>
        <w:widowControl w:val="0"/>
        <w:tabs>
          <w:tab w:val="left" w:pos="567"/>
          <w:tab w:val="left" w:pos="851"/>
          <w:tab w:val="left" w:pos="7213"/>
        </w:tabs>
        <w:ind w:left="0" w:right="-174"/>
        <w:rPr>
          <w:lang w:val="es-CR"/>
        </w:rPr>
      </w:pPr>
      <w:r w:rsidRPr="00FA4790">
        <w:rPr>
          <w:lang w:val="es-CR"/>
        </w:rPr>
        <w:t>Humberto</w:t>
      </w:r>
      <w:r w:rsidRPr="00B56FBA">
        <w:rPr>
          <w:lang w:val="es-GT"/>
        </w:rPr>
        <w:t xml:space="preserve"> Antonio</w:t>
      </w:r>
      <w:r w:rsidRPr="00FA4790">
        <w:rPr>
          <w:lang w:val="es-CR"/>
        </w:rPr>
        <w:t xml:space="preserve"> </w:t>
      </w:r>
      <w:r w:rsidRPr="00B56FBA">
        <w:rPr>
          <w:lang w:val="es-GT"/>
        </w:rPr>
        <w:t>Sierra</w:t>
      </w:r>
      <w:r w:rsidRPr="00FA4790">
        <w:rPr>
          <w:lang w:val="es-CR"/>
        </w:rPr>
        <w:t xml:space="preserve"> Porto,</w:t>
      </w:r>
      <w:r w:rsidRPr="00B56FBA">
        <w:rPr>
          <w:lang w:val="es-VE"/>
        </w:rPr>
        <w:t xml:space="preserve"> Juez</w:t>
      </w:r>
      <w:r w:rsidRPr="00FA4790">
        <w:rPr>
          <w:lang w:val="es-CR"/>
        </w:rPr>
        <w:t>;</w:t>
      </w:r>
    </w:p>
    <w:p w14:paraId="531CD005" w14:textId="77777777" w:rsidR="00EB5607" w:rsidRPr="00FC7118" w:rsidRDefault="00EB5607" w:rsidP="008716BD">
      <w:pPr>
        <w:pStyle w:val="citaindirecta"/>
        <w:widowControl w:val="0"/>
        <w:tabs>
          <w:tab w:val="left" w:pos="567"/>
          <w:tab w:val="left" w:pos="851"/>
          <w:tab w:val="left" w:pos="7213"/>
        </w:tabs>
        <w:ind w:left="0" w:right="-174"/>
        <w:rPr>
          <w:lang w:val="pt-BR"/>
        </w:rPr>
      </w:pPr>
      <w:r w:rsidRPr="00FC7118">
        <w:rPr>
          <w:lang w:val="pt-BR"/>
        </w:rPr>
        <w:t xml:space="preserve">Eduardo Ferrer </w:t>
      </w:r>
      <w:proofErr w:type="spellStart"/>
      <w:r w:rsidRPr="00FC7118">
        <w:rPr>
          <w:lang w:val="pt-BR"/>
        </w:rPr>
        <w:t>Mac-Gregor</w:t>
      </w:r>
      <w:proofErr w:type="spellEnd"/>
      <w:r w:rsidRPr="00FC7118">
        <w:rPr>
          <w:lang w:val="pt-BR"/>
        </w:rPr>
        <w:t xml:space="preserve"> </w:t>
      </w:r>
      <w:proofErr w:type="spellStart"/>
      <w:r w:rsidRPr="00FC7118">
        <w:rPr>
          <w:lang w:val="pt-BR"/>
        </w:rPr>
        <w:t>Poisot</w:t>
      </w:r>
      <w:proofErr w:type="spellEnd"/>
      <w:r w:rsidRPr="00FC7118">
        <w:rPr>
          <w:lang w:val="pt-BR"/>
        </w:rPr>
        <w:t xml:space="preserve">, </w:t>
      </w:r>
      <w:proofErr w:type="spellStart"/>
      <w:r w:rsidRPr="00FC7118">
        <w:rPr>
          <w:lang w:val="pt-BR"/>
        </w:rPr>
        <w:t>Juez</w:t>
      </w:r>
      <w:proofErr w:type="spellEnd"/>
      <w:r w:rsidRPr="00FC7118">
        <w:rPr>
          <w:lang w:val="pt-BR"/>
        </w:rPr>
        <w:t>;</w:t>
      </w:r>
    </w:p>
    <w:p w14:paraId="136540E3" w14:textId="77777777" w:rsidR="00EB5607" w:rsidRPr="00B56FBA" w:rsidRDefault="00EB5607" w:rsidP="008716BD">
      <w:pPr>
        <w:pStyle w:val="citaindirecta"/>
        <w:widowControl w:val="0"/>
        <w:tabs>
          <w:tab w:val="left" w:pos="567"/>
          <w:tab w:val="left" w:pos="851"/>
          <w:tab w:val="left" w:pos="7213"/>
        </w:tabs>
        <w:ind w:left="0" w:right="-174"/>
        <w:rPr>
          <w:lang w:val="es-CR"/>
        </w:rPr>
      </w:pPr>
      <w:r w:rsidRPr="00B56FBA">
        <w:rPr>
          <w:lang w:val="es-CR"/>
        </w:rPr>
        <w:t>Eugenio Raúl Zaffaroni, Juez</w:t>
      </w:r>
      <w:r w:rsidRPr="00FA4790">
        <w:rPr>
          <w:lang w:val="es-CR"/>
        </w:rPr>
        <w:t xml:space="preserve">, </w:t>
      </w:r>
      <w:r w:rsidRPr="00B56FBA">
        <w:rPr>
          <w:lang w:val="es-CR"/>
        </w:rPr>
        <w:t>y</w:t>
      </w:r>
    </w:p>
    <w:p w14:paraId="2E76FB9D" w14:textId="0AEF70AB" w:rsidR="00EB5607" w:rsidRPr="00FA4790" w:rsidRDefault="00EB5607" w:rsidP="008716BD">
      <w:pPr>
        <w:widowControl w:val="0"/>
        <w:tabs>
          <w:tab w:val="left" w:pos="567"/>
          <w:tab w:val="left" w:pos="720"/>
          <w:tab w:val="left" w:pos="851"/>
        </w:tabs>
        <w:ind w:right="-174"/>
        <w:rPr>
          <w:rFonts w:cs="Verdana"/>
          <w:lang w:val="es-CR"/>
        </w:rPr>
      </w:pPr>
      <w:r w:rsidRPr="00FA4790">
        <w:rPr>
          <w:lang w:val="es-CR"/>
        </w:rPr>
        <w:t>Ricardo</w:t>
      </w:r>
      <w:r w:rsidR="00FA7A9B">
        <w:rPr>
          <w:lang w:val="es-CR"/>
        </w:rPr>
        <w:t xml:space="preserve"> C.</w:t>
      </w:r>
      <w:r w:rsidRPr="00FA4790">
        <w:rPr>
          <w:lang w:val="es-CR"/>
        </w:rPr>
        <w:t xml:space="preserve"> Pérez Manrique, Juez,</w:t>
      </w:r>
    </w:p>
    <w:p w14:paraId="259F83E3" w14:textId="77777777" w:rsidR="00EB5607" w:rsidRPr="00FA4790" w:rsidRDefault="00EB5607" w:rsidP="008716BD">
      <w:pPr>
        <w:widowControl w:val="0"/>
        <w:tabs>
          <w:tab w:val="left" w:pos="567"/>
          <w:tab w:val="left" w:pos="720"/>
        </w:tabs>
        <w:adjustRightInd w:val="0"/>
        <w:textAlignment w:val="baseline"/>
        <w:rPr>
          <w:rFonts w:cs="Verdana"/>
          <w:lang w:val="es-CR" w:eastAsia="es-CR"/>
        </w:rPr>
      </w:pPr>
    </w:p>
    <w:p w14:paraId="73936ABC" w14:textId="77777777" w:rsidR="00EB5607" w:rsidRPr="00B56FBA" w:rsidRDefault="00EB5607" w:rsidP="008716BD">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r w:rsidRPr="00B56FBA">
        <w:rPr>
          <w:rFonts w:eastAsia="MS Mincho" w:cs="Verdana"/>
          <w:spacing w:val="0"/>
          <w:szCs w:val="20"/>
          <w:lang w:eastAsia="es-CR"/>
        </w:rPr>
        <w:t>presentes, además,</w:t>
      </w:r>
    </w:p>
    <w:p w14:paraId="7972B53D" w14:textId="77777777" w:rsidR="00EB5607" w:rsidRPr="00B56FBA" w:rsidRDefault="00EB5607" w:rsidP="008716BD">
      <w:pPr>
        <w:widowControl w:val="0"/>
        <w:tabs>
          <w:tab w:val="left" w:pos="567"/>
          <w:tab w:val="left" w:pos="720"/>
        </w:tabs>
        <w:adjustRightInd w:val="0"/>
        <w:textAlignment w:val="baseline"/>
        <w:rPr>
          <w:rFonts w:cs="Verdana"/>
          <w:lang w:eastAsia="es-CR"/>
        </w:rPr>
      </w:pPr>
    </w:p>
    <w:p w14:paraId="409FEA9C" w14:textId="77777777" w:rsidR="00EB5607" w:rsidRPr="00B56FBA" w:rsidRDefault="00EB5607" w:rsidP="008716BD">
      <w:pPr>
        <w:widowControl w:val="0"/>
        <w:tabs>
          <w:tab w:val="left" w:pos="567"/>
          <w:tab w:val="left" w:pos="720"/>
        </w:tabs>
        <w:adjustRightInd w:val="0"/>
        <w:textAlignment w:val="baseline"/>
        <w:rPr>
          <w:rFonts w:cs="Verdana"/>
          <w:lang w:eastAsia="es-CR"/>
        </w:rPr>
      </w:pPr>
      <w:r w:rsidRPr="00B56FBA">
        <w:rPr>
          <w:rFonts w:cs="Verdana"/>
          <w:lang w:eastAsia="es-CR"/>
        </w:rPr>
        <w:t xml:space="preserve">Pablo Saavedra Alessandri, </w:t>
      </w:r>
      <w:proofErr w:type="gramStart"/>
      <w:r w:rsidRPr="00B56FBA">
        <w:rPr>
          <w:rFonts w:cs="Verdana"/>
          <w:lang w:eastAsia="es-CR"/>
        </w:rPr>
        <w:t>Secretario</w:t>
      </w:r>
      <w:proofErr w:type="gramEnd"/>
      <w:r w:rsidRPr="00B56FBA">
        <w:rPr>
          <w:rFonts w:cs="Verdana"/>
          <w:lang w:eastAsia="es-CR"/>
        </w:rPr>
        <w:t xml:space="preserve">, y </w:t>
      </w:r>
    </w:p>
    <w:p w14:paraId="51F8297A" w14:textId="77777777" w:rsidR="00EB5607" w:rsidRPr="00B56FBA" w:rsidRDefault="00EB5607" w:rsidP="008716BD">
      <w:pPr>
        <w:widowControl w:val="0"/>
        <w:tabs>
          <w:tab w:val="left" w:pos="567"/>
          <w:tab w:val="left" w:pos="720"/>
        </w:tabs>
        <w:adjustRightInd w:val="0"/>
        <w:textAlignment w:val="baseline"/>
        <w:rPr>
          <w:rFonts w:cs="Verdana"/>
          <w:lang w:eastAsia="es-CR"/>
        </w:rPr>
      </w:pPr>
      <w:r w:rsidRPr="00B56FBA">
        <w:rPr>
          <w:rFonts w:cs="Verdana"/>
          <w:lang w:eastAsia="es-CR"/>
        </w:rPr>
        <w:t xml:space="preserve">Romina I. Sijniensky, </w:t>
      </w:r>
      <w:proofErr w:type="gramStart"/>
      <w:r w:rsidRPr="00B56FBA">
        <w:rPr>
          <w:rFonts w:cs="Verdana"/>
          <w:lang w:eastAsia="es-CR"/>
        </w:rPr>
        <w:t>Secretaria</w:t>
      </w:r>
      <w:proofErr w:type="gramEnd"/>
      <w:r w:rsidRPr="00B56FBA">
        <w:rPr>
          <w:rFonts w:cs="Verdana"/>
          <w:lang w:eastAsia="es-CR"/>
        </w:rPr>
        <w:t xml:space="preserve"> Adjunta,</w:t>
      </w:r>
    </w:p>
    <w:p w14:paraId="04B96BA4" w14:textId="77777777" w:rsidR="00AE74FC" w:rsidRPr="00C92188" w:rsidRDefault="00AE74FC" w:rsidP="008716BD"/>
    <w:p w14:paraId="586320A8" w14:textId="63E53FC4" w:rsidR="00AE74FC" w:rsidRPr="00306B0B" w:rsidRDefault="00AE74FC" w:rsidP="008716BD">
      <w:pPr>
        <w:rPr>
          <w:b/>
        </w:rPr>
      </w:pPr>
      <w:r w:rsidRPr="00C92188">
        <w:rPr>
          <w:rFonts w:cs="Verdana"/>
          <w:spacing w:val="-2"/>
          <w:szCs w:val="20"/>
          <w:lang w:val="es-ES_tradnl"/>
        </w:rPr>
        <w:t>de conformidad con el artículo 67 de la Convención Americana sobre Derechos Humanos (en adelante también “la Convención Americana” o “la Convención”) y el artículo 68 del Reglamento de la Corte (en adelante</w:t>
      </w:r>
      <w:r w:rsidR="0011671F">
        <w:rPr>
          <w:rFonts w:cs="Verdana"/>
          <w:spacing w:val="-2"/>
          <w:szCs w:val="20"/>
          <w:lang w:val="es-ES_tradnl"/>
        </w:rPr>
        <w:t xml:space="preserve"> también</w:t>
      </w:r>
      <w:r w:rsidRPr="00C92188">
        <w:rPr>
          <w:rFonts w:cs="Verdana"/>
          <w:spacing w:val="-2"/>
          <w:szCs w:val="20"/>
          <w:lang w:val="es-ES_tradnl"/>
        </w:rPr>
        <w:t xml:space="preserve"> “el Reglame</w:t>
      </w:r>
      <w:r w:rsidR="00306B0B">
        <w:rPr>
          <w:rFonts w:cs="Verdana"/>
          <w:spacing w:val="-2"/>
          <w:szCs w:val="20"/>
          <w:lang w:val="es-ES_tradnl"/>
        </w:rPr>
        <w:t xml:space="preserve">nto”), resuelve la </w:t>
      </w:r>
      <w:r w:rsidRPr="00C92188">
        <w:rPr>
          <w:rFonts w:cs="Verdana"/>
          <w:spacing w:val="-2"/>
          <w:szCs w:val="20"/>
          <w:lang w:val="es-ES_tradnl"/>
        </w:rPr>
        <w:t xml:space="preserve">solicitud de interpretación de la Sentencia sobre </w:t>
      </w:r>
      <w:r w:rsidR="00AB1235">
        <w:rPr>
          <w:rFonts w:cs="Verdana"/>
          <w:spacing w:val="-2"/>
          <w:szCs w:val="20"/>
          <w:lang w:val="es-ES_tradnl"/>
        </w:rPr>
        <w:t xml:space="preserve">Excepciones Preliminares, </w:t>
      </w:r>
      <w:r w:rsidRPr="00C92188">
        <w:rPr>
          <w:rFonts w:cs="Verdana"/>
          <w:spacing w:val="-2"/>
          <w:szCs w:val="20"/>
          <w:lang w:val="es-ES_tradnl"/>
        </w:rPr>
        <w:t>Fondo</w:t>
      </w:r>
      <w:r w:rsidR="00B134FB">
        <w:rPr>
          <w:rFonts w:cs="Verdana"/>
          <w:spacing w:val="-2"/>
          <w:szCs w:val="20"/>
          <w:lang w:val="es-ES_tradnl"/>
        </w:rPr>
        <w:t xml:space="preserve"> y</w:t>
      </w:r>
      <w:r w:rsidRPr="00C92188">
        <w:rPr>
          <w:rFonts w:cs="Verdana"/>
          <w:spacing w:val="-2"/>
          <w:szCs w:val="20"/>
          <w:lang w:val="es-ES_tradnl"/>
        </w:rPr>
        <w:t xml:space="preserve"> Reparaciones</w:t>
      </w:r>
      <w:r w:rsidR="00AB1235">
        <w:rPr>
          <w:rFonts w:cs="Verdana"/>
          <w:spacing w:val="-2"/>
          <w:szCs w:val="20"/>
          <w:lang w:val="es-ES_tradnl"/>
        </w:rPr>
        <w:t>,</w:t>
      </w:r>
      <w:r w:rsidR="00EB5607">
        <w:rPr>
          <w:rFonts w:cs="Verdana"/>
          <w:spacing w:val="-2"/>
          <w:szCs w:val="20"/>
          <w:lang w:val="es-ES_tradnl"/>
        </w:rPr>
        <w:t xml:space="preserve"> emitida por este Tribunal el </w:t>
      </w:r>
      <w:r w:rsidR="00EC2938">
        <w:rPr>
          <w:rFonts w:cs="Verdana"/>
          <w:spacing w:val="-2"/>
          <w:szCs w:val="20"/>
          <w:lang w:val="es-ES_tradnl"/>
        </w:rPr>
        <w:t>17</w:t>
      </w:r>
      <w:r w:rsidRPr="00C92188">
        <w:rPr>
          <w:rFonts w:cs="Verdana"/>
          <w:spacing w:val="-2"/>
          <w:szCs w:val="20"/>
          <w:lang w:val="es-ES_tradnl"/>
        </w:rPr>
        <w:t xml:space="preserve"> de </w:t>
      </w:r>
      <w:r w:rsidR="00EB5607" w:rsidRPr="00306B0B">
        <w:rPr>
          <w:rFonts w:cs="Verdana"/>
          <w:spacing w:val="-2"/>
          <w:szCs w:val="20"/>
          <w:lang w:val="es-ES_tradnl"/>
        </w:rPr>
        <w:t>noviembre</w:t>
      </w:r>
      <w:r w:rsidRPr="00306B0B">
        <w:rPr>
          <w:rFonts w:cs="Verdana"/>
          <w:spacing w:val="-2"/>
          <w:szCs w:val="20"/>
          <w:lang w:val="es-ES_tradnl"/>
        </w:rPr>
        <w:t xml:space="preserve"> de 202</w:t>
      </w:r>
      <w:r w:rsidR="00EC2938">
        <w:rPr>
          <w:rFonts w:cs="Verdana"/>
          <w:spacing w:val="-2"/>
          <w:szCs w:val="20"/>
          <w:lang w:val="es-ES_tradnl"/>
        </w:rPr>
        <w:t>1</w:t>
      </w:r>
      <w:r w:rsidRPr="00306B0B">
        <w:rPr>
          <w:rFonts w:cs="Verdana"/>
          <w:spacing w:val="-2"/>
          <w:szCs w:val="20"/>
          <w:lang w:val="es-ES_tradnl"/>
        </w:rPr>
        <w:t xml:space="preserve"> en el presente caso (en </w:t>
      </w:r>
      <w:r w:rsidRPr="006A7FC1">
        <w:rPr>
          <w:rFonts w:cs="Verdana"/>
          <w:spacing w:val="-2"/>
          <w:szCs w:val="20"/>
          <w:lang w:val="es-ES_tradnl"/>
        </w:rPr>
        <w:t>adelante también “la Sentencia”</w:t>
      </w:r>
      <w:r w:rsidR="00505B0F">
        <w:rPr>
          <w:rFonts w:cs="Verdana"/>
          <w:spacing w:val="-2"/>
          <w:szCs w:val="20"/>
          <w:lang w:val="es-ES_tradnl"/>
        </w:rPr>
        <w:t xml:space="preserve"> o “el Fallo”</w:t>
      </w:r>
      <w:r w:rsidRPr="006A7FC1">
        <w:rPr>
          <w:rFonts w:cs="Verdana"/>
          <w:spacing w:val="-2"/>
          <w:szCs w:val="20"/>
          <w:lang w:val="es-ES_tradnl"/>
        </w:rPr>
        <w:t>), interpuesta</w:t>
      </w:r>
      <w:r w:rsidR="00EC2938">
        <w:rPr>
          <w:rFonts w:cs="Verdana"/>
          <w:spacing w:val="-2"/>
          <w:szCs w:val="20"/>
          <w:lang w:val="es-ES_tradnl"/>
        </w:rPr>
        <w:t xml:space="preserve"> </w:t>
      </w:r>
      <w:r w:rsidRPr="006A7FC1">
        <w:rPr>
          <w:rFonts w:cs="Verdana"/>
          <w:spacing w:val="-2"/>
          <w:szCs w:val="20"/>
          <w:lang w:val="es-ES_tradnl"/>
        </w:rPr>
        <w:t xml:space="preserve">el </w:t>
      </w:r>
      <w:r w:rsidR="00EC2938">
        <w:rPr>
          <w:rFonts w:cs="Verdana"/>
          <w:spacing w:val="-2"/>
          <w:szCs w:val="20"/>
          <w:lang w:val="es-ES_tradnl"/>
        </w:rPr>
        <w:t>22 de abril de 2022</w:t>
      </w:r>
      <w:r w:rsidR="00306B0B" w:rsidRPr="00306B0B">
        <w:rPr>
          <w:rFonts w:cs="Verdana"/>
          <w:spacing w:val="-2"/>
          <w:szCs w:val="20"/>
          <w:lang w:val="es-ES_tradnl"/>
        </w:rPr>
        <w:t xml:space="preserve"> por la </w:t>
      </w:r>
      <w:r w:rsidR="00306B0B" w:rsidRPr="00306B0B">
        <w:rPr>
          <w:szCs w:val="20"/>
          <w:lang w:val="es-CR" w:eastAsia="es-CR"/>
        </w:rPr>
        <w:t xml:space="preserve">República de </w:t>
      </w:r>
      <w:r w:rsidR="00EC2938">
        <w:rPr>
          <w:szCs w:val="20"/>
          <w:lang w:val="es-CR" w:eastAsia="es-CR"/>
        </w:rPr>
        <w:t>Guatemala</w:t>
      </w:r>
      <w:r w:rsidR="00306B0B" w:rsidRPr="00306B0B">
        <w:rPr>
          <w:szCs w:val="20"/>
          <w:lang w:val="es-CR" w:eastAsia="es-CR"/>
        </w:rPr>
        <w:t xml:space="preserve"> (</w:t>
      </w:r>
      <w:r w:rsidR="00306B0B" w:rsidRPr="00306B0B">
        <w:t xml:space="preserve">en adelante </w:t>
      </w:r>
      <w:r w:rsidR="00EC2938">
        <w:t>también</w:t>
      </w:r>
      <w:r w:rsidR="00306B0B" w:rsidRPr="00306B0B">
        <w:t xml:space="preserve"> “el Estado” o “</w:t>
      </w:r>
      <w:r w:rsidR="00EC2938">
        <w:t>Guatemala</w:t>
      </w:r>
      <w:r w:rsidR="00306B0B" w:rsidRPr="00306B0B">
        <w:t>”</w:t>
      </w:r>
      <w:r w:rsidR="00306B0B" w:rsidRPr="00306B0B">
        <w:rPr>
          <w:szCs w:val="20"/>
          <w:lang w:val="es-CR" w:eastAsia="es-CR"/>
        </w:rPr>
        <w:t>)</w:t>
      </w:r>
      <w:r w:rsidR="00AB1235">
        <w:rPr>
          <w:szCs w:val="20"/>
          <w:lang w:val="es-CR" w:eastAsia="es-CR"/>
        </w:rPr>
        <w:t>.</w:t>
      </w:r>
      <w:r w:rsidR="00790DC8">
        <w:rPr>
          <w:szCs w:val="20"/>
          <w:lang w:val="es-CR" w:eastAsia="es-CR"/>
        </w:rPr>
        <w:t xml:space="preserve"> </w:t>
      </w:r>
    </w:p>
    <w:p w14:paraId="1DEB5B5A" w14:textId="21799EBF" w:rsidR="00AE74FC" w:rsidRDefault="00AE74FC" w:rsidP="008716BD"/>
    <w:p w14:paraId="51CBD20A" w14:textId="131ABDA6" w:rsidR="00AB1235" w:rsidRDefault="00AB1235" w:rsidP="008716BD"/>
    <w:p w14:paraId="5BEEF43E" w14:textId="179FA690" w:rsidR="00EC2938" w:rsidRDefault="00EC2938" w:rsidP="008716BD"/>
    <w:p w14:paraId="62C5B2A2" w14:textId="77777777" w:rsidR="005F63DE" w:rsidRDefault="005F63DE" w:rsidP="008716BD"/>
    <w:p w14:paraId="2FFE6923" w14:textId="7F3AAD28" w:rsidR="00AB1235" w:rsidRPr="00AB1235" w:rsidRDefault="00AB1235" w:rsidP="008716BD">
      <w:pPr>
        <w:jc w:val="center"/>
        <w:rPr>
          <w:b/>
        </w:rPr>
      </w:pPr>
      <w:r w:rsidRPr="00AB1235">
        <w:rPr>
          <w:b/>
        </w:rPr>
        <w:lastRenderedPageBreak/>
        <w:t>I</w:t>
      </w:r>
    </w:p>
    <w:p w14:paraId="0911E261" w14:textId="4CDC0F0D" w:rsidR="00AB1235" w:rsidRPr="00C92188" w:rsidRDefault="00AB1235" w:rsidP="008716BD">
      <w:pPr>
        <w:jc w:val="center"/>
      </w:pPr>
      <w:r w:rsidRPr="00AB1235">
        <w:rPr>
          <w:b/>
        </w:rPr>
        <w:t>SOLICITUD DE INTERPRETACIÓN Y PROCEDIMIENTO ANTE LA CORTE</w:t>
      </w:r>
    </w:p>
    <w:p w14:paraId="109F55D7" w14:textId="77777777" w:rsidR="00AB1235" w:rsidRDefault="00AB1235" w:rsidP="008716BD">
      <w:pPr>
        <w:keepNext/>
        <w:tabs>
          <w:tab w:val="left" w:pos="567"/>
        </w:tabs>
        <w:jc w:val="center"/>
        <w:outlineLvl w:val="1"/>
        <w:rPr>
          <w:rFonts w:eastAsia="Times New Roman" w:cs="Verdana"/>
          <w:b/>
          <w:bCs/>
          <w:iCs/>
          <w:caps/>
          <w:snapToGrid w:val="0"/>
          <w:spacing w:val="-2"/>
          <w:szCs w:val="20"/>
          <w:lang w:val="es-ES_tradnl" w:eastAsia="es-ES"/>
        </w:rPr>
      </w:pPr>
    </w:p>
    <w:p w14:paraId="26E50AB0" w14:textId="77777777" w:rsidR="005E240C" w:rsidRPr="005E240C" w:rsidRDefault="00AE74FC" w:rsidP="005E240C">
      <w:pPr>
        <w:numPr>
          <w:ilvl w:val="0"/>
          <w:numId w:val="1"/>
        </w:numPr>
        <w:tabs>
          <w:tab w:val="left" w:pos="567"/>
        </w:tabs>
        <w:spacing w:after="240"/>
        <w:ind w:left="0" w:firstLine="0"/>
        <w:rPr>
          <w:rFonts w:eastAsia="Times New Roman" w:cs="Times New Roman"/>
          <w:color w:val="000000"/>
          <w:szCs w:val="20"/>
          <w:lang w:val="es-CL" w:eastAsia="es-CL"/>
        </w:rPr>
      </w:pPr>
      <w:r w:rsidRPr="00C92188">
        <w:rPr>
          <w:rFonts w:cs="Verdana"/>
          <w:spacing w:val="-2"/>
          <w:szCs w:val="20"/>
          <w:lang w:val="es-ES_tradnl"/>
        </w:rPr>
        <w:t xml:space="preserve">El </w:t>
      </w:r>
      <w:r w:rsidR="00EC2938">
        <w:rPr>
          <w:rFonts w:cs="Verdana"/>
          <w:spacing w:val="-2"/>
          <w:szCs w:val="20"/>
          <w:lang w:val="es-ES_tradnl"/>
        </w:rPr>
        <w:t>17</w:t>
      </w:r>
      <w:r w:rsidR="00EB5607">
        <w:rPr>
          <w:rFonts w:cs="Verdana"/>
          <w:spacing w:val="-2"/>
          <w:szCs w:val="20"/>
          <w:lang w:val="es-ES_tradnl"/>
        </w:rPr>
        <w:t xml:space="preserve"> de </w:t>
      </w:r>
      <w:r w:rsidR="004E0720">
        <w:rPr>
          <w:rFonts w:cs="Verdana"/>
          <w:spacing w:val="-2"/>
          <w:szCs w:val="20"/>
          <w:lang w:val="es-ES_tradnl"/>
        </w:rPr>
        <w:t>noviembre</w:t>
      </w:r>
      <w:r w:rsidR="00EB5607">
        <w:rPr>
          <w:rFonts w:cs="Verdana"/>
          <w:spacing w:val="-2"/>
          <w:szCs w:val="20"/>
          <w:lang w:val="es-ES_tradnl"/>
        </w:rPr>
        <w:t xml:space="preserve"> </w:t>
      </w:r>
      <w:r w:rsidRPr="00C92188">
        <w:rPr>
          <w:rFonts w:cs="Verdana"/>
          <w:spacing w:val="-2"/>
          <w:szCs w:val="20"/>
          <w:lang w:val="es-ES_tradnl"/>
        </w:rPr>
        <w:t xml:space="preserve">de </w:t>
      </w:r>
      <w:r w:rsidR="00EC2938">
        <w:rPr>
          <w:rFonts w:cs="Verdana"/>
          <w:spacing w:val="-2"/>
          <w:szCs w:val="20"/>
          <w:lang w:val="es-ES_tradnl"/>
        </w:rPr>
        <w:t>2021</w:t>
      </w:r>
      <w:r w:rsidRPr="00C92188">
        <w:rPr>
          <w:rFonts w:cs="Verdana"/>
          <w:spacing w:val="-2"/>
          <w:szCs w:val="20"/>
          <w:lang w:val="es-ES_tradnl"/>
        </w:rPr>
        <w:t xml:space="preserve"> </w:t>
      </w:r>
      <w:r w:rsidRPr="00C92188">
        <w:rPr>
          <w:rFonts w:eastAsia="Times"/>
          <w:spacing w:val="-2"/>
          <w:szCs w:val="20"/>
          <w:lang w:val="es-ES_tradnl"/>
        </w:rPr>
        <w:t xml:space="preserve">la Corte Interamericana emitió la Sentencia en el presente caso, la cual fue notificada a las partes y a la </w:t>
      </w:r>
      <w:r w:rsidRPr="00C92188">
        <w:rPr>
          <w:rFonts w:eastAsia="Times New Roman" w:cs="Times New Roman"/>
          <w:color w:val="000000"/>
          <w:szCs w:val="20"/>
          <w:lang w:val="es-CL" w:eastAsia="es-CL"/>
        </w:rPr>
        <w:t>Comisión</w:t>
      </w:r>
      <w:r w:rsidRPr="00C92188">
        <w:rPr>
          <w:rFonts w:eastAsia="Times"/>
          <w:spacing w:val="-2"/>
          <w:szCs w:val="20"/>
          <w:lang w:val="es-ES_tradnl"/>
        </w:rPr>
        <w:t xml:space="preserve"> Interamericana de </w:t>
      </w:r>
      <w:r w:rsidRPr="00C92188">
        <w:rPr>
          <w:rFonts w:cs="Verdana"/>
          <w:spacing w:val="-2"/>
          <w:szCs w:val="20"/>
          <w:lang w:val="es-ES_tradnl"/>
        </w:rPr>
        <w:t xml:space="preserve">Derechos Humanos (en adelante </w:t>
      </w:r>
      <w:r w:rsidR="0011671F">
        <w:rPr>
          <w:rFonts w:cs="Verdana"/>
          <w:spacing w:val="-2"/>
          <w:szCs w:val="20"/>
          <w:lang w:val="es-ES_tradnl"/>
        </w:rPr>
        <w:t xml:space="preserve">también </w:t>
      </w:r>
      <w:r w:rsidR="00080347">
        <w:rPr>
          <w:rFonts w:cs="Verdana"/>
          <w:spacing w:val="-2"/>
          <w:szCs w:val="20"/>
          <w:lang w:val="es-ES_tradnl"/>
        </w:rPr>
        <w:t xml:space="preserve">“la Comisión Interamericana” o </w:t>
      </w:r>
      <w:r w:rsidRPr="00C92188">
        <w:rPr>
          <w:rFonts w:cs="Verdana"/>
          <w:spacing w:val="-2"/>
          <w:szCs w:val="20"/>
          <w:lang w:val="es-ES_tradnl"/>
        </w:rPr>
        <w:t xml:space="preserve">“la Comisión”) </w:t>
      </w:r>
      <w:r w:rsidRPr="00C92188">
        <w:rPr>
          <w:rFonts w:eastAsia="Times"/>
          <w:spacing w:val="-2"/>
          <w:szCs w:val="20"/>
          <w:lang w:val="es-ES_tradnl"/>
        </w:rPr>
        <w:t xml:space="preserve">el </w:t>
      </w:r>
      <w:r w:rsidR="00080347">
        <w:rPr>
          <w:rFonts w:eastAsia="Times"/>
          <w:spacing w:val="-2"/>
          <w:szCs w:val="20"/>
          <w:lang w:val="es-ES_tradnl"/>
        </w:rPr>
        <w:t>26 de enero de 2022</w:t>
      </w:r>
      <w:r w:rsidRPr="00C92188">
        <w:rPr>
          <w:rFonts w:eastAsia="Times"/>
          <w:spacing w:val="-2"/>
          <w:szCs w:val="20"/>
          <w:lang w:val="es-ES_tradnl"/>
        </w:rPr>
        <w:t>.</w:t>
      </w:r>
      <w:r w:rsidR="00790DC8">
        <w:rPr>
          <w:rFonts w:eastAsia="Times"/>
          <w:spacing w:val="-2"/>
          <w:szCs w:val="20"/>
          <w:lang w:val="es-ES_tradnl"/>
        </w:rPr>
        <w:t xml:space="preserve"> </w:t>
      </w:r>
    </w:p>
    <w:p w14:paraId="650A075D" w14:textId="3CD28DCF" w:rsidR="009B5258" w:rsidRPr="007B5ADC" w:rsidRDefault="009B5258" w:rsidP="005E240C">
      <w:pPr>
        <w:numPr>
          <w:ilvl w:val="0"/>
          <w:numId w:val="1"/>
        </w:numPr>
        <w:tabs>
          <w:tab w:val="left" w:pos="567"/>
        </w:tabs>
        <w:ind w:left="0" w:firstLine="0"/>
        <w:rPr>
          <w:rFonts w:eastAsia="Times New Roman" w:cs="Times New Roman"/>
          <w:szCs w:val="20"/>
          <w:lang w:val="es-CL" w:eastAsia="es-CL"/>
        </w:rPr>
      </w:pPr>
      <w:r w:rsidRPr="003D1917">
        <w:rPr>
          <w:rFonts w:cs="Verdana"/>
          <w:spacing w:val="-2"/>
          <w:szCs w:val="20"/>
          <w:lang w:val="es-ES_tradnl"/>
        </w:rPr>
        <w:t xml:space="preserve">El </w:t>
      </w:r>
      <w:r w:rsidR="00930D56" w:rsidRPr="003D1917">
        <w:rPr>
          <w:rFonts w:cs="Verdana"/>
          <w:spacing w:val="-2"/>
          <w:szCs w:val="20"/>
          <w:lang w:val="es-ES_tradnl"/>
        </w:rPr>
        <w:t>22 de abril de 2022</w:t>
      </w:r>
      <w:r w:rsidRPr="003D1917">
        <w:rPr>
          <w:rFonts w:cs="Verdana"/>
          <w:spacing w:val="-2"/>
          <w:szCs w:val="20"/>
          <w:lang w:val="es-ES_tradnl"/>
        </w:rPr>
        <w:t xml:space="preserve"> </w:t>
      </w:r>
      <w:r w:rsidRPr="00E37BB9">
        <w:rPr>
          <w:rFonts w:cs="Verdana"/>
          <w:spacing w:val="-2"/>
          <w:szCs w:val="20"/>
          <w:lang w:val="es-ES_tradnl"/>
        </w:rPr>
        <w:t xml:space="preserve">el Estado sometió una solicitud de interpretación </w:t>
      </w:r>
      <w:r w:rsidR="005E240C" w:rsidRPr="00E37BB9">
        <w:rPr>
          <w:rFonts w:cs="Verdana"/>
          <w:spacing w:val="-2"/>
          <w:szCs w:val="20"/>
          <w:lang w:val="es-ES_tradnl"/>
        </w:rPr>
        <w:t>en que solicit</w:t>
      </w:r>
      <w:r w:rsidR="00FA7A9B" w:rsidRPr="00E37BB9">
        <w:rPr>
          <w:rFonts w:cs="Verdana"/>
          <w:spacing w:val="-2"/>
          <w:szCs w:val="20"/>
          <w:lang w:val="es-ES_tradnl"/>
        </w:rPr>
        <w:t>ó</w:t>
      </w:r>
      <w:r w:rsidR="005E240C" w:rsidRPr="00E37BB9">
        <w:rPr>
          <w:rFonts w:cs="Verdana"/>
          <w:spacing w:val="-2"/>
          <w:szCs w:val="20"/>
          <w:lang w:val="es-ES_tradnl"/>
        </w:rPr>
        <w:t xml:space="preserve"> “</w:t>
      </w:r>
      <w:r w:rsidR="005E240C" w:rsidRPr="007B5ADC">
        <w:rPr>
          <w:rFonts w:eastAsiaTheme="minorHAnsi" w:cs="Arial"/>
          <w:szCs w:val="20"/>
          <w:lang w:val="es-CR"/>
        </w:rPr>
        <w:t xml:space="preserve">la </w:t>
      </w:r>
      <w:bookmarkStart w:id="8" w:name="_Hlk105436958"/>
      <w:r w:rsidR="005E240C" w:rsidRPr="00E37BB9">
        <w:rPr>
          <w:rFonts w:cs="Verdana"/>
          <w:spacing w:val="-2"/>
          <w:szCs w:val="20"/>
          <w:lang w:val="es-ES_tradnl"/>
        </w:rPr>
        <w:t>ampliación</w:t>
      </w:r>
      <w:r w:rsidR="005E240C" w:rsidRPr="007B5ADC">
        <w:rPr>
          <w:rFonts w:eastAsiaTheme="minorHAnsi" w:cs="Arial"/>
          <w:szCs w:val="20"/>
          <w:lang w:val="es-CR"/>
        </w:rPr>
        <w:t xml:space="preserve"> del contenido de la [S]</w:t>
      </w:r>
      <w:proofErr w:type="spellStart"/>
      <w:r w:rsidR="005E240C" w:rsidRPr="007B5ADC">
        <w:rPr>
          <w:rFonts w:eastAsiaTheme="minorHAnsi" w:cs="Arial"/>
          <w:szCs w:val="20"/>
          <w:lang w:val="es-CR"/>
        </w:rPr>
        <w:t>entencia</w:t>
      </w:r>
      <w:proofErr w:type="spellEnd"/>
      <w:r w:rsidR="005E240C" w:rsidRPr="007B5ADC">
        <w:rPr>
          <w:rFonts w:eastAsiaTheme="minorHAnsi" w:cs="Arial"/>
          <w:szCs w:val="20"/>
          <w:lang w:val="es-CR"/>
        </w:rPr>
        <w:t xml:space="preserve"> en el sentido de respaldar la inclusión directa dentro del catálogo de derechos que se derivan del artículo 26 Convencional</w:t>
      </w:r>
      <w:bookmarkEnd w:id="8"/>
      <w:r w:rsidR="003D1917" w:rsidRPr="007B5ADC">
        <w:rPr>
          <w:rFonts w:eastAsiaTheme="minorHAnsi" w:cs="Arial"/>
          <w:szCs w:val="20"/>
          <w:lang w:val="es-CR"/>
        </w:rPr>
        <w:t>”</w:t>
      </w:r>
      <w:r w:rsidR="009A6DFB" w:rsidRPr="00E37BB9">
        <w:rPr>
          <w:rFonts w:cs="Verdana"/>
          <w:spacing w:val="-2"/>
          <w:szCs w:val="20"/>
          <w:lang w:val="es-CR"/>
        </w:rPr>
        <w:t>. Asimismo, solicit</w:t>
      </w:r>
      <w:r w:rsidR="0056681B" w:rsidRPr="00E37BB9">
        <w:rPr>
          <w:rFonts w:cs="Verdana"/>
          <w:spacing w:val="-2"/>
          <w:szCs w:val="20"/>
          <w:lang w:val="es-CR"/>
        </w:rPr>
        <w:t>ó</w:t>
      </w:r>
      <w:r w:rsidR="000D4A7B" w:rsidRPr="00E37BB9">
        <w:rPr>
          <w:rFonts w:cs="Verdana"/>
          <w:spacing w:val="-2"/>
          <w:szCs w:val="20"/>
          <w:lang w:val="es-CR"/>
        </w:rPr>
        <w:t xml:space="preserve"> </w:t>
      </w:r>
      <w:r w:rsidR="009844EB" w:rsidRPr="00E37BB9">
        <w:rPr>
          <w:rFonts w:cs="Verdana"/>
          <w:spacing w:val="-2"/>
          <w:szCs w:val="20"/>
          <w:lang w:val="es-CR"/>
        </w:rPr>
        <w:t xml:space="preserve">que la Corte se pronuncie </w:t>
      </w:r>
      <w:r w:rsidR="00250807" w:rsidRPr="00E37BB9">
        <w:rPr>
          <w:rFonts w:cs="Verdana"/>
          <w:spacing w:val="-2"/>
          <w:szCs w:val="20"/>
          <w:lang w:val="es-CR"/>
        </w:rPr>
        <w:t>sobre</w:t>
      </w:r>
      <w:r w:rsidR="009844EB" w:rsidRPr="00E37BB9">
        <w:rPr>
          <w:rFonts w:cs="Verdana"/>
          <w:spacing w:val="-2"/>
          <w:szCs w:val="20"/>
          <w:lang w:val="es-CR"/>
        </w:rPr>
        <w:t xml:space="preserve"> “la </w:t>
      </w:r>
      <w:proofErr w:type="spellStart"/>
      <w:r w:rsidR="009844EB" w:rsidRPr="00E37BB9">
        <w:rPr>
          <w:rFonts w:cs="Verdana"/>
          <w:spacing w:val="-2"/>
          <w:szCs w:val="20"/>
          <w:lang w:val="es-CR"/>
        </w:rPr>
        <w:t>cuestionante</w:t>
      </w:r>
      <w:proofErr w:type="spellEnd"/>
      <w:r w:rsidR="009844EB" w:rsidRPr="00E37BB9">
        <w:rPr>
          <w:rFonts w:cs="Verdana"/>
          <w:spacing w:val="-2"/>
          <w:szCs w:val="20"/>
          <w:lang w:val="es-CR"/>
        </w:rPr>
        <w:t xml:space="preserve"> </w:t>
      </w:r>
      <w:r w:rsidR="00CF216A">
        <w:rPr>
          <w:rFonts w:cs="Verdana"/>
          <w:spacing w:val="-2"/>
          <w:szCs w:val="20"/>
          <w:lang w:val="es-CR"/>
        </w:rPr>
        <w:t>(</w:t>
      </w:r>
      <w:r w:rsidR="00CF216A" w:rsidRPr="007B5ADC">
        <w:rPr>
          <w:rFonts w:cs="Verdana"/>
          <w:i/>
          <w:iCs/>
          <w:spacing w:val="-2"/>
          <w:szCs w:val="20"/>
          <w:lang w:val="es-CR"/>
        </w:rPr>
        <w:t>sic</w:t>
      </w:r>
      <w:r w:rsidR="00CF216A">
        <w:rPr>
          <w:rFonts w:cs="Verdana"/>
          <w:spacing w:val="-2"/>
          <w:szCs w:val="20"/>
          <w:lang w:val="es-CR"/>
        </w:rPr>
        <w:t xml:space="preserve">) </w:t>
      </w:r>
      <w:r w:rsidR="009844EB" w:rsidRPr="00E37BB9">
        <w:rPr>
          <w:rFonts w:cs="Verdana"/>
          <w:spacing w:val="-2"/>
          <w:szCs w:val="20"/>
          <w:lang w:val="es-CR"/>
        </w:rPr>
        <w:t>respecto de los derechos que se desarrollan con base en materia que no proviene de instrumentos sujetos a la ratificación de los Estados”</w:t>
      </w:r>
      <w:r w:rsidR="00BD703F" w:rsidRPr="00E37BB9">
        <w:rPr>
          <w:rFonts w:cs="Verdana"/>
          <w:spacing w:val="-2"/>
          <w:szCs w:val="20"/>
          <w:lang w:val="es-ES_tradnl"/>
        </w:rPr>
        <w:t>.</w:t>
      </w:r>
      <w:r w:rsidRPr="00E37BB9">
        <w:rPr>
          <w:szCs w:val="20"/>
          <w:lang w:val="es-CR"/>
        </w:rPr>
        <w:t xml:space="preserve"> </w:t>
      </w:r>
    </w:p>
    <w:p w14:paraId="1FF47578" w14:textId="77777777" w:rsidR="00AE74FC" w:rsidRPr="00E37BB9" w:rsidRDefault="00AE74FC" w:rsidP="008716BD">
      <w:pPr>
        <w:rPr>
          <w:rFonts w:cs="Verdana"/>
          <w:b/>
          <w:spacing w:val="-2"/>
          <w:szCs w:val="20"/>
          <w:lang w:val="es-ES_tradnl"/>
        </w:rPr>
      </w:pPr>
    </w:p>
    <w:p w14:paraId="004B3312" w14:textId="33E0D5E0" w:rsidR="00AE74FC" w:rsidRPr="009844EB" w:rsidRDefault="00AE74FC" w:rsidP="009844EB">
      <w:pPr>
        <w:numPr>
          <w:ilvl w:val="0"/>
          <w:numId w:val="1"/>
        </w:numPr>
        <w:tabs>
          <w:tab w:val="left" w:pos="567"/>
        </w:tabs>
        <w:ind w:left="0" w:firstLine="0"/>
        <w:rPr>
          <w:rFonts w:eastAsia="Times New Roman" w:cs="Times New Roman"/>
          <w:color w:val="000000"/>
          <w:szCs w:val="20"/>
          <w:lang w:val="es-CL" w:eastAsia="es-CL"/>
        </w:rPr>
      </w:pPr>
      <w:bookmarkStart w:id="9" w:name="_Ref403065790"/>
      <w:r w:rsidRPr="00351919">
        <w:rPr>
          <w:rFonts w:cs="Verdana"/>
          <w:spacing w:val="-2"/>
          <w:szCs w:val="20"/>
          <w:lang w:val="es-ES_tradnl"/>
        </w:rPr>
        <w:t xml:space="preserve">El </w:t>
      </w:r>
      <w:r w:rsidR="009844EB">
        <w:rPr>
          <w:rFonts w:cs="Verdana"/>
          <w:spacing w:val="-2"/>
          <w:szCs w:val="20"/>
          <w:lang w:val="es-ES_tradnl"/>
        </w:rPr>
        <w:t>29 de abril de 2022</w:t>
      </w:r>
      <w:r w:rsidRPr="009844EB">
        <w:rPr>
          <w:rFonts w:cs="Verdana"/>
          <w:spacing w:val="-2"/>
          <w:szCs w:val="20"/>
          <w:lang w:val="es-ES_tradnl"/>
        </w:rPr>
        <w:t xml:space="preserve">, de conformidad con el artículo 68.2 del Reglamento y siguiendo instrucciones </w:t>
      </w:r>
      <w:r w:rsidR="009844EB" w:rsidRPr="009844EB">
        <w:rPr>
          <w:rFonts w:cs="Verdana"/>
          <w:spacing w:val="-2"/>
          <w:szCs w:val="20"/>
          <w:lang w:val="es-ES_tradnl"/>
        </w:rPr>
        <w:t>de</w:t>
      </w:r>
      <w:r w:rsidR="00204643">
        <w:rPr>
          <w:rFonts w:cs="Verdana"/>
          <w:spacing w:val="-2"/>
          <w:szCs w:val="20"/>
          <w:lang w:val="es-ES_tradnl"/>
        </w:rPr>
        <w:t xml:space="preserve"> </w:t>
      </w:r>
      <w:r w:rsidR="009844EB" w:rsidRPr="009844EB">
        <w:rPr>
          <w:rFonts w:cs="Verdana"/>
          <w:spacing w:val="-2"/>
          <w:szCs w:val="20"/>
          <w:lang w:val="es-ES_tradnl"/>
        </w:rPr>
        <w:t>l</w:t>
      </w:r>
      <w:r w:rsidR="00204643">
        <w:rPr>
          <w:rFonts w:cs="Verdana"/>
          <w:spacing w:val="-2"/>
          <w:szCs w:val="20"/>
          <w:lang w:val="es-ES_tradnl"/>
        </w:rPr>
        <w:t>a</w:t>
      </w:r>
      <w:r w:rsidRPr="009844EB">
        <w:rPr>
          <w:rFonts w:cs="Verdana"/>
          <w:spacing w:val="-2"/>
          <w:szCs w:val="20"/>
          <w:lang w:val="es-ES_tradnl"/>
        </w:rPr>
        <w:t xml:space="preserve"> Presiden</w:t>
      </w:r>
      <w:r w:rsidR="00204643">
        <w:rPr>
          <w:rFonts w:cs="Verdana"/>
          <w:spacing w:val="-2"/>
          <w:szCs w:val="20"/>
          <w:lang w:val="es-ES_tradnl"/>
        </w:rPr>
        <w:t>cia</w:t>
      </w:r>
      <w:r w:rsidRPr="009844EB">
        <w:rPr>
          <w:rFonts w:cs="Verdana"/>
          <w:spacing w:val="-2"/>
          <w:szCs w:val="20"/>
          <w:lang w:val="es-ES_tradnl"/>
        </w:rPr>
        <w:t xml:space="preserve"> de la Corte, la Secretaría </w:t>
      </w:r>
      <w:r w:rsidR="00680124" w:rsidRPr="009844EB">
        <w:rPr>
          <w:rFonts w:cs="Verdana"/>
          <w:spacing w:val="-2"/>
          <w:szCs w:val="20"/>
          <w:lang w:val="es-ES_tradnl"/>
        </w:rPr>
        <w:t xml:space="preserve">de la Corte </w:t>
      </w:r>
      <w:r w:rsidRPr="009844EB">
        <w:rPr>
          <w:rFonts w:cs="Verdana"/>
          <w:spacing w:val="-2"/>
          <w:szCs w:val="20"/>
          <w:lang w:val="es-ES_tradnl"/>
        </w:rPr>
        <w:t xml:space="preserve">transmitió la referida solicitud de interpretación </w:t>
      </w:r>
      <w:r w:rsidR="0056681B">
        <w:rPr>
          <w:rFonts w:cs="Verdana"/>
          <w:spacing w:val="-2"/>
          <w:szCs w:val="20"/>
          <w:lang w:val="es-ES_tradnl"/>
        </w:rPr>
        <w:t>al</w:t>
      </w:r>
      <w:r w:rsidR="005C087B" w:rsidRPr="005C087B">
        <w:rPr>
          <w:rFonts w:cs="Verdana"/>
          <w:spacing w:val="-2"/>
          <w:szCs w:val="20"/>
        </w:rPr>
        <w:t xml:space="preserve"> representante de la</w:t>
      </w:r>
      <w:r w:rsidR="005C087B">
        <w:rPr>
          <w:rFonts w:cs="Verdana"/>
          <w:spacing w:val="-2"/>
          <w:szCs w:val="20"/>
        </w:rPr>
        <w:t>s</w:t>
      </w:r>
      <w:r w:rsidR="005C087B" w:rsidRPr="005C087B">
        <w:rPr>
          <w:rFonts w:cs="Verdana"/>
          <w:spacing w:val="-2"/>
          <w:szCs w:val="20"/>
        </w:rPr>
        <w:t xml:space="preserve"> víctima</w:t>
      </w:r>
      <w:r w:rsidR="005C087B">
        <w:rPr>
          <w:rFonts w:cs="Verdana"/>
          <w:spacing w:val="-2"/>
          <w:szCs w:val="20"/>
        </w:rPr>
        <w:t>s</w:t>
      </w:r>
      <w:r w:rsidR="005C087B" w:rsidRPr="005C087B">
        <w:rPr>
          <w:rFonts w:cs="Verdana"/>
          <w:spacing w:val="-2"/>
          <w:szCs w:val="20"/>
        </w:rPr>
        <w:t xml:space="preserve"> (en adelante “</w:t>
      </w:r>
      <w:r w:rsidR="00A72398">
        <w:rPr>
          <w:rFonts w:cs="Verdana"/>
          <w:spacing w:val="-2"/>
          <w:szCs w:val="20"/>
        </w:rPr>
        <w:t>el representante</w:t>
      </w:r>
      <w:r w:rsidR="005C087B" w:rsidRPr="005C087B">
        <w:rPr>
          <w:rFonts w:cs="Verdana"/>
          <w:spacing w:val="-2"/>
          <w:szCs w:val="20"/>
        </w:rPr>
        <w:t>”)</w:t>
      </w:r>
      <w:r w:rsidR="005C087B">
        <w:rPr>
          <w:rStyle w:val="Refdenotaalpie"/>
          <w:spacing w:val="-2"/>
        </w:rPr>
        <w:footnoteReference w:id="2"/>
      </w:r>
      <w:r w:rsidR="005C087B" w:rsidRPr="005C087B">
        <w:rPr>
          <w:rFonts w:cs="Verdana"/>
          <w:spacing w:val="-2"/>
          <w:szCs w:val="20"/>
          <w:lang w:val="es-ES_tradnl"/>
        </w:rPr>
        <w:t xml:space="preserve"> </w:t>
      </w:r>
      <w:r w:rsidRPr="009844EB">
        <w:rPr>
          <w:rFonts w:cs="Verdana"/>
          <w:spacing w:val="-2"/>
          <w:szCs w:val="20"/>
          <w:lang w:val="es-ES_tradnl"/>
        </w:rPr>
        <w:t>y a la Comisión</w:t>
      </w:r>
      <w:r w:rsidR="00680124" w:rsidRPr="009844EB">
        <w:rPr>
          <w:rFonts w:cs="Verdana"/>
          <w:spacing w:val="-2"/>
          <w:szCs w:val="20"/>
          <w:lang w:val="es-ES_tradnl"/>
        </w:rPr>
        <w:t>,</w:t>
      </w:r>
      <w:r w:rsidRPr="009844EB">
        <w:rPr>
          <w:rFonts w:cs="Verdana"/>
          <w:spacing w:val="-2"/>
          <w:szCs w:val="20"/>
          <w:lang w:val="es-ES_tradnl"/>
        </w:rPr>
        <w:t xml:space="preserve"> y les otorgó un plazo para que, a más tardar el </w:t>
      </w:r>
      <w:r w:rsidR="009844EB">
        <w:rPr>
          <w:rFonts w:cs="Verdana"/>
          <w:spacing w:val="-2"/>
          <w:szCs w:val="20"/>
          <w:lang w:val="es-ES_tradnl"/>
        </w:rPr>
        <w:t>30 de mayo de 2022</w:t>
      </w:r>
      <w:r w:rsidRPr="009844EB">
        <w:rPr>
          <w:rFonts w:cs="Verdana"/>
          <w:spacing w:val="-2"/>
          <w:szCs w:val="20"/>
          <w:lang w:val="es-ES_tradnl"/>
        </w:rPr>
        <w:t>, presentaran</w:t>
      </w:r>
      <w:r w:rsidR="00680124" w:rsidRPr="009844EB">
        <w:rPr>
          <w:rFonts w:cs="Verdana"/>
          <w:spacing w:val="-2"/>
          <w:szCs w:val="20"/>
          <w:lang w:val="es-ES_tradnl"/>
        </w:rPr>
        <w:t xml:space="preserve"> por escrito las observaciones </w:t>
      </w:r>
      <w:r w:rsidRPr="009844EB">
        <w:rPr>
          <w:rFonts w:cs="Verdana"/>
          <w:spacing w:val="-2"/>
          <w:szCs w:val="20"/>
          <w:lang w:val="es-ES_tradnl"/>
        </w:rPr>
        <w:t xml:space="preserve">que estimaran pertinentes. </w:t>
      </w:r>
      <w:bookmarkEnd w:id="9"/>
      <w:r w:rsidR="00C67783">
        <w:rPr>
          <w:rFonts w:cs="Verdana"/>
          <w:spacing w:val="-2"/>
          <w:szCs w:val="20"/>
          <w:lang w:val="es-ES_tradnl"/>
        </w:rPr>
        <w:t xml:space="preserve">La Comisión presentó sus observaciones el 30 de mayo de 2022. Por su parte, </w:t>
      </w:r>
      <w:r w:rsidR="00285988">
        <w:rPr>
          <w:rFonts w:cs="Verdana"/>
          <w:spacing w:val="-2"/>
          <w:szCs w:val="20"/>
          <w:lang w:val="es-ES_tradnl"/>
        </w:rPr>
        <w:t>el representante presentó</w:t>
      </w:r>
      <w:r w:rsidR="00C67783">
        <w:rPr>
          <w:rFonts w:cs="Verdana"/>
          <w:spacing w:val="-2"/>
          <w:szCs w:val="20"/>
          <w:lang w:val="es-ES_tradnl"/>
        </w:rPr>
        <w:t xml:space="preserve"> sus observaciones el 31 de mayo de 2022. </w:t>
      </w:r>
      <w:r w:rsidR="00C67783">
        <w:t>Mediante Nota de la Secretaría del Tribunal de 2 de junio de 2022, se informó a las partes y a la Comisión que dicho escrito e</w:t>
      </w:r>
      <w:r w:rsidR="00285988">
        <w:t>ra</w:t>
      </w:r>
      <w:r w:rsidR="00C67783">
        <w:t xml:space="preserve"> extemporáneo por lo que, siguiendo instrucciones de</w:t>
      </w:r>
      <w:r w:rsidR="00204643">
        <w:t xml:space="preserve"> </w:t>
      </w:r>
      <w:r w:rsidR="00C67783">
        <w:t>l</w:t>
      </w:r>
      <w:r w:rsidR="00204643">
        <w:t>a</w:t>
      </w:r>
      <w:r w:rsidR="00C67783">
        <w:t xml:space="preserve"> Presiden</w:t>
      </w:r>
      <w:r w:rsidR="00204643">
        <w:t>cia</w:t>
      </w:r>
      <w:r w:rsidR="00C67783">
        <w:t xml:space="preserve"> de la Corte, no fue transmitido al Estado ni a la Comisión, ni considerado en el marco de</w:t>
      </w:r>
      <w:r w:rsidR="00917CB0">
        <w:t xml:space="preserve"> </w:t>
      </w:r>
      <w:r w:rsidR="00C67783">
        <w:t>l</w:t>
      </w:r>
      <w:r w:rsidR="00917CB0">
        <w:t>a</w:t>
      </w:r>
      <w:r w:rsidR="00C67783">
        <w:t xml:space="preserve"> presente </w:t>
      </w:r>
      <w:r w:rsidR="008332A5">
        <w:t>S</w:t>
      </w:r>
      <w:r w:rsidR="00917CB0">
        <w:t>entencia</w:t>
      </w:r>
      <w:r w:rsidR="00C67783">
        <w:t>.</w:t>
      </w:r>
    </w:p>
    <w:p w14:paraId="5FF2EF09" w14:textId="77777777" w:rsidR="00AE74FC" w:rsidRPr="00C92188" w:rsidRDefault="00AE74FC" w:rsidP="008716BD">
      <w:pPr>
        <w:rPr>
          <w:rFonts w:eastAsia="Times New Roman" w:cs="Times New Roman"/>
          <w:color w:val="000000"/>
          <w:szCs w:val="20"/>
          <w:lang w:val="es-CL" w:eastAsia="es-CL"/>
        </w:rPr>
      </w:pPr>
    </w:p>
    <w:p w14:paraId="05C920A3" w14:textId="77777777" w:rsidR="00AE74FC" w:rsidRPr="00C92188" w:rsidRDefault="00AE74FC" w:rsidP="008716BD">
      <w:pPr>
        <w:tabs>
          <w:tab w:val="left" w:pos="567"/>
        </w:tabs>
        <w:jc w:val="center"/>
        <w:rPr>
          <w:rFonts w:eastAsia="Times"/>
          <w:b/>
          <w:bCs/>
          <w:spacing w:val="-2"/>
          <w:szCs w:val="20"/>
          <w:lang w:val="es-ES_tradnl"/>
        </w:rPr>
      </w:pPr>
      <w:r w:rsidRPr="00C92188">
        <w:rPr>
          <w:rFonts w:eastAsia="Times"/>
          <w:b/>
          <w:bCs/>
          <w:spacing w:val="-2"/>
          <w:szCs w:val="20"/>
          <w:lang w:val="es-ES_tradnl"/>
        </w:rPr>
        <w:t>II</w:t>
      </w:r>
    </w:p>
    <w:p w14:paraId="0FF5D274" w14:textId="77777777" w:rsidR="00AE74FC" w:rsidRPr="00C92188" w:rsidRDefault="00AE74FC" w:rsidP="008716BD">
      <w:pPr>
        <w:tabs>
          <w:tab w:val="left" w:pos="567"/>
        </w:tabs>
        <w:jc w:val="center"/>
        <w:rPr>
          <w:rFonts w:eastAsia="Times"/>
          <w:b/>
          <w:bCs/>
          <w:spacing w:val="-2"/>
          <w:szCs w:val="20"/>
          <w:lang w:val="es-ES_tradnl"/>
        </w:rPr>
      </w:pPr>
      <w:r w:rsidRPr="00C92188">
        <w:rPr>
          <w:rFonts w:eastAsia="Times"/>
          <w:b/>
          <w:bCs/>
          <w:spacing w:val="-2"/>
          <w:szCs w:val="20"/>
          <w:lang w:val="es-ES_tradnl"/>
        </w:rPr>
        <w:t>COMPETENCIA</w:t>
      </w:r>
    </w:p>
    <w:p w14:paraId="64975952" w14:textId="77777777" w:rsidR="00AE74FC" w:rsidRPr="00C92188" w:rsidRDefault="00AE74FC" w:rsidP="008716BD">
      <w:pPr>
        <w:tabs>
          <w:tab w:val="left" w:pos="567"/>
        </w:tabs>
        <w:jc w:val="center"/>
        <w:rPr>
          <w:rFonts w:eastAsia="Times"/>
          <w:b/>
          <w:bCs/>
          <w:spacing w:val="-2"/>
          <w:szCs w:val="20"/>
          <w:lang w:val="es-ES_tradnl"/>
        </w:rPr>
      </w:pPr>
    </w:p>
    <w:p w14:paraId="1D4A8CF0" w14:textId="6389F2E9" w:rsidR="00AE74FC" w:rsidRPr="00C92188" w:rsidRDefault="00AE74FC" w:rsidP="008716BD">
      <w:pPr>
        <w:numPr>
          <w:ilvl w:val="0"/>
          <w:numId w:val="1"/>
        </w:numPr>
        <w:tabs>
          <w:tab w:val="left" w:pos="567"/>
        </w:tabs>
        <w:ind w:left="0" w:firstLine="0"/>
        <w:rPr>
          <w:rFonts w:eastAsia="Times"/>
          <w:spacing w:val="-2"/>
          <w:szCs w:val="20"/>
          <w:lang w:val="es-ES_tradnl"/>
        </w:rPr>
      </w:pPr>
      <w:bookmarkStart w:id="10" w:name="_Ref361668910"/>
      <w:r w:rsidRPr="00C92188">
        <w:rPr>
          <w:rFonts w:eastAsia="Times"/>
          <w:spacing w:val="-2"/>
          <w:szCs w:val="20"/>
          <w:lang w:val="es-ES_tradnl"/>
        </w:rPr>
        <w:t>El artículo 67 de la Convención Americana establece:</w:t>
      </w:r>
    </w:p>
    <w:bookmarkEnd w:id="10"/>
    <w:p w14:paraId="500D871D" w14:textId="77777777" w:rsidR="00AE74FC" w:rsidRPr="00C92188" w:rsidRDefault="00AE74FC" w:rsidP="008716BD">
      <w:pPr>
        <w:rPr>
          <w:rFonts w:eastAsia="Times"/>
          <w:spacing w:val="-2"/>
          <w:szCs w:val="20"/>
          <w:lang w:val="es-ES_tradnl"/>
        </w:rPr>
      </w:pPr>
    </w:p>
    <w:p w14:paraId="320538A8" w14:textId="219402BF" w:rsidR="00AE74FC" w:rsidRPr="00C92188" w:rsidRDefault="00C115CE" w:rsidP="008716BD">
      <w:pPr>
        <w:ind w:left="284" w:right="284"/>
        <w:rPr>
          <w:rFonts w:eastAsia="Times"/>
          <w:spacing w:val="-2"/>
          <w:sz w:val="16"/>
          <w:szCs w:val="16"/>
          <w:lang w:val="es-ES_tradnl"/>
        </w:rPr>
      </w:pPr>
      <w:r>
        <w:rPr>
          <w:rFonts w:eastAsia="Times"/>
          <w:spacing w:val="-2"/>
          <w:sz w:val="16"/>
          <w:szCs w:val="16"/>
          <w:lang w:val="es-ES_tradnl"/>
        </w:rPr>
        <w:t>E</w:t>
      </w:r>
      <w:r w:rsidR="00AE74FC" w:rsidRPr="00C92188">
        <w:rPr>
          <w:rFonts w:eastAsia="Times"/>
          <w:spacing w:val="-2"/>
          <w:sz w:val="16"/>
          <w:szCs w:val="16"/>
          <w:lang w:val="es-ES_tradnl"/>
        </w:rPr>
        <w:t>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0D5B45B3" w14:textId="77777777" w:rsidR="00AE74FC" w:rsidRPr="00C92188" w:rsidRDefault="00AE74FC" w:rsidP="008716BD">
      <w:pPr>
        <w:rPr>
          <w:rFonts w:eastAsia="Times"/>
          <w:spacing w:val="-2"/>
          <w:szCs w:val="20"/>
          <w:lang w:val="es-ES_tradnl"/>
        </w:rPr>
      </w:pPr>
    </w:p>
    <w:p w14:paraId="018D8E24" w14:textId="61592ECF" w:rsidR="00AE74FC" w:rsidRPr="00C92188" w:rsidRDefault="00AE74FC" w:rsidP="008716BD">
      <w:pPr>
        <w:numPr>
          <w:ilvl w:val="0"/>
          <w:numId w:val="1"/>
        </w:numPr>
        <w:tabs>
          <w:tab w:val="left" w:pos="567"/>
        </w:tabs>
        <w:ind w:left="0" w:firstLine="0"/>
        <w:rPr>
          <w:rFonts w:eastAsia="Times"/>
          <w:bCs/>
          <w:spacing w:val="-2"/>
          <w:szCs w:val="20"/>
          <w:lang w:val="es-ES_tradnl"/>
        </w:rPr>
      </w:pPr>
      <w:r w:rsidRPr="00C92188">
        <w:rPr>
          <w:rFonts w:eastAsia="Times"/>
          <w:spacing w:val="-2"/>
          <w:szCs w:val="20"/>
          <w:lang w:val="es-ES_tradnl"/>
        </w:rPr>
        <w:t xml:space="preserve">De conformidad con el artículo citado, la Corte Interamericana es competente para interpretar sus fallos. Para realizar el examen de las solicitudes de interpretación y resolver lo que a este respecto corresponda, este Tribunal debe tener, si es posible, la misma composición que tenía al dictar la Sentencia respectiva, de acuerdo con el artículo 68.3 del Reglamento. </w:t>
      </w:r>
      <w:r w:rsidR="00ED037C" w:rsidRPr="003C7A6C">
        <w:rPr>
          <w:szCs w:val="20"/>
        </w:rPr>
        <w:t>En esta ocasión, la Corte está integrada</w:t>
      </w:r>
      <w:r w:rsidR="00ED037C">
        <w:rPr>
          <w:szCs w:val="20"/>
        </w:rPr>
        <w:t>, en su mayoría,</w:t>
      </w:r>
      <w:r w:rsidR="00ED037C" w:rsidRPr="003C7A6C">
        <w:rPr>
          <w:szCs w:val="20"/>
        </w:rPr>
        <w:t xml:space="preserve"> por los mismos Jueces que dictaron la Sentencia cuya interpretación ha sido solicitada</w:t>
      </w:r>
      <w:r w:rsidR="00ED037C">
        <w:rPr>
          <w:szCs w:val="20"/>
        </w:rPr>
        <w:t>.</w:t>
      </w:r>
    </w:p>
    <w:p w14:paraId="02D4410A" w14:textId="5A9C01FD" w:rsidR="008F2D4E" w:rsidRDefault="008F2D4E" w:rsidP="008716BD">
      <w:pPr>
        <w:pStyle w:val="Sinespaciado"/>
        <w:jc w:val="center"/>
        <w:rPr>
          <w:rFonts w:ascii="Verdana" w:hAnsi="Verdana" w:cs="Verdana"/>
          <w:b/>
          <w:spacing w:val="-2"/>
          <w:sz w:val="20"/>
          <w:szCs w:val="20"/>
          <w:lang w:val="es-ES_tradnl"/>
        </w:rPr>
      </w:pPr>
    </w:p>
    <w:p w14:paraId="2E053E1F" w14:textId="77777777" w:rsidR="008F2D4E" w:rsidRPr="00C92188" w:rsidRDefault="008F2D4E" w:rsidP="008716BD">
      <w:pPr>
        <w:pStyle w:val="Sinespaciado"/>
        <w:jc w:val="center"/>
        <w:rPr>
          <w:rFonts w:ascii="Verdana" w:hAnsi="Verdana" w:cs="Verdana"/>
          <w:b/>
          <w:spacing w:val="-2"/>
          <w:sz w:val="20"/>
          <w:szCs w:val="20"/>
          <w:lang w:val="es-ES_tradnl"/>
        </w:rPr>
      </w:pPr>
    </w:p>
    <w:p w14:paraId="4CB809D4" w14:textId="77777777" w:rsidR="00AE74FC" w:rsidRPr="00C92188" w:rsidRDefault="00AE74FC" w:rsidP="008716BD">
      <w:pPr>
        <w:pStyle w:val="Sinespaciado"/>
        <w:jc w:val="center"/>
        <w:rPr>
          <w:rFonts w:ascii="Verdana" w:hAnsi="Verdana" w:cs="Verdana"/>
          <w:b/>
          <w:spacing w:val="-2"/>
          <w:sz w:val="20"/>
          <w:szCs w:val="20"/>
          <w:lang w:val="es-ES_tradnl"/>
        </w:rPr>
      </w:pPr>
      <w:r w:rsidRPr="00C92188">
        <w:rPr>
          <w:rFonts w:ascii="Verdana" w:hAnsi="Verdana" w:cs="Verdana"/>
          <w:b/>
          <w:spacing w:val="-2"/>
          <w:sz w:val="20"/>
          <w:szCs w:val="20"/>
          <w:lang w:val="es-ES_tradnl"/>
        </w:rPr>
        <w:t>III</w:t>
      </w:r>
    </w:p>
    <w:p w14:paraId="4B5DDB46" w14:textId="77777777" w:rsidR="00AE74FC" w:rsidRPr="00C92188" w:rsidRDefault="00AE74FC" w:rsidP="008716BD">
      <w:pPr>
        <w:pStyle w:val="Sinespaciado"/>
        <w:jc w:val="center"/>
        <w:rPr>
          <w:rFonts w:ascii="Verdana" w:hAnsi="Verdana" w:cs="Verdana"/>
          <w:b/>
          <w:spacing w:val="-2"/>
          <w:sz w:val="20"/>
          <w:szCs w:val="20"/>
          <w:lang w:val="es-ES_tradnl"/>
        </w:rPr>
      </w:pPr>
      <w:r w:rsidRPr="00C92188">
        <w:rPr>
          <w:rFonts w:ascii="Verdana" w:hAnsi="Verdana" w:cs="Verdana"/>
          <w:b/>
          <w:spacing w:val="-2"/>
          <w:sz w:val="20"/>
          <w:szCs w:val="20"/>
          <w:lang w:val="es-ES_tradnl"/>
        </w:rPr>
        <w:t>ADMISIBILIDAD</w:t>
      </w:r>
    </w:p>
    <w:p w14:paraId="6AB1F913" w14:textId="77777777" w:rsidR="00AE74FC" w:rsidRPr="00C92188" w:rsidRDefault="00AE74FC" w:rsidP="008716BD">
      <w:pPr>
        <w:pStyle w:val="Sinespaciado"/>
        <w:jc w:val="center"/>
      </w:pPr>
    </w:p>
    <w:p w14:paraId="48AD3647" w14:textId="3914ECE7" w:rsidR="00AE74FC" w:rsidRPr="00C92188" w:rsidRDefault="00AE74FC" w:rsidP="008716BD">
      <w:pPr>
        <w:numPr>
          <w:ilvl w:val="0"/>
          <w:numId w:val="1"/>
        </w:numPr>
        <w:tabs>
          <w:tab w:val="left" w:pos="567"/>
          <w:tab w:val="num" w:pos="720"/>
        </w:tabs>
        <w:ind w:left="0" w:firstLine="0"/>
      </w:pPr>
      <w:r w:rsidRPr="00C92188">
        <w:rPr>
          <w:rFonts w:eastAsia="Times"/>
          <w:spacing w:val="-2"/>
          <w:szCs w:val="20"/>
          <w:lang w:val="es-ES_tradnl"/>
        </w:rPr>
        <w:t>Corresponde</w:t>
      </w:r>
      <w:r w:rsidRPr="00C92188">
        <w:rPr>
          <w:spacing w:val="-2"/>
          <w:szCs w:val="20"/>
          <w:lang w:val="es-ES_tradnl"/>
        </w:rPr>
        <w:t xml:space="preserve"> a la Corte verificar si la </w:t>
      </w:r>
      <w:r w:rsidRPr="00351919">
        <w:rPr>
          <w:spacing w:val="-2"/>
          <w:szCs w:val="20"/>
          <w:lang w:val="es-ES_tradnl"/>
        </w:rPr>
        <w:t xml:space="preserve">solicitud presentada </w:t>
      </w:r>
      <w:r w:rsidR="00351919" w:rsidRPr="00351919">
        <w:rPr>
          <w:spacing w:val="-2"/>
          <w:szCs w:val="20"/>
          <w:lang w:val="es-ES_tradnl"/>
        </w:rPr>
        <w:t>por el Estado</w:t>
      </w:r>
      <w:r w:rsidRPr="00351919">
        <w:rPr>
          <w:spacing w:val="-2"/>
          <w:szCs w:val="20"/>
          <w:lang w:val="es-ES_tradnl"/>
        </w:rPr>
        <w:t xml:space="preserve"> cumple con los requisitos establecidos en las </w:t>
      </w:r>
      <w:r w:rsidRPr="00C92188">
        <w:rPr>
          <w:spacing w:val="-2"/>
          <w:szCs w:val="20"/>
          <w:lang w:val="es-ES_tradnl"/>
        </w:rPr>
        <w:t xml:space="preserve">normas aplicables a una solicitud de interpretación de Sentencia, a saber, el artículo 67 de la Convención </w:t>
      </w:r>
      <w:r w:rsidRPr="00C92188">
        <w:t>anteriormente citado,</w:t>
      </w:r>
      <w:r w:rsidRPr="00C92188">
        <w:rPr>
          <w:spacing w:val="-2"/>
          <w:szCs w:val="20"/>
          <w:lang w:val="es-ES_tradnl"/>
        </w:rPr>
        <w:t xml:space="preserve"> y el artículo 68 del Reglamento. Asimismo, </w:t>
      </w:r>
      <w:r w:rsidRPr="00C92188">
        <w:t>el artículo 31.3 del Reglamento establece que “[c]</w:t>
      </w:r>
      <w:proofErr w:type="spellStart"/>
      <w:r w:rsidRPr="00C92188">
        <w:t>ontra</w:t>
      </w:r>
      <w:proofErr w:type="spellEnd"/>
      <w:r w:rsidRPr="00C92188">
        <w:t xml:space="preserve"> las sentencias y resoluciones de la Corte no procede ningún medio de impugnación”. </w:t>
      </w:r>
    </w:p>
    <w:p w14:paraId="38081C9B" w14:textId="77777777" w:rsidR="00AE74FC" w:rsidRPr="00C92188" w:rsidRDefault="00AE74FC" w:rsidP="008716BD"/>
    <w:p w14:paraId="2A3E45D8" w14:textId="5DC5CED9" w:rsidR="00AE74FC" w:rsidRPr="00C92188" w:rsidRDefault="00AE74FC" w:rsidP="008716BD">
      <w:pPr>
        <w:numPr>
          <w:ilvl w:val="0"/>
          <w:numId w:val="1"/>
        </w:numPr>
        <w:tabs>
          <w:tab w:val="left" w:pos="567"/>
          <w:tab w:val="num" w:pos="720"/>
        </w:tabs>
        <w:ind w:left="0" w:firstLine="0"/>
        <w:rPr>
          <w:spacing w:val="-2"/>
          <w:szCs w:val="20"/>
          <w:lang w:val="es-ES_tradnl"/>
        </w:rPr>
      </w:pPr>
      <w:r w:rsidRPr="00C92188">
        <w:rPr>
          <w:spacing w:val="-2"/>
          <w:szCs w:val="20"/>
          <w:lang w:val="es-ES_tradnl"/>
        </w:rPr>
        <w:t xml:space="preserve">La Corte </w:t>
      </w:r>
      <w:r w:rsidRPr="00C92188">
        <w:rPr>
          <w:rFonts w:eastAsia="Times"/>
          <w:spacing w:val="-2"/>
          <w:szCs w:val="20"/>
          <w:lang w:val="es-ES_tradnl"/>
        </w:rPr>
        <w:t>advierte</w:t>
      </w:r>
      <w:r w:rsidRPr="00B858F7">
        <w:rPr>
          <w:spacing w:val="-2"/>
          <w:szCs w:val="20"/>
          <w:lang w:val="es-ES_tradnl"/>
        </w:rPr>
        <w:t xml:space="preserve"> que </w:t>
      </w:r>
      <w:r w:rsidR="00351919" w:rsidRPr="00B858F7">
        <w:rPr>
          <w:spacing w:val="-2"/>
          <w:szCs w:val="20"/>
          <w:lang w:val="es-ES_tradnl"/>
        </w:rPr>
        <w:t xml:space="preserve">el Estado </w:t>
      </w:r>
      <w:r w:rsidRPr="00B858F7">
        <w:rPr>
          <w:spacing w:val="-2"/>
          <w:szCs w:val="20"/>
          <w:lang w:val="es-ES_tradnl"/>
        </w:rPr>
        <w:t>present</w:t>
      </w:r>
      <w:r w:rsidR="001827D4">
        <w:rPr>
          <w:spacing w:val="-2"/>
          <w:szCs w:val="20"/>
          <w:lang w:val="es-ES_tradnl"/>
        </w:rPr>
        <w:t>ó</w:t>
      </w:r>
      <w:r w:rsidRPr="00B858F7">
        <w:rPr>
          <w:spacing w:val="-2"/>
          <w:szCs w:val="20"/>
          <w:lang w:val="es-ES_tradnl"/>
        </w:rPr>
        <w:t xml:space="preserve"> su</w:t>
      </w:r>
      <w:r w:rsidR="001827D4">
        <w:rPr>
          <w:spacing w:val="-2"/>
          <w:szCs w:val="20"/>
          <w:lang w:val="es-ES_tradnl"/>
        </w:rPr>
        <w:t xml:space="preserve"> solicitud </w:t>
      </w:r>
      <w:r w:rsidRPr="00B858F7">
        <w:rPr>
          <w:spacing w:val="-2"/>
          <w:szCs w:val="20"/>
          <w:lang w:val="es-ES_tradnl"/>
        </w:rPr>
        <w:t xml:space="preserve">de interpretación dentro del plazo de 90 días establecido en el artículo 67 de la </w:t>
      </w:r>
      <w:r w:rsidRPr="00B858F7">
        <w:rPr>
          <w:rFonts w:eastAsia="Times"/>
          <w:spacing w:val="-2"/>
          <w:szCs w:val="20"/>
          <w:lang w:val="es-ES_tradnl"/>
        </w:rPr>
        <w:t xml:space="preserve">Convención. </w:t>
      </w:r>
      <w:r w:rsidR="00FF0EDC">
        <w:rPr>
          <w:rFonts w:eastAsia="Times"/>
          <w:spacing w:val="-2"/>
          <w:szCs w:val="20"/>
          <w:lang w:val="es-ES_tradnl"/>
        </w:rPr>
        <w:t>En efecto</w:t>
      </w:r>
      <w:r w:rsidR="00B858F7" w:rsidRPr="00B858F7">
        <w:rPr>
          <w:rFonts w:eastAsia="Times"/>
          <w:spacing w:val="-2"/>
          <w:szCs w:val="20"/>
          <w:lang w:val="es-ES_tradnl"/>
        </w:rPr>
        <w:t>, la Sentencia fue notificada</w:t>
      </w:r>
      <w:r w:rsidRPr="00B858F7">
        <w:rPr>
          <w:rFonts w:eastAsia="Times"/>
          <w:spacing w:val="-2"/>
          <w:szCs w:val="20"/>
          <w:lang w:val="es-ES_tradnl"/>
        </w:rPr>
        <w:t xml:space="preserve"> </w:t>
      </w:r>
      <w:r w:rsidR="00351919" w:rsidRPr="00B858F7">
        <w:rPr>
          <w:rFonts w:eastAsia="Times"/>
          <w:spacing w:val="-2"/>
          <w:szCs w:val="20"/>
          <w:lang w:val="es-ES_tradnl"/>
        </w:rPr>
        <w:t xml:space="preserve">el </w:t>
      </w:r>
      <w:r w:rsidR="00FA7A9B">
        <w:rPr>
          <w:rFonts w:eastAsia="Times"/>
          <w:spacing w:val="-2"/>
          <w:szCs w:val="20"/>
          <w:lang w:val="es-ES_tradnl"/>
        </w:rPr>
        <w:t>26 de enero de 2022</w:t>
      </w:r>
      <w:r w:rsidRPr="00B858F7">
        <w:rPr>
          <w:rFonts w:eastAsia="Times"/>
          <w:spacing w:val="-2"/>
          <w:szCs w:val="20"/>
          <w:lang w:val="es-ES_tradnl"/>
        </w:rPr>
        <w:t xml:space="preserve">, </w:t>
      </w:r>
      <w:r w:rsidR="00351919" w:rsidRPr="00B858F7">
        <w:rPr>
          <w:rFonts w:eastAsia="Times"/>
          <w:spacing w:val="-2"/>
          <w:szCs w:val="20"/>
          <w:lang w:val="es-ES_tradnl"/>
        </w:rPr>
        <w:t>por lo que</w:t>
      </w:r>
      <w:r w:rsidR="00B858F7" w:rsidRPr="00B858F7">
        <w:rPr>
          <w:rFonts w:eastAsia="Times"/>
          <w:spacing w:val="-2"/>
          <w:szCs w:val="20"/>
          <w:lang w:val="es-ES_tradnl"/>
        </w:rPr>
        <w:t xml:space="preserve"> </w:t>
      </w:r>
      <w:r w:rsidRPr="00B858F7">
        <w:rPr>
          <w:rFonts w:eastAsia="Times"/>
          <w:spacing w:val="-2"/>
          <w:szCs w:val="20"/>
          <w:lang w:val="es-ES_tradnl"/>
        </w:rPr>
        <w:t xml:space="preserve">la solicitud de interpretación, presentada </w:t>
      </w:r>
      <w:r w:rsidR="006D174E">
        <w:rPr>
          <w:rFonts w:eastAsia="Times"/>
          <w:spacing w:val="-2"/>
          <w:szCs w:val="20"/>
          <w:lang w:val="es-ES_tradnl"/>
        </w:rPr>
        <w:t>el 22 de abril de 2022</w:t>
      </w:r>
      <w:r w:rsidR="00CB1C30" w:rsidRPr="00B858F7">
        <w:rPr>
          <w:rFonts w:eastAsia="Times"/>
          <w:spacing w:val="-2"/>
          <w:szCs w:val="20"/>
          <w:lang w:val="es-ES_tradnl"/>
        </w:rPr>
        <w:t>,</w:t>
      </w:r>
      <w:r w:rsidRPr="00B858F7">
        <w:rPr>
          <w:rFonts w:eastAsia="Times"/>
          <w:spacing w:val="-2"/>
          <w:szCs w:val="20"/>
          <w:lang w:val="es-ES_tradnl"/>
        </w:rPr>
        <w:t xml:space="preserve"> </w:t>
      </w:r>
      <w:r w:rsidRPr="00B858F7">
        <w:rPr>
          <w:spacing w:val="-2"/>
          <w:szCs w:val="20"/>
          <w:lang w:val="es-ES_tradnl"/>
        </w:rPr>
        <w:t>resulta admisible en lo que se refiere al plazo de su presentación</w:t>
      </w:r>
      <w:r w:rsidRPr="00C92188">
        <w:rPr>
          <w:spacing w:val="-2"/>
          <w:szCs w:val="20"/>
          <w:lang w:val="es-ES_tradnl"/>
        </w:rPr>
        <w:t xml:space="preserve">. </w:t>
      </w:r>
      <w:r w:rsidRPr="00C92188">
        <w:t>En cuanto a los demás requisitos, la Corte Interamericana realizará el análisis respectivo en el siguiente capítulo.</w:t>
      </w:r>
    </w:p>
    <w:p w14:paraId="320A39A6" w14:textId="77777777" w:rsidR="00AE74FC" w:rsidRPr="00C92188" w:rsidRDefault="00AE74FC" w:rsidP="008716BD">
      <w:pPr>
        <w:rPr>
          <w:spacing w:val="-2"/>
          <w:szCs w:val="20"/>
          <w:lang w:val="es-ES_tradnl"/>
        </w:rPr>
      </w:pPr>
    </w:p>
    <w:p w14:paraId="4D526866" w14:textId="77777777" w:rsidR="00AE74FC" w:rsidRPr="00C92188" w:rsidRDefault="00AE74FC" w:rsidP="008716BD">
      <w:pPr>
        <w:pStyle w:val="Sinespaciado"/>
        <w:jc w:val="center"/>
        <w:rPr>
          <w:rFonts w:ascii="Verdana" w:hAnsi="Verdana" w:cs="Verdana"/>
          <w:b/>
          <w:spacing w:val="-2"/>
          <w:sz w:val="20"/>
          <w:szCs w:val="20"/>
          <w:lang w:val="es-ES_tradnl"/>
        </w:rPr>
      </w:pPr>
      <w:r w:rsidRPr="00C92188">
        <w:rPr>
          <w:rFonts w:ascii="Verdana" w:hAnsi="Verdana" w:cs="Verdana"/>
          <w:b/>
          <w:spacing w:val="-2"/>
          <w:sz w:val="20"/>
          <w:szCs w:val="20"/>
          <w:lang w:val="es-ES_tradnl"/>
        </w:rPr>
        <w:t>IV</w:t>
      </w:r>
    </w:p>
    <w:p w14:paraId="6D7BFBC0" w14:textId="71706B89" w:rsidR="00AE74FC" w:rsidRPr="00C92188" w:rsidRDefault="00AE74FC" w:rsidP="008716BD">
      <w:pPr>
        <w:pStyle w:val="Sinespaciado"/>
        <w:jc w:val="center"/>
        <w:rPr>
          <w:rFonts w:ascii="Verdana" w:hAnsi="Verdana" w:cs="Verdana"/>
          <w:b/>
          <w:spacing w:val="-2"/>
          <w:sz w:val="20"/>
          <w:szCs w:val="20"/>
          <w:lang w:val="es-ES_tradnl"/>
        </w:rPr>
      </w:pPr>
      <w:r w:rsidRPr="00C92188">
        <w:rPr>
          <w:rFonts w:ascii="Verdana" w:hAnsi="Verdana" w:cs="Verdana"/>
          <w:b/>
          <w:spacing w:val="-2"/>
          <w:sz w:val="20"/>
          <w:szCs w:val="20"/>
          <w:lang w:val="es-ES_tradnl"/>
        </w:rPr>
        <w:t>ANÁLISIS DE LA PROCEDENCIA DE LA SOLICITUD DE INTERPRETACIÓN</w:t>
      </w:r>
    </w:p>
    <w:p w14:paraId="4875E7C4" w14:textId="77777777" w:rsidR="00AE74FC" w:rsidRPr="00C92188" w:rsidRDefault="00AE74FC" w:rsidP="008716BD">
      <w:pPr>
        <w:pStyle w:val="Sinespaciado"/>
        <w:jc w:val="center"/>
        <w:rPr>
          <w:rFonts w:ascii="Verdana" w:hAnsi="Verdana" w:cs="Verdana"/>
          <w:b/>
          <w:spacing w:val="-2"/>
          <w:sz w:val="20"/>
          <w:szCs w:val="20"/>
          <w:lang w:val="es-ES_tradnl"/>
        </w:rPr>
      </w:pPr>
      <w:r w:rsidRPr="00C92188">
        <w:rPr>
          <w:rFonts w:ascii="Verdana" w:hAnsi="Verdana" w:cs="Verdana"/>
          <w:b/>
          <w:spacing w:val="-2"/>
          <w:sz w:val="20"/>
          <w:szCs w:val="20"/>
          <w:lang w:val="es-ES_tradnl"/>
        </w:rPr>
        <w:t xml:space="preserve"> </w:t>
      </w:r>
    </w:p>
    <w:p w14:paraId="6E491D25" w14:textId="1C7413CD" w:rsidR="00AE74FC" w:rsidRPr="00C92188" w:rsidRDefault="00AE74FC" w:rsidP="008716BD">
      <w:pPr>
        <w:numPr>
          <w:ilvl w:val="0"/>
          <w:numId w:val="1"/>
        </w:numPr>
        <w:tabs>
          <w:tab w:val="left" w:pos="567"/>
          <w:tab w:val="num" w:pos="720"/>
        </w:tabs>
        <w:ind w:left="0" w:firstLine="0"/>
        <w:rPr>
          <w:rFonts w:eastAsia="Times"/>
          <w:bCs/>
          <w:spacing w:val="-2"/>
          <w:szCs w:val="20"/>
          <w:lang w:val="es-ES_tradnl"/>
        </w:rPr>
      </w:pPr>
      <w:r w:rsidRPr="00C92188">
        <w:rPr>
          <w:rFonts w:eastAsia="Times"/>
          <w:spacing w:val="-2"/>
          <w:szCs w:val="20"/>
          <w:lang w:val="es-ES_tradnl"/>
        </w:rPr>
        <w:t xml:space="preserve">Este Tribunal analizará la solicitud </w:t>
      </w:r>
      <w:r w:rsidR="00D4645C">
        <w:rPr>
          <w:rFonts w:eastAsia="Times"/>
          <w:spacing w:val="-2"/>
          <w:szCs w:val="20"/>
          <w:lang w:val="es-ES_tradnl"/>
        </w:rPr>
        <w:t>d</w:t>
      </w:r>
      <w:r w:rsidR="00B858F7" w:rsidRPr="00B858F7">
        <w:rPr>
          <w:rFonts w:eastAsia="Times"/>
          <w:spacing w:val="-2"/>
          <w:szCs w:val="20"/>
          <w:lang w:val="es-ES_tradnl"/>
        </w:rPr>
        <w:t>el Estado</w:t>
      </w:r>
      <w:r w:rsidRPr="00B858F7">
        <w:rPr>
          <w:rFonts w:eastAsia="Times"/>
          <w:spacing w:val="-2"/>
          <w:szCs w:val="20"/>
          <w:lang w:val="es-ES_tradnl"/>
        </w:rPr>
        <w:t xml:space="preserve"> para determinar si, </w:t>
      </w:r>
      <w:r w:rsidR="00DD6934" w:rsidRPr="00B858F7">
        <w:rPr>
          <w:rFonts w:eastAsia="Times"/>
          <w:spacing w:val="-2"/>
          <w:szCs w:val="20"/>
          <w:lang w:val="es-ES_tradnl"/>
        </w:rPr>
        <w:t>de acuerdo con</w:t>
      </w:r>
      <w:r w:rsidRPr="00B858F7">
        <w:rPr>
          <w:rFonts w:eastAsia="Times"/>
          <w:spacing w:val="-2"/>
          <w:szCs w:val="20"/>
          <w:lang w:val="es-ES_tradnl"/>
        </w:rPr>
        <w:t xml:space="preserve"> la normativa y a los estándares desarrollados en su jurisprudencia, procede aclarar el sentido o alcance de algún punto de la Sentencia</w:t>
      </w:r>
      <w:r w:rsidRPr="00C92188">
        <w:rPr>
          <w:rFonts w:eastAsia="Times"/>
          <w:spacing w:val="-2"/>
          <w:szCs w:val="20"/>
          <w:lang w:val="es-ES_tradnl"/>
        </w:rPr>
        <w:t xml:space="preserve">. </w:t>
      </w:r>
    </w:p>
    <w:p w14:paraId="05F01792" w14:textId="77777777" w:rsidR="00AE74FC" w:rsidRPr="00C92188" w:rsidRDefault="00AE74FC" w:rsidP="008716BD">
      <w:pPr>
        <w:rPr>
          <w:rFonts w:eastAsia="Times"/>
          <w:bCs/>
          <w:spacing w:val="-2"/>
          <w:szCs w:val="20"/>
          <w:lang w:val="es-ES_tradnl"/>
        </w:rPr>
      </w:pPr>
    </w:p>
    <w:p w14:paraId="66C4EAB8" w14:textId="66401975" w:rsidR="00AE74FC" w:rsidRPr="00C92188" w:rsidRDefault="0036610C" w:rsidP="008716BD">
      <w:pPr>
        <w:numPr>
          <w:ilvl w:val="0"/>
          <w:numId w:val="1"/>
        </w:numPr>
        <w:tabs>
          <w:tab w:val="left" w:pos="567"/>
          <w:tab w:val="num" w:pos="720"/>
        </w:tabs>
        <w:ind w:left="0" w:firstLine="0"/>
        <w:rPr>
          <w:lang w:val="es-CR"/>
        </w:rPr>
      </w:pPr>
      <w:bookmarkStart w:id="11" w:name="_Ref392082429"/>
      <w:r>
        <w:rPr>
          <w:lang w:val="es-CR"/>
        </w:rPr>
        <w:t>L</w:t>
      </w:r>
      <w:r w:rsidR="00AE74FC" w:rsidRPr="00C92188">
        <w:rPr>
          <w:lang w:val="es-CR"/>
        </w:rPr>
        <w:t xml:space="preserve">a Corte ha señalado que una solicitud de interpretación de </w:t>
      </w:r>
      <w:r w:rsidR="00B32FE0">
        <w:rPr>
          <w:lang w:val="es-CR"/>
        </w:rPr>
        <w:t>S</w:t>
      </w:r>
      <w:r w:rsidR="00AE74FC" w:rsidRPr="00C92188">
        <w:rPr>
          <w:lang w:val="es-CR"/>
        </w:rPr>
        <w:t>entencia no puede utilizarse como medio de impugnación de la decisión c</w:t>
      </w:r>
      <w:r w:rsidR="00246E99">
        <w:rPr>
          <w:lang w:val="es-CR"/>
        </w:rPr>
        <w:t xml:space="preserve">uya interpretación se requiere. </w:t>
      </w:r>
      <w:r w:rsidR="00AE74FC" w:rsidRPr="00C92188">
        <w:rPr>
          <w:lang w:val="es-CR"/>
        </w:rPr>
        <w:t>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 Por lo tanto, no se puede solicitar la modificación o anulación de la sentencia respectiva a través de una solicitud de interpretación</w:t>
      </w:r>
      <w:r w:rsidR="00AE74FC" w:rsidRPr="00C92188">
        <w:rPr>
          <w:rStyle w:val="Refdenotaalpie"/>
          <w:lang w:val="es-CR"/>
        </w:rPr>
        <w:footnoteReference w:id="3"/>
      </w:r>
      <w:r w:rsidR="00AE74FC" w:rsidRPr="00C92188">
        <w:rPr>
          <w:lang w:val="es-CR"/>
        </w:rPr>
        <w:t>.</w:t>
      </w:r>
      <w:bookmarkEnd w:id="11"/>
      <w:r w:rsidR="00AE74FC" w:rsidRPr="00C92188">
        <w:rPr>
          <w:lang w:val="es-CR"/>
        </w:rPr>
        <w:t xml:space="preserve"> </w:t>
      </w:r>
    </w:p>
    <w:p w14:paraId="2B6D74E7" w14:textId="77777777" w:rsidR="00AE74FC" w:rsidRPr="00C92188" w:rsidRDefault="00AE74FC" w:rsidP="008716BD">
      <w:pPr>
        <w:rPr>
          <w:lang w:val="es-CR"/>
        </w:rPr>
      </w:pPr>
    </w:p>
    <w:p w14:paraId="212A9684" w14:textId="77777777" w:rsidR="00AE74FC" w:rsidRPr="00A57704" w:rsidRDefault="00AE74FC" w:rsidP="008716BD">
      <w:pPr>
        <w:numPr>
          <w:ilvl w:val="0"/>
          <w:numId w:val="1"/>
        </w:numPr>
        <w:tabs>
          <w:tab w:val="left" w:pos="567"/>
          <w:tab w:val="num" w:pos="720"/>
        </w:tabs>
        <w:ind w:left="0" w:firstLine="0"/>
        <w:rPr>
          <w:lang w:val="es-CR"/>
        </w:rPr>
      </w:pPr>
      <w:r w:rsidRPr="00C92188">
        <w:rPr>
          <w:szCs w:val="20"/>
        </w:rPr>
        <w:t>Adicionalmente, la Corte ha sostenido la improcedencia de utilizar una solicitud de interpretación para someter consideraciones sobre cuestiones de hecho y de derecho que ya fueron planteadas en su oportunidad procesal y sobre las cuales la Corte ya adoptó una decisión</w:t>
      </w:r>
      <w:r w:rsidRPr="00C92188">
        <w:rPr>
          <w:rStyle w:val="Refdenotaalpie"/>
        </w:rPr>
        <w:footnoteReference w:id="4"/>
      </w:r>
      <w:r w:rsidRPr="00C92188">
        <w:rPr>
          <w:szCs w:val="20"/>
        </w:rPr>
        <w:t>, así como para pretender que la Corte valore nuevamente cuestiones que ya han sido resueltas en la Sentencia</w:t>
      </w:r>
      <w:r w:rsidRPr="00C92188">
        <w:rPr>
          <w:rStyle w:val="Refdenotaalpie"/>
        </w:rPr>
        <w:footnoteReference w:id="5"/>
      </w:r>
      <w:r w:rsidRPr="00C92188">
        <w:rPr>
          <w:szCs w:val="20"/>
        </w:rPr>
        <w:t xml:space="preserve">. De igual manera, por esta vía tampoco se puede intentar que se amplíe el alcance de una medida de reparación ordenada </w:t>
      </w:r>
      <w:r w:rsidRPr="00A57704">
        <w:rPr>
          <w:szCs w:val="20"/>
        </w:rPr>
        <w:t>oportunamente</w:t>
      </w:r>
      <w:r w:rsidRPr="00A57704">
        <w:rPr>
          <w:rStyle w:val="Refdenotaalpie"/>
        </w:rPr>
        <w:footnoteReference w:id="6"/>
      </w:r>
      <w:r w:rsidRPr="00A57704">
        <w:rPr>
          <w:szCs w:val="20"/>
        </w:rPr>
        <w:t>.</w:t>
      </w:r>
    </w:p>
    <w:p w14:paraId="79DCFC33" w14:textId="77777777" w:rsidR="00AE74FC" w:rsidRPr="00A57704" w:rsidRDefault="00AE74FC" w:rsidP="008716BD">
      <w:pPr>
        <w:rPr>
          <w:lang w:val="es-CR"/>
        </w:rPr>
      </w:pPr>
    </w:p>
    <w:p w14:paraId="21223C00" w14:textId="0E67F484" w:rsidR="00501AAF" w:rsidRPr="006A7FC1" w:rsidRDefault="00AE74FC" w:rsidP="00501AAF">
      <w:pPr>
        <w:numPr>
          <w:ilvl w:val="0"/>
          <w:numId w:val="1"/>
        </w:numPr>
        <w:tabs>
          <w:tab w:val="left" w:pos="567"/>
          <w:tab w:val="num" w:pos="720"/>
        </w:tabs>
        <w:ind w:left="0" w:firstLine="0"/>
      </w:pPr>
      <w:r w:rsidRPr="006A7FC1">
        <w:t>A continuación, la Corte Interamericana examinará la</w:t>
      </w:r>
      <w:r w:rsidR="00187B25" w:rsidRPr="006A7FC1">
        <w:t>s</w:t>
      </w:r>
      <w:r w:rsidRPr="006A7FC1">
        <w:t xml:space="preserve"> </w:t>
      </w:r>
      <w:r w:rsidR="00187B25" w:rsidRPr="006A7FC1">
        <w:t>cuestiones</w:t>
      </w:r>
      <w:r w:rsidR="00B858F7" w:rsidRPr="006A7FC1">
        <w:t xml:space="preserve"> planteada</w:t>
      </w:r>
      <w:r w:rsidR="00187B25" w:rsidRPr="006A7FC1">
        <w:t>s en el orden siguiente: a) la solicitud de</w:t>
      </w:r>
      <w:r w:rsidR="00166B17" w:rsidRPr="006A7FC1">
        <w:t xml:space="preserve"> interpretación </w:t>
      </w:r>
      <w:r w:rsidR="00937128">
        <w:t>del Estado</w:t>
      </w:r>
      <w:r w:rsidR="00187B25" w:rsidRPr="006A7FC1">
        <w:t xml:space="preserve"> </w:t>
      </w:r>
      <w:r w:rsidR="00937128">
        <w:rPr>
          <w:lang w:val="es-CR"/>
        </w:rPr>
        <w:t>respecto de</w:t>
      </w:r>
      <w:r w:rsidR="00937128" w:rsidRPr="00937128">
        <w:rPr>
          <w:lang w:val="es-CR"/>
        </w:rPr>
        <w:t xml:space="preserve"> la inclusión directa de derechos que se derivan del artículo 26 </w:t>
      </w:r>
      <w:r w:rsidR="00937128">
        <w:rPr>
          <w:lang w:val="es-CR"/>
        </w:rPr>
        <w:t>de la Convención</w:t>
      </w:r>
      <w:r w:rsidR="00937128">
        <w:t>, y</w:t>
      </w:r>
      <w:r w:rsidR="0066166D" w:rsidRPr="006A7FC1">
        <w:t xml:space="preserve"> </w:t>
      </w:r>
      <w:r w:rsidR="00501AAF" w:rsidRPr="006A7FC1">
        <w:t xml:space="preserve">b) la solicitud de interpretación </w:t>
      </w:r>
      <w:r w:rsidR="00937128">
        <w:t>del Estado</w:t>
      </w:r>
      <w:r w:rsidR="00501AAF" w:rsidRPr="006A7FC1">
        <w:t xml:space="preserve"> </w:t>
      </w:r>
      <w:r w:rsidR="000D1D80" w:rsidRPr="000D1D80">
        <w:rPr>
          <w:lang w:val="es-CR"/>
        </w:rPr>
        <w:t xml:space="preserve">respecto de los derechos que se desarrollan </w:t>
      </w:r>
      <w:r w:rsidR="000D1D80">
        <w:rPr>
          <w:lang w:val="es-CR"/>
        </w:rPr>
        <w:t xml:space="preserve">en la Sentencia </w:t>
      </w:r>
      <w:r w:rsidR="00917CB0">
        <w:rPr>
          <w:lang w:val="es-CR"/>
        </w:rPr>
        <w:t>“</w:t>
      </w:r>
      <w:r w:rsidR="000D1D80" w:rsidRPr="000D1D80">
        <w:rPr>
          <w:lang w:val="es-CR"/>
        </w:rPr>
        <w:t>con base en materia que no proviene de instrumentos sujetos a la ratificación de los Estados</w:t>
      </w:r>
      <w:r w:rsidR="00917CB0">
        <w:rPr>
          <w:lang w:val="es-CR"/>
        </w:rPr>
        <w:t>”</w:t>
      </w:r>
      <w:r w:rsidR="00501AAF" w:rsidRPr="006A7FC1">
        <w:t>.</w:t>
      </w:r>
    </w:p>
    <w:p w14:paraId="730B4D74" w14:textId="77777777" w:rsidR="00612732" w:rsidRPr="00C92188" w:rsidRDefault="00612732" w:rsidP="008716BD">
      <w:pPr>
        <w:tabs>
          <w:tab w:val="num" w:pos="720"/>
        </w:tabs>
        <w:rPr>
          <w:b/>
          <w:i/>
          <w:lang w:val="es-CR"/>
        </w:rPr>
      </w:pPr>
    </w:p>
    <w:p w14:paraId="629B7199" w14:textId="4A2DBF38" w:rsidR="00501AAF" w:rsidRPr="009017A7" w:rsidRDefault="00A44AEC" w:rsidP="009017A7">
      <w:pPr>
        <w:pStyle w:val="Prrafodelista"/>
        <w:spacing w:after="0" w:line="240" w:lineRule="auto"/>
        <w:ind w:left="567"/>
        <w:jc w:val="both"/>
        <w:rPr>
          <w:b/>
          <w:i/>
        </w:rPr>
      </w:pPr>
      <w:r w:rsidRPr="004E4D4F">
        <w:rPr>
          <w:b/>
          <w:i/>
        </w:rPr>
        <w:t>A. Solicitud</w:t>
      </w:r>
      <w:r w:rsidR="00A226A8" w:rsidRPr="004E4D4F">
        <w:rPr>
          <w:b/>
          <w:i/>
        </w:rPr>
        <w:t xml:space="preserve"> </w:t>
      </w:r>
      <w:r w:rsidR="00D4645C" w:rsidRPr="00D4645C">
        <w:rPr>
          <w:b/>
          <w:i/>
        </w:rPr>
        <w:t xml:space="preserve">de interpretación del Estado </w:t>
      </w:r>
      <w:r w:rsidR="00D4645C" w:rsidRPr="00D4645C">
        <w:rPr>
          <w:b/>
          <w:i/>
          <w:lang w:val="es-CR"/>
        </w:rPr>
        <w:t>respecto de la inclusión directa de derechos que se derivan del artículo 26 de la Convención</w:t>
      </w:r>
    </w:p>
    <w:p w14:paraId="21F977E5" w14:textId="77777777" w:rsidR="00A44AEC" w:rsidRDefault="00A44AEC" w:rsidP="008716BD">
      <w:pPr>
        <w:pStyle w:val="Prrafodelista"/>
        <w:spacing w:after="0" w:line="240" w:lineRule="auto"/>
        <w:rPr>
          <w:b/>
          <w:i/>
          <w:lang w:val="es-CR"/>
        </w:rPr>
      </w:pPr>
    </w:p>
    <w:p w14:paraId="12108220" w14:textId="640BEDC6" w:rsidR="00AE74FC" w:rsidRPr="00A44AEC" w:rsidRDefault="00A44AEC" w:rsidP="008716BD">
      <w:pPr>
        <w:ind w:left="851"/>
        <w:rPr>
          <w:b/>
          <w:i/>
          <w:lang w:val="es-CR"/>
        </w:rPr>
      </w:pPr>
      <w:r>
        <w:rPr>
          <w:b/>
          <w:i/>
          <w:lang w:val="es-CR"/>
        </w:rPr>
        <w:t xml:space="preserve">A.1. </w:t>
      </w:r>
      <w:r w:rsidR="00AE74FC" w:rsidRPr="00A44AEC">
        <w:rPr>
          <w:b/>
          <w:i/>
          <w:lang w:val="es-CR"/>
        </w:rPr>
        <w:t xml:space="preserve">Argumentos </w:t>
      </w:r>
      <w:r w:rsidR="00D4645C">
        <w:rPr>
          <w:b/>
          <w:i/>
          <w:lang w:val="es-CR"/>
        </w:rPr>
        <w:t>del Estado</w:t>
      </w:r>
      <w:r w:rsidR="00AE74FC" w:rsidRPr="00A44AEC">
        <w:rPr>
          <w:b/>
          <w:i/>
          <w:lang w:val="es-CR"/>
        </w:rPr>
        <w:t xml:space="preserve"> y</w:t>
      </w:r>
      <w:r w:rsidR="00801702">
        <w:rPr>
          <w:b/>
          <w:i/>
          <w:lang w:val="es-CR"/>
        </w:rPr>
        <w:t xml:space="preserve"> de</w:t>
      </w:r>
      <w:r w:rsidR="00F54F06">
        <w:rPr>
          <w:b/>
          <w:i/>
          <w:lang w:val="es-CR"/>
        </w:rPr>
        <w:t xml:space="preserve"> la Comisión</w:t>
      </w:r>
    </w:p>
    <w:p w14:paraId="24FA7528" w14:textId="53E6F229" w:rsidR="00A069DF" w:rsidRPr="00801702" w:rsidRDefault="00A069DF" w:rsidP="008716BD">
      <w:pPr>
        <w:tabs>
          <w:tab w:val="num" w:pos="720"/>
        </w:tabs>
        <w:rPr>
          <w:b/>
          <w:i/>
          <w:lang w:val="es-CR"/>
        </w:rPr>
      </w:pPr>
    </w:p>
    <w:p w14:paraId="53B8D7A1" w14:textId="649F1949" w:rsidR="00FB1121" w:rsidRDefault="0084335A" w:rsidP="008716BD">
      <w:pPr>
        <w:numPr>
          <w:ilvl w:val="0"/>
          <w:numId w:val="1"/>
        </w:numPr>
        <w:tabs>
          <w:tab w:val="left" w:pos="567"/>
          <w:tab w:val="num" w:pos="720"/>
        </w:tabs>
        <w:ind w:left="0" w:firstLine="0"/>
        <w:rPr>
          <w:lang w:val="es-CR"/>
        </w:rPr>
      </w:pPr>
      <w:r>
        <w:rPr>
          <w:lang w:val="es-CR"/>
        </w:rPr>
        <w:t>El</w:t>
      </w:r>
      <w:r w:rsidR="00FE6D72" w:rsidRPr="00A069DF">
        <w:rPr>
          <w:b/>
          <w:i/>
          <w:lang w:val="es-CR"/>
        </w:rPr>
        <w:t xml:space="preserve"> </w:t>
      </w:r>
      <w:r w:rsidR="00646C50">
        <w:rPr>
          <w:b/>
          <w:i/>
          <w:lang w:val="es-CR"/>
        </w:rPr>
        <w:t>Estado</w:t>
      </w:r>
      <w:r w:rsidR="00AE74FC" w:rsidRPr="00A069DF">
        <w:rPr>
          <w:b/>
          <w:lang w:val="es-CR"/>
        </w:rPr>
        <w:t xml:space="preserve"> </w:t>
      </w:r>
      <w:r w:rsidR="00AE74FC" w:rsidRPr="00A069DF">
        <w:rPr>
          <w:lang w:val="es-CR"/>
        </w:rPr>
        <w:t>solicit</w:t>
      </w:r>
      <w:r w:rsidR="00FE6D72" w:rsidRPr="00A069DF">
        <w:rPr>
          <w:lang w:val="es-CR"/>
        </w:rPr>
        <w:t>ó</w:t>
      </w:r>
      <w:r w:rsidR="006F5AE9">
        <w:rPr>
          <w:lang w:val="es-CR"/>
        </w:rPr>
        <w:t xml:space="preserve"> </w:t>
      </w:r>
      <w:r w:rsidR="00A226A8">
        <w:rPr>
          <w:lang w:val="es-CR"/>
        </w:rPr>
        <w:t>l</w:t>
      </w:r>
      <w:r w:rsidR="006F5AE9">
        <w:rPr>
          <w:lang w:val="es-CR"/>
        </w:rPr>
        <w:t xml:space="preserve">a aclaración </w:t>
      </w:r>
      <w:r w:rsidR="00B72DBE">
        <w:rPr>
          <w:lang w:val="es-CR"/>
        </w:rPr>
        <w:t>de</w:t>
      </w:r>
      <w:r w:rsidR="00246E99">
        <w:rPr>
          <w:lang w:val="es-CR"/>
        </w:rPr>
        <w:t xml:space="preserve">l </w:t>
      </w:r>
      <w:r w:rsidR="001503B2">
        <w:rPr>
          <w:lang w:val="es-CR"/>
        </w:rPr>
        <w:t>punto resolutivo cuarto</w:t>
      </w:r>
      <w:r w:rsidR="00246E99">
        <w:rPr>
          <w:lang w:val="es-CR"/>
        </w:rPr>
        <w:t xml:space="preserve"> de</w:t>
      </w:r>
      <w:r w:rsidR="006F5AE9">
        <w:rPr>
          <w:lang w:val="es-CR"/>
        </w:rPr>
        <w:t xml:space="preserve"> la Sentencia, </w:t>
      </w:r>
      <w:r w:rsidR="00C61590">
        <w:rPr>
          <w:lang w:val="es-CR"/>
        </w:rPr>
        <w:t xml:space="preserve">en </w:t>
      </w:r>
      <w:r w:rsidR="001503B2">
        <w:rPr>
          <w:lang w:val="es-CR"/>
        </w:rPr>
        <w:t>donde se declara que Guatemala “</w:t>
      </w:r>
      <w:r w:rsidR="001503B2" w:rsidRPr="001503B2">
        <w:t>es responsable por la violación al derecho a la huelga, a la libertad de asociación, a la libertad sindical y al derecho al trabajo y a la estabilidad laboral, consagrados en los artículos 16 y 26 de la Convención Americana</w:t>
      </w:r>
      <w:r w:rsidR="001503B2">
        <w:t>”</w:t>
      </w:r>
      <w:r w:rsidR="00C61590">
        <w:rPr>
          <w:lang w:val="es-CR"/>
        </w:rPr>
        <w:t>. Señaló que</w:t>
      </w:r>
      <w:r w:rsidR="001503B2">
        <w:rPr>
          <w:lang w:val="es-CR"/>
        </w:rPr>
        <w:t xml:space="preserve"> “existe un punto discordante, respecto de la </w:t>
      </w:r>
      <w:proofErr w:type="spellStart"/>
      <w:r w:rsidR="001503B2">
        <w:rPr>
          <w:lang w:val="es-CR"/>
        </w:rPr>
        <w:t>justiciabilidad</w:t>
      </w:r>
      <w:proofErr w:type="spellEnd"/>
      <w:r w:rsidR="001503B2">
        <w:rPr>
          <w:lang w:val="es-CR"/>
        </w:rPr>
        <w:t xml:space="preserve"> de los DESCA, en relación con agrupar dichos derechos de forma directa o autónoma, en virtud que </w:t>
      </w:r>
      <w:r w:rsidR="00303A8A">
        <w:rPr>
          <w:lang w:val="es-CR"/>
        </w:rPr>
        <w:t>los</w:t>
      </w:r>
      <w:r w:rsidR="001503B2">
        <w:rPr>
          <w:lang w:val="es-CR"/>
        </w:rPr>
        <w:t xml:space="preserve"> derechos a la huelga y el derecho al trabajo y la estabilidad laboral no forman parte de una cláusula convencional que les otorgue estatus de reconocidos o garantizados por la Convención, de tal cuenta que estos últimos habrían sido adoptados mediante aplicación del Protocolo de San Salvador y el artículo 16 Convencional, de manera indirecta a través de la teoría de conexidad</w:t>
      </w:r>
      <w:r w:rsidR="0097133A">
        <w:rPr>
          <w:lang w:val="es-CR"/>
        </w:rPr>
        <w:t>”</w:t>
      </w:r>
      <w:r w:rsidR="004C4E0E">
        <w:rPr>
          <w:lang w:val="es-CR"/>
        </w:rPr>
        <w:t>.</w:t>
      </w:r>
    </w:p>
    <w:p w14:paraId="469268F2" w14:textId="77777777" w:rsidR="00FB1121" w:rsidRDefault="00FB1121" w:rsidP="008716BD">
      <w:pPr>
        <w:tabs>
          <w:tab w:val="left" w:pos="567"/>
        </w:tabs>
        <w:rPr>
          <w:lang w:val="es-CR"/>
        </w:rPr>
      </w:pPr>
    </w:p>
    <w:p w14:paraId="1117A778" w14:textId="2EE81E55" w:rsidR="00F54F06" w:rsidRPr="00B43F74" w:rsidRDefault="00D33A2D" w:rsidP="008716BD">
      <w:pPr>
        <w:widowControl w:val="0"/>
        <w:numPr>
          <w:ilvl w:val="0"/>
          <w:numId w:val="1"/>
        </w:numPr>
        <w:tabs>
          <w:tab w:val="left" w:pos="567"/>
          <w:tab w:val="num" w:pos="720"/>
        </w:tabs>
        <w:ind w:left="0" w:firstLine="0"/>
        <w:rPr>
          <w:lang w:val="es-CR"/>
        </w:rPr>
      </w:pPr>
      <w:r w:rsidRPr="004C4E0E">
        <w:rPr>
          <w:lang w:val="es-CR"/>
        </w:rPr>
        <w:t>Argumentó</w:t>
      </w:r>
      <w:r w:rsidR="00FB1121" w:rsidRPr="004C4E0E">
        <w:rPr>
          <w:lang w:val="es-CR"/>
        </w:rPr>
        <w:t xml:space="preserve"> que</w:t>
      </w:r>
      <w:r w:rsidR="0097133A">
        <w:rPr>
          <w:lang w:val="es-CR"/>
        </w:rPr>
        <w:t xml:space="preserve"> “en lo que respecta el derecho a la huelga, el derecho al trabajo y la estabilidad social, no se encuentran nombrados expresamente en el artículo 26 de la [Convención]”, por lo que valoró como “importante […] la ampliación del contenido de la [S]</w:t>
      </w:r>
      <w:proofErr w:type="spellStart"/>
      <w:r w:rsidR="0097133A">
        <w:rPr>
          <w:lang w:val="es-CR"/>
        </w:rPr>
        <w:t>entencia</w:t>
      </w:r>
      <w:proofErr w:type="spellEnd"/>
      <w:r w:rsidR="0097133A">
        <w:rPr>
          <w:lang w:val="es-CR"/>
        </w:rPr>
        <w:t xml:space="preserve"> en el sentido de respaldar la inclusión directa dentro del catálogo de derechos que se derivan del artículo 26 [de la Convención], la </w:t>
      </w:r>
      <w:r w:rsidR="00B32FE0">
        <w:rPr>
          <w:lang w:val="es-CR"/>
        </w:rPr>
        <w:t>manifiesta relación que se hace en la [S]</w:t>
      </w:r>
      <w:proofErr w:type="spellStart"/>
      <w:r w:rsidR="00B32FE0">
        <w:rPr>
          <w:lang w:val="es-CR"/>
        </w:rPr>
        <w:t>entencia</w:t>
      </w:r>
      <w:proofErr w:type="spellEnd"/>
      <w:r w:rsidR="00B32FE0">
        <w:rPr>
          <w:lang w:val="es-CR"/>
        </w:rPr>
        <w:t xml:space="preserve"> de mérito, con el derecho a la huelga y al derecho al trabajo y estabilidad social, así como las consecuencias jurídicas de esta relación, atendiendo las aristas dentro del presente caso y su consideración como derechos de exigibilidad inmediata”. </w:t>
      </w:r>
    </w:p>
    <w:p w14:paraId="7B500B53" w14:textId="77777777" w:rsidR="00166B17" w:rsidRPr="00303A8A" w:rsidRDefault="00166B17" w:rsidP="00303A8A">
      <w:pPr>
        <w:rPr>
          <w:lang w:val="es-CR"/>
        </w:rPr>
      </w:pPr>
    </w:p>
    <w:p w14:paraId="5336CBB8" w14:textId="35659A49" w:rsidR="00166B17" w:rsidRPr="0028616A" w:rsidRDefault="00166B17" w:rsidP="0028616A">
      <w:pPr>
        <w:widowControl w:val="0"/>
        <w:numPr>
          <w:ilvl w:val="0"/>
          <w:numId w:val="1"/>
        </w:numPr>
        <w:tabs>
          <w:tab w:val="left" w:pos="567"/>
          <w:tab w:val="num" w:pos="720"/>
        </w:tabs>
        <w:ind w:left="0" w:firstLine="0"/>
        <w:rPr>
          <w:lang w:val="es-CR"/>
        </w:rPr>
      </w:pPr>
      <w:r w:rsidRPr="00166B17">
        <w:rPr>
          <w:lang w:val="es-CR"/>
        </w:rPr>
        <w:t xml:space="preserve">La </w:t>
      </w:r>
      <w:r w:rsidRPr="00166B17">
        <w:rPr>
          <w:b/>
          <w:i/>
          <w:lang w:val="es-CR"/>
        </w:rPr>
        <w:t>Comisión</w:t>
      </w:r>
      <w:r w:rsidRPr="00166B17">
        <w:rPr>
          <w:lang w:val="es-CR"/>
        </w:rPr>
        <w:t xml:space="preserve"> </w:t>
      </w:r>
      <w:r w:rsidR="0028616A">
        <w:rPr>
          <w:lang w:val="es-CR"/>
        </w:rPr>
        <w:t>consideró que “</w:t>
      </w:r>
      <w:r w:rsidR="0028616A" w:rsidRPr="0028616A">
        <w:rPr>
          <w:lang w:val="es-CR"/>
        </w:rPr>
        <w:t>la Corte realizó una</w:t>
      </w:r>
      <w:r w:rsidR="0028616A">
        <w:rPr>
          <w:lang w:val="es-CR"/>
        </w:rPr>
        <w:t xml:space="preserve"> </w:t>
      </w:r>
      <w:r w:rsidR="0028616A" w:rsidRPr="0028616A">
        <w:rPr>
          <w:lang w:val="es-CR"/>
        </w:rPr>
        <w:t>extensa explicación sobre el alcance del artículo 26 de la Convención</w:t>
      </w:r>
      <w:r w:rsidR="0028616A">
        <w:rPr>
          <w:lang w:val="es-CR"/>
        </w:rPr>
        <w:t xml:space="preserve"> […] y </w:t>
      </w:r>
      <w:r w:rsidR="0028616A" w:rsidRPr="0028616A">
        <w:rPr>
          <w:lang w:val="es-CR"/>
        </w:rPr>
        <w:t xml:space="preserve">cómo ésta </w:t>
      </w:r>
      <w:r w:rsidR="0028616A">
        <w:rPr>
          <w:lang w:val="es-CR"/>
        </w:rPr>
        <w:t>‘</w:t>
      </w:r>
      <w:r w:rsidR="0028616A" w:rsidRPr="0028616A">
        <w:rPr>
          <w:lang w:val="es-CR"/>
        </w:rPr>
        <w:t>incorporó en su catálogo de derechos protegidos los denominados derechos económicos,</w:t>
      </w:r>
      <w:r w:rsidR="0028616A">
        <w:rPr>
          <w:lang w:val="es-CR"/>
        </w:rPr>
        <w:t xml:space="preserve"> </w:t>
      </w:r>
      <w:r w:rsidR="0028616A" w:rsidRPr="0028616A">
        <w:rPr>
          <w:lang w:val="es-CR"/>
        </w:rPr>
        <w:t>sociales, culturales y ambientales (DESCA), a través de una derivación de las normas reconocidas en la</w:t>
      </w:r>
      <w:r w:rsidR="0028616A">
        <w:rPr>
          <w:lang w:val="es-CR"/>
        </w:rPr>
        <w:t xml:space="preserve"> </w:t>
      </w:r>
      <w:r w:rsidR="0028616A" w:rsidRPr="0028616A">
        <w:rPr>
          <w:lang w:val="es-CR"/>
        </w:rPr>
        <w:t>Carta de la Organización de los Estados Americanos</w:t>
      </w:r>
      <w:r w:rsidR="0028616A">
        <w:rPr>
          <w:lang w:val="es-CR"/>
        </w:rPr>
        <w:t xml:space="preserve"> […], así como de las normas de interpretación dispuestas en el propio artículo 29 de la Convención”</w:t>
      </w:r>
      <w:r w:rsidRPr="0028616A">
        <w:rPr>
          <w:lang w:val="es-CR"/>
        </w:rPr>
        <w:t>.</w:t>
      </w:r>
      <w:r w:rsidR="009A43EB">
        <w:rPr>
          <w:lang w:val="es-CR"/>
        </w:rPr>
        <w:t xml:space="preserve"> Por lo anterior, consideró que “la solicitud de interpretación presentada por el Estado no es procedente”.</w:t>
      </w:r>
      <w:r w:rsidRPr="0028616A">
        <w:rPr>
          <w:lang w:val="es-CR"/>
        </w:rPr>
        <w:t xml:space="preserve"> </w:t>
      </w:r>
    </w:p>
    <w:p w14:paraId="17298CE5" w14:textId="4E3E39E8" w:rsidR="009017A7" w:rsidRPr="009017A7" w:rsidRDefault="009017A7" w:rsidP="009017A7">
      <w:pPr>
        <w:widowControl w:val="0"/>
        <w:tabs>
          <w:tab w:val="left" w:pos="567"/>
        </w:tabs>
        <w:rPr>
          <w:lang w:val="es-CR"/>
        </w:rPr>
      </w:pPr>
    </w:p>
    <w:p w14:paraId="01F5421E" w14:textId="018E402A" w:rsidR="009017A7" w:rsidRPr="00A44AEC" w:rsidRDefault="009017A7" w:rsidP="009017A7">
      <w:pPr>
        <w:ind w:left="851"/>
        <w:rPr>
          <w:b/>
          <w:i/>
          <w:lang w:val="es-CR"/>
        </w:rPr>
      </w:pPr>
      <w:r>
        <w:rPr>
          <w:b/>
          <w:i/>
          <w:lang w:val="es-CR"/>
        </w:rPr>
        <w:t>A.2. Consideraciones de la Corte</w:t>
      </w:r>
    </w:p>
    <w:p w14:paraId="38F63272" w14:textId="77777777" w:rsidR="009017A7" w:rsidRPr="00801702" w:rsidRDefault="009017A7" w:rsidP="009017A7">
      <w:pPr>
        <w:tabs>
          <w:tab w:val="num" w:pos="720"/>
        </w:tabs>
        <w:rPr>
          <w:b/>
          <w:i/>
          <w:lang w:val="es-CR"/>
        </w:rPr>
      </w:pPr>
    </w:p>
    <w:p w14:paraId="18E0E030" w14:textId="15DCA941" w:rsidR="0084335A" w:rsidRPr="009B2817" w:rsidRDefault="009B2817" w:rsidP="009B2817">
      <w:pPr>
        <w:widowControl w:val="0"/>
        <w:numPr>
          <w:ilvl w:val="0"/>
          <w:numId w:val="1"/>
        </w:numPr>
        <w:tabs>
          <w:tab w:val="left" w:pos="567"/>
          <w:tab w:val="num" w:pos="720"/>
        </w:tabs>
        <w:ind w:left="0" w:firstLine="0"/>
        <w:rPr>
          <w:b/>
          <w:i/>
        </w:rPr>
      </w:pPr>
      <w:r w:rsidRPr="009B2817">
        <w:t xml:space="preserve">La Corte reitera que </w:t>
      </w:r>
      <w:r w:rsidR="005D5EE8">
        <w:t>es</w:t>
      </w:r>
      <w:r w:rsidR="005D5EE8" w:rsidRPr="009B2817">
        <w:t xml:space="preserve"> </w:t>
      </w:r>
      <w:r w:rsidRPr="009B2817">
        <w:t xml:space="preserve">improcedente utilizar una solicitud de interpretación para someter cuestiones de hecho y de derecho que ya fueron planteadas en su oportunidad procesal y </w:t>
      </w:r>
      <w:r w:rsidRPr="009B2817">
        <w:rPr>
          <w:lang w:val="es-CR"/>
        </w:rPr>
        <w:t>sobre</w:t>
      </w:r>
      <w:r w:rsidRPr="009B2817">
        <w:t xml:space="preserve"> las cuales la Corte ya adoptó una decisión.</w:t>
      </w:r>
    </w:p>
    <w:p w14:paraId="660C6E3B" w14:textId="12B2C267" w:rsidR="009B2817" w:rsidRPr="003B05BF" w:rsidRDefault="00262A3B" w:rsidP="009B2817">
      <w:pPr>
        <w:widowControl w:val="0"/>
        <w:numPr>
          <w:ilvl w:val="0"/>
          <w:numId w:val="1"/>
        </w:numPr>
        <w:tabs>
          <w:tab w:val="left" w:pos="567"/>
          <w:tab w:val="num" w:pos="720"/>
        </w:tabs>
        <w:spacing w:before="240"/>
        <w:ind w:left="0" w:firstLine="0"/>
        <w:rPr>
          <w:b/>
          <w:i/>
        </w:rPr>
      </w:pPr>
      <w:r>
        <w:t>Al respecto, se recuerda que</w:t>
      </w:r>
      <w:r w:rsidR="008879E2">
        <w:t>,</w:t>
      </w:r>
      <w:r>
        <w:t xml:space="preserve"> </w:t>
      </w:r>
      <w:r w:rsidR="003E41A6">
        <w:t xml:space="preserve">a partir del párrafo 100 de la Sentencia, </w:t>
      </w:r>
      <w:r w:rsidR="003E41A6" w:rsidRPr="003E41A6">
        <w:t>la Corte se declaró competente para conocer y resolver controversias relativas al artículo 26 de la Convención Americana como parte integrante de los derechos enumerados en su texto y para declarar la responsabilidad de un Estado que haya dado su consentimiento para obligarse por la Convención y haya aceptado, además, la competencia de la Corte Interamericana.</w:t>
      </w:r>
    </w:p>
    <w:p w14:paraId="1A76E7B0" w14:textId="5C5E06CA" w:rsidR="003B05BF" w:rsidRPr="003B05BF" w:rsidRDefault="003B05BF" w:rsidP="009B2817">
      <w:pPr>
        <w:widowControl w:val="0"/>
        <w:numPr>
          <w:ilvl w:val="0"/>
          <w:numId w:val="1"/>
        </w:numPr>
        <w:tabs>
          <w:tab w:val="left" w:pos="567"/>
          <w:tab w:val="num" w:pos="720"/>
        </w:tabs>
        <w:spacing w:before="240"/>
        <w:ind w:left="0" w:firstLine="0"/>
        <w:rPr>
          <w:b/>
          <w:i/>
        </w:rPr>
      </w:pPr>
      <w:r>
        <w:t xml:space="preserve">Asimismo, se recuerda al Estado que los párrafos 128 y 129 de la Sentencia disponen lo siguiente: </w:t>
      </w:r>
    </w:p>
    <w:p w14:paraId="0B96F729" w14:textId="4EE5B237" w:rsidR="003B05BF" w:rsidRPr="003B05BF" w:rsidRDefault="003B05BF" w:rsidP="003B05BF">
      <w:pPr>
        <w:widowControl w:val="0"/>
        <w:tabs>
          <w:tab w:val="left" w:pos="567"/>
        </w:tabs>
        <w:spacing w:before="240"/>
        <w:ind w:left="567" w:right="567"/>
        <w:rPr>
          <w:bCs/>
          <w:iCs/>
          <w:sz w:val="16"/>
          <w:szCs w:val="20"/>
        </w:rPr>
      </w:pPr>
      <w:r w:rsidRPr="003B05BF">
        <w:rPr>
          <w:bCs/>
          <w:iCs/>
          <w:sz w:val="16"/>
          <w:szCs w:val="20"/>
        </w:rPr>
        <w:t xml:space="preserve">128. Respecto a los derechos laborales específicos protegidos por el artículo 26 de la Convención Americana, la Corte ya ha determinado que los términos </w:t>
      </w:r>
      <w:proofErr w:type="gramStart"/>
      <w:r w:rsidRPr="003B05BF">
        <w:rPr>
          <w:bCs/>
          <w:iCs/>
          <w:sz w:val="16"/>
          <w:szCs w:val="20"/>
        </w:rPr>
        <w:t>del mismo</w:t>
      </w:r>
      <w:proofErr w:type="gramEnd"/>
      <w:r w:rsidRPr="003B05BF">
        <w:rPr>
          <w:bCs/>
          <w:iCs/>
          <w:sz w:val="16"/>
          <w:szCs w:val="20"/>
        </w:rPr>
        <w:t xml:space="preserve"> indican que son aquellos derechos que se derivan de las normas económicas, sociales y sobre educación, ciencia y cultura contenidas en la Carta de la OEA. Ahora bien, los artículos 45.b y c140, 46141 y 34.g142 de la Carta establecen que “[e]l trabajo es un derecho y un deber social” y que ese debe prestarse </w:t>
      </w:r>
      <w:r w:rsidRPr="003B05BF">
        <w:rPr>
          <w:bCs/>
          <w:iCs/>
          <w:sz w:val="16"/>
          <w:szCs w:val="20"/>
        </w:rPr>
        <w:lastRenderedPageBreak/>
        <w:t xml:space="preserve">con “salarios justos, oportunidades de empleo y condiciones de trabajo aceptables para todos”. Asimismo, señalan que el derecho de </w:t>
      </w:r>
      <w:proofErr w:type="gramStart"/>
      <w:r w:rsidRPr="003B05BF">
        <w:rPr>
          <w:bCs/>
          <w:iCs/>
          <w:sz w:val="16"/>
          <w:szCs w:val="20"/>
        </w:rPr>
        <w:t>los trabajadores y trabajadoras</w:t>
      </w:r>
      <w:proofErr w:type="gramEnd"/>
      <w:r w:rsidRPr="003B05BF">
        <w:rPr>
          <w:bCs/>
          <w:iCs/>
          <w:sz w:val="16"/>
          <w:szCs w:val="20"/>
        </w:rPr>
        <w:t xml:space="preserve"> a “asociarse libremente para la defensa y promoción de sus intereses”. Además, indican que los Estados deben “armonizar la legislación social” para la protección de tales derechos. Desde su Opinión Consultiva OC-10/89, la Corte señaló que: </w:t>
      </w:r>
    </w:p>
    <w:p w14:paraId="518965D6" w14:textId="136363DC" w:rsidR="003B05BF" w:rsidRDefault="003B05BF" w:rsidP="003B05BF">
      <w:pPr>
        <w:widowControl w:val="0"/>
        <w:tabs>
          <w:tab w:val="left" w:pos="567"/>
        </w:tabs>
        <w:spacing w:before="240"/>
        <w:ind w:left="851" w:right="851"/>
        <w:rPr>
          <w:bCs/>
          <w:iCs/>
          <w:sz w:val="14"/>
          <w:szCs w:val="18"/>
        </w:rPr>
      </w:pPr>
      <w:r w:rsidRPr="003B05BF">
        <w:rPr>
          <w:bCs/>
          <w:iCs/>
          <w:sz w:val="14"/>
          <w:szCs w:val="18"/>
        </w:rPr>
        <w:t xml:space="preserve">[…]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 </w:t>
      </w:r>
    </w:p>
    <w:p w14:paraId="50A3586B" w14:textId="7B8A2B70" w:rsidR="003B05BF" w:rsidRPr="003B05BF" w:rsidRDefault="003B05BF" w:rsidP="003B05BF">
      <w:pPr>
        <w:widowControl w:val="0"/>
        <w:tabs>
          <w:tab w:val="left" w:pos="567"/>
        </w:tabs>
        <w:spacing w:before="240"/>
        <w:ind w:left="567" w:right="624"/>
        <w:rPr>
          <w:bCs/>
          <w:iCs/>
          <w:sz w:val="16"/>
          <w:szCs w:val="20"/>
        </w:rPr>
      </w:pPr>
      <w:r w:rsidRPr="003B05BF">
        <w:rPr>
          <w:bCs/>
          <w:iCs/>
          <w:sz w:val="16"/>
          <w:szCs w:val="20"/>
        </w:rPr>
        <w:t>129. En este sentido, el artículo XIV de la Declaración Americana dispone que “[t]oda persona tiene derecho al trabajo en condiciones dignas y a seguir libremente su vocación […]”. Tal disposición resulta relevante para definir el alcance del artículo 26, dado que “la Declaración Americana, constituye, en lo pertinente y en relación con la Carta de la Organización, una fuente de obligaciones internacionales”. Asimismo, el artículo 29.d de la Convención Americana</w:t>
      </w:r>
      <w:r>
        <w:rPr>
          <w:bCs/>
          <w:iCs/>
          <w:sz w:val="16"/>
          <w:szCs w:val="20"/>
        </w:rPr>
        <w:t xml:space="preserve"> </w:t>
      </w:r>
      <w:r w:rsidRPr="003B05BF">
        <w:rPr>
          <w:bCs/>
          <w:iCs/>
          <w:sz w:val="16"/>
          <w:szCs w:val="20"/>
        </w:rPr>
        <w:t>dispone expresamente que “[n]</w:t>
      </w:r>
      <w:proofErr w:type="spellStart"/>
      <w:r w:rsidRPr="003B05BF">
        <w:rPr>
          <w:bCs/>
          <w:iCs/>
          <w:sz w:val="16"/>
          <w:szCs w:val="20"/>
        </w:rPr>
        <w:t>inguna</w:t>
      </w:r>
      <w:proofErr w:type="spellEnd"/>
      <w:r w:rsidRPr="003B05BF">
        <w:rPr>
          <w:bCs/>
          <w:iCs/>
          <w:sz w:val="16"/>
          <w:szCs w:val="20"/>
        </w:rPr>
        <w:t xml:space="preserve"> disposición de la presente Convención puede ser interpretada en el sentido de: […] d) excluir o limitar el efecto que puedan producir la Declaración Americana de Derechos y Deberes del Hombre y otros actos internacionales de la misma naturaleza”.</w:t>
      </w:r>
    </w:p>
    <w:p w14:paraId="54E2F39C" w14:textId="722DE6DB" w:rsidR="003E41A6" w:rsidRPr="009B2817" w:rsidRDefault="003E41A6" w:rsidP="009B2817">
      <w:pPr>
        <w:widowControl w:val="0"/>
        <w:numPr>
          <w:ilvl w:val="0"/>
          <w:numId w:val="1"/>
        </w:numPr>
        <w:tabs>
          <w:tab w:val="left" w:pos="567"/>
          <w:tab w:val="num" w:pos="720"/>
        </w:tabs>
        <w:spacing w:before="240"/>
        <w:ind w:left="0" w:firstLine="0"/>
        <w:rPr>
          <w:b/>
          <w:i/>
        </w:rPr>
      </w:pPr>
      <w:r>
        <w:t xml:space="preserve">La Corte considera que la redacción de la </w:t>
      </w:r>
      <w:r w:rsidR="001334F3">
        <w:t>Sentencia</w:t>
      </w:r>
      <w:r>
        <w:t xml:space="preserve"> es absolutamente clara al reiterar su constante jurisprudencia en que el Tribunal </w:t>
      </w:r>
      <w:r w:rsidRPr="003E41A6">
        <w:t>ha afirmado su competencia para conocer y resolver controversias relativas al artículo 26 de la Convención Americana como parte integrante de los derechos enumerados en su texto</w:t>
      </w:r>
      <w:r w:rsidR="00BC01DB">
        <w:t>, específicamente los derechos de carácter laboral</w:t>
      </w:r>
      <w:r w:rsidRPr="003E41A6">
        <w:t>.</w:t>
      </w:r>
      <w:r>
        <w:t xml:space="preserve"> </w:t>
      </w:r>
      <w:r w:rsidR="00C456E8" w:rsidRPr="00C456E8">
        <w:t>En consecuencia, el Tribunal desestima la solicitud del Estado.</w:t>
      </w:r>
    </w:p>
    <w:p w14:paraId="165759FB" w14:textId="77777777" w:rsidR="009B2817" w:rsidRDefault="009B2817" w:rsidP="009B2817">
      <w:pPr>
        <w:widowControl w:val="0"/>
        <w:tabs>
          <w:tab w:val="left" w:pos="567"/>
        </w:tabs>
        <w:rPr>
          <w:b/>
          <w:i/>
        </w:rPr>
      </w:pPr>
    </w:p>
    <w:p w14:paraId="3432A128" w14:textId="104B6BA0" w:rsidR="00501AAF" w:rsidRPr="00501AAF" w:rsidRDefault="00501AAF" w:rsidP="00501AAF">
      <w:pPr>
        <w:pStyle w:val="Prrafodelista"/>
        <w:spacing w:after="0" w:line="240" w:lineRule="auto"/>
        <w:ind w:left="567"/>
        <w:jc w:val="both"/>
        <w:rPr>
          <w:b/>
          <w:i/>
        </w:rPr>
      </w:pPr>
      <w:r w:rsidRPr="00501AAF">
        <w:rPr>
          <w:b/>
          <w:i/>
        </w:rPr>
        <w:t xml:space="preserve">B. Solicitud </w:t>
      </w:r>
      <w:r w:rsidR="00D4645C" w:rsidRPr="00D4645C">
        <w:rPr>
          <w:b/>
          <w:i/>
        </w:rPr>
        <w:t xml:space="preserve">del Estado </w:t>
      </w:r>
      <w:r w:rsidR="00D4645C" w:rsidRPr="00D4645C">
        <w:rPr>
          <w:b/>
          <w:i/>
          <w:lang w:val="es-CR"/>
        </w:rPr>
        <w:t>respecto de los derechos que se desarrollan en la Sentencia con base en materia que no proviene de instrumentos sujetos a la ratificación de los Estados</w:t>
      </w:r>
    </w:p>
    <w:p w14:paraId="6718D014" w14:textId="7966AF72" w:rsidR="009017A7" w:rsidRDefault="009017A7" w:rsidP="00501AAF">
      <w:pPr>
        <w:rPr>
          <w:b/>
          <w:i/>
          <w:lang w:val="es-CR"/>
        </w:rPr>
      </w:pPr>
    </w:p>
    <w:p w14:paraId="044236BC" w14:textId="548B3F45" w:rsidR="009017A7" w:rsidRPr="00A44AEC" w:rsidRDefault="009017A7" w:rsidP="009017A7">
      <w:pPr>
        <w:ind w:left="851"/>
        <w:rPr>
          <w:b/>
          <w:i/>
          <w:lang w:val="es-CR"/>
        </w:rPr>
      </w:pPr>
      <w:r>
        <w:rPr>
          <w:b/>
          <w:i/>
          <w:lang w:val="es-CR"/>
        </w:rPr>
        <w:t xml:space="preserve">B.1. </w:t>
      </w:r>
      <w:r w:rsidRPr="00A44AEC">
        <w:rPr>
          <w:b/>
          <w:i/>
          <w:lang w:val="es-CR"/>
        </w:rPr>
        <w:t xml:space="preserve">Argumentos </w:t>
      </w:r>
      <w:r w:rsidR="00D4645C">
        <w:rPr>
          <w:b/>
          <w:i/>
          <w:lang w:val="es-CR"/>
        </w:rPr>
        <w:t>del Estado</w:t>
      </w:r>
      <w:r w:rsidRPr="00A44AEC">
        <w:rPr>
          <w:b/>
          <w:i/>
          <w:lang w:val="es-CR"/>
        </w:rPr>
        <w:t xml:space="preserve"> y</w:t>
      </w:r>
      <w:r>
        <w:rPr>
          <w:b/>
          <w:i/>
          <w:lang w:val="es-CR"/>
        </w:rPr>
        <w:t xml:space="preserve"> de la Comisión</w:t>
      </w:r>
    </w:p>
    <w:p w14:paraId="7B3A7AEC" w14:textId="77777777" w:rsidR="009017A7" w:rsidRPr="00801702" w:rsidRDefault="009017A7" w:rsidP="009017A7">
      <w:pPr>
        <w:tabs>
          <w:tab w:val="num" w:pos="720"/>
        </w:tabs>
        <w:rPr>
          <w:b/>
          <w:i/>
          <w:lang w:val="es-CR"/>
        </w:rPr>
      </w:pPr>
    </w:p>
    <w:p w14:paraId="6A45DEDD" w14:textId="2C2861A3" w:rsidR="009017A7" w:rsidRPr="009017A7" w:rsidRDefault="0084335A" w:rsidP="009017A7">
      <w:pPr>
        <w:numPr>
          <w:ilvl w:val="0"/>
          <w:numId w:val="1"/>
        </w:numPr>
        <w:tabs>
          <w:tab w:val="left" w:pos="567"/>
          <w:tab w:val="num" w:pos="720"/>
        </w:tabs>
        <w:ind w:left="0" w:firstLine="0"/>
        <w:rPr>
          <w:lang w:val="es-CR"/>
        </w:rPr>
      </w:pPr>
      <w:r>
        <w:rPr>
          <w:lang w:val="es-CR"/>
        </w:rPr>
        <w:t>El</w:t>
      </w:r>
      <w:r w:rsidR="009017A7" w:rsidRPr="00A069DF">
        <w:rPr>
          <w:b/>
          <w:i/>
          <w:lang w:val="es-CR"/>
        </w:rPr>
        <w:t xml:space="preserve"> </w:t>
      </w:r>
      <w:r>
        <w:rPr>
          <w:b/>
          <w:i/>
          <w:lang w:val="es-CR"/>
        </w:rPr>
        <w:t>Estado</w:t>
      </w:r>
      <w:r w:rsidR="009017A7" w:rsidRPr="00A069DF">
        <w:rPr>
          <w:b/>
          <w:lang w:val="es-CR"/>
        </w:rPr>
        <w:t xml:space="preserve"> </w:t>
      </w:r>
      <w:r w:rsidR="009017A7" w:rsidRPr="009017A7">
        <w:rPr>
          <w:lang w:val="es-CR"/>
        </w:rPr>
        <w:t xml:space="preserve">solicitó </w:t>
      </w:r>
      <w:r w:rsidR="00A845C2">
        <w:rPr>
          <w:lang w:val="es-CR"/>
        </w:rPr>
        <w:t xml:space="preserve">a la Corte </w:t>
      </w:r>
      <w:r w:rsidR="009017A7" w:rsidRPr="009017A7">
        <w:rPr>
          <w:lang w:val="es-CR"/>
        </w:rPr>
        <w:t xml:space="preserve">que </w:t>
      </w:r>
      <w:r w:rsidR="00A845C2">
        <w:rPr>
          <w:lang w:val="es-CR"/>
        </w:rPr>
        <w:t>fundamente los argumentos y motivos por los cuales “toma en consideración la</w:t>
      </w:r>
      <w:r w:rsidR="00DD6934">
        <w:rPr>
          <w:lang w:val="es-CR"/>
        </w:rPr>
        <w:t>s</w:t>
      </w:r>
      <w:r w:rsidR="00A845C2">
        <w:rPr>
          <w:lang w:val="es-CR"/>
        </w:rPr>
        <w:t xml:space="preserve"> conclusiones emitidas p</w:t>
      </w:r>
      <w:r w:rsidR="00D05BCA">
        <w:rPr>
          <w:lang w:val="es-CR"/>
        </w:rPr>
        <w:t>or […] órganos” como el “Comité de Libertad Sindical y […] la Comisión de Expertos” de la Organización Internacional del Trabajo</w:t>
      </w:r>
      <w:r w:rsidR="00D85437">
        <w:rPr>
          <w:lang w:val="es-CR"/>
        </w:rPr>
        <w:t>.</w:t>
      </w:r>
      <w:r w:rsidR="00D05BCA">
        <w:rPr>
          <w:lang w:val="es-CR"/>
        </w:rPr>
        <w:t xml:space="preserve"> Indicó que “surge la </w:t>
      </w:r>
      <w:proofErr w:type="spellStart"/>
      <w:r w:rsidR="00D05BCA">
        <w:rPr>
          <w:lang w:val="es-CR"/>
        </w:rPr>
        <w:t>cuestionante</w:t>
      </w:r>
      <w:proofErr w:type="spellEnd"/>
      <w:r w:rsidR="00D05BCA">
        <w:rPr>
          <w:lang w:val="es-CR"/>
        </w:rPr>
        <w:t xml:space="preserve"> respecto de los derechos que se desarrollan con base en materia que no proviene de instrumentos sujetos a ratificación de los Estados </w:t>
      </w:r>
      <w:r w:rsidR="00625FA9">
        <w:rPr>
          <w:lang w:val="es-CR"/>
        </w:rPr>
        <w:t xml:space="preserve">y toma en consideración las conclusiones emitidas por órganos de control”, en virtud que “no constituyen precedentes jurisprudenciales, ni sus conclusiones tienen fuerza vinculante para los Estados”. </w:t>
      </w:r>
    </w:p>
    <w:p w14:paraId="34D67BD7" w14:textId="77777777" w:rsidR="009017A7" w:rsidRPr="009017A7" w:rsidRDefault="009017A7" w:rsidP="009017A7">
      <w:pPr>
        <w:rPr>
          <w:lang w:val="es-CR"/>
        </w:rPr>
      </w:pPr>
    </w:p>
    <w:p w14:paraId="26FB029A" w14:textId="4D55E812" w:rsidR="009017A7" w:rsidRPr="00D256ED" w:rsidRDefault="009017A7" w:rsidP="00D256ED">
      <w:pPr>
        <w:widowControl w:val="0"/>
        <w:numPr>
          <w:ilvl w:val="0"/>
          <w:numId w:val="1"/>
        </w:numPr>
        <w:tabs>
          <w:tab w:val="left" w:pos="567"/>
          <w:tab w:val="num" w:pos="720"/>
        </w:tabs>
        <w:ind w:left="0" w:firstLine="0"/>
        <w:rPr>
          <w:lang w:val="es-CR"/>
        </w:rPr>
      </w:pPr>
      <w:r w:rsidRPr="009017A7">
        <w:rPr>
          <w:lang w:val="es-CR"/>
        </w:rPr>
        <w:t xml:space="preserve">La </w:t>
      </w:r>
      <w:r w:rsidRPr="009017A7">
        <w:rPr>
          <w:b/>
          <w:i/>
          <w:lang w:val="es-CR"/>
        </w:rPr>
        <w:t>Comisión</w:t>
      </w:r>
      <w:r w:rsidRPr="009017A7">
        <w:rPr>
          <w:lang w:val="es-CR"/>
        </w:rPr>
        <w:t xml:space="preserve"> </w:t>
      </w:r>
      <w:r w:rsidR="0036484C">
        <w:rPr>
          <w:lang w:val="es-CR"/>
        </w:rPr>
        <w:t xml:space="preserve">señaló </w:t>
      </w:r>
      <w:r w:rsidR="0028616A">
        <w:rPr>
          <w:lang w:val="es-CR"/>
        </w:rPr>
        <w:t>que “</w:t>
      </w:r>
      <w:r w:rsidR="009A43EB" w:rsidRPr="009A43EB">
        <w:rPr>
          <w:lang w:val="es-CR"/>
        </w:rPr>
        <w:t>de conformidad con una interpretación sistemática, teleológica y</w:t>
      </w:r>
      <w:r w:rsidR="009A43EB">
        <w:rPr>
          <w:lang w:val="es-CR"/>
        </w:rPr>
        <w:t xml:space="preserve"> </w:t>
      </w:r>
      <w:r w:rsidR="009A43EB" w:rsidRPr="009A43EB">
        <w:rPr>
          <w:lang w:val="es-CR"/>
        </w:rPr>
        <w:t xml:space="preserve">evolutiva, </w:t>
      </w:r>
      <w:r w:rsidR="009A43EB">
        <w:rPr>
          <w:lang w:val="es-CR"/>
        </w:rPr>
        <w:t>la Corte ‘</w:t>
      </w:r>
      <w:r w:rsidR="009A43EB" w:rsidRPr="009A43EB">
        <w:rPr>
          <w:lang w:val="es-CR"/>
        </w:rPr>
        <w:t xml:space="preserve">ha recurrido al </w:t>
      </w:r>
      <w:r w:rsidR="009A43EB" w:rsidRPr="009A43EB">
        <w:rPr>
          <w:i/>
          <w:iCs/>
          <w:lang w:val="es-CR"/>
        </w:rPr>
        <w:t xml:space="preserve">corpus iuris </w:t>
      </w:r>
      <w:r w:rsidR="009A43EB" w:rsidRPr="009A43EB">
        <w:rPr>
          <w:lang w:val="es-CR"/>
        </w:rPr>
        <w:t>internacional y nacional en la materia para dar contenido específico</w:t>
      </w:r>
      <w:r w:rsidR="009A43EB">
        <w:rPr>
          <w:lang w:val="es-CR"/>
        </w:rPr>
        <w:t xml:space="preserve"> </w:t>
      </w:r>
      <w:r w:rsidR="009A43EB" w:rsidRPr="009A43EB">
        <w:rPr>
          <w:lang w:val="es-CR"/>
        </w:rPr>
        <w:t>al alcance de los derechos tutelados por la Convención, a fin de derivar el alcance de las obligaciones</w:t>
      </w:r>
      <w:r w:rsidR="009A43EB">
        <w:rPr>
          <w:lang w:val="es-CR"/>
        </w:rPr>
        <w:t xml:space="preserve"> </w:t>
      </w:r>
      <w:r w:rsidR="009A43EB" w:rsidRPr="009A43EB">
        <w:rPr>
          <w:lang w:val="es-CR"/>
        </w:rPr>
        <w:t>específicas de cada derecho</w:t>
      </w:r>
      <w:r w:rsidR="009A43EB">
        <w:rPr>
          <w:lang w:val="es-CR"/>
        </w:rPr>
        <w:t>’”, y que “[d]</w:t>
      </w:r>
      <w:r w:rsidR="00D256ED">
        <w:rPr>
          <w:lang w:val="es-CR"/>
        </w:rPr>
        <w:t xml:space="preserve">e </w:t>
      </w:r>
      <w:r w:rsidR="009A43EB" w:rsidRPr="009A43EB">
        <w:rPr>
          <w:lang w:val="es-CR"/>
        </w:rPr>
        <w:t xml:space="preserve">este </w:t>
      </w:r>
      <w:r w:rsidR="009A43EB" w:rsidRPr="009A43EB">
        <w:rPr>
          <w:i/>
          <w:iCs/>
          <w:lang w:val="es-CR"/>
        </w:rPr>
        <w:t xml:space="preserve">corpus iuris </w:t>
      </w:r>
      <w:r w:rsidR="009A43EB" w:rsidRPr="009A43EB">
        <w:rPr>
          <w:lang w:val="es-CR"/>
        </w:rPr>
        <w:t>internacional hacen parte las decisiones del Comité de</w:t>
      </w:r>
      <w:r w:rsidR="009A43EB">
        <w:rPr>
          <w:lang w:val="es-CR"/>
        </w:rPr>
        <w:t xml:space="preserve"> </w:t>
      </w:r>
      <w:r w:rsidR="009A43EB" w:rsidRPr="009A43EB">
        <w:rPr>
          <w:lang w:val="es-CR"/>
        </w:rPr>
        <w:t>Libertad Sindical y la Comisión de Expertos de la OIT aludidas por el Estado</w:t>
      </w:r>
      <w:r w:rsidR="009A43EB">
        <w:rPr>
          <w:lang w:val="es-CR"/>
        </w:rPr>
        <w:t>”</w:t>
      </w:r>
      <w:r w:rsidR="0028616A" w:rsidRPr="009A43EB">
        <w:rPr>
          <w:lang w:val="es-CR"/>
        </w:rPr>
        <w:t>.</w:t>
      </w:r>
      <w:r w:rsidR="009A43EB">
        <w:rPr>
          <w:lang w:val="es-CR"/>
        </w:rPr>
        <w:t xml:space="preserve"> </w:t>
      </w:r>
      <w:r w:rsidR="00D256ED">
        <w:rPr>
          <w:lang w:val="es-CR"/>
        </w:rPr>
        <w:t>Por lo anterior, consideró que “la solicitud de interpretación presentada por el Estado no es procedente”.</w:t>
      </w:r>
    </w:p>
    <w:p w14:paraId="3DD33856" w14:textId="035AF510" w:rsidR="009017A7" w:rsidRPr="009017A7" w:rsidRDefault="009017A7" w:rsidP="009017A7">
      <w:pPr>
        <w:widowControl w:val="0"/>
        <w:tabs>
          <w:tab w:val="left" w:pos="567"/>
        </w:tabs>
        <w:rPr>
          <w:lang w:val="es-CR"/>
        </w:rPr>
      </w:pPr>
    </w:p>
    <w:p w14:paraId="3D370050" w14:textId="659D1174" w:rsidR="00C915DC" w:rsidRPr="00A44AEC" w:rsidRDefault="00501AAF" w:rsidP="008716BD">
      <w:pPr>
        <w:ind w:left="851"/>
        <w:rPr>
          <w:b/>
          <w:i/>
          <w:lang w:val="es-CR"/>
        </w:rPr>
      </w:pPr>
      <w:r>
        <w:rPr>
          <w:b/>
          <w:i/>
          <w:lang w:val="es-CR"/>
        </w:rPr>
        <w:t>B</w:t>
      </w:r>
      <w:r w:rsidR="00C915DC">
        <w:rPr>
          <w:b/>
          <w:i/>
          <w:lang w:val="es-CR"/>
        </w:rPr>
        <w:t>.2. Consideraciones de la Corte</w:t>
      </w:r>
    </w:p>
    <w:p w14:paraId="0213D7BB" w14:textId="77777777" w:rsidR="00C915DC" w:rsidRPr="00801702" w:rsidRDefault="00C915DC" w:rsidP="008716BD">
      <w:pPr>
        <w:tabs>
          <w:tab w:val="num" w:pos="720"/>
        </w:tabs>
        <w:rPr>
          <w:b/>
          <w:i/>
          <w:lang w:val="es-CR"/>
        </w:rPr>
      </w:pPr>
    </w:p>
    <w:p w14:paraId="70D90BBA" w14:textId="57AA68C1" w:rsidR="00E91143" w:rsidRPr="00BF2853" w:rsidRDefault="000A374A" w:rsidP="00797F24">
      <w:pPr>
        <w:numPr>
          <w:ilvl w:val="0"/>
          <w:numId w:val="1"/>
        </w:numPr>
        <w:tabs>
          <w:tab w:val="num" w:pos="567"/>
        </w:tabs>
        <w:ind w:left="0" w:firstLine="0"/>
        <w:rPr>
          <w:b/>
          <w:i/>
        </w:rPr>
      </w:pPr>
      <w:r w:rsidRPr="00EE021A">
        <w:t xml:space="preserve">En </w:t>
      </w:r>
      <w:r>
        <w:t>relación con</w:t>
      </w:r>
      <w:r w:rsidR="00E91143">
        <w:t xml:space="preserve"> la solicitud de interpretación presentada por el Estado, la Corte constata que tanto en su contestación como en sus alegatos finales escritos el Estado </w:t>
      </w:r>
      <w:r w:rsidR="00E91143">
        <w:lastRenderedPageBreak/>
        <w:t>acud</w:t>
      </w:r>
      <w:r w:rsidR="008879E2">
        <w:t>ió</w:t>
      </w:r>
      <w:r w:rsidR="00E91143">
        <w:t xml:space="preserve"> a la interpretación del Comité de Libertad Sindical para establecer el alcance del derecho de huelga a la luz de la Convención. Resulta entonces contradictorio que solicite a la Corte que fundamente las razones por las cuales </w:t>
      </w:r>
      <w:r w:rsidR="00E91143">
        <w:rPr>
          <w:lang w:val="es-CR"/>
        </w:rPr>
        <w:t>“toma en consideración las conclusiones emitidas por […] órganos” como el “Comité de Libertad Sindical y […] la Comisión de Expertos” de la Organización Internacional del Trabajo</w:t>
      </w:r>
      <w:r w:rsidR="00FA7A9B">
        <w:rPr>
          <w:lang w:val="es-CR"/>
        </w:rPr>
        <w:t xml:space="preserve"> (en adelante también “OIT”)</w:t>
      </w:r>
      <w:r w:rsidR="00E91143">
        <w:t>.</w:t>
      </w:r>
    </w:p>
    <w:p w14:paraId="216D86C7" w14:textId="77777777" w:rsidR="00E91143" w:rsidRPr="00BF2853" w:rsidRDefault="00E91143" w:rsidP="000A374A">
      <w:pPr>
        <w:rPr>
          <w:b/>
          <w:i/>
        </w:rPr>
      </w:pPr>
    </w:p>
    <w:p w14:paraId="3F05B983" w14:textId="0BEAED1B" w:rsidR="00F5076C" w:rsidRPr="001B2230" w:rsidRDefault="00E91143" w:rsidP="00797F24">
      <w:pPr>
        <w:numPr>
          <w:ilvl w:val="0"/>
          <w:numId w:val="1"/>
        </w:numPr>
        <w:tabs>
          <w:tab w:val="num" w:pos="567"/>
        </w:tabs>
        <w:ind w:left="0" w:firstLine="0"/>
        <w:rPr>
          <w:b/>
          <w:i/>
        </w:rPr>
      </w:pPr>
      <w:r>
        <w:rPr>
          <w:lang w:val="es-CR"/>
        </w:rPr>
        <w:t xml:space="preserve">Por otra parte, a lo largo de la sentencia </w:t>
      </w:r>
      <w:r>
        <w:t xml:space="preserve">se explica que la </w:t>
      </w:r>
      <w:r w:rsidRPr="00FE388D">
        <w:t xml:space="preserve">Corte utiliza las fuentes, principios y criterios del </w:t>
      </w:r>
      <w:r w:rsidRPr="007B5ADC">
        <w:rPr>
          <w:i/>
          <w:iCs/>
        </w:rPr>
        <w:t>corpus iuris</w:t>
      </w:r>
      <w:r w:rsidRPr="00FE388D">
        <w:t xml:space="preserve"> internacional</w:t>
      </w:r>
      <w:r w:rsidR="001A42BF">
        <w:t>, de los cuales hacen parte los Convenios de la OIT y las opiniones vertidas por el Comité de Libertad Sindical y por la Comisión de Expertos de la Organización Internacional del Trabajo,</w:t>
      </w:r>
      <w:r w:rsidRPr="00FE388D">
        <w:t xml:space="preserve"> como normativa aplicable en la determinación del contenido de los </w:t>
      </w:r>
      <w:r w:rsidR="00FA7A9B">
        <w:t>derechos económicos, sociales, culturales y ambientales (en adelante también “DESCA”)</w:t>
      </w:r>
      <w:r w:rsidRPr="00FE388D">
        <w:t xml:space="preserve"> protegidos por el artículo 26 de la Convención</w:t>
      </w:r>
      <w:r>
        <w:t>. En este sentido</w:t>
      </w:r>
      <w:r w:rsidR="002079E6">
        <w:t>,</w:t>
      </w:r>
      <w:r>
        <w:t xml:space="preserve"> </w:t>
      </w:r>
      <w:r w:rsidR="001B2230">
        <w:rPr>
          <w:lang w:val="es-CR"/>
        </w:rPr>
        <w:t>en los párrafos 100</w:t>
      </w:r>
      <w:r w:rsidR="001334F3">
        <w:rPr>
          <w:lang w:val="es-CR"/>
        </w:rPr>
        <w:t xml:space="preserve">, </w:t>
      </w:r>
      <w:r w:rsidR="001B2230">
        <w:rPr>
          <w:lang w:val="es-CR"/>
        </w:rPr>
        <w:t xml:space="preserve">101 </w:t>
      </w:r>
      <w:r w:rsidR="001334F3">
        <w:rPr>
          <w:lang w:val="es-CR"/>
        </w:rPr>
        <w:t xml:space="preserve">y 103 </w:t>
      </w:r>
      <w:r w:rsidR="002079E6">
        <w:rPr>
          <w:lang w:val="es-CR"/>
        </w:rPr>
        <w:t xml:space="preserve">de la Sentencia </w:t>
      </w:r>
      <w:r w:rsidR="001B2230">
        <w:rPr>
          <w:lang w:val="es-CR"/>
        </w:rPr>
        <w:t>se dispuso lo siguiente:</w:t>
      </w:r>
    </w:p>
    <w:p w14:paraId="00901567" w14:textId="3291C9BD" w:rsidR="001B2230" w:rsidRDefault="001B2230" w:rsidP="001B2230">
      <w:pPr>
        <w:rPr>
          <w:lang w:val="es-CR"/>
        </w:rPr>
      </w:pPr>
    </w:p>
    <w:p w14:paraId="24295BAA" w14:textId="1CBE91B8" w:rsidR="001B2230" w:rsidRPr="001B2230" w:rsidRDefault="001B2230" w:rsidP="003B05BF">
      <w:pPr>
        <w:ind w:left="567" w:right="567"/>
        <w:rPr>
          <w:bCs/>
          <w:iCs/>
          <w:sz w:val="16"/>
          <w:szCs w:val="20"/>
        </w:rPr>
      </w:pPr>
      <w:r w:rsidRPr="001B2230">
        <w:rPr>
          <w:bCs/>
          <w:iCs/>
          <w:sz w:val="16"/>
          <w:szCs w:val="20"/>
        </w:rPr>
        <w:t xml:space="preserve">100. Respecto al alcance del artículo 26 de la Convención Americana en relación con los artículos 1.1 y 2 del mismo instrumento, esta Corte ha interpretado que la Convención incorporó en su catálogo de derechos protegidos los denominados derechos económicos, sociales, culturales y ambientales (DESCA), a través de una derivación de las normas reconocidas en la Carta de la Organización de los Estados Americanos (OEA), así como de las normas de interpretación dispuestas en el propio artículo 29 de la Convención. Dicho dispositivo impide limitar o excluir el goce de los derechos establecidos en la Declaración Americana, e inclusive los reconocidos en materia interna. Asimismo, de conformidad con una interpretación sistemática, teleológica y evolutiva, la Corte ha recurrido al </w:t>
      </w:r>
      <w:r w:rsidRPr="00EE021A">
        <w:rPr>
          <w:bCs/>
          <w:i/>
          <w:sz w:val="16"/>
          <w:szCs w:val="20"/>
        </w:rPr>
        <w:t>corpus iuris</w:t>
      </w:r>
      <w:r w:rsidRPr="001B2230">
        <w:rPr>
          <w:bCs/>
          <w:iCs/>
          <w:sz w:val="16"/>
          <w:szCs w:val="20"/>
        </w:rPr>
        <w:t xml:space="preserve"> internacional y nacional en la materia para dar contenido específico al alcance de los derechos tutelados por la Convención, a fin de derivar el alcance de las obligaciones específicas de cada derecho. </w:t>
      </w:r>
    </w:p>
    <w:p w14:paraId="78B62883" w14:textId="77777777" w:rsidR="001B2230" w:rsidRPr="001B2230" w:rsidRDefault="001B2230" w:rsidP="003B05BF">
      <w:pPr>
        <w:ind w:left="567" w:right="567"/>
        <w:rPr>
          <w:bCs/>
          <w:iCs/>
          <w:sz w:val="16"/>
          <w:szCs w:val="20"/>
        </w:rPr>
      </w:pPr>
    </w:p>
    <w:p w14:paraId="1DF52FC8" w14:textId="039331B5" w:rsidR="001B2230" w:rsidRDefault="001B2230" w:rsidP="003B05BF">
      <w:pPr>
        <w:ind w:left="567" w:right="567"/>
        <w:rPr>
          <w:bCs/>
          <w:iCs/>
          <w:sz w:val="16"/>
          <w:szCs w:val="20"/>
        </w:rPr>
      </w:pPr>
      <w:r w:rsidRPr="001B2230">
        <w:rPr>
          <w:bCs/>
          <w:iCs/>
          <w:sz w:val="16"/>
          <w:szCs w:val="20"/>
        </w:rPr>
        <w:t xml:space="preserve">101. Por lo anterior, la </w:t>
      </w:r>
      <w:bookmarkStart w:id="12" w:name="_Hlk107499480"/>
      <w:r w:rsidRPr="001B2230">
        <w:rPr>
          <w:bCs/>
          <w:iCs/>
          <w:sz w:val="16"/>
          <w:szCs w:val="20"/>
        </w:rPr>
        <w:t>Corte utiliza las fuentes, principios y criterios del corpus iuris internacional como normativa especial aplicable en la determinación del contenido de los DESCA protegidos por el artículo 26 de la Convención</w:t>
      </w:r>
      <w:bookmarkEnd w:id="12"/>
      <w:r w:rsidRPr="001B2230">
        <w:rPr>
          <w:bCs/>
          <w:iCs/>
          <w:sz w:val="16"/>
          <w:szCs w:val="20"/>
        </w:rPr>
        <w:t>. Este Tribunal ha señalado que la utilización de la normativa antes mencionada para la determinación de los derechos en cuestión se utiliza en forma complementaria a la normativa convencional. De esta forma, la Corte ha afirmado reiteradamente que no está asumiendo competencia sobre tratados en los que no la tiene, ni otorgando jerarquía convencional a normas contenidas en otros instrumentos nacionales o internacionales relacionados con los DESCA. Por el contrario, la Corte realiza una interpretación de conformidad con las pautas previstas por el artículo 29 y conforme a su práctica jurisprudencial, que permite actualizar el sentido de los derechos derivados de la Carta de la OEA, que se encuentran reconocidos por el artículo 26 de la Convención.</w:t>
      </w:r>
    </w:p>
    <w:p w14:paraId="40E69C09" w14:textId="69FCD058" w:rsidR="001334F3" w:rsidRDefault="001334F3" w:rsidP="003B05BF">
      <w:pPr>
        <w:ind w:left="567" w:right="567"/>
        <w:rPr>
          <w:bCs/>
          <w:iCs/>
          <w:sz w:val="16"/>
          <w:szCs w:val="20"/>
        </w:rPr>
      </w:pPr>
    </w:p>
    <w:p w14:paraId="22D1C053" w14:textId="44615D56" w:rsidR="001334F3" w:rsidRDefault="001334F3" w:rsidP="003B05BF">
      <w:pPr>
        <w:ind w:left="567" w:right="567"/>
        <w:rPr>
          <w:bCs/>
          <w:iCs/>
          <w:sz w:val="16"/>
          <w:szCs w:val="20"/>
        </w:rPr>
      </w:pPr>
      <w:r w:rsidRPr="001334F3">
        <w:rPr>
          <w:bCs/>
          <w:iCs/>
          <w:sz w:val="16"/>
          <w:szCs w:val="20"/>
        </w:rPr>
        <w:t xml:space="preserve">103. En el mismo sentido, la Corte reitera que los tratados de derechos humanos son instrumentos vivos, cuya interpretación tiene que acompañar la evolución de los tiempos y las condiciones de vida actuales. Tal interpretación evolutiva es consecuente con las reglas generales de interpretación establecidas en el artículo 29 de la Convención Americana, así como con la Convención de Viena. Además, el párrafo tercero del artículo 31 de la Convención de Viena autoriza la utilización de medios interpretativos tales como los acuerdos o la práctica o reglas relevantes del derecho internacional que los Estados hayan manifestado sobre la materia del tratado, los cuales son algunos de los métodos que se relacionan con una visión evolutiva del Tratado. De esta forma, con el objetivo de determinar el alcance de los derechos que se derivan de las normas económicas, sociales y sobre educación, ciencia y cultura de la Carta de la OEA, el Tribunal hace referencia a los instrumentos relevantes del </w:t>
      </w:r>
      <w:r w:rsidRPr="00797FF8">
        <w:rPr>
          <w:bCs/>
          <w:i/>
          <w:sz w:val="16"/>
          <w:szCs w:val="20"/>
        </w:rPr>
        <w:t>corpus iuris</w:t>
      </w:r>
      <w:r w:rsidRPr="001334F3">
        <w:rPr>
          <w:bCs/>
          <w:iCs/>
          <w:sz w:val="16"/>
          <w:szCs w:val="20"/>
        </w:rPr>
        <w:t xml:space="preserve"> internacional</w:t>
      </w:r>
      <w:r>
        <w:rPr>
          <w:bCs/>
          <w:iCs/>
          <w:sz w:val="16"/>
          <w:szCs w:val="20"/>
        </w:rPr>
        <w:t>.</w:t>
      </w:r>
    </w:p>
    <w:p w14:paraId="4F5A1A55" w14:textId="4EB11A1A" w:rsidR="001B2230" w:rsidRDefault="001B2230" w:rsidP="001B2230">
      <w:pPr>
        <w:ind w:right="709"/>
        <w:rPr>
          <w:bCs/>
          <w:iCs/>
          <w:sz w:val="16"/>
          <w:szCs w:val="20"/>
        </w:rPr>
      </w:pPr>
    </w:p>
    <w:p w14:paraId="7B432E82" w14:textId="77777777" w:rsidR="001B2230" w:rsidRPr="001B2230" w:rsidRDefault="001B2230" w:rsidP="001B2230">
      <w:pPr>
        <w:ind w:right="709"/>
        <w:rPr>
          <w:bCs/>
          <w:iCs/>
          <w:sz w:val="16"/>
          <w:szCs w:val="20"/>
        </w:rPr>
      </w:pPr>
    </w:p>
    <w:p w14:paraId="1FC6A5BF" w14:textId="73B4E2FC" w:rsidR="00030AD9" w:rsidRDefault="00C93CFA" w:rsidP="001B2230">
      <w:pPr>
        <w:numPr>
          <w:ilvl w:val="0"/>
          <w:numId w:val="1"/>
        </w:numPr>
        <w:tabs>
          <w:tab w:val="num" w:pos="567"/>
        </w:tabs>
        <w:ind w:left="0" w:firstLine="0"/>
      </w:pPr>
      <w:r>
        <w:t>L</w:t>
      </w:r>
      <w:r w:rsidR="00EE021A" w:rsidRPr="00EE021A">
        <w:t xml:space="preserve">a Corte </w:t>
      </w:r>
      <w:r w:rsidR="00FA7A9B">
        <w:t>recuerda</w:t>
      </w:r>
      <w:r w:rsidR="00EE021A" w:rsidRPr="00EE021A">
        <w:t xml:space="preserve"> que es preciso que las partes realicen una lectura integral de la Sentencia y no consideren cada párrafo del fallo como si fuese independiente del resto</w:t>
      </w:r>
      <w:r w:rsidR="00EE021A">
        <w:rPr>
          <w:rStyle w:val="Refdenotaalpie"/>
        </w:rPr>
        <w:footnoteReference w:id="7"/>
      </w:r>
      <w:r w:rsidR="00FE388D">
        <w:t xml:space="preserve">. </w:t>
      </w:r>
      <w:r w:rsidR="00E91143">
        <w:lastRenderedPageBreak/>
        <w:t>La Corte considera que los párra</w:t>
      </w:r>
      <w:r w:rsidR="001A42BF">
        <w:t xml:space="preserve">fos previamente trascritos son lo suficientemente claros y precisos en cuanto a las pautas interpretativas que sigue el Tribunal. </w:t>
      </w:r>
      <w:r w:rsidR="00383E53">
        <w:t>P</w:t>
      </w:r>
      <w:r w:rsidR="00EE021A" w:rsidRPr="00EE021A">
        <w:t xml:space="preserve">or ende, </w:t>
      </w:r>
      <w:r w:rsidR="009B2102">
        <w:t>la Corte</w:t>
      </w:r>
      <w:r w:rsidR="009B2102" w:rsidRPr="00EE021A">
        <w:t xml:space="preserve"> </w:t>
      </w:r>
      <w:r w:rsidR="00EE021A" w:rsidRPr="00EE021A">
        <w:t xml:space="preserve">declara improcedente la solicitud </w:t>
      </w:r>
      <w:r w:rsidR="00797FF8">
        <w:t>del Estado</w:t>
      </w:r>
      <w:r w:rsidR="00EE021A" w:rsidRPr="00EE021A">
        <w:t xml:space="preserve"> en este extremo, toda vez que el propósito de la interpretación debe ser aclarar algún punto impreciso o ambiguo sobre el sentido o alcance de la Sentencia</w:t>
      </w:r>
      <w:r w:rsidR="00383E53">
        <w:t>, lo cual no sucede en el presente caso</w:t>
      </w:r>
      <w:r w:rsidR="00EE021A">
        <w:t>.</w:t>
      </w:r>
    </w:p>
    <w:p w14:paraId="59CB96C2" w14:textId="77777777" w:rsidR="00FA7A9B" w:rsidRDefault="00FA7A9B" w:rsidP="00FA7A9B"/>
    <w:p w14:paraId="53164295" w14:textId="77777777" w:rsidR="00030AD9" w:rsidRPr="00C92188" w:rsidRDefault="00030AD9" w:rsidP="008716BD">
      <w:pPr>
        <w:tabs>
          <w:tab w:val="left" w:pos="567"/>
        </w:tabs>
        <w:jc w:val="center"/>
        <w:rPr>
          <w:rFonts w:eastAsia="Times"/>
          <w:b/>
          <w:szCs w:val="20"/>
          <w:lang w:val="es-ES_tradnl"/>
        </w:rPr>
      </w:pPr>
      <w:r w:rsidRPr="00C92188">
        <w:rPr>
          <w:rFonts w:eastAsia="Times"/>
          <w:b/>
          <w:szCs w:val="20"/>
          <w:lang w:val="es-ES_tradnl"/>
        </w:rPr>
        <w:t>V</w:t>
      </w:r>
    </w:p>
    <w:p w14:paraId="18053B3A" w14:textId="77777777" w:rsidR="00030AD9" w:rsidRPr="00C92188" w:rsidRDefault="00030AD9" w:rsidP="008716BD">
      <w:pPr>
        <w:tabs>
          <w:tab w:val="left" w:pos="567"/>
        </w:tabs>
        <w:jc w:val="center"/>
        <w:rPr>
          <w:rFonts w:eastAsia="Times"/>
          <w:b/>
          <w:szCs w:val="20"/>
          <w:lang w:val="es-ES_tradnl"/>
        </w:rPr>
      </w:pPr>
      <w:r w:rsidRPr="00C92188">
        <w:rPr>
          <w:rFonts w:eastAsia="Times"/>
          <w:b/>
          <w:szCs w:val="20"/>
          <w:lang w:val="es-ES_tradnl"/>
        </w:rPr>
        <w:t xml:space="preserve">PUNTOS RESOLUTIVOS </w:t>
      </w:r>
    </w:p>
    <w:p w14:paraId="67EA785B" w14:textId="77777777" w:rsidR="00030AD9" w:rsidRDefault="00030AD9" w:rsidP="008716BD">
      <w:pPr>
        <w:rPr>
          <w:szCs w:val="20"/>
          <w:lang w:val="es-CR"/>
        </w:rPr>
      </w:pPr>
    </w:p>
    <w:p w14:paraId="623C4D2B" w14:textId="582DAFAB" w:rsidR="00AE74FC" w:rsidRPr="00030AD9" w:rsidRDefault="00AE74FC" w:rsidP="008716BD">
      <w:pPr>
        <w:numPr>
          <w:ilvl w:val="0"/>
          <w:numId w:val="1"/>
        </w:numPr>
        <w:tabs>
          <w:tab w:val="left" w:pos="567"/>
          <w:tab w:val="num" w:pos="720"/>
        </w:tabs>
        <w:ind w:left="0" w:firstLine="0"/>
        <w:rPr>
          <w:szCs w:val="20"/>
          <w:lang w:val="es-CR"/>
        </w:rPr>
      </w:pPr>
      <w:r w:rsidRPr="00030AD9">
        <w:rPr>
          <w:rFonts w:eastAsia="Times"/>
          <w:lang w:val="es-ES_tradnl"/>
        </w:rPr>
        <w:t xml:space="preserve">Por tanto, </w:t>
      </w:r>
    </w:p>
    <w:p w14:paraId="3E695CAA" w14:textId="77777777" w:rsidR="00AE74FC" w:rsidRPr="00C92188" w:rsidRDefault="00AE74FC" w:rsidP="008716BD">
      <w:pPr>
        <w:rPr>
          <w:szCs w:val="20"/>
          <w:lang w:val="es-CR"/>
        </w:rPr>
      </w:pPr>
    </w:p>
    <w:p w14:paraId="6B14AAC4" w14:textId="61B64E02" w:rsidR="00AE74FC" w:rsidRPr="00C92188" w:rsidRDefault="00AE74FC" w:rsidP="008716BD">
      <w:pPr>
        <w:tabs>
          <w:tab w:val="left" w:pos="567"/>
        </w:tabs>
        <w:rPr>
          <w:rFonts w:eastAsia="Times"/>
          <w:b/>
          <w:szCs w:val="20"/>
          <w:lang w:val="es-ES_tradnl"/>
        </w:rPr>
      </w:pPr>
      <w:r w:rsidRPr="00C92188">
        <w:rPr>
          <w:rFonts w:eastAsia="Times"/>
          <w:b/>
          <w:szCs w:val="20"/>
          <w:lang w:val="es-ES_tradnl"/>
        </w:rPr>
        <w:t xml:space="preserve">LA CORTE </w:t>
      </w:r>
    </w:p>
    <w:p w14:paraId="12E80636" w14:textId="77777777" w:rsidR="00AE74FC" w:rsidRPr="00C92188" w:rsidRDefault="00AE74FC" w:rsidP="008716BD">
      <w:pPr>
        <w:tabs>
          <w:tab w:val="left" w:pos="567"/>
        </w:tabs>
        <w:rPr>
          <w:rFonts w:eastAsia="Times"/>
          <w:b/>
          <w:szCs w:val="20"/>
          <w:lang w:val="es-ES_tradnl"/>
        </w:rPr>
      </w:pPr>
    </w:p>
    <w:p w14:paraId="6A42F365" w14:textId="77777777" w:rsidR="00AE74FC" w:rsidRPr="00C92188" w:rsidRDefault="00AE74FC" w:rsidP="008716BD">
      <w:pPr>
        <w:tabs>
          <w:tab w:val="left" w:pos="567"/>
        </w:tabs>
        <w:rPr>
          <w:rFonts w:eastAsia="Times"/>
          <w:szCs w:val="20"/>
          <w:lang w:val="es-ES_tradnl"/>
        </w:rPr>
      </w:pPr>
      <w:r w:rsidRPr="00C92188">
        <w:rPr>
          <w:rFonts w:eastAsia="Times"/>
          <w:szCs w:val="20"/>
          <w:lang w:val="es-ES_tradnl"/>
        </w:rPr>
        <w:t>de conformidad con el artículo 67 de la Convención Americana sobre Derechos Humanos y los artículos 31.3 y 68 del Reglamento de la Corte,</w:t>
      </w:r>
    </w:p>
    <w:p w14:paraId="25806939" w14:textId="3C77ECB4" w:rsidR="00AE74FC" w:rsidRPr="00C92188" w:rsidRDefault="00AE74FC" w:rsidP="008716BD">
      <w:pPr>
        <w:tabs>
          <w:tab w:val="left" w:pos="567"/>
        </w:tabs>
        <w:rPr>
          <w:rFonts w:eastAsia="Times"/>
          <w:b/>
          <w:szCs w:val="20"/>
          <w:lang w:val="es-ES_tradnl"/>
        </w:rPr>
      </w:pPr>
      <w:r w:rsidRPr="00C92188">
        <w:rPr>
          <w:rFonts w:eastAsia="Times"/>
          <w:szCs w:val="20"/>
          <w:lang w:val="es-ES_tradnl"/>
        </w:rPr>
        <w:br/>
      </w:r>
      <w:r w:rsidRPr="00C92188">
        <w:rPr>
          <w:rFonts w:eastAsia="Times"/>
          <w:b/>
          <w:szCs w:val="20"/>
          <w:lang w:val="es-ES_tradnl"/>
        </w:rPr>
        <w:t>DECIDE:</w:t>
      </w:r>
    </w:p>
    <w:p w14:paraId="4A516907" w14:textId="77777777" w:rsidR="00AE74FC" w:rsidRPr="00C92188" w:rsidRDefault="00AE74FC" w:rsidP="008716BD">
      <w:pPr>
        <w:tabs>
          <w:tab w:val="left" w:pos="567"/>
        </w:tabs>
        <w:rPr>
          <w:rFonts w:eastAsia="Times"/>
          <w:b/>
          <w:szCs w:val="20"/>
          <w:lang w:val="es-ES_tradnl"/>
        </w:rPr>
      </w:pPr>
    </w:p>
    <w:p w14:paraId="303709A9" w14:textId="0EAF3647" w:rsidR="00AE74FC" w:rsidRPr="00C92188" w:rsidRDefault="00AE74FC" w:rsidP="008716BD">
      <w:pPr>
        <w:tabs>
          <w:tab w:val="left" w:pos="567"/>
          <w:tab w:val="center" w:pos="4252"/>
          <w:tab w:val="right" w:pos="8504"/>
        </w:tabs>
        <w:rPr>
          <w:rFonts w:eastAsia="Times"/>
          <w:szCs w:val="20"/>
          <w:lang w:val="es-ES_tradnl"/>
        </w:rPr>
      </w:pPr>
      <w:r w:rsidRPr="00C92188">
        <w:rPr>
          <w:rFonts w:eastAsia="Times"/>
          <w:szCs w:val="20"/>
          <w:lang w:val="es-ES_tradnl"/>
        </w:rPr>
        <w:t xml:space="preserve">Por </w:t>
      </w:r>
      <w:r w:rsidR="008561DB">
        <w:rPr>
          <w:rFonts w:eastAsia="Times"/>
          <w:szCs w:val="20"/>
          <w:lang w:val="es-ES_tradnl"/>
        </w:rPr>
        <w:t>unanimidad</w:t>
      </w:r>
      <w:r w:rsidRPr="00C92188">
        <w:rPr>
          <w:rFonts w:eastAsia="Times"/>
          <w:szCs w:val="20"/>
          <w:lang w:val="es-ES_tradnl"/>
        </w:rPr>
        <w:t>,</w:t>
      </w:r>
    </w:p>
    <w:p w14:paraId="760FCFD9" w14:textId="77777777" w:rsidR="00AE74FC" w:rsidRPr="00C92188" w:rsidRDefault="00AE74FC" w:rsidP="008716BD">
      <w:pPr>
        <w:pStyle w:val="Prrafodelista"/>
        <w:tabs>
          <w:tab w:val="left" w:pos="567"/>
          <w:tab w:val="left" w:pos="720"/>
        </w:tabs>
        <w:spacing w:after="0" w:line="240" w:lineRule="auto"/>
        <w:ind w:left="0"/>
        <w:jc w:val="both"/>
        <w:rPr>
          <w:rFonts w:eastAsia="Times New Roman"/>
        </w:rPr>
      </w:pPr>
    </w:p>
    <w:p w14:paraId="17FA6CE0" w14:textId="263794BA" w:rsidR="00B5237E" w:rsidRPr="007F5A4B" w:rsidRDefault="00B5237E" w:rsidP="007F5A4B">
      <w:pPr>
        <w:pStyle w:val="Prrafodelista"/>
        <w:numPr>
          <w:ilvl w:val="0"/>
          <w:numId w:val="2"/>
        </w:numPr>
        <w:tabs>
          <w:tab w:val="left" w:pos="567"/>
          <w:tab w:val="left" w:pos="720"/>
        </w:tabs>
        <w:spacing w:after="0" w:line="240" w:lineRule="auto"/>
        <w:jc w:val="both"/>
        <w:rPr>
          <w:rFonts w:eastAsia="Times New Roman"/>
        </w:rPr>
      </w:pPr>
      <w:r w:rsidRPr="00C92188">
        <w:t>Declarar admisible la solicitud de int</w:t>
      </w:r>
      <w:r>
        <w:t xml:space="preserve">erpretación de la Sentencia de </w:t>
      </w:r>
      <w:r w:rsidRPr="00EB5607">
        <w:t>Excepciones Preliminares, Fondo</w:t>
      </w:r>
      <w:r w:rsidR="005E240C">
        <w:t xml:space="preserve"> y</w:t>
      </w:r>
      <w:r w:rsidRPr="00EB5607">
        <w:t xml:space="preserve"> Reparaciones </w:t>
      </w:r>
      <w:r w:rsidRPr="00C92188">
        <w:t xml:space="preserve">emitida en el </w:t>
      </w:r>
      <w:r w:rsidRPr="00C92188">
        <w:rPr>
          <w:i/>
        </w:rPr>
        <w:t>Caso</w:t>
      </w:r>
      <w:r w:rsidRPr="00C92188">
        <w:t xml:space="preserve"> </w:t>
      </w:r>
      <w:r w:rsidR="005E240C" w:rsidRPr="007B5ADC">
        <w:rPr>
          <w:i/>
          <w:lang w:val="es-CR"/>
        </w:rPr>
        <w:t xml:space="preserve">Extrabajadores del Organismo Judicial Vs. </w:t>
      </w:r>
      <w:r w:rsidR="005E240C">
        <w:rPr>
          <w:i/>
        </w:rPr>
        <w:t>Guatemala</w:t>
      </w:r>
      <w:r>
        <w:t>, presentada por el Estado</w:t>
      </w:r>
      <w:r w:rsidRPr="00C92188">
        <w:t xml:space="preserve">, en los términos </w:t>
      </w:r>
      <w:r w:rsidR="002A34A4">
        <w:t xml:space="preserve">del </w:t>
      </w:r>
      <w:r w:rsidR="002A34A4" w:rsidRPr="00E90EE8">
        <w:t>párrafo 7</w:t>
      </w:r>
      <w:r w:rsidRPr="007F5A4B">
        <w:t xml:space="preserve"> </w:t>
      </w:r>
      <w:r w:rsidRPr="00C92188">
        <w:t>de la presente Sentencia de Interpretación.</w:t>
      </w:r>
    </w:p>
    <w:p w14:paraId="65A8A839" w14:textId="77777777" w:rsidR="007F5A4B" w:rsidRPr="00741FE6" w:rsidRDefault="007F5A4B" w:rsidP="00741FE6">
      <w:pPr>
        <w:rPr>
          <w:rFonts w:eastAsia="Times New Roman"/>
        </w:rPr>
      </w:pPr>
    </w:p>
    <w:p w14:paraId="46A7DF0F" w14:textId="51E15B8A" w:rsidR="008716BD" w:rsidRPr="008716BD" w:rsidRDefault="008716BD" w:rsidP="008716BD">
      <w:pPr>
        <w:pStyle w:val="Prrafodelista"/>
        <w:numPr>
          <w:ilvl w:val="0"/>
          <w:numId w:val="2"/>
        </w:numPr>
        <w:tabs>
          <w:tab w:val="left" w:pos="567"/>
          <w:tab w:val="left" w:pos="720"/>
        </w:tabs>
        <w:spacing w:after="0" w:line="240" w:lineRule="auto"/>
        <w:jc w:val="both"/>
        <w:rPr>
          <w:rFonts w:eastAsia="Times New Roman"/>
        </w:rPr>
      </w:pPr>
      <w:r w:rsidRPr="00C92188">
        <w:t>De</w:t>
      </w:r>
      <w:r>
        <w:t>sestimar por improcedente</w:t>
      </w:r>
      <w:r w:rsidRPr="00C92188">
        <w:t xml:space="preserve"> la solicitud de int</w:t>
      </w:r>
      <w:r>
        <w:t xml:space="preserve">erpretación de la Sentencia de </w:t>
      </w:r>
      <w:r w:rsidRPr="00EB5607">
        <w:t>Excepciones Preliminares, Fondo</w:t>
      </w:r>
      <w:r w:rsidR="005E240C">
        <w:t xml:space="preserve"> y</w:t>
      </w:r>
      <w:r w:rsidRPr="00EB5607">
        <w:t xml:space="preserve"> Reparaciones </w:t>
      </w:r>
      <w:r w:rsidRPr="00C92188">
        <w:t xml:space="preserve">emitida en el </w:t>
      </w:r>
      <w:r w:rsidRPr="00C92188">
        <w:rPr>
          <w:i/>
        </w:rPr>
        <w:t>Caso</w:t>
      </w:r>
      <w:r w:rsidRPr="00C92188">
        <w:t xml:space="preserve"> </w:t>
      </w:r>
      <w:r w:rsidR="005E240C" w:rsidRPr="007B5ADC">
        <w:rPr>
          <w:i/>
          <w:lang w:val="es-CR"/>
        </w:rPr>
        <w:t xml:space="preserve">Extrabajadores del Organismo Judicial Vs. </w:t>
      </w:r>
      <w:r w:rsidR="005E240C">
        <w:rPr>
          <w:i/>
        </w:rPr>
        <w:t>Guatemala</w:t>
      </w:r>
      <w:r>
        <w:t>, presentada por el Estado</w:t>
      </w:r>
      <w:r w:rsidRPr="00C92188">
        <w:t xml:space="preserve">, en los términos de los </w:t>
      </w:r>
      <w:r w:rsidRPr="00E90EE8">
        <w:t xml:space="preserve">párrafos </w:t>
      </w:r>
      <w:r w:rsidR="002A34A4" w:rsidRPr="00E90EE8">
        <w:t>15 a 18 y 21 a 23</w:t>
      </w:r>
      <w:r w:rsidRPr="00E90EE8">
        <w:t xml:space="preserve"> de</w:t>
      </w:r>
      <w:r w:rsidRPr="00C92188">
        <w:t xml:space="preserve"> la presente Sentencia de Interpretación.</w:t>
      </w:r>
    </w:p>
    <w:p w14:paraId="0A1973E3" w14:textId="406DD966" w:rsidR="00AE74FC" w:rsidRPr="00C92188" w:rsidRDefault="008716BD" w:rsidP="008716BD">
      <w:pPr>
        <w:pStyle w:val="Prrafodelista"/>
        <w:tabs>
          <w:tab w:val="left" w:pos="567"/>
          <w:tab w:val="left" w:pos="720"/>
        </w:tabs>
        <w:spacing w:after="0" w:line="240" w:lineRule="auto"/>
        <w:ind w:left="0"/>
        <w:jc w:val="both"/>
        <w:rPr>
          <w:rFonts w:eastAsia="Times New Roman"/>
        </w:rPr>
      </w:pPr>
      <w:r w:rsidRPr="00C92188">
        <w:rPr>
          <w:rFonts w:eastAsia="Times New Roman"/>
        </w:rPr>
        <w:t xml:space="preserve"> </w:t>
      </w:r>
    </w:p>
    <w:p w14:paraId="0D7F8144" w14:textId="5569D43F" w:rsidR="00AE74FC" w:rsidRPr="00FF2553" w:rsidRDefault="00AE74FC" w:rsidP="008716BD">
      <w:pPr>
        <w:numPr>
          <w:ilvl w:val="0"/>
          <w:numId w:val="2"/>
        </w:numPr>
        <w:tabs>
          <w:tab w:val="left" w:pos="567"/>
          <w:tab w:val="left" w:pos="720"/>
        </w:tabs>
        <w:rPr>
          <w:rFonts w:eastAsia="Times New Roman"/>
        </w:rPr>
      </w:pPr>
      <w:r w:rsidRPr="00C92188">
        <w:t xml:space="preserve">Disponer </w:t>
      </w:r>
      <w:r w:rsidRPr="00D05A8B">
        <w:t>que la Secretaría de la Corte notifique la presente Sentencia</w:t>
      </w:r>
      <w:r w:rsidR="00D05A8B" w:rsidRPr="00D05A8B">
        <w:t xml:space="preserve"> de Interpretación</w:t>
      </w:r>
      <w:r w:rsidRPr="00C92188">
        <w:t xml:space="preserve"> a la República </w:t>
      </w:r>
      <w:r w:rsidR="005E240C">
        <w:t>de Guatemala</w:t>
      </w:r>
      <w:r w:rsidR="00B5237E">
        <w:t xml:space="preserve">, </w:t>
      </w:r>
      <w:r w:rsidR="00BB0C45">
        <w:t>al representante de las</w:t>
      </w:r>
      <w:r w:rsidR="00B5237E">
        <w:t xml:space="preserve"> víctima</w:t>
      </w:r>
      <w:r w:rsidR="005E240C">
        <w:t>s</w:t>
      </w:r>
      <w:r w:rsidRPr="00C92188">
        <w:t xml:space="preserve"> y a la Comisión Interamericana de Derechos Humanos.</w:t>
      </w:r>
    </w:p>
    <w:p w14:paraId="7CAF5FE9" w14:textId="0AF4FCA3" w:rsidR="00FF2553" w:rsidRDefault="00FF2553" w:rsidP="008716BD">
      <w:pPr>
        <w:tabs>
          <w:tab w:val="left" w:pos="567"/>
          <w:tab w:val="left" w:pos="720"/>
        </w:tabs>
        <w:rPr>
          <w:rFonts w:eastAsia="Times New Roman"/>
        </w:rPr>
      </w:pPr>
    </w:p>
    <w:p w14:paraId="1DAC80D0" w14:textId="77777777" w:rsidR="00FC7118" w:rsidRDefault="00FC7118" w:rsidP="00FC7118">
      <w:pPr>
        <w:rPr>
          <w:szCs w:val="20"/>
          <w:lang w:val="es-CR"/>
        </w:rPr>
      </w:pPr>
    </w:p>
    <w:p w14:paraId="2716B121" w14:textId="77777777" w:rsidR="00FC7118" w:rsidRDefault="00FC7118" w:rsidP="00FC7118">
      <w:pPr>
        <w:rPr>
          <w:szCs w:val="20"/>
          <w:lang w:val="es-CR"/>
        </w:rPr>
      </w:pPr>
    </w:p>
    <w:p w14:paraId="13F5DDB1" w14:textId="77777777" w:rsidR="00FC7118" w:rsidRDefault="00FC7118" w:rsidP="00FC7118">
      <w:pPr>
        <w:rPr>
          <w:szCs w:val="20"/>
          <w:lang w:val="es-CR"/>
        </w:rPr>
      </w:pPr>
    </w:p>
    <w:p w14:paraId="60A90038" w14:textId="77777777" w:rsidR="00FC7118" w:rsidRDefault="00FC7118" w:rsidP="00FC7118">
      <w:pPr>
        <w:rPr>
          <w:szCs w:val="20"/>
          <w:lang w:val="es-CR"/>
        </w:rPr>
      </w:pPr>
    </w:p>
    <w:p w14:paraId="444E5020" w14:textId="77777777" w:rsidR="00FC7118" w:rsidRDefault="00FC7118" w:rsidP="00FC7118">
      <w:pPr>
        <w:rPr>
          <w:szCs w:val="20"/>
          <w:lang w:val="es-CR"/>
        </w:rPr>
      </w:pPr>
    </w:p>
    <w:p w14:paraId="2ECF47B8" w14:textId="77777777" w:rsidR="00FC7118" w:rsidRDefault="00FC7118" w:rsidP="00FC7118">
      <w:pPr>
        <w:rPr>
          <w:szCs w:val="20"/>
          <w:lang w:val="es-CR"/>
        </w:rPr>
      </w:pPr>
    </w:p>
    <w:p w14:paraId="36A9AD0B" w14:textId="77777777" w:rsidR="00FC7118" w:rsidRDefault="00FC7118" w:rsidP="00FC7118">
      <w:pPr>
        <w:rPr>
          <w:szCs w:val="20"/>
          <w:lang w:val="es-CR"/>
        </w:rPr>
      </w:pPr>
    </w:p>
    <w:p w14:paraId="5A790D30" w14:textId="77777777" w:rsidR="00FC7118" w:rsidRDefault="00FC7118" w:rsidP="00FC7118">
      <w:pPr>
        <w:rPr>
          <w:szCs w:val="20"/>
          <w:lang w:val="es-CR"/>
        </w:rPr>
      </w:pPr>
    </w:p>
    <w:p w14:paraId="06A29E17" w14:textId="77777777" w:rsidR="00FC7118" w:rsidRDefault="00FC7118" w:rsidP="00FC7118">
      <w:pPr>
        <w:rPr>
          <w:szCs w:val="20"/>
          <w:lang w:val="es-CR"/>
        </w:rPr>
      </w:pPr>
    </w:p>
    <w:p w14:paraId="7935DA92" w14:textId="77777777" w:rsidR="00FC7118" w:rsidRDefault="00FC7118" w:rsidP="00FC7118">
      <w:pPr>
        <w:rPr>
          <w:szCs w:val="20"/>
          <w:lang w:val="es-CR"/>
        </w:rPr>
      </w:pPr>
    </w:p>
    <w:p w14:paraId="33966EFC" w14:textId="77777777" w:rsidR="00FC7118" w:rsidRDefault="00FC7118" w:rsidP="00FC7118">
      <w:pPr>
        <w:rPr>
          <w:szCs w:val="20"/>
          <w:lang w:val="es-CR"/>
        </w:rPr>
      </w:pPr>
    </w:p>
    <w:p w14:paraId="1F1F912B" w14:textId="77777777" w:rsidR="00FC7118" w:rsidRDefault="00FC7118" w:rsidP="00FC7118">
      <w:pPr>
        <w:rPr>
          <w:szCs w:val="20"/>
          <w:lang w:val="es-CR"/>
        </w:rPr>
      </w:pPr>
    </w:p>
    <w:p w14:paraId="3932CE65" w14:textId="77777777" w:rsidR="00FC7118" w:rsidRDefault="00FC7118" w:rsidP="00FC7118">
      <w:pPr>
        <w:rPr>
          <w:szCs w:val="20"/>
          <w:lang w:val="es-CR"/>
        </w:rPr>
      </w:pPr>
    </w:p>
    <w:p w14:paraId="397F53A3" w14:textId="77777777" w:rsidR="00FC7118" w:rsidRDefault="00FC7118" w:rsidP="00FC7118">
      <w:pPr>
        <w:rPr>
          <w:szCs w:val="20"/>
          <w:lang w:val="es-CR"/>
        </w:rPr>
      </w:pPr>
    </w:p>
    <w:p w14:paraId="133D56EF" w14:textId="77777777" w:rsidR="00FC7118" w:rsidRDefault="00FC7118" w:rsidP="00FC7118">
      <w:pPr>
        <w:rPr>
          <w:szCs w:val="20"/>
          <w:lang w:val="es-CR"/>
        </w:rPr>
      </w:pPr>
    </w:p>
    <w:p w14:paraId="3BF42149" w14:textId="77777777" w:rsidR="00FC7118" w:rsidRDefault="00FC7118" w:rsidP="00FC7118">
      <w:pPr>
        <w:rPr>
          <w:szCs w:val="20"/>
          <w:lang w:val="es-CR"/>
        </w:rPr>
      </w:pPr>
    </w:p>
    <w:p w14:paraId="66CBFCDA" w14:textId="77777777" w:rsidR="00FC7118" w:rsidRDefault="00FC7118" w:rsidP="00FC7118">
      <w:pPr>
        <w:rPr>
          <w:szCs w:val="20"/>
          <w:lang w:val="es-CR"/>
        </w:rPr>
      </w:pPr>
    </w:p>
    <w:p w14:paraId="14AEDCB7" w14:textId="77777777" w:rsidR="00FC7118" w:rsidRDefault="00FC7118" w:rsidP="00FC7118">
      <w:pPr>
        <w:rPr>
          <w:szCs w:val="20"/>
          <w:lang w:val="es-CR"/>
        </w:rPr>
      </w:pPr>
    </w:p>
    <w:p w14:paraId="4B02A38E" w14:textId="65A5C1D3" w:rsidR="00FC7118" w:rsidRPr="002D11B0" w:rsidRDefault="00FF2553" w:rsidP="00FC7118">
      <w:r w:rsidRPr="007B5ADC">
        <w:rPr>
          <w:szCs w:val="20"/>
          <w:lang w:val="es-CR"/>
        </w:rPr>
        <w:lastRenderedPageBreak/>
        <w:t xml:space="preserve">Corte IDH. </w:t>
      </w:r>
      <w:r w:rsidRPr="007B5ADC">
        <w:rPr>
          <w:i/>
          <w:szCs w:val="20"/>
          <w:lang w:val="es-CR"/>
        </w:rPr>
        <w:t xml:space="preserve">Caso </w:t>
      </w:r>
      <w:r w:rsidR="00741FE6" w:rsidRPr="007B5ADC">
        <w:rPr>
          <w:i/>
          <w:szCs w:val="20"/>
          <w:lang w:val="es-CR"/>
        </w:rPr>
        <w:t>Extrabajadores del Organismo Judicial</w:t>
      </w:r>
      <w:r w:rsidR="00E52DFB" w:rsidRPr="007B5ADC">
        <w:rPr>
          <w:i/>
          <w:szCs w:val="20"/>
          <w:lang w:val="es-CR"/>
        </w:rPr>
        <w:t xml:space="preserve"> Vs. </w:t>
      </w:r>
      <w:r w:rsidR="00741FE6">
        <w:rPr>
          <w:i/>
          <w:szCs w:val="20"/>
        </w:rPr>
        <w:t>Guatemala</w:t>
      </w:r>
      <w:r w:rsidRPr="008A5EB5">
        <w:rPr>
          <w:i/>
          <w:szCs w:val="20"/>
        </w:rPr>
        <w:t>.</w:t>
      </w:r>
      <w:r>
        <w:rPr>
          <w:szCs w:val="20"/>
        </w:rPr>
        <w:t xml:space="preserve"> </w:t>
      </w:r>
      <w:r w:rsidRPr="008A5EB5">
        <w:rPr>
          <w:i/>
          <w:szCs w:val="20"/>
        </w:rPr>
        <w:t xml:space="preserve">Interpretación de la Sentencia de </w:t>
      </w:r>
      <w:r w:rsidR="006642F1">
        <w:rPr>
          <w:i/>
          <w:szCs w:val="20"/>
        </w:rPr>
        <w:t xml:space="preserve">Excepciones Preliminares, </w:t>
      </w:r>
      <w:r w:rsidRPr="008A5EB5">
        <w:rPr>
          <w:i/>
          <w:szCs w:val="20"/>
        </w:rPr>
        <w:t>Fondo</w:t>
      </w:r>
      <w:r w:rsidR="00741FE6">
        <w:rPr>
          <w:i/>
          <w:szCs w:val="20"/>
        </w:rPr>
        <w:t xml:space="preserve"> y</w:t>
      </w:r>
      <w:r w:rsidRPr="008A5EB5">
        <w:rPr>
          <w:i/>
          <w:szCs w:val="20"/>
        </w:rPr>
        <w:t xml:space="preserve"> Reparaciones</w:t>
      </w:r>
      <w:r w:rsidR="00E52DFB">
        <w:rPr>
          <w:szCs w:val="20"/>
        </w:rPr>
        <w:t xml:space="preserve">. </w:t>
      </w:r>
      <w:r w:rsidR="00E52DFB" w:rsidRPr="008561DB">
        <w:rPr>
          <w:szCs w:val="20"/>
        </w:rPr>
        <w:t xml:space="preserve">Sentencia de </w:t>
      </w:r>
      <w:r w:rsidR="008561DB" w:rsidRPr="008561DB">
        <w:rPr>
          <w:szCs w:val="20"/>
        </w:rPr>
        <w:t>27 de julio</w:t>
      </w:r>
      <w:r w:rsidRPr="008561DB">
        <w:rPr>
          <w:szCs w:val="20"/>
        </w:rPr>
        <w:t xml:space="preserve"> de 202</w:t>
      </w:r>
      <w:r w:rsidR="00741FE6" w:rsidRPr="008561DB">
        <w:rPr>
          <w:szCs w:val="20"/>
        </w:rPr>
        <w:t>2</w:t>
      </w:r>
      <w:r>
        <w:rPr>
          <w:szCs w:val="20"/>
        </w:rPr>
        <w:t>.</w:t>
      </w:r>
      <w:r w:rsidR="00FC7118">
        <w:rPr>
          <w:szCs w:val="20"/>
        </w:rPr>
        <w:t xml:space="preserve"> </w:t>
      </w:r>
      <w:r w:rsidR="00FC7118" w:rsidRPr="002D11B0">
        <w:t>Sentencia adoptada en San José, Costa Rica por medio de sesión virtual.</w:t>
      </w:r>
    </w:p>
    <w:p w14:paraId="20ED6E52" w14:textId="77777777" w:rsidR="00FC7118" w:rsidRPr="00FC7118" w:rsidRDefault="00FC7118" w:rsidP="008716BD">
      <w:pPr>
        <w:rPr>
          <w:szCs w:val="20"/>
          <w:lang w:val="es-CO"/>
        </w:rPr>
      </w:pPr>
    </w:p>
    <w:p w14:paraId="7055A276" w14:textId="3091E153" w:rsidR="00FC7118" w:rsidRPr="002D11B0" w:rsidRDefault="00FC7118" w:rsidP="00FC7118">
      <w:pPr>
        <w:pStyle w:val="Textoindependiente"/>
        <w:rPr>
          <w:color w:val="auto"/>
        </w:rPr>
      </w:pPr>
    </w:p>
    <w:p w14:paraId="204683AD" w14:textId="72F54797" w:rsidR="00FC7118" w:rsidRPr="002D11B0" w:rsidRDefault="00FC7118" w:rsidP="00FC7118">
      <w:pPr>
        <w:pStyle w:val="Textoindependiente"/>
        <w:rPr>
          <w:color w:val="auto"/>
        </w:rPr>
      </w:pPr>
    </w:p>
    <w:p w14:paraId="4C365299" w14:textId="77777777" w:rsidR="00FC7118" w:rsidRPr="002D11B0" w:rsidRDefault="00FC7118" w:rsidP="00FC7118">
      <w:pPr>
        <w:pStyle w:val="Textoindependiente"/>
        <w:rPr>
          <w:color w:val="auto"/>
        </w:rPr>
      </w:pPr>
    </w:p>
    <w:p w14:paraId="5B0B8DC0" w14:textId="77777777" w:rsidR="00FC7118" w:rsidRPr="002D11B0" w:rsidRDefault="00FC7118" w:rsidP="00FC7118">
      <w:pPr>
        <w:pStyle w:val="Textoindependiente"/>
        <w:rPr>
          <w:color w:val="auto"/>
        </w:rPr>
      </w:pPr>
    </w:p>
    <w:p w14:paraId="6549D43E" w14:textId="77777777" w:rsidR="00FC7118" w:rsidRPr="0044524F" w:rsidRDefault="00FC7118" w:rsidP="00FC7118">
      <w:pPr>
        <w:pStyle w:val="Textoindependiente"/>
        <w:ind w:left="2832" w:right="3450"/>
        <w:jc w:val="center"/>
        <w:rPr>
          <w:color w:val="auto"/>
          <w:lang w:val="es-CR"/>
        </w:rPr>
      </w:pPr>
      <w:r w:rsidRPr="0044524F">
        <w:rPr>
          <w:color w:val="auto"/>
          <w:lang w:val="es-CR"/>
        </w:rPr>
        <w:t>L. Patricio</w:t>
      </w:r>
      <w:r w:rsidRPr="0044524F">
        <w:rPr>
          <w:color w:val="auto"/>
          <w:spacing w:val="-6"/>
          <w:lang w:val="es-CR"/>
        </w:rPr>
        <w:t xml:space="preserve"> </w:t>
      </w:r>
      <w:r w:rsidRPr="0044524F">
        <w:rPr>
          <w:color w:val="auto"/>
          <w:lang w:val="es-CR"/>
        </w:rPr>
        <w:t>Pazmiño</w:t>
      </w:r>
      <w:r w:rsidRPr="0044524F">
        <w:rPr>
          <w:color w:val="auto"/>
          <w:spacing w:val="-3"/>
          <w:lang w:val="es-CR"/>
        </w:rPr>
        <w:t xml:space="preserve"> </w:t>
      </w:r>
      <w:r w:rsidRPr="0044524F">
        <w:rPr>
          <w:color w:val="auto"/>
          <w:lang w:val="es-CR"/>
        </w:rPr>
        <w:t>Freire</w:t>
      </w:r>
    </w:p>
    <w:p w14:paraId="5C603207" w14:textId="2309B0D8" w:rsidR="00FC7118" w:rsidRPr="0044524F" w:rsidRDefault="00FC7118" w:rsidP="00FC7118">
      <w:pPr>
        <w:pStyle w:val="Textoindependiente"/>
        <w:ind w:left="2832" w:right="3450"/>
        <w:jc w:val="center"/>
        <w:rPr>
          <w:color w:val="auto"/>
          <w:lang w:val="es-CR"/>
        </w:rPr>
      </w:pPr>
      <w:r w:rsidRPr="0044524F">
        <w:rPr>
          <w:color w:val="auto"/>
          <w:lang w:val="es-CR"/>
        </w:rPr>
        <w:t>Presidente en ejercicio</w:t>
      </w:r>
    </w:p>
    <w:p w14:paraId="716C18C5" w14:textId="45D2053E" w:rsidR="00FC7118" w:rsidRPr="0044524F" w:rsidRDefault="00FC7118" w:rsidP="00FC7118">
      <w:pPr>
        <w:pStyle w:val="Textoindependiente"/>
        <w:rPr>
          <w:color w:val="auto"/>
          <w:lang w:val="es-CR"/>
        </w:rPr>
      </w:pPr>
    </w:p>
    <w:p w14:paraId="5AFF42CA" w14:textId="77777777" w:rsidR="00FC7118" w:rsidRPr="0044524F" w:rsidRDefault="00FC7118" w:rsidP="00FC7118">
      <w:pPr>
        <w:pStyle w:val="Textoindependiente"/>
        <w:rPr>
          <w:color w:val="auto"/>
          <w:lang w:val="es-CR"/>
        </w:rPr>
      </w:pPr>
    </w:p>
    <w:p w14:paraId="0DB217BA" w14:textId="77777777" w:rsidR="00FC7118" w:rsidRPr="0044524F" w:rsidRDefault="00FC7118" w:rsidP="00FC7118">
      <w:pPr>
        <w:pStyle w:val="Textoindependiente"/>
        <w:rPr>
          <w:color w:val="auto"/>
          <w:lang w:val="es-CR"/>
        </w:rPr>
      </w:pPr>
    </w:p>
    <w:p w14:paraId="0444F3F8" w14:textId="77777777" w:rsidR="00FC7118" w:rsidRPr="0044524F" w:rsidRDefault="00FC7118" w:rsidP="00FC7118">
      <w:pPr>
        <w:pStyle w:val="Textoindependiente"/>
        <w:rPr>
          <w:color w:val="auto"/>
          <w:lang w:val="es-CR"/>
        </w:rPr>
      </w:pPr>
    </w:p>
    <w:p w14:paraId="645029D0" w14:textId="77777777" w:rsidR="00FC7118" w:rsidRPr="0044524F" w:rsidRDefault="00FC7118" w:rsidP="00FC7118">
      <w:pPr>
        <w:pStyle w:val="Textoindependiente"/>
        <w:rPr>
          <w:color w:val="auto"/>
          <w:lang w:val="es-CR"/>
        </w:rPr>
      </w:pPr>
    </w:p>
    <w:p w14:paraId="7260FDA8" w14:textId="77777777" w:rsidR="00FC7118" w:rsidRPr="00FC7118" w:rsidRDefault="00FC7118" w:rsidP="00FC7118">
      <w:pPr>
        <w:pStyle w:val="Textoindependiente"/>
        <w:tabs>
          <w:tab w:val="left" w:pos="5851"/>
        </w:tabs>
        <w:rPr>
          <w:color w:val="auto"/>
          <w:lang w:val="pt-BR"/>
        </w:rPr>
      </w:pPr>
      <w:r w:rsidRPr="00FC7118">
        <w:rPr>
          <w:color w:val="auto"/>
          <w:lang w:val="pt-BR"/>
        </w:rPr>
        <w:t xml:space="preserve">Humberto </w:t>
      </w:r>
      <w:proofErr w:type="spellStart"/>
      <w:r w:rsidRPr="00FC7118">
        <w:rPr>
          <w:color w:val="auto"/>
          <w:lang w:val="pt-BR"/>
        </w:rPr>
        <w:t>Antonio</w:t>
      </w:r>
      <w:proofErr w:type="spellEnd"/>
      <w:r w:rsidRPr="00FC7118">
        <w:rPr>
          <w:color w:val="auto"/>
          <w:lang w:val="pt-BR"/>
        </w:rPr>
        <w:t xml:space="preserve"> </w:t>
      </w:r>
      <w:proofErr w:type="spellStart"/>
      <w:r w:rsidRPr="00FC7118">
        <w:rPr>
          <w:color w:val="auto"/>
          <w:lang w:val="pt-BR"/>
        </w:rPr>
        <w:t>Sierra</w:t>
      </w:r>
      <w:proofErr w:type="spellEnd"/>
      <w:r w:rsidRPr="00FC7118">
        <w:rPr>
          <w:color w:val="auto"/>
          <w:lang w:val="pt-BR"/>
        </w:rPr>
        <w:t xml:space="preserve"> Porto                                    Eduardo Ferrer </w:t>
      </w:r>
      <w:proofErr w:type="spellStart"/>
      <w:r w:rsidRPr="00FC7118">
        <w:rPr>
          <w:color w:val="auto"/>
          <w:lang w:val="pt-BR"/>
        </w:rPr>
        <w:t>Mac-Gregor</w:t>
      </w:r>
      <w:proofErr w:type="spellEnd"/>
      <w:r w:rsidRPr="00FC7118">
        <w:rPr>
          <w:color w:val="auto"/>
          <w:lang w:val="pt-BR"/>
        </w:rPr>
        <w:t xml:space="preserve"> Poisot</w:t>
      </w:r>
    </w:p>
    <w:p w14:paraId="0DF001DB" w14:textId="251FECE6" w:rsidR="00FC7118" w:rsidRPr="0044524F" w:rsidRDefault="00FC7118" w:rsidP="00FC7118">
      <w:pPr>
        <w:pStyle w:val="Textoindependiente"/>
        <w:rPr>
          <w:color w:val="auto"/>
          <w:lang w:val="pt-BR"/>
        </w:rPr>
      </w:pPr>
    </w:p>
    <w:p w14:paraId="4B83F0B8" w14:textId="54CFF112" w:rsidR="00FC7118" w:rsidRPr="0044524F" w:rsidRDefault="00FC7118" w:rsidP="00FC7118">
      <w:pPr>
        <w:pStyle w:val="Textoindependiente"/>
        <w:rPr>
          <w:color w:val="auto"/>
          <w:lang w:val="pt-BR"/>
        </w:rPr>
      </w:pPr>
    </w:p>
    <w:p w14:paraId="1FB6AB99" w14:textId="48601E40" w:rsidR="00FC7118" w:rsidRPr="0044524F" w:rsidRDefault="00FC7118" w:rsidP="00FC7118">
      <w:pPr>
        <w:pStyle w:val="Textoindependiente"/>
        <w:rPr>
          <w:color w:val="auto"/>
          <w:lang w:val="pt-BR"/>
        </w:rPr>
      </w:pPr>
    </w:p>
    <w:p w14:paraId="3DE1BD83" w14:textId="6C75AF73" w:rsidR="00FC7118" w:rsidRPr="0044524F" w:rsidRDefault="00FC7118" w:rsidP="00FC7118">
      <w:pPr>
        <w:pStyle w:val="Textoindependiente"/>
        <w:rPr>
          <w:color w:val="auto"/>
          <w:lang w:val="pt-BR"/>
        </w:rPr>
      </w:pPr>
    </w:p>
    <w:p w14:paraId="18301585" w14:textId="77777777" w:rsidR="00FC7118" w:rsidRPr="0044524F" w:rsidRDefault="00FC7118" w:rsidP="00FC7118">
      <w:pPr>
        <w:pStyle w:val="Textoindependiente"/>
        <w:rPr>
          <w:color w:val="auto"/>
          <w:lang w:val="pt-BR"/>
        </w:rPr>
      </w:pPr>
    </w:p>
    <w:p w14:paraId="07B65B5F" w14:textId="77777777" w:rsidR="00FC7118" w:rsidRPr="00FC7118" w:rsidRDefault="00FC7118" w:rsidP="00FC7118">
      <w:pPr>
        <w:pStyle w:val="Textoindependiente"/>
        <w:tabs>
          <w:tab w:val="left" w:pos="6559"/>
        </w:tabs>
        <w:rPr>
          <w:color w:val="auto"/>
          <w:lang w:val="pt-BR"/>
        </w:rPr>
      </w:pPr>
      <w:r w:rsidRPr="00FC7118">
        <w:rPr>
          <w:color w:val="auto"/>
          <w:lang w:val="pt-BR"/>
        </w:rPr>
        <w:t xml:space="preserve">Eugenio </w:t>
      </w:r>
      <w:proofErr w:type="spellStart"/>
      <w:r w:rsidRPr="00FC7118">
        <w:rPr>
          <w:color w:val="auto"/>
          <w:lang w:val="pt-BR"/>
        </w:rPr>
        <w:t>Raúl</w:t>
      </w:r>
      <w:proofErr w:type="spellEnd"/>
      <w:r w:rsidRPr="00FC7118">
        <w:rPr>
          <w:color w:val="auto"/>
          <w:lang w:val="pt-BR"/>
        </w:rPr>
        <w:t xml:space="preserve"> </w:t>
      </w:r>
      <w:proofErr w:type="spellStart"/>
      <w:r w:rsidRPr="00FC7118">
        <w:rPr>
          <w:color w:val="auto"/>
          <w:lang w:val="pt-BR"/>
        </w:rPr>
        <w:t>Zaffaroni</w:t>
      </w:r>
      <w:proofErr w:type="spellEnd"/>
      <w:r w:rsidRPr="00FC7118">
        <w:rPr>
          <w:color w:val="auto"/>
          <w:lang w:val="pt-BR"/>
        </w:rPr>
        <w:t xml:space="preserve">                                                            Ricardo C. Pérez Manrique</w:t>
      </w:r>
    </w:p>
    <w:p w14:paraId="79DC0CFF" w14:textId="06BF6B78" w:rsidR="00FC7118" w:rsidRPr="00FC7118" w:rsidRDefault="00FC7118" w:rsidP="00FC7118">
      <w:pPr>
        <w:pStyle w:val="Textoindependiente"/>
        <w:rPr>
          <w:color w:val="auto"/>
          <w:lang w:val="pt-BR"/>
        </w:rPr>
      </w:pPr>
    </w:p>
    <w:p w14:paraId="09EB8967" w14:textId="77777777" w:rsidR="00FC7118" w:rsidRPr="00FC7118" w:rsidRDefault="00FC7118" w:rsidP="00FC7118">
      <w:pPr>
        <w:pStyle w:val="Textoindependiente"/>
        <w:rPr>
          <w:color w:val="auto"/>
          <w:lang w:val="pt-BR"/>
        </w:rPr>
      </w:pPr>
    </w:p>
    <w:p w14:paraId="2C02E426" w14:textId="561C8E58" w:rsidR="00FC7118" w:rsidRPr="00FC7118" w:rsidRDefault="00FC7118" w:rsidP="00FC7118">
      <w:pPr>
        <w:pStyle w:val="Textoindependiente"/>
        <w:rPr>
          <w:color w:val="auto"/>
          <w:lang w:val="pt-BR"/>
        </w:rPr>
      </w:pPr>
    </w:p>
    <w:p w14:paraId="05F75455" w14:textId="3A72CEC3" w:rsidR="00FC7118" w:rsidRPr="00FC7118" w:rsidRDefault="00FC7118" w:rsidP="00FC7118">
      <w:pPr>
        <w:pStyle w:val="Textoindependiente"/>
        <w:rPr>
          <w:color w:val="auto"/>
          <w:lang w:val="pt-BR"/>
        </w:rPr>
      </w:pPr>
    </w:p>
    <w:p w14:paraId="7C6B0223" w14:textId="4EEBC02D" w:rsidR="00FC7118" w:rsidRPr="00FC7118" w:rsidRDefault="00FC7118" w:rsidP="00FC7118">
      <w:pPr>
        <w:pStyle w:val="Textoindependiente"/>
        <w:rPr>
          <w:color w:val="auto"/>
          <w:lang w:val="pt-BR"/>
        </w:rPr>
      </w:pPr>
    </w:p>
    <w:p w14:paraId="303E00F0" w14:textId="18CA2B4B" w:rsidR="00FC7118" w:rsidRPr="0099392C" w:rsidRDefault="00FC7118" w:rsidP="00FC7118">
      <w:pPr>
        <w:pStyle w:val="Textoindependiente"/>
        <w:ind w:right="3592"/>
        <w:rPr>
          <w:color w:val="auto"/>
          <w:lang w:val="pt-BR"/>
        </w:rPr>
      </w:pPr>
      <w:r w:rsidRPr="0099392C">
        <w:rPr>
          <w:color w:val="auto"/>
          <w:lang w:val="pt-BR"/>
        </w:rPr>
        <w:t xml:space="preserve">                                     </w:t>
      </w:r>
      <w:bookmarkStart w:id="13" w:name="_Hlk114141690"/>
      <w:r w:rsidR="009A79AC" w:rsidRPr="0099392C">
        <w:rPr>
          <w:color w:val="auto"/>
          <w:lang w:val="pt-BR"/>
        </w:rPr>
        <w:t>Pablo Saavedra Alessandri</w:t>
      </w:r>
    </w:p>
    <w:p w14:paraId="55B6B35B" w14:textId="7472EAE8" w:rsidR="00FC7118" w:rsidRPr="0099392C" w:rsidRDefault="00FC7118" w:rsidP="00FC7118">
      <w:pPr>
        <w:pStyle w:val="Textoindependiente"/>
        <w:ind w:right="3592"/>
        <w:rPr>
          <w:color w:val="auto"/>
          <w:lang w:val="pt-BR"/>
        </w:rPr>
      </w:pPr>
      <w:r w:rsidRPr="0099392C">
        <w:rPr>
          <w:color w:val="auto"/>
          <w:lang w:val="pt-BR"/>
        </w:rPr>
        <w:t xml:space="preserve">                                              Secretari</w:t>
      </w:r>
      <w:r w:rsidR="009A79AC" w:rsidRPr="0099392C">
        <w:rPr>
          <w:color w:val="auto"/>
          <w:lang w:val="pt-BR"/>
        </w:rPr>
        <w:t>o</w:t>
      </w:r>
    </w:p>
    <w:bookmarkEnd w:id="13"/>
    <w:p w14:paraId="5D0B7E6D" w14:textId="6AF01F55" w:rsidR="00FC7118" w:rsidRPr="0099392C" w:rsidRDefault="00FC7118" w:rsidP="00FC7118">
      <w:pPr>
        <w:pStyle w:val="Textoindependiente"/>
        <w:rPr>
          <w:color w:val="auto"/>
          <w:lang w:val="pt-BR"/>
        </w:rPr>
      </w:pPr>
    </w:p>
    <w:p w14:paraId="1CFE09AB" w14:textId="3C4EE2BF" w:rsidR="00FC7118" w:rsidRPr="0099392C" w:rsidRDefault="00FC7118" w:rsidP="00FC7118">
      <w:pPr>
        <w:pStyle w:val="Textoindependiente"/>
        <w:rPr>
          <w:color w:val="auto"/>
          <w:lang w:val="pt-BR"/>
        </w:rPr>
      </w:pPr>
    </w:p>
    <w:p w14:paraId="58C5B871" w14:textId="4B0A88C9" w:rsidR="00FC7118" w:rsidRPr="0099392C" w:rsidRDefault="00FC7118" w:rsidP="00FC7118">
      <w:pPr>
        <w:pStyle w:val="Textoindependiente"/>
        <w:rPr>
          <w:color w:val="auto"/>
          <w:lang w:val="pt-BR"/>
        </w:rPr>
      </w:pPr>
    </w:p>
    <w:p w14:paraId="3441A04B" w14:textId="77777777" w:rsidR="00FC7118" w:rsidRPr="0099392C" w:rsidRDefault="00FC7118" w:rsidP="00FC7118">
      <w:pPr>
        <w:pStyle w:val="Textoindependiente"/>
        <w:rPr>
          <w:color w:val="auto"/>
          <w:lang w:val="pt-BR"/>
        </w:rPr>
      </w:pPr>
    </w:p>
    <w:p w14:paraId="54AF1D89" w14:textId="77777777" w:rsidR="00FC7118" w:rsidRPr="0099392C" w:rsidRDefault="00FC7118" w:rsidP="00FC7118">
      <w:pPr>
        <w:pStyle w:val="Textoindependiente"/>
        <w:rPr>
          <w:color w:val="auto"/>
          <w:lang w:val="pt-BR"/>
        </w:rPr>
      </w:pPr>
    </w:p>
    <w:p w14:paraId="5D0CE4C3" w14:textId="2A754781" w:rsidR="00FC7118" w:rsidRPr="00FC7118" w:rsidRDefault="00FC7118" w:rsidP="00FC7118">
      <w:pPr>
        <w:pStyle w:val="Textoindependiente"/>
        <w:rPr>
          <w:color w:val="auto"/>
          <w:lang w:val="pt-BR"/>
        </w:rPr>
      </w:pPr>
      <w:proofErr w:type="spellStart"/>
      <w:r w:rsidRPr="00FC7118">
        <w:rPr>
          <w:color w:val="auto"/>
          <w:lang w:val="pt-BR"/>
        </w:rPr>
        <w:t>Comuníquese</w:t>
      </w:r>
      <w:proofErr w:type="spellEnd"/>
      <w:r w:rsidRPr="00FC7118">
        <w:rPr>
          <w:color w:val="auto"/>
          <w:lang w:val="pt-BR"/>
        </w:rPr>
        <w:t xml:space="preserve"> y </w:t>
      </w:r>
      <w:proofErr w:type="spellStart"/>
      <w:r w:rsidRPr="00FC7118">
        <w:rPr>
          <w:color w:val="auto"/>
          <w:lang w:val="pt-BR"/>
        </w:rPr>
        <w:t>ejecútese</w:t>
      </w:r>
      <w:proofErr w:type="spellEnd"/>
      <w:r w:rsidRPr="00FC7118">
        <w:rPr>
          <w:color w:val="auto"/>
          <w:lang w:val="pt-BR"/>
        </w:rPr>
        <w:t>,</w:t>
      </w:r>
    </w:p>
    <w:p w14:paraId="52B0FE6E" w14:textId="77777777" w:rsidR="00FC7118" w:rsidRPr="00FC7118" w:rsidRDefault="00FC7118" w:rsidP="00FC7118">
      <w:pPr>
        <w:pStyle w:val="Textoindependiente"/>
        <w:rPr>
          <w:color w:val="auto"/>
          <w:lang w:val="pt-BR"/>
        </w:rPr>
      </w:pPr>
    </w:p>
    <w:p w14:paraId="6B1DA9E2" w14:textId="4CBF79BD" w:rsidR="00FC7118" w:rsidRPr="00FC7118" w:rsidRDefault="00FC7118" w:rsidP="00FC7118">
      <w:pPr>
        <w:pStyle w:val="Textoindependiente"/>
        <w:rPr>
          <w:color w:val="auto"/>
          <w:lang w:val="pt-BR"/>
        </w:rPr>
      </w:pPr>
    </w:p>
    <w:p w14:paraId="6C0B40D4" w14:textId="74D59229" w:rsidR="00FC7118" w:rsidRPr="00FC7118" w:rsidRDefault="00FC7118" w:rsidP="00FC7118">
      <w:pPr>
        <w:pStyle w:val="Textoindependiente"/>
        <w:rPr>
          <w:color w:val="auto"/>
          <w:lang w:val="pt-BR"/>
        </w:rPr>
      </w:pPr>
    </w:p>
    <w:p w14:paraId="06C2FD6E" w14:textId="7044F9ED" w:rsidR="00FC7118" w:rsidRPr="00FC7118" w:rsidRDefault="00FC7118" w:rsidP="00FC7118">
      <w:pPr>
        <w:pStyle w:val="Textoindependiente"/>
        <w:rPr>
          <w:color w:val="auto"/>
          <w:lang w:val="pt-BR"/>
        </w:rPr>
      </w:pPr>
    </w:p>
    <w:p w14:paraId="0181148B" w14:textId="77777777" w:rsidR="00FC7118" w:rsidRPr="00FC7118" w:rsidRDefault="00FC7118" w:rsidP="00FC7118">
      <w:pPr>
        <w:pStyle w:val="Textoindependiente"/>
        <w:rPr>
          <w:color w:val="auto"/>
          <w:lang w:val="pt-BR"/>
        </w:rPr>
      </w:pPr>
    </w:p>
    <w:p w14:paraId="4FFDD915" w14:textId="77777777" w:rsidR="00FC7118" w:rsidRPr="00FC7118" w:rsidRDefault="00FC7118" w:rsidP="00FC7118">
      <w:pPr>
        <w:pStyle w:val="Textoindependiente"/>
        <w:ind w:right="332"/>
        <w:rPr>
          <w:color w:val="auto"/>
          <w:lang w:val="pt-BR"/>
        </w:rPr>
      </w:pPr>
      <w:r w:rsidRPr="00FC7118">
        <w:rPr>
          <w:color w:val="auto"/>
          <w:lang w:val="pt-BR"/>
        </w:rPr>
        <w:t xml:space="preserve">                                                                                     L. </w:t>
      </w:r>
      <w:proofErr w:type="spellStart"/>
      <w:r w:rsidRPr="00FC7118">
        <w:rPr>
          <w:color w:val="auto"/>
          <w:lang w:val="pt-BR"/>
        </w:rPr>
        <w:t>Patricio</w:t>
      </w:r>
      <w:proofErr w:type="spellEnd"/>
      <w:r w:rsidRPr="00FC7118">
        <w:rPr>
          <w:color w:val="auto"/>
          <w:spacing w:val="-6"/>
          <w:lang w:val="pt-BR"/>
        </w:rPr>
        <w:t xml:space="preserve"> </w:t>
      </w:r>
      <w:proofErr w:type="spellStart"/>
      <w:r w:rsidRPr="00FC7118">
        <w:rPr>
          <w:color w:val="auto"/>
          <w:lang w:val="pt-BR"/>
        </w:rPr>
        <w:t>Pazmiño</w:t>
      </w:r>
      <w:proofErr w:type="spellEnd"/>
      <w:r w:rsidRPr="00FC7118">
        <w:rPr>
          <w:color w:val="auto"/>
          <w:spacing w:val="-3"/>
          <w:lang w:val="pt-BR"/>
        </w:rPr>
        <w:t xml:space="preserve"> </w:t>
      </w:r>
      <w:r w:rsidRPr="00FC7118">
        <w:rPr>
          <w:color w:val="auto"/>
          <w:lang w:val="pt-BR"/>
        </w:rPr>
        <w:t>Freire</w:t>
      </w:r>
    </w:p>
    <w:p w14:paraId="587DEA7F" w14:textId="77777777" w:rsidR="00FC7118" w:rsidRPr="00FC7118" w:rsidRDefault="00FC7118" w:rsidP="00FC7118">
      <w:pPr>
        <w:pStyle w:val="Textoindependiente"/>
        <w:ind w:right="332"/>
        <w:rPr>
          <w:color w:val="auto"/>
          <w:lang w:val="pt-BR"/>
        </w:rPr>
      </w:pPr>
      <w:r w:rsidRPr="00FC7118">
        <w:rPr>
          <w:color w:val="auto"/>
          <w:lang w:val="pt-BR"/>
        </w:rPr>
        <w:t xml:space="preserve">                                                                                      Presidente </w:t>
      </w:r>
      <w:proofErr w:type="spellStart"/>
      <w:r w:rsidRPr="00FC7118">
        <w:rPr>
          <w:color w:val="auto"/>
          <w:lang w:val="pt-BR"/>
        </w:rPr>
        <w:t>en</w:t>
      </w:r>
      <w:proofErr w:type="spellEnd"/>
      <w:r w:rsidRPr="00FC7118">
        <w:rPr>
          <w:color w:val="auto"/>
          <w:lang w:val="pt-BR"/>
        </w:rPr>
        <w:t xml:space="preserve"> </w:t>
      </w:r>
      <w:proofErr w:type="spellStart"/>
      <w:r w:rsidRPr="00FC7118">
        <w:rPr>
          <w:color w:val="auto"/>
          <w:lang w:val="pt-BR"/>
        </w:rPr>
        <w:t>ejercicio</w:t>
      </w:r>
      <w:proofErr w:type="spellEnd"/>
    </w:p>
    <w:p w14:paraId="7199F6B5" w14:textId="25B204C8" w:rsidR="00FC7118" w:rsidRPr="00FC7118" w:rsidRDefault="00FC7118" w:rsidP="00FC7118">
      <w:pPr>
        <w:pStyle w:val="Textoindependiente"/>
        <w:rPr>
          <w:color w:val="auto"/>
          <w:lang w:val="pt-BR"/>
        </w:rPr>
      </w:pPr>
    </w:p>
    <w:p w14:paraId="3A9A5F29" w14:textId="77777777" w:rsidR="00FC7118" w:rsidRPr="00FC7118" w:rsidRDefault="00FC7118" w:rsidP="00FC7118">
      <w:pPr>
        <w:pStyle w:val="Textoindependiente"/>
        <w:rPr>
          <w:color w:val="auto"/>
          <w:lang w:val="pt-BR"/>
        </w:rPr>
      </w:pPr>
    </w:p>
    <w:p w14:paraId="4F4186D4" w14:textId="77777777" w:rsidR="00FC7118" w:rsidRPr="00FC7118" w:rsidRDefault="00FC7118" w:rsidP="00FC7118">
      <w:pPr>
        <w:pStyle w:val="Textoindependiente"/>
        <w:rPr>
          <w:color w:val="auto"/>
          <w:lang w:val="pt-BR"/>
        </w:rPr>
      </w:pPr>
    </w:p>
    <w:p w14:paraId="1FDE522D" w14:textId="1A585FCA" w:rsidR="00FC7118" w:rsidRPr="00FC7118" w:rsidRDefault="00FC7118" w:rsidP="00FC7118">
      <w:pPr>
        <w:pStyle w:val="Textoindependiente"/>
        <w:rPr>
          <w:color w:val="auto"/>
          <w:lang w:val="pt-BR"/>
        </w:rPr>
      </w:pPr>
    </w:p>
    <w:p w14:paraId="2F03560D" w14:textId="77777777" w:rsidR="00FC7118" w:rsidRPr="00FC7118" w:rsidRDefault="00FC7118" w:rsidP="00FC7118">
      <w:pPr>
        <w:pStyle w:val="Textoindependiente"/>
        <w:rPr>
          <w:color w:val="auto"/>
          <w:lang w:val="pt-BR"/>
        </w:rPr>
      </w:pPr>
    </w:p>
    <w:p w14:paraId="64585F98" w14:textId="77777777" w:rsidR="009A79AC" w:rsidRPr="009A79AC" w:rsidRDefault="009A79AC" w:rsidP="009A79AC">
      <w:pPr>
        <w:pStyle w:val="Textoindependiente"/>
        <w:ind w:right="3592"/>
        <w:rPr>
          <w:color w:val="auto"/>
          <w:lang w:val="es-CR"/>
        </w:rPr>
      </w:pPr>
      <w:r w:rsidRPr="009A79AC">
        <w:rPr>
          <w:color w:val="auto"/>
          <w:lang w:val="es-CR"/>
        </w:rPr>
        <w:t>Pablo Saavedra Al</w:t>
      </w:r>
      <w:r>
        <w:rPr>
          <w:color w:val="auto"/>
          <w:lang w:val="es-CR"/>
        </w:rPr>
        <w:t>essandri</w:t>
      </w:r>
    </w:p>
    <w:p w14:paraId="2D58325F" w14:textId="6881DDAF" w:rsidR="009A79AC" w:rsidRPr="009A79AC" w:rsidRDefault="009A79AC" w:rsidP="009A79AC">
      <w:pPr>
        <w:pStyle w:val="Textoindependiente"/>
        <w:ind w:right="3592"/>
        <w:rPr>
          <w:color w:val="auto"/>
          <w:lang w:val="es-CR"/>
        </w:rPr>
      </w:pPr>
      <w:r>
        <w:rPr>
          <w:color w:val="auto"/>
          <w:lang w:val="es-CR"/>
        </w:rPr>
        <w:t xml:space="preserve">          </w:t>
      </w:r>
      <w:r w:rsidRPr="009A79AC">
        <w:rPr>
          <w:color w:val="auto"/>
          <w:lang w:val="es-CR"/>
        </w:rPr>
        <w:t>Secretari</w:t>
      </w:r>
      <w:r>
        <w:rPr>
          <w:color w:val="auto"/>
          <w:lang w:val="es-CR"/>
        </w:rPr>
        <w:t>o</w:t>
      </w:r>
    </w:p>
    <w:p w14:paraId="7D38E5B0" w14:textId="77777777" w:rsidR="00FC7118" w:rsidRDefault="00FC7118" w:rsidP="00FC7118"/>
    <w:p w14:paraId="227A0B09" w14:textId="5CA7B4F6" w:rsidR="004E3943" w:rsidRDefault="004E3943" w:rsidP="008716BD"/>
    <w:sectPr w:rsidR="004E3943" w:rsidSect="00D034A8">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79FC5" w14:textId="77777777" w:rsidR="00DA7059" w:rsidRDefault="00DA7059" w:rsidP="00AE74FC">
      <w:r>
        <w:separator/>
      </w:r>
    </w:p>
  </w:endnote>
  <w:endnote w:type="continuationSeparator" w:id="0">
    <w:p w14:paraId="3E0B3070" w14:textId="77777777" w:rsidR="00DA7059" w:rsidRDefault="00DA7059" w:rsidP="00AE7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Palatino-Italic">
    <w:altName w:val="Times New Roman"/>
    <w:charset w:val="4D"/>
    <w:family w:val="auto"/>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1922176"/>
      <w:docPartObj>
        <w:docPartGallery w:val="Page Numbers (Bottom of Page)"/>
        <w:docPartUnique/>
      </w:docPartObj>
    </w:sdtPr>
    <w:sdtContent>
      <w:p w14:paraId="42742F0F" w14:textId="59878D3F" w:rsidR="00243872" w:rsidRDefault="00243872">
        <w:pPr>
          <w:pStyle w:val="Piedepgina"/>
          <w:jc w:val="center"/>
        </w:pPr>
        <w:r>
          <w:fldChar w:fldCharType="begin"/>
        </w:r>
        <w:r>
          <w:instrText>PAGE   \* MERGEFORMAT</w:instrText>
        </w:r>
        <w:r>
          <w:fldChar w:fldCharType="separate"/>
        </w:r>
        <w:r w:rsidR="00154FAB">
          <w:rPr>
            <w:noProof/>
          </w:rPr>
          <w:t>10</w:t>
        </w:r>
        <w:r>
          <w:fldChar w:fldCharType="end"/>
        </w:r>
      </w:p>
    </w:sdtContent>
  </w:sdt>
  <w:p w14:paraId="7E3E2F82" w14:textId="77777777" w:rsidR="00243872" w:rsidRDefault="002438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EBCFF" w14:textId="77777777" w:rsidR="00DA7059" w:rsidRDefault="00DA7059" w:rsidP="00AE74FC">
      <w:r>
        <w:separator/>
      </w:r>
    </w:p>
  </w:footnote>
  <w:footnote w:type="continuationSeparator" w:id="0">
    <w:p w14:paraId="78202DEF" w14:textId="77777777" w:rsidR="00DA7059" w:rsidRDefault="00DA7059" w:rsidP="00AE74FC">
      <w:r>
        <w:continuationSeparator/>
      </w:r>
    </w:p>
  </w:footnote>
  <w:footnote w:id="1">
    <w:p w14:paraId="1CFA9BFC" w14:textId="7B63DC1C" w:rsidR="0034292B" w:rsidRPr="00931740" w:rsidRDefault="0034292B" w:rsidP="0034292B">
      <w:pPr>
        <w:pStyle w:val="Textonotapie"/>
        <w:rPr>
          <w:szCs w:val="16"/>
          <w:lang w:val="es-ES"/>
        </w:rPr>
      </w:pPr>
      <w:r w:rsidRPr="00931740">
        <w:rPr>
          <w:rStyle w:val="Refdenotaalpie"/>
          <w:szCs w:val="16"/>
          <w:lang w:val="es-ES"/>
        </w:rPr>
        <w:t>*</w:t>
      </w:r>
      <w:r w:rsidRPr="00931740">
        <w:rPr>
          <w:szCs w:val="16"/>
          <w:lang w:val="es-ES"/>
        </w:rPr>
        <w:t xml:space="preserve"> </w:t>
      </w:r>
      <w:r w:rsidRPr="00931740">
        <w:rPr>
          <w:szCs w:val="16"/>
          <w:lang w:val="es-ES"/>
        </w:rPr>
        <w:tab/>
      </w:r>
      <w:r w:rsidR="00BD56AF">
        <w:rPr>
          <w:szCs w:val="16"/>
          <w:lang w:val="es-ES"/>
        </w:rPr>
        <w:t>La presente Sentencia de Interpretación se dicta en el 65° Periodo Extraordinario de Sesiones de la Corte el cual se llevó a cabo de forma no presencial utilizando los medios tecnológicos de conformidad con lo establecido en el Reglamento de la Corte. La Jueza Elizabeth Odio Benito y el Juez Eduardo Vio Grossi, por razones de fuerza mayor aceptadas por el Pleno del Tribunal, no particip</w:t>
      </w:r>
      <w:r w:rsidR="00EC4A93">
        <w:rPr>
          <w:szCs w:val="16"/>
          <w:lang w:val="es-ES"/>
        </w:rPr>
        <w:t>aron</w:t>
      </w:r>
      <w:r w:rsidR="00BD56AF">
        <w:rPr>
          <w:szCs w:val="16"/>
          <w:lang w:val="es-ES"/>
        </w:rPr>
        <w:t xml:space="preserve"> en la deliberación y firma de la presente Sentencia de Interpretación. </w:t>
      </w:r>
    </w:p>
  </w:footnote>
  <w:footnote w:id="2">
    <w:p w14:paraId="089F8BAC" w14:textId="5991ECFC" w:rsidR="005C087B" w:rsidRPr="005C087B" w:rsidRDefault="005C087B" w:rsidP="0056681B">
      <w:pPr>
        <w:pStyle w:val="Textonotapie"/>
        <w:tabs>
          <w:tab w:val="left" w:pos="567"/>
        </w:tabs>
        <w:spacing w:before="40" w:after="40"/>
      </w:pPr>
      <w:r>
        <w:rPr>
          <w:rStyle w:val="Refdenotaalpie"/>
        </w:rPr>
        <w:footnoteRef/>
      </w:r>
      <w:r>
        <w:t xml:space="preserve"> </w:t>
      </w:r>
      <w:r w:rsidR="0056681B">
        <w:tab/>
      </w:r>
      <w:r w:rsidR="0056681B" w:rsidRPr="0056681B">
        <w:rPr>
          <w:rFonts w:cs="Calibri"/>
          <w:szCs w:val="16"/>
          <w:lang w:val="es-AR" w:eastAsia="es-ES_tradnl"/>
        </w:rPr>
        <w:t>César</w:t>
      </w:r>
      <w:r w:rsidR="0056681B" w:rsidRPr="0056681B">
        <w:rPr>
          <w:lang w:val="es-CR"/>
        </w:rPr>
        <w:t xml:space="preserve"> Augusto Canil Xirum</w:t>
      </w:r>
      <w:r w:rsidR="0056681B">
        <w:rPr>
          <w:lang w:val="es-CR"/>
        </w:rPr>
        <w:t xml:space="preserve"> del </w:t>
      </w:r>
      <w:r w:rsidR="0056681B" w:rsidRPr="0056681B">
        <w:rPr>
          <w:lang w:val="es-CR"/>
        </w:rPr>
        <w:t>Centro de Acción Legal de Derechos Humanos-CALDH</w:t>
      </w:r>
      <w:r w:rsidR="009C0340">
        <w:rPr>
          <w:lang w:val="es-CR"/>
        </w:rPr>
        <w:t>.</w:t>
      </w:r>
    </w:p>
  </w:footnote>
  <w:footnote w:id="3">
    <w:p w14:paraId="799A5FCD" w14:textId="1F6026A4" w:rsidR="00243872" w:rsidRPr="008716BD" w:rsidRDefault="00243872" w:rsidP="000F6B9E">
      <w:pPr>
        <w:pStyle w:val="Textonotapie"/>
        <w:tabs>
          <w:tab w:val="left" w:pos="567"/>
        </w:tabs>
        <w:spacing w:before="40" w:after="40"/>
        <w:rPr>
          <w:szCs w:val="16"/>
          <w:lang w:val="es-CO"/>
        </w:rPr>
      </w:pPr>
      <w:r w:rsidRPr="008716BD">
        <w:rPr>
          <w:rStyle w:val="Refdenotaalpie"/>
          <w:szCs w:val="16"/>
          <w:lang w:val="es-CO"/>
        </w:rPr>
        <w:footnoteRef/>
      </w:r>
      <w:r w:rsidRPr="008716BD">
        <w:rPr>
          <w:szCs w:val="16"/>
          <w:lang w:val="es-CO"/>
        </w:rPr>
        <w:t xml:space="preserve"> </w:t>
      </w:r>
      <w:r w:rsidRPr="008716BD">
        <w:rPr>
          <w:szCs w:val="16"/>
          <w:lang w:val="es-CO"/>
        </w:rPr>
        <w:tab/>
      </w:r>
      <w:r w:rsidRPr="008716BD">
        <w:rPr>
          <w:i/>
          <w:szCs w:val="16"/>
          <w:lang w:val="es-CO"/>
        </w:rPr>
        <w:t xml:space="preserve">Cfr. </w:t>
      </w:r>
      <w:r w:rsidRPr="008716BD">
        <w:rPr>
          <w:i/>
          <w:szCs w:val="16"/>
        </w:rPr>
        <w:t xml:space="preserve">Caso Loayza Tamayo Vs. Perú. Interpretación de la Sentencia de Fondo. </w:t>
      </w:r>
      <w:r w:rsidRPr="008716BD">
        <w:rPr>
          <w:szCs w:val="16"/>
        </w:rPr>
        <w:t>Resolución de la Corte de 8 de marzo de 1998. Serie C No. 47</w:t>
      </w:r>
      <w:r w:rsidRPr="008716BD">
        <w:rPr>
          <w:szCs w:val="16"/>
          <w:lang w:val="es-CO"/>
        </w:rPr>
        <w:t>, párr. 16,</w:t>
      </w:r>
      <w:r w:rsidRPr="008716BD">
        <w:rPr>
          <w:i/>
          <w:szCs w:val="16"/>
          <w:lang w:val="es-CO"/>
        </w:rPr>
        <w:t xml:space="preserve"> </w:t>
      </w:r>
      <w:r w:rsidRPr="008716BD">
        <w:rPr>
          <w:szCs w:val="16"/>
          <w:lang w:val="es-CO"/>
        </w:rPr>
        <w:t xml:space="preserve">y </w:t>
      </w:r>
      <w:r w:rsidRPr="008716BD">
        <w:rPr>
          <w:rFonts w:eastAsia="Times New Roman" w:cs="Arial"/>
          <w:i/>
          <w:shd w:val="clear" w:color="auto" w:fill="FFFFFF"/>
          <w:lang w:val="es-CR" w:eastAsia="es-CR"/>
        </w:rPr>
        <w:t xml:space="preserve">Caso </w:t>
      </w:r>
      <w:r w:rsidR="00242F0A">
        <w:rPr>
          <w:rFonts w:eastAsia="Times New Roman" w:cs="Arial"/>
          <w:i/>
          <w:shd w:val="clear" w:color="auto" w:fill="FFFFFF"/>
          <w:lang w:val="es-CR" w:eastAsia="es-CR"/>
        </w:rPr>
        <w:t>Casa Nina Vs. Perú</w:t>
      </w:r>
      <w:r w:rsidR="00242F0A" w:rsidRPr="00242F0A">
        <w:rPr>
          <w:rFonts w:eastAsia="Times New Roman" w:cs="Arial"/>
          <w:i/>
          <w:shd w:val="clear" w:color="auto" w:fill="FFFFFF"/>
          <w:lang w:val="es-CR" w:eastAsia="es-CR"/>
        </w:rPr>
        <w:t xml:space="preserve"> </w:t>
      </w:r>
      <w:r w:rsidR="00242F0A" w:rsidRPr="008716BD">
        <w:rPr>
          <w:rFonts w:eastAsia="Times New Roman" w:cs="Arial"/>
          <w:i/>
          <w:shd w:val="clear" w:color="auto" w:fill="FFFFFF"/>
          <w:lang w:val="es-CR" w:eastAsia="es-CR"/>
        </w:rPr>
        <w:t xml:space="preserve">Interpretación de la Sentencia de Excepciones </w:t>
      </w:r>
      <w:r w:rsidR="00242F0A">
        <w:rPr>
          <w:rFonts w:eastAsia="Times New Roman" w:cs="Arial"/>
          <w:i/>
          <w:shd w:val="clear" w:color="auto" w:fill="FFFFFF"/>
          <w:lang w:val="es-CR" w:eastAsia="es-CR"/>
        </w:rPr>
        <w:t>P</w:t>
      </w:r>
      <w:r w:rsidR="00242F0A" w:rsidRPr="008716BD">
        <w:rPr>
          <w:rFonts w:eastAsia="Times New Roman" w:cs="Arial"/>
          <w:i/>
          <w:shd w:val="clear" w:color="auto" w:fill="FFFFFF"/>
          <w:lang w:val="es-CR" w:eastAsia="es-CR"/>
        </w:rPr>
        <w:t>reliminares, Fondo</w:t>
      </w:r>
      <w:r w:rsidR="00242F0A">
        <w:rPr>
          <w:rFonts w:eastAsia="Times New Roman" w:cs="Arial"/>
          <w:i/>
          <w:shd w:val="clear" w:color="auto" w:fill="FFFFFF"/>
          <w:lang w:val="es-CR" w:eastAsia="es-CR"/>
        </w:rPr>
        <w:t xml:space="preserve">, </w:t>
      </w:r>
      <w:r w:rsidR="00242F0A" w:rsidRPr="008716BD">
        <w:rPr>
          <w:rFonts w:eastAsia="Times New Roman" w:cs="Arial"/>
          <w:i/>
          <w:shd w:val="clear" w:color="auto" w:fill="FFFFFF"/>
          <w:lang w:val="es-CR" w:eastAsia="es-CR"/>
        </w:rPr>
        <w:t>Reparaciones</w:t>
      </w:r>
      <w:r w:rsidR="00242F0A">
        <w:rPr>
          <w:rFonts w:eastAsia="Times New Roman" w:cs="Arial"/>
          <w:i/>
          <w:shd w:val="clear" w:color="auto" w:fill="FFFFFF"/>
          <w:lang w:val="es-CR" w:eastAsia="es-CR"/>
        </w:rPr>
        <w:t xml:space="preserve"> y Costas</w:t>
      </w:r>
      <w:r w:rsidRPr="008716BD">
        <w:rPr>
          <w:rFonts w:eastAsia="Times New Roman" w:cs="Arial"/>
          <w:i/>
          <w:shd w:val="clear" w:color="auto" w:fill="FFFFFF"/>
          <w:lang w:val="es-CR" w:eastAsia="es-CR"/>
        </w:rPr>
        <w:t>.</w:t>
      </w:r>
      <w:r w:rsidRPr="008716BD">
        <w:rPr>
          <w:rFonts w:eastAsia="Times New Roman" w:cs="Arial"/>
          <w:shd w:val="clear" w:color="auto" w:fill="FFFFFF"/>
          <w:lang w:val="es-CR" w:eastAsia="es-CR"/>
        </w:rPr>
        <w:t xml:space="preserve"> Sentencia de </w:t>
      </w:r>
      <w:r w:rsidR="00A231D2">
        <w:rPr>
          <w:rFonts w:eastAsia="Times New Roman" w:cs="Arial"/>
          <w:shd w:val="clear" w:color="auto" w:fill="FFFFFF"/>
          <w:lang w:val="es-CR" w:eastAsia="es-CR"/>
        </w:rPr>
        <w:t>1 de septiembre</w:t>
      </w:r>
      <w:r w:rsidRPr="008716BD">
        <w:rPr>
          <w:rFonts w:eastAsia="Times New Roman" w:cs="Arial"/>
          <w:shd w:val="clear" w:color="auto" w:fill="FFFFFF"/>
          <w:lang w:val="es-CR" w:eastAsia="es-CR"/>
        </w:rPr>
        <w:t xml:space="preserve"> de 2021. Serie C No. </w:t>
      </w:r>
      <w:r w:rsidR="00A231D2">
        <w:rPr>
          <w:rFonts w:eastAsia="Times New Roman" w:cs="Arial"/>
          <w:shd w:val="clear" w:color="auto" w:fill="FFFFFF"/>
          <w:lang w:val="es-CR" w:eastAsia="es-CR"/>
        </w:rPr>
        <w:t>433</w:t>
      </w:r>
      <w:r w:rsidRPr="008716BD">
        <w:rPr>
          <w:rFonts w:eastAsia="Times New Roman" w:cs="Arial"/>
          <w:shd w:val="clear" w:color="auto" w:fill="FFFFFF"/>
          <w:lang w:val="es-CR" w:eastAsia="es-CR"/>
        </w:rPr>
        <w:t>, párr. 1</w:t>
      </w:r>
      <w:r w:rsidR="00A231D2">
        <w:rPr>
          <w:rFonts w:eastAsia="Times New Roman" w:cs="Arial"/>
          <w:shd w:val="clear" w:color="auto" w:fill="FFFFFF"/>
          <w:lang w:val="es-CR" w:eastAsia="es-CR"/>
        </w:rPr>
        <w:t>0</w:t>
      </w:r>
      <w:r w:rsidRPr="008716BD">
        <w:rPr>
          <w:rFonts w:eastAsia="Times New Roman" w:cs="Arial"/>
          <w:shd w:val="clear" w:color="auto" w:fill="FFFFFF"/>
          <w:lang w:val="es-CR" w:eastAsia="es-CR"/>
        </w:rPr>
        <w:t>.</w:t>
      </w:r>
      <w:r w:rsidRPr="008716BD">
        <w:rPr>
          <w:szCs w:val="16"/>
          <w:lang w:val="es-CO"/>
        </w:rPr>
        <w:t xml:space="preserve"> </w:t>
      </w:r>
    </w:p>
  </w:footnote>
  <w:footnote w:id="4">
    <w:p w14:paraId="31691FFD" w14:textId="514FE137" w:rsidR="00243872" w:rsidRPr="008716BD" w:rsidRDefault="00243872" w:rsidP="000F6B9E">
      <w:pPr>
        <w:pStyle w:val="Textonotapie"/>
        <w:tabs>
          <w:tab w:val="left" w:pos="567"/>
        </w:tabs>
        <w:spacing w:before="40" w:after="40"/>
        <w:rPr>
          <w:szCs w:val="16"/>
          <w:lang w:val="es-CR"/>
        </w:rPr>
      </w:pPr>
      <w:r w:rsidRPr="008716BD">
        <w:rPr>
          <w:rStyle w:val="Refdenotaalpie"/>
          <w:szCs w:val="16"/>
        </w:rPr>
        <w:footnoteRef/>
      </w:r>
      <w:r w:rsidRPr="008716BD">
        <w:rPr>
          <w:szCs w:val="16"/>
        </w:rPr>
        <w:t xml:space="preserve"> </w:t>
      </w:r>
      <w:r w:rsidRPr="008716BD">
        <w:rPr>
          <w:szCs w:val="16"/>
          <w:lang w:val="es-CR"/>
        </w:rPr>
        <w:tab/>
      </w:r>
      <w:r w:rsidRPr="008716BD">
        <w:rPr>
          <w:i/>
          <w:szCs w:val="16"/>
        </w:rPr>
        <w:t xml:space="preserve">Cfr. </w:t>
      </w:r>
      <w:r w:rsidRPr="008716BD">
        <w:rPr>
          <w:rFonts w:cs="Arial"/>
          <w:i/>
          <w:szCs w:val="16"/>
          <w:shd w:val="clear" w:color="auto" w:fill="FFFFFF"/>
        </w:rPr>
        <w:t>Caso Loayza Tamayo Vs. Perú. Interpretación de la Sentencia de Reparaciones y Costas</w:t>
      </w:r>
      <w:r w:rsidR="00E91104">
        <w:rPr>
          <w:rFonts w:cs="Arial"/>
          <w:i/>
          <w:szCs w:val="16"/>
          <w:shd w:val="clear" w:color="auto" w:fill="FFFFFF"/>
        </w:rPr>
        <w:t>, supra</w:t>
      </w:r>
      <w:r w:rsidRPr="008716BD">
        <w:rPr>
          <w:rFonts w:cs="Arial"/>
          <w:szCs w:val="16"/>
          <w:shd w:val="clear" w:color="auto" w:fill="FFFFFF"/>
        </w:rPr>
        <w:t xml:space="preserve">, </w:t>
      </w:r>
      <w:r w:rsidRPr="008716BD">
        <w:rPr>
          <w:szCs w:val="16"/>
        </w:rPr>
        <w:t xml:space="preserve">párr. 15, </w:t>
      </w:r>
      <w:r w:rsidRPr="008716BD">
        <w:rPr>
          <w:szCs w:val="16"/>
          <w:lang w:val="es-CO"/>
        </w:rPr>
        <w:t>y</w:t>
      </w:r>
      <w:r w:rsidRPr="008716BD">
        <w:rPr>
          <w:i/>
          <w:szCs w:val="16"/>
          <w:lang w:val="es-CO"/>
        </w:rPr>
        <w:t xml:space="preserve"> </w:t>
      </w:r>
      <w:r w:rsidRPr="008716BD">
        <w:rPr>
          <w:rFonts w:eastAsia="Times New Roman" w:cs="Arial"/>
          <w:i/>
          <w:shd w:val="clear" w:color="auto" w:fill="FFFFFF"/>
          <w:lang w:val="es-CR" w:eastAsia="es-CR"/>
        </w:rPr>
        <w:t xml:space="preserve">Caso </w:t>
      </w:r>
      <w:r w:rsidR="00A231D2">
        <w:rPr>
          <w:rFonts w:eastAsia="Times New Roman" w:cs="Arial"/>
          <w:i/>
          <w:shd w:val="clear" w:color="auto" w:fill="FFFFFF"/>
          <w:lang w:val="es-CR" w:eastAsia="es-CR"/>
        </w:rPr>
        <w:t>Casa Nina Vs. Perú</w:t>
      </w:r>
      <w:r w:rsidR="00A231D2" w:rsidRPr="00242F0A">
        <w:rPr>
          <w:rFonts w:eastAsia="Times New Roman" w:cs="Arial"/>
          <w:i/>
          <w:shd w:val="clear" w:color="auto" w:fill="FFFFFF"/>
          <w:lang w:val="es-CR" w:eastAsia="es-CR"/>
        </w:rPr>
        <w:t xml:space="preserve"> </w:t>
      </w:r>
      <w:r w:rsidR="00A231D2" w:rsidRPr="008716BD">
        <w:rPr>
          <w:rFonts w:eastAsia="Times New Roman" w:cs="Arial"/>
          <w:i/>
          <w:shd w:val="clear" w:color="auto" w:fill="FFFFFF"/>
          <w:lang w:val="es-CR" w:eastAsia="es-CR"/>
        </w:rPr>
        <w:t xml:space="preserve">Interpretación de la Sentencia de Excepciones </w:t>
      </w:r>
      <w:r w:rsidR="00A231D2">
        <w:rPr>
          <w:rFonts w:eastAsia="Times New Roman" w:cs="Arial"/>
          <w:i/>
          <w:shd w:val="clear" w:color="auto" w:fill="FFFFFF"/>
          <w:lang w:val="es-CR" w:eastAsia="es-CR"/>
        </w:rPr>
        <w:t>P</w:t>
      </w:r>
      <w:r w:rsidR="00A231D2" w:rsidRPr="008716BD">
        <w:rPr>
          <w:rFonts w:eastAsia="Times New Roman" w:cs="Arial"/>
          <w:i/>
          <w:shd w:val="clear" w:color="auto" w:fill="FFFFFF"/>
          <w:lang w:val="es-CR" w:eastAsia="es-CR"/>
        </w:rPr>
        <w:t>reliminares, Fondo</w:t>
      </w:r>
      <w:r w:rsidR="00A231D2">
        <w:rPr>
          <w:rFonts w:eastAsia="Times New Roman" w:cs="Arial"/>
          <w:i/>
          <w:shd w:val="clear" w:color="auto" w:fill="FFFFFF"/>
          <w:lang w:val="es-CR" w:eastAsia="es-CR"/>
        </w:rPr>
        <w:t xml:space="preserve">, </w:t>
      </w:r>
      <w:r w:rsidR="00A231D2" w:rsidRPr="008716BD">
        <w:rPr>
          <w:rFonts w:eastAsia="Times New Roman" w:cs="Arial"/>
          <w:i/>
          <w:shd w:val="clear" w:color="auto" w:fill="FFFFFF"/>
          <w:lang w:val="es-CR" w:eastAsia="es-CR"/>
        </w:rPr>
        <w:t>Reparaciones</w:t>
      </w:r>
      <w:r w:rsidR="00A231D2">
        <w:rPr>
          <w:rFonts w:eastAsia="Times New Roman" w:cs="Arial"/>
          <w:i/>
          <w:shd w:val="clear" w:color="auto" w:fill="FFFFFF"/>
          <w:lang w:val="es-CR" w:eastAsia="es-CR"/>
        </w:rPr>
        <w:t xml:space="preserve"> y Costas</w:t>
      </w:r>
      <w:r w:rsidRPr="008716BD">
        <w:rPr>
          <w:rFonts w:eastAsia="Times New Roman" w:cs="Arial"/>
          <w:shd w:val="clear" w:color="auto" w:fill="FFFFFF"/>
          <w:lang w:val="es-CR" w:eastAsia="es-CR"/>
        </w:rPr>
        <w:t>,</w:t>
      </w:r>
      <w:r w:rsidRPr="008716BD">
        <w:rPr>
          <w:rFonts w:eastAsia="Times New Roman" w:cs="Arial"/>
          <w:i/>
          <w:shd w:val="clear" w:color="auto" w:fill="FFFFFF"/>
          <w:lang w:val="es-CR" w:eastAsia="es-CR"/>
        </w:rPr>
        <w:t xml:space="preserve"> supra</w:t>
      </w:r>
      <w:r w:rsidRPr="008716BD">
        <w:rPr>
          <w:rFonts w:eastAsia="Times New Roman" w:cs="Arial"/>
          <w:shd w:val="clear" w:color="auto" w:fill="FFFFFF"/>
          <w:lang w:val="es-CR" w:eastAsia="es-CR"/>
        </w:rPr>
        <w:t xml:space="preserve">, párr. </w:t>
      </w:r>
      <w:r w:rsidR="00A231D2">
        <w:rPr>
          <w:rFonts w:eastAsia="Times New Roman" w:cs="Arial"/>
          <w:shd w:val="clear" w:color="auto" w:fill="FFFFFF"/>
          <w:lang w:val="es-CR" w:eastAsia="es-CR"/>
        </w:rPr>
        <w:t>11</w:t>
      </w:r>
      <w:r w:rsidRPr="008716BD">
        <w:rPr>
          <w:rFonts w:eastAsia="Times New Roman" w:cs="Arial"/>
          <w:shd w:val="clear" w:color="auto" w:fill="FFFFFF"/>
          <w:lang w:val="es-CR" w:eastAsia="es-CR"/>
        </w:rPr>
        <w:t>.</w:t>
      </w:r>
    </w:p>
  </w:footnote>
  <w:footnote w:id="5">
    <w:p w14:paraId="61EB1C83" w14:textId="30B53B75" w:rsidR="00243872" w:rsidRPr="008716BD" w:rsidRDefault="00243872" w:rsidP="000F6B9E">
      <w:pPr>
        <w:pStyle w:val="Textonotapie"/>
        <w:tabs>
          <w:tab w:val="left" w:pos="567"/>
        </w:tabs>
        <w:spacing w:before="40" w:after="40"/>
        <w:rPr>
          <w:szCs w:val="16"/>
          <w:lang w:val="es-CO"/>
        </w:rPr>
      </w:pPr>
      <w:r w:rsidRPr="008716BD">
        <w:rPr>
          <w:rStyle w:val="Refdenotaalpie"/>
          <w:szCs w:val="16"/>
        </w:rPr>
        <w:footnoteRef/>
      </w:r>
      <w:r w:rsidRPr="008716BD">
        <w:rPr>
          <w:szCs w:val="16"/>
        </w:rPr>
        <w:t xml:space="preserve"> </w:t>
      </w:r>
      <w:r w:rsidRPr="008716BD">
        <w:rPr>
          <w:szCs w:val="16"/>
          <w:lang w:val="es-CR"/>
        </w:rPr>
        <w:tab/>
      </w:r>
      <w:r w:rsidRPr="008716BD">
        <w:rPr>
          <w:i/>
          <w:szCs w:val="16"/>
        </w:rPr>
        <w:t xml:space="preserve">Cfr. Caso Salvador Chiriboga Vs. Ecuador. Interpretación de la Sentencia de Reparaciones y Costas. </w:t>
      </w:r>
      <w:r w:rsidRPr="008716BD">
        <w:rPr>
          <w:szCs w:val="16"/>
        </w:rPr>
        <w:t xml:space="preserve">Sentencia de 29 de agosto de 2011. Serie C No. 230, párr. 30, </w:t>
      </w:r>
      <w:r w:rsidRPr="008716BD">
        <w:rPr>
          <w:szCs w:val="16"/>
          <w:lang w:val="es-CO"/>
        </w:rPr>
        <w:t xml:space="preserve">y </w:t>
      </w:r>
      <w:r w:rsidR="00A231D2" w:rsidRPr="00A231D2">
        <w:rPr>
          <w:i/>
          <w:iCs/>
          <w:szCs w:val="16"/>
          <w:lang w:val="es-CO"/>
        </w:rPr>
        <w:t>Caso</w:t>
      </w:r>
      <w:r w:rsidR="00A231D2">
        <w:rPr>
          <w:szCs w:val="16"/>
          <w:lang w:val="es-CO"/>
        </w:rPr>
        <w:t xml:space="preserve"> </w:t>
      </w:r>
      <w:r w:rsidR="00A231D2">
        <w:rPr>
          <w:rFonts w:eastAsia="Times New Roman" w:cs="Arial"/>
          <w:i/>
          <w:shd w:val="clear" w:color="auto" w:fill="FFFFFF"/>
          <w:lang w:val="es-CR" w:eastAsia="es-CR"/>
        </w:rPr>
        <w:t>Casa Nina Vs. Perú</w:t>
      </w:r>
      <w:r w:rsidR="00A231D2" w:rsidRPr="00242F0A">
        <w:rPr>
          <w:rFonts w:eastAsia="Times New Roman" w:cs="Arial"/>
          <w:i/>
          <w:shd w:val="clear" w:color="auto" w:fill="FFFFFF"/>
          <w:lang w:val="es-CR" w:eastAsia="es-CR"/>
        </w:rPr>
        <w:t xml:space="preserve"> </w:t>
      </w:r>
      <w:r w:rsidR="00A231D2" w:rsidRPr="008716BD">
        <w:rPr>
          <w:rFonts w:eastAsia="Times New Roman" w:cs="Arial"/>
          <w:i/>
          <w:shd w:val="clear" w:color="auto" w:fill="FFFFFF"/>
          <w:lang w:val="es-CR" w:eastAsia="es-CR"/>
        </w:rPr>
        <w:t xml:space="preserve">Interpretación de la Sentencia de Excepciones </w:t>
      </w:r>
      <w:r w:rsidR="00A231D2">
        <w:rPr>
          <w:rFonts w:eastAsia="Times New Roman" w:cs="Arial"/>
          <w:i/>
          <w:shd w:val="clear" w:color="auto" w:fill="FFFFFF"/>
          <w:lang w:val="es-CR" w:eastAsia="es-CR"/>
        </w:rPr>
        <w:t>P</w:t>
      </w:r>
      <w:r w:rsidR="00A231D2" w:rsidRPr="008716BD">
        <w:rPr>
          <w:rFonts w:eastAsia="Times New Roman" w:cs="Arial"/>
          <w:i/>
          <w:shd w:val="clear" w:color="auto" w:fill="FFFFFF"/>
          <w:lang w:val="es-CR" w:eastAsia="es-CR"/>
        </w:rPr>
        <w:t>reliminares, Fondo</w:t>
      </w:r>
      <w:r w:rsidR="00A231D2">
        <w:rPr>
          <w:rFonts w:eastAsia="Times New Roman" w:cs="Arial"/>
          <w:i/>
          <w:shd w:val="clear" w:color="auto" w:fill="FFFFFF"/>
          <w:lang w:val="es-CR" w:eastAsia="es-CR"/>
        </w:rPr>
        <w:t xml:space="preserve">, </w:t>
      </w:r>
      <w:r w:rsidR="00A231D2" w:rsidRPr="008716BD">
        <w:rPr>
          <w:rFonts w:eastAsia="Times New Roman" w:cs="Arial"/>
          <w:i/>
          <w:shd w:val="clear" w:color="auto" w:fill="FFFFFF"/>
          <w:lang w:val="es-CR" w:eastAsia="es-CR"/>
        </w:rPr>
        <w:t>Reparaciones</w:t>
      </w:r>
      <w:r w:rsidR="00A231D2">
        <w:rPr>
          <w:rFonts w:eastAsia="Times New Roman" w:cs="Arial"/>
          <w:i/>
          <w:shd w:val="clear" w:color="auto" w:fill="FFFFFF"/>
          <w:lang w:val="es-CR" w:eastAsia="es-CR"/>
        </w:rPr>
        <w:t xml:space="preserve"> y Costas</w:t>
      </w:r>
      <w:r w:rsidRPr="008716BD">
        <w:rPr>
          <w:rFonts w:eastAsia="Times New Roman" w:cs="Arial"/>
          <w:shd w:val="clear" w:color="auto" w:fill="FFFFFF"/>
          <w:lang w:val="es-CR" w:eastAsia="es-CR"/>
        </w:rPr>
        <w:t>,</w:t>
      </w:r>
      <w:r w:rsidRPr="008716BD">
        <w:rPr>
          <w:rFonts w:eastAsia="Times New Roman" w:cs="Arial"/>
          <w:i/>
          <w:shd w:val="clear" w:color="auto" w:fill="FFFFFF"/>
          <w:lang w:val="es-CR" w:eastAsia="es-CR"/>
        </w:rPr>
        <w:t xml:space="preserve"> supra</w:t>
      </w:r>
      <w:r w:rsidRPr="008716BD">
        <w:rPr>
          <w:rFonts w:eastAsia="Times New Roman" w:cs="Arial"/>
          <w:shd w:val="clear" w:color="auto" w:fill="FFFFFF"/>
          <w:lang w:val="es-CR" w:eastAsia="es-CR"/>
        </w:rPr>
        <w:t xml:space="preserve">, párr. </w:t>
      </w:r>
      <w:r w:rsidR="00A231D2">
        <w:rPr>
          <w:rFonts w:eastAsia="Times New Roman" w:cs="Arial"/>
          <w:shd w:val="clear" w:color="auto" w:fill="FFFFFF"/>
          <w:lang w:val="es-CR" w:eastAsia="es-CR"/>
        </w:rPr>
        <w:t>11</w:t>
      </w:r>
      <w:r w:rsidRPr="008716BD">
        <w:rPr>
          <w:rFonts w:eastAsia="Times New Roman" w:cs="Arial"/>
          <w:shd w:val="clear" w:color="auto" w:fill="FFFFFF"/>
          <w:lang w:val="es-CR" w:eastAsia="es-CR"/>
        </w:rPr>
        <w:t>.</w:t>
      </w:r>
    </w:p>
  </w:footnote>
  <w:footnote w:id="6">
    <w:p w14:paraId="138DAEE8" w14:textId="562072B3" w:rsidR="00243872" w:rsidRPr="008716BD" w:rsidRDefault="00243872" w:rsidP="000F6B9E">
      <w:pPr>
        <w:pStyle w:val="Textonotapie"/>
        <w:tabs>
          <w:tab w:val="left" w:pos="567"/>
        </w:tabs>
        <w:spacing w:before="40" w:after="40"/>
        <w:rPr>
          <w:rFonts w:cs="Arial"/>
          <w:szCs w:val="16"/>
          <w:shd w:val="clear" w:color="auto" w:fill="FFFFFF"/>
          <w:lang w:val="es-CR"/>
        </w:rPr>
      </w:pPr>
      <w:r w:rsidRPr="008716BD">
        <w:rPr>
          <w:rStyle w:val="Refdenotaalpie"/>
          <w:szCs w:val="16"/>
        </w:rPr>
        <w:footnoteRef/>
      </w:r>
      <w:r w:rsidRPr="008716BD">
        <w:rPr>
          <w:szCs w:val="16"/>
        </w:rPr>
        <w:t xml:space="preserve"> </w:t>
      </w:r>
      <w:r w:rsidRPr="008716BD">
        <w:rPr>
          <w:szCs w:val="16"/>
          <w:lang w:val="es-CR"/>
        </w:rPr>
        <w:tab/>
      </w:r>
      <w:r w:rsidRPr="008716BD">
        <w:rPr>
          <w:i/>
          <w:szCs w:val="16"/>
        </w:rPr>
        <w:t>Cfr. Caso Escher y otros Vs. Brasil. Interpretación de la Sentencia de Excepciones Preliminares, Fondo, Reparaciones y Costas</w:t>
      </w:r>
      <w:r w:rsidRPr="008716BD">
        <w:rPr>
          <w:szCs w:val="16"/>
        </w:rPr>
        <w:t>. Sentencia de 20 de noviembre de 2009. Serie C No. 208, párr. 11,</w:t>
      </w:r>
      <w:r w:rsidRPr="008716BD">
        <w:rPr>
          <w:i/>
          <w:szCs w:val="16"/>
        </w:rPr>
        <w:t xml:space="preserve"> </w:t>
      </w:r>
      <w:r w:rsidRPr="008716BD">
        <w:rPr>
          <w:szCs w:val="16"/>
        </w:rPr>
        <w:t xml:space="preserve">y </w:t>
      </w:r>
      <w:r w:rsidRPr="008716BD">
        <w:rPr>
          <w:rFonts w:eastAsia="Times New Roman" w:cs="Arial"/>
          <w:i/>
          <w:shd w:val="clear" w:color="auto" w:fill="FFFFFF"/>
          <w:lang w:val="es-CR" w:eastAsia="es-CR"/>
        </w:rPr>
        <w:t xml:space="preserve">Caso </w:t>
      </w:r>
      <w:r w:rsidR="00A231D2">
        <w:rPr>
          <w:rFonts w:eastAsia="Times New Roman" w:cs="Arial"/>
          <w:i/>
          <w:shd w:val="clear" w:color="auto" w:fill="FFFFFF"/>
          <w:lang w:val="es-CR" w:eastAsia="es-CR"/>
        </w:rPr>
        <w:t>Casa Nina Vs. Perú</w:t>
      </w:r>
      <w:r w:rsidR="00A231D2" w:rsidRPr="00242F0A">
        <w:rPr>
          <w:rFonts w:eastAsia="Times New Roman" w:cs="Arial"/>
          <w:i/>
          <w:shd w:val="clear" w:color="auto" w:fill="FFFFFF"/>
          <w:lang w:val="es-CR" w:eastAsia="es-CR"/>
        </w:rPr>
        <w:t xml:space="preserve"> </w:t>
      </w:r>
      <w:r w:rsidR="00A231D2" w:rsidRPr="008716BD">
        <w:rPr>
          <w:rFonts w:eastAsia="Times New Roman" w:cs="Arial"/>
          <w:i/>
          <w:shd w:val="clear" w:color="auto" w:fill="FFFFFF"/>
          <w:lang w:val="es-CR" w:eastAsia="es-CR"/>
        </w:rPr>
        <w:t xml:space="preserve">Interpretación de la Sentencia de Excepciones </w:t>
      </w:r>
      <w:r w:rsidR="00A231D2">
        <w:rPr>
          <w:rFonts w:eastAsia="Times New Roman" w:cs="Arial"/>
          <w:i/>
          <w:shd w:val="clear" w:color="auto" w:fill="FFFFFF"/>
          <w:lang w:val="es-CR" w:eastAsia="es-CR"/>
        </w:rPr>
        <w:t>P</w:t>
      </w:r>
      <w:r w:rsidR="00A231D2" w:rsidRPr="008716BD">
        <w:rPr>
          <w:rFonts w:eastAsia="Times New Roman" w:cs="Arial"/>
          <w:i/>
          <w:shd w:val="clear" w:color="auto" w:fill="FFFFFF"/>
          <w:lang w:val="es-CR" w:eastAsia="es-CR"/>
        </w:rPr>
        <w:t>reliminares, Fondo</w:t>
      </w:r>
      <w:r w:rsidR="00A231D2">
        <w:rPr>
          <w:rFonts w:eastAsia="Times New Roman" w:cs="Arial"/>
          <w:i/>
          <w:shd w:val="clear" w:color="auto" w:fill="FFFFFF"/>
          <w:lang w:val="es-CR" w:eastAsia="es-CR"/>
        </w:rPr>
        <w:t xml:space="preserve">, </w:t>
      </w:r>
      <w:r w:rsidR="00A231D2" w:rsidRPr="008716BD">
        <w:rPr>
          <w:rFonts w:eastAsia="Times New Roman" w:cs="Arial"/>
          <w:i/>
          <w:shd w:val="clear" w:color="auto" w:fill="FFFFFF"/>
          <w:lang w:val="es-CR" w:eastAsia="es-CR"/>
        </w:rPr>
        <w:t>Reparaciones</w:t>
      </w:r>
      <w:r w:rsidR="00A231D2">
        <w:rPr>
          <w:rFonts w:eastAsia="Times New Roman" w:cs="Arial"/>
          <w:i/>
          <w:shd w:val="clear" w:color="auto" w:fill="FFFFFF"/>
          <w:lang w:val="es-CR" w:eastAsia="es-CR"/>
        </w:rPr>
        <w:t xml:space="preserve"> y Costas</w:t>
      </w:r>
      <w:r w:rsidRPr="008716BD">
        <w:rPr>
          <w:rFonts w:eastAsia="Times New Roman" w:cs="Arial"/>
          <w:shd w:val="clear" w:color="auto" w:fill="FFFFFF"/>
          <w:lang w:val="es-CR" w:eastAsia="es-CR"/>
        </w:rPr>
        <w:t>,</w:t>
      </w:r>
      <w:r w:rsidRPr="008716BD">
        <w:rPr>
          <w:rFonts w:eastAsia="Times New Roman" w:cs="Arial"/>
          <w:i/>
          <w:shd w:val="clear" w:color="auto" w:fill="FFFFFF"/>
          <w:lang w:val="es-CR" w:eastAsia="es-CR"/>
        </w:rPr>
        <w:t xml:space="preserve"> supra</w:t>
      </w:r>
      <w:r w:rsidRPr="008716BD">
        <w:rPr>
          <w:rFonts w:eastAsia="Times New Roman" w:cs="Arial"/>
          <w:shd w:val="clear" w:color="auto" w:fill="FFFFFF"/>
          <w:lang w:val="es-CR" w:eastAsia="es-CR"/>
        </w:rPr>
        <w:t xml:space="preserve">, párr. </w:t>
      </w:r>
      <w:r w:rsidR="00A231D2">
        <w:rPr>
          <w:rFonts w:eastAsia="Times New Roman" w:cs="Arial"/>
          <w:shd w:val="clear" w:color="auto" w:fill="FFFFFF"/>
          <w:lang w:val="es-CR" w:eastAsia="es-CR"/>
        </w:rPr>
        <w:t>11</w:t>
      </w:r>
      <w:r w:rsidRPr="008716BD">
        <w:rPr>
          <w:rFonts w:eastAsia="Times New Roman" w:cs="Arial"/>
          <w:shd w:val="clear" w:color="auto" w:fill="FFFFFF"/>
          <w:lang w:val="es-CR" w:eastAsia="es-CR"/>
        </w:rPr>
        <w:t>.</w:t>
      </w:r>
    </w:p>
  </w:footnote>
  <w:footnote w:id="7">
    <w:p w14:paraId="08D4ACB7" w14:textId="037E60EF" w:rsidR="00EE021A" w:rsidRPr="00EE021A" w:rsidRDefault="00EE021A">
      <w:pPr>
        <w:pStyle w:val="Textonotapie"/>
        <w:rPr>
          <w:lang w:val="es-ES"/>
        </w:rPr>
      </w:pPr>
      <w:r>
        <w:rPr>
          <w:rStyle w:val="Refdenotaalpie"/>
        </w:rPr>
        <w:footnoteRef/>
      </w:r>
      <w:r>
        <w:t xml:space="preserve"> </w:t>
      </w:r>
      <w:r>
        <w:rPr>
          <w:lang w:val="es-ES"/>
        </w:rPr>
        <w:tab/>
      </w:r>
      <w:r w:rsidRPr="00EE021A">
        <w:rPr>
          <w:i/>
          <w:iCs/>
          <w:lang w:val="es-ES"/>
        </w:rPr>
        <w:t>Cfr. Caso Pollo Rivera y otros Vs. Perú. Solicitud de Interpretación de la Sentencia de Fondo, Reparaciones y Costas</w:t>
      </w:r>
      <w:r w:rsidRPr="00EE021A">
        <w:rPr>
          <w:lang w:val="es-ES"/>
        </w:rPr>
        <w:t>. Sentencia de 25 de mayo de 2017. Serie C No. 335, párr. 26</w:t>
      </w:r>
      <w:r>
        <w:rPr>
          <w:lang w:val="es-ES"/>
        </w:rPr>
        <w:t xml:space="preserve">, y </w:t>
      </w:r>
      <w:r w:rsidR="00FA7A9B" w:rsidRPr="008716BD">
        <w:rPr>
          <w:rFonts w:eastAsia="Times New Roman" w:cs="Arial"/>
          <w:i/>
          <w:shd w:val="clear" w:color="auto" w:fill="FFFFFF"/>
          <w:lang w:val="es-CR" w:eastAsia="es-CR"/>
        </w:rPr>
        <w:t xml:space="preserve">Caso </w:t>
      </w:r>
      <w:r w:rsidR="00FA7A9B">
        <w:rPr>
          <w:rFonts w:eastAsia="Times New Roman" w:cs="Arial"/>
          <w:i/>
          <w:shd w:val="clear" w:color="auto" w:fill="FFFFFF"/>
          <w:lang w:val="es-CR" w:eastAsia="es-CR"/>
        </w:rPr>
        <w:t>Casa Nina Vs. Perú</w:t>
      </w:r>
      <w:r w:rsidR="00FA7A9B" w:rsidRPr="00242F0A">
        <w:rPr>
          <w:rFonts w:eastAsia="Times New Roman" w:cs="Arial"/>
          <w:i/>
          <w:shd w:val="clear" w:color="auto" w:fill="FFFFFF"/>
          <w:lang w:val="es-CR" w:eastAsia="es-CR"/>
        </w:rPr>
        <w:t xml:space="preserve"> </w:t>
      </w:r>
      <w:r w:rsidR="00FA7A9B" w:rsidRPr="008716BD">
        <w:rPr>
          <w:rFonts w:eastAsia="Times New Roman" w:cs="Arial"/>
          <w:i/>
          <w:shd w:val="clear" w:color="auto" w:fill="FFFFFF"/>
          <w:lang w:val="es-CR" w:eastAsia="es-CR"/>
        </w:rPr>
        <w:t xml:space="preserve">Interpretación de la Sentencia de Excepciones </w:t>
      </w:r>
      <w:r w:rsidR="00FA7A9B">
        <w:rPr>
          <w:rFonts w:eastAsia="Times New Roman" w:cs="Arial"/>
          <w:i/>
          <w:shd w:val="clear" w:color="auto" w:fill="FFFFFF"/>
          <w:lang w:val="es-CR" w:eastAsia="es-CR"/>
        </w:rPr>
        <w:t>P</w:t>
      </w:r>
      <w:r w:rsidR="00FA7A9B" w:rsidRPr="008716BD">
        <w:rPr>
          <w:rFonts w:eastAsia="Times New Roman" w:cs="Arial"/>
          <w:i/>
          <w:shd w:val="clear" w:color="auto" w:fill="FFFFFF"/>
          <w:lang w:val="es-CR" w:eastAsia="es-CR"/>
        </w:rPr>
        <w:t>reliminares, Fondo</w:t>
      </w:r>
      <w:r w:rsidR="00FA7A9B">
        <w:rPr>
          <w:rFonts w:eastAsia="Times New Roman" w:cs="Arial"/>
          <w:i/>
          <w:shd w:val="clear" w:color="auto" w:fill="FFFFFF"/>
          <w:lang w:val="es-CR" w:eastAsia="es-CR"/>
        </w:rPr>
        <w:t xml:space="preserve">, </w:t>
      </w:r>
      <w:r w:rsidR="00FA7A9B" w:rsidRPr="008716BD">
        <w:rPr>
          <w:rFonts w:eastAsia="Times New Roman" w:cs="Arial"/>
          <w:i/>
          <w:shd w:val="clear" w:color="auto" w:fill="FFFFFF"/>
          <w:lang w:val="es-CR" w:eastAsia="es-CR"/>
        </w:rPr>
        <w:t>Reparaciones</w:t>
      </w:r>
      <w:r w:rsidR="00FA7A9B">
        <w:rPr>
          <w:rFonts w:eastAsia="Times New Roman" w:cs="Arial"/>
          <w:i/>
          <w:shd w:val="clear" w:color="auto" w:fill="FFFFFF"/>
          <w:lang w:val="es-CR" w:eastAsia="es-CR"/>
        </w:rPr>
        <w:t xml:space="preserve"> y Costas</w:t>
      </w:r>
      <w:r w:rsidR="00FA7A9B" w:rsidRPr="008716BD">
        <w:rPr>
          <w:rFonts w:eastAsia="Times New Roman" w:cs="Arial"/>
          <w:shd w:val="clear" w:color="auto" w:fill="FFFFFF"/>
          <w:lang w:val="es-CR" w:eastAsia="es-CR"/>
        </w:rPr>
        <w:t>,</w:t>
      </w:r>
      <w:r w:rsidR="00FA7A9B" w:rsidRPr="008716BD">
        <w:rPr>
          <w:rFonts w:eastAsia="Times New Roman" w:cs="Arial"/>
          <w:i/>
          <w:shd w:val="clear" w:color="auto" w:fill="FFFFFF"/>
          <w:lang w:val="es-CR" w:eastAsia="es-CR"/>
        </w:rPr>
        <w:t xml:space="preserve"> supra</w:t>
      </w:r>
      <w:r w:rsidR="00FA7A9B" w:rsidRPr="008716BD">
        <w:rPr>
          <w:rFonts w:eastAsia="Times New Roman" w:cs="Arial"/>
          <w:shd w:val="clear" w:color="auto" w:fill="FFFFFF"/>
          <w:lang w:val="es-CR" w:eastAsia="es-CR"/>
        </w:rPr>
        <w:t>, párr.</w:t>
      </w:r>
      <w:r w:rsidR="00FA7A9B">
        <w:rPr>
          <w:rFonts w:eastAsia="Times New Roman" w:cs="Arial"/>
          <w:shd w:val="clear" w:color="auto" w:fill="FFFFFF"/>
          <w:lang w:val="es-CR" w:eastAsia="es-CR"/>
        </w:rPr>
        <w:t xml:space="preserve"> 33.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3830D59E"/>
    <w:lvl w:ilvl="0" w:tplc="4E2A0C4C">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3F87861"/>
    <w:multiLevelType w:val="hybridMultilevel"/>
    <w:tmpl w:val="75D852F4"/>
    <w:lvl w:ilvl="0" w:tplc="AF08492C">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 w15:restartNumberingAfterBreak="0">
    <w:nsid w:val="118F56C4"/>
    <w:multiLevelType w:val="hybridMultilevel"/>
    <w:tmpl w:val="3D44EC08"/>
    <w:lvl w:ilvl="0" w:tplc="189C7E28">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 w15:restartNumberingAfterBreak="0">
    <w:nsid w:val="1C2453DA"/>
    <w:multiLevelType w:val="hybridMultilevel"/>
    <w:tmpl w:val="37F893DC"/>
    <w:lvl w:ilvl="0" w:tplc="15549922">
      <w:start w:val="290"/>
      <w:numFmt w:val="decimal"/>
      <w:lvlText w:val="%1."/>
      <w:lvlJc w:val="left"/>
      <w:pPr>
        <w:ind w:left="720" w:hanging="360"/>
      </w:pPr>
      <w:rPr>
        <w:rFonts w:ascii="Verdana" w:hAnsi="Verdana" w:hint="default"/>
        <w:b w:val="0"/>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642C2C12"/>
    <w:multiLevelType w:val="hybridMultilevel"/>
    <w:tmpl w:val="9F8AF72C"/>
    <w:lvl w:ilvl="0" w:tplc="96061334">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14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140A001B">
      <w:start w:val="1"/>
      <w:numFmt w:val="lowerRoman"/>
      <w:lvlText w:val="%3."/>
      <w:lvlJc w:val="right"/>
      <w:pPr>
        <w:tabs>
          <w:tab w:val="num" w:pos="2160"/>
        </w:tabs>
        <w:ind w:left="2160" w:hanging="180"/>
      </w:pPr>
      <w:rPr>
        <w:rFonts w:cs="Times New Roman"/>
      </w:rPr>
    </w:lvl>
    <w:lvl w:ilvl="3" w:tplc="140A000F">
      <w:start w:val="1"/>
      <w:numFmt w:val="decimal"/>
      <w:lvlText w:val="%4."/>
      <w:lvlJc w:val="left"/>
      <w:pPr>
        <w:tabs>
          <w:tab w:val="num" w:pos="2880"/>
        </w:tabs>
        <w:ind w:left="2880" w:hanging="360"/>
      </w:pPr>
      <w:rPr>
        <w:rFonts w:cs="Times New Roman"/>
      </w:rPr>
    </w:lvl>
    <w:lvl w:ilvl="4" w:tplc="140A0019">
      <w:start w:val="1"/>
      <w:numFmt w:val="lowerLetter"/>
      <w:lvlText w:val="%5."/>
      <w:lvlJc w:val="left"/>
      <w:pPr>
        <w:tabs>
          <w:tab w:val="num" w:pos="3600"/>
        </w:tabs>
        <w:ind w:left="3600" w:hanging="360"/>
      </w:pPr>
      <w:rPr>
        <w:rFonts w:cs="Times New Roman"/>
      </w:rPr>
    </w:lvl>
    <w:lvl w:ilvl="5" w:tplc="140A001B">
      <w:start w:val="1"/>
      <w:numFmt w:val="lowerRoman"/>
      <w:lvlText w:val="%6."/>
      <w:lvlJc w:val="right"/>
      <w:pPr>
        <w:tabs>
          <w:tab w:val="num" w:pos="4320"/>
        </w:tabs>
        <w:ind w:left="4320" w:hanging="180"/>
      </w:pPr>
      <w:rPr>
        <w:rFonts w:cs="Times New Roman"/>
      </w:rPr>
    </w:lvl>
    <w:lvl w:ilvl="6" w:tplc="140A000F">
      <w:start w:val="1"/>
      <w:numFmt w:val="decimal"/>
      <w:lvlText w:val="%7."/>
      <w:lvlJc w:val="left"/>
      <w:pPr>
        <w:tabs>
          <w:tab w:val="num" w:pos="5040"/>
        </w:tabs>
        <w:ind w:left="5040" w:hanging="360"/>
      </w:pPr>
      <w:rPr>
        <w:rFonts w:cs="Times New Roman"/>
      </w:rPr>
    </w:lvl>
    <w:lvl w:ilvl="7" w:tplc="140A0019">
      <w:start w:val="1"/>
      <w:numFmt w:val="lowerLetter"/>
      <w:lvlText w:val="%8."/>
      <w:lvlJc w:val="left"/>
      <w:pPr>
        <w:tabs>
          <w:tab w:val="num" w:pos="5760"/>
        </w:tabs>
        <w:ind w:left="5760" w:hanging="360"/>
      </w:pPr>
      <w:rPr>
        <w:rFonts w:cs="Times New Roman"/>
      </w:rPr>
    </w:lvl>
    <w:lvl w:ilvl="8" w:tplc="140A001B">
      <w:start w:val="1"/>
      <w:numFmt w:val="lowerRoman"/>
      <w:lvlText w:val="%9."/>
      <w:lvlJc w:val="right"/>
      <w:pPr>
        <w:tabs>
          <w:tab w:val="num" w:pos="6480"/>
        </w:tabs>
        <w:ind w:left="6480" w:hanging="180"/>
      </w:pPr>
      <w:rPr>
        <w:rFonts w:cs="Times New Roman"/>
      </w:rPr>
    </w:lvl>
  </w:abstractNum>
  <w:abstractNum w:abstractNumId="5" w15:restartNumberingAfterBreak="0">
    <w:nsid w:val="69D8531E"/>
    <w:multiLevelType w:val="hybridMultilevel"/>
    <w:tmpl w:val="CD083050"/>
    <w:lvl w:ilvl="0" w:tplc="3DC05F8C">
      <w:start w:val="92"/>
      <w:numFmt w:val="decimal"/>
      <w:lvlText w:val="%1."/>
      <w:lvlJc w:val="left"/>
      <w:pPr>
        <w:ind w:left="720" w:hanging="360"/>
      </w:pPr>
      <w:rPr>
        <w:rFonts w:ascii="Verdana" w:hAnsi="Verdana" w:hint="default"/>
        <w:b w:val="0"/>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72CF3C8F"/>
    <w:multiLevelType w:val="hybridMultilevel"/>
    <w:tmpl w:val="ECA4CE7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75981C09"/>
    <w:multiLevelType w:val="hybridMultilevel"/>
    <w:tmpl w:val="B56ED7D0"/>
    <w:lvl w:ilvl="0" w:tplc="08E49762">
      <w:start w:val="1"/>
      <w:numFmt w:val="decimal"/>
      <w:lvlText w:val="%1."/>
      <w:lvlJc w:val="left"/>
      <w:pPr>
        <w:ind w:left="360" w:hanging="360"/>
      </w:pPr>
      <w:rPr>
        <w:rFonts w:eastAsia="Batang" w:cs="Verdana" w:hint="default"/>
        <w:b w:val="0"/>
        <w:i w:val="0"/>
        <w:color w:val="auto"/>
        <w:sz w:val="20"/>
        <w:szCs w:val="2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15821543">
    <w:abstractNumId w:val="7"/>
  </w:num>
  <w:num w:numId="2" w16cid:durableId="1002703383">
    <w:abstractNumId w:val="4"/>
  </w:num>
  <w:num w:numId="3" w16cid:durableId="1730300324">
    <w:abstractNumId w:val="6"/>
  </w:num>
  <w:num w:numId="4" w16cid:durableId="1417439279">
    <w:abstractNumId w:val="1"/>
  </w:num>
  <w:num w:numId="5" w16cid:durableId="1013072603">
    <w:abstractNumId w:val="5"/>
  </w:num>
  <w:num w:numId="6" w16cid:durableId="1921909551">
    <w:abstractNumId w:val="3"/>
  </w:num>
  <w:num w:numId="7" w16cid:durableId="2013290248">
    <w:abstractNumId w:val="0"/>
  </w:num>
  <w:num w:numId="8" w16cid:durableId="1192035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14C"/>
    <w:rsid w:val="00003F4A"/>
    <w:rsid w:val="00012DBF"/>
    <w:rsid w:val="00030AD9"/>
    <w:rsid w:val="000411CB"/>
    <w:rsid w:val="00042757"/>
    <w:rsid w:val="00046D77"/>
    <w:rsid w:val="00053358"/>
    <w:rsid w:val="000570BD"/>
    <w:rsid w:val="00063E16"/>
    <w:rsid w:val="000770ED"/>
    <w:rsid w:val="00077305"/>
    <w:rsid w:val="00080347"/>
    <w:rsid w:val="00082798"/>
    <w:rsid w:val="000A374A"/>
    <w:rsid w:val="000A67D2"/>
    <w:rsid w:val="000C618E"/>
    <w:rsid w:val="000D1D80"/>
    <w:rsid w:val="000D46F4"/>
    <w:rsid w:val="000D4A7B"/>
    <w:rsid w:val="000F14D5"/>
    <w:rsid w:val="000F3820"/>
    <w:rsid w:val="000F6B9E"/>
    <w:rsid w:val="0010240B"/>
    <w:rsid w:val="0011671F"/>
    <w:rsid w:val="00121D70"/>
    <w:rsid w:val="001239D6"/>
    <w:rsid w:val="001334F3"/>
    <w:rsid w:val="001503B2"/>
    <w:rsid w:val="00154FAB"/>
    <w:rsid w:val="00156F41"/>
    <w:rsid w:val="001647CB"/>
    <w:rsid w:val="00166B17"/>
    <w:rsid w:val="00174793"/>
    <w:rsid w:val="0017747D"/>
    <w:rsid w:val="001827D4"/>
    <w:rsid w:val="00187B25"/>
    <w:rsid w:val="0019324D"/>
    <w:rsid w:val="00193454"/>
    <w:rsid w:val="001953D0"/>
    <w:rsid w:val="001967A3"/>
    <w:rsid w:val="001A42BF"/>
    <w:rsid w:val="001B2230"/>
    <w:rsid w:val="001B36D2"/>
    <w:rsid w:val="001B59CD"/>
    <w:rsid w:val="001B6B01"/>
    <w:rsid w:val="001B6B23"/>
    <w:rsid w:val="001B7797"/>
    <w:rsid w:val="001C0FEA"/>
    <w:rsid w:val="001C430B"/>
    <w:rsid w:val="001C6E57"/>
    <w:rsid w:val="001D3B32"/>
    <w:rsid w:val="001E4029"/>
    <w:rsid w:val="001F1330"/>
    <w:rsid w:val="001F422F"/>
    <w:rsid w:val="001F7ABD"/>
    <w:rsid w:val="00204643"/>
    <w:rsid w:val="002079E6"/>
    <w:rsid w:val="002131EC"/>
    <w:rsid w:val="002158D4"/>
    <w:rsid w:val="00222C4E"/>
    <w:rsid w:val="00223BC3"/>
    <w:rsid w:val="00224B5C"/>
    <w:rsid w:val="00237D43"/>
    <w:rsid w:val="002413C1"/>
    <w:rsid w:val="0024220E"/>
    <w:rsid w:val="00242F0A"/>
    <w:rsid w:val="00243872"/>
    <w:rsid w:val="00246E99"/>
    <w:rsid w:val="0024731C"/>
    <w:rsid w:val="00250807"/>
    <w:rsid w:val="00250CAB"/>
    <w:rsid w:val="00262A3B"/>
    <w:rsid w:val="0026683B"/>
    <w:rsid w:val="00266DAC"/>
    <w:rsid w:val="00267B78"/>
    <w:rsid w:val="00273631"/>
    <w:rsid w:val="0027692F"/>
    <w:rsid w:val="00284804"/>
    <w:rsid w:val="00285988"/>
    <w:rsid w:val="0028616A"/>
    <w:rsid w:val="00290487"/>
    <w:rsid w:val="002953B4"/>
    <w:rsid w:val="002965C7"/>
    <w:rsid w:val="002A190A"/>
    <w:rsid w:val="002A1C65"/>
    <w:rsid w:val="002A34A4"/>
    <w:rsid w:val="002A6AD8"/>
    <w:rsid w:val="002B44FD"/>
    <w:rsid w:val="002B5398"/>
    <w:rsid w:val="002B58EA"/>
    <w:rsid w:val="002C4905"/>
    <w:rsid w:val="002C6918"/>
    <w:rsid w:val="002D266D"/>
    <w:rsid w:val="002E0740"/>
    <w:rsid w:val="002E0E2B"/>
    <w:rsid w:val="002E402F"/>
    <w:rsid w:val="002E5C63"/>
    <w:rsid w:val="002F1CFC"/>
    <w:rsid w:val="002F79E5"/>
    <w:rsid w:val="00303A8A"/>
    <w:rsid w:val="00306B0B"/>
    <w:rsid w:val="00317ADA"/>
    <w:rsid w:val="003204AF"/>
    <w:rsid w:val="00320A50"/>
    <w:rsid w:val="003234F1"/>
    <w:rsid w:val="00327D59"/>
    <w:rsid w:val="003362C0"/>
    <w:rsid w:val="00340FA0"/>
    <w:rsid w:val="0034292B"/>
    <w:rsid w:val="00343BFF"/>
    <w:rsid w:val="00345B2A"/>
    <w:rsid w:val="00345DFA"/>
    <w:rsid w:val="00350568"/>
    <w:rsid w:val="00351919"/>
    <w:rsid w:val="00355763"/>
    <w:rsid w:val="0036484C"/>
    <w:rsid w:val="0036610C"/>
    <w:rsid w:val="00371F4B"/>
    <w:rsid w:val="00383E53"/>
    <w:rsid w:val="003924F8"/>
    <w:rsid w:val="00392689"/>
    <w:rsid w:val="003A39EB"/>
    <w:rsid w:val="003B0282"/>
    <w:rsid w:val="003B05BF"/>
    <w:rsid w:val="003B324C"/>
    <w:rsid w:val="003C7022"/>
    <w:rsid w:val="003C71A6"/>
    <w:rsid w:val="003D1917"/>
    <w:rsid w:val="003D1FE2"/>
    <w:rsid w:val="003D54A7"/>
    <w:rsid w:val="003E41A6"/>
    <w:rsid w:val="003E4814"/>
    <w:rsid w:val="003F0D7B"/>
    <w:rsid w:val="003F657D"/>
    <w:rsid w:val="00400A05"/>
    <w:rsid w:val="004019CC"/>
    <w:rsid w:val="0040235D"/>
    <w:rsid w:val="00410BBC"/>
    <w:rsid w:val="00413FD9"/>
    <w:rsid w:val="004277FC"/>
    <w:rsid w:val="00431E5B"/>
    <w:rsid w:val="0043618D"/>
    <w:rsid w:val="004375C1"/>
    <w:rsid w:val="00446DEA"/>
    <w:rsid w:val="004558B7"/>
    <w:rsid w:val="004635F2"/>
    <w:rsid w:val="00472324"/>
    <w:rsid w:val="004831BE"/>
    <w:rsid w:val="00493799"/>
    <w:rsid w:val="004A36FB"/>
    <w:rsid w:val="004B432F"/>
    <w:rsid w:val="004C4E0E"/>
    <w:rsid w:val="004D7886"/>
    <w:rsid w:val="004E0720"/>
    <w:rsid w:val="004E3943"/>
    <w:rsid w:val="004E4D4F"/>
    <w:rsid w:val="004E50F4"/>
    <w:rsid w:val="004F08A8"/>
    <w:rsid w:val="004F16FE"/>
    <w:rsid w:val="004F7389"/>
    <w:rsid w:val="004F7BE1"/>
    <w:rsid w:val="0050063A"/>
    <w:rsid w:val="00501AAF"/>
    <w:rsid w:val="00505B0F"/>
    <w:rsid w:val="005073B7"/>
    <w:rsid w:val="005272A6"/>
    <w:rsid w:val="005303BB"/>
    <w:rsid w:val="005330C1"/>
    <w:rsid w:val="005331FC"/>
    <w:rsid w:val="00534F66"/>
    <w:rsid w:val="005400FE"/>
    <w:rsid w:val="00542D42"/>
    <w:rsid w:val="00560173"/>
    <w:rsid w:val="00560211"/>
    <w:rsid w:val="00564C8E"/>
    <w:rsid w:val="00566152"/>
    <w:rsid w:val="0056681B"/>
    <w:rsid w:val="005700F7"/>
    <w:rsid w:val="00573558"/>
    <w:rsid w:val="005862D8"/>
    <w:rsid w:val="00593CE2"/>
    <w:rsid w:val="005C087B"/>
    <w:rsid w:val="005C22FD"/>
    <w:rsid w:val="005C2537"/>
    <w:rsid w:val="005D5EE8"/>
    <w:rsid w:val="005E016C"/>
    <w:rsid w:val="005E240C"/>
    <w:rsid w:val="005F0361"/>
    <w:rsid w:val="005F63DE"/>
    <w:rsid w:val="00607A62"/>
    <w:rsid w:val="006102C2"/>
    <w:rsid w:val="006126C9"/>
    <w:rsid w:val="00612732"/>
    <w:rsid w:val="00612A9E"/>
    <w:rsid w:val="00625FA9"/>
    <w:rsid w:val="00632307"/>
    <w:rsid w:val="00642301"/>
    <w:rsid w:val="00646934"/>
    <w:rsid w:val="00646C50"/>
    <w:rsid w:val="00655A74"/>
    <w:rsid w:val="0066166D"/>
    <w:rsid w:val="006642F1"/>
    <w:rsid w:val="00666151"/>
    <w:rsid w:val="00667423"/>
    <w:rsid w:val="00675A4B"/>
    <w:rsid w:val="00676D16"/>
    <w:rsid w:val="00680124"/>
    <w:rsid w:val="00686186"/>
    <w:rsid w:val="006A2707"/>
    <w:rsid w:val="006A2CCC"/>
    <w:rsid w:val="006A364E"/>
    <w:rsid w:val="006A6135"/>
    <w:rsid w:val="006A7FC1"/>
    <w:rsid w:val="006C11D2"/>
    <w:rsid w:val="006C3F6F"/>
    <w:rsid w:val="006D174E"/>
    <w:rsid w:val="006D3107"/>
    <w:rsid w:val="006D3C8D"/>
    <w:rsid w:val="006E0C22"/>
    <w:rsid w:val="006F1D3D"/>
    <w:rsid w:val="006F5AE9"/>
    <w:rsid w:val="007112BA"/>
    <w:rsid w:val="00724248"/>
    <w:rsid w:val="007266F2"/>
    <w:rsid w:val="0073597B"/>
    <w:rsid w:val="00735C02"/>
    <w:rsid w:val="00741FE6"/>
    <w:rsid w:val="00761B72"/>
    <w:rsid w:val="00764AC9"/>
    <w:rsid w:val="00790DC8"/>
    <w:rsid w:val="00796AF0"/>
    <w:rsid w:val="00797F24"/>
    <w:rsid w:val="00797FF8"/>
    <w:rsid w:val="007A3D99"/>
    <w:rsid w:val="007B5ADC"/>
    <w:rsid w:val="007C44EB"/>
    <w:rsid w:val="007C5D61"/>
    <w:rsid w:val="007F5A4B"/>
    <w:rsid w:val="00800040"/>
    <w:rsid w:val="00801702"/>
    <w:rsid w:val="00811411"/>
    <w:rsid w:val="008167DC"/>
    <w:rsid w:val="00821CEC"/>
    <w:rsid w:val="008326BC"/>
    <w:rsid w:val="008332A5"/>
    <w:rsid w:val="0083723D"/>
    <w:rsid w:val="0084335A"/>
    <w:rsid w:val="00843D4A"/>
    <w:rsid w:val="008561DB"/>
    <w:rsid w:val="0086172D"/>
    <w:rsid w:val="008617C3"/>
    <w:rsid w:val="00862872"/>
    <w:rsid w:val="00870A53"/>
    <w:rsid w:val="008716BD"/>
    <w:rsid w:val="00871D2D"/>
    <w:rsid w:val="00881C03"/>
    <w:rsid w:val="00886D05"/>
    <w:rsid w:val="008879E2"/>
    <w:rsid w:val="00893373"/>
    <w:rsid w:val="00895E83"/>
    <w:rsid w:val="008A17F9"/>
    <w:rsid w:val="008A2407"/>
    <w:rsid w:val="008A5158"/>
    <w:rsid w:val="008A633A"/>
    <w:rsid w:val="008B10C9"/>
    <w:rsid w:val="008B41E4"/>
    <w:rsid w:val="008B6192"/>
    <w:rsid w:val="008C3A55"/>
    <w:rsid w:val="008C556A"/>
    <w:rsid w:val="008D2F72"/>
    <w:rsid w:val="008D7DBD"/>
    <w:rsid w:val="008E08B3"/>
    <w:rsid w:val="008E2E69"/>
    <w:rsid w:val="008E3247"/>
    <w:rsid w:val="008E4F34"/>
    <w:rsid w:val="008E66D5"/>
    <w:rsid w:val="008E7C85"/>
    <w:rsid w:val="008E7C9A"/>
    <w:rsid w:val="008F1F03"/>
    <w:rsid w:val="008F2D4E"/>
    <w:rsid w:val="008F7B58"/>
    <w:rsid w:val="009017A7"/>
    <w:rsid w:val="0091765E"/>
    <w:rsid w:val="00917CB0"/>
    <w:rsid w:val="00923C20"/>
    <w:rsid w:val="00925F2D"/>
    <w:rsid w:val="009276EC"/>
    <w:rsid w:val="00930D56"/>
    <w:rsid w:val="00932962"/>
    <w:rsid w:val="00933F12"/>
    <w:rsid w:val="0093409D"/>
    <w:rsid w:val="00935C80"/>
    <w:rsid w:val="00937128"/>
    <w:rsid w:val="00951F59"/>
    <w:rsid w:val="00960BCB"/>
    <w:rsid w:val="0096306A"/>
    <w:rsid w:val="0096445B"/>
    <w:rsid w:val="00965AB3"/>
    <w:rsid w:val="0097133A"/>
    <w:rsid w:val="00977214"/>
    <w:rsid w:val="009844EB"/>
    <w:rsid w:val="00986A3F"/>
    <w:rsid w:val="0099392C"/>
    <w:rsid w:val="009A394E"/>
    <w:rsid w:val="009A43EB"/>
    <w:rsid w:val="009A6DFB"/>
    <w:rsid w:val="009A79AC"/>
    <w:rsid w:val="009B2102"/>
    <w:rsid w:val="009B2817"/>
    <w:rsid w:val="009B294F"/>
    <w:rsid w:val="009B39EA"/>
    <w:rsid w:val="009B5258"/>
    <w:rsid w:val="009B626A"/>
    <w:rsid w:val="009C0340"/>
    <w:rsid w:val="009D621C"/>
    <w:rsid w:val="009E3249"/>
    <w:rsid w:val="009E4CEF"/>
    <w:rsid w:val="009E6349"/>
    <w:rsid w:val="009E7EC0"/>
    <w:rsid w:val="00A069DF"/>
    <w:rsid w:val="00A226A8"/>
    <w:rsid w:val="00A231D2"/>
    <w:rsid w:val="00A25418"/>
    <w:rsid w:val="00A304B8"/>
    <w:rsid w:val="00A34E86"/>
    <w:rsid w:val="00A4104D"/>
    <w:rsid w:val="00A44AEC"/>
    <w:rsid w:val="00A522AF"/>
    <w:rsid w:val="00A57704"/>
    <w:rsid w:val="00A63A10"/>
    <w:rsid w:val="00A66E99"/>
    <w:rsid w:val="00A704C7"/>
    <w:rsid w:val="00A70F01"/>
    <w:rsid w:val="00A72398"/>
    <w:rsid w:val="00A72B8B"/>
    <w:rsid w:val="00A845C2"/>
    <w:rsid w:val="00A9076C"/>
    <w:rsid w:val="00A97E6B"/>
    <w:rsid w:val="00AA1617"/>
    <w:rsid w:val="00AB1235"/>
    <w:rsid w:val="00AB15CB"/>
    <w:rsid w:val="00AD7881"/>
    <w:rsid w:val="00AE6EB5"/>
    <w:rsid w:val="00AE74FC"/>
    <w:rsid w:val="00AF4C6D"/>
    <w:rsid w:val="00AF615D"/>
    <w:rsid w:val="00B013DC"/>
    <w:rsid w:val="00B05A4A"/>
    <w:rsid w:val="00B10D23"/>
    <w:rsid w:val="00B134FB"/>
    <w:rsid w:val="00B148BA"/>
    <w:rsid w:val="00B16DBC"/>
    <w:rsid w:val="00B32FE0"/>
    <w:rsid w:val="00B335E7"/>
    <w:rsid w:val="00B354DB"/>
    <w:rsid w:val="00B37A4C"/>
    <w:rsid w:val="00B43036"/>
    <w:rsid w:val="00B4362E"/>
    <w:rsid w:val="00B43F74"/>
    <w:rsid w:val="00B46C3C"/>
    <w:rsid w:val="00B5237E"/>
    <w:rsid w:val="00B5626B"/>
    <w:rsid w:val="00B5681F"/>
    <w:rsid w:val="00B66E69"/>
    <w:rsid w:val="00B67F25"/>
    <w:rsid w:val="00B72AC6"/>
    <w:rsid w:val="00B72DBE"/>
    <w:rsid w:val="00B733C3"/>
    <w:rsid w:val="00B766FB"/>
    <w:rsid w:val="00B76C71"/>
    <w:rsid w:val="00B854E8"/>
    <w:rsid w:val="00B85871"/>
    <w:rsid w:val="00B858F7"/>
    <w:rsid w:val="00B85FF7"/>
    <w:rsid w:val="00B92392"/>
    <w:rsid w:val="00B92F82"/>
    <w:rsid w:val="00B9513E"/>
    <w:rsid w:val="00B95437"/>
    <w:rsid w:val="00B96E8A"/>
    <w:rsid w:val="00B97A71"/>
    <w:rsid w:val="00BA4D8E"/>
    <w:rsid w:val="00BA587C"/>
    <w:rsid w:val="00BB0C45"/>
    <w:rsid w:val="00BB2F1E"/>
    <w:rsid w:val="00BB395C"/>
    <w:rsid w:val="00BB5148"/>
    <w:rsid w:val="00BC01DB"/>
    <w:rsid w:val="00BC0736"/>
    <w:rsid w:val="00BC496C"/>
    <w:rsid w:val="00BC7B7C"/>
    <w:rsid w:val="00BD0E92"/>
    <w:rsid w:val="00BD4308"/>
    <w:rsid w:val="00BD48C8"/>
    <w:rsid w:val="00BD56AF"/>
    <w:rsid w:val="00BD703F"/>
    <w:rsid w:val="00BE14B0"/>
    <w:rsid w:val="00BE7322"/>
    <w:rsid w:val="00BE75D1"/>
    <w:rsid w:val="00BF2853"/>
    <w:rsid w:val="00BF393B"/>
    <w:rsid w:val="00BF7D74"/>
    <w:rsid w:val="00C115CE"/>
    <w:rsid w:val="00C12EDA"/>
    <w:rsid w:val="00C147E1"/>
    <w:rsid w:val="00C15C7D"/>
    <w:rsid w:val="00C17ECE"/>
    <w:rsid w:val="00C21CE7"/>
    <w:rsid w:val="00C22168"/>
    <w:rsid w:val="00C34152"/>
    <w:rsid w:val="00C456E8"/>
    <w:rsid w:val="00C45829"/>
    <w:rsid w:val="00C600CF"/>
    <w:rsid w:val="00C61590"/>
    <w:rsid w:val="00C62FFC"/>
    <w:rsid w:val="00C67783"/>
    <w:rsid w:val="00C833FB"/>
    <w:rsid w:val="00C846E8"/>
    <w:rsid w:val="00C860D9"/>
    <w:rsid w:val="00C915DC"/>
    <w:rsid w:val="00C91835"/>
    <w:rsid w:val="00C92188"/>
    <w:rsid w:val="00C92C83"/>
    <w:rsid w:val="00C93CFA"/>
    <w:rsid w:val="00CB01DF"/>
    <w:rsid w:val="00CB1C30"/>
    <w:rsid w:val="00CB35D6"/>
    <w:rsid w:val="00CC59B3"/>
    <w:rsid w:val="00CD0D9B"/>
    <w:rsid w:val="00CE372A"/>
    <w:rsid w:val="00CE5AD9"/>
    <w:rsid w:val="00CE710A"/>
    <w:rsid w:val="00CF216A"/>
    <w:rsid w:val="00CF4B0D"/>
    <w:rsid w:val="00D000A5"/>
    <w:rsid w:val="00D00327"/>
    <w:rsid w:val="00D034A8"/>
    <w:rsid w:val="00D05A8B"/>
    <w:rsid w:val="00D05BCA"/>
    <w:rsid w:val="00D06EA5"/>
    <w:rsid w:val="00D07675"/>
    <w:rsid w:val="00D11FC4"/>
    <w:rsid w:val="00D12BDF"/>
    <w:rsid w:val="00D20146"/>
    <w:rsid w:val="00D22EB9"/>
    <w:rsid w:val="00D256ED"/>
    <w:rsid w:val="00D33A2D"/>
    <w:rsid w:val="00D431DC"/>
    <w:rsid w:val="00D4645C"/>
    <w:rsid w:val="00D53EEC"/>
    <w:rsid w:val="00D60D10"/>
    <w:rsid w:val="00D83E2C"/>
    <w:rsid w:val="00D853F6"/>
    <w:rsid w:val="00D85437"/>
    <w:rsid w:val="00DA0AE4"/>
    <w:rsid w:val="00DA2E8B"/>
    <w:rsid w:val="00DA7059"/>
    <w:rsid w:val="00DB218E"/>
    <w:rsid w:val="00DB2A67"/>
    <w:rsid w:val="00DC02B9"/>
    <w:rsid w:val="00DC0961"/>
    <w:rsid w:val="00DC1DB6"/>
    <w:rsid w:val="00DC570B"/>
    <w:rsid w:val="00DD6934"/>
    <w:rsid w:val="00DD771E"/>
    <w:rsid w:val="00DE5969"/>
    <w:rsid w:val="00DF2CC7"/>
    <w:rsid w:val="00E01052"/>
    <w:rsid w:val="00E02C83"/>
    <w:rsid w:val="00E059DF"/>
    <w:rsid w:val="00E12CA7"/>
    <w:rsid w:val="00E27110"/>
    <w:rsid w:val="00E36D25"/>
    <w:rsid w:val="00E37BB9"/>
    <w:rsid w:val="00E443E4"/>
    <w:rsid w:val="00E52DFB"/>
    <w:rsid w:val="00E53CE8"/>
    <w:rsid w:val="00E567CE"/>
    <w:rsid w:val="00E67B5C"/>
    <w:rsid w:val="00E765DF"/>
    <w:rsid w:val="00E8751F"/>
    <w:rsid w:val="00E90ADA"/>
    <w:rsid w:val="00E90EE8"/>
    <w:rsid w:val="00E91104"/>
    <w:rsid w:val="00E91143"/>
    <w:rsid w:val="00EA1E72"/>
    <w:rsid w:val="00EA56E1"/>
    <w:rsid w:val="00EB092D"/>
    <w:rsid w:val="00EB0DEF"/>
    <w:rsid w:val="00EB5607"/>
    <w:rsid w:val="00EC0322"/>
    <w:rsid w:val="00EC13A7"/>
    <w:rsid w:val="00EC2938"/>
    <w:rsid w:val="00EC43E9"/>
    <w:rsid w:val="00EC4A93"/>
    <w:rsid w:val="00ED037C"/>
    <w:rsid w:val="00ED07C3"/>
    <w:rsid w:val="00ED65A9"/>
    <w:rsid w:val="00EE021A"/>
    <w:rsid w:val="00EF60EB"/>
    <w:rsid w:val="00F077E9"/>
    <w:rsid w:val="00F07911"/>
    <w:rsid w:val="00F12AC3"/>
    <w:rsid w:val="00F17A71"/>
    <w:rsid w:val="00F21A3C"/>
    <w:rsid w:val="00F253BE"/>
    <w:rsid w:val="00F35AB8"/>
    <w:rsid w:val="00F43EFC"/>
    <w:rsid w:val="00F45FDB"/>
    <w:rsid w:val="00F50274"/>
    <w:rsid w:val="00F5076C"/>
    <w:rsid w:val="00F54F06"/>
    <w:rsid w:val="00F66562"/>
    <w:rsid w:val="00F6714C"/>
    <w:rsid w:val="00F83651"/>
    <w:rsid w:val="00F9164F"/>
    <w:rsid w:val="00F96F8F"/>
    <w:rsid w:val="00FA43E4"/>
    <w:rsid w:val="00FA4790"/>
    <w:rsid w:val="00FA7257"/>
    <w:rsid w:val="00FA7A9B"/>
    <w:rsid w:val="00FB1121"/>
    <w:rsid w:val="00FC2D2C"/>
    <w:rsid w:val="00FC7118"/>
    <w:rsid w:val="00FD5C6D"/>
    <w:rsid w:val="00FE30C7"/>
    <w:rsid w:val="00FE388D"/>
    <w:rsid w:val="00FE5890"/>
    <w:rsid w:val="00FE6D72"/>
    <w:rsid w:val="00FF0EDC"/>
    <w:rsid w:val="00FF1448"/>
    <w:rsid w:val="00FF2553"/>
    <w:rsid w:val="00FF661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4962"/>
  <w15:docId w15:val="{83867C5E-C099-401F-AF3B-5BFD5238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14C"/>
    <w:pPr>
      <w:spacing w:after="0" w:line="240" w:lineRule="auto"/>
      <w:jc w:val="both"/>
    </w:pPr>
    <w:rPr>
      <w:rFonts w:ascii="Verdana" w:eastAsia="Batang" w:hAnsi="Verdana" w:cs="Times"/>
      <w:sz w:val="20"/>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AE74FC"/>
    <w:rPr>
      <w:rFonts w:cs="Times New Roman"/>
      <w:szCs w:val="20"/>
      <w:vertAlign w:val="superscript"/>
    </w:rPr>
  </w:style>
  <w:style w:type="paragraph" w:styleId="Ttulo">
    <w:name w:val="Title"/>
    <w:basedOn w:val="Normal"/>
    <w:link w:val="TtuloCar"/>
    <w:uiPriority w:val="99"/>
    <w:qFormat/>
    <w:rsid w:val="00AE74FC"/>
    <w:pPr>
      <w:jc w:val="center"/>
    </w:pPr>
    <w:rPr>
      <w:rFonts w:eastAsia="Times New Roman" w:cs="Times New Roman"/>
      <w:b/>
      <w:noProof/>
      <w:szCs w:val="20"/>
      <w:lang w:val="es-ES_tradnl" w:eastAsia="x-none"/>
    </w:rPr>
  </w:style>
  <w:style w:type="character" w:customStyle="1" w:styleId="TtuloCar">
    <w:name w:val="Título Car"/>
    <w:basedOn w:val="Fuentedeprrafopredeter"/>
    <w:link w:val="Ttulo"/>
    <w:uiPriority w:val="99"/>
    <w:rsid w:val="00AE74FC"/>
    <w:rPr>
      <w:rFonts w:ascii="Verdana" w:eastAsia="Times New Roman" w:hAnsi="Verdana" w:cs="Times New Roman"/>
      <w:b/>
      <w:noProof/>
      <w:sz w:val="20"/>
      <w:szCs w:val="20"/>
      <w:lang w:val="es-ES_tradnl" w:eastAsia="x-none"/>
    </w:rPr>
  </w:style>
  <w:style w:type="paragraph" w:styleId="Subttulo">
    <w:name w:val="Subtitle"/>
    <w:basedOn w:val="Normal"/>
    <w:next w:val="Normal"/>
    <w:link w:val="SubttuloCar"/>
    <w:qFormat/>
    <w:rsid w:val="00AE74FC"/>
    <w:pPr>
      <w:numPr>
        <w:ilvl w:val="1"/>
      </w:numPr>
      <w:jc w:val="center"/>
    </w:pPr>
    <w:rPr>
      <w:rFonts w:eastAsia="Times New Roman" w:cs="Times New Roman"/>
      <w:b/>
      <w:i/>
      <w:iCs/>
      <w:noProof/>
      <w:spacing w:val="15"/>
      <w:lang w:val="es-ES_tradnl" w:eastAsia="x-none"/>
    </w:rPr>
  </w:style>
  <w:style w:type="character" w:customStyle="1" w:styleId="SubttuloCar">
    <w:name w:val="Subtítulo Car"/>
    <w:basedOn w:val="Fuentedeprrafopredeter"/>
    <w:link w:val="Subttulo"/>
    <w:rsid w:val="00AE74FC"/>
    <w:rPr>
      <w:rFonts w:ascii="Verdana" w:eastAsia="Times New Roman" w:hAnsi="Verdana" w:cs="Times New Roman"/>
      <w:b/>
      <w:i/>
      <w:iCs/>
      <w:noProof/>
      <w:spacing w:val="15"/>
      <w:sz w:val="20"/>
      <w:szCs w:val="24"/>
      <w:lang w:val="es-ES_tradnl" w:eastAsia="x-none"/>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A Fu Car Car"/>
    <w:basedOn w:val="Normal"/>
    <w:link w:val="TextonotapieCar1"/>
    <w:unhideWhenUsed/>
    <w:qFormat/>
    <w:rsid w:val="00AE74FC"/>
    <w:pPr>
      <w:spacing w:before="120" w:after="120"/>
    </w:pPr>
    <w:rPr>
      <w:rFonts w:cs="Times New Roman"/>
      <w:noProof/>
      <w:sz w:val="16"/>
      <w:szCs w:val="20"/>
      <w:lang w:val="es-ES_tradnl" w:eastAsia="x-none"/>
    </w:rPr>
  </w:style>
  <w:style w:type="character" w:customStyle="1" w:styleId="TextonotapieCar">
    <w:name w:val="Texto nota pie Car"/>
    <w:aliases w:val="FA Fuﬂnotentext Car,FA Fu?notente Car,Ca Car"/>
    <w:basedOn w:val="Fuentedeprrafopredeter"/>
    <w:qFormat/>
    <w:rsid w:val="00AE74FC"/>
    <w:rPr>
      <w:rFonts w:ascii="Verdana" w:eastAsia="Batang" w:hAnsi="Verdana" w:cs="Times"/>
      <w:sz w:val="20"/>
      <w:szCs w:val="20"/>
      <w:lang w:val="es-ES"/>
    </w:rPr>
  </w:style>
  <w:style w:type="character" w:customStyle="1" w:styleId="TextonotapieCar1">
    <w:name w:val="Texto nota pie Car1"/>
    <w:aliases w:val="2. Footnote Text Car,Footnote Tesina Car,FA Fu Car,Footnote Text Char Char Char Char Char Car,Footnote Text Char Char Char Char Car,Footnote reference Car,Footnote Text Char Char Char Car,Footnote Text Cha Car,FA Fußnotentext Car"/>
    <w:link w:val="Textonotapie"/>
    <w:qFormat/>
    <w:rsid w:val="00AE74FC"/>
    <w:rPr>
      <w:rFonts w:ascii="Verdana" w:eastAsia="Batang" w:hAnsi="Verdana" w:cs="Times New Roman"/>
      <w:noProof/>
      <w:sz w:val="16"/>
      <w:szCs w:val="20"/>
      <w:lang w:val="es-ES_tradnl" w:eastAsia="x-none"/>
    </w:rPr>
  </w:style>
  <w:style w:type="character" w:customStyle="1" w:styleId="apple-style-span">
    <w:name w:val="apple-style-span"/>
    <w:basedOn w:val="Fuentedeprrafopredeter"/>
    <w:rsid w:val="00AE74FC"/>
  </w:style>
  <w:style w:type="character" w:styleId="Textoennegrita">
    <w:name w:val="Strong"/>
    <w:aliases w:val="Heading 2.1"/>
    <w:uiPriority w:val="22"/>
    <w:qFormat/>
    <w:rsid w:val="00AE74FC"/>
    <w:rPr>
      <w:b/>
      <w:bCs/>
    </w:rPr>
  </w:style>
  <w:style w:type="paragraph" w:styleId="Sinespaciado">
    <w:name w:val="No Spacing"/>
    <w:uiPriority w:val="1"/>
    <w:qFormat/>
    <w:rsid w:val="00AE74FC"/>
    <w:pPr>
      <w:spacing w:after="0" w:line="240" w:lineRule="auto"/>
    </w:pPr>
    <w:rPr>
      <w:rFonts w:ascii="Calibri" w:eastAsia="Calibri" w:hAnsi="Calibri" w:cs="Times New Roman"/>
    </w:rPr>
  </w:style>
  <w:style w:type="paragraph" w:styleId="Prrafodelista">
    <w:name w:val="List Paragraph"/>
    <w:aliases w:val="List Paragraph2,Lista vistosa - Énfasis 11,Párrafo de lista1,List Paragraph1,Colorful List - Accent 11,Footnote,Footnote1,List Paragraph11,Subtle Emphasis1,Parrafos"/>
    <w:basedOn w:val="Normal"/>
    <w:link w:val="PrrafodelistaCar"/>
    <w:uiPriority w:val="1"/>
    <w:qFormat/>
    <w:rsid w:val="00AE74FC"/>
    <w:pPr>
      <w:spacing w:after="200" w:line="276" w:lineRule="auto"/>
      <w:ind w:left="720"/>
      <w:contextualSpacing/>
      <w:jc w:val="left"/>
    </w:pPr>
    <w:rPr>
      <w:rFonts w:eastAsia="Calibri" w:cs="Times New Roman"/>
      <w:szCs w:val="20"/>
      <w:lang w:eastAsia="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AE74FC"/>
    <w:rPr>
      <w:rFonts w:asciiTheme="minorHAnsi" w:eastAsiaTheme="minorHAnsi" w:hAnsiTheme="minorHAnsi" w:cs="Times New Roman"/>
      <w:sz w:val="22"/>
      <w:szCs w:val="20"/>
      <w:vertAlign w:val="superscript"/>
      <w:lang w:val="es-CR"/>
    </w:rPr>
  </w:style>
  <w:style w:type="character" w:customStyle="1" w:styleId="PrrafodelistaCar">
    <w:name w:val="Párrafo de lista Car"/>
    <w:aliases w:val="List Paragraph2 Car,Lista vistosa - Énfasis 11 Car,Párrafo de lista1 Car,List Paragraph1 Car,Colorful List - Accent 11 Car,Footnote Car,Footnote1 Car,List Paragraph11 Car,Subtle Emphasis1 Car,Parrafos Car"/>
    <w:link w:val="Prrafodelista"/>
    <w:uiPriority w:val="1"/>
    <w:rsid w:val="009D621C"/>
    <w:rPr>
      <w:rFonts w:ascii="Verdana" w:eastAsia="Calibri" w:hAnsi="Verdana" w:cs="Times New Roman"/>
      <w:sz w:val="20"/>
      <w:szCs w:val="20"/>
      <w:lang w:val="es-ES" w:eastAsia="es-ES"/>
    </w:rPr>
  </w:style>
  <w:style w:type="paragraph" w:customStyle="1" w:styleId="Footnotes">
    <w:name w:val="**. Footnotes"/>
    <w:basedOn w:val="Textonotapie"/>
    <w:link w:val="FootnotesChar"/>
    <w:autoRedefine/>
    <w:qFormat/>
    <w:rsid w:val="008E4F34"/>
    <w:pPr>
      <w:spacing w:before="0" w:after="0" w:line="216" w:lineRule="auto"/>
    </w:pPr>
    <w:rPr>
      <w:rFonts w:eastAsiaTheme="majorEastAsia" w:cs="Palatino-Italic"/>
      <w:iCs/>
      <w:noProof w:val="0"/>
      <w:szCs w:val="16"/>
      <w:lang w:val="es-ES" w:eastAsia="en-US" w:bidi="en-US"/>
    </w:rPr>
  </w:style>
  <w:style w:type="character" w:customStyle="1" w:styleId="FootnotesChar">
    <w:name w:val="**. Footnotes Char"/>
    <w:basedOn w:val="Fuentedeprrafopredeter"/>
    <w:link w:val="Footnotes"/>
    <w:rsid w:val="008E4F34"/>
    <w:rPr>
      <w:rFonts w:ascii="Verdana" w:eastAsiaTheme="majorEastAsia" w:hAnsi="Verdana" w:cs="Palatino-Italic"/>
      <w:iCs/>
      <w:sz w:val="16"/>
      <w:szCs w:val="16"/>
      <w:lang w:val="es-ES" w:bidi="en-US"/>
    </w:rPr>
  </w:style>
  <w:style w:type="paragraph" w:styleId="Encabezado">
    <w:name w:val="header"/>
    <w:basedOn w:val="Normal"/>
    <w:link w:val="EncabezadoCar"/>
    <w:uiPriority w:val="99"/>
    <w:unhideWhenUsed/>
    <w:rsid w:val="0040235D"/>
    <w:pPr>
      <w:tabs>
        <w:tab w:val="center" w:pos="4419"/>
        <w:tab w:val="right" w:pos="8838"/>
      </w:tabs>
    </w:pPr>
  </w:style>
  <w:style w:type="character" w:customStyle="1" w:styleId="EncabezadoCar">
    <w:name w:val="Encabezado Car"/>
    <w:basedOn w:val="Fuentedeprrafopredeter"/>
    <w:link w:val="Encabezado"/>
    <w:uiPriority w:val="99"/>
    <w:rsid w:val="0040235D"/>
    <w:rPr>
      <w:rFonts w:ascii="Verdana" w:eastAsia="Batang" w:hAnsi="Verdana" w:cs="Times"/>
      <w:sz w:val="20"/>
      <w:szCs w:val="24"/>
      <w:lang w:val="es-ES"/>
    </w:rPr>
  </w:style>
  <w:style w:type="paragraph" w:styleId="Piedepgina">
    <w:name w:val="footer"/>
    <w:basedOn w:val="Normal"/>
    <w:link w:val="PiedepginaCar"/>
    <w:uiPriority w:val="99"/>
    <w:unhideWhenUsed/>
    <w:rsid w:val="0040235D"/>
    <w:pPr>
      <w:tabs>
        <w:tab w:val="center" w:pos="4419"/>
        <w:tab w:val="right" w:pos="8838"/>
      </w:tabs>
    </w:pPr>
  </w:style>
  <w:style w:type="character" w:customStyle="1" w:styleId="PiedepginaCar">
    <w:name w:val="Pie de página Car"/>
    <w:basedOn w:val="Fuentedeprrafopredeter"/>
    <w:link w:val="Piedepgina"/>
    <w:uiPriority w:val="99"/>
    <w:rsid w:val="0040235D"/>
    <w:rPr>
      <w:rFonts w:ascii="Verdana" w:eastAsia="Batang" w:hAnsi="Verdana" w:cs="Times"/>
      <w:sz w:val="20"/>
      <w:szCs w:val="24"/>
      <w:lang w:val="es-ES"/>
    </w:rPr>
  </w:style>
  <w:style w:type="character" w:styleId="Nmerodelnea">
    <w:name w:val="line number"/>
    <w:basedOn w:val="Fuentedeprrafopredeter"/>
    <w:uiPriority w:val="99"/>
    <w:semiHidden/>
    <w:unhideWhenUsed/>
    <w:rsid w:val="0040235D"/>
  </w:style>
  <w:style w:type="character" w:styleId="Refdecomentario">
    <w:name w:val="annotation reference"/>
    <w:basedOn w:val="Fuentedeprrafopredeter"/>
    <w:uiPriority w:val="99"/>
    <w:semiHidden/>
    <w:unhideWhenUsed/>
    <w:rsid w:val="009B626A"/>
    <w:rPr>
      <w:sz w:val="16"/>
      <w:szCs w:val="16"/>
    </w:rPr>
  </w:style>
  <w:style w:type="paragraph" w:styleId="Textocomentario">
    <w:name w:val="annotation text"/>
    <w:basedOn w:val="Normal"/>
    <w:link w:val="TextocomentarioCar"/>
    <w:uiPriority w:val="99"/>
    <w:unhideWhenUsed/>
    <w:rsid w:val="009B626A"/>
    <w:rPr>
      <w:szCs w:val="20"/>
    </w:rPr>
  </w:style>
  <w:style w:type="character" w:customStyle="1" w:styleId="TextocomentarioCar">
    <w:name w:val="Texto comentario Car"/>
    <w:basedOn w:val="Fuentedeprrafopredeter"/>
    <w:link w:val="Textocomentario"/>
    <w:uiPriority w:val="99"/>
    <w:rsid w:val="009B626A"/>
    <w:rPr>
      <w:rFonts w:ascii="Verdana" w:eastAsia="Batang" w:hAnsi="Verdana" w:cs="Times"/>
      <w:sz w:val="20"/>
      <w:szCs w:val="20"/>
      <w:lang w:val="es-ES"/>
    </w:rPr>
  </w:style>
  <w:style w:type="paragraph" w:styleId="Asuntodelcomentario">
    <w:name w:val="annotation subject"/>
    <w:basedOn w:val="Textocomentario"/>
    <w:next w:val="Textocomentario"/>
    <w:link w:val="AsuntodelcomentarioCar"/>
    <w:uiPriority w:val="99"/>
    <w:semiHidden/>
    <w:unhideWhenUsed/>
    <w:rsid w:val="009B626A"/>
    <w:rPr>
      <w:b/>
      <w:bCs/>
    </w:rPr>
  </w:style>
  <w:style w:type="character" w:customStyle="1" w:styleId="AsuntodelcomentarioCar">
    <w:name w:val="Asunto del comentario Car"/>
    <w:basedOn w:val="TextocomentarioCar"/>
    <w:link w:val="Asuntodelcomentario"/>
    <w:uiPriority w:val="99"/>
    <w:semiHidden/>
    <w:rsid w:val="009B626A"/>
    <w:rPr>
      <w:rFonts w:ascii="Verdana" w:eastAsia="Batang" w:hAnsi="Verdana" w:cs="Times"/>
      <w:b/>
      <w:bCs/>
      <w:sz w:val="20"/>
      <w:szCs w:val="20"/>
      <w:lang w:val="es-ES"/>
    </w:rPr>
  </w:style>
  <w:style w:type="paragraph" w:styleId="Textodeglobo">
    <w:name w:val="Balloon Text"/>
    <w:basedOn w:val="Normal"/>
    <w:link w:val="TextodegloboCar"/>
    <w:uiPriority w:val="99"/>
    <w:semiHidden/>
    <w:unhideWhenUsed/>
    <w:rsid w:val="009B626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B626A"/>
    <w:rPr>
      <w:rFonts w:ascii="Segoe UI" w:eastAsia="Batang" w:hAnsi="Segoe UI" w:cs="Segoe UI"/>
      <w:sz w:val="18"/>
      <w:szCs w:val="18"/>
      <w:lang w:val="es-ES"/>
    </w:rPr>
  </w:style>
  <w:style w:type="paragraph" w:customStyle="1" w:styleId="PrrafodeSentencia">
    <w:name w:val="*. Párrafo de Sentencia"/>
    <w:basedOn w:val="Normal"/>
    <w:next w:val="Normal"/>
    <w:link w:val="PrrafodeSentenciaChar"/>
    <w:qFormat/>
    <w:rsid w:val="00EB5607"/>
    <w:pPr>
      <w:numPr>
        <w:numId w:val="7"/>
      </w:numPr>
      <w:tabs>
        <w:tab w:val="left" w:pos="567"/>
      </w:tabs>
      <w:ind w:left="0" w:firstLine="0"/>
    </w:pPr>
    <w:rPr>
      <w:rFonts w:cstheme="minorBidi"/>
      <w:spacing w:val="-4"/>
      <w:szCs w:val="22"/>
      <w:lang w:val="es-GT" w:eastAsia="es-MX"/>
    </w:rPr>
  </w:style>
  <w:style w:type="character" w:customStyle="1" w:styleId="PrrafodeSentenciaChar">
    <w:name w:val="*. Párrafo de Sentencia Char"/>
    <w:link w:val="PrrafodeSentencia"/>
    <w:locked/>
    <w:rsid w:val="00EB5607"/>
    <w:rPr>
      <w:rFonts w:ascii="Verdana" w:eastAsia="Batang" w:hAnsi="Verdana"/>
      <w:spacing w:val="-4"/>
      <w:sz w:val="20"/>
      <w:lang w:val="es-GT" w:eastAsia="es-MX"/>
    </w:rPr>
  </w:style>
  <w:style w:type="paragraph" w:customStyle="1" w:styleId="citaindirecta">
    <w:name w:val="cita indirecta"/>
    <w:basedOn w:val="Normal"/>
    <w:uiPriority w:val="99"/>
    <w:rsid w:val="00EB5607"/>
    <w:pPr>
      <w:ind w:left="708"/>
    </w:pPr>
    <w:rPr>
      <w:rFonts w:eastAsiaTheme="minorHAnsi" w:cs="Times New Roman"/>
      <w:szCs w:val="20"/>
      <w:lang w:val="es-ES_tradnl" w:eastAsia="es-MX"/>
    </w:rPr>
  </w:style>
  <w:style w:type="character" w:styleId="nfasissutil">
    <w:name w:val="Subtle Emphasis"/>
    <w:basedOn w:val="Fuentedeprrafopredeter"/>
    <w:uiPriority w:val="19"/>
    <w:qFormat/>
    <w:rsid w:val="00A069DF"/>
    <w:rPr>
      <w:i/>
      <w:iCs/>
      <w:color w:val="404040" w:themeColor="text1" w:themeTint="BF"/>
    </w:rPr>
  </w:style>
  <w:style w:type="character" w:styleId="Hipervnculo">
    <w:name w:val="Hyperlink"/>
    <w:basedOn w:val="Fuentedeprrafopredeter"/>
    <w:uiPriority w:val="99"/>
    <w:unhideWhenUsed/>
    <w:rsid w:val="008326BC"/>
    <w:rPr>
      <w:color w:val="0563C1" w:themeColor="hyperlink"/>
      <w:u w:val="single"/>
    </w:rPr>
  </w:style>
  <w:style w:type="paragraph" w:styleId="Revisin">
    <w:name w:val="Revision"/>
    <w:hidden/>
    <w:uiPriority w:val="99"/>
    <w:semiHidden/>
    <w:rsid w:val="00917CB0"/>
    <w:pPr>
      <w:spacing w:after="0" w:line="240" w:lineRule="auto"/>
    </w:pPr>
    <w:rPr>
      <w:rFonts w:ascii="Verdana" w:eastAsia="Batang" w:hAnsi="Verdana" w:cs="Times"/>
      <w:sz w:val="20"/>
      <w:szCs w:val="24"/>
      <w:lang w:val="es-E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34292B"/>
    <w:pPr>
      <w:spacing w:after="160" w:line="240" w:lineRule="exact"/>
    </w:pPr>
    <w:rPr>
      <w:rFonts w:eastAsiaTheme="minorHAnsi" w:cstheme="minorBidi"/>
      <w:szCs w:val="20"/>
      <w:vertAlign w:val="superscript"/>
      <w:lang w:val="es-CR"/>
    </w:rPr>
  </w:style>
  <w:style w:type="paragraph" w:styleId="Textoindependiente">
    <w:name w:val="Body Text"/>
    <w:basedOn w:val="Normal"/>
    <w:link w:val="TextoindependienteCar"/>
    <w:uiPriority w:val="99"/>
    <w:unhideWhenUsed/>
    <w:rsid w:val="00FC7118"/>
    <w:rPr>
      <w:rFonts w:eastAsia="Times New Roman" w:cs="Times New Roman"/>
      <w:color w:val="00B050"/>
      <w:szCs w:val="20"/>
      <w:lang w:val="es-CO"/>
    </w:rPr>
  </w:style>
  <w:style w:type="character" w:customStyle="1" w:styleId="TextoindependienteCar">
    <w:name w:val="Texto independiente Car"/>
    <w:basedOn w:val="Fuentedeprrafopredeter"/>
    <w:link w:val="Textoindependiente"/>
    <w:uiPriority w:val="99"/>
    <w:rsid w:val="00FC7118"/>
    <w:rPr>
      <w:rFonts w:ascii="Verdana" w:eastAsia="Times New Roman" w:hAnsi="Verdana" w:cs="Times New Roman"/>
      <w:color w:val="00B050"/>
      <w:sz w:val="20"/>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181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57518-8597-4858-B227-B390F3E94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3178</Words>
  <Characters>17485</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20622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Corte IDH</dc:creator>
  <cp:lastModifiedBy>Hannia Sanchez</cp:lastModifiedBy>
  <cp:revision>2</cp:revision>
  <cp:lastPrinted>2022-07-01T16:01:00Z</cp:lastPrinted>
  <dcterms:created xsi:type="dcterms:W3CDTF">2022-09-16T15:53:00Z</dcterms:created>
  <dcterms:modified xsi:type="dcterms:W3CDTF">2022-09-16T15:53:00Z</dcterms:modified>
</cp:coreProperties>
</file>