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DF2C2" w14:textId="72FFDE1A" w:rsidR="009403BF" w:rsidRPr="001714D7" w:rsidRDefault="009403BF" w:rsidP="00955888">
      <w:pPr>
        <w:pStyle w:val="Ttulo"/>
        <w:ind w:left="-142" w:right="-4"/>
        <w:rPr>
          <w:rFonts w:ascii="Verdana" w:eastAsia="MS Mincho" w:hAnsi="Verdana"/>
          <w:sz w:val="20"/>
        </w:rPr>
      </w:pPr>
    </w:p>
    <w:p w14:paraId="1696E873" w14:textId="77777777" w:rsidR="009403BF" w:rsidRPr="001714D7" w:rsidRDefault="009403BF" w:rsidP="00955888">
      <w:pPr>
        <w:pStyle w:val="Ttulo"/>
        <w:ind w:left="-142" w:right="-4"/>
        <w:rPr>
          <w:rFonts w:ascii="Verdana" w:eastAsia="MS Mincho" w:hAnsi="Verdana"/>
          <w:sz w:val="20"/>
        </w:rPr>
      </w:pPr>
    </w:p>
    <w:p w14:paraId="366053CD" w14:textId="77777777" w:rsidR="009403BF" w:rsidRPr="005C1789" w:rsidRDefault="009403BF" w:rsidP="00955888">
      <w:pPr>
        <w:pStyle w:val="Ttulo"/>
        <w:ind w:left="-142" w:right="-4"/>
        <w:rPr>
          <w:rFonts w:ascii="Verdana" w:eastAsia="MS Mincho" w:hAnsi="Verdana"/>
          <w:sz w:val="20"/>
        </w:rPr>
      </w:pPr>
      <w:r w:rsidRPr="005C1789">
        <w:rPr>
          <w:rFonts w:ascii="Verdana" w:eastAsia="MS Mincho" w:hAnsi="Verdana"/>
          <w:sz w:val="20"/>
        </w:rPr>
        <w:t>CORTE INTERAMERICANA DE DERECHOS HUMANOS</w:t>
      </w:r>
    </w:p>
    <w:p w14:paraId="287BB904" w14:textId="77777777" w:rsidR="009403BF" w:rsidRPr="005C1789" w:rsidRDefault="009403BF" w:rsidP="00955888">
      <w:pPr>
        <w:pStyle w:val="Ttulo"/>
        <w:ind w:left="708" w:right="-4" w:hanging="708"/>
        <w:rPr>
          <w:rFonts w:ascii="Verdana" w:eastAsia="MS Mincho" w:hAnsi="Verdana"/>
          <w:sz w:val="20"/>
        </w:rPr>
      </w:pPr>
    </w:p>
    <w:p w14:paraId="2D758441" w14:textId="77777777" w:rsidR="009403BF" w:rsidRPr="005C1789" w:rsidRDefault="009403BF" w:rsidP="00955888">
      <w:pPr>
        <w:pStyle w:val="Ttulo"/>
        <w:tabs>
          <w:tab w:val="left" w:pos="7501"/>
        </w:tabs>
        <w:ind w:left="-142" w:right="-4"/>
        <w:rPr>
          <w:rFonts w:ascii="Verdana" w:eastAsia="MS Mincho" w:hAnsi="Verdana"/>
          <w:sz w:val="20"/>
        </w:rPr>
      </w:pPr>
    </w:p>
    <w:p w14:paraId="105F7520" w14:textId="77777777" w:rsidR="009403BF" w:rsidRPr="005C1789" w:rsidRDefault="009403BF" w:rsidP="00955888">
      <w:pPr>
        <w:pStyle w:val="Ttulo"/>
        <w:ind w:left="-142" w:right="-4"/>
        <w:rPr>
          <w:rFonts w:ascii="Verdana" w:eastAsia="MS Mincho" w:hAnsi="Verdana"/>
          <w:i/>
          <w:sz w:val="20"/>
        </w:rPr>
      </w:pPr>
    </w:p>
    <w:p w14:paraId="391D195A" w14:textId="7C56E143" w:rsidR="008F1678" w:rsidRPr="005C1789" w:rsidRDefault="00391918" w:rsidP="00955888">
      <w:pPr>
        <w:jc w:val="center"/>
        <w:rPr>
          <w:rFonts w:ascii="Verdana" w:hAnsi="Verdana"/>
          <w:b/>
          <w:i/>
          <w:smallCaps/>
          <w:sz w:val="20"/>
          <w:szCs w:val="20"/>
          <w:lang w:eastAsia="es-ES"/>
        </w:rPr>
      </w:pPr>
      <w:r>
        <w:rPr>
          <w:rFonts w:ascii="Verdana" w:hAnsi="Verdana" w:cs="Verdana Bold"/>
          <w:b/>
          <w:bCs/>
          <w:i/>
          <w:caps/>
          <w:sz w:val="20"/>
          <w:szCs w:val="20"/>
        </w:rPr>
        <w:t xml:space="preserve">Caso </w:t>
      </w:r>
      <w:r w:rsidR="00957E1D" w:rsidRPr="005C1789">
        <w:rPr>
          <w:rFonts w:ascii="Verdana" w:hAnsi="Verdana" w:cs="Verdana Bold"/>
          <w:b/>
          <w:bCs/>
          <w:i/>
          <w:caps/>
          <w:sz w:val="20"/>
          <w:szCs w:val="20"/>
        </w:rPr>
        <w:t>Tzompaxtle Tecpile y otros Vs. México</w:t>
      </w:r>
    </w:p>
    <w:p w14:paraId="2C626B89" w14:textId="77777777" w:rsidR="009403BF" w:rsidRPr="005C1789" w:rsidRDefault="009403BF" w:rsidP="00955888">
      <w:pPr>
        <w:spacing w:after="120"/>
        <w:ind w:right="-4"/>
        <w:jc w:val="center"/>
        <w:rPr>
          <w:rFonts w:ascii="Verdana" w:hAnsi="Verdana" w:cs="Verdana Bold"/>
          <w:b/>
          <w:bCs/>
          <w:i/>
          <w:caps/>
          <w:sz w:val="20"/>
          <w:szCs w:val="20"/>
        </w:rPr>
      </w:pPr>
    </w:p>
    <w:p w14:paraId="40B62071" w14:textId="77777777" w:rsidR="009403BF" w:rsidRPr="005C1789" w:rsidRDefault="009403BF" w:rsidP="00955888">
      <w:pPr>
        <w:pStyle w:val="Ttulo"/>
        <w:ind w:left="-142" w:right="-4"/>
        <w:rPr>
          <w:rFonts w:ascii="Verdana" w:eastAsia="MS Mincho" w:hAnsi="Verdana"/>
          <w:sz w:val="20"/>
        </w:rPr>
      </w:pPr>
    </w:p>
    <w:p w14:paraId="26075D47" w14:textId="7D605225" w:rsidR="009403BF" w:rsidRPr="005C1789" w:rsidRDefault="009403BF" w:rsidP="00955888">
      <w:pPr>
        <w:pStyle w:val="Ttulo"/>
        <w:ind w:left="-142" w:right="-4"/>
        <w:rPr>
          <w:rFonts w:ascii="Verdana" w:eastAsia="MS Mincho" w:hAnsi="Verdana"/>
          <w:sz w:val="20"/>
        </w:rPr>
      </w:pPr>
      <w:r w:rsidRPr="005C1789">
        <w:rPr>
          <w:rFonts w:ascii="Verdana" w:eastAsia="MS Mincho" w:hAnsi="Verdana"/>
          <w:sz w:val="20"/>
        </w:rPr>
        <w:t xml:space="preserve">SENTENCIA </w:t>
      </w:r>
      <w:r w:rsidR="00784CCE" w:rsidRPr="005C1789">
        <w:rPr>
          <w:rFonts w:ascii="Verdana" w:eastAsia="MS Mincho" w:hAnsi="Verdana"/>
          <w:sz w:val="20"/>
        </w:rPr>
        <w:t xml:space="preserve">DE </w:t>
      </w:r>
      <w:r w:rsidR="000C6D9E" w:rsidRPr="005C1789">
        <w:rPr>
          <w:rFonts w:ascii="Verdana" w:eastAsia="MS Mincho" w:hAnsi="Verdana"/>
          <w:sz w:val="20"/>
        </w:rPr>
        <w:t>7</w:t>
      </w:r>
      <w:r w:rsidR="00957E1D" w:rsidRPr="005C1789">
        <w:rPr>
          <w:rFonts w:ascii="Verdana" w:eastAsia="MS Mincho" w:hAnsi="Verdana"/>
          <w:sz w:val="20"/>
        </w:rPr>
        <w:t xml:space="preserve"> </w:t>
      </w:r>
      <w:r w:rsidRPr="005C1789">
        <w:rPr>
          <w:rFonts w:ascii="Verdana" w:eastAsia="MS Mincho" w:hAnsi="Verdana"/>
          <w:sz w:val="20"/>
        </w:rPr>
        <w:t>DE</w:t>
      </w:r>
      <w:r w:rsidR="00A62821" w:rsidRPr="005C1789">
        <w:rPr>
          <w:rFonts w:ascii="Verdana" w:eastAsia="MS Mincho" w:hAnsi="Verdana"/>
          <w:sz w:val="20"/>
        </w:rPr>
        <w:t xml:space="preserve"> </w:t>
      </w:r>
      <w:r w:rsidR="0066465A" w:rsidRPr="005C1789">
        <w:rPr>
          <w:rFonts w:ascii="Verdana" w:eastAsia="MS Mincho" w:hAnsi="Verdana"/>
          <w:sz w:val="20"/>
        </w:rPr>
        <w:t xml:space="preserve">NOVIEMBRE </w:t>
      </w:r>
      <w:r w:rsidR="00435896" w:rsidRPr="005C1789">
        <w:rPr>
          <w:rFonts w:ascii="Verdana" w:eastAsia="MS Mincho" w:hAnsi="Verdana"/>
          <w:sz w:val="20"/>
        </w:rPr>
        <w:t xml:space="preserve">DE </w:t>
      </w:r>
      <w:r w:rsidR="009779A1" w:rsidRPr="005C1789">
        <w:rPr>
          <w:rFonts w:ascii="Verdana" w:eastAsia="MS Mincho" w:hAnsi="Verdana"/>
          <w:sz w:val="20"/>
        </w:rPr>
        <w:t>202</w:t>
      </w:r>
      <w:r w:rsidR="007D30F1" w:rsidRPr="005C1789">
        <w:rPr>
          <w:rFonts w:ascii="Verdana" w:eastAsia="MS Mincho" w:hAnsi="Verdana"/>
          <w:sz w:val="20"/>
        </w:rPr>
        <w:t>2</w:t>
      </w:r>
    </w:p>
    <w:p w14:paraId="0392388D" w14:textId="77777777" w:rsidR="009569E6" w:rsidRPr="005C1789" w:rsidRDefault="009569E6" w:rsidP="00955888">
      <w:pPr>
        <w:pStyle w:val="Ttulo"/>
        <w:ind w:right="-4"/>
        <w:jc w:val="both"/>
        <w:rPr>
          <w:rFonts w:ascii="Verdana" w:eastAsia="MS Mincho" w:hAnsi="Verdana"/>
          <w:sz w:val="20"/>
        </w:rPr>
      </w:pPr>
    </w:p>
    <w:p w14:paraId="1B901ED7" w14:textId="70BF409C" w:rsidR="009403BF" w:rsidRPr="005C1789" w:rsidRDefault="009403BF" w:rsidP="00955888">
      <w:pPr>
        <w:pStyle w:val="Subttulo"/>
        <w:ind w:left="-142" w:right="-4"/>
        <w:rPr>
          <w:rFonts w:ascii="Verdana" w:hAnsi="Verdana"/>
          <w:sz w:val="20"/>
          <w:szCs w:val="20"/>
        </w:rPr>
      </w:pPr>
      <w:r w:rsidRPr="005C1789">
        <w:rPr>
          <w:rFonts w:ascii="Verdana" w:hAnsi="Verdana"/>
          <w:sz w:val="20"/>
          <w:szCs w:val="20"/>
        </w:rPr>
        <w:t>(</w:t>
      </w:r>
      <w:r w:rsidR="00957E1D" w:rsidRPr="005C1789">
        <w:rPr>
          <w:rFonts w:ascii="Verdana" w:hAnsi="Verdana"/>
          <w:sz w:val="20"/>
          <w:szCs w:val="20"/>
        </w:rPr>
        <w:t xml:space="preserve">Excepción Preliminar, </w:t>
      </w:r>
      <w:r w:rsidRPr="005C1789">
        <w:rPr>
          <w:rFonts w:ascii="Verdana" w:hAnsi="Verdana"/>
          <w:sz w:val="20"/>
          <w:szCs w:val="20"/>
        </w:rPr>
        <w:t>Fondo, Reparaciones y Costas)</w:t>
      </w:r>
    </w:p>
    <w:p w14:paraId="02FBD8A1" w14:textId="13168F1D" w:rsidR="009403BF" w:rsidRPr="005C1789" w:rsidRDefault="009403BF" w:rsidP="00955888">
      <w:pPr>
        <w:ind w:left="-142" w:right="-4"/>
        <w:rPr>
          <w:rFonts w:ascii="Verdana" w:hAnsi="Verdana"/>
          <w:sz w:val="20"/>
          <w:szCs w:val="20"/>
        </w:rPr>
      </w:pPr>
    </w:p>
    <w:p w14:paraId="12B246A6" w14:textId="77777777" w:rsidR="009403BF" w:rsidRPr="005C1789" w:rsidRDefault="009403BF" w:rsidP="00955888">
      <w:pPr>
        <w:ind w:left="-142" w:right="-4"/>
        <w:rPr>
          <w:rFonts w:ascii="Verdana" w:hAnsi="Verdana"/>
          <w:sz w:val="20"/>
          <w:szCs w:val="20"/>
        </w:rPr>
      </w:pPr>
    </w:p>
    <w:p w14:paraId="5C4CFD96" w14:textId="77777777" w:rsidR="009403BF" w:rsidRPr="005C1789" w:rsidRDefault="009403BF" w:rsidP="00955888">
      <w:pPr>
        <w:ind w:left="-142" w:right="-4"/>
        <w:rPr>
          <w:rFonts w:ascii="Verdana" w:hAnsi="Verdana"/>
          <w:sz w:val="20"/>
          <w:szCs w:val="20"/>
        </w:rPr>
      </w:pPr>
    </w:p>
    <w:p w14:paraId="10A94594" w14:textId="45BF1B34" w:rsidR="008F1678" w:rsidRPr="005C1789" w:rsidRDefault="009403BF" w:rsidP="00955888">
      <w:pPr>
        <w:rPr>
          <w:rFonts w:ascii="Verdana" w:hAnsi="Verdana"/>
          <w:i/>
          <w:sz w:val="20"/>
          <w:szCs w:val="20"/>
        </w:rPr>
      </w:pPr>
      <w:r w:rsidRPr="005C1789">
        <w:rPr>
          <w:rFonts w:ascii="Verdana" w:hAnsi="Verdana"/>
          <w:sz w:val="20"/>
          <w:szCs w:val="20"/>
        </w:rPr>
        <w:t xml:space="preserve">En el </w:t>
      </w:r>
      <w:r w:rsidR="00BB15CC" w:rsidRPr="005C1789">
        <w:rPr>
          <w:rFonts w:ascii="Verdana" w:hAnsi="Verdana"/>
          <w:sz w:val="20"/>
          <w:szCs w:val="20"/>
        </w:rPr>
        <w:t xml:space="preserve">caso </w:t>
      </w:r>
      <w:proofErr w:type="spellStart"/>
      <w:r w:rsidR="00561EA2" w:rsidRPr="005C1789">
        <w:rPr>
          <w:rFonts w:ascii="Verdana" w:hAnsi="Verdana"/>
          <w:i/>
          <w:sz w:val="20"/>
          <w:szCs w:val="20"/>
        </w:rPr>
        <w:t>Tzompaxtle</w:t>
      </w:r>
      <w:proofErr w:type="spellEnd"/>
      <w:r w:rsidR="00561EA2" w:rsidRPr="005C1789">
        <w:rPr>
          <w:rFonts w:ascii="Verdana" w:hAnsi="Verdana"/>
          <w:i/>
          <w:sz w:val="20"/>
          <w:szCs w:val="20"/>
        </w:rPr>
        <w:t xml:space="preserve"> </w:t>
      </w:r>
      <w:proofErr w:type="spellStart"/>
      <w:r w:rsidR="00561EA2" w:rsidRPr="005C1789">
        <w:rPr>
          <w:rFonts w:ascii="Verdana" w:hAnsi="Verdana"/>
          <w:i/>
          <w:sz w:val="20"/>
          <w:szCs w:val="20"/>
        </w:rPr>
        <w:t>Tecpile</w:t>
      </w:r>
      <w:proofErr w:type="spellEnd"/>
      <w:r w:rsidR="00561EA2" w:rsidRPr="005C1789">
        <w:rPr>
          <w:rFonts w:ascii="Verdana" w:hAnsi="Verdana"/>
          <w:i/>
          <w:sz w:val="20"/>
          <w:szCs w:val="20"/>
        </w:rPr>
        <w:t xml:space="preserve"> y otros Vs. México</w:t>
      </w:r>
      <w:r w:rsidR="004B605F" w:rsidRPr="005C1789">
        <w:rPr>
          <w:rFonts w:ascii="Verdana" w:hAnsi="Verdana"/>
          <w:i/>
          <w:sz w:val="20"/>
          <w:szCs w:val="20"/>
        </w:rPr>
        <w:t>,</w:t>
      </w:r>
      <w:r w:rsidR="00EA184A" w:rsidRPr="005C1789">
        <w:rPr>
          <w:rFonts w:ascii="Verdana" w:hAnsi="Verdana"/>
          <w:i/>
          <w:sz w:val="20"/>
          <w:szCs w:val="20"/>
        </w:rPr>
        <w:t xml:space="preserve"> </w:t>
      </w:r>
    </w:p>
    <w:p w14:paraId="48DEE953" w14:textId="77777777" w:rsidR="009403BF" w:rsidRPr="005C1789" w:rsidRDefault="009403BF" w:rsidP="00955888">
      <w:pPr>
        <w:ind w:right="-4"/>
        <w:rPr>
          <w:rFonts w:ascii="Verdana" w:hAnsi="Verdana"/>
          <w:sz w:val="20"/>
          <w:szCs w:val="20"/>
        </w:rPr>
      </w:pPr>
    </w:p>
    <w:p w14:paraId="553F4C90" w14:textId="0CD4E330" w:rsidR="009403BF" w:rsidRPr="005C1789" w:rsidRDefault="009403BF" w:rsidP="00955888">
      <w:pPr>
        <w:ind w:right="-4"/>
        <w:jc w:val="both"/>
        <w:rPr>
          <w:rFonts w:ascii="Verdana" w:hAnsi="Verdana"/>
          <w:sz w:val="20"/>
          <w:szCs w:val="20"/>
        </w:rPr>
      </w:pPr>
      <w:r w:rsidRPr="005C1789">
        <w:rPr>
          <w:rFonts w:ascii="Verdana" w:hAnsi="Verdana"/>
          <w:sz w:val="20"/>
          <w:szCs w:val="20"/>
        </w:rPr>
        <w:t>la Corte Interamericana de Derechos Humanos (en adelante “la Corte Interamericana”, “la Corte” o “el Tribunal”), integrada por los siguientes Jueces</w:t>
      </w:r>
      <w:r w:rsidR="009E301B" w:rsidRPr="005C1789">
        <w:rPr>
          <w:rStyle w:val="Refdenotaalpie"/>
          <w:rFonts w:ascii="Verdana" w:hAnsi="Verdana"/>
          <w:sz w:val="20"/>
        </w:rPr>
        <w:footnoteReference w:customMarkFollows="1" w:id="2"/>
        <w:t>*</w:t>
      </w:r>
      <w:r w:rsidRPr="005C1789">
        <w:rPr>
          <w:rFonts w:ascii="Verdana" w:hAnsi="Verdana"/>
          <w:sz w:val="20"/>
          <w:szCs w:val="20"/>
        </w:rPr>
        <w:t>:</w:t>
      </w:r>
    </w:p>
    <w:p w14:paraId="78691EAE" w14:textId="77777777" w:rsidR="009403BF" w:rsidRPr="005C1789" w:rsidRDefault="009403BF" w:rsidP="00955888">
      <w:pPr>
        <w:ind w:right="-4"/>
        <w:rPr>
          <w:rFonts w:ascii="Verdana" w:hAnsi="Verdana"/>
          <w:sz w:val="20"/>
          <w:szCs w:val="20"/>
        </w:rPr>
      </w:pPr>
    </w:p>
    <w:p w14:paraId="2828D852" w14:textId="79A791EA" w:rsidR="00947D50" w:rsidRPr="005C1789" w:rsidRDefault="00947D50" w:rsidP="00955888">
      <w:pPr>
        <w:pStyle w:val="citaindirecta"/>
        <w:ind w:right="-4"/>
        <w:jc w:val="both"/>
        <w:rPr>
          <w:rFonts w:ascii="Verdana" w:hAnsi="Verdana"/>
          <w:sz w:val="20"/>
        </w:rPr>
      </w:pPr>
      <w:r w:rsidRPr="005C1789">
        <w:rPr>
          <w:rFonts w:ascii="Verdana" w:hAnsi="Verdana"/>
          <w:sz w:val="20"/>
        </w:rPr>
        <w:t xml:space="preserve">Ricardo C. Pérez Manrique, </w:t>
      </w:r>
      <w:proofErr w:type="gramStart"/>
      <w:r w:rsidRPr="005C1789">
        <w:rPr>
          <w:rFonts w:ascii="Verdana" w:hAnsi="Verdana"/>
          <w:sz w:val="20"/>
        </w:rPr>
        <w:t>Presidente</w:t>
      </w:r>
      <w:proofErr w:type="gramEnd"/>
      <w:r w:rsidRPr="005C1789">
        <w:rPr>
          <w:rFonts w:ascii="Verdana" w:hAnsi="Verdana"/>
          <w:sz w:val="20"/>
        </w:rPr>
        <w:t>;</w:t>
      </w:r>
    </w:p>
    <w:p w14:paraId="1CF4EC5A" w14:textId="733C4143" w:rsidR="00947D50" w:rsidRPr="005C1789" w:rsidRDefault="00947D50" w:rsidP="00955888">
      <w:pPr>
        <w:pStyle w:val="citaindirecta"/>
        <w:ind w:right="-4"/>
        <w:jc w:val="both"/>
        <w:rPr>
          <w:rFonts w:ascii="Verdana" w:hAnsi="Verdana"/>
          <w:sz w:val="20"/>
        </w:rPr>
      </w:pPr>
      <w:r w:rsidRPr="005C1789">
        <w:rPr>
          <w:rFonts w:ascii="Verdana" w:hAnsi="Verdana"/>
          <w:sz w:val="20"/>
        </w:rPr>
        <w:t>Humberto A</w:t>
      </w:r>
      <w:r w:rsidR="006A56FA" w:rsidRPr="005C1789">
        <w:rPr>
          <w:rFonts w:ascii="Verdana" w:hAnsi="Verdana"/>
          <w:sz w:val="20"/>
        </w:rPr>
        <w:t>.</w:t>
      </w:r>
      <w:r w:rsidRPr="005C1789">
        <w:rPr>
          <w:rFonts w:ascii="Verdana" w:hAnsi="Verdana"/>
          <w:sz w:val="20"/>
        </w:rPr>
        <w:t xml:space="preserve"> Sierra Porto, </w:t>
      </w:r>
      <w:proofErr w:type="gramStart"/>
      <w:r w:rsidRPr="005C1789">
        <w:rPr>
          <w:rFonts w:ascii="Verdana" w:hAnsi="Verdana"/>
          <w:sz w:val="20"/>
        </w:rPr>
        <w:t>Vicepresidente</w:t>
      </w:r>
      <w:proofErr w:type="gramEnd"/>
      <w:r w:rsidRPr="005C1789">
        <w:rPr>
          <w:rFonts w:ascii="Verdana" w:hAnsi="Verdana"/>
          <w:sz w:val="20"/>
        </w:rPr>
        <w:t>;</w:t>
      </w:r>
    </w:p>
    <w:p w14:paraId="40C23648" w14:textId="5169F292" w:rsidR="00561EA2" w:rsidRPr="005C1789" w:rsidRDefault="006D25FB" w:rsidP="00955888">
      <w:pPr>
        <w:pStyle w:val="citaindirecta"/>
        <w:ind w:right="-4"/>
        <w:jc w:val="both"/>
        <w:rPr>
          <w:rFonts w:ascii="Verdana" w:hAnsi="Verdana"/>
          <w:sz w:val="20"/>
        </w:rPr>
      </w:pPr>
      <w:r w:rsidRPr="005C1789">
        <w:rPr>
          <w:rFonts w:ascii="Verdana" w:hAnsi="Verdana"/>
          <w:sz w:val="20"/>
        </w:rPr>
        <w:t>Nancy Hernández López, Jueza</w:t>
      </w:r>
      <w:r w:rsidR="00561EA2" w:rsidRPr="005C1789">
        <w:rPr>
          <w:rFonts w:ascii="Verdana" w:hAnsi="Verdana"/>
          <w:sz w:val="20"/>
        </w:rPr>
        <w:t>;</w:t>
      </w:r>
    </w:p>
    <w:p w14:paraId="688B9FEE" w14:textId="312447CA" w:rsidR="006D25FB" w:rsidRPr="005C1789" w:rsidRDefault="006D25FB" w:rsidP="00955888">
      <w:pPr>
        <w:pStyle w:val="citaindirecta"/>
        <w:ind w:right="-4"/>
        <w:jc w:val="both"/>
        <w:rPr>
          <w:rFonts w:ascii="Verdana" w:hAnsi="Verdana"/>
          <w:sz w:val="20"/>
        </w:rPr>
      </w:pPr>
      <w:r w:rsidRPr="005C1789">
        <w:rPr>
          <w:rFonts w:ascii="Verdana" w:hAnsi="Verdana"/>
          <w:sz w:val="20"/>
        </w:rPr>
        <w:t>Verónica Gómez, Jueza;</w:t>
      </w:r>
    </w:p>
    <w:p w14:paraId="57E2EE57" w14:textId="1C978789" w:rsidR="006D25FB" w:rsidRPr="005C1789" w:rsidRDefault="006D25FB" w:rsidP="00955888">
      <w:pPr>
        <w:pStyle w:val="citaindirecta"/>
        <w:ind w:right="-4"/>
        <w:jc w:val="both"/>
        <w:rPr>
          <w:rFonts w:ascii="Verdana" w:hAnsi="Verdana"/>
          <w:sz w:val="20"/>
        </w:rPr>
      </w:pPr>
      <w:r w:rsidRPr="005C1789">
        <w:rPr>
          <w:rFonts w:ascii="Verdana" w:hAnsi="Verdana"/>
          <w:sz w:val="20"/>
        </w:rPr>
        <w:t xml:space="preserve">Patricia Pérez Goldberg, Jueza, y </w:t>
      </w:r>
    </w:p>
    <w:p w14:paraId="752888E2" w14:textId="35277E21" w:rsidR="006D25FB" w:rsidRPr="005C1789" w:rsidRDefault="006D25FB" w:rsidP="00955888">
      <w:pPr>
        <w:pStyle w:val="citaindirecta"/>
        <w:ind w:right="-4"/>
        <w:jc w:val="both"/>
        <w:rPr>
          <w:rFonts w:ascii="Verdana" w:hAnsi="Verdana"/>
          <w:sz w:val="20"/>
          <w:lang w:val="es-CR"/>
        </w:rPr>
      </w:pPr>
      <w:r w:rsidRPr="005C1789">
        <w:rPr>
          <w:rFonts w:ascii="Verdana" w:hAnsi="Verdana"/>
          <w:sz w:val="20"/>
          <w:lang w:val="es-CR"/>
        </w:rPr>
        <w:t>Rodrigo</w:t>
      </w:r>
      <w:r w:rsidR="00382DE0" w:rsidRPr="005C1789">
        <w:rPr>
          <w:rFonts w:ascii="Verdana" w:hAnsi="Verdana"/>
          <w:sz w:val="20"/>
          <w:lang w:val="es-CR"/>
        </w:rPr>
        <w:t xml:space="preserve"> </w:t>
      </w:r>
      <w:proofErr w:type="spellStart"/>
      <w:r w:rsidRPr="005C1789">
        <w:rPr>
          <w:rFonts w:ascii="Verdana" w:hAnsi="Verdana"/>
          <w:sz w:val="20"/>
          <w:lang w:val="es-CR"/>
        </w:rPr>
        <w:t>Mudrovitsch</w:t>
      </w:r>
      <w:proofErr w:type="spellEnd"/>
      <w:r w:rsidRPr="005C1789">
        <w:rPr>
          <w:rFonts w:ascii="Verdana" w:hAnsi="Verdana"/>
          <w:sz w:val="20"/>
          <w:lang w:val="es-CR"/>
        </w:rPr>
        <w:t>, Juez,</w:t>
      </w:r>
    </w:p>
    <w:p w14:paraId="2C95BA9D" w14:textId="77777777" w:rsidR="00947D50" w:rsidRPr="005C1789" w:rsidRDefault="00947D50" w:rsidP="00955888">
      <w:pPr>
        <w:pStyle w:val="citaindirecta"/>
        <w:ind w:right="-4"/>
        <w:jc w:val="both"/>
        <w:rPr>
          <w:rFonts w:ascii="Verdana" w:hAnsi="Verdana"/>
          <w:sz w:val="20"/>
          <w:lang w:val="es-CR"/>
        </w:rPr>
      </w:pPr>
    </w:p>
    <w:p w14:paraId="6BA6E6DE" w14:textId="77777777" w:rsidR="009403BF" w:rsidRPr="005C1789" w:rsidRDefault="009403BF" w:rsidP="00955888">
      <w:pPr>
        <w:ind w:right="-4"/>
        <w:rPr>
          <w:rFonts w:ascii="Verdana" w:hAnsi="Verdana"/>
          <w:sz w:val="20"/>
          <w:szCs w:val="20"/>
        </w:rPr>
      </w:pPr>
    </w:p>
    <w:p w14:paraId="7CF3BADF" w14:textId="79C5C043" w:rsidR="009403BF" w:rsidRPr="005C1789" w:rsidRDefault="0023621E" w:rsidP="00955888">
      <w:pPr>
        <w:ind w:right="-4"/>
        <w:rPr>
          <w:rFonts w:ascii="Verdana" w:hAnsi="Verdana"/>
          <w:sz w:val="20"/>
          <w:szCs w:val="20"/>
        </w:rPr>
      </w:pPr>
      <w:r w:rsidRPr="005C1789">
        <w:rPr>
          <w:rFonts w:ascii="Verdana" w:hAnsi="Verdana"/>
          <w:sz w:val="20"/>
          <w:szCs w:val="20"/>
        </w:rPr>
        <w:t>presente</w:t>
      </w:r>
      <w:r w:rsidR="00561EA2" w:rsidRPr="005C1789">
        <w:rPr>
          <w:rFonts w:ascii="Verdana" w:hAnsi="Verdana"/>
          <w:sz w:val="20"/>
          <w:szCs w:val="20"/>
        </w:rPr>
        <w:t>s</w:t>
      </w:r>
      <w:r w:rsidR="009403BF" w:rsidRPr="005C1789">
        <w:rPr>
          <w:rFonts w:ascii="Verdana" w:hAnsi="Verdana"/>
          <w:sz w:val="20"/>
          <w:szCs w:val="20"/>
        </w:rPr>
        <w:t>, además,</w:t>
      </w:r>
    </w:p>
    <w:p w14:paraId="2D54F054" w14:textId="77777777" w:rsidR="009403BF" w:rsidRPr="005C1789" w:rsidRDefault="009403BF" w:rsidP="00955888">
      <w:pPr>
        <w:ind w:right="-4"/>
        <w:rPr>
          <w:rFonts w:ascii="Verdana" w:hAnsi="Verdana"/>
          <w:sz w:val="20"/>
          <w:szCs w:val="20"/>
        </w:rPr>
      </w:pPr>
    </w:p>
    <w:p w14:paraId="37DAD56F" w14:textId="7ECEDC3F" w:rsidR="00561EA2" w:rsidRPr="005C1789" w:rsidRDefault="00561EA2" w:rsidP="00955888">
      <w:pPr>
        <w:ind w:right="-4" w:firstLine="708"/>
        <w:rPr>
          <w:rFonts w:ascii="Verdana" w:hAnsi="Verdana"/>
          <w:sz w:val="20"/>
          <w:szCs w:val="20"/>
        </w:rPr>
      </w:pPr>
      <w:r w:rsidRPr="005C1789">
        <w:rPr>
          <w:rFonts w:ascii="Verdana" w:hAnsi="Verdana"/>
          <w:sz w:val="20"/>
          <w:szCs w:val="20"/>
        </w:rPr>
        <w:t xml:space="preserve">Pablo Saavedra Alessandri, </w:t>
      </w:r>
      <w:proofErr w:type="gramStart"/>
      <w:r w:rsidRPr="005C1789">
        <w:rPr>
          <w:rFonts w:ascii="Verdana" w:hAnsi="Verdana"/>
          <w:sz w:val="20"/>
          <w:szCs w:val="20"/>
        </w:rPr>
        <w:t>Secretario</w:t>
      </w:r>
      <w:proofErr w:type="gramEnd"/>
      <w:r w:rsidRPr="005C1789">
        <w:rPr>
          <w:rFonts w:ascii="Verdana" w:hAnsi="Verdana"/>
          <w:sz w:val="20"/>
          <w:szCs w:val="20"/>
        </w:rPr>
        <w:t>, y</w:t>
      </w:r>
    </w:p>
    <w:p w14:paraId="2E948EF9" w14:textId="5EF4DD5C" w:rsidR="009403BF" w:rsidRPr="005C1789" w:rsidRDefault="00E043D2" w:rsidP="00955888">
      <w:pPr>
        <w:ind w:right="-4" w:firstLine="708"/>
        <w:rPr>
          <w:rFonts w:ascii="Verdana" w:hAnsi="Verdana"/>
          <w:sz w:val="20"/>
          <w:szCs w:val="20"/>
        </w:rPr>
      </w:pPr>
      <w:r w:rsidRPr="005C1789">
        <w:rPr>
          <w:rFonts w:ascii="Verdana" w:hAnsi="Verdana"/>
          <w:sz w:val="20"/>
          <w:szCs w:val="20"/>
        </w:rPr>
        <w:t xml:space="preserve">Romina I. Sijniensky, </w:t>
      </w:r>
      <w:proofErr w:type="gramStart"/>
      <w:r w:rsidRPr="005C1789">
        <w:rPr>
          <w:rFonts w:ascii="Verdana" w:hAnsi="Verdana"/>
          <w:sz w:val="20"/>
          <w:szCs w:val="20"/>
        </w:rPr>
        <w:t>Secretaria</w:t>
      </w:r>
      <w:proofErr w:type="gramEnd"/>
      <w:r w:rsidRPr="005C1789">
        <w:rPr>
          <w:rFonts w:ascii="Verdana" w:hAnsi="Verdana"/>
          <w:sz w:val="20"/>
          <w:szCs w:val="20"/>
        </w:rPr>
        <w:t xml:space="preserve"> Adjunta,</w:t>
      </w:r>
    </w:p>
    <w:p w14:paraId="143DB2BD" w14:textId="77777777" w:rsidR="009403BF" w:rsidRPr="005C1789" w:rsidRDefault="009403BF" w:rsidP="00955888">
      <w:pPr>
        <w:ind w:right="-4"/>
        <w:rPr>
          <w:rFonts w:ascii="Verdana" w:hAnsi="Verdana"/>
          <w:sz w:val="20"/>
          <w:szCs w:val="20"/>
        </w:rPr>
      </w:pPr>
    </w:p>
    <w:p w14:paraId="1DFEACB1" w14:textId="002BD9E8" w:rsidR="009403BF" w:rsidRPr="005C1789" w:rsidRDefault="009403BF" w:rsidP="00955888">
      <w:pPr>
        <w:ind w:right="-4"/>
        <w:jc w:val="both"/>
        <w:rPr>
          <w:rFonts w:ascii="Verdana" w:hAnsi="Verdana"/>
          <w:sz w:val="20"/>
          <w:szCs w:val="20"/>
        </w:rPr>
      </w:pPr>
      <w:r w:rsidRPr="005C1789">
        <w:rPr>
          <w:rFonts w:ascii="Verdana" w:hAnsi="Verdana"/>
          <w:sz w:val="20"/>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r w:rsidR="00E043D2" w:rsidRPr="005C1789">
        <w:rPr>
          <w:rFonts w:ascii="Verdana" w:hAnsi="Verdana"/>
          <w:sz w:val="20"/>
          <w:szCs w:val="20"/>
        </w:rPr>
        <w:t>, que se estructura en el siguiente orden:</w:t>
      </w:r>
    </w:p>
    <w:p w14:paraId="4E33C656" w14:textId="77777777" w:rsidR="009403BF" w:rsidRPr="005C1789" w:rsidRDefault="009403BF" w:rsidP="00955888">
      <w:pPr>
        <w:ind w:right="-4"/>
        <w:rPr>
          <w:rFonts w:ascii="Verdana" w:hAnsi="Verdana"/>
          <w:sz w:val="20"/>
          <w:szCs w:val="20"/>
        </w:rPr>
      </w:pPr>
    </w:p>
    <w:p w14:paraId="334CA863" w14:textId="663F20A5" w:rsidR="00C32DA9" w:rsidRPr="005C1789" w:rsidRDefault="00C32DA9" w:rsidP="00955888">
      <w:pPr>
        <w:pStyle w:val="Ttulo"/>
        <w:spacing w:before="240" w:after="240"/>
        <w:ind w:left="-142" w:right="-46"/>
        <w:rPr>
          <w:rFonts w:ascii="Verdana" w:eastAsia="MS Mincho" w:hAnsi="Verdana"/>
          <w:sz w:val="20"/>
        </w:rPr>
      </w:pPr>
    </w:p>
    <w:p w14:paraId="1ED44A09" w14:textId="77777777" w:rsidR="00382DE0" w:rsidRPr="005C1789" w:rsidRDefault="00382DE0" w:rsidP="00955888">
      <w:pPr>
        <w:pStyle w:val="Ttulo"/>
        <w:spacing w:before="240" w:after="240"/>
        <w:ind w:left="-142" w:right="-46"/>
        <w:rPr>
          <w:rFonts w:ascii="Verdana" w:eastAsia="MS Mincho" w:hAnsi="Verdana"/>
          <w:sz w:val="20"/>
        </w:rPr>
      </w:pPr>
    </w:p>
    <w:p w14:paraId="1EE49AF5" w14:textId="66CD3190" w:rsidR="00C32DA9" w:rsidRPr="005C1789" w:rsidRDefault="00C32DA9" w:rsidP="00955888">
      <w:pPr>
        <w:pStyle w:val="Ttulo"/>
        <w:spacing w:before="240" w:after="240"/>
        <w:ind w:left="-142" w:right="-46"/>
        <w:rPr>
          <w:rFonts w:ascii="Verdana" w:eastAsia="MS Mincho" w:hAnsi="Verdana"/>
          <w:sz w:val="20"/>
        </w:rPr>
      </w:pPr>
    </w:p>
    <w:p w14:paraId="43197D4C" w14:textId="28D47D5C" w:rsidR="00C32DA9" w:rsidRPr="005C1789" w:rsidRDefault="00C32DA9" w:rsidP="00955888">
      <w:pPr>
        <w:pStyle w:val="Ttulo"/>
        <w:spacing w:before="240" w:after="240"/>
        <w:ind w:left="-142" w:right="-46"/>
        <w:rPr>
          <w:rFonts w:ascii="Verdana" w:eastAsia="MS Mincho" w:hAnsi="Verdana"/>
          <w:sz w:val="20"/>
        </w:rPr>
      </w:pPr>
    </w:p>
    <w:p w14:paraId="5D750F2C" w14:textId="3717C297" w:rsidR="00D34019" w:rsidRPr="005C1789" w:rsidRDefault="00D34019" w:rsidP="00955888">
      <w:pPr>
        <w:pStyle w:val="Ttulo"/>
        <w:ind w:right="-45"/>
        <w:jc w:val="left"/>
        <w:rPr>
          <w:rFonts w:ascii="Verdana" w:eastAsia="MS Mincho" w:hAnsi="Verdana"/>
          <w:sz w:val="20"/>
        </w:rPr>
      </w:pPr>
    </w:p>
    <w:p w14:paraId="2590FBD1" w14:textId="77777777" w:rsidR="00714300" w:rsidRPr="005C1789" w:rsidRDefault="00714300" w:rsidP="00955888">
      <w:pPr>
        <w:pStyle w:val="Ttulo"/>
        <w:ind w:right="-45"/>
        <w:jc w:val="left"/>
        <w:rPr>
          <w:rFonts w:ascii="Verdana" w:eastAsia="MS Mincho" w:hAnsi="Verdana"/>
          <w:sz w:val="20"/>
        </w:rPr>
      </w:pPr>
    </w:p>
    <w:p w14:paraId="5680E33E" w14:textId="77777777" w:rsidR="00D10592" w:rsidRDefault="00D10592" w:rsidP="00955888">
      <w:pPr>
        <w:jc w:val="center"/>
        <w:rPr>
          <w:rFonts w:ascii="Verdana" w:hAnsi="Verdana" w:cs="Verdana Bold"/>
          <w:b/>
          <w:bCs/>
          <w:i/>
          <w:caps/>
          <w:sz w:val="20"/>
          <w:szCs w:val="20"/>
        </w:rPr>
      </w:pPr>
      <w:bookmarkStart w:id="0" w:name="_Toc369989729"/>
      <w:bookmarkStart w:id="1" w:name="_Toc438132269"/>
      <w:bookmarkStart w:id="2" w:name="_Toc288744729"/>
      <w:bookmarkStart w:id="3" w:name="_Toc486693351"/>
      <w:bookmarkStart w:id="4" w:name="_Toc486842767"/>
      <w:bookmarkStart w:id="5" w:name="_Toc486842905"/>
      <w:bookmarkStart w:id="6" w:name="_Toc11166262"/>
    </w:p>
    <w:p w14:paraId="63E635C5" w14:textId="04D0BA1F" w:rsidR="007914C4" w:rsidRPr="005C1789" w:rsidRDefault="00382DE0" w:rsidP="00955888">
      <w:pPr>
        <w:jc w:val="center"/>
        <w:rPr>
          <w:rFonts w:ascii="Verdana" w:hAnsi="Verdana" w:cs="Verdana Bold"/>
          <w:b/>
          <w:bCs/>
          <w:i/>
          <w:caps/>
          <w:sz w:val="20"/>
          <w:szCs w:val="20"/>
        </w:rPr>
      </w:pPr>
      <w:r w:rsidRPr="005C1789">
        <w:rPr>
          <w:rFonts w:ascii="Verdana" w:hAnsi="Verdana" w:cs="Verdana Bold"/>
          <w:b/>
          <w:bCs/>
          <w:i/>
          <w:caps/>
          <w:sz w:val="20"/>
          <w:szCs w:val="20"/>
        </w:rPr>
        <w:lastRenderedPageBreak/>
        <w:t>Tzompaxtle Tecpile y otros Vs. México</w:t>
      </w:r>
      <w:r w:rsidR="007914C4" w:rsidRPr="005C1789">
        <w:rPr>
          <w:rFonts w:ascii="Verdana" w:hAnsi="Verdana" w:cs="Verdana Bold"/>
          <w:b/>
          <w:bCs/>
          <w:i/>
          <w:caps/>
          <w:sz w:val="20"/>
          <w:szCs w:val="20"/>
        </w:rPr>
        <w:t xml:space="preserve"> </w:t>
      </w:r>
    </w:p>
    <w:p w14:paraId="7CEEA5A1" w14:textId="77777777" w:rsidR="00325817" w:rsidRPr="005C1789" w:rsidRDefault="00325817" w:rsidP="00955888">
      <w:pPr>
        <w:ind w:right="-6"/>
        <w:jc w:val="center"/>
        <w:rPr>
          <w:rFonts w:ascii="Verdana" w:hAnsi="Verdana" w:cs="Verdana Bold"/>
          <w:b/>
          <w:bCs/>
          <w:iCs/>
          <w:caps/>
          <w:sz w:val="20"/>
          <w:szCs w:val="20"/>
        </w:rPr>
      </w:pPr>
    </w:p>
    <w:p w14:paraId="2E876E2A" w14:textId="7B9ACE70" w:rsidR="000D32B6" w:rsidRPr="005C1789" w:rsidRDefault="000D32B6" w:rsidP="00955888">
      <w:pPr>
        <w:ind w:right="-6"/>
        <w:jc w:val="center"/>
        <w:rPr>
          <w:rFonts w:ascii="Verdana" w:hAnsi="Verdana" w:cs="Verdana Bold"/>
          <w:b/>
          <w:bCs/>
          <w:iCs/>
          <w:caps/>
          <w:sz w:val="20"/>
          <w:szCs w:val="20"/>
        </w:rPr>
      </w:pPr>
      <w:r w:rsidRPr="005C1789">
        <w:rPr>
          <w:rFonts w:ascii="Verdana" w:hAnsi="Verdana" w:cs="Verdana Bold"/>
          <w:b/>
          <w:bCs/>
          <w:iCs/>
          <w:caps/>
          <w:sz w:val="20"/>
          <w:szCs w:val="20"/>
        </w:rPr>
        <w:t>Tabla de contenido</w:t>
      </w:r>
    </w:p>
    <w:p w14:paraId="748217AA" w14:textId="77777777" w:rsidR="00C64AD4" w:rsidRPr="005C1789" w:rsidRDefault="00C64AD4" w:rsidP="00955888">
      <w:pPr>
        <w:ind w:right="-6"/>
        <w:jc w:val="center"/>
        <w:rPr>
          <w:rFonts w:ascii="Verdana" w:hAnsi="Verdana" w:cs="Verdana Bold"/>
          <w:b/>
          <w:bCs/>
          <w:iCs/>
          <w:caps/>
          <w:sz w:val="20"/>
          <w:szCs w:val="20"/>
        </w:rPr>
      </w:pPr>
    </w:p>
    <w:p w14:paraId="6CAF260F" w14:textId="77777777" w:rsidR="00325817" w:rsidRPr="005C1789" w:rsidRDefault="00325817" w:rsidP="00955888">
      <w:pPr>
        <w:ind w:right="-6"/>
        <w:jc w:val="center"/>
        <w:rPr>
          <w:rFonts w:ascii="Verdana" w:hAnsi="Verdana" w:cs="Verdana Bold"/>
          <w:b/>
          <w:bCs/>
          <w:iCs/>
          <w:caps/>
          <w:sz w:val="20"/>
          <w:szCs w:val="20"/>
        </w:rPr>
      </w:pPr>
    </w:p>
    <w:p w14:paraId="78B46E4B" w14:textId="218D348B" w:rsidR="00693752" w:rsidRPr="00693752" w:rsidRDefault="00404C93">
      <w:pPr>
        <w:pStyle w:val="TDC1"/>
        <w:rPr>
          <w:rFonts w:ascii="Verdana" w:eastAsiaTheme="minorEastAsia" w:hAnsi="Verdana" w:cstheme="minorBidi"/>
          <w:b w:val="0"/>
          <w:noProof/>
          <w:sz w:val="20"/>
          <w:szCs w:val="20"/>
          <w:lang w:val="es-CR"/>
        </w:rPr>
      </w:pPr>
      <w:r w:rsidRPr="00693752">
        <w:rPr>
          <w:rFonts w:ascii="Verdana" w:hAnsi="Verdana"/>
          <w:szCs w:val="18"/>
        </w:rPr>
        <w:fldChar w:fldCharType="begin"/>
      </w:r>
      <w:r w:rsidRPr="00693752">
        <w:rPr>
          <w:rFonts w:ascii="Verdana" w:hAnsi="Verdana"/>
          <w:szCs w:val="18"/>
        </w:rPr>
        <w:instrText xml:space="preserve"> TOC \o "1-5" \h \z \u </w:instrText>
      </w:r>
      <w:r w:rsidRPr="00693752">
        <w:rPr>
          <w:rFonts w:ascii="Verdana" w:hAnsi="Verdana"/>
          <w:szCs w:val="18"/>
        </w:rPr>
        <w:fldChar w:fldCharType="separate"/>
      </w:r>
      <w:hyperlink w:anchor="_Toc123347498" w:history="1">
        <w:r w:rsidR="00693752" w:rsidRPr="00693752">
          <w:rPr>
            <w:rStyle w:val="Hipervnculo"/>
            <w:rFonts w:ascii="Verdana" w:hAnsi="Verdana"/>
            <w:noProof/>
            <w:sz w:val="20"/>
            <w:szCs w:val="20"/>
            <w:lang w:val="es-ES_tradnl"/>
          </w:rPr>
          <w:t>I. INTRODUCCIÓN DE LA CAUSA Y OBJETO DE LA CONTROVERSIA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_Toc123347498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w:t>
        </w:r>
        <w:r w:rsidR="00693752" w:rsidRPr="00693752">
          <w:rPr>
            <w:rFonts w:ascii="Verdana" w:hAnsi="Verdana"/>
            <w:noProof/>
            <w:webHidden/>
            <w:sz w:val="20"/>
            <w:szCs w:val="20"/>
          </w:rPr>
          <w:fldChar w:fldCharType="end"/>
        </w:r>
      </w:hyperlink>
    </w:p>
    <w:p w14:paraId="3CF82969" w14:textId="39F51147" w:rsidR="00693752" w:rsidRPr="00693752" w:rsidRDefault="00000000">
      <w:pPr>
        <w:pStyle w:val="TDC1"/>
        <w:rPr>
          <w:rFonts w:ascii="Verdana" w:eastAsiaTheme="minorEastAsia" w:hAnsi="Verdana" w:cstheme="minorBidi"/>
          <w:b w:val="0"/>
          <w:noProof/>
          <w:sz w:val="20"/>
          <w:szCs w:val="20"/>
          <w:lang w:val="es-CR"/>
        </w:rPr>
      </w:pPr>
      <w:hyperlink w:anchor="_Toc123347499" w:history="1">
        <w:r w:rsidR="00693752" w:rsidRPr="00693752">
          <w:rPr>
            <w:rStyle w:val="Hipervnculo"/>
            <w:rFonts w:ascii="Verdana" w:hAnsi="Verdana"/>
            <w:noProof/>
            <w:sz w:val="20"/>
            <w:szCs w:val="20"/>
            <w:lang w:val="es-ES_tradnl"/>
          </w:rPr>
          <w:t>II. PROCEDIMIENTO ANTE LA CORTE</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_Toc123347499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w:t>
        </w:r>
        <w:r w:rsidR="00693752" w:rsidRPr="00693752">
          <w:rPr>
            <w:rFonts w:ascii="Verdana" w:hAnsi="Verdana"/>
            <w:noProof/>
            <w:webHidden/>
            <w:sz w:val="20"/>
            <w:szCs w:val="20"/>
          </w:rPr>
          <w:fldChar w:fldCharType="end"/>
        </w:r>
      </w:hyperlink>
    </w:p>
    <w:p w14:paraId="175965DB" w14:textId="0A477C27" w:rsidR="00693752" w:rsidRPr="00693752" w:rsidRDefault="00000000">
      <w:pPr>
        <w:pStyle w:val="TDC1"/>
        <w:rPr>
          <w:rFonts w:ascii="Verdana" w:eastAsiaTheme="minorEastAsia" w:hAnsi="Verdana" w:cstheme="minorBidi"/>
          <w:b w:val="0"/>
          <w:noProof/>
          <w:sz w:val="20"/>
          <w:szCs w:val="20"/>
          <w:lang w:val="es-CR"/>
        </w:rPr>
      </w:pPr>
      <w:hyperlink w:anchor="_Toc123347500" w:history="1">
        <w:r w:rsidR="00693752" w:rsidRPr="00693752">
          <w:rPr>
            <w:rStyle w:val="Hipervnculo"/>
            <w:rFonts w:ascii="Verdana" w:hAnsi="Verdana"/>
            <w:noProof/>
            <w:sz w:val="20"/>
            <w:szCs w:val="20"/>
            <w:lang w:val="es-ES_tradnl"/>
          </w:rPr>
          <w:t>III. COMPETENCIA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w:t>
        </w:r>
        <w:r w:rsidR="00693752" w:rsidRPr="00693752">
          <w:rPr>
            <w:rFonts w:ascii="Verdana" w:hAnsi="Verdana"/>
            <w:noProof/>
            <w:webHidden/>
            <w:sz w:val="20"/>
            <w:szCs w:val="20"/>
          </w:rPr>
          <w:fldChar w:fldCharType="end"/>
        </w:r>
      </w:hyperlink>
    </w:p>
    <w:p w14:paraId="5BA54BB0" w14:textId="0DB7AC0C" w:rsidR="00693752" w:rsidRPr="00693752" w:rsidRDefault="00000000">
      <w:pPr>
        <w:pStyle w:val="TDC1"/>
        <w:rPr>
          <w:rFonts w:ascii="Verdana" w:eastAsiaTheme="minorEastAsia" w:hAnsi="Verdana" w:cstheme="minorBidi"/>
          <w:b w:val="0"/>
          <w:noProof/>
          <w:sz w:val="20"/>
          <w:szCs w:val="20"/>
          <w:lang w:val="es-CR"/>
        </w:rPr>
      </w:pPr>
      <w:hyperlink w:anchor="_Toc123347501" w:history="1">
        <w:r w:rsidR="00693752" w:rsidRPr="00693752">
          <w:rPr>
            <w:rStyle w:val="Hipervnculo"/>
            <w:rFonts w:ascii="Verdana" w:hAnsi="Verdana"/>
            <w:noProof/>
            <w:sz w:val="20"/>
            <w:szCs w:val="20"/>
            <w:lang w:val="es-ES_tradnl"/>
          </w:rPr>
          <w:t>IV. RECONOCIMIENTO DE RESPONSABILIDAD</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w:t>
        </w:r>
        <w:r w:rsidR="00693752" w:rsidRPr="00693752">
          <w:rPr>
            <w:rFonts w:ascii="Verdana" w:hAnsi="Verdana"/>
            <w:noProof/>
            <w:webHidden/>
            <w:sz w:val="20"/>
            <w:szCs w:val="20"/>
          </w:rPr>
          <w:fldChar w:fldCharType="end"/>
        </w:r>
      </w:hyperlink>
    </w:p>
    <w:p w14:paraId="6F558390" w14:textId="4C5CF14E"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02"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Alegatos de las partes y de la Comisión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w:t>
        </w:r>
        <w:r w:rsidR="00693752" w:rsidRPr="00693752">
          <w:rPr>
            <w:rFonts w:ascii="Verdana" w:hAnsi="Verdana"/>
            <w:noProof/>
            <w:webHidden/>
            <w:sz w:val="20"/>
            <w:szCs w:val="20"/>
          </w:rPr>
          <w:fldChar w:fldCharType="end"/>
        </w:r>
      </w:hyperlink>
    </w:p>
    <w:p w14:paraId="3EA52958" w14:textId="7C2E8AAF"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03"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Consideraciones de la Corte</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7</w:t>
        </w:r>
        <w:r w:rsidR="00693752" w:rsidRPr="00693752">
          <w:rPr>
            <w:rFonts w:ascii="Verdana" w:hAnsi="Verdana"/>
            <w:noProof/>
            <w:webHidden/>
            <w:sz w:val="20"/>
            <w:szCs w:val="20"/>
          </w:rPr>
          <w:fldChar w:fldCharType="end"/>
        </w:r>
      </w:hyperlink>
    </w:p>
    <w:p w14:paraId="612FDC86" w14:textId="1E102A3F" w:rsidR="00693752" w:rsidRPr="00693752" w:rsidRDefault="00000000" w:rsidP="00693752">
      <w:pPr>
        <w:pStyle w:val="TDC3"/>
        <w:rPr>
          <w:rFonts w:ascii="Verdana" w:eastAsiaTheme="minorEastAsia" w:hAnsi="Verdana" w:cstheme="minorBidi"/>
          <w:noProof/>
          <w:sz w:val="20"/>
          <w:szCs w:val="20"/>
          <w:lang w:val="es-CR"/>
        </w:rPr>
      </w:pPr>
      <w:hyperlink w:anchor="_Toc123347504" w:history="1">
        <w:r w:rsidR="00693752" w:rsidRPr="00693752">
          <w:rPr>
            <w:rStyle w:val="Hipervnculo"/>
            <w:rFonts w:ascii="Verdana" w:hAnsi="Verdana"/>
            <w:noProof/>
            <w:snapToGrid w:val="0"/>
            <w:spacing w:val="-2"/>
            <w:sz w:val="20"/>
            <w:szCs w:val="20"/>
            <w:lang w:eastAsia="es-ES"/>
          </w:rPr>
          <w:t>B.1 En cuanto a los hechos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7</w:t>
        </w:r>
        <w:r w:rsidR="00693752" w:rsidRPr="00693752">
          <w:rPr>
            <w:rFonts w:ascii="Verdana" w:hAnsi="Verdana"/>
            <w:noProof/>
            <w:webHidden/>
            <w:sz w:val="20"/>
            <w:szCs w:val="20"/>
          </w:rPr>
          <w:fldChar w:fldCharType="end"/>
        </w:r>
      </w:hyperlink>
    </w:p>
    <w:p w14:paraId="042BEC6E" w14:textId="202A362B" w:rsidR="00693752" w:rsidRPr="00693752" w:rsidRDefault="00000000" w:rsidP="00693752">
      <w:pPr>
        <w:pStyle w:val="TDC3"/>
        <w:rPr>
          <w:rFonts w:ascii="Verdana" w:eastAsiaTheme="minorEastAsia" w:hAnsi="Verdana" w:cstheme="minorBidi"/>
          <w:noProof/>
          <w:sz w:val="20"/>
          <w:szCs w:val="20"/>
          <w:lang w:val="es-CR"/>
        </w:rPr>
      </w:pPr>
      <w:hyperlink w:anchor="_Toc123347505" w:history="1">
        <w:r w:rsidR="00693752" w:rsidRPr="00693752">
          <w:rPr>
            <w:rStyle w:val="Hipervnculo"/>
            <w:rFonts w:ascii="Verdana" w:hAnsi="Verdana"/>
            <w:noProof/>
            <w:snapToGrid w:val="0"/>
            <w:spacing w:val="-2"/>
            <w:sz w:val="20"/>
            <w:szCs w:val="20"/>
            <w:lang w:eastAsia="es-ES"/>
          </w:rPr>
          <w:t>B.2 En cuanto a las pretensiones de derecho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8</w:t>
        </w:r>
        <w:r w:rsidR="00693752" w:rsidRPr="00693752">
          <w:rPr>
            <w:rFonts w:ascii="Verdana" w:hAnsi="Verdana"/>
            <w:noProof/>
            <w:webHidden/>
            <w:sz w:val="20"/>
            <w:szCs w:val="20"/>
          </w:rPr>
          <w:fldChar w:fldCharType="end"/>
        </w:r>
      </w:hyperlink>
    </w:p>
    <w:p w14:paraId="2419F315" w14:textId="7FD58D1C" w:rsidR="00693752" w:rsidRPr="00693752" w:rsidRDefault="00000000" w:rsidP="00693752">
      <w:pPr>
        <w:pStyle w:val="TDC3"/>
        <w:rPr>
          <w:rFonts w:ascii="Verdana" w:eastAsiaTheme="minorEastAsia" w:hAnsi="Verdana" w:cstheme="minorBidi"/>
          <w:noProof/>
          <w:sz w:val="20"/>
          <w:szCs w:val="20"/>
          <w:lang w:val="es-CR"/>
        </w:rPr>
      </w:pPr>
      <w:hyperlink w:anchor="_Toc123347506" w:history="1">
        <w:r w:rsidR="00693752" w:rsidRPr="00693752">
          <w:rPr>
            <w:rStyle w:val="Hipervnculo"/>
            <w:rFonts w:ascii="Verdana" w:hAnsi="Verdana"/>
            <w:noProof/>
            <w:snapToGrid w:val="0"/>
            <w:spacing w:val="-2"/>
            <w:sz w:val="20"/>
            <w:szCs w:val="20"/>
            <w:lang w:eastAsia="es-ES"/>
          </w:rPr>
          <w:t>B.3 En cuanto a las reparaciones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8</w:t>
        </w:r>
        <w:r w:rsidR="00693752" w:rsidRPr="00693752">
          <w:rPr>
            <w:rFonts w:ascii="Verdana" w:hAnsi="Verdana"/>
            <w:noProof/>
            <w:webHidden/>
            <w:sz w:val="20"/>
            <w:szCs w:val="20"/>
          </w:rPr>
          <w:fldChar w:fldCharType="end"/>
        </w:r>
      </w:hyperlink>
    </w:p>
    <w:p w14:paraId="128F2C2C" w14:textId="37BC1CEF" w:rsidR="00693752" w:rsidRPr="00693752" w:rsidRDefault="00000000" w:rsidP="00693752">
      <w:pPr>
        <w:pStyle w:val="TDC3"/>
        <w:rPr>
          <w:rFonts w:ascii="Verdana" w:eastAsiaTheme="minorEastAsia" w:hAnsi="Verdana" w:cstheme="minorBidi"/>
          <w:noProof/>
          <w:sz w:val="20"/>
          <w:szCs w:val="20"/>
          <w:lang w:val="es-CR"/>
        </w:rPr>
      </w:pPr>
      <w:hyperlink w:anchor="_Toc123347507" w:history="1">
        <w:r w:rsidR="00693752" w:rsidRPr="00693752">
          <w:rPr>
            <w:rStyle w:val="Hipervnculo"/>
            <w:rFonts w:ascii="Verdana" w:hAnsi="Verdana"/>
            <w:noProof/>
            <w:snapToGrid w:val="0"/>
            <w:spacing w:val="-2"/>
            <w:sz w:val="20"/>
            <w:szCs w:val="20"/>
            <w:lang w:eastAsia="es-ES"/>
          </w:rPr>
          <w:t>B.4 Conclusiones: valoración del reconocimiento parcial de responsabilidad</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9</w:t>
        </w:r>
        <w:r w:rsidR="00693752" w:rsidRPr="00693752">
          <w:rPr>
            <w:rFonts w:ascii="Verdana" w:hAnsi="Verdana"/>
            <w:noProof/>
            <w:webHidden/>
            <w:sz w:val="20"/>
            <w:szCs w:val="20"/>
          </w:rPr>
          <w:fldChar w:fldCharType="end"/>
        </w:r>
      </w:hyperlink>
    </w:p>
    <w:p w14:paraId="199E48A9" w14:textId="3BE12FC4" w:rsidR="00693752" w:rsidRPr="00693752" w:rsidRDefault="00000000" w:rsidP="00693752">
      <w:pPr>
        <w:pStyle w:val="TDC1"/>
        <w:rPr>
          <w:rFonts w:ascii="Verdana" w:eastAsiaTheme="minorEastAsia" w:hAnsi="Verdana" w:cstheme="minorBidi"/>
          <w:b w:val="0"/>
          <w:noProof/>
          <w:sz w:val="20"/>
          <w:szCs w:val="20"/>
          <w:lang w:val="es-CR"/>
        </w:rPr>
      </w:pPr>
      <w:hyperlink w:anchor="_Toc123347508" w:history="1">
        <w:r w:rsidR="00693752" w:rsidRPr="00693752">
          <w:rPr>
            <w:rStyle w:val="Hipervnculo"/>
            <w:rFonts w:ascii="Verdana" w:hAnsi="Verdana"/>
            <w:noProof/>
            <w:sz w:val="20"/>
            <w:szCs w:val="20"/>
            <w:lang w:val="es-ES_tradnl"/>
          </w:rPr>
          <w:t>V. CONSIDERACIONES PREVIAS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9</w:t>
        </w:r>
        <w:r w:rsidR="00693752" w:rsidRPr="00693752">
          <w:rPr>
            <w:rFonts w:ascii="Verdana" w:hAnsi="Verdana"/>
            <w:noProof/>
            <w:webHidden/>
            <w:sz w:val="20"/>
            <w:szCs w:val="20"/>
          </w:rPr>
          <w:fldChar w:fldCharType="end"/>
        </w:r>
      </w:hyperlink>
    </w:p>
    <w:p w14:paraId="68564978" w14:textId="13CEE2FD" w:rsidR="00693752" w:rsidRPr="00693752" w:rsidRDefault="00000000" w:rsidP="00693752">
      <w:pPr>
        <w:pStyle w:val="TDC1"/>
        <w:rPr>
          <w:rFonts w:ascii="Verdana" w:eastAsiaTheme="minorEastAsia" w:hAnsi="Verdana" w:cstheme="minorBidi"/>
          <w:b w:val="0"/>
          <w:noProof/>
          <w:sz w:val="20"/>
          <w:szCs w:val="20"/>
          <w:lang w:val="es-CR"/>
        </w:rPr>
      </w:pPr>
      <w:hyperlink w:anchor="_Toc123347509" w:history="1">
        <w:r w:rsidR="00693752" w:rsidRPr="00693752">
          <w:rPr>
            <w:rStyle w:val="Hipervnculo"/>
            <w:rFonts w:ascii="Verdana" w:hAnsi="Verdana"/>
            <w:noProof/>
            <w:sz w:val="20"/>
            <w:szCs w:val="20"/>
            <w:lang w:val="es-ES_tradnl"/>
          </w:rPr>
          <w:t>VI. PRUEBA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_Toc123347509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10</w:t>
        </w:r>
        <w:r w:rsidR="00693752" w:rsidRPr="00693752">
          <w:rPr>
            <w:rFonts w:ascii="Verdana" w:hAnsi="Verdana"/>
            <w:noProof/>
            <w:webHidden/>
            <w:sz w:val="20"/>
            <w:szCs w:val="20"/>
          </w:rPr>
          <w:fldChar w:fldCharType="end"/>
        </w:r>
      </w:hyperlink>
    </w:p>
    <w:p w14:paraId="514D64C6" w14:textId="68D6B9F8" w:rsidR="00693752" w:rsidRPr="00693752" w:rsidRDefault="00000000" w:rsidP="00693752">
      <w:pPr>
        <w:pStyle w:val="TDC1"/>
        <w:rPr>
          <w:rFonts w:ascii="Verdana" w:eastAsiaTheme="minorEastAsia" w:hAnsi="Verdana" w:cstheme="minorBidi"/>
          <w:b w:val="0"/>
          <w:noProof/>
          <w:sz w:val="20"/>
          <w:szCs w:val="20"/>
          <w:lang w:val="es-CR"/>
        </w:rPr>
      </w:pPr>
      <w:hyperlink w:anchor="_Toc123347510" w:history="1">
        <w:r w:rsidR="00693752" w:rsidRPr="00693752">
          <w:rPr>
            <w:rStyle w:val="Hipervnculo"/>
            <w:rFonts w:ascii="Verdana" w:hAnsi="Verdana"/>
            <w:noProof/>
            <w:sz w:val="20"/>
            <w:szCs w:val="20"/>
            <w:lang w:val="es-ES_tradnl"/>
          </w:rPr>
          <w:t>VII. HECHOS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11</w:t>
        </w:r>
        <w:r w:rsidR="00693752" w:rsidRPr="00693752">
          <w:rPr>
            <w:rFonts w:ascii="Verdana" w:hAnsi="Verdana"/>
            <w:noProof/>
            <w:webHidden/>
            <w:sz w:val="20"/>
            <w:szCs w:val="20"/>
          </w:rPr>
          <w:fldChar w:fldCharType="end"/>
        </w:r>
      </w:hyperlink>
    </w:p>
    <w:p w14:paraId="211FD427" w14:textId="4B863D1F"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11"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Marco normativo relevante</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11</w:t>
        </w:r>
        <w:r w:rsidR="00693752" w:rsidRPr="00693752">
          <w:rPr>
            <w:rFonts w:ascii="Verdana" w:hAnsi="Verdana"/>
            <w:noProof/>
            <w:webHidden/>
            <w:sz w:val="20"/>
            <w:szCs w:val="20"/>
          </w:rPr>
          <w:fldChar w:fldCharType="end"/>
        </w:r>
      </w:hyperlink>
    </w:p>
    <w:p w14:paraId="5D1A95F0" w14:textId="751EEED2" w:rsidR="00693752" w:rsidRPr="00693752" w:rsidRDefault="00000000" w:rsidP="00693752">
      <w:pPr>
        <w:pStyle w:val="TDC3"/>
        <w:rPr>
          <w:rFonts w:ascii="Verdana" w:eastAsiaTheme="minorEastAsia" w:hAnsi="Verdana" w:cstheme="minorBidi"/>
          <w:noProof/>
          <w:sz w:val="20"/>
          <w:szCs w:val="20"/>
          <w:lang w:val="es-CR"/>
        </w:rPr>
      </w:pPr>
      <w:hyperlink w:anchor="_Toc123347512" w:history="1">
        <w:r w:rsidR="00693752" w:rsidRPr="00693752">
          <w:rPr>
            <w:rStyle w:val="Hipervnculo"/>
            <w:rFonts w:ascii="Verdana" w:hAnsi="Verdana"/>
            <w:noProof/>
            <w:snapToGrid w:val="0"/>
            <w:spacing w:val="-2"/>
            <w:sz w:val="20"/>
            <w:szCs w:val="20"/>
            <w:lang w:eastAsia="es-ES"/>
          </w:rPr>
          <w:t>A.1. Sobre la figura del arraigo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11</w:t>
        </w:r>
        <w:r w:rsidR="00693752" w:rsidRPr="00693752">
          <w:rPr>
            <w:rFonts w:ascii="Verdana" w:hAnsi="Verdana"/>
            <w:noProof/>
            <w:webHidden/>
            <w:sz w:val="20"/>
            <w:szCs w:val="20"/>
          </w:rPr>
          <w:fldChar w:fldCharType="end"/>
        </w:r>
      </w:hyperlink>
    </w:p>
    <w:p w14:paraId="5FF6F3C0" w14:textId="6DF14DBB" w:rsidR="00693752" w:rsidRPr="00693752" w:rsidRDefault="00000000" w:rsidP="00693752">
      <w:pPr>
        <w:pStyle w:val="TDC4"/>
        <w:rPr>
          <w:rFonts w:ascii="Verdana" w:eastAsiaTheme="minorEastAsia" w:hAnsi="Verdana" w:cstheme="minorBidi"/>
          <w:noProof/>
          <w:sz w:val="20"/>
          <w:szCs w:val="20"/>
          <w:lang w:val="es-CR"/>
        </w:rPr>
      </w:pPr>
      <w:hyperlink w:anchor="_Toc123347513" w:history="1">
        <w:r w:rsidR="00693752" w:rsidRPr="00693752">
          <w:rPr>
            <w:rStyle w:val="Hipervnculo"/>
            <w:rFonts w:ascii="Verdana" w:eastAsia="Calibri" w:hAnsi="Verdana" w:cs="Arial"/>
            <w:noProof/>
            <w:sz w:val="20"/>
            <w:szCs w:val="20"/>
            <w:lang w:eastAsia="es-CR"/>
          </w:rPr>
          <w:t>a) Las normas legales vigentes al momento en que se produjeron los hechos del presente caso: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11</w:t>
        </w:r>
        <w:r w:rsidR="00693752" w:rsidRPr="00693752">
          <w:rPr>
            <w:rFonts w:ascii="Verdana" w:hAnsi="Verdana"/>
            <w:noProof/>
            <w:webHidden/>
            <w:sz w:val="20"/>
            <w:szCs w:val="20"/>
          </w:rPr>
          <w:fldChar w:fldCharType="end"/>
        </w:r>
      </w:hyperlink>
    </w:p>
    <w:p w14:paraId="1FF1E53E" w14:textId="76D90553" w:rsidR="00693752" w:rsidRPr="00693752" w:rsidRDefault="00000000" w:rsidP="00693752">
      <w:pPr>
        <w:pStyle w:val="TDC4"/>
        <w:rPr>
          <w:rFonts w:ascii="Verdana" w:eastAsiaTheme="minorEastAsia" w:hAnsi="Verdana" w:cstheme="minorBidi"/>
          <w:noProof/>
          <w:sz w:val="20"/>
          <w:szCs w:val="20"/>
          <w:lang w:val="es-CR"/>
        </w:rPr>
      </w:pPr>
      <w:hyperlink w:anchor="_Toc123347514" w:history="1">
        <w:r w:rsidR="00693752" w:rsidRPr="00693752">
          <w:rPr>
            <w:rStyle w:val="Hipervnculo"/>
            <w:rFonts w:ascii="Verdana" w:eastAsia="Calibri" w:hAnsi="Verdana" w:cs="Arial"/>
            <w:noProof/>
            <w:sz w:val="20"/>
            <w:szCs w:val="20"/>
            <w:lang w:eastAsia="es-CR"/>
          </w:rPr>
          <w:t>b) Las normas reformadas o adoptadas con posterioridad al momento en que se produjeron los hechos del presente caso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12</w:t>
        </w:r>
        <w:r w:rsidR="00693752" w:rsidRPr="00693752">
          <w:rPr>
            <w:rFonts w:ascii="Verdana" w:hAnsi="Verdana"/>
            <w:noProof/>
            <w:webHidden/>
            <w:sz w:val="20"/>
            <w:szCs w:val="20"/>
          </w:rPr>
          <w:fldChar w:fldCharType="end"/>
        </w:r>
      </w:hyperlink>
    </w:p>
    <w:p w14:paraId="1DF442DC" w14:textId="7C61C526" w:rsidR="00693752" w:rsidRPr="00693752" w:rsidRDefault="00000000" w:rsidP="00693752">
      <w:pPr>
        <w:pStyle w:val="TDC3"/>
        <w:rPr>
          <w:rFonts w:ascii="Verdana" w:eastAsiaTheme="minorEastAsia" w:hAnsi="Verdana" w:cstheme="minorBidi"/>
          <w:noProof/>
          <w:sz w:val="20"/>
          <w:szCs w:val="20"/>
          <w:lang w:val="es-CR"/>
        </w:rPr>
      </w:pPr>
      <w:hyperlink w:anchor="_Toc123347515" w:history="1">
        <w:r w:rsidR="00693752" w:rsidRPr="00693752">
          <w:rPr>
            <w:rStyle w:val="Hipervnculo"/>
            <w:rFonts w:ascii="Verdana" w:hAnsi="Verdana"/>
            <w:noProof/>
            <w:snapToGrid w:val="0"/>
            <w:spacing w:val="-2"/>
            <w:sz w:val="20"/>
            <w:szCs w:val="20"/>
            <w:lang w:eastAsia="es-ES"/>
          </w:rPr>
          <w:t>A.2. Sobre la figura de la prisión preventiva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13</w:t>
        </w:r>
        <w:r w:rsidR="00693752" w:rsidRPr="00693752">
          <w:rPr>
            <w:rFonts w:ascii="Verdana" w:hAnsi="Verdana"/>
            <w:noProof/>
            <w:webHidden/>
            <w:sz w:val="20"/>
            <w:szCs w:val="20"/>
          </w:rPr>
          <w:fldChar w:fldCharType="end"/>
        </w:r>
      </w:hyperlink>
    </w:p>
    <w:p w14:paraId="3EB5A267" w14:textId="05C99FE5" w:rsidR="00693752" w:rsidRPr="00693752" w:rsidRDefault="00000000" w:rsidP="00693752">
      <w:pPr>
        <w:pStyle w:val="TDC4"/>
        <w:rPr>
          <w:rFonts w:ascii="Verdana" w:eastAsiaTheme="minorEastAsia" w:hAnsi="Verdana" w:cstheme="minorBidi"/>
          <w:noProof/>
          <w:sz w:val="20"/>
          <w:szCs w:val="20"/>
          <w:lang w:val="es-CR"/>
        </w:rPr>
      </w:pPr>
      <w:hyperlink w:anchor="_Toc123347516" w:history="1">
        <w:r w:rsidR="00693752" w:rsidRPr="00693752">
          <w:rPr>
            <w:rStyle w:val="Hipervnculo"/>
            <w:rFonts w:ascii="Verdana" w:eastAsia="Calibri" w:hAnsi="Verdana" w:cs="Arial"/>
            <w:noProof/>
            <w:sz w:val="20"/>
            <w:szCs w:val="20"/>
            <w:lang w:eastAsia="es-CR"/>
          </w:rPr>
          <w:t>a) Las normas vigentes al momento en que se produjeron los hechos del presente caso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13</w:t>
        </w:r>
        <w:r w:rsidR="00693752" w:rsidRPr="00693752">
          <w:rPr>
            <w:rFonts w:ascii="Verdana" w:hAnsi="Verdana"/>
            <w:noProof/>
            <w:webHidden/>
            <w:sz w:val="20"/>
            <w:szCs w:val="20"/>
          </w:rPr>
          <w:fldChar w:fldCharType="end"/>
        </w:r>
      </w:hyperlink>
    </w:p>
    <w:p w14:paraId="592410E6" w14:textId="7ED6C205" w:rsidR="00693752" w:rsidRPr="00693752" w:rsidRDefault="00000000" w:rsidP="00693752">
      <w:pPr>
        <w:pStyle w:val="TDC4"/>
        <w:rPr>
          <w:rFonts w:ascii="Verdana" w:eastAsiaTheme="minorEastAsia" w:hAnsi="Verdana" w:cstheme="minorBidi"/>
          <w:noProof/>
          <w:sz w:val="20"/>
          <w:szCs w:val="20"/>
          <w:lang w:val="es-CR"/>
        </w:rPr>
      </w:pPr>
      <w:hyperlink w:anchor="_Toc123347517" w:history="1">
        <w:r w:rsidR="00693752" w:rsidRPr="00693752">
          <w:rPr>
            <w:rStyle w:val="Hipervnculo"/>
            <w:rFonts w:ascii="Verdana" w:eastAsia="Calibri" w:hAnsi="Verdana" w:cs="Arial"/>
            <w:noProof/>
            <w:sz w:val="20"/>
            <w:szCs w:val="20"/>
            <w:lang w:eastAsia="es-CR"/>
          </w:rPr>
          <w:t>b) Las normas reformadas o adoptadas con posterioridad al momento en que se produjeron los hechos del presente caso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14</w:t>
        </w:r>
        <w:r w:rsidR="00693752" w:rsidRPr="00693752">
          <w:rPr>
            <w:rFonts w:ascii="Verdana" w:hAnsi="Verdana"/>
            <w:noProof/>
            <w:webHidden/>
            <w:sz w:val="20"/>
            <w:szCs w:val="20"/>
          </w:rPr>
          <w:fldChar w:fldCharType="end"/>
        </w:r>
      </w:hyperlink>
    </w:p>
    <w:p w14:paraId="57A92C55" w14:textId="59F793E9"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18"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Sobre la detención, la privación de libertad, y el proceso penal en contra de Jorge Marcial y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15</w:t>
        </w:r>
        <w:r w:rsidR="00693752" w:rsidRPr="00693752">
          <w:rPr>
            <w:rFonts w:ascii="Verdana" w:hAnsi="Verdana"/>
            <w:noProof/>
            <w:webHidden/>
            <w:sz w:val="20"/>
            <w:szCs w:val="20"/>
          </w:rPr>
          <w:fldChar w:fldCharType="end"/>
        </w:r>
      </w:hyperlink>
    </w:p>
    <w:p w14:paraId="10169E7C" w14:textId="2E1B7BF3" w:rsidR="00693752" w:rsidRPr="00693752" w:rsidRDefault="00000000" w:rsidP="00693752">
      <w:pPr>
        <w:pStyle w:val="TDC3"/>
        <w:rPr>
          <w:rFonts w:ascii="Verdana" w:eastAsiaTheme="minorEastAsia" w:hAnsi="Verdana" w:cstheme="minorBidi"/>
          <w:noProof/>
          <w:sz w:val="20"/>
          <w:szCs w:val="20"/>
          <w:lang w:val="es-CR"/>
        </w:rPr>
      </w:pPr>
      <w:hyperlink w:anchor="_Toc123347519" w:history="1">
        <w:r w:rsidR="00693752" w:rsidRPr="00693752">
          <w:rPr>
            <w:rStyle w:val="Hipervnculo"/>
            <w:rFonts w:ascii="Verdana" w:hAnsi="Verdana"/>
            <w:noProof/>
            <w:snapToGrid w:val="0"/>
            <w:spacing w:val="-2"/>
            <w:sz w:val="20"/>
            <w:szCs w:val="20"/>
            <w:lang w:eastAsia="es-ES"/>
          </w:rPr>
          <w:t>B.1. Sobre Jorge Marcial y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_Toc123347519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15</w:t>
        </w:r>
        <w:r w:rsidR="00693752" w:rsidRPr="00693752">
          <w:rPr>
            <w:rFonts w:ascii="Verdana" w:hAnsi="Verdana"/>
            <w:noProof/>
            <w:webHidden/>
            <w:sz w:val="20"/>
            <w:szCs w:val="20"/>
          </w:rPr>
          <w:fldChar w:fldCharType="end"/>
        </w:r>
      </w:hyperlink>
    </w:p>
    <w:p w14:paraId="4ECABA36" w14:textId="0A5E2685" w:rsidR="00693752" w:rsidRPr="00693752" w:rsidRDefault="00000000" w:rsidP="00693752">
      <w:pPr>
        <w:pStyle w:val="TDC3"/>
        <w:rPr>
          <w:rFonts w:ascii="Verdana" w:eastAsiaTheme="minorEastAsia" w:hAnsi="Verdana" w:cstheme="minorBidi"/>
          <w:noProof/>
          <w:sz w:val="20"/>
          <w:szCs w:val="20"/>
          <w:lang w:val="es-CR"/>
        </w:rPr>
      </w:pPr>
      <w:hyperlink w:anchor="_Toc123347520" w:history="1">
        <w:r w:rsidR="00693752" w:rsidRPr="00693752">
          <w:rPr>
            <w:rStyle w:val="Hipervnculo"/>
            <w:rFonts w:ascii="Verdana" w:hAnsi="Verdana"/>
            <w:noProof/>
            <w:snapToGrid w:val="0"/>
            <w:spacing w:val="-2"/>
            <w:sz w:val="20"/>
            <w:szCs w:val="20"/>
            <w:lang w:eastAsia="es-ES"/>
          </w:rPr>
          <w:t>B.2. Sobre la detención de Jorge Marcial y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16</w:t>
        </w:r>
        <w:r w:rsidR="00693752" w:rsidRPr="00693752">
          <w:rPr>
            <w:rFonts w:ascii="Verdana" w:hAnsi="Verdana"/>
            <w:noProof/>
            <w:webHidden/>
            <w:sz w:val="20"/>
            <w:szCs w:val="20"/>
          </w:rPr>
          <w:fldChar w:fldCharType="end"/>
        </w:r>
      </w:hyperlink>
    </w:p>
    <w:p w14:paraId="5256882D" w14:textId="4DCE9174" w:rsidR="00693752" w:rsidRPr="00693752" w:rsidRDefault="00000000" w:rsidP="00693752">
      <w:pPr>
        <w:pStyle w:val="TDC3"/>
        <w:rPr>
          <w:rFonts w:ascii="Verdana" w:eastAsiaTheme="minorEastAsia" w:hAnsi="Verdana" w:cstheme="minorBidi"/>
          <w:noProof/>
          <w:sz w:val="20"/>
          <w:szCs w:val="20"/>
          <w:lang w:val="es-CR"/>
        </w:rPr>
      </w:pPr>
      <w:hyperlink w:anchor="_Toc123347521" w:history="1">
        <w:r w:rsidR="00693752" w:rsidRPr="00693752">
          <w:rPr>
            <w:rStyle w:val="Hipervnculo"/>
            <w:rFonts w:ascii="Verdana" w:hAnsi="Verdana"/>
            <w:noProof/>
            <w:snapToGrid w:val="0"/>
            <w:spacing w:val="-2"/>
            <w:sz w:val="20"/>
            <w:szCs w:val="20"/>
            <w:lang w:eastAsia="es-ES"/>
          </w:rPr>
          <w:t>B.3. Sobre la investigación y proceso en contra de Jorge Marcial y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18</w:t>
        </w:r>
        <w:r w:rsidR="00693752" w:rsidRPr="00693752">
          <w:rPr>
            <w:rFonts w:ascii="Verdana" w:hAnsi="Verdana"/>
            <w:noProof/>
            <w:webHidden/>
            <w:sz w:val="20"/>
            <w:szCs w:val="20"/>
          </w:rPr>
          <w:fldChar w:fldCharType="end"/>
        </w:r>
      </w:hyperlink>
    </w:p>
    <w:p w14:paraId="5CB30907" w14:textId="384C80F2"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22" w:history="1">
        <w:r w:rsidR="00693752" w:rsidRPr="00693752">
          <w:rPr>
            <w:rStyle w:val="Hipervnculo"/>
            <w:rFonts w:ascii="Verdana" w:hAnsi="Verdana"/>
            <w:i/>
            <w:noProof/>
            <w:sz w:val="20"/>
            <w:szCs w:val="20"/>
          </w:rPr>
          <w:t>C.</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Sobre los recursos de amparo interpuestos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21</w:t>
        </w:r>
        <w:r w:rsidR="00693752" w:rsidRPr="00693752">
          <w:rPr>
            <w:rFonts w:ascii="Verdana" w:hAnsi="Verdana"/>
            <w:noProof/>
            <w:webHidden/>
            <w:sz w:val="20"/>
            <w:szCs w:val="20"/>
          </w:rPr>
          <w:fldChar w:fldCharType="end"/>
        </w:r>
      </w:hyperlink>
    </w:p>
    <w:p w14:paraId="5B6E33D9" w14:textId="713C70AF"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23" w:history="1">
        <w:r w:rsidR="00693752" w:rsidRPr="00693752">
          <w:rPr>
            <w:rStyle w:val="Hipervnculo"/>
            <w:rFonts w:ascii="Verdana" w:hAnsi="Verdana"/>
            <w:i/>
            <w:noProof/>
            <w:sz w:val="20"/>
            <w:szCs w:val="20"/>
          </w:rPr>
          <w:t>D.</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Sobre las decisiones de organismos nacionales e internacionales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22</w:t>
        </w:r>
        <w:r w:rsidR="00693752" w:rsidRPr="00693752">
          <w:rPr>
            <w:rFonts w:ascii="Verdana" w:hAnsi="Verdana"/>
            <w:noProof/>
            <w:webHidden/>
            <w:sz w:val="20"/>
            <w:szCs w:val="20"/>
          </w:rPr>
          <w:fldChar w:fldCharType="end"/>
        </w:r>
      </w:hyperlink>
    </w:p>
    <w:p w14:paraId="2DC7F1A9" w14:textId="60D396BF"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24" w:history="1">
        <w:r w:rsidR="00693752" w:rsidRPr="00693752">
          <w:rPr>
            <w:rStyle w:val="Hipervnculo"/>
            <w:rFonts w:ascii="Verdana" w:hAnsi="Verdana"/>
            <w:i/>
            <w:noProof/>
            <w:sz w:val="20"/>
            <w:szCs w:val="20"/>
          </w:rPr>
          <w:t>E.</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Amenazas en contra de la abogada de las víctimas y muerte de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22</w:t>
        </w:r>
        <w:r w:rsidR="00693752" w:rsidRPr="00693752">
          <w:rPr>
            <w:rFonts w:ascii="Verdana" w:hAnsi="Verdana"/>
            <w:noProof/>
            <w:webHidden/>
            <w:sz w:val="20"/>
            <w:szCs w:val="20"/>
          </w:rPr>
          <w:fldChar w:fldCharType="end"/>
        </w:r>
      </w:hyperlink>
    </w:p>
    <w:p w14:paraId="6A8EB476" w14:textId="4A2E78E2" w:rsidR="00693752" w:rsidRPr="00693752" w:rsidRDefault="00000000" w:rsidP="00693752">
      <w:pPr>
        <w:pStyle w:val="TDC1"/>
        <w:rPr>
          <w:rFonts w:ascii="Verdana" w:eastAsiaTheme="minorEastAsia" w:hAnsi="Verdana" w:cstheme="minorBidi"/>
          <w:b w:val="0"/>
          <w:noProof/>
          <w:sz w:val="20"/>
          <w:szCs w:val="20"/>
          <w:lang w:val="es-CR"/>
        </w:rPr>
      </w:pPr>
      <w:hyperlink w:anchor="_Toc123347525" w:history="1">
        <w:r w:rsidR="00693752" w:rsidRPr="00693752">
          <w:rPr>
            <w:rStyle w:val="Hipervnculo"/>
            <w:rFonts w:ascii="Verdana" w:hAnsi="Verdana"/>
            <w:noProof/>
            <w:sz w:val="20"/>
            <w:szCs w:val="20"/>
            <w:lang w:val="es-ES_tradnl"/>
          </w:rPr>
          <w:t>VIII. FONDO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22</w:t>
        </w:r>
        <w:r w:rsidR="00693752" w:rsidRPr="00693752">
          <w:rPr>
            <w:rFonts w:ascii="Verdana" w:hAnsi="Verdana"/>
            <w:noProof/>
            <w:webHidden/>
            <w:sz w:val="20"/>
            <w:szCs w:val="20"/>
          </w:rPr>
          <w:fldChar w:fldCharType="end"/>
        </w:r>
      </w:hyperlink>
    </w:p>
    <w:p w14:paraId="7FAE0B6C" w14:textId="018CA987" w:rsidR="00693752" w:rsidRPr="00693752" w:rsidRDefault="00000000" w:rsidP="00693752">
      <w:pPr>
        <w:pStyle w:val="TDC1"/>
        <w:rPr>
          <w:rFonts w:ascii="Verdana" w:eastAsiaTheme="minorEastAsia" w:hAnsi="Verdana" w:cstheme="minorBidi"/>
          <w:b w:val="0"/>
          <w:noProof/>
          <w:sz w:val="20"/>
          <w:szCs w:val="20"/>
          <w:lang w:val="es-CR"/>
        </w:rPr>
      </w:pPr>
      <w:hyperlink w:anchor="_Toc123347526" w:history="1">
        <w:r w:rsidR="00693752" w:rsidRPr="00693752">
          <w:rPr>
            <w:rStyle w:val="Hipervnculo"/>
            <w:rFonts w:ascii="Verdana" w:hAnsi="Verdana"/>
            <w:noProof/>
            <w:sz w:val="20"/>
            <w:szCs w:val="20"/>
            <w:lang w:val="es-ES_tradnl"/>
          </w:rPr>
          <w:t>VIII.1. LOS DERECHOS A LA LIBERTAD PERSONAL Y A LA PRESUNCIÓN DE INOCENCIA EN RELACIÓN CON LA OBLIGACIÓN DE RESPETAR LOS DERECHOS Y CON LA OBLIGACIÓN DE ADOPTAR DISPOSICIONES DE DERECHO INTERNO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23</w:t>
        </w:r>
        <w:r w:rsidR="00693752" w:rsidRPr="00693752">
          <w:rPr>
            <w:rFonts w:ascii="Verdana" w:hAnsi="Verdana"/>
            <w:noProof/>
            <w:webHidden/>
            <w:sz w:val="20"/>
            <w:szCs w:val="20"/>
          </w:rPr>
          <w:fldChar w:fldCharType="end"/>
        </w:r>
      </w:hyperlink>
    </w:p>
    <w:p w14:paraId="52F93867" w14:textId="7D98C9E7"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27"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Alegatos de las partes y la Comisión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23</w:t>
        </w:r>
        <w:r w:rsidR="00693752" w:rsidRPr="00693752">
          <w:rPr>
            <w:rFonts w:ascii="Verdana" w:hAnsi="Verdana"/>
            <w:noProof/>
            <w:webHidden/>
            <w:sz w:val="20"/>
            <w:szCs w:val="20"/>
          </w:rPr>
          <w:fldChar w:fldCharType="end"/>
        </w:r>
      </w:hyperlink>
    </w:p>
    <w:p w14:paraId="3DF59F29" w14:textId="6EDA6AB6" w:rsidR="00693752" w:rsidRPr="00693752" w:rsidRDefault="00000000" w:rsidP="00693752">
      <w:pPr>
        <w:pStyle w:val="TDC3"/>
        <w:rPr>
          <w:rFonts w:ascii="Verdana" w:eastAsiaTheme="minorEastAsia" w:hAnsi="Verdana" w:cstheme="minorBidi"/>
          <w:noProof/>
          <w:sz w:val="20"/>
          <w:szCs w:val="20"/>
          <w:lang w:val="es-CR"/>
        </w:rPr>
      </w:pPr>
      <w:hyperlink w:anchor="_Toc123347528" w:history="1">
        <w:r w:rsidR="00693752" w:rsidRPr="00693752">
          <w:rPr>
            <w:rStyle w:val="Hipervnculo"/>
            <w:rFonts w:ascii="Verdana" w:hAnsi="Verdana"/>
            <w:noProof/>
            <w:snapToGrid w:val="0"/>
            <w:spacing w:val="-2"/>
            <w:sz w:val="20"/>
            <w:szCs w:val="20"/>
            <w:lang w:eastAsia="es-ES"/>
          </w:rPr>
          <w:t>A.1. Sobre la aplicación de la figura del arraigo y la posterior detención preventiva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23</w:t>
        </w:r>
        <w:r w:rsidR="00693752" w:rsidRPr="00693752">
          <w:rPr>
            <w:rFonts w:ascii="Verdana" w:hAnsi="Verdana"/>
            <w:noProof/>
            <w:webHidden/>
            <w:sz w:val="20"/>
            <w:szCs w:val="20"/>
          </w:rPr>
          <w:fldChar w:fldCharType="end"/>
        </w:r>
      </w:hyperlink>
    </w:p>
    <w:p w14:paraId="12E7B646" w14:textId="4E461881" w:rsidR="00693752" w:rsidRPr="00693752" w:rsidRDefault="00000000" w:rsidP="00693752">
      <w:pPr>
        <w:pStyle w:val="TDC3"/>
        <w:rPr>
          <w:rFonts w:ascii="Verdana" w:eastAsiaTheme="minorEastAsia" w:hAnsi="Verdana" w:cstheme="minorBidi"/>
          <w:noProof/>
          <w:sz w:val="20"/>
          <w:szCs w:val="20"/>
          <w:lang w:val="es-CR"/>
        </w:rPr>
      </w:pPr>
      <w:hyperlink w:anchor="_Toc123347529" w:history="1">
        <w:r w:rsidR="00693752" w:rsidRPr="00693752">
          <w:rPr>
            <w:rStyle w:val="Hipervnculo"/>
            <w:rFonts w:ascii="Verdana" w:hAnsi="Verdana"/>
            <w:noProof/>
            <w:snapToGrid w:val="0"/>
            <w:spacing w:val="-2"/>
            <w:sz w:val="20"/>
            <w:szCs w:val="20"/>
            <w:lang w:eastAsia="es-ES"/>
          </w:rPr>
          <w:t>A.2. Sobre el derecho a recurrir ante un juez o tribunal competente para que decida sobre la legalidad del arresto o detención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_Toc123347529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25</w:t>
        </w:r>
        <w:r w:rsidR="00693752" w:rsidRPr="00693752">
          <w:rPr>
            <w:rFonts w:ascii="Verdana" w:hAnsi="Verdana"/>
            <w:noProof/>
            <w:webHidden/>
            <w:sz w:val="20"/>
            <w:szCs w:val="20"/>
          </w:rPr>
          <w:fldChar w:fldCharType="end"/>
        </w:r>
      </w:hyperlink>
    </w:p>
    <w:p w14:paraId="5E484EC1" w14:textId="5B13E60D"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30"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Consideraciones de la Corte</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25</w:t>
        </w:r>
        <w:r w:rsidR="00693752" w:rsidRPr="00693752">
          <w:rPr>
            <w:rFonts w:ascii="Verdana" w:hAnsi="Verdana"/>
            <w:noProof/>
            <w:webHidden/>
            <w:sz w:val="20"/>
            <w:szCs w:val="20"/>
          </w:rPr>
          <w:fldChar w:fldCharType="end"/>
        </w:r>
      </w:hyperlink>
    </w:p>
    <w:p w14:paraId="17022C37" w14:textId="705D4ACA" w:rsidR="00693752" w:rsidRPr="00693752" w:rsidRDefault="00000000">
      <w:pPr>
        <w:pStyle w:val="TDC3"/>
        <w:rPr>
          <w:rFonts w:ascii="Verdana" w:eastAsiaTheme="minorEastAsia" w:hAnsi="Verdana" w:cstheme="minorBidi"/>
          <w:noProof/>
          <w:sz w:val="20"/>
          <w:szCs w:val="20"/>
          <w:lang w:val="es-CR"/>
        </w:rPr>
      </w:pPr>
      <w:hyperlink w:anchor="_Toc123347531" w:history="1">
        <w:r w:rsidR="00693752" w:rsidRPr="00693752">
          <w:rPr>
            <w:rStyle w:val="Hipervnculo"/>
            <w:rFonts w:ascii="Verdana" w:hAnsi="Verdana"/>
            <w:noProof/>
            <w:snapToGrid w:val="0"/>
            <w:spacing w:val="-2"/>
            <w:sz w:val="20"/>
            <w:szCs w:val="20"/>
            <w:lang w:eastAsia="es-ES"/>
          </w:rPr>
          <w:t>B.1. Consideraciones generales sobre la libertad personal y el derecho a la presunción de inocencia en el marco de la investigación y del proceso penal</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26</w:t>
        </w:r>
        <w:r w:rsidR="00693752" w:rsidRPr="00693752">
          <w:rPr>
            <w:rFonts w:ascii="Verdana" w:hAnsi="Verdana"/>
            <w:noProof/>
            <w:webHidden/>
            <w:sz w:val="20"/>
            <w:szCs w:val="20"/>
          </w:rPr>
          <w:fldChar w:fldCharType="end"/>
        </w:r>
      </w:hyperlink>
    </w:p>
    <w:p w14:paraId="4966F540" w14:textId="3528752C" w:rsidR="00693752" w:rsidRPr="00693752" w:rsidRDefault="00000000" w:rsidP="00693752">
      <w:pPr>
        <w:pStyle w:val="TDC4"/>
        <w:rPr>
          <w:rFonts w:ascii="Verdana" w:eastAsiaTheme="minorEastAsia" w:hAnsi="Verdana" w:cstheme="minorBidi"/>
          <w:noProof/>
          <w:sz w:val="20"/>
          <w:szCs w:val="20"/>
          <w:lang w:val="es-CR"/>
        </w:rPr>
      </w:pPr>
      <w:hyperlink w:anchor="_Toc123347532"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Presupuestos materiales relacionados con la existencia del hecho ilícito y la vinculación de la persona procesada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27</w:t>
        </w:r>
        <w:r w:rsidR="00693752" w:rsidRPr="00693752">
          <w:rPr>
            <w:rFonts w:ascii="Verdana" w:hAnsi="Verdana"/>
            <w:noProof/>
            <w:webHidden/>
            <w:sz w:val="20"/>
            <w:szCs w:val="20"/>
          </w:rPr>
          <w:fldChar w:fldCharType="end"/>
        </w:r>
      </w:hyperlink>
    </w:p>
    <w:p w14:paraId="0DDB65BB" w14:textId="36FF9EAA" w:rsidR="00693752" w:rsidRPr="00693752" w:rsidRDefault="00000000" w:rsidP="00693752">
      <w:pPr>
        <w:pStyle w:val="TDC4"/>
        <w:rPr>
          <w:rFonts w:ascii="Verdana" w:eastAsiaTheme="minorEastAsia" w:hAnsi="Verdana" w:cstheme="minorBidi"/>
          <w:noProof/>
          <w:sz w:val="20"/>
          <w:szCs w:val="20"/>
          <w:lang w:val="es-CR"/>
        </w:rPr>
      </w:pPr>
      <w:hyperlink w:anchor="_Toc123347533"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Test de proporcionalidad</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27</w:t>
        </w:r>
        <w:r w:rsidR="00693752" w:rsidRPr="00693752">
          <w:rPr>
            <w:rFonts w:ascii="Verdana" w:hAnsi="Verdana"/>
            <w:noProof/>
            <w:webHidden/>
            <w:sz w:val="20"/>
            <w:szCs w:val="20"/>
          </w:rPr>
          <w:fldChar w:fldCharType="end"/>
        </w:r>
      </w:hyperlink>
    </w:p>
    <w:p w14:paraId="34DA635E" w14:textId="71BDA89D" w:rsidR="00693752" w:rsidRPr="00693752" w:rsidRDefault="00000000" w:rsidP="00693752">
      <w:pPr>
        <w:pStyle w:val="TDC4"/>
        <w:rPr>
          <w:rFonts w:ascii="Verdana" w:eastAsiaTheme="minorEastAsia" w:hAnsi="Verdana" w:cstheme="minorBidi"/>
          <w:noProof/>
          <w:sz w:val="20"/>
          <w:szCs w:val="20"/>
          <w:lang w:val="es-CR"/>
        </w:rPr>
      </w:pPr>
      <w:hyperlink w:anchor="_Toc123347534" w:history="1">
        <w:r w:rsidR="00693752" w:rsidRPr="00693752">
          <w:rPr>
            <w:rStyle w:val="Hipervnculo"/>
            <w:rFonts w:ascii="Verdana" w:hAnsi="Verdana"/>
            <w:i/>
            <w:noProof/>
            <w:sz w:val="20"/>
            <w:szCs w:val="20"/>
          </w:rPr>
          <w:t>c)</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Deber de motivación de las medidas privativas de la libertad</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29</w:t>
        </w:r>
        <w:r w:rsidR="00693752" w:rsidRPr="00693752">
          <w:rPr>
            <w:rFonts w:ascii="Verdana" w:hAnsi="Verdana"/>
            <w:noProof/>
            <w:webHidden/>
            <w:sz w:val="20"/>
            <w:szCs w:val="20"/>
          </w:rPr>
          <w:fldChar w:fldCharType="end"/>
        </w:r>
      </w:hyperlink>
    </w:p>
    <w:p w14:paraId="3922DBF9" w14:textId="0A6D95EA" w:rsidR="00693752" w:rsidRPr="00693752" w:rsidRDefault="00000000">
      <w:pPr>
        <w:pStyle w:val="TDC3"/>
        <w:rPr>
          <w:rFonts w:ascii="Verdana" w:eastAsiaTheme="minorEastAsia" w:hAnsi="Verdana" w:cstheme="minorBidi"/>
          <w:noProof/>
          <w:sz w:val="20"/>
          <w:szCs w:val="20"/>
          <w:lang w:val="es-CR"/>
        </w:rPr>
      </w:pPr>
      <w:hyperlink w:anchor="_Toc123347535" w:history="1">
        <w:r w:rsidR="00693752" w:rsidRPr="00693752">
          <w:rPr>
            <w:rStyle w:val="Hipervnculo"/>
            <w:rFonts w:ascii="Verdana" w:hAnsi="Verdana"/>
            <w:noProof/>
            <w:snapToGrid w:val="0"/>
            <w:spacing w:val="-2"/>
            <w:sz w:val="20"/>
            <w:szCs w:val="20"/>
            <w:lang w:eastAsia="es-ES"/>
          </w:rPr>
          <w:t>B.2. Sobre la compatibilidad de las figuras del arraigo y de la prisión preventiva con la Convención Americana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30</w:t>
        </w:r>
        <w:r w:rsidR="00693752" w:rsidRPr="00693752">
          <w:rPr>
            <w:rFonts w:ascii="Verdana" w:hAnsi="Verdana"/>
            <w:noProof/>
            <w:webHidden/>
            <w:sz w:val="20"/>
            <w:szCs w:val="20"/>
          </w:rPr>
          <w:fldChar w:fldCharType="end"/>
        </w:r>
      </w:hyperlink>
    </w:p>
    <w:p w14:paraId="095DBC99" w14:textId="57CA131E" w:rsidR="00693752" w:rsidRPr="00693752" w:rsidRDefault="00000000" w:rsidP="00693752">
      <w:pPr>
        <w:pStyle w:val="TDC4"/>
        <w:rPr>
          <w:rFonts w:ascii="Verdana" w:eastAsiaTheme="minorEastAsia" w:hAnsi="Verdana" w:cstheme="minorBidi"/>
          <w:noProof/>
          <w:sz w:val="20"/>
          <w:szCs w:val="20"/>
          <w:lang w:val="es-CR"/>
        </w:rPr>
      </w:pPr>
      <w:hyperlink w:anchor="_Toc123347536"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El arraigo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_Toc123347536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31</w:t>
        </w:r>
        <w:r w:rsidR="00693752" w:rsidRPr="00693752">
          <w:rPr>
            <w:rFonts w:ascii="Verdana" w:hAnsi="Verdana"/>
            <w:noProof/>
            <w:webHidden/>
            <w:sz w:val="20"/>
            <w:szCs w:val="20"/>
          </w:rPr>
          <w:fldChar w:fldCharType="end"/>
        </w:r>
      </w:hyperlink>
    </w:p>
    <w:p w14:paraId="3BE137AB" w14:textId="51974067" w:rsidR="00693752" w:rsidRPr="00693752" w:rsidRDefault="00000000" w:rsidP="00693752">
      <w:pPr>
        <w:pStyle w:val="TDC4"/>
        <w:rPr>
          <w:rFonts w:ascii="Verdana" w:eastAsiaTheme="minorEastAsia" w:hAnsi="Verdana" w:cstheme="minorBidi"/>
          <w:noProof/>
          <w:sz w:val="20"/>
          <w:szCs w:val="20"/>
          <w:lang w:val="es-CR"/>
        </w:rPr>
      </w:pPr>
      <w:hyperlink w:anchor="_Toc123347542"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La prisión preventiva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41</w:t>
        </w:r>
        <w:r w:rsidR="00693752" w:rsidRPr="00693752">
          <w:rPr>
            <w:rFonts w:ascii="Verdana" w:hAnsi="Verdana"/>
            <w:noProof/>
            <w:webHidden/>
            <w:sz w:val="20"/>
            <w:szCs w:val="20"/>
          </w:rPr>
          <w:fldChar w:fldCharType="end"/>
        </w:r>
      </w:hyperlink>
    </w:p>
    <w:p w14:paraId="4A2164C6" w14:textId="24FA4F32" w:rsidR="00693752" w:rsidRPr="00693752" w:rsidRDefault="00000000">
      <w:pPr>
        <w:pStyle w:val="TDC3"/>
        <w:rPr>
          <w:rFonts w:ascii="Verdana" w:eastAsiaTheme="minorEastAsia" w:hAnsi="Verdana" w:cstheme="minorBidi"/>
          <w:noProof/>
          <w:sz w:val="20"/>
          <w:szCs w:val="20"/>
          <w:lang w:val="es-CR"/>
        </w:rPr>
      </w:pPr>
      <w:hyperlink w:anchor="_Toc123347543" w:history="1">
        <w:r w:rsidR="00693752" w:rsidRPr="00693752">
          <w:rPr>
            <w:rStyle w:val="Hipervnculo"/>
            <w:rFonts w:ascii="Verdana" w:hAnsi="Verdana"/>
            <w:noProof/>
            <w:snapToGrid w:val="0"/>
            <w:spacing w:val="-2"/>
            <w:sz w:val="20"/>
            <w:szCs w:val="20"/>
            <w:lang w:eastAsia="es-ES"/>
          </w:rPr>
          <w:t>B.3. Sobre la aplicación del arraigo y de la prisión preventiva en el caso concreto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42</w:t>
        </w:r>
        <w:r w:rsidR="00693752" w:rsidRPr="00693752">
          <w:rPr>
            <w:rFonts w:ascii="Verdana" w:hAnsi="Verdana"/>
            <w:noProof/>
            <w:webHidden/>
            <w:sz w:val="20"/>
            <w:szCs w:val="20"/>
          </w:rPr>
          <w:fldChar w:fldCharType="end"/>
        </w:r>
      </w:hyperlink>
    </w:p>
    <w:p w14:paraId="7E23EEF8" w14:textId="3BC0BE05" w:rsidR="00693752" w:rsidRPr="00693752" w:rsidRDefault="00000000">
      <w:pPr>
        <w:pStyle w:val="TDC3"/>
        <w:rPr>
          <w:rFonts w:ascii="Verdana" w:eastAsiaTheme="minorEastAsia" w:hAnsi="Verdana" w:cstheme="minorBidi"/>
          <w:noProof/>
          <w:sz w:val="20"/>
          <w:szCs w:val="20"/>
          <w:lang w:val="es-CR"/>
        </w:rPr>
      </w:pPr>
      <w:hyperlink w:anchor="_Toc123347544" w:history="1">
        <w:r w:rsidR="00693752" w:rsidRPr="00693752">
          <w:rPr>
            <w:rStyle w:val="Hipervnculo"/>
            <w:rFonts w:ascii="Verdana" w:hAnsi="Verdana"/>
            <w:noProof/>
            <w:snapToGrid w:val="0"/>
            <w:spacing w:val="-2"/>
            <w:sz w:val="20"/>
            <w:szCs w:val="20"/>
            <w:lang w:eastAsia="es-ES"/>
          </w:rPr>
          <w:t>B.4. Conclusión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43</w:t>
        </w:r>
        <w:r w:rsidR="00693752" w:rsidRPr="00693752">
          <w:rPr>
            <w:rFonts w:ascii="Verdana" w:hAnsi="Verdana"/>
            <w:noProof/>
            <w:webHidden/>
            <w:sz w:val="20"/>
            <w:szCs w:val="20"/>
          </w:rPr>
          <w:fldChar w:fldCharType="end"/>
        </w:r>
      </w:hyperlink>
    </w:p>
    <w:p w14:paraId="4393A7A4" w14:textId="6B314FAB" w:rsidR="00693752" w:rsidRPr="00693752" w:rsidRDefault="00000000">
      <w:pPr>
        <w:pStyle w:val="TDC1"/>
        <w:rPr>
          <w:rFonts w:ascii="Verdana" w:eastAsiaTheme="minorEastAsia" w:hAnsi="Verdana" w:cstheme="minorBidi"/>
          <w:b w:val="0"/>
          <w:noProof/>
          <w:sz w:val="20"/>
          <w:szCs w:val="20"/>
          <w:lang w:val="es-CR"/>
        </w:rPr>
      </w:pPr>
      <w:hyperlink w:anchor="_Toc123347545" w:history="1">
        <w:r w:rsidR="00693752" w:rsidRPr="00693752">
          <w:rPr>
            <w:rStyle w:val="Hipervnculo"/>
            <w:rFonts w:ascii="Verdana" w:hAnsi="Verdana"/>
            <w:noProof/>
            <w:sz w:val="20"/>
            <w:szCs w:val="20"/>
            <w:lang w:val="es-ES"/>
          </w:rPr>
          <w:t>VIII.2.</w:t>
        </w:r>
        <w:r w:rsidR="00693752" w:rsidRPr="00693752">
          <w:rPr>
            <w:rStyle w:val="Hipervnculo"/>
            <w:rFonts w:ascii="Verdana" w:hAnsi="Verdana"/>
            <w:noProof/>
            <w:sz w:val="20"/>
            <w:szCs w:val="20"/>
            <w:lang w:val="es-ES_tradnl"/>
          </w:rPr>
          <w:t xml:space="preserve"> </w:t>
        </w:r>
        <w:r w:rsidR="00693752" w:rsidRPr="00693752">
          <w:rPr>
            <w:rStyle w:val="Hipervnculo"/>
            <w:rFonts w:ascii="Verdana" w:hAnsi="Verdana"/>
            <w:noProof/>
            <w:sz w:val="20"/>
            <w:szCs w:val="20"/>
            <w:lang w:val="es-ES"/>
          </w:rPr>
          <w:t>LOS DERECHOS A LA INTEGRIDAD PERSONAL Y A LA VIDA PRIVADA EN RELACIÓN CON LA OBLIGACIÓN DE RESPETAR LOS DERECHOS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44</w:t>
        </w:r>
        <w:r w:rsidR="00693752" w:rsidRPr="00693752">
          <w:rPr>
            <w:rFonts w:ascii="Verdana" w:hAnsi="Verdana"/>
            <w:noProof/>
            <w:webHidden/>
            <w:sz w:val="20"/>
            <w:szCs w:val="20"/>
          </w:rPr>
          <w:fldChar w:fldCharType="end"/>
        </w:r>
      </w:hyperlink>
    </w:p>
    <w:p w14:paraId="129308AF" w14:textId="339583CD"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46"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Alegatos de las partes y de la Comisión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44</w:t>
        </w:r>
        <w:r w:rsidR="00693752" w:rsidRPr="00693752">
          <w:rPr>
            <w:rFonts w:ascii="Verdana" w:hAnsi="Verdana"/>
            <w:noProof/>
            <w:webHidden/>
            <w:sz w:val="20"/>
            <w:szCs w:val="20"/>
          </w:rPr>
          <w:fldChar w:fldCharType="end"/>
        </w:r>
      </w:hyperlink>
    </w:p>
    <w:p w14:paraId="2DC0EDB4" w14:textId="0DE7F3F1"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47"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Consideraciones de la Corte</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45</w:t>
        </w:r>
        <w:r w:rsidR="00693752" w:rsidRPr="00693752">
          <w:rPr>
            <w:rFonts w:ascii="Verdana" w:hAnsi="Verdana"/>
            <w:noProof/>
            <w:webHidden/>
            <w:sz w:val="20"/>
            <w:szCs w:val="20"/>
          </w:rPr>
          <w:fldChar w:fldCharType="end"/>
        </w:r>
      </w:hyperlink>
    </w:p>
    <w:p w14:paraId="5D6BDAD8" w14:textId="2FD087AD" w:rsidR="00693752" w:rsidRPr="00693752" w:rsidRDefault="00000000" w:rsidP="00693752">
      <w:pPr>
        <w:pStyle w:val="TDC3"/>
        <w:rPr>
          <w:rFonts w:ascii="Verdana" w:eastAsiaTheme="minorEastAsia" w:hAnsi="Verdana" w:cstheme="minorBidi"/>
          <w:noProof/>
          <w:sz w:val="20"/>
          <w:szCs w:val="20"/>
          <w:lang w:val="es-CR"/>
        </w:rPr>
      </w:pPr>
      <w:hyperlink w:anchor="_Toc123347548" w:history="1">
        <w:r w:rsidR="00693752" w:rsidRPr="00693752">
          <w:rPr>
            <w:rStyle w:val="Hipervnculo"/>
            <w:rFonts w:ascii="Verdana" w:hAnsi="Verdana"/>
            <w:noProof/>
            <w:snapToGrid w:val="0"/>
            <w:spacing w:val="-2"/>
            <w:sz w:val="20"/>
            <w:szCs w:val="20"/>
            <w:lang w:eastAsia="es-ES"/>
          </w:rPr>
          <w:t>B.1. El derecho a la integridad personal de Jorge Marcial Tzompaxtle Tecpile,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45</w:t>
        </w:r>
        <w:r w:rsidR="00693752" w:rsidRPr="00693752">
          <w:rPr>
            <w:rFonts w:ascii="Verdana" w:hAnsi="Verdana"/>
            <w:noProof/>
            <w:webHidden/>
            <w:sz w:val="20"/>
            <w:szCs w:val="20"/>
          </w:rPr>
          <w:fldChar w:fldCharType="end"/>
        </w:r>
      </w:hyperlink>
    </w:p>
    <w:p w14:paraId="0DB7831D" w14:textId="6E17E05C" w:rsidR="00693752" w:rsidRPr="00693752" w:rsidRDefault="00000000" w:rsidP="00693752">
      <w:pPr>
        <w:pStyle w:val="TDC3"/>
        <w:rPr>
          <w:rFonts w:ascii="Verdana" w:eastAsiaTheme="minorEastAsia" w:hAnsi="Verdana" w:cstheme="minorBidi"/>
          <w:noProof/>
          <w:sz w:val="20"/>
          <w:szCs w:val="20"/>
          <w:lang w:val="es-CR"/>
        </w:rPr>
      </w:pPr>
      <w:hyperlink w:anchor="_Toc123347549" w:history="1">
        <w:r w:rsidR="00693752" w:rsidRPr="00693752">
          <w:rPr>
            <w:rStyle w:val="Hipervnculo"/>
            <w:rFonts w:ascii="Verdana" w:hAnsi="Verdana"/>
            <w:noProof/>
            <w:snapToGrid w:val="0"/>
            <w:spacing w:val="-2"/>
            <w:sz w:val="20"/>
            <w:szCs w:val="20"/>
            <w:lang w:eastAsia="es-ES"/>
          </w:rPr>
          <w:t>B.2. El derecho a la vida privada de Jorge Marcial Tzompaxtle Tecpile, Gerardo Tzompaxtle Tecpile y Gustavo Robles López</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_Toc123347549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47</w:t>
        </w:r>
        <w:r w:rsidR="00693752" w:rsidRPr="00693752">
          <w:rPr>
            <w:rFonts w:ascii="Verdana" w:hAnsi="Verdana"/>
            <w:noProof/>
            <w:webHidden/>
            <w:sz w:val="20"/>
            <w:szCs w:val="20"/>
          </w:rPr>
          <w:fldChar w:fldCharType="end"/>
        </w:r>
      </w:hyperlink>
    </w:p>
    <w:p w14:paraId="542D9F90" w14:textId="1EFCEF10" w:rsidR="00693752" w:rsidRPr="00693752" w:rsidRDefault="00000000" w:rsidP="00693752">
      <w:pPr>
        <w:pStyle w:val="TDC4"/>
        <w:rPr>
          <w:rFonts w:ascii="Verdana" w:eastAsiaTheme="minorEastAsia" w:hAnsi="Verdana" w:cstheme="minorBidi"/>
          <w:noProof/>
          <w:sz w:val="20"/>
          <w:szCs w:val="20"/>
          <w:lang w:val="es-CR"/>
        </w:rPr>
      </w:pPr>
      <w:hyperlink w:anchor="_Toc123347550"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La requisa del vehículo en el que se encontraban las victimas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47</w:t>
        </w:r>
        <w:r w:rsidR="00693752" w:rsidRPr="00693752">
          <w:rPr>
            <w:rFonts w:ascii="Verdana" w:hAnsi="Verdana"/>
            <w:noProof/>
            <w:webHidden/>
            <w:sz w:val="20"/>
            <w:szCs w:val="20"/>
          </w:rPr>
          <w:fldChar w:fldCharType="end"/>
        </w:r>
      </w:hyperlink>
    </w:p>
    <w:p w14:paraId="754F41B5" w14:textId="1328D875" w:rsidR="00693752" w:rsidRPr="00693752" w:rsidRDefault="00000000" w:rsidP="00693752">
      <w:pPr>
        <w:pStyle w:val="TDC4"/>
        <w:rPr>
          <w:rFonts w:ascii="Verdana" w:eastAsiaTheme="minorEastAsia" w:hAnsi="Verdana" w:cstheme="minorBidi"/>
          <w:noProof/>
          <w:sz w:val="20"/>
          <w:szCs w:val="20"/>
          <w:lang w:val="es-CR"/>
        </w:rPr>
      </w:pPr>
      <w:hyperlink w:anchor="_Toc123347551"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Los cateos llevados a cabo en la casa de la madre de los señores Tzompaxtle Tecpile, así como en una tienda que era el negocio de la familia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48</w:t>
        </w:r>
        <w:r w:rsidR="00693752" w:rsidRPr="00693752">
          <w:rPr>
            <w:rFonts w:ascii="Verdana" w:hAnsi="Verdana"/>
            <w:noProof/>
            <w:webHidden/>
            <w:sz w:val="20"/>
            <w:szCs w:val="20"/>
          </w:rPr>
          <w:fldChar w:fldCharType="end"/>
        </w:r>
      </w:hyperlink>
    </w:p>
    <w:p w14:paraId="7C98BA41" w14:textId="4E877E30" w:rsidR="00693752" w:rsidRPr="00693752" w:rsidRDefault="00000000" w:rsidP="00693752">
      <w:pPr>
        <w:pStyle w:val="TDC1"/>
        <w:rPr>
          <w:rFonts w:ascii="Verdana" w:eastAsiaTheme="minorEastAsia" w:hAnsi="Verdana" w:cstheme="minorBidi"/>
          <w:b w:val="0"/>
          <w:noProof/>
          <w:sz w:val="20"/>
          <w:szCs w:val="20"/>
          <w:lang w:val="es-CR"/>
        </w:rPr>
      </w:pPr>
      <w:hyperlink w:anchor="_Toc123347552" w:history="1">
        <w:r w:rsidR="00693752" w:rsidRPr="00693752">
          <w:rPr>
            <w:rStyle w:val="Hipervnculo"/>
            <w:rFonts w:ascii="Verdana" w:hAnsi="Verdana"/>
            <w:noProof/>
            <w:sz w:val="20"/>
            <w:szCs w:val="20"/>
            <w:lang w:val="es-ES"/>
          </w:rPr>
          <w:t>IX.</w:t>
        </w:r>
        <w:r w:rsidR="00693752" w:rsidRPr="00693752">
          <w:rPr>
            <w:rStyle w:val="Hipervnculo"/>
            <w:rFonts w:ascii="Verdana" w:hAnsi="Verdana"/>
            <w:noProof/>
            <w:sz w:val="20"/>
            <w:szCs w:val="20"/>
            <w:lang w:val="es-ES_tradnl"/>
          </w:rPr>
          <w:t xml:space="preserve"> </w:t>
        </w:r>
        <w:r w:rsidR="00693752" w:rsidRPr="00693752">
          <w:rPr>
            <w:rStyle w:val="Hipervnculo"/>
            <w:rFonts w:ascii="Verdana" w:hAnsi="Verdana"/>
            <w:noProof/>
            <w:sz w:val="20"/>
            <w:szCs w:val="20"/>
            <w:lang w:val="es-ES"/>
          </w:rPr>
          <w:t>REPARACIONES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49</w:t>
        </w:r>
        <w:r w:rsidR="00693752" w:rsidRPr="00693752">
          <w:rPr>
            <w:rFonts w:ascii="Verdana" w:hAnsi="Verdana"/>
            <w:noProof/>
            <w:webHidden/>
            <w:sz w:val="20"/>
            <w:szCs w:val="20"/>
          </w:rPr>
          <w:fldChar w:fldCharType="end"/>
        </w:r>
      </w:hyperlink>
    </w:p>
    <w:p w14:paraId="0A2E5969" w14:textId="1F4F2C9C"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53" w:history="1">
        <w:r w:rsidR="00693752" w:rsidRPr="00693752">
          <w:rPr>
            <w:rStyle w:val="Hipervnculo"/>
            <w:rFonts w:ascii="Verdana" w:hAnsi="Verdana"/>
            <w:i/>
            <w:noProof/>
            <w:sz w:val="20"/>
            <w:szCs w:val="20"/>
          </w:rPr>
          <w:t>A.</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Parte Lesionada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49</w:t>
        </w:r>
        <w:r w:rsidR="00693752" w:rsidRPr="00693752">
          <w:rPr>
            <w:rFonts w:ascii="Verdana" w:hAnsi="Verdana"/>
            <w:noProof/>
            <w:webHidden/>
            <w:sz w:val="20"/>
            <w:szCs w:val="20"/>
          </w:rPr>
          <w:fldChar w:fldCharType="end"/>
        </w:r>
      </w:hyperlink>
    </w:p>
    <w:p w14:paraId="2F28C61F" w14:textId="3396BC41"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54" w:history="1">
        <w:r w:rsidR="00693752" w:rsidRPr="00693752">
          <w:rPr>
            <w:rStyle w:val="Hipervnculo"/>
            <w:rFonts w:ascii="Verdana" w:hAnsi="Verdana"/>
            <w:i/>
            <w:noProof/>
            <w:sz w:val="20"/>
            <w:szCs w:val="20"/>
          </w:rPr>
          <w:t>B.</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Garantías de no repetición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50</w:t>
        </w:r>
        <w:r w:rsidR="00693752" w:rsidRPr="00693752">
          <w:rPr>
            <w:rFonts w:ascii="Verdana" w:hAnsi="Verdana"/>
            <w:noProof/>
            <w:webHidden/>
            <w:sz w:val="20"/>
            <w:szCs w:val="20"/>
          </w:rPr>
          <w:fldChar w:fldCharType="end"/>
        </w:r>
      </w:hyperlink>
    </w:p>
    <w:p w14:paraId="4A4556D9" w14:textId="5B9202EC" w:rsidR="00693752" w:rsidRPr="00693752" w:rsidRDefault="00000000" w:rsidP="00693752">
      <w:pPr>
        <w:pStyle w:val="TDC3"/>
        <w:rPr>
          <w:rFonts w:ascii="Verdana" w:eastAsiaTheme="minorEastAsia" w:hAnsi="Verdana" w:cstheme="minorBidi"/>
          <w:noProof/>
          <w:sz w:val="20"/>
          <w:szCs w:val="20"/>
          <w:lang w:val="es-CR"/>
        </w:rPr>
      </w:pPr>
      <w:hyperlink w:anchor="_Toc123347555" w:history="1">
        <w:r w:rsidR="00693752" w:rsidRPr="00693752">
          <w:rPr>
            <w:rStyle w:val="Hipervnculo"/>
            <w:rFonts w:ascii="Verdana" w:hAnsi="Verdana"/>
            <w:noProof/>
            <w:snapToGrid w:val="0"/>
            <w:spacing w:val="-2"/>
            <w:sz w:val="20"/>
            <w:szCs w:val="20"/>
            <w:lang w:eastAsia="es-ES"/>
          </w:rPr>
          <w:t>B.1. Sobre la figura del arraigo</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52</w:t>
        </w:r>
        <w:r w:rsidR="00693752" w:rsidRPr="00693752">
          <w:rPr>
            <w:rFonts w:ascii="Verdana" w:hAnsi="Verdana"/>
            <w:noProof/>
            <w:webHidden/>
            <w:sz w:val="20"/>
            <w:szCs w:val="20"/>
          </w:rPr>
          <w:fldChar w:fldCharType="end"/>
        </w:r>
      </w:hyperlink>
    </w:p>
    <w:p w14:paraId="61219686" w14:textId="556F693C" w:rsidR="00693752" w:rsidRPr="00693752" w:rsidRDefault="00000000" w:rsidP="00693752">
      <w:pPr>
        <w:pStyle w:val="TDC3"/>
        <w:rPr>
          <w:rFonts w:ascii="Verdana" w:eastAsiaTheme="minorEastAsia" w:hAnsi="Verdana" w:cstheme="minorBidi"/>
          <w:noProof/>
          <w:sz w:val="20"/>
          <w:szCs w:val="20"/>
          <w:lang w:val="es-CR"/>
        </w:rPr>
      </w:pPr>
      <w:hyperlink w:anchor="_Toc123347556" w:history="1">
        <w:r w:rsidR="00693752" w:rsidRPr="00693752">
          <w:rPr>
            <w:rStyle w:val="Hipervnculo"/>
            <w:rFonts w:ascii="Verdana" w:hAnsi="Verdana"/>
            <w:noProof/>
            <w:snapToGrid w:val="0"/>
            <w:spacing w:val="-2"/>
            <w:sz w:val="20"/>
            <w:szCs w:val="20"/>
            <w:lang w:eastAsia="es-ES"/>
          </w:rPr>
          <w:t>B.2. Sobre la prisión preventiva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53</w:t>
        </w:r>
        <w:r w:rsidR="00693752" w:rsidRPr="00693752">
          <w:rPr>
            <w:rFonts w:ascii="Verdana" w:hAnsi="Verdana"/>
            <w:noProof/>
            <w:webHidden/>
            <w:sz w:val="20"/>
            <w:szCs w:val="20"/>
          </w:rPr>
          <w:fldChar w:fldCharType="end"/>
        </w:r>
      </w:hyperlink>
    </w:p>
    <w:p w14:paraId="60988EC2" w14:textId="5C2DA8B0" w:rsidR="00693752" w:rsidRPr="00693752" w:rsidRDefault="00000000" w:rsidP="00693752">
      <w:pPr>
        <w:pStyle w:val="TDC3"/>
        <w:rPr>
          <w:rFonts w:ascii="Verdana" w:eastAsiaTheme="minorEastAsia" w:hAnsi="Verdana" w:cstheme="minorBidi"/>
          <w:noProof/>
          <w:sz w:val="20"/>
          <w:szCs w:val="20"/>
          <w:lang w:val="es-CR"/>
        </w:rPr>
      </w:pPr>
      <w:hyperlink w:anchor="_Toc123347557" w:history="1">
        <w:r w:rsidR="00693752" w:rsidRPr="00693752">
          <w:rPr>
            <w:rStyle w:val="Hipervnculo"/>
            <w:rFonts w:ascii="Verdana" w:hAnsi="Verdana"/>
            <w:noProof/>
            <w:snapToGrid w:val="0"/>
            <w:spacing w:val="-2"/>
            <w:sz w:val="20"/>
            <w:szCs w:val="20"/>
            <w:lang w:eastAsia="es-ES"/>
          </w:rPr>
          <w:t>B.3. Conclusión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53</w:t>
        </w:r>
        <w:r w:rsidR="00693752" w:rsidRPr="00693752">
          <w:rPr>
            <w:rFonts w:ascii="Verdana" w:hAnsi="Verdana"/>
            <w:noProof/>
            <w:webHidden/>
            <w:sz w:val="20"/>
            <w:szCs w:val="20"/>
          </w:rPr>
          <w:fldChar w:fldCharType="end"/>
        </w:r>
      </w:hyperlink>
    </w:p>
    <w:p w14:paraId="57A9A0E3" w14:textId="38AFD63B"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58" w:history="1">
        <w:r w:rsidR="00693752" w:rsidRPr="00693752">
          <w:rPr>
            <w:rStyle w:val="Hipervnculo"/>
            <w:rFonts w:ascii="Verdana" w:hAnsi="Verdana"/>
            <w:i/>
            <w:noProof/>
            <w:sz w:val="20"/>
            <w:szCs w:val="20"/>
          </w:rPr>
          <w:t>C.</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Medidas de satisfacción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55</w:t>
        </w:r>
        <w:r w:rsidR="00693752" w:rsidRPr="00693752">
          <w:rPr>
            <w:rFonts w:ascii="Verdana" w:hAnsi="Verdana"/>
            <w:noProof/>
            <w:webHidden/>
            <w:sz w:val="20"/>
            <w:szCs w:val="20"/>
          </w:rPr>
          <w:fldChar w:fldCharType="end"/>
        </w:r>
      </w:hyperlink>
    </w:p>
    <w:p w14:paraId="218DFA56" w14:textId="27B5FD51" w:rsidR="00693752" w:rsidRPr="00693752" w:rsidRDefault="00000000" w:rsidP="00693752">
      <w:pPr>
        <w:pStyle w:val="TDC3"/>
        <w:rPr>
          <w:rFonts w:ascii="Verdana" w:eastAsiaTheme="minorEastAsia" w:hAnsi="Verdana" w:cstheme="minorBidi"/>
          <w:noProof/>
          <w:sz w:val="20"/>
          <w:szCs w:val="20"/>
          <w:lang w:val="es-CR"/>
        </w:rPr>
      </w:pPr>
      <w:hyperlink w:anchor="_Toc123347559" w:history="1">
        <w:r w:rsidR="00693752" w:rsidRPr="00693752">
          <w:rPr>
            <w:rStyle w:val="Hipervnculo"/>
            <w:rFonts w:ascii="Verdana" w:hAnsi="Verdana"/>
            <w:noProof/>
            <w:snapToGrid w:val="0"/>
            <w:spacing w:val="-2"/>
            <w:sz w:val="20"/>
            <w:szCs w:val="20"/>
            <w:lang w:eastAsia="es-ES"/>
          </w:rPr>
          <w:t>C.1 Publicación de la sentencia</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_Toc123347559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55</w:t>
        </w:r>
        <w:r w:rsidR="00693752" w:rsidRPr="00693752">
          <w:rPr>
            <w:rFonts w:ascii="Verdana" w:hAnsi="Verdana"/>
            <w:noProof/>
            <w:webHidden/>
            <w:sz w:val="20"/>
            <w:szCs w:val="20"/>
          </w:rPr>
          <w:fldChar w:fldCharType="end"/>
        </w:r>
      </w:hyperlink>
    </w:p>
    <w:p w14:paraId="5EC96EDC" w14:textId="7579AF77" w:rsidR="00693752" w:rsidRPr="00693752" w:rsidRDefault="00000000" w:rsidP="00693752">
      <w:pPr>
        <w:pStyle w:val="TDC3"/>
        <w:rPr>
          <w:rFonts w:ascii="Verdana" w:eastAsiaTheme="minorEastAsia" w:hAnsi="Verdana" w:cstheme="minorBidi"/>
          <w:noProof/>
          <w:sz w:val="20"/>
          <w:szCs w:val="20"/>
          <w:lang w:val="es-CR"/>
        </w:rPr>
      </w:pPr>
      <w:hyperlink w:anchor="_Toc123347560" w:history="1">
        <w:r w:rsidR="00693752" w:rsidRPr="00693752">
          <w:rPr>
            <w:rStyle w:val="Hipervnculo"/>
            <w:rFonts w:ascii="Verdana" w:hAnsi="Verdana"/>
            <w:noProof/>
            <w:snapToGrid w:val="0"/>
            <w:spacing w:val="-2"/>
            <w:sz w:val="20"/>
            <w:szCs w:val="20"/>
            <w:lang w:eastAsia="es-ES"/>
          </w:rPr>
          <w:t>C.2 Acto público de reconocimiento de responsabilidad internacional</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_Toc123347560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55</w:t>
        </w:r>
        <w:r w:rsidR="00693752" w:rsidRPr="00693752">
          <w:rPr>
            <w:rFonts w:ascii="Verdana" w:hAnsi="Verdana"/>
            <w:noProof/>
            <w:webHidden/>
            <w:sz w:val="20"/>
            <w:szCs w:val="20"/>
          </w:rPr>
          <w:fldChar w:fldCharType="end"/>
        </w:r>
      </w:hyperlink>
    </w:p>
    <w:p w14:paraId="70AEE1E9" w14:textId="2E080C59" w:rsidR="00693752" w:rsidRPr="00693752" w:rsidRDefault="00000000" w:rsidP="00693752">
      <w:pPr>
        <w:pStyle w:val="TDC3"/>
        <w:rPr>
          <w:rFonts w:ascii="Verdana" w:eastAsiaTheme="minorEastAsia" w:hAnsi="Verdana" w:cstheme="minorBidi"/>
          <w:noProof/>
          <w:sz w:val="20"/>
          <w:szCs w:val="20"/>
          <w:lang w:val="es-CR"/>
        </w:rPr>
      </w:pPr>
      <w:hyperlink w:anchor="_Toc123347561" w:history="1">
        <w:r w:rsidR="00693752" w:rsidRPr="00693752">
          <w:rPr>
            <w:rStyle w:val="Hipervnculo"/>
            <w:rFonts w:ascii="Verdana" w:hAnsi="Verdana"/>
            <w:noProof/>
            <w:snapToGrid w:val="0"/>
            <w:spacing w:val="-2"/>
            <w:sz w:val="20"/>
            <w:szCs w:val="20"/>
            <w:lang w:eastAsia="es-ES"/>
          </w:rPr>
          <w:t>C.3 Becas educativas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_Toc123347561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56</w:t>
        </w:r>
        <w:r w:rsidR="00693752" w:rsidRPr="00693752">
          <w:rPr>
            <w:rFonts w:ascii="Verdana" w:hAnsi="Verdana"/>
            <w:noProof/>
            <w:webHidden/>
            <w:sz w:val="20"/>
            <w:szCs w:val="20"/>
          </w:rPr>
          <w:fldChar w:fldCharType="end"/>
        </w:r>
      </w:hyperlink>
    </w:p>
    <w:p w14:paraId="001D8862" w14:textId="5FD5E64D" w:rsidR="00693752" w:rsidRPr="00693752" w:rsidRDefault="00000000" w:rsidP="00693752">
      <w:pPr>
        <w:pStyle w:val="TDC3"/>
        <w:rPr>
          <w:rFonts w:ascii="Verdana" w:eastAsiaTheme="minorEastAsia" w:hAnsi="Verdana" w:cstheme="minorBidi"/>
          <w:noProof/>
          <w:sz w:val="20"/>
          <w:szCs w:val="20"/>
          <w:lang w:val="es-CR"/>
        </w:rPr>
      </w:pPr>
      <w:hyperlink w:anchor="_Toc123347562" w:history="1">
        <w:r w:rsidR="00693752" w:rsidRPr="00693752">
          <w:rPr>
            <w:rStyle w:val="Hipervnculo"/>
            <w:rFonts w:ascii="Verdana" w:hAnsi="Verdana"/>
            <w:noProof/>
            <w:snapToGrid w:val="0"/>
            <w:spacing w:val="-2"/>
            <w:sz w:val="20"/>
            <w:szCs w:val="20"/>
            <w:lang w:eastAsia="es-ES"/>
          </w:rPr>
          <w:t>C.4 Proyectos productivos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_Toc123347562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57</w:t>
        </w:r>
        <w:r w:rsidR="00693752" w:rsidRPr="00693752">
          <w:rPr>
            <w:rFonts w:ascii="Verdana" w:hAnsi="Verdana"/>
            <w:noProof/>
            <w:webHidden/>
            <w:sz w:val="20"/>
            <w:szCs w:val="20"/>
          </w:rPr>
          <w:fldChar w:fldCharType="end"/>
        </w:r>
      </w:hyperlink>
    </w:p>
    <w:p w14:paraId="0805B7E6" w14:textId="587EC772"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63" w:history="1">
        <w:r w:rsidR="00693752" w:rsidRPr="00693752">
          <w:rPr>
            <w:rStyle w:val="Hipervnculo"/>
            <w:rFonts w:ascii="Verdana" w:hAnsi="Verdana"/>
            <w:i/>
            <w:noProof/>
            <w:sz w:val="20"/>
            <w:szCs w:val="20"/>
          </w:rPr>
          <w:t>D.</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Medidas de rehabilitación</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_Toc123347563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58</w:t>
        </w:r>
        <w:r w:rsidR="00693752" w:rsidRPr="00693752">
          <w:rPr>
            <w:rFonts w:ascii="Verdana" w:hAnsi="Verdana"/>
            <w:noProof/>
            <w:webHidden/>
            <w:sz w:val="20"/>
            <w:szCs w:val="20"/>
          </w:rPr>
          <w:fldChar w:fldCharType="end"/>
        </w:r>
      </w:hyperlink>
    </w:p>
    <w:p w14:paraId="5E6CB10B" w14:textId="746CBB34"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64" w:history="1">
        <w:r w:rsidR="00693752" w:rsidRPr="00693752">
          <w:rPr>
            <w:rStyle w:val="Hipervnculo"/>
            <w:rFonts w:ascii="Verdana" w:hAnsi="Verdana"/>
            <w:i/>
            <w:noProof/>
            <w:sz w:val="20"/>
            <w:szCs w:val="20"/>
          </w:rPr>
          <w:t>E.</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Indemnizaciones compensatorias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_Toc123347564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59</w:t>
        </w:r>
        <w:r w:rsidR="00693752" w:rsidRPr="00693752">
          <w:rPr>
            <w:rFonts w:ascii="Verdana" w:hAnsi="Verdana"/>
            <w:noProof/>
            <w:webHidden/>
            <w:sz w:val="20"/>
            <w:szCs w:val="20"/>
          </w:rPr>
          <w:fldChar w:fldCharType="end"/>
        </w:r>
      </w:hyperlink>
    </w:p>
    <w:p w14:paraId="0AD0EDF3" w14:textId="3BD4E066"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65" w:history="1">
        <w:r w:rsidR="00693752" w:rsidRPr="00693752">
          <w:rPr>
            <w:rStyle w:val="Hipervnculo"/>
            <w:rFonts w:ascii="Verdana" w:hAnsi="Verdana"/>
            <w:i/>
            <w:noProof/>
            <w:sz w:val="20"/>
            <w:szCs w:val="20"/>
          </w:rPr>
          <w:t>F.</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Gastos y costas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_Toc123347565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59</w:t>
        </w:r>
        <w:r w:rsidR="00693752" w:rsidRPr="00693752">
          <w:rPr>
            <w:rFonts w:ascii="Verdana" w:hAnsi="Verdana"/>
            <w:noProof/>
            <w:webHidden/>
            <w:sz w:val="20"/>
            <w:szCs w:val="20"/>
          </w:rPr>
          <w:fldChar w:fldCharType="end"/>
        </w:r>
      </w:hyperlink>
    </w:p>
    <w:p w14:paraId="0C452A3E" w14:textId="66CBE7C8"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66" w:history="1">
        <w:r w:rsidR="00693752" w:rsidRPr="00693752">
          <w:rPr>
            <w:rStyle w:val="Hipervnculo"/>
            <w:rFonts w:ascii="Verdana" w:hAnsi="Verdana"/>
            <w:i/>
            <w:noProof/>
            <w:sz w:val="20"/>
            <w:szCs w:val="20"/>
          </w:rPr>
          <w:t>G.</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Reintegro de los gastos al Fondo de Asistencia Legal de Víctimas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_Toc123347566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60</w:t>
        </w:r>
        <w:r w:rsidR="00693752" w:rsidRPr="00693752">
          <w:rPr>
            <w:rFonts w:ascii="Verdana" w:hAnsi="Verdana"/>
            <w:noProof/>
            <w:webHidden/>
            <w:sz w:val="20"/>
            <w:szCs w:val="20"/>
          </w:rPr>
          <w:fldChar w:fldCharType="end"/>
        </w:r>
      </w:hyperlink>
    </w:p>
    <w:p w14:paraId="54725162" w14:textId="7040A2FE" w:rsidR="00693752" w:rsidRPr="00693752" w:rsidRDefault="00000000" w:rsidP="00693752">
      <w:pPr>
        <w:pStyle w:val="TDC2"/>
        <w:tabs>
          <w:tab w:val="clear" w:pos="10065"/>
          <w:tab w:val="right" w:leader="dot" w:pos="10200"/>
        </w:tabs>
        <w:rPr>
          <w:rFonts w:ascii="Verdana" w:eastAsiaTheme="minorEastAsia" w:hAnsi="Verdana" w:cstheme="minorBidi"/>
          <w:noProof/>
          <w:sz w:val="20"/>
          <w:szCs w:val="20"/>
          <w:lang w:val="es-CR"/>
        </w:rPr>
      </w:pPr>
      <w:hyperlink w:anchor="_Toc123347567" w:history="1">
        <w:r w:rsidR="00693752" w:rsidRPr="00693752">
          <w:rPr>
            <w:rStyle w:val="Hipervnculo"/>
            <w:rFonts w:ascii="Verdana" w:hAnsi="Verdana"/>
            <w:i/>
            <w:noProof/>
            <w:sz w:val="20"/>
            <w:szCs w:val="20"/>
          </w:rPr>
          <w:t>H.</w:t>
        </w:r>
        <w:r w:rsidR="00693752" w:rsidRPr="00693752">
          <w:rPr>
            <w:rFonts w:ascii="Verdana" w:eastAsiaTheme="minorEastAsia" w:hAnsi="Verdana" w:cstheme="minorBidi"/>
            <w:noProof/>
            <w:sz w:val="20"/>
            <w:szCs w:val="20"/>
            <w:lang w:val="es-CR"/>
          </w:rPr>
          <w:tab/>
        </w:r>
        <w:r w:rsidR="00693752" w:rsidRPr="00693752">
          <w:rPr>
            <w:rStyle w:val="Hipervnculo"/>
            <w:rFonts w:ascii="Verdana" w:hAnsi="Verdana"/>
            <w:i/>
            <w:noProof/>
            <w:sz w:val="20"/>
            <w:szCs w:val="20"/>
          </w:rPr>
          <w:t>Modalidad de cumplimiento de los pagos ordenados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_Toc123347567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60</w:t>
        </w:r>
        <w:r w:rsidR="00693752" w:rsidRPr="00693752">
          <w:rPr>
            <w:rFonts w:ascii="Verdana" w:hAnsi="Verdana"/>
            <w:noProof/>
            <w:webHidden/>
            <w:sz w:val="20"/>
            <w:szCs w:val="20"/>
          </w:rPr>
          <w:fldChar w:fldCharType="end"/>
        </w:r>
      </w:hyperlink>
    </w:p>
    <w:p w14:paraId="40A8F3AB" w14:textId="46E13909" w:rsidR="00693752" w:rsidRPr="00693752" w:rsidRDefault="00000000" w:rsidP="00693752">
      <w:pPr>
        <w:pStyle w:val="TDC1"/>
        <w:rPr>
          <w:rFonts w:ascii="Verdana" w:eastAsiaTheme="minorEastAsia" w:hAnsi="Verdana" w:cstheme="minorBidi"/>
          <w:b w:val="0"/>
          <w:noProof/>
          <w:sz w:val="20"/>
          <w:szCs w:val="20"/>
          <w:lang w:val="es-CR"/>
        </w:rPr>
      </w:pPr>
      <w:hyperlink w:anchor="_Toc123347568" w:history="1">
        <w:r w:rsidR="00693752" w:rsidRPr="00693752">
          <w:rPr>
            <w:rStyle w:val="Hipervnculo"/>
            <w:rFonts w:ascii="Verdana" w:hAnsi="Verdana"/>
            <w:noProof/>
            <w:sz w:val="20"/>
            <w:szCs w:val="20"/>
          </w:rPr>
          <w:t>X. PUNTOS RESOLUTIVOS</w:t>
        </w:r>
        <w:r w:rsidR="00693752" w:rsidRPr="00693752">
          <w:rPr>
            <w:rFonts w:ascii="Verdana" w:hAnsi="Verdana"/>
            <w:noProof/>
            <w:webHidden/>
            <w:sz w:val="20"/>
            <w:szCs w:val="20"/>
          </w:rPr>
          <w:tab/>
        </w:r>
        <w:r w:rsidR="00693752" w:rsidRPr="00693752">
          <w:rPr>
            <w:rFonts w:ascii="Verdana" w:hAnsi="Verdana"/>
            <w:noProof/>
            <w:webHidden/>
            <w:sz w:val="20"/>
            <w:szCs w:val="20"/>
          </w:rPr>
          <w:fldChar w:fldCharType="begin"/>
        </w:r>
        <w:r w:rsidR="00693752" w:rsidRPr="00693752">
          <w:rPr>
            <w:rFonts w:ascii="Verdana" w:hAnsi="Verdana"/>
            <w:noProof/>
            <w:webHidden/>
            <w:sz w:val="20"/>
            <w:szCs w:val="20"/>
          </w:rPr>
          <w:instrText xml:space="preserve"> PAGEREF _Toc123347568 \h </w:instrText>
        </w:r>
        <w:r w:rsidR="00693752" w:rsidRPr="00693752">
          <w:rPr>
            <w:rFonts w:ascii="Verdana" w:hAnsi="Verdana"/>
            <w:noProof/>
            <w:webHidden/>
            <w:sz w:val="20"/>
            <w:szCs w:val="20"/>
          </w:rPr>
        </w:r>
        <w:r w:rsidR="00693752" w:rsidRPr="00693752">
          <w:rPr>
            <w:rFonts w:ascii="Verdana" w:hAnsi="Verdana"/>
            <w:noProof/>
            <w:webHidden/>
            <w:sz w:val="20"/>
            <w:szCs w:val="20"/>
          </w:rPr>
          <w:fldChar w:fldCharType="separate"/>
        </w:r>
        <w:r w:rsidR="00D10592">
          <w:rPr>
            <w:rFonts w:ascii="Verdana" w:hAnsi="Verdana"/>
            <w:noProof/>
            <w:webHidden/>
            <w:sz w:val="20"/>
            <w:szCs w:val="20"/>
          </w:rPr>
          <w:t>61</w:t>
        </w:r>
        <w:r w:rsidR="00693752" w:rsidRPr="00693752">
          <w:rPr>
            <w:rFonts w:ascii="Verdana" w:hAnsi="Verdana"/>
            <w:noProof/>
            <w:webHidden/>
            <w:sz w:val="20"/>
            <w:szCs w:val="20"/>
          </w:rPr>
          <w:fldChar w:fldCharType="end"/>
        </w:r>
      </w:hyperlink>
    </w:p>
    <w:p w14:paraId="43E8B3B6" w14:textId="2C98C382" w:rsidR="009569E6" w:rsidRPr="005C1789" w:rsidRDefault="00404C93" w:rsidP="00955888">
      <w:pPr>
        <w:pStyle w:val="Ttulo1"/>
        <w:tabs>
          <w:tab w:val="right" w:leader="dot" w:pos="10200"/>
        </w:tabs>
        <w:spacing w:before="0" w:after="40"/>
        <w:ind w:right="-6"/>
        <w:rPr>
          <w:rFonts w:ascii="Verdana" w:hAnsi="Verdana"/>
          <w:b w:val="0"/>
          <w:bCs w:val="0"/>
          <w:sz w:val="20"/>
          <w:lang w:val="es-ES_tradnl"/>
        </w:rPr>
      </w:pPr>
      <w:r w:rsidRPr="00693752">
        <w:rPr>
          <w:rFonts w:ascii="Verdana" w:hAnsi="Verdana"/>
          <w:sz w:val="18"/>
          <w:szCs w:val="18"/>
        </w:rPr>
        <w:fldChar w:fldCharType="end"/>
      </w:r>
      <w:r w:rsidR="00FC2BD9" w:rsidRPr="00693752">
        <w:rPr>
          <w:rFonts w:ascii="Verdana" w:hAnsi="Verdana"/>
          <w:sz w:val="18"/>
          <w:szCs w:val="18"/>
        </w:rPr>
        <w:br w:type="page"/>
      </w:r>
      <w:bookmarkStart w:id="7" w:name="_Toc123347498"/>
      <w:r w:rsidR="00C6683F" w:rsidRPr="005C1789">
        <w:rPr>
          <w:rFonts w:ascii="Verdana" w:hAnsi="Verdana"/>
          <w:sz w:val="20"/>
          <w:lang w:val="es-ES_tradnl"/>
        </w:rPr>
        <w:lastRenderedPageBreak/>
        <w:t>I</w:t>
      </w:r>
      <w:r w:rsidR="00C6683F" w:rsidRPr="005C1789">
        <w:rPr>
          <w:rFonts w:ascii="Verdana" w:hAnsi="Verdana"/>
          <w:color w:val="FFFFFF" w:themeColor="background1"/>
          <w:sz w:val="20"/>
          <w:lang w:val="es-ES_tradnl"/>
        </w:rPr>
        <w:t>.</w:t>
      </w:r>
      <w:r w:rsidR="00C6683F" w:rsidRPr="005C1789">
        <w:rPr>
          <w:rFonts w:ascii="Verdana" w:hAnsi="Verdana"/>
          <w:sz w:val="20"/>
          <w:lang w:val="es-ES_tradnl"/>
        </w:rPr>
        <w:br/>
      </w:r>
      <w:r w:rsidR="009569E6" w:rsidRPr="005C1789">
        <w:rPr>
          <w:rFonts w:ascii="Verdana" w:hAnsi="Verdana"/>
          <w:sz w:val="20"/>
          <w:lang w:val="es-ES_tradnl"/>
        </w:rPr>
        <w:t>INTRODUCCIÓN DE LA CAUSA Y OBJETO DE LA CONTROVERSIA</w:t>
      </w:r>
      <w:bookmarkEnd w:id="0"/>
      <w:bookmarkEnd w:id="1"/>
      <w:bookmarkEnd w:id="2"/>
      <w:bookmarkEnd w:id="3"/>
      <w:bookmarkEnd w:id="4"/>
      <w:bookmarkEnd w:id="5"/>
      <w:bookmarkEnd w:id="6"/>
      <w:bookmarkEnd w:id="7"/>
    </w:p>
    <w:p w14:paraId="220960BB" w14:textId="2CEB6215" w:rsidR="003026B7" w:rsidRPr="005C1789" w:rsidRDefault="009569E6" w:rsidP="00955888">
      <w:pPr>
        <w:pStyle w:val="Prrafodelista"/>
        <w:numPr>
          <w:ilvl w:val="0"/>
          <w:numId w:val="2"/>
        </w:numPr>
        <w:spacing w:before="120" w:after="120"/>
        <w:ind w:left="0" w:right="-6" w:firstLine="0"/>
        <w:contextualSpacing w:val="0"/>
        <w:jc w:val="both"/>
        <w:rPr>
          <w:rFonts w:ascii="Verdana" w:hAnsi="Verdana"/>
          <w:sz w:val="20"/>
          <w:szCs w:val="20"/>
        </w:rPr>
      </w:pPr>
      <w:r w:rsidRPr="005C1789">
        <w:rPr>
          <w:rFonts w:ascii="Verdana" w:hAnsi="Verdana"/>
          <w:i/>
          <w:sz w:val="20"/>
          <w:szCs w:val="20"/>
        </w:rPr>
        <w:t>El caso sometido a la Corte.</w:t>
      </w:r>
      <w:r w:rsidRPr="005C1789">
        <w:rPr>
          <w:rFonts w:ascii="Verdana" w:hAnsi="Verdana"/>
          <w:sz w:val="20"/>
          <w:szCs w:val="20"/>
        </w:rPr>
        <w:t xml:space="preserve"> – </w:t>
      </w:r>
      <w:r w:rsidR="003D02C0" w:rsidRPr="005C1789">
        <w:rPr>
          <w:rFonts w:ascii="Verdana" w:hAnsi="Verdana"/>
          <w:sz w:val="20"/>
          <w:szCs w:val="20"/>
        </w:rPr>
        <w:t xml:space="preserve">El </w:t>
      </w:r>
      <w:r w:rsidR="003026B7" w:rsidRPr="005C1789">
        <w:rPr>
          <w:rFonts w:ascii="Verdana" w:hAnsi="Verdana"/>
          <w:sz w:val="20"/>
          <w:szCs w:val="20"/>
        </w:rPr>
        <w:t>1 de mayo de 2021</w:t>
      </w:r>
      <w:r w:rsidR="003D02C0" w:rsidRPr="005C1789">
        <w:rPr>
          <w:rFonts w:ascii="Verdana" w:hAnsi="Verdana"/>
          <w:sz w:val="20"/>
          <w:szCs w:val="20"/>
        </w:rPr>
        <w:t xml:space="preserve"> la Comisión Interamericana de Derechos Humanos (en adelante “la Comisión Interamericana” o “la Comisión”) sometió a la jurisdicción de la Corte el </w:t>
      </w:r>
      <w:r w:rsidR="00BB15CC" w:rsidRPr="005C1789">
        <w:rPr>
          <w:rFonts w:ascii="Verdana" w:hAnsi="Verdana"/>
          <w:sz w:val="20"/>
          <w:szCs w:val="20"/>
        </w:rPr>
        <w:t xml:space="preserve">caso </w:t>
      </w:r>
      <w:r w:rsidR="0098794D" w:rsidRPr="005C1789">
        <w:rPr>
          <w:rFonts w:ascii="Verdana" w:hAnsi="Verdana"/>
          <w:sz w:val="20"/>
          <w:szCs w:val="20"/>
        </w:rPr>
        <w:t xml:space="preserve">“Jorge Marcial </w:t>
      </w:r>
      <w:proofErr w:type="spellStart"/>
      <w:r w:rsidR="0098794D" w:rsidRPr="005C1789">
        <w:rPr>
          <w:rFonts w:ascii="Verdana" w:hAnsi="Verdana"/>
          <w:sz w:val="20"/>
          <w:szCs w:val="20"/>
        </w:rPr>
        <w:t>Tzompaxtle</w:t>
      </w:r>
      <w:proofErr w:type="spellEnd"/>
      <w:r w:rsidR="0098794D" w:rsidRPr="005C1789">
        <w:rPr>
          <w:rFonts w:ascii="Verdana" w:hAnsi="Verdana"/>
          <w:sz w:val="20"/>
          <w:szCs w:val="20"/>
        </w:rPr>
        <w:t xml:space="preserve"> </w:t>
      </w:r>
      <w:proofErr w:type="spellStart"/>
      <w:r w:rsidR="0098794D" w:rsidRPr="005C1789">
        <w:rPr>
          <w:rFonts w:ascii="Verdana" w:hAnsi="Verdana"/>
          <w:sz w:val="20"/>
          <w:szCs w:val="20"/>
        </w:rPr>
        <w:t>Tecpile</w:t>
      </w:r>
      <w:proofErr w:type="spellEnd"/>
      <w:r w:rsidR="0098794D" w:rsidRPr="005C1789">
        <w:rPr>
          <w:rFonts w:ascii="Verdana" w:hAnsi="Verdana"/>
          <w:sz w:val="20"/>
          <w:szCs w:val="20"/>
        </w:rPr>
        <w:t xml:space="preserve"> y otros respecto de los Estados Unidos Mexicanos”</w:t>
      </w:r>
      <w:r w:rsidR="003D02C0" w:rsidRPr="005C1789">
        <w:rPr>
          <w:rFonts w:ascii="Verdana" w:hAnsi="Verdana"/>
          <w:sz w:val="20"/>
          <w:szCs w:val="20"/>
        </w:rPr>
        <w:t xml:space="preserve"> (en adelante “el Estado” o “</w:t>
      </w:r>
      <w:r w:rsidR="003026B7" w:rsidRPr="005C1789">
        <w:rPr>
          <w:rFonts w:ascii="Verdana" w:hAnsi="Verdana"/>
          <w:sz w:val="20"/>
          <w:szCs w:val="20"/>
        </w:rPr>
        <w:t>México</w:t>
      </w:r>
      <w:r w:rsidR="003D02C0" w:rsidRPr="005C1789">
        <w:rPr>
          <w:rFonts w:ascii="Verdana" w:hAnsi="Verdana"/>
          <w:sz w:val="20"/>
          <w:szCs w:val="20"/>
        </w:rPr>
        <w:t>”). La Comisión señaló que el caso se relaciona</w:t>
      </w:r>
      <w:r w:rsidR="00E434A6" w:rsidRPr="005C1789">
        <w:rPr>
          <w:rFonts w:ascii="Verdana" w:hAnsi="Verdana"/>
          <w:sz w:val="20"/>
          <w:szCs w:val="20"/>
        </w:rPr>
        <w:t xml:space="preserve"> con</w:t>
      </w:r>
      <w:r w:rsidR="003D02C0" w:rsidRPr="005C1789">
        <w:rPr>
          <w:rFonts w:ascii="Verdana" w:hAnsi="Verdana"/>
          <w:sz w:val="20"/>
          <w:szCs w:val="20"/>
        </w:rPr>
        <w:t xml:space="preserve"> la </w:t>
      </w:r>
      <w:r w:rsidR="002C6AF6" w:rsidRPr="005C1789">
        <w:rPr>
          <w:rFonts w:ascii="Verdana" w:hAnsi="Verdana"/>
          <w:sz w:val="20"/>
          <w:szCs w:val="20"/>
        </w:rPr>
        <w:t>presunta responsabilidad</w:t>
      </w:r>
      <w:r w:rsidR="003D02C0" w:rsidRPr="005C1789">
        <w:rPr>
          <w:rFonts w:ascii="Verdana" w:hAnsi="Verdana"/>
          <w:sz w:val="20"/>
          <w:szCs w:val="20"/>
        </w:rPr>
        <w:t xml:space="preserve"> internacional del Estado por </w:t>
      </w:r>
      <w:r w:rsidR="003026B7" w:rsidRPr="005C1789">
        <w:rPr>
          <w:rFonts w:ascii="Verdana" w:hAnsi="Verdana"/>
          <w:sz w:val="20"/>
          <w:szCs w:val="20"/>
        </w:rPr>
        <w:t>la alegada detención ilegal y arbitraria</w:t>
      </w:r>
      <w:r w:rsidR="00F21AD3" w:rsidRPr="005C1789">
        <w:rPr>
          <w:rFonts w:ascii="Verdana" w:hAnsi="Verdana"/>
          <w:sz w:val="20"/>
          <w:szCs w:val="20"/>
        </w:rPr>
        <w:t xml:space="preserve"> </w:t>
      </w:r>
      <w:r w:rsidR="003026B7" w:rsidRPr="005C1789">
        <w:rPr>
          <w:rFonts w:ascii="Verdana" w:hAnsi="Verdana"/>
          <w:sz w:val="20"/>
          <w:szCs w:val="20"/>
        </w:rPr>
        <w:t xml:space="preserve">de Jorge Marcial </w:t>
      </w:r>
      <w:proofErr w:type="spellStart"/>
      <w:r w:rsidR="003026B7" w:rsidRPr="005C1789">
        <w:rPr>
          <w:rFonts w:ascii="Verdana" w:hAnsi="Verdana"/>
          <w:sz w:val="20"/>
          <w:szCs w:val="20"/>
        </w:rPr>
        <w:t>Tzompaxtle</w:t>
      </w:r>
      <w:proofErr w:type="spellEnd"/>
      <w:r w:rsidR="003026B7" w:rsidRPr="005C1789">
        <w:rPr>
          <w:rFonts w:ascii="Verdana" w:hAnsi="Verdana"/>
          <w:sz w:val="20"/>
          <w:szCs w:val="20"/>
        </w:rPr>
        <w:t xml:space="preserve"> </w:t>
      </w:r>
      <w:proofErr w:type="spellStart"/>
      <w:r w:rsidR="003026B7" w:rsidRPr="005C1789">
        <w:rPr>
          <w:rFonts w:ascii="Verdana" w:hAnsi="Verdana"/>
          <w:sz w:val="20"/>
          <w:szCs w:val="20"/>
        </w:rPr>
        <w:t>Tecpile</w:t>
      </w:r>
      <w:proofErr w:type="spellEnd"/>
      <w:r w:rsidR="003026B7" w:rsidRPr="005C1789">
        <w:rPr>
          <w:rFonts w:ascii="Verdana" w:hAnsi="Verdana"/>
          <w:sz w:val="20"/>
          <w:szCs w:val="20"/>
        </w:rPr>
        <w:t xml:space="preserve">, Gerardo </w:t>
      </w:r>
      <w:proofErr w:type="spellStart"/>
      <w:r w:rsidR="003026B7" w:rsidRPr="005C1789">
        <w:rPr>
          <w:rFonts w:ascii="Verdana" w:hAnsi="Verdana"/>
          <w:sz w:val="20"/>
          <w:szCs w:val="20"/>
        </w:rPr>
        <w:t>Tzompaxtle</w:t>
      </w:r>
      <w:proofErr w:type="spellEnd"/>
      <w:r w:rsidR="003026B7" w:rsidRPr="005C1789">
        <w:rPr>
          <w:rFonts w:ascii="Verdana" w:hAnsi="Verdana"/>
          <w:sz w:val="20"/>
          <w:szCs w:val="20"/>
        </w:rPr>
        <w:t xml:space="preserve"> </w:t>
      </w:r>
      <w:proofErr w:type="spellStart"/>
      <w:r w:rsidR="003026B7" w:rsidRPr="005C1789">
        <w:rPr>
          <w:rFonts w:ascii="Verdana" w:hAnsi="Verdana"/>
          <w:sz w:val="20"/>
          <w:szCs w:val="20"/>
        </w:rPr>
        <w:t>Tecpile</w:t>
      </w:r>
      <w:proofErr w:type="spellEnd"/>
      <w:r w:rsidR="003026B7" w:rsidRPr="005C1789">
        <w:rPr>
          <w:rFonts w:ascii="Verdana" w:hAnsi="Verdana"/>
          <w:sz w:val="20"/>
          <w:szCs w:val="20"/>
        </w:rPr>
        <w:t xml:space="preserve"> y Gustavo Robles López por parte de agentes policiales en una carretera entre la </w:t>
      </w:r>
      <w:r w:rsidR="00CC68CE">
        <w:rPr>
          <w:rFonts w:ascii="Verdana" w:hAnsi="Verdana"/>
          <w:sz w:val="20"/>
          <w:szCs w:val="20"/>
        </w:rPr>
        <w:t>Ciudad</w:t>
      </w:r>
      <w:r w:rsidR="00CC68CE" w:rsidRPr="005C1789">
        <w:rPr>
          <w:rFonts w:ascii="Verdana" w:hAnsi="Verdana"/>
          <w:sz w:val="20"/>
          <w:szCs w:val="20"/>
        </w:rPr>
        <w:t xml:space="preserve"> </w:t>
      </w:r>
      <w:r w:rsidR="003026B7" w:rsidRPr="005C1789">
        <w:rPr>
          <w:rFonts w:ascii="Verdana" w:hAnsi="Verdana"/>
          <w:sz w:val="20"/>
          <w:szCs w:val="20"/>
        </w:rPr>
        <w:t xml:space="preserve">de Veracruz y </w:t>
      </w:r>
      <w:r w:rsidR="00A9169D">
        <w:rPr>
          <w:rFonts w:ascii="Verdana" w:hAnsi="Verdana"/>
          <w:sz w:val="20"/>
          <w:szCs w:val="20"/>
        </w:rPr>
        <w:t xml:space="preserve">la </w:t>
      </w:r>
      <w:r w:rsidR="003026B7" w:rsidRPr="005C1789">
        <w:rPr>
          <w:rFonts w:ascii="Verdana" w:hAnsi="Verdana"/>
          <w:sz w:val="20"/>
          <w:szCs w:val="20"/>
        </w:rPr>
        <w:t>Ciudad de México</w:t>
      </w:r>
      <w:r w:rsidR="00F21AD3" w:rsidRPr="005C1789">
        <w:rPr>
          <w:rFonts w:ascii="Verdana" w:hAnsi="Verdana"/>
          <w:sz w:val="20"/>
          <w:szCs w:val="20"/>
        </w:rPr>
        <w:t xml:space="preserve">, ocurrida el </w:t>
      </w:r>
      <w:r w:rsidR="009F184F" w:rsidRPr="005C1789">
        <w:rPr>
          <w:rFonts w:ascii="Verdana" w:hAnsi="Verdana"/>
          <w:sz w:val="20"/>
          <w:szCs w:val="20"/>
        </w:rPr>
        <w:t>12</w:t>
      </w:r>
      <w:r w:rsidR="00F21AD3" w:rsidRPr="005C1789">
        <w:rPr>
          <w:rFonts w:ascii="Verdana" w:hAnsi="Verdana"/>
          <w:sz w:val="20"/>
          <w:szCs w:val="20"/>
        </w:rPr>
        <w:t xml:space="preserve"> de enero de 2006.</w:t>
      </w:r>
      <w:r w:rsidR="00F21AD3" w:rsidRPr="005C1789">
        <w:rPr>
          <w:rFonts w:ascii="Verdana" w:hAnsi="Verdana" w:cs="Arial"/>
          <w:sz w:val="20"/>
          <w:szCs w:val="20"/>
          <w:lang w:val="es-ES_tradnl"/>
        </w:rPr>
        <w:t xml:space="preserve"> La Comisión indicó que las </w:t>
      </w:r>
      <w:r w:rsidR="00450F04" w:rsidRPr="005C1789">
        <w:rPr>
          <w:rFonts w:ascii="Verdana" w:hAnsi="Verdana" w:cs="Arial"/>
          <w:sz w:val="20"/>
          <w:szCs w:val="20"/>
          <w:lang w:val="es-ES_tradnl"/>
        </w:rPr>
        <w:t xml:space="preserve">presuntas </w:t>
      </w:r>
      <w:r w:rsidR="00F21AD3" w:rsidRPr="005C1789">
        <w:rPr>
          <w:rFonts w:ascii="Verdana" w:hAnsi="Verdana" w:cs="Arial"/>
          <w:sz w:val="20"/>
          <w:szCs w:val="20"/>
          <w:lang w:val="es-ES_tradnl"/>
        </w:rPr>
        <w:t xml:space="preserve">víctimas fueron supuestamente retenidas y requisadas por agentes policiales sin orden judicial y </w:t>
      </w:r>
      <w:r w:rsidR="00C56E15">
        <w:rPr>
          <w:rFonts w:ascii="Verdana" w:hAnsi="Verdana" w:cs="Arial"/>
          <w:sz w:val="20"/>
          <w:szCs w:val="20"/>
          <w:lang w:val="es-ES_tradnl"/>
        </w:rPr>
        <w:t>sin que se</w:t>
      </w:r>
      <w:r w:rsidR="00F21AD3" w:rsidRPr="005C1789">
        <w:rPr>
          <w:rFonts w:ascii="Verdana" w:hAnsi="Verdana" w:cs="Arial"/>
          <w:sz w:val="20"/>
          <w:szCs w:val="20"/>
          <w:lang w:val="es-ES_tradnl"/>
        </w:rPr>
        <w:t xml:space="preserve"> </w:t>
      </w:r>
      <w:r w:rsidR="00C56E15" w:rsidRPr="005C1789">
        <w:rPr>
          <w:rFonts w:ascii="Verdana" w:hAnsi="Verdana" w:cs="Arial"/>
          <w:sz w:val="20"/>
          <w:szCs w:val="20"/>
          <w:lang w:val="es-ES_tradnl"/>
        </w:rPr>
        <w:t>configur</w:t>
      </w:r>
      <w:r w:rsidR="00C56E15">
        <w:rPr>
          <w:rFonts w:ascii="Verdana" w:hAnsi="Verdana" w:cs="Arial"/>
          <w:sz w:val="20"/>
          <w:szCs w:val="20"/>
          <w:lang w:val="es-ES_tradnl"/>
        </w:rPr>
        <w:t>ara</w:t>
      </w:r>
      <w:r w:rsidR="00C56E15" w:rsidRPr="005C1789">
        <w:rPr>
          <w:rFonts w:ascii="Verdana" w:hAnsi="Verdana" w:cs="Arial"/>
          <w:sz w:val="20"/>
          <w:szCs w:val="20"/>
          <w:lang w:val="es-ES_tradnl"/>
        </w:rPr>
        <w:t xml:space="preserve"> </w:t>
      </w:r>
      <w:r w:rsidR="00F21AD3" w:rsidRPr="005C1789">
        <w:rPr>
          <w:rFonts w:ascii="Verdana" w:hAnsi="Verdana" w:cs="Arial"/>
          <w:sz w:val="20"/>
          <w:szCs w:val="20"/>
          <w:lang w:val="es-ES_tradnl"/>
        </w:rPr>
        <w:t xml:space="preserve">una situación de flagrancia. En vista de lo señalado, consideró que la retención resultó ilegal y arbitraria. Agregó que la posterior requisa del vehículo constituyó una afectación al derecho a la vida privada y que las </w:t>
      </w:r>
      <w:r w:rsidR="00287F92" w:rsidRPr="005C1789">
        <w:rPr>
          <w:rFonts w:ascii="Verdana" w:hAnsi="Verdana" w:cs="Arial"/>
          <w:sz w:val="20"/>
          <w:szCs w:val="20"/>
          <w:lang w:val="es-ES_tradnl"/>
        </w:rPr>
        <w:t xml:space="preserve">presuntas </w:t>
      </w:r>
      <w:r w:rsidR="00F21AD3" w:rsidRPr="005C1789">
        <w:rPr>
          <w:rFonts w:ascii="Verdana" w:hAnsi="Verdana" w:cs="Arial"/>
          <w:sz w:val="20"/>
          <w:szCs w:val="20"/>
          <w:lang w:val="es-ES_tradnl"/>
        </w:rPr>
        <w:t xml:space="preserve">víctimas no </w:t>
      </w:r>
      <w:r w:rsidR="00287F92" w:rsidRPr="005C1789">
        <w:rPr>
          <w:rFonts w:ascii="Verdana" w:hAnsi="Verdana" w:cs="Arial"/>
          <w:sz w:val="20"/>
          <w:szCs w:val="20"/>
          <w:lang w:val="es-ES_tradnl"/>
        </w:rPr>
        <w:t xml:space="preserve">habrían sido </w:t>
      </w:r>
      <w:r w:rsidR="00F21AD3" w:rsidRPr="005C1789">
        <w:rPr>
          <w:rFonts w:ascii="Verdana" w:hAnsi="Verdana" w:cs="Arial"/>
          <w:sz w:val="20"/>
          <w:szCs w:val="20"/>
          <w:lang w:val="es-ES_tradnl"/>
        </w:rPr>
        <w:t xml:space="preserve">informadas sobre las razones de su detención ni llevadas sin demora ante una autoridad judicial. Por otra parte, estableció que la aplicación de la figura del arraigo </w:t>
      </w:r>
      <w:r w:rsidR="002F3024" w:rsidRPr="005C1789">
        <w:rPr>
          <w:rFonts w:ascii="Verdana" w:hAnsi="Verdana" w:cs="Arial"/>
          <w:sz w:val="20"/>
          <w:szCs w:val="20"/>
          <w:lang w:val="es-ES_tradnl"/>
        </w:rPr>
        <w:t xml:space="preserve">habría constituido </w:t>
      </w:r>
      <w:r w:rsidR="00F21AD3" w:rsidRPr="005C1789">
        <w:rPr>
          <w:rFonts w:ascii="Verdana" w:hAnsi="Verdana" w:cs="Arial"/>
          <w:sz w:val="20"/>
          <w:szCs w:val="20"/>
          <w:lang w:val="es-ES_tradnl"/>
        </w:rPr>
        <w:t xml:space="preserve">una medida de carácter punitivo y no cautelar, que además </w:t>
      </w:r>
      <w:r w:rsidR="002F3024" w:rsidRPr="005C1789">
        <w:rPr>
          <w:rFonts w:ascii="Verdana" w:hAnsi="Verdana" w:cs="Arial"/>
          <w:sz w:val="20"/>
          <w:szCs w:val="20"/>
          <w:lang w:val="es-ES_tradnl"/>
        </w:rPr>
        <w:t xml:space="preserve">habría afectado </w:t>
      </w:r>
      <w:r w:rsidR="00F21AD3" w:rsidRPr="005C1789">
        <w:rPr>
          <w:rFonts w:ascii="Verdana" w:hAnsi="Verdana" w:cs="Arial"/>
          <w:sz w:val="20"/>
          <w:szCs w:val="20"/>
          <w:lang w:val="es-ES_tradnl"/>
        </w:rPr>
        <w:t xml:space="preserve">el </w:t>
      </w:r>
      <w:r w:rsidR="00364399" w:rsidRPr="005C1789">
        <w:rPr>
          <w:rFonts w:ascii="Verdana" w:hAnsi="Verdana" w:cs="Arial"/>
          <w:sz w:val="20"/>
          <w:szCs w:val="20"/>
          <w:lang w:val="es-ES_tradnl"/>
        </w:rPr>
        <w:t xml:space="preserve">derecho </w:t>
      </w:r>
      <w:r w:rsidR="00D708DF" w:rsidRPr="005C1789">
        <w:rPr>
          <w:rFonts w:ascii="Verdana" w:hAnsi="Verdana" w:cs="Arial"/>
          <w:sz w:val="20"/>
          <w:szCs w:val="20"/>
          <w:lang w:val="es-ES_tradnl"/>
        </w:rPr>
        <w:t xml:space="preserve">a la </w:t>
      </w:r>
      <w:r w:rsidR="00F21AD3" w:rsidRPr="005C1789">
        <w:rPr>
          <w:rFonts w:ascii="Verdana" w:hAnsi="Verdana" w:cs="Arial"/>
          <w:sz w:val="20"/>
          <w:szCs w:val="20"/>
          <w:lang w:val="es-ES_tradnl"/>
        </w:rPr>
        <w:t xml:space="preserve">presunción de inocencia de las </w:t>
      </w:r>
      <w:r w:rsidR="00AC3AB7">
        <w:rPr>
          <w:rFonts w:ascii="Verdana" w:hAnsi="Verdana" w:cs="Arial"/>
          <w:sz w:val="20"/>
          <w:szCs w:val="20"/>
          <w:lang w:val="es-ES_tradnl"/>
        </w:rPr>
        <w:t xml:space="preserve">presuntas </w:t>
      </w:r>
      <w:r w:rsidR="00F21AD3" w:rsidRPr="005C1789">
        <w:rPr>
          <w:rFonts w:ascii="Verdana" w:hAnsi="Verdana" w:cs="Arial"/>
          <w:sz w:val="20"/>
          <w:szCs w:val="20"/>
          <w:lang w:val="es-ES_tradnl"/>
        </w:rPr>
        <w:t>víctimas. Asimismo, señaló que la figura del arraigo</w:t>
      </w:r>
      <w:r w:rsidR="006D1E78" w:rsidRPr="005C1789">
        <w:rPr>
          <w:rFonts w:ascii="Verdana" w:hAnsi="Verdana" w:cs="Arial"/>
          <w:sz w:val="20"/>
          <w:szCs w:val="20"/>
          <w:lang w:val="es-ES_tradnl"/>
        </w:rPr>
        <w:t xml:space="preserve"> (</w:t>
      </w:r>
      <w:r w:rsidR="006D1E78" w:rsidRPr="005C1789">
        <w:rPr>
          <w:rFonts w:ascii="Verdana" w:hAnsi="Verdana" w:cs="Arial"/>
          <w:i/>
          <w:iCs/>
          <w:sz w:val="20"/>
          <w:szCs w:val="20"/>
          <w:lang w:val="es-ES_tradnl"/>
        </w:rPr>
        <w:t>infra</w:t>
      </w:r>
      <w:r w:rsidR="006D1E78" w:rsidRPr="005C1789">
        <w:rPr>
          <w:rFonts w:ascii="Verdana" w:hAnsi="Verdana" w:cs="Arial"/>
          <w:sz w:val="20"/>
          <w:szCs w:val="20"/>
          <w:lang w:val="es-ES_tradnl"/>
        </w:rPr>
        <w:t xml:space="preserve"> </w:t>
      </w:r>
      <w:proofErr w:type="spellStart"/>
      <w:r w:rsidR="006D1E78" w:rsidRPr="005C1789">
        <w:rPr>
          <w:rFonts w:ascii="Verdana" w:hAnsi="Verdana" w:cs="Arial"/>
          <w:sz w:val="20"/>
          <w:szCs w:val="20"/>
          <w:lang w:val="es-ES_tradnl"/>
        </w:rPr>
        <w:t>párr</w:t>
      </w:r>
      <w:r w:rsidR="00DB0D38" w:rsidRPr="005C1789">
        <w:rPr>
          <w:rFonts w:ascii="Verdana" w:hAnsi="Verdana" w:cs="Arial"/>
          <w:sz w:val="20"/>
          <w:szCs w:val="20"/>
          <w:lang w:val="es-ES_tradnl"/>
        </w:rPr>
        <w:t>s</w:t>
      </w:r>
      <w:proofErr w:type="spellEnd"/>
      <w:r w:rsidR="006D1E78" w:rsidRPr="005C1789">
        <w:rPr>
          <w:rFonts w:ascii="Verdana" w:hAnsi="Verdana" w:cs="Arial"/>
          <w:sz w:val="20"/>
          <w:szCs w:val="20"/>
          <w:lang w:val="es-ES_tradnl"/>
        </w:rPr>
        <w:t xml:space="preserve">. </w:t>
      </w:r>
      <w:r w:rsidR="00DB0D38" w:rsidRPr="005C1789">
        <w:rPr>
          <w:rFonts w:ascii="Verdana" w:hAnsi="Verdana" w:cs="Arial"/>
          <w:sz w:val="20"/>
          <w:szCs w:val="20"/>
          <w:lang w:val="es-ES_tradnl"/>
        </w:rPr>
        <w:t>36 a 41</w:t>
      </w:r>
      <w:r w:rsidR="006D1E78" w:rsidRPr="005C1789">
        <w:rPr>
          <w:rFonts w:ascii="Verdana" w:hAnsi="Verdana" w:cs="Arial"/>
          <w:sz w:val="20"/>
          <w:szCs w:val="20"/>
          <w:lang w:val="es-ES_tradnl"/>
        </w:rPr>
        <w:t>)</w:t>
      </w:r>
      <w:r w:rsidR="00F21AD3" w:rsidRPr="005C1789">
        <w:rPr>
          <w:rFonts w:ascii="Verdana" w:hAnsi="Verdana" w:cs="Arial"/>
          <w:sz w:val="20"/>
          <w:szCs w:val="20"/>
          <w:lang w:val="es-ES_tradnl"/>
        </w:rPr>
        <w:t xml:space="preserve"> resulta contraria a la Convención y consideró que la aplicación de la detención preventiva posterior al arraigo </w:t>
      </w:r>
      <w:r w:rsidR="00770822">
        <w:rPr>
          <w:rFonts w:ascii="Verdana" w:hAnsi="Verdana" w:cs="Arial"/>
          <w:sz w:val="20"/>
          <w:szCs w:val="20"/>
          <w:lang w:val="es-ES_tradnl"/>
        </w:rPr>
        <w:t>fue</w:t>
      </w:r>
      <w:r w:rsidR="00DF122C" w:rsidRPr="005C1789">
        <w:rPr>
          <w:rFonts w:ascii="Verdana" w:hAnsi="Verdana" w:cs="Arial"/>
          <w:sz w:val="20"/>
          <w:szCs w:val="20"/>
          <w:lang w:val="es-ES_tradnl"/>
        </w:rPr>
        <w:t xml:space="preserve"> </w:t>
      </w:r>
      <w:r w:rsidR="00F21AD3" w:rsidRPr="005C1789">
        <w:rPr>
          <w:rFonts w:ascii="Verdana" w:hAnsi="Verdana" w:cs="Arial"/>
          <w:sz w:val="20"/>
          <w:szCs w:val="20"/>
          <w:lang w:val="es-ES_tradnl"/>
        </w:rPr>
        <w:t>arbitraria. Con base en dichas consideraciones, la Comisión concluyó que el Estado era responsable por la violación de los artículos 5.1 (derecho a la integridad personal), 7.1, 7.2, 7.3, 7.4, 7.5 y 7.6 (derecho a la libertad personal); 8.1, 8.2, 8.2 b), 8.2 d), y 8.2 e) (derecho a las garantías judiciales); 11.2 (derecho a la vida privada), y 25.1 (derecho a la protección judicial) de la Convención Americana sobre Derechos Humanos, en relación con las obligaciones establecidas en los artículos 1.1 y 2 del mismo instrumento</w:t>
      </w:r>
      <w:r w:rsidR="00AC3AB7">
        <w:rPr>
          <w:rFonts w:ascii="Verdana" w:hAnsi="Verdana" w:cs="Arial"/>
          <w:sz w:val="20"/>
          <w:szCs w:val="20"/>
          <w:lang w:val="es-ES_tradnl"/>
        </w:rPr>
        <w:t>,</w:t>
      </w:r>
      <w:r w:rsidR="001E7187" w:rsidRPr="005C1789">
        <w:rPr>
          <w:rFonts w:ascii="Verdana" w:hAnsi="Verdana" w:cs="Arial"/>
          <w:sz w:val="20"/>
          <w:szCs w:val="20"/>
          <w:lang w:val="es-ES_tradnl"/>
        </w:rPr>
        <w:t xml:space="preserve"> en perjuicio de Jorge Marcial </w:t>
      </w:r>
      <w:proofErr w:type="spellStart"/>
      <w:r w:rsidR="001E7187" w:rsidRPr="005C1789">
        <w:rPr>
          <w:rFonts w:ascii="Verdana" w:hAnsi="Verdana" w:cs="Arial"/>
          <w:sz w:val="20"/>
          <w:szCs w:val="20"/>
          <w:lang w:val="es-ES_tradnl"/>
        </w:rPr>
        <w:t>Tzompaxtle</w:t>
      </w:r>
      <w:proofErr w:type="spellEnd"/>
      <w:r w:rsidR="001E7187" w:rsidRPr="005C1789">
        <w:rPr>
          <w:rFonts w:ascii="Verdana" w:hAnsi="Verdana" w:cs="Arial"/>
          <w:sz w:val="20"/>
          <w:szCs w:val="20"/>
          <w:lang w:val="es-ES_tradnl"/>
        </w:rPr>
        <w:t xml:space="preserve"> </w:t>
      </w:r>
      <w:proofErr w:type="spellStart"/>
      <w:r w:rsidR="001E7187" w:rsidRPr="005C1789">
        <w:rPr>
          <w:rFonts w:ascii="Verdana" w:hAnsi="Verdana" w:cs="Arial"/>
          <w:sz w:val="20"/>
          <w:szCs w:val="20"/>
          <w:lang w:val="es-ES_tradnl"/>
        </w:rPr>
        <w:t>Tecpile</w:t>
      </w:r>
      <w:proofErr w:type="spellEnd"/>
      <w:r w:rsidR="001E7187" w:rsidRPr="005C1789">
        <w:rPr>
          <w:rFonts w:ascii="Verdana" w:hAnsi="Verdana" w:cs="Arial"/>
          <w:sz w:val="20"/>
          <w:szCs w:val="20"/>
          <w:lang w:val="es-ES_tradnl"/>
        </w:rPr>
        <w:t xml:space="preserve">, Gerardo </w:t>
      </w:r>
      <w:proofErr w:type="spellStart"/>
      <w:r w:rsidR="001E7187" w:rsidRPr="005C1789">
        <w:rPr>
          <w:rFonts w:ascii="Verdana" w:hAnsi="Verdana" w:cs="Arial"/>
          <w:sz w:val="20"/>
          <w:szCs w:val="20"/>
          <w:lang w:val="es-ES_tradnl"/>
        </w:rPr>
        <w:t>Tzompaxtle</w:t>
      </w:r>
      <w:proofErr w:type="spellEnd"/>
      <w:r w:rsidR="001E7187" w:rsidRPr="005C1789">
        <w:rPr>
          <w:rFonts w:ascii="Verdana" w:hAnsi="Verdana" w:cs="Arial"/>
          <w:sz w:val="20"/>
          <w:szCs w:val="20"/>
          <w:lang w:val="es-ES_tradnl"/>
        </w:rPr>
        <w:t xml:space="preserve"> </w:t>
      </w:r>
      <w:proofErr w:type="spellStart"/>
      <w:r w:rsidR="001E7187" w:rsidRPr="005C1789">
        <w:rPr>
          <w:rFonts w:ascii="Verdana" w:hAnsi="Verdana" w:cs="Arial"/>
          <w:sz w:val="20"/>
          <w:szCs w:val="20"/>
          <w:lang w:val="es-ES_tradnl"/>
        </w:rPr>
        <w:t>Tecpile</w:t>
      </w:r>
      <w:proofErr w:type="spellEnd"/>
      <w:r w:rsidR="001E7187" w:rsidRPr="005C1789">
        <w:rPr>
          <w:rFonts w:ascii="Verdana" w:hAnsi="Verdana" w:cs="Arial"/>
          <w:sz w:val="20"/>
          <w:szCs w:val="20"/>
          <w:lang w:val="es-ES_tradnl"/>
        </w:rPr>
        <w:t xml:space="preserve"> y Gustavo Robles López</w:t>
      </w:r>
      <w:r w:rsidR="00F21AD3" w:rsidRPr="005C1789">
        <w:rPr>
          <w:rFonts w:ascii="Verdana" w:hAnsi="Verdana" w:cs="Arial"/>
          <w:sz w:val="20"/>
          <w:szCs w:val="20"/>
          <w:lang w:val="es-ES_tradnl"/>
        </w:rPr>
        <w:t>.</w:t>
      </w:r>
    </w:p>
    <w:p w14:paraId="17DE5AD1" w14:textId="68901160" w:rsidR="00070CFE" w:rsidRPr="005C1789" w:rsidRDefault="006F5C6B" w:rsidP="00955888">
      <w:pPr>
        <w:pStyle w:val="Prrafodelista"/>
        <w:numPr>
          <w:ilvl w:val="0"/>
          <w:numId w:val="2"/>
        </w:numPr>
        <w:spacing w:before="120" w:after="120"/>
        <w:ind w:left="0" w:right="-6" w:firstLine="0"/>
        <w:contextualSpacing w:val="0"/>
        <w:jc w:val="both"/>
        <w:rPr>
          <w:rFonts w:ascii="Verdana" w:hAnsi="Verdana"/>
          <w:sz w:val="20"/>
          <w:szCs w:val="20"/>
        </w:rPr>
      </w:pPr>
      <w:bookmarkStart w:id="8" w:name="_Ref363651855"/>
      <w:r w:rsidRPr="005C1789">
        <w:rPr>
          <w:rFonts w:ascii="Verdana" w:hAnsi="Verdana"/>
          <w:i/>
          <w:sz w:val="20"/>
          <w:szCs w:val="20"/>
        </w:rPr>
        <w:t xml:space="preserve">Trámite ante la Comisión. </w:t>
      </w:r>
      <w:r w:rsidRPr="005C1789">
        <w:rPr>
          <w:rFonts w:ascii="Verdana" w:hAnsi="Verdana"/>
          <w:sz w:val="20"/>
          <w:szCs w:val="20"/>
        </w:rPr>
        <w:t>– El trámite ante la Comisión fue el siguiente:</w:t>
      </w:r>
      <w:bookmarkEnd w:id="8"/>
    </w:p>
    <w:p w14:paraId="484EC7BC" w14:textId="0E518BFD" w:rsidR="006F5C6B" w:rsidRPr="005C1789" w:rsidRDefault="006F5C6B" w:rsidP="00955888">
      <w:pPr>
        <w:pStyle w:val="Prrafodelista"/>
        <w:numPr>
          <w:ilvl w:val="1"/>
          <w:numId w:val="1"/>
        </w:numPr>
        <w:spacing w:before="120" w:after="120"/>
        <w:ind w:left="284" w:right="-6" w:firstLine="0"/>
        <w:contextualSpacing w:val="0"/>
        <w:jc w:val="both"/>
        <w:rPr>
          <w:rFonts w:ascii="Verdana" w:hAnsi="Verdana"/>
          <w:sz w:val="20"/>
          <w:szCs w:val="20"/>
        </w:rPr>
      </w:pPr>
      <w:r w:rsidRPr="005C1789">
        <w:rPr>
          <w:rFonts w:ascii="Verdana" w:hAnsi="Verdana"/>
          <w:i/>
          <w:sz w:val="20"/>
          <w:szCs w:val="20"/>
        </w:rPr>
        <w:t>Petición. –</w:t>
      </w:r>
      <w:r w:rsidRPr="005C1789">
        <w:rPr>
          <w:rFonts w:ascii="Verdana" w:hAnsi="Verdana"/>
          <w:sz w:val="20"/>
          <w:szCs w:val="20"/>
        </w:rPr>
        <w:t xml:space="preserve"> </w:t>
      </w:r>
      <w:r w:rsidR="005935A4" w:rsidRPr="005C1789">
        <w:rPr>
          <w:rFonts w:ascii="Verdana" w:hAnsi="Verdana"/>
          <w:sz w:val="20"/>
          <w:szCs w:val="20"/>
        </w:rPr>
        <w:t xml:space="preserve">El </w:t>
      </w:r>
      <w:r w:rsidR="00461694" w:rsidRPr="005C1789">
        <w:rPr>
          <w:rFonts w:ascii="Verdana" w:hAnsi="Verdana"/>
          <w:sz w:val="20"/>
          <w:szCs w:val="20"/>
        </w:rPr>
        <w:t>22 de febrero de 2007</w:t>
      </w:r>
      <w:r w:rsidR="005935A4" w:rsidRPr="005C1789">
        <w:rPr>
          <w:rFonts w:ascii="Verdana" w:hAnsi="Verdana"/>
          <w:sz w:val="20"/>
          <w:szCs w:val="20"/>
        </w:rPr>
        <w:t xml:space="preserve">, la Comisión recibió la petición inicial, </w:t>
      </w:r>
      <w:r w:rsidR="007A2D0F" w:rsidRPr="005C1789">
        <w:rPr>
          <w:rFonts w:ascii="Verdana" w:hAnsi="Verdana"/>
          <w:sz w:val="20"/>
          <w:szCs w:val="20"/>
        </w:rPr>
        <w:t xml:space="preserve">la cual fue </w:t>
      </w:r>
      <w:r w:rsidR="005935A4" w:rsidRPr="005C1789">
        <w:rPr>
          <w:rFonts w:ascii="Verdana" w:hAnsi="Verdana"/>
          <w:sz w:val="20"/>
          <w:szCs w:val="20"/>
        </w:rPr>
        <w:t xml:space="preserve">presentada </w:t>
      </w:r>
      <w:r w:rsidR="00461694" w:rsidRPr="005C1789">
        <w:rPr>
          <w:rFonts w:ascii="Verdana" w:hAnsi="Verdana"/>
          <w:sz w:val="20"/>
          <w:szCs w:val="20"/>
        </w:rPr>
        <w:t>por la Red Solidaria Década Contra la Impunidad</w:t>
      </w:r>
      <w:r w:rsidR="005935A4" w:rsidRPr="005C1789">
        <w:rPr>
          <w:rFonts w:ascii="Verdana" w:hAnsi="Verdana"/>
          <w:sz w:val="20"/>
          <w:szCs w:val="20"/>
        </w:rPr>
        <w:t xml:space="preserve">. </w:t>
      </w:r>
    </w:p>
    <w:p w14:paraId="11515FE6" w14:textId="70E29127" w:rsidR="005D7A49" w:rsidRPr="005C1789" w:rsidRDefault="005935A4" w:rsidP="00955888">
      <w:pPr>
        <w:pStyle w:val="Prrafodelista"/>
        <w:numPr>
          <w:ilvl w:val="1"/>
          <w:numId w:val="1"/>
        </w:numPr>
        <w:spacing w:before="120" w:after="120"/>
        <w:ind w:left="284" w:right="-6" w:firstLine="0"/>
        <w:contextualSpacing w:val="0"/>
        <w:jc w:val="both"/>
        <w:rPr>
          <w:rFonts w:ascii="Verdana" w:hAnsi="Verdana"/>
          <w:sz w:val="20"/>
          <w:szCs w:val="20"/>
        </w:rPr>
      </w:pPr>
      <w:r w:rsidRPr="005C1789">
        <w:rPr>
          <w:rFonts w:ascii="Verdana" w:hAnsi="Verdana"/>
          <w:i/>
          <w:sz w:val="20"/>
          <w:szCs w:val="20"/>
          <w:lang w:val="es-ES"/>
        </w:rPr>
        <w:t xml:space="preserve">Informes de Admisibilidad y de Fondo. – </w:t>
      </w:r>
      <w:r w:rsidRPr="005C1789">
        <w:rPr>
          <w:rFonts w:ascii="Verdana" w:hAnsi="Verdana"/>
          <w:sz w:val="20"/>
          <w:szCs w:val="20"/>
          <w:lang w:val="es-ES"/>
        </w:rPr>
        <w:t xml:space="preserve">El </w:t>
      </w:r>
      <w:r w:rsidR="00461694" w:rsidRPr="005C1789">
        <w:rPr>
          <w:rFonts w:ascii="Verdana" w:hAnsi="Verdana"/>
          <w:sz w:val="20"/>
          <w:szCs w:val="20"/>
          <w:lang w:val="es-ES"/>
        </w:rPr>
        <w:t>27 de octubre de 2015</w:t>
      </w:r>
      <w:r w:rsidRPr="005C1789">
        <w:rPr>
          <w:rFonts w:ascii="Verdana" w:hAnsi="Verdana"/>
          <w:sz w:val="20"/>
          <w:szCs w:val="20"/>
          <w:lang w:val="es-ES"/>
        </w:rPr>
        <w:t xml:space="preserve"> y </w:t>
      </w:r>
      <w:r w:rsidR="00461694" w:rsidRPr="005C1789">
        <w:rPr>
          <w:rFonts w:ascii="Verdana" w:hAnsi="Verdana"/>
          <w:sz w:val="20"/>
          <w:szCs w:val="20"/>
          <w:lang w:val="es-ES"/>
        </w:rPr>
        <w:t>el 7 diciembre 2018</w:t>
      </w:r>
      <w:r w:rsidRPr="005C1789">
        <w:rPr>
          <w:rFonts w:ascii="Verdana" w:hAnsi="Verdana"/>
          <w:position w:val="1"/>
          <w:sz w:val="20"/>
          <w:szCs w:val="20"/>
          <w:lang w:val="es-ES"/>
        </w:rPr>
        <w:t xml:space="preserve">, la Comisión aprobó, respectivamente, el Informe de </w:t>
      </w:r>
      <w:r w:rsidRPr="005C1789">
        <w:rPr>
          <w:rFonts w:ascii="Verdana" w:hAnsi="Verdana"/>
          <w:sz w:val="20"/>
          <w:szCs w:val="20"/>
          <w:lang w:val="es-ES"/>
        </w:rPr>
        <w:t>Admisibilidad No.</w:t>
      </w:r>
      <w:r w:rsidRPr="005C1789">
        <w:rPr>
          <w:rFonts w:ascii="Verdana" w:hAnsi="Verdana"/>
          <w:spacing w:val="-9"/>
          <w:sz w:val="20"/>
          <w:szCs w:val="20"/>
          <w:lang w:val="es-ES"/>
        </w:rPr>
        <w:t xml:space="preserve"> </w:t>
      </w:r>
      <w:r w:rsidR="00461694" w:rsidRPr="005C1789">
        <w:rPr>
          <w:rFonts w:ascii="Verdana" w:hAnsi="Verdana"/>
          <w:sz w:val="20"/>
          <w:szCs w:val="20"/>
          <w:lang w:val="es-ES"/>
        </w:rPr>
        <w:t>67</w:t>
      </w:r>
      <w:r w:rsidRPr="005C1789">
        <w:rPr>
          <w:rFonts w:ascii="Verdana" w:hAnsi="Verdana"/>
          <w:sz w:val="20"/>
          <w:szCs w:val="20"/>
          <w:lang w:val="es-ES"/>
        </w:rPr>
        <w:t>/15</w:t>
      </w:r>
      <w:r w:rsidRPr="005C1789">
        <w:rPr>
          <w:rFonts w:ascii="Verdana" w:hAnsi="Verdana"/>
          <w:spacing w:val="-5"/>
          <w:sz w:val="20"/>
          <w:szCs w:val="20"/>
          <w:lang w:val="es-ES"/>
        </w:rPr>
        <w:t xml:space="preserve"> </w:t>
      </w:r>
      <w:r w:rsidRPr="005C1789">
        <w:rPr>
          <w:rFonts w:ascii="Verdana" w:hAnsi="Verdana"/>
          <w:position w:val="1"/>
          <w:sz w:val="20"/>
          <w:szCs w:val="20"/>
          <w:lang w:val="es-ES"/>
        </w:rPr>
        <w:t>(en</w:t>
      </w:r>
      <w:r w:rsidRPr="005C1789">
        <w:rPr>
          <w:rFonts w:ascii="Verdana" w:hAnsi="Verdana"/>
          <w:spacing w:val="-4"/>
          <w:position w:val="1"/>
          <w:sz w:val="20"/>
          <w:szCs w:val="20"/>
          <w:lang w:val="es-ES"/>
        </w:rPr>
        <w:t xml:space="preserve"> </w:t>
      </w:r>
      <w:r w:rsidRPr="005C1789">
        <w:rPr>
          <w:rFonts w:ascii="Verdana" w:hAnsi="Verdana"/>
          <w:position w:val="1"/>
          <w:sz w:val="20"/>
          <w:szCs w:val="20"/>
          <w:lang w:val="es-ES"/>
        </w:rPr>
        <w:t>adelante</w:t>
      </w:r>
      <w:r w:rsidRPr="005C1789">
        <w:rPr>
          <w:rFonts w:ascii="Verdana" w:hAnsi="Verdana"/>
          <w:spacing w:val="-4"/>
          <w:position w:val="1"/>
          <w:sz w:val="20"/>
          <w:szCs w:val="20"/>
          <w:lang w:val="es-ES"/>
        </w:rPr>
        <w:t xml:space="preserve"> </w:t>
      </w:r>
      <w:r w:rsidRPr="005C1789">
        <w:rPr>
          <w:rFonts w:ascii="Verdana" w:hAnsi="Verdana"/>
          <w:position w:val="1"/>
          <w:sz w:val="20"/>
          <w:szCs w:val="20"/>
          <w:lang w:val="es-ES"/>
        </w:rPr>
        <w:t>“Informe</w:t>
      </w:r>
      <w:r w:rsidRPr="005C1789">
        <w:rPr>
          <w:rFonts w:ascii="Verdana" w:hAnsi="Verdana"/>
          <w:spacing w:val="-5"/>
          <w:position w:val="1"/>
          <w:sz w:val="20"/>
          <w:szCs w:val="20"/>
          <w:lang w:val="es-ES"/>
        </w:rPr>
        <w:t xml:space="preserve"> </w:t>
      </w:r>
      <w:r w:rsidRPr="005C1789">
        <w:rPr>
          <w:rFonts w:ascii="Verdana" w:hAnsi="Verdana"/>
          <w:position w:val="1"/>
          <w:sz w:val="20"/>
          <w:szCs w:val="20"/>
          <w:lang w:val="es-ES"/>
        </w:rPr>
        <w:t>de</w:t>
      </w:r>
      <w:r w:rsidRPr="005C1789">
        <w:rPr>
          <w:rFonts w:ascii="Verdana" w:hAnsi="Verdana"/>
          <w:spacing w:val="-6"/>
          <w:position w:val="1"/>
          <w:sz w:val="20"/>
          <w:szCs w:val="20"/>
          <w:lang w:val="es-ES"/>
        </w:rPr>
        <w:t xml:space="preserve"> </w:t>
      </w:r>
      <w:r w:rsidRPr="005C1789">
        <w:rPr>
          <w:rFonts w:ascii="Verdana" w:hAnsi="Verdana"/>
          <w:iCs/>
          <w:sz w:val="20"/>
          <w:szCs w:val="20"/>
          <w:lang w:val="es-ES"/>
        </w:rPr>
        <w:t>Admisibilidad</w:t>
      </w:r>
      <w:r w:rsidRPr="005C1789">
        <w:rPr>
          <w:rFonts w:ascii="Verdana" w:hAnsi="Verdana"/>
          <w:position w:val="1"/>
          <w:sz w:val="20"/>
          <w:szCs w:val="20"/>
          <w:lang w:val="es-ES"/>
        </w:rPr>
        <w:t xml:space="preserve">”) en el </w:t>
      </w:r>
      <w:r w:rsidR="00750CB4" w:rsidRPr="005C1789">
        <w:rPr>
          <w:rFonts w:ascii="Verdana" w:hAnsi="Verdana"/>
          <w:position w:val="1"/>
          <w:sz w:val="20"/>
          <w:szCs w:val="20"/>
          <w:lang w:val="es-ES"/>
        </w:rPr>
        <w:t xml:space="preserve">cual </w:t>
      </w:r>
      <w:r w:rsidRPr="005C1789">
        <w:rPr>
          <w:rFonts w:ascii="Verdana" w:hAnsi="Verdana"/>
          <w:position w:val="1"/>
          <w:sz w:val="20"/>
          <w:szCs w:val="20"/>
          <w:lang w:val="es-ES"/>
        </w:rPr>
        <w:t>concluyó que la petición era admisible,</w:t>
      </w:r>
      <w:r w:rsidRPr="005C1789">
        <w:rPr>
          <w:rFonts w:ascii="Verdana" w:hAnsi="Verdana"/>
          <w:spacing w:val="-6"/>
          <w:position w:val="1"/>
          <w:sz w:val="20"/>
          <w:szCs w:val="20"/>
          <w:lang w:val="es-ES"/>
        </w:rPr>
        <w:t xml:space="preserve"> </w:t>
      </w:r>
      <w:r w:rsidRPr="005C1789">
        <w:rPr>
          <w:rFonts w:ascii="Verdana" w:hAnsi="Verdana"/>
          <w:position w:val="1"/>
          <w:sz w:val="20"/>
          <w:szCs w:val="20"/>
          <w:lang w:val="es-ES"/>
        </w:rPr>
        <w:t>y</w:t>
      </w:r>
      <w:r w:rsidRPr="005C1789">
        <w:rPr>
          <w:rFonts w:ascii="Verdana" w:hAnsi="Verdana"/>
          <w:spacing w:val="-3"/>
          <w:position w:val="1"/>
          <w:sz w:val="20"/>
          <w:szCs w:val="20"/>
          <w:lang w:val="es-ES"/>
        </w:rPr>
        <w:t xml:space="preserve"> </w:t>
      </w:r>
      <w:r w:rsidRPr="005C1789">
        <w:rPr>
          <w:rFonts w:ascii="Verdana" w:hAnsi="Verdana"/>
          <w:position w:val="1"/>
          <w:sz w:val="20"/>
          <w:szCs w:val="20"/>
          <w:lang w:val="es-ES"/>
        </w:rPr>
        <w:t>el</w:t>
      </w:r>
      <w:r w:rsidRPr="005C1789">
        <w:rPr>
          <w:rFonts w:ascii="Verdana" w:hAnsi="Verdana"/>
          <w:spacing w:val="-2"/>
          <w:position w:val="1"/>
          <w:sz w:val="20"/>
          <w:szCs w:val="20"/>
          <w:lang w:val="es-ES"/>
        </w:rPr>
        <w:t xml:space="preserve"> </w:t>
      </w:r>
      <w:r w:rsidRPr="005C1789">
        <w:rPr>
          <w:rFonts w:ascii="Verdana" w:hAnsi="Verdana"/>
          <w:position w:val="1"/>
          <w:sz w:val="20"/>
          <w:szCs w:val="20"/>
          <w:lang w:val="es-ES"/>
        </w:rPr>
        <w:t>Informe</w:t>
      </w:r>
      <w:r w:rsidRPr="005C1789">
        <w:rPr>
          <w:rFonts w:ascii="Verdana" w:hAnsi="Verdana"/>
          <w:spacing w:val="-5"/>
          <w:position w:val="1"/>
          <w:sz w:val="20"/>
          <w:szCs w:val="20"/>
          <w:lang w:val="es-ES"/>
        </w:rPr>
        <w:t xml:space="preserve"> </w:t>
      </w:r>
      <w:r w:rsidRPr="005C1789">
        <w:rPr>
          <w:rFonts w:ascii="Verdana" w:hAnsi="Verdana"/>
          <w:position w:val="1"/>
          <w:sz w:val="20"/>
          <w:szCs w:val="20"/>
          <w:lang w:val="es-ES"/>
        </w:rPr>
        <w:t>de</w:t>
      </w:r>
      <w:r w:rsidRPr="005C1789">
        <w:rPr>
          <w:rFonts w:ascii="Verdana" w:hAnsi="Verdana"/>
          <w:spacing w:val="-6"/>
          <w:position w:val="1"/>
          <w:sz w:val="20"/>
          <w:szCs w:val="20"/>
          <w:lang w:val="es-ES"/>
        </w:rPr>
        <w:t xml:space="preserve"> </w:t>
      </w:r>
      <w:r w:rsidRPr="005C1789">
        <w:rPr>
          <w:rFonts w:ascii="Verdana" w:hAnsi="Verdana"/>
          <w:position w:val="1"/>
          <w:sz w:val="20"/>
          <w:szCs w:val="20"/>
          <w:lang w:val="es-ES"/>
        </w:rPr>
        <w:t>Fondo</w:t>
      </w:r>
      <w:r w:rsidRPr="005C1789">
        <w:rPr>
          <w:rFonts w:ascii="Verdana" w:hAnsi="Verdana"/>
          <w:spacing w:val="-3"/>
          <w:position w:val="1"/>
          <w:sz w:val="20"/>
          <w:szCs w:val="20"/>
          <w:lang w:val="es-ES"/>
        </w:rPr>
        <w:t xml:space="preserve"> </w:t>
      </w:r>
      <w:r w:rsidRPr="005C1789">
        <w:rPr>
          <w:rFonts w:ascii="Verdana" w:hAnsi="Verdana"/>
          <w:position w:val="1"/>
          <w:sz w:val="20"/>
          <w:szCs w:val="20"/>
          <w:lang w:val="es-ES"/>
        </w:rPr>
        <w:t>No.</w:t>
      </w:r>
      <w:r w:rsidRPr="005C1789">
        <w:rPr>
          <w:rFonts w:ascii="Verdana" w:hAnsi="Verdana"/>
          <w:spacing w:val="-5"/>
          <w:position w:val="1"/>
          <w:sz w:val="20"/>
          <w:szCs w:val="20"/>
          <w:lang w:val="es-ES"/>
        </w:rPr>
        <w:t xml:space="preserve"> </w:t>
      </w:r>
      <w:r w:rsidR="00461694" w:rsidRPr="005C1789">
        <w:rPr>
          <w:rFonts w:ascii="Verdana" w:hAnsi="Verdana"/>
          <w:position w:val="1"/>
          <w:sz w:val="20"/>
          <w:szCs w:val="20"/>
          <w:lang w:val="es-ES"/>
        </w:rPr>
        <w:t>158</w:t>
      </w:r>
      <w:r w:rsidRPr="005C1789">
        <w:rPr>
          <w:rFonts w:ascii="Verdana" w:hAnsi="Verdana"/>
          <w:position w:val="1"/>
          <w:sz w:val="20"/>
          <w:szCs w:val="20"/>
          <w:lang w:val="es-ES"/>
        </w:rPr>
        <w:t>/18</w:t>
      </w:r>
      <w:r w:rsidRPr="005C1789">
        <w:rPr>
          <w:rFonts w:ascii="Verdana" w:hAnsi="Verdana"/>
          <w:sz w:val="20"/>
          <w:szCs w:val="20"/>
          <w:lang w:val="es-ES"/>
        </w:rPr>
        <w:t xml:space="preserve"> (en adelante “Informe de Fondo”), en el cual llegó a</w:t>
      </w:r>
      <w:r w:rsidR="00DC30A6" w:rsidRPr="005C1789">
        <w:rPr>
          <w:rFonts w:ascii="Verdana" w:hAnsi="Verdana"/>
          <w:sz w:val="20"/>
          <w:szCs w:val="20"/>
          <w:lang w:val="es-ES"/>
        </w:rPr>
        <w:t xml:space="preserve"> determinadas</w:t>
      </w:r>
      <w:r w:rsidRPr="005C1789">
        <w:rPr>
          <w:rFonts w:ascii="Verdana" w:hAnsi="Verdana"/>
          <w:sz w:val="20"/>
          <w:szCs w:val="20"/>
          <w:lang w:val="es-ES"/>
        </w:rPr>
        <w:t xml:space="preserve"> conclusiones y formuló recomendaciones al</w:t>
      </w:r>
      <w:r w:rsidRPr="005C1789">
        <w:rPr>
          <w:rFonts w:ascii="Verdana" w:hAnsi="Verdana"/>
          <w:spacing w:val="3"/>
          <w:sz w:val="20"/>
          <w:szCs w:val="20"/>
          <w:lang w:val="es-ES"/>
        </w:rPr>
        <w:t xml:space="preserve"> </w:t>
      </w:r>
      <w:r w:rsidRPr="005C1789">
        <w:rPr>
          <w:rFonts w:ascii="Verdana" w:hAnsi="Verdana"/>
          <w:sz w:val="20"/>
          <w:szCs w:val="20"/>
          <w:lang w:val="es-ES"/>
        </w:rPr>
        <w:t xml:space="preserve">Estado. </w:t>
      </w:r>
    </w:p>
    <w:p w14:paraId="0BE094D2" w14:textId="73115F12" w:rsidR="00C12AF0" w:rsidRPr="005C1789" w:rsidRDefault="00375DA4" w:rsidP="00955888">
      <w:pPr>
        <w:pStyle w:val="Prrafodelista"/>
        <w:numPr>
          <w:ilvl w:val="1"/>
          <w:numId w:val="1"/>
        </w:numPr>
        <w:spacing w:before="120" w:after="120"/>
        <w:ind w:left="284" w:right="-6" w:firstLine="0"/>
        <w:contextualSpacing w:val="0"/>
        <w:jc w:val="both"/>
        <w:rPr>
          <w:rFonts w:ascii="Verdana" w:hAnsi="Verdana"/>
          <w:sz w:val="20"/>
          <w:szCs w:val="20"/>
        </w:rPr>
      </w:pPr>
      <w:r w:rsidRPr="005C1789">
        <w:rPr>
          <w:rFonts w:ascii="Verdana" w:hAnsi="Verdana"/>
          <w:i/>
          <w:sz w:val="20"/>
          <w:szCs w:val="20"/>
        </w:rPr>
        <w:t xml:space="preserve">Notificación al Estado. – </w:t>
      </w:r>
      <w:r w:rsidR="005935A4" w:rsidRPr="005C1789">
        <w:rPr>
          <w:rFonts w:ascii="Verdana" w:hAnsi="Verdana"/>
          <w:sz w:val="20"/>
          <w:szCs w:val="20"/>
        </w:rPr>
        <w:t xml:space="preserve">La Comisión notificó al Estado el Informe No. </w:t>
      </w:r>
      <w:r w:rsidR="00DA1FC8" w:rsidRPr="005C1789">
        <w:rPr>
          <w:rFonts w:ascii="Verdana" w:hAnsi="Verdana"/>
          <w:sz w:val="20"/>
          <w:szCs w:val="20"/>
        </w:rPr>
        <w:t>1</w:t>
      </w:r>
      <w:r w:rsidR="00DA1FC8">
        <w:rPr>
          <w:rFonts w:ascii="Verdana" w:hAnsi="Verdana"/>
          <w:sz w:val="20"/>
          <w:szCs w:val="20"/>
        </w:rPr>
        <w:t>5</w:t>
      </w:r>
      <w:r w:rsidR="00DA1FC8" w:rsidRPr="005C1789">
        <w:rPr>
          <w:rFonts w:ascii="Verdana" w:hAnsi="Verdana"/>
          <w:sz w:val="20"/>
          <w:szCs w:val="20"/>
        </w:rPr>
        <w:t>8</w:t>
      </w:r>
      <w:r w:rsidR="005935A4" w:rsidRPr="005C1789">
        <w:rPr>
          <w:rFonts w:ascii="Verdana" w:hAnsi="Verdana"/>
          <w:sz w:val="20"/>
          <w:szCs w:val="20"/>
        </w:rPr>
        <w:t xml:space="preserve">/18 mediante comunicación de </w:t>
      </w:r>
      <w:r w:rsidR="00C96E7F" w:rsidRPr="005C1789">
        <w:rPr>
          <w:rFonts w:ascii="Verdana" w:hAnsi="Verdana"/>
          <w:sz w:val="20"/>
          <w:szCs w:val="20"/>
        </w:rPr>
        <w:t>31 de enero de 2019</w:t>
      </w:r>
      <w:r w:rsidR="005935A4" w:rsidRPr="005C1789">
        <w:rPr>
          <w:rFonts w:ascii="Verdana" w:hAnsi="Verdana"/>
          <w:sz w:val="20"/>
          <w:szCs w:val="20"/>
        </w:rPr>
        <w:t xml:space="preserve"> y se puso a disposición de las partes para llegar a una solución amistosa, otorgando los plazos reglamentarios para presentar observaciones. </w:t>
      </w:r>
      <w:r w:rsidR="006D1E78" w:rsidRPr="005C1789">
        <w:rPr>
          <w:rFonts w:ascii="Verdana" w:hAnsi="Verdana"/>
          <w:sz w:val="20"/>
          <w:szCs w:val="20"/>
          <w:lang w:val="es-ES"/>
        </w:rPr>
        <w:t>Con posterioridad al vencimiento de dicho plazo, la Comisión otorgó nueve prórrogas para que el Estado contara con tiempo adicional para cumplir con las recomendaciones y avanzar</w:t>
      </w:r>
      <w:r w:rsidR="00D175E1" w:rsidRPr="005C1789">
        <w:rPr>
          <w:rFonts w:ascii="Verdana" w:hAnsi="Verdana"/>
          <w:sz w:val="20"/>
          <w:szCs w:val="20"/>
          <w:lang w:val="es-ES"/>
        </w:rPr>
        <w:t>a</w:t>
      </w:r>
      <w:r w:rsidR="00D64212" w:rsidRPr="005C1789">
        <w:rPr>
          <w:rFonts w:ascii="Verdana" w:hAnsi="Verdana"/>
          <w:sz w:val="20"/>
          <w:szCs w:val="20"/>
          <w:lang w:val="es-ES"/>
        </w:rPr>
        <w:t xml:space="preserve"> </w:t>
      </w:r>
      <w:r w:rsidR="006D1E78" w:rsidRPr="005C1789">
        <w:rPr>
          <w:rFonts w:ascii="Verdana" w:hAnsi="Verdana"/>
          <w:sz w:val="20"/>
          <w:szCs w:val="20"/>
          <w:lang w:val="es-ES"/>
        </w:rPr>
        <w:t xml:space="preserve">en la implementación de las medidas adoptadas para reparar las consecuencias de las violaciones de los derechos humanos establecidas en el Informe de Fondo. </w:t>
      </w:r>
    </w:p>
    <w:p w14:paraId="251866CF" w14:textId="665E7D26" w:rsidR="005935A4" w:rsidRPr="005C1789" w:rsidRDefault="005935A4" w:rsidP="00955888">
      <w:pPr>
        <w:pStyle w:val="Prrafodelista"/>
        <w:numPr>
          <w:ilvl w:val="1"/>
          <w:numId w:val="1"/>
        </w:numPr>
        <w:spacing w:before="120" w:after="120"/>
        <w:ind w:left="284" w:right="-6" w:firstLine="0"/>
        <w:contextualSpacing w:val="0"/>
        <w:jc w:val="both"/>
        <w:rPr>
          <w:rFonts w:ascii="Verdana" w:hAnsi="Verdana"/>
          <w:sz w:val="20"/>
          <w:szCs w:val="20"/>
          <w:lang w:val="es-ES"/>
        </w:rPr>
      </w:pPr>
      <w:r w:rsidRPr="005C1789">
        <w:rPr>
          <w:rFonts w:ascii="Verdana" w:hAnsi="Verdana"/>
          <w:i/>
          <w:sz w:val="20"/>
          <w:szCs w:val="20"/>
        </w:rPr>
        <w:t>Proceso</w:t>
      </w:r>
      <w:r w:rsidRPr="005C1789">
        <w:rPr>
          <w:rFonts w:ascii="Verdana" w:hAnsi="Verdana"/>
          <w:i/>
          <w:sz w:val="20"/>
          <w:szCs w:val="20"/>
          <w:lang w:val="es-ES"/>
        </w:rPr>
        <w:t xml:space="preserve"> de solución amistosa. </w:t>
      </w:r>
      <w:r w:rsidRPr="005C1789">
        <w:rPr>
          <w:rFonts w:ascii="Verdana" w:hAnsi="Verdana"/>
          <w:sz w:val="20"/>
          <w:szCs w:val="20"/>
          <w:lang w:val="es-ES"/>
        </w:rPr>
        <w:t>–</w:t>
      </w:r>
      <w:r w:rsidR="006D1E78" w:rsidRPr="005C1789">
        <w:rPr>
          <w:rFonts w:ascii="Verdana" w:hAnsi="Verdana"/>
          <w:sz w:val="20"/>
          <w:szCs w:val="20"/>
          <w:lang w:val="es-ES"/>
        </w:rPr>
        <w:t xml:space="preserve"> En el transcurso de las mencionadas prórrogas, las partes firmaron</w:t>
      </w:r>
      <w:r w:rsidR="00947917" w:rsidRPr="005C1789">
        <w:rPr>
          <w:rFonts w:ascii="Verdana" w:hAnsi="Verdana"/>
          <w:sz w:val="20"/>
          <w:szCs w:val="20"/>
          <w:lang w:val="es-ES"/>
        </w:rPr>
        <w:t>,</w:t>
      </w:r>
      <w:r w:rsidR="006D1E78" w:rsidRPr="005C1789">
        <w:rPr>
          <w:rFonts w:ascii="Verdana" w:hAnsi="Verdana"/>
          <w:sz w:val="20"/>
          <w:szCs w:val="20"/>
          <w:lang w:val="es-ES"/>
        </w:rPr>
        <w:t xml:space="preserve"> el 20 de febrero de 2020</w:t>
      </w:r>
      <w:r w:rsidR="00947917" w:rsidRPr="005C1789">
        <w:rPr>
          <w:rFonts w:ascii="Verdana" w:hAnsi="Verdana"/>
          <w:sz w:val="20"/>
          <w:szCs w:val="20"/>
          <w:lang w:val="es-ES"/>
        </w:rPr>
        <w:t>,</w:t>
      </w:r>
      <w:r w:rsidR="006D1E78" w:rsidRPr="005C1789">
        <w:rPr>
          <w:rFonts w:ascii="Verdana" w:hAnsi="Verdana"/>
          <w:sz w:val="20"/>
          <w:szCs w:val="20"/>
          <w:lang w:val="es-ES"/>
        </w:rPr>
        <w:t xml:space="preserve"> un Acta de Entendimiento para la eventual celebración de un Acuerdo de Cumplimiento de</w:t>
      </w:r>
      <w:r w:rsidR="00EF4CCC" w:rsidRPr="005C1789">
        <w:rPr>
          <w:rFonts w:ascii="Verdana" w:hAnsi="Verdana"/>
          <w:sz w:val="20"/>
          <w:szCs w:val="20"/>
          <w:lang w:val="es-ES"/>
        </w:rPr>
        <w:t>l</w:t>
      </w:r>
      <w:r w:rsidR="006D1E78" w:rsidRPr="005C1789">
        <w:rPr>
          <w:rFonts w:ascii="Verdana" w:hAnsi="Verdana"/>
          <w:sz w:val="20"/>
          <w:szCs w:val="20"/>
          <w:lang w:val="es-ES"/>
        </w:rPr>
        <w:t xml:space="preserve"> Informe de Fondo</w:t>
      </w:r>
      <w:r w:rsidR="005441C9">
        <w:rPr>
          <w:rFonts w:ascii="Verdana" w:hAnsi="Verdana"/>
          <w:sz w:val="20"/>
          <w:szCs w:val="20"/>
          <w:lang w:val="es-ES"/>
        </w:rPr>
        <w:t xml:space="preserve"> </w:t>
      </w:r>
      <w:r w:rsidR="005441C9" w:rsidRPr="005441C9">
        <w:rPr>
          <w:rFonts w:ascii="Verdana" w:hAnsi="Verdana"/>
          <w:sz w:val="20"/>
          <w:szCs w:val="20"/>
          <w:lang w:val="es-ES"/>
        </w:rPr>
        <w:t>No. 158/18</w:t>
      </w:r>
      <w:r w:rsidR="005E4C01" w:rsidRPr="005C1789">
        <w:rPr>
          <w:rFonts w:ascii="Verdana" w:hAnsi="Verdana"/>
          <w:sz w:val="20"/>
          <w:szCs w:val="20"/>
          <w:lang w:val="es-ES"/>
        </w:rPr>
        <w:t xml:space="preserve"> (en adelante también “Acta de Entendimiento”)</w:t>
      </w:r>
      <w:r w:rsidR="006D1E78" w:rsidRPr="005C1789">
        <w:rPr>
          <w:rFonts w:ascii="Verdana" w:hAnsi="Verdana"/>
          <w:sz w:val="20"/>
          <w:szCs w:val="20"/>
          <w:lang w:val="es-ES"/>
        </w:rPr>
        <w:t>. En el marco de dicho diálogo</w:t>
      </w:r>
      <w:r w:rsidR="00AC3AB7">
        <w:rPr>
          <w:rFonts w:ascii="Verdana" w:hAnsi="Verdana"/>
          <w:sz w:val="20"/>
          <w:szCs w:val="20"/>
          <w:lang w:val="es-ES"/>
        </w:rPr>
        <w:t>,</w:t>
      </w:r>
      <w:r w:rsidR="006D1E78" w:rsidRPr="005C1789">
        <w:rPr>
          <w:rFonts w:ascii="Verdana" w:hAnsi="Verdana"/>
          <w:sz w:val="20"/>
          <w:szCs w:val="20"/>
          <w:lang w:val="es-ES"/>
        </w:rPr>
        <w:t xml:space="preserve"> el Estado tomó acciones concretas para el cumplimiento de algunas de las recomendaciones, en particular</w:t>
      </w:r>
      <w:r w:rsidR="002D42F9" w:rsidRPr="005C1789">
        <w:rPr>
          <w:rFonts w:ascii="Verdana" w:hAnsi="Verdana"/>
          <w:sz w:val="20"/>
          <w:szCs w:val="20"/>
          <w:lang w:val="es-ES"/>
        </w:rPr>
        <w:t>,</w:t>
      </w:r>
      <w:r w:rsidR="006D1E78" w:rsidRPr="005C1789">
        <w:rPr>
          <w:rFonts w:ascii="Verdana" w:hAnsi="Verdana"/>
          <w:sz w:val="20"/>
          <w:szCs w:val="20"/>
          <w:lang w:val="es-ES"/>
        </w:rPr>
        <w:t xml:space="preserve"> las relativas a las medidas de compensación pecuniaria</w:t>
      </w:r>
      <w:r w:rsidR="00340BEA" w:rsidRPr="005C1789">
        <w:rPr>
          <w:rFonts w:ascii="Verdana" w:hAnsi="Verdana"/>
          <w:sz w:val="20"/>
          <w:szCs w:val="20"/>
          <w:lang w:val="es-ES"/>
        </w:rPr>
        <w:t>.</w:t>
      </w:r>
      <w:r w:rsidR="006C4F65" w:rsidRPr="005C1789">
        <w:rPr>
          <w:rFonts w:ascii="Verdana" w:hAnsi="Verdana"/>
          <w:sz w:val="20"/>
          <w:szCs w:val="20"/>
          <w:lang w:val="es-ES"/>
        </w:rPr>
        <w:t xml:space="preserve"> </w:t>
      </w:r>
      <w:r w:rsidR="00340BEA" w:rsidRPr="005C1789">
        <w:rPr>
          <w:rFonts w:ascii="Verdana" w:hAnsi="Verdana"/>
          <w:sz w:val="20"/>
          <w:szCs w:val="20"/>
          <w:lang w:val="es-ES"/>
        </w:rPr>
        <w:t>Sin embargo, la Comisión evaluó que</w:t>
      </w:r>
      <w:r w:rsidR="00FD2AF2" w:rsidRPr="005C1789">
        <w:rPr>
          <w:rFonts w:ascii="Verdana" w:hAnsi="Verdana"/>
          <w:sz w:val="20"/>
          <w:szCs w:val="20"/>
          <w:lang w:val="es-ES"/>
        </w:rPr>
        <w:t xml:space="preserve"> -</w:t>
      </w:r>
      <w:r w:rsidR="00340BEA" w:rsidRPr="005C1789">
        <w:rPr>
          <w:rFonts w:ascii="Verdana" w:hAnsi="Verdana"/>
          <w:sz w:val="20"/>
          <w:szCs w:val="20"/>
          <w:lang w:val="es-ES"/>
        </w:rPr>
        <w:t>a pesar de la voluntad expresada por el Estado</w:t>
      </w:r>
      <w:r w:rsidR="00FD2AF2" w:rsidRPr="005C1789">
        <w:rPr>
          <w:rFonts w:ascii="Verdana" w:hAnsi="Verdana"/>
          <w:sz w:val="20"/>
          <w:szCs w:val="20"/>
          <w:lang w:val="es-ES"/>
        </w:rPr>
        <w:t>-</w:t>
      </w:r>
      <w:r w:rsidR="00340BEA" w:rsidRPr="005C1789">
        <w:rPr>
          <w:rFonts w:ascii="Verdana" w:hAnsi="Verdana"/>
          <w:sz w:val="20"/>
          <w:szCs w:val="20"/>
          <w:lang w:val="es-ES"/>
        </w:rPr>
        <w:t xml:space="preserve"> a más de dos años de notificado el Informe de Fondo</w:t>
      </w:r>
      <w:r w:rsidR="00FD2AF2" w:rsidRPr="005C1789">
        <w:rPr>
          <w:rFonts w:ascii="Verdana" w:hAnsi="Verdana"/>
          <w:sz w:val="20"/>
          <w:szCs w:val="20"/>
          <w:lang w:val="es-ES"/>
        </w:rPr>
        <w:t>,</w:t>
      </w:r>
      <w:r w:rsidR="00340BEA" w:rsidRPr="005C1789">
        <w:rPr>
          <w:rFonts w:ascii="Verdana" w:hAnsi="Verdana"/>
          <w:sz w:val="20"/>
          <w:szCs w:val="20"/>
          <w:lang w:val="es-ES"/>
        </w:rPr>
        <w:t xml:space="preserve"> varias recomendaciones permanecían incumplidas</w:t>
      </w:r>
      <w:r w:rsidR="003E046D" w:rsidRPr="005C1789">
        <w:rPr>
          <w:rFonts w:ascii="Verdana" w:hAnsi="Verdana"/>
          <w:sz w:val="20"/>
          <w:szCs w:val="20"/>
          <w:lang w:val="es-ES"/>
        </w:rPr>
        <w:t>.</w:t>
      </w:r>
    </w:p>
    <w:p w14:paraId="67802C21" w14:textId="05252E0B" w:rsidR="005935A4" w:rsidRPr="005C1789" w:rsidRDefault="005935A4" w:rsidP="00955888">
      <w:pPr>
        <w:pStyle w:val="Prrafodelista"/>
        <w:numPr>
          <w:ilvl w:val="0"/>
          <w:numId w:val="2"/>
        </w:numPr>
        <w:spacing w:before="120" w:after="120"/>
        <w:ind w:left="0" w:right="-6" w:firstLine="0"/>
        <w:contextualSpacing w:val="0"/>
        <w:jc w:val="both"/>
        <w:rPr>
          <w:rFonts w:ascii="Verdana" w:hAnsi="Verdana"/>
          <w:sz w:val="20"/>
          <w:szCs w:val="20"/>
          <w:lang w:val="es-ES"/>
        </w:rPr>
      </w:pPr>
      <w:r w:rsidRPr="005C1789">
        <w:rPr>
          <w:rFonts w:ascii="Verdana" w:hAnsi="Verdana"/>
          <w:i/>
          <w:sz w:val="20"/>
          <w:szCs w:val="20"/>
          <w:lang w:val="es-ES"/>
        </w:rPr>
        <w:t xml:space="preserve">Sometimiento a la Corte. – </w:t>
      </w:r>
      <w:r w:rsidRPr="005C1789">
        <w:rPr>
          <w:rFonts w:ascii="Verdana" w:hAnsi="Verdana"/>
          <w:sz w:val="20"/>
          <w:szCs w:val="20"/>
          <w:lang w:val="es-ES"/>
        </w:rPr>
        <w:t xml:space="preserve">El 1 de </w:t>
      </w:r>
      <w:r w:rsidR="00340BEA" w:rsidRPr="005C1789">
        <w:rPr>
          <w:rFonts w:ascii="Verdana" w:hAnsi="Verdana"/>
          <w:sz w:val="20"/>
          <w:szCs w:val="20"/>
        </w:rPr>
        <w:t>mayo</w:t>
      </w:r>
      <w:r w:rsidRPr="005C1789">
        <w:rPr>
          <w:rFonts w:ascii="Verdana" w:hAnsi="Verdana"/>
          <w:sz w:val="20"/>
          <w:szCs w:val="20"/>
          <w:lang w:val="es-ES"/>
        </w:rPr>
        <w:t xml:space="preserve"> de </w:t>
      </w:r>
      <w:r w:rsidR="00340BEA" w:rsidRPr="005C1789">
        <w:rPr>
          <w:rFonts w:ascii="Verdana" w:hAnsi="Verdana"/>
          <w:sz w:val="20"/>
          <w:szCs w:val="20"/>
          <w:lang w:val="es-ES"/>
        </w:rPr>
        <w:t>2021</w:t>
      </w:r>
      <w:r w:rsidRPr="005C1789">
        <w:rPr>
          <w:rFonts w:ascii="Verdana" w:hAnsi="Verdana"/>
          <w:spacing w:val="2"/>
          <w:sz w:val="20"/>
          <w:szCs w:val="20"/>
          <w:lang w:val="es-ES"/>
        </w:rPr>
        <w:t xml:space="preserve">, la Comisión sometió </w:t>
      </w:r>
      <w:r w:rsidRPr="005C1789">
        <w:rPr>
          <w:rFonts w:ascii="Verdana" w:hAnsi="Verdana"/>
          <w:sz w:val="20"/>
          <w:szCs w:val="20"/>
          <w:lang w:val="es-ES"/>
        </w:rPr>
        <w:t xml:space="preserve">el </w:t>
      </w:r>
      <w:r w:rsidRPr="005C1789">
        <w:rPr>
          <w:rFonts w:ascii="Verdana" w:hAnsi="Verdana"/>
          <w:spacing w:val="2"/>
          <w:sz w:val="20"/>
          <w:szCs w:val="20"/>
          <w:lang w:val="es-ES"/>
        </w:rPr>
        <w:t xml:space="preserve">caso </w:t>
      </w:r>
      <w:r w:rsidRPr="005C1789">
        <w:rPr>
          <w:rFonts w:ascii="Verdana" w:hAnsi="Verdana"/>
          <w:sz w:val="20"/>
          <w:szCs w:val="20"/>
          <w:lang w:val="es-ES"/>
        </w:rPr>
        <w:t xml:space="preserve">a la </w:t>
      </w:r>
      <w:r w:rsidRPr="005C1789">
        <w:rPr>
          <w:rFonts w:ascii="Verdana" w:hAnsi="Verdana"/>
          <w:spacing w:val="2"/>
          <w:sz w:val="20"/>
          <w:szCs w:val="20"/>
          <w:lang w:val="es-ES"/>
        </w:rPr>
        <w:t xml:space="preserve">Corte respecto </w:t>
      </w:r>
      <w:r w:rsidRPr="005C1789">
        <w:rPr>
          <w:rFonts w:ascii="Verdana" w:hAnsi="Verdana"/>
          <w:sz w:val="20"/>
          <w:szCs w:val="20"/>
          <w:lang w:val="es-ES"/>
        </w:rPr>
        <w:t xml:space="preserve">a </w:t>
      </w:r>
      <w:r w:rsidR="00AC3AB7">
        <w:rPr>
          <w:rFonts w:ascii="Verdana" w:hAnsi="Verdana"/>
          <w:sz w:val="20"/>
          <w:szCs w:val="20"/>
          <w:lang w:val="es-ES"/>
        </w:rPr>
        <w:t xml:space="preserve">la totalidad de </w:t>
      </w:r>
      <w:r w:rsidRPr="005C1789">
        <w:rPr>
          <w:rFonts w:ascii="Verdana" w:hAnsi="Verdana"/>
          <w:spacing w:val="2"/>
          <w:sz w:val="20"/>
          <w:szCs w:val="20"/>
          <w:lang w:val="es-ES"/>
        </w:rPr>
        <w:t xml:space="preserve">los hechos </w:t>
      </w:r>
      <w:r w:rsidRPr="005C1789">
        <w:rPr>
          <w:rFonts w:ascii="Verdana" w:hAnsi="Verdana"/>
          <w:sz w:val="20"/>
          <w:szCs w:val="20"/>
          <w:lang w:val="es-ES"/>
        </w:rPr>
        <w:t xml:space="preserve">y </w:t>
      </w:r>
      <w:r w:rsidRPr="005C1789">
        <w:rPr>
          <w:rFonts w:ascii="Verdana" w:hAnsi="Verdana"/>
          <w:spacing w:val="2"/>
          <w:sz w:val="20"/>
          <w:szCs w:val="20"/>
          <w:lang w:val="es-ES"/>
        </w:rPr>
        <w:t xml:space="preserve">violaciones de derechos humanos descritos </w:t>
      </w:r>
      <w:r w:rsidRPr="005C1789">
        <w:rPr>
          <w:rFonts w:ascii="Verdana" w:hAnsi="Verdana"/>
          <w:sz w:val="20"/>
          <w:szCs w:val="20"/>
          <w:lang w:val="es-ES"/>
        </w:rPr>
        <w:t xml:space="preserve">en el </w:t>
      </w:r>
      <w:r w:rsidRPr="005C1789">
        <w:rPr>
          <w:rFonts w:ascii="Verdana" w:hAnsi="Verdana"/>
          <w:spacing w:val="2"/>
          <w:sz w:val="20"/>
          <w:szCs w:val="20"/>
          <w:lang w:val="es-ES"/>
        </w:rPr>
        <w:t xml:space="preserve">Informe </w:t>
      </w:r>
      <w:r w:rsidRPr="005C1789">
        <w:rPr>
          <w:rFonts w:ascii="Verdana" w:hAnsi="Verdana"/>
          <w:sz w:val="20"/>
          <w:szCs w:val="20"/>
          <w:lang w:val="es-ES"/>
        </w:rPr>
        <w:t xml:space="preserve">de </w:t>
      </w:r>
      <w:r w:rsidRPr="005C1789">
        <w:rPr>
          <w:rFonts w:ascii="Verdana" w:hAnsi="Verdana"/>
          <w:sz w:val="20"/>
          <w:szCs w:val="20"/>
          <w:lang w:val="es-ES"/>
        </w:rPr>
        <w:lastRenderedPageBreak/>
        <w:t>Fondo</w:t>
      </w:r>
      <w:r w:rsidR="00BC6FC8" w:rsidRPr="005C1789">
        <w:rPr>
          <w:rFonts w:ascii="Verdana" w:hAnsi="Verdana"/>
          <w:sz w:val="20"/>
          <w:szCs w:val="20"/>
          <w:lang w:val="es-ES"/>
        </w:rPr>
        <w:t xml:space="preserve"> </w:t>
      </w:r>
      <w:r w:rsidR="00340BEA" w:rsidRPr="005C1789">
        <w:rPr>
          <w:rFonts w:ascii="Verdana" w:hAnsi="Verdana"/>
          <w:sz w:val="20"/>
          <w:szCs w:val="20"/>
          <w:lang w:val="es-ES"/>
        </w:rPr>
        <w:t xml:space="preserve">tomando en cuenta las recomendaciones </w:t>
      </w:r>
      <w:r w:rsidR="00D025E4" w:rsidRPr="005C1789">
        <w:rPr>
          <w:rFonts w:ascii="Verdana" w:hAnsi="Verdana"/>
          <w:sz w:val="20"/>
          <w:szCs w:val="20"/>
          <w:lang w:val="es-ES"/>
        </w:rPr>
        <w:t>que</w:t>
      </w:r>
      <w:r w:rsidR="00340BEA" w:rsidRPr="005C1789">
        <w:rPr>
          <w:rFonts w:ascii="Verdana" w:hAnsi="Verdana"/>
          <w:sz w:val="20"/>
          <w:szCs w:val="20"/>
          <w:lang w:val="es-ES"/>
        </w:rPr>
        <w:t xml:space="preserve"> permanecen incumplidas</w:t>
      </w:r>
      <w:r w:rsidR="00D025E4" w:rsidRPr="005C1789">
        <w:rPr>
          <w:rFonts w:ascii="Verdana" w:hAnsi="Verdana"/>
          <w:sz w:val="20"/>
          <w:szCs w:val="20"/>
          <w:lang w:val="es-ES"/>
        </w:rPr>
        <w:t>,</w:t>
      </w:r>
      <w:r w:rsidR="00340BEA" w:rsidRPr="005C1789">
        <w:rPr>
          <w:rFonts w:ascii="Verdana" w:hAnsi="Verdana"/>
          <w:sz w:val="20"/>
          <w:szCs w:val="20"/>
          <w:lang w:val="es-ES"/>
        </w:rPr>
        <w:t xml:space="preserve"> </w:t>
      </w:r>
      <w:r w:rsidR="00D025E4" w:rsidRPr="005C1789">
        <w:rPr>
          <w:rFonts w:ascii="Verdana" w:hAnsi="Verdana"/>
          <w:sz w:val="20"/>
          <w:szCs w:val="20"/>
          <w:lang w:val="es-ES"/>
        </w:rPr>
        <w:t xml:space="preserve">así como </w:t>
      </w:r>
      <w:r w:rsidR="00BC6FC8" w:rsidRPr="005C1789">
        <w:rPr>
          <w:rFonts w:ascii="Verdana" w:hAnsi="Verdana"/>
          <w:sz w:val="20"/>
          <w:szCs w:val="20"/>
          <w:lang w:val="es-ES"/>
        </w:rPr>
        <w:t>“</w:t>
      </w:r>
      <w:r w:rsidR="00340BEA" w:rsidRPr="005C1789">
        <w:rPr>
          <w:rFonts w:ascii="Verdana" w:hAnsi="Verdana"/>
          <w:sz w:val="20"/>
          <w:szCs w:val="20"/>
          <w:lang w:val="es-ES"/>
        </w:rPr>
        <w:t>la necesidad de justicia para las víctimas y la voluntad expresada por la parte peticionaria</w:t>
      </w:r>
      <w:r w:rsidR="00D025E4" w:rsidRPr="005C1789">
        <w:rPr>
          <w:rFonts w:ascii="Verdana" w:hAnsi="Verdana"/>
          <w:sz w:val="20"/>
          <w:szCs w:val="20"/>
          <w:lang w:val="es-ES"/>
        </w:rPr>
        <w:t>”</w:t>
      </w:r>
      <w:r w:rsidRPr="005C1789">
        <w:rPr>
          <w:rFonts w:ascii="Verdana" w:hAnsi="Verdana"/>
          <w:spacing w:val="2"/>
          <w:sz w:val="20"/>
          <w:szCs w:val="20"/>
          <w:lang w:val="es-ES"/>
        </w:rPr>
        <w:t>.</w:t>
      </w:r>
    </w:p>
    <w:p w14:paraId="5241E3DE" w14:textId="00D415E3" w:rsidR="005935A4" w:rsidRPr="005C1789" w:rsidRDefault="005935A4" w:rsidP="00955888">
      <w:pPr>
        <w:pStyle w:val="Prrafodelista"/>
        <w:numPr>
          <w:ilvl w:val="0"/>
          <w:numId w:val="2"/>
        </w:numPr>
        <w:spacing w:before="120" w:after="120"/>
        <w:ind w:left="0" w:right="-6" w:firstLine="0"/>
        <w:contextualSpacing w:val="0"/>
        <w:jc w:val="both"/>
        <w:rPr>
          <w:rFonts w:ascii="Verdana" w:hAnsi="Verdana"/>
          <w:sz w:val="20"/>
          <w:szCs w:val="20"/>
          <w:lang w:val="es-ES"/>
        </w:rPr>
      </w:pPr>
      <w:r w:rsidRPr="005C1789">
        <w:rPr>
          <w:rFonts w:ascii="Verdana" w:hAnsi="Verdana"/>
          <w:i/>
          <w:sz w:val="20"/>
          <w:szCs w:val="20"/>
          <w:lang w:val="es-ES"/>
        </w:rPr>
        <w:t xml:space="preserve">Solicitudes de la Comisión. – </w:t>
      </w:r>
      <w:r w:rsidRPr="005C1789">
        <w:rPr>
          <w:rFonts w:ascii="Verdana" w:hAnsi="Verdana"/>
          <w:sz w:val="20"/>
          <w:szCs w:val="20"/>
          <w:lang w:val="es-ES"/>
        </w:rPr>
        <w:t>Con base en lo anterior, la Comisión solicitó a este Tribunal que concluyera y declarara la responsabilidad internacional del</w:t>
      </w:r>
      <w:r w:rsidRPr="005C1789">
        <w:rPr>
          <w:rFonts w:ascii="Verdana" w:hAnsi="Verdana"/>
          <w:spacing w:val="-35"/>
          <w:sz w:val="20"/>
          <w:szCs w:val="20"/>
          <w:lang w:val="es-ES"/>
        </w:rPr>
        <w:t xml:space="preserve"> </w:t>
      </w:r>
      <w:r w:rsidRPr="005C1789">
        <w:rPr>
          <w:rFonts w:ascii="Verdana" w:hAnsi="Verdana"/>
          <w:sz w:val="20"/>
          <w:szCs w:val="20"/>
          <w:lang w:val="es-ES"/>
        </w:rPr>
        <w:t>Estado por</w:t>
      </w:r>
      <w:r w:rsidRPr="005C1789">
        <w:rPr>
          <w:rFonts w:ascii="Verdana" w:hAnsi="Verdana"/>
          <w:spacing w:val="-11"/>
          <w:sz w:val="20"/>
          <w:szCs w:val="20"/>
          <w:lang w:val="es-ES"/>
        </w:rPr>
        <w:t xml:space="preserve"> </w:t>
      </w:r>
      <w:r w:rsidRPr="005C1789">
        <w:rPr>
          <w:rFonts w:ascii="Verdana" w:hAnsi="Verdana"/>
          <w:sz w:val="20"/>
          <w:szCs w:val="20"/>
          <w:lang w:val="es-ES"/>
        </w:rPr>
        <w:t>las</w:t>
      </w:r>
      <w:r w:rsidRPr="005C1789">
        <w:rPr>
          <w:rFonts w:ascii="Verdana" w:hAnsi="Verdana"/>
          <w:spacing w:val="-11"/>
          <w:sz w:val="20"/>
          <w:szCs w:val="20"/>
          <w:lang w:val="es-ES"/>
        </w:rPr>
        <w:t xml:space="preserve"> </w:t>
      </w:r>
      <w:r w:rsidRPr="005C1789">
        <w:rPr>
          <w:rFonts w:ascii="Verdana" w:hAnsi="Verdana"/>
          <w:sz w:val="20"/>
          <w:szCs w:val="20"/>
          <w:lang w:val="es-ES"/>
        </w:rPr>
        <w:t>violaciones</w:t>
      </w:r>
      <w:r w:rsidRPr="005C1789">
        <w:rPr>
          <w:rFonts w:ascii="Verdana" w:hAnsi="Verdana"/>
          <w:spacing w:val="-11"/>
          <w:sz w:val="20"/>
          <w:szCs w:val="20"/>
          <w:lang w:val="es-ES"/>
        </w:rPr>
        <w:t xml:space="preserve"> </w:t>
      </w:r>
      <w:r w:rsidRPr="005C1789">
        <w:rPr>
          <w:rFonts w:ascii="Verdana" w:hAnsi="Verdana"/>
          <w:sz w:val="20"/>
          <w:szCs w:val="20"/>
          <w:lang w:val="es-ES"/>
        </w:rPr>
        <w:t>contenidas</w:t>
      </w:r>
      <w:r w:rsidRPr="005C1789">
        <w:rPr>
          <w:rFonts w:ascii="Verdana" w:hAnsi="Verdana"/>
          <w:spacing w:val="-11"/>
          <w:sz w:val="20"/>
          <w:szCs w:val="20"/>
          <w:lang w:val="es-ES"/>
        </w:rPr>
        <w:t xml:space="preserve"> </w:t>
      </w:r>
      <w:r w:rsidRPr="005C1789">
        <w:rPr>
          <w:rFonts w:ascii="Verdana" w:hAnsi="Verdana"/>
          <w:sz w:val="20"/>
          <w:szCs w:val="20"/>
          <w:lang w:val="es-ES"/>
        </w:rPr>
        <w:t>en</w:t>
      </w:r>
      <w:r w:rsidRPr="005C1789">
        <w:rPr>
          <w:rFonts w:ascii="Verdana" w:hAnsi="Verdana"/>
          <w:spacing w:val="-8"/>
          <w:sz w:val="20"/>
          <w:szCs w:val="20"/>
          <w:lang w:val="es-ES"/>
        </w:rPr>
        <w:t xml:space="preserve"> </w:t>
      </w:r>
      <w:r w:rsidR="00904482" w:rsidRPr="005C1789">
        <w:rPr>
          <w:rFonts w:ascii="Verdana" w:hAnsi="Verdana"/>
          <w:sz w:val="20"/>
          <w:szCs w:val="20"/>
          <w:lang w:val="es-ES"/>
        </w:rPr>
        <w:t>el</w:t>
      </w:r>
      <w:r w:rsidRPr="005C1789">
        <w:rPr>
          <w:rFonts w:ascii="Verdana" w:hAnsi="Verdana"/>
          <w:spacing w:val="-9"/>
          <w:sz w:val="20"/>
          <w:szCs w:val="20"/>
          <w:lang w:val="es-ES"/>
        </w:rPr>
        <w:t xml:space="preserve"> </w:t>
      </w:r>
      <w:r w:rsidRPr="005C1789">
        <w:rPr>
          <w:rFonts w:ascii="Verdana" w:hAnsi="Verdana"/>
          <w:sz w:val="20"/>
          <w:szCs w:val="20"/>
          <w:lang w:val="es-ES"/>
        </w:rPr>
        <w:t>Informe de Fondo</w:t>
      </w:r>
      <w:r w:rsidRPr="005C1789">
        <w:rPr>
          <w:rFonts w:ascii="Verdana" w:hAnsi="Verdana"/>
          <w:spacing w:val="-11"/>
          <w:sz w:val="20"/>
          <w:szCs w:val="20"/>
          <w:lang w:val="es-ES"/>
        </w:rPr>
        <w:t xml:space="preserve"> </w:t>
      </w:r>
      <w:r w:rsidRPr="005C1789">
        <w:rPr>
          <w:rFonts w:ascii="Verdana" w:hAnsi="Verdana"/>
          <w:sz w:val="20"/>
          <w:szCs w:val="20"/>
          <w:lang w:val="es-ES"/>
        </w:rPr>
        <w:t>y</w:t>
      </w:r>
      <w:r w:rsidRPr="005C1789">
        <w:rPr>
          <w:rFonts w:ascii="Verdana" w:hAnsi="Verdana"/>
          <w:spacing w:val="-10"/>
          <w:sz w:val="20"/>
          <w:szCs w:val="20"/>
          <w:lang w:val="es-ES"/>
        </w:rPr>
        <w:t xml:space="preserve"> </w:t>
      </w:r>
      <w:r w:rsidRPr="005C1789">
        <w:rPr>
          <w:rFonts w:ascii="Verdana" w:hAnsi="Verdana"/>
          <w:sz w:val="20"/>
          <w:szCs w:val="20"/>
          <w:lang w:val="es-ES"/>
        </w:rPr>
        <w:t>se</w:t>
      </w:r>
      <w:r w:rsidRPr="005C1789">
        <w:rPr>
          <w:rFonts w:ascii="Verdana" w:hAnsi="Verdana"/>
          <w:spacing w:val="-11"/>
          <w:sz w:val="20"/>
          <w:szCs w:val="20"/>
          <w:lang w:val="es-ES"/>
        </w:rPr>
        <w:t xml:space="preserve"> </w:t>
      </w:r>
      <w:r w:rsidRPr="005C1789">
        <w:rPr>
          <w:rFonts w:ascii="Verdana" w:hAnsi="Verdana"/>
          <w:sz w:val="20"/>
          <w:szCs w:val="20"/>
          <w:lang w:val="es-ES"/>
        </w:rPr>
        <w:t>ordenara</w:t>
      </w:r>
      <w:r w:rsidRPr="005C1789">
        <w:rPr>
          <w:rFonts w:ascii="Verdana" w:hAnsi="Verdana"/>
          <w:spacing w:val="-10"/>
          <w:sz w:val="20"/>
          <w:szCs w:val="20"/>
          <w:lang w:val="es-ES"/>
        </w:rPr>
        <w:t xml:space="preserve"> </w:t>
      </w:r>
      <w:r w:rsidRPr="005C1789">
        <w:rPr>
          <w:rFonts w:ascii="Verdana" w:hAnsi="Verdana"/>
          <w:sz w:val="20"/>
          <w:szCs w:val="20"/>
          <w:lang w:val="es-ES"/>
        </w:rPr>
        <w:t>al</w:t>
      </w:r>
      <w:r w:rsidRPr="005C1789">
        <w:rPr>
          <w:rFonts w:ascii="Verdana" w:hAnsi="Verdana"/>
          <w:spacing w:val="-10"/>
          <w:sz w:val="20"/>
          <w:szCs w:val="20"/>
          <w:lang w:val="es-ES"/>
        </w:rPr>
        <w:t xml:space="preserve"> </w:t>
      </w:r>
      <w:r w:rsidRPr="005C1789">
        <w:rPr>
          <w:rFonts w:ascii="Verdana" w:hAnsi="Verdana"/>
          <w:sz w:val="20"/>
          <w:szCs w:val="20"/>
          <w:lang w:val="es-ES"/>
        </w:rPr>
        <w:t>Estado,</w:t>
      </w:r>
      <w:r w:rsidRPr="005C1789">
        <w:rPr>
          <w:rFonts w:ascii="Verdana" w:hAnsi="Verdana"/>
          <w:spacing w:val="-11"/>
          <w:sz w:val="20"/>
          <w:szCs w:val="20"/>
          <w:lang w:val="es-ES"/>
        </w:rPr>
        <w:t xml:space="preserve"> </w:t>
      </w:r>
      <w:r w:rsidRPr="005C1789">
        <w:rPr>
          <w:rFonts w:ascii="Verdana" w:hAnsi="Verdana"/>
          <w:sz w:val="20"/>
          <w:szCs w:val="20"/>
          <w:lang w:val="es-ES"/>
        </w:rPr>
        <w:t>como</w:t>
      </w:r>
      <w:r w:rsidRPr="005C1789">
        <w:rPr>
          <w:rFonts w:ascii="Verdana" w:hAnsi="Verdana"/>
          <w:spacing w:val="-10"/>
          <w:sz w:val="20"/>
          <w:szCs w:val="20"/>
          <w:lang w:val="es-ES"/>
        </w:rPr>
        <w:t xml:space="preserve"> </w:t>
      </w:r>
      <w:r w:rsidRPr="005C1789">
        <w:rPr>
          <w:rFonts w:ascii="Verdana" w:hAnsi="Verdana"/>
          <w:sz w:val="20"/>
          <w:szCs w:val="20"/>
          <w:lang w:val="es-ES"/>
        </w:rPr>
        <w:t xml:space="preserve">medidas de reparación, aquellas incluidas en dicho Informe. </w:t>
      </w:r>
      <w:r w:rsidR="00697527" w:rsidRPr="005C1789">
        <w:rPr>
          <w:rFonts w:ascii="Verdana" w:hAnsi="Verdana"/>
          <w:sz w:val="20"/>
          <w:szCs w:val="20"/>
          <w:lang w:val="es-ES"/>
        </w:rPr>
        <w:t xml:space="preserve">Esta Corte </w:t>
      </w:r>
      <w:r w:rsidRPr="005C1789">
        <w:rPr>
          <w:rFonts w:ascii="Verdana" w:hAnsi="Verdana"/>
          <w:sz w:val="20"/>
          <w:szCs w:val="20"/>
          <w:lang w:val="es-ES"/>
        </w:rPr>
        <w:t>nota</w:t>
      </w:r>
      <w:r w:rsidR="00737B20" w:rsidRPr="005C1789">
        <w:rPr>
          <w:rFonts w:ascii="Verdana" w:hAnsi="Verdana"/>
          <w:sz w:val="20"/>
          <w:szCs w:val="20"/>
          <w:lang w:val="es-ES"/>
        </w:rPr>
        <w:t xml:space="preserve">, con profunda preocupación, </w:t>
      </w:r>
      <w:r w:rsidR="006779C6" w:rsidRPr="005C1789">
        <w:rPr>
          <w:rFonts w:ascii="Verdana" w:hAnsi="Verdana"/>
          <w:sz w:val="20"/>
          <w:szCs w:val="20"/>
          <w:lang w:val="es-ES"/>
        </w:rPr>
        <w:t>que,</w:t>
      </w:r>
      <w:r w:rsidRPr="005C1789">
        <w:rPr>
          <w:rFonts w:ascii="Verdana" w:hAnsi="Verdana"/>
          <w:sz w:val="20"/>
          <w:szCs w:val="20"/>
          <w:lang w:val="es-ES"/>
        </w:rPr>
        <w:t xml:space="preserve"> entre la presentación de la petición inicial ante la Comisión y el sometimiento del caso ante </w:t>
      </w:r>
      <w:r w:rsidR="00697527" w:rsidRPr="005C1789">
        <w:rPr>
          <w:rFonts w:ascii="Verdana" w:hAnsi="Verdana"/>
          <w:sz w:val="20"/>
          <w:szCs w:val="20"/>
          <w:lang w:val="es-ES"/>
        </w:rPr>
        <w:t>este Tribunal</w:t>
      </w:r>
      <w:r w:rsidRPr="005C1789">
        <w:rPr>
          <w:rFonts w:ascii="Verdana" w:hAnsi="Verdana"/>
          <w:sz w:val="20"/>
          <w:szCs w:val="20"/>
          <w:lang w:val="es-ES"/>
        </w:rPr>
        <w:t xml:space="preserve">, han transcurrido </w:t>
      </w:r>
      <w:r w:rsidR="00697527" w:rsidRPr="005C1789">
        <w:rPr>
          <w:rFonts w:ascii="Verdana" w:hAnsi="Verdana"/>
          <w:sz w:val="20"/>
          <w:szCs w:val="20"/>
          <w:lang w:val="es-ES"/>
        </w:rPr>
        <w:t xml:space="preserve">cerca de </w:t>
      </w:r>
      <w:r w:rsidR="00B60961" w:rsidRPr="005C1789">
        <w:rPr>
          <w:rFonts w:ascii="Verdana" w:hAnsi="Verdana"/>
          <w:sz w:val="20"/>
          <w:szCs w:val="20"/>
          <w:lang w:val="es-ES"/>
        </w:rPr>
        <w:t>14</w:t>
      </w:r>
      <w:r w:rsidRPr="005C1789">
        <w:rPr>
          <w:rFonts w:ascii="Verdana" w:hAnsi="Verdana"/>
          <w:sz w:val="20"/>
          <w:szCs w:val="20"/>
          <w:lang w:val="es-ES"/>
        </w:rPr>
        <w:t xml:space="preserve"> años.</w:t>
      </w:r>
    </w:p>
    <w:p w14:paraId="394216C2" w14:textId="77777777" w:rsidR="00473A82" w:rsidRPr="005C1789" w:rsidRDefault="00C6683F" w:rsidP="00955888">
      <w:pPr>
        <w:pStyle w:val="Ttulo1"/>
        <w:ind w:right="-4"/>
        <w:rPr>
          <w:rFonts w:ascii="Verdana" w:hAnsi="Verdana"/>
          <w:sz w:val="20"/>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38132270"/>
      <w:bookmarkStart w:id="21" w:name="_Toc311128156"/>
      <w:bookmarkStart w:id="22" w:name="_Toc311128353"/>
      <w:bookmarkStart w:id="23" w:name="_Toc486693352"/>
      <w:bookmarkStart w:id="24" w:name="_Toc486842768"/>
      <w:bookmarkStart w:id="25" w:name="_Toc486842906"/>
      <w:bookmarkStart w:id="26" w:name="_Toc11166263"/>
      <w:bookmarkStart w:id="27" w:name="_Toc114994546"/>
      <w:bookmarkStart w:id="28" w:name="_Toc123347499"/>
      <w:r w:rsidRPr="005C1789">
        <w:rPr>
          <w:rFonts w:ascii="Verdana" w:hAnsi="Verdana"/>
          <w:sz w:val="20"/>
          <w:lang w:val="es-ES_tradnl"/>
        </w:rPr>
        <w:t>II</w:t>
      </w:r>
      <w:r w:rsidRPr="005C1789">
        <w:rPr>
          <w:rFonts w:ascii="Verdana" w:hAnsi="Verdana"/>
          <w:color w:val="FFFFFF" w:themeColor="background1"/>
          <w:sz w:val="20"/>
          <w:lang w:val="es-ES_tradnl"/>
        </w:rPr>
        <w:t>.</w:t>
      </w:r>
      <w:r w:rsidRPr="005C1789">
        <w:rPr>
          <w:rFonts w:ascii="Verdana" w:hAnsi="Verdana"/>
          <w:sz w:val="20"/>
          <w:lang w:val="es-ES_tradnl"/>
        </w:rPr>
        <w:br/>
      </w:r>
      <w:r w:rsidR="00473A82" w:rsidRPr="005C1789">
        <w:rPr>
          <w:rFonts w:ascii="Verdana" w:hAnsi="Verdana"/>
          <w:sz w:val="20"/>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02B13F2D" w14:textId="072CDEB8" w:rsidR="00A23AD4" w:rsidRPr="005C1789" w:rsidRDefault="00A23AD4" w:rsidP="00955888">
      <w:pPr>
        <w:pStyle w:val="Estilo1"/>
        <w:numPr>
          <w:ilvl w:val="0"/>
          <w:numId w:val="2"/>
        </w:numPr>
        <w:tabs>
          <w:tab w:val="left" w:pos="0"/>
        </w:tabs>
        <w:spacing w:before="120"/>
        <w:ind w:left="0" w:right="-4" w:firstLine="0"/>
        <w:jc w:val="both"/>
        <w:rPr>
          <w:rFonts w:ascii="Verdana" w:hAnsi="Verdana"/>
          <w:sz w:val="20"/>
          <w:szCs w:val="20"/>
          <w:lang w:val="es-ES"/>
        </w:rPr>
      </w:pPr>
      <w:r w:rsidRPr="005C1789">
        <w:rPr>
          <w:rFonts w:ascii="Verdana" w:hAnsi="Verdana"/>
          <w:sz w:val="20"/>
          <w:szCs w:val="20"/>
          <w:lang w:val="es-ES"/>
        </w:rPr>
        <w:t>Notificación</w:t>
      </w:r>
      <w:r w:rsidRPr="005C1789">
        <w:rPr>
          <w:rFonts w:ascii="Verdana" w:hAnsi="Verdana"/>
          <w:spacing w:val="-5"/>
          <w:sz w:val="20"/>
          <w:szCs w:val="20"/>
          <w:lang w:val="es-ES"/>
        </w:rPr>
        <w:t xml:space="preserve"> </w:t>
      </w:r>
      <w:r w:rsidRPr="005C1789">
        <w:rPr>
          <w:rFonts w:ascii="Verdana" w:hAnsi="Verdana"/>
          <w:sz w:val="20"/>
          <w:szCs w:val="20"/>
          <w:lang w:val="es-ES"/>
        </w:rPr>
        <w:t>al</w:t>
      </w:r>
      <w:r w:rsidRPr="005C1789">
        <w:rPr>
          <w:rFonts w:ascii="Verdana" w:hAnsi="Verdana"/>
          <w:spacing w:val="-7"/>
          <w:sz w:val="20"/>
          <w:szCs w:val="20"/>
          <w:lang w:val="es-ES"/>
        </w:rPr>
        <w:t xml:space="preserve"> </w:t>
      </w:r>
      <w:r w:rsidRPr="005C1789">
        <w:rPr>
          <w:rFonts w:ascii="Verdana" w:hAnsi="Verdana"/>
          <w:sz w:val="20"/>
          <w:szCs w:val="20"/>
          <w:lang w:val="es-ES"/>
        </w:rPr>
        <w:t xml:space="preserve">Estado </w:t>
      </w:r>
      <w:r w:rsidR="009B6D47" w:rsidRPr="005C1789">
        <w:rPr>
          <w:rFonts w:ascii="Verdana" w:hAnsi="Verdana"/>
          <w:sz w:val="20"/>
          <w:szCs w:val="20"/>
          <w:lang w:val="es-ES"/>
        </w:rPr>
        <w:t xml:space="preserve">y </w:t>
      </w:r>
      <w:r w:rsidRPr="005C1789">
        <w:rPr>
          <w:rFonts w:ascii="Verdana" w:hAnsi="Verdana"/>
          <w:sz w:val="20"/>
          <w:szCs w:val="20"/>
          <w:lang w:val="es-ES"/>
        </w:rPr>
        <w:t>a los representantes</w:t>
      </w:r>
      <w:r w:rsidRPr="005C1789">
        <w:rPr>
          <w:rStyle w:val="Refdenotaalpie"/>
          <w:rFonts w:ascii="Verdana" w:hAnsi="Verdana"/>
          <w:sz w:val="20"/>
          <w:lang w:val="es-ES"/>
        </w:rPr>
        <w:footnoteReference w:id="3"/>
      </w:r>
      <w:r w:rsidRPr="005C1789">
        <w:rPr>
          <w:rFonts w:ascii="Verdana" w:hAnsi="Verdana"/>
          <w:sz w:val="20"/>
          <w:szCs w:val="20"/>
          <w:lang w:val="es-ES"/>
        </w:rPr>
        <w:t>.</w:t>
      </w:r>
      <w:r w:rsidRPr="005C1789">
        <w:rPr>
          <w:rFonts w:ascii="Verdana" w:hAnsi="Verdana"/>
          <w:spacing w:val="-6"/>
          <w:sz w:val="20"/>
          <w:szCs w:val="20"/>
          <w:lang w:val="es-ES"/>
        </w:rPr>
        <w:t xml:space="preserve"> </w:t>
      </w:r>
      <w:r w:rsidRPr="005C1789">
        <w:rPr>
          <w:rFonts w:ascii="Verdana" w:hAnsi="Verdana"/>
          <w:sz w:val="20"/>
          <w:szCs w:val="20"/>
          <w:lang w:val="es-ES"/>
        </w:rPr>
        <w:t xml:space="preserve">– </w:t>
      </w:r>
      <w:r w:rsidRPr="005C1789">
        <w:rPr>
          <w:rFonts w:ascii="Verdana" w:hAnsi="Verdana"/>
          <w:i w:val="0"/>
          <w:iCs/>
          <w:sz w:val="20"/>
          <w:szCs w:val="20"/>
          <w:lang w:val="es-ES"/>
        </w:rPr>
        <w:t xml:space="preserve">El </w:t>
      </w:r>
      <w:r w:rsidRPr="005C1789">
        <w:rPr>
          <w:rFonts w:ascii="Verdana" w:hAnsi="Verdana"/>
          <w:i w:val="0"/>
          <w:iCs/>
          <w:sz w:val="20"/>
          <w:szCs w:val="20"/>
        </w:rPr>
        <w:t>sometimiento</w:t>
      </w:r>
      <w:r w:rsidRPr="005C1789">
        <w:rPr>
          <w:rFonts w:ascii="Verdana" w:hAnsi="Verdana"/>
          <w:i w:val="0"/>
          <w:iCs/>
          <w:sz w:val="20"/>
          <w:szCs w:val="20"/>
          <w:lang w:val="es-ES"/>
        </w:rPr>
        <w:t xml:space="preserve"> del caso fue notificado al Estado y a los representantes mediante comunicación de</w:t>
      </w:r>
      <w:r w:rsidR="000B677A" w:rsidRPr="005C1789">
        <w:rPr>
          <w:rFonts w:ascii="Verdana" w:hAnsi="Verdana"/>
          <w:i w:val="0"/>
          <w:iCs/>
          <w:sz w:val="20"/>
          <w:szCs w:val="20"/>
          <w:lang w:val="es-ES"/>
        </w:rPr>
        <w:t xml:space="preserve"> 24 de agosto de 2021</w:t>
      </w:r>
      <w:r w:rsidRPr="005C1789">
        <w:rPr>
          <w:rFonts w:ascii="Verdana" w:hAnsi="Verdana"/>
          <w:i w:val="0"/>
          <w:iCs/>
          <w:sz w:val="20"/>
          <w:szCs w:val="20"/>
          <w:lang w:val="es-ES"/>
        </w:rPr>
        <w:t>.</w:t>
      </w:r>
      <w:r w:rsidRPr="005C1789">
        <w:rPr>
          <w:rFonts w:ascii="Verdana" w:hAnsi="Verdana"/>
          <w:sz w:val="20"/>
          <w:szCs w:val="20"/>
          <w:lang w:val="es-ES"/>
        </w:rPr>
        <w:t xml:space="preserve"> </w:t>
      </w:r>
    </w:p>
    <w:p w14:paraId="4C5423F9" w14:textId="77A83133" w:rsidR="00A23AD4" w:rsidRPr="005C1789" w:rsidRDefault="00A23AD4" w:rsidP="00955888">
      <w:pPr>
        <w:pStyle w:val="Estilo1"/>
        <w:numPr>
          <w:ilvl w:val="0"/>
          <w:numId w:val="2"/>
        </w:numPr>
        <w:tabs>
          <w:tab w:val="left" w:pos="0"/>
        </w:tabs>
        <w:spacing w:before="120"/>
        <w:ind w:left="0" w:right="-4" w:firstLine="0"/>
        <w:jc w:val="both"/>
        <w:rPr>
          <w:rFonts w:ascii="Verdana" w:hAnsi="Verdana"/>
          <w:i w:val="0"/>
          <w:sz w:val="20"/>
          <w:szCs w:val="20"/>
          <w:lang w:val="es-ES"/>
        </w:rPr>
      </w:pPr>
      <w:r w:rsidRPr="005C1789">
        <w:rPr>
          <w:rFonts w:ascii="Verdana" w:hAnsi="Verdana"/>
          <w:sz w:val="20"/>
          <w:szCs w:val="20"/>
          <w:lang w:val="es-ES"/>
        </w:rPr>
        <w:t xml:space="preserve">Escrito de solicitudes, argumentos y pruebas. </w:t>
      </w:r>
      <w:r w:rsidRPr="005C1789">
        <w:rPr>
          <w:rFonts w:ascii="Verdana" w:hAnsi="Verdana"/>
          <w:i w:val="0"/>
          <w:iCs/>
          <w:sz w:val="20"/>
          <w:szCs w:val="20"/>
          <w:lang w:val="es-ES"/>
        </w:rPr>
        <w:t>–</w:t>
      </w:r>
      <w:r w:rsidRPr="005C1789">
        <w:rPr>
          <w:rFonts w:ascii="Verdana" w:hAnsi="Verdana"/>
          <w:i w:val="0"/>
          <w:iCs/>
          <w:sz w:val="20"/>
          <w:szCs w:val="20"/>
          <w:lang w:val="es-CR"/>
        </w:rPr>
        <w:t xml:space="preserve"> </w:t>
      </w:r>
      <w:r w:rsidR="00735935" w:rsidRPr="005C1789">
        <w:rPr>
          <w:rFonts w:ascii="Verdana" w:hAnsi="Verdana"/>
          <w:i w:val="0"/>
          <w:iCs/>
          <w:sz w:val="20"/>
          <w:szCs w:val="20"/>
          <w:lang w:val="es-CR"/>
        </w:rPr>
        <w:t>El</w:t>
      </w:r>
      <w:r w:rsidRPr="005C1789">
        <w:rPr>
          <w:rFonts w:ascii="Verdana" w:hAnsi="Verdana"/>
          <w:i w:val="0"/>
          <w:iCs/>
          <w:sz w:val="20"/>
          <w:szCs w:val="20"/>
          <w:lang w:val="es-CR"/>
        </w:rPr>
        <w:t xml:space="preserve"> día </w:t>
      </w:r>
      <w:r w:rsidR="00735935" w:rsidRPr="005C1789">
        <w:rPr>
          <w:rFonts w:ascii="Verdana" w:hAnsi="Verdana"/>
          <w:i w:val="0"/>
          <w:iCs/>
          <w:sz w:val="20"/>
          <w:szCs w:val="20"/>
          <w:lang w:val="es-CR"/>
        </w:rPr>
        <w:t>25 de octubre de 2021</w:t>
      </w:r>
      <w:r w:rsidRPr="005C1789">
        <w:rPr>
          <w:rFonts w:ascii="Verdana" w:hAnsi="Verdana"/>
          <w:i w:val="0"/>
          <w:iCs/>
          <w:sz w:val="20"/>
          <w:szCs w:val="20"/>
          <w:lang w:val="es-CR"/>
        </w:rPr>
        <w:t xml:space="preserve">, los representantes presentaron su escrito de </w:t>
      </w:r>
      <w:r w:rsidRPr="005C1789">
        <w:rPr>
          <w:rFonts w:ascii="Verdana" w:hAnsi="Verdana"/>
          <w:i w:val="0"/>
          <w:iCs/>
          <w:sz w:val="20"/>
          <w:szCs w:val="20"/>
          <w:lang w:val="es-ES"/>
        </w:rPr>
        <w:t>solicitudes</w:t>
      </w:r>
      <w:r w:rsidRPr="005C1789">
        <w:rPr>
          <w:rFonts w:ascii="Verdana" w:hAnsi="Verdana"/>
          <w:i w:val="0"/>
          <w:iCs/>
          <w:sz w:val="20"/>
          <w:szCs w:val="20"/>
          <w:lang w:val="es-CR"/>
        </w:rPr>
        <w:t xml:space="preserve">, argumentos y pruebas (en adelante “escrito de solicitudes y argumentos”), en los términos de los artículos 25 y 40 del Reglamento de la Corte. Los representantes coincidieron con lo alegado por la Comisión, complementaron su línea argumentativa y propusieron reparaciones específicas. </w:t>
      </w:r>
    </w:p>
    <w:p w14:paraId="021B2C07" w14:textId="58A85AEA" w:rsidR="00A23AD4" w:rsidRPr="005C1789" w:rsidRDefault="00A23AD4" w:rsidP="00955888">
      <w:pPr>
        <w:pStyle w:val="Estilo1"/>
        <w:numPr>
          <w:ilvl w:val="0"/>
          <w:numId w:val="2"/>
        </w:numPr>
        <w:tabs>
          <w:tab w:val="left" w:pos="0"/>
        </w:tabs>
        <w:spacing w:before="120"/>
        <w:ind w:left="0" w:right="-4" w:firstLine="0"/>
        <w:jc w:val="both"/>
        <w:rPr>
          <w:rFonts w:ascii="Verdana" w:hAnsi="Verdana"/>
          <w:i w:val="0"/>
          <w:iCs/>
          <w:sz w:val="20"/>
          <w:szCs w:val="20"/>
          <w:lang w:val="es-ES"/>
        </w:rPr>
      </w:pPr>
      <w:r w:rsidRPr="005C1789">
        <w:rPr>
          <w:rFonts w:ascii="Verdana" w:hAnsi="Verdana"/>
          <w:sz w:val="20"/>
          <w:szCs w:val="20"/>
          <w:lang w:val="es-ES"/>
        </w:rPr>
        <w:t>Escrito</w:t>
      </w:r>
      <w:r w:rsidRPr="005C1789">
        <w:rPr>
          <w:rFonts w:ascii="Verdana" w:hAnsi="Verdana"/>
          <w:spacing w:val="-18"/>
          <w:sz w:val="20"/>
          <w:szCs w:val="20"/>
          <w:lang w:val="es-ES"/>
        </w:rPr>
        <w:t xml:space="preserve"> </w:t>
      </w:r>
      <w:r w:rsidRPr="005C1789">
        <w:rPr>
          <w:rFonts w:ascii="Verdana" w:hAnsi="Verdana"/>
          <w:sz w:val="20"/>
          <w:szCs w:val="20"/>
          <w:lang w:val="es-ES"/>
        </w:rPr>
        <w:t>de</w:t>
      </w:r>
      <w:r w:rsidRPr="005C1789">
        <w:rPr>
          <w:rFonts w:ascii="Verdana" w:hAnsi="Verdana"/>
          <w:spacing w:val="-14"/>
          <w:sz w:val="20"/>
          <w:szCs w:val="20"/>
          <w:lang w:val="es-ES"/>
        </w:rPr>
        <w:t xml:space="preserve"> </w:t>
      </w:r>
      <w:r w:rsidRPr="005C1789">
        <w:rPr>
          <w:rFonts w:ascii="Verdana" w:hAnsi="Verdana"/>
          <w:sz w:val="20"/>
          <w:szCs w:val="20"/>
          <w:lang w:val="es-ES"/>
        </w:rPr>
        <w:t>Contestación</w:t>
      </w:r>
      <w:r w:rsidRPr="005C1789">
        <w:rPr>
          <w:rStyle w:val="Refdenotaalpie"/>
          <w:rFonts w:ascii="Verdana" w:hAnsi="Verdana"/>
          <w:i w:val="0"/>
          <w:iCs/>
          <w:sz w:val="20"/>
          <w:lang w:val="es-ES"/>
        </w:rPr>
        <w:footnoteReference w:id="4"/>
      </w:r>
      <w:r w:rsidRPr="005C1789">
        <w:rPr>
          <w:rFonts w:ascii="Verdana" w:hAnsi="Verdana"/>
          <w:i w:val="0"/>
          <w:iCs/>
          <w:sz w:val="20"/>
          <w:szCs w:val="20"/>
          <w:lang w:val="es-ES"/>
        </w:rPr>
        <w:t>.</w:t>
      </w:r>
      <w:r w:rsidRPr="005C1789">
        <w:rPr>
          <w:rFonts w:ascii="Verdana" w:hAnsi="Verdana"/>
          <w:i w:val="0"/>
          <w:iCs/>
          <w:spacing w:val="-16"/>
          <w:sz w:val="20"/>
          <w:szCs w:val="20"/>
          <w:lang w:val="es-ES"/>
        </w:rPr>
        <w:t xml:space="preserve"> </w:t>
      </w:r>
      <w:r w:rsidR="00735935" w:rsidRPr="005C1789">
        <w:rPr>
          <w:rFonts w:ascii="Verdana" w:hAnsi="Verdana"/>
          <w:i w:val="0"/>
          <w:iCs/>
          <w:sz w:val="20"/>
          <w:szCs w:val="20"/>
          <w:lang w:val="es-ES"/>
        </w:rPr>
        <w:t>–</w:t>
      </w:r>
      <w:r w:rsidRPr="005C1789">
        <w:rPr>
          <w:rFonts w:ascii="Verdana" w:hAnsi="Verdana"/>
          <w:i w:val="0"/>
          <w:iCs/>
          <w:spacing w:val="-16"/>
          <w:sz w:val="20"/>
          <w:szCs w:val="20"/>
          <w:lang w:val="es-ES"/>
        </w:rPr>
        <w:t xml:space="preserve"> </w:t>
      </w:r>
      <w:r w:rsidR="00735935" w:rsidRPr="005C1789">
        <w:rPr>
          <w:rFonts w:ascii="Verdana" w:hAnsi="Verdana"/>
          <w:i w:val="0"/>
          <w:iCs/>
          <w:spacing w:val="-16"/>
          <w:sz w:val="20"/>
          <w:szCs w:val="20"/>
          <w:lang w:val="es-ES"/>
        </w:rPr>
        <w:t xml:space="preserve">El </w:t>
      </w:r>
      <w:r w:rsidR="00735935" w:rsidRPr="005C1789">
        <w:rPr>
          <w:rFonts w:ascii="Verdana" w:hAnsi="Verdana"/>
          <w:i w:val="0"/>
          <w:iCs/>
          <w:sz w:val="20"/>
          <w:szCs w:val="20"/>
          <w:lang w:val="es-ES"/>
        </w:rPr>
        <w:t>5 de enero de 2022</w:t>
      </w:r>
      <w:r w:rsidRPr="005C1789">
        <w:rPr>
          <w:rFonts w:ascii="Verdana" w:hAnsi="Verdana"/>
          <w:i w:val="0"/>
          <w:iCs/>
          <w:sz w:val="20"/>
          <w:szCs w:val="20"/>
          <w:lang w:val="es-ES"/>
        </w:rPr>
        <w:t>,</w:t>
      </w:r>
      <w:r w:rsidRPr="005C1789">
        <w:rPr>
          <w:rFonts w:ascii="Verdana" w:hAnsi="Verdana"/>
          <w:i w:val="0"/>
          <w:iCs/>
          <w:spacing w:val="-17"/>
          <w:sz w:val="20"/>
          <w:szCs w:val="20"/>
          <w:lang w:val="es-ES"/>
        </w:rPr>
        <w:t xml:space="preserve"> </w:t>
      </w:r>
      <w:r w:rsidR="00735935" w:rsidRPr="005C1789">
        <w:rPr>
          <w:rFonts w:ascii="Verdana" w:hAnsi="Verdana"/>
          <w:i w:val="0"/>
          <w:iCs/>
          <w:sz w:val="20"/>
          <w:szCs w:val="20"/>
          <w:lang w:val="es-ES"/>
        </w:rPr>
        <w:t>el Estado</w:t>
      </w:r>
      <w:r w:rsidRPr="005C1789">
        <w:rPr>
          <w:rFonts w:ascii="Verdana" w:hAnsi="Verdana"/>
          <w:i w:val="0"/>
          <w:iCs/>
          <w:sz w:val="20"/>
          <w:szCs w:val="20"/>
          <w:lang w:val="es-ES"/>
        </w:rPr>
        <w:t xml:space="preserve"> presentó su escrito de </w:t>
      </w:r>
      <w:r w:rsidRPr="005C1789">
        <w:rPr>
          <w:rFonts w:ascii="Verdana" w:hAnsi="Verdana"/>
          <w:i w:val="0"/>
          <w:iCs/>
          <w:spacing w:val="7"/>
          <w:sz w:val="20"/>
          <w:szCs w:val="20"/>
          <w:lang w:val="es-ES"/>
        </w:rPr>
        <w:t xml:space="preserve">contestación </w:t>
      </w:r>
      <w:r w:rsidRPr="005C1789">
        <w:rPr>
          <w:rFonts w:ascii="Verdana" w:hAnsi="Verdana"/>
          <w:i w:val="0"/>
          <w:iCs/>
          <w:spacing w:val="3"/>
          <w:sz w:val="20"/>
          <w:szCs w:val="20"/>
          <w:lang w:val="es-ES"/>
        </w:rPr>
        <w:t xml:space="preserve">al </w:t>
      </w:r>
      <w:r w:rsidRPr="005C1789">
        <w:rPr>
          <w:rFonts w:ascii="Verdana" w:hAnsi="Verdana"/>
          <w:i w:val="0"/>
          <w:iCs/>
          <w:spacing w:val="7"/>
          <w:sz w:val="20"/>
          <w:szCs w:val="20"/>
          <w:lang w:val="es-ES"/>
        </w:rPr>
        <w:t xml:space="preserve">sometimiento </w:t>
      </w:r>
      <w:r w:rsidRPr="005C1789">
        <w:rPr>
          <w:rFonts w:ascii="Verdana" w:hAnsi="Verdana"/>
          <w:i w:val="0"/>
          <w:iCs/>
          <w:spacing w:val="5"/>
          <w:sz w:val="20"/>
          <w:szCs w:val="20"/>
          <w:lang w:val="es-ES"/>
        </w:rPr>
        <w:t xml:space="preserve">del </w:t>
      </w:r>
      <w:r w:rsidRPr="005C1789">
        <w:rPr>
          <w:rFonts w:ascii="Verdana" w:hAnsi="Verdana"/>
          <w:i w:val="0"/>
          <w:iCs/>
          <w:spacing w:val="6"/>
          <w:sz w:val="20"/>
          <w:szCs w:val="20"/>
          <w:lang w:val="es-ES"/>
        </w:rPr>
        <w:t xml:space="preserve">caso </w:t>
      </w:r>
      <w:r w:rsidRPr="005C1789">
        <w:rPr>
          <w:rFonts w:ascii="Verdana" w:hAnsi="Verdana"/>
          <w:i w:val="0"/>
          <w:iCs/>
          <w:sz w:val="20"/>
          <w:szCs w:val="20"/>
          <w:lang w:val="es-ES"/>
        </w:rPr>
        <w:t xml:space="preserve">y </w:t>
      </w:r>
      <w:r w:rsidRPr="005C1789">
        <w:rPr>
          <w:rFonts w:ascii="Verdana" w:hAnsi="Verdana"/>
          <w:i w:val="0"/>
          <w:iCs/>
          <w:spacing w:val="7"/>
          <w:sz w:val="20"/>
          <w:szCs w:val="20"/>
          <w:lang w:val="es-ES"/>
        </w:rPr>
        <w:t xml:space="preserve">observaciones </w:t>
      </w:r>
      <w:r w:rsidRPr="005C1789">
        <w:rPr>
          <w:rFonts w:ascii="Verdana" w:hAnsi="Verdana"/>
          <w:i w:val="0"/>
          <w:iCs/>
          <w:spacing w:val="3"/>
          <w:sz w:val="20"/>
          <w:szCs w:val="20"/>
          <w:lang w:val="es-ES"/>
        </w:rPr>
        <w:t xml:space="preserve">al </w:t>
      </w:r>
      <w:r w:rsidRPr="005C1789">
        <w:rPr>
          <w:rFonts w:ascii="Verdana" w:hAnsi="Verdana"/>
          <w:i w:val="0"/>
          <w:iCs/>
          <w:spacing w:val="6"/>
          <w:sz w:val="20"/>
          <w:szCs w:val="20"/>
          <w:lang w:val="es-ES"/>
        </w:rPr>
        <w:t xml:space="preserve">escrito </w:t>
      </w:r>
      <w:r w:rsidRPr="005C1789">
        <w:rPr>
          <w:rFonts w:ascii="Verdana" w:hAnsi="Verdana"/>
          <w:i w:val="0"/>
          <w:iCs/>
          <w:spacing w:val="5"/>
          <w:sz w:val="20"/>
          <w:szCs w:val="20"/>
          <w:lang w:val="es-ES"/>
        </w:rPr>
        <w:t xml:space="preserve">de </w:t>
      </w:r>
      <w:r w:rsidRPr="005C1789">
        <w:rPr>
          <w:rFonts w:ascii="Verdana" w:hAnsi="Verdana"/>
          <w:i w:val="0"/>
          <w:iCs/>
          <w:spacing w:val="7"/>
          <w:sz w:val="20"/>
          <w:szCs w:val="20"/>
          <w:lang w:val="es-ES"/>
        </w:rPr>
        <w:t xml:space="preserve">solicitudes </w:t>
      </w:r>
      <w:r w:rsidRPr="005C1789">
        <w:rPr>
          <w:rFonts w:ascii="Verdana" w:hAnsi="Verdana"/>
          <w:i w:val="0"/>
          <w:iCs/>
          <w:sz w:val="20"/>
          <w:szCs w:val="20"/>
          <w:lang w:val="es-ES"/>
        </w:rPr>
        <w:t xml:space="preserve">y </w:t>
      </w:r>
      <w:r w:rsidRPr="005C1789">
        <w:rPr>
          <w:rFonts w:ascii="Verdana" w:hAnsi="Verdana"/>
          <w:i w:val="0"/>
          <w:iCs/>
          <w:spacing w:val="7"/>
          <w:sz w:val="20"/>
          <w:szCs w:val="20"/>
          <w:lang w:val="es-ES"/>
        </w:rPr>
        <w:t xml:space="preserve">argumentos </w:t>
      </w:r>
      <w:r w:rsidRPr="005C1789">
        <w:rPr>
          <w:rFonts w:ascii="Verdana" w:hAnsi="Verdana"/>
          <w:i w:val="0"/>
          <w:iCs/>
          <w:sz w:val="20"/>
          <w:szCs w:val="20"/>
          <w:lang w:val="es-ES"/>
        </w:rPr>
        <w:t xml:space="preserve">(en adelante “escrito de contestación”) </w:t>
      </w:r>
      <w:r w:rsidR="00735935" w:rsidRPr="005C1789">
        <w:rPr>
          <w:rFonts w:ascii="Verdana" w:hAnsi="Verdana"/>
          <w:i w:val="0"/>
          <w:iCs/>
          <w:sz w:val="20"/>
          <w:szCs w:val="20"/>
          <w:lang w:val="es-CR"/>
        </w:rPr>
        <w:t xml:space="preserve">en los términos de los artículos 25 y </w:t>
      </w:r>
      <w:r w:rsidR="00AB4C46" w:rsidRPr="005C1789">
        <w:rPr>
          <w:rFonts w:ascii="Verdana" w:hAnsi="Verdana"/>
          <w:i w:val="0"/>
          <w:iCs/>
          <w:sz w:val="20"/>
          <w:szCs w:val="20"/>
          <w:lang w:val="es-CR"/>
        </w:rPr>
        <w:t>41</w:t>
      </w:r>
      <w:r w:rsidR="00735935" w:rsidRPr="005C1789">
        <w:rPr>
          <w:rFonts w:ascii="Verdana" w:hAnsi="Verdana"/>
          <w:i w:val="0"/>
          <w:iCs/>
          <w:sz w:val="20"/>
          <w:szCs w:val="20"/>
          <w:lang w:val="es-CR"/>
        </w:rPr>
        <w:t xml:space="preserve"> del Reglamento de la Corte. En dicho escrito, el Estado interpuso </w:t>
      </w:r>
      <w:r w:rsidR="00AF15A0" w:rsidRPr="005C1789">
        <w:rPr>
          <w:rFonts w:ascii="Verdana" w:hAnsi="Verdana"/>
          <w:i w:val="0"/>
          <w:iCs/>
          <w:sz w:val="20"/>
          <w:szCs w:val="20"/>
          <w:lang w:val="es-CR"/>
        </w:rPr>
        <w:t xml:space="preserve">cuatro </w:t>
      </w:r>
      <w:r w:rsidR="00735935" w:rsidRPr="005C1789">
        <w:rPr>
          <w:rFonts w:ascii="Verdana" w:hAnsi="Verdana"/>
          <w:i w:val="0"/>
          <w:iCs/>
          <w:sz w:val="20"/>
          <w:szCs w:val="20"/>
          <w:lang w:val="es-CR"/>
        </w:rPr>
        <w:t>excepciones preliminares</w:t>
      </w:r>
      <w:r w:rsidR="00191827" w:rsidRPr="005C1789">
        <w:rPr>
          <w:rFonts w:ascii="Verdana" w:hAnsi="Verdana"/>
          <w:i w:val="0"/>
          <w:iCs/>
          <w:sz w:val="20"/>
          <w:szCs w:val="20"/>
          <w:lang w:val="es-CR"/>
        </w:rPr>
        <w:t>,</w:t>
      </w:r>
      <w:r w:rsidR="00735935" w:rsidRPr="005C1789">
        <w:rPr>
          <w:rFonts w:ascii="Verdana" w:hAnsi="Verdana"/>
          <w:i w:val="0"/>
          <w:iCs/>
          <w:sz w:val="20"/>
          <w:szCs w:val="20"/>
          <w:lang w:val="es-CR"/>
        </w:rPr>
        <w:t xml:space="preserve"> y se opuso a las violaciones alegadas y a las medidas de reparación pr</w:t>
      </w:r>
      <w:r w:rsidR="003A07A8" w:rsidRPr="005C1789">
        <w:rPr>
          <w:rFonts w:ascii="Verdana" w:hAnsi="Verdana"/>
          <w:i w:val="0"/>
          <w:iCs/>
          <w:sz w:val="20"/>
          <w:szCs w:val="20"/>
          <w:lang w:val="es-CR"/>
        </w:rPr>
        <w:t>o</w:t>
      </w:r>
      <w:r w:rsidR="00735935" w:rsidRPr="005C1789">
        <w:rPr>
          <w:rFonts w:ascii="Verdana" w:hAnsi="Verdana"/>
          <w:i w:val="0"/>
          <w:iCs/>
          <w:sz w:val="20"/>
          <w:szCs w:val="20"/>
          <w:lang w:val="es-CR"/>
        </w:rPr>
        <w:t>puestas por la Comisión y</w:t>
      </w:r>
      <w:r w:rsidR="00195DD6">
        <w:rPr>
          <w:rFonts w:ascii="Verdana" w:hAnsi="Verdana"/>
          <w:i w:val="0"/>
          <w:iCs/>
          <w:sz w:val="20"/>
          <w:szCs w:val="20"/>
          <w:lang w:val="es-CR"/>
        </w:rPr>
        <w:t xml:space="preserve"> los</w:t>
      </w:r>
      <w:r w:rsidR="00735935" w:rsidRPr="005C1789">
        <w:rPr>
          <w:rFonts w:ascii="Verdana" w:hAnsi="Verdana"/>
          <w:i w:val="0"/>
          <w:iCs/>
          <w:sz w:val="20"/>
          <w:szCs w:val="20"/>
          <w:lang w:val="es-CR"/>
        </w:rPr>
        <w:t xml:space="preserve"> representantes</w:t>
      </w:r>
      <w:r w:rsidR="00AB4C46" w:rsidRPr="005C1789">
        <w:rPr>
          <w:rFonts w:ascii="Verdana" w:hAnsi="Verdana"/>
          <w:i w:val="0"/>
          <w:iCs/>
          <w:sz w:val="20"/>
          <w:szCs w:val="20"/>
          <w:lang w:val="es-CR"/>
        </w:rPr>
        <w:t>.</w:t>
      </w:r>
    </w:p>
    <w:p w14:paraId="640AFEEA" w14:textId="674910A3" w:rsidR="00A23AD4" w:rsidRPr="005C1789" w:rsidRDefault="00A23AD4" w:rsidP="00955888">
      <w:pPr>
        <w:pStyle w:val="Estilo1"/>
        <w:numPr>
          <w:ilvl w:val="0"/>
          <w:numId w:val="2"/>
        </w:numPr>
        <w:tabs>
          <w:tab w:val="left" w:pos="0"/>
        </w:tabs>
        <w:spacing w:before="120"/>
        <w:ind w:left="0" w:right="-4" w:firstLine="0"/>
        <w:jc w:val="both"/>
        <w:rPr>
          <w:rFonts w:ascii="Verdana" w:hAnsi="Verdana"/>
          <w:sz w:val="20"/>
          <w:szCs w:val="20"/>
          <w:lang w:val="es-ES"/>
        </w:rPr>
      </w:pPr>
      <w:r w:rsidRPr="005C1789">
        <w:rPr>
          <w:rFonts w:ascii="Verdana" w:hAnsi="Verdana"/>
          <w:sz w:val="20"/>
          <w:szCs w:val="20"/>
          <w:lang w:val="es-ES"/>
        </w:rPr>
        <w:t xml:space="preserve">Audiencia Pública. </w:t>
      </w:r>
      <w:r w:rsidRPr="005C1789">
        <w:rPr>
          <w:rFonts w:ascii="Verdana" w:hAnsi="Verdana"/>
          <w:i w:val="0"/>
          <w:iCs/>
          <w:sz w:val="20"/>
          <w:szCs w:val="20"/>
          <w:lang w:val="es-ES"/>
        </w:rPr>
        <w:t xml:space="preserve">– </w:t>
      </w:r>
      <w:r w:rsidR="004353CC" w:rsidRPr="005C1789">
        <w:rPr>
          <w:rFonts w:ascii="Verdana" w:hAnsi="Verdana"/>
          <w:i w:val="0"/>
          <w:iCs/>
          <w:sz w:val="20"/>
          <w:szCs w:val="20"/>
          <w:lang w:val="es-ES"/>
        </w:rPr>
        <w:t>El</w:t>
      </w:r>
      <w:r w:rsidRPr="005C1789">
        <w:rPr>
          <w:rFonts w:ascii="Verdana" w:hAnsi="Verdana"/>
          <w:i w:val="0"/>
          <w:iCs/>
          <w:sz w:val="20"/>
          <w:szCs w:val="20"/>
          <w:lang w:val="es-ES"/>
        </w:rPr>
        <w:t xml:space="preserve"> </w:t>
      </w:r>
      <w:r w:rsidR="000E1B19" w:rsidRPr="005C1789">
        <w:rPr>
          <w:rFonts w:ascii="Verdana" w:hAnsi="Verdana"/>
          <w:i w:val="0"/>
          <w:iCs/>
          <w:sz w:val="20"/>
          <w:szCs w:val="20"/>
          <w:lang w:val="es-ES"/>
        </w:rPr>
        <w:t>24</w:t>
      </w:r>
      <w:r w:rsidRPr="005C1789">
        <w:rPr>
          <w:rFonts w:ascii="Verdana" w:hAnsi="Verdana"/>
          <w:i w:val="0"/>
          <w:iCs/>
          <w:sz w:val="20"/>
          <w:szCs w:val="20"/>
          <w:lang w:val="es-ES"/>
        </w:rPr>
        <w:t xml:space="preserve"> </w:t>
      </w:r>
      <w:r w:rsidR="00AB4C46" w:rsidRPr="005C1789">
        <w:rPr>
          <w:rFonts w:ascii="Verdana" w:hAnsi="Verdana"/>
          <w:i w:val="0"/>
          <w:iCs/>
          <w:sz w:val="20"/>
          <w:szCs w:val="20"/>
          <w:lang w:val="es-ES"/>
        </w:rPr>
        <w:t xml:space="preserve">de </w:t>
      </w:r>
      <w:r w:rsidR="00B03F75" w:rsidRPr="005C1789">
        <w:rPr>
          <w:rFonts w:ascii="Verdana" w:hAnsi="Verdana"/>
          <w:i w:val="0"/>
          <w:iCs/>
          <w:sz w:val="20"/>
          <w:szCs w:val="20"/>
          <w:lang w:val="es-ES"/>
        </w:rPr>
        <w:t>mayo</w:t>
      </w:r>
      <w:r w:rsidRPr="005C1789">
        <w:rPr>
          <w:rFonts w:ascii="Verdana" w:hAnsi="Verdana"/>
          <w:i w:val="0"/>
          <w:iCs/>
          <w:sz w:val="20"/>
          <w:szCs w:val="20"/>
          <w:lang w:val="es-ES"/>
        </w:rPr>
        <w:t xml:space="preserve"> de 202</w:t>
      </w:r>
      <w:r w:rsidR="00AB4C46" w:rsidRPr="005C1789">
        <w:rPr>
          <w:rFonts w:ascii="Verdana" w:hAnsi="Verdana"/>
          <w:i w:val="0"/>
          <w:iCs/>
          <w:sz w:val="20"/>
          <w:szCs w:val="20"/>
          <w:lang w:val="es-ES"/>
        </w:rPr>
        <w:t>2</w:t>
      </w:r>
      <w:r w:rsidRPr="005C1789">
        <w:rPr>
          <w:rStyle w:val="Refdenotaalpie"/>
          <w:rFonts w:ascii="Verdana" w:hAnsi="Verdana"/>
          <w:i w:val="0"/>
          <w:iCs/>
          <w:sz w:val="20"/>
          <w:lang w:val="es-ES"/>
        </w:rPr>
        <w:footnoteReference w:id="5"/>
      </w:r>
      <w:r w:rsidRPr="005C1789">
        <w:rPr>
          <w:rFonts w:ascii="Verdana" w:hAnsi="Verdana"/>
          <w:i w:val="0"/>
          <w:iCs/>
          <w:sz w:val="20"/>
          <w:szCs w:val="20"/>
          <w:lang w:val="es-ES"/>
        </w:rPr>
        <w:t xml:space="preserve">, </w:t>
      </w:r>
      <w:r w:rsidR="00B03F75" w:rsidRPr="005C1789">
        <w:rPr>
          <w:rFonts w:ascii="Verdana" w:hAnsi="Verdana"/>
          <w:i w:val="0"/>
          <w:iCs/>
          <w:sz w:val="20"/>
          <w:szCs w:val="20"/>
          <w:lang w:val="es-ES"/>
        </w:rPr>
        <w:t>el</w:t>
      </w:r>
      <w:r w:rsidRPr="005C1789">
        <w:rPr>
          <w:rFonts w:ascii="Verdana" w:hAnsi="Verdana"/>
          <w:i w:val="0"/>
          <w:iCs/>
          <w:sz w:val="20"/>
          <w:szCs w:val="20"/>
          <w:lang w:val="es-ES"/>
        </w:rPr>
        <w:t xml:space="preserve"> </w:t>
      </w:r>
      <w:proofErr w:type="gramStart"/>
      <w:r w:rsidRPr="005C1789">
        <w:rPr>
          <w:rFonts w:ascii="Verdana" w:hAnsi="Verdana"/>
          <w:i w:val="0"/>
          <w:iCs/>
          <w:sz w:val="20"/>
          <w:szCs w:val="20"/>
          <w:lang w:val="es-ES"/>
        </w:rPr>
        <w:t>President</w:t>
      </w:r>
      <w:r w:rsidR="00B03F75" w:rsidRPr="005C1789">
        <w:rPr>
          <w:rFonts w:ascii="Verdana" w:hAnsi="Verdana"/>
          <w:i w:val="0"/>
          <w:iCs/>
          <w:sz w:val="20"/>
          <w:szCs w:val="20"/>
          <w:lang w:val="es-ES"/>
        </w:rPr>
        <w:t>e</w:t>
      </w:r>
      <w:proofErr w:type="gramEnd"/>
      <w:r w:rsidRPr="005C1789">
        <w:rPr>
          <w:rFonts w:ascii="Verdana" w:hAnsi="Verdana"/>
          <w:i w:val="0"/>
          <w:iCs/>
          <w:sz w:val="20"/>
          <w:szCs w:val="20"/>
          <w:lang w:val="es-ES"/>
        </w:rPr>
        <w:t xml:space="preserve"> de la Corte convocó a las partes y a la Comisión a una audiencia pública que fue celebrada </w:t>
      </w:r>
      <w:r w:rsidR="00AB4C46" w:rsidRPr="005C1789">
        <w:rPr>
          <w:rFonts w:ascii="Verdana" w:hAnsi="Verdana"/>
          <w:i w:val="0"/>
          <w:iCs/>
          <w:sz w:val="20"/>
          <w:szCs w:val="20"/>
          <w:lang w:val="es-ES"/>
        </w:rPr>
        <w:t>el</w:t>
      </w:r>
      <w:r w:rsidRPr="005C1789">
        <w:rPr>
          <w:rFonts w:ascii="Verdana" w:hAnsi="Verdana"/>
          <w:i w:val="0"/>
          <w:iCs/>
          <w:sz w:val="20"/>
          <w:szCs w:val="20"/>
          <w:lang w:val="es-ES"/>
        </w:rPr>
        <w:t xml:space="preserve"> día </w:t>
      </w:r>
      <w:r w:rsidR="00B03F75" w:rsidRPr="005C1789">
        <w:rPr>
          <w:rFonts w:ascii="Verdana" w:hAnsi="Verdana"/>
          <w:i w:val="0"/>
          <w:iCs/>
          <w:sz w:val="20"/>
          <w:szCs w:val="20"/>
          <w:lang w:val="es-ES"/>
        </w:rPr>
        <w:t>23</w:t>
      </w:r>
      <w:r w:rsidRPr="005C1789">
        <w:rPr>
          <w:rFonts w:ascii="Verdana" w:hAnsi="Verdana"/>
          <w:i w:val="0"/>
          <w:iCs/>
          <w:sz w:val="20"/>
          <w:szCs w:val="20"/>
          <w:lang w:val="es-ES"/>
        </w:rPr>
        <w:t xml:space="preserve"> de </w:t>
      </w:r>
      <w:r w:rsidR="00AB4C46" w:rsidRPr="005C1789">
        <w:rPr>
          <w:rFonts w:ascii="Verdana" w:hAnsi="Verdana"/>
          <w:i w:val="0"/>
          <w:iCs/>
          <w:sz w:val="20"/>
          <w:szCs w:val="20"/>
          <w:lang w:val="es-ES"/>
        </w:rPr>
        <w:t>junio</w:t>
      </w:r>
      <w:r w:rsidRPr="005C1789">
        <w:rPr>
          <w:rFonts w:ascii="Verdana" w:hAnsi="Verdana"/>
          <w:i w:val="0"/>
          <w:iCs/>
          <w:sz w:val="20"/>
          <w:szCs w:val="20"/>
          <w:lang w:val="es-ES"/>
        </w:rPr>
        <w:t xml:space="preserve"> de </w:t>
      </w:r>
      <w:r w:rsidR="00AB4C46" w:rsidRPr="005C1789">
        <w:rPr>
          <w:rFonts w:ascii="Verdana" w:hAnsi="Verdana"/>
          <w:i w:val="0"/>
          <w:iCs/>
          <w:sz w:val="20"/>
          <w:szCs w:val="20"/>
          <w:lang w:val="es-ES"/>
        </w:rPr>
        <w:t>2022</w:t>
      </w:r>
      <w:r w:rsidRPr="005C1789">
        <w:rPr>
          <w:rFonts w:ascii="Verdana" w:hAnsi="Verdana"/>
          <w:i w:val="0"/>
          <w:iCs/>
          <w:sz w:val="20"/>
          <w:szCs w:val="20"/>
          <w:lang w:val="es-ES"/>
        </w:rPr>
        <w:t xml:space="preserve">, durante el </w:t>
      </w:r>
      <w:r w:rsidR="00AB4C46" w:rsidRPr="005C1789">
        <w:rPr>
          <w:rFonts w:ascii="Verdana" w:hAnsi="Verdana"/>
          <w:i w:val="0"/>
          <w:iCs/>
          <w:sz w:val="20"/>
          <w:szCs w:val="20"/>
          <w:lang w:val="es-ES"/>
        </w:rPr>
        <w:t>149</w:t>
      </w:r>
      <w:r w:rsidR="00AE1DA8" w:rsidRPr="005C1789">
        <w:rPr>
          <w:rFonts w:ascii="Verdana" w:hAnsi="Verdana"/>
          <w:i w:val="0"/>
          <w:iCs/>
          <w:sz w:val="20"/>
          <w:szCs w:val="20"/>
          <w:lang w:val="es-ES"/>
        </w:rPr>
        <w:t xml:space="preserve"> </w:t>
      </w:r>
      <w:r w:rsidRPr="005C1789">
        <w:rPr>
          <w:rFonts w:ascii="Verdana" w:hAnsi="Verdana"/>
          <w:i w:val="0"/>
          <w:iCs/>
          <w:sz w:val="20"/>
          <w:szCs w:val="20"/>
          <w:lang w:val="es-ES"/>
        </w:rPr>
        <w:t>Per</w:t>
      </w:r>
      <w:r w:rsidR="00AE1DA8" w:rsidRPr="005C1789">
        <w:rPr>
          <w:rFonts w:ascii="Verdana" w:hAnsi="Verdana"/>
          <w:i w:val="0"/>
          <w:iCs/>
          <w:sz w:val="20"/>
          <w:szCs w:val="20"/>
          <w:lang w:val="es-ES"/>
        </w:rPr>
        <w:t>í</w:t>
      </w:r>
      <w:r w:rsidRPr="005C1789">
        <w:rPr>
          <w:rFonts w:ascii="Verdana" w:hAnsi="Verdana"/>
          <w:i w:val="0"/>
          <w:iCs/>
          <w:sz w:val="20"/>
          <w:szCs w:val="20"/>
          <w:lang w:val="es-ES"/>
        </w:rPr>
        <w:t>odo Ordinario</w:t>
      </w:r>
      <w:r w:rsidRPr="005C1789">
        <w:rPr>
          <w:rFonts w:ascii="Verdana" w:hAnsi="Verdana"/>
          <w:i w:val="0"/>
          <w:iCs/>
          <w:spacing w:val="-35"/>
          <w:sz w:val="20"/>
          <w:szCs w:val="20"/>
          <w:lang w:val="es-ES"/>
        </w:rPr>
        <w:t xml:space="preserve"> </w:t>
      </w:r>
      <w:r w:rsidRPr="005C1789">
        <w:rPr>
          <w:rFonts w:ascii="Verdana" w:hAnsi="Verdana"/>
          <w:i w:val="0"/>
          <w:iCs/>
          <w:sz w:val="20"/>
          <w:szCs w:val="20"/>
          <w:lang w:val="es-ES"/>
        </w:rPr>
        <w:t xml:space="preserve">de Sesiones de la Corte, </w:t>
      </w:r>
      <w:r w:rsidR="00AB4C46" w:rsidRPr="005C1789">
        <w:rPr>
          <w:rFonts w:ascii="Verdana" w:hAnsi="Verdana"/>
          <w:i w:val="0"/>
          <w:iCs/>
          <w:sz w:val="20"/>
          <w:szCs w:val="20"/>
          <w:lang w:val="es-ES"/>
        </w:rPr>
        <w:t xml:space="preserve">en </w:t>
      </w:r>
      <w:r w:rsidR="006E67E0">
        <w:rPr>
          <w:rFonts w:ascii="Verdana" w:hAnsi="Verdana"/>
          <w:i w:val="0"/>
          <w:iCs/>
          <w:sz w:val="20"/>
          <w:szCs w:val="20"/>
          <w:lang w:val="es-ES"/>
        </w:rPr>
        <w:t>su</w:t>
      </w:r>
      <w:r w:rsidR="006E67E0" w:rsidRPr="005C1789">
        <w:rPr>
          <w:rFonts w:ascii="Verdana" w:hAnsi="Verdana"/>
          <w:i w:val="0"/>
          <w:iCs/>
          <w:sz w:val="20"/>
          <w:szCs w:val="20"/>
          <w:lang w:val="es-ES"/>
        </w:rPr>
        <w:t xml:space="preserve"> </w:t>
      </w:r>
      <w:r w:rsidR="00AB4C46" w:rsidRPr="005C1789">
        <w:rPr>
          <w:rFonts w:ascii="Verdana" w:hAnsi="Verdana"/>
          <w:i w:val="0"/>
          <w:iCs/>
          <w:sz w:val="20"/>
          <w:szCs w:val="20"/>
          <w:lang w:val="es-ES"/>
        </w:rPr>
        <w:t>sede, en la ciudad de San José, Costa Rica</w:t>
      </w:r>
      <w:r w:rsidRPr="005C1789">
        <w:rPr>
          <w:rStyle w:val="Refdenotaalpie"/>
          <w:rFonts w:ascii="Verdana" w:hAnsi="Verdana"/>
          <w:i w:val="0"/>
          <w:iCs/>
          <w:sz w:val="20"/>
          <w:lang w:val="es-ES"/>
        </w:rPr>
        <w:footnoteReference w:id="6"/>
      </w:r>
      <w:r w:rsidRPr="005C1789">
        <w:rPr>
          <w:rFonts w:ascii="Verdana" w:hAnsi="Verdana"/>
          <w:i w:val="0"/>
          <w:iCs/>
          <w:sz w:val="20"/>
          <w:szCs w:val="20"/>
          <w:lang w:val="es-ES"/>
        </w:rPr>
        <w:t>.</w:t>
      </w:r>
    </w:p>
    <w:p w14:paraId="08A39FB0" w14:textId="61FC23E9" w:rsidR="00AB4C46" w:rsidRPr="005C1789" w:rsidRDefault="00AB4C46" w:rsidP="00955888">
      <w:pPr>
        <w:pStyle w:val="Estilo1"/>
        <w:numPr>
          <w:ilvl w:val="0"/>
          <w:numId w:val="2"/>
        </w:numPr>
        <w:tabs>
          <w:tab w:val="left" w:pos="0"/>
        </w:tabs>
        <w:spacing w:before="120"/>
        <w:ind w:left="0" w:right="-4" w:firstLine="0"/>
        <w:jc w:val="both"/>
        <w:rPr>
          <w:rFonts w:ascii="Verdana" w:hAnsi="Verdana"/>
          <w:i w:val="0"/>
          <w:iCs/>
          <w:sz w:val="20"/>
          <w:szCs w:val="20"/>
          <w:lang w:val="es-ES"/>
        </w:rPr>
      </w:pPr>
      <w:r w:rsidRPr="005C1789">
        <w:rPr>
          <w:rFonts w:ascii="Verdana" w:hAnsi="Verdana"/>
          <w:sz w:val="20"/>
          <w:szCs w:val="20"/>
          <w:lang w:val="es-ES"/>
        </w:rPr>
        <w:t>Reconocimiento parcial de responsabilidad</w:t>
      </w:r>
      <w:r w:rsidR="00092E37" w:rsidRPr="005C1789">
        <w:rPr>
          <w:rFonts w:ascii="Verdana" w:hAnsi="Verdana"/>
          <w:i w:val="0"/>
          <w:iCs/>
          <w:sz w:val="20"/>
          <w:szCs w:val="20"/>
          <w:lang w:val="es-ES"/>
        </w:rPr>
        <w:t xml:space="preserve">. – El día </w:t>
      </w:r>
      <w:r w:rsidR="00B03F75" w:rsidRPr="005C1789">
        <w:rPr>
          <w:rFonts w:ascii="Verdana" w:hAnsi="Verdana"/>
          <w:i w:val="0"/>
          <w:iCs/>
          <w:sz w:val="20"/>
          <w:szCs w:val="20"/>
          <w:lang w:val="es-ES"/>
        </w:rPr>
        <w:t>23</w:t>
      </w:r>
      <w:r w:rsidR="00092E37" w:rsidRPr="005C1789">
        <w:rPr>
          <w:rFonts w:ascii="Verdana" w:hAnsi="Verdana"/>
          <w:i w:val="0"/>
          <w:iCs/>
          <w:sz w:val="20"/>
          <w:szCs w:val="20"/>
          <w:lang w:val="es-ES"/>
        </w:rPr>
        <w:t xml:space="preserve"> de junio de 2022, durante la audiencia pública del presente caso, </w:t>
      </w:r>
      <w:r w:rsidR="005D3DA6" w:rsidRPr="005C1789">
        <w:rPr>
          <w:rFonts w:ascii="Verdana" w:hAnsi="Verdana"/>
          <w:i w:val="0"/>
          <w:iCs/>
          <w:sz w:val="20"/>
          <w:szCs w:val="20"/>
          <w:lang w:val="es-ES"/>
        </w:rPr>
        <w:t>y en su escrito de alegatos finales escritos (</w:t>
      </w:r>
      <w:r w:rsidR="005D3DA6" w:rsidRPr="005C1789">
        <w:rPr>
          <w:rFonts w:ascii="Verdana" w:hAnsi="Verdana"/>
          <w:sz w:val="20"/>
          <w:szCs w:val="20"/>
          <w:lang w:val="es-ES"/>
        </w:rPr>
        <w:t>infra</w:t>
      </w:r>
      <w:r w:rsidR="005D3DA6" w:rsidRPr="005C1789">
        <w:rPr>
          <w:rFonts w:ascii="Verdana" w:hAnsi="Verdana"/>
          <w:i w:val="0"/>
          <w:iCs/>
          <w:sz w:val="20"/>
          <w:szCs w:val="20"/>
          <w:lang w:val="es-ES"/>
        </w:rPr>
        <w:t xml:space="preserve"> párr. 11), </w:t>
      </w:r>
      <w:r w:rsidR="00092E37" w:rsidRPr="005C1789">
        <w:rPr>
          <w:rFonts w:ascii="Verdana" w:hAnsi="Verdana"/>
          <w:i w:val="0"/>
          <w:iCs/>
          <w:sz w:val="20"/>
          <w:szCs w:val="20"/>
          <w:lang w:val="es-ES"/>
        </w:rPr>
        <w:t>el Estado renunció a la interposición de las excepciones preliminares</w:t>
      </w:r>
      <w:r w:rsidR="00D014C4" w:rsidRPr="005C1789">
        <w:rPr>
          <w:rFonts w:ascii="Verdana" w:hAnsi="Verdana"/>
          <w:i w:val="0"/>
          <w:iCs/>
          <w:sz w:val="20"/>
          <w:szCs w:val="20"/>
          <w:lang w:val="es-ES"/>
        </w:rPr>
        <w:t xml:space="preserve"> </w:t>
      </w:r>
      <w:r w:rsidR="00292D63" w:rsidRPr="005C1789">
        <w:rPr>
          <w:rFonts w:ascii="Verdana" w:hAnsi="Verdana"/>
          <w:i w:val="0"/>
          <w:iCs/>
          <w:sz w:val="20"/>
          <w:szCs w:val="20"/>
          <w:lang w:val="es-ES"/>
        </w:rPr>
        <w:t>sobre falta de agotamiento de recursos internos</w:t>
      </w:r>
      <w:r w:rsidR="00092E37" w:rsidRPr="005C1789">
        <w:rPr>
          <w:rFonts w:ascii="Verdana" w:hAnsi="Verdana"/>
          <w:i w:val="0"/>
          <w:iCs/>
          <w:sz w:val="20"/>
          <w:szCs w:val="20"/>
          <w:lang w:val="es-ES"/>
        </w:rPr>
        <w:t xml:space="preserve">, </w:t>
      </w:r>
      <w:r w:rsidR="00D014C4" w:rsidRPr="005C1789">
        <w:rPr>
          <w:rFonts w:ascii="Verdana" w:hAnsi="Verdana"/>
          <w:i w:val="0"/>
          <w:iCs/>
          <w:sz w:val="20"/>
          <w:szCs w:val="20"/>
          <w:lang w:val="es-ES"/>
        </w:rPr>
        <w:t>sobre litispendencia</w:t>
      </w:r>
      <w:r w:rsidR="004E5CE9" w:rsidRPr="005C1789">
        <w:rPr>
          <w:rFonts w:ascii="Verdana" w:hAnsi="Verdana"/>
          <w:i w:val="0"/>
          <w:iCs/>
          <w:sz w:val="20"/>
          <w:szCs w:val="20"/>
          <w:lang w:val="es-ES"/>
        </w:rPr>
        <w:t xml:space="preserve"> y cosa </w:t>
      </w:r>
      <w:r w:rsidR="00072009" w:rsidRPr="005C1789">
        <w:rPr>
          <w:rFonts w:ascii="Verdana" w:hAnsi="Verdana"/>
          <w:i w:val="0"/>
          <w:iCs/>
          <w:sz w:val="20"/>
          <w:szCs w:val="20"/>
          <w:lang w:val="es-ES"/>
        </w:rPr>
        <w:t>juzgada</w:t>
      </w:r>
      <w:r w:rsidR="002862A2" w:rsidRPr="005C1789">
        <w:rPr>
          <w:rFonts w:ascii="Verdana" w:hAnsi="Verdana"/>
          <w:i w:val="0"/>
          <w:iCs/>
          <w:sz w:val="20"/>
          <w:szCs w:val="20"/>
          <w:lang w:val="es-ES"/>
        </w:rPr>
        <w:t xml:space="preserve"> internacional</w:t>
      </w:r>
      <w:r w:rsidR="00072009" w:rsidRPr="005C1789">
        <w:rPr>
          <w:rFonts w:ascii="Verdana" w:hAnsi="Verdana"/>
          <w:i w:val="0"/>
          <w:iCs/>
          <w:sz w:val="20"/>
          <w:szCs w:val="20"/>
          <w:lang w:val="es-ES"/>
        </w:rPr>
        <w:t>, y</w:t>
      </w:r>
      <w:r w:rsidR="00092E37" w:rsidRPr="005C1789">
        <w:rPr>
          <w:rFonts w:ascii="Verdana" w:hAnsi="Verdana"/>
          <w:i w:val="0"/>
          <w:iCs/>
          <w:sz w:val="20"/>
          <w:szCs w:val="20"/>
          <w:lang w:val="es-ES"/>
        </w:rPr>
        <w:t xml:space="preserve"> </w:t>
      </w:r>
      <w:r w:rsidR="004E5CE9" w:rsidRPr="005C1789">
        <w:rPr>
          <w:rFonts w:ascii="Verdana" w:hAnsi="Verdana"/>
          <w:i w:val="0"/>
          <w:iCs/>
          <w:sz w:val="20"/>
          <w:szCs w:val="20"/>
          <w:lang w:val="es-ES"/>
        </w:rPr>
        <w:t xml:space="preserve">sobre “ausencia de </w:t>
      </w:r>
      <w:r w:rsidR="004E5CE9" w:rsidRPr="005C1789">
        <w:rPr>
          <w:rFonts w:ascii="Verdana" w:hAnsi="Verdana"/>
          <w:sz w:val="20"/>
          <w:szCs w:val="20"/>
          <w:lang w:val="es-ES"/>
        </w:rPr>
        <w:t>litis</w:t>
      </w:r>
      <w:r w:rsidR="004E5CE9" w:rsidRPr="005C1789">
        <w:rPr>
          <w:rFonts w:ascii="Verdana" w:hAnsi="Verdana"/>
          <w:i w:val="0"/>
          <w:iCs/>
          <w:sz w:val="20"/>
          <w:szCs w:val="20"/>
          <w:lang w:val="es-ES"/>
        </w:rPr>
        <w:t>”</w:t>
      </w:r>
      <w:r w:rsidR="002862A2" w:rsidRPr="005C1789">
        <w:rPr>
          <w:rFonts w:ascii="Verdana" w:hAnsi="Verdana"/>
          <w:i w:val="0"/>
          <w:iCs/>
          <w:sz w:val="20"/>
          <w:szCs w:val="20"/>
          <w:lang w:val="es-ES"/>
        </w:rPr>
        <w:t>. Además,</w:t>
      </w:r>
      <w:r w:rsidR="00292D63" w:rsidRPr="005C1789">
        <w:rPr>
          <w:rFonts w:ascii="Verdana" w:hAnsi="Verdana"/>
          <w:i w:val="0"/>
          <w:iCs/>
          <w:sz w:val="20"/>
          <w:szCs w:val="20"/>
          <w:lang w:val="es-ES"/>
        </w:rPr>
        <w:t xml:space="preserve"> </w:t>
      </w:r>
      <w:r w:rsidR="00092E37" w:rsidRPr="005C1789">
        <w:rPr>
          <w:rFonts w:ascii="Verdana" w:hAnsi="Verdana"/>
          <w:i w:val="0"/>
          <w:iCs/>
          <w:sz w:val="20"/>
          <w:szCs w:val="20"/>
          <w:lang w:val="es-ES"/>
        </w:rPr>
        <w:t>reconoció parcialmente su responsabilidad.</w:t>
      </w:r>
    </w:p>
    <w:p w14:paraId="01EBC193" w14:textId="150D32C7" w:rsidR="00A23AD4" w:rsidRPr="005C1789" w:rsidRDefault="00A23AD4" w:rsidP="00955888">
      <w:pPr>
        <w:pStyle w:val="Estilo1"/>
        <w:numPr>
          <w:ilvl w:val="0"/>
          <w:numId w:val="2"/>
        </w:numPr>
        <w:tabs>
          <w:tab w:val="left" w:pos="0"/>
        </w:tabs>
        <w:spacing w:before="120"/>
        <w:ind w:left="0" w:right="-4" w:firstLine="0"/>
        <w:jc w:val="both"/>
        <w:rPr>
          <w:rFonts w:ascii="Verdana" w:hAnsi="Verdana"/>
          <w:sz w:val="20"/>
          <w:szCs w:val="20"/>
          <w:lang w:val="es-ES"/>
        </w:rPr>
      </w:pPr>
      <w:r w:rsidRPr="005C1789">
        <w:rPr>
          <w:rFonts w:ascii="Verdana" w:hAnsi="Verdana"/>
          <w:sz w:val="20"/>
          <w:szCs w:val="20"/>
          <w:lang w:val="es-ES"/>
        </w:rPr>
        <w:lastRenderedPageBreak/>
        <w:t xml:space="preserve">Amici </w:t>
      </w:r>
      <w:proofErr w:type="spellStart"/>
      <w:r w:rsidRPr="005C1789">
        <w:rPr>
          <w:rFonts w:ascii="Verdana" w:hAnsi="Verdana"/>
          <w:sz w:val="20"/>
          <w:szCs w:val="20"/>
          <w:lang w:val="es-ES"/>
        </w:rPr>
        <w:t>curiae</w:t>
      </w:r>
      <w:proofErr w:type="spellEnd"/>
      <w:r w:rsidRPr="005C1789">
        <w:rPr>
          <w:rFonts w:ascii="Verdana" w:hAnsi="Verdana"/>
          <w:sz w:val="20"/>
          <w:szCs w:val="20"/>
          <w:lang w:val="es-ES"/>
        </w:rPr>
        <w:t xml:space="preserve">. </w:t>
      </w:r>
      <w:r w:rsidRPr="005C1789">
        <w:rPr>
          <w:rFonts w:ascii="Verdana" w:hAnsi="Verdana"/>
          <w:i w:val="0"/>
          <w:iCs/>
          <w:sz w:val="20"/>
          <w:szCs w:val="20"/>
          <w:lang w:val="es-ES"/>
        </w:rPr>
        <w:t xml:space="preserve">– El Tribunal recibió </w:t>
      </w:r>
      <w:r w:rsidR="00C5612B" w:rsidRPr="005C1789">
        <w:rPr>
          <w:rFonts w:ascii="Verdana" w:hAnsi="Verdana"/>
          <w:i w:val="0"/>
          <w:iCs/>
          <w:sz w:val="20"/>
          <w:szCs w:val="20"/>
          <w:lang w:val="es-ES"/>
        </w:rPr>
        <w:t>ocho</w:t>
      </w:r>
      <w:r w:rsidRPr="005C1789">
        <w:rPr>
          <w:rFonts w:ascii="Verdana" w:hAnsi="Verdana"/>
          <w:i w:val="0"/>
          <w:iCs/>
          <w:sz w:val="20"/>
          <w:szCs w:val="20"/>
          <w:lang w:val="es-ES"/>
        </w:rPr>
        <w:t xml:space="preserve"> escritos en calidad de </w:t>
      </w:r>
      <w:proofErr w:type="spellStart"/>
      <w:r w:rsidRPr="005C1789">
        <w:rPr>
          <w:rFonts w:ascii="Verdana" w:hAnsi="Verdana"/>
          <w:sz w:val="20"/>
          <w:szCs w:val="20"/>
          <w:lang w:val="es-ES"/>
        </w:rPr>
        <w:t>amicus</w:t>
      </w:r>
      <w:proofErr w:type="spellEnd"/>
      <w:r w:rsidRPr="005C1789">
        <w:rPr>
          <w:rFonts w:ascii="Verdana" w:hAnsi="Verdana"/>
          <w:sz w:val="20"/>
          <w:szCs w:val="20"/>
          <w:lang w:val="es-ES"/>
        </w:rPr>
        <w:t xml:space="preserve"> </w:t>
      </w:r>
      <w:proofErr w:type="spellStart"/>
      <w:r w:rsidRPr="005C1789">
        <w:rPr>
          <w:rFonts w:ascii="Verdana" w:hAnsi="Verdana"/>
          <w:sz w:val="20"/>
          <w:szCs w:val="20"/>
          <w:lang w:val="es-ES"/>
        </w:rPr>
        <w:t>curiae</w:t>
      </w:r>
      <w:proofErr w:type="spellEnd"/>
      <w:r w:rsidRPr="005C1789">
        <w:rPr>
          <w:rFonts w:ascii="Verdana" w:hAnsi="Verdana"/>
          <w:i w:val="0"/>
          <w:iCs/>
          <w:sz w:val="20"/>
          <w:szCs w:val="20"/>
          <w:lang w:val="es-ES"/>
        </w:rPr>
        <w:t xml:space="preserve"> presentados por: 1) </w:t>
      </w:r>
      <w:r w:rsidR="00042FD0" w:rsidRPr="005C1789">
        <w:rPr>
          <w:rFonts w:ascii="Verdana" w:hAnsi="Verdana"/>
          <w:i w:val="0"/>
          <w:iCs/>
          <w:sz w:val="20"/>
          <w:szCs w:val="20"/>
          <w:lang w:val="es-ES"/>
        </w:rPr>
        <w:t>la Clínica Jurídica de Derechos Humanos del Instituto de Altos Estudios Universitarios U-IIRESODH</w:t>
      </w:r>
      <w:r w:rsidRPr="005C1789">
        <w:rPr>
          <w:rStyle w:val="Refdenotaalpie"/>
          <w:rFonts w:ascii="Verdana" w:hAnsi="Verdana"/>
          <w:i w:val="0"/>
          <w:iCs/>
          <w:sz w:val="20"/>
          <w:lang w:val="es-ES"/>
        </w:rPr>
        <w:footnoteReference w:id="7"/>
      </w:r>
      <w:r w:rsidRPr="005C1789">
        <w:rPr>
          <w:rFonts w:ascii="Verdana" w:hAnsi="Verdana"/>
          <w:i w:val="0"/>
          <w:iCs/>
          <w:sz w:val="20"/>
          <w:szCs w:val="20"/>
          <w:lang w:val="es-ES"/>
        </w:rPr>
        <w:t xml:space="preserve">; 2) </w:t>
      </w:r>
      <w:r w:rsidR="00042FD0" w:rsidRPr="005C1789">
        <w:rPr>
          <w:rFonts w:ascii="Verdana" w:hAnsi="Verdana"/>
          <w:i w:val="0"/>
          <w:iCs/>
          <w:sz w:val="20"/>
          <w:szCs w:val="20"/>
          <w:lang w:val="es-ES"/>
        </w:rPr>
        <w:t>la Comisión de Derechos Humanos de la Ciudad de México</w:t>
      </w:r>
      <w:r w:rsidRPr="005C1789">
        <w:rPr>
          <w:rStyle w:val="Refdenotaalpie"/>
          <w:rFonts w:ascii="Verdana" w:hAnsi="Verdana"/>
          <w:i w:val="0"/>
          <w:iCs/>
          <w:sz w:val="20"/>
          <w:lang w:val="es-ES"/>
        </w:rPr>
        <w:footnoteReference w:id="8"/>
      </w:r>
      <w:r w:rsidRPr="005C1789">
        <w:rPr>
          <w:rFonts w:ascii="Verdana" w:hAnsi="Verdana"/>
          <w:i w:val="0"/>
          <w:iCs/>
          <w:sz w:val="20"/>
          <w:szCs w:val="20"/>
          <w:lang w:val="es-ES"/>
        </w:rPr>
        <w:t xml:space="preserve">; 3) </w:t>
      </w:r>
      <w:r w:rsidR="00042FD0" w:rsidRPr="005C1789">
        <w:rPr>
          <w:rFonts w:ascii="Verdana" w:hAnsi="Verdana"/>
          <w:i w:val="0"/>
          <w:iCs/>
          <w:sz w:val="20"/>
          <w:szCs w:val="20"/>
          <w:lang w:val="es-ES"/>
        </w:rPr>
        <w:t>Antonio Salcedo Flores</w:t>
      </w:r>
      <w:r w:rsidRPr="005C1789">
        <w:rPr>
          <w:rStyle w:val="Refdenotaalpie"/>
          <w:rFonts w:ascii="Verdana" w:hAnsi="Verdana"/>
          <w:i w:val="0"/>
          <w:iCs/>
          <w:sz w:val="20"/>
          <w:lang w:val="es-ES"/>
        </w:rPr>
        <w:footnoteReference w:id="9"/>
      </w:r>
      <w:r w:rsidRPr="005C1789">
        <w:rPr>
          <w:rFonts w:ascii="Verdana" w:hAnsi="Verdana"/>
          <w:i w:val="0"/>
          <w:iCs/>
          <w:sz w:val="20"/>
          <w:szCs w:val="20"/>
          <w:lang w:val="es-ES"/>
        </w:rPr>
        <w:t>; 4)</w:t>
      </w:r>
      <w:r w:rsidR="0007484B" w:rsidRPr="005C1789">
        <w:rPr>
          <w:rFonts w:ascii="Verdana" w:hAnsi="Verdana"/>
          <w:i w:val="0"/>
          <w:iCs/>
          <w:sz w:val="20"/>
          <w:szCs w:val="20"/>
          <w:lang w:val="es-ES"/>
        </w:rPr>
        <w:t xml:space="preserve"> la Clínica de Defensa Penal de la Universidad Iberoamericana</w:t>
      </w:r>
      <w:r w:rsidRPr="005C1789">
        <w:rPr>
          <w:rStyle w:val="Refdenotaalpie"/>
          <w:rFonts w:ascii="Verdana" w:hAnsi="Verdana"/>
          <w:i w:val="0"/>
          <w:iCs/>
          <w:sz w:val="20"/>
          <w:lang w:val="es-ES"/>
        </w:rPr>
        <w:footnoteReference w:id="10"/>
      </w:r>
      <w:r w:rsidRPr="005C1789">
        <w:rPr>
          <w:rFonts w:ascii="Verdana" w:hAnsi="Verdana"/>
          <w:i w:val="0"/>
          <w:iCs/>
          <w:sz w:val="20"/>
          <w:szCs w:val="20"/>
          <w:lang w:val="es-ES"/>
        </w:rPr>
        <w:t xml:space="preserve">; 5) </w:t>
      </w:r>
      <w:r w:rsidR="00042FD0" w:rsidRPr="005C1789">
        <w:rPr>
          <w:rFonts w:ascii="Verdana" w:hAnsi="Verdana"/>
          <w:i w:val="0"/>
          <w:iCs/>
          <w:sz w:val="20"/>
          <w:szCs w:val="20"/>
          <w:lang w:val="es-ES"/>
        </w:rPr>
        <w:t>el Seminario Permanente de Derechos Humanos de la Facultad de Estudios Superiores Acatlán de la Universidad Nacional Autónoma de México</w:t>
      </w:r>
      <w:r w:rsidRPr="005C1789">
        <w:rPr>
          <w:rStyle w:val="Refdenotaalpie"/>
          <w:rFonts w:ascii="Verdana" w:hAnsi="Verdana"/>
          <w:i w:val="0"/>
          <w:iCs/>
          <w:sz w:val="20"/>
          <w:lang w:val="es-ES"/>
        </w:rPr>
        <w:footnoteReference w:id="11"/>
      </w:r>
      <w:r w:rsidRPr="005C1789">
        <w:rPr>
          <w:rFonts w:ascii="Verdana" w:hAnsi="Verdana"/>
          <w:i w:val="0"/>
          <w:iCs/>
          <w:sz w:val="20"/>
          <w:szCs w:val="20"/>
          <w:lang w:val="es-ES"/>
        </w:rPr>
        <w:t xml:space="preserve">; 6) </w:t>
      </w:r>
      <w:r w:rsidR="00C5612B" w:rsidRPr="005C1789">
        <w:rPr>
          <w:rFonts w:ascii="Verdana" w:hAnsi="Verdana"/>
          <w:i w:val="0"/>
          <w:iCs/>
          <w:sz w:val="20"/>
          <w:szCs w:val="20"/>
          <w:lang w:val="es-ES"/>
        </w:rPr>
        <w:t>las organizaciones “Otro tiempo México” y el “Centro Latinoamericano para la paz, la cooperación y el desarrollo”</w:t>
      </w:r>
      <w:r w:rsidRPr="005C1789">
        <w:rPr>
          <w:rStyle w:val="Refdenotaalpie"/>
          <w:rFonts w:ascii="Verdana" w:hAnsi="Verdana"/>
          <w:i w:val="0"/>
          <w:iCs/>
          <w:sz w:val="20"/>
          <w:lang w:val="es-ES"/>
        </w:rPr>
        <w:footnoteReference w:id="12"/>
      </w:r>
      <w:r w:rsidR="00C5612B" w:rsidRPr="005C1789">
        <w:rPr>
          <w:rFonts w:ascii="Verdana" w:hAnsi="Verdana"/>
          <w:i w:val="0"/>
          <w:iCs/>
          <w:sz w:val="20"/>
          <w:szCs w:val="20"/>
          <w:lang w:val="es-ES"/>
        </w:rPr>
        <w:t>, y</w:t>
      </w:r>
      <w:r w:rsidRPr="005C1789">
        <w:rPr>
          <w:rFonts w:ascii="Verdana" w:hAnsi="Verdana"/>
          <w:i w:val="0"/>
          <w:iCs/>
          <w:sz w:val="20"/>
          <w:szCs w:val="20"/>
          <w:lang w:val="es-ES"/>
        </w:rPr>
        <w:t xml:space="preserve"> 8) </w:t>
      </w:r>
      <w:r w:rsidR="00C5612B" w:rsidRPr="005C1789">
        <w:rPr>
          <w:rFonts w:ascii="Verdana" w:hAnsi="Verdana"/>
          <w:i w:val="0"/>
          <w:iCs/>
          <w:sz w:val="20"/>
          <w:szCs w:val="20"/>
          <w:lang w:val="es-ES"/>
        </w:rPr>
        <w:t>Roberto Borges Zurita</w:t>
      </w:r>
      <w:r w:rsidRPr="005C1789">
        <w:rPr>
          <w:rStyle w:val="Refdenotaalpie"/>
          <w:rFonts w:ascii="Verdana" w:hAnsi="Verdana"/>
          <w:i w:val="0"/>
          <w:iCs/>
          <w:sz w:val="20"/>
          <w:lang w:val="es-ES"/>
        </w:rPr>
        <w:footnoteReference w:id="13"/>
      </w:r>
      <w:r w:rsidRPr="005C1789">
        <w:rPr>
          <w:rFonts w:ascii="Verdana" w:hAnsi="Verdana"/>
          <w:i w:val="0"/>
          <w:iCs/>
          <w:sz w:val="20"/>
          <w:szCs w:val="20"/>
          <w:lang w:val="es-ES"/>
        </w:rPr>
        <w:t xml:space="preserve">. </w:t>
      </w:r>
    </w:p>
    <w:p w14:paraId="2E4D1569" w14:textId="7AB89597" w:rsidR="00A23AD4" w:rsidRPr="005C1789" w:rsidRDefault="00A23AD4" w:rsidP="00955888">
      <w:pPr>
        <w:pStyle w:val="Estilo1"/>
        <w:numPr>
          <w:ilvl w:val="0"/>
          <w:numId w:val="2"/>
        </w:numPr>
        <w:tabs>
          <w:tab w:val="left" w:pos="0"/>
        </w:tabs>
        <w:spacing w:before="120"/>
        <w:ind w:left="0" w:right="-4" w:firstLine="0"/>
        <w:jc w:val="both"/>
        <w:rPr>
          <w:rFonts w:ascii="Verdana" w:hAnsi="Verdana"/>
          <w:i w:val="0"/>
          <w:iCs/>
          <w:sz w:val="20"/>
          <w:szCs w:val="20"/>
          <w:lang w:val="es-ES"/>
        </w:rPr>
      </w:pPr>
      <w:r w:rsidRPr="005C1789">
        <w:rPr>
          <w:rFonts w:ascii="Verdana" w:hAnsi="Verdana"/>
          <w:sz w:val="20"/>
          <w:szCs w:val="20"/>
          <w:lang w:val="es-ES"/>
        </w:rPr>
        <w:t>Alegatos</w:t>
      </w:r>
      <w:r w:rsidRPr="005C1789">
        <w:rPr>
          <w:rFonts w:ascii="Verdana" w:hAnsi="Verdana"/>
          <w:spacing w:val="-18"/>
          <w:sz w:val="20"/>
          <w:szCs w:val="20"/>
          <w:lang w:val="es-ES"/>
        </w:rPr>
        <w:t xml:space="preserve"> </w:t>
      </w:r>
      <w:r w:rsidRPr="005C1789">
        <w:rPr>
          <w:rFonts w:ascii="Verdana" w:hAnsi="Verdana"/>
          <w:sz w:val="20"/>
          <w:szCs w:val="20"/>
          <w:lang w:val="es-ES"/>
        </w:rPr>
        <w:t>y</w:t>
      </w:r>
      <w:r w:rsidRPr="005C1789">
        <w:rPr>
          <w:rFonts w:ascii="Verdana" w:hAnsi="Verdana"/>
          <w:spacing w:val="-17"/>
          <w:sz w:val="20"/>
          <w:szCs w:val="20"/>
          <w:lang w:val="es-ES"/>
        </w:rPr>
        <w:t xml:space="preserve"> </w:t>
      </w:r>
      <w:r w:rsidRPr="005C1789">
        <w:rPr>
          <w:rFonts w:ascii="Verdana" w:hAnsi="Verdana"/>
          <w:sz w:val="20"/>
          <w:szCs w:val="20"/>
          <w:lang w:val="es-ES"/>
        </w:rPr>
        <w:t>observaciones</w:t>
      </w:r>
      <w:r w:rsidRPr="005C1789">
        <w:rPr>
          <w:rFonts w:ascii="Verdana" w:hAnsi="Verdana"/>
          <w:spacing w:val="-17"/>
          <w:sz w:val="20"/>
          <w:szCs w:val="20"/>
          <w:lang w:val="es-ES"/>
        </w:rPr>
        <w:t xml:space="preserve"> </w:t>
      </w:r>
      <w:r w:rsidRPr="005C1789">
        <w:rPr>
          <w:rFonts w:ascii="Verdana" w:hAnsi="Verdana"/>
          <w:sz w:val="20"/>
          <w:szCs w:val="20"/>
          <w:lang w:val="es-ES"/>
        </w:rPr>
        <w:t>finales</w:t>
      </w:r>
      <w:r w:rsidRPr="005C1789">
        <w:rPr>
          <w:rFonts w:ascii="Verdana" w:hAnsi="Verdana"/>
          <w:spacing w:val="-18"/>
          <w:sz w:val="20"/>
          <w:szCs w:val="20"/>
          <w:lang w:val="es-ES"/>
        </w:rPr>
        <w:t xml:space="preserve"> </w:t>
      </w:r>
      <w:r w:rsidRPr="005C1789">
        <w:rPr>
          <w:rFonts w:ascii="Verdana" w:hAnsi="Verdana"/>
          <w:sz w:val="20"/>
          <w:szCs w:val="20"/>
          <w:lang w:val="es-ES"/>
        </w:rPr>
        <w:t>escrit</w:t>
      </w:r>
      <w:r w:rsidR="009D4363" w:rsidRPr="005C1789">
        <w:rPr>
          <w:rFonts w:ascii="Verdana" w:hAnsi="Verdana"/>
          <w:sz w:val="20"/>
          <w:szCs w:val="20"/>
          <w:lang w:val="es-ES"/>
        </w:rPr>
        <w:t>as</w:t>
      </w:r>
      <w:r w:rsidRPr="005C1789">
        <w:rPr>
          <w:rFonts w:ascii="Verdana" w:hAnsi="Verdana"/>
          <w:i w:val="0"/>
          <w:iCs/>
          <w:sz w:val="20"/>
          <w:szCs w:val="20"/>
          <w:lang w:val="es-ES"/>
        </w:rPr>
        <w:t>.</w:t>
      </w:r>
      <w:r w:rsidRPr="005C1789">
        <w:rPr>
          <w:rFonts w:ascii="Verdana" w:hAnsi="Verdana"/>
          <w:i w:val="0"/>
          <w:iCs/>
          <w:spacing w:val="-17"/>
          <w:sz w:val="20"/>
          <w:szCs w:val="20"/>
          <w:lang w:val="es-ES"/>
        </w:rPr>
        <w:t xml:space="preserve"> </w:t>
      </w:r>
      <w:r w:rsidRPr="005C1789">
        <w:rPr>
          <w:rFonts w:ascii="Verdana" w:hAnsi="Verdana"/>
          <w:i w:val="0"/>
          <w:iCs/>
          <w:sz w:val="20"/>
          <w:szCs w:val="20"/>
          <w:lang w:val="es-ES"/>
        </w:rPr>
        <w:t>–</w:t>
      </w:r>
      <w:r w:rsidRPr="005C1789">
        <w:rPr>
          <w:rFonts w:ascii="Verdana" w:hAnsi="Verdana"/>
          <w:i w:val="0"/>
          <w:iCs/>
          <w:spacing w:val="-17"/>
          <w:sz w:val="20"/>
          <w:szCs w:val="20"/>
          <w:lang w:val="es-ES"/>
        </w:rPr>
        <w:t xml:space="preserve"> </w:t>
      </w:r>
      <w:r w:rsidRPr="005C1789">
        <w:rPr>
          <w:rFonts w:ascii="Verdana" w:hAnsi="Verdana"/>
          <w:i w:val="0"/>
          <w:iCs/>
          <w:sz w:val="20"/>
          <w:szCs w:val="20"/>
          <w:lang w:val="es-ES"/>
        </w:rPr>
        <w:t>El</w:t>
      </w:r>
      <w:r w:rsidRPr="005C1789">
        <w:rPr>
          <w:rFonts w:ascii="Verdana" w:hAnsi="Verdana"/>
          <w:i w:val="0"/>
          <w:iCs/>
          <w:spacing w:val="-16"/>
          <w:sz w:val="20"/>
          <w:szCs w:val="20"/>
          <w:lang w:val="es-ES"/>
        </w:rPr>
        <w:t xml:space="preserve"> </w:t>
      </w:r>
      <w:r w:rsidR="006A1A08" w:rsidRPr="005C1789">
        <w:rPr>
          <w:rFonts w:ascii="Verdana" w:hAnsi="Verdana"/>
          <w:i w:val="0"/>
          <w:iCs/>
          <w:sz w:val="20"/>
          <w:szCs w:val="20"/>
          <w:lang w:val="es-ES"/>
        </w:rPr>
        <w:t>26</w:t>
      </w:r>
      <w:r w:rsidRPr="005C1789">
        <w:rPr>
          <w:rFonts w:ascii="Verdana" w:hAnsi="Verdana"/>
          <w:i w:val="0"/>
          <w:iCs/>
          <w:spacing w:val="-19"/>
          <w:sz w:val="20"/>
          <w:szCs w:val="20"/>
          <w:lang w:val="es-ES"/>
        </w:rPr>
        <w:t xml:space="preserve"> </w:t>
      </w:r>
      <w:r w:rsidRPr="005C1789">
        <w:rPr>
          <w:rFonts w:ascii="Verdana" w:hAnsi="Verdana"/>
          <w:i w:val="0"/>
          <w:iCs/>
          <w:sz w:val="20"/>
          <w:szCs w:val="20"/>
          <w:lang w:val="es-ES"/>
        </w:rPr>
        <w:t>de</w:t>
      </w:r>
      <w:r w:rsidRPr="005C1789">
        <w:rPr>
          <w:rFonts w:ascii="Verdana" w:hAnsi="Verdana"/>
          <w:i w:val="0"/>
          <w:iCs/>
          <w:spacing w:val="-18"/>
          <w:sz w:val="20"/>
          <w:szCs w:val="20"/>
          <w:lang w:val="es-ES"/>
        </w:rPr>
        <w:t xml:space="preserve"> </w:t>
      </w:r>
      <w:r w:rsidR="00092E37" w:rsidRPr="005C1789">
        <w:rPr>
          <w:rFonts w:ascii="Verdana" w:hAnsi="Verdana"/>
          <w:i w:val="0"/>
          <w:iCs/>
          <w:sz w:val="20"/>
          <w:szCs w:val="20"/>
          <w:lang w:val="es-ES"/>
        </w:rPr>
        <w:t>julio</w:t>
      </w:r>
      <w:r w:rsidRPr="005C1789">
        <w:rPr>
          <w:rFonts w:ascii="Verdana" w:hAnsi="Verdana"/>
          <w:i w:val="0"/>
          <w:iCs/>
          <w:spacing w:val="-20"/>
          <w:sz w:val="20"/>
          <w:szCs w:val="20"/>
          <w:lang w:val="es-ES"/>
        </w:rPr>
        <w:t xml:space="preserve"> </w:t>
      </w:r>
      <w:r w:rsidRPr="005C1789">
        <w:rPr>
          <w:rFonts w:ascii="Verdana" w:hAnsi="Verdana"/>
          <w:i w:val="0"/>
          <w:iCs/>
          <w:sz w:val="20"/>
          <w:szCs w:val="20"/>
          <w:lang w:val="es-ES"/>
        </w:rPr>
        <w:t>de</w:t>
      </w:r>
      <w:r w:rsidRPr="005C1789">
        <w:rPr>
          <w:rFonts w:ascii="Verdana" w:hAnsi="Verdana"/>
          <w:i w:val="0"/>
          <w:iCs/>
          <w:spacing w:val="-19"/>
          <w:sz w:val="20"/>
          <w:szCs w:val="20"/>
          <w:lang w:val="es-ES"/>
        </w:rPr>
        <w:t xml:space="preserve"> </w:t>
      </w:r>
      <w:r w:rsidR="00092E37" w:rsidRPr="005C1789">
        <w:rPr>
          <w:rFonts w:ascii="Verdana" w:hAnsi="Verdana"/>
          <w:i w:val="0"/>
          <w:iCs/>
          <w:sz w:val="20"/>
          <w:szCs w:val="20"/>
          <w:lang w:val="es-ES"/>
        </w:rPr>
        <w:t>2022</w:t>
      </w:r>
      <w:r w:rsidRPr="005C1789">
        <w:rPr>
          <w:rFonts w:ascii="Verdana" w:hAnsi="Verdana"/>
          <w:i w:val="0"/>
          <w:iCs/>
          <w:spacing w:val="-16"/>
          <w:sz w:val="20"/>
          <w:szCs w:val="20"/>
          <w:lang w:val="es-ES"/>
        </w:rPr>
        <w:t xml:space="preserve"> </w:t>
      </w:r>
      <w:r w:rsidRPr="005C1789">
        <w:rPr>
          <w:rFonts w:ascii="Verdana" w:hAnsi="Verdana"/>
          <w:i w:val="0"/>
          <w:iCs/>
          <w:sz w:val="20"/>
          <w:szCs w:val="20"/>
          <w:lang w:val="es-ES"/>
        </w:rPr>
        <w:t>la</w:t>
      </w:r>
      <w:r w:rsidRPr="005C1789">
        <w:rPr>
          <w:rFonts w:ascii="Verdana" w:hAnsi="Verdana"/>
          <w:i w:val="0"/>
          <w:iCs/>
          <w:spacing w:val="-16"/>
          <w:sz w:val="20"/>
          <w:szCs w:val="20"/>
          <w:lang w:val="es-ES"/>
        </w:rPr>
        <w:t xml:space="preserve"> </w:t>
      </w:r>
      <w:r w:rsidRPr="005C1789">
        <w:rPr>
          <w:rFonts w:ascii="Verdana" w:hAnsi="Verdana"/>
          <w:i w:val="0"/>
          <w:iCs/>
          <w:sz w:val="20"/>
          <w:szCs w:val="20"/>
          <w:lang w:val="es-ES"/>
        </w:rPr>
        <w:t>Comisión</w:t>
      </w:r>
      <w:r w:rsidRPr="005C1789">
        <w:rPr>
          <w:rFonts w:ascii="Verdana" w:hAnsi="Verdana"/>
          <w:i w:val="0"/>
          <w:iCs/>
          <w:spacing w:val="-17"/>
          <w:sz w:val="20"/>
          <w:szCs w:val="20"/>
          <w:lang w:val="es-ES"/>
        </w:rPr>
        <w:t xml:space="preserve"> </w:t>
      </w:r>
      <w:r w:rsidRPr="005C1789">
        <w:rPr>
          <w:rFonts w:ascii="Verdana" w:hAnsi="Verdana"/>
          <w:i w:val="0"/>
          <w:iCs/>
          <w:sz w:val="20"/>
          <w:szCs w:val="20"/>
          <w:lang w:val="es-ES"/>
        </w:rPr>
        <w:t>presentó sus observaciones finales escritas, y el Estado y los representantes remitieron sus</w:t>
      </w:r>
      <w:r w:rsidRPr="005C1789">
        <w:rPr>
          <w:rFonts w:ascii="Verdana" w:hAnsi="Verdana"/>
          <w:i w:val="0"/>
          <w:iCs/>
          <w:spacing w:val="-40"/>
          <w:sz w:val="20"/>
          <w:szCs w:val="20"/>
          <w:lang w:val="es-ES"/>
        </w:rPr>
        <w:t xml:space="preserve"> </w:t>
      </w:r>
      <w:r w:rsidRPr="005C1789">
        <w:rPr>
          <w:rFonts w:ascii="Verdana" w:hAnsi="Verdana"/>
          <w:i w:val="0"/>
          <w:iCs/>
          <w:sz w:val="20"/>
          <w:szCs w:val="20"/>
          <w:lang w:val="es-ES"/>
        </w:rPr>
        <w:t>respectivos alegatos finales</w:t>
      </w:r>
      <w:r w:rsidRPr="005C1789">
        <w:rPr>
          <w:rFonts w:ascii="Verdana" w:hAnsi="Verdana"/>
          <w:i w:val="0"/>
          <w:iCs/>
          <w:spacing w:val="-5"/>
          <w:sz w:val="20"/>
          <w:szCs w:val="20"/>
          <w:lang w:val="es-ES"/>
        </w:rPr>
        <w:t xml:space="preserve"> </w:t>
      </w:r>
      <w:r w:rsidRPr="005C1789">
        <w:rPr>
          <w:rFonts w:ascii="Verdana" w:hAnsi="Verdana"/>
          <w:i w:val="0"/>
          <w:iCs/>
          <w:sz w:val="20"/>
          <w:szCs w:val="20"/>
          <w:lang w:val="es-ES"/>
        </w:rPr>
        <w:t>escritos.</w:t>
      </w:r>
      <w:r w:rsidR="009E2717" w:rsidRPr="005C1789">
        <w:rPr>
          <w:rFonts w:ascii="Verdana" w:hAnsi="Verdana"/>
          <w:sz w:val="20"/>
          <w:szCs w:val="20"/>
          <w:lang w:val="es-ES"/>
        </w:rPr>
        <w:t xml:space="preserve"> </w:t>
      </w:r>
      <w:r w:rsidR="009E2717" w:rsidRPr="005C1789">
        <w:rPr>
          <w:rFonts w:ascii="Verdana" w:hAnsi="Verdana"/>
          <w:i w:val="0"/>
          <w:iCs/>
          <w:sz w:val="20"/>
          <w:szCs w:val="20"/>
          <w:lang w:val="es-ES"/>
        </w:rPr>
        <w:t xml:space="preserve">El </w:t>
      </w:r>
      <w:r w:rsidR="002E5DDE" w:rsidRPr="005C1789">
        <w:rPr>
          <w:rFonts w:ascii="Verdana" w:hAnsi="Verdana"/>
          <w:i w:val="0"/>
          <w:iCs/>
          <w:sz w:val="20"/>
          <w:szCs w:val="20"/>
          <w:lang w:val="es-ES"/>
        </w:rPr>
        <w:t>4</w:t>
      </w:r>
      <w:r w:rsidR="00846975" w:rsidRPr="005C1789">
        <w:rPr>
          <w:rFonts w:ascii="Verdana" w:hAnsi="Verdana"/>
          <w:i w:val="0"/>
          <w:iCs/>
          <w:sz w:val="20"/>
          <w:szCs w:val="20"/>
          <w:lang w:val="es-ES"/>
        </w:rPr>
        <w:t xml:space="preserve"> </w:t>
      </w:r>
      <w:r w:rsidR="009E2717" w:rsidRPr="005C1789">
        <w:rPr>
          <w:rFonts w:ascii="Verdana" w:hAnsi="Verdana"/>
          <w:i w:val="0"/>
          <w:iCs/>
          <w:sz w:val="20"/>
          <w:szCs w:val="20"/>
          <w:lang w:val="es-ES"/>
        </w:rPr>
        <w:t xml:space="preserve">de </w:t>
      </w:r>
      <w:r w:rsidR="00136181" w:rsidRPr="005C1789">
        <w:rPr>
          <w:rFonts w:ascii="Verdana" w:hAnsi="Verdana"/>
          <w:i w:val="0"/>
          <w:iCs/>
          <w:sz w:val="20"/>
          <w:szCs w:val="20"/>
          <w:lang w:val="es-ES"/>
        </w:rPr>
        <w:t>agosto</w:t>
      </w:r>
      <w:r w:rsidR="009E2717" w:rsidRPr="005C1789">
        <w:rPr>
          <w:rFonts w:ascii="Verdana" w:hAnsi="Verdana"/>
          <w:i w:val="0"/>
          <w:iCs/>
          <w:sz w:val="20"/>
          <w:szCs w:val="20"/>
          <w:lang w:val="es-ES"/>
        </w:rPr>
        <w:t xml:space="preserve"> de </w:t>
      </w:r>
      <w:r w:rsidR="00C5612B" w:rsidRPr="005C1789">
        <w:rPr>
          <w:rFonts w:ascii="Verdana" w:hAnsi="Verdana"/>
          <w:i w:val="0"/>
          <w:iCs/>
          <w:sz w:val="20"/>
          <w:szCs w:val="20"/>
          <w:lang w:val="es-ES"/>
        </w:rPr>
        <w:t>2022</w:t>
      </w:r>
      <w:r w:rsidR="009E2717" w:rsidRPr="005C1789">
        <w:rPr>
          <w:rFonts w:ascii="Verdana" w:hAnsi="Verdana"/>
          <w:i w:val="0"/>
          <w:iCs/>
          <w:sz w:val="20"/>
          <w:szCs w:val="20"/>
          <w:lang w:val="es-ES"/>
        </w:rPr>
        <w:t xml:space="preserve"> el Estado </w:t>
      </w:r>
      <w:r w:rsidR="00632A23" w:rsidRPr="005C1789">
        <w:rPr>
          <w:rFonts w:ascii="Verdana" w:hAnsi="Verdana"/>
          <w:i w:val="0"/>
          <w:iCs/>
          <w:sz w:val="20"/>
          <w:szCs w:val="20"/>
          <w:lang w:val="es-ES"/>
        </w:rPr>
        <w:t>remitió</w:t>
      </w:r>
      <w:r w:rsidR="00BB26F0" w:rsidRPr="005C1789">
        <w:rPr>
          <w:rFonts w:ascii="Verdana" w:hAnsi="Verdana"/>
          <w:i w:val="0"/>
          <w:iCs/>
          <w:sz w:val="20"/>
          <w:szCs w:val="20"/>
          <w:lang w:val="es-ES"/>
        </w:rPr>
        <w:t xml:space="preserve"> </w:t>
      </w:r>
      <w:r w:rsidR="009E2717" w:rsidRPr="005C1789">
        <w:rPr>
          <w:rFonts w:ascii="Verdana" w:hAnsi="Verdana"/>
          <w:i w:val="0"/>
          <w:iCs/>
          <w:sz w:val="20"/>
          <w:szCs w:val="20"/>
          <w:lang w:val="es-ES"/>
        </w:rPr>
        <w:t xml:space="preserve">sus observaciones a los anexos presentados en </w:t>
      </w:r>
      <w:r w:rsidR="00E73148">
        <w:rPr>
          <w:rFonts w:ascii="Verdana" w:hAnsi="Verdana"/>
          <w:i w:val="0"/>
          <w:iCs/>
          <w:sz w:val="20"/>
          <w:szCs w:val="20"/>
          <w:lang w:val="es-ES"/>
        </w:rPr>
        <w:t>los</w:t>
      </w:r>
      <w:r w:rsidR="00E73148" w:rsidRPr="005C1789">
        <w:rPr>
          <w:rFonts w:ascii="Verdana" w:hAnsi="Verdana"/>
          <w:i w:val="0"/>
          <w:iCs/>
          <w:sz w:val="20"/>
          <w:szCs w:val="20"/>
          <w:lang w:val="es-ES"/>
        </w:rPr>
        <w:t xml:space="preserve"> </w:t>
      </w:r>
      <w:r w:rsidR="009E2717" w:rsidRPr="005C1789">
        <w:rPr>
          <w:rFonts w:ascii="Verdana" w:hAnsi="Verdana"/>
          <w:i w:val="0"/>
          <w:iCs/>
          <w:sz w:val="20"/>
          <w:szCs w:val="20"/>
          <w:lang w:val="es-ES"/>
        </w:rPr>
        <w:t>alegatos finales escritos</w:t>
      </w:r>
      <w:r w:rsidR="006018E2" w:rsidRPr="005C1789">
        <w:rPr>
          <w:rFonts w:ascii="Verdana" w:hAnsi="Verdana"/>
          <w:i w:val="0"/>
          <w:iCs/>
          <w:sz w:val="20"/>
          <w:szCs w:val="20"/>
          <w:lang w:val="es-ES"/>
        </w:rPr>
        <w:t xml:space="preserve"> </w:t>
      </w:r>
      <w:r w:rsidR="00E73148">
        <w:rPr>
          <w:rFonts w:ascii="Verdana" w:hAnsi="Verdana"/>
          <w:i w:val="0"/>
          <w:iCs/>
          <w:sz w:val="20"/>
          <w:szCs w:val="20"/>
          <w:lang w:val="es-ES"/>
        </w:rPr>
        <w:t>de</w:t>
      </w:r>
      <w:r w:rsidR="00E73148" w:rsidRPr="005C1789">
        <w:rPr>
          <w:rFonts w:ascii="Verdana" w:hAnsi="Verdana"/>
          <w:i w:val="0"/>
          <w:iCs/>
          <w:sz w:val="20"/>
          <w:szCs w:val="20"/>
          <w:lang w:val="es-ES"/>
        </w:rPr>
        <w:t xml:space="preserve"> </w:t>
      </w:r>
      <w:r w:rsidR="00CB546C" w:rsidRPr="005C1789">
        <w:rPr>
          <w:rFonts w:ascii="Verdana" w:hAnsi="Verdana"/>
          <w:i w:val="0"/>
          <w:iCs/>
          <w:sz w:val="20"/>
          <w:szCs w:val="20"/>
          <w:lang w:val="es-ES"/>
        </w:rPr>
        <w:t>los representantes</w:t>
      </w:r>
      <w:r w:rsidR="009E2717" w:rsidRPr="005C1789">
        <w:rPr>
          <w:rFonts w:ascii="Verdana" w:hAnsi="Verdana"/>
          <w:i w:val="0"/>
          <w:iCs/>
          <w:sz w:val="20"/>
          <w:szCs w:val="20"/>
          <w:lang w:val="es-ES"/>
        </w:rPr>
        <w:t>.</w:t>
      </w:r>
    </w:p>
    <w:p w14:paraId="685E8BB3" w14:textId="006822C5" w:rsidR="00A23AD4" w:rsidRPr="005C1789" w:rsidRDefault="00A23AD4" w:rsidP="00955888">
      <w:pPr>
        <w:pStyle w:val="Estilo1"/>
        <w:numPr>
          <w:ilvl w:val="0"/>
          <w:numId w:val="2"/>
        </w:numPr>
        <w:tabs>
          <w:tab w:val="left" w:pos="0"/>
        </w:tabs>
        <w:spacing w:before="120"/>
        <w:ind w:left="0" w:right="-4" w:firstLine="0"/>
        <w:jc w:val="both"/>
        <w:rPr>
          <w:rFonts w:ascii="Verdana" w:hAnsi="Verdana"/>
          <w:sz w:val="20"/>
          <w:szCs w:val="20"/>
          <w:lang w:val="es-ES"/>
        </w:rPr>
      </w:pPr>
      <w:r w:rsidRPr="005C1789">
        <w:rPr>
          <w:rFonts w:ascii="Verdana" w:hAnsi="Verdana"/>
          <w:sz w:val="20"/>
          <w:szCs w:val="20"/>
          <w:lang w:val="es-ES"/>
        </w:rPr>
        <w:t>Deliberación del presente caso</w:t>
      </w:r>
      <w:r w:rsidRPr="005C1789">
        <w:rPr>
          <w:rFonts w:ascii="Verdana" w:hAnsi="Verdana"/>
          <w:i w:val="0"/>
          <w:iCs/>
          <w:sz w:val="20"/>
          <w:szCs w:val="20"/>
          <w:lang w:val="es-ES"/>
        </w:rPr>
        <w:t xml:space="preserve">. – La Corte </w:t>
      </w:r>
      <w:r w:rsidR="003B4CB4">
        <w:rPr>
          <w:rFonts w:ascii="Verdana" w:hAnsi="Verdana"/>
          <w:i w:val="0"/>
          <w:iCs/>
          <w:sz w:val="20"/>
          <w:szCs w:val="20"/>
          <w:lang w:val="es-ES"/>
        </w:rPr>
        <w:t xml:space="preserve">deliberó </w:t>
      </w:r>
      <w:r w:rsidRPr="005C1789">
        <w:rPr>
          <w:rFonts w:ascii="Verdana" w:hAnsi="Verdana"/>
          <w:i w:val="0"/>
          <w:iCs/>
          <w:sz w:val="20"/>
          <w:szCs w:val="20"/>
          <w:lang w:val="es-ES"/>
        </w:rPr>
        <w:t xml:space="preserve">la presente Sentencia </w:t>
      </w:r>
      <w:r w:rsidR="00023DAD" w:rsidRPr="005C1789">
        <w:rPr>
          <w:rFonts w:ascii="Verdana" w:hAnsi="Verdana"/>
          <w:i w:val="0"/>
          <w:iCs/>
          <w:sz w:val="20"/>
          <w:szCs w:val="20"/>
          <w:lang w:val="es-ES"/>
        </w:rPr>
        <w:t>l</w:t>
      </w:r>
      <w:r w:rsidR="003B4CB4">
        <w:rPr>
          <w:rFonts w:ascii="Verdana" w:hAnsi="Verdana"/>
          <w:i w:val="0"/>
          <w:iCs/>
          <w:sz w:val="20"/>
          <w:szCs w:val="20"/>
          <w:lang w:val="es-ES"/>
        </w:rPr>
        <w:t>os días</w:t>
      </w:r>
      <w:r w:rsidRPr="005C1789">
        <w:rPr>
          <w:rFonts w:ascii="Verdana" w:hAnsi="Verdana"/>
          <w:i w:val="0"/>
          <w:iCs/>
          <w:sz w:val="20"/>
          <w:szCs w:val="20"/>
          <w:lang w:val="es-ES"/>
        </w:rPr>
        <w:t xml:space="preserve"> </w:t>
      </w:r>
      <w:r w:rsidR="00E07E63" w:rsidRPr="005C1789">
        <w:rPr>
          <w:rFonts w:ascii="Verdana" w:hAnsi="Verdana"/>
          <w:i w:val="0"/>
          <w:iCs/>
          <w:sz w:val="20"/>
          <w:szCs w:val="20"/>
          <w:lang w:val="es-ES"/>
        </w:rPr>
        <w:t>10</w:t>
      </w:r>
      <w:r w:rsidR="003B4CB4">
        <w:rPr>
          <w:rFonts w:ascii="Verdana" w:hAnsi="Verdana"/>
          <w:i w:val="0"/>
          <w:iCs/>
          <w:sz w:val="20"/>
          <w:szCs w:val="20"/>
          <w:lang w:val="es-ES"/>
        </w:rPr>
        <w:t xml:space="preserve"> y 11</w:t>
      </w:r>
      <w:r w:rsidRPr="005C1789">
        <w:rPr>
          <w:rFonts w:ascii="Verdana" w:hAnsi="Verdana"/>
          <w:i w:val="0"/>
          <w:iCs/>
          <w:sz w:val="20"/>
          <w:szCs w:val="20"/>
          <w:lang w:val="es-ES"/>
        </w:rPr>
        <w:t xml:space="preserve"> de </w:t>
      </w:r>
      <w:r w:rsidR="00092E37" w:rsidRPr="005C1789">
        <w:rPr>
          <w:rFonts w:ascii="Verdana" w:hAnsi="Verdana"/>
          <w:i w:val="0"/>
          <w:iCs/>
          <w:sz w:val="20"/>
          <w:szCs w:val="20"/>
          <w:lang w:val="es-ES"/>
        </w:rPr>
        <w:t>octubre</w:t>
      </w:r>
      <w:r w:rsidR="00023DAD" w:rsidRPr="005C1789">
        <w:rPr>
          <w:rFonts w:ascii="Verdana" w:hAnsi="Verdana"/>
          <w:i w:val="0"/>
          <w:iCs/>
          <w:sz w:val="20"/>
          <w:szCs w:val="20"/>
          <w:lang w:val="es-ES"/>
        </w:rPr>
        <w:t xml:space="preserve"> </w:t>
      </w:r>
      <w:r w:rsidRPr="005C1789">
        <w:rPr>
          <w:rFonts w:ascii="Verdana" w:hAnsi="Verdana"/>
          <w:i w:val="0"/>
          <w:iCs/>
          <w:sz w:val="20"/>
          <w:szCs w:val="20"/>
          <w:lang w:val="es-ES"/>
        </w:rPr>
        <w:t>de</w:t>
      </w:r>
      <w:r w:rsidRPr="005C1789">
        <w:rPr>
          <w:rFonts w:ascii="Verdana" w:hAnsi="Verdana"/>
          <w:i w:val="0"/>
          <w:iCs/>
          <w:spacing w:val="-14"/>
          <w:sz w:val="20"/>
          <w:szCs w:val="20"/>
          <w:lang w:val="es-ES"/>
        </w:rPr>
        <w:t xml:space="preserve"> </w:t>
      </w:r>
      <w:r w:rsidR="00023DAD" w:rsidRPr="005C1789">
        <w:rPr>
          <w:rFonts w:ascii="Verdana" w:hAnsi="Verdana"/>
          <w:i w:val="0"/>
          <w:iCs/>
          <w:sz w:val="20"/>
          <w:szCs w:val="20"/>
          <w:lang w:val="es-ES"/>
        </w:rPr>
        <w:t>2022</w:t>
      </w:r>
      <w:r w:rsidR="00E07E63" w:rsidRPr="005C1789">
        <w:rPr>
          <w:rFonts w:ascii="Verdana" w:hAnsi="Verdana"/>
          <w:i w:val="0"/>
          <w:iCs/>
          <w:sz w:val="20"/>
          <w:szCs w:val="20"/>
          <w:lang w:val="es-ES"/>
        </w:rPr>
        <w:t>, en Montevideo, Uruguay, durante el 153 Período Ordinario de Sesiones</w:t>
      </w:r>
      <w:r w:rsidR="003B4CB4">
        <w:rPr>
          <w:rFonts w:ascii="Verdana" w:hAnsi="Verdana"/>
          <w:i w:val="0"/>
          <w:iCs/>
          <w:sz w:val="20"/>
          <w:szCs w:val="20"/>
          <w:lang w:val="es-ES"/>
        </w:rPr>
        <w:t xml:space="preserve"> y 7 de noviembre</w:t>
      </w:r>
      <w:r w:rsidR="00E14834" w:rsidRPr="005C1789">
        <w:rPr>
          <w:rFonts w:ascii="Verdana" w:hAnsi="Verdana"/>
          <w:i w:val="0"/>
          <w:iCs/>
          <w:sz w:val="20"/>
          <w:szCs w:val="20"/>
          <w:lang w:val="es-ES"/>
        </w:rPr>
        <w:t xml:space="preserve"> </w:t>
      </w:r>
      <w:r w:rsidR="003B4CB4">
        <w:rPr>
          <w:rFonts w:ascii="Verdana" w:hAnsi="Verdana"/>
          <w:i w:val="0"/>
          <w:iCs/>
          <w:sz w:val="20"/>
          <w:szCs w:val="20"/>
          <w:lang w:val="es-ES"/>
        </w:rPr>
        <w:t>de 2022, durante el 154 Período Ordinario de Sesiones.</w:t>
      </w:r>
    </w:p>
    <w:p w14:paraId="158F1F64" w14:textId="7A02E62C" w:rsidR="0076005D" w:rsidRPr="005C1789" w:rsidRDefault="0076005D" w:rsidP="00955888">
      <w:pPr>
        <w:pStyle w:val="Ttulo1"/>
        <w:rPr>
          <w:rFonts w:ascii="Verdana" w:hAnsi="Verdana"/>
          <w:caps w:val="0"/>
          <w:sz w:val="20"/>
          <w:lang w:val="es-ES_tradnl"/>
        </w:rPr>
      </w:pPr>
      <w:bookmarkStart w:id="29" w:name="_Toc123347500"/>
      <w:r w:rsidRPr="005C1789">
        <w:rPr>
          <w:rFonts w:ascii="Verdana" w:hAnsi="Verdana"/>
          <w:caps w:val="0"/>
          <w:sz w:val="20"/>
          <w:lang w:val="es-ES_tradnl"/>
        </w:rPr>
        <w:t>III</w:t>
      </w:r>
      <w:r w:rsidR="006C2FAE" w:rsidRPr="005C1789">
        <w:rPr>
          <w:rFonts w:ascii="Verdana" w:hAnsi="Verdana"/>
          <w:caps w:val="0"/>
          <w:color w:val="FFFFFF" w:themeColor="background1"/>
          <w:sz w:val="20"/>
          <w:lang w:val="es-ES_tradnl"/>
        </w:rPr>
        <w:t>.</w:t>
      </w:r>
      <w:r w:rsidR="006C2FAE" w:rsidRPr="005C1789">
        <w:rPr>
          <w:rFonts w:ascii="Verdana" w:hAnsi="Verdana"/>
          <w:caps w:val="0"/>
          <w:sz w:val="20"/>
          <w:lang w:val="es-ES_tradnl"/>
        </w:rPr>
        <w:br/>
      </w:r>
      <w:r w:rsidRPr="005C1789">
        <w:rPr>
          <w:rFonts w:ascii="Verdana" w:hAnsi="Verdana"/>
          <w:caps w:val="0"/>
          <w:sz w:val="20"/>
          <w:lang w:val="es-ES_tradnl"/>
        </w:rPr>
        <w:t>COMPETENCIA</w:t>
      </w:r>
      <w:bookmarkEnd w:id="29"/>
    </w:p>
    <w:p w14:paraId="49DB0A79" w14:textId="447DD40D" w:rsidR="0076005D" w:rsidRPr="005C1789" w:rsidRDefault="0076005D" w:rsidP="00955888">
      <w:pPr>
        <w:pStyle w:val="Estilo1"/>
        <w:numPr>
          <w:ilvl w:val="0"/>
          <w:numId w:val="2"/>
        </w:numPr>
        <w:tabs>
          <w:tab w:val="left" w:pos="0"/>
        </w:tabs>
        <w:spacing w:before="120"/>
        <w:ind w:left="0" w:right="-4" w:firstLine="0"/>
        <w:jc w:val="both"/>
        <w:rPr>
          <w:rFonts w:ascii="Verdana" w:hAnsi="Verdana"/>
          <w:i w:val="0"/>
          <w:iCs/>
          <w:spacing w:val="-5"/>
          <w:sz w:val="20"/>
          <w:szCs w:val="20"/>
          <w:lang w:val="es-CR"/>
        </w:rPr>
      </w:pPr>
      <w:r w:rsidRPr="005C1789">
        <w:rPr>
          <w:rFonts w:ascii="Verdana" w:hAnsi="Verdana"/>
          <w:i w:val="0"/>
          <w:iCs/>
          <w:sz w:val="20"/>
          <w:szCs w:val="20"/>
          <w:lang w:val="es-ES"/>
        </w:rPr>
        <w:t>La</w:t>
      </w:r>
      <w:r w:rsidRPr="005C1789">
        <w:rPr>
          <w:rFonts w:ascii="Verdana" w:hAnsi="Verdana"/>
          <w:i w:val="0"/>
          <w:iCs/>
          <w:spacing w:val="-17"/>
          <w:sz w:val="20"/>
          <w:szCs w:val="20"/>
          <w:lang w:val="es-ES"/>
        </w:rPr>
        <w:t xml:space="preserve"> </w:t>
      </w:r>
      <w:r w:rsidRPr="005C1789">
        <w:rPr>
          <w:rFonts w:ascii="Verdana" w:hAnsi="Verdana"/>
          <w:i w:val="0"/>
          <w:iCs/>
          <w:sz w:val="20"/>
          <w:szCs w:val="20"/>
          <w:lang w:val="es-ES"/>
        </w:rPr>
        <w:t>Corte</w:t>
      </w:r>
      <w:r w:rsidRPr="005C1789">
        <w:rPr>
          <w:rFonts w:ascii="Verdana" w:hAnsi="Verdana"/>
          <w:i w:val="0"/>
          <w:iCs/>
          <w:spacing w:val="-5"/>
          <w:sz w:val="20"/>
          <w:szCs w:val="20"/>
          <w:lang w:val="es-CR"/>
        </w:rPr>
        <w:t xml:space="preserve"> </w:t>
      </w:r>
      <w:r w:rsidRPr="005C1789">
        <w:rPr>
          <w:rFonts w:ascii="Verdana" w:hAnsi="Verdana"/>
          <w:i w:val="0"/>
          <w:iCs/>
          <w:sz w:val="20"/>
          <w:szCs w:val="20"/>
          <w:lang w:val="es-CR"/>
        </w:rPr>
        <w:t>es</w:t>
      </w:r>
      <w:r w:rsidRPr="005C1789">
        <w:rPr>
          <w:rFonts w:ascii="Verdana" w:hAnsi="Verdana"/>
          <w:i w:val="0"/>
          <w:iCs/>
          <w:spacing w:val="-7"/>
          <w:sz w:val="20"/>
          <w:szCs w:val="20"/>
          <w:lang w:val="es-CR"/>
        </w:rPr>
        <w:t xml:space="preserve"> </w:t>
      </w:r>
      <w:r w:rsidRPr="005C1789">
        <w:rPr>
          <w:rFonts w:ascii="Verdana" w:hAnsi="Verdana"/>
          <w:i w:val="0"/>
          <w:iCs/>
          <w:sz w:val="20"/>
          <w:szCs w:val="20"/>
          <w:lang w:val="es-CR"/>
        </w:rPr>
        <w:t>competente</w:t>
      </w:r>
      <w:r w:rsidRPr="005C1789">
        <w:rPr>
          <w:rFonts w:ascii="Verdana" w:hAnsi="Verdana"/>
          <w:i w:val="0"/>
          <w:iCs/>
          <w:spacing w:val="-5"/>
          <w:sz w:val="20"/>
          <w:szCs w:val="20"/>
          <w:lang w:val="es-CR"/>
        </w:rPr>
        <w:t xml:space="preserve"> </w:t>
      </w:r>
      <w:r w:rsidRPr="005C1789">
        <w:rPr>
          <w:rFonts w:ascii="Verdana" w:hAnsi="Verdana"/>
          <w:i w:val="0"/>
          <w:iCs/>
          <w:sz w:val="20"/>
          <w:szCs w:val="20"/>
          <w:lang w:val="es-CR"/>
        </w:rPr>
        <w:t>para</w:t>
      </w:r>
      <w:r w:rsidRPr="005C1789">
        <w:rPr>
          <w:rFonts w:ascii="Verdana" w:hAnsi="Verdana"/>
          <w:i w:val="0"/>
          <w:iCs/>
          <w:spacing w:val="-6"/>
          <w:sz w:val="20"/>
          <w:szCs w:val="20"/>
          <w:lang w:val="es-CR"/>
        </w:rPr>
        <w:t xml:space="preserve"> </w:t>
      </w:r>
      <w:r w:rsidRPr="005C1789">
        <w:rPr>
          <w:rFonts w:ascii="Verdana" w:hAnsi="Verdana"/>
          <w:i w:val="0"/>
          <w:iCs/>
          <w:sz w:val="20"/>
          <w:szCs w:val="20"/>
          <w:lang w:val="es-CR"/>
        </w:rPr>
        <w:t>conocer</w:t>
      </w:r>
      <w:r w:rsidRPr="005C1789">
        <w:rPr>
          <w:rFonts w:ascii="Verdana" w:hAnsi="Verdana"/>
          <w:i w:val="0"/>
          <w:iCs/>
          <w:spacing w:val="-5"/>
          <w:sz w:val="20"/>
          <w:szCs w:val="20"/>
          <w:lang w:val="es-CR"/>
        </w:rPr>
        <w:t xml:space="preserve"> </w:t>
      </w:r>
      <w:r w:rsidRPr="005C1789">
        <w:rPr>
          <w:rFonts w:ascii="Verdana" w:hAnsi="Verdana"/>
          <w:i w:val="0"/>
          <w:iCs/>
          <w:sz w:val="20"/>
          <w:szCs w:val="20"/>
          <w:lang w:val="es-CR"/>
        </w:rPr>
        <w:t>el</w:t>
      </w:r>
      <w:r w:rsidRPr="005C1789">
        <w:rPr>
          <w:rFonts w:ascii="Verdana" w:hAnsi="Verdana"/>
          <w:i w:val="0"/>
          <w:iCs/>
          <w:spacing w:val="-6"/>
          <w:sz w:val="20"/>
          <w:szCs w:val="20"/>
          <w:lang w:val="es-CR"/>
        </w:rPr>
        <w:t xml:space="preserve"> </w:t>
      </w:r>
      <w:r w:rsidRPr="005C1789">
        <w:rPr>
          <w:rFonts w:ascii="Verdana" w:hAnsi="Verdana"/>
          <w:i w:val="0"/>
          <w:iCs/>
          <w:sz w:val="20"/>
          <w:szCs w:val="20"/>
          <w:lang w:val="es-CR"/>
        </w:rPr>
        <w:t>presente</w:t>
      </w:r>
      <w:r w:rsidRPr="005C1789">
        <w:rPr>
          <w:rFonts w:ascii="Verdana" w:hAnsi="Verdana"/>
          <w:i w:val="0"/>
          <w:iCs/>
          <w:spacing w:val="-8"/>
          <w:sz w:val="20"/>
          <w:szCs w:val="20"/>
          <w:lang w:val="es-CR"/>
        </w:rPr>
        <w:t xml:space="preserve"> </w:t>
      </w:r>
      <w:r w:rsidRPr="005C1789">
        <w:rPr>
          <w:rFonts w:ascii="Verdana" w:hAnsi="Verdana"/>
          <w:i w:val="0"/>
          <w:iCs/>
          <w:sz w:val="20"/>
          <w:szCs w:val="20"/>
          <w:lang w:val="es-CR"/>
        </w:rPr>
        <w:t>caso,</w:t>
      </w:r>
      <w:r w:rsidRPr="005C1789">
        <w:rPr>
          <w:rFonts w:ascii="Verdana" w:hAnsi="Verdana"/>
          <w:i w:val="0"/>
          <w:iCs/>
          <w:spacing w:val="-6"/>
          <w:sz w:val="20"/>
          <w:szCs w:val="20"/>
          <w:lang w:val="es-CR"/>
        </w:rPr>
        <w:t xml:space="preserve"> </w:t>
      </w:r>
      <w:r w:rsidRPr="005C1789">
        <w:rPr>
          <w:rFonts w:ascii="Verdana" w:hAnsi="Verdana"/>
          <w:i w:val="0"/>
          <w:iCs/>
          <w:sz w:val="20"/>
          <w:szCs w:val="20"/>
          <w:lang w:val="es-CR"/>
        </w:rPr>
        <w:t>en</w:t>
      </w:r>
      <w:r w:rsidRPr="005C1789">
        <w:rPr>
          <w:rFonts w:ascii="Verdana" w:hAnsi="Verdana"/>
          <w:i w:val="0"/>
          <w:iCs/>
          <w:spacing w:val="-5"/>
          <w:sz w:val="20"/>
          <w:szCs w:val="20"/>
          <w:lang w:val="es-CR"/>
        </w:rPr>
        <w:t xml:space="preserve"> </w:t>
      </w:r>
      <w:r w:rsidRPr="005C1789">
        <w:rPr>
          <w:rFonts w:ascii="Verdana" w:hAnsi="Verdana"/>
          <w:i w:val="0"/>
          <w:iCs/>
          <w:sz w:val="20"/>
          <w:szCs w:val="20"/>
          <w:lang w:val="es-CR"/>
        </w:rPr>
        <w:t>los</w:t>
      </w:r>
      <w:r w:rsidRPr="005C1789">
        <w:rPr>
          <w:rFonts w:ascii="Verdana" w:hAnsi="Verdana"/>
          <w:i w:val="0"/>
          <w:iCs/>
          <w:spacing w:val="-7"/>
          <w:sz w:val="20"/>
          <w:szCs w:val="20"/>
          <w:lang w:val="es-CR"/>
        </w:rPr>
        <w:t xml:space="preserve"> </w:t>
      </w:r>
      <w:r w:rsidRPr="005C1789">
        <w:rPr>
          <w:rFonts w:ascii="Verdana" w:hAnsi="Verdana"/>
          <w:i w:val="0"/>
          <w:iCs/>
          <w:sz w:val="20"/>
          <w:szCs w:val="20"/>
          <w:lang w:val="es-CR"/>
        </w:rPr>
        <w:t>términos</w:t>
      </w:r>
      <w:r w:rsidRPr="005C1789">
        <w:rPr>
          <w:rFonts w:ascii="Verdana" w:hAnsi="Verdana"/>
          <w:i w:val="0"/>
          <w:iCs/>
          <w:spacing w:val="-5"/>
          <w:sz w:val="20"/>
          <w:szCs w:val="20"/>
          <w:lang w:val="es-CR"/>
        </w:rPr>
        <w:t xml:space="preserve"> </w:t>
      </w:r>
      <w:r w:rsidRPr="005C1789">
        <w:rPr>
          <w:rFonts w:ascii="Verdana" w:hAnsi="Verdana"/>
          <w:i w:val="0"/>
          <w:iCs/>
          <w:sz w:val="20"/>
          <w:szCs w:val="20"/>
          <w:lang w:val="es-CR"/>
        </w:rPr>
        <w:t>del</w:t>
      </w:r>
      <w:r w:rsidRPr="005C1789">
        <w:rPr>
          <w:rFonts w:ascii="Verdana" w:hAnsi="Verdana"/>
          <w:i w:val="0"/>
          <w:iCs/>
          <w:spacing w:val="-6"/>
          <w:sz w:val="20"/>
          <w:szCs w:val="20"/>
          <w:lang w:val="es-CR"/>
        </w:rPr>
        <w:t xml:space="preserve"> </w:t>
      </w:r>
      <w:r w:rsidRPr="005C1789">
        <w:rPr>
          <w:rFonts w:ascii="Verdana" w:hAnsi="Verdana"/>
          <w:i w:val="0"/>
          <w:iCs/>
          <w:sz w:val="20"/>
          <w:szCs w:val="20"/>
          <w:lang w:val="es-CR"/>
        </w:rPr>
        <w:t>artículo</w:t>
      </w:r>
      <w:r w:rsidRPr="005C1789">
        <w:rPr>
          <w:rFonts w:ascii="Verdana" w:hAnsi="Verdana"/>
          <w:i w:val="0"/>
          <w:iCs/>
          <w:spacing w:val="-8"/>
          <w:sz w:val="20"/>
          <w:szCs w:val="20"/>
          <w:lang w:val="es-CR"/>
        </w:rPr>
        <w:t xml:space="preserve"> </w:t>
      </w:r>
      <w:r w:rsidRPr="005C1789">
        <w:rPr>
          <w:rFonts w:ascii="Verdana" w:hAnsi="Verdana"/>
          <w:i w:val="0"/>
          <w:iCs/>
          <w:sz w:val="20"/>
          <w:szCs w:val="20"/>
          <w:lang w:val="es-CR"/>
        </w:rPr>
        <w:t xml:space="preserve">62.3 de la </w:t>
      </w:r>
      <w:r w:rsidRPr="005C1789">
        <w:rPr>
          <w:rFonts w:ascii="Verdana" w:hAnsi="Verdana"/>
          <w:i w:val="0"/>
          <w:iCs/>
          <w:sz w:val="20"/>
          <w:szCs w:val="20"/>
          <w:lang w:val="es-ES"/>
        </w:rPr>
        <w:t>Convención</w:t>
      </w:r>
      <w:r w:rsidRPr="005C1789">
        <w:rPr>
          <w:rFonts w:ascii="Verdana" w:hAnsi="Verdana"/>
          <w:i w:val="0"/>
          <w:iCs/>
          <w:sz w:val="20"/>
          <w:szCs w:val="20"/>
          <w:lang w:val="es-CR"/>
        </w:rPr>
        <w:t xml:space="preserve">, </w:t>
      </w:r>
      <w:proofErr w:type="gramStart"/>
      <w:r w:rsidRPr="005C1789">
        <w:rPr>
          <w:rFonts w:ascii="Verdana" w:hAnsi="Verdana"/>
          <w:i w:val="0"/>
          <w:iCs/>
          <w:sz w:val="20"/>
          <w:szCs w:val="20"/>
          <w:lang w:val="es-CR"/>
        </w:rPr>
        <w:t>en razón de</w:t>
      </w:r>
      <w:proofErr w:type="gramEnd"/>
      <w:r w:rsidRPr="005C1789">
        <w:rPr>
          <w:rFonts w:ascii="Verdana" w:hAnsi="Verdana"/>
          <w:i w:val="0"/>
          <w:iCs/>
          <w:sz w:val="20"/>
          <w:szCs w:val="20"/>
          <w:lang w:val="es-CR"/>
        </w:rPr>
        <w:t xml:space="preserve"> que </w:t>
      </w:r>
      <w:r w:rsidR="00854AE6" w:rsidRPr="005C1789">
        <w:rPr>
          <w:rFonts w:ascii="Verdana" w:hAnsi="Verdana"/>
          <w:i w:val="0"/>
          <w:iCs/>
          <w:sz w:val="20"/>
          <w:szCs w:val="20"/>
          <w:lang w:val="es-CR"/>
        </w:rPr>
        <w:t>México</w:t>
      </w:r>
      <w:r w:rsidRPr="005C1789">
        <w:rPr>
          <w:rFonts w:ascii="Verdana" w:hAnsi="Verdana"/>
          <w:i w:val="0"/>
          <w:iCs/>
          <w:sz w:val="20"/>
          <w:szCs w:val="20"/>
          <w:lang w:val="es-CR"/>
        </w:rPr>
        <w:t xml:space="preserve"> es Estado Parte de la Convención Americana desde el </w:t>
      </w:r>
      <w:r w:rsidR="00854AE6" w:rsidRPr="005C1789">
        <w:rPr>
          <w:rFonts w:ascii="Verdana" w:hAnsi="Verdana"/>
          <w:i w:val="0"/>
          <w:iCs/>
          <w:sz w:val="20"/>
          <w:szCs w:val="20"/>
          <w:lang w:val="es-CR"/>
        </w:rPr>
        <w:t>24</w:t>
      </w:r>
      <w:r w:rsidRPr="005C1789">
        <w:rPr>
          <w:rFonts w:ascii="Verdana" w:hAnsi="Verdana"/>
          <w:i w:val="0"/>
          <w:iCs/>
          <w:sz w:val="20"/>
          <w:szCs w:val="20"/>
          <w:lang w:val="es-CR"/>
        </w:rPr>
        <w:t xml:space="preserve"> de </w:t>
      </w:r>
      <w:r w:rsidR="00854AE6" w:rsidRPr="005C1789">
        <w:rPr>
          <w:rFonts w:ascii="Verdana" w:hAnsi="Verdana"/>
          <w:i w:val="0"/>
          <w:iCs/>
          <w:sz w:val="20"/>
          <w:szCs w:val="20"/>
          <w:lang w:val="es-CR"/>
        </w:rPr>
        <w:t>marzo</w:t>
      </w:r>
      <w:r w:rsidRPr="005C1789">
        <w:rPr>
          <w:rFonts w:ascii="Verdana" w:hAnsi="Verdana"/>
          <w:i w:val="0"/>
          <w:iCs/>
          <w:sz w:val="20"/>
          <w:szCs w:val="20"/>
          <w:lang w:val="es-CR"/>
        </w:rPr>
        <w:t xml:space="preserve"> de </w:t>
      </w:r>
      <w:r w:rsidR="00854AE6" w:rsidRPr="005C1789">
        <w:rPr>
          <w:rFonts w:ascii="Verdana" w:hAnsi="Verdana"/>
          <w:i w:val="0"/>
          <w:iCs/>
          <w:sz w:val="20"/>
          <w:szCs w:val="20"/>
          <w:lang w:val="es-CR"/>
        </w:rPr>
        <w:t>1981</w:t>
      </w:r>
      <w:r w:rsidRPr="005C1789">
        <w:rPr>
          <w:rFonts w:ascii="Verdana" w:hAnsi="Verdana"/>
          <w:i w:val="0"/>
          <w:iCs/>
          <w:sz w:val="20"/>
          <w:szCs w:val="20"/>
          <w:lang w:val="es-CR"/>
        </w:rPr>
        <w:t xml:space="preserve"> y </w:t>
      </w:r>
      <w:r w:rsidRPr="005C1789">
        <w:rPr>
          <w:rFonts w:ascii="Verdana" w:hAnsi="Verdana"/>
          <w:i w:val="0"/>
          <w:iCs/>
          <w:sz w:val="20"/>
          <w:szCs w:val="20"/>
          <w:lang w:val="es-ES"/>
        </w:rPr>
        <w:t>reconoció</w:t>
      </w:r>
      <w:r w:rsidRPr="005C1789">
        <w:rPr>
          <w:rFonts w:ascii="Verdana" w:hAnsi="Verdana"/>
          <w:i w:val="0"/>
          <w:iCs/>
          <w:sz w:val="20"/>
          <w:szCs w:val="20"/>
          <w:lang w:val="es-CR"/>
        </w:rPr>
        <w:t xml:space="preserve"> la competencia contenciosa de la Corte </w:t>
      </w:r>
      <w:r w:rsidR="00854AE6" w:rsidRPr="005C1789">
        <w:rPr>
          <w:rFonts w:ascii="Verdana" w:hAnsi="Verdana"/>
          <w:i w:val="0"/>
          <w:iCs/>
          <w:sz w:val="20"/>
          <w:szCs w:val="20"/>
          <w:lang w:val="es-CR"/>
        </w:rPr>
        <w:t>el 16 de diciembre de 1998</w:t>
      </w:r>
      <w:r w:rsidRPr="005C1789">
        <w:rPr>
          <w:rFonts w:ascii="Verdana" w:hAnsi="Verdana"/>
          <w:i w:val="0"/>
          <w:iCs/>
          <w:sz w:val="20"/>
          <w:szCs w:val="20"/>
          <w:lang w:val="es-CR"/>
        </w:rPr>
        <w:t>.</w:t>
      </w:r>
    </w:p>
    <w:p w14:paraId="419CEC7E" w14:textId="1025A8F0" w:rsidR="0085104D" w:rsidRPr="005C1789" w:rsidRDefault="0085104D" w:rsidP="00955888">
      <w:pPr>
        <w:pStyle w:val="Ttulo1"/>
        <w:rPr>
          <w:rFonts w:ascii="Verdana" w:hAnsi="Verdana"/>
          <w:caps w:val="0"/>
          <w:sz w:val="20"/>
          <w:lang w:val="es-ES_tradnl"/>
        </w:rPr>
      </w:pPr>
      <w:bookmarkStart w:id="30" w:name="_Toc123347501"/>
      <w:r w:rsidRPr="005C1789">
        <w:rPr>
          <w:rFonts w:ascii="Verdana" w:hAnsi="Verdana"/>
          <w:caps w:val="0"/>
          <w:sz w:val="20"/>
          <w:lang w:val="es-ES_tradnl"/>
        </w:rPr>
        <w:t>IV</w:t>
      </w:r>
      <w:r w:rsidRPr="005C1789">
        <w:rPr>
          <w:rFonts w:ascii="Verdana" w:hAnsi="Verdana"/>
          <w:caps w:val="0"/>
          <w:color w:val="FFFFFF" w:themeColor="background1"/>
          <w:sz w:val="20"/>
          <w:lang w:val="es-ES_tradnl"/>
        </w:rPr>
        <w:t>.</w:t>
      </w:r>
      <w:r w:rsidRPr="005C1789">
        <w:rPr>
          <w:rFonts w:ascii="Verdana" w:hAnsi="Verdana"/>
          <w:caps w:val="0"/>
          <w:sz w:val="20"/>
          <w:lang w:val="es-ES_tradnl"/>
        </w:rPr>
        <w:br/>
      </w:r>
      <w:r w:rsidR="003A07A8" w:rsidRPr="005C1789">
        <w:rPr>
          <w:rFonts w:ascii="Verdana" w:hAnsi="Verdana"/>
          <w:caps w:val="0"/>
          <w:sz w:val="20"/>
          <w:lang w:val="es-ES_tradnl"/>
        </w:rPr>
        <w:t>RECONOCIMIENTO</w:t>
      </w:r>
      <w:r w:rsidR="009966EA" w:rsidRPr="005C1789">
        <w:rPr>
          <w:rFonts w:ascii="Verdana" w:hAnsi="Verdana"/>
          <w:caps w:val="0"/>
          <w:sz w:val="20"/>
          <w:lang w:val="es-ES_tradnl"/>
        </w:rPr>
        <w:t xml:space="preserve"> </w:t>
      </w:r>
      <w:r w:rsidR="003A07A8" w:rsidRPr="005C1789">
        <w:rPr>
          <w:rFonts w:ascii="Verdana" w:hAnsi="Verdana"/>
          <w:caps w:val="0"/>
          <w:sz w:val="20"/>
          <w:lang w:val="es-ES_tradnl"/>
        </w:rPr>
        <w:t>DE RESPONSAB</w:t>
      </w:r>
      <w:r w:rsidR="00EC1B7A" w:rsidRPr="005C1789">
        <w:rPr>
          <w:rFonts w:ascii="Verdana" w:hAnsi="Verdana"/>
          <w:caps w:val="0"/>
          <w:sz w:val="20"/>
          <w:lang w:val="es-ES_tradnl"/>
        </w:rPr>
        <w:t>I</w:t>
      </w:r>
      <w:r w:rsidR="003A07A8" w:rsidRPr="005C1789">
        <w:rPr>
          <w:rFonts w:ascii="Verdana" w:hAnsi="Verdana"/>
          <w:caps w:val="0"/>
          <w:sz w:val="20"/>
          <w:lang w:val="es-ES_tradnl"/>
        </w:rPr>
        <w:t>LIDAD</w:t>
      </w:r>
      <w:bookmarkEnd w:id="30"/>
    </w:p>
    <w:p w14:paraId="3EF97796" w14:textId="77777777" w:rsidR="00C25D34" w:rsidRPr="005C1789" w:rsidRDefault="00C25D34" w:rsidP="00955888">
      <w:pPr>
        <w:pStyle w:val="Ttulo2"/>
        <w:numPr>
          <w:ilvl w:val="0"/>
          <w:numId w:val="10"/>
        </w:numPr>
        <w:spacing w:before="240" w:after="240"/>
        <w:rPr>
          <w:rFonts w:ascii="Verdana" w:hAnsi="Verdana"/>
          <w:i/>
          <w:color w:val="auto"/>
          <w:sz w:val="20"/>
          <w:szCs w:val="20"/>
        </w:rPr>
      </w:pPr>
      <w:bookmarkStart w:id="31" w:name="_Toc123347502"/>
      <w:r w:rsidRPr="005C1789">
        <w:rPr>
          <w:rFonts w:ascii="Verdana" w:hAnsi="Verdana"/>
          <w:i/>
          <w:color w:val="auto"/>
          <w:sz w:val="20"/>
          <w:szCs w:val="20"/>
        </w:rPr>
        <w:t>Alegatos de las partes y de la Comisión</w:t>
      </w:r>
      <w:bookmarkEnd w:id="31"/>
    </w:p>
    <w:p w14:paraId="48CFE7E7" w14:textId="036955AB" w:rsidR="009966EA" w:rsidRPr="005C1789" w:rsidRDefault="009966EA" w:rsidP="00955888">
      <w:pPr>
        <w:pStyle w:val="Estilo1"/>
        <w:numPr>
          <w:ilvl w:val="0"/>
          <w:numId w:val="2"/>
        </w:numPr>
        <w:tabs>
          <w:tab w:val="left" w:pos="0"/>
        </w:tabs>
        <w:spacing w:before="120"/>
        <w:ind w:left="0" w:right="-4" w:firstLine="0"/>
        <w:jc w:val="both"/>
        <w:rPr>
          <w:rFonts w:ascii="Verdana" w:eastAsia="Batang" w:hAnsi="Verdana"/>
          <w:i w:val="0"/>
          <w:iCs/>
          <w:sz w:val="20"/>
          <w:szCs w:val="20"/>
          <w:lang w:val="es-ES" w:eastAsia="en-US"/>
        </w:rPr>
      </w:pPr>
      <w:r w:rsidRPr="005C1789">
        <w:rPr>
          <w:rFonts w:ascii="Verdana" w:eastAsia="Batang" w:hAnsi="Verdana"/>
          <w:i w:val="0"/>
          <w:iCs/>
          <w:sz w:val="20"/>
          <w:szCs w:val="20"/>
          <w:lang w:val="es-ES" w:eastAsia="en-US"/>
        </w:rPr>
        <w:t>En el marco de la audiencia pública celebrada en el presente caso, y en sus alegatos finales escritos (</w:t>
      </w:r>
      <w:r w:rsidRPr="005C1789">
        <w:rPr>
          <w:rFonts w:ascii="Verdana" w:eastAsia="Batang" w:hAnsi="Verdana"/>
          <w:sz w:val="20"/>
          <w:szCs w:val="20"/>
          <w:lang w:val="es-ES" w:eastAsia="en-US"/>
        </w:rPr>
        <w:t>supra</w:t>
      </w:r>
      <w:r w:rsidRPr="005C1789">
        <w:rPr>
          <w:rFonts w:ascii="Verdana" w:eastAsia="Batang" w:hAnsi="Verdana"/>
          <w:i w:val="0"/>
          <w:iCs/>
          <w:sz w:val="20"/>
          <w:szCs w:val="20"/>
          <w:lang w:val="es-ES" w:eastAsia="en-US"/>
        </w:rPr>
        <w:t xml:space="preserve"> párr. </w:t>
      </w:r>
      <w:r w:rsidR="00912585" w:rsidRPr="005C1789">
        <w:rPr>
          <w:rFonts w:ascii="Verdana" w:eastAsia="Batang" w:hAnsi="Verdana"/>
          <w:i w:val="0"/>
          <w:iCs/>
          <w:sz w:val="20"/>
          <w:szCs w:val="20"/>
          <w:lang w:val="es-ES" w:eastAsia="en-US"/>
        </w:rPr>
        <w:t>11</w:t>
      </w:r>
      <w:r w:rsidRPr="005C1789">
        <w:rPr>
          <w:rFonts w:ascii="Verdana" w:eastAsia="Batang" w:hAnsi="Verdana"/>
          <w:i w:val="0"/>
          <w:iCs/>
          <w:sz w:val="20"/>
          <w:szCs w:val="20"/>
          <w:lang w:val="es-ES" w:eastAsia="en-US"/>
        </w:rPr>
        <w:t xml:space="preserve">), el </w:t>
      </w:r>
      <w:r w:rsidRPr="005C1789">
        <w:rPr>
          <w:rFonts w:ascii="Verdana" w:eastAsia="Batang" w:hAnsi="Verdana"/>
          <w:b/>
          <w:sz w:val="20"/>
          <w:szCs w:val="20"/>
          <w:lang w:val="es-ES" w:eastAsia="en-US"/>
        </w:rPr>
        <w:t>Estado</w:t>
      </w:r>
      <w:r w:rsidRPr="005C1789">
        <w:rPr>
          <w:rFonts w:ascii="Verdana" w:eastAsia="Batang" w:hAnsi="Verdana"/>
          <w:i w:val="0"/>
          <w:iCs/>
          <w:sz w:val="20"/>
          <w:szCs w:val="20"/>
          <w:lang w:val="es-ES" w:eastAsia="en-US"/>
        </w:rPr>
        <w:t xml:space="preserve">, </w:t>
      </w:r>
      <w:r w:rsidR="00974A9A" w:rsidRPr="005C1789">
        <w:rPr>
          <w:rFonts w:ascii="Verdana" w:eastAsia="Batang" w:hAnsi="Verdana"/>
          <w:i w:val="0"/>
          <w:iCs/>
          <w:sz w:val="20"/>
          <w:szCs w:val="20"/>
          <w:lang w:val="es-ES" w:eastAsia="en-US"/>
        </w:rPr>
        <w:t>formuló</w:t>
      </w:r>
      <w:r w:rsidRPr="005C1789">
        <w:rPr>
          <w:rFonts w:ascii="Verdana" w:eastAsia="Batang" w:hAnsi="Verdana"/>
          <w:i w:val="0"/>
          <w:iCs/>
          <w:sz w:val="20"/>
          <w:szCs w:val="20"/>
          <w:lang w:val="es-ES" w:eastAsia="en-US"/>
        </w:rPr>
        <w:t xml:space="preserve"> un reconocimiento parcial de responsabilidad. Indicó en </w:t>
      </w:r>
      <w:r w:rsidRPr="005C1789">
        <w:rPr>
          <w:rFonts w:ascii="Verdana" w:eastAsia="Batang" w:hAnsi="Verdana"/>
          <w:i w:val="0"/>
          <w:iCs/>
          <w:sz w:val="20"/>
          <w:szCs w:val="20"/>
          <w:lang w:val="es-ES" w:eastAsia="en-US"/>
        </w:rPr>
        <w:lastRenderedPageBreak/>
        <w:t xml:space="preserve">particular que “derivado de la firma entre la Secretaría de Gobernación, la Secretaría de Relaciones Exteriores y los representantes de las víctimas, del Acta de Entendimiento […], en febrero de 2020, el Estado reitera su allanamiento parcial sobre la mayoría de las pretensiones de la </w:t>
      </w:r>
      <w:r w:rsidR="00EC1B7A" w:rsidRPr="005C1789">
        <w:rPr>
          <w:rFonts w:ascii="Verdana" w:eastAsia="Batang" w:hAnsi="Verdana"/>
          <w:i w:val="0"/>
          <w:iCs/>
          <w:sz w:val="20"/>
          <w:szCs w:val="20"/>
          <w:lang w:val="es-ES" w:eastAsia="en-US"/>
        </w:rPr>
        <w:t>[r]</w:t>
      </w:r>
      <w:proofErr w:type="spellStart"/>
      <w:r w:rsidRPr="005C1789">
        <w:rPr>
          <w:rFonts w:ascii="Verdana" w:eastAsia="Batang" w:hAnsi="Verdana"/>
          <w:i w:val="0"/>
          <w:iCs/>
          <w:sz w:val="20"/>
          <w:szCs w:val="20"/>
          <w:lang w:val="es-ES" w:eastAsia="en-US"/>
        </w:rPr>
        <w:t>epresentación</w:t>
      </w:r>
      <w:proofErr w:type="spellEnd"/>
      <w:r w:rsidRPr="005C1789">
        <w:rPr>
          <w:rFonts w:ascii="Verdana" w:eastAsia="Batang" w:hAnsi="Verdana"/>
          <w:i w:val="0"/>
          <w:iCs/>
          <w:sz w:val="20"/>
          <w:szCs w:val="20"/>
          <w:lang w:val="es-ES" w:eastAsia="en-US"/>
        </w:rPr>
        <w:t xml:space="preserve"> de las víctimas, en específico respecto de las violaciones concretas del caso cometidas en contra de los señores Jorge Marcial </w:t>
      </w:r>
      <w:proofErr w:type="spellStart"/>
      <w:r w:rsidRPr="005C1789">
        <w:rPr>
          <w:rFonts w:ascii="Verdana" w:eastAsia="Batang" w:hAnsi="Verdana"/>
          <w:i w:val="0"/>
          <w:iCs/>
          <w:sz w:val="20"/>
          <w:szCs w:val="20"/>
          <w:lang w:val="es-ES" w:eastAsia="en-US"/>
        </w:rPr>
        <w:t>Tzompaxtle</w:t>
      </w:r>
      <w:proofErr w:type="spellEnd"/>
      <w:r w:rsidRPr="005C1789">
        <w:rPr>
          <w:rFonts w:ascii="Verdana" w:eastAsia="Batang" w:hAnsi="Verdana"/>
          <w:i w:val="0"/>
          <w:iCs/>
          <w:sz w:val="20"/>
          <w:szCs w:val="20"/>
          <w:lang w:val="es-ES" w:eastAsia="en-US"/>
        </w:rPr>
        <w:t xml:space="preserve"> </w:t>
      </w:r>
      <w:proofErr w:type="spellStart"/>
      <w:r w:rsidRPr="005C1789">
        <w:rPr>
          <w:rFonts w:ascii="Verdana" w:eastAsia="Batang" w:hAnsi="Verdana"/>
          <w:i w:val="0"/>
          <w:iCs/>
          <w:sz w:val="20"/>
          <w:szCs w:val="20"/>
          <w:lang w:val="es-ES" w:eastAsia="en-US"/>
        </w:rPr>
        <w:t>Tecpile</w:t>
      </w:r>
      <w:proofErr w:type="spellEnd"/>
      <w:r w:rsidRPr="005C1789">
        <w:rPr>
          <w:rFonts w:ascii="Verdana" w:eastAsia="Batang" w:hAnsi="Verdana"/>
          <w:i w:val="0"/>
          <w:iCs/>
          <w:sz w:val="20"/>
          <w:szCs w:val="20"/>
          <w:lang w:val="es-ES" w:eastAsia="en-US"/>
        </w:rPr>
        <w:t xml:space="preserve">, Gerardo </w:t>
      </w:r>
      <w:proofErr w:type="spellStart"/>
      <w:r w:rsidRPr="005C1789">
        <w:rPr>
          <w:rFonts w:ascii="Verdana" w:eastAsia="Batang" w:hAnsi="Verdana"/>
          <w:i w:val="0"/>
          <w:iCs/>
          <w:sz w:val="20"/>
          <w:szCs w:val="20"/>
          <w:lang w:val="es-ES" w:eastAsia="en-US"/>
        </w:rPr>
        <w:t>Tzompaxtle</w:t>
      </w:r>
      <w:proofErr w:type="spellEnd"/>
      <w:r w:rsidRPr="005C1789">
        <w:rPr>
          <w:rFonts w:ascii="Verdana" w:eastAsia="Batang" w:hAnsi="Verdana"/>
          <w:i w:val="0"/>
          <w:iCs/>
          <w:sz w:val="20"/>
          <w:szCs w:val="20"/>
          <w:lang w:val="es-ES" w:eastAsia="en-US"/>
        </w:rPr>
        <w:t xml:space="preserve"> </w:t>
      </w:r>
      <w:proofErr w:type="spellStart"/>
      <w:r w:rsidRPr="005C1789">
        <w:rPr>
          <w:rFonts w:ascii="Verdana" w:eastAsia="Batang" w:hAnsi="Verdana"/>
          <w:i w:val="0"/>
          <w:iCs/>
          <w:sz w:val="20"/>
          <w:szCs w:val="20"/>
          <w:lang w:val="es-ES" w:eastAsia="en-US"/>
        </w:rPr>
        <w:t>Tecpile</w:t>
      </w:r>
      <w:proofErr w:type="spellEnd"/>
      <w:r w:rsidRPr="005C1789">
        <w:rPr>
          <w:rFonts w:ascii="Verdana" w:eastAsia="Batang" w:hAnsi="Verdana"/>
          <w:i w:val="0"/>
          <w:iCs/>
          <w:sz w:val="20"/>
          <w:szCs w:val="20"/>
          <w:lang w:val="es-ES" w:eastAsia="en-US"/>
        </w:rPr>
        <w:t xml:space="preserve"> y Gustavo Robles López</w:t>
      </w:r>
      <w:r w:rsidR="00967862" w:rsidRPr="005C1789">
        <w:rPr>
          <w:rFonts w:ascii="Verdana" w:eastAsia="Batang" w:hAnsi="Verdana"/>
          <w:i w:val="0"/>
          <w:iCs/>
          <w:sz w:val="20"/>
          <w:szCs w:val="20"/>
          <w:lang w:val="es-ES" w:eastAsia="en-US"/>
        </w:rPr>
        <w:t>”. Agregó que “reconoce su responsabilidad internacional por la violación de los artículos 7, 11, 8 y 25 de la Convención Americana […], en relación con el artículo 1.1 del mismo instrumento, respecto al derecho a la libertad personal, garantías judiciales, vida privada y protección judicial. Lo anterior causado por la retención, revisión del vehículo, falta de información sobre las razones de su detención, falta de presentación sin demora ante el juez, falta de notificación previa y detallada de los cargos, falta de defensa técnica en los primeros días posteriores a la detención, lo cual derivó en una incorrecta aplicación de las figuras de arraigo y prisión preventiva oficiosa según las características que les eran propias al momento de los hechos”. Del mismo modo, indicó que “reconoce su responsabilidad internacional por la violación del artículo 5, en relación con el artículo 1.1 del mismo instrumento de la Convención Americana, en relación con la integridad personal de las víctimas, por el aislamiento e incomunicación durante su retención”.</w:t>
      </w:r>
      <w:r w:rsidR="00CF78F8" w:rsidRPr="005C1789">
        <w:rPr>
          <w:rFonts w:ascii="Verdana" w:eastAsia="Batang" w:hAnsi="Verdana"/>
          <w:i w:val="0"/>
          <w:iCs/>
          <w:sz w:val="20"/>
          <w:szCs w:val="20"/>
          <w:lang w:val="es-ES" w:eastAsia="en-US"/>
        </w:rPr>
        <w:t xml:space="preserve"> </w:t>
      </w:r>
    </w:p>
    <w:p w14:paraId="0A5AACD3" w14:textId="61FF47E3" w:rsidR="009966EA" w:rsidRPr="005C1789" w:rsidRDefault="009966EA" w:rsidP="00955888">
      <w:pPr>
        <w:pStyle w:val="Estilo1"/>
        <w:numPr>
          <w:ilvl w:val="0"/>
          <w:numId w:val="2"/>
        </w:numPr>
        <w:tabs>
          <w:tab w:val="left" w:pos="0"/>
        </w:tabs>
        <w:spacing w:before="120"/>
        <w:ind w:left="0" w:right="-4" w:firstLine="0"/>
        <w:jc w:val="both"/>
        <w:rPr>
          <w:rFonts w:ascii="Verdana" w:eastAsia="Batang" w:hAnsi="Verdana"/>
          <w:i w:val="0"/>
          <w:iCs/>
          <w:sz w:val="20"/>
          <w:szCs w:val="20"/>
          <w:lang w:val="es-ES" w:eastAsia="en-US"/>
        </w:rPr>
      </w:pPr>
      <w:r w:rsidRPr="005C1789">
        <w:rPr>
          <w:rFonts w:ascii="Verdana" w:eastAsia="Batang" w:hAnsi="Verdana"/>
          <w:i w:val="0"/>
          <w:iCs/>
          <w:sz w:val="20"/>
          <w:szCs w:val="20"/>
          <w:lang w:val="es-ES" w:eastAsia="en-US"/>
        </w:rPr>
        <w:t xml:space="preserve">Respecto a las reparaciones, el Estado informó que </w:t>
      </w:r>
      <w:r w:rsidR="004D33AA" w:rsidRPr="005C1789">
        <w:rPr>
          <w:rFonts w:ascii="Verdana" w:eastAsia="Batang" w:hAnsi="Verdana"/>
          <w:i w:val="0"/>
          <w:iCs/>
          <w:sz w:val="20"/>
          <w:szCs w:val="20"/>
          <w:lang w:val="es-ES" w:eastAsia="en-US"/>
        </w:rPr>
        <w:t>varios de los puntos de la referida Acta de Entendimiento relacionados con reparaciones ya fueron cumplidos</w:t>
      </w:r>
      <w:r w:rsidR="00AC3AB7">
        <w:rPr>
          <w:rFonts w:ascii="Verdana" w:eastAsia="Batang" w:hAnsi="Verdana"/>
          <w:i w:val="0"/>
          <w:iCs/>
          <w:sz w:val="20"/>
          <w:szCs w:val="20"/>
          <w:lang w:val="es-ES" w:eastAsia="en-US"/>
        </w:rPr>
        <w:t>,</w:t>
      </w:r>
      <w:r w:rsidR="004D33AA" w:rsidRPr="005C1789">
        <w:rPr>
          <w:rFonts w:ascii="Verdana" w:eastAsia="Batang" w:hAnsi="Verdana"/>
          <w:i w:val="0"/>
          <w:iCs/>
          <w:sz w:val="20"/>
          <w:szCs w:val="20"/>
          <w:lang w:val="es-ES" w:eastAsia="en-US"/>
        </w:rPr>
        <w:t xml:space="preserve"> por lo que solicitó a la Corte que tome </w:t>
      </w:r>
      <w:r w:rsidR="00770308" w:rsidRPr="005C1789">
        <w:rPr>
          <w:rFonts w:ascii="Verdana" w:eastAsia="Batang" w:hAnsi="Verdana"/>
          <w:i w:val="0"/>
          <w:iCs/>
          <w:sz w:val="20"/>
          <w:szCs w:val="20"/>
          <w:lang w:val="es-ES" w:eastAsia="en-US"/>
        </w:rPr>
        <w:t xml:space="preserve">ello en </w:t>
      </w:r>
      <w:r w:rsidR="004D33AA" w:rsidRPr="005C1789">
        <w:rPr>
          <w:rFonts w:ascii="Verdana" w:eastAsia="Batang" w:hAnsi="Verdana"/>
          <w:i w:val="0"/>
          <w:iCs/>
          <w:sz w:val="20"/>
          <w:szCs w:val="20"/>
          <w:lang w:val="es-ES" w:eastAsia="en-US"/>
        </w:rPr>
        <w:t>cuenta a la hora de ordenar las medidas de reparación</w:t>
      </w:r>
      <w:r w:rsidRPr="005C1789">
        <w:rPr>
          <w:rFonts w:ascii="Verdana" w:eastAsia="Batang" w:hAnsi="Verdana"/>
          <w:i w:val="0"/>
          <w:iCs/>
          <w:sz w:val="20"/>
          <w:szCs w:val="20"/>
          <w:lang w:val="es-ES" w:eastAsia="en-US"/>
        </w:rPr>
        <w:t xml:space="preserve">. </w:t>
      </w:r>
    </w:p>
    <w:p w14:paraId="40B43816" w14:textId="360A9D75" w:rsidR="00534934"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sz w:val="20"/>
          <w:szCs w:val="20"/>
          <w:lang w:val="es-ES"/>
        </w:rPr>
      </w:pPr>
      <w:r w:rsidRPr="005C1789">
        <w:rPr>
          <w:rFonts w:ascii="Verdana" w:hAnsi="Verdana"/>
          <w:i w:val="0"/>
          <w:iCs/>
          <w:sz w:val="20"/>
          <w:szCs w:val="20"/>
          <w:lang w:val="es-ES"/>
        </w:rPr>
        <w:t xml:space="preserve">La </w:t>
      </w:r>
      <w:r w:rsidRPr="005C1789">
        <w:rPr>
          <w:rFonts w:ascii="Verdana" w:hAnsi="Verdana"/>
          <w:b/>
          <w:sz w:val="20"/>
          <w:szCs w:val="20"/>
          <w:lang w:val="es-ES"/>
        </w:rPr>
        <w:t>Comisión</w:t>
      </w:r>
      <w:r w:rsidRPr="005C1789">
        <w:rPr>
          <w:rFonts w:ascii="Verdana" w:hAnsi="Verdana"/>
          <w:i w:val="0"/>
          <w:iCs/>
          <w:sz w:val="20"/>
          <w:szCs w:val="20"/>
          <w:lang w:val="es-ES"/>
        </w:rPr>
        <w:t xml:space="preserve"> “</w:t>
      </w:r>
      <w:proofErr w:type="spellStart"/>
      <w:r w:rsidRPr="005C1789">
        <w:rPr>
          <w:rFonts w:ascii="Verdana" w:hAnsi="Verdana"/>
          <w:i w:val="0"/>
          <w:iCs/>
          <w:sz w:val="20"/>
          <w:szCs w:val="20"/>
          <w:lang w:val="es-ES"/>
        </w:rPr>
        <w:t>tom</w:t>
      </w:r>
      <w:proofErr w:type="spellEnd"/>
      <w:r w:rsidRPr="005C1789">
        <w:rPr>
          <w:rFonts w:ascii="Verdana" w:hAnsi="Verdana"/>
          <w:i w:val="0"/>
          <w:iCs/>
          <w:sz w:val="20"/>
          <w:szCs w:val="20"/>
          <w:lang w:val="es-ES"/>
        </w:rPr>
        <w:t>[</w:t>
      </w:r>
      <w:proofErr w:type="spellStart"/>
      <w:r w:rsidRPr="005C1789">
        <w:rPr>
          <w:rFonts w:ascii="Verdana" w:hAnsi="Verdana"/>
          <w:i w:val="0"/>
          <w:iCs/>
          <w:sz w:val="20"/>
          <w:szCs w:val="20"/>
          <w:lang w:val="es-ES"/>
        </w:rPr>
        <w:t>ó</w:t>
      </w:r>
      <w:proofErr w:type="spellEnd"/>
      <w:r w:rsidRPr="005C1789">
        <w:rPr>
          <w:rFonts w:ascii="Verdana" w:hAnsi="Verdana"/>
          <w:i w:val="0"/>
          <w:iCs/>
          <w:sz w:val="20"/>
          <w:szCs w:val="20"/>
          <w:lang w:val="es-ES"/>
        </w:rPr>
        <w:t xml:space="preserve">] nota” del reconocimiento parcial de responsabilidad internacional realizado por el Estado mexicano en la audiencia y lo calificó como una contribución </w:t>
      </w:r>
      <w:r w:rsidR="00C67B0F" w:rsidRPr="005C1789">
        <w:rPr>
          <w:rFonts w:ascii="Verdana" w:hAnsi="Verdana"/>
          <w:i w:val="0"/>
          <w:iCs/>
          <w:sz w:val="20"/>
          <w:szCs w:val="20"/>
          <w:lang w:val="es-ES"/>
        </w:rPr>
        <w:t>a la dignificación de las víctimas, a la obtención de justicia y a la reparación</w:t>
      </w:r>
      <w:r w:rsidRPr="005C1789">
        <w:rPr>
          <w:rFonts w:ascii="Verdana" w:hAnsi="Verdana"/>
          <w:i w:val="0"/>
          <w:iCs/>
          <w:sz w:val="20"/>
          <w:szCs w:val="20"/>
          <w:lang w:val="es-ES"/>
        </w:rPr>
        <w:t xml:space="preserve">”. No obstante, la Comisión </w:t>
      </w:r>
      <w:r w:rsidR="003B4CB4">
        <w:rPr>
          <w:rFonts w:ascii="Verdana" w:hAnsi="Verdana"/>
          <w:i w:val="0"/>
          <w:iCs/>
          <w:sz w:val="20"/>
          <w:szCs w:val="20"/>
          <w:lang w:val="es-ES"/>
        </w:rPr>
        <w:t xml:space="preserve">destacó </w:t>
      </w:r>
      <w:r w:rsidRPr="005C1789">
        <w:rPr>
          <w:rFonts w:ascii="Verdana" w:hAnsi="Verdana"/>
          <w:i w:val="0"/>
          <w:iCs/>
          <w:sz w:val="20"/>
          <w:szCs w:val="20"/>
          <w:lang w:val="es-ES"/>
        </w:rPr>
        <w:t xml:space="preserve">que </w:t>
      </w:r>
      <w:r w:rsidR="00C67B0F" w:rsidRPr="005C1789">
        <w:rPr>
          <w:rFonts w:ascii="Verdana" w:hAnsi="Verdana"/>
          <w:i w:val="0"/>
          <w:iCs/>
          <w:sz w:val="20"/>
          <w:szCs w:val="20"/>
          <w:lang w:val="es-ES"/>
        </w:rPr>
        <w:t xml:space="preserve">el reconocimiento del Estado incluiría “las conclusiones de </w:t>
      </w:r>
      <w:r w:rsidR="00EA1B91" w:rsidRPr="005C1789">
        <w:rPr>
          <w:rFonts w:ascii="Verdana" w:hAnsi="Verdana"/>
          <w:i w:val="0"/>
          <w:iCs/>
          <w:sz w:val="20"/>
          <w:szCs w:val="20"/>
          <w:lang w:val="es-ES"/>
        </w:rPr>
        <w:t>hecho,</w:t>
      </w:r>
      <w:r w:rsidR="00C67B0F" w:rsidRPr="005C1789">
        <w:rPr>
          <w:rFonts w:ascii="Verdana" w:hAnsi="Verdana"/>
          <w:i w:val="0"/>
          <w:iCs/>
          <w:sz w:val="20"/>
          <w:szCs w:val="20"/>
          <w:lang w:val="es-ES"/>
        </w:rPr>
        <w:t xml:space="preserve"> pero no todas las conclusiones de derecho establecidas en el Informe de Fondo”. En particular, la Comisión resaltó que el Estado “no realizó un reconocimiento sobre la violación del artículo 2 de la Convención Americana, relacionado con el deber de adoptar disposiciones de derecho interno, así como la medida de reparación relacionada con modificaciones legislativa</w:t>
      </w:r>
      <w:r w:rsidR="002A657B" w:rsidRPr="005C1789">
        <w:rPr>
          <w:rFonts w:ascii="Verdana" w:hAnsi="Verdana"/>
          <w:i w:val="0"/>
          <w:iCs/>
          <w:sz w:val="20"/>
          <w:szCs w:val="20"/>
          <w:lang w:val="es-ES"/>
        </w:rPr>
        <w:t>s</w:t>
      </w:r>
      <w:r w:rsidR="00C67B0F" w:rsidRPr="005C1789">
        <w:rPr>
          <w:rFonts w:ascii="Verdana" w:hAnsi="Verdana"/>
          <w:i w:val="0"/>
          <w:iCs/>
          <w:sz w:val="20"/>
          <w:szCs w:val="20"/>
          <w:lang w:val="es-ES"/>
        </w:rPr>
        <w:t>”</w:t>
      </w:r>
      <w:r w:rsidRPr="005C1789">
        <w:rPr>
          <w:rFonts w:ascii="Verdana" w:hAnsi="Verdana"/>
          <w:i w:val="0"/>
          <w:iCs/>
          <w:sz w:val="20"/>
          <w:szCs w:val="20"/>
          <w:lang w:val="es-ES"/>
        </w:rPr>
        <w:t xml:space="preserve">. </w:t>
      </w:r>
    </w:p>
    <w:p w14:paraId="6AED12E7" w14:textId="53503603" w:rsidR="009966EA" w:rsidRPr="005C1789" w:rsidRDefault="00B034AC"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Batang" w:hAnsi="Verdana"/>
          <w:i w:val="0"/>
          <w:iCs/>
          <w:sz w:val="20"/>
          <w:szCs w:val="20"/>
          <w:lang w:val="es-ES" w:eastAsia="en-US"/>
        </w:rPr>
      </w:pPr>
      <w:r w:rsidRPr="005C1789">
        <w:rPr>
          <w:rFonts w:ascii="Verdana" w:hAnsi="Verdana"/>
          <w:i w:val="0"/>
          <w:iCs/>
          <w:sz w:val="20"/>
          <w:szCs w:val="20"/>
          <w:lang w:val="es-ES"/>
        </w:rPr>
        <w:t>Lo</w:t>
      </w:r>
      <w:r w:rsidR="009966EA" w:rsidRPr="005C1789">
        <w:rPr>
          <w:rFonts w:ascii="Verdana" w:hAnsi="Verdana"/>
          <w:i w:val="0"/>
          <w:iCs/>
          <w:sz w:val="20"/>
          <w:szCs w:val="20"/>
          <w:lang w:val="es-ES"/>
        </w:rPr>
        <w:t xml:space="preserve">s </w:t>
      </w:r>
      <w:r w:rsidR="009966EA" w:rsidRPr="005C1789">
        <w:rPr>
          <w:rFonts w:ascii="Verdana" w:hAnsi="Verdana"/>
          <w:b/>
          <w:bCs/>
          <w:sz w:val="20"/>
          <w:szCs w:val="20"/>
          <w:lang w:val="es-ES"/>
        </w:rPr>
        <w:t>representantes</w:t>
      </w:r>
      <w:r w:rsidR="009966EA" w:rsidRPr="005C1789">
        <w:rPr>
          <w:rFonts w:ascii="Verdana" w:hAnsi="Verdana"/>
          <w:i w:val="0"/>
          <w:iCs/>
          <w:sz w:val="20"/>
          <w:szCs w:val="20"/>
          <w:lang w:val="es-ES"/>
        </w:rPr>
        <w:t xml:space="preserve"> </w:t>
      </w:r>
      <w:r w:rsidRPr="005C1789">
        <w:rPr>
          <w:rFonts w:ascii="Verdana" w:hAnsi="Verdana"/>
          <w:i w:val="0"/>
          <w:iCs/>
          <w:sz w:val="20"/>
          <w:szCs w:val="20"/>
          <w:lang w:val="es-ES"/>
        </w:rPr>
        <w:t xml:space="preserve">“toma[ron] nota de la declaración realizada por el Estado mexicano durante la audiencia pública </w:t>
      </w:r>
      <w:r w:rsidR="00D827C4">
        <w:rPr>
          <w:rFonts w:ascii="Verdana" w:hAnsi="Verdana"/>
          <w:i w:val="0"/>
          <w:iCs/>
          <w:sz w:val="20"/>
          <w:szCs w:val="20"/>
          <w:lang w:val="es-ES"/>
        </w:rPr>
        <w:t>de</w:t>
      </w:r>
      <w:r w:rsidR="00D827C4" w:rsidRPr="005C1789">
        <w:rPr>
          <w:rFonts w:ascii="Verdana" w:hAnsi="Verdana"/>
          <w:i w:val="0"/>
          <w:iCs/>
          <w:sz w:val="20"/>
          <w:szCs w:val="20"/>
          <w:lang w:val="es-ES"/>
        </w:rPr>
        <w:t xml:space="preserve"> </w:t>
      </w:r>
      <w:r w:rsidRPr="005C1789">
        <w:rPr>
          <w:rFonts w:ascii="Verdana" w:hAnsi="Verdana"/>
          <w:i w:val="0"/>
          <w:iCs/>
          <w:sz w:val="20"/>
          <w:szCs w:val="20"/>
          <w:lang w:val="es-ES"/>
        </w:rPr>
        <w:t>23 de junio de 2022 por la que […] presentó un allanamiento parcial sobre la mayoría de las pretensiones de la representación de las víctimas”.</w:t>
      </w:r>
    </w:p>
    <w:p w14:paraId="23FB298C" w14:textId="46EE3F60" w:rsidR="009966EA" w:rsidRPr="005C1789" w:rsidRDefault="009966EA" w:rsidP="00955888">
      <w:pPr>
        <w:pStyle w:val="Ttulo2"/>
        <w:numPr>
          <w:ilvl w:val="0"/>
          <w:numId w:val="10"/>
        </w:numPr>
        <w:spacing w:before="240" w:after="240"/>
        <w:rPr>
          <w:rFonts w:ascii="Verdana" w:hAnsi="Verdana"/>
          <w:i/>
          <w:color w:val="auto"/>
          <w:sz w:val="20"/>
          <w:szCs w:val="20"/>
        </w:rPr>
      </w:pPr>
      <w:bookmarkStart w:id="32" w:name="_Toc74911304"/>
      <w:bookmarkStart w:id="33" w:name="_Toc93400230"/>
      <w:bookmarkStart w:id="34" w:name="_Toc123347503"/>
      <w:r w:rsidRPr="005C1789">
        <w:rPr>
          <w:rFonts w:ascii="Verdana" w:hAnsi="Verdana"/>
          <w:i/>
          <w:color w:val="auto"/>
          <w:sz w:val="20"/>
          <w:szCs w:val="20"/>
        </w:rPr>
        <w:t>Consideraciones de la Corte</w:t>
      </w:r>
      <w:bookmarkEnd w:id="32"/>
      <w:bookmarkEnd w:id="33"/>
      <w:bookmarkEnd w:id="34"/>
    </w:p>
    <w:p w14:paraId="75759CA0" w14:textId="6058F69B" w:rsidR="009966EA"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De conformidad con los artículos 62 y 64 del Reglamento</w:t>
      </w:r>
      <w:r w:rsidR="00640EB7" w:rsidRPr="005C1789">
        <w:rPr>
          <w:rFonts w:ascii="Verdana" w:hAnsi="Verdana"/>
          <w:i w:val="0"/>
          <w:iCs/>
          <w:sz w:val="20"/>
          <w:szCs w:val="20"/>
          <w:lang w:val="es-ES"/>
        </w:rPr>
        <w:t xml:space="preserve"> de la Corte</w:t>
      </w:r>
      <w:r w:rsidRPr="005C1789">
        <w:rPr>
          <w:rFonts w:ascii="Verdana" w:hAnsi="Verdana"/>
          <w:i w:val="0"/>
          <w:iCs/>
          <w:sz w:val="20"/>
          <w:szCs w:val="20"/>
          <w:lang w:val="es-ES"/>
        </w:rPr>
        <w:t>,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Pr="005C1789">
        <w:rPr>
          <w:rStyle w:val="Refdenotaalpie"/>
          <w:rFonts w:ascii="Verdana" w:eastAsia="Batang" w:hAnsi="Verdana"/>
          <w:i w:val="0"/>
          <w:iCs/>
          <w:sz w:val="20"/>
          <w:lang w:val="es-ES"/>
        </w:rPr>
        <w:footnoteReference w:id="14"/>
      </w:r>
      <w:r w:rsidRPr="005C1789">
        <w:rPr>
          <w:rFonts w:ascii="Verdana" w:hAnsi="Verdana"/>
          <w:i w:val="0"/>
          <w:iCs/>
          <w:sz w:val="20"/>
          <w:szCs w:val="20"/>
          <w:lang w:val="es-ES"/>
        </w:rPr>
        <w:t>. A continuación, el Tribunal analizará la situación planteada en este caso en concreto.</w:t>
      </w:r>
    </w:p>
    <w:p w14:paraId="3C068BE1" w14:textId="03AB80FF" w:rsidR="009966EA" w:rsidRPr="005C1789" w:rsidRDefault="00C25D34" w:rsidP="00955888">
      <w:pPr>
        <w:pStyle w:val="Ttulo3"/>
        <w:spacing w:before="240" w:after="240"/>
        <w:ind w:left="567"/>
        <w:rPr>
          <w:rFonts w:ascii="Verdana" w:hAnsi="Verdana"/>
          <w:bCs w:val="0"/>
          <w:snapToGrid w:val="0"/>
          <w:spacing w:val="-2"/>
          <w:sz w:val="20"/>
          <w:szCs w:val="20"/>
          <w:lang w:eastAsia="es-ES"/>
        </w:rPr>
      </w:pPr>
      <w:bookmarkStart w:id="35" w:name="_Toc74911305"/>
      <w:bookmarkStart w:id="36" w:name="_Toc93400231"/>
      <w:bookmarkStart w:id="37" w:name="_Toc123347504"/>
      <w:r w:rsidRPr="005C1789">
        <w:rPr>
          <w:rFonts w:ascii="Verdana" w:hAnsi="Verdana"/>
          <w:bCs w:val="0"/>
          <w:snapToGrid w:val="0"/>
          <w:spacing w:val="-2"/>
          <w:sz w:val="20"/>
          <w:szCs w:val="20"/>
          <w:lang w:eastAsia="es-ES"/>
        </w:rPr>
        <w:t>B</w:t>
      </w:r>
      <w:r w:rsidR="009966EA" w:rsidRPr="005C1789">
        <w:rPr>
          <w:rFonts w:ascii="Verdana" w:hAnsi="Verdana"/>
          <w:bCs w:val="0"/>
          <w:snapToGrid w:val="0"/>
          <w:spacing w:val="-2"/>
          <w:sz w:val="20"/>
          <w:szCs w:val="20"/>
          <w:lang w:eastAsia="es-ES"/>
        </w:rPr>
        <w:t>.1 En cuanto a los hechos</w:t>
      </w:r>
      <w:bookmarkEnd w:id="35"/>
      <w:bookmarkEnd w:id="36"/>
      <w:bookmarkEnd w:id="37"/>
    </w:p>
    <w:p w14:paraId="623103FD" w14:textId="50476CB1" w:rsidR="009966EA"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 xml:space="preserve">En el presente caso, el Estado realizó un reconocimiento parcial </w:t>
      </w:r>
      <w:r w:rsidR="00924D7C" w:rsidRPr="005C1789">
        <w:rPr>
          <w:rFonts w:ascii="Verdana" w:hAnsi="Verdana"/>
          <w:i w:val="0"/>
          <w:iCs/>
          <w:sz w:val="20"/>
          <w:szCs w:val="20"/>
          <w:lang w:val="es-ES"/>
        </w:rPr>
        <w:t>de</w:t>
      </w:r>
      <w:r w:rsidR="00E01437" w:rsidRPr="005C1789">
        <w:rPr>
          <w:rFonts w:ascii="Verdana" w:hAnsi="Verdana"/>
          <w:i w:val="0"/>
          <w:iCs/>
          <w:sz w:val="20"/>
          <w:szCs w:val="20"/>
          <w:lang w:val="es-ES"/>
        </w:rPr>
        <w:t xml:space="preserve"> responsabilidad internacional </w:t>
      </w:r>
      <w:r w:rsidRPr="005C1789">
        <w:rPr>
          <w:rFonts w:ascii="Verdana" w:eastAsia="Batang" w:hAnsi="Verdana"/>
          <w:i w:val="0"/>
          <w:iCs/>
          <w:sz w:val="20"/>
          <w:szCs w:val="20"/>
          <w:lang w:val="es-ES" w:eastAsia="en-US"/>
        </w:rPr>
        <w:t xml:space="preserve">por la </w:t>
      </w:r>
      <w:r w:rsidRPr="005C1789">
        <w:rPr>
          <w:rFonts w:ascii="Verdana" w:hAnsi="Verdana"/>
          <w:i w:val="0"/>
          <w:iCs/>
          <w:sz w:val="20"/>
          <w:szCs w:val="20"/>
        </w:rPr>
        <w:t>violación</w:t>
      </w:r>
      <w:r w:rsidRPr="005C1789">
        <w:rPr>
          <w:rFonts w:ascii="Verdana" w:eastAsia="Batang" w:hAnsi="Verdana"/>
          <w:i w:val="0"/>
          <w:iCs/>
          <w:sz w:val="20"/>
          <w:szCs w:val="20"/>
          <w:lang w:val="es-ES" w:eastAsia="en-US"/>
        </w:rPr>
        <w:t xml:space="preserve"> </w:t>
      </w:r>
      <w:r w:rsidR="00ED2A69" w:rsidRPr="005C1789">
        <w:rPr>
          <w:rFonts w:ascii="Verdana" w:eastAsia="Batang" w:hAnsi="Verdana"/>
          <w:i w:val="0"/>
          <w:iCs/>
          <w:sz w:val="20"/>
          <w:szCs w:val="20"/>
          <w:lang w:val="es-ES" w:eastAsia="en-US"/>
        </w:rPr>
        <w:t>a varios</w:t>
      </w:r>
      <w:r w:rsidRPr="005C1789">
        <w:rPr>
          <w:rFonts w:ascii="Verdana" w:eastAsia="Batang" w:hAnsi="Verdana"/>
          <w:i w:val="0"/>
          <w:iCs/>
          <w:sz w:val="20"/>
          <w:szCs w:val="20"/>
          <w:lang w:val="es-ES" w:eastAsia="en-US"/>
        </w:rPr>
        <w:t xml:space="preserve"> artículos</w:t>
      </w:r>
      <w:r w:rsidR="00AE0CF9" w:rsidRPr="005C1789">
        <w:rPr>
          <w:rFonts w:ascii="Verdana" w:eastAsia="Batang" w:hAnsi="Verdana"/>
          <w:i w:val="0"/>
          <w:iCs/>
          <w:sz w:val="20"/>
          <w:szCs w:val="20"/>
          <w:lang w:val="es-ES" w:eastAsia="en-US"/>
        </w:rPr>
        <w:t xml:space="preserve"> de la Convención Americana en contra de los señores Jorge Marcial </w:t>
      </w:r>
      <w:proofErr w:type="spellStart"/>
      <w:r w:rsidR="00AE0CF9" w:rsidRPr="005C1789">
        <w:rPr>
          <w:rFonts w:ascii="Verdana" w:eastAsia="Batang" w:hAnsi="Verdana"/>
          <w:i w:val="0"/>
          <w:iCs/>
          <w:sz w:val="20"/>
          <w:szCs w:val="20"/>
          <w:lang w:val="es-ES" w:eastAsia="en-US"/>
        </w:rPr>
        <w:t>Tzompaxtle</w:t>
      </w:r>
      <w:proofErr w:type="spellEnd"/>
      <w:r w:rsidR="00AE0CF9" w:rsidRPr="005C1789">
        <w:rPr>
          <w:rFonts w:ascii="Verdana" w:eastAsia="Batang" w:hAnsi="Verdana"/>
          <w:i w:val="0"/>
          <w:iCs/>
          <w:sz w:val="20"/>
          <w:szCs w:val="20"/>
          <w:lang w:val="es-ES" w:eastAsia="en-US"/>
        </w:rPr>
        <w:t xml:space="preserve"> </w:t>
      </w:r>
      <w:proofErr w:type="spellStart"/>
      <w:r w:rsidR="00AE0CF9" w:rsidRPr="005C1789">
        <w:rPr>
          <w:rFonts w:ascii="Verdana" w:eastAsia="Batang" w:hAnsi="Verdana"/>
          <w:i w:val="0"/>
          <w:iCs/>
          <w:sz w:val="20"/>
          <w:szCs w:val="20"/>
          <w:lang w:val="es-ES" w:eastAsia="en-US"/>
        </w:rPr>
        <w:t>Tecpile</w:t>
      </w:r>
      <w:proofErr w:type="spellEnd"/>
      <w:r w:rsidR="00AE0CF9" w:rsidRPr="005C1789">
        <w:rPr>
          <w:rFonts w:ascii="Verdana" w:eastAsia="Batang" w:hAnsi="Verdana"/>
          <w:i w:val="0"/>
          <w:iCs/>
          <w:sz w:val="20"/>
          <w:szCs w:val="20"/>
          <w:lang w:val="es-ES" w:eastAsia="en-US"/>
        </w:rPr>
        <w:t xml:space="preserve">, Gerardo </w:t>
      </w:r>
      <w:proofErr w:type="spellStart"/>
      <w:r w:rsidR="00AE0CF9" w:rsidRPr="005C1789">
        <w:rPr>
          <w:rFonts w:ascii="Verdana" w:eastAsia="Batang" w:hAnsi="Verdana"/>
          <w:i w:val="0"/>
          <w:iCs/>
          <w:sz w:val="20"/>
          <w:szCs w:val="20"/>
          <w:lang w:val="es-ES" w:eastAsia="en-US"/>
        </w:rPr>
        <w:t>Tzompaxtle</w:t>
      </w:r>
      <w:proofErr w:type="spellEnd"/>
      <w:r w:rsidR="00AE0CF9" w:rsidRPr="005C1789">
        <w:rPr>
          <w:rFonts w:ascii="Verdana" w:eastAsia="Batang" w:hAnsi="Verdana"/>
          <w:i w:val="0"/>
          <w:iCs/>
          <w:sz w:val="20"/>
          <w:szCs w:val="20"/>
          <w:lang w:val="es-ES" w:eastAsia="en-US"/>
        </w:rPr>
        <w:t xml:space="preserve"> </w:t>
      </w:r>
      <w:proofErr w:type="spellStart"/>
      <w:r w:rsidR="00AE0CF9" w:rsidRPr="005C1789">
        <w:rPr>
          <w:rFonts w:ascii="Verdana" w:eastAsia="Batang" w:hAnsi="Verdana"/>
          <w:i w:val="0"/>
          <w:iCs/>
          <w:sz w:val="20"/>
          <w:szCs w:val="20"/>
          <w:lang w:val="es-ES" w:eastAsia="en-US"/>
        </w:rPr>
        <w:t>Tecpile</w:t>
      </w:r>
      <w:proofErr w:type="spellEnd"/>
      <w:r w:rsidR="00AE0CF9" w:rsidRPr="005C1789">
        <w:rPr>
          <w:rFonts w:ascii="Verdana" w:eastAsia="Batang" w:hAnsi="Verdana"/>
          <w:i w:val="0"/>
          <w:iCs/>
          <w:sz w:val="20"/>
          <w:szCs w:val="20"/>
          <w:lang w:val="es-ES" w:eastAsia="en-US"/>
        </w:rPr>
        <w:t xml:space="preserve"> y Gustavo Robles López. </w:t>
      </w:r>
      <w:r w:rsidR="00AE0CF9" w:rsidRPr="005C1789">
        <w:rPr>
          <w:rFonts w:ascii="Verdana" w:hAnsi="Verdana"/>
          <w:i w:val="0"/>
          <w:iCs/>
          <w:sz w:val="20"/>
          <w:szCs w:val="20"/>
          <w:lang w:val="es-ES"/>
        </w:rPr>
        <w:t>Sostuvo</w:t>
      </w:r>
      <w:r w:rsidR="00AE0CF9" w:rsidRPr="005C1789">
        <w:rPr>
          <w:rFonts w:ascii="Verdana" w:eastAsia="Batang" w:hAnsi="Verdana"/>
          <w:i w:val="0"/>
          <w:iCs/>
          <w:sz w:val="20"/>
          <w:szCs w:val="20"/>
          <w:lang w:val="es-ES" w:eastAsia="en-US"/>
        </w:rPr>
        <w:t xml:space="preserve"> que “[l]o anterior</w:t>
      </w:r>
      <w:r w:rsidRPr="005C1789">
        <w:rPr>
          <w:rFonts w:ascii="Verdana" w:eastAsia="Batang" w:hAnsi="Verdana"/>
          <w:i w:val="0"/>
          <w:iCs/>
          <w:sz w:val="20"/>
          <w:szCs w:val="20"/>
          <w:lang w:val="es-ES" w:eastAsia="en-US"/>
        </w:rPr>
        <w:t xml:space="preserve"> </w:t>
      </w:r>
      <w:r w:rsidR="00AE0CF9" w:rsidRPr="005C1789">
        <w:rPr>
          <w:rFonts w:ascii="Verdana" w:hAnsi="Verdana"/>
          <w:i w:val="0"/>
          <w:iCs/>
          <w:sz w:val="20"/>
          <w:szCs w:val="20"/>
          <w:lang w:val="es-ES"/>
        </w:rPr>
        <w:t>causado por la retención, revisión del vehículo, falta de información sobre las razones de su detención, falta de presentación sin demora ante el juez, falta de notificación previa y detallada de los cargos, falta de defensa técnica en los primeros días posteriores a la detención</w:t>
      </w:r>
      <w:r w:rsidR="00AE0CF9" w:rsidRPr="005C1789">
        <w:rPr>
          <w:rFonts w:ascii="Verdana" w:eastAsia="Batang" w:hAnsi="Verdana"/>
          <w:i w:val="0"/>
          <w:iCs/>
          <w:sz w:val="20"/>
          <w:szCs w:val="20"/>
          <w:lang w:val="es-ES" w:eastAsia="en-US"/>
        </w:rPr>
        <w:t xml:space="preserve">”. </w:t>
      </w:r>
      <w:r w:rsidRPr="005C1789">
        <w:rPr>
          <w:rFonts w:ascii="Verdana" w:eastAsia="Batang" w:hAnsi="Verdana"/>
          <w:i w:val="0"/>
          <w:iCs/>
          <w:sz w:val="20"/>
          <w:szCs w:val="20"/>
          <w:lang w:val="es-ES" w:eastAsia="en-US"/>
        </w:rPr>
        <w:t xml:space="preserve">A </w:t>
      </w:r>
      <w:r w:rsidR="00D75EE5" w:rsidRPr="005C1789">
        <w:rPr>
          <w:rFonts w:ascii="Verdana" w:eastAsia="Batang" w:hAnsi="Verdana"/>
          <w:i w:val="0"/>
          <w:iCs/>
          <w:sz w:val="20"/>
          <w:szCs w:val="20"/>
          <w:lang w:val="es-ES" w:eastAsia="en-US"/>
        </w:rPr>
        <w:t>ello</w:t>
      </w:r>
      <w:r w:rsidRPr="005C1789">
        <w:rPr>
          <w:rFonts w:ascii="Verdana" w:eastAsia="Batang" w:hAnsi="Verdana"/>
          <w:i w:val="0"/>
          <w:iCs/>
          <w:sz w:val="20"/>
          <w:szCs w:val="20"/>
          <w:lang w:val="es-ES" w:eastAsia="en-US"/>
        </w:rPr>
        <w:t xml:space="preserve"> se </w:t>
      </w:r>
      <w:r w:rsidR="00AE0CF9" w:rsidRPr="005C1789">
        <w:rPr>
          <w:rFonts w:ascii="Verdana" w:eastAsia="Batang" w:hAnsi="Verdana"/>
          <w:i w:val="0"/>
          <w:iCs/>
          <w:sz w:val="20"/>
          <w:szCs w:val="20"/>
          <w:lang w:val="es-ES" w:eastAsia="en-US"/>
        </w:rPr>
        <w:t>une la violación del artículo 5</w:t>
      </w:r>
      <w:r w:rsidR="00AC3AB7">
        <w:rPr>
          <w:rFonts w:ascii="Verdana" w:eastAsia="Batang" w:hAnsi="Verdana"/>
          <w:i w:val="0"/>
          <w:iCs/>
          <w:sz w:val="20"/>
          <w:szCs w:val="20"/>
          <w:lang w:val="es-ES" w:eastAsia="en-US"/>
        </w:rPr>
        <w:t xml:space="preserve"> de la Convención Americana</w:t>
      </w:r>
      <w:r w:rsidR="00AE0CF9" w:rsidRPr="005C1789">
        <w:rPr>
          <w:rFonts w:ascii="Verdana" w:eastAsia="Batang" w:hAnsi="Verdana"/>
          <w:i w:val="0"/>
          <w:iCs/>
          <w:sz w:val="20"/>
          <w:szCs w:val="20"/>
          <w:lang w:val="es-ES" w:eastAsia="en-US"/>
        </w:rPr>
        <w:t xml:space="preserve">, en relación con el artículo 1.1 del mismo instrumento, en relación con la integridad personal de las víctimas, por el aislamiento e incomunicación durante su </w:t>
      </w:r>
      <w:r w:rsidR="00AE0CF9" w:rsidRPr="005C1789">
        <w:rPr>
          <w:rFonts w:ascii="Verdana" w:eastAsia="Batang" w:hAnsi="Verdana"/>
          <w:i w:val="0"/>
          <w:iCs/>
          <w:sz w:val="20"/>
          <w:szCs w:val="20"/>
          <w:lang w:val="es-ES" w:eastAsia="en-US"/>
        </w:rPr>
        <w:lastRenderedPageBreak/>
        <w:t>retención</w:t>
      </w:r>
      <w:r w:rsidR="00ED2A69" w:rsidRPr="005C1789">
        <w:rPr>
          <w:rFonts w:ascii="Verdana" w:eastAsia="Batang" w:hAnsi="Verdana"/>
          <w:i w:val="0"/>
          <w:iCs/>
          <w:sz w:val="20"/>
          <w:szCs w:val="20"/>
          <w:lang w:val="es-ES" w:eastAsia="en-US"/>
        </w:rPr>
        <w:t xml:space="preserve">. A luz de lo indicado, el Tribunal entiende que, el reconocimiento implica </w:t>
      </w:r>
      <w:r w:rsidR="00FD4ED7" w:rsidRPr="005C1789">
        <w:rPr>
          <w:rFonts w:ascii="Verdana" w:eastAsia="Batang" w:hAnsi="Verdana"/>
          <w:i w:val="0"/>
          <w:iCs/>
          <w:sz w:val="20"/>
          <w:szCs w:val="20"/>
          <w:lang w:val="es-ES" w:eastAsia="en-US"/>
        </w:rPr>
        <w:t xml:space="preserve">la </w:t>
      </w:r>
      <w:r w:rsidR="00ED2A69" w:rsidRPr="005C1789">
        <w:rPr>
          <w:rFonts w:ascii="Verdana" w:eastAsia="Batang" w:hAnsi="Verdana"/>
          <w:i w:val="0"/>
          <w:iCs/>
          <w:sz w:val="20"/>
          <w:szCs w:val="20"/>
          <w:lang w:val="es-ES" w:eastAsia="en-US"/>
        </w:rPr>
        <w:t xml:space="preserve">aceptación </w:t>
      </w:r>
      <w:r w:rsidR="00FD4ED7" w:rsidRPr="005C1789">
        <w:rPr>
          <w:rFonts w:ascii="Verdana" w:eastAsia="Batang" w:hAnsi="Verdana"/>
          <w:i w:val="0"/>
          <w:iCs/>
          <w:sz w:val="20"/>
          <w:szCs w:val="20"/>
          <w:lang w:val="es-ES" w:eastAsia="en-US"/>
        </w:rPr>
        <w:t xml:space="preserve">de los hechos </w:t>
      </w:r>
      <w:r w:rsidR="00ED2A69" w:rsidRPr="005C1789">
        <w:rPr>
          <w:rFonts w:ascii="Verdana" w:eastAsia="Batang" w:hAnsi="Verdana"/>
          <w:i w:val="0"/>
          <w:iCs/>
          <w:sz w:val="20"/>
          <w:szCs w:val="20"/>
          <w:lang w:val="es-ES" w:eastAsia="en-US"/>
        </w:rPr>
        <w:t xml:space="preserve">en los términos </w:t>
      </w:r>
      <w:r w:rsidR="003639DB" w:rsidRPr="005C1789">
        <w:rPr>
          <w:rFonts w:ascii="Verdana" w:eastAsia="Batang" w:hAnsi="Verdana"/>
          <w:i w:val="0"/>
          <w:iCs/>
          <w:sz w:val="20"/>
          <w:szCs w:val="20"/>
          <w:lang w:val="es-ES" w:eastAsia="en-US"/>
        </w:rPr>
        <w:t>en</w:t>
      </w:r>
      <w:r w:rsidR="004E3977" w:rsidRPr="005C1789">
        <w:rPr>
          <w:rFonts w:ascii="Verdana" w:eastAsia="Batang" w:hAnsi="Verdana"/>
          <w:i w:val="0"/>
          <w:iCs/>
          <w:sz w:val="20"/>
          <w:szCs w:val="20"/>
          <w:lang w:val="es-ES" w:eastAsia="en-US"/>
        </w:rPr>
        <w:t xml:space="preserve"> que</w:t>
      </w:r>
      <w:r w:rsidR="003639DB" w:rsidRPr="005C1789">
        <w:rPr>
          <w:rFonts w:ascii="Verdana" w:eastAsia="Batang" w:hAnsi="Verdana"/>
          <w:i w:val="0"/>
          <w:iCs/>
          <w:sz w:val="20"/>
          <w:szCs w:val="20"/>
          <w:lang w:val="es-ES" w:eastAsia="en-US"/>
        </w:rPr>
        <w:t xml:space="preserve"> están </w:t>
      </w:r>
      <w:r w:rsidR="00370BEB" w:rsidRPr="005C1789">
        <w:rPr>
          <w:rFonts w:ascii="Verdana" w:eastAsia="Batang" w:hAnsi="Verdana"/>
          <w:i w:val="0"/>
          <w:iCs/>
          <w:sz w:val="20"/>
          <w:szCs w:val="20"/>
          <w:lang w:val="es-ES" w:eastAsia="en-US"/>
        </w:rPr>
        <w:t xml:space="preserve">establecidos </w:t>
      </w:r>
      <w:r w:rsidR="00ED2A69" w:rsidRPr="005C1789">
        <w:rPr>
          <w:rFonts w:ascii="Verdana" w:eastAsia="Batang" w:hAnsi="Verdana"/>
          <w:i w:val="0"/>
          <w:iCs/>
          <w:sz w:val="20"/>
          <w:szCs w:val="20"/>
          <w:lang w:val="es-ES" w:eastAsia="en-US"/>
        </w:rPr>
        <w:t>en el Informe de Fondo.</w:t>
      </w:r>
    </w:p>
    <w:p w14:paraId="17315DDC" w14:textId="03524C06" w:rsidR="00AE0CF9" w:rsidRPr="005C1789" w:rsidRDefault="00AE0CF9"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bookmarkStart w:id="38" w:name="_Hlk110930653"/>
      <w:r w:rsidRPr="005C1789">
        <w:rPr>
          <w:rFonts w:ascii="Verdana" w:hAnsi="Verdana" w:cstheme="minorHAnsi"/>
          <w:i w:val="0"/>
          <w:iCs/>
          <w:sz w:val="20"/>
          <w:szCs w:val="20"/>
          <w:lang w:val="es-ES"/>
        </w:rPr>
        <w:t xml:space="preserve">De conformidad con lo anterior, la Corte considera que la controversia </w:t>
      </w:r>
      <w:r w:rsidR="00E3409C" w:rsidRPr="005C1789">
        <w:rPr>
          <w:rFonts w:ascii="Verdana" w:hAnsi="Verdana" w:cstheme="minorHAnsi"/>
          <w:i w:val="0"/>
          <w:iCs/>
          <w:sz w:val="20"/>
          <w:szCs w:val="20"/>
          <w:lang w:val="es-ES"/>
        </w:rPr>
        <w:t>h</w:t>
      </w:r>
      <w:r w:rsidRPr="005C1789">
        <w:rPr>
          <w:rFonts w:ascii="Verdana" w:hAnsi="Verdana" w:cstheme="minorHAnsi"/>
          <w:i w:val="0"/>
          <w:iCs/>
          <w:sz w:val="20"/>
          <w:szCs w:val="20"/>
          <w:lang w:val="es-ES"/>
        </w:rPr>
        <w:t xml:space="preserve">a cesado respecto de </w:t>
      </w:r>
      <w:r w:rsidR="00FA48AD" w:rsidRPr="005C1789">
        <w:rPr>
          <w:rFonts w:ascii="Verdana" w:hAnsi="Verdana" w:cstheme="minorHAnsi"/>
          <w:i w:val="0"/>
          <w:iCs/>
          <w:sz w:val="20"/>
          <w:szCs w:val="20"/>
          <w:lang w:val="es-ES"/>
        </w:rPr>
        <w:t xml:space="preserve">la base fáctica del caso que se encontraba en controversia, a saber </w:t>
      </w:r>
      <w:r w:rsidRPr="005C1789">
        <w:rPr>
          <w:rFonts w:ascii="Verdana" w:hAnsi="Verdana" w:cstheme="minorHAnsi"/>
          <w:i w:val="0"/>
          <w:iCs/>
          <w:sz w:val="20"/>
          <w:szCs w:val="20"/>
          <w:lang w:val="es-ES"/>
        </w:rPr>
        <w:t>los siguientes hechos: a) la retención y revisión del vehículo</w:t>
      </w:r>
      <w:r w:rsidR="00FA48AD" w:rsidRPr="005C1789">
        <w:rPr>
          <w:rFonts w:ascii="Verdana" w:hAnsi="Verdana" w:cstheme="minorHAnsi"/>
          <w:i w:val="0"/>
          <w:iCs/>
          <w:sz w:val="20"/>
          <w:szCs w:val="20"/>
          <w:lang w:val="es-ES"/>
        </w:rPr>
        <w:t xml:space="preserve"> en el que se encontraban Jorge Marcial </w:t>
      </w:r>
      <w:proofErr w:type="spellStart"/>
      <w:r w:rsidR="00FA48AD" w:rsidRPr="005C1789">
        <w:rPr>
          <w:rFonts w:ascii="Verdana" w:hAnsi="Verdana" w:cstheme="minorHAnsi"/>
          <w:i w:val="0"/>
          <w:iCs/>
          <w:sz w:val="20"/>
          <w:szCs w:val="20"/>
          <w:lang w:val="es-ES"/>
        </w:rPr>
        <w:t>Tzompaxtle</w:t>
      </w:r>
      <w:proofErr w:type="spellEnd"/>
      <w:r w:rsidR="00FA48AD" w:rsidRPr="005C1789">
        <w:rPr>
          <w:rFonts w:ascii="Verdana" w:hAnsi="Verdana" w:cstheme="minorHAnsi"/>
          <w:i w:val="0"/>
          <w:iCs/>
          <w:sz w:val="20"/>
          <w:szCs w:val="20"/>
          <w:lang w:val="es-ES"/>
        </w:rPr>
        <w:t xml:space="preserve"> </w:t>
      </w:r>
      <w:proofErr w:type="spellStart"/>
      <w:r w:rsidR="00FA48AD" w:rsidRPr="005C1789">
        <w:rPr>
          <w:rFonts w:ascii="Verdana" w:hAnsi="Verdana" w:cstheme="minorHAnsi"/>
          <w:i w:val="0"/>
          <w:iCs/>
          <w:sz w:val="20"/>
          <w:szCs w:val="20"/>
          <w:lang w:val="es-ES"/>
        </w:rPr>
        <w:t>Tecpile</w:t>
      </w:r>
      <w:proofErr w:type="spellEnd"/>
      <w:r w:rsidR="00FA48AD" w:rsidRPr="005C1789">
        <w:rPr>
          <w:rFonts w:ascii="Verdana" w:hAnsi="Verdana" w:cstheme="minorHAnsi"/>
          <w:i w:val="0"/>
          <w:iCs/>
          <w:sz w:val="20"/>
          <w:szCs w:val="20"/>
          <w:lang w:val="es-ES"/>
        </w:rPr>
        <w:t xml:space="preserve">, Gerardo </w:t>
      </w:r>
      <w:proofErr w:type="spellStart"/>
      <w:r w:rsidR="00FA48AD" w:rsidRPr="005C1789">
        <w:rPr>
          <w:rFonts w:ascii="Verdana" w:hAnsi="Verdana" w:cstheme="minorHAnsi"/>
          <w:i w:val="0"/>
          <w:iCs/>
          <w:sz w:val="20"/>
          <w:szCs w:val="20"/>
          <w:lang w:val="es-ES"/>
        </w:rPr>
        <w:t>Tzompaxtle</w:t>
      </w:r>
      <w:proofErr w:type="spellEnd"/>
      <w:r w:rsidR="00FA48AD" w:rsidRPr="005C1789">
        <w:rPr>
          <w:rFonts w:ascii="Verdana" w:hAnsi="Verdana" w:cstheme="minorHAnsi"/>
          <w:i w:val="0"/>
          <w:iCs/>
          <w:sz w:val="20"/>
          <w:szCs w:val="20"/>
          <w:lang w:val="es-ES"/>
        </w:rPr>
        <w:t xml:space="preserve"> </w:t>
      </w:r>
      <w:proofErr w:type="spellStart"/>
      <w:r w:rsidR="00FA48AD" w:rsidRPr="005C1789">
        <w:rPr>
          <w:rFonts w:ascii="Verdana" w:hAnsi="Verdana" w:cstheme="minorHAnsi"/>
          <w:i w:val="0"/>
          <w:iCs/>
          <w:sz w:val="20"/>
          <w:szCs w:val="20"/>
          <w:lang w:val="es-ES"/>
        </w:rPr>
        <w:t>Tecpile</w:t>
      </w:r>
      <w:proofErr w:type="spellEnd"/>
      <w:r w:rsidR="00FA48AD" w:rsidRPr="005C1789">
        <w:rPr>
          <w:rFonts w:ascii="Verdana" w:hAnsi="Verdana" w:cstheme="minorHAnsi"/>
          <w:i w:val="0"/>
          <w:iCs/>
          <w:sz w:val="20"/>
          <w:szCs w:val="20"/>
          <w:lang w:val="es-ES"/>
        </w:rPr>
        <w:t xml:space="preserve"> y Gustavo Robles López</w:t>
      </w:r>
      <w:r w:rsidR="00A716F3">
        <w:rPr>
          <w:rFonts w:ascii="Verdana" w:hAnsi="Verdana" w:cstheme="minorHAnsi"/>
          <w:i w:val="0"/>
          <w:iCs/>
          <w:sz w:val="20"/>
          <w:szCs w:val="20"/>
          <w:lang w:val="es-ES"/>
        </w:rPr>
        <w:t>;</w:t>
      </w:r>
      <w:r w:rsidRPr="005C1789">
        <w:rPr>
          <w:rFonts w:ascii="Verdana" w:hAnsi="Verdana" w:cstheme="minorHAnsi"/>
          <w:i w:val="0"/>
          <w:iCs/>
          <w:sz w:val="20"/>
          <w:szCs w:val="20"/>
          <w:lang w:val="es-ES"/>
        </w:rPr>
        <w:t xml:space="preserve"> </w:t>
      </w:r>
      <w:r w:rsidR="00FA48AD" w:rsidRPr="005C1789">
        <w:rPr>
          <w:rFonts w:ascii="Verdana" w:hAnsi="Verdana" w:cstheme="minorHAnsi"/>
          <w:i w:val="0"/>
          <w:iCs/>
          <w:sz w:val="20"/>
          <w:szCs w:val="20"/>
          <w:lang w:val="es-ES"/>
        </w:rPr>
        <w:t xml:space="preserve">b) la </w:t>
      </w:r>
      <w:r w:rsidRPr="005C1789">
        <w:rPr>
          <w:rFonts w:ascii="Verdana" w:hAnsi="Verdana" w:cstheme="minorHAnsi"/>
          <w:i w:val="0"/>
          <w:iCs/>
          <w:sz w:val="20"/>
          <w:szCs w:val="20"/>
          <w:lang w:val="es-ES"/>
        </w:rPr>
        <w:t xml:space="preserve">falta de información sobre las razones de </w:t>
      </w:r>
      <w:r w:rsidR="00FA48AD" w:rsidRPr="005C1789">
        <w:rPr>
          <w:rFonts w:ascii="Verdana" w:hAnsi="Verdana" w:cstheme="minorHAnsi"/>
          <w:i w:val="0"/>
          <w:iCs/>
          <w:sz w:val="20"/>
          <w:szCs w:val="20"/>
          <w:lang w:val="es-ES"/>
        </w:rPr>
        <w:t>la</w:t>
      </w:r>
      <w:r w:rsidRPr="005C1789">
        <w:rPr>
          <w:rFonts w:ascii="Verdana" w:hAnsi="Verdana" w:cstheme="minorHAnsi"/>
          <w:i w:val="0"/>
          <w:iCs/>
          <w:sz w:val="20"/>
          <w:szCs w:val="20"/>
          <w:lang w:val="es-ES"/>
        </w:rPr>
        <w:t xml:space="preserve"> detención</w:t>
      </w:r>
      <w:r w:rsidR="00FA48AD" w:rsidRPr="005C1789">
        <w:rPr>
          <w:rFonts w:ascii="Verdana" w:hAnsi="Verdana" w:cstheme="minorHAnsi"/>
          <w:i w:val="0"/>
          <w:iCs/>
          <w:sz w:val="20"/>
          <w:szCs w:val="20"/>
          <w:lang w:val="es-ES"/>
        </w:rPr>
        <w:t xml:space="preserve"> de las presuntas víctimas</w:t>
      </w:r>
      <w:r w:rsidR="00A716F3">
        <w:rPr>
          <w:rFonts w:ascii="Verdana" w:hAnsi="Verdana" w:cstheme="minorHAnsi"/>
          <w:i w:val="0"/>
          <w:iCs/>
          <w:sz w:val="20"/>
          <w:szCs w:val="20"/>
          <w:lang w:val="es-ES"/>
        </w:rPr>
        <w:t>;</w:t>
      </w:r>
      <w:r w:rsidRPr="005C1789">
        <w:rPr>
          <w:rFonts w:ascii="Verdana" w:hAnsi="Verdana" w:cstheme="minorHAnsi"/>
          <w:i w:val="0"/>
          <w:iCs/>
          <w:sz w:val="20"/>
          <w:szCs w:val="20"/>
          <w:lang w:val="es-ES"/>
        </w:rPr>
        <w:t xml:space="preserve"> </w:t>
      </w:r>
      <w:r w:rsidR="00FA48AD" w:rsidRPr="005C1789">
        <w:rPr>
          <w:rFonts w:ascii="Verdana" w:hAnsi="Verdana" w:cstheme="minorHAnsi"/>
          <w:i w:val="0"/>
          <w:iCs/>
          <w:sz w:val="20"/>
          <w:szCs w:val="20"/>
          <w:lang w:val="es-ES"/>
        </w:rPr>
        <w:t xml:space="preserve">c) la </w:t>
      </w:r>
      <w:r w:rsidRPr="005C1789">
        <w:rPr>
          <w:rFonts w:ascii="Verdana" w:hAnsi="Verdana" w:cstheme="minorHAnsi"/>
          <w:i w:val="0"/>
          <w:iCs/>
          <w:sz w:val="20"/>
          <w:szCs w:val="20"/>
          <w:lang w:val="es-ES"/>
        </w:rPr>
        <w:t xml:space="preserve">falta de presentación </w:t>
      </w:r>
      <w:r w:rsidR="00316C73" w:rsidRPr="005C1789">
        <w:rPr>
          <w:rFonts w:ascii="Verdana" w:hAnsi="Verdana" w:cstheme="minorHAnsi"/>
          <w:i w:val="0"/>
          <w:iCs/>
          <w:sz w:val="20"/>
          <w:szCs w:val="20"/>
          <w:lang w:val="es-ES"/>
        </w:rPr>
        <w:t xml:space="preserve">de </w:t>
      </w:r>
      <w:r w:rsidR="00DF2210" w:rsidRPr="005C1789">
        <w:rPr>
          <w:rFonts w:ascii="Verdana" w:hAnsi="Verdana" w:cstheme="minorHAnsi"/>
          <w:i w:val="0"/>
          <w:iCs/>
          <w:sz w:val="20"/>
          <w:szCs w:val="20"/>
          <w:lang w:val="es-ES"/>
        </w:rPr>
        <w:t xml:space="preserve">estas </w:t>
      </w:r>
      <w:r w:rsidRPr="005C1789">
        <w:rPr>
          <w:rFonts w:ascii="Verdana" w:hAnsi="Verdana" w:cstheme="minorHAnsi"/>
          <w:i w:val="0"/>
          <w:iCs/>
          <w:sz w:val="20"/>
          <w:szCs w:val="20"/>
          <w:lang w:val="es-ES"/>
        </w:rPr>
        <w:t>sin demora ante el juez</w:t>
      </w:r>
      <w:r w:rsidR="00DA6180">
        <w:rPr>
          <w:rFonts w:ascii="Verdana" w:hAnsi="Verdana" w:cstheme="minorHAnsi"/>
          <w:i w:val="0"/>
          <w:iCs/>
          <w:sz w:val="20"/>
          <w:szCs w:val="20"/>
          <w:lang w:val="es-ES"/>
        </w:rPr>
        <w:t>;</w:t>
      </w:r>
      <w:r w:rsidR="00FA48AD" w:rsidRPr="005C1789">
        <w:rPr>
          <w:rFonts w:ascii="Verdana" w:hAnsi="Verdana" w:cstheme="minorHAnsi"/>
          <w:i w:val="0"/>
          <w:iCs/>
          <w:sz w:val="20"/>
          <w:szCs w:val="20"/>
          <w:lang w:val="es-ES"/>
        </w:rPr>
        <w:t xml:space="preserve"> d) la</w:t>
      </w:r>
      <w:r w:rsidRPr="005C1789">
        <w:rPr>
          <w:rFonts w:ascii="Verdana" w:hAnsi="Verdana" w:cstheme="minorHAnsi"/>
          <w:i w:val="0"/>
          <w:iCs/>
          <w:sz w:val="20"/>
          <w:szCs w:val="20"/>
          <w:lang w:val="es-ES"/>
        </w:rPr>
        <w:t xml:space="preserve"> falta de notificación previa y detallada de los cargos</w:t>
      </w:r>
      <w:r w:rsidR="00FA48AD" w:rsidRPr="005C1789">
        <w:rPr>
          <w:rFonts w:ascii="Verdana" w:hAnsi="Verdana" w:cstheme="minorHAnsi"/>
          <w:i w:val="0"/>
          <w:iCs/>
          <w:sz w:val="20"/>
          <w:szCs w:val="20"/>
          <w:lang w:val="es-ES"/>
        </w:rPr>
        <w:t xml:space="preserve"> </w:t>
      </w:r>
      <w:r w:rsidR="00DB26D1" w:rsidRPr="005C1789">
        <w:rPr>
          <w:rFonts w:ascii="Verdana" w:hAnsi="Verdana" w:cstheme="minorHAnsi"/>
          <w:i w:val="0"/>
          <w:iCs/>
          <w:sz w:val="20"/>
          <w:szCs w:val="20"/>
          <w:lang w:val="es-ES"/>
        </w:rPr>
        <w:t xml:space="preserve">en </w:t>
      </w:r>
      <w:r w:rsidR="00FA48AD" w:rsidRPr="005C1789">
        <w:rPr>
          <w:rFonts w:ascii="Verdana" w:hAnsi="Verdana" w:cstheme="minorHAnsi"/>
          <w:i w:val="0"/>
          <w:iCs/>
          <w:sz w:val="20"/>
          <w:szCs w:val="20"/>
          <w:lang w:val="es-ES"/>
        </w:rPr>
        <w:t xml:space="preserve">contra </w:t>
      </w:r>
      <w:r w:rsidR="000338EA" w:rsidRPr="005C1789">
        <w:rPr>
          <w:rFonts w:ascii="Verdana" w:hAnsi="Verdana" w:cstheme="minorHAnsi"/>
          <w:i w:val="0"/>
          <w:iCs/>
          <w:sz w:val="20"/>
          <w:szCs w:val="20"/>
          <w:lang w:val="es-ES"/>
        </w:rPr>
        <w:t xml:space="preserve">de </w:t>
      </w:r>
      <w:r w:rsidR="00DF2210" w:rsidRPr="005C1789">
        <w:rPr>
          <w:rFonts w:ascii="Verdana" w:hAnsi="Verdana" w:cstheme="minorHAnsi"/>
          <w:i w:val="0"/>
          <w:iCs/>
          <w:sz w:val="20"/>
          <w:szCs w:val="20"/>
          <w:lang w:val="es-ES"/>
        </w:rPr>
        <w:t>las presuntas víctimas</w:t>
      </w:r>
      <w:r w:rsidR="00DA6180">
        <w:rPr>
          <w:rFonts w:ascii="Verdana" w:hAnsi="Verdana" w:cstheme="minorHAnsi"/>
          <w:i w:val="0"/>
          <w:iCs/>
          <w:sz w:val="20"/>
          <w:szCs w:val="20"/>
          <w:lang w:val="es-ES"/>
        </w:rPr>
        <w:t>;</w:t>
      </w:r>
      <w:r w:rsidRPr="005C1789">
        <w:rPr>
          <w:rFonts w:ascii="Verdana" w:hAnsi="Verdana" w:cstheme="minorHAnsi"/>
          <w:i w:val="0"/>
          <w:iCs/>
          <w:sz w:val="20"/>
          <w:szCs w:val="20"/>
          <w:lang w:val="es-ES"/>
        </w:rPr>
        <w:t xml:space="preserve"> </w:t>
      </w:r>
      <w:r w:rsidR="00FA48AD" w:rsidRPr="005C1789">
        <w:rPr>
          <w:rFonts w:ascii="Verdana" w:hAnsi="Verdana" w:cstheme="minorHAnsi"/>
          <w:i w:val="0"/>
          <w:iCs/>
          <w:sz w:val="20"/>
          <w:szCs w:val="20"/>
          <w:lang w:val="es-ES"/>
        </w:rPr>
        <w:t>e)</w:t>
      </w:r>
      <w:r w:rsidR="00F4067A" w:rsidRPr="005C1789">
        <w:rPr>
          <w:rFonts w:ascii="Verdana" w:hAnsi="Verdana" w:cstheme="minorHAnsi"/>
          <w:i w:val="0"/>
          <w:iCs/>
          <w:sz w:val="20"/>
          <w:szCs w:val="20"/>
          <w:lang w:val="es-ES"/>
        </w:rPr>
        <w:t xml:space="preserve"> </w:t>
      </w:r>
      <w:r w:rsidR="00DB26D1" w:rsidRPr="005C1789">
        <w:rPr>
          <w:rFonts w:ascii="Verdana" w:hAnsi="Verdana" w:cstheme="minorHAnsi"/>
          <w:i w:val="0"/>
          <w:iCs/>
          <w:sz w:val="20"/>
          <w:szCs w:val="20"/>
          <w:lang w:val="es-ES"/>
        </w:rPr>
        <w:t>la</w:t>
      </w:r>
      <w:r w:rsidR="00FA48AD" w:rsidRPr="005C1789">
        <w:rPr>
          <w:rFonts w:ascii="Verdana" w:hAnsi="Verdana" w:cstheme="minorHAnsi"/>
          <w:i w:val="0"/>
          <w:iCs/>
          <w:sz w:val="20"/>
          <w:szCs w:val="20"/>
          <w:lang w:val="es-ES"/>
        </w:rPr>
        <w:t xml:space="preserve"> </w:t>
      </w:r>
      <w:r w:rsidRPr="005C1789">
        <w:rPr>
          <w:rFonts w:ascii="Verdana" w:hAnsi="Verdana" w:cstheme="minorHAnsi"/>
          <w:i w:val="0"/>
          <w:iCs/>
          <w:sz w:val="20"/>
          <w:szCs w:val="20"/>
          <w:lang w:val="es-ES"/>
        </w:rPr>
        <w:t xml:space="preserve">falta de defensa técnica en los primeros días posteriores a </w:t>
      </w:r>
      <w:r w:rsidR="00FE32C6" w:rsidRPr="005C1789">
        <w:rPr>
          <w:rFonts w:ascii="Verdana" w:hAnsi="Verdana" w:cstheme="minorHAnsi"/>
          <w:i w:val="0"/>
          <w:iCs/>
          <w:sz w:val="20"/>
          <w:szCs w:val="20"/>
          <w:lang w:val="es-ES"/>
        </w:rPr>
        <w:t>su</w:t>
      </w:r>
      <w:r w:rsidRPr="005C1789">
        <w:rPr>
          <w:rFonts w:ascii="Verdana" w:hAnsi="Verdana" w:cstheme="minorHAnsi"/>
          <w:i w:val="0"/>
          <w:iCs/>
          <w:sz w:val="20"/>
          <w:szCs w:val="20"/>
          <w:lang w:val="es-ES"/>
        </w:rPr>
        <w:t xml:space="preserve"> detención</w:t>
      </w:r>
      <w:r w:rsidR="00FA48AD" w:rsidRPr="005C1789">
        <w:rPr>
          <w:rFonts w:ascii="Verdana" w:hAnsi="Verdana" w:cstheme="minorHAnsi"/>
          <w:i w:val="0"/>
          <w:iCs/>
          <w:sz w:val="20"/>
          <w:szCs w:val="20"/>
          <w:lang w:val="es-ES"/>
        </w:rPr>
        <w:t>, y f) el aislamiento e incomunicación al cual fueron sometidas durante su retención</w:t>
      </w:r>
      <w:bookmarkEnd w:id="38"/>
      <w:r w:rsidR="00FA48AD" w:rsidRPr="005C1789">
        <w:rPr>
          <w:rFonts w:ascii="Verdana" w:hAnsi="Verdana" w:cstheme="minorHAnsi"/>
          <w:i w:val="0"/>
          <w:iCs/>
          <w:sz w:val="20"/>
          <w:szCs w:val="20"/>
          <w:lang w:val="es-ES"/>
        </w:rPr>
        <w:t>.</w:t>
      </w:r>
    </w:p>
    <w:p w14:paraId="5DA95BBF" w14:textId="02F16CB2" w:rsidR="00846975" w:rsidRPr="005C1789" w:rsidRDefault="00846975"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cstheme="minorHAnsi"/>
          <w:i w:val="0"/>
          <w:sz w:val="20"/>
          <w:szCs w:val="20"/>
          <w:lang w:val="es-ES"/>
        </w:rPr>
      </w:pPr>
      <w:r w:rsidRPr="005C1789">
        <w:rPr>
          <w:rFonts w:ascii="Verdana" w:hAnsi="Verdana" w:cstheme="minorHAnsi"/>
          <w:i w:val="0"/>
          <w:sz w:val="20"/>
          <w:szCs w:val="20"/>
          <w:lang w:val="es-ES"/>
        </w:rPr>
        <w:t xml:space="preserve">Se mantiene la controversia con respeto de los cateos llevados a cabo en la casa de la madre de los señores </w:t>
      </w:r>
      <w:proofErr w:type="spellStart"/>
      <w:r w:rsidRPr="005C1789">
        <w:rPr>
          <w:rFonts w:ascii="Verdana" w:hAnsi="Verdana" w:cstheme="minorHAnsi"/>
          <w:i w:val="0"/>
          <w:sz w:val="20"/>
          <w:szCs w:val="20"/>
          <w:lang w:val="es-ES"/>
        </w:rPr>
        <w:t>Tzompaxtle</w:t>
      </w:r>
      <w:proofErr w:type="spellEnd"/>
      <w:r w:rsidRPr="005C1789">
        <w:rPr>
          <w:rFonts w:ascii="Verdana" w:hAnsi="Verdana" w:cstheme="minorHAnsi"/>
          <w:i w:val="0"/>
          <w:sz w:val="20"/>
          <w:szCs w:val="20"/>
          <w:lang w:val="es-ES"/>
        </w:rPr>
        <w:t xml:space="preserve"> </w:t>
      </w:r>
      <w:proofErr w:type="spellStart"/>
      <w:r w:rsidRPr="005C1789">
        <w:rPr>
          <w:rFonts w:ascii="Verdana" w:hAnsi="Verdana" w:cstheme="minorHAnsi"/>
          <w:i w:val="0"/>
          <w:sz w:val="20"/>
          <w:szCs w:val="20"/>
          <w:lang w:val="es-ES"/>
        </w:rPr>
        <w:t>Tecpile</w:t>
      </w:r>
      <w:proofErr w:type="spellEnd"/>
      <w:r w:rsidRPr="005C1789">
        <w:rPr>
          <w:rFonts w:ascii="Verdana" w:hAnsi="Verdana" w:cstheme="minorHAnsi"/>
          <w:i w:val="0"/>
          <w:sz w:val="20"/>
          <w:szCs w:val="20"/>
          <w:lang w:val="es-ES"/>
        </w:rPr>
        <w:t>, así como en una tienda que era el negocio de la familia el 31 de marzo de 2006.</w:t>
      </w:r>
    </w:p>
    <w:p w14:paraId="05FD8C6E" w14:textId="0AD82EFA" w:rsidR="009966EA" w:rsidRPr="005C1789" w:rsidRDefault="00434C27" w:rsidP="00955888">
      <w:pPr>
        <w:pStyle w:val="Ttulo3"/>
        <w:spacing w:before="240" w:after="240"/>
        <w:ind w:left="567"/>
        <w:rPr>
          <w:rFonts w:ascii="Verdana" w:hAnsi="Verdana"/>
          <w:bCs w:val="0"/>
          <w:snapToGrid w:val="0"/>
          <w:spacing w:val="-2"/>
          <w:sz w:val="20"/>
          <w:szCs w:val="20"/>
          <w:lang w:eastAsia="es-ES"/>
        </w:rPr>
      </w:pPr>
      <w:bookmarkStart w:id="39" w:name="_Toc74911306"/>
      <w:bookmarkStart w:id="40" w:name="_Toc93400232"/>
      <w:bookmarkStart w:id="41" w:name="_Toc123347505"/>
      <w:r w:rsidRPr="005C1789">
        <w:rPr>
          <w:rFonts w:ascii="Verdana" w:hAnsi="Verdana"/>
          <w:bCs w:val="0"/>
          <w:snapToGrid w:val="0"/>
          <w:spacing w:val="-2"/>
          <w:sz w:val="20"/>
          <w:szCs w:val="20"/>
          <w:lang w:eastAsia="es-ES"/>
        </w:rPr>
        <w:t>B</w:t>
      </w:r>
      <w:r w:rsidR="009966EA" w:rsidRPr="005C1789">
        <w:rPr>
          <w:rFonts w:ascii="Verdana" w:hAnsi="Verdana"/>
          <w:bCs w:val="0"/>
          <w:snapToGrid w:val="0"/>
          <w:spacing w:val="-2"/>
          <w:sz w:val="20"/>
          <w:szCs w:val="20"/>
          <w:lang w:eastAsia="es-ES"/>
        </w:rPr>
        <w:t>.2 En cuanto a las pretensiones de derecho</w:t>
      </w:r>
      <w:bookmarkEnd w:id="39"/>
      <w:bookmarkEnd w:id="40"/>
      <w:bookmarkEnd w:id="41"/>
    </w:p>
    <w:p w14:paraId="6B010D88" w14:textId="3C0FB7EE" w:rsidR="009966EA"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 xml:space="preserve">Teniendo </w:t>
      </w:r>
      <w:r w:rsidRPr="005C1789">
        <w:rPr>
          <w:rFonts w:ascii="Verdana" w:hAnsi="Verdana" w:cstheme="minorHAnsi"/>
          <w:i w:val="0"/>
          <w:iCs/>
          <w:sz w:val="20"/>
          <w:szCs w:val="20"/>
          <w:lang w:val="es-ES"/>
        </w:rPr>
        <w:t>en</w:t>
      </w:r>
      <w:r w:rsidRPr="005C1789">
        <w:rPr>
          <w:rFonts w:ascii="Verdana" w:hAnsi="Verdana"/>
          <w:i w:val="0"/>
          <w:iCs/>
          <w:sz w:val="20"/>
          <w:szCs w:val="20"/>
          <w:lang w:val="es-ES"/>
        </w:rPr>
        <w:t xml:space="preserve"> cuenta las violaciones reconocidas por el Estado, así como las observaciones de l</w:t>
      </w:r>
      <w:r w:rsidR="00434C27" w:rsidRPr="005C1789">
        <w:rPr>
          <w:rFonts w:ascii="Verdana" w:hAnsi="Verdana"/>
          <w:i w:val="0"/>
          <w:iCs/>
          <w:sz w:val="20"/>
          <w:szCs w:val="20"/>
          <w:lang w:val="es-ES"/>
        </w:rPr>
        <w:t>o</w:t>
      </w:r>
      <w:r w:rsidRPr="005C1789">
        <w:rPr>
          <w:rFonts w:ascii="Verdana" w:hAnsi="Verdana"/>
          <w:i w:val="0"/>
          <w:iCs/>
          <w:sz w:val="20"/>
          <w:szCs w:val="20"/>
          <w:lang w:val="es-ES"/>
        </w:rPr>
        <w:t>s representantes y de la Comisión, la Corte considera que la controversia ha cesado respecto a las siguientes violaciones:</w:t>
      </w:r>
    </w:p>
    <w:p w14:paraId="31F1B31C" w14:textId="246D7397" w:rsidR="00434C27" w:rsidRPr="005C1789" w:rsidRDefault="00434C27" w:rsidP="00955888">
      <w:pPr>
        <w:pStyle w:val="Prrafodelista"/>
        <w:widowControl w:val="0"/>
        <w:numPr>
          <w:ilvl w:val="0"/>
          <w:numId w:val="29"/>
        </w:numPr>
        <w:tabs>
          <w:tab w:val="left" w:pos="426"/>
        </w:tabs>
        <w:adjustRightInd w:val="0"/>
        <w:spacing w:before="120" w:after="120"/>
        <w:ind w:left="714" w:hanging="357"/>
        <w:contextualSpacing w:val="0"/>
        <w:jc w:val="both"/>
        <w:textAlignment w:val="baseline"/>
        <w:rPr>
          <w:rFonts w:ascii="Verdana" w:eastAsia="Batang" w:hAnsi="Verdana"/>
          <w:sz w:val="20"/>
          <w:szCs w:val="20"/>
          <w:lang w:val="es-ES" w:eastAsia="en-US"/>
        </w:rPr>
      </w:pPr>
      <w:r w:rsidRPr="005C1789">
        <w:rPr>
          <w:rFonts w:ascii="Verdana" w:hAnsi="Verdana"/>
          <w:sz w:val="20"/>
          <w:szCs w:val="20"/>
        </w:rPr>
        <w:t>A</w:t>
      </w:r>
      <w:r w:rsidRPr="005C1789">
        <w:rPr>
          <w:rFonts w:ascii="Verdana" w:eastAsia="Batang" w:hAnsi="Verdana"/>
          <w:sz w:val="20"/>
          <w:szCs w:val="20"/>
          <w:lang w:val="es-ES" w:eastAsia="en-US"/>
        </w:rPr>
        <w:t xml:space="preserve"> la libertad personal (artículo 7</w:t>
      </w:r>
      <w:r w:rsidR="00000A4A" w:rsidRPr="005C1789">
        <w:rPr>
          <w:rFonts w:ascii="Verdana" w:eastAsia="Batang" w:hAnsi="Verdana"/>
          <w:sz w:val="20"/>
          <w:szCs w:val="20"/>
          <w:lang w:val="es-ES" w:eastAsia="en-US"/>
        </w:rPr>
        <w:t>.1, 7.2, 7.3, 7.4, 7.5, y 7.6</w:t>
      </w:r>
      <w:r w:rsidRPr="005C1789">
        <w:rPr>
          <w:rFonts w:ascii="Verdana" w:eastAsia="Batang" w:hAnsi="Verdana"/>
          <w:sz w:val="20"/>
          <w:szCs w:val="20"/>
          <w:lang w:val="es-ES" w:eastAsia="en-US"/>
        </w:rPr>
        <w:t xml:space="preserve"> de la Convención Americana en relación con el artículo 1.1 del mismo instrumento) en perjuicio de Jorge Marcial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Gerardo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y Gustavo Robles López, en los términos señalados en el Informe de Fondo de la Comisión Interamericana de Derechos Humanos.</w:t>
      </w:r>
    </w:p>
    <w:p w14:paraId="674F7DEA" w14:textId="55CAD879" w:rsidR="00434C27" w:rsidRPr="005C1789" w:rsidRDefault="00434C27" w:rsidP="00955888">
      <w:pPr>
        <w:pStyle w:val="Prrafodelista"/>
        <w:widowControl w:val="0"/>
        <w:numPr>
          <w:ilvl w:val="0"/>
          <w:numId w:val="29"/>
        </w:numPr>
        <w:tabs>
          <w:tab w:val="left" w:pos="426"/>
        </w:tabs>
        <w:adjustRightInd w:val="0"/>
        <w:spacing w:before="120" w:after="120"/>
        <w:ind w:left="714" w:hanging="357"/>
        <w:contextualSpacing w:val="0"/>
        <w:jc w:val="both"/>
        <w:textAlignment w:val="baseline"/>
        <w:rPr>
          <w:rFonts w:ascii="Verdana" w:eastAsia="Batang" w:hAnsi="Verdana"/>
          <w:sz w:val="20"/>
          <w:szCs w:val="20"/>
          <w:lang w:val="es-ES" w:eastAsia="en-US"/>
        </w:rPr>
      </w:pPr>
      <w:r w:rsidRPr="005C1789">
        <w:rPr>
          <w:rFonts w:ascii="Verdana" w:hAnsi="Verdana"/>
          <w:sz w:val="20"/>
          <w:szCs w:val="20"/>
        </w:rPr>
        <w:t>A</w:t>
      </w:r>
      <w:r w:rsidRPr="005C1789">
        <w:rPr>
          <w:rFonts w:ascii="Verdana" w:eastAsia="Batang" w:hAnsi="Verdana"/>
          <w:sz w:val="20"/>
          <w:szCs w:val="20"/>
          <w:lang w:val="es-ES" w:eastAsia="en-US"/>
        </w:rPr>
        <w:t xml:space="preserve"> la </w:t>
      </w:r>
      <w:r w:rsidR="000A3025" w:rsidRPr="005C1789">
        <w:rPr>
          <w:rFonts w:ascii="Verdana" w:eastAsia="Batang" w:hAnsi="Verdana"/>
          <w:sz w:val="20"/>
          <w:szCs w:val="20"/>
          <w:lang w:val="es-ES" w:eastAsia="en-US"/>
        </w:rPr>
        <w:t>vida privada</w:t>
      </w:r>
      <w:r w:rsidRPr="005C1789">
        <w:rPr>
          <w:rFonts w:ascii="Verdana" w:eastAsia="Batang" w:hAnsi="Verdana"/>
          <w:sz w:val="20"/>
          <w:szCs w:val="20"/>
          <w:lang w:val="es-ES" w:eastAsia="en-US"/>
        </w:rPr>
        <w:t xml:space="preserve"> (artículo </w:t>
      </w:r>
      <w:r w:rsidR="006561CC" w:rsidRPr="005C1789">
        <w:rPr>
          <w:rFonts w:ascii="Verdana" w:eastAsia="Batang" w:hAnsi="Verdana"/>
          <w:sz w:val="20"/>
          <w:szCs w:val="20"/>
          <w:lang w:val="es-ES" w:eastAsia="en-US"/>
        </w:rPr>
        <w:t>11</w:t>
      </w:r>
      <w:r w:rsidRPr="005C1789">
        <w:rPr>
          <w:rFonts w:ascii="Verdana" w:eastAsia="Batang" w:hAnsi="Verdana"/>
          <w:sz w:val="20"/>
          <w:szCs w:val="20"/>
          <w:lang w:val="es-ES" w:eastAsia="en-US"/>
        </w:rPr>
        <w:t xml:space="preserve"> de la Convención Americana en relación con el artículo 1.1 del mismo instrumento) en perjuicio de Jorge Marcial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Gerardo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y Gustavo Robles López, en los términos señalados en el Informe de Fondo de la Comisión Interamericana de Derechos Humanos.</w:t>
      </w:r>
    </w:p>
    <w:p w14:paraId="48B4145B" w14:textId="4C24D563" w:rsidR="006561CC" w:rsidRPr="005C1789" w:rsidRDefault="006561CC" w:rsidP="00955888">
      <w:pPr>
        <w:pStyle w:val="Prrafodelista"/>
        <w:widowControl w:val="0"/>
        <w:numPr>
          <w:ilvl w:val="0"/>
          <w:numId w:val="29"/>
        </w:numPr>
        <w:tabs>
          <w:tab w:val="left" w:pos="426"/>
        </w:tabs>
        <w:adjustRightInd w:val="0"/>
        <w:spacing w:before="120" w:after="120"/>
        <w:ind w:left="714" w:hanging="357"/>
        <w:contextualSpacing w:val="0"/>
        <w:jc w:val="both"/>
        <w:textAlignment w:val="baseline"/>
        <w:rPr>
          <w:rFonts w:ascii="Verdana" w:eastAsia="Batang" w:hAnsi="Verdana"/>
          <w:sz w:val="20"/>
          <w:szCs w:val="20"/>
          <w:lang w:val="es-ES" w:eastAsia="en-US"/>
        </w:rPr>
      </w:pPr>
      <w:r w:rsidRPr="005C1789">
        <w:rPr>
          <w:rFonts w:ascii="Verdana" w:hAnsi="Verdana"/>
          <w:sz w:val="20"/>
          <w:szCs w:val="20"/>
        </w:rPr>
        <w:t>A</w:t>
      </w:r>
      <w:r w:rsidRPr="005C1789">
        <w:rPr>
          <w:rFonts w:ascii="Verdana" w:eastAsia="Batang" w:hAnsi="Verdana"/>
          <w:sz w:val="20"/>
          <w:szCs w:val="20"/>
          <w:lang w:val="es-ES" w:eastAsia="en-US"/>
        </w:rPr>
        <w:t xml:space="preserve"> la integridad personal (artículo 5 de la Convención Americana en relación con el artículo 1.1 del mismo instrumento) en perjuicio de Jorge Marcial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Gerardo </w:t>
      </w:r>
      <w:proofErr w:type="spellStart"/>
      <w:r w:rsidRPr="005C1789">
        <w:rPr>
          <w:rFonts w:ascii="Verdana" w:eastAsia="Batang" w:hAnsi="Verdana"/>
          <w:sz w:val="20"/>
          <w:szCs w:val="20"/>
          <w:lang w:val="es-ES" w:eastAsia="en-US"/>
        </w:rPr>
        <w:t>Tzompaxtle</w:t>
      </w:r>
      <w:proofErr w:type="spellEnd"/>
      <w:r w:rsidRPr="005C1789">
        <w:rPr>
          <w:rFonts w:ascii="Verdana" w:eastAsia="Batang" w:hAnsi="Verdana"/>
          <w:sz w:val="20"/>
          <w:szCs w:val="20"/>
          <w:lang w:val="es-ES" w:eastAsia="en-US"/>
        </w:rPr>
        <w:t xml:space="preserve"> </w:t>
      </w:r>
      <w:proofErr w:type="spellStart"/>
      <w:r w:rsidRPr="005C1789">
        <w:rPr>
          <w:rFonts w:ascii="Verdana" w:eastAsia="Batang" w:hAnsi="Verdana"/>
          <w:sz w:val="20"/>
          <w:szCs w:val="20"/>
          <w:lang w:val="es-ES" w:eastAsia="en-US"/>
        </w:rPr>
        <w:t>Tecpile</w:t>
      </w:r>
      <w:proofErr w:type="spellEnd"/>
      <w:r w:rsidRPr="005C1789">
        <w:rPr>
          <w:rFonts w:ascii="Verdana" w:eastAsia="Batang" w:hAnsi="Verdana"/>
          <w:sz w:val="20"/>
          <w:szCs w:val="20"/>
          <w:lang w:val="es-ES" w:eastAsia="en-US"/>
        </w:rPr>
        <w:t xml:space="preserve"> y Gustavo Robles López, en los términos señalados en el Informe de Fondo de la Comisión Interamericana de Derechos Humanos.</w:t>
      </w:r>
    </w:p>
    <w:p w14:paraId="675BCCE6" w14:textId="296C403D" w:rsidR="009966EA" w:rsidRPr="00C83518" w:rsidRDefault="00434C27" w:rsidP="00955888">
      <w:pPr>
        <w:pStyle w:val="Prrafodelista"/>
        <w:widowControl w:val="0"/>
        <w:numPr>
          <w:ilvl w:val="0"/>
          <w:numId w:val="29"/>
        </w:numPr>
        <w:tabs>
          <w:tab w:val="left" w:pos="426"/>
        </w:tabs>
        <w:adjustRightInd w:val="0"/>
        <w:spacing w:before="120" w:after="120"/>
        <w:ind w:left="714" w:hanging="357"/>
        <w:contextualSpacing w:val="0"/>
        <w:jc w:val="both"/>
        <w:textAlignment w:val="baseline"/>
        <w:rPr>
          <w:rFonts w:ascii="Verdana" w:eastAsia="Batang" w:hAnsi="Verdana"/>
          <w:sz w:val="20"/>
          <w:szCs w:val="20"/>
          <w:lang w:val="es-ES" w:eastAsia="en-US"/>
        </w:rPr>
      </w:pPr>
      <w:r w:rsidRPr="00C83518">
        <w:rPr>
          <w:rFonts w:ascii="Verdana" w:hAnsi="Verdana"/>
          <w:sz w:val="20"/>
          <w:szCs w:val="20"/>
        </w:rPr>
        <w:t>A</w:t>
      </w:r>
      <w:r w:rsidR="009966EA" w:rsidRPr="00C83518">
        <w:rPr>
          <w:rFonts w:ascii="Verdana" w:eastAsia="Batang" w:hAnsi="Verdana"/>
          <w:sz w:val="20"/>
          <w:szCs w:val="20"/>
          <w:lang w:val="es-ES" w:eastAsia="en-US"/>
        </w:rPr>
        <w:t xml:space="preserve"> las garantías judiciales y </w:t>
      </w:r>
      <w:r w:rsidR="006561CC" w:rsidRPr="00C83518">
        <w:rPr>
          <w:rFonts w:ascii="Verdana" w:eastAsia="Batang" w:hAnsi="Verdana"/>
          <w:sz w:val="20"/>
          <w:szCs w:val="20"/>
          <w:lang w:val="es-ES" w:eastAsia="en-US"/>
        </w:rPr>
        <w:t xml:space="preserve">a la </w:t>
      </w:r>
      <w:r w:rsidR="009966EA" w:rsidRPr="00C83518">
        <w:rPr>
          <w:rFonts w:ascii="Verdana" w:eastAsia="Batang" w:hAnsi="Verdana"/>
          <w:sz w:val="20"/>
          <w:szCs w:val="20"/>
          <w:lang w:val="es-ES" w:eastAsia="en-US"/>
        </w:rPr>
        <w:t xml:space="preserve">protección judicial </w:t>
      </w:r>
      <w:r w:rsidR="006D08F4" w:rsidRPr="00C83518">
        <w:rPr>
          <w:rFonts w:ascii="Verdana" w:eastAsia="Batang" w:hAnsi="Verdana"/>
          <w:sz w:val="20"/>
          <w:szCs w:val="20"/>
          <w:lang w:val="es-ES" w:eastAsia="en-US"/>
        </w:rPr>
        <w:t xml:space="preserve">(artículos </w:t>
      </w:r>
      <w:r w:rsidR="00711E8F" w:rsidRPr="00C83518">
        <w:rPr>
          <w:rFonts w:ascii="Verdana" w:eastAsia="Batang" w:hAnsi="Verdana"/>
          <w:sz w:val="20"/>
          <w:szCs w:val="20"/>
          <w:lang w:val="es-ES" w:eastAsia="en-US"/>
        </w:rPr>
        <w:t xml:space="preserve">8.2, </w:t>
      </w:r>
      <w:r w:rsidR="006D08F4" w:rsidRPr="00C83518">
        <w:rPr>
          <w:rFonts w:ascii="Verdana" w:eastAsia="Batang" w:hAnsi="Verdana"/>
          <w:sz w:val="20"/>
          <w:szCs w:val="20"/>
          <w:lang w:val="es-ES" w:eastAsia="en-US"/>
        </w:rPr>
        <w:t xml:space="preserve">8.2.b), </w:t>
      </w:r>
      <w:r w:rsidR="00711E8F" w:rsidRPr="00C83518">
        <w:rPr>
          <w:rFonts w:ascii="Verdana" w:eastAsia="Batang" w:hAnsi="Verdana"/>
          <w:sz w:val="20"/>
          <w:szCs w:val="20"/>
          <w:lang w:val="es-ES" w:eastAsia="en-US"/>
        </w:rPr>
        <w:t>8.2.</w:t>
      </w:r>
      <w:r w:rsidR="006D08F4" w:rsidRPr="00C83518">
        <w:rPr>
          <w:rFonts w:ascii="Verdana" w:eastAsia="Batang" w:hAnsi="Verdana"/>
          <w:sz w:val="20"/>
          <w:szCs w:val="20"/>
          <w:lang w:val="es-ES" w:eastAsia="en-US"/>
        </w:rPr>
        <w:t xml:space="preserve">d), </w:t>
      </w:r>
      <w:r w:rsidR="00711E8F" w:rsidRPr="00C83518">
        <w:rPr>
          <w:rFonts w:ascii="Verdana" w:eastAsia="Batang" w:hAnsi="Verdana"/>
          <w:sz w:val="20"/>
          <w:szCs w:val="20"/>
          <w:lang w:val="es-ES" w:eastAsia="en-US"/>
        </w:rPr>
        <w:t>8.2.</w:t>
      </w:r>
      <w:r w:rsidR="006D08F4" w:rsidRPr="00C83518">
        <w:rPr>
          <w:rFonts w:ascii="Verdana" w:eastAsia="Batang" w:hAnsi="Verdana"/>
          <w:sz w:val="20"/>
          <w:szCs w:val="20"/>
          <w:lang w:val="es-ES" w:eastAsia="en-US"/>
        </w:rPr>
        <w:t xml:space="preserve">e), y </w:t>
      </w:r>
      <w:r w:rsidR="00711E8F" w:rsidRPr="00C83518">
        <w:rPr>
          <w:rFonts w:ascii="Verdana" w:eastAsia="Batang" w:hAnsi="Verdana"/>
          <w:sz w:val="20"/>
          <w:szCs w:val="20"/>
          <w:lang w:val="es-ES" w:eastAsia="en-US"/>
        </w:rPr>
        <w:t>8.2.</w:t>
      </w:r>
      <w:r w:rsidR="006D08F4" w:rsidRPr="00C83518">
        <w:rPr>
          <w:rFonts w:ascii="Verdana" w:eastAsia="Batang" w:hAnsi="Verdana"/>
          <w:sz w:val="20"/>
          <w:szCs w:val="20"/>
          <w:lang w:val="es-ES" w:eastAsia="en-US"/>
        </w:rPr>
        <w:t>g), y 25.1 de la Convención Americana en relación con el artículo 1.1 del mismo inst</w:t>
      </w:r>
      <w:r w:rsidR="00711E8F" w:rsidRPr="00C83518">
        <w:rPr>
          <w:rFonts w:ascii="Verdana" w:eastAsia="Batang" w:hAnsi="Verdana"/>
          <w:sz w:val="20"/>
          <w:szCs w:val="20"/>
          <w:lang w:val="es-ES" w:eastAsia="en-US"/>
        </w:rPr>
        <w:t>rumento)</w:t>
      </w:r>
      <w:r w:rsidR="009966EA" w:rsidRPr="00C83518">
        <w:rPr>
          <w:rFonts w:ascii="Verdana" w:eastAsia="Batang" w:hAnsi="Verdana"/>
          <w:sz w:val="20"/>
          <w:szCs w:val="20"/>
          <w:lang w:val="es-ES" w:eastAsia="en-US"/>
        </w:rPr>
        <w:t xml:space="preserve"> en perjuicio de </w:t>
      </w:r>
      <w:r w:rsidRPr="00C83518">
        <w:rPr>
          <w:rFonts w:ascii="Verdana" w:eastAsia="Batang" w:hAnsi="Verdana"/>
          <w:sz w:val="20"/>
          <w:szCs w:val="20"/>
          <w:lang w:val="es-ES" w:eastAsia="en-US"/>
        </w:rPr>
        <w:t xml:space="preserve">Jorge Marcial </w:t>
      </w:r>
      <w:proofErr w:type="spellStart"/>
      <w:r w:rsidRPr="00C83518">
        <w:rPr>
          <w:rFonts w:ascii="Verdana" w:eastAsia="Batang" w:hAnsi="Verdana"/>
          <w:sz w:val="20"/>
          <w:szCs w:val="20"/>
          <w:lang w:val="es-ES" w:eastAsia="en-US"/>
        </w:rPr>
        <w:t>Tzompaxtle</w:t>
      </w:r>
      <w:proofErr w:type="spellEnd"/>
      <w:r w:rsidRPr="00C83518">
        <w:rPr>
          <w:rFonts w:ascii="Verdana" w:eastAsia="Batang" w:hAnsi="Verdana"/>
          <w:sz w:val="20"/>
          <w:szCs w:val="20"/>
          <w:lang w:val="es-ES" w:eastAsia="en-US"/>
        </w:rPr>
        <w:t xml:space="preserve"> </w:t>
      </w:r>
      <w:proofErr w:type="spellStart"/>
      <w:r w:rsidRPr="00C83518">
        <w:rPr>
          <w:rFonts w:ascii="Verdana" w:eastAsia="Batang" w:hAnsi="Verdana"/>
          <w:sz w:val="20"/>
          <w:szCs w:val="20"/>
          <w:lang w:val="es-ES" w:eastAsia="en-US"/>
        </w:rPr>
        <w:t>Tecpile</w:t>
      </w:r>
      <w:proofErr w:type="spellEnd"/>
      <w:r w:rsidRPr="00C83518">
        <w:rPr>
          <w:rFonts w:ascii="Verdana" w:eastAsia="Batang" w:hAnsi="Verdana"/>
          <w:sz w:val="20"/>
          <w:szCs w:val="20"/>
          <w:lang w:val="es-ES" w:eastAsia="en-US"/>
        </w:rPr>
        <w:t xml:space="preserve">, Gerardo </w:t>
      </w:r>
      <w:proofErr w:type="spellStart"/>
      <w:r w:rsidRPr="00C83518">
        <w:rPr>
          <w:rFonts w:ascii="Verdana" w:eastAsia="Batang" w:hAnsi="Verdana"/>
          <w:sz w:val="20"/>
          <w:szCs w:val="20"/>
          <w:lang w:val="es-ES" w:eastAsia="en-US"/>
        </w:rPr>
        <w:t>Tzompaxtle</w:t>
      </w:r>
      <w:proofErr w:type="spellEnd"/>
      <w:r w:rsidRPr="00C83518">
        <w:rPr>
          <w:rFonts w:ascii="Verdana" w:eastAsia="Batang" w:hAnsi="Verdana"/>
          <w:sz w:val="20"/>
          <w:szCs w:val="20"/>
          <w:lang w:val="es-ES" w:eastAsia="en-US"/>
        </w:rPr>
        <w:t xml:space="preserve"> </w:t>
      </w:r>
      <w:proofErr w:type="spellStart"/>
      <w:r w:rsidRPr="00C83518">
        <w:rPr>
          <w:rFonts w:ascii="Verdana" w:eastAsia="Batang" w:hAnsi="Verdana"/>
          <w:sz w:val="20"/>
          <w:szCs w:val="20"/>
          <w:lang w:val="es-ES" w:eastAsia="en-US"/>
        </w:rPr>
        <w:t>Tecpile</w:t>
      </w:r>
      <w:proofErr w:type="spellEnd"/>
      <w:r w:rsidRPr="00C83518">
        <w:rPr>
          <w:rFonts w:ascii="Verdana" w:eastAsia="Batang" w:hAnsi="Verdana"/>
          <w:sz w:val="20"/>
          <w:szCs w:val="20"/>
          <w:lang w:val="es-ES" w:eastAsia="en-US"/>
        </w:rPr>
        <w:t xml:space="preserve"> y Gustavo Robles López</w:t>
      </w:r>
      <w:r w:rsidR="009966EA" w:rsidRPr="00C83518">
        <w:rPr>
          <w:rFonts w:ascii="Verdana" w:eastAsia="Batang" w:hAnsi="Verdana"/>
          <w:sz w:val="20"/>
          <w:szCs w:val="20"/>
          <w:lang w:val="es-ES" w:eastAsia="en-US"/>
        </w:rPr>
        <w:t xml:space="preserve">, en los términos señalados en el Informe de Fondo de la Comisión Interamericana de Derechos Humanos. </w:t>
      </w:r>
    </w:p>
    <w:p w14:paraId="12C3D38B" w14:textId="1A3AA62C" w:rsidR="009966EA" w:rsidRPr="005C1789" w:rsidRDefault="009D6D6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Pr>
          <w:rFonts w:ascii="Verdana" w:hAnsi="Verdana"/>
          <w:i w:val="0"/>
          <w:iCs/>
          <w:sz w:val="20"/>
          <w:szCs w:val="20"/>
          <w:lang w:val="es-ES"/>
        </w:rPr>
        <w:t>S</w:t>
      </w:r>
      <w:r w:rsidR="006649B2" w:rsidRPr="005C1789">
        <w:rPr>
          <w:rFonts w:ascii="Verdana" w:hAnsi="Verdana"/>
          <w:i w:val="0"/>
          <w:iCs/>
          <w:sz w:val="20"/>
          <w:szCs w:val="20"/>
          <w:lang w:val="es-ES"/>
        </w:rPr>
        <w:t xml:space="preserve">ubsiste </w:t>
      </w:r>
      <w:r w:rsidR="009966EA" w:rsidRPr="005C1789">
        <w:rPr>
          <w:rFonts w:ascii="Verdana" w:hAnsi="Verdana"/>
          <w:i w:val="0"/>
          <w:iCs/>
          <w:sz w:val="20"/>
          <w:szCs w:val="20"/>
          <w:lang w:val="es-ES"/>
        </w:rPr>
        <w:t>la controversia sobre l</w:t>
      </w:r>
      <w:r w:rsidR="00C821D2" w:rsidRPr="005C1789">
        <w:rPr>
          <w:rFonts w:ascii="Verdana" w:hAnsi="Verdana"/>
          <w:i w:val="0"/>
          <w:iCs/>
          <w:sz w:val="20"/>
          <w:szCs w:val="20"/>
          <w:lang w:val="es-ES"/>
        </w:rPr>
        <w:t xml:space="preserve">a </w:t>
      </w:r>
      <w:r w:rsidR="003A7701" w:rsidRPr="005C1789">
        <w:rPr>
          <w:rFonts w:ascii="Verdana" w:hAnsi="Verdana"/>
          <w:i w:val="0"/>
          <w:iCs/>
          <w:sz w:val="20"/>
          <w:szCs w:val="20"/>
          <w:lang w:val="es-ES"/>
        </w:rPr>
        <w:t>presunta</w:t>
      </w:r>
      <w:r w:rsidR="00C821D2" w:rsidRPr="005C1789">
        <w:rPr>
          <w:rFonts w:ascii="Verdana" w:hAnsi="Verdana"/>
          <w:i w:val="0"/>
          <w:iCs/>
          <w:sz w:val="20"/>
          <w:szCs w:val="20"/>
          <w:lang w:val="es-ES"/>
        </w:rPr>
        <w:t xml:space="preserve"> responsabilidad del Estado por </w:t>
      </w:r>
      <w:r w:rsidR="006561CC" w:rsidRPr="005C1789">
        <w:rPr>
          <w:rFonts w:ascii="Verdana" w:hAnsi="Verdana"/>
          <w:i w:val="0"/>
          <w:iCs/>
          <w:sz w:val="20"/>
          <w:szCs w:val="20"/>
          <w:lang w:val="es-ES"/>
        </w:rPr>
        <w:t>las alegadas violaciones a</w:t>
      </w:r>
      <w:r w:rsidR="00C821D2" w:rsidRPr="005C1789">
        <w:rPr>
          <w:rFonts w:ascii="Verdana" w:hAnsi="Verdana"/>
          <w:i w:val="0"/>
          <w:iCs/>
          <w:sz w:val="20"/>
          <w:szCs w:val="20"/>
          <w:lang w:val="es-ES"/>
        </w:rPr>
        <w:t>l deber de adoptar disposiciones del derecho interno (artículo 2 de Convención Americana) por la existencia de las figuras del arraigo y de la prisión preventiva, que fueron aplicadas a las presuntas víctimas del caso.</w:t>
      </w:r>
      <w:r w:rsidR="00455736" w:rsidRPr="005C1789">
        <w:rPr>
          <w:rFonts w:ascii="Verdana" w:hAnsi="Verdana"/>
          <w:i w:val="0"/>
          <w:iCs/>
          <w:sz w:val="20"/>
          <w:szCs w:val="20"/>
          <w:lang w:val="es-ES"/>
        </w:rPr>
        <w:t xml:space="preserve"> </w:t>
      </w:r>
      <w:bookmarkStart w:id="42" w:name="_Hlk110931579"/>
      <w:r w:rsidR="00455736" w:rsidRPr="005C1789">
        <w:rPr>
          <w:rFonts w:ascii="Verdana" w:hAnsi="Verdana"/>
          <w:i w:val="0"/>
          <w:iCs/>
          <w:sz w:val="20"/>
          <w:szCs w:val="20"/>
          <w:lang w:val="es-ES"/>
        </w:rPr>
        <w:t xml:space="preserve">Subsiste asimismo la controversia por la alegada vulneración al derecho a la vida privada (artículo 11.2 de la Convención Americana) debido los cateos </w:t>
      </w:r>
      <w:r w:rsidR="0080512D" w:rsidRPr="005C1789">
        <w:rPr>
          <w:rFonts w:ascii="Verdana" w:hAnsi="Verdana"/>
          <w:i w:val="0"/>
          <w:iCs/>
          <w:sz w:val="20"/>
          <w:szCs w:val="20"/>
          <w:lang w:val="es-ES"/>
        </w:rPr>
        <w:t>ejecutados</w:t>
      </w:r>
      <w:r w:rsidR="00455736" w:rsidRPr="005C1789">
        <w:rPr>
          <w:rFonts w:ascii="Verdana" w:hAnsi="Verdana"/>
          <w:i w:val="0"/>
          <w:iCs/>
          <w:sz w:val="20"/>
          <w:szCs w:val="20"/>
          <w:lang w:val="es-ES"/>
        </w:rPr>
        <w:t xml:space="preserve"> en la casa de la madre de los señores </w:t>
      </w:r>
      <w:proofErr w:type="spellStart"/>
      <w:r w:rsidR="00455736" w:rsidRPr="005C1789">
        <w:rPr>
          <w:rFonts w:ascii="Verdana" w:hAnsi="Verdana"/>
          <w:i w:val="0"/>
          <w:iCs/>
          <w:sz w:val="20"/>
          <w:szCs w:val="20"/>
          <w:lang w:val="es-ES"/>
        </w:rPr>
        <w:t>Tzompaxtle</w:t>
      </w:r>
      <w:proofErr w:type="spellEnd"/>
      <w:r w:rsidR="00455736" w:rsidRPr="005C1789">
        <w:rPr>
          <w:rFonts w:ascii="Verdana" w:hAnsi="Verdana"/>
          <w:i w:val="0"/>
          <w:iCs/>
          <w:sz w:val="20"/>
          <w:szCs w:val="20"/>
          <w:lang w:val="es-ES"/>
        </w:rPr>
        <w:t xml:space="preserve"> </w:t>
      </w:r>
      <w:proofErr w:type="spellStart"/>
      <w:r w:rsidR="00455736" w:rsidRPr="005C1789">
        <w:rPr>
          <w:rFonts w:ascii="Verdana" w:hAnsi="Verdana"/>
          <w:i w:val="0"/>
          <w:iCs/>
          <w:sz w:val="20"/>
          <w:szCs w:val="20"/>
          <w:lang w:val="es-ES"/>
        </w:rPr>
        <w:t>Tecpile</w:t>
      </w:r>
      <w:proofErr w:type="spellEnd"/>
      <w:r w:rsidR="00455736" w:rsidRPr="005C1789">
        <w:rPr>
          <w:rFonts w:ascii="Verdana" w:hAnsi="Verdana"/>
          <w:i w:val="0"/>
          <w:iCs/>
          <w:sz w:val="20"/>
          <w:szCs w:val="20"/>
          <w:lang w:val="es-ES"/>
        </w:rPr>
        <w:t>, así como una tienda que era el negocio de la familia el 31 de marzo de 2006</w:t>
      </w:r>
      <w:bookmarkEnd w:id="42"/>
      <w:r w:rsidR="0006604D" w:rsidRPr="005C1789">
        <w:rPr>
          <w:rFonts w:ascii="Verdana" w:hAnsi="Verdana"/>
          <w:i w:val="0"/>
          <w:iCs/>
          <w:sz w:val="20"/>
          <w:szCs w:val="20"/>
          <w:lang w:val="es-ES"/>
        </w:rPr>
        <w:t>, la cual se encuentra alegada únicamente por los representantes.</w:t>
      </w:r>
    </w:p>
    <w:p w14:paraId="336B74A4" w14:textId="7FEFAF16" w:rsidR="009966EA" w:rsidRPr="005C1789" w:rsidRDefault="00C821D2" w:rsidP="00955888">
      <w:pPr>
        <w:pStyle w:val="Ttulo3"/>
        <w:spacing w:before="240" w:after="240"/>
        <w:ind w:left="567"/>
        <w:rPr>
          <w:rFonts w:ascii="Verdana" w:hAnsi="Verdana"/>
          <w:bCs w:val="0"/>
          <w:snapToGrid w:val="0"/>
          <w:spacing w:val="-2"/>
          <w:sz w:val="20"/>
          <w:szCs w:val="20"/>
          <w:lang w:eastAsia="es-ES"/>
        </w:rPr>
      </w:pPr>
      <w:bookmarkStart w:id="43" w:name="_Toc74911307"/>
      <w:bookmarkStart w:id="44" w:name="_Toc93400233"/>
      <w:bookmarkStart w:id="45" w:name="_Toc123347506"/>
      <w:r w:rsidRPr="005C1789">
        <w:rPr>
          <w:rFonts w:ascii="Verdana" w:hAnsi="Verdana"/>
          <w:bCs w:val="0"/>
          <w:snapToGrid w:val="0"/>
          <w:spacing w:val="-2"/>
          <w:sz w:val="20"/>
          <w:szCs w:val="20"/>
          <w:lang w:eastAsia="es-ES"/>
        </w:rPr>
        <w:t>B</w:t>
      </w:r>
      <w:r w:rsidR="009966EA" w:rsidRPr="005C1789">
        <w:rPr>
          <w:rFonts w:ascii="Verdana" w:hAnsi="Verdana"/>
          <w:bCs w:val="0"/>
          <w:snapToGrid w:val="0"/>
          <w:spacing w:val="-2"/>
          <w:sz w:val="20"/>
          <w:szCs w:val="20"/>
          <w:lang w:eastAsia="es-ES"/>
        </w:rPr>
        <w:t>.3 En cuanto a las reparaciones</w:t>
      </w:r>
      <w:bookmarkEnd w:id="43"/>
      <w:bookmarkEnd w:id="44"/>
      <w:bookmarkEnd w:id="45"/>
    </w:p>
    <w:p w14:paraId="3C668E58" w14:textId="0EFC689A" w:rsidR="009966EA"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En lo que se refiere a las medidas de reparación, la Corte constata que el Estado y l</w:t>
      </w:r>
      <w:r w:rsidR="003B4CB4">
        <w:rPr>
          <w:rFonts w:ascii="Verdana" w:hAnsi="Verdana"/>
          <w:i w:val="0"/>
          <w:iCs/>
          <w:sz w:val="20"/>
          <w:szCs w:val="20"/>
          <w:lang w:val="es-ES"/>
        </w:rPr>
        <w:t>o</w:t>
      </w:r>
      <w:r w:rsidRPr="005C1789">
        <w:rPr>
          <w:rFonts w:ascii="Verdana" w:hAnsi="Verdana"/>
          <w:i w:val="0"/>
          <w:iCs/>
          <w:sz w:val="20"/>
          <w:szCs w:val="20"/>
          <w:lang w:val="es-ES"/>
        </w:rPr>
        <w:t>s representantes han llegado a un acuerdo sobre determinadas reparaciones, si bien todavía existen otras reparaciones solicitadas por l</w:t>
      </w:r>
      <w:r w:rsidR="003B4CB4">
        <w:rPr>
          <w:rFonts w:ascii="Verdana" w:hAnsi="Verdana"/>
          <w:i w:val="0"/>
          <w:iCs/>
          <w:sz w:val="20"/>
          <w:szCs w:val="20"/>
          <w:lang w:val="es-ES"/>
        </w:rPr>
        <w:t>o</w:t>
      </w:r>
      <w:r w:rsidRPr="005C1789">
        <w:rPr>
          <w:rFonts w:ascii="Verdana" w:hAnsi="Verdana"/>
          <w:i w:val="0"/>
          <w:iCs/>
          <w:sz w:val="20"/>
          <w:szCs w:val="20"/>
          <w:lang w:val="es-ES"/>
        </w:rPr>
        <w:t xml:space="preserve">s representantes sobre las que no se ha llegado a un </w:t>
      </w:r>
      <w:r w:rsidR="00824DD4">
        <w:rPr>
          <w:rFonts w:ascii="Verdana" w:hAnsi="Verdana"/>
          <w:i w:val="0"/>
          <w:iCs/>
          <w:sz w:val="20"/>
          <w:szCs w:val="20"/>
          <w:lang w:val="es-ES"/>
        </w:rPr>
        <w:t>compromiso</w:t>
      </w:r>
      <w:r w:rsidRPr="005C1789">
        <w:rPr>
          <w:rFonts w:ascii="Verdana" w:hAnsi="Verdana"/>
          <w:i w:val="0"/>
          <w:iCs/>
          <w:sz w:val="20"/>
          <w:szCs w:val="20"/>
          <w:lang w:val="es-ES"/>
        </w:rPr>
        <w:t>. Por tanto, subsiste parcialmente la controversia a este respecto, cuestión que será analizada en el Capítulo IX de la presente Sentencia.</w:t>
      </w:r>
    </w:p>
    <w:p w14:paraId="456FACD8" w14:textId="6E68BDF2" w:rsidR="009966EA" w:rsidRPr="005C1789" w:rsidRDefault="00BF2939" w:rsidP="00955888">
      <w:pPr>
        <w:pStyle w:val="Ttulo3"/>
        <w:spacing w:before="240" w:after="240"/>
        <w:ind w:left="567"/>
        <w:rPr>
          <w:rFonts w:ascii="Verdana" w:hAnsi="Verdana"/>
          <w:bCs w:val="0"/>
          <w:snapToGrid w:val="0"/>
          <w:spacing w:val="-2"/>
          <w:sz w:val="20"/>
          <w:szCs w:val="20"/>
          <w:lang w:eastAsia="es-ES"/>
        </w:rPr>
      </w:pPr>
      <w:bookmarkStart w:id="46" w:name="_Toc74911308"/>
      <w:bookmarkStart w:id="47" w:name="_Toc93400234"/>
      <w:bookmarkStart w:id="48" w:name="_Toc123347507"/>
      <w:r w:rsidRPr="005C1789">
        <w:rPr>
          <w:rFonts w:ascii="Verdana" w:hAnsi="Verdana"/>
          <w:bCs w:val="0"/>
          <w:snapToGrid w:val="0"/>
          <w:spacing w:val="-2"/>
          <w:sz w:val="20"/>
          <w:szCs w:val="20"/>
          <w:lang w:eastAsia="es-ES"/>
        </w:rPr>
        <w:lastRenderedPageBreak/>
        <w:t>B</w:t>
      </w:r>
      <w:r w:rsidR="009966EA" w:rsidRPr="005C1789">
        <w:rPr>
          <w:rFonts w:ascii="Verdana" w:hAnsi="Verdana"/>
          <w:bCs w:val="0"/>
          <w:snapToGrid w:val="0"/>
          <w:spacing w:val="-2"/>
          <w:sz w:val="20"/>
          <w:szCs w:val="20"/>
          <w:lang w:eastAsia="es-ES"/>
        </w:rPr>
        <w:t>.4 Conclusiones: valoración del reconocimiento parcial de responsabilidad</w:t>
      </w:r>
      <w:bookmarkEnd w:id="46"/>
      <w:bookmarkEnd w:id="47"/>
      <w:bookmarkEnd w:id="48"/>
    </w:p>
    <w:p w14:paraId="6846C35E" w14:textId="5F35C3B7" w:rsidR="009966EA"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 xml:space="preserve">El reconocimiento efectuado por el Estado constituye una aceptación de los hechos y un reconocimiento parcial de las violaciones alegadas. Dicho reconocimiento </w:t>
      </w:r>
      <w:r w:rsidRPr="005C1789">
        <w:rPr>
          <w:rFonts w:ascii="Verdana" w:eastAsia="Batang" w:hAnsi="Verdana"/>
          <w:i w:val="0"/>
          <w:iCs/>
          <w:sz w:val="20"/>
          <w:szCs w:val="20"/>
          <w:lang w:val="es-ES"/>
        </w:rPr>
        <w:t>produce</w:t>
      </w:r>
      <w:r w:rsidRPr="005C1789">
        <w:rPr>
          <w:rFonts w:ascii="Verdana" w:hAnsi="Verdana"/>
          <w:i w:val="0"/>
          <w:iCs/>
          <w:sz w:val="20"/>
          <w:szCs w:val="20"/>
          <w:lang w:val="es-ES"/>
        </w:rPr>
        <w:t xml:space="preserve"> plenos efectos jurídicos </w:t>
      </w:r>
      <w:r w:rsidR="002E4149" w:rsidRPr="005C1789">
        <w:rPr>
          <w:rFonts w:ascii="Verdana" w:hAnsi="Verdana"/>
          <w:i w:val="0"/>
          <w:iCs/>
          <w:sz w:val="20"/>
          <w:szCs w:val="20"/>
          <w:lang w:val="es-ES"/>
        </w:rPr>
        <w:t>de acuerdo con</w:t>
      </w:r>
      <w:r w:rsidRPr="005C1789">
        <w:rPr>
          <w:rFonts w:ascii="Verdana" w:hAnsi="Verdana"/>
          <w:i w:val="0"/>
          <w:iCs/>
          <w:sz w:val="20"/>
          <w:szCs w:val="20"/>
          <w:lang w:val="es-ES"/>
        </w:rPr>
        <w:t xml:space="preserve"> los artículos 62 y 64 del Reglamento de la Corte ya mencionados. La Corte valora positivamente la voluntad del Estado al manifestar un reconocimiento parcial de responsabilidad internacional, por su trascendencia en el marco del sistema interamericano de protección de los derechos humanos, y </w:t>
      </w:r>
      <w:r w:rsidR="002C0F99" w:rsidRPr="005C1789">
        <w:rPr>
          <w:rFonts w:ascii="Verdana" w:hAnsi="Verdana"/>
          <w:i w:val="0"/>
          <w:iCs/>
          <w:sz w:val="20"/>
          <w:szCs w:val="20"/>
          <w:lang w:val="es-ES"/>
        </w:rPr>
        <w:t xml:space="preserve">el hecho de </w:t>
      </w:r>
      <w:r w:rsidRPr="005C1789">
        <w:rPr>
          <w:rFonts w:ascii="Verdana" w:hAnsi="Verdana"/>
          <w:i w:val="0"/>
          <w:iCs/>
          <w:sz w:val="20"/>
          <w:szCs w:val="20"/>
          <w:lang w:val="es-ES"/>
        </w:rPr>
        <w:t xml:space="preserve">que las partes hayan consentido en posibilitar un acuerdo en materia de reparaciones. Adicionalmente, la Corte advierte que el reconocimiento de hechos y violaciones puntuales y </w:t>
      </w:r>
      <w:r w:rsidR="006F1363" w:rsidRPr="005C1789">
        <w:rPr>
          <w:rFonts w:ascii="Verdana" w:hAnsi="Verdana"/>
          <w:i w:val="0"/>
          <w:iCs/>
          <w:sz w:val="20"/>
          <w:szCs w:val="20"/>
          <w:lang w:val="es-ES"/>
        </w:rPr>
        <w:t xml:space="preserve">específicas </w:t>
      </w:r>
      <w:r w:rsidRPr="005C1789">
        <w:rPr>
          <w:rFonts w:ascii="Verdana" w:hAnsi="Verdana"/>
          <w:i w:val="0"/>
          <w:iCs/>
          <w:sz w:val="20"/>
          <w:szCs w:val="20"/>
          <w:lang w:val="es-ES"/>
        </w:rPr>
        <w:t>puede tener consecuencias en el análisis que haga este Tribunal sobre los demás hechos y violaciones alegados, en la medida en que todos forman parte de un mismo conjunto de circunstancias</w:t>
      </w:r>
      <w:r w:rsidRPr="005C1789">
        <w:rPr>
          <w:rStyle w:val="Refdenotaalpie"/>
          <w:rFonts w:ascii="Verdana" w:eastAsia="Batang" w:hAnsi="Verdana"/>
          <w:i w:val="0"/>
          <w:iCs/>
          <w:sz w:val="20"/>
          <w:lang w:val="es-ES"/>
        </w:rPr>
        <w:footnoteReference w:id="15"/>
      </w:r>
      <w:r w:rsidRPr="005C1789">
        <w:rPr>
          <w:rFonts w:ascii="Verdana" w:hAnsi="Verdana"/>
          <w:i w:val="0"/>
          <w:iCs/>
          <w:sz w:val="20"/>
          <w:szCs w:val="20"/>
          <w:lang w:val="es-ES"/>
        </w:rPr>
        <w:t>.</w:t>
      </w:r>
    </w:p>
    <w:p w14:paraId="64B63D1F" w14:textId="04EDEE29" w:rsidR="00FD7C00" w:rsidRPr="005C1789" w:rsidRDefault="009966E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
        </w:rPr>
      </w:pPr>
      <w:r w:rsidRPr="005C1789">
        <w:rPr>
          <w:rFonts w:ascii="Verdana" w:hAnsi="Verdana"/>
          <w:i w:val="0"/>
          <w:iCs/>
          <w:sz w:val="20"/>
          <w:szCs w:val="20"/>
          <w:lang w:val="es-ES"/>
        </w:rPr>
        <w:t xml:space="preserve">En consideración </w:t>
      </w:r>
      <w:r w:rsidR="00F8267C" w:rsidRPr="005C1789">
        <w:rPr>
          <w:rFonts w:ascii="Verdana" w:hAnsi="Verdana"/>
          <w:i w:val="0"/>
          <w:iCs/>
          <w:sz w:val="20"/>
          <w:szCs w:val="20"/>
          <w:lang w:val="es-ES"/>
        </w:rPr>
        <w:t>a</w:t>
      </w:r>
      <w:r w:rsidRPr="005C1789">
        <w:rPr>
          <w:rFonts w:ascii="Verdana" w:hAnsi="Verdana"/>
          <w:i w:val="0"/>
          <w:iCs/>
          <w:sz w:val="20"/>
          <w:szCs w:val="20"/>
          <w:lang w:val="es-ES"/>
        </w:rPr>
        <w:t xml:space="preserve"> la gravedad de los hechos y de las violaciones alegadas, la Corte procederá a la determinación amplia y detallada de los hechos ocurridos, toda vez que ello contribuye a la reparación de las víctimas, a evitar que </w:t>
      </w:r>
      <w:r w:rsidR="0023421E" w:rsidRPr="005C1789">
        <w:rPr>
          <w:rFonts w:ascii="Verdana" w:hAnsi="Verdana"/>
          <w:i w:val="0"/>
          <w:iCs/>
          <w:sz w:val="20"/>
          <w:szCs w:val="20"/>
          <w:lang w:val="es-ES"/>
        </w:rPr>
        <w:t>la</w:t>
      </w:r>
      <w:r w:rsidRPr="005C1789">
        <w:rPr>
          <w:rFonts w:ascii="Verdana" w:hAnsi="Verdana"/>
          <w:i w:val="0"/>
          <w:iCs/>
          <w:sz w:val="20"/>
          <w:szCs w:val="20"/>
          <w:lang w:val="es-ES"/>
        </w:rPr>
        <w:t xml:space="preserve"> rep</w:t>
      </w:r>
      <w:r w:rsidR="0023421E" w:rsidRPr="005C1789">
        <w:rPr>
          <w:rFonts w:ascii="Verdana" w:hAnsi="Verdana"/>
          <w:i w:val="0"/>
          <w:iCs/>
          <w:sz w:val="20"/>
          <w:szCs w:val="20"/>
          <w:lang w:val="es-ES"/>
        </w:rPr>
        <w:t>etición</w:t>
      </w:r>
      <w:r w:rsidR="00F277A5" w:rsidRPr="005C1789">
        <w:rPr>
          <w:rFonts w:ascii="Verdana" w:hAnsi="Verdana"/>
          <w:i w:val="0"/>
          <w:iCs/>
          <w:sz w:val="20"/>
          <w:szCs w:val="20"/>
          <w:lang w:val="es-ES"/>
        </w:rPr>
        <w:t xml:space="preserve"> de</w:t>
      </w:r>
      <w:r w:rsidRPr="005C1789">
        <w:rPr>
          <w:rFonts w:ascii="Verdana" w:hAnsi="Verdana"/>
          <w:i w:val="0"/>
          <w:iCs/>
          <w:sz w:val="20"/>
          <w:szCs w:val="20"/>
          <w:lang w:val="es-ES"/>
        </w:rPr>
        <w:t xml:space="preserve"> hechos similares y a satisfacer, en suma, los fines de la jurisdicción interamericana sobre derechos humanos</w:t>
      </w:r>
      <w:r w:rsidRPr="005C1789">
        <w:rPr>
          <w:rStyle w:val="Refdenotaalpie"/>
          <w:rFonts w:ascii="Verdana" w:eastAsia="Batang" w:hAnsi="Verdana"/>
          <w:i w:val="0"/>
          <w:iCs/>
          <w:sz w:val="20"/>
          <w:lang w:val="es-ES"/>
        </w:rPr>
        <w:footnoteReference w:id="16"/>
      </w:r>
      <w:r w:rsidRPr="005C1789">
        <w:rPr>
          <w:rFonts w:ascii="Verdana" w:hAnsi="Verdana"/>
          <w:i w:val="0"/>
          <w:iCs/>
          <w:sz w:val="20"/>
          <w:szCs w:val="20"/>
          <w:lang w:val="es-ES"/>
        </w:rPr>
        <w:t xml:space="preserve">, y luego analizará la procedencia y alcance de las violaciones sobre las que subsiste la controversia. Asimismo, </w:t>
      </w:r>
      <w:r w:rsidR="00625250" w:rsidRPr="005C1789">
        <w:rPr>
          <w:rFonts w:ascii="Verdana" w:hAnsi="Verdana"/>
          <w:i w:val="0"/>
          <w:iCs/>
          <w:sz w:val="20"/>
          <w:szCs w:val="20"/>
          <w:lang w:val="es-ES"/>
        </w:rPr>
        <w:t>con el fin</w:t>
      </w:r>
      <w:r w:rsidRPr="005C1789">
        <w:rPr>
          <w:rFonts w:ascii="Verdana" w:hAnsi="Verdana"/>
          <w:i w:val="0"/>
          <w:iCs/>
          <w:sz w:val="20"/>
          <w:szCs w:val="20"/>
          <w:lang w:val="es-ES"/>
        </w:rPr>
        <w:t xml:space="preserve"> de asegurar una mejor comprensión de la responsabilidad internacional estatal</w:t>
      </w:r>
      <w:r w:rsidR="003B4CB4">
        <w:rPr>
          <w:rFonts w:ascii="Verdana" w:hAnsi="Verdana"/>
          <w:i w:val="0"/>
          <w:iCs/>
          <w:sz w:val="20"/>
          <w:szCs w:val="20"/>
          <w:lang w:val="es-ES"/>
        </w:rPr>
        <w:t>,</w:t>
      </w:r>
      <w:r w:rsidRPr="005C1789">
        <w:rPr>
          <w:rFonts w:ascii="Verdana" w:hAnsi="Verdana"/>
          <w:i w:val="0"/>
          <w:iCs/>
          <w:sz w:val="20"/>
          <w:szCs w:val="20"/>
          <w:lang w:val="es-ES"/>
        </w:rPr>
        <w:t xml:space="preserve"> del nexo causal entre las violaciones establecidas y de las reparaciones que se ordenarán</w:t>
      </w:r>
      <w:r w:rsidR="00663913" w:rsidRPr="005C1789">
        <w:rPr>
          <w:rFonts w:ascii="Verdana" w:hAnsi="Verdana"/>
          <w:i w:val="0"/>
          <w:iCs/>
          <w:sz w:val="20"/>
          <w:szCs w:val="20"/>
          <w:lang w:val="es-ES"/>
        </w:rPr>
        <w:t>, l</w:t>
      </w:r>
      <w:r w:rsidRPr="005C1789">
        <w:rPr>
          <w:rFonts w:ascii="Verdana" w:hAnsi="Verdana"/>
          <w:i w:val="0"/>
          <w:iCs/>
          <w:sz w:val="20"/>
          <w:szCs w:val="20"/>
          <w:lang w:val="es-ES"/>
        </w:rPr>
        <w:t>a Corte estima pertinente precisar algunas de las violaciones a los derechos humanos que acontecieron en el presente caso y que han sido reconocidas por el Estado</w:t>
      </w:r>
      <w:r w:rsidRPr="005C1789">
        <w:rPr>
          <w:rStyle w:val="Refdenotaalpie"/>
          <w:rFonts w:ascii="Verdana" w:eastAsia="Batang" w:hAnsi="Verdana"/>
          <w:i w:val="0"/>
          <w:iCs/>
          <w:sz w:val="20"/>
          <w:lang w:val="es-ES"/>
        </w:rPr>
        <w:footnoteReference w:id="17"/>
      </w:r>
      <w:r w:rsidRPr="005C1789">
        <w:rPr>
          <w:rFonts w:ascii="Verdana" w:hAnsi="Verdana"/>
          <w:i w:val="0"/>
          <w:iCs/>
          <w:sz w:val="20"/>
          <w:szCs w:val="20"/>
          <w:lang w:val="es-ES"/>
        </w:rPr>
        <w:t>. Finalmente, el Tribunal se pronunciará sobre la controversia subsistente en torno a las reparaciones solicitadas por la Comisión y l</w:t>
      </w:r>
      <w:r w:rsidR="00BF2939" w:rsidRPr="005C1789">
        <w:rPr>
          <w:rFonts w:ascii="Verdana" w:hAnsi="Verdana"/>
          <w:i w:val="0"/>
          <w:iCs/>
          <w:sz w:val="20"/>
          <w:szCs w:val="20"/>
          <w:lang w:val="es-ES"/>
        </w:rPr>
        <w:t>o</w:t>
      </w:r>
      <w:r w:rsidRPr="005C1789">
        <w:rPr>
          <w:rFonts w:ascii="Verdana" w:hAnsi="Verdana"/>
          <w:i w:val="0"/>
          <w:iCs/>
          <w:sz w:val="20"/>
          <w:szCs w:val="20"/>
          <w:lang w:val="es-ES"/>
        </w:rPr>
        <w:t>s representantes.</w:t>
      </w:r>
      <w:r w:rsidR="006649B2" w:rsidRPr="005C1789">
        <w:rPr>
          <w:rFonts w:ascii="Verdana" w:hAnsi="Verdana"/>
          <w:i w:val="0"/>
          <w:iCs/>
          <w:sz w:val="20"/>
          <w:szCs w:val="20"/>
          <w:lang w:val="es-ES"/>
        </w:rPr>
        <w:t xml:space="preserve"> De conformidad con lo anterior, en los capítulos de Fondo de la presente Sentencia, la Corte </w:t>
      </w:r>
      <w:r w:rsidR="00C10B7B" w:rsidRPr="005C1789">
        <w:rPr>
          <w:rFonts w:ascii="Verdana" w:hAnsi="Verdana"/>
          <w:i w:val="0"/>
          <w:iCs/>
          <w:sz w:val="20"/>
          <w:szCs w:val="20"/>
          <w:lang w:val="es-ES"/>
        </w:rPr>
        <w:t>analizará la compatibilidad de las figuras del arraigo y de la prisión preventiva reguladas por la normatividad mexicana con la Convención Americana</w:t>
      </w:r>
      <w:r w:rsidR="006649B2" w:rsidRPr="005C1789">
        <w:rPr>
          <w:rFonts w:ascii="Verdana" w:hAnsi="Verdana"/>
          <w:i w:val="0"/>
          <w:iCs/>
          <w:sz w:val="20"/>
          <w:szCs w:val="20"/>
          <w:lang w:val="es-ES"/>
        </w:rPr>
        <w:t xml:space="preserve">, </w:t>
      </w:r>
      <w:r w:rsidR="00AC3AB7">
        <w:rPr>
          <w:rFonts w:ascii="Verdana" w:hAnsi="Verdana"/>
          <w:i w:val="0"/>
          <w:iCs/>
          <w:sz w:val="20"/>
          <w:szCs w:val="20"/>
          <w:lang w:val="es-ES"/>
        </w:rPr>
        <w:t xml:space="preserve">así como </w:t>
      </w:r>
      <w:r w:rsidR="00C10B7B" w:rsidRPr="005C1789">
        <w:rPr>
          <w:rFonts w:ascii="Verdana" w:hAnsi="Verdana"/>
          <w:i w:val="0"/>
          <w:iCs/>
          <w:sz w:val="20"/>
          <w:szCs w:val="20"/>
          <w:lang w:val="es-ES"/>
        </w:rPr>
        <w:t xml:space="preserve">los derechos a la integridad personal y a la vida privada de Jorge Marcial </w:t>
      </w:r>
      <w:proofErr w:type="spellStart"/>
      <w:r w:rsidR="00C10B7B" w:rsidRPr="005C1789">
        <w:rPr>
          <w:rFonts w:ascii="Verdana" w:hAnsi="Verdana"/>
          <w:i w:val="0"/>
          <w:iCs/>
          <w:sz w:val="20"/>
          <w:szCs w:val="20"/>
          <w:lang w:val="es-ES"/>
        </w:rPr>
        <w:t>Tzompaxtle</w:t>
      </w:r>
      <w:proofErr w:type="spellEnd"/>
      <w:r w:rsidR="00C10B7B" w:rsidRPr="005C1789">
        <w:rPr>
          <w:rFonts w:ascii="Verdana" w:hAnsi="Verdana"/>
          <w:i w:val="0"/>
          <w:iCs/>
          <w:sz w:val="20"/>
          <w:szCs w:val="20"/>
          <w:lang w:val="es-ES"/>
        </w:rPr>
        <w:t xml:space="preserve"> </w:t>
      </w:r>
      <w:proofErr w:type="spellStart"/>
      <w:r w:rsidR="00C10B7B" w:rsidRPr="005C1789">
        <w:rPr>
          <w:rFonts w:ascii="Verdana" w:hAnsi="Verdana"/>
          <w:i w:val="0"/>
          <w:iCs/>
          <w:sz w:val="20"/>
          <w:szCs w:val="20"/>
          <w:lang w:val="es-ES"/>
        </w:rPr>
        <w:t>Tecpile</w:t>
      </w:r>
      <w:proofErr w:type="spellEnd"/>
      <w:r w:rsidR="00C10B7B" w:rsidRPr="005C1789">
        <w:rPr>
          <w:rFonts w:ascii="Verdana" w:hAnsi="Verdana"/>
          <w:i w:val="0"/>
          <w:iCs/>
          <w:sz w:val="20"/>
          <w:szCs w:val="20"/>
          <w:lang w:val="es-ES"/>
        </w:rPr>
        <w:t xml:space="preserve">, Gerardo </w:t>
      </w:r>
      <w:proofErr w:type="spellStart"/>
      <w:r w:rsidR="00C10B7B" w:rsidRPr="005C1789">
        <w:rPr>
          <w:rFonts w:ascii="Verdana" w:hAnsi="Verdana"/>
          <w:i w:val="0"/>
          <w:iCs/>
          <w:sz w:val="20"/>
          <w:szCs w:val="20"/>
          <w:lang w:val="es-ES"/>
        </w:rPr>
        <w:t>Tzompaxtle</w:t>
      </w:r>
      <w:proofErr w:type="spellEnd"/>
      <w:r w:rsidR="00C10B7B" w:rsidRPr="005C1789">
        <w:rPr>
          <w:rFonts w:ascii="Verdana" w:hAnsi="Verdana"/>
          <w:i w:val="0"/>
          <w:iCs/>
          <w:sz w:val="20"/>
          <w:szCs w:val="20"/>
          <w:lang w:val="es-ES"/>
        </w:rPr>
        <w:t xml:space="preserve"> </w:t>
      </w:r>
      <w:proofErr w:type="spellStart"/>
      <w:r w:rsidR="00C10B7B" w:rsidRPr="005C1789">
        <w:rPr>
          <w:rFonts w:ascii="Verdana" w:hAnsi="Verdana"/>
          <w:i w:val="0"/>
          <w:iCs/>
          <w:sz w:val="20"/>
          <w:szCs w:val="20"/>
          <w:lang w:val="es-ES"/>
        </w:rPr>
        <w:t>Tecpile</w:t>
      </w:r>
      <w:proofErr w:type="spellEnd"/>
      <w:r w:rsidR="00C10B7B" w:rsidRPr="005C1789">
        <w:rPr>
          <w:rFonts w:ascii="Verdana" w:hAnsi="Verdana"/>
          <w:i w:val="0"/>
          <w:iCs/>
          <w:sz w:val="20"/>
          <w:szCs w:val="20"/>
          <w:lang w:val="es-ES"/>
        </w:rPr>
        <w:t xml:space="preserve"> y Gustavo Robles López.</w:t>
      </w:r>
    </w:p>
    <w:p w14:paraId="0FB095EE" w14:textId="3398E296" w:rsidR="009966EA" w:rsidRPr="005C1789" w:rsidRDefault="00FD7C00"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
        </w:rPr>
      </w:pPr>
      <w:r w:rsidRPr="005C1789">
        <w:rPr>
          <w:rFonts w:ascii="Verdana" w:hAnsi="Verdana"/>
          <w:i w:val="0"/>
          <w:sz w:val="20"/>
          <w:szCs w:val="20"/>
          <w:lang w:val="es-ES"/>
        </w:rPr>
        <w:t>Por otra parte, la Corte no considera pertinente pronunciarse, en esta oportunidad, sobre las violaciones a los derechos a las garantías judiciales y a la protección judicial, ya que estas fueron expresamente aceptadas por el Estado en su reconocimiento de responsabilidad internacional, y ya han sido ampliamente desarrolladas en la jurisprudencia de la Corte Interamericana.</w:t>
      </w:r>
    </w:p>
    <w:p w14:paraId="1E90CBB1" w14:textId="02C596FB" w:rsidR="0085104D" w:rsidRPr="005C1789" w:rsidRDefault="0085104D" w:rsidP="00955888">
      <w:pPr>
        <w:pStyle w:val="Ttulo1"/>
        <w:rPr>
          <w:rFonts w:ascii="Verdana" w:hAnsi="Verdana"/>
          <w:caps w:val="0"/>
          <w:sz w:val="20"/>
          <w:lang w:val="es-ES_tradnl"/>
        </w:rPr>
      </w:pPr>
      <w:bookmarkStart w:id="49" w:name="_Toc123347508"/>
      <w:r w:rsidRPr="005C1789">
        <w:rPr>
          <w:rFonts w:ascii="Verdana" w:hAnsi="Verdana"/>
          <w:caps w:val="0"/>
          <w:sz w:val="20"/>
          <w:lang w:val="es-ES_tradnl"/>
        </w:rPr>
        <w:t>V</w:t>
      </w:r>
      <w:r w:rsidRPr="005C1789">
        <w:rPr>
          <w:rFonts w:ascii="Verdana" w:hAnsi="Verdana"/>
          <w:caps w:val="0"/>
          <w:color w:val="FFFFFF" w:themeColor="background1"/>
          <w:sz w:val="20"/>
          <w:lang w:val="es-ES_tradnl"/>
        </w:rPr>
        <w:t>.</w:t>
      </w:r>
      <w:r w:rsidRPr="005C1789">
        <w:rPr>
          <w:rFonts w:ascii="Verdana" w:hAnsi="Verdana"/>
          <w:caps w:val="0"/>
          <w:sz w:val="20"/>
          <w:lang w:val="es-ES_tradnl"/>
        </w:rPr>
        <w:br/>
      </w:r>
      <w:r w:rsidR="00D8031B" w:rsidRPr="005C1789">
        <w:rPr>
          <w:rFonts w:ascii="Verdana" w:hAnsi="Verdana"/>
          <w:caps w:val="0"/>
          <w:sz w:val="20"/>
          <w:lang w:val="es-ES_tradnl"/>
        </w:rPr>
        <w:t>CONSIDERACI</w:t>
      </w:r>
      <w:r w:rsidR="00BD078E" w:rsidRPr="005C1789">
        <w:rPr>
          <w:rFonts w:ascii="Verdana" w:hAnsi="Verdana"/>
          <w:caps w:val="0"/>
          <w:sz w:val="20"/>
          <w:lang w:val="es-ES_tradnl"/>
        </w:rPr>
        <w:t>ONES</w:t>
      </w:r>
      <w:r w:rsidR="00D8031B" w:rsidRPr="005C1789">
        <w:rPr>
          <w:rFonts w:ascii="Verdana" w:hAnsi="Verdana"/>
          <w:caps w:val="0"/>
          <w:sz w:val="20"/>
          <w:lang w:val="es-ES_tradnl"/>
        </w:rPr>
        <w:t xml:space="preserve"> PREVIA</w:t>
      </w:r>
      <w:r w:rsidR="00BD078E" w:rsidRPr="005C1789">
        <w:rPr>
          <w:rFonts w:ascii="Verdana" w:hAnsi="Verdana"/>
          <w:caps w:val="0"/>
          <w:sz w:val="20"/>
          <w:lang w:val="es-ES_tradnl"/>
        </w:rPr>
        <w:t>S</w:t>
      </w:r>
      <w:bookmarkEnd w:id="49"/>
    </w:p>
    <w:p w14:paraId="0569FE9C" w14:textId="4045D2A2" w:rsidR="00272F54" w:rsidRPr="005C1789" w:rsidRDefault="0057158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En</w:t>
      </w:r>
      <w:r w:rsidRPr="005C1789">
        <w:rPr>
          <w:rFonts w:ascii="Verdana" w:hAnsi="Verdana"/>
          <w:i w:val="0"/>
          <w:iCs/>
          <w:spacing w:val="-8"/>
          <w:sz w:val="20"/>
          <w:szCs w:val="20"/>
        </w:rPr>
        <w:t xml:space="preserve"> </w:t>
      </w:r>
      <w:r w:rsidRPr="005C1789">
        <w:rPr>
          <w:rFonts w:ascii="Verdana" w:hAnsi="Verdana"/>
          <w:i w:val="0"/>
          <w:iCs/>
          <w:sz w:val="20"/>
          <w:szCs w:val="20"/>
        </w:rPr>
        <w:t>el</w:t>
      </w:r>
      <w:r w:rsidRPr="005C1789">
        <w:rPr>
          <w:rFonts w:ascii="Verdana" w:hAnsi="Verdana"/>
          <w:i w:val="0"/>
          <w:iCs/>
          <w:spacing w:val="-6"/>
          <w:sz w:val="20"/>
          <w:szCs w:val="20"/>
        </w:rPr>
        <w:t xml:space="preserve"> </w:t>
      </w:r>
      <w:r w:rsidRPr="005C1789">
        <w:rPr>
          <w:rFonts w:ascii="Verdana" w:hAnsi="Verdana"/>
          <w:i w:val="0"/>
          <w:iCs/>
          <w:sz w:val="20"/>
          <w:szCs w:val="20"/>
        </w:rPr>
        <w:t>caso</w:t>
      </w:r>
      <w:r w:rsidRPr="005C1789">
        <w:rPr>
          <w:rFonts w:ascii="Verdana" w:hAnsi="Verdana"/>
          <w:i w:val="0"/>
          <w:iCs/>
          <w:spacing w:val="-6"/>
          <w:sz w:val="20"/>
          <w:szCs w:val="20"/>
        </w:rPr>
        <w:t xml:space="preserve"> </w:t>
      </w:r>
      <w:r w:rsidRPr="005C1789">
        <w:rPr>
          <w:rFonts w:ascii="Verdana" w:hAnsi="Verdana"/>
          <w:sz w:val="20"/>
          <w:szCs w:val="20"/>
        </w:rPr>
        <w:t>sub</w:t>
      </w:r>
      <w:r w:rsidRPr="005C1789">
        <w:rPr>
          <w:rFonts w:ascii="Verdana" w:hAnsi="Verdana"/>
          <w:spacing w:val="-8"/>
          <w:sz w:val="20"/>
          <w:szCs w:val="20"/>
        </w:rPr>
        <w:t xml:space="preserve"> </w:t>
      </w:r>
      <w:r w:rsidRPr="005C1789">
        <w:rPr>
          <w:rFonts w:ascii="Verdana" w:hAnsi="Verdana"/>
          <w:sz w:val="20"/>
          <w:szCs w:val="20"/>
        </w:rPr>
        <w:t>judice</w:t>
      </w:r>
      <w:r w:rsidRPr="005C1789">
        <w:rPr>
          <w:rFonts w:ascii="Verdana" w:hAnsi="Verdana"/>
          <w:i w:val="0"/>
          <w:iCs/>
          <w:spacing w:val="-7"/>
          <w:sz w:val="20"/>
          <w:szCs w:val="20"/>
        </w:rPr>
        <w:t xml:space="preserve"> </w:t>
      </w:r>
      <w:r w:rsidRPr="005C1789">
        <w:rPr>
          <w:rFonts w:ascii="Verdana" w:hAnsi="Verdana"/>
          <w:i w:val="0"/>
          <w:iCs/>
          <w:sz w:val="20"/>
          <w:szCs w:val="20"/>
        </w:rPr>
        <w:t>el</w:t>
      </w:r>
      <w:r w:rsidRPr="005C1789">
        <w:rPr>
          <w:rFonts w:ascii="Verdana" w:hAnsi="Verdana"/>
          <w:i w:val="0"/>
          <w:iCs/>
          <w:spacing w:val="-6"/>
          <w:sz w:val="20"/>
          <w:szCs w:val="20"/>
        </w:rPr>
        <w:t xml:space="preserve"> </w:t>
      </w:r>
      <w:r w:rsidRPr="005C1789">
        <w:rPr>
          <w:rFonts w:ascii="Verdana" w:hAnsi="Verdana"/>
          <w:b/>
          <w:bCs/>
          <w:sz w:val="20"/>
          <w:szCs w:val="20"/>
        </w:rPr>
        <w:t>Estado</w:t>
      </w:r>
      <w:r w:rsidRPr="005C1789">
        <w:rPr>
          <w:rFonts w:ascii="Verdana" w:hAnsi="Verdana"/>
          <w:i w:val="0"/>
          <w:iCs/>
          <w:spacing w:val="-11"/>
          <w:sz w:val="20"/>
          <w:szCs w:val="20"/>
        </w:rPr>
        <w:t xml:space="preserve"> </w:t>
      </w:r>
      <w:r w:rsidRPr="005C1789">
        <w:rPr>
          <w:rFonts w:ascii="Verdana" w:hAnsi="Verdana"/>
          <w:i w:val="0"/>
          <w:iCs/>
          <w:sz w:val="20"/>
          <w:szCs w:val="20"/>
        </w:rPr>
        <w:t>presentó</w:t>
      </w:r>
      <w:r w:rsidRPr="005C1789">
        <w:rPr>
          <w:rFonts w:ascii="Verdana" w:hAnsi="Verdana"/>
          <w:i w:val="0"/>
          <w:iCs/>
          <w:spacing w:val="-8"/>
          <w:sz w:val="20"/>
          <w:szCs w:val="20"/>
        </w:rPr>
        <w:t xml:space="preserve"> </w:t>
      </w:r>
      <w:r w:rsidR="00AC4CD9" w:rsidRPr="005C1789">
        <w:rPr>
          <w:rFonts w:ascii="Verdana" w:hAnsi="Verdana"/>
          <w:i w:val="0"/>
          <w:iCs/>
          <w:spacing w:val="-7"/>
          <w:sz w:val="20"/>
          <w:szCs w:val="20"/>
        </w:rPr>
        <w:t xml:space="preserve">una </w:t>
      </w:r>
      <w:r w:rsidRPr="005C1789">
        <w:rPr>
          <w:rFonts w:ascii="Verdana" w:hAnsi="Verdana"/>
          <w:i w:val="0"/>
          <w:iCs/>
          <w:sz w:val="20"/>
          <w:szCs w:val="20"/>
        </w:rPr>
        <w:t>excepción</w:t>
      </w:r>
      <w:r w:rsidRPr="005C1789">
        <w:rPr>
          <w:rFonts w:ascii="Verdana" w:hAnsi="Verdana"/>
          <w:i w:val="0"/>
          <w:iCs/>
          <w:spacing w:val="-8"/>
          <w:sz w:val="20"/>
          <w:szCs w:val="20"/>
        </w:rPr>
        <w:t xml:space="preserve"> </w:t>
      </w:r>
      <w:r w:rsidRPr="005C1789">
        <w:rPr>
          <w:rFonts w:ascii="Verdana" w:hAnsi="Verdana"/>
          <w:i w:val="0"/>
          <w:iCs/>
          <w:sz w:val="20"/>
          <w:szCs w:val="20"/>
        </w:rPr>
        <w:t>preliminar</w:t>
      </w:r>
      <w:r w:rsidRPr="005C1789">
        <w:rPr>
          <w:rFonts w:ascii="Verdana" w:hAnsi="Verdana"/>
          <w:i w:val="0"/>
          <w:iCs/>
          <w:spacing w:val="-9"/>
          <w:sz w:val="20"/>
          <w:szCs w:val="20"/>
        </w:rPr>
        <w:t xml:space="preserve"> </w:t>
      </w:r>
      <w:r w:rsidR="00AC4CD9" w:rsidRPr="005C1789">
        <w:rPr>
          <w:rFonts w:ascii="Verdana" w:hAnsi="Verdana"/>
          <w:i w:val="0"/>
          <w:iCs/>
          <w:sz w:val="20"/>
          <w:szCs w:val="20"/>
        </w:rPr>
        <w:t>relacionada con</w:t>
      </w:r>
      <w:r w:rsidRPr="005C1789">
        <w:rPr>
          <w:rFonts w:ascii="Verdana" w:hAnsi="Verdana"/>
          <w:i w:val="0"/>
          <w:iCs/>
          <w:spacing w:val="-9"/>
          <w:sz w:val="20"/>
          <w:szCs w:val="20"/>
        </w:rPr>
        <w:t xml:space="preserve"> </w:t>
      </w:r>
      <w:r w:rsidRPr="005C1789">
        <w:rPr>
          <w:rFonts w:ascii="Verdana" w:hAnsi="Verdana"/>
          <w:i w:val="0"/>
          <w:iCs/>
          <w:sz w:val="20"/>
          <w:szCs w:val="20"/>
        </w:rPr>
        <w:t xml:space="preserve">“la falta de </w:t>
      </w:r>
      <w:r w:rsidRPr="005C1789">
        <w:rPr>
          <w:rFonts w:ascii="Verdana" w:hAnsi="Verdana"/>
          <w:i w:val="0"/>
          <w:iCs/>
          <w:sz w:val="20"/>
          <w:szCs w:val="20"/>
          <w:lang w:val="es-ES"/>
        </w:rPr>
        <w:t>alegato</w:t>
      </w:r>
      <w:r w:rsidRPr="005C1789">
        <w:rPr>
          <w:rFonts w:ascii="Verdana" w:hAnsi="Verdana"/>
          <w:i w:val="0"/>
          <w:iCs/>
          <w:sz w:val="20"/>
          <w:szCs w:val="20"/>
        </w:rPr>
        <w:t xml:space="preserve"> en el momento procesal oportuno respecto a la violación al deber de adoptar</w:t>
      </w:r>
      <w:r w:rsidR="00BD078E" w:rsidRPr="005C1789">
        <w:rPr>
          <w:rFonts w:ascii="Verdana" w:hAnsi="Verdana"/>
          <w:i w:val="0"/>
          <w:iCs/>
          <w:sz w:val="20"/>
          <w:szCs w:val="20"/>
        </w:rPr>
        <w:t xml:space="preserve"> </w:t>
      </w:r>
      <w:r w:rsidRPr="005C1789">
        <w:rPr>
          <w:rFonts w:ascii="Verdana" w:hAnsi="Verdana"/>
          <w:i w:val="0"/>
          <w:iCs/>
          <w:sz w:val="20"/>
          <w:szCs w:val="20"/>
        </w:rPr>
        <w:t>disposiciones de derecho interno”</w:t>
      </w:r>
      <w:r w:rsidR="00BD078E" w:rsidRPr="005C1789">
        <w:rPr>
          <w:rStyle w:val="Refdenotaalpie"/>
          <w:rFonts w:ascii="Verdana" w:hAnsi="Verdana"/>
          <w:i w:val="0"/>
          <w:iCs/>
          <w:sz w:val="20"/>
        </w:rPr>
        <w:footnoteReference w:id="18"/>
      </w:r>
      <w:r w:rsidR="00856B7B" w:rsidRPr="005C1789">
        <w:rPr>
          <w:rFonts w:ascii="Verdana" w:hAnsi="Verdana"/>
          <w:i w:val="0"/>
          <w:iCs/>
          <w:sz w:val="20"/>
          <w:szCs w:val="20"/>
        </w:rPr>
        <w:t>. Sostuvo</w:t>
      </w:r>
      <w:r w:rsidR="00AC3AB7">
        <w:rPr>
          <w:rFonts w:ascii="Verdana" w:hAnsi="Verdana"/>
          <w:i w:val="0"/>
          <w:iCs/>
          <w:sz w:val="20"/>
          <w:szCs w:val="20"/>
        </w:rPr>
        <w:t>,</w:t>
      </w:r>
      <w:r w:rsidR="00856B7B" w:rsidRPr="005C1789">
        <w:rPr>
          <w:rFonts w:ascii="Verdana" w:hAnsi="Verdana"/>
          <w:i w:val="0"/>
          <w:iCs/>
          <w:sz w:val="20"/>
          <w:szCs w:val="20"/>
        </w:rPr>
        <w:t xml:space="preserve"> en particular que la Comisión no consideró que el Estado hubiese violado </w:t>
      </w:r>
      <w:r w:rsidR="003B104A" w:rsidRPr="005C1789">
        <w:rPr>
          <w:rFonts w:ascii="Verdana" w:hAnsi="Verdana"/>
          <w:i w:val="0"/>
          <w:iCs/>
          <w:sz w:val="20"/>
          <w:szCs w:val="20"/>
        </w:rPr>
        <w:t xml:space="preserve">esa </w:t>
      </w:r>
      <w:r w:rsidR="000F0F2A" w:rsidRPr="005C1789">
        <w:rPr>
          <w:rFonts w:ascii="Verdana" w:hAnsi="Verdana"/>
          <w:i w:val="0"/>
          <w:iCs/>
          <w:sz w:val="20"/>
          <w:szCs w:val="20"/>
        </w:rPr>
        <w:t>obligación</w:t>
      </w:r>
      <w:r w:rsidR="00856B7B" w:rsidRPr="005C1789">
        <w:rPr>
          <w:rFonts w:ascii="Verdana" w:hAnsi="Verdana"/>
          <w:i w:val="0"/>
          <w:iCs/>
          <w:sz w:val="20"/>
          <w:szCs w:val="20"/>
        </w:rPr>
        <w:t xml:space="preserve"> </w:t>
      </w:r>
      <w:r w:rsidR="003B104A" w:rsidRPr="005C1789">
        <w:rPr>
          <w:rFonts w:ascii="Verdana" w:hAnsi="Verdana"/>
          <w:i w:val="0"/>
          <w:iCs/>
          <w:sz w:val="20"/>
          <w:szCs w:val="20"/>
        </w:rPr>
        <w:t>“</w:t>
      </w:r>
      <w:r w:rsidR="00856B7B" w:rsidRPr="005C1789">
        <w:rPr>
          <w:rFonts w:ascii="Verdana" w:hAnsi="Verdana"/>
          <w:i w:val="0"/>
          <w:iCs/>
          <w:sz w:val="20"/>
          <w:szCs w:val="20"/>
        </w:rPr>
        <w:t>respecto de la prisión preventiva oficiosa”</w:t>
      </w:r>
      <w:r w:rsidR="00002CF6" w:rsidRPr="005C1789">
        <w:rPr>
          <w:rFonts w:ascii="Verdana" w:hAnsi="Verdana"/>
          <w:i w:val="0"/>
          <w:iCs/>
          <w:sz w:val="20"/>
          <w:szCs w:val="20"/>
        </w:rPr>
        <w:t xml:space="preserve"> en el Informe de Fondo</w:t>
      </w:r>
      <w:r w:rsidR="00C12827" w:rsidRPr="005C1789">
        <w:rPr>
          <w:rFonts w:ascii="Verdana" w:hAnsi="Verdana"/>
          <w:i w:val="0"/>
          <w:iCs/>
          <w:sz w:val="20"/>
          <w:szCs w:val="20"/>
        </w:rPr>
        <w:t xml:space="preserve">, pero </w:t>
      </w:r>
      <w:r w:rsidR="008F4812" w:rsidRPr="005C1789">
        <w:rPr>
          <w:rFonts w:ascii="Verdana" w:hAnsi="Verdana"/>
          <w:i w:val="0"/>
          <w:iCs/>
          <w:sz w:val="20"/>
          <w:szCs w:val="20"/>
        </w:rPr>
        <w:t>los</w:t>
      </w:r>
      <w:r w:rsidR="00C12827" w:rsidRPr="005C1789">
        <w:rPr>
          <w:rFonts w:ascii="Verdana" w:hAnsi="Verdana"/>
          <w:i w:val="0"/>
          <w:iCs/>
          <w:sz w:val="20"/>
          <w:szCs w:val="20"/>
        </w:rPr>
        <w:t xml:space="preserve"> representante</w:t>
      </w:r>
      <w:r w:rsidR="008F4812" w:rsidRPr="005C1789">
        <w:rPr>
          <w:rFonts w:ascii="Verdana" w:hAnsi="Verdana"/>
          <w:i w:val="0"/>
          <w:iCs/>
          <w:sz w:val="20"/>
          <w:szCs w:val="20"/>
        </w:rPr>
        <w:t>s</w:t>
      </w:r>
      <w:r w:rsidR="00C12827" w:rsidRPr="005C1789">
        <w:rPr>
          <w:rFonts w:ascii="Verdana" w:hAnsi="Verdana"/>
          <w:i w:val="0"/>
          <w:iCs/>
          <w:sz w:val="20"/>
          <w:szCs w:val="20"/>
        </w:rPr>
        <w:t xml:space="preserve"> de las presuntas víctimas aleg</w:t>
      </w:r>
      <w:r w:rsidR="008F4812" w:rsidRPr="005C1789">
        <w:rPr>
          <w:rFonts w:ascii="Verdana" w:hAnsi="Verdana"/>
          <w:i w:val="0"/>
          <w:iCs/>
          <w:sz w:val="20"/>
          <w:szCs w:val="20"/>
        </w:rPr>
        <w:t>aron</w:t>
      </w:r>
      <w:r w:rsidR="00C12827" w:rsidRPr="005C1789">
        <w:rPr>
          <w:rFonts w:ascii="Verdana" w:hAnsi="Verdana"/>
          <w:i w:val="0"/>
          <w:iCs/>
          <w:sz w:val="20"/>
          <w:szCs w:val="20"/>
        </w:rPr>
        <w:t xml:space="preserve"> esta violación en el escrito de solicitudes y argumentos</w:t>
      </w:r>
      <w:r w:rsidRPr="005C1789">
        <w:rPr>
          <w:rFonts w:ascii="Verdana" w:hAnsi="Verdana"/>
          <w:i w:val="0"/>
          <w:iCs/>
          <w:sz w:val="20"/>
          <w:szCs w:val="20"/>
        </w:rPr>
        <w:t xml:space="preserve">. </w:t>
      </w:r>
    </w:p>
    <w:p w14:paraId="6C34CCBE" w14:textId="4313AF8D" w:rsidR="00856B7B" w:rsidRPr="005C1789" w:rsidRDefault="00272F54"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lastRenderedPageBreak/>
        <w:t xml:space="preserve">En cuanto a este </w:t>
      </w:r>
      <w:r w:rsidR="00AC55AA">
        <w:rPr>
          <w:rFonts w:ascii="Verdana" w:hAnsi="Verdana"/>
          <w:i w:val="0"/>
          <w:iCs/>
          <w:sz w:val="20"/>
          <w:szCs w:val="20"/>
        </w:rPr>
        <w:t>punto</w:t>
      </w:r>
      <w:r w:rsidRPr="005C1789">
        <w:rPr>
          <w:rFonts w:ascii="Verdana" w:hAnsi="Verdana"/>
          <w:i w:val="0"/>
          <w:iCs/>
          <w:sz w:val="20"/>
          <w:szCs w:val="20"/>
        </w:rPr>
        <w:t xml:space="preserve">, </w:t>
      </w:r>
      <w:r w:rsidR="00AC55AA" w:rsidRPr="005C1789">
        <w:rPr>
          <w:rFonts w:ascii="Verdana" w:hAnsi="Verdana"/>
          <w:i w:val="0"/>
          <w:iCs/>
          <w:sz w:val="20"/>
          <w:szCs w:val="20"/>
        </w:rPr>
        <w:t>de conformidad con su jurisprudencia</w:t>
      </w:r>
      <w:r w:rsidR="00AC55AA" w:rsidRPr="005C1789">
        <w:rPr>
          <w:rFonts w:ascii="Verdana" w:hAnsi="Verdana"/>
          <w:i w:val="0"/>
          <w:iCs/>
          <w:spacing w:val="1"/>
          <w:sz w:val="20"/>
          <w:szCs w:val="20"/>
        </w:rPr>
        <w:t xml:space="preserve"> </w:t>
      </w:r>
      <w:r w:rsidR="00AC55AA" w:rsidRPr="005C1789">
        <w:rPr>
          <w:rFonts w:ascii="Verdana" w:hAnsi="Verdana"/>
          <w:i w:val="0"/>
          <w:iCs/>
          <w:sz w:val="20"/>
          <w:szCs w:val="20"/>
        </w:rPr>
        <w:t xml:space="preserve">constante, </w:t>
      </w:r>
      <w:r w:rsidRPr="005C1789">
        <w:rPr>
          <w:rFonts w:ascii="Verdana" w:hAnsi="Verdana"/>
          <w:i w:val="0"/>
          <w:iCs/>
          <w:sz w:val="20"/>
          <w:szCs w:val="20"/>
        </w:rPr>
        <w:t>l</w:t>
      </w:r>
      <w:r w:rsidR="00EE6E69" w:rsidRPr="005C1789">
        <w:rPr>
          <w:rFonts w:ascii="Verdana" w:hAnsi="Verdana"/>
          <w:i w:val="0"/>
          <w:iCs/>
          <w:sz w:val="20"/>
          <w:szCs w:val="20"/>
        </w:rPr>
        <w:t xml:space="preserve">a </w:t>
      </w:r>
      <w:r w:rsidR="00EE6E69" w:rsidRPr="005C1789">
        <w:rPr>
          <w:rFonts w:ascii="Verdana" w:hAnsi="Verdana"/>
          <w:b/>
          <w:bCs/>
          <w:sz w:val="20"/>
          <w:szCs w:val="20"/>
        </w:rPr>
        <w:t>Corte</w:t>
      </w:r>
      <w:r w:rsidR="00EE6E69" w:rsidRPr="005C1789">
        <w:rPr>
          <w:rFonts w:ascii="Verdana" w:hAnsi="Verdana"/>
          <w:i w:val="0"/>
          <w:iCs/>
          <w:sz w:val="20"/>
          <w:szCs w:val="20"/>
        </w:rPr>
        <w:t xml:space="preserve"> </w:t>
      </w:r>
      <w:r w:rsidR="00AC55AA">
        <w:rPr>
          <w:rFonts w:ascii="Verdana" w:hAnsi="Verdana"/>
          <w:i w:val="0"/>
          <w:iCs/>
          <w:sz w:val="20"/>
          <w:szCs w:val="20"/>
        </w:rPr>
        <w:t>nota</w:t>
      </w:r>
      <w:r w:rsidR="00EE6E69" w:rsidRPr="005C1789">
        <w:rPr>
          <w:rFonts w:ascii="Verdana" w:hAnsi="Verdana"/>
          <w:i w:val="0"/>
          <w:iCs/>
          <w:sz w:val="20"/>
          <w:szCs w:val="20"/>
        </w:rPr>
        <w:t xml:space="preserve"> </w:t>
      </w:r>
      <w:r w:rsidRPr="005C1789">
        <w:rPr>
          <w:rFonts w:ascii="Verdana" w:hAnsi="Verdana"/>
          <w:i w:val="0"/>
          <w:iCs/>
          <w:sz w:val="20"/>
          <w:szCs w:val="20"/>
        </w:rPr>
        <w:t xml:space="preserve">en primer </w:t>
      </w:r>
      <w:r w:rsidR="00AC55AA">
        <w:rPr>
          <w:rFonts w:ascii="Verdana" w:hAnsi="Verdana"/>
          <w:i w:val="0"/>
          <w:iCs/>
          <w:sz w:val="20"/>
          <w:szCs w:val="20"/>
        </w:rPr>
        <w:t>término</w:t>
      </w:r>
      <w:r w:rsidR="00AC55AA" w:rsidRPr="005C1789">
        <w:rPr>
          <w:rFonts w:ascii="Verdana" w:hAnsi="Verdana"/>
          <w:i w:val="0"/>
          <w:iCs/>
          <w:sz w:val="20"/>
          <w:szCs w:val="20"/>
        </w:rPr>
        <w:t xml:space="preserve"> </w:t>
      </w:r>
      <w:r w:rsidR="00EE6E69" w:rsidRPr="005C1789">
        <w:rPr>
          <w:rFonts w:ascii="Verdana" w:hAnsi="Verdana"/>
          <w:i w:val="0"/>
          <w:iCs/>
          <w:sz w:val="20"/>
          <w:szCs w:val="20"/>
        </w:rPr>
        <w:t xml:space="preserve">que </w:t>
      </w:r>
      <w:r w:rsidR="00AC55AA">
        <w:rPr>
          <w:rFonts w:ascii="Verdana" w:hAnsi="Verdana"/>
          <w:i w:val="0"/>
          <w:iCs/>
          <w:sz w:val="20"/>
          <w:szCs w:val="20"/>
        </w:rPr>
        <w:t>este alegato</w:t>
      </w:r>
      <w:r w:rsidR="009F6046" w:rsidRPr="005C1789">
        <w:rPr>
          <w:rFonts w:ascii="Verdana" w:hAnsi="Verdana"/>
          <w:i w:val="0"/>
          <w:iCs/>
          <w:sz w:val="20"/>
          <w:szCs w:val="20"/>
        </w:rPr>
        <w:t xml:space="preserve"> </w:t>
      </w:r>
      <w:r w:rsidR="00EE6E69" w:rsidRPr="005C1789">
        <w:rPr>
          <w:rFonts w:ascii="Verdana" w:hAnsi="Verdana"/>
          <w:i w:val="0"/>
          <w:iCs/>
          <w:sz w:val="20"/>
          <w:szCs w:val="20"/>
        </w:rPr>
        <w:t>no constituye una excepción preliminar, toda vez que su análisis no</w:t>
      </w:r>
      <w:r w:rsidR="00EE6E69" w:rsidRPr="005C1789">
        <w:rPr>
          <w:rFonts w:ascii="Verdana" w:hAnsi="Verdana"/>
          <w:i w:val="0"/>
          <w:iCs/>
          <w:spacing w:val="1"/>
          <w:sz w:val="20"/>
          <w:szCs w:val="20"/>
        </w:rPr>
        <w:t xml:space="preserve"> </w:t>
      </w:r>
      <w:r w:rsidR="00EE6E69" w:rsidRPr="005C1789">
        <w:rPr>
          <w:rFonts w:ascii="Verdana" w:hAnsi="Verdana"/>
          <w:i w:val="0"/>
          <w:iCs/>
          <w:sz w:val="20"/>
          <w:szCs w:val="20"/>
        </w:rPr>
        <w:t>puede resultar en la inadmisibilidad del caso o en la incompetencia de este Tribunal para</w:t>
      </w:r>
      <w:r w:rsidR="00EE6E69" w:rsidRPr="005C1789">
        <w:rPr>
          <w:rFonts w:ascii="Verdana" w:hAnsi="Verdana"/>
          <w:i w:val="0"/>
          <w:iCs/>
          <w:spacing w:val="1"/>
          <w:sz w:val="20"/>
          <w:szCs w:val="20"/>
        </w:rPr>
        <w:t xml:space="preserve"> </w:t>
      </w:r>
      <w:r w:rsidR="00EE6E69" w:rsidRPr="005C1789">
        <w:rPr>
          <w:rFonts w:ascii="Verdana" w:hAnsi="Verdana"/>
          <w:i w:val="0"/>
          <w:iCs/>
          <w:sz w:val="20"/>
          <w:szCs w:val="20"/>
        </w:rPr>
        <w:t>conocerlo.</w:t>
      </w:r>
      <w:r w:rsidR="00EE6E69" w:rsidRPr="005C1789">
        <w:rPr>
          <w:rFonts w:ascii="Verdana" w:hAnsi="Verdana"/>
          <w:i w:val="0"/>
          <w:iCs/>
          <w:spacing w:val="-3"/>
          <w:sz w:val="20"/>
          <w:szCs w:val="20"/>
        </w:rPr>
        <w:t xml:space="preserve"> </w:t>
      </w:r>
      <w:r w:rsidR="00856B7B" w:rsidRPr="005C1789">
        <w:rPr>
          <w:rFonts w:ascii="Verdana" w:hAnsi="Verdana"/>
          <w:i w:val="0"/>
          <w:iCs/>
          <w:sz w:val="20"/>
          <w:szCs w:val="20"/>
          <w:lang w:val="es-CR"/>
        </w:rPr>
        <w:t xml:space="preserve">Con relación a </w:t>
      </w:r>
      <w:r w:rsidR="003B104A" w:rsidRPr="005C1789">
        <w:rPr>
          <w:rFonts w:ascii="Verdana" w:hAnsi="Verdana"/>
          <w:i w:val="0"/>
          <w:iCs/>
          <w:sz w:val="20"/>
          <w:szCs w:val="20"/>
          <w:lang w:val="es-CR"/>
        </w:rPr>
        <w:t>lo anterior</w:t>
      </w:r>
      <w:r w:rsidR="00856B7B" w:rsidRPr="005C1789">
        <w:rPr>
          <w:rFonts w:ascii="Verdana" w:hAnsi="Verdana"/>
          <w:i w:val="0"/>
          <w:iCs/>
          <w:sz w:val="20"/>
          <w:szCs w:val="20"/>
          <w:lang w:val="es-CR"/>
        </w:rPr>
        <w:t xml:space="preserve">, </w:t>
      </w:r>
      <w:r w:rsidRPr="005C1789">
        <w:rPr>
          <w:rFonts w:ascii="Verdana" w:hAnsi="Verdana"/>
          <w:i w:val="0"/>
          <w:iCs/>
          <w:sz w:val="20"/>
          <w:szCs w:val="20"/>
          <w:lang w:val="es-CR"/>
        </w:rPr>
        <w:t>el Tribunal</w:t>
      </w:r>
      <w:r w:rsidR="00856B7B" w:rsidRPr="005C1789">
        <w:rPr>
          <w:rFonts w:ascii="Verdana" w:hAnsi="Verdana"/>
          <w:i w:val="0"/>
          <w:iCs/>
          <w:sz w:val="20"/>
          <w:szCs w:val="20"/>
          <w:lang w:val="es-CR"/>
        </w:rPr>
        <w:t xml:space="preserve"> </w:t>
      </w:r>
      <w:r w:rsidR="003B104A" w:rsidRPr="005C1789">
        <w:rPr>
          <w:rFonts w:ascii="Verdana" w:hAnsi="Verdana"/>
          <w:i w:val="0"/>
          <w:iCs/>
          <w:sz w:val="20"/>
          <w:szCs w:val="20"/>
          <w:lang w:val="es-CR"/>
        </w:rPr>
        <w:t>recuerda</w:t>
      </w:r>
      <w:r w:rsidR="00856B7B" w:rsidRPr="005C1789">
        <w:rPr>
          <w:rFonts w:ascii="Verdana" w:hAnsi="Verdana"/>
          <w:i w:val="0"/>
          <w:iCs/>
          <w:sz w:val="20"/>
          <w:szCs w:val="20"/>
          <w:lang w:val="es-CR"/>
        </w:rPr>
        <w:t xml:space="preserve"> </w:t>
      </w:r>
      <w:r w:rsidR="00B850AF">
        <w:rPr>
          <w:rFonts w:ascii="Verdana" w:hAnsi="Verdana"/>
          <w:i w:val="0"/>
          <w:iCs/>
          <w:sz w:val="20"/>
          <w:szCs w:val="20"/>
          <w:lang w:val="es-CR"/>
        </w:rPr>
        <w:t>que</w:t>
      </w:r>
      <w:r w:rsidR="00856B7B" w:rsidRPr="005C1789">
        <w:rPr>
          <w:rFonts w:ascii="Verdana" w:hAnsi="Verdana"/>
          <w:i w:val="0"/>
          <w:iCs/>
          <w:sz w:val="20"/>
          <w:szCs w:val="20"/>
          <w:lang w:val="es-CR"/>
        </w:rPr>
        <w:t xml:space="preserve"> las presuntas víctimas y sus representantes pueden invocar la violación de derechos distintos a los comprendidos en el Informe de Fondo, siempre que se mantengan dentro del marco fáctico definido por la Comisión</w:t>
      </w:r>
      <w:r w:rsidR="00856B7B" w:rsidRPr="005C1789">
        <w:rPr>
          <w:rStyle w:val="Refdenotaalpie"/>
          <w:rFonts w:ascii="Verdana" w:hAnsi="Verdana"/>
          <w:i w:val="0"/>
          <w:iCs/>
          <w:sz w:val="20"/>
          <w:lang w:val="es-CR"/>
        </w:rPr>
        <w:footnoteReference w:id="19"/>
      </w:r>
      <w:r w:rsidR="00856B7B" w:rsidRPr="005C1789">
        <w:rPr>
          <w:rFonts w:ascii="Verdana" w:hAnsi="Verdana"/>
          <w:i w:val="0"/>
          <w:iCs/>
          <w:sz w:val="20"/>
          <w:szCs w:val="20"/>
          <w:lang w:val="es-CR"/>
        </w:rPr>
        <w:t xml:space="preserve">. En el presente caso, </w:t>
      </w:r>
      <w:r w:rsidR="00B850AF">
        <w:rPr>
          <w:rFonts w:ascii="Verdana" w:hAnsi="Verdana"/>
          <w:i w:val="0"/>
          <w:iCs/>
          <w:sz w:val="20"/>
          <w:szCs w:val="20"/>
          <w:lang w:val="es-CR"/>
        </w:rPr>
        <w:t>dentro d</w:t>
      </w:r>
      <w:r w:rsidR="00856B7B" w:rsidRPr="005C1789">
        <w:rPr>
          <w:rFonts w:ascii="Verdana" w:hAnsi="Verdana"/>
          <w:i w:val="0"/>
          <w:iCs/>
          <w:sz w:val="20"/>
          <w:szCs w:val="20"/>
          <w:lang w:val="es-CR"/>
        </w:rPr>
        <w:t xml:space="preserve">el marco fáctico se encuentran los hechos relacionados con la aplicación de la prisión preventiva en perjuicio de las presuntas víctimas, en </w:t>
      </w:r>
      <w:r w:rsidR="006D12C3" w:rsidRPr="005C1789">
        <w:rPr>
          <w:rFonts w:ascii="Verdana" w:hAnsi="Verdana"/>
          <w:i w:val="0"/>
          <w:iCs/>
          <w:sz w:val="20"/>
          <w:szCs w:val="20"/>
          <w:lang w:val="es-CR"/>
        </w:rPr>
        <w:t>consecuencia,</w:t>
      </w:r>
      <w:r w:rsidR="00856B7B" w:rsidRPr="005C1789">
        <w:rPr>
          <w:rFonts w:ascii="Verdana" w:hAnsi="Verdana"/>
          <w:i w:val="0"/>
          <w:iCs/>
          <w:sz w:val="20"/>
          <w:szCs w:val="20"/>
          <w:lang w:val="es-CR"/>
        </w:rPr>
        <w:t xml:space="preserve"> </w:t>
      </w:r>
      <w:r w:rsidR="00002CF6" w:rsidRPr="005C1789">
        <w:rPr>
          <w:rFonts w:ascii="Verdana" w:hAnsi="Verdana"/>
          <w:i w:val="0"/>
          <w:iCs/>
          <w:sz w:val="20"/>
          <w:szCs w:val="20"/>
          <w:lang w:val="es-CR"/>
        </w:rPr>
        <w:t xml:space="preserve">el alegato del </w:t>
      </w:r>
      <w:r w:rsidR="008C7EA2" w:rsidRPr="005C1789">
        <w:rPr>
          <w:rFonts w:ascii="Verdana" w:hAnsi="Verdana"/>
          <w:i w:val="0"/>
          <w:iCs/>
          <w:sz w:val="20"/>
          <w:szCs w:val="20"/>
          <w:lang w:val="es-CR"/>
        </w:rPr>
        <w:t xml:space="preserve">Estado </w:t>
      </w:r>
      <w:r w:rsidR="00002CF6" w:rsidRPr="005C1789">
        <w:rPr>
          <w:rFonts w:ascii="Verdana" w:hAnsi="Verdana"/>
          <w:i w:val="0"/>
          <w:iCs/>
          <w:sz w:val="20"/>
          <w:szCs w:val="20"/>
          <w:lang w:val="es-CR"/>
        </w:rPr>
        <w:t xml:space="preserve">resulta improcedente. </w:t>
      </w:r>
    </w:p>
    <w:p w14:paraId="133DA224" w14:textId="68C1D066" w:rsidR="00E76D0E" w:rsidRPr="005C1789" w:rsidRDefault="00FF321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CR"/>
        </w:rPr>
      </w:pPr>
      <w:r w:rsidRPr="005C1789">
        <w:rPr>
          <w:rFonts w:ascii="Verdana" w:hAnsi="Verdana"/>
          <w:i w:val="0"/>
          <w:iCs/>
          <w:sz w:val="20"/>
          <w:szCs w:val="20"/>
        </w:rPr>
        <w:t>Por otra parte, el Estado desistió de su excepción preliminar sobre litispendencia y cosa juzgada (</w:t>
      </w:r>
      <w:r w:rsidRPr="005C1789">
        <w:rPr>
          <w:rFonts w:ascii="Verdana" w:hAnsi="Verdana"/>
          <w:sz w:val="20"/>
          <w:szCs w:val="20"/>
        </w:rPr>
        <w:t>supra</w:t>
      </w:r>
      <w:r w:rsidRPr="005C1789">
        <w:rPr>
          <w:rFonts w:ascii="Verdana" w:hAnsi="Verdana"/>
          <w:i w:val="0"/>
          <w:iCs/>
          <w:sz w:val="20"/>
          <w:szCs w:val="20"/>
        </w:rPr>
        <w:t xml:space="preserve"> párr. </w:t>
      </w:r>
      <w:r w:rsidR="00D461A2" w:rsidRPr="005C1789">
        <w:rPr>
          <w:rFonts w:ascii="Verdana" w:hAnsi="Verdana"/>
          <w:i w:val="0"/>
          <w:iCs/>
          <w:sz w:val="20"/>
          <w:szCs w:val="20"/>
        </w:rPr>
        <w:t>9</w:t>
      </w:r>
      <w:r w:rsidRPr="005C1789">
        <w:rPr>
          <w:rFonts w:ascii="Verdana" w:hAnsi="Verdana"/>
          <w:i w:val="0"/>
          <w:iCs/>
          <w:sz w:val="20"/>
          <w:szCs w:val="20"/>
        </w:rPr>
        <w:t>)</w:t>
      </w:r>
      <w:r w:rsidR="00187663" w:rsidRPr="005C1789">
        <w:rPr>
          <w:rStyle w:val="Refdenotaalpie"/>
          <w:rFonts w:ascii="Verdana" w:hAnsi="Verdana"/>
          <w:i w:val="0"/>
          <w:iCs/>
          <w:sz w:val="20"/>
        </w:rPr>
        <w:footnoteReference w:id="20"/>
      </w:r>
      <w:r w:rsidR="00187663" w:rsidRPr="005C1789">
        <w:rPr>
          <w:rFonts w:ascii="Verdana" w:hAnsi="Verdana"/>
          <w:i w:val="0"/>
          <w:iCs/>
          <w:sz w:val="20"/>
          <w:szCs w:val="20"/>
        </w:rPr>
        <w:t>.</w:t>
      </w:r>
      <w:r w:rsidR="00E76D0E" w:rsidRPr="005C1789">
        <w:rPr>
          <w:rFonts w:ascii="Verdana" w:hAnsi="Verdana"/>
          <w:iCs/>
          <w:sz w:val="20"/>
          <w:szCs w:val="20"/>
        </w:rPr>
        <w:t xml:space="preserve"> </w:t>
      </w:r>
    </w:p>
    <w:p w14:paraId="6E0B5221" w14:textId="6659987F" w:rsidR="004D44B3" w:rsidRPr="005C1789" w:rsidRDefault="0085104D" w:rsidP="00955888">
      <w:pPr>
        <w:pStyle w:val="Ttulo1"/>
        <w:rPr>
          <w:rFonts w:ascii="Verdana" w:hAnsi="Verdana"/>
          <w:sz w:val="20"/>
          <w:lang w:val="es-ES_tradnl"/>
        </w:rPr>
      </w:pPr>
      <w:bookmarkStart w:id="50" w:name="_Toc123347509"/>
      <w:r w:rsidRPr="005C1789">
        <w:rPr>
          <w:rFonts w:ascii="Verdana" w:hAnsi="Verdana"/>
          <w:caps w:val="0"/>
          <w:sz w:val="20"/>
          <w:lang w:val="es-ES_tradnl"/>
        </w:rPr>
        <w:t>VI</w:t>
      </w:r>
      <w:r w:rsidR="004D44B3" w:rsidRPr="005C1789">
        <w:rPr>
          <w:rFonts w:ascii="Verdana" w:hAnsi="Verdana"/>
          <w:color w:val="FFFFFF" w:themeColor="background1"/>
          <w:sz w:val="20"/>
          <w:lang w:val="es-ES_tradnl"/>
        </w:rPr>
        <w:t>.</w:t>
      </w:r>
      <w:r w:rsidR="004D44B3" w:rsidRPr="005C1789">
        <w:rPr>
          <w:rFonts w:ascii="Verdana" w:hAnsi="Verdana"/>
          <w:sz w:val="20"/>
          <w:lang w:val="es-ES_tradnl"/>
        </w:rPr>
        <w:br/>
        <w:t>PRUEBA</w:t>
      </w:r>
      <w:bookmarkEnd w:id="50"/>
    </w:p>
    <w:p w14:paraId="5690943A" w14:textId="663B71E0" w:rsidR="003D06BC" w:rsidRPr="005C1789" w:rsidRDefault="004D44B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b/>
          <w:i w:val="0"/>
          <w:iCs/>
          <w:sz w:val="20"/>
          <w:szCs w:val="20"/>
          <w:lang w:val="es-ES"/>
        </w:rPr>
      </w:pPr>
      <w:r w:rsidRPr="005C1789">
        <w:rPr>
          <w:rFonts w:ascii="Verdana" w:hAnsi="Verdana"/>
          <w:i w:val="0"/>
          <w:sz w:val="20"/>
          <w:szCs w:val="20"/>
        </w:rPr>
        <w:t>El Tribunal admite los documentos presentados en la debida oportunidad procesal por las partes y la Comisión (artículo 57 del Reglamento), cuya admisibilidad no fue controvertida ni objetada</w:t>
      </w:r>
      <w:r w:rsidR="00625DC3" w:rsidRPr="005C1789">
        <w:rPr>
          <w:rFonts w:ascii="Verdana" w:hAnsi="Verdana"/>
          <w:i w:val="0"/>
          <w:sz w:val="20"/>
          <w:szCs w:val="20"/>
        </w:rPr>
        <w:t xml:space="preserve"> y </w:t>
      </w:r>
      <w:r w:rsidRPr="005C1789">
        <w:rPr>
          <w:rFonts w:ascii="Verdana" w:hAnsi="Verdana"/>
          <w:i w:val="0"/>
          <w:sz w:val="20"/>
          <w:szCs w:val="20"/>
        </w:rPr>
        <w:t>cuya autenticidad</w:t>
      </w:r>
      <w:r w:rsidR="00A85758" w:rsidRPr="005C1789">
        <w:rPr>
          <w:rFonts w:ascii="Verdana" w:hAnsi="Verdana"/>
          <w:i w:val="0"/>
          <w:sz w:val="20"/>
          <w:szCs w:val="20"/>
        </w:rPr>
        <w:t xml:space="preserve"> no</w:t>
      </w:r>
      <w:r w:rsidRPr="005C1789">
        <w:rPr>
          <w:rFonts w:ascii="Verdana" w:hAnsi="Verdana"/>
          <w:i w:val="0"/>
          <w:sz w:val="20"/>
          <w:szCs w:val="20"/>
        </w:rPr>
        <w:t xml:space="preserve"> fue puesta en duda</w:t>
      </w:r>
      <w:r w:rsidRPr="005C1789">
        <w:rPr>
          <w:rFonts w:ascii="Verdana" w:hAnsi="Verdana"/>
          <w:i w:val="0"/>
          <w:sz w:val="20"/>
          <w:szCs w:val="20"/>
          <w:vertAlign w:val="superscript"/>
        </w:rPr>
        <w:footnoteReference w:id="21"/>
      </w:r>
      <w:r w:rsidRPr="005C1789">
        <w:rPr>
          <w:rFonts w:ascii="Verdana" w:hAnsi="Verdana"/>
          <w:i w:val="0"/>
          <w:sz w:val="20"/>
          <w:szCs w:val="20"/>
        </w:rPr>
        <w:t xml:space="preserve">. </w:t>
      </w:r>
      <w:r w:rsidR="009008A1" w:rsidRPr="005C1789">
        <w:rPr>
          <w:rFonts w:ascii="Verdana" w:hAnsi="Verdana"/>
          <w:i w:val="0"/>
          <w:sz w:val="20"/>
          <w:szCs w:val="20"/>
        </w:rPr>
        <w:t>Asimismo, la Corte estima pertinente admitir las declaraciones rendidas en audiencia pública</w:t>
      </w:r>
      <w:r w:rsidR="003D06BC" w:rsidRPr="005C1789">
        <w:rPr>
          <w:rStyle w:val="Refdenotaalpie"/>
          <w:rFonts w:ascii="Verdana" w:hAnsi="Verdana"/>
          <w:i w:val="0"/>
          <w:sz w:val="20"/>
        </w:rPr>
        <w:footnoteReference w:id="22"/>
      </w:r>
      <w:r w:rsidR="009008A1" w:rsidRPr="005C1789">
        <w:rPr>
          <w:rFonts w:ascii="Verdana" w:hAnsi="Verdana"/>
          <w:i w:val="0"/>
          <w:sz w:val="20"/>
          <w:szCs w:val="20"/>
        </w:rPr>
        <w:t xml:space="preserve"> y ante fedatario público</w:t>
      </w:r>
      <w:r w:rsidR="009008A1" w:rsidRPr="005C1789">
        <w:rPr>
          <w:rStyle w:val="Refdenotaalpie"/>
          <w:rFonts w:ascii="Verdana" w:hAnsi="Verdana"/>
          <w:i w:val="0"/>
          <w:sz w:val="20"/>
        </w:rPr>
        <w:footnoteReference w:id="23"/>
      </w:r>
      <w:r w:rsidR="009008A1" w:rsidRPr="005C1789">
        <w:rPr>
          <w:rFonts w:ascii="Verdana" w:hAnsi="Verdana"/>
          <w:i w:val="0"/>
          <w:sz w:val="20"/>
          <w:szCs w:val="20"/>
        </w:rPr>
        <w:t xml:space="preserve">, </w:t>
      </w:r>
      <w:r w:rsidR="003D06BC" w:rsidRPr="005C1789">
        <w:rPr>
          <w:rFonts w:ascii="Verdana" w:hAnsi="Verdana"/>
          <w:i w:val="0"/>
          <w:sz w:val="20"/>
          <w:szCs w:val="20"/>
          <w:lang w:val="es-ES"/>
        </w:rPr>
        <w:t xml:space="preserve">en la medida en que se ajusten al objeto que fue definido por la Presidencia </w:t>
      </w:r>
      <w:r w:rsidR="00856B7B" w:rsidRPr="005C1789">
        <w:rPr>
          <w:rFonts w:ascii="Verdana" w:hAnsi="Verdana"/>
          <w:i w:val="0"/>
          <w:sz w:val="20"/>
          <w:szCs w:val="20"/>
          <w:lang w:val="es-ES"/>
        </w:rPr>
        <w:t>en las resoluciones mediante las cuales</w:t>
      </w:r>
      <w:r w:rsidR="003D06BC" w:rsidRPr="005C1789">
        <w:rPr>
          <w:rFonts w:ascii="Verdana" w:hAnsi="Verdana"/>
          <w:i w:val="0"/>
          <w:sz w:val="20"/>
          <w:szCs w:val="20"/>
          <w:lang w:val="es-ES"/>
        </w:rPr>
        <w:t xml:space="preserve"> se ordenó recibirl</w:t>
      </w:r>
      <w:r w:rsidR="00F04808" w:rsidRPr="005C1789">
        <w:rPr>
          <w:rFonts w:ascii="Verdana" w:hAnsi="Verdana"/>
          <w:i w:val="0"/>
          <w:sz w:val="20"/>
          <w:szCs w:val="20"/>
          <w:lang w:val="es-ES"/>
        </w:rPr>
        <w:t>a</w:t>
      </w:r>
      <w:r w:rsidR="003D06BC" w:rsidRPr="005C1789">
        <w:rPr>
          <w:rFonts w:ascii="Verdana" w:hAnsi="Verdana"/>
          <w:i w:val="0"/>
          <w:sz w:val="20"/>
          <w:szCs w:val="20"/>
          <w:lang w:val="es-ES"/>
        </w:rPr>
        <w:t>s</w:t>
      </w:r>
      <w:r w:rsidR="003D06BC" w:rsidRPr="005C1789">
        <w:rPr>
          <w:rFonts w:ascii="Verdana" w:hAnsi="Verdana"/>
          <w:i w:val="0"/>
          <w:sz w:val="20"/>
          <w:szCs w:val="20"/>
          <w:vertAlign w:val="superscript"/>
          <w:lang w:val="es-ES"/>
        </w:rPr>
        <w:footnoteReference w:id="24"/>
      </w:r>
      <w:r w:rsidR="009008A1" w:rsidRPr="005C1789">
        <w:rPr>
          <w:rFonts w:ascii="Verdana" w:hAnsi="Verdana"/>
          <w:i w:val="0"/>
          <w:sz w:val="20"/>
          <w:szCs w:val="20"/>
        </w:rPr>
        <w:t>.</w:t>
      </w:r>
      <w:r w:rsidR="00AD4D41" w:rsidRPr="005C1789">
        <w:rPr>
          <w:rFonts w:ascii="Verdana" w:hAnsi="Verdana"/>
          <w:i w:val="0"/>
          <w:iCs/>
          <w:sz w:val="20"/>
          <w:szCs w:val="20"/>
        </w:rPr>
        <w:t xml:space="preserve"> Además, la Corte acepta la documentación presentada por l</w:t>
      </w:r>
      <w:r w:rsidR="00933983" w:rsidRPr="005C1789">
        <w:rPr>
          <w:rFonts w:ascii="Verdana" w:hAnsi="Verdana"/>
          <w:i w:val="0"/>
          <w:iCs/>
          <w:sz w:val="20"/>
          <w:szCs w:val="20"/>
        </w:rPr>
        <w:t>o</w:t>
      </w:r>
      <w:r w:rsidR="00AD4D41" w:rsidRPr="005C1789">
        <w:rPr>
          <w:rFonts w:ascii="Verdana" w:hAnsi="Verdana"/>
          <w:i w:val="0"/>
          <w:iCs/>
          <w:sz w:val="20"/>
          <w:szCs w:val="20"/>
        </w:rPr>
        <w:t xml:space="preserve">s representantes junto con sus alegatos finales escritos </w:t>
      </w:r>
      <w:r w:rsidR="00D662DA" w:rsidRPr="005C1789">
        <w:rPr>
          <w:rFonts w:ascii="Verdana" w:hAnsi="Verdana"/>
          <w:i w:val="0"/>
          <w:iCs/>
          <w:sz w:val="20"/>
          <w:szCs w:val="20"/>
        </w:rPr>
        <w:t xml:space="preserve">y los </w:t>
      </w:r>
      <w:r w:rsidR="00AD4D41" w:rsidRPr="005C1789">
        <w:rPr>
          <w:rFonts w:ascii="Verdana" w:hAnsi="Verdana"/>
          <w:i w:val="0"/>
          <w:iCs/>
          <w:sz w:val="20"/>
          <w:szCs w:val="20"/>
        </w:rPr>
        <w:t>comprobantes relacionados con el litigio del caso ante esta Corte</w:t>
      </w:r>
      <w:r w:rsidR="00B52C7D" w:rsidRPr="005C1789">
        <w:rPr>
          <w:rFonts w:ascii="Verdana" w:hAnsi="Verdana"/>
          <w:i w:val="0"/>
          <w:iCs/>
          <w:sz w:val="20"/>
          <w:szCs w:val="20"/>
        </w:rPr>
        <w:t xml:space="preserve"> </w:t>
      </w:r>
      <w:r w:rsidR="009E7C8A" w:rsidRPr="005C1789">
        <w:rPr>
          <w:rFonts w:ascii="Verdana" w:hAnsi="Verdana"/>
          <w:i w:val="0"/>
          <w:iCs/>
          <w:sz w:val="20"/>
          <w:szCs w:val="20"/>
        </w:rPr>
        <w:t>e</w:t>
      </w:r>
      <w:r w:rsidR="00B52C7D" w:rsidRPr="005C1789">
        <w:rPr>
          <w:rFonts w:ascii="Verdana" w:hAnsi="Verdana"/>
          <w:i w:val="0"/>
          <w:iCs/>
          <w:sz w:val="20"/>
          <w:szCs w:val="20"/>
        </w:rPr>
        <w:t>n tanto se refi</w:t>
      </w:r>
      <w:r w:rsidR="009E7C8A" w:rsidRPr="005C1789">
        <w:rPr>
          <w:rFonts w:ascii="Verdana" w:hAnsi="Verdana"/>
          <w:i w:val="0"/>
          <w:iCs/>
          <w:sz w:val="20"/>
          <w:szCs w:val="20"/>
        </w:rPr>
        <w:t>e</w:t>
      </w:r>
      <w:r w:rsidR="00B52C7D" w:rsidRPr="005C1789">
        <w:rPr>
          <w:rFonts w:ascii="Verdana" w:hAnsi="Verdana"/>
          <w:i w:val="0"/>
          <w:iCs/>
          <w:sz w:val="20"/>
          <w:szCs w:val="20"/>
        </w:rPr>
        <w:t>ren a costa</w:t>
      </w:r>
      <w:r w:rsidR="00A31CC9" w:rsidRPr="005C1789">
        <w:rPr>
          <w:rFonts w:ascii="Verdana" w:hAnsi="Verdana"/>
          <w:i w:val="0"/>
          <w:iCs/>
          <w:sz w:val="20"/>
          <w:szCs w:val="20"/>
        </w:rPr>
        <w:t>s</w:t>
      </w:r>
      <w:r w:rsidR="00B52C7D" w:rsidRPr="005C1789">
        <w:rPr>
          <w:rFonts w:ascii="Verdana" w:hAnsi="Verdana"/>
          <w:i w:val="0"/>
          <w:iCs/>
          <w:sz w:val="20"/>
          <w:szCs w:val="20"/>
        </w:rPr>
        <w:t xml:space="preserve"> y gastos</w:t>
      </w:r>
      <w:r w:rsidR="009E7C8A" w:rsidRPr="005C1789">
        <w:rPr>
          <w:rStyle w:val="Refdenotaalpie"/>
          <w:rFonts w:ascii="Verdana" w:hAnsi="Verdana"/>
          <w:i w:val="0"/>
          <w:iCs/>
          <w:sz w:val="20"/>
        </w:rPr>
        <w:footnoteReference w:id="25"/>
      </w:r>
      <w:r w:rsidR="00B52C7D" w:rsidRPr="005C1789">
        <w:rPr>
          <w:rFonts w:ascii="Verdana" w:hAnsi="Verdana"/>
          <w:i w:val="0"/>
          <w:iCs/>
          <w:sz w:val="20"/>
          <w:szCs w:val="20"/>
        </w:rPr>
        <w:t>.</w:t>
      </w:r>
      <w:r w:rsidR="0000150A" w:rsidRPr="005C1789">
        <w:rPr>
          <w:rFonts w:ascii="Verdana" w:hAnsi="Verdana"/>
          <w:i w:val="0"/>
          <w:sz w:val="20"/>
          <w:szCs w:val="20"/>
        </w:rPr>
        <w:t xml:space="preserve"> </w:t>
      </w:r>
      <w:bookmarkStart w:id="51" w:name="B._Admisibilidad_de_la_prueba_testimonia"/>
      <w:bookmarkStart w:id="52" w:name="_bookmark44"/>
      <w:bookmarkEnd w:id="51"/>
      <w:bookmarkEnd w:id="52"/>
    </w:p>
    <w:p w14:paraId="53DAAB67" w14:textId="1A5CDEC5" w:rsidR="0022482D" w:rsidRPr="005C1789" w:rsidRDefault="003A07E3" w:rsidP="00955888">
      <w:pPr>
        <w:pStyle w:val="Ttulo1"/>
        <w:rPr>
          <w:rFonts w:ascii="Verdana" w:hAnsi="Verdana"/>
          <w:b w:val="0"/>
          <w:bCs w:val="0"/>
          <w:caps w:val="0"/>
          <w:sz w:val="20"/>
          <w:lang w:val="es-ES_tradnl"/>
        </w:rPr>
      </w:pPr>
      <w:bookmarkStart w:id="53" w:name="_Toc476251455"/>
      <w:bookmarkStart w:id="54" w:name="_Toc15303996"/>
      <w:bookmarkStart w:id="55" w:name="_Toc123347510"/>
      <w:bookmarkStart w:id="56" w:name="_Toc476251456"/>
      <w:bookmarkStart w:id="57" w:name="_Toc15303999"/>
      <w:r w:rsidRPr="005C1789">
        <w:rPr>
          <w:rFonts w:ascii="Verdana" w:hAnsi="Verdana"/>
          <w:caps w:val="0"/>
          <w:sz w:val="20"/>
          <w:lang w:val="es-ES_tradnl"/>
        </w:rPr>
        <w:lastRenderedPageBreak/>
        <w:t>V</w:t>
      </w:r>
      <w:r w:rsidR="0085104D" w:rsidRPr="005C1789">
        <w:rPr>
          <w:rFonts w:ascii="Verdana" w:hAnsi="Verdana"/>
          <w:caps w:val="0"/>
          <w:sz w:val="20"/>
          <w:lang w:val="es-ES_tradnl"/>
        </w:rPr>
        <w:t>II</w:t>
      </w:r>
      <w:r w:rsidRPr="005C1789">
        <w:rPr>
          <w:rFonts w:ascii="Verdana" w:hAnsi="Verdana"/>
          <w:caps w:val="0"/>
          <w:color w:val="FFFFFF" w:themeColor="background1"/>
          <w:sz w:val="20"/>
          <w:lang w:val="es-ES_tradnl"/>
        </w:rPr>
        <w:t>.</w:t>
      </w:r>
      <w:r w:rsidRPr="005C1789">
        <w:rPr>
          <w:rFonts w:ascii="Verdana" w:hAnsi="Verdana"/>
          <w:caps w:val="0"/>
          <w:sz w:val="20"/>
          <w:lang w:val="es-ES_tradnl"/>
        </w:rPr>
        <w:br/>
        <w:t>HECHOS</w:t>
      </w:r>
      <w:bookmarkEnd w:id="53"/>
      <w:bookmarkEnd w:id="54"/>
      <w:bookmarkEnd w:id="55"/>
    </w:p>
    <w:p w14:paraId="02D7C104" w14:textId="0445920C" w:rsidR="0022482D" w:rsidRPr="005C1789" w:rsidRDefault="0022482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rPr>
      </w:pPr>
      <w:r w:rsidRPr="005C1789">
        <w:rPr>
          <w:rFonts w:ascii="Verdana" w:hAnsi="Verdana"/>
          <w:i w:val="0"/>
          <w:sz w:val="20"/>
          <w:szCs w:val="20"/>
        </w:rPr>
        <w:t>En este capítulo</w:t>
      </w:r>
      <w:r w:rsidR="009A438B" w:rsidRPr="005C1789">
        <w:rPr>
          <w:rFonts w:ascii="Verdana" w:hAnsi="Verdana"/>
          <w:i w:val="0"/>
          <w:sz w:val="20"/>
          <w:szCs w:val="20"/>
        </w:rPr>
        <w:t>,</w:t>
      </w:r>
      <w:r w:rsidRPr="005C1789">
        <w:rPr>
          <w:rFonts w:ascii="Verdana" w:hAnsi="Verdana"/>
          <w:i w:val="0"/>
          <w:sz w:val="20"/>
          <w:szCs w:val="20"/>
        </w:rPr>
        <w:t xml:space="preserve"> la Corte establecerá los hechos que se tendrán por probados en el presente caso</w:t>
      </w:r>
      <w:r w:rsidR="00F04808" w:rsidRPr="005C1789">
        <w:rPr>
          <w:rFonts w:ascii="Verdana" w:hAnsi="Verdana"/>
          <w:i w:val="0"/>
          <w:sz w:val="20"/>
          <w:szCs w:val="20"/>
        </w:rPr>
        <w:t xml:space="preserve">, de acuerdo con </w:t>
      </w:r>
      <w:r w:rsidRPr="005C1789">
        <w:rPr>
          <w:rFonts w:ascii="Verdana" w:hAnsi="Verdana"/>
          <w:i w:val="0"/>
          <w:sz w:val="20"/>
          <w:szCs w:val="20"/>
        </w:rPr>
        <w:t>el acervo probatorio que ha sido admitido</w:t>
      </w:r>
      <w:r w:rsidR="001060B1" w:rsidRPr="005C1789">
        <w:rPr>
          <w:rFonts w:ascii="Verdana" w:hAnsi="Verdana"/>
          <w:i w:val="0"/>
          <w:sz w:val="20"/>
          <w:szCs w:val="20"/>
        </w:rPr>
        <w:t xml:space="preserve">, </w:t>
      </w:r>
      <w:r w:rsidRPr="005C1789">
        <w:rPr>
          <w:rFonts w:ascii="Verdana" w:hAnsi="Verdana"/>
          <w:i w:val="0"/>
          <w:sz w:val="20"/>
          <w:szCs w:val="20"/>
        </w:rPr>
        <w:t xml:space="preserve">el marco fáctico establecido </w:t>
      </w:r>
      <w:r w:rsidR="003A5163" w:rsidRPr="005C1789">
        <w:rPr>
          <w:rFonts w:ascii="Verdana" w:hAnsi="Verdana"/>
          <w:i w:val="0"/>
          <w:sz w:val="20"/>
          <w:szCs w:val="20"/>
        </w:rPr>
        <w:t xml:space="preserve">en </w:t>
      </w:r>
      <w:r w:rsidR="009E7C8A" w:rsidRPr="005C1789">
        <w:rPr>
          <w:rFonts w:ascii="Verdana" w:hAnsi="Verdana"/>
          <w:i w:val="0"/>
          <w:sz w:val="20"/>
          <w:szCs w:val="20"/>
        </w:rPr>
        <w:t>el</w:t>
      </w:r>
      <w:r w:rsidR="003A5163" w:rsidRPr="005C1789">
        <w:rPr>
          <w:rFonts w:ascii="Verdana" w:hAnsi="Verdana"/>
          <w:i w:val="0"/>
          <w:sz w:val="20"/>
          <w:szCs w:val="20"/>
        </w:rPr>
        <w:t xml:space="preserve"> </w:t>
      </w:r>
      <w:r w:rsidRPr="005C1789">
        <w:rPr>
          <w:rFonts w:ascii="Verdana" w:hAnsi="Verdana"/>
          <w:i w:val="0"/>
          <w:sz w:val="20"/>
          <w:szCs w:val="20"/>
        </w:rPr>
        <w:t>Inform</w:t>
      </w:r>
      <w:r w:rsidR="0049429A" w:rsidRPr="005C1789">
        <w:rPr>
          <w:rFonts w:ascii="Verdana" w:hAnsi="Verdana"/>
          <w:i w:val="0"/>
          <w:sz w:val="20"/>
          <w:szCs w:val="20"/>
        </w:rPr>
        <w:t>e</w:t>
      </w:r>
      <w:r w:rsidR="009E7C8A" w:rsidRPr="005C1789">
        <w:rPr>
          <w:rFonts w:ascii="Verdana" w:hAnsi="Verdana"/>
          <w:i w:val="0"/>
          <w:sz w:val="20"/>
          <w:szCs w:val="20"/>
        </w:rPr>
        <w:t xml:space="preserve"> </w:t>
      </w:r>
      <w:r w:rsidRPr="005C1789">
        <w:rPr>
          <w:rFonts w:ascii="Verdana" w:hAnsi="Verdana"/>
          <w:i w:val="0"/>
          <w:sz w:val="20"/>
          <w:szCs w:val="20"/>
        </w:rPr>
        <w:t>de</w:t>
      </w:r>
      <w:r w:rsidR="00353287" w:rsidRPr="005C1789">
        <w:rPr>
          <w:rFonts w:ascii="Verdana" w:hAnsi="Verdana"/>
          <w:i w:val="0"/>
          <w:sz w:val="20"/>
          <w:szCs w:val="20"/>
        </w:rPr>
        <w:t xml:space="preserve"> </w:t>
      </w:r>
      <w:r w:rsidRPr="005C1789">
        <w:rPr>
          <w:rFonts w:ascii="Verdana" w:hAnsi="Verdana"/>
          <w:i w:val="0"/>
          <w:sz w:val="20"/>
          <w:szCs w:val="20"/>
        </w:rPr>
        <w:t>Fondo</w:t>
      </w:r>
      <w:r w:rsidR="001060B1" w:rsidRPr="005C1789">
        <w:rPr>
          <w:rFonts w:ascii="Verdana" w:hAnsi="Verdana"/>
          <w:i w:val="0"/>
          <w:sz w:val="20"/>
          <w:szCs w:val="20"/>
        </w:rPr>
        <w:t xml:space="preserve"> y el reconocimiento de responsabilidad internacional del Estado</w:t>
      </w:r>
      <w:r w:rsidRPr="005C1789">
        <w:rPr>
          <w:rFonts w:ascii="Verdana" w:hAnsi="Verdana"/>
          <w:i w:val="0"/>
          <w:sz w:val="20"/>
          <w:szCs w:val="20"/>
        </w:rPr>
        <w:t xml:space="preserve">. Además, se incluirán los hechos expuestos por las partes que permitan explicar, aclarar o desestimar ese marco fáctico. </w:t>
      </w:r>
      <w:r w:rsidR="00144F28" w:rsidRPr="005C1789">
        <w:rPr>
          <w:rFonts w:ascii="Verdana" w:hAnsi="Verdana" w:cs="Verdana"/>
          <w:i w:val="0"/>
          <w:sz w:val="20"/>
          <w:szCs w:val="20"/>
        </w:rPr>
        <w:t xml:space="preserve">A </w:t>
      </w:r>
      <w:r w:rsidR="00677D89" w:rsidRPr="005C1789">
        <w:rPr>
          <w:rFonts w:ascii="Verdana" w:hAnsi="Verdana" w:cs="Verdana"/>
          <w:i w:val="0"/>
          <w:sz w:val="20"/>
          <w:szCs w:val="20"/>
        </w:rPr>
        <w:t>continuación,</w:t>
      </w:r>
      <w:r w:rsidR="00144F28" w:rsidRPr="005C1789">
        <w:rPr>
          <w:rFonts w:ascii="Verdana" w:hAnsi="Verdana" w:cs="Verdana"/>
          <w:i w:val="0"/>
          <w:sz w:val="20"/>
          <w:szCs w:val="20"/>
        </w:rPr>
        <w:t xml:space="preserve"> </w:t>
      </w:r>
      <w:r w:rsidRPr="005C1789">
        <w:rPr>
          <w:rFonts w:ascii="Verdana" w:hAnsi="Verdana" w:cs="Verdana"/>
          <w:i w:val="0"/>
          <w:sz w:val="20"/>
          <w:szCs w:val="20"/>
        </w:rPr>
        <w:t xml:space="preserve">se </w:t>
      </w:r>
      <w:r w:rsidR="001447C0" w:rsidRPr="005C1789">
        <w:rPr>
          <w:rFonts w:ascii="Verdana" w:hAnsi="Verdana" w:cs="Verdana"/>
          <w:i w:val="0"/>
          <w:sz w:val="20"/>
          <w:szCs w:val="20"/>
        </w:rPr>
        <w:t xml:space="preserve">presentan </w:t>
      </w:r>
      <w:r w:rsidRPr="005C1789">
        <w:rPr>
          <w:rFonts w:ascii="Verdana" w:hAnsi="Verdana" w:cs="Verdana"/>
          <w:i w:val="0"/>
          <w:sz w:val="20"/>
          <w:szCs w:val="20"/>
        </w:rPr>
        <w:t xml:space="preserve">los hechos </w:t>
      </w:r>
      <w:r w:rsidR="00A30C9B" w:rsidRPr="005C1789">
        <w:rPr>
          <w:rFonts w:ascii="Verdana" w:hAnsi="Verdana" w:cs="Verdana"/>
          <w:i w:val="0"/>
          <w:sz w:val="20"/>
          <w:szCs w:val="20"/>
        </w:rPr>
        <w:t>de acuerdo con el</w:t>
      </w:r>
      <w:r w:rsidRPr="005C1789">
        <w:rPr>
          <w:rFonts w:ascii="Verdana" w:hAnsi="Verdana" w:cs="Verdana"/>
          <w:i w:val="0"/>
          <w:sz w:val="20"/>
          <w:szCs w:val="20"/>
        </w:rPr>
        <w:t xml:space="preserve"> siguiente orden: a) </w:t>
      </w:r>
      <w:r w:rsidR="00353287" w:rsidRPr="005C1789">
        <w:rPr>
          <w:rFonts w:ascii="Verdana" w:hAnsi="Verdana" w:cs="Verdana"/>
          <w:i w:val="0"/>
          <w:sz w:val="20"/>
          <w:szCs w:val="20"/>
        </w:rPr>
        <w:t>m</w:t>
      </w:r>
      <w:r w:rsidR="00611815" w:rsidRPr="005C1789">
        <w:rPr>
          <w:rFonts w:ascii="Verdana" w:hAnsi="Verdana" w:cs="Verdana"/>
          <w:i w:val="0"/>
          <w:sz w:val="20"/>
          <w:szCs w:val="20"/>
        </w:rPr>
        <w:t>arco normativo relevante</w:t>
      </w:r>
      <w:r w:rsidRPr="005C1789">
        <w:rPr>
          <w:rFonts w:ascii="Verdana" w:hAnsi="Verdana" w:cs="Verdana"/>
          <w:i w:val="0"/>
          <w:sz w:val="20"/>
          <w:szCs w:val="20"/>
        </w:rPr>
        <w:t xml:space="preserve">; b) </w:t>
      </w:r>
      <w:r w:rsidR="001D4042" w:rsidRPr="005C1789">
        <w:rPr>
          <w:rFonts w:ascii="Verdana" w:hAnsi="Verdana" w:cs="Verdana"/>
          <w:i w:val="0"/>
          <w:sz w:val="20"/>
          <w:szCs w:val="20"/>
        </w:rPr>
        <w:t>s</w:t>
      </w:r>
      <w:r w:rsidR="00F571A2" w:rsidRPr="005C1789">
        <w:rPr>
          <w:rFonts w:ascii="Verdana" w:hAnsi="Verdana" w:cs="Verdana"/>
          <w:i w:val="0"/>
          <w:sz w:val="20"/>
          <w:szCs w:val="20"/>
        </w:rPr>
        <w:t xml:space="preserve">obre la detención, la privación </w:t>
      </w:r>
      <w:r w:rsidR="00AC3AB7">
        <w:rPr>
          <w:rFonts w:ascii="Verdana" w:hAnsi="Verdana" w:cs="Verdana"/>
          <w:i w:val="0"/>
          <w:sz w:val="20"/>
          <w:szCs w:val="20"/>
        </w:rPr>
        <w:t xml:space="preserve">de </w:t>
      </w:r>
      <w:r w:rsidR="00F571A2" w:rsidRPr="005C1789">
        <w:rPr>
          <w:rFonts w:ascii="Verdana" w:hAnsi="Verdana" w:cs="Verdana"/>
          <w:i w:val="0"/>
          <w:sz w:val="20"/>
          <w:szCs w:val="20"/>
        </w:rPr>
        <w:t xml:space="preserve">la libertad, y el proceso penal en contra de Jorge Marcial y Gerardo </w:t>
      </w:r>
      <w:proofErr w:type="spellStart"/>
      <w:r w:rsidR="00F571A2" w:rsidRPr="005C1789">
        <w:rPr>
          <w:rFonts w:ascii="Verdana" w:hAnsi="Verdana" w:cs="Verdana"/>
          <w:i w:val="0"/>
          <w:sz w:val="20"/>
          <w:szCs w:val="20"/>
        </w:rPr>
        <w:t>Tzompaxtle</w:t>
      </w:r>
      <w:proofErr w:type="spellEnd"/>
      <w:r w:rsidR="00F571A2" w:rsidRPr="005C1789">
        <w:rPr>
          <w:rFonts w:ascii="Verdana" w:hAnsi="Verdana" w:cs="Verdana"/>
          <w:i w:val="0"/>
          <w:sz w:val="20"/>
          <w:szCs w:val="20"/>
        </w:rPr>
        <w:t xml:space="preserve"> </w:t>
      </w:r>
      <w:proofErr w:type="spellStart"/>
      <w:r w:rsidR="00F571A2" w:rsidRPr="005C1789">
        <w:rPr>
          <w:rFonts w:ascii="Verdana" w:hAnsi="Verdana" w:cs="Verdana"/>
          <w:i w:val="0"/>
          <w:sz w:val="20"/>
          <w:szCs w:val="20"/>
        </w:rPr>
        <w:t>Tecpile</w:t>
      </w:r>
      <w:proofErr w:type="spellEnd"/>
      <w:r w:rsidR="00F571A2" w:rsidRPr="005C1789">
        <w:rPr>
          <w:rFonts w:ascii="Verdana" w:hAnsi="Verdana" w:cs="Verdana"/>
          <w:i w:val="0"/>
          <w:sz w:val="20"/>
          <w:szCs w:val="20"/>
        </w:rPr>
        <w:t>, y Gustavo Robles López</w:t>
      </w:r>
      <w:r w:rsidR="00BF5158" w:rsidRPr="005C1789">
        <w:rPr>
          <w:rFonts w:ascii="Verdana" w:hAnsi="Verdana" w:cs="Verdana"/>
          <w:i w:val="0"/>
          <w:sz w:val="20"/>
          <w:szCs w:val="20"/>
        </w:rPr>
        <w:t xml:space="preserve">; </w:t>
      </w:r>
      <w:r w:rsidRPr="005C1789">
        <w:rPr>
          <w:rFonts w:ascii="Verdana" w:hAnsi="Verdana" w:cs="Verdana"/>
          <w:i w:val="0"/>
          <w:sz w:val="20"/>
          <w:szCs w:val="20"/>
        </w:rPr>
        <w:t xml:space="preserve">c) </w:t>
      </w:r>
      <w:r w:rsidR="001D4042" w:rsidRPr="005C1789">
        <w:rPr>
          <w:rFonts w:ascii="Verdana" w:hAnsi="Verdana" w:cs="Verdana"/>
          <w:i w:val="0"/>
          <w:sz w:val="20"/>
          <w:szCs w:val="20"/>
        </w:rPr>
        <w:t>s</w:t>
      </w:r>
      <w:r w:rsidR="00F571A2" w:rsidRPr="005C1789">
        <w:rPr>
          <w:rFonts w:ascii="Verdana" w:hAnsi="Verdana" w:cs="Verdana"/>
          <w:i w:val="0"/>
          <w:sz w:val="20"/>
          <w:szCs w:val="20"/>
        </w:rPr>
        <w:t>obre los recursos de amparo interpuestos</w:t>
      </w:r>
      <w:r w:rsidR="003D12CF" w:rsidRPr="005C1789">
        <w:rPr>
          <w:rFonts w:ascii="Verdana" w:hAnsi="Verdana" w:cs="Verdana"/>
          <w:i w:val="0"/>
          <w:sz w:val="20"/>
          <w:szCs w:val="20"/>
        </w:rPr>
        <w:t>;</w:t>
      </w:r>
      <w:r w:rsidR="00F571A2" w:rsidRPr="005C1789">
        <w:rPr>
          <w:rFonts w:ascii="Verdana" w:hAnsi="Verdana" w:cs="Verdana"/>
          <w:i w:val="0"/>
          <w:sz w:val="20"/>
          <w:szCs w:val="20"/>
        </w:rPr>
        <w:t xml:space="preserve"> d) sobre las decisiones de organismos locales e internacionales, y </w:t>
      </w:r>
      <w:proofErr w:type="spellStart"/>
      <w:r w:rsidR="00F571A2" w:rsidRPr="005C1789">
        <w:rPr>
          <w:rFonts w:ascii="Verdana" w:hAnsi="Verdana" w:cs="Verdana"/>
          <w:i w:val="0"/>
          <w:sz w:val="20"/>
          <w:szCs w:val="20"/>
        </w:rPr>
        <w:t>e</w:t>
      </w:r>
      <w:proofErr w:type="spellEnd"/>
      <w:r w:rsidR="00F571A2" w:rsidRPr="005C1789">
        <w:rPr>
          <w:rFonts w:ascii="Verdana" w:hAnsi="Verdana" w:cs="Verdana"/>
          <w:i w:val="0"/>
          <w:sz w:val="20"/>
          <w:szCs w:val="20"/>
        </w:rPr>
        <w:t xml:space="preserve">) </w:t>
      </w:r>
      <w:r w:rsidR="00353989">
        <w:rPr>
          <w:rFonts w:ascii="Verdana" w:hAnsi="Verdana" w:cs="Verdana"/>
          <w:i w:val="0"/>
          <w:sz w:val="20"/>
          <w:szCs w:val="20"/>
        </w:rPr>
        <w:t xml:space="preserve">sobre las </w:t>
      </w:r>
      <w:r w:rsidR="001D4042" w:rsidRPr="005C1789">
        <w:rPr>
          <w:rFonts w:ascii="Verdana" w:hAnsi="Verdana" w:cs="Verdana"/>
          <w:i w:val="0"/>
          <w:sz w:val="20"/>
          <w:szCs w:val="20"/>
        </w:rPr>
        <w:t>a</w:t>
      </w:r>
      <w:r w:rsidR="00F571A2" w:rsidRPr="005C1789">
        <w:rPr>
          <w:rFonts w:ascii="Verdana" w:hAnsi="Verdana" w:cs="Verdana"/>
          <w:i w:val="0"/>
          <w:sz w:val="20"/>
          <w:szCs w:val="20"/>
        </w:rPr>
        <w:t xml:space="preserve">menazas </w:t>
      </w:r>
      <w:r w:rsidR="001D4042" w:rsidRPr="005C1789">
        <w:rPr>
          <w:rFonts w:ascii="Verdana" w:hAnsi="Verdana" w:cs="Verdana"/>
          <w:i w:val="0"/>
          <w:sz w:val="20"/>
          <w:szCs w:val="20"/>
        </w:rPr>
        <w:t xml:space="preserve">en </w:t>
      </w:r>
      <w:r w:rsidR="00F571A2" w:rsidRPr="005C1789">
        <w:rPr>
          <w:rFonts w:ascii="Verdana" w:hAnsi="Verdana" w:cs="Verdana"/>
          <w:i w:val="0"/>
          <w:sz w:val="20"/>
          <w:szCs w:val="20"/>
        </w:rPr>
        <w:t xml:space="preserve">contra </w:t>
      </w:r>
      <w:r w:rsidR="001D4042" w:rsidRPr="005C1789">
        <w:rPr>
          <w:rFonts w:ascii="Verdana" w:hAnsi="Verdana" w:cs="Verdana"/>
          <w:i w:val="0"/>
          <w:sz w:val="20"/>
          <w:szCs w:val="20"/>
        </w:rPr>
        <w:t xml:space="preserve">de </w:t>
      </w:r>
      <w:r w:rsidR="00F571A2" w:rsidRPr="005C1789">
        <w:rPr>
          <w:rFonts w:ascii="Verdana" w:hAnsi="Verdana" w:cs="Verdana"/>
          <w:i w:val="0"/>
          <w:sz w:val="20"/>
          <w:szCs w:val="20"/>
        </w:rPr>
        <w:t>la abogada de las víctimas y muerte de Gustavo Robles López.</w:t>
      </w:r>
    </w:p>
    <w:p w14:paraId="0CD61AFD" w14:textId="4B1915EB" w:rsidR="009C0562" w:rsidRPr="009F1BFB" w:rsidRDefault="00611815" w:rsidP="000D1F68">
      <w:pPr>
        <w:pStyle w:val="Ttulo2"/>
        <w:numPr>
          <w:ilvl w:val="0"/>
          <w:numId w:val="8"/>
        </w:numPr>
        <w:spacing w:before="240" w:after="240"/>
        <w:rPr>
          <w:color w:val="auto"/>
        </w:rPr>
      </w:pPr>
      <w:bookmarkStart w:id="58" w:name="_Toc123347511"/>
      <w:r w:rsidRPr="009F1BFB">
        <w:rPr>
          <w:rFonts w:ascii="Verdana" w:hAnsi="Verdana"/>
          <w:i/>
          <w:color w:val="auto"/>
          <w:sz w:val="20"/>
          <w:szCs w:val="20"/>
        </w:rPr>
        <w:t>Marco normativo relevante</w:t>
      </w:r>
      <w:bookmarkEnd w:id="58"/>
    </w:p>
    <w:p w14:paraId="37AB8997" w14:textId="1CEE49C1" w:rsidR="00E86C96" w:rsidRPr="005C1789" w:rsidRDefault="00E86C96" w:rsidP="000D1F6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hAnsi="Verdana"/>
          <w:i w:val="0"/>
          <w:sz w:val="20"/>
          <w:szCs w:val="20"/>
        </w:rPr>
        <w:t xml:space="preserve">El </w:t>
      </w:r>
      <w:r w:rsidRPr="005C1789">
        <w:rPr>
          <w:rFonts w:ascii="Verdana" w:eastAsia="Calibri" w:hAnsi="Verdana" w:cs="Arial"/>
          <w:i w:val="0"/>
          <w:sz w:val="20"/>
          <w:szCs w:val="20"/>
          <w:lang w:eastAsia="es-CR"/>
        </w:rPr>
        <w:t>presente caso aborda el análisis de dos figuras que se encuentran establecidas en la normatividad mexicana</w:t>
      </w:r>
      <w:r w:rsidR="00CD412D" w:rsidRPr="005C1789">
        <w:rPr>
          <w:rFonts w:ascii="Verdana" w:eastAsia="Calibri" w:hAnsi="Verdana" w:cs="Arial"/>
          <w:i w:val="0"/>
          <w:sz w:val="20"/>
          <w:szCs w:val="20"/>
          <w:lang w:eastAsia="es-CR"/>
        </w:rPr>
        <w:t>: arraigo y prisión preventiva</w:t>
      </w:r>
      <w:r w:rsidRPr="005C1789">
        <w:rPr>
          <w:rFonts w:ascii="Verdana" w:eastAsia="Calibri" w:hAnsi="Verdana" w:cs="Arial"/>
          <w:i w:val="0"/>
          <w:sz w:val="20"/>
          <w:szCs w:val="20"/>
          <w:lang w:eastAsia="es-CR"/>
        </w:rPr>
        <w:t>.</w:t>
      </w:r>
    </w:p>
    <w:p w14:paraId="2EC2DF21" w14:textId="46C9383F" w:rsidR="00E86C96" w:rsidRPr="005C1789" w:rsidRDefault="00E86C96" w:rsidP="000D1F6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hAnsi="Verdana"/>
          <w:i w:val="0"/>
          <w:sz w:val="20"/>
          <w:szCs w:val="20"/>
        </w:rPr>
        <w:t>Por un</w:t>
      </w:r>
      <w:r w:rsidR="00821C98" w:rsidRPr="005C1789">
        <w:rPr>
          <w:rFonts w:ascii="Verdana" w:hAnsi="Verdana"/>
          <w:i w:val="0"/>
          <w:sz w:val="20"/>
          <w:szCs w:val="20"/>
        </w:rPr>
        <w:t>a</w:t>
      </w:r>
      <w:r w:rsidRPr="005C1789">
        <w:rPr>
          <w:rFonts w:ascii="Verdana" w:hAnsi="Verdana"/>
          <w:i w:val="0"/>
          <w:sz w:val="20"/>
          <w:szCs w:val="20"/>
        </w:rPr>
        <w:t xml:space="preserve"> parte</w:t>
      </w:r>
      <w:r w:rsidR="00821C98" w:rsidRPr="005C1789">
        <w:rPr>
          <w:rFonts w:ascii="Verdana" w:hAnsi="Verdana"/>
          <w:i w:val="0"/>
          <w:sz w:val="20"/>
          <w:szCs w:val="20"/>
        </w:rPr>
        <w:t>,</w:t>
      </w:r>
      <w:r w:rsidRPr="005C1789">
        <w:rPr>
          <w:rFonts w:ascii="Verdana" w:hAnsi="Verdana"/>
          <w:i w:val="0"/>
          <w:sz w:val="20"/>
          <w:szCs w:val="20"/>
        </w:rPr>
        <w:t xml:space="preserve"> la figura del arraigo</w:t>
      </w:r>
      <w:r w:rsidR="00821C98" w:rsidRPr="005C1789">
        <w:rPr>
          <w:rFonts w:ascii="Verdana" w:hAnsi="Verdana"/>
          <w:i w:val="0"/>
          <w:sz w:val="20"/>
          <w:szCs w:val="20"/>
        </w:rPr>
        <w:t xml:space="preserve"> </w:t>
      </w:r>
      <w:r w:rsidR="003B104F" w:rsidRPr="005C1789">
        <w:rPr>
          <w:rFonts w:ascii="Verdana" w:hAnsi="Verdana"/>
          <w:i w:val="0"/>
          <w:sz w:val="20"/>
          <w:szCs w:val="20"/>
        </w:rPr>
        <w:t>estaba contemplada</w:t>
      </w:r>
      <w:r w:rsidRPr="005C1789">
        <w:rPr>
          <w:rFonts w:ascii="Verdana" w:hAnsi="Verdana"/>
          <w:i w:val="0"/>
          <w:sz w:val="20"/>
          <w:szCs w:val="20"/>
        </w:rPr>
        <w:t xml:space="preserve"> en el </w:t>
      </w:r>
      <w:r w:rsidRPr="005C1789">
        <w:rPr>
          <w:rFonts w:ascii="Verdana" w:eastAsia="Calibri" w:hAnsi="Verdana" w:cs="Arial"/>
          <w:i w:val="0"/>
          <w:sz w:val="20"/>
          <w:szCs w:val="20"/>
          <w:lang w:eastAsia="es-CR"/>
        </w:rPr>
        <w:t>Código Federal Procesal Penal</w:t>
      </w:r>
      <w:r w:rsidR="009075AE" w:rsidRPr="005C1789">
        <w:rPr>
          <w:rFonts w:ascii="Verdana" w:eastAsia="Calibri" w:hAnsi="Verdana" w:cs="Arial"/>
          <w:i w:val="0"/>
          <w:sz w:val="20"/>
          <w:szCs w:val="20"/>
          <w:lang w:eastAsia="es-CR"/>
        </w:rPr>
        <w:t xml:space="preserve"> de 1999</w:t>
      </w:r>
      <w:r w:rsidRPr="005C1789">
        <w:rPr>
          <w:rFonts w:ascii="Verdana" w:eastAsia="Calibri" w:hAnsi="Verdana" w:cs="Arial"/>
          <w:i w:val="0"/>
          <w:sz w:val="20"/>
          <w:szCs w:val="20"/>
          <w:lang w:eastAsia="es-CR"/>
        </w:rPr>
        <w:t xml:space="preserve"> y </w:t>
      </w:r>
      <w:r w:rsidR="00821C98" w:rsidRPr="005C1789">
        <w:rPr>
          <w:rFonts w:ascii="Verdana" w:eastAsia="Calibri" w:hAnsi="Verdana" w:cs="Arial"/>
          <w:i w:val="0"/>
          <w:sz w:val="20"/>
          <w:szCs w:val="20"/>
          <w:lang w:eastAsia="es-CR"/>
        </w:rPr>
        <w:t xml:space="preserve">en la </w:t>
      </w:r>
      <w:r w:rsidRPr="005C1789">
        <w:rPr>
          <w:rFonts w:ascii="Verdana" w:eastAsia="Calibri" w:hAnsi="Verdana" w:cs="Arial"/>
          <w:i w:val="0"/>
          <w:sz w:val="20"/>
          <w:szCs w:val="20"/>
          <w:lang w:eastAsia="es-CR"/>
        </w:rPr>
        <w:t>Ley Federal contra la Delincuencia Organizada</w:t>
      </w:r>
      <w:r w:rsidR="006E3FA3" w:rsidRPr="005C1789">
        <w:rPr>
          <w:rFonts w:ascii="Verdana" w:eastAsia="Calibri" w:hAnsi="Verdana" w:cs="Arial"/>
          <w:i w:val="0"/>
          <w:sz w:val="20"/>
          <w:szCs w:val="20"/>
          <w:lang w:eastAsia="es-CR"/>
        </w:rPr>
        <w:t xml:space="preserve"> </w:t>
      </w:r>
      <w:r w:rsidR="009075AE" w:rsidRPr="005C1789">
        <w:rPr>
          <w:rFonts w:ascii="Verdana" w:eastAsia="Calibri" w:hAnsi="Verdana" w:cs="Arial"/>
          <w:i w:val="0"/>
          <w:sz w:val="20"/>
          <w:szCs w:val="20"/>
          <w:lang w:eastAsia="es-CR"/>
        </w:rPr>
        <w:t xml:space="preserve">de 1996 </w:t>
      </w:r>
      <w:r w:rsidR="006E3FA3" w:rsidRPr="005C1789">
        <w:rPr>
          <w:rFonts w:ascii="Verdana" w:eastAsia="Calibri" w:hAnsi="Verdana" w:cs="Arial"/>
          <w:i w:val="0"/>
          <w:sz w:val="20"/>
          <w:szCs w:val="20"/>
          <w:lang w:eastAsia="es-CR"/>
        </w:rPr>
        <w:t>para la época en que ocurrieron los hechos del presente caso</w:t>
      </w:r>
      <w:r w:rsidRPr="005C1789">
        <w:rPr>
          <w:rFonts w:ascii="Verdana" w:eastAsia="Calibri" w:hAnsi="Verdana" w:cs="Arial"/>
          <w:i w:val="0"/>
          <w:sz w:val="20"/>
          <w:szCs w:val="20"/>
          <w:lang w:eastAsia="es-CR"/>
        </w:rPr>
        <w:t xml:space="preserve">. Esa figura fue </w:t>
      </w:r>
      <w:r w:rsidR="00BD5AB7" w:rsidRPr="005C1789">
        <w:rPr>
          <w:rFonts w:ascii="Verdana" w:eastAsia="Calibri" w:hAnsi="Verdana" w:cs="Arial"/>
          <w:i w:val="0"/>
          <w:sz w:val="20"/>
          <w:szCs w:val="20"/>
          <w:lang w:eastAsia="es-CR"/>
        </w:rPr>
        <w:t xml:space="preserve">modificada </w:t>
      </w:r>
      <w:r w:rsidR="00CB75D2" w:rsidRPr="005C1789">
        <w:rPr>
          <w:rFonts w:ascii="Verdana" w:eastAsia="Calibri" w:hAnsi="Verdana" w:cs="Arial"/>
          <w:i w:val="0"/>
          <w:sz w:val="20"/>
          <w:szCs w:val="20"/>
          <w:lang w:eastAsia="es-CR"/>
        </w:rPr>
        <w:t>normativamente</w:t>
      </w:r>
      <w:r w:rsidR="00105271" w:rsidRPr="005C1789">
        <w:rPr>
          <w:rFonts w:ascii="Verdana" w:eastAsia="Calibri" w:hAnsi="Verdana" w:cs="Arial"/>
          <w:i w:val="0"/>
          <w:sz w:val="20"/>
          <w:szCs w:val="20"/>
          <w:lang w:eastAsia="es-CR"/>
        </w:rPr>
        <w:t>,</w:t>
      </w:r>
      <w:r w:rsidR="00CB75D2" w:rsidRPr="005C1789">
        <w:rPr>
          <w:rFonts w:ascii="Verdana" w:eastAsia="Calibri" w:hAnsi="Verdana" w:cs="Arial"/>
          <w:i w:val="0"/>
          <w:sz w:val="20"/>
          <w:szCs w:val="20"/>
          <w:lang w:eastAsia="es-CR"/>
        </w:rPr>
        <w:t xml:space="preserve"> </w:t>
      </w:r>
      <w:r w:rsidRPr="005C1789">
        <w:rPr>
          <w:rFonts w:ascii="Verdana" w:eastAsia="Calibri" w:hAnsi="Verdana" w:cs="Arial"/>
          <w:i w:val="0"/>
          <w:sz w:val="20"/>
          <w:szCs w:val="20"/>
          <w:lang w:eastAsia="es-CR"/>
        </w:rPr>
        <w:t xml:space="preserve">y a partir del año </w:t>
      </w:r>
      <w:r w:rsidR="006E3FA3" w:rsidRPr="005C1789">
        <w:rPr>
          <w:rFonts w:ascii="Verdana" w:eastAsia="Calibri" w:hAnsi="Verdana" w:cs="Arial"/>
          <w:i w:val="0"/>
          <w:sz w:val="20"/>
          <w:szCs w:val="20"/>
          <w:lang w:eastAsia="es-CR"/>
        </w:rPr>
        <w:t>2008</w:t>
      </w:r>
      <w:r w:rsidR="00105271" w:rsidRPr="005C1789">
        <w:rPr>
          <w:rFonts w:ascii="Verdana" w:eastAsia="Calibri" w:hAnsi="Verdana" w:cs="Arial"/>
          <w:i w:val="0"/>
          <w:sz w:val="20"/>
          <w:szCs w:val="20"/>
          <w:lang w:eastAsia="es-CR"/>
        </w:rPr>
        <w:t>,</w:t>
      </w:r>
      <w:r w:rsidR="006E3FA3" w:rsidRPr="005C1789">
        <w:rPr>
          <w:rFonts w:ascii="Verdana" w:eastAsia="Calibri" w:hAnsi="Verdana" w:cs="Arial"/>
          <w:i w:val="0"/>
          <w:sz w:val="20"/>
          <w:szCs w:val="20"/>
          <w:lang w:eastAsia="es-CR"/>
        </w:rPr>
        <w:t xml:space="preserve"> fue incorporada a la </w:t>
      </w:r>
      <w:r w:rsidR="006E3FA3" w:rsidRPr="005C1789">
        <w:rPr>
          <w:rFonts w:ascii="Verdana" w:hAnsi="Verdana" w:cs="Verdana"/>
          <w:i w:val="0"/>
          <w:sz w:val="20"/>
          <w:szCs w:val="20"/>
        </w:rPr>
        <w:t>Constitución</w:t>
      </w:r>
      <w:r w:rsidR="006E3FA3" w:rsidRPr="005C1789">
        <w:rPr>
          <w:rFonts w:ascii="Verdana" w:eastAsia="Calibri" w:hAnsi="Verdana" w:cs="Arial"/>
          <w:i w:val="0"/>
          <w:sz w:val="20"/>
          <w:szCs w:val="20"/>
          <w:lang w:eastAsia="es-CR"/>
        </w:rPr>
        <w:t xml:space="preserve"> Política de México, la cual también fue ref</w:t>
      </w:r>
      <w:r w:rsidR="00BD5AB7" w:rsidRPr="005C1789">
        <w:rPr>
          <w:rFonts w:ascii="Verdana" w:eastAsia="Calibri" w:hAnsi="Verdana" w:cs="Arial"/>
          <w:i w:val="0"/>
          <w:sz w:val="20"/>
          <w:szCs w:val="20"/>
          <w:lang w:eastAsia="es-CR"/>
        </w:rPr>
        <w:t>ormada</w:t>
      </w:r>
      <w:r w:rsidR="006E3FA3" w:rsidRPr="005C1789">
        <w:rPr>
          <w:rFonts w:ascii="Verdana" w:eastAsia="Calibri" w:hAnsi="Verdana" w:cs="Arial"/>
          <w:i w:val="0"/>
          <w:sz w:val="20"/>
          <w:szCs w:val="20"/>
          <w:lang w:eastAsia="es-CR"/>
        </w:rPr>
        <w:t xml:space="preserve"> con posterioridad.</w:t>
      </w:r>
    </w:p>
    <w:p w14:paraId="4A4BF108" w14:textId="7C008F60" w:rsidR="009C574F" w:rsidRPr="000B6F0C" w:rsidRDefault="00E158CE" w:rsidP="000B6F0C">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0B6F0C">
        <w:rPr>
          <w:rFonts w:ascii="Verdana" w:hAnsi="Verdana"/>
          <w:i w:val="0"/>
          <w:sz w:val="20"/>
          <w:szCs w:val="20"/>
        </w:rPr>
        <w:t>Por otro lado, al momento en que tuvieron lugar los hechos del presente caso, la figura de la prisión preventiva</w:t>
      </w:r>
      <w:r w:rsidR="00E47DFB" w:rsidRPr="000B6F0C">
        <w:rPr>
          <w:rFonts w:ascii="Verdana" w:hAnsi="Verdana"/>
          <w:i w:val="0"/>
          <w:sz w:val="20"/>
          <w:szCs w:val="20"/>
        </w:rPr>
        <w:t>,</w:t>
      </w:r>
      <w:r w:rsidRPr="000B6F0C">
        <w:rPr>
          <w:rFonts w:ascii="Verdana" w:hAnsi="Verdana"/>
          <w:i w:val="0"/>
          <w:sz w:val="20"/>
          <w:szCs w:val="20"/>
        </w:rPr>
        <w:t xml:space="preserve"> </w:t>
      </w:r>
      <w:r w:rsidR="00E47DFB" w:rsidRPr="000B6F0C">
        <w:rPr>
          <w:rFonts w:ascii="Verdana" w:hAnsi="Verdana"/>
          <w:i w:val="0"/>
          <w:sz w:val="20"/>
          <w:szCs w:val="20"/>
        </w:rPr>
        <w:t>que fue aplicada a las víctimas del caso,</w:t>
      </w:r>
      <w:r w:rsidRPr="000B6F0C">
        <w:rPr>
          <w:rFonts w:ascii="Verdana" w:hAnsi="Verdana"/>
          <w:i w:val="0"/>
          <w:sz w:val="20"/>
          <w:szCs w:val="20"/>
        </w:rPr>
        <w:t xml:space="preserve"> se encontraba regulada en el Código Federal Procesal Penal</w:t>
      </w:r>
      <w:r w:rsidR="009075AE" w:rsidRPr="000B6F0C">
        <w:rPr>
          <w:rFonts w:ascii="Verdana" w:hAnsi="Verdana"/>
          <w:i w:val="0"/>
          <w:sz w:val="20"/>
          <w:szCs w:val="20"/>
        </w:rPr>
        <w:t xml:space="preserve"> de 1999</w:t>
      </w:r>
      <w:r w:rsidRPr="000B6F0C">
        <w:rPr>
          <w:rFonts w:ascii="Verdana" w:hAnsi="Verdana"/>
          <w:i w:val="0"/>
          <w:sz w:val="20"/>
          <w:szCs w:val="20"/>
        </w:rPr>
        <w:t>. Con posterioridad fue modificada y</w:t>
      </w:r>
      <w:r w:rsidR="00AC3AB7">
        <w:rPr>
          <w:rFonts w:ascii="Verdana" w:hAnsi="Verdana"/>
          <w:i w:val="0"/>
          <w:sz w:val="20"/>
          <w:szCs w:val="20"/>
        </w:rPr>
        <w:t>,</w:t>
      </w:r>
      <w:r w:rsidRPr="000B6F0C">
        <w:rPr>
          <w:rFonts w:ascii="Verdana" w:hAnsi="Verdana"/>
          <w:i w:val="0"/>
          <w:sz w:val="20"/>
          <w:szCs w:val="20"/>
        </w:rPr>
        <w:t xml:space="preserve"> a partir del año </w:t>
      </w:r>
      <w:r w:rsidR="00B71059" w:rsidRPr="000B6F0C">
        <w:rPr>
          <w:rFonts w:ascii="Verdana" w:hAnsi="Verdana"/>
          <w:i w:val="0"/>
          <w:sz w:val="20"/>
          <w:szCs w:val="20"/>
        </w:rPr>
        <w:t>2011</w:t>
      </w:r>
      <w:r w:rsidRPr="000B6F0C">
        <w:rPr>
          <w:rFonts w:ascii="Verdana" w:hAnsi="Verdana"/>
          <w:i w:val="0"/>
          <w:sz w:val="20"/>
          <w:szCs w:val="20"/>
        </w:rPr>
        <w:t xml:space="preserve"> fue incorporada a la Constitución Política de México</w:t>
      </w:r>
      <w:r w:rsidR="0016143F" w:rsidRPr="000B6F0C">
        <w:rPr>
          <w:rFonts w:ascii="Verdana" w:hAnsi="Verdana"/>
          <w:i w:val="0"/>
          <w:sz w:val="20"/>
          <w:szCs w:val="20"/>
        </w:rPr>
        <w:t xml:space="preserve"> la figura de la prisión preventiva oficiosa</w:t>
      </w:r>
      <w:r w:rsidRPr="000B6F0C">
        <w:rPr>
          <w:rFonts w:ascii="Verdana" w:hAnsi="Verdana"/>
          <w:i w:val="0"/>
          <w:sz w:val="20"/>
          <w:szCs w:val="20"/>
        </w:rPr>
        <w:t>.</w:t>
      </w:r>
      <w:r w:rsidR="009075AE" w:rsidRPr="000B6F0C">
        <w:rPr>
          <w:rFonts w:ascii="Verdana" w:hAnsi="Verdana"/>
          <w:i w:val="0"/>
          <w:sz w:val="20"/>
          <w:szCs w:val="20"/>
        </w:rPr>
        <w:t xml:space="preserve"> La versión de la Ley Federal contra la Delincuencia Organizada </w:t>
      </w:r>
      <w:r w:rsidR="0074695F" w:rsidRPr="000B6F0C">
        <w:rPr>
          <w:rFonts w:ascii="Verdana" w:hAnsi="Verdana"/>
          <w:i w:val="0"/>
          <w:sz w:val="20"/>
          <w:szCs w:val="20"/>
        </w:rPr>
        <w:t xml:space="preserve">de 2016 </w:t>
      </w:r>
      <w:r w:rsidR="009075AE" w:rsidRPr="000B6F0C">
        <w:rPr>
          <w:rFonts w:ascii="Verdana" w:hAnsi="Verdana"/>
          <w:i w:val="0"/>
          <w:sz w:val="20"/>
          <w:szCs w:val="20"/>
        </w:rPr>
        <w:t xml:space="preserve">contiene </w:t>
      </w:r>
      <w:r w:rsidR="007A0DDB" w:rsidRPr="000B6F0C">
        <w:rPr>
          <w:rFonts w:ascii="Verdana" w:hAnsi="Verdana"/>
          <w:i w:val="0"/>
          <w:sz w:val="20"/>
          <w:szCs w:val="20"/>
        </w:rPr>
        <w:t>disposiciones</w:t>
      </w:r>
      <w:r w:rsidR="009075AE" w:rsidRPr="000B6F0C">
        <w:rPr>
          <w:rFonts w:ascii="Verdana" w:hAnsi="Verdana"/>
          <w:i w:val="0"/>
          <w:sz w:val="20"/>
          <w:szCs w:val="20"/>
        </w:rPr>
        <w:t xml:space="preserve"> sobre </w:t>
      </w:r>
      <w:r w:rsidR="007A0DDB" w:rsidRPr="000B6F0C">
        <w:rPr>
          <w:rFonts w:ascii="Verdana" w:hAnsi="Verdana"/>
          <w:i w:val="0"/>
          <w:sz w:val="20"/>
          <w:szCs w:val="20"/>
        </w:rPr>
        <w:t>prisión</w:t>
      </w:r>
      <w:r w:rsidR="009075AE" w:rsidRPr="000B6F0C">
        <w:rPr>
          <w:rFonts w:ascii="Verdana" w:hAnsi="Verdana"/>
          <w:i w:val="0"/>
          <w:sz w:val="20"/>
          <w:szCs w:val="20"/>
        </w:rPr>
        <w:t xml:space="preserve"> preventiva oficiosa</w:t>
      </w:r>
      <w:r w:rsidR="0074695F" w:rsidRPr="000B6F0C">
        <w:rPr>
          <w:rFonts w:ascii="Verdana" w:hAnsi="Verdana"/>
          <w:i w:val="0"/>
          <w:sz w:val="20"/>
          <w:szCs w:val="20"/>
        </w:rPr>
        <w:t xml:space="preserve"> que no </w:t>
      </w:r>
      <w:r w:rsidR="00CD412D" w:rsidRPr="000B6F0C">
        <w:rPr>
          <w:rFonts w:ascii="Verdana" w:hAnsi="Verdana"/>
          <w:i w:val="0"/>
          <w:sz w:val="20"/>
          <w:szCs w:val="20"/>
        </w:rPr>
        <w:t>son</w:t>
      </w:r>
      <w:r w:rsidR="0074695F" w:rsidRPr="000B6F0C">
        <w:rPr>
          <w:rFonts w:ascii="Verdana" w:hAnsi="Verdana"/>
          <w:i w:val="0"/>
          <w:sz w:val="20"/>
          <w:szCs w:val="20"/>
        </w:rPr>
        <w:t xml:space="preserve"> materia del presente caso</w:t>
      </w:r>
      <w:r w:rsidR="009075AE" w:rsidRPr="000B6F0C">
        <w:rPr>
          <w:rFonts w:ascii="Verdana" w:hAnsi="Verdana"/>
          <w:i w:val="0"/>
          <w:sz w:val="20"/>
          <w:szCs w:val="20"/>
        </w:rPr>
        <w:t>.</w:t>
      </w:r>
      <w:r w:rsidR="00455ACE" w:rsidRPr="000B6F0C">
        <w:rPr>
          <w:rFonts w:ascii="Verdana" w:hAnsi="Verdana"/>
          <w:i w:val="0"/>
          <w:sz w:val="20"/>
          <w:szCs w:val="20"/>
        </w:rPr>
        <w:t xml:space="preserve"> A continuación</w:t>
      </w:r>
      <w:r w:rsidR="003B00AF" w:rsidRPr="000B6F0C">
        <w:rPr>
          <w:rFonts w:ascii="Verdana" w:hAnsi="Verdana"/>
          <w:i w:val="0"/>
          <w:sz w:val="20"/>
          <w:szCs w:val="20"/>
        </w:rPr>
        <w:t>,</w:t>
      </w:r>
      <w:r w:rsidR="00455ACE" w:rsidRPr="000B6F0C">
        <w:rPr>
          <w:rFonts w:ascii="Verdana" w:hAnsi="Verdana"/>
          <w:i w:val="0"/>
          <w:sz w:val="20"/>
          <w:szCs w:val="20"/>
        </w:rPr>
        <w:t xml:space="preserve"> se transcribe el contenido de las normas internas </w:t>
      </w:r>
      <w:r w:rsidR="00A92F96" w:rsidRPr="000B6F0C">
        <w:rPr>
          <w:rFonts w:ascii="Verdana" w:hAnsi="Verdana"/>
          <w:i w:val="0"/>
          <w:sz w:val="20"/>
          <w:szCs w:val="20"/>
        </w:rPr>
        <w:t>a las que se ha hecho referencia</w:t>
      </w:r>
      <w:r w:rsidR="00455ACE" w:rsidRPr="000B6F0C">
        <w:rPr>
          <w:rFonts w:ascii="Verdana" w:hAnsi="Verdana"/>
          <w:i w:val="0"/>
          <w:sz w:val="20"/>
          <w:szCs w:val="20"/>
        </w:rPr>
        <w:t>.</w:t>
      </w:r>
      <w:r w:rsidR="0074695F" w:rsidRPr="000B6F0C">
        <w:rPr>
          <w:rFonts w:ascii="Verdana" w:eastAsia="Calibri" w:hAnsi="Verdana" w:cs="Arial"/>
          <w:i w:val="0"/>
          <w:sz w:val="20"/>
          <w:szCs w:val="20"/>
          <w:lang w:eastAsia="es-CR"/>
        </w:rPr>
        <w:t xml:space="preserve"> </w:t>
      </w:r>
    </w:p>
    <w:p w14:paraId="78D74676" w14:textId="74C93F2B" w:rsidR="00455ACE" w:rsidRPr="005C1789" w:rsidRDefault="00455ACE" w:rsidP="009F1BFB">
      <w:pPr>
        <w:pStyle w:val="Ttulo3"/>
        <w:spacing w:before="240" w:after="240"/>
        <w:ind w:left="567"/>
        <w:rPr>
          <w:rFonts w:ascii="Verdana" w:hAnsi="Verdana"/>
          <w:snapToGrid w:val="0"/>
          <w:spacing w:val="-2"/>
          <w:sz w:val="20"/>
          <w:szCs w:val="20"/>
          <w:lang w:eastAsia="es-ES"/>
        </w:rPr>
      </w:pPr>
      <w:bookmarkStart w:id="59" w:name="_Toc123347512"/>
      <w:r w:rsidRPr="005C1789">
        <w:rPr>
          <w:rFonts w:ascii="Verdana" w:hAnsi="Verdana"/>
          <w:snapToGrid w:val="0"/>
          <w:spacing w:val="-2"/>
          <w:sz w:val="20"/>
          <w:szCs w:val="20"/>
          <w:lang w:eastAsia="es-ES"/>
        </w:rPr>
        <w:t>A.1. Sobre la fig</w:t>
      </w:r>
      <w:r w:rsidR="002F7703" w:rsidRPr="005C1789">
        <w:rPr>
          <w:rFonts w:ascii="Verdana" w:hAnsi="Verdana"/>
          <w:snapToGrid w:val="0"/>
          <w:spacing w:val="-2"/>
          <w:sz w:val="20"/>
          <w:szCs w:val="20"/>
          <w:lang w:eastAsia="es-ES"/>
        </w:rPr>
        <w:t>u</w:t>
      </w:r>
      <w:r w:rsidRPr="005C1789">
        <w:rPr>
          <w:rFonts w:ascii="Verdana" w:hAnsi="Verdana"/>
          <w:snapToGrid w:val="0"/>
          <w:spacing w:val="-2"/>
          <w:sz w:val="20"/>
          <w:szCs w:val="20"/>
          <w:lang w:eastAsia="es-ES"/>
        </w:rPr>
        <w:t>ra del arraigo</w:t>
      </w:r>
      <w:bookmarkEnd w:id="59"/>
    </w:p>
    <w:p w14:paraId="4C49D8D8" w14:textId="3A775433" w:rsidR="00455ACE" w:rsidRPr="005C1789" w:rsidRDefault="00455ACE" w:rsidP="00955888">
      <w:pPr>
        <w:pStyle w:val="Estilo1"/>
        <w:widowControl w:val="0"/>
        <w:tabs>
          <w:tab w:val="left" w:pos="0"/>
          <w:tab w:val="left" w:pos="567"/>
        </w:tabs>
        <w:adjustRightInd w:val="0"/>
        <w:spacing w:before="240" w:after="240"/>
        <w:ind w:left="0" w:right="-6" w:firstLine="567"/>
        <w:jc w:val="both"/>
        <w:textAlignment w:val="baseline"/>
        <w:outlineLvl w:val="3"/>
        <w:rPr>
          <w:rFonts w:ascii="Verdana" w:eastAsia="Calibri" w:hAnsi="Verdana" w:cs="Arial"/>
          <w:sz w:val="20"/>
          <w:szCs w:val="20"/>
          <w:lang w:eastAsia="es-CR"/>
        </w:rPr>
      </w:pPr>
      <w:bookmarkStart w:id="60" w:name="_Toc123347513"/>
      <w:r w:rsidRPr="005C1789">
        <w:rPr>
          <w:rFonts w:ascii="Verdana" w:eastAsia="Calibri" w:hAnsi="Verdana" w:cs="Arial"/>
          <w:sz w:val="20"/>
          <w:szCs w:val="20"/>
          <w:lang w:eastAsia="es-CR"/>
        </w:rPr>
        <w:t xml:space="preserve">a) Las normas </w:t>
      </w:r>
      <w:r w:rsidR="00716774" w:rsidRPr="005C1789">
        <w:rPr>
          <w:rFonts w:ascii="Verdana" w:eastAsia="Calibri" w:hAnsi="Verdana" w:cs="Arial"/>
          <w:sz w:val="20"/>
          <w:szCs w:val="20"/>
          <w:lang w:eastAsia="es-CR"/>
        </w:rPr>
        <w:t xml:space="preserve">legales </w:t>
      </w:r>
      <w:r w:rsidRPr="005C1789">
        <w:rPr>
          <w:rFonts w:ascii="Verdana" w:eastAsia="Calibri" w:hAnsi="Verdana" w:cs="Arial"/>
          <w:sz w:val="20"/>
          <w:szCs w:val="20"/>
          <w:lang w:eastAsia="es-CR"/>
        </w:rPr>
        <w:t>vigentes al momento en que se produjeron los hechos del presente caso</w:t>
      </w:r>
      <w:r w:rsidR="004F4D75" w:rsidRPr="005C1789">
        <w:rPr>
          <w:rFonts w:ascii="Verdana" w:eastAsia="Calibri" w:hAnsi="Verdana" w:cs="Arial"/>
          <w:sz w:val="20"/>
          <w:szCs w:val="20"/>
          <w:lang w:eastAsia="es-CR"/>
        </w:rPr>
        <w:t>:</w:t>
      </w:r>
      <w:bookmarkEnd w:id="60"/>
    </w:p>
    <w:p w14:paraId="39265FFC" w14:textId="368B3904" w:rsidR="00446C40" w:rsidRPr="005C1789" w:rsidRDefault="00446C40"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El artículo 133 bis al Código Federal Procesal Penal de 199</w:t>
      </w:r>
      <w:r w:rsidR="0068110E" w:rsidRPr="005C1789">
        <w:rPr>
          <w:rFonts w:ascii="Verdana" w:eastAsia="Calibri" w:hAnsi="Verdana" w:cs="Arial"/>
          <w:i w:val="0"/>
          <w:sz w:val="20"/>
          <w:szCs w:val="20"/>
          <w:lang w:eastAsia="es-CR"/>
        </w:rPr>
        <w:t>9</w:t>
      </w:r>
      <w:r w:rsidRPr="005C1789">
        <w:rPr>
          <w:rFonts w:ascii="Verdana" w:eastAsia="Calibri" w:hAnsi="Verdana" w:cs="Arial"/>
          <w:i w:val="0"/>
          <w:sz w:val="20"/>
          <w:szCs w:val="20"/>
          <w:lang w:eastAsia="es-CR"/>
        </w:rPr>
        <w:t xml:space="preserve"> establec</w:t>
      </w:r>
      <w:r w:rsidR="00F03928" w:rsidRPr="005C1789">
        <w:rPr>
          <w:rFonts w:ascii="Verdana" w:eastAsia="Calibri" w:hAnsi="Verdana" w:cs="Arial"/>
          <w:i w:val="0"/>
          <w:sz w:val="20"/>
          <w:szCs w:val="20"/>
          <w:lang w:eastAsia="es-CR"/>
        </w:rPr>
        <w:t>ía</w:t>
      </w:r>
      <w:r w:rsidRPr="005C1789">
        <w:rPr>
          <w:rFonts w:ascii="Verdana" w:eastAsia="Calibri" w:hAnsi="Verdana" w:cs="Arial"/>
          <w:i w:val="0"/>
          <w:sz w:val="20"/>
          <w:szCs w:val="20"/>
          <w:lang w:eastAsia="es-CR"/>
        </w:rPr>
        <w:t xml:space="preserve"> que:</w:t>
      </w:r>
    </w:p>
    <w:p w14:paraId="021453FF" w14:textId="7FD1EBFC" w:rsidR="00446C40" w:rsidRPr="005C1789" w:rsidRDefault="00446C40" w:rsidP="00955888">
      <w:pPr>
        <w:pStyle w:val="Prrafodelista"/>
        <w:spacing w:before="120" w:after="120"/>
        <w:ind w:left="567" w:right="561"/>
        <w:contextualSpacing w:val="0"/>
        <w:jc w:val="both"/>
        <w:rPr>
          <w:rFonts w:ascii="Verdana" w:eastAsia="Calibri" w:hAnsi="Verdana" w:cs="Arial"/>
          <w:sz w:val="18"/>
          <w:szCs w:val="18"/>
          <w:lang w:eastAsia="es-CR"/>
        </w:rPr>
      </w:pPr>
      <w:r w:rsidRPr="005C1789">
        <w:rPr>
          <w:rFonts w:ascii="Verdana" w:eastAsia="Calibri" w:hAnsi="Verdana" w:cs="Arial"/>
          <w:sz w:val="18"/>
          <w:szCs w:val="18"/>
          <w:lang w:eastAsia="es-CR"/>
        </w:rPr>
        <w:t xml:space="preserve">La autoridad judicial podrá, a petición del Ministerio Público, decretar el arraigo domiciliario o imponer la prohibición de abandonar una demarcación geográfica sin su autorización, a la persona en contra de quien se prepare el ejercicio de la acción penal, siempre y cuando exista el riesgo fundado de que se sustraiga a la acción de la justicia. Corresponderá al Ministerio Público y a sus auxiliares vigilar que el mandato de la autoridad judicial sea debidamente cumplido. </w:t>
      </w:r>
    </w:p>
    <w:p w14:paraId="2AAB47AF" w14:textId="77777777" w:rsidR="008B2DA5" w:rsidRPr="005C1789" w:rsidRDefault="00446C40" w:rsidP="00955888">
      <w:pPr>
        <w:pStyle w:val="Prrafodelista"/>
        <w:spacing w:before="120" w:after="120"/>
        <w:ind w:left="567" w:right="561"/>
        <w:contextualSpacing w:val="0"/>
        <w:jc w:val="both"/>
        <w:rPr>
          <w:rFonts w:ascii="Verdana" w:eastAsia="Calibri" w:hAnsi="Verdana" w:cs="Arial"/>
          <w:sz w:val="18"/>
          <w:szCs w:val="18"/>
          <w:lang w:eastAsia="es-CR"/>
        </w:rPr>
      </w:pPr>
      <w:r w:rsidRPr="005C1789">
        <w:rPr>
          <w:rFonts w:ascii="Verdana" w:eastAsia="Calibri" w:hAnsi="Verdana" w:cs="Arial"/>
          <w:sz w:val="18"/>
          <w:szCs w:val="18"/>
          <w:lang w:eastAsia="es-CR"/>
        </w:rPr>
        <w:t xml:space="preserve">El arraigo domiciliario o la prohibición de abandonar una demarcación geográfica se prolongarán por el tiempo estrictamente indispensable, no debiendo exceder de treinta días naturales, en el caso del arraigo, y de sesenta días naturales, en el de la prohibición de abandonar una demarcación geográfica. </w:t>
      </w:r>
    </w:p>
    <w:p w14:paraId="1756BF85" w14:textId="0EDA3E9C" w:rsidR="00A241F5" w:rsidRPr="005C1789" w:rsidRDefault="00446C40" w:rsidP="00955888">
      <w:pPr>
        <w:pStyle w:val="Prrafodelista"/>
        <w:spacing w:before="120" w:after="120"/>
        <w:ind w:left="567" w:right="561"/>
        <w:contextualSpacing w:val="0"/>
        <w:jc w:val="both"/>
        <w:rPr>
          <w:rFonts w:ascii="Verdana" w:eastAsia="Calibri" w:hAnsi="Verdana" w:cs="Arial"/>
          <w:sz w:val="18"/>
          <w:szCs w:val="18"/>
          <w:lang w:eastAsia="es-CR"/>
        </w:rPr>
      </w:pPr>
      <w:r w:rsidRPr="005C1789">
        <w:rPr>
          <w:rFonts w:ascii="Verdana" w:eastAsia="Calibri" w:hAnsi="Verdana" w:cs="Arial"/>
          <w:sz w:val="18"/>
          <w:szCs w:val="18"/>
          <w:lang w:eastAsia="es-CR"/>
        </w:rPr>
        <w:t>Cuando el afectado pida que el arraigo o la prohibición de abandonar una demarcación geográfica queden sin efecto, la autoridad judicial decidirá, escuchando al Ministerio Público y al afectado, si deben o no mantenerse.</w:t>
      </w:r>
    </w:p>
    <w:p w14:paraId="1471F790" w14:textId="28F97D56" w:rsidR="0055208C" w:rsidRPr="005C1789" w:rsidRDefault="00112CF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 xml:space="preserve">La </w:t>
      </w:r>
      <w:r w:rsidR="00A241F5" w:rsidRPr="005C1789">
        <w:rPr>
          <w:rFonts w:ascii="Verdana" w:eastAsia="Calibri" w:hAnsi="Verdana" w:cs="Arial"/>
          <w:i w:val="0"/>
          <w:sz w:val="20"/>
          <w:szCs w:val="20"/>
          <w:lang w:eastAsia="es-CR"/>
        </w:rPr>
        <w:t xml:space="preserve">Ley </w:t>
      </w:r>
      <w:r w:rsidRPr="005C1789">
        <w:rPr>
          <w:rFonts w:ascii="Verdana" w:eastAsia="Calibri" w:hAnsi="Verdana" w:cs="Arial"/>
          <w:i w:val="0"/>
          <w:sz w:val="20"/>
          <w:szCs w:val="20"/>
          <w:lang w:eastAsia="es-CR"/>
        </w:rPr>
        <w:t>Federal contra la Delincuencia Organizada de 28 de octubre de 1996 establec</w:t>
      </w:r>
      <w:r w:rsidR="00A70ABE" w:rsidRPr="005C1789">
        <w:rPr>
          <w:rFonts w:ascii="Verdana" w:eastAsia="Calibri" w:hAnsi="Verdana" w:cs="Arial"/>
          <w:i w:val="0"/>
          <w:sz w:val="20"/>
          <w:szCs w:val="20"/>
          <w:lang w:eastAsia="es-CR"/>
        </w:rPr>
        <w:t xml:space="preserve">ía </w:t>
      </w:r>
      <w:r w:rsidRPr="005C1789">
        <w:rPr>
          <w:rFonts w:ascii="Verdana" w:eastAsia="Calibri" w:hAnsi="Verdana" w:cs="Arial"/>
          <w:i w:val="0"/>
          <w:sz w:val="20"/>
          <w:szCs w:val="20"/>
          <w:lang w:eastAsia="es-CR"/>
        </w:rPr>
        <w:t>en su artículo 12 qu</w:t>
      </w:r>
      <w:r w:rsidR="0050438A" w:rsidRPr="005C1789">
        <w:rPr>
          <w:rFonts w:ascii="Verdana" w:eastAsia="Calibri" w:hAnsi="Verdana" w:cs="Arial"/>
          <w:i w:val="0"/>
          <w:sz w:val="20"/>
          <w:szCs w:val="20"/>
          <w:lang w:eastAsia="es-CR"/>
        </w:rPr>
        <w:t>e</w:t>
      </w:r>
      <w:r w:rsidR="0055208C" w:rsidRPr="005C1789">
        <w:rPr>
          <w:rFonts w:ascii="Verdana" w:eastAsia="Calibri" w:hAnsi="Verdana" w:cs="Arial"/>
          <w:i w:val="0"/>
          <w:sz w:val="20"/>
          <w:szCs w:val="20"/>
          <w:lang w:eastAsia="es-CR"/>
        </w:rPr>
        <w:t>:</w:t>
      </w:r>
    </w:p>
    <w:p w14:paraId="254CBDA5" w14:textId="3D9A550C" w:rsidR="00A241F5" w:rsidRPr="005C1789" w:rsidRDefault="00112CF3" w:rsidP="00955888">
      <w:pPr>
        <w:pStyle w:val="Prrafodelista"/>
        <w:spacing w:before="120" w:after="120"/>
        <w:ind w:left="567" w:right="561"/>
        <w:jc w:val="both"/>
        <w:rPr>
          <w:rFonts w:ascii="Verdana" w:eastAsia="Calibri" w:hAnsi="Verdana" w:cs="Arial"/>
          <w:sz w:val="18"/>
          <w:szCs w:val="18"/>
          <w:lang w:eastAsia="es-CR"/>
        </w:rPr>
      </w:pPr>
      <w:r w:rsidRPr="005C1789">
        <w:rPr>
          <w:rFonts w:ascii="Verdana" w:eastAsia="Calibri" w:hAnsi="Verdana" w:cs="Arial"/>
          <w:sz w:val="18"/>
          <w:szCs w:val="18"/>
          <w:lang w:eastAsia="es-CR"/>
        </w:rPr>
        <w:t xml:space="preserve">El juez podrá dictar, a solicitud del Ministerio Público de la Federación y tomando en cuenta las características del hecho imputado y las circunstancias personales del inculpado, el arraigo de éste en el lugar, forma y medios de realización señalados en la solicitud, con vigilancia de la autoridad, la que ejercerá el </w:t>
      </w:r>
      <w:r w:rsidRPr="005C1789">
        <w:rPr>
          <w:rFonts w:ascii="Verdana" w:hAnsi="Verdana" w:cs="Verdana"/>
          <w:sz w:val="18"/>
          <w:szCs w:val="18"/>
        </w:rPr>
        <w:t>Ministerio</w:t>
      </w:r>
      <w:r w:rsidRPr="005C1789">
        <w:rPr>
          <w:rFonts w:ascii="Verdana" w:eastAsia="Calibri" w:hAnsi="Verdana" w:cs="Arial"/>
          <w:sz w:val="18"/>
          <w:szCs w:val="18"/>
          <w:lang w:eastAsia="es-CR"/>
        </w:rPr>
        <w:t xml:space="preserve"> Público de la Federación y sus auxiliares, mismo que se prolongará por el </w:t>
      </w:r>
      <w:r w:rsidRPr="005C1789">
        <w:rPr>
          <w:rFonts w:ascii="Verdana" w:eastAsia="Calibri" w:hAnsi="Verdana" w:cs="Arial"/>
          <w:sz w:val="18"/>
          <w:szCs w:val="18"/>
          <w:lang w:eastAsia="es-CR"/>
        </w:rPr>
        <w:lastRenderedPageBreak/>
        <w:t>tiempo estrictamente indispensable para la debida</w:t>
      </w:r>
      <w:r w:rsidR="0050438A" w:rsidRPr="005C1789">
        <w:rPr>
          <w:rFonts w:ascii="Verdana" w:eastAsia="Calibri" w:hAnsi="Verdana" w:cs="Arial"/>
          <w:sz w:val="18"/>
          <w:szCs w:val="18"/>
          <w:lang w:eastAsia="es-CR"/>
        </w:rPr>
        <w:t xml:space="preserve"> integración de la averiguación de que se trate, sin que exceda de noventa días, con el objeto de que el afectado participe en la aclaración de los hechos que se le imputan y pueda abreviarse el tiempo de arraigo</w:t>
      </w:r>
      <w:r w:rsidR="00770832" w:rsidRPr="005C1789">
        <w:rPr>
          <w:rFonts w:ascii="Verdana" w:eastAsia="Calibri" w:hAnsi="Verdana" w:cs="Arial"/>
          <w:sz w:val="18"/>
          <w:szCs w:val="18"/>
          <w:lang w:eastAsia="es-CR"/>
        </w:rPr>
        <w:t>.</w:t>
      </w:r>
    </w:p>
    <w:p w14:paraId="12604F0F" w14:textId="0F126BB5" w:rsidR="00F22F6A" w:rsidRPr="005C1789" w:rsidRDefault="00F22F6A" w:rsidP="00955888">
      <w:pPr>
        <w:pStyle w:val="Estilo1"/>
        <w:widowControl w:val="0"/>
        <w:tabs>
          <w:tab w:val="left" w:pos="0"/>
          <w:tab w:val="left" w:pos="567"/>
        </w:tabs>
        <w:adjustRightInd w:val="0"/>
        <w:spacing w:before="240" w:after="240"/>
        <w:ind w:left="567" w:right="-6" w:firstLine="0"/>
        <w:jc w:val="both"/>
        <w:textAlignment w:val="baseline"/>
        <w:outlineLvl w:val="3"/>
        <w:rPr>
          <w:rFonts w:ascii="Verdana" w:eastAsia="Calibri" w:hAnsi="Verdana" w:cs="Arial"/>
          <w:sz w:val="20"/>
          <w:szCs w:val="20"/>
          <w:lang w:eastAsia="es-CR"/>
        </w:rPr>
      </w:pPr>
      <w:bookmarkStart w:id="61" w:name="_Toc123347514"/>
      <w:r w:rsidRPr="005C1789">
        <w:rPr>
          <w:rFonts w:ascii="Verdana" w:eastAsia="Calibri" w:hAnsi="Verdana" w:cs="Arial"/>
          <w:sz w:val="20"/>
          <w:szCs w:val="20"/>
          <w:lang w:eastAsia="es-CR"/>
        </w:rPr>
        <w:t>b) Las normas reformadas o adoptadas con posterioridad al momento en que se produjeron los hechos del presente caso</w:t>
      </w:r>
      <w:bookmarkEnd w:id="61"/>
    </w:p>
    <w:p w14:paraId="6191A893" w14:textId="176FC6F5" w:rsidR="00163FAB" w:rsidRPr="005C1789" w:rsidRDefault="00163FA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sz w:val="20"/>
          <w:szCs w:val="20"/>
          <w:lang w:eastAsia="es-CR"/>
        </w:rPr>
      </w:pPr>
      <w:r w:rsidRPr="005C1789">
        <w:rPr>
          <w:rFonts w:ascii="Verdana" w:eastAsia="Calibri" w:hAnsi="Verdana" w:cs="Arial"/>
          <w:i w:val="0"/>
          <w:sz w:val="20"/>
          <w:szCs w:val="20"/>
          <w:lang w:eastAsia="es-CR"/>
        </w:rPr>
        <w:t>El artículo 16 a la Constitución Política de México fue reformado en los años 2008 y 2019 y su redacción actual es la siguiente:</w:t>
      </w:r>
    </w:p>
    <w:p w14:paraId="7D8A35D6" w14:textId="7631193C" w:rsidR="00163FAB" w:rsidRPr="005C1789" w:rsidRDefault="00163FAB"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 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 […]</w:t>
      </w:r>
    </w:p>
    <w:p w14:paraId="72114B63" w14:textId="2F2A1C3E" w:rsidR="00BA2150" w:rsidRPr="005C1789" w:rsidRDefault="00BA2150"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La versión actual del 133 bis al Código Federal Procesal Penal de 1999</w:t>
      </w:r>
      <w:r w:rsidR="005C25CD" w:rsidRPr="005C1789">
        <w:rPr>
          <w:rFonts w:ascii="Verdana" w:eastAsia="Calibri" w:hAnsi="Verdana" w:cs="Arial"/>
          <w:i w:val="0"/>
          <w:sz w:val="20"/>
          <w:szCs w:val="20"/>
          <w:lang w:eastAsia="es-CR"/>
        </w:rPr>
        <w:t xml:space="preserve"> </w:t>
      </w:r>
      <w:r w:rsidRPr="005C1789">
        <w:rPr>
          <w:rFonts w:ascii="Verdana" w:eastAsia="Calibri" w:hAnsi="Verdana" w:cs="Arial"/>
          <w:i w:val="0"/>
          <w:sz w:val="20"/>
          <w:szCs w:val="20"/>
          <w:lang w:eastAsia="es-CR"/>
        </w:rPr>
        <w:t>establece que: “La autoridad judicial podrá, a petición del Ministerio Público, decretar el arraigo domiciliario del indiciado tratándose de delitos graves, siempre que sea necesario para el éxito de la investigación, la protección de personas o bienes jurídicos o cuando exista riesgo fundado de que el inculpado se sustraiga a la acción de la justicia. Corresponderá al Ministerio Público y a sus auxiliares vigilar que el mandato de la autoridad judicial sea debidamente cumplido”</w:t>
      </w:r>
      <w:r w:rsidR="005C25CD" w:rsidRPr="005C1789">
        <w:rPr>
          <w:rFonts w:ascii="Verdana" w:eastAsia="Calibri" w:hAnsi="Verdana" w:cs="Arial"/>
          <w:i w:val="0"/>
          <w:sz w:val="20"/>
          <w:szCs w:val="20"/>
          <w:lang w:eastAsia="es-CR"/>
        </w:rPr>
        <w:t>.</w:t>
      </w:r>
    </w:p>
    <w:p w14:paraId="2F1BB285" w14:textId="16795744" w:rsidR="00F22F6A" w:rsidRPr="005C1789" w:rsidRDefault="00F22F6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sz w:val="20"/>
          <w:szCs w:val="20"/>
          <w:lang w:eastAsia="es-CR"/>
        </w:rPr>
      </w:pPr>
      <w:r w:rsidRPr="005C1789">
        <w:rPr>
          <w:rFonts w:ascii="Verdana" w:eastAsia="Calibri" w:hAnsi="Verdana" w:cs="Arial"/>
          <w:i w:val="0"/>
          <w:sz w:val="20"/>
          <w:szCs w:val="20"/>
          <w:lang w:eastAsia="es-CR"/>
        </w:rPr>
        <w:t xml:space="preserve">La versión actual de la Ley Federal contra la Delincuencia Organizada </w:t>
      </w:r>
      <w:r w:rsidR="008648EA" w:rsidRPr="005C1789">
        <w:rPr>
          <w:rFonts w:ascii="Verdana" w:eastAsia="Calibri" w:hAnsi="Verdana" w:cs="Arial"/>
          <w:i w:val="0"/>
          <w:sz w:val="20"/>
          <w:szCs w:val="20"/>
          <w:lang w:eastAsia="es-CR"/>
        </w:rPr>
        <w:t xml:space="preserve">y </w:t>
      </w:r>
      <w:r w:rsidRPr="005C1789">
        <w:rPr>
          <w:rFonts w:ascii="Verdana" w:eastAsia="Calibri" w:hAnsi="Verdana" w:cs="Arial"/>
          <w:i w:val="0"/>
          <w:sz w:val="20"/>
          <w:szCs w:val="20"/>
          <w:lang w:eastAsia="es-CR"/>
        </w:rPr>
        <w:t xml:space="preserve">del referido artículo </w:t>
      </w:r>
      <w:r w:rsidR="005C25CD" w:rsidRPr="005C1789">
        <w:rPr>
          <w:rFonts w:ascii="Verdana" w:eastAsia="Calibri" w:hAnsi="Verdana" w:cs="Arial"/>
          <w:i w:val="0"/>
          <w:sz w:val="20"/>
          <w:szCs w:val="20"/>
          <w:lang w:eastAsia="es-CR"/>
        </w:rPr>
        <w:t xml:space="preserve">12 </w:t>
      </w:r>
      <w:r w:rsidRPr="005C1789">
        <w:rPr>
          <w:rFonts w:ascii="Verdana" w:eastAsia="Calibri" w:hAnsi="Verdana" w:cs="Arial"/>
          <w:i w:val="0"/>
          <w:sz w:val="20"/>
          <w:szCs w:val="20"/>
          <w:lang w:eastAsia="es-CR"/>
        </w:rPr>
        <w:t xml:space="preserve">establece: </w:t>
      </w:r>
    </w:p>
    <w:p w14:paraId="549C7441"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El Juez de control podrá decretar el arraigo, a solicitud del Ministerio Público de la Federación, tratándose de los delitos previstos en esta Ley, siempre que sea necesario para el éxito de la investigación, para la protección de personas, de bienes jurídicos o cuando exista riesgo fundado de que el imputado se sustraiga de la acción de la justicia.</w:t>
      </w:r>
    </w:p>
    <w:p w14:paraId="1124B696"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El arraigo no podrá exceder de cuarenta días, y se realizará con la vigilancia de la autoridad del agente del Ministerio Público de la Federación y la Policía que se encuentre bajo su conducción y mando inmediato en la investigación.</w:t>
      </w:r>
    </w:p>
    <w:p w14:paraId="487D4B38"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La duración del arraigo podrá prolongarse siempre y cuando el Ministerio Público acredite que subsisten las causas que le dieron origen, sin que su duración total exceda de ochenta días.</w:t>
      </w:r>
    </w:p>
    <w:p w14:paraId="09BB7C10" w14:textId="36087FFA" w:rsidR="00F22F6A" w:rsidRPr="005C1789" w:rsidRDefault="00F22F6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sz w:val="20"/>
          <w:szCs w:val="20"/>
          <w:lang w:eastAsia="es-CR"/>
        </w:rPr>
      </w:pPr>
      <w:r w:rsidRPr="005C1789">
        <w:rPr>
          <w:rFonts w:ascii="Verdana" w:eastAsia="Calibri" w:hAnsi="Verdana" w:cs="Arial"/>
          <w:i w:val="0"/>
          <w:sz w:val="20"/>
          <w:szCs w:val="20"/>
          <w:lang w:eastAsia="es-CR"/>
        </w:rPr>
        <w:t>Del mismo modo, con la reforma del año 2016 a esa ley, se agregó a esa norma la siguiente redacción a continuación del artículo 12:</w:t>
      </w:r>
    </w:p>
    <w:p w14:paraId="789327AF"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 xml:space="preserve">Artículo 12 </w:t>
      </w:r>
      <w:proofErr w:type="gramStart"/>
      <w:r w:rsidRPr="005C1789">
        <w:rPr>
          <w:rFonts w:ascii="Verdana" w:hAnsi="Verdana"/>
          <w:sz w:val="18"/>
          <w:szCs w:val="18"/>
          <w:lang w:val="es-ES"/>
        </w:rPr>
        <w:t>Bis.-</w:t>
      </w:r>
      <w:proofErr w:type="gramEnd"/>
      <w:r w:rsidRPr="005C1789">
        <w:rPr>
          <w:rFonts w:ascii="Verdana" w:hAnsi="Verdana"/>
          <w:sz w:val="18"/>
          <w:szCs w:val="18"/>
          <w:lang w:val="es-ES"/>
        </w:rPr>
        <w:t xml:space="preserve"> La petición de arraigo o su ampliación deberá ser resuelta por la autoridad judicial de manera inmediata por cualquier medio que garantice su autenticidad, o en audiencia privada con la sola comparecencia del agente del Ministerio Público de la Federación, en un plazo que no exceda de las seis horas siguientes a que se haya recibido.</w:t>
      </w:r>
    </w:p>
    <w:p w14:paraId="4066556B"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En la solicitud, se deberán expresar las modalidades de lugar, tiempo, forma, así como las autoridades que lo ejecutarán.</w:t>
      </w:r>
    </w:p>
    <w:p w14:paraId="30E7B2A1"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eastAsiaTheme="minorHAnsi" w:hAnsi="Verdana"/>
          <w:sz w:val="18"/>
          <w:szCs w:val="18"/>
          <w:lang w:val="es-MX" w:eastAsia="en-US"/>
        </w:rPr>
        <w:t xml:space="preserve">Artículo 12 </w:t>
      </w:r>
      <w:proofErr w:type="gramStart"/>
      <w:r w:rsidRPr="005C1789">
        <w:rPr>
          <w:rFonts w:ascii="Verdana" w:eastAsiaTheme="minorHAnsi" w:hAnsi="Verdana"/>
          <w:sz w:val="18"/>
          <w:szCs w:val="18"/>
          <w:lang w:val="es-MX" w:eastAsia="en-US"/>
        </w:rPr>
        <w:t>Ter.-</w:t>
      </w:r>
      <w:proofErr w:type="gramEnd"/>
      <w:r w:rsidRPr="005C1789">
        <w:rPr>
          <w:rFonts w:ascii="Verdana" w:eastAsiaTheme="minorHAnsi" w:hAnsi="Verdana"/>
          <w:sz w:val="18"/>
          <w:szCs w:val="18"/>
          <w:lang w:val="es-MX" w:eastAsia="en-US"/>
        </w:rPr>
        <w:t xml:space="preserve"> La resolución judicial que ordena el arraigo deberá contener cuando menos:</w:t>
      </w:r>
    </w:p>
    <w:p w14:paraId="43BC8C47"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I. El nombre y cargo del Juez de control que lo autoriza y la identificación del proceso en el cual se ordena;</w:t>
      </w:r>
    </w:p>
    <w:p w14:paraId="335E45B4"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II. Los datos de identificación de la persona que estará sujeta a la medida de arraigo;</w:t>
      </w:r>
    </w:p>
    <w:p w14:paraId="42A4CFED"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III. Hechos que la ley señale como delitos, por los cuales se realiza la investigación;</w:t>
      </w:r>
    </w:p>
    <w:p w14:paraId="47C98027"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IV. El motivo del arraigo, debiendo especificar si es necesario para el éxito de la investigación, para la protección de personas, de bienes jurídicos, o si existe riesgo fundado de que el imputado se sustraiga a la acción de la justicia;</w:t>
      </w:r>
    </w:p>
    <w:p w14:paraId="184635D5"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V. El día, la hora y lugar en que iniciará la ejecución de la medida de arraigo, y</w:t>
      </w:r>
    </w:p>
    <w:p w14:paraId="588BE1CD"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lastRenderedPageBreak/>
        <w:t>VI. Las autoridades que realizarán la ejecución del arraigo.</w:t>
      </w:r>
    </w:p>
    <w:p w14:paraId="096262DF"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Si la resolución se emite o registra por medios diversos al escrito, los puntos resolutivos de la orden de arraigo deberán transcribirse y entregarse al agente del Ministerio Público de la Federación.</w:t>
      </w:r>
    </w:p>
    <w:p w14:paraId="1E77BFFC" w14:textId="77777777"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 xml:space="preserve">Artículo 12 </w:t>
      </w:r>
      <w:proofErr w:type="spellStart"/>
      <w:proofErr w:type="gramStart"/>
      <w:r w:rsidRPr="005C1789">
        <w:rPr>
          <w:rFonts w:ascii="Verdana" w:hAnsi="Verdana"/>
          <w:sz w:val="18"/>
          <w:szCs w:val="18"/>
          <w:lang w:val="es-ES"/>
        </w:rPr>
        <w:t>Quáter</w:t>
      </w:r>
      <w:proofErr w:type="spellEnd"/>
      <w:r w:rsidRPr="005C1789">
        <w:rPr>
          <w:rFonts w:ascii="Verdana" w:hAnsi="Verdana"/>
          <w:sz w:val="18"/>
          <w:szCs w:val="18"/>
          <w:lang w:val="es-ES"/>
        </w:rPr>
        <w:t>.-</w:t>
      </w:r>
      <w:proofErr w:type="gramEnd"/>
      <w:r w:rsidRPr="005C1789">
        <w:rPr>
          <w:rFonts w:ascii="Verdana" w:hAnsi="Verdana"/>
          <w:sz w:val="18"/>
          <w:szCs w:val="18"/>
          <w:lang w:val="es-ES"/>
        </w:rPr>
        <w:t xml:space="preserve"> En caso de que el Juez de control niegue la orden de arraigo o su ampliación, el agente del Ministerio Público de la Federación, podrá subsanar las deficiencias y solicitar nuevamente la orden.</w:t>
      </w:r>
    </w:p>
    <w:p w14:paraId="190CBA2C" w14:textId="6630D5C8" w:rsidR="00F22F6A" w:rsidRPr="005C1789" w:rsidRDefault="00F22F6A"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La negativa a la solicitud o ampliación de arraigo admite la apelación, la cual debe ser resuelta en un plazo no mayor de doce horas contadas a partir de que se interponga.</w:t>
      </w:r>
    </w:p>
    <w:p w14:paraId="29EFF8B4" w14:textId="2006E82C" w:rsidR="00455ACE" w:rsidRPr="005C1789" w:rsidRDefault="00455ACE" w:rsidP="00955888">
      <w:pPr>
        <w:pStyle w:val="Ttulo3"/>
        <w:spacing w:before="240" w:after="240"/>
        <w:ind w:left="567"/>
        <w:rPr>
          <w:rFonts w:ascii="Verdana" w:hAnsi="Verdana"/>
          <w:snapToGrid w:val="0"/>
          <w:spacing w:val="-2"/>
          <w:sz w:val="20"/>
          <w:szCs w:val="20"/>
          <w:lang w:eastAsia="es-ES"/>
        </w:rPr>
      </w:pPr>
      <w:bookmarkStart w:id="62" w:name="_Toc123347515"/>
      <w:r w:rsidRPr="005C1789">
        <w:rPr>
          <w:rFonts w:ascii="Verdana" w:hAnsi="Verdana"/>
          <w:snapToGrid w:val="0"/>
          <w:spacing w:val="-2"/>
          <w:sz w:val="20"/>
          <w:szCs w:val="20"/>
          <w:lang w:eastAsia="es-ES"/>
        </w:rPr>
        <w:t>A.2. Sobre la fig</w:t>
      </w:r>
      <w:r w:rsidR="005A031D" w:rsidRPr="005C1789">
        <w:rPr>
          <w:rFonts w:ascii="Verdana" w:hAnsi="Verdana"/>
          <w:snapToGrid w:val="0"/>
          <w:spacing w:val="-2"/>
          <w:sz w:val="20"/>
          <w:szCs w:val="20"/>
          <w:lang w:eastAsia="es-ES"/>
        </w:rPr>
        <w:t>u</w:t>
      </w:r>
      <w:r w:rsidRPr="005C1789">
        <w:rPr>
          <w:rFonts w:ascii="Verdana" w:hAnsi="Verdana"/>
          <w:snapToGrid w:val="0"/>
          <w:spacing w:val="-2"/>
          <w:sz w:val="20"/>
          <w:szCs w:val="20"/>
          <w:lang w:eastAsia="es-ES"/>
        </w:rPr>
        <w:t>ra de la prisión preventiva</w:t>
      </w:r>
      <w:bookmarkEnd w:id="62"/>
    </w:p>
    <w:p w14:paraId="712586FB" w14:textId="4250B29B" w:rsidR="005A031D" w:rsidRPr="005C1789" w:rsidRDefault="005A031D" w:rsidP="00955888">
      <w:pPr>
        <w:pStyle w:val="Estilo1"/>
        <w:widowControl w:val="0"/>
        <w:tabs>
          <w:tab w:val="left" w:pos="0"/>
          <w:tab w:val="left" w:pos="567"/>
        </w:tabs>
        <w:adjustRightInd w:val="0"/>
        <w:spacing w:before="240" w:after="240"/>
        <w:ind w:left="0" w:right="-6" w:firstLine="567"/>
        <w:jc w:val="both"/>
        <w:textAlignment w:val="baseline"/>
        <w:outlineLvl w:val="3"/>
        <w:rPr>
          <w:rFonts w:ascii="Verdana" w:eastAsia="Calibri" w:hAnsi="Verdana" w:cs="Arial"/>
          <w:sz w:val="20"/>
          <w:szCs w:val="20"/>
          <w:lang w:eastAsia="es-CR"/>
        </w:rPr>
      </w:pPr>
      <w:bookmarkStart w:id="63" w:name="_Toc123347516"/>
      <w:r w:rsidRPr="005C1789">
        <w:rPr>
          <w:rFonts w:ascii="Verdana" w:eastAsia="Calibri" w:hAnsi="Verdana" w:cs="Arial"/>
          <w:sz w:val="20"/>
          <w:szCs w:val="20"/>
          <w:lang w:eastAsia="es-CR"/>
        </w:rPr>
        <w:t>a) Las normas vigentes al momento en que se produjeron los hechos del presente caso</w:t>
      </w:r>
      <w:bookmarkEnd w:id="63"/>
    </w:p>
    <w:p w14:paraId="761CDD6F" w14:textId="55C37D9C" w:rsidR="007C52EE" w:rsidRPr="005C1789" w:rsidRDefault="007C52E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hAnsi="Verdana"/>
          <w:i w:val="0"/>
          <w:sz w:val="18"/>
          <w:szCs w:val="18"/>
        </w:rPr>
        <w:t>La</w:t>
      </w:r>
      <w:r w:rsidRPr="005C1789">
        <w:rPr>
          <w:rFonts w:ascii="Verdana" w:eastAsia="Calibri" w:hAnsi="Verdana" w:cs="Arial"/>
          <w:i w:val="0"/>
          <w:sz w:val="20"/>
          <w:szCs w:val="20"/>
          <w:lang w:eastAsia="es-CR"/>
        </w:rPr>
        <w:t xml:space="preserve"> </w:t>
      </w:r>
      <w:r w:rsidRPr="005C1789">
        <w:rPr>
          <w:rFonts w:ascii="Verdana" w:hAnsi="Verdana" w:cs="Verdana"/>
          <w:i w:val="0"/>
          <w:sz w:val="20"/>
          <w:szCs w:val="20"/>
        </w:rPr>
        <w:t>Constitución</w:t>
      </w:r>
      <w:r w:rsidRPr="005C1789">
        <w:rPr>
          <w:rFonts w:ascii="Verdana" w:eastAsia="Calibri" w:hAnsi="Verdana" w:cs="Arial"/>
          <w:i w:val="0"/>
          <w:sz w:val="20"/>
          <w:szCs w:val="20"/>
          <w:lang w:eastAsia="es-CR"/>
        </w:rPr>
        <w:t xml:space="preserve"> Política de México</w:t>
      </w:r>
      <w:r w:rsidR="00100CB5">
        <w:rPr>
          <w:rFonts w:ascii="Verdana" w:eastAsia="Calibri" w:hAnsi="Verdana" w:cs="Arial"/>
          <w:i w:val="0"/>
          <w:sz w:val="20"/>
          <w:szCs w:val="20"/>
          <w:lang w:eastAsia="es-CR"/>
        </w:rPr>
        <w:t>,</w:t>
      </w:r>
      <w:r w:rsidRPr="005C1789">
        <w:rPr>
          <w:rFonts w:ascii="Verdana" w:eastAsia="Calibri" w:hAnsi="Verdana" w:cs="Arial"/>
          <w:i w:val="0"/>
          <w:sz w:val="20"/>
          <w:szCs w:val="20"/>
          <w:lang w:eastAsia="es-CR"/>
        </w:rPr>
        <w:t xml:space="preserve"> vigente al momento en que tuvieron lugar los hechos del caso</w:t>
      </w:r>
      <w:r w:rsidR="00AC3AB7">
        <w:rPr>
          <w:rFonts w:ascii="Verdana" w:eastAsia="Calibri" w:hAnsi="Verdana" w:cs="Arial"/>
          <w:i w:val="0"/>
          <w:sz w:val="20"/>
          <w:szCs w:val="20"/>
          <w:lang w:eastAsia="es-CR"/>
        </w:rPr>
        <w:t>,</w:t>
      </w:r>
      <w:r w:rsidRPr="005C1789">
        <w:rPr>
          <w:rFonts w:ascii="Verdana" w:eastAsia="Calibri" w:hAnsi="Verdana" w:cs="Arial"/>
          <w:i w:val="0"/>
          <w:sz w:val="20"/>
          <w:szCs w:val="20"/>
          <w:lang w:eastAsia="es-CR"/>
        </w:rPr>
        <w:t xml:space="preserve"> establecía que: </w:t>
      </w:r>
    </w:p>
    <w:p w14:paraId="4C67D1FA"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Artículo 16.- Nadie puede ser molestado en su persona, familia, domicilio, papeles o posesiones, sino en virtud de mandamiento escrito de la autoridad competente, que funde y motive la causa legal del procedimiento.</w:t>
      </w:r>
    </w:p>
    <w:p w14:paraId="45EF37F7"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No podrá librarse orden de aprehensión sino por la autoridad judicial y sin que preceda denuncia o querella de un hecho que la ley señale como delito, sancionado cuando menos con pena privativa de libertad y existan datos que acrediten el cuerpo del delito y que hagan probable la responsabilidad del indiciado.</w:t>
      </w:r>
    </w:p>
    <w:p w14:paraId="0542D7E6"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 xml:space="preserve">La autoridad que ejecute una orden judicial de </w:t>
      </w:r>
      <w:proofErr w:type="gramStart"/>
      <w:r w:rsidRPr="005C1789">
        <w:rPr>
          <w:rFonts w:ascii="Verdana" w:hAnsi="Verdana"/>
          <w:sz w:val="18"/>
          <w:szCs w:val="18"/>
        </w:rPr>
        <w:t>aprehensión,</w:t>
      </w:r>
      <w:proofErr w:type="gramEnd"/>
      <w:r w:rsidRPr="005C1789">
        <w:rPr>
          <w:rFonts w:ascii="Verdana" w:hAnsi="Verdana"/>
          <w:sz w:val="18"/>
          <w:szCs w:val="18"/>
        </w:rPr>
        <w:t xml:space="preserve"> deberá poner al inculpado a disposición del juez, sin dilación alguna y bajo su más estricta responsabilidad. La contravención a lo anterior será sancionada por la ley penal.</w:t>
      </w:r>
    </w:p>
    <w:p w14:paraId="70614BDF" w14:textId="122B523A"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En los casos de delito flagrante, cualquier persona puede detener al indiciado poniéndolo sin demora a disposición de la autoridad inmediata y ésta, con la misma prontitud, a la del Ministerio Público.</w:t>
      </w:r>
    </w:p>
    <w:p w14:paraId="5FA8A87D"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Sólo en casos urgentes, cuando se trate de delito grave así calificado por la ley y ante el riesgo fundado de que el indiciado pueda sustraerse a la acción de la justicia, siempre y cuando no se pueda ocurrir ante la autoridad judicial por razón de la hora, lugar o circunstancia, el Ministerio Público podrá, bajo su responsabilidad, ordenar su detención, fundando y expresando los indicios que motiven su proceder.</w:t>
      </w:r>
    </w:p>
    <w:p w14:paraId="6454B4A0"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En casos de urgencia o flagrancia, el juez que reciba la consignación del detenido deberá inmediatamente ratificar la detención o decretar la libertad con las reservas de ley.</w:t>
      </w:r>
    </w:p>
    <w:p w14:paraId="20A24993"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Ningún indiciado podrá ser retenido por el Ministerio Público por más de cuarenta y ocho horas, plazo en que deberá ordenarse su libertad o ponérsele a disposición de la autoridad judicial; este plazo podrá duplicarse en aquellos casos que la ley prevea como delincuencia organizada. Todo abuso a lo anteriormente dispuesto será sancionado por la ley penal.</w:t>
      </w:r>
    </w:p>
    <w:p w14:paraId="0CED5204" w14:textId="77777777"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 xml:space="preserve">En toda orden de cateo, que solo la autoridad judicial podrá expedir y que será escrita, se expresará el lugar que ha de inspeccionarse, la persona o personas que hayan de aprehenderse y los objetos que se buscan, a lo que únicamente debe limitarse la diligencia, levantándose, en el acto de concluirla, </w:t>
      </w:r>
      <w:proofErr w:type="gramStart"/>
      <w:r w:rsidRPr="005C1789">
        <w:rPr>
          <w:rFonts w:ascii="Verdana" w:hAnsi="Verdana"/>
          <w:sz w:val="18"/>
          <w:szCs w:val="18"/>
        </w:rPr>
        <w:t>una acta circunstanciada</w:t>
      </w:r>
      <w:proofErr w:type="gramEnd"/>
      <w:r w:rsidRPr="005C1789">
        <w:rPr>
          <w:rFonts w:ascii="Verdana" w:hAnsi="Verdana"/>
          <w:sz w:val="18"/>
          <w:szCs w:val="18"/>
        </w:rPr>
        <w:t xml:space="preserve"> en presencia de dos testigos propuestos por el ocupante del lugar cateado o en su ausencia o negativa, por la autoridad que practique la diligencia.</w:t>
      </w:r>
    </w:p>
    <w:p w14:paraId="1126FB09" w14:textId="3613A4B4" w:rsidR="007C52EE" w:rsidRPr="005C1789" w:rsidRDefault="007C52EE" w:rsidP="00955888">
      <w:pPr>
        <w:spacing w:before="120" w:after="120"/>
        <w:ind w:left="567" w:right="561"/>
        <w:jc w:val="both"/>
        <w:rPr>
          <w:rFonts w:ascii="Verdana" w:hAnsi="Verdana"/>
          <w:sz w:val="18"/>
          <w:szCs w:val="18"/>
        </w:rPr>
      </w:pPr>
      <w:r w:rsidRPr="005C1789">
        <w:rPr>
          <w:rFonts w:ascii="Verdana" w:hAnsi="Verdana"/>
          <w:sz w:val="18"/>
          <w:szCs w:val="18"/>
        </w:rPr>
        <w:t>[…]</w:t>
      </w:r>
    </w:p>
    <w:p w14:paraId="5706CC95" w14:textId="0F4CD228" w:rsidR="00F22F6A" w:rsidRPr="005C1789" w:rsidRDefault="00F22F6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El artículo 161 Código Federal Procesal Penal de 1999 establecía que:</w:t>
      </w:r>
    </w:p>
    <w:p w14:paraId="3AE35D26" w14:textId="77777777" w:rsidR="00F22F6A" w:rsidRPr="005C1789" w:rsidRDefault="00F22F6A" w:rsidP="00955888">
      <w:pPr>
        <w:pStyle w:val="Prrafodelista"/>
        <w:spacing w:before="120" w:after="120"/>
        <w:ind w:left="567" w:right="561"/>
        <w:contextualSpacing w:val="0"/>
        <w:jc w:val="both"/>
        <w:rPr>
          <w:rFonts w:ascii="Verdana" w:eastAsia="Calibri" w:hAnsi="Verdana" w:cs="Arial"/>
          <w:sz w:val="18"/>
          <w:szCs w:val="18"/>
          <w:lang w:eastAsia="es-CR"/>
        </w:rPr>
      </w:pPr>
      <w:r w:rsidRPr="005C1789">
        <w:rPr>
          <w:rFonts w:ascii="Verdana" w:eastAsia="Calibri" w:hAnsi="Verdana" w:cs="Arial"/>
          <w:sz w:val="18"/>
          <w:szCs w:val="18"/>
          <w:lang w:eastAsia="es-CR"/>
        </w:rPr>
        <w:t xml:space="preserve">Dentro de las setenta y dos horas siguientes al momento en que el inculpado quede a disposición del juez, se dictará el auto de formal prisión cuando de lo actuado aparezcan acreditados los siguientes requisitos: I. Que se haya tomado declaración preparatoria del inculpado, en la forma y con los requisitos que establece el capítulo anterior, o bien que conste en el expediente que aquél se rehusó a declarar; II. Que esté comprobado el cuerpo del delito que tenga señalado sanción privativa de libertad; III. Que </w:t>
      </w:r>
      <w:proofErr w:type="gramStart"/>
      <w:r w:rsidRPr="005C1789">
        <w:rPr>
          <w:rFonts w:ascii="Verdana" w:eastAsia="Calibri" w:hAnsi="Verdana" w:cs="Arial"/>
          <w:sz w:val="18"/>
          <w:szCs w:val="18"/>
          <w:lang w:eastAsia="es-CR"/>
        </w:rPr>
        <w:t>en relación a</w:t>
      </w:r>
      <w:proofErr w:type="gramEnd"/>
      <w:r w:rsidRPr="005C1789">
        <w:rPr>
          <w:rFonts w:ascii="Verdana" w:eastAsia="Calibri" w:hAnsi="Verdana" w:cs="Arial"/>
          <w:sz w:val="18"/>
          <w:szCs w:val="18"/>
          <w:lang w:eastAsia="es-CR"/>
        </w:rPr>
        <w:t xml:space="preserve"> la fracción anterior esté demostrada la probable responsabilidad del </w:t>
      </w:r>
      <w:r w:rsidRPr="005C1789">
        <w:rPr>
          <w:rFonts w:ascii="Verdana" w:eastAsia="Calibri" w:hAnsi="Verdana" w:cs="Arial"/>
          <w:sz w:val="18"/>
          <w:szCs w:val="18"/>
          <w:lang w:eastAsia="es-CR"/>
        </w:rPr>
        <w:lastRenderedPageBreak/>
        <w:t>inculpado, y IV. Que no esté plenamente comprobada a favor del inculpado alguna circunstancia eximente de responsabilidad, o que extinga la acción penal.</w:t>
      </w:r>
    </w:p>
    <w:p w14:paraId="3F795FA9" w14:textId="77777777" w:rsidR="00F22F6A" w:rsidRPr="005C1789" w:rsidRDefault="00F22F6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El artículo 168 Código Federal Procesal Penal de 1999 establecía que:</w:t>
      </w:r>
    </w:p>
    <w:p w14:paraId="2E579C9B" w14:textId="77777777" w:rsidR="00F22F6A" w:rsidRPr="005C1789" w:rsidRDefault="00F22F6A" w:rsidP="00955888">
      <w:pPr>
        <w:pStyle w:val="Prrafodelista"/>
        <w:spacing w:before="120" w:after="120"/>
        <w:ind w:left="567" w:right="561"/>
        <w:contextualSpacing w:val="0"/>
        <w:jc w:val="both"/>
        <w:rPr>
          <w:rFonts w:ascii="Verdana" w:eastAsia="Calibri" w:hAnsi="Verdana" w:cs="Arial"/>
          <w:sz w:val="18"/>
          <w:szCs w:val="18"/>
          <w:lang w:eastAsia="es-CR"/>
        </w:rPr>
      </w:pPr>
      <w:r w:rsidRPr="005C1789">
        <w:rPr>
          <w:rFonts w:ascii="Verdana" w:eastAsia="Calibri" w:hAnsi="Verdana" w:cs="Arial"/>
          <w:sz w:val="18"/>
          <w:szCs w:val="18"/>
          <w:lang w:eastAsia="es-CR"/>
        </w:rPr>
        <w:t>El Ministerio Público acreditará el cuerpo del delito de que se trate y la probable responsabilidad del indiciado, como base del ejercicio de la acción penal; y la autoridad judicial, a su vez, examinará si ambos requisitos están acreditados en autos. Por cuerpo del delito se entiende el conjunto de elementos objetivos o externos que constituyen la materialidad del hecho que ley señale como delito, así como los normativos, en el caso de que la descripción típica lo requiera. La probable responsabilidad del indiciado se tendrá por acreditada cuando, de los medios probatorios existentes, se deduzca su participación en el delito, la comisión dolosa o culposa del mismo y no exista acreditada en favor del indiciado alguna causa de licitud o alguna excluyente de culpabilidad. El cuerpo del delito de que se trate y la probable responsabilidad se acreditarán por cualquier medio probatorio que señale la ley.</w:t>
      </w:r>
    </w:p>
    <w:p w14:paraId="7C6F0113" w14:textId="0E1A2AB5" w:rsidR="00F22F6A" w:rsidRPr="005C1789" w:rsidRDefault="00F22F6A" w:rsidP="00955888">
      <w:pPr>
        <w:pStyle w:val="Estilo1"/>
        <w:widowControl w:val="0"/>
        <w:tabs>
          <w:tab w:val="left" w:pos="0"/>
          <w:tab w:val="left" w:pos="567"/>
        </w:tabs>
        <w:adjustRightInd w:val="0"/>
        <w:spacing w:before="240" w:after="240"/>
        <w:ind w:left="567" w:right="-6" w:firstLine="0"/>
        <w:jc w:val="both"/>
        <w:textAlignment w:val="baseline"/>
        <w:outlineLvl w:val="3"/>
        <w:rPr>
          <w:rFonts w:ascii="Verdana" w:eastAsia="Calibri" w:hAnsi="Verdana" w:cs="Arial"/>
          <w:sz w:val="20"/>
          <w:szCs w:val="20"/>
          <w:lang w:eastAsia="es-CR"/>
        </w:rPr>
      </w:pPr>
      <w:bookmarkStart w:id="64" w:name="_Toc123347517"/>
      <w:r w:rsidRPr="005C1789">
        <w:rPr>
          <w:rFonts w:ascii="Verdana" w:eastAsia="Calibri" w:hAnsi="Verdana" w:cs="Arial"/>
          <w:sz w:val="20"/>
          <w:szCs w:val="20"/>
          <w:lang w:eastAsia="es-CR"/>
        </w:rPr>
        <w:t>b) Las normas reformadas o adoptadas con posterioridad al momento en que se produjeron los hechos del presente caso</w:t>
      </w:r>
      <w:bookmarkEnd w:id="64"/>
    </w:p>
    <w:p w14:paraId="07A277DA" w14:textId="1DB5E1AF" w:rsidR="00106D6C" w:rsidRPr="005C1789" w:rsidRDefault="00106D6C"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i w:val="0"/>
          <w:sz w:val="20"/>
          <w:szCs w:val="20"/>
          <w:lang w:eastAsia="es-CR"/>
        </w:rPr>
      </w:pPr>
      <w:r w:rsidRPr="005C1789">
        <w:rPr>
          <w:rFonts w:ascii="Verdana" w:eastAsia="Calibri" w:hAnsi="Verdana" w:cs="Arial"/>
          <w:i w:val="0"/>
          <w:sz w:val="20"/>
          <w:szCs w:val="20"/>
          <w:lang w:eastAsia="es-CR"/>
        </w:rPr>
        <w:t xml:space="preserve">El artículo 19 a la Constitución Política de México fue reformado en los años </w:t>
      </w:r>
      <w:r w:rsidR="00B71059" w:rsidRPr="005C1789">
        <w:rPr>
          <w:rFonts w:ascii="Verdana" w:eastAsia="Calibri" w:hAnsi="Verdana" w:cs="Arial"/>
          <w:i w:val="0"/>
          <w:sz w:val="20"/>
          <w:szCs w:val="20"/>
          <w:lang w:eastAsia="es-CR"/>
        </w:rPr>
        <w:t>2011</w:t>
      </w:r>
      <w:r w:rsidRPr="005C1789">
        <w:rPr>
          <w:rFonts w:ascii="Verdana" w:eastAsia="Calibri" w:hAnsi="Verdana" w:cs="Arial"/>
          <w:i w:val="0"/>
          <w:sz w:val="20"/>
          <w:szCs w:val="20"/>
          <w:lang w:eastAsia="es-CR"/>
        </w:rPr>
        <w:t xml:space="preserve"> y 2019 y su redacción actual es la siguiente: </w:t>
      </w:r>
    </w:p>
    <w:p w14:paraId="3459DDD4" w14:textId="77777777" w:rsidR="00106D6C" w:rsidRPr="005C1789" w:rsidRDefault="00106D6C"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14:paraId="7EDC8B48" w14:textId="62E846E6" w:rsidR="00106D6C" w:rsidRPr="005C1789" w:rsidRDefault="00106D6C" w:rsidP="00955888">
      <w:pPr>
        <w:pStyle w:val="Textonotapie"/>
        <w:ind w:left="709" w:right="702"/>
        <w:jc w:val="both"/>
        <w:rPr>
          <w:rFonts w:ascii="Verdana" w:hAnsi="Verdana"/>
          <w:sz w:val="18"/>
          <w:szCs w:val="18"/>
          <w:lang w:val="es-ES"/>
        </w:rPr>
      </w:pPr>
      <w:r w:rsidRPr="005C1789">
        <w:rPr>
          <w:rFonts w:ascii="Verdana" w:hAnsi="Verdana"/>
          <w:sz w:val="18"/>
          <w:szCs w:val="18"/>
          <w:lang w:val="es-ES"/>
        </w:rPr>
        <w:t>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abuso o violencia sexual contra menores, delincuencia organizada,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así como los delitos graves que determine la ley en contra de la seguridad de la nación, el libre desarrollo de la personalidad, y de la salud. […]</w:t>
      </w:r>
    </w:p>
    <w:p w14:paraId="03F4CBB0" w14:textId="4EFB98AB" w:rsidR="007C52EE" w:rsidRPr="005C1789" w:rsidRDefault="007C52E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rPr>
      </w:pPr>
      <w:r w:rsidRPr="005C1789">
        <w:rPr>
          <w:rFonts w:ascii="Verdana" w:hAnsi="Verdana"/>
          <w:i w:val="0"/>
          <w:sz w:val="20"/>
          <w:szCs w:val="20"/>
        </w:rPr>
        <w:t xml:space="preserve">El artículo 3 de la Ley Federal contra la Delincuencia Organizada en vigencia, reformado en el año 2016, establece que el delito de </w:t>
      </w:r>
      <w:r w:rsidRPr="005C1789">
        <w:rPr>
          <w:rFonts w:ascii="Verdana" w:eastAsia="Calibri" w:hAnsi="Verdana" w:cs="Arial"/>
          <w:i w:val="0"/>
          <w:sz w:val="20"/>
          <w:szCs w:val="20"/>
          <w:lang w:eastAsia="es-CR"/>
        </w:rPr>
        <w:t>delincuencia</w:t>
      </w:r>
      <w:r w:rsidRPr="005C1789">
        <w:rPr>
          <w:rFonts w:ascii="Verdana" w:hAnsi="Verdana"/>
          <w:i w:val="0"/>
          <w:sz w:val="20"/>
          <w:szCs w:val="20"/>
        </w:rPr>
        <w:t xml:space="preserve"> organizada, así como los señalados en los artículos 2o., 2o. Bis y 2o. Ter de esta Ley, “ameritarán prisión preventiva oficiosa”</w:t>
      </w:r>
      <w:r w:rsidRPr="005C1789">
        <w:rPr>
          <w:rStyle w:val="Refdenotaalpie"/>
          <w:rFonts w:ascii="Verdana" w:hAnsi="Verdana"/>
          <w:i w:val="0"/>
          <w:sz w:val="20"/>
        </w:rPr>
        <w:footnoteReference w:id="26"/>
      </w:r>
      <w:r w:rsidRPr="005C1789">
        <w:rPr>
          <w:rFonts w:ascii="Verdana" w:hAnsi="Verdana"/>
          <w:i w:val="0"/>
          <w:sz w:val="20"/>
          <w:szCs w:val="20"/>
        </w:rPr>
        <w:t>.</w:t>
      </w:r>
    </w:p>
    <w:p w14:paraId="71D083FE" w14:textId="621C4787" w:rsidR="00611815" w:rsidRPr="005C1789" w:rsidRDefault="002D5AEB" w:rsidP="00955888">
      <w:pPr>
        <w:pStyle w:val="Ttulo2"/>
        <w:numPr>
          <w:ilvl w:val="0"/>
          <w:numId w:val="8"/>
        </w:numPr>
        <w:spacing w:before="240" w:after="240"/>
        <w:ind w:left="714" w:hanging="357"/>
        <w:jc w:val="both"/>
        <w:rPr>
          <w:rFonts w:ascii="Verdana" w:hAnsi="Verdana"/>
          <w:i/>
          <w:color w:val="auto"/>
          <w:sz w:val="20"/>
          <w:szCs w:val="20"/>
        </w:rPr>
      </w:pPr>
      <w:bookmarkStart w:id="65" w:name="_Toc114828490"/>
      <w:bookmarkStart w:id="66" w:name="_Toc114828491"/>
      <w:bookmarkStart w:id="67" w:name="_Toc114828492"/>
      <w:bookmarkStart w:id="68" w:name="_Toc114828493"/>
      <w:bookmarkStart w:id="69" w:name="_Toc114828494"/>
      <w:bookmarkStart w:id="70" w:name="_Toc114828495"/>
      <w:bookmarkStart w:id="71" w:name="_Toc114828496"/>
      <w:bookmarkStart w:id="72" w:name="_Toc123347518"/>
      <w:bookmarkEnd w:id="65"/>
      <w:bookmarkEnd w:id="66"/>
      <w:bookmarkEnd w:id="67"/>
      <w:bookmarkEnd w:id="68"/>
      <w:bookmarkEnd w:id="69"/>
      <w:bookmarkEnd w:id="70"/>
      <w:bookmarkEnd w:id="71"/>
      <w:r w:rsidRPr="005C1789">
        <w:rPr>
          <w:rFonts w:ascii="Verdana" w:hAnsi="Verdana"/>
          <w:i/>
          <w:color w:val="auto"/>
          <w:sz w:val="20"/>
          <w:szCs w:val="20"/>
        </w:rPr>
        <w:lastRenderedPageBreak/>
        <w:t xml:space="preserve">Sobre </w:t>
      </w:r>
      <w:r w:rsidR="00770832" w:rsidRPr="005C1789">
        <w:rPr>
          <w:rFonts w:ascii="Verdana" w:hAnsi="Verdana"/>
          <w:i/>
          <w:color w:val="auto"/>
          <w:sz w:val="20"/>
          <w:szCs w:val="20"/>
        </w:rPr>
        <w:t>la detención</w:t>
      </w:r>
      <w:r w:rsidR="0021697B" w:rsidRPr="005C1789">
        <w:rPr>
          <w:rFonts w:ascii="Verdana" w:hAnsi="Verdana"/>
          <w:i/>
          <w:color w:val="auto"/>
          <w:sz w:val="20"/>
          <w:szCs w:val="20"/>
        </w:rPr>
        <w:t xml:space="preserve">, la </w:t>
      </w:r>
      <w:r w:rsidR="00770832" w:rsidRPr="005C1789">
        <w:rPr>
          <w:rFonts w:ascii="Verdana" w:hAnsi="Verdana"/>
          <w:i/>
          <w:color w:val="auto"/>
          <w:sz w:val="20"/>
          <w:szCs w:val="20"/>
        </w:rPr>
        <w:t xml:space="preserve">privación </w:t>
      </w:r>
      <w:r w:rsidR="00FE10EE" w:rsidRPr="005C1789">
        <w:rPr>
          <w:rFonts w:ascii="Verdana" w:hAnsi="Verdana"/>
          <w:i/>
          <w:color w:val="auto"/>
          <w:sz w:val="20"/>
          <w:szCs w:val="20"/>
        </w:rPr>
        <w:t>de</w:t>
      </w:r>
      <w:r w:rsidR="00770832" w:rsidRPr="005C1789">
        <w:rPr>
          <w:rFonts w:ascii="Verdana" w:hAnsi="Verdana"/>
          <w:i/>
          <w:color w:val="auto"/>
          <w:sz w:val="20"/>
          <w:szCs w:val="20"/>
        </w:rPr>
        <w:t xml:space="preserve"> libertad</w:t>
      </w:r>
      <w:r w:rsidR="0021697B" w:rsidRPr="005C1789">
        <w:rPr>
          <w:rFonts w:ascii="Verdana" w:hAnsi="Verdana"/>
          <w:i/>
          <w:color w:val="auto"/>
          <w:sz w:val="20"/>
          <w:szCs w:val="20"/>
        </w:rPr>
        <w:t xml:space="preserve">, y el proceso penal en contra de </w:t>
      </w:r>
      <w:bookmarkStart w:id="73" w:name="_Hlk110926703"/>
      <w:r w:rsidRPr="005C1789">
        <w:rPr>
          <w:rFonts w:ascii="Verdana" w:hAnsi="Verdana"/>
          <w:i/>
          <w:color w:val="auto"/>
          <w:sz w:val="20"/>
          <w:szCs w:val="20"/>
        </w:rPr>
        <w:t xml:space="preserve">Jorge Marcial y Gerardo </w:t>
      </w:r>
      <w:proofErr w:type="spellStart"/>
      <w:r w:rsidRPr="005C1789">
        <w:rPr>
          <w:rFonts w:ascii="Verdana" w:hAnsi="Verdana"/>
          <w:i/>
          <w:color w:val="auto"/>
          <w:sz w:val="20"/>
          <w:szCs w:val="20"/>
        </w:rPr>
        <w:t>Tzompaxtle</w:t>
      </w:r>
      <w:proofErr w:type="spellEnd"/>
      <w:r w:rsidRPr="005C1789">
        <w:rPr>
          <w:rFonts w:ascii="Verdana" w:hAnsi="Verdana"/>
          <w:i/>
          <w:color w:val="auto"/>
          <w:sz w:val="20"/>
          <w:szCs w:val="20"/>
        </w:rPr>
        <w:t xml:space="preserve"> </w:t>
      </w:r>
      <w:proofErr w:type="spellStart"/>
      <w:r w:rsidRPr="005C1789">
        <w:rPr>
          <w:rFonts w:ascii="Verdana" w:hAnsi="Verdana"/>
          <w:i/>
          <w:color w:val="auto"/>
          <w:sz w:val="20"/>
          <w:szCs w:val="20"/>
        </w:rPr>
        <w:t>Tecpile</w:t>
      </w:r>
      <w:proofErr w:type="spellEnd"/>
      <w:r w:rsidRPr="005C1789">
        <w:rPr>
          <w:rFonts w:ascii="Verdana" w:hAnsi="Verdana"/>
          <w:i/>
          <w:color w:val="auto"/>
          <w:sz w:val="20"/>
          <w:szCs w:val="20"/>
        </w:rPr>
        <w:t>, y Gustavo Robles López</w:t>
      </w:r>
      <w:bookmarkEnd w:id="72"/>
      <w:bookmarkEnd w:id="73"/>
    </w:p>
    <w:p w14:paraId="45BC084B" w14:textId="5EABB19C" w:rsidR="00711C80" w:rsidRPr="005C1789" w:rsidRDefault="00711C80" w:rsidP="00955888">
      <w:pPr>
        <w:pStyle w:val="Ttulo3"/>
        <w:spacing w:before="240" w:after="240"/>
        <w:ind w:left="567"/>
        <w:jc w:val="both"/>
        <w:rPr>
          <w:rFonts w:ascii="Verdana" w:hAnsi="Verdana"/>
          <w:b w:val="0"/>
          <w:snapToGrid w:val="0"/>
          <w:spacing w:val="-2"/>
          <w:sz w:val="20"/>
          <w:szCs w:val="20"/>
          <w:lang w:eastAsia="es-ES"/>
        </w:rPr>
      </w:pPr>
      <w:bookmarkStart w:id="74" w:name="_Toc123347519"/>
      <w:r w:rsidRPr="005C1789">
        <w:rPr>
          <w:rFonts w:ascii="Verdana" w:hAnsi="Verdana"/>
          <w:b w:val="0"/>
          <w:snapToGrid w:val="0"/>
          <w:spacing w:val="-2"/>
          <w:sz w:val="20"/>
          <w:szCs w:val="20"/>
          <w:lang w:eastAsia="es-ES"/>
        </w:rPr>
        <w:t>B.1. Sobre Jorge Marcial</w:t>
      </w:r>
      <w:r w:rsidR="00B21D07" w:rsidRPr="005C1789">
        <w:rPr>
          <w:rFonts w:ascii="Verdana" w:hAnsi="Verdana"/>
          <w:b w:val="0"/>
          <w:snapToGrid w:val="0"/>
          <w:spacing w:val="-2"/>
          <w:sz w:val="20"/>
          <w:szCs w:val="20"/>
          <w:lang w:eastAsia="es-ES"/>
        </w:rPr>
        <w:t xml:space="preserve"> y</w:t>
      </w:r>
      <w:r w:rsidRPr="005C1789">
        <w:rPr>
          <w:rFonts w:ascii="Verdana" w:hAnsi="Verdana"/>
          <w:b w:val="0"/>
          <w:snapToGrid w:val="0"/>
          <w:spacing w:val="-2"/>
          <w:sz w:val="20"/>
          <w:szCs w:val="20"/>
          <w:lang w:eastAsia="es-ES"/>
        </w:rPr>
        <w:t xml:space="preserve"> Gerardo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y Gustavo Robles López</w:t>
      </w:r>
      <w:bookmarkEnd w:id="74"/>
    </w:p>
    <w:p w14:paraId="5462576B" w14:textId="62575075" w:rsidR="00BF5782" w:rsidRPr="005C1789" w:rsidRDefault="00701EF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eastAsia="Calibri" w:hAnsi="Verdana" w:cs="Arial"/>
          <w:i w:val="0"/>
          <w:sz w:val="20"/>
          <w:szCs w:val="20"/>
          <w:lang w:eastAsia="es-CR"/>
        </w:rPr>
        <w:t xml:space="preserve">Es un hecho no controvertido que </w:t>
      </w:r>
      <w:r w:rsidR="00BF5782" w:rsidRPr="005C1789">
        <w:rPr>
          <w:rFonts w:ascii="Verdana" w:eastAsia="Calibri" w:hAnsi="Verdana" w:cs="Arial"/>
          <w:i w:val="0"/>
          <w:sz w:val="20"/>
          <w:szCs w:val="20"/>
          <w:lang w:eastAsia="es-CR"/>
        </w:rPr>
        <w:t>Jorge</w:t>
      </w:r>
      <w:r w:rsidR="00BF5782" w:rsidRPr="005C1789">
        <w:rPr>
          <w:rFonts w:ascii="Verdana" w:hAnsi="Verdana"/>
          <w:i w:val="0"/>
          <w:sz w:val="20"/>
          <w:szCs w:val="20"/>
          <w:lang w:val="es-ES_tradnl"/>
        </w:rPr>
        <w:t xml:space="preserve"> Marcial y Gerardo </w:t>
      </w:r>
      <w:proofErr w:type="spellStart"/>
      <w:r w:rsidR="00BF5782" w:rsidRPr="005C1789">
        <w:rPr>
          <w:rFonts w:ascii="Verdana" w:hAnsi="Verdana"/>
          <w:i w:val="0"/>
          <w:sz w:val="20"/>
          <w:szCs w:val="20"/>
          <w:lang w:val="es-ES_tradnl"/>
        </w:rPr>
        <w:t>Tzompaxtle</w:t>
      </w:r>
      <w:proofErr w:type="spellEnd"/>
      <w:r w:rsidR="00BF5782" w:rsidRPr="005C1789">
        <w:rPr>
          <w:rFonts w:ascii="Verdana" w:hAnsi="Verdana"/>
          <w:i w:val="0"/>
          <w:sz w:val="20"/>
          <w:szCs w:val="20"/>
          <w:lang w:val="es-ES_tradnl"/>
        </w:rPr>
        <w:t xml:space="preserve"> </w:t>
      </w:r>
      <w:proofErr w:type="spellStart"/>
      <w:r w:rsidR="00BF5782" w:rsidRPr="005C1789">
        <w:rPr>
          <w:rFonts w:ascii="Verdana" w:hAnsi="Verdana"/>
          <w:i w:val="0"/>
          <w:sz w:val="20"/>
          <w:szCs w:val="20"/>
          <w:lang w:val="es-ES_tradnl"/>
        </w:rPr>
        <w:t>Tecpile</w:t>
      </w:r>
      <w:proofErr w:type="spellEnd"/>
      <w:r w:rsidR="00BF5782" w:rsidRPr="005C1789">
        <w:rPr>
          <w:rFonts w:ascii="Verdana" w:hAnsi="Verdana"/>
          <w:i w:val="0"/>
          <w:sz w:val="20"/>
          <w:szCs w:val="20"/>
          <w:lang w:val="es-ES_tradnl"/>
        </w:rPr>
        <w:t xml:space="preserve"> son originarios del pueblo indígena </w:t>
      </w:r>
      <w:proofErr w:type="spellStart"/>
      <w:r w:rsidR="00BF5782" w:rsidRPr="005C1789">
        <w:rPr>
          <w:rFonts w:ascii="Verdana" w:hAnsi="Verdana"/>
          <w:i w:val="0"/>
          <w:sz w:val="20"/>
          <w:szCs w:val="20"/>
          <w:lang w:val="es-ES_tradnl"/>
        </w:rPr>
        <w:t>Nahuatl</w:t>
      </w:r>
      <w:proofErr w:type="spellEnd"/>
      <w:r w:rsidR="00BF5782" w:rsidRPr="005C1789">
        <w:rPr>
          <w:rFonts w:ascii="Verdana" w:hAnsi="Verdana"/>
          <w:i w:val="0"/>
          <w:sz w:val="20"/>
          <w:szCs w:val="20"/>
          <w:lang w:val="es-ES_tradnl"/>
        </w:rPr>
        <w:t xml:space="preserve"> y vivían en el municipio de </w:t>
      </w:r>
      <w:proofErr w:type="spellStart"/>
      <w:r w:rsidR="00BF5782" w:rsidRPr="005C1789">
        <w:rPr>
          <w:rFonts w:ascii="Verdana" w:hAnsi="Verdana"/>
          <w:i w:val="0"/>
          <w:sz w:val="20"/>
          <w:szCs w:val="20"/>
          <w:lang w:val="es-ES_tradnl"/>
        </w:rPr>
        <w:t>Astacinga</w:t>
      </w:r>
      <w:proofErr w:type="spellEnd"/>
      <w:r w:rsidR="00BF5782" w:rsidRPr="005C1789">
        <w:rPr>
          <w:rFonts w:ascii="Verdana" w:hAnsi="Verdana"/>
          <w:i w:val="0"/>
          <w:sz w:val="20"/>
          <w:szCs w:val="20"/>
          <w:lang w:val="es-ES_tradnl"/>
        </w:rPr>
        <w:t>, estado de Veracruz. En la época de los hechos se desempeñaban como comerciante de abarrotes y como albañil, respectivamente. Gustavo Robles López era amigo de Jorge Marcial y trabaja</w:t>
      </w:r>
      <w:r w:rsidR="002179BD" w:rsidRPr="005C1789">
        <w:rPr>
          <w:rFonts w:ascii="Verdana" w:hAnsi="Verdana"/>
          <w:i w:val="0"/>
          <w:sz w:val="20"/>
          <w:szCs w:val="20"/>
          <w:lang w:val="es-ES_tradnl"/>
        </w:rPr>
        <w:t>ba</w:t>
      </w:r>
      <w:r w:rsidR="00BF5782" w:rsidRPr="005C1789">
        <w:rPr>
          <w:rFonts w:ascii="Verdana" w:hAnsi="Verdana"/>
          <w:i w:val="0"/>
          <w:sz w:val="20"/>
          <w:szCs w:val="20"/>
          <w:lang w:val="es-ES_tradnl"/>
        </w:rPr>
        <w:t xml:space="preserve"> como albañil.</w:t>
      </w:r>
    </w:p>
    <w:p w14:paraId="240CE9F3" w14:textId="50383C8F" w:rsidR="00711C80" w:rsidRPr="005C1789" w:rsidRDefault="00711C80" w:rsidP="00955888">
      <w:pPr>
        <w:pStyle w:val="Ttulo3"/>
        <w:spacing w:before="240" w:after="240"/>
        <w:ind w:left="567"/>
        <w:jc w:val="both"/>
        <w:rPr>
          <w:rFonts w:ascii="Verdana" w:hAnsi="Verdana"/>
          <w:b w:val="0"/>
          <w:snapToGrid w:val="0"/>
          <w:spacing w:val="-2"/>
          <w:sz w:val="20"/>
          <w:szCs w:val="20"/>
          <w:lang w:eastAsia="es-ES"/>
        </w:rPr>
      </w:pPr>
      <w:bookmarkStart w:id="75" w:name="_Toc123347520"/>
      <w:r w:rsidRPr="005C1789">
        <w:rPr>
          <w:rFonts w:ascii="Verdana" w:hAnsi="Verdana"/>
          <w:b w:val="0"/>
          <w:snapToGrid w:val="0"/>
          <w:spacing w:val="-2"/>
          <w:sz w:val="20"/>
          <w:szCs w:val="20"/>
          <w:lang w:eastAsia="es-ES"/>
        </w:rPr>
        <w:lastRenderedPageBreak/>
        <w:t xml:space="preserve">B.2. Sobre la detención de </w:t>
      </w:r>
      <w:r w:rsidR="00B21D07" w:rsidRPr="005C1789">
        <w:rPr>
          <w:rFonts w:ascii="Verdana" w:hAnsi="Verdana"/>
          <w:b w:val="0"/>
          <w:snapToGrid w:val="0"/>
          <w:spacing w:val="-2"/>
          <w:sz w:val="20"/>
          <w:szCs w:val="20"/>
          <w:lang w:eastAsia="es-ES"/>
        </w:rPr>
        <w:t xml:space="preserve">Jorge Marcial y Gerardo </w:t>
      </w:r>
      <w:proofErr w:type="spellStart"/>
      <w:r w:rsidR="00B21D07" w:rsidRPr="005C1789">
        <w:rPr>
          <w:rFonts w:ascii="Verdana" w:hAnsi="Verdana"/>
          <w:b w:val="0"/>
          <w:snapToGrid w:val="0"/>
          <w:spacing w:val="-2"/>
          <w:sz w:val="20"/>
          <w:szCs w:val="20"/>
          <w:lang w:eastAsia="es-ES"/>
        </w:rPr>
        <w:t>Tzompaxtle</w:t>
      </w:r>
      <w:proofErr w:type="spellEnd"/>
      <w:r w:rsidR="00B21D07" w:rsidRPr="005C1789">
        <w:rPr>
          <w:rFonts w:ascii="Verdana" w:hAnsi="Verdana"/>
          <w:b w:val="0"/>
          <w:snapToGrid w:val="0"/>
          <w:spacing w:val="-2"/>
          <w:sz w:val="20"/>
          <w:szCs w:val="20"/>
          <w:lang w:eastAsia="es-ES"/>
        </w:rPr>
        <w:t xml:space="preserve"> </w:t>
      </w:r>
      <w:proofErr w:type="spellStart"/>
      <w:r w:rsidR="00B21D07" w:rsidRPr="005C1789">
        <w:rPr>
          <w:rFonts w:ascii="Verdana" w:hAnsi="Verdana"/>
          <w:b w:val="0"/>
          <w:snapToGrid w:val="0"/>
          <w:spacing w:val="-2"/>
          <w:sz w:val="20"/>
          <w:szCs w:val="20"/>
          <w:lang w:eastAsia="es-ES"/>
        </w:rPr>
        <w:t>Tecpile</w:t>
      </w:r>
      <w:proofErr w:type="spellEnd"/>
      <w:r w:rsidR="00B21D07" w:rsidRPr="005C1789">
        <w:rPr>
          <w:rFonts w:ascii="Verdana" w:hAnsi="Verdana"/>
          <w:b w:val="0"/>
          <w:snapToGrid w:val="0"/>
          <w:spacing w:val="-2"/>
          <w:sz w:val="20"/>
          <w:szCs w:val="20"/>
          <w:lang w:eastAsia="es-ES"/>
        </w:rPr>
        <w:t>, y Gustavo Robles López</w:t>
      </w:r>
      <w:r w:rsidRPr="005C1789">
        <w:rPr>
          <w:rFonts w:ascii="Verdana" w:hAnsi="Verdana"/>
          <w:b w:val="0"/>
          <w:snapToGrid w:val="0"/>
          <w:spacing w:val="-2"/>
          <w:sz w:val="20"/>
          <w:szCs w:val="20"/>
          <w:lang w:eastAsia="es-ES"/>
        </w:rPr>
        <w:t>.</w:t>
      </w:r>
      <w:bookmarkEnd w:id="75"/>
    </w:p>
    <w:p w14:paraId="5FEF19F1" w14:textId="3C895ED8" w:rsidR="005C39D3" w:rsidRPr="005C1789" w:rsidRDefault="00701EF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w:t>
      </w:r>
      <w:r w:rsidR="005C39D3" w:rsidRPr="005C1789">
        <w:rPr>
          <w:rFonts w:ascii="Verdana" w:hAnsi="Verdana"/>
          <w:i w:val="0"/>
          <w:sz w:val="20"/>
          <w:szCs w:val="20"/>
          <w:lang w:val="es-ES_tradnl"/>
        </w:rPr>
        <w:t xml:space="preserve">l 12 de enero de 2006 a las 10:30 a.m., Gerardo </w:t>
      </w:r>
      <w:proofErr w:type="spellStart"/>
      <w:r w:rsidR="005C39D3" w:rsidRPr="005C1789">
        <w:rPr>
          <w:rFonts w:ascii="Verdana" w:hAnsi="Verdana"/>
          <w:i w:val="0"/>
          <w:sz w:val="20"/>
          <w:szCs w:val="20"/>
          <w:lang w:val="es-ES_tradnl"/>
        </w:rPr>
        <w:t>Tzompaxtle</w:t>
      </w:r>
      <w:proofErr w:type="spellEnd"/>
      <w:r w:rsidR="005C39D3" w:rsidRPr="005C1789">
        <w:rPr>
          <w:rFonts w:ascii="Verdana" w:hAnsi="Verdana"/>
          <w:i w:val="0"/>
          <w:sz w:val="20"/>
          <w:szCs w:val="20"/>
          <w:lang w:val="es-ES_tradnl"/>
        </w:rPr>
        <w:t xml:space="preserve"> </w:t>
      </w:r>
      <w:proofErr w:type="spellStart"/>
      <w:r w:rsidR="005C39D3" w:rsidRPr="005C1789">
        <w:rPr>
          <w:rFonts w:ascii="Verdana" w:hAnsi="Verdana"/>
          <w:i w:val="0"/>
          <w:sz w:val="20"/>
          <w:szCs w:val="20"/>
          <w:lang w:val="es-ES_tradnl"/>
        </w:rPr>
        <w:t>Tecpile</w:t>
      </w:r>
      <w:proofErr w:type="spellEnd"/>
      <w:r w:rsidR="005C39D3" w:rsidRPr="005C1789">
        <w:rPr>
          <w:rFonts w:ascii="Verdana" w:hAnsi="Verdana"/>
          <w:i w:val="0"/>
          <w:sz w:val="20"/>
          <w:szCs w:val="20"/>
          <w:lang w:val="es-ES_tradnl"/>
        </w:rPr>
        <w:t xml:space="preserve">, Jorge Marcial </w:t>
      </w:r>
      <w:proofErr w:type="spellStart"/>
      <w:r w:rsidR="005C39D3" w:rsidRPr="005C1789">
        <w:rPr>
          <w:rFonts w:ascii="Verdana" w:hAnsi="Verdana"/>
          <w:i w:val="0"/>
          <w:sz w:val="20"/>
          <w:szCs w:val="20"/>
          <w:lang w:val="es-ES_tradnl"/>
        </w:rPr>
        <w:t>Tzompaxtle</w:t>
      </w:r>
      <w:proofErr w:type="spellEnd"/>
      <w:r w:rsidR="005C39D3" w:rsidRPr="005C1789">
        <w:rPr>
          <w:rFonts w:ascii="Verdana" w:hAnsi="Verdana"/>
          <w:i w:val="0"/>
          <w:sz w:val="20"/>
          <w:szCs w:val="20"/>
          <w:lang w:val="es-ES_tradnl"/>
        </w:rPr>
        <w:t xml:space="preserve"> </w:t>
      </w:r>
      <w:proofErr w:type="spellStart"/>
      <w:r w:rsidR="005C39D3" w:rsidRPr="005C1789">
        <w:rPr>
          <w:rFonts w:ascii="Verdana" w:hAnsi="Verdana"/>
          <w:i w:val="0"/>
          <w:sz w:val="20"/>
          <w:szCs w:val="20"/>
          <w:lang w:val="es-ES_tradnl"/>
        </w:rPr>
        <w:t>Tecpile</w:t>
      </w:r>
      <w:proofErr w:type="spellEnd"/>
      <w:r w:rsidR="005C39D3" w:rsidRPr="005C1789">
        <w:rPr>
          <w:rFonts w:ascii="Verdana" w:hAnsi="Verdana"/>
          <w:i w:val="0"/>
          <w:sz w:val="20"/>
          <w:szCs w:val="20"/>
          <w:lang w:val="es-ES_tradnl"/>
        </w:rPr>
        <w:t xml:space="preserve"> y Gustavo Robles López se desplazaban en compañía de dos personas más por la zona del puente peatonal de Buena Vista</w:t>
      </w:r>
      <w:r w:rsidR="00B405E3"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en la carretera México-Veracruz</w:t>
      </w:r>
      <w:r w:rsidR="00B405E3"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cuando su </w:t>
      </w:r>
      <w:r w:rsidR="002F00D5" w:rsidRPr="005C1789">
        <w:rPr>
          <w:rFonts w:ascii="Verdana" w:hAnsi="Verdana"/>
          <w:i w:val="0"/>
          <w:sz w:val="20"/>
          <w:szCs w:val="20"/>
          <w:lang w:val="es-ES_tradnl"/>
        </w:rPr>
        <w:t>autom</w:t>
      </w:r>
      <w:r w:rsidR="001A60CE" w:rsidRPr="005C1789">
        <w:rPr>
          <w:rFonts w:ascii="Verdana" w:hAnsi="Verdana"/>
          <w:i w:val="0"/>
          <w:sz w:val="20"/>
          <w:szCs w:val="20"/>
          <w:lang w:val="es-ES_tradnl"/>
        </w:rPr>
        <w:t>óv</w:t>
      </w:r>
      <w:r w:rsidR="002F00D5" w:rsidRPr="005C1789">
        <w:rPr>
          <w:rFonts w:ascii="Verdana" w:hAnsi="Verdana"/>
          <w:i w:val="0"/>
          <w:sz w:val="20"/>
          <w:szCs w:val="20"/>
          <w:lang w:val="es-ES_tradnl"/>
        </w:rPr>
        <w:t xml:space="preserve">il </w:t>
      </w:r>
      <w:r w:rsidR="005C39D3" w:rsidRPr="005C1789">
        <w:rPr>
          <w:rFonts w:ascii="Verdana" w:hAnsi="Verdana"/>
          <w:i w:val="0"/>
          <w:sz w:val="20"/>
          <w:szCs w:val="20"/>
          <w:lang w:val="es-ES_tradnl"/>
        </w:rPr>
        <w:t>se descompuso. Los ocupantes se encontraban reparando el vehículo cuando dos integrantes de la Policía Federal Preventiva (</w:t>
      </w:r>
      <w:r w:rsidR="00133DED" w:rsidRPr="005C1789">
        <w:rPr>
          <w:rFonts w:ascii="Verdana" w:hAnsi="Verdana"/>
          <w:i w:val="0"/>
          <w:sz w:val="20"/>
          <w:szCs w:val="20"/>
          <w:lang w:val="es-ES_tradnl"/>
        </w:rPr>
        <w:t>en adelante también “</w:t>
      </w:r>
      <w:r w:rsidR="005C39D3" w:rsidRPr="005C1789">
        <w:rPr>
          <w:rFonts w:ascii="Verdana" w:hAnsi="Verdana"/>
          <w:i w:val="0"/>
          <w:sz w:val="20"/>
          <w:szCs w:val="20"/>
          <w:lang w:val="es-ES_tradnl"/>
        </w:rPr>
        <w:t>PFP</w:t>
      </w:r>
      <w:r w:rsidR="00133DED"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que venían a bordo de una patrulla se acercaron al lugar. El conductor informó a los agentes policiales que su unidad estaba descompuesta por una falla mecánica, por lo que los oficiales los apoyaron para mover el vehículo a un lugar seguro. Los agentes policiales preguntaron hacia dónde se dirigían y quiénes eran dos de las personas que los acompañaban. </w:t>
      </w:r>
      <w:r w:rsidR="00E6155D" w:rsidRPr="005C1789">
        <w:rPr>
          <w:rFonts w:ascii="Verdana" w:hAnsi="Verdana"/>
          <w:i w:val="0"/>
          <w:sz w:val="20"/>
          <w:szCs w:val="20"/>
          <w:lang w:val="es-ES_tradnl"/>
        </w:rPr>
        <w:t xml:space="preserve">El conductor </w:t>
      </w:r>
      <w:r w:rsidR="00252582" w:rsidRPr="005C1789">
        <w:rPr>
          <w:rFonts w:ascii="Verdana" w:hAnsi="Verdana"/>
          <w:i w:val="0"/>
          <w:sz w:val="20"/>
          <w:szCs w:val="20"/>
          <w:lang w:val="es-ES_tradnl"/>
        </w:rPr>
        <w:t>informó</w:t>
      </w:r>
      <w:r w:rsidR="00E6155D" w:rsidRPr="005C1789">
        <w:rPr>
          <w:rFonts w:ascii="Verdana" w:hAnsi="Verdana"/>
          <w:i w:val="0"/>
          <w:sz w:val="20"/>
          <w:szCs w:val="20"/>
          <w:lang w:val="es-ES_tradnl"/>
        </w:rPr>
        <w:t xml:space="preserve"> </w:t>
      </w:r>
      <w:r w:rsidR="005C39D3" w:rsidRPr="005C1789">
        <w:rPr>
          <w:rFonts w:ascii="Verdana" w:hAnsi="Verdana"/>
          <w:i w:val="0"/>
          <w:sz w:val="20"/>
          <w:szCs w:val="20"/>
          <w:lang w:val="es-ES_tradnl"/>
        </w:rPr>
        <w:t xml:space="preserve">que no los conocía ya que les estaban dando un </w:t>
      </w:r>
      <w:r w:rsidR="00BF5782" w:rsidRPr="005C1789">
        <w:rPr>
          <w:rFonts w:ascii="Verdana" w:hAnsi="Verdana"/>
          <w:i w:val="0"/>
          <w:sz w:val="20"/>
          <w:szCs w:val="20"/>
          <w:lang w:val="es-ES_tradnl"/>
        </w:rPr>
        <w:t>“</w:t>
      </w:r>
      <w:r w:rsidR="005C39D3" w:rsidRPr="005C1789">
        <w:rPr>
          <w:rFonts w:ascii="Verdana" w:hAnsi="Verdana"/>
          <w:i w:val="0"/>
          <w:sz w:val="20"/>
          <w:szCs w:val="20"/>
          <w:lang w:val="es-ES_tradnl"/>
        </w:rPr>
        <w:t>aventón</w:t>
      </w:r>
      <w:r w:rsidR="00BF5782" w:rsidRPr="005C1789">
        <w:rPr>
          <w:rFonts w:ascii="Verdana" w:hAnsi="Verdana"/>
          <w:i w:val="0"/>
          <w:sz w:val="20"/>
          <w:szCs w:val="20"/>
          <w:lang w:val="es-ES_tradnl"/>
        </w:rPr>
        <w:t>”</w:t>
      </w:r>
      <w:r w:rsidR="005C39D3" w:rsidRPr="005C1789">
        <w:rPr>
          <w:rFonts w:ascii="Verdana" w:hAnsi="Verdana"/>
          <w:i w:val="0"/>
          <w:sz w:val="20"/>
          <w:szCs w:val="20"/>
          <w:lang w:val="es-ES_tradnl"/>
        </w:rPr>
        <w:t>. Las dos personas no identificadas indicaron que irían a conseguir agua al poblado cercano y no regresaron</w:t>
      </w:r>
      <w:r w:rsidR="00BF5782" w:rsidRPr="005C1789">
        <w:rPr>
          <w:rStyle w:val="Refdenotaalpie"/>
          <w:rFonts w:ascii="Verdana" w:hAnsi="Verdana"/>
          <w:i w:val="0"/>
          <w:sz w:val="20"/>
          <w:lang w:val="es-ES_tradnl"/>
        </w:rPr>
        <w:footnoteReference w:id="27"/>
      </w:r>
      <w:r w:rsidR="005C39D3" w:rsidRPr="005C1789">
        <w:rPr>
          <w:rFonts w:ascii="Verdana" w:hAnsi="Verdana"/>
          <w:i w:val="0"/>
          <w:sz w:val="20"/>
          <w:szCs w:val="20"/>
          <w:lang w:val="es-ES_tradnl"/>
        </w:rPr>
        <w:t>.</w:t>
      </w:r>
    </w:p>
    <w:p w14:paraId="2E36DD2B" w14:textId="24421801" w:rsidR="005C39D3" w:rsidRPr="005C1789" w:rsidRDefault="005200A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Por otra parte, según se indicó en el capítulo sobre reconocimiento de responsabilidad</w:t>
      </w:r>
      <w:r w:rsidR="00C72963" w:rsidRPr="005C1789">
        <w:rPr>
          <w:rFonts w:ascii="Verdana" w:hAnsi="Verdana"/>
          <w:i w:val="0"/>
          <w:sz w:val="20"/>
          <w:szCs w:val="20"/>
          <w:lang w:val="es-ES_tradnl"/>
        </w:rPr>
        <w:t xml:space="preserve"> (</w:t>
      </w:r>
      <w:r w:rsidR="00C72963" w:rsidRPr="005C1789">
        <w:rPr>
          <w:rFonts w:ascii="Verdana" w:hAnsi="Verdana"/>
          <w:sz w:val="20"/>
          <w:szCs w:val="20"/>
          <w:lang w:val="es-ES_tradnl"/>
        </w:rPr>
        <w:t>supra</w:t>
      </w:r>
      <w:r w:rsidR="00C72963" w:rsidRPr="005C1789">
        <w:rPr>
          <w:rFonts w:ascii="Verdana" w:hAnsi="Verdana"/>
          <w:i w:val="0"/>
          <w:sz w:val="20"/>
          <w:szCs w:val="20"/>
          <w:lang w:val="es-ES_tradnl"/>
        </w:rPr>
        <w:t xml:space="preserve"> </w:t>
      </w:r>
      <w:proofErr w:type="spellStart"/>
      <w:r w:rsidR="00C72963" w:rsidRPr="005C1789">
        <w:rPr>
          <w:rFonts w:ascii="Verdana" w:hAnsi="Verdana"/>
          <w:i w:val="0"/>
          <w:sz w:val="20"/>
          <w:szCs w:val="20"/>
          <w:lang w:val="es-ES_tradnl"/>
        </w:rPr>
        <w:t>párrs</w:t>
      </w:r>
      <w:proofErr w:type="spellEnd"/>
      <w:r w:rsidR="00C72963" w:rsidRPr="005C1789">
        <w:rPr>
          <w:rFonts w:ascii="Verdana" w:hAnsi="Verdana"/>
          <w:i w:val="0"/>
          <w:sz w:val="20"/>
          <w:szCs w:val="20"/>
          <w:lang w:val="es-ES_tradnl"/>
        </w:rPr>
        <w:t xml:space="preserve">. </w:t>
      </w:r>
      <w:r w:rsidR="00A11E34" w:rsidRPr="005C1789">
        <w:rPr>
          <w:rFonts w:ascii="Verdana" w:hAnsi="Verdana"/>
          <w:i w:val="0"/>
          <w:sz w:val="20"/>
          <w:szCs w:val="20"/>
          <w:lang w:val="es-ES_tradnl"/>
        </w:rPr>
        <w:t>25</w:t>
      </w:r>
      <w:r w:rsidR="00C72963" w:rsidRPr="005C1789">
        <w:rPr>
          <w:rFonts w:ascii="Verdana" w:hAnsi="Verdana"/>
          <w:i w:val="0"/>
          <w:sz w:val="20"/>
          <w:szCs w:val="20"/>
          <w:lang w:val="es-ES_tradnl"/>
        </w:rPr>
        <w:t xml:space="preserve"> a </w:t>
      </w:r>
      <w:r w:rsidR="00A11E34" w:rsidRPr="005C1789">
        <w:rPr>
          <w:rFonts w:ascii="Verdana" w:hAnsi="Verdana"/>
          <w:i w:val="0"/>
          <w:sz w:val="20"/>
          <w:szCs w:val="20"/>
          <w:lang w:val="es-ES_tradnl"/>
        </w:rPr>
        <w:t>27</w:t>
      </w:r>
      <w:r w:rsidR="00C72963" w:rsidRPr="005C1789">
        <w:rPr>
          <w:rFonts w:ascii="Verdana" w:hAnsi="Verdana"/>
          <w:i w:val="0"/>
          <w:sz w:val="20"/>
          <w:szCs w:val="20"/>
          <w:lang w:val="es-ES_tradnl"/>
        </w:rPr>
        <w:t>)</w:t>
      </w:r>
      <w:r w:rsidRPr="005C1789">
        <w:rPr>
          <w:rFonts w:ascii="Verdana" w:hAnsi="Verdana"/>
          <w:i w:val="0"/>
          <w:sz w:val="20"/>
          <w:szCs w:val="20"/>
          <w:lang w:val="es-ES_tradnl"/>
        </w:rPr>
        <w:t xml:space="preserve">, el Estado </w:t>
      </w:r>
      <w:r w:rsidR="00A6603E" w:rsidRPr="005C1789">
        <w:rPr>
          <w:rFonts w:ascii="Verdana" w:hAnsi="Verdana"/>
          <w:i w:val="0"/>
          <w:sz w:val="20"/>
          <w:szCs w:val="20"/>
          <w:lang w:val="es-ES_tradnl"/>
        </w:rPr>
        <w:t xml:space="preserve">admitió </w:t>
      </w:r>
      <w:r w:rsidRPr="005C1789">
        <w:rPr>
          <w:rFonts w:ascii="Verdana" w:hAnsi="Verdana"/>
          <w:i w:val="0"/>
          <w:sz w:val="20"/>
          <w:szCs w:val="20"/>
          <w:lang w:val="es-ES_tradnl"/>
        </w:rPr>
        <w:t>que</w:t>
      </w:r>
      <w:r w:rsidR="00A11E34" w:rsidRPr="005C1789">
        <w:rPr>
          <w:rFonts w:ascii="Verdana" w:hAnsi="Verdana"/>
          <w:i w:val="0"/>
          <w:sz w:val="20"/>
          <w:szCs w:val="20"/>
          <w:lang w:val="es-ES_tradnl"/>
        </w:rPr>
        <w:t>,</w:t>
      </w:r>
      <w:r w:rsidRPr="005C1789">
        <w:rPr>
          <w:rFonts w:ascii="Verdana" w:hAnsi="Verdana"/>
          <w:i w:val="0"/>
          <w:sz w:val="20"/>
          <w:szCs w:val="20"/>
          <w:lang w:val="es-ES_tradnl"/>
        </w:rPr>
        <w:t xml:space="preserve"> </w:t>
      </w:r>
      <w:r w:rsidR="005C39D3" w:rsidRPr="005C1789">
        <w:rPr>
          <w:rFonts w:ascii="Verdana" w:hAnsi="Verdana"/>
          <w:i w:val="0"/>
          <w:sz w:val="20"/>
          <w:szCs w:val="20"/>
          <w:lang w:val="es-ES_tradnl"/>
        </w:rPr>
        <w:t xml:space="preserve">sin causa legal y sin que mediara una orden de una autoridad competente, los agentes revisaron las pertenencias personales de las víctimas y el vehículo en que viajaban, </w:t>
      </w:r>
      <w:r w:rsidR="00846841" w:rsidRPr="005C1789">
        <w:rPr>
          <w:rFonts w:ascii="Verdana" w:hAnsi="Verdana"/>
          <w:i w:val="0"/>
          <w:sz w:val="20"/>
          <w:szCs w:val="20"/>
          <w:lang w:val="es-ES_tradnl"/>
        </w:rPr>
        <w:t xml:space="preserve">ocasión en la que </w:t>
      </w:r>
      <w:r w:rsidR="003C33A2" w:rsidRPr="005C1789">
        <w:rPr>
          <w:rFonts w:ascii="Verdana" w:hAnsi="Verdana"/>
          <w:i w:val="0"/>
          <w:sz w:val="20"/>
          <w:szCs w:val="20"/>
          <w:lang w:val="es-ES_tradnl"/>
        </w:rPr>
        <w:t>se encontró</w:t>
      </w:r>
      <w:r w:rsidR="005C39D3" w:rsidRPr="005C1789">
        <w:rPr>
          <w:rFonts w:ascii="Verdana" w:hAnsi="Verdana"/>
          <w:i w:val="0"/>
          <w:sz w:val="20"/>
          <w:szCs w:val="20"/>
          <w:lang w:val="es-ES_tradnl"/>
        </w:rPr>
        <w:t xml:space="preserve"> una mochila que contenía una libreta con direcciones, números telefónicos, direcciones de correo electrónico, nombres de organizaciones, posturas políticas y acciones realizadas por el grupo denominado Comando Popular Revolucionario “La Patria es Primero”. </w:t>
      </w:r>
      <w:r w:rsidR="00B03315" w:rsidRPr="005C1789">
        <w:rPr>
          <w:rFonts w:ascii="Verdana" w:hAnsi="Verdana"/>
          <w:i w:val="0"/>
          <w:sz w:val="20"/>
          <w:szCs w:val="20"/>
          <w:lang w:val="es-ES_tradnl"/>
        </w:rPr>
        <w:t>A raíz de ello, l</w:t>
      </w:r>
      <w:r w:rsidR="005C39D3" w:rsidRPr="005C1789">
        <w:rPr>
          <w:rFonts w:ascii="Verdana" w:hAnsi="Verdana"/>
          <w:i w:val="0"/>
          <w:sz w:val="20"/>
          <w:szCs w:val="20"/>
          <w:lang w:val="es-ES_tradnl"/>
        </w:rPr>
        <w:t xml:space="preserve">os agentes solicitaron apoyo y llegaron al lugar otros vehículos y </w:t>
      </w:r>
      <w:r w:rsidR="00E11961" w:rsidRPr="005C1789">
        <w:rPr>
          <w:rFonts w:ascii="Verdana" w:hAnsi="Verdana"/>
          <w:i w:val="0"/>
          <w:sz w:val="20"/>
          <w:szCs w:val="20"/>
          <w:lang w:val="es-ES_tradnl"/>
        </w:rPr>
        <w:t xml:space="preserve">funcionarios </w:t>
      </w:r>
      <w:r w:rsidR="005C39D3" w:rsidRPr="005C1789">
        <w:rPr>
          <w:rFonts w:ascii="Verdana" w:hAnsi="Verdana"/>
          <w:i w:val="0"/>
          <w:sz w:val="20"/>
          <w:szCs w:val="20"/>
          <w:lang w:val="es-ES_tradnl"/>
        </w:rPr>
        <w:t xml:space="preserve">de la Policía Federal Preventiva, quienes realizaron una segunda revisión del vehículo y detuvieron a </w:t>
      </w:r>
      <w:r w:rsidR="00C72963" w:rsidRPr="005C1789">
        <w:rPr>
          <w:rFonts w:ascii="Verdana" w:hAnsi="Verdana"/>
          <w:i w:val="0"/>
          <w:sz w:val="20"/>
          <w:szCs w:val="20"/>
          <w:lang w:val="es-ES_tradnl"/>
        </w:rPr>
        <w:t xml:space="preserve">Gerardo </w:t>
      </w:r>
      <w:proofErr w:type="spellStart"/>
      <w:r w:rsidR="00C72963" w:rsidRPr="005C1789">
        <w:rPr>
          <w:rFonts w:ascii="Verdana" w:hAnsi="Verdana"/>
          <w:i w:val="0"/>
          <w:sz w:val="20"/>
          <w:szCs w:val="20"/>
          <w:lang w:val="es-ES_tradnl"/>
        </w:rPr>
        <w:t>Tzompaxtle</w:t>
      </w:r>
      <w:proofErr w:type="spellEnd"/>
      <w:r w:rsidR="00C72963" w:rsidRPr="005C1789">
        <w:rPr>
          <w:rFonts w:ascii="Verdana" w:hAnsi="Verdana"/>
          <w:i w:val="0"/>
          <w:sz w:val="20"/>
          <w:szCs w:val="20"/>
          <w:lang w:val="es-ES_tradnl"/>
        </w:rPr>
        <w:t xml:space="preserve"> </w:t>
      </w:r>
      <w:proofErr w:type="spellStart"/>
      <w:r w:rsidR="00C72963" w:rsidRPr="005C1789">
        <w:rPr>
          <w:rFonts w:ascii="Verdana" w:hAnsi="Verdana"/>
          <w:i w:val="0"/>
          <w:sz w:val="20"/>
          <w:szCs w:val="20"/>
          <w:lang w:val="es-ES_tradnl"/>
        </w:rPr>
        <w:t>Tecpile</w:t>
      </w:r>
      <w:proofErr w:type="spellEnd"/>
      <w:r w:rsidR="00C72963" w:rsidRPr="005C1789">
        <w:rPr>
          <w:rFonts w:ascii="Verdana" w:hAnsi="Verdana"/>
          <w:i w:val="0"/>
          <w:sz w:val="20"/>
          <w:szCs w:val="20"/>
          <w:lang w:val="es-ES_tradnl"/>
        </w:rPr>
        <w:t xml:space="preserve">, Jorge Marcial </w:t>
      </w:r>
      <w:proofErr w:type="spellStart"/>
      <w:r w:rsidR="00C72963" w:rsidRPr="005C1789">
        <w:rPr>
          <w:rFonts w:ascii="Verdana" w:hAnsi="Verdana"/>
          <w:i w:val="0"/>
          <w:sz w:val="20"/>
          <w:szCs w:val="20"/>
          <w:lang w:val="es-ES_tradnl"/>
        </w:rPr>
        <w:t>Tzompaxtle</w:t>
      </w:r>
      <w:proofErr w:type="spellEnd"/>
      <w:r w:rsidR="00C72963" w:rsidRPr="005C1789">
        <w:rPr>
          <w:rFonts w:ascii="Verdana" w:hAnsi="Verdana"/>
          <w:i w:val="0"/>
          <w:sz w:val="20"/>
          <w:szCs w:val="20"/>
          <w:lang w:val="es-ES_tradnl"/>
        </w:rPr>
        <w:t xml:space="preserve"> </w:t>
      </w:r>
      <w:proofErr w:type="spellStart"/>
      <w:r w:rsidR="00C72963" w:rsidRPr="005C1789">
        <w:rPr>
          <w:rFonts w:ascii="Verdana" w:hAnsi="Verdana"/>
          <w:i w:val="0"/>
          <w:sz w:val="20"/>
          <w:szCs w:val="20"/>
          <w:lang w:val="es-ES_tradnl"/>
        </w:rPr>
        <w:t>Tecpile</w:t>
      </w:r>
      <w:proofErr w:type="spellEnd"/>
      <w:r w:rsidR="00C72963" w:rsidRPr="005C1789">
        <w:rPr>
          <w:rFonts w:ascii="Verdana" w:hAnsi="Verdana"/>
          <w:i w:val="0"/>
          <w:sz w:val="20"/>
          <w:szCs w:val="20"/>
          <w:lang w:val="es-ES_tradnl"/>
        </w:rPr>
        <w:t xml:space="preserve"> y Gustavo Robles López </w:t>
      </w:r>
      <w:r w:rsidR="005C39D3" w:rsidRPr="005C1789">
        <w:rPr>
          <w:rFonts w:ascii="Verdana" w:hAnsi="Verdana"/>
          <w:i w:val="0"/>
          <w:sz w:val="20"/>
          <w:szCs w:val="20"/>
          <w:lang w:val="es-ES_tradnl"/>
        </w:rPr>
        <w:t xml:space="preserve">sin informarles </w:t>
      </w:r>
      <w:r w:rsidR="00430DFC" w:rsidRPr="005C1789">
        <w:rPr>
          <w:rFonts w:ascii="Verdana" w:hAnsi="Verdana"/>
          <w:i w:val="0"/>
          <w:sz w:val="20"/>
          <w:szCs w:val="20"/>
          <w:lang w:val="es-ES_tradnl"/>
        </w:rPr>
        <w:t xml:space="preserve">cual era </w:t>
      </w:r>
      <w:r w:rsidR="005C39D3" w:rsidRPr="005C1789">
        <w:rPr>
          <w:rFonts w:ascii="Verdana" w:hAnsi="Verdana"/>
          <w:i w:val="0"/>
          <w:sz w:val="20"/>
          <w:szCs w:val="20"/>
          <w:lang w:val="es-ES_tradnl"/>
        </w:rPr>
        <w:t xml:space="preserve">motivo de </w:t>
      </w:r>
      <w:r w:rsidR="00430DFC" w:rsidRPr="005C1789">
        <w:rPr>
          <w:rFonts w:ascii="Verdana" w:hAnsi="Verdana"/>
          <w:i w:val="0"/>
          <w:sz w:val="20"/>
          <w:szCs w:val="20"/>
          <w:lang w:val="es-ES_tradnl"/>
        </w:rPr>
        <w:t xml:space="preserve">su </w:t>
      </w:r>
      <w:r w:rsidR="005C39D3" w:rsidRPr="005C1789">
        <w:rPr>
          <w:rFonts w:ascii="Verdana" w:hAnsi="Verdana"/>
          <w:i w:val="0"/>
          <w:sz w:val="20"/>
          <w:szCs w:val="20"/>
          <w:lang w:val="es-ES_tradnl"/>
        </w:rPr>
        <w:t>detención.</w:t>
      </w:r>
      <w:r w:rsidR="002B5D1C" w:rsidRPr="005C1789">
        <w:rPr>
          <w:rStyle w:val="Refdenotaalpie"/>
          <w:rFonts w:ascii="Verdana" w:hAnsi="Verdana"/>
          <w:i w:val="0"/>
          <w:sz w:val="20"/>
          <w:lang w:val="es-ES_tradnl"/>
        </w:rPr>
        <w:footnoteReference w:id="28"/>
      </w:r>
    </w:p>
    <w:p w14:paraId="09CF85A1" w14:textId="0977E6D5"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12 de enero de 2006, a las 11:30 a.m., </w:t>
      </w:r>
      <w:r w:rsidR="00436BBC" w:rsidRPr="005C1789">
        <w:rPr>
          <w:rFonts w:ascii="Verdana" w:hAnsi="Verdana"/>
          <w:i w:val="0"/>
          <w:sz w:val="20"/>
          <w:szCs w:val="20"/>
          <w:lang w:val="es-ES_tradnl"/>
        </w:rPr>
        <w:t xml:space="preserve">Gerardo </w:t>
      </w:r>
      <w:proofErr w:type="spellStart"/>
      <w:r w:rsidR="00436BBC" w:rsidRPr="005C1789">
        <w:rPr>
          <w:rFonts w:ascii="Verdana" w:hAnsi="Verdana"/>
          <w:i w:val="0"/>
          <w:sz w:val="20"/>
          <w:szCs w:val="20"/>
          <w:lang w:val="es-ES_tradnl"/>
        </w:rPr>
        <w:t>Tzompaxtle</w:t>
      </w:r>
      <w:proofErr w:type="spellEnd"/>
      <w:r w:rsidR="00436BBC" w:rsidRPr="005C1789">
        <w:rPr>
          <w:rFonts w:ascii="Verdana" w:hAnsi="Verdana"/>
          <w:i w:val="0"/>
          <w:sz w:val="20"/>
          <w:szCs w:val="20"/>
          <w:lang w:val="es-ES_tradnl"/>
        </w:rPr>
        <w:t xml:space="preserve"> </w:t>
      </w:r>
      <w:proofErr w:type="spellStart"/>
      <w:r w:rsidR="00436BBC" w:rsidRPr="005C1789">
        <w:rPr>
          <w:rFonts w:ascii="Verdana" w:hAnsi="Verdana"/>
          <w:i w:val="0"/>
          <w:sz w:val="20"/>
          <w:szCs w:val="20"/>
          <w:lang w:val="es-ES_tradnl"/>
        </w:rPr>
        <w:t>Tecpile</w:t>
      </w:r>
      <w:proofErr w:type="spellEnd"/>
      <w:r w:rsidR="00436BBC" w:rsidRPr="005C1789">
        <w:rPr>
          <w:rFonts w:ascii="Verdana" w:hAnsi="Verdana"/>
          <w:i w:val="0"/>
          <w:sz w:val="20"/>
          <w:szCs w:val="20"/>
          <w:lang w:val="es-ES_tradnl"/>
        </w:rPr>
        <w:t xml:space="preserve">, Jorge Marcial </w:t>
      </w:r>
      <w:proofErr w:type="spellStart"/>
      <w:r w:rsidR="00436BBC" w:rsidRPr="005C1789">
        <w:rPr>
          <w:rFonts w:ascii="Verdana" w:hAnsi="Verdana"/>
          <w:i w:val="0"/>
          <w:sz w:val="20"/>
          <w:szCs w:val="20"/>
          <w:lang w:val="es-ES_tradnl"/>
        </w:rPr>
        <w:t>Tzompaxtle</w:t>
      </w:r>
      <w:proofErr w:type="spellEnd"/>
      <w:r w:rsidR="00436BBC" w:rsidRPr="005C1789">
        <w:rPr>
          <w:rFonts w:ascii="Verdana" w:hAnsi="Verdana"/>
          <w:i w:val="0"/>
          <w:sz w:val="20"/>
          <w:szCs w:val="20"/>
          <w:lang w:val="es-ES_tradnl"/>
        </w:rPr>
        <w:t xml:space="preserve"> </w:t>
      </w:r>
      <w:proofErr w:type="spellStart"/>
      <w:r w:rsidR="00436BBC" w:rsidRPr="005C1789">
        <w:rPr>
          <w:rFonts w:ascii="Verdana" w:hAnsi="Verdana"/>
          <w:i w:val="0"/>
          <w:sz w:val="20"/>
          <w:szCs w:val="20"/>
          <w:lang w:val="es-ES_tradnl"/>
        </w:rPr>
        <w:t>Tecpile</w:t>
      </w:r>
      <w:proofErr w:type="spellEnd"/>
      <w:r w:rsidR="00436BBC" w:rsidRPr="005C1789">
        <w:rPr>
          <w:rFonts w:ascii="Verdana" w:hAnsi="Verdana"/>
          <w:i w:val="0"/>
          <w:sz w:val="20"/>
          <w:szCs w:val="20"/>
          <w:lang w:val="es-ES_tradnl"/>
        </w:rPr>
        <w:t xml:space="preserve"> y Gustavo Robles López </w:t>
      </w:r>
      <w:r w:rsidRPr="005C1789">
        <w:rPr>
          <w:rFonts w:ascii="Verdana" w:hAnsi="Verdana"/>
          <w:i w:val="0"/>
          <w:sz w:val="20"/>
          <w:szCs w:val="20"/>
          <w:lang w:val="es-ES_tradnl"/>
        </w:rPr>
        <w:t>fueron trasladad</w:t>
      </w:r>
      <w:r w:rsidR="00436BBC" w:rsidRPr="005C1789">
        <w:rPr>
          <w:rFonts w:ascii="Verdana" w:hAnsi="Verdana"/>
          <w:i w:val="0"/>
          <w:sz w:val="20"/>
          <w:szCs w:val="20"/>
          <w:lang w:val="es-ES_tradnl"/>
        </w:rPr>
        <w:t>o</w:t>
      </w:r>
      <w:r w:rsidRPr="005C1789">
        <w:rPr>
          <w:rFonts w:ascii="Verdana" w:hAnsi="Verdana"/>
          <w:i w:val="0"/>
          <w:sz w:val="20"/>
          <w:szCs w:val="20"/>
          <w:lang w:val="es-ES_tradnl"/>
        </w:rPr>
        <w:t>s a la Comisaría de Sector en Río Blanco, estado de Veracruz</w:t>
      </w:r>
      <w:r w:rsidR="00CE3833" w:rsidRPr="005C1789">
        <w:rPr>
          <w:rFonts w:ascii="Verdana" w:hAnsi="Verdana"/>
          <w:i w:val="0"/>
          <w:sz w:val="20"/>
          <w:szCs w:val="20"/>
          <w:lang w:val="es-ES_tradnl"/>
        </w:rPr>
        <w:t>. L</w:t>
      </w:r>
      <w:r w:rsidRPr="005C1789">
        <w:rPr>
          <w:rFonts w:ascii="Verdana" w:hAnsi="Verdana"/>
          <w:i w:val="0"/>
          <w:sz w:val="20"/>
          <w:szCs w:val="20"/>
          <w:lang w:val="es-ES_tradnl"/>
        </w:rPr>
        <w:t xml:space="preserve">os agentes policiales se comunicaron telefónicamente con el </w:t>
      </w:r>
      <w:proofErr w:type="gramStart"/>
      <w:r w:rsidRPr="005C1789">
        <w:rPr>
          <w:rFonts w:ascii="Verdana" w:hAnsi="Verdana"/>
          <w:i w:val="0"/>
          <w:sz w:val="20"/>
          <w:szCs w:val="20"/>
          <w:lang w:val="es-ES_tradnl"/>
        </w:rPr>
        <w:t>Subdelegado</w:t>
      </w:r>
      <w:proofErr w:type="gramEnd"/>
      <w:r w:rsidRPr="005C1789">
        <w:rPr>
          <w:rFonts w:ascii="Verdana" w:hAnsi="Verdana"/>
          <w:i w:val="0"/>
          <w:sz w:val="20"/>
          <w:szCs w:val="20"/>
          <w:lang w:val="es-ES_tradnl"/>
        </w:rPr>
        <w:t xml:space="preserve"> Regional del Centro de Investigación y Seguridad Nacional (CISEN) en el estado de Guerrero, para solicitarle su apoyo en la investigación ya que en la agenda decomisada figuraban varios teléfonos de personas y actividades en ese estado. Las autoridades de Guerrero informaron que Gerardo y Jorge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son hermanos del denominado “Rafael”</w:t>
      </w:r>
      <w:r w:rsidR="00AE3AE7" w:rsidRPr="005C1789">
        <w:rPr>
          <w:rFonts w:ascii="Verdana" w:hAnsi="Verdana"/>
          <w:i w:val="0"/>
          <w:sz w:val="20"/>
          <w:szCs w:val="20"/>
          <w:lang w:val="es-ES_tradnl"/>
        </w:rPr>
        <w:t xml:space="preserve">, combatiente </w:t>
      </w:r>
      <w:r w:rsidRPr="005C1789">
        <w:rPr>
          <w:rFonts w:ascii="Verdana" w:hAnsi="Verdana"/>
          <w:i w:val="0"/>
          <w:sz w:val="20"/>
          <w:szCs w:val="20"/>
          <w:lang w:val="es-ES_tradnl"/>
        </w:rPr>
        <w:t>del Ejército Popular Revolucionario (EPR)</w:t>
      </w:r>
      <w:r w:rsidR="00436BBC" w:rsidRPr="005C1789">
        <w:rPr>
          <w:rStyle w:val="Refdenotaalpie"/>
          <w:rFonts w:ascii="Verdana" w:hAnsi="Verdana"/>
          <w:i w:val="0"/>
          <w:sz w:val="20"/>
          <w:lang w:val="es-ES_tradnl"/>
        </w:rPr>
        <w:footnoteReference w:id="29"/>
      </w:r>
      <w:r w:rsidRPr="005C1789">
        <w:rPr>
          <w:rFonts w:ascii="Verdana" w:hAnsi="Verdana"/>
          <w:i w:val="0"/>
          <w:sz w:val="20"/>
          <w:szCs w:val="20"/>
          <w:lang w:val="es-ES_tradnl"/>
        </w:rPr>
        <w:t>.</w:t>
      </w:r>
    </w:p>
    <w:p w14:paraId="666F6E48" w14:textId="7B8E7C63" w:rsidR="001D168D" w:rsidRPr="005C1789" w:rsidRDefault="001D168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Las víctimas tuvieron que pagar los honorarios de un doctor privado </w:t>
      </w:r>
      <w:r w:rsidR="001C6899" w:rsidRPr="005C1789">
        <w:rPr>
          <w:rFonts w:ascii="Verdana" w:hAnsi="Verdana"/>
          <w:i w:val="0"/>
          <w:sz w:val="20"/>
          <w:szCs w:val="20"/>
          <w:lang w:val="es-ES_tradnl"/>
        </w:rPr>
        <w:t xml:space="preserve">quien </w:t>
      </w:r>
      <w:r w:rsidRPr="005C1789">
        <w:rPr>
          <w:rFonts w:ascii="Verdana" w:hAnsi="Verdana"/>
          <w:i w:val="0"/>
          <w:sz w:val="20"/>
          <w:szCs w:val="20"/>
          <w:lang w:val="es-ES_tradnl"/>
        </w:rPr>
        <w:t>les hizo un examen médico</w:t>
      </w:r>
      <w:r w:rsidR="008067A8" w:rsidRPr="005C1789">
        <w:rPr>
          <w:rFonts w:ascii="Verdana" w:hAnsi="Verdana"/>
          <w:i w:val="0"/>
          <w:sz w:val="20"/>
          <w:szCs w:val="20"/>
          <w:lang w:val="es-ES_tradnl"/>
        </w:rPr>
        <w:t xml:space="preserve"> y</w:t>
      </w:r>
      <w:r w:rsidRPr="005C1789">
        <w:rPr>
          <w:rFonts w:ascii="Verdana" w:hAnsi="Verdana"/>
          <w:i w:val="0"/>
          <w:sz w:val="20"/>
          <w:szCs w:val="20"/>
          <w:lang w:val="es-ES_tradnl"/>
        </w:rPr>
        <w:t xml:space="preserve"> anotó que se encontraban bien de salud. Alrededor de las 7:00 p.m. fueron llevadas ante a las oficinas del Ministerio Público de la entonces Procuraduría General de la República (</w:t>
      </w:r>
      <w:r w:rsidR="00B53E3E" w:rsidRPr="005C1789">
        <w:rPr>
          <w:rFonts w:ascii="Verdana" w:hAnsi="Verdana"/>
          <w:i w:val="0"/>
          <w:sz w:val="20"/>
          <w:szCs w:val="20"/>
          <w:lang w:val="es-ES_tradnl"/>
        </w:rPr>
        <w:t>en adelante también “</w:t>
      </w:r>
      <w:r w:rsidRPr="005C1789">
        <w:rPr>
          <w:rFonts w:ascii="Verdana" w:hAnsi="Verdana"/>
          <w:i w:val="0"/>
          <w:sz w:val="20"/>
          <w:szCs w:val="20"/>
          <w:lang w:val="es-ES_tradnl"/>
        </w:rPr>
        <w:t>PGR</w:t>
      </w:r>
      <w:r w:rsidR="00B53E3E" w:rsidRPr="005C1789">
        <w:rPr>
          <w:rFonts w:ascii="Verdana" w:hAnsi="Verdana"/>
          <w:i w:val="0"/>
          <w:sz w:val="20"/>
          <w:szCs w:val="20"/>
          <w:lang w:val="es-ES_tradnl"/>
        </w:rPr>
        <w:t>”</w:t>
      </w:r>
      <w:r w:rsidRPr="005C1789">
        <w:rPr>
          <w:rFonts w:ascii="Verdana" w:hAnsi="Verdana"/>
          <w:i w:val="0"/>
          <w:sz w:val="20"/>
          <w:szCs w:val="20"/>
          <w:lang w:val="es-ES_tradnl"/>
        </w:rPr>
        <w:t>)</w:t>
      </w:r>
      <w:r w:rsidR="001B7C7B">
        <w:rPr>
          <w:rFonts w:ascii="Verdana" w:hAnsi="Verdana"/>
          <w:i w:val="0"/>
          <w:sz w:val="20"/>
          <w:szCs w:val="20"/>
          <w:lang w:val="es-ES_tradnl"/>
        </w:rPr>
        <w:t>,</w:t>
      </w:r>
      <w:r w:rsidRPr="005C1789">
        <w:rPr>
          <w:rFonts w:ascii="Verdana" w:hAnsi="Verdana"/>
          <w:i w:val="0"/>
          <w:sz w:val="20"/>
          <w:szCs w:val="20"/>
          <w:lang w:val="es-ES_tradnl"/>
        </w:rPr>
        <w:t xml:space="preserve"> con sede en Orizaba, Veracruz</w:t>
      </w:r>
      <w:r w:rsidR="00AB24E1" w:rsidRPr="005C1789">
        <w:rPr>
          <w:rFonts w:ascii="Verdana" w:hAnsi="Verdana"/>
          <w:i w:val="0"/>
          <w:sz w:val="20"/>
          <w:szCs w:val="20"/>
          <w:lang w:val="es-ES_tradnl"/>
        </w:rPr>
        <w:t xml:space="preserve">. La PGR, </w:t>
      </w:r>
      <w:r w:rsidR="009F3478" w:rsidRPr="005C1789">
        <w:rPr>
          <w:rFonts w:ascii="Verdana" w:hAnsi="Verdana"/>
          <w:i w:val="0"/>
          <w:sz w:val="20"/>
          <w:szCs w:val="20"/>
          <w:lang w:val="es-ES_tradnl"/>
        </w:rPr>
        <w:t>en un principio</w:t>
      </w:r>
      <w:r w:rsidR="00AB24E1" w:rsidRPr="005C1789">
        <w:rPr>
          <w:rFonts w:ascii="Verdana" w:hAnsi="Verdana"/>
          <w:i w:val="0"/>
          <w:sz w:val="20"/>
          <w:szCs w:val="20"/>
          <w:lang w:val="es-ES_tradnl"/>
        </w:rPr>
        <w:t>,</w:t>
      </w:r>
      <w:r w:rsidR="009F3478" w:rsidRPr="005C1789">
        <w:rPr>
          <w:rFonts w:ascii="Verdana" w:hAnsi="Verdana"/>
          <w:i w:val="0"/>
          <w:sz w:val="20"/>
          <w:szCs w:val="20"/>
          <w:lang w:val="es-ES_tradnl"/>
        </w:rPr>
        <w:t xml:space="preserve"> inició</w:t>
      </w:r>
      <w:r w:rsidR="00042333" w:rsidRPr="005C1789">
        <w:rPr>
          <w:rFonts w:ascii="Verdana" w:hAnsi="Verdana"/>
          <w:i w:val="0"/>
          <w:sz w:val="20"/>
          <w:szCs w:val="20"/>
          <w:lang w:val="es-ES_tradnl"/>
        </w:rPr>
        <w:t xml:space="preserve"> </w:t>
      </w:r>
      <w:r w:rsidRPr="005C1789">
        <w:rPr>
          <w:rFonts w:ascii="Verdana" w:hAnsi="Verdana"/>
          <w:i w:val="0"/>
          <w:sz w:val="20"/>
          <w:szCs w:val="20"/>
          <w:lang w:val="es-ES_tradnl"/>
        </w:rPr>
        <w:t>la averiguación previa PGR/VER/ORI/04/2006, por el delito de cohecho en flagrancia</w:t>
      </w:r>
      <w:r w:rsidR="00241B6E" w:rsidRPr="005C1789">
        <w:rPr>
          <w:rFonts w:ascii="Verdana" w:hAnsi="Verdana"/>
          <w:i w:val="0"/>
          <w:sz w:val="20"/>
          <w:szCs w:val="20"/>
          <w:lang w:val="es-ES_tradnl"/>
        </w:rPr>
        <w:t>.</w:t>
      </w:r>
      <w:r w:rsidRPr="005C1789">
        <w:rPr>
          <w:rFonts w:ascii="Verdana" w:hAnsi="Verdana"/>
          <w:i w:val="0"/>
          <w:sz w:val="20"/>
          <w:szCs w:val="20"/>
          <w:lang w:val="es-ES_tradnl"/>
        </w:rPr>
        <w:t xml:space="preserve"> En ese lugar </w:t>
      </w:r>
      <w:r w:rsidR="004761AA" w:rsidRPr="005C1789">
        <w:rPr>
          <w:rFonts w:ascii="Verdana" w:hAnsi="Verdana"/>
          <w:i w:val="0"/>
          <w:sz w:val="20"/>
          <w:szCs w:val="20"/>
          <w:lang w:val="es-ES_tradnl"/>
        </w:rPr>
        <w:t>los mantuvieron incomunicados</w:t>
      </w:r>
      <w:r w:rsidR="00540780" w:rsidRPr="005C1789">
        <w:rPr>
          <w:rFonts w:ascii="Verdana" w:hAnsi="Verdana"/>
          <w:i w:val="0"/>
          <w:sz w:val="20"/>
          <w:szCs w:val="20"/>
          <w:lang w:val="es-ES_tradnl"/>
        </w:rPr>
        <w:t xml:space="preserve"> </w:t>
      </w:r>
      <w:r w:rsidRPr="005C1789">
        <w:rPr>
          <w:rFonts w:ascii="Verdana" w:hAnsi="Verdana"/>
          <w:i w:val="0"/>
          <w:sz w:val="20"/>
          <w:szCs w:val="20"/>
          <w:lang w:val="es-ES_tradnl"/>
        </w:rPr>
        <w:t>y sin recibir información sobre los motivos de la detención</w:t>
      </w:r>
      <w:r w:rsidR="00540780" w:rsidRPr="005C1789">
        <w:rPr>
          <w:rStyle w:val="Refdenotaalpie"/>
          <w:rFonts w:ascii="Verdana" w:hAnsi="Verdana"/>
          <w:i w:val="0"/>
          <w:sz w:val="20"/>
          <w:lang w:val="es-ES_tradnl"/>
        </w:rPr>
        <w:footnoteReference w:id="30"/>
      </w:r>
      <w:r w:rsidR="00241B6E" w:rsidRPr="005C1789">
        <w:rPr>
          <w:rFonts w:ascii="Verdana" w:hAnsi="Verdana"/>
          <w:i w:val="0"/>
          <w:sz w:val="20"/>
          <w:szCs w:val="20"/>
          <w:lang w:val="es-ES_tradnl"/>
        </w:rPr>
        <w:t>.</w:t>
      </w:r>
      <w:r w:rsidRPr="005C1789">
        <w:rPr>
          <w:rFonts w:ascii="Verdana" w:hAnsi="Verdana"/>
          <w:i w:val="0"/>
          <w:sz w:val="20"/>
          <w:szCs w:val="20"/>
          <w:lang w:val="es-ES_tradnl"/>
        </w:rPr>
        <w:t xml:space="preserve"> </w:t>
      </w:r>
    </w:p>
    <w:p w14:paraId="19FECC01" w14:textId="022C26FE" w:rsidR="00495DE8" w:rsidRPr="005C1789" w:rsidRDefault="00495DE8"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Alrededor de las 3:00 p.m. del día 14 de enero de 2006,</w:t>
      </w:r>
      <w:r w:rsidR="00F44AD7" w:rsidRPr="005C1789">
        <w:rPr>
          <w:rFonts w:ascii="Verdana" w:hAnsi="Verdana"/>
          <w:i w:val="0"/>
          <w:sz w:val="20"/>
          <w:szCs w:val="20"/>
          <w:lang w:val="es-ES_tradnl"/>
        </w:rPr>
        <w:t xml:space="preserve"> dos días después de la detención,</w:t>
      </w:r>
      <w:r w:rsidRPr="005C1789">
        <w:rPr>
          <w:rFonts w:ascii="Verdana" w:hAnsi="Verdana"/>
          <w:i w:val="0"/>
          <w:sz w:val="20"/>
          <w:szCs w:val="20"/>
          <w:lang w:val="es-ES_tradnl"/>
        </w:rPr>
        <w:t xml:space="preserve"> fueron interrogadas por parte de los funcionarios policiales del Ministerio Público</w:t>
      </w:r>
      <w:r w:rsidRPr="005C1789">
        <w:rPr>
          <w:rStyle w:val="Refdenotaalpie"/>
          <w:rFonts w:ascii="Verdana" w:hAnsi="Verdana"/>
          <w:i w:val="0"/>
          <w:sz w:val="20"/>
          <w:lang w:val="es-ES_tradnl"/>
        </w:rPr>
        <w:footnoteReference w:id="31"/>
      </w:r>
      <w:r w:rsidRPr="005C1789">
        <w:rPr>
          <w:rFonts w:ascii="Verdana" w:hAnsi="Verdana"/>
          <w:i w:val="0"/>
          <w:sz w:val="20"/>
          <w:szCs w:val="20"/>
          <w:lang w:val="es-ES_tradnl"/>
        </w:rPr>
        <w:t>.</w:t>
      </w:r>
      <w:r w:rsidRPr="005C1789">
        <w:rPr>
          <w:rFonts w:ascii="Verdana" w:hAnsi="Verdana"/>
          <w:sz w:val="20"/>
          <w:szCs w:val="20"/>
          <w:lang w:val="es-ES_tradnl"/>
        </w:rPr>
        <w:t xml:space="preserve"> </w:t>
      </w:r>
      <w:r w:rsidR="00302CBA" w:rsidRPr="005C1789">
        <w:rPr>
          <w:rFonts w:ascii="Verdana" w:hAnsi="Verdana"/>
          <w:i w:val="0"/>
          <w:sz w:val="20"/>
          <w:szCs w:val="20"/>
          <w:lang w:val="es-ES_tradnl"/>
        </w:rPr>
        <w:t>E</w:t>
      </w:r>
      <w:r w:rsidRPr="005C1789">
        <w:rPr>
          <w:rFonts w:ascii="Verdana" w:hAnsi="Verdana"/>
          <w:i w:val="0"/>
          <w:sz w:val="20"/>
          <w:szCs w:val="20"/>
          <w:lang w:val="es-ES_tradnl"/>
        </w:rPr>
        <w:t>l abogado de oficio que l</w:t>
      </w:r>
      <w:r w:rsidR="00876B6D">
        <w:rPr>
          <w:rFonts w:ascii="Verdana" w:hAnsi="Verdana"/>
          <w:i w:val="0"/>
          <w:sz w:val="20"/>
          <w:szCs w:val="20"/>
          <w:lang w:val="es-ES_tradnl"/>
        </w:rPr>
        <w:t>o</w:t>
      </w:r>
      <w:r w:rsidRPr="005C1789">
        <w:rPr>
          <w:rFonts w:ascii="Verdana" w:hAnsi="Verdana"/>
          <w:i w:val="0"/>
          <w:sz w:val="20"/>
          <w:szCs w:val="20"/>
          <w:lang w:val="es-ES_tradnl"/>
        </w:rPr>
        <w:t>s representó</w:t>
      </w:r>
      <w:r w:rsidR="002D67B0" w:rsidRPr="005C1789">
        <w:rPr>
          <w:rFonts w:ascii="Verdana" w:hAnsi="Verdana"/>
          <w:i w:val="0"/>
          <w:sz w:val="20"/>
          <w:szCs w:val="20"/>
          <w:lang w:val="es-ES_tradnl"/>
        </w:rPr>
        <w:t xml:space="preserve">, </w:t>
      </w:r>
      <w:r w:rsidRPr="005C1789">
        <w:rPr>
          <w:rFonts w:ascii="Verdana" w:hAnsi="Verdana"/>
          <w:i w:val="0"/>
          <w:sz w:val="20"/>
          <w:szCs w:val="20"/>
          <w:lang w:val="es-ES_tradnl"/>
        </w:rPr>
        <w:t xml:space="preserve">no les explicó su situación jurídica, no brindó asesoría sobre la diligencia, ni presentó </w:t>
      </w:r>
      <w:r w:rsidRPr="005C1789">
        <w:rPr>
          <w:rFonts w:ascii="Verdana" w:hAnsi="Verdana"/>
          <w:i w:val="0"/>
          <w:sz w:val="20"/>
          <w:szCs w:val="20"/>
          <w:lang w:val="es-ES_tradnl"/>
        </w:rPr>
        <w:lastRenderedPageBreak/>
        <w:t>ninguna acción legal a su favor. El interrogatorio versó principalmente sobre su posible pertenencia al Partido de la Revolución Democrática, un partido político de oposición</w:t>
      </w:r>
      <w:r w:rsidRPr="005C1789">
        <w:rPr>
          <w:rStyle w:val="Refdenotaalpie"/>
          <w:rFonts w:ascii="Verdana" w:hAnsi="Verdana"/>
          <w:i w:val="0"/>
          <w:sz w:val="20"/>
          <w:lang w:val="es-ES_tradnl"/>
        </w:rPr>
        <w:footnoteReference w:id="32"/>
      </w:r>
      <w:r w:rsidRPr="005C1789">
        <w:rPr>
          <w:rFonts w:ascii="Verdana" w:hAnsi="Verdana"/>
          <w:i w:val="0"/>
          <w:sz w:val="20"/>
          <w:szCs w:val="20"/>
          <w:lang w:val="es-ES_tradnl"/>
        </w:rPr>
        <w:t>.</w:t>
      </w:r>
      <w:r w:rsidR="007D1DD2" w:rsidRPr="005C1789">
        <w:rPr>
          <w:rFonts w:ascii="Verdana" w:hAnsi="Verdana"/>
          <w:i w:val="0"/>
          <w:sz w:val="20"/>
          <w:szCs w:val="20"/>
          <w:lang w:val="es-ES_tradnl"/>
        </w:rPr>
        <w:t xml:space="preserve"> </w:t>
      </w:r>
      <w:r w:rsidR="007C52EE" w:rsidRPr="005C1789">
        <w:rPr>
          <w:rFonts w:ascii="Verdana" w:hAnsi="Verdana"/>
          <w:i w:val="0"/>
          <w:sz w:val="20"/>
          <w:szCs w:val="20"/>
          <w:lang w:val="es-ES_tradnl"/>
        </w:rPr>
        <w:t>Sobre este punto, la Corte recuerda que el Estado reconoció su responsabilidad por los hechos relacionados con la requisa del vehículo y la posterior detención de las víctimas</w:t>
      </w:r>
      <w:r w:rsidR="003861A4" w:rsidRPr="005C1789">
        <w:rPr>
          <w:rFonts w:ascii="Verdana" w:hAnsi="Verdana"/>
          <w:i w:val="0"/>
          <w:sz w:val="20"/>
          <w:szCs w:val="20"/>
          <w:lang w:val="es-ES_tradnl"/>
        </w:rPr>
        <w:t xml:space="preserve"> </w:t>
      </w:r>
      <w:r w:rsidR="003861A4" w:rsidRPr="005C1789">
        <w:rPr>
          <w:rFonts w:ascii="Verdana" w:eastAsia="Batang" w:hAnsi="Verdana"/>
          <w:i w:val="0"/>
          <w:sz w:val="20"/>
          <w:szCs w:val="20"/>
          <w:lang w:val="es-ES" w:eastAsia="en-US"/>
        </w:rPr>
        <w:t>(</w:t>
      </w:r>
      <w:r w:rsidR="003861A4" w:rsidRPr="005C1789">
        <w:rPr>
          <w:rFonts w:ascii="Verdana" w:eastAsia="Batang" w:hAnsi="Verdana"/>
          <w:sz w:val="20"/>
          <w:szCs w:val="20"/>
          <w:lang w:val="es-ES" w:eastAsia="en-US"/>
        </w:rPr>
        <w:t>supra</w:t>
      </w:r>
      <w:r w:rsidR="003861A4" w:rsidRPr="005C1789">
        <w:rPr>
          <w:rFonts w:ascii="Verdana" w:eastAsia="Batang" w:hAnsi="Verdana"/>
          <w:i w:val="0"/>
          <w:sz w:val="20"/>
          <w:szCs w:val="20"/>
          <w:lang w:val="es-ES" w:eastAsia="en-US"/>
        </w:rPr>
        <w:t xml:space="preserve"> párr.</w:t>
      </w:r>
      <w:r w:rsidR="007B6F7A" w:rsidRPr="005C1789">
        <w:rPr>
          <w:rFonts w:ascii="Verdana" w:eastAsia="Batang" w:hAnsi="Verdana"/>
          <w:i w:val="0"/>
          <w:sz w:val="20"/>
          <w:szCs w:val="20"/>
          <w:lang w:val="es-ES" w:eastAsia="en-US"/>
        </w:rPr>
        <w:t xml:space="preserve"> </w:t>
      </w:r>
      <w:r w:rsidR="003861A4" w:rsidRPr="005C1789">
        <w:rPr>
          <w:rFonts w:ascii="Verdana" w:eastAsia="Batang" w:hAnsi="Verdana"/>
          <w:i w:val="0"/>
          <w:sz w:val="20"/>
          <w:szCs w:val="20"/>
          <w:lang w:val="es-ES" w:eastAsia="en-US"/>
        </w:rPr>
        <w:t>14)</w:t>
      </w:r>
      <w:r w:rsidR="007C52EE" w:rsidRPr="005C1789">
        <w:rPr>
          <w:rFonts w:ascii="Verdana" w:hAnsi="Verdana"/>
          <w:i w:val="0"/>
          <w:sz w:val="20"/>
          <w:szCs w:val="20"/>
          <w:lang w:val="es-ES_tradnl"/>
        </w:rPr>
        <w:t>.</w:t>
      </w:r>
    </w:p>
    <w:p w14:paraId="5048DDAE" w14:textId="4F07934E" w:rsidR="005C39D3" w:rsidRPr="005C1789" w:rsidRDefault="009C0FB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w:t>
      </w:r>
      <w:r w:rsidR="0039571A" w:rsidRPr="005C1789">
        <w:rPr>
          <w:rFonts w:ascii="Verdana" w:hAnsi="Verdana"/>
          <w:i w:val="0"/>
          <w:sz w:val="20"/>
          <w:szCs w:val="20"/>
          <w:lang w:val="es-ES_tradnl"/>
        </w:rPr>
        <w:t xml:space="preserve">15 </w:t>
      </w:r>
      <w:r w:rsidRPr="005C1789">
        <w:rPr>
          <w:rFonts w:ascii="Verdana" w:hAnsi="Verdana"/>
          <w:i w:val="0"/>
          <w:sz w:val="20"/>
          <w:szCs w:val="20"/>
          <w:lang w:val="es-ES_tradnl"/>
        </w:rPr>
        <w:t xml:space="preserve">de enero de </w:t>
      </w:r>
      <w:r w:rsidR="00041AD3" w:rsidRPr="005C1789">
        <w:rPr>
          <w:rFonts w:ascii="Verdana" w:hAnsi="Verdana"/>
          <w:i w:val="0"/>
          <w:sz w:val="20"/>
          <w:szCs w:val="20"/>
          <w:lang w:val="es-ES_tradnl"/>
        </w:rPr>
        <w:t>2006</w:t>
      </w:r>
      <w:r w:rsidRPr="005C1789">
        <w:rPr>
          <w:rFonts w:ascii="Verdana" w:hAnsi="Verdana"/>
          <w:i w:val="0"/>
          <w:sz w:val="20"/>
          <w:szCs w:val="20"/>
          <w:lang w:val="es-ES_tradnl"/>
        </w:rPr>
        <w:t>, a</w:t>
      </w:r>
      <w:r w:rsidR="005C39D3" w:rsidRPr="005C1789">
        <w:rPr>
          <w:rFonts w:ascii="Verdana" w:hAnsi="Verdana"/>
          <w:i w:val="0"/>
          <w:sz w:val="20"/>
          <w:szCs w:val="20"/>
          <w:lang w:val="es-ES_tradnl"/>
        </w:rPr>
        <w:t>l notar</w:t>
      </w:r>
      <w:r w:rsidRPr="005C1789">
        <w:rPr>
          <w:rFonts w:ascii="Verdana" w:hAnsi="Verdana"/>
          <w:i w:val="0"/>
          <w:sz w:val="20"/>
          <w:szCs w:val="20"/>
          <w:lang w:val="es-ES_tradnl"/>
        </w:rPr>
        <w:t>se</w:t>
      </w:r>
      <w:r w:rsidR="005C39D3" w:rsidRPr="005C1789">
        <w:rPr>
          <w:rFonts w:ascii="Verdana" w:hAnsi="Verdana"/>
          <w:i w:val="0"/>
          <w:sz w:val="20"/>
          <w:szCs w:val="20"/>
          <w:lang w:val="es-ES_tradnl"/>
        </w:rPr>
        <w:t xml:space="preserve"> que en el contexto de la detención había </w:t>
      </w:r>
      <w:r w:rsidR="001D168D" w:rsidRPr="005C1789">
        <w:rPr>
          <w:rFonts w:ascii="Verdana" w:hAnsi="Verdana"/>
          <w:i w:val="0"/>
          <w:sz w:val="20"/>
          <w:szCs w:val="20"/>
          <w:lang w:val="es-ES_tradnl"/>
        </w:rPr>
        <w:t xml:space="preserve">presuntamente </w:t>
      </w:r>
      <w:r w:rsidR="005C39D3" w:rsidRPr="005C1789">
        <w:rPr>
          <w:rFonts w:ascii="Verdana" w:hAnsi="Verdana"/>
          <w:i w:val="0"/>
          <w:sz w:val="20"/>
          <w:szCs w:val="20"/>
          <w:lang w:val="es-ES_tradnl"/>
        </w:rPr>
        <w:t xml:space="preserve">material probatorio que podría estar relacionado con delincuencia organizada, </w:t>
      </w:r>
      <w:r w:rsidR="000746F5" w:rsidRPr="005C1789">
        <w:rPr>
          <w:rFonts w:ascii="Verdana" w:hAnsi="Verdana"/>
          <w:i w:val="0"/>
          <w:sz w:val="20"/>
          <w:szCs w:val="20"/>
          <w:lang w:val="es-ES_tradnl"/>
        </w:rPr>
        <w:t>se resolvió</w:t>
      </w:r>
      <w:r w:rsidR="007C338C" w:rsidRPr="005C1789">
        <w:rPr>
          <w:rFonts w:ascii="Verdana" w:hAnsi="Verdana"/>
          <w:i w:val="0"/>
          <w:sz w:val="20"/>
          <w:szCs w:val="20"/>
          <w:lang w:val="es-ES_tradnl"/>
        </w:rPr>
        <w:t xml:space="preserve"> </w:t>
      </w:r>
      <w:r w:rsidR="000746F5" w:rsidRPr="005C1789">
        <w:rPr>
          <w:rFonts w:ascii="Verdana" w:hAnsi="Verdana"/>
          <w:i w:val="0"/>
          <w:sz w:val="20"/>
          <w:szCs w:val="20"/>
          <w:lang w:val="es-ES_tradnl"/>
        </w:rPr>
        <w:t xml:space="preserve">que </w:t>
      </w:r>
      <w:r w:rsidR="007C338C" w:rsidRPr="005C1789">
        <w:rPr>
          <w:rFonts w:ascii="Verdana" w:hAnsi="Verdana"/>
          <w:i w:val="0"/>
          <w:sz w:val="20"/>
          <w:szCs w:val="20"/>
          <w:lang w:val="es-ES_tradnl"/>
        </w:rPr>
        <w:t xml:space="preserve">las víctimas </w:t>
      </w:r>
      <w:r w:rsidR="000746F5" w:rsidRPr="005C1789">
        <w:rPr>
          <w:rFonts w:ascii="Verdana" w:hAnsi="Verdana"/>
          <w:i w:val="0"/>
          <w:sz w:val="20"/>
          <w:szCs w:val="20"/>
          <w:lang w:val="es-ES_tradnl"/>
        </w:rPr>
        <w:t>debían</w:t>
      </w:r>
      <w:r w:rsidR="007C338C" w:rsidRPr="005C1789">
        <w:rPr>
          <w:rFonts w:ascii="Verdana" w:hAnsi="Verdana"/>
          <w:i w:val="0"/>
          <w:sz w:val="20"/>
          <w:szCs w:val="20"/>
          <w:lang w:val="es-ES_tradnl"/>
        </w:rPr>
        <w:t xml:space="preserve"> </w:t>
      </w:r>
      <w:r w:rsidR="000746F5" w:rsidRPr="005C1789">
        <w:rPr>
          <w:rFonts w:ascii="Verdana" w:hAnsi="Verdana"/>
          <w:i w:val="0"/>
          <w:sz w:val="20"/>
          <w:szCs w:val="20"/>
          <w:lang w:val="es-ES_tradnl"/>
        </w:rPr>
        <w:t xml:space="preserve">rendir </w:t>
      </w:r>
      <w:r w:rsidR="007C338C" w:rsidRPr="005C1789">
        <w:rPr>
          <w:rFonts w:ascii="Verdana" w:hAnsi="Verdana"/>
          <w:i w:val="0"/>
          <w:sz w:val="20"/>
          <w:szCs w:val="20"/>
          <w:lang w:val="es-ES_tradnl"/>
        </w:rPr>
        <w:t>declaración</w:t>
      </w:r>
      <w:r w:rsidR="005C39D3" w:rsidRPr="005C1789">
        <w:rPr>
          <w:rFonts w:ascii="Verdana" w:hAnsi="Verdana"/>
          <w:i w:val="0"/>
          <w:sz w:val="20"/>
          <w:szCs w:val="20"/>
          <w:lang w:val="es-ES_tradnl"/>
        </w:rPr>
        <w:t xml:space="preserve"> </w:t>
      </w:r>
      <w:r w:rsidR="007C338C" w:rsidRPr="005C1789">
        <w:rPr>
          <w:rFonts w:ascii="Verdana" w:hAnsi="Verdana"/>
          <w:i w:val="0"/>
          <w:sz w:val="20"/>
          <w:szCs w:val="20"/>
          <w:lang w:val="es-ES_tradnl"/>
        </w:rPr>
        <w:t xml:space="preserve">indagatoria </w:t>
      </w:r>
      <w:r w:rsidR="005C39D3" w:rsidRPr="005C1789">
        <w:rPr>
          <w:rFonts w:ascii="Verdana" w:hAnsi="Verdana"/>
          <w:i w:val="0"/>
          <w:sz w:val="20"/>
          <w:szCs w:val="20"/>
          <w:lang w:val="es-ES_tradnl"/>
        </w:rPr>
        <w:t>ante la Subprocuraduría de Investigación Especializada en Delincuencia Organizada (SIEDO) en la Ciudad de México</w:t>
      </w:r>
      <w:r w:rsidR="00C07CE0" w:rsidRPr="005C1789">
        <w:rPr>
          <w:rStyle w:val="Refdenotaalpie"/>
          <w:rFonts w:ascii="Verdana" w:hAnsi="Verdana"/>
          <w:i w:val="0"/>
          <w:sz w:val="20"/>
          <w:lang w:val="es-ES_tradnl"/>
        </w:rPr>
        <w:footnoteReference w:id="33"/>
      </w:r>
      <w:r w:rsidR="005C39D3" w:rsidRPr="005C1789">
        <w:rPr>
          <w:rFonts w:ascii="Verdana" w:hAnsi="Verdana"/>
          <w:i w:val="0"/>
          <w:sz w:val="20"/>
          <w:szCs w:val="20"/>
          <w:lang w:val="es-ES_tradnl"/>
        </w:rPr>
        <w:t xml:space="preserve">. </w:t>
      </w:r>
      <w:r w:rsidR="00495DE8" w:rsidRPr="005C1789">
        <w:rPr>
          <w:rFonts w:ascii="Verdana" w:hAnsi="Verdana"/>
          <w:i w:val="0"/>
          <w:sz w:val="20"/>
          <w:szCs w:val="20"/>
          <w:lang w:val="es-ES_tradnl"/>
        </w:rPr>
        <w:t>E</w:t>
      </w:r>
      <w:r w:rsidR="005C39D3" w:rsidRPr="005C1789">
        <w:rPr>
          <w:rFonts w:ascii="Verdana" w:hAnsi="Verdana"/>
          <w:i w:val="0"/>
          <w:sz w:val="20"/>
          <w:szCs w:val="20"/>
          <w:lang w:val="es-ES_tradnl"/>
        </w:rPr>
        <w:t xml:space="preserve">se día culminó el término de 48 horas para la retención por autoridad ministerial, conforme al artículo </w:t>
      </w:r>
      <w:r w:rsidR="00041AD3" w:rsidRPr="005C1789">
        <w:rPr>
          <w:rFonts w:ascii="Verdana" w:hAnsi="Verdana"/>
          <w:i w:val="0"/>
          <w:sz w:val="20"/>
          <w:szCs w:val="20"/>
          <w:lang w:val="es-ES_tradnl"/>
        </w:rPr>
        <w:t>194</w:t>
      </w:r>
      <w:r w:rsidR="005C39D3" w:rsidRPr="005C1789">
        <w:rPr>
          <w:rFonts w:ascii="Verdana" w:hAnsi="Verdana"/>
          <w:i w:val="0"/>
          <w:sz w:val="20"/>
          <w:szCs w:val="20"/>
          <w:lang w:val="es-ES_tradnl"/>
        </w:rPr>
        <w:t xml:space="preserve"> bis del Código Federal de Procedimientos Penales. </w:t>
      </w:r>
      <w:r w:rsidR="00495DE8" w:rsidRPr="005C1789">
        <w:rPr>
          <w:rFonts w:ascii="Verdana" w:hAnsi="Verdana"/>
          <w:i w:val="0"/>
          <w:sz w:val="20"/>
          <w:szCs w:val="20"/>
          <w:lang w:val="es-ES_tradnl"/>
        </w:rPr>
        <w:t>E</w:t>
      </w:r>
      <w:r w:rsidR="005C39D3" w:rsidRPr="005C1789">
        <w:rPr>
          <w:rFonts w:ascii="Verdana" w:hAnsi="Verdana"/>
          <w:i w:val="0"/>
          <w:sz w:val="20"/>
          <w:szCs w:val="20"/>
          <w:lang w:val="es-ES_tradnl"/>
        </w:rPr>
        <w:t>l Ministerio Público ordenó la duplicación de dicho plazo por el delito de delincuencia organizada en la modalidad de secuestro</w:t>
      </w:r>
      <w:r w:rsidR="00495DE8" w:rsidRPr="005C1789">
        <w:rPr>
          <w:rStyle w:val="Refdenotaalpie"/>
          <w:rFonts w:ascii="Verdana" w:hAnsi="Verdana"/>
          <w:i w:val="0"/>
          <w:sz w:val="20"/>
          <w:lang w:val="es-ES_tradnl"/>
        </w:rPr>
        <w:footnoteReference w:id="34"/>
      </w:r>
      <w:r w:rsidR="005C39D3" w:rsidRPr="005C1789">
        <w:rPr>
          <w:rFonts w:ascii="Verdana" w:hAnsi="Verdana"/>
          <w:i w:val="0"/>
          <w:sz w:val="20"/>
          <w:szCs w:val="20"/>
          <w:lang w:val="es-ES_tradnl"/>
        </w:rPr>
        <w:t xml:space="preserve">. </w:t>
      </w:r>
      <w:r w:rsidR="00495DE8" w:rsidRPr="005C1789">
        <w:rPr>
          <w:rFonts w:ascii="Verdana" w:hAnsi="Verdana"/>
          <w:i w:val="0"/>
          <w:sz w:val="20"/>
          <w:szCs w:val="20"/>
          <w:lang w:val="es-ES_tradnl"/>
        </w:rPr>
        <w:t xml:space="preserve">Del mismo modo, </w:t>
      </w:r>
      <w:r w:rsidR="005C39D3" w:rsidRPr="005C1789">
        <w:rPr>
          <w:rFonts w:ascii="Verdana" w:hAnsi="Verdana"/>
          <w:i w:val="0"/>
          <w:sz w:val="20"/>
          <w:szCs w:val="20"/>
          <w:lang w:val="es-ES_tradnl"/>
        </w:rPr>
        <w:t>la Unidad Especializada en Investigación de Terrorismo, Acopio y Tráfico de Armas (UEITA)</w:t>
      </w:r>
      <w:r w:rsidR="00023E34" w:rsidRPr="005C1789">
        <w:rPr>
          <w:rFonts w:ascii="Verdana" w:hAnsi="Verdana"/>
          <w:i w:val="0"/>
          <w:sz w:val="20"/>
          <w:szCs w:val="20"/>
          <w:lang w:val="es-ES_tradnl"/>
        </w:rPr>
        <w:t xml:space="preserve"> </w:t>
      </w:r>
      <w:r w:rsidR="00FB65F3" w:rsidRPr="005C1789">
        <w:rPr>
          <w:rFonts w:ascii="Verdana" w:hAnsi="Verdana"/>
          <w:i w:val="0"/>
          <w:sz w:val="20"/>
          <w:szCs w:val="20"/>
          <w:lang w:val="es-ES_tradnl"/>
        </w:rPr>
        <w:t xml:space="preserve">comenzó </w:t>
      </w:r>
      <w:r w:rsidR="005C39D3" w:rsidRPr="005C1789">
        <w:rPr>
          <w:rFonts w:ascii="Verdana" w:hAnsi="Verdana"/>
          <w:i w:val="0"/>
          <w:sz w:val="20"/>
          <w:szCs w:val="20"/>
          <w:lang w:val="es-ES_tradnl"/>
        </w:rPr>
        <w:t xml:space="preserve">la averiguación previa en contra de las víctimas por el delito </w:t>
      </w:r>
      <w:r w:rsidR="00F03632" w:rsidRPr="005C1789">
        <w:rPr>
          <w:rFonts w:ascii="Verdana" w:hAnsi="Verdana"/>
          <w:i w:val="0"/>
          <w:sz w:val="20"/>
          <w:szCs w:val="20"/>
          <w:lang w:val="es-ES_tradnl"/>
        </w:rPr>
        <w:t xml:space="preserve">de terrorismo </w:t>
      </w:r>
      <w:r w:rsidR="005C39D3" w:rsidRPr="005C1789">
        <w:rPr>
          <w:rFonts w:ascii="Verdana" w:hAnsi="Verdana"/>
          <w:i w:val="0"/>
          <w:sz w:val="20"/>
          <w:szCs w:val="20"/>
          <w:lang w:val="es-ES_tradnl"/>
        </w:rPr>
        <w:t>establecido en la Ley Federal contra la Delincuencia Organizada. Conforme a una resolución judicial de febrero de 2007, el inicio de la indagatoria se fundamentó en diversas notas periodísticas en las cuales se informaba que las víctimas pertenecían al Ejército Popular Revolucionario</w:t>
      </w:r>
      <w:r w:rsidR="00495DE8" w:rsidRPr="005C1789">
        <w:rPr>
          <w:rStyle w:val="Refdenotaalpie"/>
          <w:rFonts w:ascii="Verdana" w:hAnsi="Verdana"/>
          <w:i w:val="0"/>
          <w:sz w:val="20"/>
          <w:lang w:val="es-ES_tradnl"/>
        </w:rPr>
        <w:footnoteReference w:id="35"/>
      </w:r>
      <w:r w:rsidR="005C39D3" w:rsidRPr="005C1789">
        <w:rPr>
          <w:rFonts w:ascii="Verdana" w:hAnsi="Verdana"/>
          <w:i w:val="0"/>
          <w:sz w:val="20"/>
          <w:szCs w:val="20"/>
          <w:lang w:val="es-ES_tradnl"/>
        </w:rPr>
        <w:t>.</w:t>
      </w:r>
      <w:r w:rsidR="007D1DD2" w:rsidRPr="005C1789">
        <w:rPr>
          <w:rFonts w:ascii="Verdana" w:hAnsi="Verdana"/>
          <w:i w:val="0"/>
          <w:sz w:val="20"/>
          <w:szCs w:val="20"/>
          <w:lang w:val="es-ES_tradnl"/>
        </w:rPr>
        <w:t xml:space="preserve"> </w:t>
      </w:r>
    </w:p>
    <w:p w14:paraId="166D3993" w14:textId="4354EC3D" w:rsidR="005C39D3" w:rsidRPr="005C1789" w:rsidRDefault="00BC214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w:t>
      </w:r>
      <w:r w:rsidR="005C39D3" w:rsidRPr="005C1789">
        <w:rPr>
          <w:rFonts w:ascii="Verdana" w:hAnsi="Verdana"/>
          <w:i w:val="0"/>
          <w:sz w:val="20"/>
          <w:szCs w:val="20"/>
          <w:lang w:val="es-ES_tradnl"/>
        </w:rPr>
        <w:t xml:space="preserve">l 16 de enero de 2006 el agente de la Dirección de Comunicación Social de la Procuraduría General de la República hizo constar que se obtuvo un fax de una nota periodística publicada en una página de internet llamada Milenio titulada </w:t>
      </w:r>
      <w:r w:rsidR="00302CBA" w:rsidRPr="005C1789">
        <w:rPr>
          <w:rFonts w:ascii="Verdana" w:hAnsi="Verdana"/>
          <w:i w:val="0"/>
          <w:sz w:val="20"/>
          <w:szCs w:val="20"/>
          <w:lang w:val="es-ES_tradnl"/>
        </w:rPr>
        <w:t>“</w:t>
      </w:r>
      <w:r w:rsidR="005C39D3" w:rsidRPr="005C1789">
        <w:rPr>
          <w:rFonts w:ascii="Verdana" w:hAnsi="Verdana"/>
          <w:i w:val="0"/>
          <w:sz w:val="20"/>
          <w:szCs w:val="20"/>
          <w:lang w:val="es-ES_tradnl"/>
        </w:rPr>
        <w:t>Detiene PFP a presuntos integrantes del EPR</w:t>
      </w:r>
      <w:r w:rsidR="00302CBA" w:rsidRPr="005C1789">
        <w:rPr>
          <w:rFonts w:ascii="Verdana" w:hAnsi="Verdana"/>
          <w:i w:val="0"/>
          <w:sz w:val="20"/>
          <w:szCs w:val="20"/>
          <w:lang w:val="es-ES_tradnl"/>
        </w:rPr>
        <w:t xml:space="preserve">”. </w:t>
      </w:r>
      <w:r w:rsidRPr="005C1789">
        <w:rPr>
          <w:rFonts w:ascii="Verdana" w:hAnsi="Verdana"/>
          <w:i w:val="0"/>
          <w:sz w:val="20"/>
          <w:szCs w:val="20"/>
          <w:lang w:val="es-ES_tradnl"/>
        </w:rPr>
        <w:t>E</w:t>
      </w:r>
      <w:r w:rsidR="005C39D3" w:rsidRPr="005C1789">
        <w:rPr>
          <w:rFonts w:ascii="Verdana" w:hAnsi="Verdana"/>
          <w:i w:val="0"/>
          <w:sz w:val="20"/>
          <w:szCs w:val="20"/>
          <w:lang w:val="es-ES_tradnl"/>
        </w:rPr>
        <w:t>n dicha nota se vinculó a las víctimas con el mencionado grupo guerrillero</w:t>
      </w:r>
      <w:r w:rsidR="005C39D3" w:rsidRPr="005C1789">
        <w:rPr>
          <w:rStyle w:val="Refdenotaalpie"/>
          <w:rFonts w:ascii="Verdana" w:hAnsi="Verdana"/>
          <w:i w:val="0"/>
          <w:sz w:val="20"/>
          <w:lang w:val="es-ES_tradnl"/>
        </w:rPr>
        <w:footnoteReference w:id="36"/>
      </w:r>
      <w:r w:rsidR="005C39D3" w:rsidRPr="005C1789">
        <w:rPr>
          <w:rFonts w:ascii="Verdana" w:hAnsi="Verdana"/>
          <w:i w:val="0"/>
          <w:sz w:val="20"/>
          <w:szCs w:val="20"/>
          <w:lang w:val="es-ES_tradnl"/>
        </w:rPr>
        <w:t xml:space="preserve">. El mismo día se emitieron las siguientes dos decisiones: </w:t>
      </w:r>
      <w:r w:rsidR="00AA6411">
        <w:rPr>
          <w:rFonts w:ascii="Verdana" w:hAnsi="Verdana"/>
          <w:i w:val="0"/>
          <w:sz w:val="20"/>
          <w:szCs w:val="20"/>
          <w:lang w:val="es-ES_tradnl"/>
        </w:rPr>
        <w:t>a</w:t>
      </w:r>
      <w:r w:rsidR="005C39D3" w:rsidRPr="005C1789">
        <w:rPr>
          <w:rFonts w:ascii="Verdana" w:hAnsi="Verdana"/>
          <w:i w:val="0"/>
          <w:sz w:val="20"/>
          <w:szCs w:val="20"/>
          <w:lang w:val="es-ES_tradnl"/>
        </w:rPr>
        <w:t>) la UEIS suspendió la investigación por secuestro debido a la falta de pruebas y dictó un acuerdo de libertad bajo reserva de ley en favor de las víctimas</w:t>
      </w:r>
      <w:r w:rsidR="00AA6411">
        <w:rPr>
          <w:rFonts w:ascii="Verdana" w:hAnsi="Verdana"/>
          <w:i w:val="0"/>
          <w:sz w:val="20"/>
          <w:szCs w:val="20"/>
          <w:lang w:val="es-ES_tradnl"/>
        </w:rPr>
        <w:t>,</w:t>
      </w:r>
      <w:r w:rsidR="005C39D3" w:rsidRPr="005C1789">
        <w:rPr>
          <w:rFonts w:ascii="Verdana" w:hAnsi="Verdana"/>
          <w:i w:val="0"/>
          <w:sz w:val="20"/>
          <w:szCs w:val="20"/>
          <w:lang w:val="es-ES_tradnl"/>
        </w:rPr>
        <w:t xml:space="preserve"> y </w:t>
      </w:r>
      <w:r w:rsidR="00AA6411">
        <w:rPr>
          <w:rFonts w:ascii="Verdana" w:hAnsi="Verdana"/>
          <w:i w:val="0"/>
          <w:sz w:val="20"/>
          <w:szCs w:val="20"/>
          <w:lang w:val="es-ES_tradnl"/>
        </w:rPr>
        <w:t>b</w:t>
      </w:r>
      <w:r w:rsidR="005C39D3" w:rsidRPr="005C1789">
        <w:rPr>
          <w:rFonts w:ascii="Verdana" w:hAnsi="Verdana"/>
          <w:i w:val="0"/>
          <w:sz w:val="20"/>
          <w:szCs w:val="20"/>
          <w:lang w:val="es-ES_tradnl"/>
        </w:rPr>
        <w:t xml:space="preserve">) la Unidad Especializada en Investigación de Terrorismo, Acopio y Tráfico de Armas (UEITA) emitió una orden de localización de las víctimas en el marco de la averiguación previa </w:t>
      </w:r>
      <w:r w:rsidR="00FE69BB" w:rsidRPr="005C1789">
        <w:rPr>
          <w:rFonts w:ascii="Verdana" w:hAnsi="Verdana"/>
          <w:i w:val="0"/>
          <w:sz w:val="20"/>
          <w:szCs w:val="20"/>
          <w:lang w:val="es-ES_tradnl"/>
        </w:rPr>
        <w:t>por el delito establecido en la Ley Federal contra la Delincuencia Organizada en la modalidad de terrorismo</w:t>
      </w:r>
      <w:r w:rsidRPr="005C1789">
        <w:rPr>
          <w:rStyle w:val="Refdenotaalpie"/>
          <w:rFonts w:ascii="Verdana" w:hAnsi="Verdana"/>
          <w:i w:val="0"/>
          <w:sz w:val="20"/>
          <w:lang w:val="es-ES_tradnl"/>
        </w:rPr>
        <w:footnoteReference w:id="37"/>
      </w:r>
      <w:r w:rsidR="005C39D3" w:rsidRPr="005C1789">
        <w:rPr>
          <w:rFonts w:ascii="Verdana" w:hAnsi="Verdana"/>
          <w:i w:val="0"/>
          <w:sz w:val="20"/>
          <w:szCs w:val="20"/>
          <w:lang w:val="es-ES_tradnl"/>
        </w:rPr>
        <w:t>.</w:t>
      </w:r>
    </w:p>
    <w:p w14:paraId="77467C50" w14:textId="4F05C62F" w:rsidR="005C39D3" w:rsidRPr="005C1789" w:rsidRDefault="00BC214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lastRenderedPageBreak/>
        <w:t>E</w:t>
      </w:r>
      <w:r w:rsidR="005C39D3" w:rsidRPr="005C1789">
        <w:rPr>
          <w:rFonts w:ascii="Verdana" w:hAnsi="Verdana"/>
          <w:i w:val="0"/>
          <w:sz w:val="20"/>
          <w:szCs w:val="20"/>
          <w:lang w:val="es-ES_tradnl"/>
        </w:rPr>
        <w:t>se día las víctimas fueron liberadas de la UEIS</w:t>
      </w:r>
      <w:r w:rsidR="00856CF0" w:rsidRPr="005C1789">
        <w:rPr>
          <w:rStyle w:val="Refdenotaalpie"/>
          <w:rFonts w:ascii="Verdana" w:hAnsi="Verdana"/>
          <w:i w:val="0"/>
          <w:sz w:val="20"/>
          <w:lang w:val="es-ES_tradnl"/>
        </w:rPr>
        <w:footnoteReference w:id="38"/>
      </w:r>
      <w:r w:rsidR="005C39D3" w:rsidRPr="005C1789">
        <w:rPr>
          <w:rFonts w:ascii="Verdana" w:hAnsi="Verdana"/>
          <w:i w:val="0"/>
          <w:sz w:val="20"/>
          <w:szCs w:val="20"/>
          <w:lang w:val="es-ES_tradnl"/>
        </w:rPr>
        <w:t xml:space="preserve">. </w:t>
      </w:r>
      <w:r w:rsidRPr="005C1789">
        <w:rPr>
          <w:rFonts w:ascii="Verdana" w:hAnsi="Verdana"/>
          <w:i w:val="0"/>
          <w:sz w:val="20"/>
          <w:szCs w:val="20"/>
          <w:lang w:val="es-ES_tradnl"/>
        </w:rPr>
        <w:t>M</w:t>
      </w:r>
      <w:r w:rsidR="005C39D3" w:rsidRPr="005C1789">
        <w:rPr>
          <w:rFonts w:ascii="Verdana" w:hAnsi="Verdana"/>
          <w:i w:val="0"/>
          <w:sz w:val="20"/>
          <w:szCs w:val="20"/>
          <w:lang w:val="es-ES_tradnl"/>
        </w:rPr>
        <w:t xml:space="preserve">ientras estaban saliendo del edificio de dicha entidad, </w:t>
      </w:r>
      <w:r w:rsidR="00745EE7" w:rsidRPr="005C1789">
        <w:rPr>
          <w:rFonts w:ascii="Verdana" w:hAnsi="Verdana"/>
          <w:i w:val="0"/>
          <w:sz w:val="20"/>
          <w:szCs w:val="20"/>
          <w:lang w:val="es-ES_tradnl"/>
        </w:rPr>
        <w:t xml:space="preserve">funcionarios </w:t>
      </w:r>
      <w:r w:rsidR="005C39D3" w:rsidRPr="005C1789">
        <w:rPr>
          <w:rFonts w:ascii="Verdana" w:hAnsi="Verdana"/>
          <w:i w:val="0"/>
          <w:sz w:val="20"/>
          <w:szCs w:val="20"/>
          <w:lang w:val="es-ES_tradnl"/>
        </w:rPr>
        <w:t xml:space="preserve">de la Agencia Federal de Investigaciones los alcanzaron y </w:t>
      </w:r>
      <w:r w:rsidRPr="005C1789">
        <w:rPr>
          <w:rFonts w:ascii="Verdana" w:hAnsi="Verdana"/>
          <w:i w:val="0"/>
          <w:sz w:val="20"/>
          <w:szCs w:val="20"/>
          <w:lang w:val="es-ES_tradnl"/>
        </w:rPr>
        <w:t>los detuvieron</w:t>
      </w:r>
      <w:r w:rsidR="005C39D3" w:rsidRPr="005C1789">
        <w:rPr>
          <w:rFonts w:ascii="Verdana" w:hAnsi="Verdana"/>
          <w:i w:val="0"/>
          <w:sz w:val="20"/>
          <w:szCs w:val="20"/>
          <w:lang w:val="es-ES_tradnl"/>
        </w:rPr>
        <w:t xml:space="preserve"> nuevamente, en la Unidad Especializada en Investigación de Terrorismo, Acopio y Tráfico de Armas, en donde estuvieron privad</w:t>
      </w:r>
      <w:r w:rsidR="00E71848" w:rsidRPr="005C1789">
        <w:rPr>
          <w:rFonts w:ascii="Verdana" w:hAnsi="Verdana"/>
          <w:i w:val="0"/>
          <w:sz w:val="20"/>
          <w:szCs w:val="20"/>
          <w:lang w:val="es-ES_tradnl"/>
        </w:rPr>
        <w:t>a</w:t>
      </w:r>
      <w:r w:rsidR="005C39D3" w:rsidRPr="005C1789">
        <w:rPr>
          <w:rFonts w:ascii="Verdana" w:hAnsi="Verdana"/>
          <w:i w:val="0"/>
          <w:sz w:val="20"/>
          <w:szCs w:val="20"/>
          <w:lang w:val="es-ES_tradnl"/>
        </w:rPr>
        <w:t>s de</w:t>
      </w:r>
      <w:r w:rsidR="0030187C">
        <w:rPr>
          <w:rFonts w:ascii="Verdana" w:hAnsi="Verdana"/>
          <w:i w:val="0"/>
          <w:sz w:val="20"/>
          <w:szCs w:val="20"/>
          <w:lang w:val="es-ES_tradnl"/>
        </w:rPr>
        <w:t xml:space="preserve"> la</w:t>
      </w:r>
      <w:r w:rsidR="005C39D3" w:rsidRPr="005C1789">
        <w:rPr>
          <w:rFonts w:ascii="Verdana" w:hAnsi="Verdana"/>
          <w:i w:val="0"/>
          <w:sz w:val="20"/>
          <w:szCs w:val="20"/>
          <w:lang w:val="es-ES_tradnl"/>
        </w:rPr>
        <w:t xml:space="preserve"> libertad sin ser informados </w:t>
      </w:r>
      <w:r w:rsidR="0030187C">
        <w:rPr>
          <w:rFonts w:ascii="Verdana" w:hAnsi="Verdana"/>
          <w:i w:val="0"/>
          <w:sz w:val="20"/>
          <w:szCs w:val="20"/>
          <w:lang w:val="es-ES_tradnl"/>
        </w:rPr>
        <w:t>sobre los motivos de la misma</w:t>
      </w:r>
      <w:r w:rsidR="005C39D3" w:rsidRPr="005C1789">
        <w:rPr>
          <w:rFonts w:ascii="Verdana" w:hAnsi="Verdana"/>
          <w:i w:val="0"/>
          <w:sz w:val="20"/>
          <w:szCs w:val="20"/>
          <w:lang w:val="es-ES_tradnl"/>
        </w:rPr>
        <w:t xml:space="preserve"> causa o los derechos que les asistían</w:t>
      </w:r>
      <w:r w:rsidRPr="005C1789">
        <w:rPr>
          <w:rStyle w:val="Refdenotaalpie"/>
          <w:rFonts w:ascii="Verdana" w:hAnsi="Verdana"/>
          <w:i w:val="0"/>
          <w:sz w:val="20"/>
          <w:lang w:val="es-ES_tradnl"/>
        </w:rPr>
        <w:footnoteReference w:id="39"/>
      </w:r>
      <w:r w:rsidR="005C39D3" w:rsidRPr="005C1789">
        <w:rPr>
          <w:rFonts w:ascii="Verdana" w:hAnsi="Verdana"/>
          <w:i w:val="0"/>
          <w:sz w:val="20"/>
          <w:szCs w:val="20"/>
          <w:lang w:val="es-ES_tradnl"/>
        </w:rPr>
        <w:t>.</w:t>
      </w:r>
    </w:p>
    <w:p w14:paraId="490A6281" w14:textId="61281A08" w:rsidR="00F571A2" w:rsidRPr="005C1789" w:rsidRDefault="00F571A2" w:rsidP="00955888">
      <w:pPr>
        <w:pStyle w:val="Ttulo3"/>
        <w:spacing w:before="240" w:after="240"/>
        <w:ind w:left="567"/>
        <w:jc w:val="both"/>
        <w:rPr>
          <w:rFonts w:ascii="Verdana" w:hAnsi="Verdana"/>
          <w:b w:val="0"/>
          <w:snapToGrid w:val="0"/>
          <w:spacing w:val="-2"/>
          <w:sz w:val="20"/>
          <w:szCs w:val="20"/>
          <w:lang w:eastAsia="es-ES"/>
        </w:rPr>
      </w:pPr>
      <w:bookmarkStart w:id="76" w:name="_Toc123347521"/>
      <w:r w:rsidRPr="005C1789">
        <w:rPr>
          <w:rFonts w:ascii="Verdana" w:hAnsi="Verdana"/>
          <w:b w:val="0"/>
          <w:snapToGrid w:val="0"/>
          <w:spacing w:val="-2"/>
          <w:sz w:val="20"/>
          <w:szCs w:val="20"/>
          <w:lang w:eastAsia="es-ES"/>
        </w:rPr>
        <w:t xml:space="preserve">B.3. Sobre la investigación y proceso en contra de Jorge Marcial y Gerardo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y Gustavo Robles López</w:t>
      </w:r>
      <w:bookmarkEnd w:id="76"/>
    </w:p>
    <w:p w14:paraId="5C432B62" w14:textId="0A1D6BAD" w:rsidR="005C39D3" w:rsidRPr="005C1789" w:rsidRDefault="00BC214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w:t>
      </w:r>
      <w:r w:rsidR="005C39D3" w:rsidRPr="005C1789">
        <w:rPr>
          <w:rFonts w:ascii="Verdana" w:hAnsi="Verdana"/>
          <w:i w:val="0"/>
          <w:sz w:val="20"/>
          <w:szCs w:val="20"/>
          <w:lang w:val="es-ES_tradnl"/>
        </w:rPr>
        <w:t>l 17 de enero de 2006</w:t>
      </w:r>
      <w:r w:rsidR="00AC3AB7">
        <w:rPr>
          <w:rFonts w:ascii="Verdana" w:hAnsi="Verdana"/>
          <w:i w:val="0"/>
          <w:sz w:val="20"/>
          <w:szCs w:val="20"/>
          <w:lang w:val="es-ES_tradnl"/>
        </w:rPr>
        <w:t>,</w:t>
      </w:r>
      <w:r w:rsidR="005C39D3" w:rsidRPr="005C1789">
        <w:rPr>
          <w:rFonts w:ascii="Verdana" w:hAnsi="Verdana"/>
          <w:i w:val="0"/>
          <w:sz w:val="20"/>
          <w:szCs w:val="20"/>
          <w:lang w:val="es-ES_tradnl"/>
        </w:rPr>
        <w:t xml:space="preserve"> </w:t>
      </w:r>
      <w:r w:rsidR="00AE3AE7" w:rsidRPr="005C1789">
        <w:rPr>
          <w:rFonts w:ascii="Verdana" w:hAnsi="Verdana"/>
          <w:i w:val="0"/>
          <w:sz w:val="20"/>
          <w:szCs w:val="20"/>
          <w:lang w:val="es-ES_tradnl"/>
        </w:rPr>
        <w:t xml:space="preserve">al ser </w:t>
      </w:r>
      <w:r w:rsidR="005C39D3" w:rsidRPr="005C1789">
        <w:rPr>
          <w:rFonts w:ascii="Verdana" w:hAnsi="Verdana"/>
          <w:i w:val="0"/>
          <w:sz w:val="20"/>
          <w:szCs w:val="20"/>
          <w:lang w:val="es-ES_tradnl"/>
        </w:rPr>
        <w:t>interrogadas</w:t>
      </w:r>
      <w:r w:rsidR="00CF0E8B" w:rsidRPr="005C1789">
        <w:rPr>
          <w:rFonts w:ascii="Verdana" w:hAnsi="Verdana"/>
          <w:i w:val="0"/>
          <w:sz w:val="20"/>
          <w:szCs w:val="20"/>
          <w:lang w:val="es-ES_tradnl"/>
        </w:rPr>
        <w:t xml:space="preserve"> las </w:t>
      </w:r>
      <w:r w:rsidR="00745EE7" w:rsidRPr="005C1789">
        <w:rPr>
          <w:rFonts w:ascii="Verdana" w:hAnsi="Verdana"/>
          <w:i w:val="0"/>
          <w:sz w:val="20"/>
          <w:szCs w:val="20"/>
          <w:lang w:val="es-ES_tradnl"/>
        </w:rPr>
        <w:t>víctimas por</w:t>
      </w:r>
      <w:r w:rsidR="005C39D3" w:rsidRPr="005C1789">
        <w:rPr>
          <w:rFonts w:ascii="Verdana" w:hAnsi="Verdana"/>
          <w:i w:val="0"/>
          <w:sz w:val="20"/>
          <w:szCs w:val="20"/>
          <w:lang w:val="es-ES_tradnl"/>
        </w:rPr>
        <w:t xml:space="preserve"> funcionarios de la UEITA</w:t>
      </w:r>
      <w:r w:rsidR="00C76E6F" w:rsidRPr="005C1789">
        <w:rPr>
          <w:rFonts w:ascii="Verdana" w:hAnsi="Verdana"/>
          <w:i w:val="0"/>
          <w:sz w:val="20"/>
          <w:szCs w:val="20"/>
          <w:lang w:val="es-ES_tradnl"/>
        </w:rPr>
        <w:t xml:space="preserve">, </w:t>
      </w:r>
      <w:r w:rsidR="005C39D3" w:rsidRPr="005C1789">
        <w:rPr>
          <w:rFonts w:ascii="Verdana" w:hAnsi="Verdana"/>
          <w:i w:val="0"/>
          <w:sz w:val="20"/>
          <w:szCs w:val="20"/>
          <w:lang w:val="es-ES_tradnl"/>
        </w:rPr>
        <w:t xml:space="preserve">se negaron a contestar y reiteraron que ya habían declarado ante la UEIS. </w:t>
      </w:r>
      <w:r w:rsidRPr="005C1789">
        <w:rPr>
          <w:rFonts w:ascii="Verdana" w:hAnsi="Verdana"/>
          <w:i w:val="0"/>
          <w:sz w:val="20"/>
          <w:szCs w:val="20"/>
          <w:lang w:val="es-ES_tradnl"/>
        </w:rPr>
        <w:t>A</w:t>
      </w:r>
      <w:r w:rsidR="005C39D3" w:rsidRPr="005C1789">
        <w:rPr>
          <w:rFonts w:ascii="Verdana" w:hAnsi="Verdana"/>
          <w:i w:val="0"/>
          <w:sz w:val="20"/>
          <w:szCs w:val="20"/>
          <w:lang w:val="es-ES_tradnl"/>
        </w:rPr>
        <w:t>l final de las actas de declaración se indic</w:t>
      </w:r>
      <w:r w:rsidR="00A85D21" w:rsidRPr="005C1789">
        <w:rPr>
          <w:rFonts w:ascii="Verdana" w:hAnsi="Verdana"/>
          <w:i w:val="0"/>
          <w:sz w:val="20"/>
          <w:szCs w:val="20"/>
          <w:lang w:val="es-ES_tradnl"/>
        </w:rPr>
        <w:t>ó</w:t>
      </w:r>
      <w:r w:rsidR="005C39D3" w:rsidRPr="005C1789">
        <w:rPr>
          <w:rFonts w:ascii="Verdana" w:hAnsi="Verdana"/>
          <w:i w:val="0"/>
          <w:sz w:val="20"/>
          <w:szCs w:val="20"/>
          <w:lang w:val="es-ES_tradnl"/>
        </w:rPr>
        <w:t xml:space="preserve"> que “el trato recibido por parte del personal de la PGR fue bueno y que lo declarado fue sin coacción ni violencia alguna”</w:t>
      </w:r>
      <w:r w:rsidR="00AA70D3" w:rsidRPr="005C1789">
        <w:rPr>
          <w:rStyle w:val="Refdenotaalpie"/>
          <w:rFonts w:ascii="Verdana" w:hAnsi="Verdana"/>
          <w:i w:val="0"/>
          <w:sz w:val="20"/>
          <w:lang w:val="es-ES_tradnl"/>
        </w:rPr>
        <w:footnoteReference w:id="40"/>
      </w:r>
      <w:r w:rsidR="005C39D3" w:rsidRPr="005C1789">
        <w:rPr>
          <w:rFonts w:ascii="Verdana" w:hAnsi="Verdana"/>
          <w:i w:val="0"/>
          <w:sz w:val="20"/>
          <w:szCs w:val="20"/>
          <w:lang w:val="es-ES_tradnl"/>
        </w:rPr>
        <w:t>.</w:t>
      </w:r>
      <w:r w:rsidRPr="005C1789">
        <w:rPr>
          <w:rFonts w:ascii="Verdana" w:hAnsi="Verdana"/>
          <w:i w:val="0"/>
          <w:sz w:val="20"/>
          <w:szCs w:val="20"/>
          <w:lang w:val="es-ES_tradnl"/>
        </w:rPr>
        <w:t xml:space="preserve"> E</w:t>
      </w:r>
      <w:r w:rsidR="005C39D3" w:rsidRPr="005C1789">
        <w:rPr>
          <w:rFonts w:ascii="Verdana" w:hAnsi="Verdana"/>
          <w:i w:val="0"/>
          <w:sz w:val="20"/>
          <w:szCs w:val="20"/>
          <w:lang w:val="es-ES_tradnl"/>
        </w:rPr>
        <w:t>n las primeras horas del 17 de enero de 2006</w:t>
      </w:r>
      <w:r w:rsidR="005E68D8"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personal de la Procuraduría informó a las víctimas que se encontraban detenidos en relación con una averiguación previa </w:t>
      </w:r>
      <w:r w:rsidR="00FE69BB" w:rsidRPr="005C1789">
        <w:rPr>
          <w:rFonts w:ascii="Verdana" w:hAnsi="Verdana"/>
          <w:i w:val="0"/>
          <w:sz w:val="20"/>
          <w:szCs w:val="20"/>
          <w:lang w:val="es-ES_tradnl"/>
        </w:rPr>
        <w:t>por el delito establecido en la Ley Federal contra la Delincuencia Organizada en la modalidad de terrorismo</w:t>
      </w:r>
      <w:r w:rsidRPr="005C1789">
        <w:rPr>
          <w:rStyle w:val="Refdenotaalpie"/>
          <w:rFonts w:ascii="Verdana" w:hAnsi="Verdana"/>
          <w:i w:val="0"/>
          <w:sz w:val="20"/>
          <w:lang w:val="es-ES_tradnl"/>
        </w:rPr>
        <w:footnoteReference w:id="41"/>
      </w:r>
      <w:r w:rsidR="005C39D3" w:rsidRPr="005C1789">
        <w:rPr>
          <w:rFonts w:ascii="Verdana" w:hAnsi="Verdana"/>
          <w:i w:val="0"/>
          <w:sz w:val="20"/>
          <w:szCs w:val="20"/>
          <w:lang w:val="es-ES_tradnl"/>
        </w:rPr>
        <w:t>.</w:t>
      </w:r>
    </w:p>
    <w:p w14:paraId="26678335" w14:textId="2FE27E89" w:rsidR="00AA70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mismo día el agente del Ministerio </w:t>
      </w:r>
      <w:r w:rsidR="0027779E" w:rsidRPr="005C1789">
        <w:rPr>
          <w:rFonts w:ascii="Verdana" w:hAnsi="Verdana"/>
          <w:i w:val="0"/>
          <w:sz w:val="20"/>
          <w:szCs w:val="20"/>
          <w:lang w:val="es-ES_tradnl"/>
        </w:rPr>
        <w:t>P</w:t>
      </w:r>
      <w:r w:rsidR="00AB57D6" w:rsidRPr="005C1789">
        <w:rPr>
          <w:rFonts w:ascii="Verdana" w:hAnsi="Verdana"/>
          <w:i w:val="0"/>
          <w:sz w:val="20"/>
          <w:szCs w:val="20"/>
          <w:lang w:val="es-ES_tradnl"/>
        </w:rPr>
        <w:t>úblico</w:t>
      </w:r>
      <w:r w:rsidRPr="005C1789">
        <w:rPr>
          <w:rFonts w:ascii="Verdana" w:hAnsi="Verdana"/>
          <w:i w:val="0"/>
          <w:sz w:val="20"/>
          <w:szCs w:val="20"/>
          <w:lang w:val="es-ES_tradnl"/>
        </w:rPr>
        <w:t xml:space="preserve"> de la Federación adscrito a la UEITA solicitó al Juzgado Decimocuarto de Distrito de Procesos Penales Federales en el Distrito Federal que emit</w:t>
      </w:r>
      <w:r w:rsidR="00F2075E" w:rsidRPr="005C1789">
        <w:rPr>
          <w:rFonts w:ascii="Verdana" w:hAnsi="Verdana"/>
          <w:i w:val="0"/>
          <w:sz w:val="20"/>
          <w:szCs w:val="20"/>
          <w:lang w:val="es-ES_tradnl"/>
        </w:rPr>
        <w:t>ier</w:t>
      </w:r>
      <w:r w:rsidRPr="005C1789">
        <w:rPr>
          <w:rFonts w:ascii="Verdana" w:hAnsi="Verdana"/>
          <w:i w:val="0"/>
          <w:sz w:val="20"/>
          <w:szCs w:val="20"/>
          <w:lang w:val="es-ES_tradnl"/>
        </w:rPr>
        <w:t xml:space="preserve">a una orden de arraigo en contra de las víctimas por un plazo de noventa días. El 18 de enero de 2006 </w:t>
      </w:r>
      <w:r w:rsidR="00C92851" w:rsidRPr="005C1789">
        <w:rPr>
          <w:rFonts w:ascii="Verdana" w:hAnsi="Verdana"/>
          <w:i w:val="0"/>
          <w:sz w:val="20"/>
          <w:szCs w:val="20"/>
          <w:lang w:val="es-ES_tradnl"/>
        </w:rPr>
        <w:t xml:space="preserve">las víctimas </w:t>
      </w:r>
      <w:r w:rsidRPr="005C1789">
        <w:rPr>
          <w:rFonts w:ascii="Verdana" w:hAnsi="Verdana"/>
          <w:i w:val="0"/>
          <w:sz w:val="20"/>
          <w:szCs w:val="20"/>
          <w:lang w:val="es-ES_tradnl"/>
        </w:rPr>
        <w:t xml:space="preserve">fueron notificadas sobre una decisión del Juez </w:t>
      </w:r>
      <w:r w:rsidR="00FF7ECF">
        <w:rPr>
          <w:rFonts w:ascii="Verdana" w:hAnsi="Verdana"/>
          <w:i w:val="0"/>
          <w:sz w:val="20"/>
          <w:szCs w:val="20"/>
          <w:lang w:val="es-ES_tradnl"/>
        </w:rPr>
        <w:t>14</w:t>
      </w:r>
      <w:r w:rsidRPr="005C1789">
        <w:rPr>
          <w:rFonts w:ascii="Verdana" w:hAnsi="Verdana"/>
          <w:i w:val="0"/>
          <w:sz w:val="20"/>
          <w:szCs w:val="20"/>
          <w:lang w:val="es-ES_tradnl"/>
        </w:rPr>
        <w:t xml:space="preserve"> de Distrito de Procesos Penales Federales que ordenaba su arraigo por 90 días para que se adelantara la investigación en su contra</w:t>
      </w:r>
      <w:r w:rsidRPr="005C1789">
        <w:rPr>
          <w:rStyle w:val="Refdenotaalpie"/>
          <w:rFonts w:ascii="Verdana" w:hAnsi="Verdana"/>
          <w:i w:val="0"/>
          <w:sz w:val="20"/>
          <w:lang w:val="es-ES_tradnl"/>
        </w:rPr>
        <w:footnoteReference w:id="42"/>
      </w:r>
      <w:r w:rsidRPr="005C1789">
        <w:rPr>
          <w:rFonts w:ascii="Verdana" w:hAnsi="Verdana"/>
          <w:i w:val="0"/>
          <w:sz w:val="20"/>
          <w:szCs w:val="20"/>
          <w:lang w:val="es-ES_tradnl"/>
        </w:rPr>
        <w:t>.</w:t>
      </w:r>
    </w:p>
    <w:p w14:paraId="21F826C7" w14:textId="4FCA0848"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lastRenderedPageBreak/>
        <w:t xml:space="preserve">La autoridad ministerial federal solicitó que se librara orden de aprehensión contra los indiciados, además del ejercicio de acción penal </w:t>
      </w:r>
      <w:r w:rsidR="00FE69BB" w:rsidRPr="005C1789">
        <w:rPr>
          <w:rFonts w:ascii="Verdana" w:hAnsi="Verdana"/>
          <w:i w:val="0"/>
          <w:sz w:val="20"/>
          <w:szCs w:val="20"/>
          <w:lang w:val="es-ES_tradnl"/>
        </w:rPr>
        <w:t>por el delito establecido en la Ley Federal contra la Delincuencia Organizada en la modalidad de terrorismo</w:t>
      </w:r>
      <w:r w:rsidRPr="005C1789">
        <w:rPr>
          <w:rFonts w:ascii="Verdana" w:hAnsi="Verdana"/>
          <w:i w:val="0"/>
          <w:sz w:val="20"/>
          <w:szCs w:val="20"/>
          <w:lang w:val="es-ES_tradnl"/>
        </w:rPr>
        <w:t>, consignando la averiguación previa ante el Juzgado Tercero de Distrito de Procesos Penales Federales en el Distrito Federal</w:t>
      </w:r>
      <w:r w:rsidR="00AA70D3" w:rsidRPr="005C1789">
        <w:rPr>
          <w:rStyle w:val="Refdenotaalpie"/>
          <w:rFonts w:ascii="Verdana" w:hAnsi="Verdana"/>
          <w:i w:val="0"/>
          <w:sz w:val="20"/>
          <w:lang w:val="es-ES_tradnl"/>
        </w:rPr>
        <w:footnoteReference w:id="43"/>
      </w:r>
      <w:r w:rsidR="00AA70D3" w:rsidRPr="005C1789">
        <w:rPr>
          <w:rFonts w:ascii="Verdana" w:hAnsi="Verdana"/>
          <w:i w:val="0"/>
          <w:sz w:val="20"/>
          <w:szCs w:val="20"/>
          <w:lang w:val="es-ES_tradnl"/>
        </w:rPr>
        <w:t xml:space="preserve">. Las víctimas </w:t>
      </w:r>
      <w:r w:rsidRPr="005C1789">
        <w:rPr>
          <w:rFonts w:ascii="Verdana" w:hAnsi="Verdana"/>
          <w:i w:val="0"/>
          <w:sz w:val="20"/>
          <w:szCs w:val="20"/>
          <w:lang w:val="es-ES_tradnl"/>
        </w:rPr>
        <w:t>fueron trasladad</w:t>
      </w:r>
      <w:r w:rsidR="00AA70D3" w:rsidRPr="005C1789">
        <w:rPr>
          <w:rFonts w:ascii="Verdana" w:hAnsi="Verdana"/>
          <w:i w:val="0"/>
          <w:sz w:val="20"/>
          <w:szCs w:val="20"/>
          <w:lang w:val="es-ES_tradnl"/>
        </w:rPr>
        <w:t>a</w:t>
      </w:r>
      <w:r w:rsidRPr="005C1789">
        <w:rPr>
          <w:rFonts w:ascii="Verdana" w:hAnsi="Verdana"/>
          <w:i w:val="0"/>
          <w:sz w:val="20"/>
          <w:szCs w:val="20"/>
          <w:lang w:val="es-ES_tradnl"/>
        </w:rPr>
        <w:t>s a una casa de arraigo de la Procuraduría, en la Ciudad de México</w:t>
      </w:r>
      <w:r w:rsidR="00AA70D3" w:rsidRPr="005C1789">
        <w:rPr>
          <w:rStyle w:val="Refdenotaalpie"/>
          <w:rFonts w:ascii="Verdana" w:hAnsi="Verdana"/>
          <w:i w:val="0"/>
          <w:sz w:val="20"/>
          <w:lang w:val="es-ES_tradnl"/>
        </w:rPr>
        <w:footnoteReference w:id="44"/>
      </w:r>
      <w:r w:rsidRPr="005C1789">
        <w:rPr>
          <w:rFonts w:ascii="Verdana" w:hAnsi="Verdana"/>
          <w:i w:val="0"/>
          <w:sz w:val="20"/>
          <w:szCs w:val="20"/>
          <w:lang w:val="es-ES_tradnl"/>
        </w:rPr>
        <w:t>.</w:t>
      </w:r>
    </w:p>
    <w:p w14:paraId="47F45EDC" w14:textId="1654260A" w:rsidR="005C39D3" w:rsidRPr="005C1789" w:rsidRDefault="00AA70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w:t>
      </w:r>
      <w:r w:rsidR="005C39D3" w:rsidRPr="005C1789">
        <w:rPr>
          <w:rFonts w:ascii="Verdana" w:hAnsi="Verdana"/>
          <w:i w:val="0"/>
          <w:sz w:val="20"/>
          <w:szCs w:val="20"/>
          <w:lang w:val="es-ES_tradnl"/>
        </w:rPr>
        <w:t xml:space="preserve">l 1 de febrero de 2006 personal de la Comisión Nacional de Derechos Humanos </w:t>
      </w:r>
      <w:r w:rsidR="00E00C8A" w:rsidRPr="005C1789">
        <w:rPr>
          <w:rFonts w:ascii="Verdana" w:hAnsi="Verdana"/>
          <w:i w:val="0"/>
          <w:sz w:val="20"/>
          <w:szCs w:val="20"/>
          <w:lang w:val="es-ES_tradnl"/>
        </w:rPr>
        <w:t xml:space="preserve">(en adelante también "CNDH”) </w:t>
      </w:r>
      <w:r w:rsidR="005C39D3" w:rsidRPr="005C1789">
        <w:rPr>
          <w:rFonts w:ascii="Verdana" w:hAnsi="Verdana"/>
          <w:i w:val="0"/>
          <w:sz w:val="20"/>
          <w:szCs w:val="20"/>
          <w:lang w:val="es-ES_tradnl"/>
        </w:rPr>
        <w:t xml:space="preserve">se presentó en el lugar donde se encontraban las víctimas </w:t>
      </w:r>
      <w:r w:rsidR="00E96912">
        <w:rPr>
          <w:rFonts w:ascii="Verdana" w:hAnsi="Verdana"/>
          <w:i w:val="0"/>
          <w:sz w:val="20"/>
          <w:szCs w:val="20"/>
          <w:lang w:val="es-ES_tradnl"/>
        </w:rPr>
        <w:t>en situación de</w:t>
      </w:r>
      <w:r w:rsidR="005C39D3" w:rsidRPr="005C1789">
        <w:rPr>
          <w:rFonts w:ascii="Verdana" w:hAnsi="Verdana"/>
          <w:i w:val="0"/>
          <w:sz w:val="20"/>
          <w:szCs w:val="20"/>
          <w:lang w:val="es-ES_tradnl"/>
        </w:rPr>
        <w:t xml:space="preserve"> arraigo. Ello en atención a las quejas interpuestas por su defensa respecto de la ilegalidad de su detención y la </w:t>
      </w:r>
      <w:proofErr w:type="spellStart"/>
      <w:r w:rsidR="005C39D3" w:rsidRPr="005C1789">
        <w:rPr>
          <w:rFonts w:ascii="Verdana" w:hAnsi="Verdana"/>
          <w:i w:val="0"/>
          <w:sz w:val="20"/>
          <w:szCs w:val="20"/>
          <w:lang w:val="es-ES_tradnl"/>
        </w:rPr>
        <w:t>inconvencionalidad</w:t>
      </w:r>
      <w:proofErr w:type="spellEnd"/>
      <w:r w:rsidR="005C39D3" w:rsidRPr="005C1789">
        <w:rPr>
          <w:rFonts w:ascii="Verdana" w:hAnsi="Verdana"/>
          <w:i w:val="0"/>
          <w:sz w:val="20"/>
          <w:szCs w:val="20"/>
          <w:lang w:val="es-ES_tradnl"/>
        </w:rPr>
        <w:t xml:space="preserve"> de la figura del arraigo. La </w:t>
      </w:r>
      <w:r w:rsidR="00E00C8A" w:rsidRPr="005C1789">
        <w:rPr>
          <w:rFonts w:ascii="Verdana" w:hAnsi="Verdana"/>
          <w:i w:val="0"/>
          <w:sz w:val="20"/>
          <w:szCs w:val="20"/>
          <w:lang w:val="es-ES_tradnl"/>
        </w:rPr>
        <w:t>CNDH</w:t>
      </w:r>
      <w:r w:rsidR="005C39D3" w:rsidRPr="005C1789">
        <w:rPr>
          <w:rFonts w:ascii="Verdana" w:hAnsi="Verdana"/>
          <w:i w:val="0"/>
          <w:sz w:val="20"/>
          <w:szCs w:val="20"/>
          <w:lang w:val="es-ES_tradnl"/>
        </w:rPr>
        <w:t xml:space="preserve"> realizó un examen médico donde constató que “no exhibían huellas de lesiones”</w:t>
      </w:r>
      <w:r w:rsidR="00951F12" w:rsidRPr="005C1789">
        <w:rPr>
          <w:rStyle w:val="Refdenotaalpie"/>
          <w:rFonts w:ascii="Verdana" w:hAnsi="Verdana"/>
          <w:i w:val="0"/>
          <w:sz w:val="20"/>
          <w:lang w:val="es-ES_tradnl"/>
        </w:rPr>
        <w:footnoteReference w:id="45"/>
      </w:r>
      <w:r w:rsidR="005C39D3" w:rsidRPr="005C1789">
        <w:rPr>
          <w:rFonts w:ascii="Verdana" w:hAnsi="Verdana"/>
          <w:i w:val="0"/>
          <w:sz w:val="20"/>
          <w:szCs w:val="20"/>
          <w:lang w:val="es-ES_tradnl"/>
        </w:rPr>
        <w:t>.</w:t>
      </w:r>
    </w:p>
    <w:p w14:paraId="17A39C6E" w14:textId="20EE99C1" w:rsidR="003E5B1D" w:rsidRPr="005C1789" w:rsidRDefault="00E26891"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Sobre las condiciones del arraigo, Jorge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declaró durante la audiencia pública que</w:t>
      </w:r>
      <w:r w:rsidR="00E27F27" w:rsidRPr="005C1789">
        <w:rPr>
          <w:rFonts w:ascii="Verdana" w:hAnsi="Verdana"/>
          <w:i w:val="0"/>
          <w:sz w:val="20"/>
          <w:szCs w:val="20"/>
          <w:lang w:val="es-ES_tradnl"/>
        </w:rPr>
        <w:t>:</w:t>
      </w:r>
      <w:r w:rsidRPr="005C1789">
        <w:rPr>
          <w:rFonts w:ascii="Verdana" w:hAnsi="Verdana"/>
          <w:i w:val="0"/>
          <w:sz w:val="20"/>
          <w:szCs w:val="20"/>
          <w:lang w:val="es-ES_tradnl"/>
        </w:rPr>
        <w:t xml:space="preserve"> </w:t>
      </w:r>
    </w:p>
    <w:p w14:paraId="576B0069" w14:textId="02D80E4A" w:rsidR="00E26891" w:rsidRPr="005C1789" w:rsidRDefault="00E26891" w:rsidP="00955888">
      <w:pPr>
        <w:pStyle w:val="Estilo1"/>
        <w:widowControl w:val="0"/>
        <w:tabs>
          <w:tab w:val="left" w:pos="0"/>
          <w:tab w:val="left" w:pos="567"/>
        </w:tabs>
        <w:adjustRightInd w:val="0"/>
        <w:spacing w:before="120"/>
        <w:ind w:left="567" w:right="561" w:firstLine="0"/>
        <w:jc w:val="both"/>
        <w:textAlignment w:val="baseline"/>
        <w:rPr>
          <w:rFonts w:ascii="Verdana" w:hAnsi="Verdana"/>
          <w:i w:val="0"/>
          <w:sz w:val="18"/>
          <w:szCs w:val="18"/>
          <w:lang w:val="es-ES_tradnl"/>
        </w:rPr>
      </w:pPr>
      <w:r w:rsidRPr="005C1789">
        <w:rPr>
          <w:rFonts w:ascii="Verdana" w:hAnsi="Verdana"/>
          <w:i w:val="0"/>
          <w:sz w:val="18"/>
          <w:szCs w:val="18"/>
        </w:rPr>
        <w:t>[…d</w:t>
      </w:r>
      <w:r w:rsidR="0012355A" w:rsidRPr="005C1789">
        <w:rPr>
          <w:rFonts w:ascii="Verdana" w:hAnsi="Verdana"/>
          <w:i w:val="0"/>
          <w:sz w:val="18"/>
          <w:szCs w:val="18"/>
        </w:rPr>
        <w:t>]</w:t>
      </w:r>
      <w:proofErr w:type="spellStart"/>
      <w:r w:rsidRPr="005C1789">
        <w:rPr>
          <w:rFonts w:ascii="Verdana" w:hAnsi="Verdana"/>
          <w:i w:val="0"/>
          <w:sz w:val="18"/>
          <w:szCs w:val="18"/>
        </w:rPr>
        <w:t>esde</w:t>
      </w:r>
      <w:proofErr w:type="spellEnd"/>
      <w:r w:rsidRPr="005C1789">
        <w:rPr>
          <w:rFonts w:ascii="Verdana" w:hAnsi="Verdana"/>
          <w:i w:val="0"/>
          <w:sz w:val="18"/>
          <w:szCs w:val="18"/>
        </w:rPr>
        <w:t xml:space="preserve"> el inicio en la entrada [lo] amenaza[ron]” y que “uno esta indefenso porque [le] pueden sacar a cualquier hora, [lo] pueden interrogar,</w:t>
      </w:r>
      <w:r w:rsidR="00D21D1C" w:rsidRPr="005C1789">
        <w:rPr>
          <w:rFonts w:ascii="Verdana" w:hAnsi="Verdana"/>
          <w:i w:val="0"/>
          <w:sz w:val="18"/>
          <w:szCs w:val="18"/>
        </w:rPr>
        <w:t xml:space="preserve"> </w:t>
      </w:r>
      <w:r w:rsidR="00A2709F" w:rsidRPr="005C1789">
        <w:rPr>
          <w:rFonts w:ascii="Verdana" w:hAnsi="Verdana"/>
          <w:i w:val="0"/>
          <w:sz w:val="18"/>
          <w:szCs w:val="18"/>
        </w:rPr>
        <w:t>[</w:t>
      </w:r>
      <w:r w:rsidR="00D21D1C" w:rsidRPr="005C1789">
        <w:rPr>
          <w:rFonts w:ascii="Verdana" w:hAnsi="Verdana"/>
          <w:i w:val="0"/>
          <w:sz w:val="18"/>
          <w:szCs w:val="18"/>
        </w:rPr>
        <w:t>a</w:t>
      </w:r>
      <w:r w:rsidR="00A2709F" w:rsidRPr="005C1789">
        <w:rPr>
          <w:rFonts w:ascii="Verdana" w:hAnsi="Verdana"/>
          <w:i w:val="0"/>
          <w:sz w:val="18"/>
          <w:szCs w:val="18"/>
        </w:rPr>
        <w:t>]</w:t>
      </w:r>
      <w:r w:rsidRPr="005C1789">
        <w:rPr>
          <w:rFonts w:ascii="Verdana" w:hAnsi="Verdana"/>
          <w:i w:val="0"/>
          <w:sz w:val="18"/>
          <w:szCs w:val="18"/>
        </w:rPr>
        <w:t xml:space="preserve"> muchas personas las sacaban, llegaban torturadas, golpead</w:t>
      </w:r>
      <w:r w:rsidR="00881324" w:rsidRPr="005C1789">
        <w:rPr>
          <w:rFonts w:ascii="Verdana" w:hAnsi="Verdana"/>
          <w:i w:val="0"/>
          <w:sz w:val="18"/>
          <w:szCs w:val="18"/>
        </w:rPr>
        <w:t>as</w:t>
      </w:r>
      <w:r w:rsidRPr="005C1789">
        <w:rPr>
          <w:rFonts w:ascii="Verdana" w:hAnsi="Verdana"/>
          <w:i w:val="0"/>
          <w:sz w:val="18"/>
          <w:szCs w:val="18"/>
        </w:rPr>
        <w:t>, algunos no se podían subir ni a la cama donde se acostaban, entonces mucha gente tenía que tomar pastillas para poder dormir porque estaban en una situación de zozobra. Entonces ahí en ese tiempo es cuando […] la PGR armó todo el proceso, después ya al final nos dictan el auto</w:t>
      </w:r>
      <w:r w:rsidR="00CC5F38" w:rsidRPr="005C1789">
        <w:rPr>
          <w:rFonts w:ascii="Verdana" w:hAnsi="Verdana"/>
          <w:i w:val="0"/>
          <w:sz w:val="18"/>
          <w:szCs w:val="18"/>
        </w:rPr>
        <w:t>,</w:t>
      </w:r>
      <w:r w:rsidRPr="005C1789">
        <w:rPr>
          <w:rFonts w:ascii="Verdana" w:hAnsi="Verdana"/>
          <w:i w:val="0"/>
          <w:sz w:val="18"/>
          <w:szCs w:val="18"/>
        </w:rPr>
        <w:t xml:space="preserve"> digo</w:t>
      </w:r>
      <w:r w:rsidR="002B7396" w:rsidRPr="005C1789">
        <w:rPr>
          <w:rFonts w:ascii="Verdana" w:hAnsi="Verdana"/>
          <w:i w:val="0"/>
          <w:sz w:val="18"/>
          <w:szCs w:val="18"/>
        </w:rPr>
        <w:t>,</w:t>
      </w:r>
      <w:r w:rsidRPr="005C1789">
        <w:rPr>
          <w:rFonts w:ascii="Verdana" w:hAnsi="Verdana"/>
          <w:i w:val="0"/>
          <w:sz w:val="18"/>
          <w:szCs w:val="18"/>
        </w:rPr>
        <w:t xml:space="preserve"> la orden de </w:t>
      </w:r>
      <w:r w:rsidR="00A2709F" w:rsidRPr="005C1789">
        <w:rPr>
          <w:rFonts w:ascii="Verdana" w:hAnsi="Verdana"/>
          <w:i w:val="0"/>
          <w:sz w:val="18"/>
          <w:szCs w:val="18"/>
        </w:rPr>
        <w:t>[</w:t>
      </w:r>
      <w:r w:rsidR="00881324" w:rsidRPr="005C1789">
        <w:rPr>
          <w:rFonts w:ascii="Verdana" w:hAnsi="Verdana"/>
          <w:i w:val="0"/>
          <w:sz w:val="18"/>
          <w:szCs w:val="18"/>
        </w:rPr>
        <w:t>aprehensión</w:t>
      </w:r>
      <w:r w:rsidR="00A2709F" w:rsidRPr="005C1789">
        <w:rPr>
          <w:rFonts w:ascii="Verdana" w:hAnsi="Verdana"/>
          <w:i w:val="0"/>
          <w:sz w:val="18"/>
          <w:szCs w:val="18"/>
        </w:rPr>
        <w:t>]</w:t>
      </w:r>
      <w:r w:rsidR="00881324" w:rsidRPr="005C1789">
        <w:rPr>
          <w:rFonts w:ascii="Verdana" w:hAnsi="Verdana"/>
          <w:i w:val="0"/>
          <w:sz w:val="18"/>
          <w:szCs w:val="18"/>
        </w:rPr>
        <w:t xml:space="preserve"> </w:t>
      </w:r>
      <w:r w:rsidRPr="005C1789">
        <w:rPr>
          <w:rFonts w:ascii="Verdana" w:hAnsi="Verdana"/>
          <w:i w:val="0"/>
          <w:sz w:val="18"/>
          <w:szCs w:val="18"/>
        </w:rPr>
        <w:t>que nos tienen que encarcelar</w:t>
      </w:r>
      <w:r w:rsidR="0054139C" w:rsidRPr="005C1789">
        <w:rPr>
          <w:rStyle w:val="Refdenotaalpie"/>
          <w:rFonts w:ascii="Verdana" w:hAnsi="Verdana"/>
          <w:i w:val="0"/>
          <w:sz w:val="20"/>
          <w:lang w:val="es-ES_tradnl"/>
        </w:rPr>
        <w:footnoteReference w:id="46"/>
      </w:r>
      <w:r w:rsidR="0054139C" w:rsidRPr="005C1789">
        <w:rPr>
          <w:rFonts w:ascii="Verdana" w:hAnsi="Verdana"/>
          <w:i w:val="0"/>
          <w:sz w:val="18"/>
          <w:szCs w:val="18"/>
        </w:rPr>
        <w:t>.</w:t>
      </w:r>
    </w:p>
    <w:p w14:paraId="04E7EB1A" w14:textId="6C8D6C93"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31 de marzo de 2006 la Policía Estatal </w:t>
      </w:r>
      <w:r w:rsidR="00B43762" w:rsidRPr="005C1789">
        <w:rPr>
          <w:rFonts w:ascii="Verdana" w:hAnsi="Verdana"/>
          <w:i w:val="0"/>
          <w:sz w:val="20"/>
          <w:szCs w:val="20"/>
          <w:lang w:val="es-ES_tradnl"/>
        </w:rPr>
        <w:t xml:space="preserve">realizó </w:t>
      </w:r>
      <w:r w:rsidRPr="005C1789">
        <w:rPr>
          <w:rFonts w:ascii="Verdana" w:hAnsi="Verdana"/>
          <w:i w:val="0"/>
          <w:sz w:val="20"/>
          <w:szCs w:val="20"/>
          <w:lang w:val="es-ES_tradnl"/>
        </w:rPr>
        <w:t xml:space="preserve">un cateo en la casa de la madre de los hermanos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w:t>
      </w:r>
      <w:proofErr w:type="spellStart"/>
      <w:r w:rsidRPr="005C1789">
        <w:rPr>
          <w:rFonts w:ascii="Verdana" w:hAnsi="Verdana"/>
          <w:i w:val="0"/>
          <w:sz w:val="20"/>
          <w:szCs w:val="20"/>
          <w:lang w:val="es-ES_tradnl"/>
        </w:rPr>
        <w:t>Tecpile</w:t>
      </w:r>
      <w:proofErr w:type="spellEnd"/>
      <w:r w:rsidRPr="005C1789">
        <w:rPr>
          <w:rFonts w:ascii="Verdana" w:hAnsi="Verdana"/>
          <w:i w:val="0"/>
          <w:sz w:val="20"/>
          <w:szCs w:val="20"/>
          <w:lang w:val="es-ES_tradnl"/>
        </w:rPr>
        <w:t xml:space="preserve"> y en la tienda de su hermano Maximino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Conforme se indica en la providencia judicial, se encontró lo siguiente: </w:t>
      </w:r>
      <w:r w:rsidR="00AA6411">
        <w:rPr>
          <w:rFonts w:ascii="Verdana" w:hAnsi="Verdana"/>
          <w:i w:val="0"/>
          <w:sz w:val="20"/>
          <w:szCs w:val="20"/>
          <w:lang w:val="es-ES_tradnl"/>
        </w:rPr>
        <w:t>a</w:t>
      </w:r>
      <w:r w:rsidRPr="005C1789">
        <w:rPr>
          <w:rFonts w:ascii="Verdana" w:hAnsi="Verdana"/>
          <w:i w:val="0"/>
          <w:sz w:val="20"/>
          <w:szCs w:val="20"/>
          <w:lang w:val="es-ES_tradnl"/>
        </w:rPr>
        <w:t xml:space="preserve">) el diario “El Mundo de Orizaba” de 14 de enero de 2006; </w:t>
      </w:r>
      <w:r w:rsidR="00AA6411">
        <w:rPr>
          <w:rFonts w:ascii="Verdana" w:hAnsi="Verdana"/>
          <w:i w:val="0"/>
          <w:sz w:val="20"/>
          <w:szCs w:val="20"/>
          <w:lang w:val="es-ES_tradnl"/>
        </w:rPr>
        <w:t>b</w:t>
      </w:r>
      <w:r w:rsidRPr="005C1789">
        <w:rPr>
          <w:rFonts w:ascii="Verdana" w:hAnsi="Verdana"/>
          <w:i w:val="0"/>
          <w:sz w:val="20"/>
          <w:szCs w:val="20"/>
          <w:lang w:val="es-ES_tradnl"/>
        </w:rPr>
        <w:t xml:space="preserve">) una foto de “El Che Guevara” con la leyenda "Hasta la Victoria Siempre"; </w:t>
      </w:r>
      <w:r w:rsidR="00AA6411">
        <w:rPr>
          <w:rFonts w:ascii="Verdana" w:hAnsi="Verdana"/>
          <w:i w:val="0"/>
          <w:sz w:val="20"/>
          <w:szCs w:val="20"/>
          <w:lang w:val="es-ES_tradnl"/>
        </w:rPr>
        <w:t>c</w:t>
      </w:r>
      <w:r w:rsidRPr="005C1789">
        <w:rPr>
          <w:rFonts w:ascii="Verdana" w:hAnsi="Verdana"/>
          <w:i w:val="0"/>
          <w:sz w:val="20"/>
          <w:szCs w:val="20"/>
          <w:lang w:val="es-ES_tradnl"/>
        </w:rPr>
        <w:t xml:space="preserve">) tres revistas "Proceso"; </w:t>
      </w:r>
      <w:r w:rsidR="00AA6411">
        <w:rPr>
          <w:rFonts w:ascii="Verdana" w:hAnsi="Verdana"/>
          <w:i w:val="0"/>
          <w:sz w:val="20"/>
          <w:szCs w:val="20"/>
          <w:lang w:val="es-ES_tradnl"/>
        </w:rPr>
        <w:t>d</w:t>
      </w:r>
      <w:r w:rsidRPr="005C1789">
        <w:rPr>
          <w:rFonts w:ascii="Verdana" w:hAnsi="Verdana"/>
          <w:i w:val="0"/>
          <w:sz w:val="20"/>
          <w:szCs w:val="20"/>
          <w:lang w:val="es-ES_tradnl"/>
        </w:rPr>
        <w:t xml:space="preserve">) una identificación del Partido de la Revolución Democrática a nombre de Gerardo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w:t>
      </w:r>
      <w:proofErr w:type="spellStart"/>
      <w:r w:rsidRPr="005C1789">
        <w:rPr>
          <w:rFonts w:ascii="Verdana" w:hAnsi="Verdana"/>
          <w:i w:val="0"/>
          <w:sz w:val="20"/>
          <w:szCs w:val="20"/>
          <w:lang w:val="es-ES_tradnl"/>
        </w:rPr>
        <w:t>Tecpile</w:t>
      </w:r>
      <w:proofErr w:type="spellEnd"/>
      <w:r w:rsidRPr="005C1789">
        <w:rPr>
          <w:rFonts w:ascii="Verdana" w:hAnsi="Verdana"/>
          <w:i w:val="0"/>
          <w:sz w:val="20"/>
          <w:szCs w:val="20"/>
          <w:lang w:val="es-ES_tradnl"/>
        </w:rPr>
        <w:t xml:space="preserve">; </w:t>
      </w:r>
      <w:r w:rsidR="00AA6411">
        <w:rPr>
          <w:rFonts w:ascii="Verdana" w:hAnsi="Verdana"/>
          <w:i w:val="0"/>
          <w:sz w:val="20"/>
          <w:szCs w:val="20"/>
          <w:lang w:val="es-ES_tradnl"/>
        </w:rPr>
        <w:t>e</w:t>
      </w:r>
      <w:r w:rsidRPr="005C1789">
        <w:rPr>
          <w:rFonts w:ascii="Verdana" w:hAnsi="Verdana"/>
          <w:i w:val="0"/>
          <w:sz w:val="20"/>
          <w:szCs w:val="20"/>
          <w:lang w:val="es-ES_tradnl"/>
        </w:rPr>
        <w:t xml:space="preserve">) cuatro documentos, uno en original y tres copias, titulados "110 años de la Muerte de Marx"; </w:t>
      </w:r>
      <w:r w:rsidR="00AA6411">
        <w:rPr>
          <w:rFonts w:ascii="Verdana" w:hAnsi="Verdana"/>
          <w:i w:val="0"/>
          <w:sz w:val="20"/>
          <w:szCs w:val="20"/>
          <w:lang w:val="es-ES_tradnl"/>
        </w:rPr>
        <w:t>f</w:t>
      </w:r>
      <w:r w:rsidRPr="005C1789">
        <w:rPr>
          <w:rFonts w:ascii="Verdana" w:hAnsi="Verdana"/>
          <w:i w:val="0"/>
          <w:sz w:val="20"/>
          <w:szCs w:val="20"/>
          <w:lang w:val="es-ES_tradnl"/>
        </w:rPr>
        <w:t>) recortes de notas period</w:t>
      </w:r>
      <w:r w:rsidR="00D97049" w:rsidRPr="005C1789">
        <w:rPr>
          <w:rFonts w:ascii="Verdana" w:hAnsi="Verdana"/>
          <w:i w:val="0"/>
          <w:sz w:val="20"/>
          <w:szCs w:val="20"/>
          <w:lang w:val="es-ES_tradnl"/>
        </w:rPr>
        <w:t>ísticas</w:t>
      </w:r>
      <w:r w:rsidRPr="005C1789">
        <w:rPr>
          <w:rFonts w:ascii="Verdana" w:hAnsi="Verdana"/>
          <w:i w:val="0"/>
          <w:sz w:val="20"/>
          <w:szCs w:val="20"/>
          <w:lang w:val="es-ES_tradnl"/>
        </w:rPr>
        <w:t xml:space="preserve"> </w:t>
      </w:r>
      <w:r w:rsidR="00D7602E" w:rsidRPr="005C1789">
        <w:rPr>
          <w:rFonts w:ascii="Verdana" w:hAnsi="Verdana"/>
          <w:i w:val="0"/>
          <w:sz w:val="20"/>
          <w:szCs w:val="20"/>
          <w:lang w:val="es-ES_tradnl"/>
        </w:rPr>
        <w:t xml:space="preserve">con los siguientes </w:t>
      </w:r>
      <w:r w:rsidR="00416CC3" w:rsidRPr="005C1789">
        <w:rPr>
          <w:rFonts w:ascii="Verdana" w:hAnsi="Verdana"/>
          <w:i w:val="0"/>
          <w:sz w:val="20"/>
          <w:szCs w:val="20"/>
          <w:lang w:val="es-ES_tradnl"/>
        </w:rPr>
        <w:t xml:space="preserve">titulares: </w:t>
      </w:r>
      <w:r w:rsidRPr="005C1789">
        <w:rPr>
          <w:rFonts w:ascii="Verdana" w:hAnsi="Verdana"/>
          <w:i w:val="0"/>
          <w:sz w:val="20"/>
          <w:szCs w:val="20"/>
          <w:lang w:val="es-ES_tradnl"/>
        </w:rPr>
        <w:t xml:space="preserve">"Nada impedirá a Cuba seguir con el Socialismo: Castro", “Secuelas de la Guerra en el Salvador", "Sostienen ex guerrilleros la presión hace seguir inclinaciones a la lucha armada", "Testimonios Derechos Humanos para Hussein son letra muerta", </w:t>
      </w:r>
      <w:r w:rsidR="002C4A4B" w:rsidRPr="005C1789">
        <w:rPr>
          <w:rFonts w:ascii="Verdana" w:hAnsi="Verdana"/>
          <w:i w:val="0"/>
          <w:sz w:val="20"/>
          <w:szCs w:val="20"/>
          <w:lang w:val="es-ES_tradnl"/>
        </w:rPr>
        <w:t xml:space="preserve">y </w:t>
      </w:r>
      <w:r w:rsidR="00AA6411">
        <w:rPr>
          <w:rFonts w:ascii="Verdana" w:hAnsi="Verdana"/>
          <w:i w:val="0"/>
          <w:sz w:val="20"/>
          <w:szCs w:val="20"/>
          <w:lang w:val="es-ES_tradnl"/>
        </w:rPr>
        <w:t>g</w:t>
      </w:r>
      <w:r w:rsidR="002C4A4B" w:rsidRPr="005C1789">
        <w:rPr>
          <w:rFonts w:ascii="Verdana" w:hAnsi="Verdana"/>
          <w:i w:val="0"/>
          <w:sz w:val="20"/>
          <w:szCs w:val="20"/>
          <w:lang w:val="es-ES_tradnl"/>
        </w:rPr>
        <w:t xml:space="preserve">) tres cartuchos útiles calibre 22, </w:t>
      </w:r>
      <w:r w:rsidRPr="005C1789">
        <w:rPr>
          <w:rFonts w:ascii="Verdana" w:hAnsi="Verdana"/>
          <w:i w:val="0"/>
          <w:sz w:val="20"/>
          <w:szCs w:val="20"/>
          <w:lang w:val="es-ES_tradnl"/>
        </w:rPr>
        <w:t>entre otros</w:t>
      </w:r>
      <w:r w:rsidR="00951F12" w:rsidRPr="005C1789">
        <w:rPr>
          <w:rStyle w:val="Refdenotaalpie"/>
          <w:rFonts w:ascii="Verdana" w:hAnsi="Verdana"/>
          <w:i w:val="0"/>
          <w:sz w:val="20"/>
          <w:lang w:val="es-ES_tradnl"/>
        </w:rPr>
        <w:footnoteReference w:id="47"/>
      </w:r>
      <w:r w:rsidRPr="005C1789">
        <w:rPr>
          <w:rFonts w:ascii="Verdana" w:hAnsi="Verdana"/>
          <w:i w:val="0"/>
          <w:sz w:val="20"/>
          <w:szCs w:val="20"/>
          <w:lang w:val="es-ES_tradnl"/>
        </w:rPr>
        <w:t>.</w:t>
      </w:r>
      <w:r w:rsidR="00B434D7" w:rsidRPr="005C1789">
        <w:rPr>
          <w:rFonts w:ascii="Verdana" w:hAnsi="Verdana"/>
          <w:i w:val="0"/>
          <w:sz w:val="20"/>
          <w:szCs w:val="20"/>
          <w:lang w:val="es-ES_tradnl"/>
        </w:rPr>
        <w:t xml:space="preserve"> </w:t>
      </w:r>
    </w:p>
    <w:p w14:paraId="4EE22475" w14:textId="291EAD55"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10 de abril de 2006 el Ministerio Público Federal ejerció acción penal en contra de las víctimas </w:t>
      </w:r>
      <w:r w:rsidR="00FE69BB" w:rsidRPr="005C1789">
        <w:rPr>
          <w:rFonts w:ascii="Verdana" w:hAnsi="Verdana"/>
          <w:i w:val="0"/>
          <w:sz w:val="20"/>
          <w:szCs w:val="20"/>
          <w:lang w:val="es-ES_tradnl"/>
        </w:rPr>
        <w:t>por el delito establecido en la Ley Federal contra la Delincuencia Organizada en la modalidad de terrorismo</w:t>
      </w:r>
      <w:r w:rsidRPr="005C1789">
        <w:rPr>
          <w:rFonts w:ascii="Verdana" w:hAnsi="Verdana"/>
          <w:i w:val="0"/>
          <w:sz w:val="20"/>
          <w:szCs w:val="20"/>
          <w:lang w:val="es-ES_tradnl"/>
        </w:rPr>
        <w:t>. Asimismo, solicitó que se librara orden de aprehensión contra los indiciados</w:t>
      </w:r>
      <w:r w:rsidR="00041AD3" w:rsidRPr="005C1789">
        <w:rPr>
          <w:rStyle w:val="Refdenotaalpie"/>
          <w:rFonts w:ascii="Verdana" w:hAnsi="Verdana"/>
          <w:i w:val="0"/>
          <w:sz w:val="20"/>
          <w:lang w:val="es-ES_tradnl"/>
        </w:rPr>
        <w:footnoteReference w:id="48"/>
      </w:r>
      <w:r w:rsidRPr="005C1789">
        <w:rPr>
          <w:rFonts w:ascii="Verdana" w:hAnsi="Verdana"/>
          <w:i w:val="0"/>
          <w:sz w:val="20"/>
          <w:szCs w:val="20"/>
          <w:lang w:val="es-ES_tradnl"/>
        </w:rPr>
        <w:t xml:space="preserve">. </w:t>
      </w:r>
      <w:r w:rsidR="00041AD3" w:rsidRPr="005C1789">
        <w:rPr>
          <w:rFonts w:ascii="Verdana" w:hAnsi="Verdana"/>
          <w:i w:val="0"/>
          <w:sz w:val="20"/>
          <w:szCs w:val="20"/>
          <w:lang w:val="es-ES_tradnl"/>
        </w:rPr>
        <w:t xml:space="preserve">El 11 de abril de 2006, </w:t>
      </w:r>
      <w:r w:rsidR="00C702AC" w:rsidRPr="005C1789">
        <w:rPr>
          <w:rFonts w:ascii="Verdana" w:hAnsi="Verdana"/>
          <w:i w:val="0"/>
          <w:sz w:val="20"/>
          <w:szCs w:val="20"/>
          <w:lang w:val="es-ES_tradnl"/>
        </w:rPr>
        <w:t>el Juzgado del Distrito 12 de Veracruz resolvió dar a lugar a lo solicitado</w:t>
      </w:r>
      <w:r w:rsidR="00041AD3" w:rsidRPr="005C1789">
        <w:rPr>
          <w:rStyle w:val="Refdenotaalpie"/>
          <w:rFonts w:ascii="Verdana" w:hAnsi="Verdana"/>
          <w:i w:val="0"/>
          <w:sz w:val="20"/>
          <w:lang w:val="es-ES_tradnl"/>
        </w:rPr>
        <w:footnoteReference w:id="49"/>
      </w:r>
      <w:r w:rsidR="00C702AC" w:rsidRPr="005C1789">
        <w:rPr>
          <w:rFonts w:ascii="Verdana" w:hAnsi="Verdana"/>
          <w:i w:val="0"/>
          <w:sz w:val="20"/>
          <w:szCs w:val="20"/>
          <w:lang w:val="es-ES_tradnl"/>
        </w:rPr>
        <w:t>.</w:t>
      </w:r>
      <w:r w:rsidR="00041AD3" w:rsidRPr="005C1789">
        <w:rPr>
          <w:rFonts w:ascii="Verdana" w:hAnsi="Verdana"/>
          <w:i w:val="0"/>
          <w:sz w:val="20"/>
          <w:szCs w:val="20"/>
          <w:lang w:val="es-ES_tradnl"/>
        </w:rPr>
        <w:t xml:space="preserve"> </w:t>
      </w:r>
      <w:r w:rsidRPr="005C1789">
        <w:rPr>
          <w:rFonts w:ascii="Verdana" w:hAnsi="Verdana"/>
          <w:i w:val="0"/>
          <w:sz w:val="20"/>
          <w:szCs w:val="20"/>
          <w:lang w:val="es-ES_tradnl"/>
        </w:rPr>
        <w:t xml:space="preserve">El 17 de abril de 2006 la </w:t>
      </w:r>
      <w:r w:rsidR="00531007" w:rsidRPr="005C1789">
        <w:rPr>
          <w:rFonts w:ascii="Verdana" w:hAnsi="Verdana"/>
          <w:i w:val="0"/>
          <w:sz w:val="20"/>
          <w:szCs w:val="20"/>
          <w:lang w:val="es-ES_tradnl"/>
        </w:rPr>
        <w:t>PGR</w:t>
      </w:r>
      <w:r w:rsidRPr="005C1789">
        <w:rPr>
          <w:rFonts w:ascii="Verdana" w:hAnsi="Verdana"/>
          <w:i w:val="0"/>
          <w:sz w:val="20"/>
          <w:szCs w:val="20"/>
          <w:lang w:val="es-ES_tradnl"/>
        </w:rPr>
        <w:t xml:space="preserve"> dio cumplimiento a la orden de aprehensión y puso a las víctimas</w:t>
      </w:r>
      <w:r w:rsidR="00BB62EB" w:rsidRPr="005C1789">
        <w:rPr>
          <w:rFonts w:ascii="Verdana" w:hAnsi="Verdana"/>
          <w:i w:val="0"/>
          <w:sz w:val="20"/>
          <w:szCs w:val="20"/>
          <w:lang w:val="es-ES_tradnl"/>
        </w:rPr>
        <w:t xml:space="preserve"> a</w:t>
      </w:r>
      <w:r w:rsidRPr="005C1789">
        <w:rPr>
          <w:rFonts w:ascii="Verdana" w:hAnsi="Verdana"/>
          <w:i w:val="0"/>
          <w:sz w:val="20"/>
          <w:szCs w:val="20"/>
          <w:lang w:val="es-ES_tradnl"/>
        </w:rPr>
        <w:t xml:space="preserve"> disposición del juez, quien a la 16:00 horas decretó su detención</w:t>
      </w:r>
      <w:r w:rsidR="00C702AC" w:rsidRPr="005C1789">
        <w:rPr>
          <w:rStyle w:val="Refdenotaalpie"/>
          <w:rFonts w:ascii="Verdana" w:hAnsi="Verdana"/>
          <w:i w:val="0"/>
          <w:sz w:val="20"/>
          <w:lang w:val="es-ES_tradnl"/>
        </w:rPr>
        <w:footnoteReference w:id="50"/>
      </w:r>
      <w:r w:rsidRPr="005C1789">
        <w:rPr>
          <w:rFonts w:ascii="Verdana" w:hAnsi="Verdana"/>
          <w:i w:val="0"/>
          <w:sz w:val="20"/>
          <w:szCs w:val="20"/>
          <w:lang w:val="es-ES_tradnl"/>
        </w:rPr>
        <w:t xml:space="preserve">. Con esta acción terminó el arraigo de las </w:t>
      </w:r>
      <w:r w:rsidRPr="005C1789">
        <w:rPr>
          <w:rFonts w:ascii="Verdana" w:hAnsi="Verdana"/>
          <w:i w:val="0"/>
          <w:sz w:val="20"/>
          <w:szCs w:val="20"/>
          <w:lang w:val="es-ES_tradnl"/>
        </w:rPr>
        <w:lastRenderedPageBreak/>
        <w:t xml:space="preserve">víctimas. </w:t>
      </w:r>
    </w:p>
    <w:p w14:paraId="60175D58" w14:textId="52315C8B"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22 de abril </w:t>
      </w:r>
      <w:r w:rsidR="002B0C76">
        <w:rPr>
          <w:rFonts w:ascii="Verdana" w:hAnsi="Verdana"/>
          <w:i w:val="0"/>
          <w:sz w:val="20"/>
          <w:szCs w:val="20"/>
          <w:lang w:val="es-ES_tradnl"/>
        </w:rPr>
        <w:t xml:space="preserve">de 2006 </w:t>
      </w:r>
      <w:r w:rsidRPr="005C1789">
        <w:rPr>
          <w:rFonts w:ascii="Verdana" w:hAnsi="Verdana"/>
          <w:i w:val="0"/>
          <w:sz w:val="20"/>
          <w:szCs w:val="20"/>
          <w:lang w:val="es-ES_tradnl"/>
        </w:rPr>
        <w:t xml:space="preserve">el Juez Tercero de Distrito de Procesos Penales Federales en el Distrito Federal dictó contra las víctimas un </w:t>
      </w:r>
      <w:r w:rsidR="001A3CE8" w:rsidRPr="005C1789">
        <w:rPr>
          <w:rFonts w:ascii="Verdana" w:hAnsi="Verdana"/>
          <w:i w:val="0"/>
          <w:sz w:val="20"/>
          <w:szCs w:val="20"/>
          <w:lang w:val="es-ES_tradnl"/>
        </w:rPr>
        <w:t>“</w:t>
      </w:r>
      <w:r w:rsidRPr="005C1789">
        <w:rPr>
          <w:rFonts w:ascii="Verdana" w:hAnsi="Verdana"/>
          <w:i w:val="0"/>
          <w:sz w:val="20"/>
          <w:szCs w:val="20"/>
          <w:lang w:val="es-ES_tradnl"/>
        </w:rPr>
        <w:t>Auto de Formal Prisión</w:t>
      </w:r>
      <w:r w:rsidR="001A3CE8" w:rsidRPr="005C1789">
        <w:rPr>
          <w:rFonts w:ascii="Verdana" w:hAnsi="Verdana"/>
          <w:i w:val="0"/>
          <w:sz w:val="20"/>
          <w:szCs w:val="20"/>
          <w:lang w:val="es-ES_tradnl"/>
        </w:rPr>
        <w:t xml:space="preserve">” (en adelante </w:t>
      </w:r>
      <w:r w:rsidR="00EA0BCC" w:rsidRPr="005C1789">
        <w:rPr>
          <w:rFonts w:ascii="Verdana" w:hAnsi="Verdana"/>
          <w:i w:val="0"/>
          <w:sz w:val="20"/>
          <w:szCs w:val="20"/>
          <w:lang w:val="es-ES_tradnl"/>
        </w:rPr>
        <w:t xml:space="preserve">también </w:t>
      </w:r>
      <w:r w:rsidR="0024600C" w:rsidRPr="005C1789">
        <w:rPr>
          <w:rFonts w:ascii="Verdana" w:hAnsi="Verdana"/>
          <w:i w:val="0"/>
          <w:sz w:val="20"/>
          <w:szCs w:val="20"/>
          <w:lang w:val="es-ES_tradnl"/>
        </w:rPr>
        <w:t>“</w:t>
      </w:r>
      <w:r w:rsidR="001A3CE8" w:rsidRPr="005C1789">
        <w:rPr>
          <w:rFonts w:ascii="Verdana" w:hAnsi="Verdana"/>
          <w:i w:val="0"/>
          <w:sz w:val="20"/>
          <w:szCs w:val="20"/>
          <w:lang w:val="es-ES_tradnl"/>
        </w:rPr>
        <w:t>auto de prisión</w:t>
      </w:r>
      <w:r w:rsidR="0024600C" w:rsidRPr="005C1789">
        <w:rPr>
          <w:rFonts w:ascii="Verdana" w:hAnsi="Verdana"/>
          <w:i w:val="0"/>
          <w:sz w:val="20"/>
          <w:szCs w:val="20"/>
          <w:lang w:val="es-ES_tradnl"/>
        </w:rPr>
        <w:t>”</w:t>
      </w:r>
      <w:r w:rsidR="001A3CE8" w:rsidRPr="005C1789">
        <w:rPr>
          <w:rFonts w:ascii="Verdana" w:hAnsi="Verdana"/>
          <w:i w:val="0"/>
          <w:sz w:val="20"/>
          <w:szCs w:val="20"/>
          <w:lang w:val="es-ES_tradnl"/>
        </w:rPr>
        <w:t xml:space="preserve"> o </w:t>
      </w:r>
      <w:r w:rsidR="0024600C" w:rsidRPr="005C1789">
        <w:rPr>
          <w:rFonts w:ascii="Verdana" w:hAnsi="Verdana"/>
          <w:i w:val="0"/>
          <w:sz w:val="20"/>
          <w:szCs w:val="20"/>
          <w:lang w:val="es-ES_tradnl"/>
        </w:rPr>
        <w:t>“</w:t>
      </w:r>
      <w:r w:rsidR="001A3CE8" w:rsidRPr="005C1789">
        <w:rPr>
          <w:rFonts w:ascii="Verdana" w:hAnsi="Verdana"/>
          <w:i w:val="0"/>
          <w:sz w:val="20"/>
          <w:szCs w:val="20"/>
          <w:lang w:val="es-ES_tradnl"/>
        </w:rPr>
        <w:t>auto formal de prisión</w:t>
      </w:r>
      <w:r w:rsidR="0024600C" w:rsidRPr="005C1789">
        <w:rPr>
          <w:rFonts w:ascii="Verdana" w:hAnsi="Verdana"/>
          <w:i w:val="0"/>
          <w:sz w:val="20"/>
          <w:szCs w:val="20"/>
          <w:lang w:val="es-ES_tradnl"/>
        </w:rPr>
        <w:t>”</w:t>
      </w:r>
      <w:r w:rsidR="001A3CE8" w:rsidRPr="005C1789">
        <w:rPr>
          <w:rFonts w:ascii="Verdana" w:hAnsi="Verdana"/>
          <w:i w:val="0"/>
          <w:sz w:val="20"/>
          <w:szCs w:val="20"/>
          <w:lang w:val="es-ES_tradnl"/>
        </w:rPr>
        <w:t>)</w:t>
      </w:r>
      <w:r w:rsidR="00EA0BCC" w:rsidRPr="005C1789">
        <w:rPr>
          <w:rFonts w:ascii="Verdana" w:hAnsi="Verdana"/>
          <w:i w:val="0"/>
          <w:sz w:val="20"/>
          <w:szCs w:val="20"/>
          <w:lang w:val="es-ES_tradnl"/>
        </w:rPr>
        <w:t>,</w:t>
      </w:r>
      <w:r w:rsidRPr="005C1789">
        <w:rPr>
          <w:rFonts w:ascii="Verdana" w:hAnsi="Verdana"/>
          <w:i w:val="0"/>
          <w:sz w:val="20"/>
          <w:szCs w:val="20"/>
          <w:lang w:val="es-ES_tradnl"/>
        </w:rPr>
        <w:t xml:space="preserve"> como presuntos responsables de la comisión </w:t>
      </w:r>
      <w:r w:rsidR="00FE69BB" w:rsidRPr="005C1789">
        <w:rPr>
          <w:rFonts w:ascii="Verdana" w:hAnsi="Verdana"/>
          <w:i w:val="0"/>
          <w:sz w:val="20"/>
          <w:szCs w:val="20"/>
          <w:lang w:val="es-ES_tradnl"/>
        </w:rPr>
        <w:t>del delito establecido en la Ley Federal contra la Delincuencia Organizada en la modalidad de terrorismo</w:t>
      </w:r>
      <w:r w:rsidRPr="005C1789">
        <w:rPr>
          <w:rFonts w:ascii="Verdana" w:hAnsi="Verdana"/>
          <w:i w:val="0"/>
          <w:sz w:val="20"/>
          <w:szCs w:val="20"/>
          <w:lang w:val="es-ES_tradnl"/>
        </w:rPr>
        <w:t>. La defensa de las víctimas apeló el auto de</w:t>
      </w:r>
      <w:r w:rsidR="00EA0BCC" w:rsidRPr="005C1789">
        <w:rPr>
          <w:rFonts w:ascii="Verdana" w:hAnsi="Verdana"/>
          <w:i w:val="0"/>
          <w:sz w:val="20"/>
          <w:szCs w:val="20"/>
          <w:lang w:val="es-ES_tradnl"/>
        </w:rPr>
        <w:t xml:space="preserve"> </w:t>
      </w:r>
      <w:r w:rsidRPr="005C1789">
        <w:rPr>
          <w:rFonts w:ascii="Verdana" w:hAnsi="Verdana"/>
          <w:i w:val="0"/>
          <w:sz w:val="20"/>
          <w:szCs w:val="20"/>
          <w:lang w:val="es-ES_tradnl"/>
        </w:rPr>
        <w:t>prisión</w:t>
      </w:r>
      <w:r w:rsidR="00951F12" w:rsidRPr="005C1789">
        <w:rPr>
          <w:rStyle w:val="Refdenotaalpie"/>
          <w:rFonts w:ascii="Verdana" w:hAnsi="Verdana"/>
          <w:i w:val="0"/>
          <w:sz w:val="20"/>
          <w:lang w:val="es-ES_tradnl"/>
        </w:rPr>
        <w:footnoteReference w:id="51"/>
      </w:r>
      <w:r w:rsidRPr="005C1789">
        <w:rPr>
          <w:rFonts w:ascii="Verdana" w:hAnsi="Verdana"/>
          <w:i w:val="0"/>
          <w:sz w:val="20"/>
          <w:szCs w:val="20"/>
          <w:lang w:val="es-ES_tradnl"/>
        </w:rPr>
        <w:t xml:space="preserve">. </w:t>
      </w:r>
      <w:r w:rsidR="00951F12" w:rsidRPr="005C1789">
        <w:rPr>
          <w:rFonts w:ascii="Verdana" w:hAnsi="Verdana"/>
          <w:i w:val="0"/>
          <w:sz w:val="20"/>
          <w:szCs w:val="20"/>
          <w:lang w:val="es-ES_tradnl"/>
        </w:rPr>
        <w:t>L</w:t>
      </w:r>
      <w:r w:rsidRPr="005C1789">
        <w:rPr>
          <w:rFonts w:ascii="Verdana" w:hAnsi="Verdana"/>
          <w:i w:val="0"/>
          <w:sz w:val="20"/>
          <w:szCs w:val="20"/>
          <w:lang w:val="es-ES_tradnl"/>
        </w:rPr>
        <w:t xml:space="preserve">os procesados fueron así sujetos a prisión preventiva e internados en el Reclusorio Preventivo Varonil Norte, en la Ciudad de México. </w:t>
      </w:r>
    </w:p>
    <w:p w14:paraId="7B64D02F" w14:textId="429801F2" w:rsidR="005C39D3" w:rsidRPr="005C1789" w:rsidRDefault="00754066"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La Corte constata que d</w:t>
      </w:r>
      <w:r w:rsidR="005C39D3" w:rsidRPr="005C1789">
        <w:rPr>
          <w:rFonts w:ascii="Verdana" w:hAnsi="Verdana"/>
          <w:i w:val="0"/>
          <w:sz w:val="20"/>
          <w:szCs w:val="20"/>
          <w:lang w:val="es-ES_tradnl"/>
        </w:rPr>
        <w:t xml:space="preserve">iversos tribunales declinaron su competencia </w:t>
      </w:r>
      <w:r w:rsidR="000E41F4">
        <w:rPr>
          <w:rFonts w:ascii="Verdana" w:hAnsi="Verdana"/>
          <w:i w:val="0"/>
          <w:sz w:val="20"/>
          <w:szCs w:val="20"/>
          <w:lang w:val="es-ES_tradnl"/>
        </w:rPr>
        <w:t>para</w:t>
      </w:r>
      <w:r w:rsidR="005C39D3" w:rsidRPr="005C1789">
        <w:rPr>
          <w:rFonts w:ascii="Verdana" w:hAnsi="Verdana"/>
          <w:i w:val="0"/>
          <w:sz w:val="20"/>
          <w:szCs w:val="20"/>
          <w:lang w:val="es-ES_tradnl"/>
        </w:rPr>
        <w:t xml:space="preserve"> conocer el asunto hasta que el 22 de febrero de 2007</w:t>
      </w:r>
      <w:r w:rsidR="00EA0BCC"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el Tribunal Unitario de Séptimo Circuito ratificó el auto de prisión. Asimismo, el Tribunal consideró que no procedía la suspensión de los derechos políticos de las víctimas</w:t>
      </w:r>
      <w:r w:rsidR="005C39D3" w:rsidRPr="005C1789">
        <w:rPr>
          <w:rStyle w:val="Refdenotaalpie"/>
          <w:rFonts w:ascii="Verdana" w:hAnsi="Verdana"/>
          <w:i w:val="0"/>
          <w:sz w:val="20"/>
          <w:lang w:val="es-ES_tradnl"/>
        </w:rPr>
        <w:footnoteReference w:id="52"/>
      </w:r>
      <w:r w:rsidR="005C39D3" w:rsidRPr="005C1789">
        <w:rPr>
          <w:rFonts w:ascii="Verdana" w:hAnsi="Verdana"/>
          <w:i w:val="0"/>
          <w:sz w:val="20"/>
          <w:szCs w:val="20"/>
          <w:lang w:val="es-ES_tradnl"/>
        </w:rPr>
        <w:t xml:space="preserve">. </w:t>
      </w:r>
    </w:p>
    <w:p w14:paraId="67716A4D" w14:textId="7E308E9D"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En el marco del proceso penal, el 6 de junio de 2007 se </w:t>
      </w:r>
      <w:r w:rsidR="00F5251A" w:rsidRPr="005C1789">
        <w:rPr>
          <w:rFonts w:ascii="Verdana" w:hAnsi="Verdana"/>
          <w:i w:val="0"/>
          <w:sz w:val="20"/>
          <w:szCs w:val="20"/>
          <w:lang w:val="es-ES_tradnl"/>
        </w:rPr>
        <w:t xml:space="preserve">rindió </w:t>
      </w:r>
      <w:r w:rsidRPr="005C1789">
        <w:rPr>
          <w:rFonts w:ascii="Verdana" w:hAnsi="Verdana"/>
          <w:i w:val="0"/>
          <w:sz w:val="20"/>
          <w:szCs w:val="20"/>
          <w:lang w:val="es-ES_tradnl"/>
        </w:rPr>
        <w:t xml:space="preserve">el dictamen pericial </w:t>
      </w:r>
      <w:proofErr w:type="spellStart"/>
      <w:r w:rsidRPr="005C1789">
        <w:rPr>
          <w:rFonts w:ascii="Verdana" w:hAnsi="Verdana"/>
          <w:i w:val="0"/>
          <w:sz w:val="20"/>
          <w:szCs w:val="20"/>
          <w:lang w:val="es-ES_tradnl"/>
        </w:rPr>
        <w:t>grafoscópico</w:t>
      </w:r>
      <w:proofErr w:type="spellEnd"/>
      <w:r w:rsidRPr="005C1789">
        <w:rPr>
          <w:rFonts w:ascii="Verdana" w:hAnsi="Verdana"/>
          <w:i w:val="0"/>
          <w:sz w:val="20"/>
          <w:szCs w:val="20"/>
          <w:lang w:val="es-ES_tradnl"/>
        </w:rPr>
        <w:t xml:space="preserve"> de la libreta encontrada en el vehículo de las víctimas. El informe concluyó que “las escrituras que aparecen en manuscritos en el documento señalado como cuestionado no fueron elaboradas por el puño y letra del señor Jorge Marcial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w:t>
      </w:r>
      <w:proofErr w:type="spellStart"/>
      <w:r w:rsidRPr="005C1789">
        <w:rPr>
          <w:rFonts w:ascii="Verdana" w:hAnsi="Verdana"/>
          <w:i w:val="0"/>
          <w:sz w:val="20"/>
          <w:szCs w:val="20"/>
          <w:lang w:val="es-ES_tradnl"/>
        </w:rPr>
        <w:t>Tecpile</w:t>
      </w:r>
      <w:proofErr w:type="spellEnd"/>
      <w:r w:rsidRPr="005C1789">
        <w:rPr>
          <w:rFonts w:ascii="Verdana" w:hAnsi="Verdana"/>
          <w:i w:val="0"/>
          <w:sz w:val="20"/>
          <w:szCs w:val="20"/>
          <w:lang w:val="es-ES_tradnl"/>
        </w:rPr>
        <w:t xml:space="preserve">”. Asimismo, se presentó un peritaje psicológico que concluyó lo siguiente: “El lenguaje, los valores y motivaciones personales de los procesados </w:t>
      </w:r>
      <w:r w:rsidR="00FE4FCD" w:rsidRPr="005C1789">
        <w:rPr>
          <w:rFonts w:ascii="Verdana" w:hAnsi="Verdana"/>
          <w:i w:val="0"/>
          <w:sz w:val="20"/>
          <w:szCs w:val="20"/>
          <w:lang w:val="es-ES_tradnl"/>
        </w:rPr>
        <w:t xml:space="preserve">Gerardo </w:t>
      </w:r>
      <w:proofErr w:type="spellStart"/>
      <w:r w:rsidR="00FE4FCD" w:rsidRPr="005C1789">
        <w:rPr>
          <w:rFonts w:ascii="Verdana" w:hAnsi="Verdana"/>
          <w:i w:val="0"/>
          <w:sz w:val="20"/>
          <w:szCs w:val="20"/>
          <w:lang w:val="es-ES_tradnl"/>
        </w:rPr>
        <w:t>Tzompaxtle</w:t>
      </w:r>
      <w:proofErr w:type="spellEnd"/>
      <w:r w:rsidR="00FE4FCD" w:rsidRPr="005C1789">
        <w:rPr>
          <w:rFonts w:ascii="Verdana" w:hAnsi="Verdana"/>
          <w:i w:val="0"/>
          <w:sz w:val="20"/>
          <w:szCs w:val="20"/>
          <w:lang w:val="es-ES_tradnl"/>
        </w:rPr>
        <w:t xml:space="preserve"> </w:t>
      </w:r>
      <w:proofErr w:type="spellStart"/>
      <w:r w:rsidR="00FE4FCD" w:rsidRPr="005C1789">
        <w:rPr>
          <w:rFonts w:ascii="Verdana" w:hAnsi="Verdana"/>
          <w:i w:val="0"/>
          <w:sz w:val="20"/>
          <w:szCs w:val="20"/>
          <w:lang w:val="es-ES_tradnl"/>
        </w:rPr>
        <w:t>Tecpile</w:t>
      </w:r>
      <w:proofErr w:type="spellEnd"/>
      <w:r w:rsidR="00FE4FCD" w:rsidRPr="005C1789">
        <w:rPr>
          <w:rFonts w:ascii="Verdana" w:hAnsi="Verdana"/>
          <w:i w:val="0"/>
          <w:sz w:val="20"/>
          <w:szCs w:val="20"/>
          <w:lang w:val="es-ES_tradnl"/>
        </w:rPr>
        <w:t xml:space="preserve">, Jorge Marcial </w:t>
      </w:r>
      <w:proofErr w:type="spellStart"/>
      <w:r w:rsidR="00FE4FCD" w:rsidRPr="005C1789">
        <w:rPr>
          <w:rFonts w:ascii="Verdana" w:hAnsi="Verdana"/>
          <w:i w:val="0"/>
          <w:sz w:val="20"/>
          <w:szCs w:val="20"/>
          <w:lang w:val="es-ES_tradnl"/>
        </w:rPr>
        <w:t>Tzompaxtle</w:t>
      </w:r>
      <w:proofErr w:type="spellEnd"/>
      <w:r w:rsidR="00FE4FCD" w:rsidRPr="005C1789">
        <w:rPr>
          <w:rFonts w:ascii="Verdana" w:hAnsi="Verdana"/>
          <w:i w:val="0"/>
          <w:sz w:val="20"/>
          <w:szCs w:val="20"/>
          <w:lang w:val="es-ES_tradnl"/>
        </w:rPr>
        <w:t xml:space="preserve"> </w:t>
      </w:r>
      <w:proofErr w:type="spellStart"/>
      <w:r w:rsidR="00FE4FCD" w:rsidRPr="005C1789">
        <w:rPr>
          <w:rFonts w:ascii="Verdana" w:hAnsi="Verdana"/>
          <w:i w:val="0"/>
          <w:sz w:val="20"/>
          <w:szCs w:val="20"/>
          <w:lang w:val="es-ES_tradnl"/>
        </w:rPr>
        <w:t>Tecpile</w:t>
      </w:r>
      <w:proofErr w:type="spellEnd"/>
      <w:r w:rsidR="00FE4FCD" w:rsidRPr="005C1789">
        <w:rPr>
          <w:rFonts w:ascii="Verdana" w:hAnsi="Verdana"/>
          <w:i w:val="0"/>
          <w:sz w:val="20"/>
          <w:szCs w:val="20"/>
          <w:lang w:val="es-ES_tradnl"/>
        </w:rPr>
        <w:t xml:space="preserve"> y </w:t>
      </w:r>
      <w:r w:rsidR="00903755" w:rsidRPr="005C1789">
        <w:rPr>
          <w:rFonts w:ascii="Verdana" w:hAnsi="Verdana"/>
          <w:i w:val="0"/>
          <w:sz w:val="20"/>
          <w:szCs w:val="20"/>
          <w:lang w:val="es-ES_tradnl"/>
        </w:rPr>
        <w:t xml:space="preserve">Gustavo </w:t>
      </w:r>
      <w:r w:rsidR="00FE4FCD" w:rsidRPr="005C1789">
        <w:rPr>
          <w:rFonts w:ascii="Verdana" w:hAnsi="Verdana"/>
          <w:i w:val="0"/>
          <w:sz w:val="20"/>
          <w:szCs w:val="20"/>
          <w:lang w:val="es-ES_tradnl"/>
        </w:rPr>
        <w:t>Robles López</w:t>
      </w:r>
      <w:r w:rsidRPr="005C1789">
        <w:rPr>
          <w:rFonts w:ascii="Verdana" w:hAnsi="Verdana"/>
          <w:i w:val="0"/>
          <w:sz w:val="20"/>
          <w:szCs w:val="20"/>
          <w:lang w:val="es-ES_tradnl"/>
        </w:rPr>
        <w:t xml:space="preserve"> no reflejan relación alguna con el contenido de la libreta señalada y los del Comando Popular Revolucionario ‘La Patria es Primero’”</w:t>
      </w:r>
      <w:r w:rsidR="002F2056" w:rsidRPr="005C1789">
        <w:rPr>
          <w:rStyle w:val="Refdenotaalpie"/>
          <w:rFonts w:ascii="Verdana" w:hAnsi="Verdana"/>
          <w:i w:val="0"/>
          <w:sz w:val="20"/>
          <w:lang w:val="es-ES_tradnl"/>
        </w:rPr>
        <w:footnoteReference w:id="53"/>
      </w:r>
      <w:r w:rsidRPr="005C1789">
        <w:rPr>
          <w:rFonts w:ascii="Verdana" w:hAnsi="Verdana"/>
          <w:i w:val="0"/>
          <w:sz w:val="20"/>
          <w:szCs w:val="20"/>
          <w:lang w:val="es-ES_tradnl"/>
        </w:rPr>
        <w:t>.</w:t>
      </w:r>
    </w:p>
    <w:p w14:paraId="0507FA6C" w14:textId="7D443C13"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19 de junio de 2007 se inició la averiguación previa en contra de las víctimas por el delito de cohecho</w:t>
      </w:r>
      <w:r w:rsidR="00B5187C" w:rsidRPr="005C1789">
        <w:rPr>
          <w:rFonts w:ascii="Verdana" w:hAnsi="Verdana"/>
          <w:i w:val="0"/>
          <w:sz w:val="20"/>
          <w:szCs w:val="20"/>
          <w:lang w:val="es-ES_tradnl"/>
        </w:rPr>
        <w:t xml:space="preserve"> por </w:t>
      </w:r>
      <w:r w:rsidR="00376877" w:rsidRPr="005C1789">
        <w:rPr>
          <w:rFonts w:ascii="Verdana" w:hAnsi="Verdana"/>
          <w:i w:val="0"/>
          <w:sz w:val="20"/>
          <w:szCs w:val="20"/>
          <w:lang w:val="es-ES_tradnl"/>
        </w:rPr>
        <w:t xml:space="preserve">la alegada tentativa de soborno de los elementos de la </w:t>
      </w:r>
      <w:r w:rsidR="00C03342" w:rsidRPr="005C1789">
        <w:rPr>
          <w:rFonts w:ascii="Verdana" w:hAnsi="Verdana"/>
          <w:i w:val="0"/>
          <w:sz w:val="20"/>
          <w:szCs w:val="20"/>
          <w:lang w:val="es-ES_tradnl"/>
        </w:rPr>
        <w:t>PFP</w:t>
      </w:r>
      <w:r w:rsidR="00376877" w:rsidRPr="005C1789">
        <w:rPr>
          <w:rFonts w:ascii="Verdana" w:hAnsi="Verdana"/>
          <w:i w:val="0"/>
          <w:sz w:val="20"/>
          <w:szCs w:val="20"/>
          <w:lang w:val="es-ES_tradnl"/>
        </w:rPr>
        <w:t xml:space="preserve"> que participaron en la detención de las víctimas</w:t>
      </w:r>
      <w:r w:rsidRPr="005C1789">
        <w:rPr>
          <w:rFonts w:ascii="Verdana" w:hAnsi="Verdana"/>
          <w:i w:val="0"/>
          <w:sz w:val="20"/>
          <w:szCs w:val="20"/>
          <w:lang w:val="es-ES_tradnl"/>
        </w:rPr>
        <w:t>. Al día siguiente el Ministerio Público ejerció acción penal en contra de las víctimas y remitió el expediente al Juzgado Décimo Segundo de Distrito en el estado de Veracruz</w:t>
      </w:r>
      <w:r w:rsidR="009430EF" w:rsidRPr="005C1789">
        <w:rPr>
          <w:rStyle w:val="Refdenotaalpie"/>
          <w:rFonts w:ascii="Verdana" w:hAnsi="Verdana"/>
          <w:i w:val="0"/>
          <w:sz w:val="20"/>
          <w:lang w:val="es-ES_tradnl"/>
        </w:rPr>
        <w:footnoteReference w:id="54"/>
      </w:r>
      <w:r w:rsidRPr="005C1789">
        <w:rPr>
          <w:rFonts w:ascii="Verdana" w:hAnsi="Verdana"/>
          <w:i w:val="0"/>
          <w:sz w:val="20"/>
          <w:szCs w:val="20"/>
          <w:lang w:val="es-ES_tradnl"/>
        </w:rPr>
        <w:t>.</w:t>
      </w:r>
    </w:p>
    <w:p w14:paraId="1E1EAAAC" w14:textId="2CA8BECA" w:rsidR="005C39D3" w:rsidRPr="005C1789" w:rsidRDefault="00E625B6"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lastRenderedPageBreak/>
        <w:t>E</w:t>
      </w:r>
      <w:r w:rsidR="005C39D3" w:rsidRPr="005C1789">
        <w:rPr>
          <w:rFonts w:ascii="Verdana" w:hAnsi="Verdana"/>
          <w:i w:val="0"/>
          <w:sz w:val="20"/>
          <w:szCs w:val="20"/>
          <w:lang w:val="es-ES_tradnl"/>
        </w:rPr>
        <w:t xml:space="preserve">l 7 de julio de 2007 las víctimas rindieron declaración preparatoria y se les dictó un nuevo auto formal </w:t>
      </w:r>
      <w:r w:rsidR="00B0735D" w:rsidRPr="005C1789">
        <w:rPr>
          <w:rFonts w:ascii="Verdana" w:hAnsi="Verdana"/>
          <w:i w:val="0"/>
          <w:sz w:val="20"/>
          <w:szCs w:val="20"/>
          <w:lang w:val="es-ES_tradnl"/>
        </w:rPr>
        <w:t xml:space="preserve">de </w:t>
      </w:r>
      <w:r w:rsidR="005C39D3" w:rsidRPr="005C1789">
        <w:rPr>
          <w:rFonts w:ascii="Verdana" w:hAnsi="Verdana"/>
          <w:i w:val="0"/>
          <w:sz w:val="20"/>
          <w:szCs w:val="20"/>
          <w:lang w:val="es-ES_tradnl"/>
        </w:rPr>
        <w:t>prisión.</w:t>
      </w:r>
    </w:p>
    <w:p w14:paraId="19864D1F" w14:textId="3DC1ABD9"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20 de agosto de 2007 se acumular</w:t>
      </w:r>
      <w:r w:rsidR="003C42EC" w:rsidRPr="005C1789">
        <w:rPr>
          <w:rFonts w:ascii="Verdana" w:hAnsi="Verdana"/>
          <w:i w:val="0"/>
          <w:sz w:val="20"/>
          <w:szCs w:val="20"/>
          <w:lang w:val="es-ES_tradnl"/>
        </w:rPr>
        <w:t>on</w:t>
      </w:r>
      <w:r w:rsidRPr="005C1789">
        <w:rPr>
          <w:rFonts w:ascii="Verdana" w:hAnsi="Verdana"/>
          <w:i w:val="0"/>
          <w:sz w:val="20"/>
          <w:szCs w:val="20"/>
          <w:lang w:val="es-ES_tradnl"/>
        </w:rPr>
        <w:t xml:space="preserve"> los dos procesos penales (</w:t>
      </w:r>
      <w:r w:rsidR="00B5187C" w:rsidRPr="005C1789">
        <w:rPr>
          <w:rFonts w:ascii="Verdana" w:hAnsi="Verdana"/>
          <w:i w:val="0"/>
          <w:sz w:val="20"/>
          <w:szCs w:val="20"/>
          <w:lang w:val="es-ES_tradnl"/>
        </w:rPr>
        <w:t>por el delito establecido en la Ley Federal contra la Delincuencia Organizada en la modalidad de terrorismo</w:t>
      </w:r>
      <w:r w:rsidRPr="005C1789">
        <w:rPr>
          <w:rFonts w:ascii="Verdana" w:hAnsi="Verdana"/>
          <w:i w:val="0"/>
          <w:sz w:val="20"/>
          <w:szCs w:val="20"/>
          <w:lang w:val="es-ES_tradnl"/>
        </w:rPr>
        <w:t xml:space="preserve"> y el de cohecho). Ello debido “a que del material probatorio obtenido y analizado en ese momento se demostró que existía relación entre las causas”</w:t>
      </w:r>
      <w:r w:rsidR="00466044" w:rsidRPr="005C1789">
        <w:rPr>
          <w:rStyle w:val="Refdenotaalpie"/>
          <w:rFonts w:ascii="Verdana" w:hAnsi="Verdana"/>
          <w:i w:val="0"/>
          <w:sz w:val="20"/>
          <w:lang w:val="es-ES_tradnl"/>
        </w:rPr>
        <w:footnoteReference w:id="55"/>
      </w:r>
      <w:r w:rsidRPr="005C1789">
        <w:rPr>
          <w:rFonts w:ascii="Verdana" w:hAnsi="Verdana"/>
          <w:i w:val="0"/>
          <w:sz w:val="20"/>
          <w:szCs w:val="20"/>
          <w:lang w:val="es-ES_tradnl"/>
        </w:rPr>
        <w:t>.</w:t>
      </w:r>
    </w:p>
    <w:p w14:paraId="5049606C" w14:textId="43D13530" w:rsidR="005C39D3" w:rsidRPr="005C1789" w:rsidRDefault="005C39D3"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14 de mayo de 2008 el Juez Décimo Segundo de Distrito emitió una sentencia condenatoria en contra de las víctimas por los siguientes delitos: </w:t>
      </w:r>
      <w:r w:rsidR="00AA6411">
        <w:rPr>
          <w:rFonts w:ascii="Verdana" w:hAnsi="Verdana"/>
          <w:i w:val="0"/>
          <w:sz w:val="20"/>
          <w:szCs w:val="20"/>
          <w:lang w:val="es-ES_tradnl"/>
        </w:rPr>
        <w:t>a</w:t>
      </w:r>
      <w:r w:rsidRPr="005C1789">
        <w:rPr>
          <w:rFonts w:ascii="Verdana" w:hAnsi="Verdana"/>
          <w:i w:val="0"/>
          <w:sz w:val="20"/>
          <w:szCs w:val="20"/>
          <w:lang w:val="es-ES_tradnl"/>
        </w:rPr>
        <w:t>) violación a la Ley Federal Contra la Delincuencia Organizada, con la finalidad de cometer terrorismo</w:t>
      </w:r>
      <w:r w:rsidR="00E0450D" w:rsidRPr="005C1789">
        <w:rPr>
          <w:rFonts w:ascii="Verdana" w:hAnsi="Verdana"/>
          <w:i w:val="0"/>
          <w:sz w:val="20"/>
          <w:szCs w:val="20"/>
          <w:lang w:val="es-ES_tradnl"/>
        </w:rPr>
        <w:t>,</w:t>
      </w:r>
      <w:r w:rsidRPr="005C1789">
        <w:rPr>
          <w:rFonts w:ascii="Verdana" w:hAnsi="Verdana"/>
          <w:i w:val="0"/>
          <w:sz w:val="20"/>
          <w:szCs w:val="20"/>
          <w:lang w:val="es-ES_tradnl"/>
        </w:rPr>
        <w:t xml:space="preserve"> y </w:t>
      </w:r>
      <w:r w:rsidR="00AA6411">
        <w:rPr>
          <w:rFonts w:ascii="Verdana" w:hAnsi="Verdana"/>
          <w:i w:val="0"/>
          <w:sz w:val="20"/>
          <w:szCs w:val="20"/>
          <w:lang w:val="es-ES_tradnl"/>
        </w:rPr>
        <w:t>b</w:t>
      </w:r>
      <w:r w:rsidRPr="005C1789">
        <w:rPr>
          <w:rFonts w:ascii="Verdana" w:hAnsi="Verdana"/>
          <w:i w:val="0"/>
          <w:sz w:val="20"/>
          <w:szCs w:val="20"/>
          <w:lang w:val="es-ES_tradnl"/>
        </w:rPr>
        <w:t>) cohecho. El Juez los condenó a una pena de cuatro años por el primer delito y tres meses por el segundo delito</w:t>
      </w:r>
      <w:r w:rsidR="00FC62F4" w:rsidRPr="005C1789">
        <w:rPr>
          <w:rStyle w:val="Refdenotaalpie"/>
          <w:rFonts w:ascii="Verdana" w:hAnsi="Verdana"/>
          <w:i w:val="0"/>
          <w:sz w:val="20"/>
          <w:lang w:val="es-ES_tradnl"/>
        </w:rPr>
        <w:footnoteReference w:id="56"/>
      </w:r>
      <w:r w:rsidRPr="005C1789">
        <w:rPr>
          <w:rFonts w:ascii="Verdana" w:hAnsi="Verdana"/>
          <w:i w:val="0"/>
          <w:sz w:val="20"/>
          <w:szCs w:val="20"/>
          <w:lang w:val="es-ES_tradnl"/>
        </w:rPr>
        <w:t xml:space="preserve">. </w:t>
      </w:r>
    </w:p>
    <w:p w14:paraId="1BAA55D7" w14:textId="44AD381A" w:rsidR="005C39D3" w:rsidRPr="005C1789" w:rsidRDefault="00E625B6"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La Corte advierte que v</w:t>
      </w:r>
      <w:r w:rsidR="005C39D3" w:rsidRPr="005C1789">
        <w:rPr>
          <w:rFonts w:ascii="Verdana" w:hAnsi="Verdana"/>
          <w:i w:val="0"/>
          <w:sz w:val="20"/>
          <w:szCs w:val="20"/>
          <w:lang w:val="es-ES_tradnl"/>
        </w:rPr>
        <w:t xml:space="preserve">arias diligencias fueron </w:t>
      </w:r>
      <w:r w:rsidR="00745EE7" w:rsidRPr="005C1789">
        <w:rPr>
          <w:rFonts w:ascii="Verdana" w:hAnsi="Verdana"/>
          <w:i w:val="0"/>
          <w:sz w:val="20"/>
          <w:szCs w:val="20"/>
          <w:lang w:val="es-ES_tradnl"/>
        </w:rPr>
        <w:t xml:space="preserve">llevadas a cabo </w:t>
      </w:r>
      <w:r w:rsidR="005C39D3" w:rsidRPr="005C1789">
        <w:rPr>
          <w:rFonts w:ascii="Verdana" w:hAnsi="Verdana"/>
          <w:i w:val="0"/>
          <w:sz w:val="20"/>
          <w:szCs w:val="20"/>
          <w:lang w:val="es-ES_tradnl"/>
        </w:rPr>
        <w:t>por el Juzgado Décimo de Distrito en el estado de Veracruz. Entre mayo y agosto de 2007, se tomaron y analizaron varias declaraciones testimoniales</w:t>
      </w:r>
      <w:r w:rsidR="004C5FE7" w:rsidRPr="005C1789">
        <w:rPr>
          <w:rFonts w:ascii="Verdana" w:hAnsi="Verdana"/>
          <w:i w:val="0"/>
          <w:sz w:val="20"/>
          <w:szCs w:val="20"/>
          <w:lang w:val="es-ES_tradnl"/>
        </w:rPr>
        <w:t>,</w:t>
      </w:r>
      <w:r w:rsidR="005C39D3" w:rsidRPr="005C1789">
        <w:rPr>
          <w:rFonts w:ascii="Verdana" w:hAnsi="Verdana"/>
          <w:i w:val="0"/>
          <w:sz w:val="20"/>
          <w:szCs w:val="20"/>
          <w:lang w:val="es-ES_tradnl"/>
        </w:rPr>
        <w:t xml:space="preserve"> se realizaron estudios de los peritajes en materia de grafoscopía y caligrafía, criminalística, muestra de números y firmas que fueron materia de cotejo, así como las fotografías de la escritura de cotejo cuestionada, se analizaron las ampliaciones de dictámenes, entre otras diligencias.</w:t>
      </w:r>
    </w:p>
    <w:p w14:paraId="70ABE408" w14:textId="0591FE28" w:rsidR="005C39D3" w:rsidRPr="005C1789" w:rsidRDefault="00223B2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w:t>
      </w:r>
      <w:bookmarkStart w:id="77" w:name="_Hlk110926973"/>
      <w:r w:rsidRPr="005C1789">
        <w:rPr>
          <w:rFonts w:ascii="Verdana" w:hAnsi="Verdana"/>
          <w:i w:val="0"/>
          <w:sz w:val="20"/>
          <w:szCs w:val="20"/>
          <w:lang w:val="es-ES_tradnl"/>
        </w:rPr>
        <w:t>16 de octubre de 2008</w:t>
      </w:r>
      <w:bookmarkEnd w:id="77"/>
      <w:r w:rsidRPr="005C1789">
        <w:rPr>
          <w:rFonts w:ascii="Verdana" w:hAnsi="Verdana"/>
          <w:i w:val="0"/>
          <w:sz w:val="20"/>
          <w:szCs w:val="20"/>
          <w:lang w:val="es-ES_tradnl"/>
        </w:rPr>
        <w:t xml:space="preserve">, frente al recurso de apelación </w:t>
      </w:r>
      <w:r w:rsidR="0076722E" w:rsidRPr="005C1789">
        <w:rPr>
          <w:rFonts w:ascii="Verdana" w:hAnsi="Verdana"/>
          <w:i w:val="0"/>
          <w:sz w:val="20"/>
          <w:szCs w:val="20"/>
          <w:lang w:val="es-ES_tradnl"/>
        </w:rPr>
        <w:t>interpuesto</w:t>
      </w:r>
      <w:r w:rsidRPr="005C1789">
        <w:rPr>
          <w:rFonts w:ascii="Verdana" w:hAnsi="Verdana"/>
          <w:i w:val="0"/>
          <w:sz w:val="20"/>
          <w:szCs w:val="20"/>
          <w:lang w:val="es-ES_tradnl"/>
        </w:rPr>
        <w:t xml:space="preserve">, el Segundo Tribunal Unitario en Materia Penal del Séptimo Circuito, con residencia en Boca del Río, Veracruz, emitió una sentencia en donde absolvió a las víctimas del delito de violación a la Ley Federal Contra la Delincuencia Organizada en la modalidad de terrorismo. Asimismo, </w:t>
      </w:r>
      <w:r w:rsidR="00B83091" w:rsidRPr="005C1789">
        <w:rPr>
          <w:rFonts w:ascii="Verdana" w:hAnsi="Verdana"/>
          <w:i w:val="0"/>
          <w:sz w:val="20"/>
          <w:szCs w:val="20"/>
          <w:lang w:val="es-ES_tradnl"/>
        </w:rPr>
        <w:t xml:space="preserve">se </w:t>
      </w:r>
      <w:r w:rsidRPr="005C1789">
        <w:rPr>
          <w:rFonts w:ascii="Verdana" w:hAnsi="Verdana"/>
          <w:i w:val="0"/>
          <w:sz w:val="20"/>
          <w:szCs w:val="20"/>
          <w:lang w:val="es-ES_tradnl"/>
        </w:rPr>
        <w:t xml:space="preserve">confirmó la condena por el delito de cohecho. El Tribunal consideró que la pena por cohecho se encontraba compurgada por lo que ordenó </w:t>
      </w:r>
      <w:r w:rsidR="005B4E96" w:rsidRPr="005C1789">
        <w:rPr>
          <w:rFonts w:ascii="Verdana" w:hAnsi="Verdana"/>
          <w:i w:val="0"/>
          <w:sz w:val="20"/>
          <w:szCs w:val="20"/>
          <w:lang w:val="es-ES_tradnl"/>
        </w:rPr>
        <w:t>su</w:t>
      </w:r>
      <w:r w:rsidRPr="005C1789">
        <w:rPr>
          <w:rFonts w:ascii="Verdana" w:hAnsi="Verdana"/>
          <w:i w:val="0"/>
          <w:sz w:val="20"/>
          <w:szCs w:val="20"/>
          <w:lang w:val="es-ES_tradnl"/>
        </w:rPr>
        <w:t xml:space="preserve"> inmediata</w:t>
      </w:r>
      <w:r w:rsidR="007745EE" w:rsidRPr="005C1789">
        <w:rPr>
          <w:rFonts w:ascii="Verdana" w:hAnsi="Verdana"/>
          <w:i w:val="0"/>
          <w:sz w:val="20"/>
          <w:szCs w:val="20"/>
          <w:lang w:val="es-ES_tradnl"/>
        </w:rPr>
        <w:t xml:space="preserve"> libertad</w:t>
      </w:r>
      <w:r w:rsidRPr="005C1789">
        <w:rPr>
          <w:rFonts w:ascii="Verdana" w:hAnsi="Verdana"/>
          <w:i w:val="0"/>
          <w:sz w:val="20"/>
          <w:szCs w:val="20"/>
          <w:lang w:val="es-ES_tradnl"/>
        </w:rPr>
        <w:t>. El mismo día</w:t>
      </w:r>
      <w:r w:rsidR="00B434D7" w:rsidRPr="005C1789">
        <w:rPr>
          <w:rFonts w:ascii="Verdana" w:hAnsi="Verdana"/>
          <w:i w:val="0"/>
          <w:sz w:val="20"/>
          <w:szCs w:val="20"/>
          <w:lang w:val="es-ES_tradnl"/>
        </w:rPr>
        <w:t>, fueron liberados</w:t>
      </w:r>
      <w:r w:rsidRPr="005C1789">
        <w:rPr>
          <w:rFonts w:ascii="Verdana" w:hAnsi="Verdana"/>
          <w:i w:val="0"/>
          <w:sz w:val="20"/>
          <w:szCs w:val="20"/>
          <w:lang w:val="es-ES_tradnl"/>
        </w:rPr>
        <w:t xml:space="preserve"> después de pasar 2 años, 9 meses y 5 días privad</w:t>
      </w:r>
      <w:r w:rsidR="007745EE" w:rsidRPr="005C1789">
        <w:rPr>
          <w:rFonts w:ascii="Verdana" w:hAnsi="Verdana"/>
          <w:i w:val="0"/>
          <w:sz w:val="20"/>
          <w:szCs w:val="20"/>
          <w:lang w:val="es-ES_tradnl"/>
        </w:rPr>
        <w:t>o</w:t>
      </w:r>
      <w:r w:rsidRPr="005C1789">
        <w:rPr>
          <w:rFonts w:ascii="Verdana" w:hAnsi="Verdana"/>
          <w:i w:val="0"/>
          <w:sz w:val="20"/>
          <w:szCs w:val="20"/>
          <w:lang w:val="es-ES_tradnl"/>
        </w:rPr>
        <w:t>s de libertad</w:t>
      </w:r>
      <w:r w:rsidR="00856CF0" w:rsidRPr="005C1789">
        <w:rPr>
          <w:rStyle w:val="Refdenotaalpie"/>
          <w:rFonts w:ascii="Verdana" w:hAnsi="Verdana"/>
          <w:i w:val="0"/>
          <w:sz w:val="20"/>
          <w:lang w:val="es-ES_tradnl"/>
        </w:rPr>
        <w:footnoteReference w:id="57"/>
      </w:r>
      <w:r w:rsidRPr="005C1789">
        <w:rPr>
          <w:rFonts w:ascii="Verdana" w:hAnsi="Verdana"/>
          <w:i w:val="0"/>
          <w:sz w:val="20"/>
          <w:szCs w:val="20"/>
          <w:lang w:val="es-ES_tradnl"/>
        </w:rPr>
        <w:t>.</w:t>
      </w:r>
    </w:p>
    <w:p w14:paraId="3B9C0665" w14:textId="397C55CE" w:rsidR="002D5AEB" w:rsidRPr="005C1789" w:rsidRDefault="002D5AEB" w:rsidP="00955888">
      <w:pPr>
        <w:pStyle w:val="Ttulo2"/>
        <w:numPr>
          <w:ilvl w:val="0"/>
          <w:numId w:val="8"/>
        </w:numPr>
        <w:spacing w:before="240" w:after="240"/>
        <w:jc w:val="both"/>
        <w:rPr>
          <w:rFonts w:ascii="Verdana" w:hAnsi="Verdana"/>
          <w:i/>
          <w:color w:val="auto"/>
          <w:sz w:val="20"/>
          <w:szCs w:val="20"/>
        </w:rPr>
      </w:pPr>
      <w:bookmarkStart w:id="78" w:name="_Toc123347522"/>
      <w:r w:rsidRPr="005C1789">
        <w:rPr>
          <w:rFonts w:ascii="Verdana" w:hAnsi="Verdana"/>
          <w:i/>
          <w:color w:val="auto"/>
          <w:sz w:val="20"/>
          <w:szCs w:val="20"/>
        </w:rPr>
        <w:t>Sobre los recursos de amparo interpuestos</w:t>
      </w:r>
      <w:bookmarkEnd w:id="78"/>
      <w:r w:rsidRPr="005C1789">
        <w:rPr>
          <w:rFonts w:ascii="Verdana" w:hAnsi="Verdana"/>
          <w:i/>
          <w:color w:val="auto"/>
          <w:sz w:val="20"/>
          <w:szCs w:val="20"/>
        </w:rPr>
        <w:t xml:space="preserve"> </w:t>
      </w:r>
    </w:p>
    <w:p w14:paraId="75A3C9B5" w14:textId="6ED6F4AB" w:rsidR="009710EF" w:rsidRPr="005C1789" w:rsidRDefault="009710EF"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6 de marzo de 2006</w:t>
      </w:r>
      <w:r w:rsidR="002A707B" w:rsidRPr="005C1789">
        <w:rPr>
          <w:rFonts w:ascii="Verdana" w:hAnsi="Verdana"/>
          <w:i w:val="0"/>
          <w:sz w:val="20"/>
          <w:szCs w:val="20"/>
          <w:lang w:val="es-ES_tradnl"/>
        </w:rPr>
        <w:t>,</w:t>
      </w:r>
      <w:r w:rsidRPr="005C1789">
        <w:rPr>
          <w:rFonts w:ascii="Verdana" w:hAnsi="Verdana"/>
          <w:i w:val="0"/>
          <w:sz w:val="20"/>
          <w:szCs w:val="20"/>
          <w:lang w:val="es-ES_tradnl"/>
        </w:rPr>
        <w:t xml:space="preserve"> la defensa de las víctimas interpuso un recurso de amparo ante el Juez Primero de Distrito de Amparos en Materia Penal en el Distrito Federal. En dicho recurso se reclamó la privación de la libertad de las víctimas en la modalidad de arraigo. El recurso fue sobreseído ya que fue resuelto cuando el arraigo había culminado y estaban detenidos bajo una orden judicial</w:t>
      </w:r>
      <w:r w:rsidR="001B1CB2" w:rsidRPr="005C1789">
        <w:rPr>
          <w:rStyle w:val="Refdenotaalpie"/>
          <w:rFonts w:ascii="Verdana" w:hAnsi="Verdana"/>
          <w:i w:val="0"/>
          <w:sz w:val="20"/>
          <w:lang w:val="es-ES_tradnl"/>
        </w:rPr>
        <w:footnoteReference w:id="58"/>
      </w:r>
      <w:r w:rsidRPr="005C1789">
        <w:rPr>
          <w:rFonts w:ascii="Verdana" w:hAnsi="Verdana"/>
          <w:i w:val="0"/>
          <w:sz w:val="20"/>
          <w:szCs w:val="20"/>
          <w:lang w:val="es-ES_tradnl"/>
        </w:rPr>
        <w:t xml:space="preserve">. </w:t>
      </w:r>
    </w:p>
    <w:p w14:paraId="2C570872" w14:textId="33F8971C" w:rsidR="009710EF" w:rsidRPr="005C1789" w:rsidRDefault="009710EF"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15 de marzo de 2006</w:t>
      </w:r>
      <w:r w:rsidR="00222804" w:rsidRPr="005C1789">
        <w:rPr>
          <w:rFonts w:ascii="Verdana" w:hAnsi="Verdana"/>
          <w:i w:val="0"/>
          <w:sz w:val="20"/>
          <w:szCs w:val="20"/>
          <w:lang w:val="es-ES_tradnl"/>
        </w:rPr>
        <w:t xml:space="preserve">, las víctimas </w:t>
      </w:r>
      <w:r w:rsidRPr="005C1789">
        <w:rPr>
          <w:rFonts w:ascii="Verdana" w:hAnsi="Verdana"/>
          <w:i w:val="0"/>
          <w:sz w:val="20"/>
          <w:szCs w:val="20"/>
          <w:lang w:val="es-ES_tradnl"/>
        </w:rPr>
        <w:t>interpus</w:t>
      </w:r>
      <w:r w:rsidR="00222804" w:rsidRPr="005C1789">
        <w:rPr>
          <w:rFonts w:ascii="Verdana" w:hAnsi="Verdana"/>
          <w:i w:val="0"/>
          <w:sz w:val="20"/>
          <w:szCs w:val="20"/>
          <w:lang w:val="es-ES_tradnl"/>
        </w:rPr>
        <w:t>ieron</w:t>
      </w:r>
      <w:r w:rsidRPr="005C1789">
        <w:rPr>
          <w:rFonts w:ascii="Verdana" w:hAnsi="Verdana"/>
          <w:i w:val="0"/>
          <w:sz w:val="20"/>
          <w:szCs w:val="20"/>
          <w:lang w:val="es-ES_tradnl"/>
        </w:rPr>
        <w:t xml:space="preserve"> un recurso de amparo denunciado dicha situación, el </w:t>
      </w:r>
      <w:r w:rsidR="00E625B6" w:rsidRPr="005C1789">
        <w:rPr>
          <w:rFonts w:ascii="Verdana" w:hAnsi="Verdana"/>
          <w:i w:val="0"/>
          <w:sz w:val="20"/>
          <w:szCs w:val="20"/>
          <w:lang w:val="es-ES_tradnl"/>
        </w:rPr>
        <w:t xml:space="preserve">mismo </w:t>
      </w:r>
      <w:r w:rsidRPr="005C1789">
        <w:rPr>
          <w:rFonts w:ascii="Verdana" w:hAnsi="Verdana"/>
          <w:i w:val="0"/>
          <w:sz w:val="20"/>
          <w:szCs w:val="20"/>
          <w:lang w:val="es-ES_tradnl"/>
        </w:rPr>
        <w:t xml:space="preserve">fue sobreseído con el argumento de que “al momento de resolverse los detenidos habían sido consignados al Juez del proceso”. </w:t>
      </w:r>
    </w:p>
    <w:p w14:paraId="21EBCE30" w14:textId="56833C73" w:rsidR="009710EF" w:rsidRPr="005C1789" w:rsidRDefault="009710EF"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Ese día las víctimas promovieron otro amparo indirecto, esta vez en contra de la alegada obstaculización de su derecho a la defensa adecuada, toda vez que la Procuraduría General de la República les negaba a ellas y a su defensa el acceso a la investigación. El juicio fue tramitado por el Juez Primero de Distrito de Amparo en Materia Penal en el Distrito Federal</w:t>
      </w:r>
      <w:r w:rsidR="00B61595" w:rsidRPr="005C1789">
        <w:rPr>
          <w:rFonts w:ascii="Verdana" w:hAnsi="Verdana"/>
          <w:i w:val="0"/>
          <w:sz w:val="20"/>
          <w:szCs w:val="20"/>
          <w:lang w:val="es-ES_tradnl"/>
        </w:rPr>
        <w:t xml:space="preserve">. El </w:t>
      </w:r>
      <w:r w:rsidR="008B332E" w:rsidRPr="005C1789">
        <w:rPr>
          <w:rFonts w:ascii="Verdana" w:hAnsi="Verdana"/>
          <w:i w:val="0"/>
          <w:sz w:val="20"/>
          <w:szCs w:val="20"/>
          <w:lang w:val="es-ES_tradnl"/>
        </w:rPr>
        <w:t xml:space="preserve">amparo </w:t>
      </w:r>
      <w:r w:rsidRPr="005C1789">
        <w:rPr>
          <w:rFonts w:ascii="Verdana" w:hAnsi="Verdana"/>
          <w:i w:val="0"/>
          <w:sz w:val="20"/>
          <w:szCs w:val="20"/>
          <w:lang w:val="es-ES_tradnl"/>
        </w:rPr>
        <w:t xml:space="preserve">fue sobreseído </w:t>
      </w:r>
      <w:r w:rsidRPr="005C1789">
        <w:rPr>
          <w:rFonts w:ascii="Verdana" w:hAnsi="Verdana"/>
          <w:i w:val="0"/>
          <w:sz w:val="20"/>
          <w:szCs w:val="20"/>
          <w:lang w:val="es-ES_tradnl"/>
        </w:rPr>
        <w:lastRenderedPageBreak/>
        <w:t>por cambio en la situación jurídica.</w:t>
      </w:r>
    </w:p>
    <w:p w14:paraId="6E51D9EE" w14:textId="41BF7AAE" w:rsidR="009710EF" w:rsidRPr="005C1789" w:rsidRDefault="009710EF"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5 de abril de 2006</w:t>
      </w:r>
      <w:r w:rsidR="002A707B" w:rsidRPr="005C1789">
        <w:rPr>
          <w:rFonts w:ascii="Verdana" w:hAnsi="Verdana"/>
          <w:i w:val="0"/>
          <w:sz w:val="20"/>
          <w:szCs w:val="20"/>
          <w:lang w:val="es-ES_tradnl"/>
        </w:rPr>
        <w:t>,</w:t>
      </w:r>
      <w:r w:rsidRPr="005C1789">
        <w:rPr>
          <w:rFonts w:ascii="Verdana" w:hAnsi="Verdana"/>
          <w:i w:val="0"/>
          <w:sz w:val="20"/>
          <w:szCs w:val="20"/>
          <w:lang w:val="es-ES_tradnl"/>
        </w:rPr>
        <w:t xml:space="preserve"> las víctimas </w:t>
      </w:r>
      <w:r w:rsidR="0076722E" w:rsidRPr="005C1789">
        <w:rPr>
          <w:rFonts w:ascii="Verdana" w:hAnsi="Verdana"/>
          <w:i w:val="0"/>
          <w:sz w:val="20"/>
          <w:szCs w:val="20"/>
          <w:lang w:val="es-ES_tradnl"/>
        </w:rPr>
        <w:t>promovieron</w:t>
      </w:r>
      <w:r w:rsidRPr="005C1789">
        <w:rPr>
          <w:rFonts w:ascii="Verdana" w:hAnsi="Verdana"/>
          <w:i w:val="0"/>
          <w:sz w:val="20"/>
          <w:szCs w:val="20"/>
          <w:lang w:val="es-ES_tradnl"/>
        </w:rPr>
        <w:t xml:space="preserve"> un nuevo recurso de amparo ante el Juez Primero de Distrito de Amparos en Materia Penal en el Distrito Federal. Ello debido a un posible traslado a un centro de máxima seguridad. </w:t>
      </w:r>
      <w:r w:rsidR="00B61595" w:rsidRPr="005C1789">
        <w:rPr>
          <w:rFonts w:ascii="Verdana" w:hAnsi="Verdana"/>
          <w:i w:val="0"/>
          <w:sz w:val="20"/>
          <w:szCs w:val="20"/>
          <w:lang w:val="es-ES_tradnl"/>
        </w:rPr>
        <w:t>D</w:t>
      </w:r>
      <w:r w:rsidRPr="005C1789">
        <w:rPr>
          <w:rFonts w:ascii="Verdana" w:hAnsi="Verdana"/>
          <w:i w:val="0"/>
          <w:sz w:val="20"/>
          <w:szCs w:val="20"/>
          <w:lang w:val="es-ES_tradnl"/>
        </w:rPr>
        <w:t>icho recurso fue rechazado debido a que las</w:t>
      </w:r>
      <w:r w:rsidR="00767680" w:rsidRPr="005C1789">
        <w:rPr>
          <w:rFonts w:ascii="Verdana" w:hAnsi="Verdana"/>
          <w:i w:val="0"/>
          <w:sz w:val="20"/>
          <w:szCs w:val="20"/>
          <w:lang w:val="es-ES_tradnl"/>
        </w:rPr>
        <w:t xml:space="preserve"> víctimas</w:t>
      </w:r>
      <w:r w:rsidRPr="005C1789">
        <w:rPr>
          <w:rFonts w:ascii="Verdana" w:hAnsi="Verdana"/>
          <w:i w:val="0"/>
          <w:sz w:val="20"/>
          <w:szCs w:val="20"/>
          <w:lang w:val="es-ES_tradnl"/>
        </w:rPr>
        <w:t xml:space="preserve"> estaban privadas de su libertad bajo una medida de arraigo y </w:t>
      </w:r>
      <w:r w:rsidR="00B61595" w:rsidRPr="005C1789">
        <w:rPr>
          <w:rFonts w:ascii="Verdana" w:hAnsi="Verdana"/>
          <w:i w:val="0"/>
          <w:sz w:val="20"/>
          <w:szCs w:val="20"/>
          <w:lang w:val="es-ES_tradnl"/>
        </w:rPr>
        <w:t xml:space="preserve">a </w:t>
      </w:r>
      <w:r w:rsidRPr="005C1789">
        <w:rPr>
          <w:rFonts w:ascii="Verdana" w:hAnsi="Verdana"/>
          <w:i w:val="0"/>
          <w:sz w:val="20"/>
          <w:szCs w:val="20"/>
          <w:lang w:val="es-ES_tradnl"/>
        </w:rPr>
        <w:t xml:space="preserve">que no se encontraban en un centro de reclusión, lo cual era requisito indispensable para el traslado a centros de máxima seguridad. Contra </w:t>
      </w:r>
      <w:r w:rsidR="0076722E" w:rsidRPr="005C1789">
        <w:rPr>
          <w:rFonts w:ascii="Verdana" w:hAnsi="Verdana"/>
          <w:i w:val="0"/>
          <w:sz w:val="20"/>
          <w:szCs w:val="20"/>
          <w:lang w:val="es-ES_tradnl"/>
        </w:rPr>
        <w:t>tal</w:t>
      </w:r>
      <w:r w:rsidRPr="005C1789">
        <w:rPr>
          <w:rFonts w:ascii="Verdana" w:hAnsi="Verdana"/>
          <w:i w:val="0"/>
          <w:sz w:val="20"/>
          <w:szCs w:val="20"/>
          <w:lang w:val="es-ES_tradnl"/>
        </w:rPr>
        <w:t xml:space="preserve"> decisión se interpuso un recurso de revisión, </w:t>
      </w:r>
      <w:r w:rsidR="0076722E" w:rsidRPr="005C1789">
        <w:rPr>
          <w:rFonts w:ascii="Verdana" w:hAnsi="Verdana"/>
          <w:i w:val="0"/>
          <w:sz w:val="20"/>
          <w:szCs w:val="20"/>
          <w:lang w:val="es-ES_tradnl"/>
        </w:rPr>
        <w:t>que</w:t>
      </w:r>
      <w:r w:rsidR="00191827" w:rsidRPr="005C1789">
        <w:rPr>
          <w:rFonts w:ascii="Verdana" w:hAnsi="Verdana"/>
          <w:i w:val="0"/>
          <w:sz w:val="20"/>
          <w:szCs w:val="20"/>
          <w:lang w:val="es-ES_tradnl"/>
        </w:rPr>
        <w:t xml:space="preserve"> </w:t>
      </w:r>
      <w:r w:rsidRPr="005C1789">
        <w:rPr>
          <w:rFonts w:ascii="Verdana" w:hAnsi="Verdana"/>
          <w:i w:val="0"/>
          <w:sz w:val="20"/>
          <w:szCs w:val="20"/>
          <w:lang w:val="es-ES_tradnl"/>
        </w:rPr>
        <w:t xml:space="preserve">fue conocido por el Primer Tribunal Colegiado en Materia </w:t>
      </w:r>
      <w:r w:rsidR="0076722E" w:rsidRPr="005C1789">
        <w:rPr>
          <w:rFonts w:ascii="Verdana" w:hAnsi="Verdana"/>
          <w:i w:val="0"/>
          <w:sz w:val="20"/>
          <w:szCs w:val="20"/>
          <w:lang w:val="es-ES_tradnl"/>
        </w:rPr>
        <w:t>P</w:t>
      </w:r>
      <w:r w:rsidRPr="005C1789">
        <w:rPr>
          <w:rFonts w:ascii="Verdana" w:hAnsi="Verdana"/>
          <w:i w:val="0"/>
          <w:sz w:val="20"/>
          <w:szCs w:val="20"/>
          <w:lang w:val="es-ES_tradnl"/>
        </w:rPr>
        <w:t>enal en el Distrito Federal. El tribunal confirmó dicha decisión</w:t>
      </w:r>
      <w:r w:rsidR="001B1CB2" w:rsidRPr="005C1789">
        <w:rPr>
          <w:rStyle w:val="Refdenotaalpie"/>
          <w:rFonts w:ascii="Verdana" w:hAnsi="Verdana"/>
          <w:i w:val="0"/>
          <w:sz w:val="20"/>
          <w:lang w:val="es-ES_tradnl"/>
        </w:rPr>
        <w:footnoteReference w:id="59"/>
      </w:r>
      <w:r w:rsidRPr="005C1789">
        <w:rPr>
          <w:rFonts w:ascii="Verdana" w:hAnsi="Verdana"/>
          <w:i w:val="0"/>
          <w:sz w:val="20"/>
          <w:szCs w:val="20"/>
          <w:lang w:val="es-ES_tradnl"/>
        </w:rPr>
        <w:t xml:space="preserve">. </w:t>
      </w:r>
    </w:p>
    <w:p w14:paraId="08448D79" w14:textId="69D244BE" w:rsidR="002D5AEB" w:rsidRPr="005C1789" w:rsidRDefault="002D5AEB" w:rsidP="00955888">
      <w:pPr>
        <w:pStyle w:val="Ttulo2"/>
        <w:numPr>
          <w:ilvl w:val="0"/>
          <w:numId w:val="8"/>
        </w:numPr>
        <w:spacing w:before="240" w:after="240"/>
        <w:jc w:val="both"/>
        <w:rPr>
          <w:rFonts w:ascii="Verdana" w:hAnsi="Verdana"/>
          <w:i/>
          <w:color w:val="auto"/>
          <w:sz w:val="20"/>
          <w:szCs w:val="20"/>
        </w:rPr>
      </w:pPr>
      <w:bookmarkStart w:id="79" w:name="_Toc123347523"/>
      <w:r w:rsidRPr="005C1789">
        <w:rPr>
          <w:rFonts w:ascii="Verdana" w:hAnsi="Verdana"/>
          <w:i/>
          <w:color w:val="auto"/>
          <w:sz w:val="20"/>
          <w:szCs w:val="20"/>
        </w:rPr>
        <w:t xml:space="preserve">Sobre las decisiones de organismos </w:t>
      </w:r>
      <w:r w:rsidR="00ED2CD5" w:rsidRPr="005C1789">
        <w:rPr>
          <w:rFonts w:ascii="Verdana" w:hAnsi="Verdana"/>
          <w:i/>
          <w:color w:val="auto"/>
          <w:sz w:val="20"/>
          <w:szCs w:val="20"/>
        </w:rPr>
        <w:t xml:space="preserve">nacionales </w:t>
      </w:r>
      <w:r w:rsidRPr="005C1789">
        <w:rPr>
          <w:rFonts w:ascii="Verdana" w:hAnsi="Verdana"/>
          <w:i/>
          <w:color w:val="auto"/>
          <w:sz w:val="20"/>
          <w:szCs w:val="20"/>
        </w:rPr>
        <w:t>e internacionales</w:t>
      </w:r>
      <w:bookmarkEnd w:id="79"/>
      <w:r w:rsidR="00023E34" w:rsidRPr="005C1789">
        <w:rPr>
          <w:rFonts w:ascii="Verdana" w:hAnsi="Verdana"/>
          <w:i/>
          <w:color w:val="auto"/>
          <w:sz w:val="20"/>
          <w:szCs w:val="20"/>
        </w:rPr>
        <w:t xml:space="preserve"> </w:t>
      </w:r>
    </w:p>
    <w:p w14:paraId="23E47CC7" w14:textId="3395F817" w:rsidR="00A20822" w:rsidRPr="005C1789" w:rsidRDefault="00A2082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30 de noviembre de 2006</w:t>
      </w:r>
      <w:r w:rsidR="002A707B" w:rsidRPr="005C1789">
        <w:rPr>
          <w:rFonts w:ascii="Verdana" w:hAnsi="Verdana"/>
          <w:i w:val="0"/>
          <w:sz w:val="20"/>
          <w:szCs w:val="20"/>
          <w:lang w:val="es-ES_tradnl"/>
        </w:rPr>
        <w:t>,</w:t>
      </w:r>
      <w:r w:rsidRPr="005C1789">
        <w:rPr>
          <w:rFonts w:ascii="Verdana" w:hAnsi="Verdana"/>
          <w:i w:val="0"/>
          <w:sz w:val="20"/>
          <w:szCs w:val="20"/>
          <w:lang w:val="es-ES_tradnl"/>
        </w:rPr>
        <w:t xml:space="preserve"> la Comisión Nacional de Derechos Humanos dirigió una propuesta de conciliación a las víctimas con base en las quejas presentadas por su defensa sobre la detención ilegal y arbitraria en la que se encontraban. El 17 de enero de 2007 la defensa de las víctimas aceptó la propuesta de conciliación presentada. El 31 de enero la Comisión Nacional emitió un oficio en donde indicó que se compromet</w:t>
      </w:r>
      <w:r w:rsidR="00446ED0" w:rsidRPr="005C1789">
        <w:rPr>
          <w:rFonts w:ascii="Verdana" w:hAnsi="Verdana"/>
          <w:i w:val="0"/>
          <w:sz w:val="20"/>
          <w:szCs w:val="20"/>
          <w:lang w:val="es-ES_tradnl"/>
        </w:rPr>
        <w:t>ía</w:t>
      </w:r>
      <w:r w:rsidRPr="005C1789">
        <w:rPr>
          <w:rFonts w:ascii="Verdana" w:hAnsi="Verdana"/>
          <w:i w:val="0"/>
          <w:sz w:val="20"/>
          <w:szCs w:val="20"/>
          <w:lang w:val="es-ES_tradnl"/>
        </w:rPr>
        <w:t xml:space="preserve"> a dar seguimiento al cumplimiento de la propuesta de conciliación</w:t>
      </w:r>
      <w:r w:rsidR="0021697B" w:rsidRPr="005C1789">
        <w:rPr>
          <w:rStyle w:val="Refdenotaalpie"/>
          <w:rFonts w:ascii="Verdana" w:hAnsi="Verdana"/>
          <w:i w:val="0"/>
          <w:sz w:val="20"/>
          <w:lang w:val="es-ES_tradnl"/>
        </w:rPr>
        <w:footnoteReference w:id="60"/>
      </w:r>
      <w:r w:rsidRPr="005C1789">
        <w:rPr>
          <w:rFonts w:ascii="Verdana" w:hAnsi="Verdana"/>
          <w:i w:val="0"/>
          <w:sz w:val="20"/>
          <w:szCs w:val="20"/>
          <w:lang w:val="es-ES_tradnl"/>
        </w:rPr>
        <w:t xml:space="preserve">. </w:t>
      </w:r>
    </w:p>
    <w:p w14:paraId="0F939106" w14:textId="3437F35B" w:rsidR="00A20822" w:rsidRPr="005C1789" w:rsidRDefault="00A2082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El 11 de abril de 2007</w:t>
      </w:r>
      <w:r w:rsidR="002A707B" w:rsidRPr="005C1789">
        <w:rPr>
          <w:rFonts w:ascii="Verdana" w:hAnsi="Verdana"/>
          <w:i w:val="0"/>
          <w:sz w:val="20"/>
          <w:szCs w:val="20"/>
          <w:lang w:val="es-ES_tradnl"/>
        </w:rPr>
        <w:t>,</w:t>
      </w:r>
      <w:r w:rsidRPr="005C1789">
        <w:rPr>
          <w:rFonts w:ascii="Verdana" w:hAnsi="Verdana"/>
          <w:i w:val="0"/>
          <w:sz w:val="20"/>
          <w:szCs w:val="20"/>
          <w:lang w:val="es-ES_tradnl"/>
        </w:rPr>
        <w:t xml:space="preserve"> el Grupo de Trabajo sobre Detenciones Arbitrarias de la ONU comunicó al Estado mexicano su Opinión No. 20/2007, relativa a la situación de las víctimas. En </w:t>
      </w:r>
      <w:r w:rsidR="002A707B" w:rsidRPr="005C1789">
        <w:rPr>
          <w:rFonts w:ascii="Verdana" w:hAnsi="Verdana"/>
          <w:i w:val="0"/>
          <w:sz w:val="20"/>
          <w:szCs w:val="20"/>
          <w:lang w:val="es-ES_tradnl"/>
        </w:rPr>
        <w:t>esa</w:t>
      </w:r>
      <w:r w:rsidRPr="005C1789">
        <w:rPr>
          <w:rFonts w:ascii="Verdana" w:hAnsi="Verdana"/>
          <w:i w:val="0"/>
          <w:sz w:val="20"/>
          <w:szCs w:val="20"/>
          <w:lang w:val="es-ES_tradnl"/>
        </w:rPr>
        <w:t xml:space="preserve"> opinión el Grupo de Trabajo concluyó que la privación de libertad de Jorge Marcial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w:t>
      </w:r>
      <w:proofErr w:type="spellStart"/>
      <w:r w:rsidRPr="005C1789">
        <w:rPr>
          <w:rFonts w:ascii="Verdana" w:hAnsi="Verdana"/>
          <w:i w:val="0"/>
          <w:sz w:val="20"/>
          <w:szCs w:val="20"/>
          <w:lang w:val="es-ES_tradnl"/>
        </w:rPr>
        <w:t>Tecpile</w:t>
      </w:r>
      <w:proofErr w:type="spellEnd"/>
      <w:r w:rsidRPr="005C1789">
        <w:rPr>
          <w:rFonts w:ascii="Verdana" w:hAnsi="Verdana"/>
          <w:i w:val="0"/>
          <w:sz w:val="20"/>
          <w:szCs w:val="20"/>
          <w:lang w:val="es-ES_tradnl"/>
        </w:rPr>
        <w:t xml:space="preserve">, Gerardo </w:t>
      </w:r>
      <w:proofErr w:type="spellStart"/>
      <w:r w:rsidRPr="005C1789">
        <w:rPr>
          <w:rFonts w:ascii="Verdana" w:hAnsi="Verdana"/>
          <w:i w:val="0"/>
          <w:sz w:val="20"/>
          <w:szCs w:val="20"/>
          <w:lang w:val="es-ES_tradnl"/>
        </w:rPr>
        <w:t>Tzompaxtle</w:t>
      </w:r>
      <w:proofErr w:type="spellEnd"/>
      <w:r w:rsidRPr="005C1789">
        <w:rPr>
          <w:rFonts w:ascii="Verdana" w:hAnsi="Verdana"/>
          <w:i w:val="0"/>
          <w:sz w:val="20"/>
          <w:szCs w:val="20"/>
          <w:lang w:val="es-ES_tradnl"/>
        </w:rPr>
        <w:t xml:space="preserve"> </w:t>
      </w:r>
      <w:proofErr w:type="spellStart"/>
      <w:r w:rsidRPr="005C1789">
        <w:rPr>
          <w:rFonts w:ascii="Verdana" w:hAnsi="Verdana"/>
          <w:i w:val="0"/>
          <w:sz w:val="20"/>
          <w:szCs w:val="20"/>
          <w:lang w:val="es-ES_tradnl"/>
        </w:rPr>
        <w:t>Tecpile</w:t>
      </w:r>
      <w:proofErr w:type="spellEnd"/>
      <w:r w:rsidRPr="005C1789">
        <w:rPr>
          <w:rFonts w:ascii="Verdana" w:hAnsi="Verdana"/>
          <w:i w:val="0"/>
          <w:sz w:val="20"/>
          <w:szCs w:val="20"/>
          <w:lang w:val="es-ES_tradnl"/>
        </w:rPr>
        <w:t xml:space="preserve"> y Gustavo Robles López resultaba arbitraria y contravenía lo establecido en los artículos 9 y 14 del Pacto Internacional de Derechos Civiles y Políticos. El Grupo de Trabajo pidió al gobierno adoptar las medidas necesarias para remediar la situación, </w:t>
      </w:r>
      <w:r w:rsidR="002A707B" w:rsidRPr="005C1789">
        <w:rPr>
          <w:rFonts w:ascii="Verdana" w:hAnsi="Verdana"/>
          <w:i w:val="0"/>
          <w:sz w:val="20"/>
          <w:szCs w:val="20"/>
          <w:lang w:val="es-ES_tradnl"/>
        </w:rPr>
        <w:t>de acuerdo con</w:t>
      </w:r>
      <w:r w:rsidRPr="005C1789">
        <w:rPr>
          <w:rFonts w:ascii="Verdana" w:hAnsi="Verdana"/>
          <w:i w:val="0"/>
          <w:sz w:val="20"/>
          <w:szCs w:val="20"/>
          <w:lang w:val="es-ES_tradnl"/>
        </w:rPr>
        <w:t xml:space="preserve"> las normas y principios enunciados en dicho instrumento internacional</w:t>
      </w:r>
      <w:r w:rsidR="0021697B" w:rsidRPr="005C1789">
        <w:rPr>
          <w:rStyle w:val="Refdenotaalpie"/>
          <w:rFonts w:ascii="Verdana" w:hAnsi="Verdana"/>
          <w:i w:val="0"/>
          <w:sz w:val="20"/>
          <w:lang w:val="es-ES_tradnl"/>
        </w:rPr>
        <w:footnoteReference w:id="61"/>
      </w:r>
      <w:r w:rsidRPr="005C1789">
        <w:rPr>
          <w:rFonts w:ascii="Verdana" w:hAnsi="Verdana"/>
          <w:i w:val="0"/>
          <w:sz w:val="20"/>
          <w:szCs w:val="20"/>
          <w:lang w:val="es-ES_tradnl"/>
        </w:rPr>
        <w:t>.</w:t>
      </w:r>
    </w:p>
    <w:p w14:paraId="008E1570" w14:textId="7BA07169" w:rsidR="00A20822" w:rsidRPr="005C1789" w:rsidRDefault="001D4042" w:rsidP="00955888">
      <w:pPr>
        <w:pStyle w:val="Ttulo2"/>
        <w:numPr>
          <w:ilvl w:val="0"/>
          <w:numId w:val="8"/>
        </w:numPr>
        <w:spacing w:before="240" w:after="240"/>
        <w:jc w:val="both"/>
        <w:rPr>
          <w:rFonts w:ascii="Verdana" w:hAnsi="Verdana"/>
          <w:i/>
          <w:color w:val="auto"/>
          <w:sz w:val="20"/>
          <w:szCs w:val="20"/>
        </w:rPr>
      </w:pPr>
      <w:bookmarkStart w:id="80" w:name="_Toc123347524"/>
      <w:r w:rsidRPr="005C1789">
        <w:rPr>
          <w:rFonts w:ascii="Verdana" w:hAnsi="Verdana"/>
          <w:i/>
          <w:color w:val="auto"/>
          <w:sz w:val="20"/>
          <w:szCs w:val="20"/>
        </w:rPr>
        <w:t>A</w:t>
      </w:r>
      <w:r w:rsidR="00A20822" w:rsidRPr="005C1789">
        <w:rPr>
          <w:rFonts w:ascii="Verdana" w:hAnsi="Verdana"/>
          <w:i/>
          <w:color w:val="auto"/>
          <w:sz w:val="20"/>
          <w:szCs w:val="20"/>
        </w:rPr>
        <w:t xml:space="preserve">menazas </w:t>
      </w:r>
      <w:r w:rsidRPr="005C1789">
        <w:rPr>
          <w:rFonts w:ascii="Verdana" w:hAnsi="Verdana"/>
          <w:i/>
          <w:color w:val="auto"/>
          <w:sz w:val="20"/>
          <w:szCs w:val="20"/>
        </w:rPr>
        <w:t xml:space="preserve">en </w:t>
      </w:r>
      <w:r w:rsidR="00A20822" w:rsidRPr="005C1789">
        <w:rPr>
          <w:rFonts w:ascii="Verdana" w:hAnsi="Verdana"/>
          <w:i/>
          <w:color w:val="auto"/>
          <w:sz w:val="20"/>
          <w:szCs w:val="20"/>
        </w:rPr>
        <w:t xml:space="preserve">contra </w:t>
      </w:r>
      <w:r w:rsidRPr="005C1789">
        <w:rPr>
          <w:rFonts w:ascii="Verdana" w:hAnsi="Verdana"/>
          <w:i/>
          <w:color w:val="auto"/>
          <w:sz w:val="20"/>
          <w:szCs w:val="20"/>
        </w:rPr>
        <w:t xml:space="preserve">de </w:t>
      </w:r>
      <w:r w:rsidR="00A20822" w:rsidRPr="005C1789">
        <w:rPr>
          <w:rFonts w:ascii="Verdana" w:hAnsi="Verdana"/>
          <w:i/>
          <w:color w:val="auto"/>
          <w:sz w:val="20"/>
          <w:szCs w:val="20"/>
        </w:rPr>
        <w:t>la abogada de las víctimas y muerte de Gustavo Robles López</w:t>
      </w:r>
      <w:bookmarkEnd w:id="80"/>
    </w:p>
    <w:p w14:paraId="697AFEB6" w14:textId="7C7FCC40" w:rsidR="00A20822" w:rsidRPr="005C1789" w:rsidRDefault="00A2082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El 12 de enero de 2007 la señora </w:t>
      </w:r>
      <w:r w:rsidR="001D4042" w:rsidRPr="005C1789">
        <w:rPr>
          <w:rFonts w:ascii="Verdana" w:hAnsi="Verdana"/>
          <w:i w:val="0"/>
          <w:sz w:val="20"/>
          <w:szCs w:val="20"/>
          <w:lang w:val="es-ES_tradnl"/>
        </w:rPr>
        <w:t>E.L.H.</w:t>
      </w:r>
      <w:r w:rsidRPr="005C1789">
        <w:rPr>
          <w:rFonts w:ascii="Verdana" w:hAnsi="Verdana"/>
          <w:i w:val="0"/>
          <w:sz w:val="20"/>
          <w:szCs w:val="20"/>
          <w:lang w:val="es-ES_tradnl"/>
        </w:rPr>
        <w:t>, integrante de la Red Solidaria Década contra la Impunidad (RSDCI) y abogada de las víctimas indicó que recibió amenazas telefónicas. Agregó que estas amenazas fueron oportunamente denunciadas ante las autoridades, y que las mismas habrían obligado a la señora López Hernández a distanciarse del caso y a mudarse provisionalmente de domicilio</w:t>
      </w:r>
      <w:r w:rsidR="0021697B" w:rsidRPr="005C1789">
        <w:rPr>
          <w:rStyle w:val="Refdenotaalpie"/>
          <w:rFonts w:ascii="Verdana" w:hAnsi="Verdana"/>
          <w:i w:val="0"/>
          <w:sz w:val="20"/>
          <w:lang w:val="es-ES_tradnl"/>
        </w:rPr>
        <w:footnoteReference w:id="62"/>
      </w:r>
      <w:r w:rsidRPr="005C1789">
        <w:rPr>
          <w:rFonts w:ascii="Verdana" w:hAnsi="Verdana"/>
          <w:i w:val="0"/>
          <w:sz w:val="20"/>
          <w:szCs w:val="20"/>
          <w:lang w:val="es-ES_tradnl"/>
        </w:rPr>
        <w:t xml:space="preserve">. </w:t>
      </w:r>
    </w:p>
    <w:p w14:paraId="4F8B4EA4" w14:textId="7E3FDDBF" w:rsidR="00A20822" w:rsidRPr="005C1789" w:rsidRDefault="00754066"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lang w:val="es-ES_tradnl"/>
        </w:rPr>
      </w:pPr>
      <w:r w:rsidRPr="005C1789">
        <w:rPr>
          <w:rFonts w:ascii="Verdana" w:hAnsi="Verdana"/>
          <w:i w:val="0"/>
          <w:sz w:val="20"/>
          <w:szCs w:val="20"/>
          <w:lang w:val="es-ES_tradnl"/>
        </w:rPr>
        <w:t xml:space="preserve">Es un hecho no controvertido que </w:t>
      </w:r>
      <w:r w:rsidR="00A20822" w:rsidRPr="005C1789">
        <w:rPr>
          <w:rFonts w:ascii="Verdana" w:hAnsi="Verdana"/>
          <w:i w:val="0"/>
          <w:sz w:val="20"/>
          <w:szCs w:val="20"/>
          <w:lang w:val="es-ES_tradnl"/>
        </w:rPr>
        <w:t>Gustavo Robles López falleció el día 26 de noviembre de 2015</w:t>
      </w:r>
      <w:r w:rsidR="00B43A5C" w:rsidRPr="005C1789">
        <w:rPr>
          <w:rFonts w:ascii="Verdana" w:hAnsi="Verdana"/>
          <w:i w:val="0"/>
          <w:sz w:val="20"/>
          <w:szCs w:val="20"/>
          <w:lang w:val="es-ES_tradnl"/>
        </w:rPr>
        <w:t xml:space="preserve">, y </w:t>
      </w:r>
      <w:r w:rsidR="00E5089E">
        <w:rPr>
          <w:rFonts w:ascii="Verdana" w:hAnsi="Verdana"/>
          <w:i w:val="0"/>
          <w:sz w:val="20"/>
          <w:szCs w:val="20"/>
          <w:lang w:val="es-ES_tradnl"/>
        </w:rPr>
        <w:t xml:space="preserve">que </w:t>
      </w:r>
      <w:r w:rsidR="00B43A5C" w:rsidRPr="005C1789">
        <w:rPr>
          <w:rFonts w:ascii="Verdana" w:hAnsi="Verdana"/>
          <w:i w:val="0"/>
          <w:sz w:val="20"/>
          <w:szCs w:val="20"/>
          <w:lang w:val="es-ES_tradnl"/>
        </w:rPr>
        <w:t xml:space="preserve">su defunción no </w:t>
      </w:r>
      <w:r w:rsidR="00275FE3" w:rsidRPr="005C1789">
        <w:rPr>
          <w:rFonts w:ascii="Verdana" w:hAnsi="Verdana"/>
          <w:i w:val="0"/>
          <w:sz w:val="20"/>
          <w:szCs w:val="20"/>
          <w:lang w:val="es-ES_tradnl"/>
        </w:rPr>
        <w:t>tuvo</w:t>
      </w:r>
      <w:r w:rsidR="00B43A5C" w:rsidRPr="005C1789">
        <w:rPr>
          <w:rFonts w:ascii="Verdana" w:hAnsi="Verdana"/>
          <w:i w:val="0"/>
          <w:sz w:val="20"/>
          <w:szCs w:val="20"/>
          <w:lang w:val="es-ES_tradnl"/>
        </w:rPr>
        <w:t xml:space="preserve"> relación con los hechos del presente caso.</w:t>
      </w:r>
    </w:p>
    <w:p w14:paraId="021CAA59" w14:textId="2449680C" w:rsidR="00A72474" w:rsidRPr="005C1789" w:rsidRDefault="00A72474" w:rsidP="00955888">
      <w:pPr>
        <w:pStyle w:val="Ttulo1"/>
        <w:rPr>
          <w:rFonts w:ascii="Verdana" w:hAnsi="Verdana"/>
          <w:sz w:val="20"/>
          <w:lang w:val="es-ES_tradnl"/>
        </w:rPr>
      </w:pPr>
      <w:bookmarkStart w:id="81" w:name="_Toc123347525"/>
      <w:r w:rsidRPr="005C1789">
        <w:rPr>
          <w:rFonts w:ascii="Verdana" w:hAnsi="Verdana"/>
          <w:sz w:val="20"/>
          <w:lang w:val="es-ES_tradnl"/>
        </w:rPr>
        <w:t>V</w:t>
      </w:r>
      <w:r w:rsidR="0085104D" w:rsidRPr="005C1789">
        <w:rPr>
          <w:rFonts w:ascii="Verdana" w:hAnsi="Verdana"/>
          <w:sz w:val="20"/>
          <w:lang w:val="es-ES_tradnl"/>
        </w:rPr>
        <w:t>II</w:t>
      </w:r>
      <w:r w:rsidRPr="005C1789">
        <w:rPr>
          <w:rFonts w:ascii="Verdana" w:hAnsi="Verdana"/>
          <w:sz w:val="20"/>
          <w:lang w:val="es-ES_tradnl"/>
        </w:rPr>
        <w:t>I</w:t>
      </w:r>
      <w:r w:rsidR="00437683" w:rsidRPr="005C1789">
        <w:rPr>
          <w:rFonts w:ascii="Verdana" w:hAnsi="Verdana"/>
          <w:color w:val="FFFFFF" w:themeColor="background1"/>
          <w:sz w:val="20"/>
          <w:lang w:val="es-ES_tradnl"/>
        </w:rPr>
        <w:t>.</w:t>
      </w:r>
      <w:r w:rsidRPr="005C1789">
        <w:rPr>
          <w:rFonts w:ascii="Verdana" w:hAnsi="Verdana"/>
          <w:sz w:val="20"/>
          <w:lang w:val="es-ES_tradnl"/>
        </w:rPr>
        <w:br/>
        <w:t>FONDO</w:t>
      </w:r>
      <w:bookmarkEnd w:id="56"/>
      <w:bookmarkEnd w:id="57"/>
      <w:bookmarkEnd w:id="81"/>
    </w:p>
    <w:p w14:paraId="2B66CE24" w14:textId="6A2D8160" w:rsidR="00A94E6D" w:rsidRPr="005C1789" w:rsidRDefault="007A4F23" w:rsidP="00955888">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i w:val="0"/>
          <w:sz w:val="20"/>
          <w:szCs w:val="20"/>
          <w:lang w:val="es-ES"/>
        </w:rPr>
      </w:pPr>
      <w:r w:rsidRPr="005C1789">
        <w:rPr>
          <w:rFonts w:ascii="Verdana" w:hAnsi="Verdana"/>
          <w:i w:val="0"/>
          <w:sz w:val="20"/>
          <w:szCs w:val="20"/>
          <w:lang w:val="es-ES"/>
        </w:rPr>
        <w:t>En el presente caso, la Corte analizar</w:t>
      </w:r>
      <w:r w:rsidR="00AC3AB7">
        <w:rPr>
          <w:rFonts w:ascii="Verdana" w:hAnsi="Verdana"/>
          <w:i w:val="0"/>
          <w:sz w:val="20"/>
          <w:szCs w:val="20"/>
          <w:lang w:val="es-ES"/>
        </w:rPr>
        <w:t>á</w:t>
      </w:r>
      <w:r w:rsidRPr="005C1789">
        <w:rPr>
          <w:rFonts w:ascii="Verdana" w:hAnsi="Verdana"/>
          <w:i w:val="0"/>
          <w:sz w:val="20"/>
          <w:szCs w:val="20"/>
          <w:lang w:val="es-ES"/>
        </w:rPr>
        <w:t xml:space="preserve"> </w:t>
      </w:r>
      <w:r w:rsidR="004F2F44" w:rsidRPr="005C1789">
        <w:rPr>
          <w:rFonts w:ascii="Verdana" w:hAnsi="Verdana"/>
          <w:i w:val="0"/>
          <w:sz w:val="20"/>
          <w:szCs w:val="20"/>
          <w:lang w:val="es-ES"/>
        </w:rPr>
        <w:t xml:space="preserve">los alcances de </w:t>
      </w:r>
      <w:r w:rsidRPr="005C1789">
        <w:rPr>
          <w:rFonts w:ascii="Verdana" w:hAnsi="Verdana"/>
          <w:i w:val="0"/>
          <w:sz w:val="20"/>
          <w:szCs w:val="20"/>
          <w:lang w:val="es-ES"/>
        </w:rPr>
        <w:t>la responsabilidad internacional del Estado por la alegada violación a diversos derechos co</w:t>
      </w:r>
      <w:r w:rsidR="00506221" w:rsidRPr="005C1789">
        <w:rPr>
          <w:rFonts w:ascii="Verdana" w:hAnsi="Verdana"/>
          <w:i w:val="0"/>
          <w:sz w:val="20"/>
          <w:szCs w:val="20"/>
          <w:lang w:val="es-ES"/>
        </w:rPr>
        <w:t xml:space="preserve">nvencionales </w:t>
      </w:r>
      <w:r w:rsidR="00E37C5A" w:rsidRPr="005C1789">
        <w:rPr>
          <w:rFonts w:ascii="Verdana" w:hAnsi="Verdana"/>
          <w:i w:val="0"/>
          <w:sz w:val="20"/>
          <w:szCs w:val="20"/>
          <w:lang w:val="es-ES"/>
        </w:rPr>
        <w:t xml:space="preserve">por </w:t>
      </w:r>
      <w:r w:rsidR="00A3785F" w:rsidRPr="005C1789">
        <w:rPr>
          <w:rFonts w:ascii="Verdana" w:hAnsi="Verdana"/>
          <w:i w:val="0"/>
          <w:sz w:val="20"/>
          <w:szCs w:val="20"/>
          <w:lang w:val="es-ES"/>
        </w:rPr>
        <w:t xml:space="preserve">la detención, la aplicación de las figuras del arraigo y de la prisión preventiva, y el proceso penal en contra de Jorge Marcial y Gerardo </w:t>
      </w:r>
      <w:proofErr w:type="spellStart"/>
      <w:r w:rsidR="00A3785F" w:rsidRPr="005C1789">
        <w:rPr>
          <w:rFonts w:ascii="Verdana" w:hAnsi="Verdana"/>
          <w:i w:val="0"/>
          <w:sz w:val="20"/>
          <w:szCs w:val="20"/>
          <w:lang w:val="es-ES"/>
        </w:rPr>
        <w:t>Tzompaxtle</w:t>
      </w:r>
      <w:proofErr w:type="spellEnd"/>
      <w:r w:rsidR="00A3785F" w:rsidRPr="005C1789">
        <w:rPr>
          <w:rFonts w:ascii="Verdana" w:hAnsi="Verdana"/>
          <w:i w:val="0"/>
          <w:sz w:val="20"/>
          <w:szCs w:val="20"/>
          <w:lang w:val="es-ES"/>
        </w:rPr>
        <w:t xml:space="preserve"> </w:t>
      </w:r>
      <w:proofErr w:type="spellStart"/>
      <w:r w:rsidR="00A3785F" w:rsidRPr="005C1789">
        <w:rPr>
          <w:rFonts w:ascii="Verdana" w:hAnsi="Verdana"/>
          <w:i w:val="0"/>
          <w:sz w:val="20"/>
          <w:szCs w:val="20"/>
          <w:lang w:val="es-ES"/>
        </w:rPr>
        <w:t>Tecpile</w:t>
      </w:r>
      <w:proofErr w:type="spellEnd"/>
      <w:r w:rsidR="00A3785F" w:rsidRPr="005C1789">
        <w:rPr>
          <w:rFonts w:ascii="Verdana" w:hAnsi="Verdana"/>
          <w:i w:val="0"/>
          <w:sz w:val="20"/>
          <w:szCs w:val="20"/>
          <w:lang w:val="es-ES"/>
        </w:rPr>
        <w:t>, y Gustavo Robles López.</w:t>
      </w:r>
      <w:r w:rsidRPr="005C1789">
        <w:rPr>
          <w:rFonts w:ascii="Verdana" w:hAnsi="Verdana"/>
          <w:i w:val="0"/>
          <w:sz w:val="20"/>
          <w:szCs w:val="20"/>
          <w:lang w:val="es-ES"/>
        </w:rPr>
        <w:t xml:space="preserve"> </w:t>
      </w:r>
      <w:r w:rsidR="00783BC4" w:rsidRPr="005C1789">
        <w:rPr>
          <w:rFonts w:ascii="Verdana" w:hAnsi="Verdana"/>
          <w:i w:val="0"/>
          <w:sz w:val="20"/>
          <w:szCs w:val="20"/>
          <w:lang w:val="es-ES"/>
        </w:rPr>
        <w:t>A</w:t>
      </w:r>
      <w:r w:rsidR="00A72474" w:rsidRPr="005C1789">
        <w:rPr>
          <w:rFonts w:ascii="Verdana" w:hAnsi="Verdana"/>
          <w:i w:val="0"/>
          <w:sz w:val="20"/>
          <w:szCs w:val="20"/>
          <w:lang w:val="es-ES"/>
        </w:rPr>
        <w:t xml:space="preserve"> continuación, la Corte analizará los alegatos sobre el </w:t>
      </w:r>
      <w:r w:rsidR="00A72474" w:rsidRPr="005C1789">
        <w:rPr>
          <w:rFonts w:ascii="Verdana" w:hAnsi="Verdana"/>
          <w:i w:val="0"/>
          <w:sz w:val="20"/>
          <w:szCs w:val="20"/>
          <w:lang w:val="es-ES"/>
        </w:rPr>
        <w:lastRenderedPageBreak/>
        <w:t xml:space="preserve">fondo de conformidad con el siguiente orden: </w:t>
      </w:r>
      <w:r w:rsidR="00E438E2" w:rsidRPr="005C1789">
        <w:rPr>
          <w:rFonts w:ascii="Verdana" w:hAnsi="Verdana"/>
          <w:i w:val="0"/>
          <w:sz w:val="20"/>
          <w:szCs w:val="20"/>
          <w:lang w:val="es-ES"/>
        </w:rPr>
        <w:t>a)</w:t>
      </w:r>
      <w:r w:rsidR="00A3785F" w:rsidRPr="005C1789">
        <w:rPr>
          <w:rFonts w:ascii="Verdana" w:hAnsi="Verdana"/>
          <w:i w:val="0"/>
          <w:sz w:val="20"/>
          <w:szCs w:val="20"/>
          <w:lang w:val="es-ES"/>
        </w:rPr>
        <w:t xml:space="preserve"> </w:t>
      </w:r>
      <w:r w:rsidR="004B49B5" w:rsidRPr="005C1789">
        <w:rPr>
          <w:rFonts w:ascii="Verdana" w:hAnsi="Verdana"/>
          <w:i w:val="0"/>
          <w:sz w:val="20"/>
          <w:szCs w:val="20"/>
          <w:lang w:val="es-ES"/>
        </w:rPr>
        <w:t>los</w:t>
      </w:r>
      <w:r w:rsidR="00AB7C91" w:rsidRPr="005C1789">
        <w:rPr>
          <w:rFonts w:ascii="Verdana" w:hAnsi="Verdana"/>
          <w:i w:val="0"/>
          <w:sz w:val="20"/>
          <w:szCs w:val="20"/>
          <w:lang w:val="es-ES"/>
        </w:rPr>
        <w:t xml:space="preserve"> derecho</w:t>
      </w:r>
      <w:r w:rsidR="004B49B5" w:rsidRPr="005C1789">
        <w:rPr>
          <w:rFonts w:ascii="Verdana" w:hAnsi="Verdana"/>
          <w:i w:val="0"/>
          <w:sz w:val="20"/>
          <w:szCs w:val="20"/>
          <w:lang w:val="es-ES"/>
        </w:rPr>
        <w:t>s</w:t>
      </w:r>
      <w:r w:rsidR="00AB7C91" w:rsidRPr="005C1789">
        <w:rPr>
          <w:rFonts w:ascii="Verdana" w:hAnsi="Verdana"/>
          <w:i w:val="0"/>
          <w:sz w:val="20"/>
          <w:szCs w:val="20"/>
          <w:lang w:val="es-ES"/>
        </w:rPr>
        <w:t xml:space="preserve"> a la libertad personal</w:t>
      </w:r>
      <w:r w:rsidR="004B49B5" w:rsidRPr="005C1789">
        <w:rPr>
          <w:rFonts w:ascii="Verdana" w:hAnsi="Verdana"/>
          <w:i w:val="0"/>
          <w:sz w:val="20"/>
          <w:szCs w:val="20"/>
          <w:lang w:val="es-ES"/>
        </w:rPr>
        <w:t xml:space="preserve"> y a la presunción de inocencia</w:t>
      </w:r>
      <w:r w:rsidR="00AB7C91" w:rsidRPr="005C1789">
        <w:rPr>
          <w:rFonts w:ascii="Verdana" w:hAnsi="Verdana"/>
          <w:i w:val="0"/>
          <w:sz w:val="20"/>
          <w:szCs w:val="20"/>
          <w:lang w:val="es-ES"/>
        </w:rPr>
        <w:t xml:space="preserve"> en relación con la obligación de respet</w:t>
      </w:r>
      <w:r w:rsidR="00F562B8" w:rsidRPr="005C1789">
        <w:rPr>
          <w:rFonts w:ascii="Verdana" w:hAnsi="Verdana"/>
          <w:i w:val="0"/>
          <w:sz w:val="20"/>
          <w:szCs w:val="20"/>
          <w:lang w:val="es-ES"/>
        </w:rPr>
        <w:t>ar los derechos</w:t>
      </w:r>
      <w:r w:rsidR="00AB7C91" w:rsidRPr="005C1789">
        <w:rPr>
          <w:rFonts w:ascii="Verdana" w:hAnsi="Verdana"/>
          <w:i w:val="0"/>
          <w:sz w:val="20"/>
          <w:szCs w:val="20"/>
          <w:lang w:val="es-ES"/>
        </w:rPr>
        <w:t xml:space="preserve"> y con la obligación de adoptar disposiciones de derecho interno</w:t>
      </w:r>
      <w:r w:rsidR="00AA08FD" w:rsidRPr="005C1789">
        <w:rPr>
          <w:rFonts w:ascii="Verdana" w:hAnsi="Verdana"/>
          <w:i w:val="0"/>
          <w:sz w:val="20"/>
          <w:szCs w:val="20"/>
          <w:lang w:val="es-ES"/>
        </w:rPr>
        <w:t>, y</w:t>
      </w:r>
      <w:r w:rsidR="00A3785F" w:rsidRPr="005C1789">
        <w:rPr>
          <w:rFonts w:ascii="Verdana" w:hAnsi="Verdana"/>
          <w:i w:val="0"/>
          <w:sz w:val="20"/>
          <w:szCs w:val="20"/>
          <w:lang w:val="es-ES"/>
        </w:rPr>
        <w:t xml:space="preserve"> </w:t>
      </w:r>
      <w:r w:rsidR="0012790A" w:rsidRPr="005C1789">
        <w:rPr>
          <w:rFonts w:ascii="Verdana" w:hAnsi="Verdana"/>
          <w:i w:val="0"/>
          <w:sz w:val="20"/>
          <w:szCs w:val="20"/>
          <w:lang w:val="es-ES"/>
        </w:rPr>
        <w:t>b</w:t>
      </w:r>
      <w:r w:rsidR="00EF6804" w:rsidRPr="005C1789">
        <w:rPr>
          <w:rFonts w:ascii="Verdana" w:hAnsi="Verdana"/>
          <w:i w:val="0"/>
          <w:sz w:val="20"/>
          <w:szCs w:val="20"/>
          <w:lang w:val="es-ES"/>
        </w:rPr>
        <w:t>)</w:t>
      </w:r>
      <w:r w:rsidR="00AB7C91" w:rsidRPr="005C1789">
        <w:rPr>
          <w:rFonts w:ascii="Verdana" w:hAnsi="Verdana"/>
          <w:i w:val="0"/>
          <w:sz w:val="20"/>
          <w:szCs w:val="20"/>
          <w:lang w:val="es-ES"/>
        </w:rPr>
        <w:t xml:space="preserve"> </w:t>
      </w:r>
      <w:r w:rsidR="009F3AC8" w:rsidRPr="005C1789">
        <w:rPr>
          <w:rFonts w:ascii="Verdana" w:hAnsi="Verdana"/>
          <w:i w:val="0"/>
          <w:sz w:val="20"/>
          <w:szCs w:val="20"/>
          <w:lang w:val="es-ES"/>
        </w:rPr>
        <w:t>los</w:t>
      </w:r>
      <w:r w:rsidR="00AB7C91" w:rsidRPr="005C1789">
        <w:rPr>
          <w:rFonts w:ascii="Verdana" w:hAnsi="Verdana"/>
          <w:i w:val="0"/>
          <w:sz w:val="20"/>
          <w:szCs w:val="20"/>
          <w:lang w:val="es-ES"/>
        </w:rPr>
        <w:t xml:space="preserve"> derecho</w:t>
      </w:r>
      <w:r w:rsidR="009F3AC8" w:rsidRPr="005C1789">
        <w:rPr>
          <w:rFonts w:ascii="Verdana" w:hAnsi="Verdana"/>
          <w:i w:val="0"/>
          <w:sz w:val="20"/>
          <w:szCs w:val="20"/>
          <w:lang w:val="es-ES"/>
        </w:rPr>
        <w:t xml:space="preserve">s a la integridad personal y </w:t>
      </w:r>
      <w:r w:rsidR="00AB7C91" w:rsidRPr="005C1789">
        <w:rPr>
          <w:rFonts w:ascii="Verdana" w:hAnsi="Verdana"/>
          <w:i w:val="0"/>
          <w:sz w:val="20"/>
          <w:szCs w:val="20"/>
          <w:lang w:val="es-ES"/>
        </w:rPr>
        <w:t>a la vida privada en relación con la obligación de respet</w:t>
      </w:r>
      <w:r w:rsidR="00F562B8" w:rsidRPr="005C1789">
        <w:rPr>
          <w:rFonts w:ascii="Verdana" w:hAnsi="Verdana"/>
          <w:i w:val="0"/>
          <w:sz w:val="20"/>
          <w:szCs w:val="20"/>
          <w:lang w:val="es-ES"/>
        </w:rPr>
        <w:t>ar los derechos.</w:t>
      </w:r>
      <w:r w:rsidR="00C93911" w:rsidRPr="005C1789">
        <w:rPr>
          <w:rFonts w:ascii="Verdana" w:hAnsi="Verdana"/>
          <w:i w:val="0"/>
          <w:sz w:val="20"/>
          <w:szCs w:val="20"/>
          <w:lang w:val="es-ES"/>
        </w:rPr>
        <w:t xml:space="preserve"> Como fuera indicado (</w:t>
      </w:r>
      <w:r w:rsidR="00C93911" w:rsidRPr="005C1789">
        <w:rPr>
          <w:rFonts w:ascii="Verdana" w:hAnsi="Verdana"/>
          <w:sz w:val="20"/>
          <w:szCs w:val="20"/>
          <w:lang w:val="es-ES"/>
        </w:rPr>
        <w:t>supra</w:t>
      </w:r>
      <w:r w:rsidR="00C93911" w:rsidRPr="005C1789">
        <w:rPr>
          <w:rFonts w:ascii="Verdana" w:hAnsi="Verdana"/>
          <w:i w:val="0"/>
          <w:sz w:val="20"/>
          <w:szCs w:val="20"/>
          <w:lang w:val="es-ES"/>
        </w:rPr>
        <w:t xml:space="preserve"> </w:t>
      </w:r>
      <w:proofErr w:type="spellStart"/>
      <w:r w:rsidR="00C93911" w:rsidRPr="005C1789">
        <w:rPr>
          <w:rFonts w:ascii="Verdana" w:hAnsi="Verdana"/>
          <w:i w:val="0"/>
          <w:sz w:val="20"/>
          <w:szCs w:val="20"/>
          <w:lang w:val="es-ES"/>
        </w:rPr>
        <w:t>párrs</w:t>
      </w:r>
      <w:proofErr w:type="spellEnd"/>
      <w:r w:rsidR="00C93911" w:rsidRPr="005C1789">
        <w:rPr>
          <w:rFonts w:ascii="Verdana" w:hAnsi="Verdana"/>
          <w:i w:val="0"/>
          <w:sz w:val="20"/>
          <w:szCs w:val="20"/>
          <w:lang w:val="es-ES"/>
        </w:rPr>
        <w:t xml:space="preserve">. </w:t>
      </w:r>
      <w:r w:rsidR="00A128C7" w:rsidRPr="005C1789">
        <w:rPr>
          <w:rFonts w:ascii="Verdana" w:hAnsi="Verdana"/>
          <w:i w:val="0"/>
          <w:sz w:val="20"/>
          <w:szCs w:val="20"/>
          <w:lang w:val="es-ES"/>
        </w:rPr>
        <w:t>14</w:t>
      </w:r>
      <w:r w:rsidR="00C93911" w:rsidRPr="005C1789">
        <w:rPr>
          <w:rFonts w:ascii="Verdana" w:hAnsi="Verdana"/>
          <w:i w:val="0"/>
          <w:sz w:val="20"/>
          <w:szCs w:val="20"/>
          <w:lang w:val="es-ES"/>
        </w:rPr>
        <w:t xml:space="preserve"> a </w:t>
      </w:r>
      <w:r w:rsidR="00A128C7" w:rsidRPr="005C1789">
        <w:rPr>
          <w:rFonts w:ascii="Verdana" w:hAnsi="Verdana"/>
          <w:i w:val="0"/>
          <w:sz w:val="20"/>
          <w:szCs w:val="20"/>
          <w:lang w:val="es-ES"/>
        </w:rPr>
        <w:t>17</w:t>
      </w:r>
      <w:r w:rsidR="00851CA8" w:rsidRPr="005C1789">
        <w:rPr>
          <w:rFonts w:ascii="Verdana" w:hAnsi="Verdana"/>
          <w:i w:val="0"/>
          <w:sz w:val="20"/>
          <w:szCs w:val="20"/>
          <w:lang w:val="es-ES"/>
        </w:rPr>
        <w:t>)</w:t>
      </w:r>
      <w:r w:rsidR="00191827" w:rsidRPr="005C1789">
        <w:rPr>
          <w:rFonts w:ascii="Verdana" w:hAnsi="Verdana"/>
          <w:i w:val="0"/>
          <w:sz w:val="20"/>
          <w:szCs w:val="20"/>
          <w:lang w:val="es-ES"/>
        </w:rPr>
        <w:t xml:space="preserve"> </w:t>
      </w:r>
      <w:r w:rsidR="00C93911" w:rsidRPr="005C1789">
        <w:rPr>
          <w:rFonts w:ascii="Verdana" w:hAnsi="Verdana"/>
          <w:i w:val="0"/>
          <w:sz w:val="20"/>
          <w:szCs w:val="20"/>
          <w:lang w:val="es-ES"/>
        </w:rPr>
        <w:t xml:space="preserve">el Estado reconoció su responsabilidad </w:t>
      </w:r>
      <w:r w:rsidR="00B1288F" w:rsidRPr="005C1789">
        <w:rPr>
          <w:rFonts w:ascii="Verdana" w:hAnsi="Verdana"/>
          <w:i w:val="0"/>
          <w:sz w:val="20"/>
          <w:szCs w:val="20"/>
          <w:lang w:val="es-ES"/>
        </w:rPr>
        <w:t>internacional</w:t>
      </w:r>
      <w:r w:rsidR="00C93911" w:rsidRPr="005C1789">
        <w:rPr>
          <w:rFonts w:ascii="Verdana" w:hAnsi="Verdana"/>
          <w:i w:val="0"/>
          <w:sz w:val="20"/>
          <w:szCs w:val="20"/>
          <w:lang w:val="es-ES"/>
        </w:rPr>
        <w:t xml:space="preserve"> por </w:t>
      </w:r>
      <w:r w:rsidR="00A94E6D" w:rsidRPr="005C1789">
        <w:rPr>
          <w:rFonts w:ascii="Verdana" w:hAnsi="Verdana"/>
          <w:i w:val="0"/>
          <w:sz w:val="20"/>
          <w:szCs w:val="20"/>
          <w:lang w:val="es-ES"/>
        </w:rPr>
        <w:t xml:space="preserve">la </w:t>
      </w:r>
      <w:r w:rsidR="00030FEA" w:rsidRPr="005C1789">
        <w:rPr>
          <w:rFonts w:ascii="Verdana" w:hAnsi="Verdana"/>
          <w:i w:val="0"/>
          <w:sz w:val="20"/>
          <w:szCs w:val="20"/>
          <w:lang w:val="es-ES"/>
        </w:rPr>
        <w:t>vulneración</w:t>
      </w:r>
      <w:r w:rsidR="00A94E6D" w:rsidRPr="005C1789">
        <w:rPr>
          <w:rFonts w:ascii="Verdana" w:hAnsi="Verdana"/>
          <w:i w:val="0"/>
          <w:sz w:val="20"/>
          <w:szCs w:val="20"/>
          <w:lang w:val="es-ES"/>
        </w:rPr>
        <w:t xml:space="preserve"> a los derechos a la libertad personal</w:t>
      </w:r>
      <w:r w:rsidR="000E44C5">
        <w:rPr>
          <w:rFonts w:ascii="Verdana" w:hAnsi="Verdana"/>
          <w:i w:val="0"/>
          <w:sz w:val="20"/>
          <w:szCs w:val="20"/>
          <w:lang w:val="es-ES"/>
        </w:rPr>
        <w:t>,</w:t>
      </w:r>
      <w:r w:rsidR="000E44C5" w:rsidRPr="000E44C5">
        <w:rPr>
          <w:rFonts w:ascii="Verdana" w:eastAsia="Batang" w:hAnsi="Verdana"/>
          <w:i w:val="0"/>
          <w:iCs/>
          <w:sz w:val="20"/>
          <w:szCs w:val="20"/>
          <w:lang w:val="es-ES" w:eastAsia="en-US"/>
        </w:rPr>
        <w:t xml:space="preserve"> </w:t>
      </w:r>
      <w:r w:rsidR="000E44C5" w:rsidRPr="005C1789">
        <w:rPr>
          <w:rFonts w:ascii="Verdana" w:eastAsia="Batang" w:hAnsi="Verdana"/>
          <w:i w:val="0"/>
          <w:iCs/>
          <w:sz w:val="20"/>
          <w:szCs w:val="20"/>
          <w:lang w:val="es-ES" w:eastAsia="en-US"/>
        </w:rPr>
        <w:t>garantías judiciales, vida privada y protección judicial</w:t>
      </w:r>
      <w:r w:rsidR="00A94E6D" w:rsidRPr="005C1789">
        <w:rPr>
          <w:rFonts w:ascii="Verdana" w:hAnsi="Verdana"/>
          <w:i w:val="0"/>
          <w:sz w:val="20"/>
          <w:szCs w:val="20"/>
          <w:lang w:val="es-ES"/>
        </w:rPr>
        <w:t xml:space="preserve"> (artículo 7, 8</w:t>
      </w:r>
      <w:r w:rsidR="000E44C5">
        <w:rPr>
          <w:rFonts w:ascii="Verdana" w:hAnsi="Verdana"/>
          <w:i w:val="0"/>
          <w:sz w:val="20"/>
          <w:szCs w:val="20"/>
          <w:lang w:val="es-ES"/>
        </w:rPr>
        <w:t>, 11</w:t>
      </w:r>
      <w:r w:rsidR="00A94E6D" w:rsidRPr="005C1789">
        <w:rPr>
          <w:rFonts w:ascii="Verdana" w:hAnsi="Verdana"/>
          <w:i w:val="0"/>
          <w:sz w:val="20"/>
          <w:szCs w:val="20"/>
          <w:lang w:val="es-ES"/>
        </w:rPr>
        <w:t xml:space="preserve"> y 25 y de la Convención Americana en relación con el artículo 1.1 del mismo instrumento) en perjuicio de Jorge Marcial </w:t>
      </w:r>
      <w:proofErr w:type="spellStart"/>
      <w:r w:rsidR="00A94E6D" w:rsidRPr="005C1789">
        <w:rPr>
          <w:rFonts w:ascii="Verdana" w:hAnsi="Verdana"/>
          <w:i w:val="0"/>
          <w:sz w:val="20"/>
          <w:szCs w:val="20"/>
          <w:lang w:val="es-ES"/>
        </w:rPr>
        <w:t>Tzompaxtle</w:t>
      </w:r>
      <w:proofErr w:type="spellEnd"/>
      <w:r w:rsidR="00A94E6D" w:rsidRPr="005C1789">
        <w:rPr>
          <w:rFonts w:ascii="Verdana" w:hAnsi="Verdana"/>
          <w:i w:val="0"/>
          <w:sz w:val="20"/>
          <w:szCs w:val="20"/>
          <w:lang w:val="es-ES"/>
        </w:rPr>
        <w:t xml:space="preserve"> </w:t>
      </w:r>
      <w:proofErr w:type="spellStart"/>
      <w:r w:rsidR="00A94E6D" w:rsidRPr="005C1789">
        <w:rPr>
          <w:rFonts w:ascii="Verdana" w:hAnsi="Verdana"/>
          <w:i w:val="0"/>
          <w:sz w:val="20"/>
          <w:szCs w:val="20"/>
          <w:lang w:val="es-ES"/>
        </w:rPr>
        <w:t>Tecpile</w:t>
      </w:r>
      <w:proofErr w:type="spellEnd"/>
      <w:r w:rsidR="00A94E6D" w:rsidRPr="005C1789">
        <w:rPr>
          <w:rFonts w:ascii="Verdana" w:hAnsi="Verdana"/>
          <w:i w:val="0"/>
          <w:sz w:val="20"/>
          <w:szCs w:val="20"/>
          <w:lang w:val="es-ES"/>
        </w:rPr>
        <w:t xml:space="preserve">, Gerardo </w:t>
      </w:r>
      <w:proofErr w:type="spellStart"/>
      <w:r w:rsidR="00A94E6D" w:rsidRPr="005C1789">
        <w:rPr>
          <w:rFonts w:ascii="Verdana" w:hAnsi="Verdana"/>
          <w:i w:val="0"/>
          <w:sz w:val="20"/>
          <w:szCs w:val="20"/>
          <w:lang w:val="es-ES"/>
        </w:rPr>
        <w:t>Tzompaxtle</w:t>
      </w:r>
      <w:proofErr w:type="spellEnd"/>
      <w:r w:rsidR="00A94E6D" w:rsidRPr="005C1789">
        <w:rPr>
          <w:rFonts w:ascii="Verdana" w:hAnsi="Verdana"/>
          <w:i w:val="0"/>
          <w:sz w:val="20"/>
          <w:szCs w:val="20"/>
          <w:lang w:val="es-ES"/>
        </w:rPr>
        <w:t xml:space="preserve"> </w:t>
      </w:r>
      <w:proofErr w:type="spellStart"/>
      <w:r w:rsidR="00A94E6D" w:rsidRPr="005C1789">
        <w:rPr>
          <w:rFonts w:ascii="Verdana" w:hAnsi="Verdana"/>
          <w:i w:val="0"/>
          <w:sz w:val="20"/>
          <w:szCs w:val="20"/>
          <w:lang w:val="es-ES"/>
        </w:rPr>
        <w:t>Tecpile</w:t>
      </w:r>
      <w:proofErr w:type="spellEnd"/>
      <w:r w:rsidR="00A94E6D" w:rsidRPr="005C1789">
        <w:rPr>
          <w:rFonts w:ascii="Verdana" w:hAnsi="Verdana"/>
          <w:i w:val="0"/>
          <w:sz w:val="20"/>
          <w:szCs w:val="20"/>
          <w:lang w:val="es-ES"/>
        </w:rPr>
        <w:t xml:space="preserve"> y Gustavo Robles López</w:t>
      </w:r>
      <w:r w:rsidR="008648EA" w:rsidRPr="005C1789">
        <w:rPr>
          <w:rFonts w:ascii="Verdana" w:hAnsi="Verdana"/>
          <w:i w:val="0"/>
          <w:sz w:val="20"/>
          <w:szCs w:val="20"/>
          <w:lang w:val="es-ES"/>
        </w:rPr>
        <w:t xml:space="preserve">. Según reconoció el Estado, </w:t>
      </w:r>
      <w:r w:rsidR="00AC3AB7">
        <w:rPr>
          <w:rFonts w:ascii="Verdana" w:hAnsi="Verdana"/>
          <w:i w:val="0"/>
          <w:sz w:val="20"/>
          <w:szCs w:val="20"/>
          <w:lang w:val="es-ES"/>
        </w:rPr>
        <w:t>“</w:t>
      </w:r>
      <w:r w:rsidR="00AC3AB7" w:rsidRPr="005C1789">
        <w:rPr>
          <w:rFonts w:ascii="Verdana" w:hAnsi="Verdana"/>
          <w:i w:val="0"/>
          <w:sz w:val="20"/>
          <w:szCs w:val="20"/>
          <w:lang w:val="es-ES"/>
        </w:rPr>
        <w:t>[</w:t>
      </w:r>
      <w:r w:rsidR="008648EA" w:rsidRPr="005C1789">
        <w:rPr>
          <w:rFonts w:ascii="Verdana" w:hAnsi="Verdana"/>
          <w:i w:val="0"/>
          <w:sz w:val="20"/>
          <w:szCs w:val="20"/>
          <w:lang w:val="es-ES"/>
        </w:rPr>
        <w:t>l]</w:t>
      </w:r>
      <w:r w:rsidR="008648EA" w:rsidRPr="005C1789">
        <w:rPr>
          <w:rFonts w:ascii="Verdana" w:eastAsia="Batang" w:hAnsi="Verdana"/>
          <w:i w:val="0"/>
          <w:iCs/>
          <w:sz w:val="20"/>
          <w:szCs w:val="20"/>
          <w:lang w:val="es-ES" w:eastAsia="en-US"/>
        </w:rPr>
        <w:t>o anterior causado por la retención, revisión del vehículo, falta de información sobre las razones de su detención, falta de presentación sin demora ante el juez, falta de notificación previa y detallada de los cargos, falta de defensa técnica en los primeros días posteriores a la detención, lo cual derivó en una incorrecta aplicación de las figuras de arraigo y prisión preventiva oficiosa según las características que les eran propias al momento de los hechos”</w:t>
      </w:r>
      <w:r w:rsidR="00C32E29" w:rsidRPr="005C1789">
        <w:rPr>
          <w:rFonts w:ascii="Verdana" w:eastAsia="Batang" w:hAnsi="Verdana"/>
          <w:i w:val="0"/>
          <w:iCs/>
          <w:sz w:val="20"/>
          <w:szCs w:val="20"/>
          <w:lang w:val="es-ES" w:eastAsia="en-US"/>
        </w:rPr>
        <w:t xml:space="preserve"> (</w:t>
      </w:r>
      <w:r w:rsidR="00C32E29" w:rsidRPr="005C1789">
        <w:rPr>
          <w:rFonts w:ascii="Verdana" w:eastAsia="Batang" w:hAnsi="Verdana"/>
          <w:sz w:val="20"/>
          <w:szCs w:val="20"/>
          <w:lang w:val="es-ES" w:eastAsia="en-US"/>
        </w:rPr>
        <w:t>supra</w:t>
      </w:r>
      <w:r w:rsidR="00C32E29" w:rsidRPr="005C1789">
        <w:rPr>
          <w:rFonts w:ascii="Verdana" w:eastAsia="Batang" w:hAnsi="Verdana"/>
          <w:i w:val="0"/>
          <w:iCs/>
          <w:sz w:val="20"/>
          <w:szCs w:val="20"/>
          <w:lang w:val="es-ES" w:eastAsia="en-US"/>
        </w:rPr>
        <w:t xml:space="preserve"> párr. 14)</w:t>
      </w:r>
      <w:r w:rsidR="008648EA" w:rsidRPr="005C1789">
        <w:rPr>
          <w:rFonts w:ascii="Verdana" w:hAnsi="Verdana"/>
          <w:i w:val="0"/>
          <w:sz w:val="20"/>
          <w:szCs w:val="20"/>
          <w:lang w:val="es-ES"/>
        </w:rPr>
        <w:t>.</w:t>
      </w:r>
      <w:r w:rsidR="00A94E6D" w:rsidRPr="005C1789">
        <w:rPr>
          <w:rFonts w:ascii="Verdana" w:hAnsi="Verdana"/>
          <w:i w:val="0"/>
          <w:sz w:val="20"/>
          <w:szCs w:val="20"/>
          <w:lang w:val="es-ES"/>
        </w:rPr>
        <w:t xml:space="preserve"> </w:t>
      </w:r>
    </w:p>
    <w:p w14:paraId="22FAAC0A" w14:textId="1516EC41" w:rsidR="00295348" w:rsidRPr="005C1789" w:rsidRDefault="00AB7C91" w:rsidP="00955888">
      <w:pPr>
        <w:pStyle w:val="Ttulo1"/>
        <w:ind w:firstLine="6"/>
        <w:rPr>
          <w:rFonts w:ascii="Verdana" w:hAnsi="Verdana"/>
          <w:b w:val="0"/>
          <w:bCs w:val="0"/>
          <w:caps w:val="0"/>
          <w:snapToGrid/>
          <w:sz w:val="20"/>
          <w:lang w:val="es-ES_tradnl"/>
        </w:rPr>
      </w:pPr>
      <w:bookmarkStart w:id="82" w:name="_Toc36823472"/>
      <w:bookmarkStart w:id="83" w:name="_Toc123347526"/>
      <w:r w:rsidRPr="005C1789">
        <w:rPr>
          <w:rFonts w:ascii="Verdana" w:hAnsi="Verdana"/>
          <w:caps w:val="0"/>
          <w:sz w:val="20"/>
          <w:lang w:val="es-ES_tradnl"/>
        </w:rPr>
        <w:t>VIII.1</w:t>
      </w:r>
      <w:r w:rsidRPr="005C1789">
        <w:rPr>
          <w:rFonts w:ascii="Verdana" w:hAnsi="Verdana"/>
          <w:caps w:val="0"/>
          <w:color w:val="FFFFFF" w:themeColor="background1"/>
          <w:sz w:val="20"/>
          <w:lang w:val="es-ES_tradnl"/>
        </w:rPr>
        <w:t>.</w:t>
      </w:r>
      <w:r w:rsidRPr="005C1789">
        <w:rPr>
          <w:rFonts w:ascii="Verdana" w:hAnsi="Verdana"/>
          <w:caps w:val="0"/>
          <w:sz w:val="20"/>
          <w:lang w:val="es-ES_tradnl"/>
        </w:rPr>
        <w:br/>
      </w:r>
      <w:r w:rsidR="004B49B5" w:rsidRPr="005C1789">
        <w:rPr>
          <w:rFonts w:ascii="Verdana" w:hAnsi="Verdana"/>
          <w:caps w:val="0"/>
          <w:sz w:val="20"/>
          <w:lang w:val="es-ES_tradnl"/>
        </w:rPr>
        <w:t>LOS</w:t>
      </w:r>
      <w:r w:rsidRPr="005C1789">
        <w:rPr>
          <w:rFonts w:ascii="Verdana" w:hAnsi="Verdana"/>
          <w:caps w:val="0"/>
          <w:sz w:val="20"/>
          <w:lang w:val="es-ES_tradnl"/>
        </w:rPr>
        <w:t xml:space="preserve"> DERECHO</w:t>
      </w:r>
      <w:r w:rsidR="004B49B5" w:rsidRPr="005C1789">
        <w:rPr>
          <w:rFonts w:ascii="Verdana" w:hAnsi="Verdana"/>
          <w:caps w:val="0"/>
          <w:sz w:val="20"/>
          <w:lang w:val="es-ES_tradnl"/>
        </w:rPr>
        <w:t>S</w:t>
      </w:r>
      <w:r w:rsidRPr="005C1789">
        <w:rPr>
          <w:rFonts w:ascii="Verdana" w:hAnsi="Verdana"/>
          <w:caps w:val="0"/>
          <w:sz w:val="20"/>
          <w:lang w:val="es-ES_tradnl"/>
        </w:rPr>
        <w:t xml:space="preserve"> A LA LIBERTAD PERSONAL</w:t>
      </w:r>
      <w:r w:rsidR="00A3785F" w:rsidRPr="005C1789">
        <w:rPr>
          <w:rStyle w:val="Refdenotaalpie"/>
          <w:rFonts w:ascii="Verdana" w:hAnsi="Verdana"/>
          <w:sz w:val="20"/>
          <w:lang w:val="es-ES_tradnl"/>
        </w:rPr>
        <w:footnoteReference w:id="63"/>
      </w:r>
      <w:r w:rsidRPr="005C1789">
        <w:rPr>
          <w:rFonts w:ascii="Verdana" w:hAnsi="Verdana"/>
          <w:caps w:val="0"/>
          <w:sz w:val="20"/>
          <w:lang w:val="es-ES_tradnl"/>
        </w:rPr>
        <w:t xml:space="preserve"> </w:t>
      </w:r>
      <w:r w:rsidR="004B49B5" w:rsidRPr="005C1789">
        <w:rPr>
          <w:rFonts w:ascii="Verdana" w:hAnsi="Verdana"/>
          <w:caps w:val="0"/>
          <w:sz w:val="20"/>
          <w:lang w:val="es-ES_tradnl"/>
        </w:rPr>
        <w:t>Y A LA PRESUNCIÓN DE INOCENCIA</w:t>
      </w:r>
      <w:r w:rsidR="004B49B5" w:rsidRPr="005C1789">
        <w:rPr>
          <w:rStyle w:val="Refdenotaalpie"/>
          <w:rFonts w:ascii="Verdana" w:hAnsi="Verdana"/>
          <w:sz w:val="20"/>
          <w:lang w:val="es-ES_tradnl"/>
        </w:rPr>
        <w:footnoteReference w:id="64"/>
      </w:r>
      <w:r w:rsidR="004B49B5" w:rsidRPr="005C1789">
        <w:rPr>
          <w:rFonts w:ascii="Verdana" w:hAnsi="Verdana"/>
          <w:caps w:val="0"/>
          <w:sz w:val="20"/>
          <w:lang w:val="es-ES_tradnl"/>
        </w:rPr>
        <w:t xml:space="preserve"> </w:t>
      </w:r>
      <w:r w:rsidRPr="005C1789">
        <w:rPr>
          <w:rFonts w:ascii="Verdana" w:hAnsi="Verdana"/>
          <w:caps w:val="0"/>
          <w:sz w:val="20"/>
          <w:lang w:val="es-ES_tradnl"/>
        </w:rPr>
        <w:t>EN RELACIÓN CON LA OBLIGACIÓN DE RES</w:t>
      </w:r>
      <w:r w:rsidR="001E657E" w:rsidRPr="005C1789">
        <w:rPr>
          <w:rFonts w:ascii="Verdana" w:hAnsi="Verdana"/>
          <w:caps w:val="0"/>
          <w:sz w:val="20"/>
          <w:lang w:val="es-ES_tradnl"/>
        </w:rPr>
        <w:t>PETAR</w:t>
      </w:r>
      <w:r w:rsidR="00F562B8" w:rsidRPr="005C1789">
        <w:rPr>
          <w:rFonts w:ascii="Verdana" w:hAnsi="Verdana"/>
          <w:caps w:val="0"/>
          <w:sz w:val="20"/>
          <w:lang w:val="es-ES_tradnl"/>
        </w:rPr>
        <w:t xml:space="preserve"> LOS DERECHOS</w:t>
      </w:r>
      <w:r w:rsidRPr="005C1789">
        <w:rPr>
          <w:rStyle w:val="Refdenotaalpie"/>
          <w:rFonts w:ascii="Verdana" w:hAnsi="Verdana"/>
          <w:sz w:val="20"/>
          <w:lang w:val="es-ES_tradnl"/>
        </w:rPr>
        <w:footnoteReference w:id="65"/>
      </w:r>
      <w:r w:rsidRPr="005C1789">
        <w:rPr>
          <w:rFonts w:ascii="Verdana" w:hAnsi="Verdana"/>
          <w:caps w:val="0"/>
          <w:sz w:val="20"/>
          <w:lang w:val="es-ES_tradnl"/>
        </w:rPr>
        <w:t xml:space="preserve"> </w:t>
      </w:r>
      <w:bookmarkEnd w:id="82"/>
      <w:r w:rsidRPr="005C1789">
        <w:rPr>
          <w:rFonts w:ascii="Verdana" w:hAnsi="Verdana"/>
          <w:caps w:val="0"/>
          <w:sz w:val="20"/>
          <w:lang w:val="es-ES_tradnl"/>
        </w:rPr>
        <w:t>Y CON LA OBLIGACIÓN DE ADOPTAR DISPOSICIONES DE DERECHO INTERNO</w:t>
      </w:r>
      <w:r w:rsidR="00E2173F" w:rsidRPr="005C1789">
        <w:rPr>
          <w:rStyle w:val="Refdenotaalpie"/>
          <w:rFonts w:ascii="Verdana" w:hAnsi="Verdana"/>
          <w:sz w:val="20"/>
          <w:lang w:val="es-ES_tradnl"/>
        </w:rPr>
        <w:footnoteReference w:id="66"/>
      </w:r>
      <w:bookmarkEnd w:id="83"/>
    </w:p>
    <w:p w14:paraId="7E598132" w14:textId="77777777" w:rsidR="00B96431" w:rsidRPr="005C1789" w:rsidRDefault="00B96431" w:rsidP="00955888">
      <w:pPr>
        <w:pStyle w:val="Ttulo2"/>
        <w:numPr>
          <w:ilvl w:val="0"/>
          <w:numId w:val="13"/>
        </w:numPr>
        <w:spacing w:before="240" w:after="240"/>
        <w:rPr>
          <w:rFonts w:ascii="Verdana" w:hAnsi="Verdana"/>
          <w:i/>
          <w:color w:val="auto"/>
          <w:sz w:val="20"/>
          <w:szCs w:val="20"/>
        </w:rPr>
      </w:pPr>
      <w:bookmarkStart w:id="84" w:name="_Toc36823474"/>
      <w:bookmarkStart w:id="85" w:name="_Toc123347527"/>
      <w:r w:rsidRPr="005C1789">
        <w:rPr>
          <w:rFonts w:ascii="Verdana" w:hAnsi="Verdana"/>
          <w:i/>
          <w:color w:val="auto"/>
          <w:sz w:val="20"/>
          <w:szCs w:val="20"/>
        </w:rPr>
        <w:t>Alegatos de las partes y la Comisión</w:t>
      </w:r>
      <w:bookmarkEnd w:id="84"/>
      <w:bookmarkEnd w:id="85"/>
    </w:p>
    <w:p w14:paraId="140A0929" w14:textId="6EC93A75" w:rsidR="002A77DE" w:rsidRPr="005C1789" w:rsidRDefault="00F21CCD" w:rsidP="00955888">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b/>
          <w:i w:val="0"/>
          <w:iCs/>
          <w:snapToGrid w:val="0"/>
          <w:spacing w:val="-2"/>
          <w:sz w:val="20"/>
          <w:szCs w:val="20"/>
          <w:lang w:eastAsia="es-ES"/>
        </w:rPr>
      </w:pPr>
      <w:r w:rsidRPr="005C1789">
        <w:rPr>
          <w:rFonts w:ascii="Verdana" w:hAnsi="Verdana"/>
          <w:i w:val="0"/>
          <w:sz w:val="20"/>
          <w:szCs w:val="20"/>
          <w:lang w:val="es-ES"/>
        </w:rPr>
        <w:t xml:space="preserve">A </w:t>
      </w:r>
      <w:r w:rsidR="00470D0F" w:rsidRPr="005C1789">
        <w:rPr>
          <w:rFonts w:ascii="Verdana" w:hAnsi="Verdana"/>
          <w:i w:val="0"/>
          <w:sz w:val="20"/>
          <w:szCs w:val="20"/>
          <w:lang w:val="es-ES"/>
        </w:rPr>
        <w:t>continuación,</w:t>
      </w:r>
      <w:r w:rsidRPr="005C1789">
        <w:rPr>
          <w:rFonts w:ascii="Verdana" w:hAnsi="Verdana"/>
          <w:i w:val="0"/>
          <w:sz w:val="20"/>
          <w:szCs w:val="20"/>
          <w:lang w:val="es-ES"/>
        </w:rPr>
        <w:t xml:space="preserve"> se </w:t>
      </w:r>
      <w:r w:rsidR="00470D0F" w:rsidRPr="005C1789">
        <w:rPr>
          <w:rFonts w:ascii="Verdana" w:hAnsi="Verdana"/>
          <w:i w:val="0"/>
          <w:sz w:val="20"/>
          <w:szCs w:val="20"/>
          <w:lang w:val="es-ES"/>
        </w:rPr>
        <w:t xml:space="preserve">sistematizan los alegatos de las </w:t>
      </w:r>
      <w:r w:rsidR="00AC3AB7">
        <w:rPr>
          <w:rFonts w:ascii="Verdana" w:hAnsi="Verdana"/>
          <w:i w:val="0"/>
          <w:sz w:val="20"/>
          <w:szCs w:val="20"/>
          <w:lang w:val="es-ES"/>
        </w:rPr>
        <w:t>p</w:t>
      </w:r>
      <w:r w:rsidR="00470D0F" w:rsidRPr="005C1789">
        <w:rPr>
          <w:rFonts w:ascii="Verdana" w:hAnsi="Verdana"/>
          <w:i w:val="0"/>
          <w:sz w:val="20"/>
          <w:szCs w:val="20"/>
          <w:lang w:val="es-ES"/>
        </w:rPr>
        <w:t xml:space="preserve">artes y de la Comisión en relación con la responsabilidad del Estado por la vulneración a los derechos a la libertad personal y a la presunción de inocencia. </w:t>
      </w:r>
    </w:p>
    <w:p w14:paraId="7C40305F" w14:textId="1F214844" w:rsidR="00F1636A" w:rsidRPr="005C1789" w:rsidRDefault="00470D0F" w:rsidP="00955888">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lang w:val="es-ES"/>
        </w:rPr>
      </w:pPr>
      <w:r w:rsidRPr="005C1789">
        <w:rPr>
          <w:rFonts w:ascii="Verdana" w:hAnsi="Verdana"/>
          <w:i w:val="0"/>
          <w:sz w:val="20"/>
          <w:szCs w:val="20"/>
          <w:lang w:val="es-ES"/>
        </w:rPr>
        <w:t>Con relación</w:t>
      </w:r>
      <w:r w:rsidR="002A77DE" w:rsidRPr="005C1789">
        <w:rPr>
          <w:rFonts w:ascii="Verdana" w:hAnsi="Verdana"/>
          <w:i w:val="0"/>
          <w:sz w:val="20"/>
          <w:szCs w:val="20"/>
          <w:lang w:val="es-ES"/>
        </w:rPr>
        <w:t xml:space="preserve"> a lo </w:t>
      </w:r>
      <w:r w:rsidR="00443B22" w:rsidRPr="005C1789">
        <w:rPr>
          <w:rFonts w:ascii="Verdana" w:hAnsi="Verdana"/>
          <w:i w:val="0"/>
          <w:sz w:val="20"/>
          <w:szCs w:val="20"/>
          <w:lang w:val="es-ES"/>
        </w:rPr>
        <w:t>anterior</w:t>
      </w:r>
      <w:r w:rsidR="002A77DE" w:rsidRPr="005C1789">
        <w:rPr>
          <w:rFonts w:ascii="Verdana" w:hAnsi="Verdana"/>
          <w:i w:val="0"/>
          <w:sz w:val="20"/>
          <w:szCs w:val="20"/>
          <w:lang w:val="es-ES"/>
        </w:rPr>
        <w:t>,</w:t>
      </w:r>
      <w:r w:rsidRPr="005C1789">
        <w:rPr>
          <w:rFonts w:ascii="Verdana" w:hAnsi="Verdana"/>
          <w:i w:val="0"/>
          <w:sz w:val="20"/>
          <w:szCs w:val="20"/>
          <w:lang w:val="es-ES"/>
        </w:rPr>
        <w:t xml:space="preserve"> corresponde recordar que el Estado efectuó un reconocimiento de responsabilidad parcial por el cual admitió que en el caso concreto se habían producido vulneraciones a los derechos a la libertad personal (artículo 7 de la Convención), a las garantías judiciales (artículo 8 de la Convención) y a la protección judicial (artículo 25 de la Convención), en relación con el deber de respeto (artículo 1.1 de la Convención) en perjuicio de Jorge Marcial y Gerardo </w:t>
      </w:r>
      <w:proofErr w:type="spellStart"/>
      <w:r w:rsidRPr="005C1789">
        <w:rPr>
          <w:rFonts w:ascii="Verdana" w:hAnsi="Verdana"/>
          <w:i w:val="0"/>
          <w:sz w:val="20"/>
          <w:szCs w:val="20"/>
          <w:lang w:val="es-ES"/>
        </w:rPr>
        <w:t>Tzompaxtle</w:t>
      </w:r>
      <w:proofErr w:type="spellEnd"/>
      <w:r w:rsidRPr="005C1789">
        <w:rPr>
          <w:rFonts w:ascii="Verdana" w:hAnsi="Verdana"/>
          <w:i w:val="0"/>
          <w:sz w:val="20"/>
          <w:szCs w:val="20"/>
          <w:lang w:val="es-ES"/>
        </w:rPr>
        <w:t xml:space="preserve"> </w:t>
      </w:r>
      <w:proofErr w:type="spellStart"/>
      <w:r w:rsidRPr="005C1789">
        <w:rPr>
          <w:rFonts w:ascii="Verdana" w:hAnsi="Verdana"/>
          <w:i w:val="0"/>
          <w:sz w:val="20"/>
          <w:szCs w:val="20"/>
          <w:lang w:val="es-ES"/>
        </w:rPr>
        <w:t>Tecpile</w:t>
      </w:r>
      <w:proofErr w:type="spellEnd"/>
      <w:r w:rsidRPr="005C1789">
        <w:rPr>
          <w:rFonts w:ascii="Verdana" w:hAnsi="Verdana"/>
          <w:i w:val="0"/>
          <w:sz w:val="20"/>
          <w:szCs w:val="20"/>
          <w:lang w:val="es-ES"/>
        </w:rPr>
        <w:t>, y Gustavo Robles López (</w:t>
      </w:r>
      <w:r w:rsidRPr="005C1789">
        <w:rPr>
          <w:rFonts w:ascii="Verdana" w:hAnsi="Verdana"/>
          <w:sz w:val="20"/>
          <w:szCs w:val="20"/>
          <w:lang w:val="es-ES"/>
        </w:rPr>
        <w:t>supra</w:t>
      </w:r>
      <w:r w:rsidRPr="005C1789">
        <w:rPr>
          <w:rFonts w:ascii="Verdana" w:hAnsi="Verdana"/>
          <w:i w:val="0"/>
          <w:sz w:val="20"/>
          <w:szCs w:val="20"/>
          <w:lang w:val="es-ES"/>
        </w:rPr>
        <w:t xml:space="preserve"> párr. </w:t>
      </w:r>
      <w:r w:rsidR="00EE54EF" w:rsidRPr="005C1789">
        <w:rPr>
          <w:rFonts w:ascii="Verdana" w:hAnsi="Verdana"/>
          <w:i w:val="0"/>
          <w:sz w:val="20"/>
          <w:szCs w:val="20"/>
          <w:lang w:val="es-ES"/>
        </w:rPr>
        <w:t>14)</w:t>
      </w:r>
      <w:r w:rsidRPr="005C1789">
        <w:rPr>
          <w:rFonts w:ascii="Verdana" w:hAnsi="Verdana"/>
          <w:i w:val="0"/>
          <w:sz w:val="20"/>
          <w:szCs w:val="20"/>
          <w:lang w:val="es-ES"/>
        </w:rPr>
        <w:t xml:space="preserve">. </w:t>
      </w:r>
      <w:r w:rsidR="002A77DE" w:rsidRPr="005C1789">
        <w:rPr>
          <w:rFonts w:ascii="Verdana" w:hAnsi="Verdana"/>
          <w:i w:val="0"/>
          <w:sz w:val="20"/>
          <w:szCs w:val="20"/>
          <w:lang w:val="es-ES"/>
        </w:rPr>
        <w:t xml:space="preserve">Sin perjuicio de ello, el Estado </w:t>
      </w:r>
      <w:r w:rsidR="00443B22" w:rsidRPr="005C1789">
        <w:rPr>
          <w:rFonts w:ascii="Verdana" w:hAnsi="Verdana"/>
          <w:i w:val="0"/>
          <w:sz w:val="20"/>
          <w:szCs w:val="20"/>
          <w:lang w:val="es-ES"/>
        </w:rPr>
        <w:t xml:space="preserve">alega que esas vulneraciones no se produjeron en relación con la obligación de adoptar disposiciones de derecho interno (artículo 2 de la Convención) </w:t>
      </w:r>
      <w:r w:rsidR="000D4F43">
        <w:rPr>
          <w:rFonts w:ascii="Verdana" w:hAnsi="Verdana"/>
          <w:i w:val="0"/>
          <w:sz w:val="20"/>
          <w:szCs w:val="20"/>
          <w:lang w:val="es-ES"/>
        </w:rPr>
        <w:t>por</w:t>
      </w:r>
      <w:r w:rsidR="00443B22" w:rsidRPr="005C1789">
        <w:rPr>
          <w:rFonts w:ascii="Verdana" w:hAnsi="Verdana"/>
          <w:i w:val="0"/>
          <w:sz w:val="20"/>
          <w:szCs w:val="20"/>
          <w:lang w:val="es-ES"/>
        </w:rPr>
        <w:t xml:space="preserve"> la existencia de las figuras del arraigo y de la prisión preventiva oficiosa (</w:t>
      </w:r>
      <w:r w:rsidR="00443B22" w:rsidRPr="005C1789">
        <w:rPr>
          <w:rFonts w:ascii="Verdana" w:hAnsi="Verdana"/>
          <w:sz w:val="20"/>
          <w:szCs w:val="20"/>
          <w:lang w:val="es-ES"/>
        </w:rPr>
        <w:t>supra</w:t>
      </w:r>
      <w:r w:rsidR="00443B22" w:rsidRPr="005C1789">
        <w:rPr>
          <w:rFonts w:ascii="Verdana" w:hAnsi="Verdana"/>
          <w:i w:val="0"/>
          <w:sz w:val="20"/>
          <w:szCs w:val="20"/>
          <w:lang w:val="es-ES"/>
        </w:rPr>
        <w:t xml:space="preserve"> párr. </w:t>
      </w:r>
      <w:r w:rsidR="00600D4D" w:rsidRPr="005C1789">
        <w:rPr>
          <w:rFonts w:ascii="Verdana" w:hAnsi="Verdana"/>
          <w:i w:val="0"/>
          <w:sz w:val="20"/>
          <w:szCs w:val="20"/>
          <w:lang w:val="es-ES"/>
        </w:rPr>
        <w:t>28</w:t>
      </w:r>
      <w:r w:rsidR="00443B22" w:rsidRPr="005C1789">
        <w:rPr>
          <w:rFonts w:ascii="Verdana" w:hAnsi="Verdana"/>
          <w:i w:val="0"/>
          <w:sz w:val="20"/>
          <w:szCs w:val="20"/>
          <w:lang w:val="es-ES"/>
        </w:rPr>
        <w:t>).</w:t>
      </w:r>
      <w:r w:rsidR="0031449B" w:rsidRPr="005C1789">
        <w:rPr>
          <w:rFonts w:ascii="Verdana" w:hAnsi="Verdana"/>
          <w:i w:val="0"/>
          <w:sz w:val="20"/>
          <w:szCs w:val="20"/>
          <w:lang w:val="es-ES"/>
        </w:rPr>
        <w:t xml:space="preserve"> </w:t>
      </w:r>
      <w:r w:rsidR="007E5027" w:rsidRPr="005C1789">
        <w:rPr>
          <w:rFonts w:ascii="Verdana" w:hAnsi="Verdana"/>
          <w:i w:val="0"/>
          <w:sz w:val="20"/>
          <w:szCs w:val="20"/>
          <w:lang w:val="es-ES"/>
        </w:rPr>
        <w:t>Con base en lo anterior</w:t>
      </w:r>
      <w:r w:rsidR="0031449B" w:rsidRPr="005C1789">
        <w:rPr>
          <w:rFonts w:ascii="Verdana" w:hAnsi="Verdana"/>
          <w:i w:val="0"/>
          <w:sz w:val="20"/>
          <w:szCs w:val="20"/>
          <w:lang w:val="es-ES"/>
        </w:rPr>
        <w:t>, la Corte únicamente se referirá a los alegatos que corresponden a las vulneraciones a la Convención Americana que no fueron reconocidas por el Estado</w:t>
      </w:r>
      <w:r w:rsidR="00191827" w:rsidRPr="005C1789">
        <w:rPr>
          <w:rFonts w:ascii="Verdana" w:hAnsi="Verdana"/>
          <w:i w:val="0"/>
          <w:sz w:val="20"/>
          <w:szCs w:val="20"/>
          <w:lang w:val="es-ES"/>
        </w:rPr>
        <w:t>.</w:t>
      </w:r>
    </w:p>
    <w:p w14:paraId="552E68D7" w14:textId="6EAAD107" w:rsidR="00A00AEB" w:rsidRPr="005C1789" w:rsidRDefault="00A00AEB" w:rsidP="00955888">
      <w:pPr>
        <w:pStyle w:val="Ttulo3"/>
        <w:spacing w:before="240" w:after="240"/>
        <w:ind w:left="567"/>
        <w:jc w:val="both"/>
        <w:rPr>
          <w:rFonts w:ascii="Verdana" w:hAnsi="Verdana"/>
          <w:b w:val="0"/>
          <w:snapToGrid w:val="0"/>
          <w:spacing w:val="-2"/>
          <w:sz w:val="20"/>
          <w:szCs w:val="20"/>
          <w:lang w:eastAsia="es-ES"/>
        </w:rPr>
      </w:pPr>
      <w:bookmarkStart w:id="86" w:name="_Toc123347528"/>
      <w:r w:rsidRPr="005C1789">
        <w:rPr>
          <w:rFonts w:ascii="Verdana" w:hAnsi="Verdana"/>
          <w:b w:val="0"/>
          <w:snapToGrid w:val="0"/>
          <w:spacing w:val="-2"/>
          <w:sz w:val="20"/>
          <w:szCs w:val="20"/>
          <w:lang w:eastAsia="es-ES"/>
        </w:rPr>
        <w:t>A.</w:t>
      </w:r>
      <w:r w:rsidR="00AA08FD" w:rsidRPr="005C1789">
        <w:rPr>
          <w:rFonts w:ascii="Verdana" w:hAnsi="Verdana"/>
          <w:b w:val="0"/>
          <w:snapToGrid w:val="0"/>
          <w:spacing w:val="-2"/>
          <w:sz w:val="20"/>
          <w:szCs w:val="20"/>
          <w:lang w:eastAsia="es-ES"/>
        </w:rPr>
        <w:t>1</w:t>
      </w:r>
      <w:r w:rsidRPr="005C1789">
        <w:rPr>
          <w:rFonts w:ascii="Verdana" w:hAnsi="Verdana"/>
          <w:b w:val="0"/>
          <w:snapToGrid w:val="0"/>
          <w:spacing w:val="-2"/>
          <w:sz w:val="20"/>
          <w:szCs w:val="20"/>
          <w:lang w:eastAsia="es-ES"/>
        </w:rPr>
        <w:t>. Sobre la aplicación de la figura del arraigo y la posterior detención preventiva</w:t>
      </w:r>
      <w:bookmarkEnd w:id="86"/>
      <w:r w:rsidRPr="005C1789">
        <w:rPr>
          <w:rFonts w:ascii="Verdana" w:hAnsi="Verdana"/>
          <w:b w:val="0"/>
          <w:snapToGrid w:val="0"/>
          <w:spacing w:val="-2"/>
          <w:sz w:val="20"/>
          <w:szCs w:val="20"/>
          <w:lang w:eastAsia="es-ES"/>
        </w:rPr>
        <w:t xml:space="preserve"> </w:t>
      </w:r>
    </w:p>
    <w:p w14:paraId="458CA286" w14:textId="7A3B0CFA" w:rsidR="00F1636A" w:rsidRPr="005C1789" w:rsidRDefault="00A00AE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La </w:t>
      </w:r>
      <w:r w:rsidRPr="005C1789">
        <w:rPr>
          <w:rFonts w:ascii="Verdana" w:hAnsi="Verdana"/>
          <w:b/>
          <w:bCs/>
          <w:sz w:val="20"/>
          <w:szCs w:val="20"/>
          <w:lang w:val="es-ES_tradnl"/>
        </w:rPr>
        <w:t>Comisión</w:t>
      </w:r>
      <w:r w:rsidRPr="005C1789">
        <w:rPr>
          <w:rFonts w:ascii="Verdana" w:hAnsi="Verdana"/>
          <w:i w:val="0"/>
          <w:iCs/>
          <w:sz w:val="20"/>
          <w:szCs w:val="20"/>
          <w:lang w:val="es-ES_tradnl"/>
        </w:rPr>
        <w:t xml:space="preserve"> y los </w:t>
      </w:r>
      <w:r w:rsidRPr="005C1789">
        <w:rPr>
          <w:rFonts w:ascii="Verdana" w:hAnsi="Verdana"/>
          <w:b/>
          <w:bCs/>
          <w:sz w:val="20"/>
          <w:szCs w:val="20"/>
          <w:lang w:val="es-ES_tradnl"/>
        </w:rPr>
        <w:t>representantes</w:t>
      </w:r>
      <w:r w:rsidR="00F1636A" w:rsidRPr="005C1789">
        <w:rPr>
          <w:rFonts w:ascii="Verdana" w:hAnsi="Verdana"/>
          <w:i w:val="0"/>
          <w:iCs/>
          <w:sz w:val="20"/>
          <w:szCs w:val="20"/>
          <w:lang w:val="es-ES_tradnl"/>
        </w:rPr>
        <w:t xml:space="preserve">, recordaron que para la época de los hechos la figura del arraigo se encontraba consagrada en el artículo 133 bis del Código Federal de Procedimientos Penales. Dicha norma establecía la aplicación de la detención de una persona </w:t>
      </w:r>
      <w:r w:rsidR="002B3F02" w:rsidRPr="005C1789">
        <w:rPr>
          <w:rFonts w:ascii="Verdana" w:hAnsi="Verdana"/>
          <w:i w:val="0"/>
          <w:iCs/>
          <w:sz w:val="20"/>
          <w:szCs w:val="20"/>
          <w:lang w:val="es-ES_tradnl"/>
        </w:rPr>
        <w:t xml:space="preserve">en contra </w:t>
      </w:r>
      <w:r w:rsidR="00F1636A" w:rsidRPr="005C1789">
        <w:rPr>
          <w:rFonts w:ascii="Verdana" w:hAnsi="Verdana"/>
          <w:i w:val="0"/>
          <w:iCs/>
          <w:sz w:val="20"/>
          <w:szCs w:val="20"/>
          <w:lang w:val="es-ES_tradnl"/>
        </w:rPr>
        <w:t xml:space="preserve">de quien se prepare el ejercicio de la acción penal “siempre y cuando exista el riesgo fundado de que se sustraiga a la acción de la justicia”. Sostuvieron que las víctimas fueron detenidas el 12 de enero de 2006, y que estuvieron bajo la figura del arraigo hasta el 22 </w:t>
      </w:r>
      <w:r w:rsidR="00907B63" w:rsidRPr="005C1789">
        <w:rPr>
          <w:rFonts w:ascii="Verdana" w:hAnsi="Verdana"/>
          <w:i w:val="0"/>
          <w:iCs/>
          <w:sz w:val="20"/>
          <w:szCs w:val="20"/>
          <w:lang w:val="es-ES_tradnl"/>
        </w:rPr>
        <w:t>de</w:t>
      </w:r>
      <w:r w:rsidR="00F1636A" w:rsidRPr="005C1789">
        <w:rPr>
          <w:rFonts w:ascii="Verdana" w:hAnsi="Verdana"/>
          <w:i w:val="0"/>
          <w:iCs/>
          <w:sz w:val="20"/>
          <w:szCs w:val="20"/>
          <w:lang w:val="es-ES_tradnl"/>
        </w:rPr>
        <w:t xml:space="preserve"> abril de 2006, fecha en que el Juez Tercero de Distrito en Procesos Penales Federales dictó un auto formal </w:t>
      </w:r>
      <w:r w:rsidR="00271EDD" w:rsidRPr="005C1789">
        <w:rPr>
          <w:rFonts w:ascii="Verdana" w:hAnsi="Verdana"/>
          <w:i w:val="0"/>
          <w:iCs/>
          <w:sz w:val="20"/>
          <w:szCs w:val="20"/>
          <w:lang w:val="es-ES_tradnl"/>
        </w:rPr>
        <w:t xml:space="preserve">de </w:t>
      </w:r>
      <w:r w:rsidR="00F1636A" w:rsidRPr="005C1789">
        <w:rPr>
          <w:rFonts w:ascii="Verdana" w:hAnsi="Verdana"/>
          <w:i w:val="0"/>
          <w:iCs/>
          <w:sz w:val="20"/>
          <w:szCs w:val="20"/>
          <w:lang w:val="es-ES_tradnl"/>
        </w:rPr>
        <w:t xml:space="preserve">prisión, dando lugar a su posterior detención preventiva. Durante ese período estuvieron bajo el control del Ministerio Público y no fueron llevadas ante una autoridad judicial a efectos de que </w:t>
      </w:r>
      <w:r w:rsidR="003F5A84" w:rsidRPr="005C1789">
        <w:rPr>
          <w:rFonts w:ascii="Verdana" w:hAnsi="Verdana"/>
          <w:i w:val="0"/>
          <w:iCs/>
          <w:sz w:val="20"/>
          <w:szCs w:val="20"/>
          <w:lang w:val="es-ES_tradnl"/>
        </w:rPr>
        <w:t>e</w:t>
      </w:r>
      <w:r w:rsidR="00F1636A" w:rsidRPr="005C1789">
        <w:rPr>
          <w:rFonts w:ascii="Verdana" w:hAnsi="Verdana"/>
          <w:i w:val="0"/>
          <w:iCs/>
          <w:sz w:val="20"/>
          <w:szCs w:val="20"/>
          <w:lang w:val="es-ES_tradnl"/>
        </w:rPr>
        <w:t xml:space="preserve">sta revisara la legalidad y </w:t>
      </w:r>
      <w:r w:rsidR="002B3F02" w:rsidRPr="005C1789">
        <w:rPr>
          <w:rFonts w:ascii="Verdana" w:hAnsi="Verdana"/>
          <w:i w:val="0"/>
          <w:iCs/>
          <w:sz w:val="20"/>
          <w:szCs w:val="20"/>
          <w:lang w:val="es-ES_tradnl"/>
        </w:rPr>
        <w:t xml:space="preserve">la </w:t>
      </w:r>
      <w:r w:rsidR="00F1636A" w:rsidRPr="005C1789">
        <w:rPr>
          <w:rFonts w:ascii="Verdana" w:hAnsi="Verdana"/>
          <w:i w:val="0"/>
          <w:iCs/>
          <w:sz w:val="20"/>
          <w:szCs w:val="20"/>
          <w:lang w:val="es-ES_tradnl"/>
        </w:rPr>
        <w:t xml:space="preserve">no arbitrariedad de la </w:t>
      </w:r>
      <w:r w:rsidR="00F1636A" w:rsidRPr="005C1789">
        <w:rPr>
          <w:rFonts w:ascii="Verdana" w:hAnsi="Verdana"/>
          <w:i w:val="0"/>
          <w:iCs/>
          <w:sz w:val="20"/>
          <w:szCs w:val="20"/>
          <w:lang w:val="es-ES_tradnl"/>
        </w:rPr>
        <w:lastRenderedPageBreak/>
        <w:t xml:space="preserve">continuidad de la detención por dicho lapso. Agregaron que el Estado no presentó información detallada que justificara la aplicación del arraigo por tres meses, ni en el dictado original ni en su continuidad. </w:t>
      </w:r>
    </w:p>
    <w:p w14:paraId="4BD27ADE" w14:textId="4CF62679" w:rsidR="00D838BC" w:rsidRPr="005C1789" w:rsidRDefault="004B49B5"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C</w:t>
      </w:r>
      <w:r w:rsidR="00F1636A" w:rsidRPr="005C1789">
        <w:rPr>
          <w:rFonts w:ascii="Verdana" w:hAnsi="Verdana"/>
          <w:i w:val="0"/>
          <w:iCs/>
          <w:sz w:val="20"/>
          <w:szCs w:val="20"/>
          <w:lang w:val="es-ES_tradnl"/>
        </w:rPr>
        <w:t>onsider</w:t>
      </w:r>
      <w:r w:rsidRPr="005C1789">
        <w:rPr>
          <w:rFonts w:ascii="Verdana" w:hAnsi="Verdana"/>
          <w:i w:val="0"/>
          <w:iCs/>
          <w:sz w:val="20"/>
          <w:szCs w:val="20"/>
          <w:lang w:val="es-ES_tradnl"/>
        </w:rPr>
        <w:t>aron</w:t>
      </w:r>
      <w:r w:rsidR="00F1636A" w:rsidRPr="005C1789">
        <w:rPr>
          <w:rFonts w:ascii="Verdana" w:hAnsi="Verdana"/>
          <w:i w:val="0"/>
          <w:iCs/>
          <w:sz w:val="20"/>
          <w:szCs w:val="20"/>
          <w:lang w:val="es-ES_tradnl"/>
        </w:rPr>
        <w:t xml:space="preserve"> que la figura del arraigo resultó contraria a la Convención Americana y, en el presente caso, constituyó una detención arbitraria al no tener una finalidad legítima ni cumplir con los requisitos de idoneidad, necesidad y proporcionalidad. Asimismo, </w:t>
      </w:r>
      <w:r w:rsidRPr="005C1789">
        <w:rPr>
          <w:rFonts w:ascii="Verdana" w:hAnsi="Verdana"/>
          <w:i w:val="0"/>
          <w:iCs/>
          <w:sz w:val="20"/>
          <w:szCs w:val="20"/>
          <w:lang w:val="es-ES_tradnl"/>
        </w:rPr>
        <w:t xml:space="preserve">sostuvieron que </w:t>
      </w:r>
      <w:r w:rsidR="00F1636A" w:rsidRPr="005C1789">
        <w:rPr>
          <w:rFonts w:ascii="Verdana" w:hAnsi="Verdana"/>
          <w:i w:val="0"/>
          <w:iCs/>
          <w:sz w:val="20"/>
          <w:szCs w:val="20"/>
          <w:lang w:val="es-ES_tradnl"/>
        </w:rPr>
        <w:t xml:space="preserve">la duración de la figura del arraigo resultó irrazonable. Finalmente, </w:t>
      </w:r>
      <w:r w:rsidR="00553A5E">
        <w:rPr>
          <w:rFonts w:ascii="Verdana" w:hAnsi="Verdana"/>
          <w:i w:val="0"/>
          <w:iCs/>
          <w:sz w:val="20"/>
          <w:szCs w:val="20"/>
          <w:lang w:val="es-ES_tradnl"/>
        </w:rPr>
        <w:t xml:space="preserve">arguyeron que </w:t>
      </w:r>
      <w:r w:rsidR="00F1636A" w:rsidRPr="005C1789">
        <w:rPr>
          <w:rFonts w:ascii="Verdana" w:hAnsi="Verdana"/>
          <w:i w:val="0"/>
          <w:iCs/>
          <w:sz w:val="20"/>
          <w:szCs w:val="20"/>
          <w:lang w:val="es-ES_tradnl"/>
        </w:rPr>
        <w:t xml:space="preserve">la aplicación de </w:t>
      </w:r>
      <w:r w:rsidR="00C80DAF">
        <w:rPr>
          <w:rFonts w:ascii="Verdana" w:hAnsi="Verdana"/>
          <w:i w:val="0"/>
          <w:iCs/>
          <w:sz w:val="20"/>
          <w:szCs w:val="20"/>
          <w:lang w:val="es-ES_tradnl"/>
        </w:rPr>
        <w:t>esa figura</w:t>
      </w:r>
      <w:r w:rsidR="00F1636A" w:rsidRPr="005C1789">
        <w:rPr>
          <w:rFonts w:ascii="Verdana" w:hAnsi="Verdana"/>
          <w:i w:val="0"/>
          <w:iCs/>
          <w:sz w:val="20"/>
          <w:szCs w:val="20"/>
          <w:lang w:val="es-ES_tradnl"/>
        </w:rPr>
        <w:t xml:space="preserve"> afectó el </w:t>
      </w:r>
      <w:r w:rsidR="00D708DF" w:rsidRPr="005C1789">
        <w:rPr>
          <w:rFonts w:ascii="Verdana" w:hAnsi="Verdana"/>
          <w:i w:val="0"/>
          <w:iCs/>
          <w:sz w:val="20"/>
          <w:szCs w:val="20"/>
          <w:lang w:val="es-ES_tradnl"/>
        </w:rPr>
        <w:t xml:space="preserve">derecho a la </w:t>
      </w:r>
      <w:r w:rsidR="00F1636A" w:rsidRPr="005C1789">
        <w:rPr>
          <w:rFonts w:ascii="Verdana" w:hAnsi="Verdana"/>
          <w:i w:val="0"/>
          <w:iCs/>
          <w:sz w:val="20"/>
          <w:szCs w:val="20"/>
          <w:lang w:val="es-ES_tradnl"/>
        </w:rPr>
        <w:t>presunción de inocencia de las víctimas. En vista de ello, concluye</w:t>
      </w:r>
      <w:r w:rsidRPr="005C1789">
        <w:rPr>
          <w:rFonts w:ascii="Verdana" w:hAnsi="Verdana"/>
          <w:i w:val="0"/>
          <w:iCs/>
          <w:sz w:val="20"/>
          <w:szCs w:val="20"/>
          <w:lang w:val="es-ES_tradnl"/>
        </w:rPr>
        <w:t>ron</w:t>
      </w:r>
      <w:r w:rsidR="00F1636A" w:rsidRPr="005C1789">
        <w:rPr>
          <w:rFonts w:ascii="Verdana" w:hAnsi="Verdana"/>
          <w:i w:val="0"/>
          <w:iCs/>
          <w:sz w:val="20"/>
          <w:szCs w:val="20"/>
          <w:lang w:val="es-ES_tradnl"/>
        </w:rPr>
        <w:t xml:space="preserve"> que el Estado vulneró los derechos </w:t>
      </w:r>
      <w:r w:rsidR="00D73DCD" w:rsidRPr="005C1789">
        <w:rPr>
          <w:rFonts w:ascii="Verdana" w:hAnsi="Verdana"/>
          <w:i w:val="0"/>
          <w:iCs/>
          <w:sz w:val="20"/>
          <w:szCs w:val="20"/>
          <w:lang w:val="es-ES_tradnl"/>
        </w:rPr>
        <w:t xml:space="preserve">contemplados </w:t>
      </w:r>
      <w:r w:rsidR="00F1636A" w:rsidRPr="005C1789">
        <w:rPr>
          <w:rFonts w:ascii="Verdana" w:hAnsi="Verdana"/>
          <w:i w:val="0"/>
          <w:iCs/>
          <w:sz w:val="20"/>
          <w:szCs w:val="20"/>
          <w:lang w:val="es-ES_tradnl"/>
        </w:rPr>
        <w:t xml:space="preserve">en los artículos </w:t>
      </w:r>
      <w:bookmarkStart w:id="87" w:name="_Hlk105169523"/>
      <w:r w:rsidR="00F1636A" w:rsidRPr="005C1789">
        <w:rPr>
          <w:rFonts w:ascii="Verdana" w:hAnsi="Verdana"/>
          <w:i w:val="0"/>
          <w:iCs/>
          <w:sz w:val="20"/>
          <w:szCs w:val="20"/>
          <w:lang w:val="es-ES_tradnl"/>
        </w:rPr>
        <w:t>7.1, 7.3, 7.5 y 8.2 de la Convención Americana, en relación con los artículos 1.1 y 2 del mismo instrumento</w:t>
      </w:r>
      <w:bookmarkEnd w:id="87"/>
      <w:r w:rsidR="00F1636A" w:rsidRPr="005C1789">
        <w:rPr>
          <w:rFonts w:ascii="Verdana" w:hAnsi="Verdana"/>
          <w:i w:val="0"/>
          <w:iCs/>
          <w:sz w:val="20"/>
          <w:szCs w:val="20"/>
          <w:lang w:val="es-ES_tradnl"/>
        </w:rPr>
        <w:t xml:space="preserve">, en perjuicio de Jorge Marcial </w:t>
      </w:r>
      <w:proofErr w:type="spellStart"/>
      <w:r w:rsidR="00F1636A" w:rsidRPr="005C1789">
        <w:rPr>
          <w:rFonts w:ascii="Verdana" w:hAnsi="Verdana"/>
          <w:i w:val="0"/>
          <w:iCs/>
          <w:sz w:val="20"/>
          <w:szCs w:val="20"/>
          <w:lang w:val="es-ES_tradnl"/>
        </w:rPr>
        <w:t>Tzompaxtle</w:t>
      </w:r>
      <w:proofErr w:type="spellEnd"/>
      <w:r w:rsidR="00F1636A" w:rsidRPr="005C1789">
        <w:rPr>
          <w:rFonts w:ascii="Verdana" w:hAnsi="Verdana"/>
          <w:i w:val="0"/>
          <w:iCs/>
          <w:sz w:val="20"/>
          <w:szCs w:val="20"/>
          <w:lang w:val="es-ES_tradnl"/>
        </w:rPr>
        <w:t xml:space="preserve"> </w:t>
      </w:r>
      <w:proofErr w:type="spellStart"/>
      <w:r w:rsidR="00F1636A" w:rsidRPr="005C1789">
        <w:rPr>
          <w:rFonts w:ascii="Verdana" w:hAnsi="Verdana"/>
          <w:i w:val="0"/>
          <w:iCs/>
          <w:sz w:val="20"/>
          <w:szCs w:val="20"/>
          <w:lang w:val="es-ES_tradnl"/>
        </w:rPr>
        <w:t>Tecpile</w:t>
      </w:r>
      <w:proofErr w:type="spellEnd"/>
      <w:r w:rsidR="00F1636A" w:rsidRPr="005C1789">
        <w:rPr>
          <w:rFonts w:ascii="Verdana" w:hAnsi="Verdana"/>
          <w:i w:val="0"/>
          <w:iCs/>
          <w:sz w:val="20"/>
          <w:szCs w:val="20"/>
          <w:lang w:val="es-ES_tradnl"/>
        </w:rPr>
        <w:t xml:space="preserve">, Gerardo </w:t>
      </w:r>
      <w:proofErr w:type="spellStart"/>
      <w:r w:rsidR="00F1636A" w:rsidRPr="005C1789">
        <w:rPr>
          <w:rFonts w:ascii="Verdana" w:hAnsi="Verdana"/>
          <w:i w:val="0"/>
          <w:iCs/>
          <w:sz w:val="20"/>
          <w:szCs w:val="20"/>
          <w:lang w:val="es-ES_tradnl"/>
        </w:rPr>
        <w:t>Tzompaxtle</w:t>
      </w:r>
      <w:proofErr w:type="spellEnd"/>
      <w:r w:rsidR="00F1636A" w:rsidRPr="005C1789">
        <w:rPr>
          <w:rFonts w:ascii="Verdana" w:hAnsi="Verdana"/>
          <w:i w:val="0"/>
          <w:iCs/>
          <w:sz w:val="20"/>
          <w:szCs w:val="20"/>
          <w:lang w:val="es-ES_tradnl"/>
        </w:rPr>
        <w:t xml:space="preserve"> </w:t>
      </w:r>
      <w:proofErr w:type="spellStart"/>
      <w:r w:rsidR="00F1636A" w:rsidRPr="005C1789">
        <w:rPr>
          <w:rFonts w:ascii="Verdana" w:hAnsi="Verdana"/>
          <w:i w:val="0"/>
          <w:iCs/>
          <w:sz w:val="20"/>
          <w:szCs w:val="20"/>
          <w:lang w:val="es-ES_tradnl"/>
        </w:rPr>
        <w:t>Tecpile</w:t>
      </w:r>
      <w:proofErr w:type="spellEnd"/>
      <w:r w:rsidR="00F1636A" w:rsidRPr="005C1789">
        <w:rPr>
          <w:rFonts w:ascii="Verdana" w:hAnsi="Verdana"/>
          <w:i w:val="0"/>
          <w:iCs/>
          <w:sz w:val="20"/>
          <w:szCs w:val="20"/>
          <w:lang w:val="es-ES_tradnl"/>
        </w:rPr>
        <w:t xml:space="preserve"> y Gustavo Robles López</w:t>
      </w:r>
      <w:r w:rsidR="00A00AEB" w:rsidRPr="005C1789">
        <w:rPr>
          <w:rFonts w:ascii="Verdana" w:hAnsi="Verdana"/>
          <w:i w:val="0"/>
          <w:iCs/>
          <w:sz w:val="20"/>
          <w:szCs w:val="20"/>
          <w:lang w:val="es-ES_tradnl"/>
        </w:rPr>
        <w:t>.</w:t>
      </w:r>
      <w:r w:rsidR="00D838BC" w:rsidRPr="005C1789">
        <w:rPr>
          <w:rFonts w:ascii="Verdana" w:hAnsi="Verdana"/>
          <w:i w:val="0"/>
          <w:iCs/>
          <w:sz w:val="20"/>
          <w:szCs w:val="20"/>
          <w:lang w:val="es-ES_tradnl"/>
        </w:rPr>
        <w:t xml:space="preserve"> </w:t>
      </w:r>
    </w:p>
    <w:p w14:paraId="3E386A74" w14:textId="7D4CD721" w:rsidR="00970551" w:rsidRPr="005C1789" w:rsidRDefault="002026D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En cuanto a la figura de la prisión preventiva l</w:t>
      </w:r>
      <w:r w:rsidR="00970551" w:rsidRPr="005C1789">
        <w:rPr>
          <w:rFonts w:ascii="Verdana" w:hAnsi="Verdana"/>
          <w:i w:val="0"/>
          <w:iCs/>
          <w:sz w:val="20"/>
          <w:szCs w:val="20"/>
          <w:lang w:val="es-ES_tradnl"/>
        </w:rPr>
        <w:t xml:space="preserve">a </w:t>
      </w:r>
      <w:r w:rsidR="00970551" w:rsidRPr="004A3E53">
        <w:rPr>
          <w:rFonts w:ascii="Verdana" w:hAnsi="Verdana"/>
          <w:i w:val="0"/>
          <w:sz w:val="20"/>
          <w:szCs w:val="20"/>
          <w:lang w:val="es-ES_tradnl"/>
        </w:rPr>
        <w:t>Comisión</w:t>
      </w:r>
      <w:r w:rsidR="00970551" w:rsidRPr="005C1789">
        <w:rPr>
          <w:rFonts w:ascii="Verdana" w:hAnsi="Verdana"/>
          <w:i w:val="0"/>
          <w:iCs/>
          <w:sz w:val="20"/>
          <w:szCs w:val="20"/>
          <w:lang w:val="es-ES_tradnl"/>
        </w:rPr>
        <w:t xml:space="preserve"> y los </w:t>
      </w:r>
      <w:r w:rsidR="00970551" w:rsidRPr="004A3E53">
        <w:rPr>
          <w:rFonts w:ascii="Verdana" w:hAnsi="Verdana"/>
          <w:i w:val="0"/>
          <w:sz w:val="20"/>
          <w:szCs w:val="20"/>
          <w:lang w:val="es-ES_tradnl"/>
        </w:rPr>
        <w:t>representantes</w:t>
      </w:r>
      <w:r w:rsidR="00970551" w:rsidRPr="005C1789">
        <w:rPr>
          <w:rFonts w:ascii="Verdana" w:hAnsi="Verdana"/>
          <w:i w:val="0"/>
          <w:iCs/>
          <w:sz w:val="20"/>
          <w:szCs w:val="20"/>
          <w:lang w:val="es-ES_tradnl"/>
        </w:rPr>
        <w:t xml:space="preserve"> </w:t>
      </w:r>
      <w:r w:rsidR="00D73A5C" w:rsidRPr="005C1789">
        <w:rPr>
          <w:rFonts w:ascii="Verdana" w:hAnsi="Verdana"/>
          <w:i w:val="0"/>
          <w:iCs/>
          <w:sz w:val="20"/>
          <w:szCs w:val="20"/>
          <w:lang w:val="es-ES_tradnl"/>
        </w:rPr>
        <w:t>alegaron</w:t>
      </w:r>
      <w:r w:rsidR="00970551" w:rsidRPr="005C1789">
        <w:rPr>
          <w:rFonts w:ascii="Verdana" w:hAnsi="Verdana"/>
          <w:i w:val="0"/>
          <w:iCs/>
          <w:sz w:val="20"/>
          <w:szCs w:val="20"/>
          <w:lang w:val="es-ES_tradnl"/>
        </w:rPr>
        <w:t xml:space="preserve"> que</w:t>
      </w:r>
      <w:r w:rsidR="004506A2" w:rsidRPr="005C1789">
        <w:rPr>
          <w:rFonts w:ascii="Verdana" w:hAnsi="Verdana"/>
          <w:i w:val="0"/>
          <w:iCs/>
          <w:sz w:val="20"/>
          <w:szCs w:val="20"/>
          <w:lang w:val="es-ES_tradnl"/>
        </w:rPr>
        <w:t>,</w:t>
      </w:r>
      <w:r w:rsidR="00970551" w:rsidRPr="005C1789">
        <w:rPr>
          <w:rFonts w:ascii="Verdana" w:hAnsi="Verdana"/>
          <w:i w:val="0"/>
          <w:iCs/>
          <w:sz w:val="20"/>
          <w:szCs w:val="20"/>
          <w:lang w:val="es-ES_tradnl"/>
        </w:rPr>
        <w:t xml:space="preserve"> </w:t>
      </w:r>
      <w:r w:rsidR="004506A2" w:rsidRPr="005C1789">
        <w:rPr>
          <w:rFonts w:ascii="Verdana" w:hAnsi="Verdana"/>
          <w:i w:val="0"/>
          <w:iCs/>
          <w:sz w:val="20"/>
          <w:szCs w:val="20"/>
          <w:lang w:val="es-ES_tradnl"/>
        </w:rPr>
        <w:t xml:space="preserve">tras el </w:t>
      </w:r>
      <w:r w:rsidR="00E531DD" w:rsidRPr="005C1789">
        <w:rPr>
          <w:rFonts w:ascii="Verdana" w:hAnsi="Verdana"/>
          <w:i w:val="0"/>
          <w:iCs/>
          <w:sz w:val="20"/>
          <w:szCs w:val="20"/>
          <w:lang w:val="es-ES_tradnl"/>
        </w:rPr>
        <w:t>auto formal de prisión</w:t>
      </w:r>
      <w:r w:rsidR="004506A2" w:rsidRPr="005C1789">
        <w:rPr>
          <w:rFonts w:ascii="Verdana" w:hAnsi="Verdana"/>
          <w:i w:val="0"/>
          <w:iCs/>
          <w:sz w:val="20"/>
          <w:szCs w:val="20"/>
          <w:lang w:val="es-ES_tradnl"/>
        </w:rPr>
        <w:t xml:space="preserve"> de 22 de abril de 2006, </w:t>
      </w:r>
      <w:r w:rsidR="00970551" w:rsidRPr="005C1789">
        <w:rPr>
          <w:rFonts w:ascii="Verdana" w:hAnsi="Verdana"/>
          <w:i w:val="0"/>
          <w:iCs/>
          <w:sz w:val="20"/>
          <w:szCs w:val="20"/>
          <w:lang w:val="es-ES_tradnl"/>
        </w:rPr>
        <w:t xml:space="preserve">las víctimas continuaron privadas de libertad con posterioridad al arraigo </w:t>
      </w:r>
      <w:r w:rsidR="002250FB">
        <w:rPr>
          <w:rFonts w:ascii="Verdana" w:hAnsi="Verdana"/>
          <w:i w:val="0"/>
          <w:iCs/>
          <w:sz w:val="20"/>
          <w:szCs w:val="20"/>
          <w:lang w:val="es-ES_tradnl"/>
        </w:rPr>
        <w:t>en</w:t>
      </w:r>
      <w:r w:rsidR="00970551" w:rsidRPr="005C1789">
        <w:rPr>
          <w:rFonts w:ascii="Verdana" w:hAnsi="Verdana"/>
          <w:i w:val="0"/>
          <w:iCs/>
          <w:sz w:val="20"/>
          <w:szCs w:val="20"/>
          <w:lang w:val="es-ES_tradnl"/>
        </w:rPr>
        <w:t xml:space="preserve"> </w:t>
      </w:r>
      <w:r w:rsidR="008428E6" w:rsidRPr="005C1789">
        <w:rPr>
          <w:rFonts w:ascii="Verdana" w:hAnsi="Verdana"/>
          <w:i w:val="0"/>
          <w:iCs/>
          <w:sz w:val="20"/>
          <w:szCs w:val="20"/>
          <w:lang w:val="es-ES_tradnl"/>
        </w:rPr>
        <w:t>prisión</w:t>
      </w:r>
      <w:r w:rsidR="00970551" w:rsidRPr="005C1789">
        <w:rPr>
          <w:rFonts w:ascii="Verdana" w:hAnsi="Verdana"/>
          <w:i w:val="0"/>
          <w:iCs/>
          <w:sz w:val="20"/>
          <w:szCs w:val="20"/>
          <w:lang w:val="es-ES_tradnl"/>
        </w:rPr>
        <w:t xml:space="preserve"> preventiva. Sostuv</w:t>
      </w:r>
      <w:r w:rsidR="002B3F02" w:rsidRPr="005C1789">
        <w:rPr>
          <w:rFonts w:ascii="Verdana" w:hAnsi="Verdana"/>
          <w:i w:val="0"/>
          <w:iCs/>
          <w:sz w:val="20"/>
          <w:szCs w:val="20"/>
          <w:lang w:val="es-ES_tradnl"/>
        </w:rPr>
        <w:t>ier</w:t>
      </w:r>
      <w:r w:rsidR="00970551" w:rsidRPr="005C1789">
        <w:rPr>
          <w:rFonts w:ascii="Verdana" w:hAnsi="Verdana"/>
          <w:i w:val="0"/>
          <w:iCs/>
          <w:sz w:val="20"/>
          <w:szCs w:val="20"/>
          <w:lang w:val="es-ES_tradnl"/>
        </w:rPr>
        <w:t>o</w:t>
      </w:r>
      <w:r w:rsidR="002B3F02" w:rsidRPr="005C1789">
        <w:rPr>
          <w:rFonts w:ascii="Verdana" w:hAnsi="Verdana"/>
          <w:i w:val="0"/>
          <w:iCs/>
          <w:sz w:val="20"/>
          <w:szCs w:val="20"/>
          <w:lang w:val="es-ES_tradnl"/>
        </w:rPr>
        <w:t>n</w:t>
      </w:r>
      <w:r w:rsidR="00970551" w:rsidRPr="005C1789">
        <w:rPr>
          <w:rFonts w:ascii="Verdana" w:hAnsi="Verdana"/>
          <w:i w:val="0"/>
          <w:iCs/>
          <w:sz w:val="20"/>
          <w:szCs w:val="20"/>
          <w:lang w:val="es-ES_tradnl"/>
        </w:rPr>
        <w:t xml:space="preserve"> que</w:t>
      </w:r>
      <w:r w:rsidR="001022A6">
        <w:rPr>
          <w:rFonts w:ascii="Verdana" w:hAnsi="Verdana"/>
          <w:i w:val="0"/>
          <w:iCs/>
          <w:sz w:val="20"/>
          <w:szCs w:val="20"/>
          <w:lang w:val="es-ES_tradnl"/>
        </w:rPr>
        <w:t>,</w:t>
      </w:r>
      <w:r w:rsidR="00970551" w:rsidRPr="005C1789">
        <w:rPr>
          <w:rFonts w:ascii="Verdana" w:hAnsi="Verdana"/>
          <w:i w:val="0"/>
          <w:iCs/>
          <w:sz w:val="20"/>
          <w:szCs w:val="20"/>
          <w:lang w:val="es-ES_tradnl"/>
        </w:rPr>
        <w:t xml:space="preserve"> del auto formal de prisión de 22 de abril de 2006</w:t>
      </w:r>
      <w:r w:rsidR="007A5B5A">
        <w:rPr>
          <w:rFonts w:ascii="Verdana" w:hAnsi="Verdana"/>
          <w:i w:val="0"/>
          <w:iCs/>
          <w:sz w:val="20"/>
          <w:szCs w:val="20"/>
          <w:lang w:val="es-ES_tradnl"/>
        </w:rPr>
        <w:t>,</w:t>
      </w:r>
      <w:r w:rsidR="00970551" w:rsidRPr="005C1789">
        <w:rPr>
          <w:rFonts w:ascii="Verdana" w:hAnsi="Verdana"/>
          <w:i w:val="0"/>
          <w:iCs/>
          <w:sz w:val="20"/>
          <w:szCs w:val="20"/>
          <w:lang w:val="es-ES_tradnl"/>
        </w:rPr>
        <w:t xml:space="preserve"> no se desprend</w:t>
      </w:r>
      <w:r w:rsidR="005A0F0B" w:rsidRPr="005C1789">
        <w:rPr>
          <w:rFonts w:ascii="Verdana" w:hAnsi="Verdana"/>
          <w:i w:val="0"/>
          <w:iCs/>
          <w:sz w:val="20"/>
          <w:szCs w:val="20"/>
          <w:lang w:val="es-ES_tradnl"/>
        </w:rPr>
        <w:t>ía</w:t>
      </w:r>
      <w:r w:rsidR="00970551" w:rsidRPr="005C1789">
        <w:rPr>
          <w:rFonts w:ascii="Verdana" w:hAnsi="Verdana"/>
          <w:i w:val="0"/>
          <w:iCs/>
          <w:sz w:val="20"/>
          <w:szCs w:val="20"/>
          <w:lang w:val="es-ES_tradnl"/>
        </w:rPr>
        <w:t xml:space="preserve"> motivación alguna sobre los fines procesales que perseguía la medida de</w:t>
      </w:r>
      <w:r w:rsidR="00701B14" w:rsidRPr="005C1789">
        <w:rPr>
          <w:rFonts w:ascii="Verdana" w:hAnsi="Verdana"/>
          <w:i w:val="0"/>
          <w:iCs/>
          <w:sz w:val="20"/>
          <w:szCs w:val="20"/>
          <w:lang w:val="es-ES_tradnl"/>
        </w:rPr>
        <w:t xml:space="preserve"> prisión</w:t>
      </w:r>
      <w:r w:rsidR="00970551" w:rsidRPr="005C1789">
        <w:rPr>
          <w:rFonts w:ascii="Verdana" w:hAnsi="Verdana"/>
          <w:i w:val="0"/>
          <w:iCs/>
          <w:sz w:val="20"/>
          <w:szCs w:val="20"/>
          <w:lang w:val="es-ES_tradnl"/>
        </w:rPr>
        <w:t xml:space="preserve"> preventiva, de manera que fuera procedente su aplicación y que las víctimas no fueran procesadas y juzgadas en libertad. Tampoco se desprend</w:t>
      </w:r>
      <w:r w:rsidR="005A0F0B" w:rsidRPr="005C1789">
        <w:rPr>
          <w:rFonts w:ascii="Verdana" w:hAnsi="Verdana"/>
          <w:i w:val="0"/>
          <w:iCs/>
          <w:sz w:val="20"/>
          <w:szCs w:val="20"/>
          <w:lang w:val="es-ES_tradnl"/>
        </w:rPr>
        <w:t>ía</w:t>
      </w:r>
      <w:r w:rsidR="00970551" w:rsidRPr="005C1789">
        <w:rPr>
          <w:rFonts w:ascii="Verdana" w:hAnsi="Verdana"/>
          <w:i w:val="0"/>
          <w:iCs/>
          <w:sz w:val="20"/>
          <w:szCs w:val="20"/>
          <w:lang w:val="es-ES_tradnl"/>
        </w:rPr>
        <w:t xml:space="preserve"> una motivación sobre fines procesales de la decisión de 22 de febrero de 2007 con ocasión de la apelación del </w:t>
      </w:r>
      <w:r w:rsidR="0022114F" w:rsidRPr="005C1789">
        <w:rPr>
          <w:rFonts w:ascii="Verdana" w:hAnsi="Verdana"/>
          <w:i w:val="0"/>
          <w:iCs/>
          <w:sz w:val="20"/>
          <w:szCs w:val="20"/>
          <w:lang w:val="es-ES_tradnl"/>
        </w:rPr>
        <w:t>auto formal de prisión</w:t>
      </w:r>
      <w:r w:rsidR="00970551" w:rsidRPr="005C1789">
        <w:rPr>
          <w:rFonts w:ascii="Verdana" w:hAnsi="Verdana"/>
          <w:i w:val="0"/>
          <w:iCs/>
          <w:sz w:val="20"/>
          <w:szCs w:val="20"/>
          <w:lang w:val="es-ES_tradnl"/>
        </w:rPr>
        <w:t xml:space="preserve">. Lo anterior resulta suficiente para establecer la arbitrariedad de la detención preventiva </w:t>
      </w:r>
      <w:r w:rsidR="00972B0A">
        <w:rPr>
          <w:rFonts w:ascii="Verdana" w:hAnsi="Verdana"/>
          <w:i w:val="0"/>
          <w:iCs/>
          <w:sz w:val="20"/>
          <w:szCs w:val="20"/>
          <w:lang w:val="es-ES_tradnl"/>
        </w:rPr>
        <w:t>que fue aplicada</w:t>
      </w:r>
      <w:r w:rsidR="00970551" w:rsidRPr="005C1789">
        <w:rPr>
          <w:rFonts w:ascii="Verdana" w:hAnsi="Verdana"/>
          <w:i w:val="0"/>
          <w:iCs/>
          <w:sz w:val="20"/>
          <w:szCs w:val="20"/>
          <w:lang w:val="es-ES_tradnl"/>
        </w:rPr>
        <w:t xml:space="preserve"> entre abril de 2006 y mayo de 2008 cuando fueron puestos en libertad tras su absolución. En consecuencia, concluy</w:t>
      </w:r>
      <w:r w:rsidR="002419BA" w:rsidRPr="005C1789">
        <w:rPr>
          <w:rFonts w:ascii="Verdana" w:hAnsi="Verdana"/>
          <w:i w:val="0"/>
          <w:iCs/>
          <w:sz w:val="20"/>
          <w:szCs w:val="20"/>
          <w:lang w:val="es-ES_tradnl"/>
        </w:rPr>
        <w:t>eron</w:t>
      </w:r>
      <w:r w:rsidR="00970551" w:rsidRPr="005C1789">
        <w:rPr>
          <w:rFonts w:ascii="Verdana" w:hAnsi="Verdana"/>
          <w:i w:val="0"/>
          <w:iCs/>
          <w:sz w:val="20"/>
          <w:szCs w:val="20"/>
          <w:lang w:val="es-ES_tradnl"/>
        </w:rPr>
        <w:t xml:space="preserve"> que el Estado </w:t>
      </w:r>
      <w:r w:rsidR="00586256">
        <w:rPr>
          <w:rFonts w:ascii="Verdana" w:hAnsi="Verdana"/>
          <w:i w:val="0"/>
          <w:iCs/>
          <w:sz w:val="20"/>
          <w:szCs w:val="20"/>
          <w:lang w:val="es-ES_tradnl"/>
        </w:rPr>
        <w:t>era</w:t>
      </w:r>
      <w:r w:rsidR="00970551" w:rsidRPr="005C1789">
        <w:rPr>
          <w:rFonts w:ascii="Verdana" w:hAnsi="Verdana"/>
          <w:i w:val="0"/>
          <w:iCs/>
          <w:sz w:val="20"/>
          <w:szCs w:val="20"/>
          <w:lang w:val="es-ES_tradnl"/>
        </w:rPr>
        <w:t xml:space="preserve"> responsable por la violación de los artículos 7.1 y 7.3 de la Convención Americana, en relación con el artículo 1.1 del mismo instrumento, en perjuicio de Jorge Marcial </w:t>
      </w:r>
      <w:proofErr w:type="spellStart"/>
      <w:r w:rsidR="00970551" w:rsidRPr="005C1789">
        <w:rPr>
          <w:rFonts w:ascii="Verdana" w:hAnsi="Verdana"/>
          <w:i w:val="0"/>
          <w:iCs/>
          <w:sz w:val="20"/>
          <w:szCs w:val="20"/>
          <w:lang w:val="es-ES_tradnl"/>
        </w:rPr>
        <w:t>Tzompaxtle</w:t>
      </w:r>
      <w:proofErr w:type="spellEnd"/>
      <w:r w:rsidR="00970551" w:rsidRPr="005C1789">
        <w:rPr>
          <w:rFonts w:ascii="Verdana" w:hAnsi="Verdana"/>
          <w:i w:val="0"/>
          <w:iCs/>
          <w:sz w:val="20"/>
          <w:szCs w:val="20"/>
          <w:lang w:val="es-ES_tradnl"/>
        </w:rPr>
        <w:t xml:space="preserve"> </w:t>
      </w:r>
      <w:proofErr w:type="spellStart"/>
      <w:r w:rsidR="00970551" w:rsidRPr="005C1789">
        <w:rPr>
          <w:rFonts w:ascii="Verdana" w:hAnsi="Verdana"/>
          <w:i w:val="0"/>
          <w:iCs/>
          <w:sz w:val="20"/>
          <w:szCs w:val="20"/>
          <w:lang w:val="es-ES_tradnl"/>
        </w:rPr>
        <w:t>Tecpile</w:t>
      </w:r>
      <w:proofErr w:type="spellEnd"/>
      <w:r w:rsidR="00970551" w:rsidRPr="005C1789">
        <w:rPr>
          <w:rFonts w:ascii="Verdana" w:hAnsi="Verdana"/>
          <w:i w:val="0"/>
          <w:iCs/>
          <w:sz w:val="20"/>
          <w:szCs w:val="20"/>
          <w:lang w:val="es-ES_tradnl"/>
        </w:rPr>
        <w:t xml:space="preserve">, Gerardo </w:t>
      </w:r>
      <w:proofErr w:type="spellStart"/>
      <w:r w:rsidR="00970551" w:rsidRPr="005C1789">
        <w:rPr>
          <w:rFonts w:ascii="Verdana" w:hAnsi="Verdana"/>
          <w:i w:val="0"/>
          <w:iCs/>
          <w:sz w:val="20"/>
          <w:szCs w:val="20"/>
          <w:lang w:val="es-ES_tradnl"/>
        </w:rPr>
        <w:t>Tzompaxtle</w:t>
      </w:r>
      <w:proofErr w:type="spellEnd"/>
      <w:r w:rsidR="00970551" w:rsidRPr="005C1789">
        <w:rPr>
          <w:rFonts w:ascii="Verdana" w:hAnsi="Verdana"/>
          <w:i w:val="0"/>
          <w:iCs/>
          <w:sz w:val="20"/>
          <w:szCs w:val="20"/>
          <w:lang w:val="es-ES_tradnl"/>
        </w:rPr>
        <w:t xml:space="preserve"> </w:t>
      </w:r>
      <w:proofErr w:type="spellStart"/>
      <w:r w:rsidR="00970551" w:rsidRPr="005C1789">
        <w:rPr>
          <w:rFonts w:ascii="Verdana" w:hAnsi="Verdana"/>
          <w:i w:val="0"/>
          <w:iCs/>
          <w:sz w:val="20"/>
          <w:szCs w:val="20"/>
          <w:lang w:val="es-ES_tradnl"/>
        </w:rPr>
        <w:t>Tecpile</w:t>
      </w:r>
      <w:proofErr w:type="spellEnd"/>
      <w:r w:rsidR="00970551" w:rsidRPr="005C1789">
        <w:rPr>
          <w:rFonts w:ascii="Verdana" w:hAnsi="Verdana"/>
          <w:i w:val="0"/>
          <w:iCs/>
          <w:sz w:val="20"/>
          <w:szCs w:val="20"/>
          <w:lang w:val="es-ES_tradnl"/>
        </w:rPr>
        <w:t xml:space="preserve"> y Gustavo Robles López.</w:t>
      </w:r>
    </w:p>
    <w:p w14:paraId="625ED2D2" w14:textId="07E5F632" w:rsidR="00D838BC" w:rsidRPr="005C1789" w:rsidRDefault="002026D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Los </w:t>
      </w:r>
      <w:r w:rsidRPr="005C1789">
        <w:rPr>
          <w:rFonts w:ascii="Verdana" w:hAnsi="Verdana"/>
          <w:b/>
          <w:bCs/>
          <w:sz w:val="20"/>
          <w:szCs w:val="20"/>
          <w:lang w:val="es-ES_tradnl"/>
        </w:rPr>
        <w:t>representantes</w:t>
      </w:r>
      <w:r w:rsidRPr="005C1789">
        <w:rPr>
          <w:rFonts w:ascii="Verdana" w:hAnsi="Verdana"/>
          <w:i w:val="0"/>
          <w:iCs/>
          <w:sz w:val="20"/>
          <w:szCs w:val="20"/>
          <w:lang w:val="es-ES_tradnl"/>
        </w:rPr>
        <w:t xml:space="preserve"> agregaron</w:t>
      </w:r>
      <w:r w:rsidR="00696FB6" w:rsidRPr="005C1789">
        <w:rPr>
          <w:rFonts w:ascii="Verdana" w:hAnsi="Verdana"/>
          <w:i w:val="0"/>
          <w:iCs/>
          <w:sz w:val="20"/>
          <w:szCs w:val="20"/>
          <w:lang w:val="es-ES_tradnl"/>
        </w:rPr>
        <w:t xml:space="preserve"> que en el presente caso la violación de la obligación de adoptar disposiciones de derecho interno es un hecho internacionalmente ilícito de carácter continuado ya que el Estado mexicano ha mantenido en su sistema jurídico las figuras de la prisión preventiva </w:t>
      </w:r>
      <w:r w:rsidR="00222804" w:rsidRPr="005C1789">
        <w:rPr>
          <w:rFonts w:ascii="Verdana" w:hAnsi="Verdana"/>
          <w:i w:val="0"/>
          <w:iCs/>
          <w:sz w:val="20"/>
          <w:szCs w:val="20"/>
          <w:lang w:val="es-ES_tradnl"/>
        </w:rPr>
        <w:t xml:space="preserve">oficiosa </w:t>
      </w:r>
      <w:r w:rsidR="00696FB6" w:rsidRPr="005C1789">
        <w:rPr>
          <w:rFonts w:ascii="Verdana" w:hAnsi="Verdana"/>
          <w:i w:val="0"/>
          <w:iCs/>
          <w:sz w:val="20"/>
          <w:szCs w:val="20"/>
          <w:lang w:val="es-ES_tradnl"/>
        </w:rPr>
        <w:t>y del arraigo, que no han sido anuladas ni derogadas a pesar de que han transitado por diversos textos normativos, apareciendo actualmente en la Constitución Política.</w:t>
      </w:r>
    </w:p>
    <w:p w14:paraId="5CB32D7A" w14:textId="7510FC3D" w:rsidR="0065192A" w:rsidRPr="005C1789" w:rsidRDefault="0065192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Con relación a la alegada vulneración al deber de adoptar disposiciones de derecho interno por la </w:t>
      </w:r>
      <w:r w:rsidR="00767E5D">
        <w:rPr>
          <w:rFonts w:ascii="Verdana" w:hAnsi="Verdana"/>
          <w:i w:val="0"/>
          <w:iCs/>
          <w:sz w:val="20"/>
          <w:szCs w:val="20"/>
          <w:lang w:val="es-ES_tradnl"/>
        </w:rPr>
        <w:t xml:space="preserve">existencia de la </w:t>
      </w:r>
      <w:r w:rsidRPr="005C1789">
        <w:rPr>
          <w:rFonts w:ascii="Verdana" w:hAnsi="Verdana"/>
          <w:i w:val="0"/>
          <w:iCs/>
          <w:sz w:val="20"/>
          <w:szCs w:val="20"/>
          <w:lang w:val="es-ES_tradnl"/>
        </w:rPr>
        <w:t>figura del arraigo</w:t>
      </w:r>
      <w:r w:rsidR="000F0389" w:rsidRPr="005C1789">
        <w:rPr>
          <w:rFonts w:ascii="Verdana" w:hAnsi="Verdana"/>
          <w:i w:val="0"/>
          <w:iCs/>
          <w:sz w:val="20"/>
          <w:szCs w:val="20"/>
          <w:lang w:val="es-ES_tradnl"/>
        </w:rPr>
        <w:t>,</w:t>
      </w:r>
      <w:r w:rsidRPr="005C1789">
        <w:rPr>
          <w:rFonts w:ascii="Verdana" w:hAnsi="Verdana"/>
          <w:i w:val="0"/>
          <w:iCs/>
          <w:sz w:val="20"/>
          <w:szCs w:val="20"/>
          <w:lang w:val="es-ES_tradnl"/>
        </w:rPr>
        <w:t xml:space="preserve"> </w:t>
      </w:r>
      <w:r w:rsidR="004B5C34">
        <w:rPr>
          <w:rFonts w:ascii="Verdana" w:hAnsi="Verdana"/>
          <w:i w:val="0"/>
          <w:iCs/>
          <w:sz w:val="20"/>
          <w:szCs w:val="20"/>
          <w:lang w:val="es-ES_tradnl"/>
        </w:rPr>
        <w:t>así</w:t>
      </w:r>
      <w:r w:rsidRPr="005C1789">
        <w:rPr>
          <w:rFonts w:ascii="Verdana" w:hAnsi="Verdana"/>
          <w:i w:val="0"/>
          <w:iCs/>
          <w:sz w:val="20"/>
          <w:szCs w:val="20"/>
          <w:lang w:val="es-ES_tradnl"/>
        </w:rPr>
        <w:t xml:space="preserve"> </w:t>
      </w:r>
      <w:r w:rsidR="000A4098" w:rsidRPr="005C1789">
        <w:rPr>
          <w:rFonts w:ascii="Verdana" w:hAnsi="Verdana"/>
          <w:i w:val="0"/>
          <w:iCs/>
          <w:sz w:val="20"/>
          <w:szCs w:val="20"/>
          <w:lang w:val="es-ES_tradnl"/>
        </w:rPr>
        <w:t>como la</w:t>
      </w:r>
      <w:r w:rsidRPr="005C1789">
        <w:rPr>
          <w:rFonts w:ascii="Verdana" w:hAnsi="Verdana"/>
          <w:i w:val="0"/>
          <w:iCs/>
          <w:sz w:val="20"/>
          <w:szCs w:val="20"/>
          <w:lang w:val="es-ES_tradnl"/>
        </w:rPr>
        <w:t xml:space="preserve"> de la prisión preventiva oficiosa, el </w:t>
      </w:r>
      <w:r w:rsidRPr="005C1789">
        <w:rPr>
          <w:rFonts w:ascii="Verdana" w:hAnsi="Verdana"/>
          <w:b/>
          <w:bCs/>
          <w:sz w:val="20"/>
          <w:szCs w:val="20"/>
          <w:lang w:val="es-ES_tradnl"/>
        </w:rPr>
        <w:t>Estado</w:t>
      </w:r>
      <w:r w:rsidRPr="005C1789">
        <w:rPr>
          <w:rFonts w:ascii="Verdana" w:hAnsi="Verdana"/>
          <w:i w:val="0"/>
          <w:iCs/>
          <w:sz w:val="20"/>
          <w:szCs w:val="20"/>
          <w:lang w:val="es-ES_tradnl"/>
        </w:rPr>
        <w:t xml:space="preserve"> sostuvo que </w:t>
      </w:r>
      <w:r w:rsidR="00910672" w:rsidRPr="005C1789">
        <w:rPr>
          <w:rFonts w:ascii="Verdana" w:hAnsi="Verdana"/>
          <w:i w:val="0"/>
          <w:iCs/>
          <w:sz w:val="20"/>
          <w:szCs w:val="20"/>
          <w:lang w:val="es-ES_tradnl"/>
        </w:rPr>
        <w:t xml:space="preserve">la </w:t>
      </w:r>
      <w:r w:rsidR="004B5C34">
        <w:rPr>
          <w:rFonts w:ascii="Verdana" w:hAnsi="Verdana"/>
          <w:i w:val="0"/>
          <w:iCs/>
          <w:sz w:val="20"/>
          <w:szCs w:val="20"/>
          <w:lang w:val="es-ES_tradnl"/>
        </w:rPr>
        <w:t>existencia de esas dos figuras responde</w:t>
      </w:r>
      <w:r w:rsidRPr="005C1789">
        <w:rPr>
          <w:rFonts w:ascii="Verdana" w:hAnsi="Verdana"/>
          <w:i w:val="0"/>
          <w:iCs/>
          <w:sz w:val="20"/>
          <w:szCs w:val="20"/>
          <w:lang w:val="es-ES_tradnl"/>
        </w:rPr>
        <w:t xml:space="preserve"> a contextos históricos </w:t>
      </w:r>
      <w:r w:rsidR="00D80EF9">
        <w:rPr>
          <w:rFonts w:ascii="Verdana" w:hAnsi="Verdana"/>
          <w:i w:val="0"/>
          <w:iCs/>
          <w:sz w:val="20"/>
          <w:szCs w:val="20"/>
          <w:lang w:val="es-ES_tradnl"/>
        </w:rPr>
        <w:t xml:space="preserve">en los cuales </w:t>
      </w:r>
      <w:r w:rsidR="00D26129">
        <w:rPr>
          <w:rFonts w:ascii="Verdana" w:hAnsi="Verdana"/>
          <w:i w:val="0"/>
          <w:iCs/>
          <w:sz w:val="20"/>
          <w:szCs w:val="20"/>
          <w:lang w:val="es-ES_tradnl"/>
        </w:rPr>
        <w:t xml:space="preserve">el </w:t>
      </w:r>
      <w:r w:rsidRPr="005C1789">
        <w:rPr>
          <w:rFonts w:ascii="Verdana" w:hAnsi="Verdana"/>
          <w:i w:val="0"/>
          <w:iCs/>
          <w:sz w:val="20"/>
          <w:szCs w:val="20"/>
          <w:lang w:val="es-ES_tradnl"/>
        </w:rPr>
        <w:t xml:space="preserve">país </w:t>
      </w:r>
      <w:r w:rsidR="00D26129">
        <w:rPr>
          <w:rFonts w:ascii="Verdana" w:hAnsi="Verdana"/>
          <w:i w:val="0"/>
          <w:iCs/>
          <w:sz w:val="20"/>
          <w:szCs w:val="20"/>
          <w:lang w:val="es-ES_tradnl"/>
        </w:rPr>
        <w:t xml:space="preserve">se sigue viendo afectado </w:t>
      </w:r>
      <w:r w:rsidR="000E44C5">
        <w:rPr>
          <w:rFonts w:ascii="Verdana" w:hAnsi="Verdana"/>
          <w:i w:val="0"/>
          <w:iCs/>
          <w:sz w:val="20"/>
          <w:szCs w:val="20"/>
          <w:lang w:val="es-ES_tradnl"/>
        </w:rPr>
        <w:t xml:space="preserve">por el </w:t>
      </w:r>
      <w:r w:rsidRPr="005C1789">
        <w:rPr>
          <w:rFonts w:ascii="Verdana" w:hAnsi="Verdana"/>
          <w:i w:val="0"/>
          <w:iCs/>
          <w:sz w:val="20"/>
          <w:szCs w:val="20"/>
          <w:lang w:val="es-ES_tradnl"/>
        </w:rPr>
        <w:t>crecimiento de las capacidades financieras y estructurales, así como la internacionalización</w:t>
      </w:r>
      <w:r w:rsidR="009B6F07">
        <w:rPr>
          <w:rFonts w:ascii="Verdana" w:hAnsi="Verdana"/>
          <w:i w:val="0"/>
          <w:iCs/>
          <w:sz w:val="20"/>
          <w:szCs w:val="20"/>
          <w:lang w:val="es-ES_tradnl"/>
        </w:rPr>
        <w:t>,</w:t>
      </w:r>
      <w:r w:rsidRPr="005C1789">
        <w:rPr>
          <w:rFonts w:ascii="Verdana" w:hAnsi="Verdana"/>
          <w:i w:val="0"/>
          <w:iCs/>
          <w:sz w:val="20"/>
          <w:szCs w:val="20"/>
          <w:lang w:val="es-ES_tradnl"/>
        </w:rPr>
        <w:t xml:space="preserve"> de la delincuencia organizada. No </w:t>
      </w:r>
      <w:r w:rsidR="00883EF7" w:rsidRPr="005C1789">
        <w:rPr>
          <w:rFonts w:ascii="Verdana" w:hAnsi="Verdana"/>
          <w:i w:val="0"/>
          <w:iCs/>
          <w:sz w:val="20"/>
          <w:szCs w:val="20"/>
          <w:lang w:val="es-ES_tradnl"/>
        </w:rPr>
        <w:t>obstante,</w:t>
      </w:r>
      <w:r w:rsidRPr="005C1789">
        <w:rPr>
          <w:rFonts w:ascii="Verdana" w:hAnsi="Verdana"/>
          <w:i w:val="0"/>
          <w:iCs/>
          <w:sz w:val="20"/>
          <w:szCs w:val="20"/>
          <w:lang w:val="es-ES_tradnl"/>
        </w:rPr>
        <w:t xml:space="preserve"> sostuvo que ha llevado a cabo acciones para balancear su obligación de garantizar la seguridad pública de su población y combatir la delincuencia organizada, con su obligación de respetar los derechos humanos de todas las personas. El Estado agregó que las reformas y modificaciones al arraigo han dado lugar a una caída drástica en el uso de dicha figura a nivel nacional, por lo que el carácter excepcional buscado desde su creación parece estar consolidándose.</w:t>
      </w:r>
    </w:p>
    <w:p w14:paraId="2760B7FB" w14:textId="1460D70C" w:rsidR="002F3DAA" w:rsidRPr="005C1789" w:rsidRDefault="002F3DA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El </w:t>
      </w:r>
      <w:r w:rsidRPr="00016626">
        <w:rPr>
          <w:rFonts w:ascii="Verdana" w:hAnsi="Verdana"/>
          <w:i w:val="0"/>
          <w:sz w:val="20"/>
          <w:szCs w:val="20"/>
          <w:lang w:val="es-ES_tradnl"/>
        </w:rPr>
        <w:t>Estado</w:t>
      </w:r>
      <w:r w:rsidRPr="005C1789">
        <w:rPr>
          <w:rFonts w:ascii="Verdana" w:hAnsi="Verdana"/>
          <w:i w:val="0"/>
          <w:iCs/>
          <w:sz w:val="20"/>
          <w:szCs w:val="20"/>
          <w:lang w:val="es-ES_tradnl"/>
        </w:rPr>
        <w:t xml:space="preserve"> afirmó asimismo que la prisión preventiva está contemplada en la Constitución Política de los Estados Unidos Mexicanos, cuyo artículo 19 establece una lista exhaustiva de los delitos en los cuales se otorga oficiosamente. Sostuvo que esta medida no representa una pena, </w:t>
      </w:r>
      <w:r w:rsidR="000E44C5">
        <w:rPr>
          <w:rFonts w:ascii="Verdana" w:hAnsi="Verdana"/>
          <w:i w:val="0"/>
          <w:iCs/>
          <w:sz w:val="20"/>
          <w:szCs w:val="20"/>
          <w:lang w:val="es-ES_tradnl"/>
        </w:rPr>
        <w:t xml:space="preserve">pues </w:t>
      </w:r>
      <w:r w:rsidRPr="005C1789">
        <w:rPr>
          <w:rFonts w:ascii="Verdana" w:hAnsi="Verdana"/>
          <w:i w:val="0"/>
          <w:iCs/>
          <w:sz w:val="20"/>
          <w:szCs w:val="20"/>
          <w:lang w:val="es-ES_tradnl"/>
        </w:rPr>
        <w:t xml:space="preserve">se trata más bien de una medida cautelar encaminada a asegurar la correcta impartición de justicia. Agregó que es una medida que se aplica a un número limitado de delitos, y que </w:t>
      </w:r>
      <w:r w:rsidR="00E34E03" w:rsidRPr="005C1789">
        <w:rPr>
          <w:rFonts w:ascii="Verdana" w:hAnsi="Verdana"/>
          <w:i w:val="0"/>
          <w:iCs/>
          <w:sz w:val="20"/>
          <w:szCs w:val="20"/>
          <w:lang w:val="es-ES_tradnl"/>
        </w:rPr>
        <w:t>esta</w:t>
      </w:r>
      <w:r w:rsidRPr="005C1789">
        <w:rPr>
          <w:rFonts w:ascii="Verdana" w:hAnsi="Verdana"/>
          <w:i w:val="0"/>
          <w:iCs/>
          <w:sz w:val="20"/>
          <w:szCs w:val="20"/>
          <w:lang w:val="es-ES_tradnl"/>
        </w:rPr>
        <w:t xml:space="preserve"> responde a la gravedad de las conductas específicas, así como a la necesidad de asegurar que los posibles responsables </w:t>
      </w:r>
      <w:r w:rsidR="000E44C5">
        <w:rPr>
          <w:rFonts w:ascii="Verdana" w:hAnsi="Verdana"/>
          <w:i w:val="0"/>
          <w:iCs/>
          <w:sz w:val="20"/>
          <w:szCs w:val="20"/>
          <w:lang w:val="es-ES_tradnl"/>
        </w:rPr>
        <w:t xml:space="preserve">no </w:t>
      </w:r>
      <w:r w:rsidRPr="005C1789">
        <w:rPr>
          <w:rFonts w:ascii="Verdana" w:hAnsi="Verdana"/>
          <w:i w:val="0"/>
          <w:iCs/>
          <w:sz w:val="20"/>
          <w:szCs w:val="20"/>
          <w:lang w:val="es-ES_tradnl"/>
        </w:rPr>
        <w:t xml:space="preserve">se sustraigan de la acción de la justicia, además de que se puede dictar en consideración de las circunstancias de cada caso, permitiendo así el control jurisdiccional de la figura. </w:t>
      </w:r>
    </w:p>
    <w:p w14:paraId="0F3F90EE" w14:textId="01F72B15" w:rsidR="00883EF7" w:rsidRPr="005C1789" w:rsidRDefault="001F225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Concluyó</w:t>
      </w:r>
      <w:r w:rsidR="00883EF7" w:rsidRPr="005C1789">
        <w:rPr>
          <w:rFonts w:ascii="Verdana" w:hAnsi="Verdana"/>
          <w:i w:val="0"/>
          <w:iCs/>
          <w:sz w:val="20"/>
          <w:szCs w:val="20"/>
          <w:lang w:val="es-ES_tradnl"/>
        </w:rPr>
        <w:t xml:space="preserve"> que no es responsable por la presunta violación del deber de adoptar disposiciones de derecho interno; toda vez que la figura del arraigo con sus características propias a la época de los hechos ya no subsiste, </w:t>
      </w:r>
      <w:r w:rsidR="006F45B9" w:rsidRPr="005C1789">
        <w:rPr>
          <w:rFonts w:ascii="Verdana" w:hAnsi="Verdana"/>
          <w:i w:val="0"/>
          <w:iCs/>
          <w:sz w:val="20"/>
          <w:szCs w:val="20"/>
          <w:lang w:val="es-ES_tradnl"/>
        </w:rPr>
        <w:t>y que el Tribunal no podría realizar un análisis en abstracto de un</w:t>
      </w:r>
      <w:r w:rsidR="00F4067A" w:rsidRPr="005C1789">
        <w:rPr>
          <w:rFonts w:ascii="Verdana" w:hAnsi="Verdana"/>
          <w:i w:val="0"/>
          <w:iCs/>
          <w:sz w:val="20"/>
          <w:szCs w:val="20"/>
          <w:lang w:val="es-ES_tradnl"/>
        </w:rPr>
        <w:t>a</w:t>
      </w:r>
      <w:r w:rsidR="006F45B9" w:rsidRPr="005C1789">
        <w:rPr>
          <w:rFonts w:ascii="Verdana" w:hAnsi="Verdana"/>
          <w:i w:val="0"/>
          <w:iCs/>
          <w:sz w:val="20"/>
          <w:szCs w:val="20"/>
          <w:lang w:val="es-ES_tradnl"/>
        </w:rPr>
        <w:t xml:space="preserve"> norma que no ha sido aplicada al caso concret</w:t>
      </w:r>
      <w:r w:rsidR="00883EF7" w:rsidRPr="005C1789">
        <w:rPr>
          <w:rFonts w:ascii="Verdana" w:hAnsi="Verdana"/>
          <w:i w:val="0"/>
          <w:iCs/>
          <w:sz w:val="20"/>
          <w:szCs w:val="20"/>
          <w:lang w:val="es-ES_tradnl"/>
        </w:rPr>
        <w:t>o</w:t>
      </w:r>
      <w:r w:rsidR="003525FC" w:rsidRPr="005C1789">
        <w:rPr>
          <w:rFonts w:ascii="Verdana" w:hAnsi="Verdana"/>
          <w:i w:val="0"/>
          <w:iCs/>
          <w:sz w:val="20"/>
          <w:szCs w:val="20"/>
          <w:lang w:val="es-ES_tradnl"/>
        </w:rPr>
        <w:t>.</w:t>
      </w:r>
    </w:p>
    <w:p w14:paraId="7C9149EF" w14:textId="1E0B7260" w:rsidR="00B71E46" w:rsidRPr="005C1789" w:rsidRDefault="00B71E46" w:rsidP="00955888">
      <w:pPr>
        <w:pStyle w:val="Ttulo3"/>
        <w:spacing w:before="240" w:after="240"/>
        <w:ind w:left="567"/>
        <w:rPr>
          <w:rFonts w:ascii="Verdana" w:hAnsi="Verdana"/>
          <w:b w:val="0"/>
          <w:snapToGrid w:val="0"/>
          <w:spacing w:val="-2"/>
          <w:sz w:val="20"/>
          <w:szCs w:val="20"/>
          <w:lang w:eastAsia="es-ES"/>
        </w:rPr>
      </w:pPr>
      <w:bookmarkStart w:id="88" w:name="_Toc123347529"/>
      <w:r w:rsidRPr="005C1789">
        <w:rPr>
          <w:rFonts w:ascii="Verdana" w:hAnsi="Verdana"/>
          <w:b w:val="0"/>
          <w:snapToGrid w:val="0"/>
          <w:spacing w:val="-2"/>
          <w:sz w:val="20"/>
          <w:szCs w:val="20"/>
          <w:lang w:eastAsia="es-ES"/>
        </w:rPr>
        <w:lastRenderedPageBreak/>
        <w:t>A.</w:t>
      </w:r>
      <w:r w:rsidR="00AA08FD" w:rsidRPr="005C1789">
        <w:rPr>
          <w:rFonts w:ascii="Verdana" w:hAnsi="Verdana"/>
          <w:b w:val="0"/>
          <w:snapToGrid w:val="0"/>
          <w:spacing w:val="-2"/>
          <w:sz w:val="20"/>
          <w:szCs w:val="20"/>
          <w:lang w:eastAsia="es-ES"/>
        </w:rPr>
        <w:t>2</w:t>
      </w:r>
      <w:r w:rsidRPr="005C1789">
        <w:rPr>
          <w:rFonts w:ascii="Verdana" w:hAnsi="Verdana"/>
          <w:b w:val="0"/>
          <w:snapToGrid w:val="0"/>
          <w:spacing w:val="-2"/>
          <w:sz w:val="20"/>
          <w:szCs w:val="20"/>
          <w:lang w:eastAsia="es-ES"/>
        </w:rPr>
        <w:t>. Sobre el derecho a recurrir ante un juez o tribunal competente para</w:t>
      </w:r>
      <w:r w:rsidR="003F4F9D" w:rsidRPr="005C1789">
        <w:rPr>
          <w:rFonts w:ascii="Verdana" w:hAnsi="Verdana"/>
          <w:b w:val="0"/>
          <w:snapToGrid w:val="0"/>
          <w:spacing w:val="-2"/>
          <w:sz w:val="20"/>
          <w:szCs w:val="20"/>
          <w:lang w:eastAsia="es-ES"/>
        </w:rPr>
        <w:t xml:space="preserve"> que</w:t>
      </w:r>
      <w:r w:rsidRPr="005C1789">
        <w:rPr>
          <w:rFonts w:ascii="Verdana" w:hAnsi="Verdana"/>
          <w:b w:val="0"/>
          <w:snapToGrid w:val="0"/>
          <w:spacing w:val="-2"/>
          <w:sz w:val="20"/>
          <w:szCs w:val="20"/>
          <w:lang w:eastAsia="es-ES"/>
        </w:rPr>
        <w:t xml:space="preserve"> decida sobre la legalidad del arresto o detención</w:t>
      </w:r>
      <w:bookmarkEnd w:id="88"/>
      <w:r w:rsidRPr="005C1789">
        <w:rPr>
          <w:rFonts w:ascii="Verdana" w:hAnsi="Verdana"/>
          <w:b w:val="0"/>
          <w:snapToGrid w:val="0"/>
          <w:spacing w:val="-2"/>
          <w:sz w:val="20"/>
          <w:szCs w:val="20"/>
          <w:lang w:eastAsia="es-ES"/>
        </w:rPr>
        <w:t xml:space="preserve"> </w:t>
      </w:r>
    </w:p>
    <w:p w14:paraId="0FC0580D" w14:textId="27A9ADBE" w:rsidR="00CF11AB" w:rsidRPr="005C1789" w:rsidRDefault="00CF11A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La </w:t>
      </w:r>
      <w:r w:rsidRPr="005C1789">
        <w:rPr>
          <w:rFonts w:ascii="Verdana" w:hAnsi="Verdana"/>
          <w:b/>
          <w:bCs/>
          <w:sz w:val="20"/>
          <w:szCs w:val="20"/>
          <w:lang w:val="es-ES_tradnl"/>
        </w:rPr>
        <w:t>Comisión</w:t>
      </w:r>
      <w:r w:rsidRPr="005C1789">
        <w:rPr>
          <w:rFonts w:ascii="Verdana" w:hAnsi="Verdana"/>
          <w:i w:val="0"/>
          <w:iCs/>
          <w:sz w:val="20"/>
          <w:szCs w:val="20"/>
          <w:lang w:val="es-ES_tradnl"/>
        </w:rPr>
        <w:t xml:space="preserve"> indicó que mientras las víctimas se encontraban en arraigo, el 6 de marzo de 2006 se presentó un recurso de amparo alegando la arbitrariedad de su situación. Dicho recurso fue sobreseído por el Juez Primero de Distrito de Amparos en Materia Penal en el Distrito Federal, al considerar que, al momento de ser resuelto, </w:t>
      </w:r>
      <w:r w:rsidR="006F45B9" w:rsidRPr="005C1789">
        <w:rPr>
          <w:rFonts w:ascii="Verdana" w:hAnsi="Verdana"/>
          <w:i w:val="0"/>
          <w:iCs/>
          <w:sz w:val="20"/>
          <w:szCs w:val="20"/>
          <w:lang w:val="es-ES_tradnl"/>
        </w:rPr>
        <w:t>las víctima</w:t>
      </w:r>
      <w:r w:rsidRPr="005C1789">
        <w:rPr>
          <w:rFonts w:ascii="Verdana" w:hAnsi="Verdana"/>
          <w:i w:val="0"/>
          <w:iCs/>
          <w:sz w:val="20"/>
          <w:szCs w:val="20"/>
          <w:lang w:val="es-ES_tradnl"/>
        </w:rPr>
        <w:t xml:space="preserve">s ya habían sido presentadas ante el juez del proceso. El recurso de amparo fue resuelto al menos un mes y medio después de ser presentado. La Comisión consideró que la demora en la resolución del recurso de amparo resultó excesiva, especialmente tomando en cuenta la situación de privación arbitraria de libertad en la que las víctimas se encontraban, tal como se estableció previamente. Del mismo modo, arguyó que hubo una omisión estatal de exigir razones objetivas para el ejercicio de la facultad legal de detener a las víctimas con base en sospecha, </w:t>
      </w:r>
      <w:r w:rsidR="000E44C5">
        <w:rPr>
          <w:rFonts w:ascii="Verdana" w:hAnsi="Verdana"/>
          <w:i w:val="0"/>
          <w:iCs/>
          <w:sz w:val="20"/>
          <w:szCs w:val="20"/>
          <w:lang w:val="es-ES_tradnl"/>
        </w:rPr>
        <w:t xml:space="preserve">pues se </w:t>
      </w:r>
      <w:r w:rsidRPr="005C1789">
        <w:rPr>
          <w:rFonts w:ascii="Verdana" w:hAnsi="Verdana"/>
          <w:i w:val="0"/>
          <w:iCs/>
          <w:sz w:val="20"/>
          <w:szCs w:val="20"/>
          <w:lang w:val="es-ES_tradnl"/>
        </w:rPr>
        <w:t xml:space="preserve">validaron como legítimas las razones dadas por los funcionarios policiales, las cuales, como se indicó, a criterio de la Comisión resultan insuficientes para justificar una privación de libertad vinculada a la sospecha de un delito. </w:t>
      </w:r>
    </w:p>
    <w:p w14:paraId="3A416D69" w14:textId="3ABFC073" w:rsidR="00CF11AB" w:rsidRPr="005C1789" w:rsidRDefault="00CF11A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Los </w:t>
      </w:r>
      <w:r w:rsidRPr="005C1789">
        <w:rPr>
          <w:rFonts w:ascii="Verdana" w:hAnsi="Verdana"/>
          <w:b/>
          <w:bCs/>
          <w:sz w:val="20"/>
          <w:szCs w:val="20"/>
          <w:lang w:val="es-ES_tradnl"/>
        </w:rPr>
        <w:t>representantes</w:t>
      </w:r>
      <w:r w:rsidRPr="005C1789">
        <w:rPr>
          <w:rFonts w:ascii="Verdana" w:hAnsi="Verdana"/>
          <w:i w:val="0"/>
          <w:iCs/>
          <w:sz w:val="20"/>
          <w:szCs w:val="20"/>
          <w:lang w:val="es-ES_tradnl"/>
        </w:rPr>
        <w:t xml:space="preserve"> agregaron que el juicio de amparo que podría haber sido un recurso adecuado resultó ineficaz pues fue sobreseído por actualizarse la causa de improcedencia de “cambio en la situación jurídica”, lo que impidió un pronunciamiento sobre el fondo de la cuestión. Esta causa de improcedencia implica que la resolución del juicio de amparo fue suficientemente lenta como para no poder revisar la legalidad, constitucionalidad y convencionalidad del arraigo antes de que feneciera el término por el que dicha medida se había ordenado. De forma similar, las autoridades judiciales omitieron analizar la convencionalidad de la prisión preventiva.</w:t>
      </w:r>
    </w:p>
    <w:p w14:paraId="266B470B" w14:textId="6946BE9C" w:rsidR="00B71E46" w:rsidRPr="005C1789" w:rsidRDefault="00CF11AB"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Por lo expuesto, tanto la Comisión como los represen</w:t>
      </w:r>
      <w:r w:rsidR="005226A0" w:rsidRPr="005C1789">
        <w:rPr>
          <w:rFonts w:ascii="Verdana" w:hAnsi="Verdana"/>
          <w:i w:val="0"/>
          <w:iCs/>
          <w:sz w:val="20"/>
          <w:szCs w:val="20"/>
          <w:lang w:val="es-ES_tradnl"/>
        </w:rPr>
        <w:t>t</w:t>
      </w:r>
      <w:r w:rsidRPr="005C1789">
        <w:rPr>
          <w:rFonts w:ascii="Verdana" w:hAnsi="Verdana"/>
          <w:i w:val="0"/>
          <w:iCs/>
          <w:sz w:val="20"/>
          <w:szCs w:val="20"/>
          <w:lang w:val="es-ES_tradnl"/>
        </w:rPr>
        <w:t xml:space="preserve">antes consideraron que el recurso de amparo no constituyó un recurso judicial efectivo para lograr el control de la privación de libertad de las víctimas a la luz de los estándares convencionales. En consecuencia, la Comisión concluyó que el Estado violó los derechos establecidos en los artículos 7.6 y 25.1 de la Convención Americana en relación con el artículo 1.1 de dicho tratado, en perjuicio de Jorge Marcial </w:t>
      </w:r>
      <w:proofErr w:type="spellStart"/>
      <w:r w:rsidRPr="005C1789">
        <w:rPr>
          <w:rFonts w:ascii="Verdana" w:hAnsi="Verdana"/>
          <w:i w:val="0"/>
          <w:iCs/>
          <w:sz w:val="20"/>
          <w:szCs w:val="20"/>
          <w:lang w:val="es-ES_tradnl"/>
        </w:rPr>
        <w:t>Tzompaxtle</w:t>
      </w:r>
      <w:proofErr w:type="spellEnd"/>
      <w:r w:rsidRPr="005C1789">
        <w:rPr>
          <w:rFonts w:ascii="Verdana" w:hAnsi="Verdana"/>
          <w:i w:val="0"/>
          <w:iCs/>
          <w:sz w:val="20"/>
          <w:szCs w:val="20"/>
          <w:lang w:val="es-ES_tradnl"/>
        </w:rPr>
        <w:t xml:space="preserve"> </w:t>
      </w:r>
      <w:proofErr w:type="spellStart"/>
      <w:r w:rsidRPr="005C1789">
        <w:rPr>
          <w:rFonts w:ascii="Verdana" w:hAnsi="Verdana"/>
          <w:i w:val="0"/>
          <w:iCs/>
          <w:sz w:val="20"/>
          <w:szCs w:val="20"/>
          <w:lang w:val="es-ES_tradnl"/>
        </w:rPr>
        <w:t>Tecpile</w:t>
      </w:r>
      <w:proofErr w:type="spellEnd"/>
      <w:r w:rsidRPr="005C1789">
        <w:rPr>
          <w:rFonts w:ascii="Verdana" w:hAnsi="Verdana"/>
          <w:i w:val="0"/>
          <w:iCs/>
          <w:sz w:val="20"/>
          <w:szCs w:val="20"/>
          <w:lang w:val="es-ES_tradnl"/>
        </w:rPr>
        <w:t xml:space="preserve">, Gerardo </w:t>
      </w:r>
      <w:proofErr w:type="spellStart"/>
      <w:r w:rsidRPr="005C1789">
        <w:rPr>
          <w:rFonts w:ascii="Verdana" w:hAnsi="Verdana"/>
          <w:i w:val="0"/>
          <w:iCs/>
          <w:sz w:val="20"/>
          <w:szCs w:val="20"/>
          <w:lang w:val="es-ES_tradnl"/>
        </w:rPr>
        <w:t>Tzompaxtle</w:t>
      </w:r>
      <w:proofErr w:type="spellEnd"/>
      <w:r w:rsidRPr="005C1789">
        <w:rPr>
          <w:rFonts w:ascii="Verdana" w:hAnsi="Verdana"/>
          <w:i w:val="0"/>
          <w:iCs/>
          <w:sz w:val="20"/>
          <w:szCs w:val="20"/>
          <w:lang w:val="es-ES_tradnl"/>
        </w:rPr>
        <w:t xml:space="preserve"> </w:t>
      </w:r>
      <w:proofErr w:type="spellStart"/>
      <w:r w:rsidRPr="005C1789">
        <w:rPr>
          <w:rFonts w:ascii="Verdana" w:hAnsi="Verdana"/>
          <w:i w:val="0"/>
          <w:iCs/>
          <w:sz w:val="20"/>
          <w:szCs w:val="20"/>
          <w:lang w:val="es-ES_tradnl"/>
        </w:rPr>
        <w:t>Tecpile</w:t>
      </w:r>
      <w:proofErr w:type="spellEnd"/>
      <w:r w:rsidRPr="005C1789">
        <w:rPr>
          <w:rFonts w:ascii="Verdana" w:hAnsi="Verdana"/>
          <w:i w:val="0"/>
          <w:iCs/>
          <w:sz w:val="20"/>
          <w:szCs w:val="20"/>
          <w:lang w:val="es-ES_tradnl"/>
        </w:rPr>
        <w:t xml:space="preserve"> y Gustavo Robles López.</w:t>
      </w:r>
    </w:p>
    <w:p w14:paraId="57CA224F" w14:textId="2A35F359" w:rsidR="00B96431" w:rsidRPr="005C1789" w:rsidRDefault="00B96431" w:rsidP="00955888">
      <w:pPr>
        <w:pStyle w:val="Ttulo2"/>
        <w:numPr>
          <w:ilvl w:val="0"/>
          <w:numId w:val="13"/>
        </w:numPr>
        <w:spacing w:before="240" w:after="240"/>
        <w:rPr>
          <w:rFonts w:ascii="Verdana" w:hAnsi="Verdana"/>
          <w:i/>
          <w:color w:val="auto"/>
          <w:sz w:val="20"/>
          <w:szCs w:val="20"/>
        </w:rPr>
      </w:pPr>
      <w:bookmarkStart w:id="89" w:name="_Toc36823475"/>
      <w:bookmarkStart w:id="90" w:name="_Toc123347530"/>
      <w:r w:rsidRPr="005C1789">
        <w:rPr>
          <w:rFonts w:ascii="Verdana" w:hAnsi="Verdana"/>
          <w:i/>
          <w:color w:val="auto"/>
          <w:sz w:val="20"/>
          <w:szCs w:val="20"/>
        </w:rPr>
        <w:t>Consideraciones de la Corte</w:t>
      </w:r>
      <w:bookmarkEnd w:id="89"/>
      <w:bookmarkEnd w:id="90"/>
    </w:p>
    <w:p w14:paraId="38570C3F" w14:textId="49C5C229" w:rsidR="00D838BC" w:rsidRPr="005C1789" w:rsidRDefault="0055272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La</w:t>
      </w:r>
      <w:r w:rsidR="0052552A" w:rsidRPr="005C1789">
        <w:rPr>
          <w:rFonts w:ascii="Verdana" w:hAnsi="Verdana"/>
          <w:i w:val="0"/>
          <w:iCs/>
          <w:sz w:val="20"/>
          <w:szCs w:val="20"/>
          <w:lang w:val="es-ES_tradnl"/>
        </w:rPr>
        <w:t xml:space="preserve"> </w:t>
      </w:r>
      <w:r w:rsidR="00D838BC" w:rsidRPr="005C1789">
        <w:rPr>
          <w:rFonts w:ascii="Verdana" w:hAnsi="Verdana"/>
          <w:i w:val="0"/>
          <w:iCs/>
          <w:sz w:val="20"/>
          <w:szCs w:val="20"/>
          <w:lang w:val="es-ES_tradnl"/>
        </w:rPr>
        <w:t xml:space="preserve">Corte recuerda que el Estado reconoció parcialmente su responsabilidad en cuanto a la violación de los artículos </w:t>
      </w:r>
      <w:r w:rsidR="00781440" w:rsidRPr="005C1789">
        <w:rPr>
          <w:rFonts w:ascii="Verdana" w:hAnsi="Verdana"/>
          <w:i w:val="0"/>
          <w:iCs/>
          <w:sz w:val="20"/>
          <w:szCs w:val="20"/>
          <w:lang w:val="es-ES_tradnl"/>
        </w:rPr>
        <w:t xml:space="preserve">7, </w:t>
      </w:r>
      <w:r w:rsidR="00D838BC" w:rsidRPr="005C1789">
        <w:rPr>
          <w:rFonts w:ascii="Verdana" w:hAnsi="Verdana"/>
          <w:i w:val="0"/>
          <w:iCs/>
          <w:sz w:val="20"/>
          <w:szCs w:val="20"/>
          <w:lang w:val="es-ES_tradnl"/>
        </w:rPr>
        <w:t>8.</w:t>
      </w:r>
      <w:r w:rsidR="00781440" w:rsidRPr="005C1789">
        <w:rPr>
          <w:rFonts w:ascii="Verdana" w:hAnsi="Verdana"/>
          <w:i w:val="0"/>
          <w:iCs/>
          <w:sz w:val="20"/>
          <w:szCs w:val="20"/>
          <w:lang w:val="es-ES_tradnl"/>
        </w:rPr>
        <w:t>2</w:t>
      </w:r>
      <w:r w:rsidR="00D838BC" w:rsidRPr="005C1789">
        <w:rPr>
          <w:rFonts w:ascii="Verdana" w:hAnsi="Verdana"/>
          <w:i w:val="0"/>
          <w:iCs/>
          <w:sz w:val="20"/>
          <w:szCs w:val="20"/>
          <w:lang w:val="es-ES_tradnl"/>
        </w:rPr>
        <w:t xml:space="preserve"> y 25 de la Convención</w:t>
      </w:r>
      <w:r w:rsidR="00781440" w:rsidRPr="005C1789">
        <w:rPr>
          <w:rFonts w:ascii="Verdana" w:hAnsi="Verdana"/>
          <w:i w:val="0"/>
          <w:iCs/>
          <w:sz w:val="20"/>
          <w:szCs w:val="20"/>
          <w:lang w:val="es-ES_tradnl"/>
        </w:rPr>
        <w:t xml:space="preserve"> Americana en relación con la obligación de respetar los derechos </w:t>
      </w:r>
      <w:r w:rsidR="00D066C5" w:rsidRPr="005C1789">
        <w:rPr>
          <w:rFonts w:ascii="Verdana" w:hAnsi="Verdana"/>
          <w:i w:val="0"/>
          <w:iCs/>
          <w:sz w:val="20"/>
          <w:szCs w:val="20"/>
          <w:lang w:val="es-ES_tradnl"/>
        </w:rPr>
        <w:t>contenidos</w:t>
      </w:r>
      <w:r w:rsidR="00781440" w:rsidRPr="005C1789">
        <w:rPr>
          <w:rFonts w:ascii="Verdana" w:hAnsi="Verdana"/>
          <w:i w:val="0"/>
          <w:iCs/>
          <w:sz w:val="20"/>
          <w:szCs w:val="20"/>
          <w:lang w:val="es-ES_tradnl"/>
        </w:rPr>
        <w:t xml:space="preserve"> en el mismo </w:t>
      </w:r>
      <w:r w:rsidR="00A47E86" w:rsidRPr="005C1789">
        <w:rPr>
          <w:rFonts w:ascii="Verdana" w:hAnsi="Verdana"/>
          <w:i w:val="0"/>
          <w:iCs/>
          <w:sz w:val="20"/>
          <w:szCs w:val="20"/>
          <w:lang w:val="es-ES_tradnl"/>
        </w:rPr>
        <w:t>instrumento</w:t>
      </w:r>
      <w:r w:rsidR="00AC3AB7">
        <w:rPr>
          <w:rFonts w:ascii="Verdana" w:hAnsi="Verdana"/>
          <w:i w:val="0"/>
          <w:iCs/>
          <w:sz w:val="20"/>
          <w:szCs w:val="20"/>
          <w:lang w:val="es-ES_tradnl"/>
        </w:rPr>
        <w:t>,</w:t>
      </w:r>
      <w:r w:rsidR="00781440" w:rsidRPr="005C1789">
        <w:rPr>
          <w:rFonts w:ascii="Verdana" w:hAnsi="Verdana"/>
          <w:i w:val="0"/>
          <w:iCs/>
          <w:sz w:val="20"/>
          <w:szCs w:val="20"/>
          <w:lang w:val="es-ES_tradnl"/>
        </w:rPr>
        <w:t xml:space="preserve"> en perjuicio de Jorge Marcial </w:t>
      </w:r>
      <w:proofErr w:type="spellStart"/>
      <w:r w:rsidR="00781440" w:rsidRPr="005C1789">
        <w:rPr>
          <w:rFonts w:ascii="Verdana" w:hAnsi="Verdana"/>
          <w:i w:val="0"/>
          <w:iCs/>
          <w:sz w:val="20"/>
          <w:szCs w:val="20"/>
          <w:lang w:val="es-ES_tradnl"/>
        </w:rPr>
        <w:t>Tzompaxtle</w:t>
      </w:r>
      <w:proofErr w:type="spellEnd"/>
      <w:r w:rsidR="00781440" w:rsidRPr="005C1789">
        <w:rPr>
          <w:rFonts w:ascii="Verdana" w:hAnsi="Verdana"/>
          <w:i w:val="0"/>
          <w:iCs/>
          <w:sz w:val="20"/>
          <w:szCs w:val="20"/>
          <w:lang w:val="es-ES_tradnl"/>
        </w:rPr>
        <w:t xml:space="preserve"> </w:t>
      </w:r>
      <w:proofErr w:type="spellStart"/>
      <w:r w:rsidR="00781440" w:rsidRPr="005C1789">
        <w:rPr>
          <w:rFonts w:ascii="Verdana" w:hAnsi="Verdana"/>
          <w:i w:val="0"/>
          <w:iCs/>
          <w:sz w:val="20"/>
          <w:szCs w:val="20"/>
          <w:lang w:val="es-ES_tradnl"/>
        </w:rPr>
        <w:t>Tecpile</w:t>
      </w:r>
      <w:proofErr w:type="spellEnd"/>
      <w:r w:rsidR="00781440" w:rsidRPr="005C1789">
        <w:rPr>
          <w:rFonts w:ascii="Verdana" w:hAnsi="Verdana"/>
          <w:i w:val="0"/>
          <w:iCs/>
          <w:sz w:val="20"/>
          <w:szCs w:val="20"/>
          <w:lang w:val="es-ES_tradnl"/>
        </w:rPr>
        <w:t xml:space="preserve">, Gerardo </w:t>
      </w:r>
      <w:proofErr w:type="spellStart"/>
      <w:r w:rsidR="00781440" w:rsidRPr="005C1789">
        <w:rPr>
          <w:rFonts w:ascii="Verdana" w:hAnsi="Verdana"/>
          <w:i w:val="0"/>
          <w:iCs/>
          <w:sz w:val="20"/>
          <w:szCs w:val="20"/>
          <w:lang w:val="es-ES_tradnl"/>
        </w:rPr>
        <w:t>Tzompaxtle</w:t>
      </w:r>
      <w:proofErr w:type="spellEnd"/>
      <w:r w:rsidR="00781440" w:rsidRPr="005C1789">
        <w:rPr>
          <w:rFonts w:ascii="Verdana" w:hAnsi="Verdana"/>
          <w:i w:val="0"/>
          <w:iCs/>
          <w:sz w:val="20"/>
          <w:szCs w:val="20"/>
          <w:lang w:val="es-ES_tradnl"/>
        </w:rPr>
        <w:t xml:space="preserve"> </w:t>
      </w:r>
      <w:proofErr w:type="spellStart"/>
      <w:r w:rsidR="00781440" w:rsidRPr="005C1789">
        <w:rPr>
          <w:rFonts w:ascii="Verdana" w:hAnsi="Verdana"/>
          <w:i w:val="0"/>
          <w:iCs/>
          <w:sz w:val="20"/>
          <w:szCs w:val="20"/>
          <w:lang w:val="es-ES_tradnl"/>
        </w:rPr>
        <w:t>Tecpile</w:t>
      </w:r>
      <w:proofErr w:type="spellEnd"/>
      <w:r w:rsidR="00781440" w:rsidRPr="005C1789">
        <w:rPr>
          <w:rFonts w:ascii="Verdana" w:hAnsi="Verdana"/>
          <w:i w:val="0"/>
          <w:iCs/>
          <w:sz w:val="20"/>
          <w:szCs w:val="20"/>
          <w:lang w:val="es-ES_tradnl"/>
        </w:rPr>
        <w:t xml:space="preserve"> y Gustavo Robles López</w:t>
      </w:r>
      <w:r w:rsidR="00D838BC" w:rsidRPr="005C1789">
        <w:rPr>
          <w:rFonts w:ascii="Verdana" w:hAnsi="Verdana"/>
          <w:i w:val="0"/>
          <w:iCs/>
          <w:sz w:val="20"/>
          <w:szCs w:val="20"/>
          <w:lang w:val="es-ES_tradnl"/>
        </w:rPr>
        <w:t xml:space="preserve"> (</w:t>
      </w:r>
      <w:r w:rsidR="00D838BC" w:rsidRPr="005C1789">
        <w:rPr>
          <w:rFonts w:ascii="Verdana" w:hAnsi="Verdana"/>
          <w:sz w:val="20"/>
          <w:szCs w:val="20"/>
          <w:lang w:val="es-ES_tradnl"/>
        </w:rPr>
        <w:t>supra</w:t>
      </w:r>
      <w:r w:rsidR="00D838BC" w:rsidRPr="005C1789">
        <w:rPr>
          <w:rFonts w:ascii="Verdana" w:hAnsi="Verdana"/>
          <w:i w:val="0"/>
          <w:iCs/>
          <w:sz w:val="20"/>
          <w:szCs w:val="20"/>
          <w:lang w:val="es-ES_tradnl"/>
        </w:rPr>
        <w:t xml:space="preserve"> </w:t>
      </w:r>
      <w:proofErr w:type="spellStart"/>
      <w:r w:rsidR="00781440" w:rsidRPr="005C1789">
        <w:rPr>
          <w:rFonts w:ascii="Verdana" w:hAnsi="Verdana"/>
          <w:i w:val="0"/>
          <w:iCs/>
          <w:sz w:val="20"/>
          <w:szCs w:val="20"/>
          <w:lang w:val="es-ES_tradnl"/>
        </w:rPr>
        <w:t>párrs</w:t>
      </w:r>
      <w:proofErr w:type="spellEnd"/>
      <w:r w:rsidR="00781440" w:rsidRPr="005C1789">
        <w:rPr>
          <w:rFonts w:ascii="Verdana" w:hAnsi="Verdana"/>
          <w:i w:val="0"/>
          <w:iCs/>
          <w:sz w:val="20"/>
          <w:szCs w:val="20"/>
          <w:lang w:val="es-ES_tradnl"/>
        </w:rPr>
        <w:t xml:space="preserve">. </w:t>
      </w:r>
      <w:r w:rsidR="00E41DF0" w:rsidRPr="005C1789">
        <w:rPr>
          <w:rFonts w:ascii="Verdana" w:hAnsi="Verdana"/>
          <w:i w:val="0"/>
          <w:iCs/>
          <w:sz w:val="20"/>
          <w:szCs w:val="20"/>
          <w:lang w:val="es-ES_tradnl"/>
        </w:rPr>
        <w:t>14 y</w:t>
      </w:r>
      <w:r w:rsidR="00781440" w:rsidRPr="005C1789">
        <w:rPr>
          <w:rFonts w:ascii="Verdana" w:hAnsi="Verdana"/>
          <w:i w:val="0"/>
          <w:iCs/>
          <w:sz w:val="20"/>
          <w:szCs w:val="20"/>
          <w:lang w:val="es-ES_tradnl"/>
        </w:rPr>
        <w:t xml:space="preserve"> </w:t>
      </w:r>
      <w:r w:rsidR="00E41DF0" w:rsidRPr="005C1789">
        <w:rPr>
          <w:rFonts w:ascii="Verdana" w:hAnsi="Verdana"/>
          <w:i w:val="0"/>
          <w:iCs/>
          <w:sz w:val="20"/>
          <w:szCs w:val="20"/>
          <w:lang w:val="es-ES_tradnl"/>
        </w:rPr>
        <w:t>15</w:t>
      </w:r>
      <w:r w:rsidR="00D838BC" w:rsidRPr="005C1789">
        <w:rPr>
          <w:rFonts w:ascii="Verdana" w:hAnsi="Verdana"/>
          <w:i w:val="0"/>
          <w:iCs/>
          <w:sz w:val="20"/>
          <w:szCs w:val="20"/>
          <w:lang w:val="es-ES_tradnl"/>
        </w:rPr>
        <w:t xml:space="preserve">). En ese sentido, este Tribunal </w:t>
      </w:r>
      <w:r w:rsidR="00781440" w:rsidRPr="005C1789">
        <w:rPr>
          <w:rFonts w:ascii="Verdana" w:hAnsi="Verdana"/>
          <w:i w:val="0"/>
          <w:iCs/>
          <w:sz w:val="20"/>
          <w:szCs w:val="20"/>
          <w:lang w:val="es-ES_tradnl"/>
        </w:rPr>
        <w:t xml:space="preserve">entendió en el capítulo </w:t>
      </w:r>
      <w:r w:rsidR="001C44E8" w:rsidRPr="005C1789">
        <w:rPr>
          <w:rFonts w:ascii="Verdana" w:hAnsi="Verdana"/>
          <w:i w:val="0"/>
          <w:iCs/>
          <w:sz w:val="20"/>
          <w:szCs w:val="20"/>
          <w:lang w:val="es-ES_tradnl"/>
        </w:rPr>
        <w:t>IV</w:t>
      </w:r>
      <w:r w:rsidR="00D838BC" w:rsidRPr="005C1789">
        <w:rPr>
          <w:rFonts w:ascii="Verdana" w:hAnsi="Verdana"/>
          <w:i w:val="0"/>
          <w:iCs/>
          <w:sz w:val="20"/>
          <w:szCs w:val="20"/>
          <w:lang w:val="es-ES_tradnl"/>
        </w:rPr>
        <w:t xml:space="preserve"> que ha cesado la controversia con respecto a </w:t>
      </w:r>
      <w:r w:rsidR="00781440" w:rsidRPr="005C1789">
        <w:rPr>
          <w:rFonts w:ascii="Verdana" w:hAnsi="Verdana"/>
          <w:i w:val="0"/>
          <w:iCs/>
          <w:sz w:val="20"/>
          <w:szCs w:val="20"/>
          <w:lang w:val="es-ES_tradnl"/>
        </w:rPr>
        <w:t>esas</w:t>
      </w:r>
      <w:r w:rsidR="00D838BC" w:rsidRPr="005C1789">
        <w:rPr>
          <w:rFonts w:ascii="Verdana" w:hAnsi="Verdana"/>
          <w:i w:val="0"/>
          <w:iCs/>
          <w:sz w:val="20"/>
          <w:szCs w:val="20"/>
          <w:lang w:val="es-ES_tradnl"/>
        </w:rPr>
        <w:t xml:space="preserve"> alegadas violaciones. Sin mengua de lo señalado, tomando en cuenta la naturaleza del caso, la Corte estima necesario referirse a algunos puntos relacionados con </w:t>
      </w:r>
      <w:r w:rsidR="00781440" w:rsidRPr="005C1789">
        <w:rPr>
          <w:rFonts w:ascii="Verdana" w:hAnsi="Verdana"/>
          <w:i w:val="0"/>
          <w:iCs/>
          <w:sz w:val="20"/>
          <w:szCs w:val="20"/>
          <w:lang w:val="es-ES_tradnl"/>
        </w:rPr>
        <w:t>el derecho a la libertad personal, además de abordar el análisis de las violaciones a la Convención que no fueron reconocidas por el Estado</w:t>
      </w:r>
      <w:r w:rsidR="00A47E86" w:rsidRPr="005C1789">
        <w:rPr>
          <w:rFonts w:ascii="Verdana" w:hAnsi="Verdana"/>
          <w:i w:val="0"/>
          <w:iCs/>
          <w:sz w:val="20"/>
          <w:szCs w:val="20"/>
          <w:lang w:val="es-ES_tradnl"/>
        </w:rPr>
        <w:t xml:space="preserve"> relacionadas con las figuras del arraigo y de la prisión preventiva </w:t>
      </w:r>
      <w:r w:rsidR="00587997" w:rsidRPr="005C1789">
        <w:rPr>
          <w:rFonts w:ascii="Verdana" w:hAnsi="Verdana"/>
          <w:i w:val="0"/>
          <w:iCs/>
          <w:sz w:val="20"/>
          <w:szCs w:val="20"/>
          <w:lang w:val="es-ES_tradnl"/>
        </w:rPr>
        <w:t>previstas en el ordenamiento jurídico mexicano</w:t>
      </w:r>
      <w:r w:rsidR="00D838BC" w:rsidRPr="005C1789">
        <w:rPr>
          <w:rFonts w:ascii="Verdana" w:hAnsi="Verdana"/>
          <w:i w:val="0"/>
          <w:iCs/>
          <w:sz w:val="20"/>
          <w:szCs w:val="20"/>
          <w:lang w:val="es-ES_tradnl"/>
        </w:rPr>
        <w:t>.</w:t>
      </w:r>
      <w:r w:rsidR="00781440" w:rsidRPr="005C1789">
        <w:rPr>
          <w:rFonts w:ascii="Verdana" w:hAnsi="Verdana"/>
          <w:i w:val="0"/>
          <w:iCs/>
          <w:sz w:val="20"/>
          <w:szCs w:val="20"/>
          <w:lang w:val="es-ES_tradnl"/>
        </w:rPr>
        <w:t xml:space="preserve"> De acuerdo con lo anterior, en el presente acápite abordará esos puntos en el siguiente orden: </w:t>
      </w:r>
      <w:r w:rsidR="00AC3AB7">
        <w:rPr>
          <w:rFonts w:ascii="Verdana" w:hAnsi="Verdana"/>
          <w:i w:val="0"/>
          <w:iCs/>
          <w:sz w:val="20"/>
          <w:szCs w:val="20"/>
          <w:lang w:val="es-ES_tradnl"/>
        </w:rPr>
        <w:t>1</w:t>
      </w:r>
      <w:r w:rsidR="001C44E8" w:rsidRPr="005C1789">
        <w:rPr>
          <w:rFonts w:ascii="Verdana" w:hAnsi="Verdana"/>
          <w:i w:val="0"/>
          <w:iCs/>
          <w:sz w:val="20"/>
          <w:szCs w:val="20"/>
          <w:lang w:val="es-ES_tradnl"/>
        </w:rPr>
        <w:t>) consideraciones generales sobre la libertad personal</w:t>
      </w:r>
      <w:r w:rsidR="007A64AB" w:rsidRPr="005C1789">
        <w:rPr>
          <w:rFonts w:ascii="Verdana" w:hAnsi="Verdana"/>
          <w:i w:val="0"/>
          <w:iCs/>
          <w:sz w:val="20"/>
          <w:szCs w:val="20"/>
          <w:lang w:val="es-ES_tradnl"/>
        </w:rPr>
        <w:t xml:space="preserve"> y</w:t>
      </w:r>
      <w:r w:rsidR="001C44E8" w:rsidRPr="005C1789">
        <w:rPr>
          <w:rFonts w:ascii="Verdana" w:hAnsi="Verdana"/>
          <w:i w:val="0"/>
          <w:iCs/>
          <w:sz w:val="20"/>
          <w:szCs w:val="20"/>
          <w:lang w:val="es-ES_tradnl"/>
        </w:rPr>
        <w:t xml:space="preserve"> el derecho a la presunción de inocencia en el marco de la investigación y del proceso penal</w:t>
      </w:r>
      <w:r w:rsidR="00A47E86" w:rsidRPr="005C1789">
        <w:rPr>
          <w:rFonts w:ascii="Verdana" w:hAnsi="Verdana"/>
          <w:i w:val="0"/>
          <w:iCs/>
          <w:sz w:val="20"/>
          <w:szCs w:val="20"/>
          <w:lang w:val="es-ES_tradnl"/>
        </w:rPr>
        <w:t>;</w:t>
      </w:r>
      <w:r w:rsidR="001C44E8" w:rsidRPr="005C1789">
        <w:rPr>
          <w:rFonts w:ascii="Verdana" w:hAnsi="Verdana"/>
          <w:i w:val="0"/>
          <w:iCs/>
          <w:sz w:val="20"/>
          <w:szCs w:val="20"/>
          <w:lang w:val="es-ES_tradnl"/>
        </w:rPr>
        <w:t xml:space="preserve"> </w:t>
      </w:r>
      <w:r w:rsidR="00AC3AB7">
        <w:rPr>
          <w:rFonts w:ascii="Verdana" w:hAnsi="Verdana"/>
          <w:i w:val="0"/>
          <w:iCs/>
          <w:sz w:val="20"/>
          <w:szCs w:val="20"/>
          <w:lang w:val="es-ES_tradnl"/>
        </w:rPr>
        <w:t>2</w:t>
      </w:r>
      <w:r w:rsidR="001C44E8" w:rsidRPr="005C1789">
        <w:rPr>
          <w:rFonts w:ascii="Verdana" w:hAnsi="Verdana"/>
          <w:i w:val="0"/>
          <w:iCs/>
          <w:sz w:val="20"/>
          <w:szCs w:val="20"/>
          <w:lang w:val="es-ES_tradnl"/>
        </w:rPr>
        <w:t>)</w:t>
      </w:r>
      <w:r w:rsidR="003F2179" w:rsidRPr="005C1789">
        <w:rPr>
          <w:rFonts w:ascii="Verdana" w:hAnsi="Verdana"/>
          <w:i w:val="0"/>
          <w:iCs/>
          <w:sz w:val="20"/>
          <w:szCs w:val="20"/>
          <w:lang w:val="es-ES_tradnl"/>
        </w:rPr>
        <w:t xml:space="preserve"> </w:t>
      </w:r>
      <w:r w:rsidR="00C12827" w:rsidRPr="005C1789">
        <w:rPr>
          <w:rFonts w:ascii="Verdana" w:hAnsi="Verdana"/>
          <w:i w:val="0"/>
          <w:iCs/>
          <w:sz w:val="20"/>
          <w:szCs w:val="20"/>
          <w:lang w:val="es-ES_tradnl"/>
        </w:rPr>
        <w:t>s</w:t>
      </w:r>
      <w:r w:rsidR="00DA0E1A" w:rsidRPr="005C1789">
        <w:rPr>
          <w:rFonts w:ascii="Verdana" w:hAnsi="Verdana"/>
          <w:i w:val="0"/>
          <w:iCs/>
          <w:sz w:val="20"/>
          <w:szCs w:val="20"/>
          <w:lang w:val="es-ES_tradnl"/>
        </w:rPr>
        <w:t>obre la compatibilidad de las figuras del arraigo y de la prisión preventiva con la Convención Americana</w:t>
      </w:r>
      <w:r w:rsidR="001C44E8" w:rsidRPr="005C1789">
        <w:rPr>
          <w:rFonts w:ascii="Verdana" w:hAnsi="Verdana"/>
          <w:i w:val="0"/>
          <w:iCs/>
          <w:sz w:val="20"/>
          <w:szCs w:val="20"/>
          <w:lang w:val="es-ES_tradnl"/>
        </w:rPr>
        <w:t xml:space="preserve">, </w:t>
      </w:r>
      <w:r w:rsidR="00AC3AB7">
        <w:rPr>
          <w:rFonts w:ascii="Verdana" w:hAnsi="Verdana"/>
          <w:i w:val="0"/>
          <w:iCs/>
          <w:sz w:val="20"/>
          <w:szCs w:val="20"/>
          <w:lang w:val="es-ES_tradnl"/>
        </w:rPr>
        <w:t>3</w:t>
      </w:r>
      <w:r w:rsidR="001C44E8" w:rsidRPr="005C1789">
        <w:rPr>
          <w:rFonts w:ascii="Verdana" w:hAnsi="Verdana"/>
          <w:i w:val="0"/>
          <w:iCs/>
          <w:sz w:val="20"/>
          <w:szCs w:val="20"/>
          <w:lang w:val="es-ES_tradnl"/>
        </w:rPr>
        <w:t>) sobre la aplicación del arraigo y de la prisión preventiva en el caso concreto</w:t>
      </w:r>
      <w:r w:rsidR="00C82D8D" w:rsidRPr="005C1789">
        <w:rPr>
          <w:rFonts w:ascii="Verdana" w:hAnsi="Verdana"/>
          <w:i w:val="0"/>
          <w:iCs/>
          <w:sz w:val="20"/>
          <w:szCs w:val="20"/>
          <w:lang w:val="es-ES_tradnl"/>
        </w:rPr>
        <w:t xml:space="preserve">, y </w:t>
      </w:r>
      <w:r w:rsidR="00AC3AB7">
        <w:rPr>
          <w:rFonts w:ascii="Verdana" w:hAnsi="Verdana"/>
          <w:i w:val="0"/>
          <w:iCs/>
          <w:sz w:val="20"/>
          <w:szCs w:val="20"/>
          <w:lang w:val="es-ES_tradnl"/>
        </w:rPr>
        <w:t>4</w:t>
      </w:r>
      <w:r w:rsidR="00C82D8D" w:rsidRPr="005C1789">
        <w:rPr>
          <w:rFonts w:ascii="Verdana" w:hAnsi="Verdana"/>
          <w:i w:val="0"/>
          <w:iCs/>
          <w:sz w:val="20"/>
          <w:szCs w:val="20"/>
          <w:lang w:val="es-ES_tradnl"/>
        </w:rPr>
        <w:t>)</w:t>
      </w:r>
      <w:r w:rsidR="000F0E13" w:rsidRPr="005C1789">
        <w:rPr>
          <w:rFonts w:ascii="Verdana" w:hAnsi="Verdana"/>
          <w:i w:val="0"/>
          <w:iCs/>
          <w:sz w:val="20"/>
          <w:szCs w:val="20"/>
          <w:lang w:val="es-ES_tradnl"/>
        </w:rPr>
        <w:t xml:space="preserve"> conclusión</w:t>
      </w:r>
      <w:r w:rsidR="001C44E8" w:rsidRPr="005C1789">
        <w:rPr>
          <w:rFonts w:ascii="Verdana" w:hAnsi="Verdana"/>
          <w:i w:val="0"/>
          <w:iCs/>
          <w:sz w:val="20"/>
          <w:szCs w:val="20"/>
          <w:lang w:val="es-ES_tradnl"/>
        </w:rPr>
        <w:t>.</w:t>
      </w:r>
    </w:p>
    <w:p w14:paraId="5B55F326" w14:textId="014E30AA" w:rsidR="007E072C" w:rsidRPr="005C1789" w:rsidRDefault="007E072C"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5C1789">
        <w:rPr>
          <w:rFonts w:ascii="Verdana" w:hAnsi="Verdana"/>
          <w:i w:val="0"/>
          <w:iCs/>
          <w:sz w:val="20"/>
          <w:szCs w:val="20"/>
          <w:lang w:val="es-ES_tradnl"/>
        </w:rPr>
        <w:t xml:space="preserve">Con respecto a lo anterior, la Corte efectuará un análisis de las figuras del arraigo y de la prisión preventiva que fueron aplicadas a las víctimas del presente caso de conformidad con la normatividad </w:t>
      </w:r>
      <w:r w:rsidR="00325A54" w:rsidRPr="005C1789">
        <w:rPr>
          <w:rFonts w:ascii="Verdana" w:hAnsi="Verdana"/>
          <w:i w:val="0"/>
          <w:iCs/>
          <w:sz w:val="20"/>
          <w:szCs w:val="20"/>
          <w:lang w:val="es-ES_tradnl"/>
        </w:rPr>
        <w:t>vigente</w:t>
      </w:r>
      <w:r w:rsidRPr="005C1789">
        <w:rPr>
          <w:rFonts w:ascii="Verdana" w:hAnsi="Verdana"/>
          <w:i w:val="0"/>
          <w:iCs/>
          <w:sz w:val="20"/>
          <w:szCs w:val="20"/>
          <w:lang w:val="es-ES_tradnl"/>
        </w:rPr>
        <w:t xml:space="preserve"> al momento en que se produjeron los hechos.</w:t>
      </w:r>
    </w:p>
    <w:p w14:paraId="1FE90A81" w14:textId="51F71D94" w:rsidR="00351A7E" w:rsidRPr="005C1789" w:rsidRDefault="00C42FF8" w:rsidP="00955888">
      <w:pPr>
        <w:pStyle w:val="Ttulo3"/>
        <w:spacing w:before="240" w:after="240"/>
        <w:ind w:left="567"/>
        <w:jc w:val="both"/>
        <w:rPr>
          <w:rFonts w:ascii="Verdana" w:hAnsi="Verdana"/>
          <w:b w:val="0"/>
          <w:snapToGrid w:val="0"/>
          <w:spacing w:val="-2"/>
          <w:sz w:val="20"/>
          <w:szCs w:val="20"/>
          <w:lang w:eastAsia="es-ES"/>
        </w:rPr>
      </w:pPr>
      <w:bookmarkStart w:id="91" w:name="_Toc123347531"/>
      <w:r w:rsidRPr="005C1789">
        <w:rPr>
          <w:rFonts w:ascii="Verdana" w:hAnsi="Verdana"/>
          <w:b w:val="0"/>
          <w:snapToGrid w:val="0"/>
          <w:spacing w:val="-2"/>
          <w:sz w:val="20"/>
          <w:szCs w:val="20"/>
          <w:lang w:eastAsia="es-ES"/>
        </w:rPr>
        <w:lastRenderedPageBreak/>
        <w:t xml:space="preserve">B.1. </w:t>
      </w:r>
      <w:r w:rsidR="00A47E86" w:rsidRPr="005C1789">
        <w:rPr>
          <w:rFonts w:ascii="Verdana" w:hAnsi="Verdana"/>
          <w:b w:val="0"/>
          <w:snapToGrid w:val="0"/>
          <w:spacing w:val="-2"/>
          <w:sz w:val="20"/>
          <w:szCs w:val="20"/>
          <w:lang w:eastAsia="es-ES"/>
        </w:rPr>
        <w:t>Consideraciones generales sobre la libertad personal</w:t>
      </w:r>
      <w:r w:rsidR="006E7C62" w:rsidRPr="005C1789">
        <w:rPr>
          <w:rFonts w:ascii="Verdana" w:hAnsi="Verdana"/>
          <w:b w:val="0"/>
          <w:snapToGrid w:val="0"/>
          <w:spacing w:val="-2"/>
          <w:sz w:val="20"/>
          <w:szCs w:val="20"/>
          <w:lang w:eastAsia="es-ES"/>
        </w:rPr>
        <w:t xml:space="preserve"> y</w:t>
      </w:r>
      <w:r w:rsidR="00A47E86" w:rsidRPr="005C1789">
        <w:rPr>
          <w:rFonts w:ascii="Verdana" w:hAnsi="Verdana"/>
          <w:b w:val="0"/>
          <w:snapToGrid w:val="0"/>
          <w:spacing w:val="-2"/>
          <w:sz w:val="20"/>
          <w:szCs w:val="20"/>
          <w:lang w:eastAsia="es-ES"/>
        </w:rPr>
        <w:t xml:space="preserve"> el derecho a la presunción de inocencia en el marco de la investigación y del proceso penal</w:t>
      </w:r>
      <w:bookmarkEnd w:id="91"/>
    </w:p>
    <w:p w14:paraId="243CD540" w14:textId="6FCA4682" w:rsidR="00A110E7" w:rsidRPr="005C1789" w:rsidRDefault="00A110E7" w:rsidP="00955888">
      <w:pPr>
        <w:numPr>
          <w:ilvl w:val="0"/>
          <w:numId w:val="2"/>
        </w:numPr>
        <w:spacing w:before="120" w:after="120"/>
        <w:ind w:left="0" w:firstLine="0"/>
        <w:jc w:val="both"/>
        <w:rPr>
          <w:rFonts w:ascii="Verdana" w:eastAsia="Cambria" w:hAnsi="Verdana" w:cs="Cambria"/>
          <w:i/>
          <w:iCs/>
          <w:sz w:val="20"/>
          <w:szCs w:val="20"/>
          <w:lang w:val="es-ES_tradnl"/>
        </w:rPr>
      </w:pPr>
      <w:r w:rsidRPr="005C1789">
        <w:rPr>
          <w:rFonts w:ascii="Verdana" w:eastAsia="Cambria" w:hAnsi="Verdana" w:cs="Cambria"/>
          <w:sz w:val="20"/>
          <w:szCs w:val="20"/>
          <w:lang w:val="es-ES"/>
        </w:rPr>
        <w:t xml:space="preserve">De forma preliminar, corresponde recordar que los Estados tienen la obligación de garantizar la seguridad y mantener el orden público dentro de su territorio, y que, en esa medida, deben emplear </w:t>
      </w:r>
      <w:r w:rsidR="007D21ED" w:rsidRPr="005C1789">
        <w:rPr>
          <w:rFonts w:ascii="Verdana" w:eastAsia="Cambria" w:hAnsi="Verdana" w:cs="Cambria"/>
          <w:sz w:val="20"/>
          <w:szCs w:val="20"/>
          <w:lang w:val="es-ES"/>
        </w:rPr>
        <w:t>los medios necesarios para enfrentar la delincuencia y criminalidad organizada incluyendo medidas que impliquen restricciones o incluso privaciones a la libertad personal</w:t>
      </w:r>
      <w:r w:rsidRPr="005C1789">
        <w:rPr>
          <w:rFonts w:ascii="Verdana" w:eastAsia="Cambria" w:hAnsi="Verdana" w:cs="Cambria"/>
          <w:sz w:val="20"/>
          <w:szCs w:val="20"/>
          <w:lang w:val="es-ES"/>
        </w:rPr>
        <w:t>. Sin perjuicio de lo anterior, el poder del Estado no es ilimitado para alcanzar sus fines</w:t>
      </w:r>
      <w:r w:rsidR="00893532" w:rsidRPr="005C1789">
        <w:rPr>
          <w:rFonts w:ascii="Verdana" w:eastAsia="Cambria" w:hAnsi="Verdana" w:cs="Cambria"/>
          <w:sz w:val="20"/>
          <w:szCs w:val="20"/>
          <w:lang w:val="es-ES"/>
        </w:rPr>
        <w:t>,</w:t>
      </w:r>
      <w:r w:rsidRPr="005C1789">
        <w:rPr>
          <w:rFonts w:ascii="Verdana" w:eastAsia="Cambria" w:hAnsi="Verdana" w:cs="Cambria"/>
          <w:sz w:val="20"/>
          <w:szCs w:val="20"/>
          <w:lang w:val="es-ES"/>
        </w:rPr>
        <w:t xml:space="preserve"> independientemente de la gravedad de ciertas acciones y de la culpabilidad de sus presuntos autores. En particular, las autoridades no pueden vulnerar los derechos </w:t>
      </w:r>
      <w:r w:rsidRPr="005C1789">
        <w:rPr>
          <w:rFonts w:ascii="Verdana" w:hAnsi="Verdana"/>
          <w:sz w:val="20"/>
          <w:szCs w:val="20"/>
        </w:rPr>
        <w:t>reconocidos</w:t>
      </w:r>
      <w:r w:rsidRPr="005C1789">
        <w:rPr>
          <w:rFonts w:ascii="Verdana" w:eastAsia="Cambria" w:hAnsi="Verdana" w:cs="Cambria"/>
          <w:sz w:val="20"/>
          <w:szCs w:val="20"/>
          <w:lang w:val="es-ES"/>
        </w:rPr>
        <w:t xml:space="preserve"> en la Convención Americana tales </w:t>
      </w:r>
      <w:r w:rsidR="009B3074" w:rsidRPr="005C1789">
        <w:rPr>
          <w:rFonts w:ascii="Verdana" w:eastAsia="Cambria" w:hAnsi="Verdana" w:cs="Cambria"/>
          <w:sz w:val="20"/>
          <w:szCs w:val="20"/>
          <w:lang w:val="es-ES"/>
        </w:rPr>
        <w:t xml:space="preserve">como </w:t>
      </w:r>
      <w:r w:rsidRPr="005C1789">
        <w:rPr>
          <w:rFonts w:ascii="Verdana" w:eastAsia="Cambria" w:hAnsi="Verdana" w:cs="Cambria"/>
          <w:sz w:val="20"/>
          <w:szCs w:val="20"/>
          <w:lang w:val="es-ES"/>
        </w:rPr>
        <w:t>l</w:t>
      </w:r>
      <w:r w:rsidR="009B3074" w:rsidRPr="005C1789">
        <w:rPr>
          <w:rFonts w:ascii="Verdana" w:eastAsia="Cambria" w:hAnsi="Verdana" w:cs="Cambria"/>
          <w:sz w:val="20"/>
          <w:szCs w:val="20"/>
          <w:lang w:val="es-ES"/>
        </w:rPr>
        <w:t>os</w:t>
      </w:r>
      <w:r w:rsidRPr="005C1789">
        <w:rPr>
          <w:rFonts w:ascii="Verdana" w:eastAsia="Cambria" w:hAnsi="Verdana" w:cs="Cambria"/>
          <w:sz w:val="20"/>
          <w:szCs w:val="20"/>
          <w:lang w:val="es-ES"/>
        </w:rPr>
        <w:t xml:space="preserve"> derecho</w:t>
      </w:r>
      <w:r w:rsidR="009B3074" w:rsidRPr="005C1789">
        <w:rPr>
          <w:rFonts w:ascii="Verdana" w:eastAsia="Cambria" w:hAnsi="Verdana" w:cs="Cambria"/>
          <w:sz w:val="20"/>
          <w:szCs w:val="20"/>
          <w:lang w:val="es-ES"/>
        </w:rPr>
        <w:t>s</w:t>
      </w:r>
      <w:r w:rsidRPr="005C1789">
        <w:rPr>
          <w:rFonts w:ascii="Verdana" w:eastAsia="Cambria" w:hAnsi="Verdana" w:cs="Cambria"/>
          <w:sz w:val="20"/>
          <w:szCs w:val="20"/>
          <w:lang w:val="es-ES"/>
        </w:rPr>
        <w:t xml:space="preserve"> a la presunción de inocencia, </w:t>
      </w:r>
      <w:r w:rsidR="009B3074" w:rsidRPr="005C1789">
        <w:rPr>
          <w:rFonts w:ascii="Verdana" w:eastAsia="Cambria" w:hAnsi="Verdana" w:cs="Cambria"/>
          <w:sz w:val="20"/>
          <w:szCs w:val="20"/>
          <w:lang w:val="es-ES"/>
        </w:rPr>
        <w:t xml:space="preserve">a la libertad personal, al debido proceso </w:t>
      </w:r>
      <w:r w:rsidRPr="005C1789">
        <w:rPr>
          <w:rFonts w:ascii="Verdana" w:eastAsia="Cambria" w:hAnsi="Verdana" w:cs="Cambria"/>
          <w:sz w:val="20"/>
          <w:szCs w:val="20"/>
          <w:lang w:val="es-ES"/>
        </w:rPr>
        <w:t>y no puede</w:t>
      </w:r>
      <w:r w:rsidR="009B3074" w:rsidRPr="005C1789">
        <w:rPr>
          <w:rFonts w:ascii="Verdana" w:eastAsia="Cambria" w:hAnsi="Verdana" w:cs="Cambria"/>
          <w:sz w:val="20"/>
          <w:szCs w:val="20"/>
          <w:lang w:val="es-ES"/>
        </w:rPr>
        <w:t>n</w:t>
      </w:r>
      <w:r w:rsidRPr="005C1789">
        <w:rPr>
          <w:rFonts w:ascii="Verdana" w:eastAsia="Cambria" w:hAnsi="Verdana" w:cs="Cambria"/>
          <w:sz w:val="20"/>
          <w:szCs w:val="20"/>
          <w:lang w:val="es-ES"/>
        </w:rPr>
        <w:t xml:space="preserve"> llevar a cabo detenciones ilegales o arbitrarias, entre otros</w:t>
      </w:r>
      <w:r w:rsidRPr="005C1789">
        <w:rPr>
          <w:rStyle w:val="Refdenotaalpie"/>
          <w:rFonts w:ascii="Verdana" w:hAnsi="Verdana"/>
          <w:sz w:val="20"/>
        </w:rPr>
        <w:footnoteReference w:id="67"/>
      </w:r>
      <w:r w:rsidRPr="005C1789">
        <w:rPr>
          <w:rFonts w:ascii="Verdana" w:eastAsia="Cambria" w:hAnsi="Verdana" w:cs="Cambria"/>
          <w:sz w:val="20"/>
          <w:szCs w:val="20"/>
          <w:lang w:val="es-ES"/>
        </w:rPr>
        <w:t>.</w:t>
      </w:r>
    </w:p>
    <w:p w14:paraId="23E33489" w14:textId="1E51AB36"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Sobre la arbitrariedad referida en el artículo 7.3 de la Convención Americana, la Corte ha </w:t>
      </w:r>
      <w:r w:rsidR="007146FA" w:rsidRPr="005C1789">
        <w:rPr>
          <w:rFonts w:ascii="Verdana" w:hAnsi="Verdana"/>
          <w:sz w:val="20"/>
          <w:szCs w:val="20"/>
        </w:rPr>
        <w:t xml:space="preserve">determinado </w:t>
      </w:r>
      <w:r w:rsidRPr="005C1789">
        <w:rPr>
          <w:rFonts w:ascii="Verdana" w:hAnsi="Verdana"/>
          <w:sz w:val="20"/>
          <w:szCs w:val="20"/>
        </w:rPr>
        <w:t>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5C1789">
        <w:rPr>
          <w:rStyle w:val="Refdenotaalpie"/>
          <w:rFonts w:ascii="Verdana" w:hAnsi="Verdana"/>
          <w:sz w:val="20"/>
        </w:rPr>
        <w:footnoteReference w:id="68"/>
      </w:r>
      <w:r w:rsidRPr="005C1789">
        <w:rPr>
          <w:rFonts w:ascii="Verdana" w:hAnsi="Verdana"/>
          <w:sz w:val="20"/>
          <w:szCs w:val="20"/>
        </w:rPr>
        <w:t xml:space="preserve">. </w:t>
      </w:r>
      <w:r w:rsidR="009068F5" w:rsidRPr="005C1789">
        <w:rPr>
          <w:rFonts w:ascii="Verdana" w:hAnsi="Verdana"/>
          <w:sz w:val="20"/>
          <w:szCs w:val="20"/>
        </w:rPr>
        <w:t>S</w:t>
      </w:r>
      <w:r w:rsidRPr="005C1789">
        <w:rPr>
          <w:rFonts w:ascii="Verdana" w:hAnsi="Verdana"/>
          <w:sz w:val="20"/>
          <w:szCs w:val="20"/>
        </w:rPr>
        <w:t>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5C1789">
        <w:rPr>
          <w:rStyle w:val="Refdenotaalpie"/>
          <w:rFonts w:ascii="Verdana" w:hAnsi="Verdana"/>
          <w:sz w:val="20"/>
        </w:rPr>
        <w:footnoteReference w:id="69"/>
      </w:r>
      <w:r w:rsidRPr="005C1789">
        <w:rPr>
          <w:rFonts w:ascii="Verdana" w:hAnsi="Verdana"/>
          <w:sz w:val="20"/>
          <w:szCs w:val="20"/>
        </w:rPr>
        <w:t xml:space="preserve">. </w:t>
      </w:r>
      <w:r w:rsidR="006112D9" w:rsidRPr="005C1789">
        <w:rPr>
          <w:rFonts w:ascii="Verdana" w:hAnsi="Verdana"/>
          <w:sz w:val="20"/>
          <w:szCs w:val="20"/>
        </w:rPr>
        <w:t>Por otra parte, el artículo 8.2 se refiere al derecho a la presunción de inocencia.</w:t>
      </w:r>
    </w:p>
    <w:p w14:paraId="5E631ECB" w14:textId="2DEEDABC"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La Corte ha considerado que</w:t>
      </w:r>
      <w:r w:rsidR="00E90A66" w:rsidRPr="005C1789">
        <w:rPr>
          <w:rFonts w:ascii="Verdana" w:hAnsi="Verdana"/>
          <w:sz w:val="20"/>
          <w:szCs w:val="20"/>
        </w:rPr>
        <w:t>,</w:t>
      </w:r>
      <w:r w:rsidRPr="005C1789">
        <w:rPr>
          <w:rFonts w:ascii="Verdana" w:hAnsi="Verdana"/>
          <w:sz w:val="20"/>
          <w:szCs w:val="20"/>
        </w:rPr>
        <w:t xml:space="preserve"> para que una medida cautelar restrictiva de la libertad no sea arbitraria </w:t>
      </w:r>
      <w:r w:rsidR="006112D9" w:rsidRPr="005C1789">
        <w:rPr>
          <w:rFonts w:ascii="Verdana" w:hAnsi="Verdana"/>
          <w:sz w:val="20"/>
          <w:szCs w:val="20"/>
        </w:rPr>
        <w:t xml:space="preserve">y no se vea afectado el </w:t>
      </w:r>
      <w:r w:rsidR="00364399" w:rsidRPr="005C1789">
        <w:rPr>
          <w:rFonts w:ascii="Verdana" w:hAnsi="Verdana"/>
          <w:sz w:val="20"/>
          <w:szCs w:val="20"/>
        </w:rPr>
        <w:t xml:space="preserve">derecho </w:t>
      </w:r>
      <w:r w:rsidR="00D708DF" w:rsidRPr="005C1789">
        <w:rPr>
          <w:rFonts w:ascii="Verdana" w:hAnsi="Verdana"/>
          <w:sz w:val="20"/>
          <w:szCs w:val="20"/>
        </w:rPr>
        <w:t>a la</w:t>
      </w:r>
      <w:r w:rsidR="00364399" w:rsidRPr="005C1789">
        <w:rPr>
          <w:rFonts w:ascii="Verdana" w:hAnsi="Verdana"/>
          <w:sz w:val="20"/>
          <w:szCs w:val="20"/>
        </w:rPr>
        <w:t xml:space="preserve"> </w:t>
      </w:r>
      <w:r w:rsidR="006112D9" w:rsidRPr="005C1789">
        <w:rPr>
          <w:rFonts w:ascii="Verdana" w:hAnsi="Verdana"/>
          <w:sz w:val="20"/>
          <w:szCs w:val="20"/>
        </w:rPr>
        <w:t xml:space="preserve">presunción de inocencia, </w:t>
      </w:r>
      <w:r w:rsidRPr="005C1789">
        <w:rPr>
          <w:rFonts w:ascii="Verdana" w:hAnsi="Verdana"/>
          <w:sz w:val="20"/>
          <w:szCs w:val="20"/>
        </w:rPr>
        <w:t xml:space="preserve">es </w:t>
      </w:r>
      <w:r w:rsidR="006112D9" w:rsidRPr="005C1789">
        <w:rPr>
          <w:rFonts w:ascii="Verdana" w:hAnsi="Verdana"/>
          <w:sz w:val="20"/>
          <w:szCs w:val="20"/>
        </w:rPr>
        <w:t xml:space="preserve">necesario </w:t>
      </w:r>
      <w:r w:rsidRPr="005C1789">
        <w:rPr>
          <w:rFonts w:ascii="Verdana" w:hAnsi="Verdana"/>
          <w:sz w:val="20"/>
          <w:szCs w:val="20"/>
        </w:rPr>
        <w:t xml:space="preserve">que: </w:t>
      </w:r>
      <w:r w:rsidR="00AA6411">
        <w:rPr>
          <w:rFonts w:ascii="Verdana" w:hAnsi="Verdana"/>
          <w:sz w:val="20"/>
          <w:szCs w:val="20"/>
        </w:rPr>
        <w:t>a)</w:t>
      </w:r>
      <w:r w:rsidRPr="005C1789">
        <w:rPr>
          <w:rFonts w:ascii="Verdana" w:hAnsi="Verdana"/>
          <w:sz w:val="20"/>
          <w:szCs w:val="20"/>
        </w:rPr>
        <w:t xml:space="preserve"> se presenten presupuestos materiales relacionados con la existencia de un hecho ilícito y con la vinculación de la persona procesada a ese hecho; </w:t>
      </w:r>
      <w:r w:rsidR="00AA6411">
        <w:rPr>
          <w:rFonts w:ascii="Verdana" w:hAnsi="Verdana"/>
          <w:sz w:val="20"/>
          <w:szCs w:val="20"/>
        </w:rPr>
        <w:t>b)</w:t>
      </w:r>
      <w:r w:rsidRPr="005C1789">
        <w:rPr>
          <w:rFonts w:ascii="Verdana" w:hAnsi="Verdana"/>
          <w:sz w:val="20"/>
          <w:szCs w:val="20"/>
        </w:rPr>
        <w:t xml:space="preserve"> esas medidas cumplan con los cuatro elementos del “test de proporcionalidad”, es decir con la finalidad de la medida que debe ser legítima (compatible con la Convención Americana)</w:t>
      </w:r>
      <w:r w:rsidRPr="005C1789">
        <w:rPr>
          <w:rStyle w:val="Refdenotaalpie"/>
          <w:rFonts w:ascii="Verdana" w:hAnsi="Verdana"/>
          <w:sz w:val="20"/>
        </w:rPr>
        <w:footnoteReference w:id="70"/>
      </w:r>
      <w:r w:rsidRPr="005C1789">
        <w:rPr>
          <w:rFonts w:ascii="Verdana" w:hAnsi="Verdana"/>
          <w:sz w:val="20"/>
          <w:szCs w:val="20"/>
        </w:rPr>
        <w:t>, idónea para cumplir con el fin que se persigue, necesaria y estrictamente proporcional</w:t>
      </w:r>
      <w:r w:rsidRPr="005C1789">
        <w:rPr>
          <w:rStyle w:val="Refdenotaalpie"/>
          <w:rFonts w:ascii="Verdana" w:hAnsi="Verdana"/>
          <w:sz w:val="20"/>
        </w:rPr>
        <w:footnoteReference w:id="71"/>
      </w:r>
      <w:r w:rsidRPr="005C1789">
        <w:rPr>
          <w:rFonts w:ascii="Verdana" w:hAnsi="Verdana"/>
          <w:sz w:val="20"/>
          <w:szCs w:val="20"/>
        </w:rPr>
        <w:t xml:space="preserve">, y </w:t>
      </w:r>
      <w:r w:rsidR="00AA6411">
        <w:rPr>
          <w:rFonts w:ascii="Verdana" w:hAnsi="Verdana"/>
          <w:sz w:val="20"/>
          <w:szCs w:val="20"/>
        </w:rPr>
        <w:t>c)</w:t>
      </w:r>
      <w:r w:rsidRPr="005C1789">
        <w:rPr>
          <w:rFonts w:ascii="Verdana" w:hAnsi="Verdana"/>
          <w:sz w:val="20"/>
          <w:szCs w:val="20"/>
        </w:rPr>
        <w:t xml:space="preserve"> la decisión que las impone contenga una motivación suficiente que permita evaluar si se ajusta a las condiciones señaladas</w:t>
      </w:r>
      <w:r w:rsidRPr="005C1789">
        <w:rPr>
          <w:rStyle w:val="Refdenotaalpie"/>
          <w:rFonts w:ascii="Verdana" w:hAnsi="Verdana"/>
          <w:sz w:val="20"/>
        </w:rPr>
        <w:footnoteReference w:id="72"/>
      </w:r>
      <w:r w:rsidRPr="005C1789">
        <w:rPr>
          <w:rFonts w:ascii="Verdana" w:hAnsi="Verdana"/>
          <w:sz w:val="20"/>
          <w:szCs w:val="20"/>
        </w:rPr>
        <w:t xml:space="preserve">. </w:t>
      </w:r>
    </w:p>
    <w:p w14:paraId="303EAE2E" w14:textId="35C55067" w:rsidR="00641205" w:rsidRPr="005C1789" w:rsidRDefault="00641205" w:rsidP="00955888">
      <w:pPr>
        <w:numPr>
          <w:ilvl w:val="0"/>
          <w:numId w:val="2"/>
        </w:numPr>
        <w:spacing w:before="120" w:after="120"/>
        <w:ind w:left="0" w:firstLine="0"/>
        <w:jc w:val="both"/>
        <w:rPr>
          <w:rFonts w:ascii="Verdana" w:hAnsi="Verdana"/>
          <w:sz w:val="20"/>
          <w:szCs w:val="20"/>
          <w:lang w:val="es-CO" w:eastAsia="es-ES"/>
        </w:rPr>
      </w:pPr>
      <w:r w:rsidRPr="005C1789">
        <w:rPr>
          <w:rFonts w:ascii="Verdana" w:hAnsi="Verdana"/>
          <w:sz w:val="20"/>
          <w:lang w:val="es-ES_tradnl"/>
        </w:rPr>
        <w:t>Con respecto a lo anterior, cabe recordar que estas consideraciones</w:t>
      </w:r>
      <w:r w:rsidR="00A51254" w:rsidRPr="005C1789">
        <w:rPr>
          <w:rFonts w:ascii="Verdana" w:hAnsi="Verdana"/>
          <w:sz w:val="20"/>
          <w:lang w:val="es-ES_tradnl"/>
        </w:rPr>
        <w:t>,</w:t>
      </w:r>
      <w:r w:rsidRPr="005C1789">
        <w:rPr>
          <w:rFonts w:ascii="Verdana" w:hAnsi="Verdana"/>
          <w:sz w:val="20"/>
          <w:lang w:val="es-ES_tradnl"/>
        </w:rPr>
        <w:t xml:space="preserve"> en torno a los elementos que deben tomar en cuenta las autoridades a la hora de restringir la libertad personal de una persona </w:t>
      </w:r>
      <w:r w:rsidR="007C338C" w:rsidRPr="005C1789">
        <w:rPr>
          <w:rFonts w:ascii="Verdana" w:hAnsi="Verdana"/>
          <w:sz w:val="20"/>
          <w:lang w:val="es-ES_tradnl"/>
        </w:rPr>
        <w:t xml:space="preserve">investigada </w:t>
      </w:r>
      <w:r w:rsidRPr="005C1789">
        <w:rPr>
          <w:rFonts w:ascii="Verdana" w:hAnsi="Verdana"/>
          <w:sz w:val="20"/>
          <w:lang w:val="es-ES_tradnl"/>
        </w:rPr>
        <w:t xml:space="preserve">por un delito, deben estar contempladas en los ordenamientos jurídicos de los Estados, </w:t>
      </w:r>
      <w:r w:rsidR="007E2B61" w:rsidRPr="005C1789">
        <w:rPr>
          <w:rFonts w:ascii="Verdana" w:hAnsi="Verdana"/>
          <w:sz w:val="20"/>
          <w:lang w:val="es-ES_tradnl"/>
        </w:rPr>
        <w:t>y deben también ser aplicad</w:t>
      </w:r>
      <w:r w:rsidR="006657FB" w:rsidRPr="005C1789">
        <w:rPr>
          <w:rFonts w:ascii="Verdana" w:hAnsi="Verdana"/>
          <w:sz w:val="20"/>
          <w:lang w:val="es-ES_tradnl"/>
        </w:rPr>
        <w:t>as</w:t>
      </w:r>
      <w:r w:rsidR="007E2B61" w:rsidRPr="005C1789">
        <w:rPr>
          <w:rFonts w:ascii="Verdana" w:hAnsi="Verdana"/>
          <w:sz w:val="20"/>
          <w:lang w:val="es-ES_tradnl"/>
        </w:rPr>
        <w:t xml:space="preserve"> de manera efectiva y de buena fe por parte de los operadores de la justicia.</w:t>
      </w:r>
      <w:r w:rsidR="00023E34" w:rsidRPr="005C1789">
        <w:rPr>
          <w:rFonts w:ascii="Verdana" w:hAnsi="Verdana"/>
          <w:sz w:val="20"/>
          <w:lang w:val="es-ES_tradnl"/>
        </w:rPr>
        <w:t xml:space="preserve"> </w:t>
      </w:r>
    </w:p>
    <w:p w14:paraId="3CC8E75A" w14:textId="5AC49CB5" w:rsidR="00641205" w:rsidRPr="005C1789" w:rsidRDefault="007E2B61"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A continuación, se detallan cada uno de los elementos que fueron enunciados </w:t>
      </w:r>
      <w:r w:rsidRPr="005C1789">
        <w:rPr>
          <w:rFonts w:ascii="Verdana" w:hAnsi="Verdana"/>
          <w:i/>
          <w:iCs/>
          <w:sz w:val="20"/>
          <w:szCs w:val="20"/>
        </w:rPr>
        <w:t>supra</w:t>
      </w:r>
      <w:r w:rsidRPr="005C1789">
        <w:rPr>
          <w:rFonts w:ascii="Verdana" w:hAnsi="Verdana"/>
          <w:sz w:val="20"/>
          <w:szCs w:val="20"/>
        </w:rPr>
        <w:t>.</w:t>
      </w:r>
    </w:p>
    <w:p w14:paraId="1BA14656" w14:textId="6DAA3F1B" w:rsidR="00A47E86" w:rsidRPr="005C1789" w:rsidRDefault="00A47E86" w:rsidP="00955888">
      <w:pPr>
        <w:numPr>
          <w:ilvl w:val="0"/>
          <w:numId w:val="38"/>
        </w:numPr>
        <w:spacing w:before="240" w:after="240"/>
        <w:jc w:val="both"/>
        <w:outlineLvl w:val="3"/>
        <w:rPr>
          <w:rFonts w:ascii="Verdana" w:hAnsi="Verdana"/>
          <w:i/>
          <w:sz w:val="20"/>
          <w:szCs w:val="20"/>
        </w:rPr>
      </w:pPr>
      <w:bookmarkStart w:id="92" w:name="_Toc123347532"/>
      <w:r w:rsidRPr="005C1789">
        <w:rPr>
          <w:rFonts w:ascii="Verdana" w:hAnsi="Verdana"/>
          <w:i/>
          <w:sz w:val="20"/>
          <w:szCs w:val="20"/>
        </w:rPr>
        <w:lastRenderedPageBreak/>
        <w:t>Presupuestos materiales relacionados con la existencia del hecho ilícito y la vinculación de la persona procesada</w:t>
      </w:r>
      <w:bookmarkEnd w:id="92"/>
    </w:p>
    <w:p w14:paraId="15141CFF" w14:textId="572F35A6"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Respecto del primer punto, </w:t>
      </w:r>
      <w:r w:rsidRPr="005C1789">
        <w:rPr>
          <w:rFonts w:ascii="Verdana" w:hAnsi="Verdana"/>
          <w:sz w:val="20"/>
          <w:szCs w:val="20"/>
          <w:lang w:val="es-ES"/>
        </w:rPr>
        <w:t xml:space="preserve">la Corte ha indicado que </w:t>
      </w:r>
      <w:r w:rsidRPr="005C1789">
        <w:rPr>
          <w:rFonts w:ascii="Verdana" w:hAnsi="Verdana"/>
          <w:sz w:val="20"/>
          <w:szCs w:val="20"/>
        </w:rPr>
        <w:t>para que se cumplan los requisitos para restringir el derecho a la libertad personal</w:t>
      </w:r>
      <w:r w:rsidRPr="005C1789">
        <w:rPr>
          <w:rFonts w:ascii="Verdana" w:hAnsi="Verdana"/>
          <w:sz w:val="20"/>
          <w:szCs w:val="20"/>
          <w:lang w:val="es-ES"/>
        </w:rPr>
        <w:t xml:space="preserve"> a través de una medida cautelar como la prisión preventiva, deben existir </w:t>
      </w:r>
      <w:r w:rsidRPr="005C1789">
        <w:rPr>
          <w:rFonts w:ascii="Verdana" w:hAnsi="Verdana"/>
          <w:sz w:val="20"/>
          <w:szCs w:val="20"/>
        </w:rPr>
        <w:t>indicios suficientes que permitan suponer razonablemente que un hecho ilícito ocurrió y que la persona sometida al proceso pudo haber participado en ese ilícito</w:t>
      </w:r>
      <w:r w:rsidRPr="005C1789">
        <w:rPr>
          <w:rStyle w:val="Refdenotaalpie"/>
          <w:rFonts w:ascii="Verdana" w:hAnsi="Verdana"/>
          <w:sz w:val="20"/>
        </w:rPr>
        <w:footnoteReference w:id="73"/>
      </w:r>
      <w:r w:rsidRPr="005C1789">
        <w:rPr>
          <w:rFonts w:ascii="Verdana" w:hAnsi="Verdana"/>
          <w:sz w:val="20"/>
          <w:szCs w:val="20"/>
        </w:rPr>
        <w:t>.</w:t>
      </w:r>
    </w:p>
    <w:p w14:paraId="3FA92E9D" w14:textId="4D16CB2B"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este punto, es necesario enfatizar que este presupuesto no </w:t>
      </w:r>
      <w:r w:rsidRPr="005C1789">
        <w:rPr>
          <w:rFonts w:ascii="Verdana" w:hAnsi="Verdana"/>
          <w:sz w:val="20"/>
          <w:szCs w:val="20"/>
          <w:lang w:val="es-ES"/>
        </w:rPr>
        <w:t>constituye</w:t>
      </w:r>
      <w:r w:rsidRPr="005C1789">
        <w:rPr>
          <w:rFonts w:ascii="Verdana" w:hAnsi="Verdana"/>
          <w:sz w:val="20"/>
          <w:szCs w:val="20"/>
        </w:rPr>
        <w:t xml:space="preserve"> en sí mismo una finalidad legítima para aplicar una medida cautelar restrictiva a la libertad, ni tampoco es un elemento que sea susceptible de menoscabar el </w:t>
      </w:r>
      <w:r w:rsidR="00D807DF" w:rsidRPr="005C1789">
        <w:rPr>
          <w:rFonts w:ascii="Verdana" w:hAnsi="Verdana"/>
          <w:sz w:val="20"/>
          <w:szCs w:val="20"/>
        </w:rPr>
        <w:t xml:space="preserve">derecho </w:t>
      </w:r>
      <w:r w:rsidR="00D708DF" w:rsidRPr="005C1789">
        <w:rPr>
          <w:rFonts w:ascii="Verdana" w:hAnsi="Verdana"/>
          <w:sz w:val="20"/>
          <w:szCs w:val="20"/>
        </w:rPr>
        <w:t>a la</w:t>
      </w:r>
      <w:r w:rsidRPr="005C1789">
        <w:rPr>
          <w:rFonts w:ascii="Verdana" w:hAnsi="Verdana"/>
          <w:sz w:val="20"/>
          <w:szCs w:val="20"/>
        </w:rPr>
        <w:t xml:space="preserve"> presunción de inocencia contenido en el artículo 8.2 de la Convención. Por el contrario, </w:t>
      </w:r>
      <w:r w:rsidR="003E7287" w:rsidRPr="005C1789">
        <w:rPr>
          <w:rFonts w:ascii="Verdana" w:hAnsi="Verdana"/>
          <w:sz w:val="20"/>
          <w:szCs w:val="20"/>
        </w:rPr>
        <w:t>en</w:t>
      </w:r>
      <w:r w:rsidRPr="005C1789">
        <w:rPr>
          <w:rFonts w:ascii="Verdana" w:hAnsi="Verdana"/>
          <w:sz w:val="20"/>
          <w:szCs w:val="20"/>
        </w:rPr>
        <w:t xml:space="preserve"> el derecho </w:t>
      </w:r>
      <w:r w:rsidR="009B3074" w:rsidRPr="005C1789">
        <w:rPr>
          <w:rFonts w:ascii="Verdana" w:hAnsi="Verdana"/>
          <w:sz w:val="20"/>
          <w:szCs w:val="20"/>
        </w:rPr>
        <w:t xml:space="preserve">interno </w:t>
      </w:r>
      <w:r w:rsidRPr="005C1789">
        <w:rPr>
          <w:rFonts w:ascii="Verdana" w:hAnsi="Verdana"/>
          <w:sz w:val="20"/>
          <w:szCs w:val="20"/>
        </w:rPr>
        <w:t xml:space="preserve">de varios países de la región, así como </w:t>
      </w:r>
      <w:r w:rsidR="00561A5C" w:rsidRPr="005C1789">
        <w:rPr>
          <w:rFonts w:ascii="Verdana" w:hAnsi="Verdana"/>
          <w:sz w:val="20"/>
          <w:szCs w:val="20"/>
        </w:rPr>
        <w:t xml:space="preserve">en </w:t>
      </w:r>
      <w:r w:rsidRPr="005C1789">
        <w:rPr>
          <w:rFonts w:ascii="Verdana" w:hAnsi="Verdana"/>
          <w:sz w:val="20"/>
          <w:szCs w:val="20"/>
        </w:rPr>
        <w:t xml:space="preserve">la práctica de </w:t>
      </w:r>
      <w:r w:rsidR="00EC1B7A" w:rsidRPr="005C1789">
        <w:rPr>
          <w:rFonts w:ascii="Verdana" w:hAnsi="Verdana"/>
          <w:sz w:val="20"/>
          <w:szCs w:val="20"/>
        </w:rPr>
        <w:t xml:space="preserve">tribunales </w:t>
      </w:r>
      <w:r w:rsidRPr="005C1789">
        <w:rPr>
          <w:rFonts w:ascii="Verdana" w:hAnsi="Verdana"/>
          <w:sz w:val="20"/>
          <w:szCs w:val="20"/>
        </w:rPr>
        <w:t xml:space="preserve">internacionales, se trata de un </w:t>
      </w:r>
      <w:r w:rsidR="00D41162" w:rsidRPr="005C1789">
        <w:rPr>
          <w:rFonts w:ascii="Verdana" w:hAnsi="Verdana"/>
          <w:sz w:val="20"/>
          <w:szCs w:val="20"/>
        </w:rPr>
        <w:t>pre</w:t>
      </w:r>
      <w:r w:rsidRPr="005C1789">
        <w:rPr>
          <w:rFonts w:ascii="Verdana" w:hAnsi="Verdana"/>
          <w:sz w:val="20"/>
          <w:szCs w:val="20"/>
        </w:rPr>
        <w:t xml:space="preserve">supuesto </w:t>
      </w:r>
      <w:r w:rsidR="00D41162" w:rsidRPr="005C1789">
        <w:rPr>
          <w:rFonts w:ascii="Verdana" w:hAnsi="Verdana"/>
          <w:sz w:val="20"/>
          <w:szCs w:val="20"/>
        </w:rPr>
        <w:t>fundamental que debe estar presente</w:t>
      </w:r>
      <w:r w:rsidR="00E17D45" w:rsidRPr="005C1789">
        <w:rPr>
          <w:rFonts w:ascii="Verdana" w:hAnsi="Verdana"/>
          <w:sz w:val="20"/>
          <w:szCs w:val="20"/>
        </w:rPr>
        <w:t xml:space="preserve"> cada vez que se imponen</w:t>
      </w:r>
      <w:r w:rsidR="00D41162" w:rsidRPr="005C1789">
        <w:rPr>
          <w:rFonts w:ascii="Verdana" w:hAnsi="Verdana"/>
          <w:sz w:val="20"/>
          <w:szCs w:val="20"/>
        </w:rPr>
        <w:t xml:space="preserve"> restricciones a la libertad</w:t>
      </w:r>
      <w:r w:rsidR="003E7287" w:rsidRPr="005C1789">
        <w:rPr>
          <w:rFonts w:ascii="Verdana" w:hAnsi="Verdana"/>
          <w:sz w:val="20"/>
          <w:szCs w:val="20"/>
        </w:rPr>
        <w:t xml:space="preserve"> de la persona imputada e</w:t>
      </w:r>
      <w:r w:rsidR="00D41162" w:rsidRPr="005C1789">
        <w:rPr>
          <w:rFonts w:ascii="Verdana" w:hAnsi="Verdana"/>
          <w:sz w:val="20"/>
          <w:szCs w:val="20"/>
        </w:rPr>
        <w:t>n el marco de un proceso penal. A ese presupuesto de base, se suma</w:t>
      </w:r>
      <w:r w:rsidR="003F57CE" w:rsidRPr="005C1789">
        <w:rPr>
          <w:rFonts w:ascii="Verdana" w:hAnsi="Verdana"/>
          <w:sz w:val="20"/>
          <w:szCs w:val="20"/>
        </w:rPr>
        <w:t>n</w:t>
      </w:r>
      <w:r w:rsidRPr="005C1789">
        <w:rPr>
          <w:rFonts w:ascii="Verdana" w:hAnsi="Verdana"/>
          <w:sz w:val="20"/>
          <w:szCs w:val="20"/>
        </w:rPr>
        <w:t xml:space="preserve"> los </w:t>
      </w:r>
      <w:r w:rsidR="00CF6CF3" w:rsidRPr="005C1789">
        <w:rPr>
          <w:rFonts w:ascii="Verdana" w:hAnsi="Verdana"/>
          <w:sz w:val="20"/>
          <w:szCs w:val="20"/>
        </w:rPr>
        <w:t>demás</w:t>
      </w:r>
      <w:r w:rsidRPr="005C1789">
        <w:rPr>
          <w:rFonts w:ascii="Verdana" w:hAnsi="Verdana"/>
          <w:sz w:val="20"/>
          <w:szCs w:val="20"/>
        </w:rPr>
        <w:t xml:space="preserve"> requisitos relacionados con la finalidad legítima, la idoneidad, la necesidad y la proporcionalidad</w:t>
      </w:r>
      <w:r w:rsidR="00D41162" w:rsidRPr="005C1789">
        <w:rPr>
          <w:rFonts w:ascii="Verdana" w:hAnsi="Verdana"/>
          <w:sz w:val="20"/>
          <w:szCs w:val="20"/>
        </w:rPr>
        <w:t>, así como la necesidad de motivación de la decisión</w:t>
      </w:r>
      <w:r w:rsidR="003E7287" w:rsidRPr="005C1789">
        <w:rPr>
          <w:rFonts w:ascii="Verdana" w:hAnsi="Verdana"/>
          <w:sz w:val="20"/>
          <w:szCs w:val="20"/>
        </w:rPr>
        <w:t xml:space="preserve"> judicial que dispone la restricción a la libertad</w:t>
      </w:r>
      <w:r w:rsidRPr="005C1789">
        <w:rPr>
          <w:rStyle w:val="Refdenotaalpie"/>
          <w:rFonts w:ascii="Verdana" w:hAnsi="Verdana"/>
          <w:sz w:val="20"/>
        </w:rPr>
        <w:footnoteReference w:id="74"/>
      </w:r>
      <w:r w:rsidRPr="005C1789">
        <w:rPr>
          <w:rFonts w:ascii="Verdana" w:hAnsi="Verdana"/>
          <w:sz w:val="20"/>
          <w:szCs w:val="20"/>
        </w:rPr>
        <w:t xml:space="preserve">. </w:t>
      </w:r>
    </w:p>
    <w:p w14:paraId="586E1DEB" w14:textId="7CF8FC31"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 anterior debe entenderse teniendo en cuenta que, en principio y en términos generales, esta decisión no debería tener ningún efecto respecto de la responsabilidad del </w:t>
      </w:r>
      <w:r w:rsidR="00C21899" w:rsidRPr="005C1789">
        <w:rPr>
          <w:rFonts w:ascii="Verdana" w:hAnsi="Verdana"/>
          <w:sz w:val="20"/>
          <w:szCs w:val="20"/>
        </w:rPr>
        <w:t>imputado</w:t>
      </w:r>
      <w:r w:rsidRPr="005C1789">
        <w:rPr>
          <w:rFonts w:ascii="Verdana" w:hAnsi="Verdana"/>
          <w:sz w:val="20"/>
          <w:szCs w:val="20"/>
        </w:rPr>
        <w:t xml:space="preserve">, dado que </w:t>
      </w:r>
      <w:r w:rsidR="00725F02" w:rsidRPr="005C1789">
        <w:rPr>
          <w:rFonts w:ascii="Verdana" w:hAnsi="Verdana"/>
          <w:sz w:val="20"/>
          <w:szCs w:val="20"/>
        </w:rPr>
        <w:t>debe</w:t>
      </w:r>
      <w:r w:rsidRPr="005C1789">
        <w:rPr>
          <w:rFonts w:ascii="Verdana" w:hAnsi="Verdana"/>
          <w:sz w:val="20"/>
          <w:szCs w:val="20"/>
        </w:rPr>
        <w:t xml:space="preserve"> ser tomada por un juez o autoridad judicial diferente a la que finalmente toma la </w:t>
      </w:r>
      <w:r w:rsidR="00EB479B" w:rsidRPr="005C1789">
        <w:rPr>
          <w:rFonts w:ascii="Verdana" w:hAnsi="Verdana"/>
          <w:sz w:val="20"/>
          <w:szCs w:val="20"/>
        </w:rPr>
        <w:t xml:space="preserve">determinación </w:t>
      </w:r>
      <w:r w:rsidRPr="005C1789">
        <w:rPr>
          <w:rFonts w:ascii="Verdana" w:hAnsi="Verdana"/>
          <w:sz w:val="20"/>
          <w:szCs w:val="20"/>
        </w:rPr>
        <w:t>sobre el fondo</w:t>
      </w:r>
      <w:r w:rsidRPr="005C1789">
        <w:rPr>
          <w:rStyle w:val="Refdenotaalpie"/>
          <w:rFonts w:ascii="Verdana" w:hAnsi="Verdana"/>
          <w:sz w:val="20"/>
        </w:rPr>
        <w:footnoteReference w:id="75"/>
      </w:r>
      <w:r w:rsidRPr="005C1789">
        <w:rPr>
          <w:rFonts w:ascii="Verdana" w:hAnsi="Verdana"/>
          <w:sz w:val="20"/>
          <w:szCs w:val="20"/>
        </w:rPr>
        <w:t>.</w:t>
      </w:r>
    </w:p>
    <w:p w14:paraId="137E94E5" w14:textId="393B8487"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rPr>
        <w:t>Asimismo, en relación con esos presupuestos, la Corte ha considerado que la sospecha o los indicios suficientes que permitan suponer razonablemente que la persona sometida al proceso pudo haber participado en el ilícito que se investiga, deben estar fundados y expresados con base en hechos específicos, esto es, no en meras conjeturas o intuiciones abstractas. De allí se deduce que el Estado no debe detener para luego investigar</w:t>
      </w:r>
      <w:r w:rsidRPr="005C1789">
        <w:rPr>
          <w:rStyle w:val="Refdenotaalpie"/>
          <w:rFonts w:ascii="Verdana" w:hAnsi="Verdana"/>
          <w:sz w:val="20"/>
          <w:lang w:val="es-ES"/>
        </w:rPr>
        <w:footnoteReference w:id="76"/>
      </w:r>
      <w:r w:rsidR="00530CB6" w:rsidRPr="005C1789">
        <w:rPr>
          <w:rFonts w:ascii="Verdana" w:hAnsi="Verdana"/>
          <w:sz w:val="20"/>
          <w:szCs w:val="20"/>
        </w:rPr>
        <w:t>.</w:t>
      </w:r>
    </w:p>
    <w:p w14:paraId="7A22C478" w14:textId="7E7D140C" w:rsidR="00A47E86" w:rsidRPr="005C1789" w:rsidRDefault="00A47E86" w:rsidP="00955888">
      <w:pPr>
        <w:numPr>
          <w:ilvl w:val="0"/>
          <w:numId w:val="38"/>
        </w:numPr>
        <w:spacing w:before="240" w:after="240"/>
        <w:jc w:val="both"/>
        <w:outlineLvl w:val="3"/>
        <w:rPr>
          <w:rFonts w:ascii="Verdana" w:hAnsi="Verdana"/>
          <w:i/>
          <w:sz w:val="20"/>
          <w:szCs w:val="20"/>
        </w:rPr>
      </w:pPr>
      <w:bookmarkStart w:id="93" w:name="_Toc123347533"/>
      <w:r w:rsidRPr="005C1789">
        <w:rPr>
          <w:rFonts w:ascii="Verdana" w:hAnsi="Verdana"/>
          <w:i/>
          <w:sz w:val="20"/>
          <w:szCs w:val="20"/>
        </w:rPr>
        <w:t>Test de proporcionalidad</w:t>
      </w:r>
      <w:bookmarkEnd w:id="93"/>
      <w:r w:rsidRPr="005C1789">
        <w:rPr>
          <w:rFonts w:ascii="Verdana" w:hAnsi="Verdana"/>
          <w:i/>
          <w:sz w:val="20"/>
          <w:szCs w:val="20"/>
        </w:rPr>
        <w:t xml:space="preserve"> </w:t>
      </w:r>
    </w:p>
    <w:p w14:paraId="22D8210A" w14:textId="46D2EB34"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MX" w:eastAsia="es-ES"/>
        </w:rPr>
        <w:t>Respecto del segundo punto, la Corte ha afirmado que corresponde a la autoridad judicial desarrollar un juicio de proporcionalidad al momento de imponer una medida privativa de libertad. L</w:t>
      </w:r>
      <w:r w:rsidRPr="005C1789">
        <w:rPr>
          <w:rFonts w:ascii="Verdana" w:hAnsi="Verdana"/>
          <w:sz w:val="20"/>
          <w:szCs w:val="20"/>
        </w:rPr>
        <w:t xml:space="preserve">a Corte ha considerado la prisión preventiva como una medida </w:t>
      </w:r>
      <w:r w:rsidRPr="005C1789">
        <w:rPr>
          <w:rFonts w:ascii="Verdana" w:hAnsi="Verdana"/>
          <w:sz w:val="20"/>
          <w:szCs w:val="20"/>
          <w:lang w:val="es-ES"/>
        </w:rPr>
        <w:t>cautelar</w:t>
      </w:r>
      <w:r w:rsidRPr="005C1789">
        <w:rPr>
          <w:rFonts w:ascii="Verdana" w:hAnsi="Verdana"/>
          <w:sz w:val="20"/>
          <w:szCs w:val="20"/>
        </w:rPr>
        <w:t xml:space="preserve"> y no una medida de carácter punitivo</w:t>
      </w:r>
      <w:r w:rsidRPr="005C1789">
        <w:rPr>
          <w:rStyle w:val="Refdenotaalpie"/>
          <w:rFonts w:ascii="Verdana" w:hAnsi="Verdana"/>
          <w:sz w:val="20"/>
        </w:rPr>
        <w:footnoteReference w:id="77"/>
      </w:r>
      <w:r w:rsidRPr="005C1789">
        <w:rPr>
          <w:rFonts w:ascii="Verdana" w:hAnsi="Verdana"/>
          <w:sz w:val="20"/>
          <w:szCs w:val="20"/>
        </w:rPr>
        <w:t xml:space="preserve">, la cual debe aplicarse excepcionalmente al ser la más severa que se puede imponer al procesado </w:t>
      </w:r>
      <w:r w:rsidR="00E27C16" w:rsidRPr="005C1789">
        <w:rPr>
          <w:rFonts w:ascii="Verdana" w:hAnsi="Verdana"/>
          <w:sz w:val="20"/>
          <w:szCs w:val="20"/>
        </w:rPr>
        <w:t>por</w:t>
      </w:r>
      <w:r w:rsidRPr="005C1789">
        <w:rPr>
          <w:rFonts w:ascii="Verdana" w:hAnsi="Verdana"/>
          <w:sz w:val="20"/>
          <w:szCs w:val="20"/>
        </w:rPr>
        <w:t xml:space="preserve"> un delito</w:t>
      </w:r>
      <w:r w:rsidR="00D93A06" w:rsidRPr="005C1789">
        <w:rPr>
          <w:rFonts w:ascii="Verdana" w:hAnsi="Verdana"/>
          <w:sz w:val="20"/>
          <w:szCs w:val="20"/>
        </w:rPr>
        <w:t>,</w:t>
      </w:r>
      <w:r w:rsidRPr="005C1789">
        <w:rPr>
          <w:rFonts w:ascii="Verdana" w:hAnsi="Verdana"/>
          <w:sz w:val="20"/>
          <w:szCs w:val="20"/>
        </w:rPr>
        <w:t xml:space="preserve"> qu</w:t>
      </w:r>
      <w:r w:rsidR="00E27C16" w:rsidRPr="005C1789">
        <w:rPr>
          <w:rFonts w:ascii="Verdana" w:hAnsi="Verdana"/>
          <w:sz w:val="20"/>
          <w:szCs w:val="20"/>
        </w:rPr>
        <w:t>i</w:t>
      </w:r>
      <w:r w:rsidRPr="005C1789">
        <w:rPr>
          <w:rFonts w:ascii="Verdana" w:hAnsi="Verdana"/>
          <w:sz w:val="20"/>
          <w:szCs w:val="20"/>
        </w:rPr>
        <w:t>e</w:t>
      </w:r>
      <w:r w:rsidR="00E27C16" w:rsidRPr="005C1789">
        <w:rPr>
          <w:rFonts w:ascii="Verdana" w:hAnsi="Verdana"/>
          <w:sz w:val="20"/>
          <w:szCs w:val="20"/>
        </w:rPr>
        <w:t>n</w:t>
      </w:r>
      <w:r w:rsidRPr="005C1789">
        <w:rPr>
          <w:rFonts w:ascii="Verdana" w:hAnsi="Verdana"/>
          <w:sz w:val="20"/>
          <w:szCs w:val="20"/>
        </w:rPr>
        <w:t xml:space="preserve"> goza del </w:t>
      </w:r>
      <w:r w:rsidR="00D807DF" w:rsidRPr="005C1789">
        <w:rPr>
          <w:rFonts w:ascii="Verdana" w:hAnsi="Verdana"/>
          <w:sz w:val="20"/>
          <w:szCs w:val="20"/>
        </w:rPr>
        <w:t xml:space="preserve">derecho </w:t>
      </w:r>
      <w:r w:rsidR="00D708DF" w:rsidRPr="005C1789">
        <w:rPr>
          <w:rFonts w:ascii="Verdana" w:hAnsi="Verdana"/>
          <w:sz w:val="20"/>
          <w:szCs w:val="20"/>
        </w:rPr>
        <w:t>a la</w:t>
      </w:r>
      <w:r w:rsidRPr="005C1789">
        <w:rPr>
          <w:rFonts w:ascii="Verdana" w:hAnsi="Verdana"/>
          <w:sz w:val="20"/>
          <w:szCs w:val="20"/>
        </w:rPr>
        <w:t xml:space="preserve"> presunción de inocencia</w:t>
      </w:r>
      <w:r w:rsidRPr="005C1789">
        <w:rPr>
          <w:rStyle w:val="Refdenotaalpie"/>
          <w:rFonts w:ascii="Verdana" w:hAnsi="Verdana"/>
          <w:sz w:val="20"/>
        </w:rPr>
        <w:footnoteReference w:id="78"/>
      </w:r>
      <w:r w:rsidRPr="005C1789">
        <w:rPr>
          <w:rFonts w:ascii="Verdana" w:hAnsi="Verdana"/>
          <w:sz w:val="20"/>
          <w:szCs w:val="20"/>
        </w:rPr>
        <w:t xml:space="preserve">. </w:t>
      </w:r>
      <w:r w:rsidRPr="005C1789">
        <w:rPr>
          <w:rFonts w:ascii="Verdana" w:hAnsi="Verdana"/>
          <w:sz w:val="20"/>
          <w:szCs w:val="20"/>
          <w:lang w:val="es-ES"/>
        </w:rPr>
        <w:t xml:space="preserve">A su vez, este Tribunal ha indicado en otros casos que </w:t>
      </w:r>
      <w:r w:rsidRPr="005C1789">
        <w:rPr>
          <w:rFonts w:ascii="Verdana" w:hAnsi="Verdana"/>
          <w:sz w:val="20"/>
          <w:szCs w:val="20"/>
        </w:rPr>
        <w:t xml:space="preserve">la privación de libertad de un imputado o de una persona procesada por un delito no puede residir en fines preventivo-generales o preventivo-especiales atribuibles a la </w:t>
      </w:r>
      <w:r w:rsidRPr="005C1789">
        <w:rPr>
          <w:rFonts w:ascii="Verdana" w:hAnsi="Verdana"/>
          <w:sz w:val="20"/>
          <w:szCs w:val="20"/>
        </w:rPr>
        <w:lastRenderedPageBreak/>
        <w:t>pena</w:t>
      </w:r>
      <w:r w:rsidRPr="005C1789">
        <w:rPr>
          <w:rStyle w:val="Refdenotaalpie"/>
          <w:rFonts w:ascii="Verdana" w:hAnsi="Verdana"/>
          <w:sz w:val="20"/>
        </w:rPr>
        <w:footnoteReference w:id="79"/>
      </w:r>
      <w:r w:rsidRPr="005C1789">
        <w:rPr>
          <w:rFonts w:ascii="Verdana" w:hAnsi="Verdana"/>
          <w:sz w:val="20"/>
          <w:szCs w:val="20"/>
        </w:rPr>
        <w:t xml:space="preserve">. En consecuencia, ha </w:t>
      </w:r>
      <w:r w:rsidR="5DAE1105" w:rsidRPr="005C1789">
        <w:rPr>
          <w:rFonts w:ascii="Verdana" w:hAnsi="Verdana"/>
          <w:sz w:val="20"/>
          <w:szCs w:val="20"/>
        </w:rPr>
        <w:t xml:space="preserve">subrayado </w:t>
      </w:r>
      <w:r w:rsidRPr="005C1789">
        <w:rPr>
          <w:rFonts w:ascii="Verdana" w:hAnsi="Verdana"/>
          <w:sz w:val="20"/>
          <w:szCs w:val="20"/>
        </w:rPr>
        <w:t>que la regla debe ser la libertad del procesado mientras se resuelve acerca de su responsabilidad penal</w:t>
      </w:r>
      <w:r w:rsidRPr="005C1789">
        <w:rPr>
          <w:rStyle w:val="Refdenotaalpie"/>
          <w:rFonts w:ascii="Verdana" w:hAnsi="Verdana"/>
          <w:sz w:val="20"/>
        </w:rPr>
        <w:footnoteReference w:id="80"/>
      </w:r>
      <w:r w:rsidRPr="005C1789">
        <w:rPr>
          <w:rFonts w:ascii="Verdana" w:hAnsi="Verdana"/>
          <w:sz w:val="20"/>
          <w:szCs w:val="20"/>
        </w:rPr>
        <w:t xml:space="preserve">. </w:t>
      </w:r>
    </w:p>
    <w:p w14:paraId="58783068" w14:textId="77777777"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ES"/>
        </w:rPr>
        <w:t xml:space="preserve">Dado lo anterior, corresponde a la autoridad judicial </w:t>
      </w:r>
      <w:r w:rsidRPr="005C1789">
        <w:rPr>
          <w:rFonts w:ascii="Verdana" w:hAnsi="Verdana"/>
          <w:sz w:val="20"/>
          <w:szCs w:val="20"/>
        </w:rPr>
        <w:t xml:space="preserve">imponer medidas de esta naturaleza únicamente cuando acredite que: a) </w:t>
      </w:r>
      <w:r w:rsidRPr="005C1789">
        <w:rPr>
          <w:rFonts w:ascii="Verdana" w:hAnsi="Verdana"/>
          <w:spacing w:val="-2"/>
          <w:sz w:val="20"/>
          <w:szCs w:val="20"/>
        </w:rPr>
        <w:t>la finalidad de las medidas que priven o restrinjan la libertad sea compatible con la Convención; b) que las medidas adoptadas sean las idóneas para cumplir con el fin perseguido;</w:t>
      </w:r>
      <w:r w:rsidRPr="005C1789">
        <w:rPr>
          <w:rFonts w:ascii="Verdana" w:hAnsi="Verdana"/>
          <w:sz w:val="20"/>
          <w:szCs w:val="20"/>
        </w:rPr>
        <w:t xml:space="preserve"> c) que sean necesarias, en el sentido de que sean absolutamente indispensables para conseguir el fin deseado y que no exista una medida menos gravosa respecto al derecho </w:t>
      </w:r>
      <w:r w:rsidRPr="005C1789">
        <w:rPr>
          <w:rFonts w:ascii="Verdana" w:hAnsi="Verdana"/>
          <w:sz w:val="20"/>
          <w:szCs w:val="20"/>
          <w:lang w:val="es-ES"/>
        </w:rPr>
        <w:t>intervenido</w:t>
      </w:r>
      <w:r w:rsidRPr="005C1789">
        <w:rPr>
          <w:rFonts w:ascii="Verdana" w:hAnsi="Verdana"/>
          <w:sz w:val="20"/>
          <w:szCs w:val="20"/>
        </w:rPr>
        <w:t xml:space="preserve"> entre todas aquellas que cuentan con la misma idoneidad para alcanzar el objetivo propuesto, y d) que resulten estrictamente proporcionales, de tal forma que el sacrificio inherente a la restricción del derecho a la libertad no resulte exagerado o desmedido frente a las ventajas que se obtienen mediante tal restricción y el cumplimiento de la finalidad perseguida</w:t>
      </w:r>
      <w:r w:rsidRPr="005C1789">
        <w:rPr>
          <w:rStyle w:val="Refdenotaalpie"/>
          <w:rFonts w:ascii="Verdana" w:hAnsi="Verdana"/>
          <w:sz w:val="20"/>
        </w:rPr>
        <w:footnoteReference w:id="81"/>
      </w:r>
      <w:r w:rsidRPr="005C1789">
        <w:rPr>
          <w:rFonts w:ascii="Verdana" w:hAnsi="Verdana"/>
          <w:sz w:val="20"/>
          <w:szCs w:val="20"/>
        </w:rPr>
        <w:t>.</w:t>
      </w:r>
    </w:p>
    <w:p w14:paraId="15E5F354" w14:textId="569BCAAD"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ES"/>
        </w:rPr>
        <w:t xml:space="preserve">En lo </w:t>
      </w:r>
      <w:r w:rsidR="0056527F" w:rsidRPr="005C1789">
        <w:rPr>
          <w:rFonts w:ascii="Verdana" w:hAnsi="Verdana"/>
          <w:sz w:val="20"/>
          <w:szCs w:val="20"/>
          <w:lang w:val="es-ES"/>
        </w:rPr>
        <w:t>relativo</w:t>
      </w:r>
      <w:r w:rsidRPr="005C1789">
        <w:rPr>
          <w:rFonts w:ascii="Verdana" w:hAnsi="Verdana"/>
          <w:sz w:val="20"/>
          <w:szCs w:val="20"/>
          <w:lang w:val="es-ES"/>
        </w:rPr>
        <w:t xml:space="preserve"> al primer punto, el Tribunal ha indicado que la medida solo se debe imponer </w:t>
      </w:r>
      <w:r w:rsidRPr="005C1789">
        <w:rPr>
          <w:rFonts w:ascii="Verdana" w:hAnsi="Verdana"/>
          <w:sz w:val="20"/>
          <w:szCs w:val="20"/>
        </w:rPr>
        <w:t>cuando</w:t>
      </w:r>
      <w:r w:rsidRPr="005C1789">
        <w:rPr>
          <w:rFonts w:ascii="Verdana" w:hAnsi="Verdana"/>
          <w:sz w:val="20"/>
          <w:szCs w:val="20"/>
          <w:lang w:val="es-ES"/>
        </w:rPr>
        <w:t xml:space="preserve"> sea necesaria para la </w:t>
      </w:r>
      <w:r w:rsidRPr="005C1789">
        <w:rPr>
          <w:rFonts w:ascii="Verdana" w:hAnsi="Verdana"/>
          <w:sz w:val="20"/>
          <w:szCs w:val="20"/>
        </w:rPr>
        <w:t>satisfacción</w:t>
      </w:r>
      <w:r w:rsidRPr="005C1789">
        <w:rPr>
          <w:rFonts w:ascii="Verdana" w:hAnsi="Verdana"/>
          <w:sz w:val="20"/>
          <w:szCs w:val="20"/>
          <w:lang w:val="es-ES"/>
        </w:rPr>
        <w:t xml:space="preserve"> de un fin legítimo, a saber: que el acusado no impedirá el desarrollo del procedimiento ni eludirá la acción de la justicia</w:t>
      </w:r>
      <w:r w:rsidRPr="005C1789">
        <w:rPr>
          <w:rStyle w:val="Refdenotaalpie"/>
          <w:rFonts w:ascii="Verdana" w:hAnsi="Verdana"/>
          <w:sz w:val="20"/>
          <w:lang w:val="es-ES"/>
        </w:rPr>
        <w:footnoteReference w:id="82"/>
      </w:r>
      <w:r w:rsidRPr="005C1789">
        <w:rPr>
          <w:rFonts w:ascii="Verdana" w:hAnsi="Verdana"/>
          <w:sz w:val="20"/>
          <w:szCs w:val="20"/>
          <w:lang w:val="es-ES"/>
        </w:rPr>
        <w:t xml:space="preserve">. </w:t>
      </w:r>
      <w:r w:rsidRPr="005C1789">
        <w:rPr>
          <w:rFonts w:ascii="Verdana" w:hAnsi="Verdana"/>
          <w:spacing w:val="-2"/>
          <w:sz w:val="20"/>
          <w:szCs w:val="20"/>
        </w:rPr>
        <w:t xml:space="preserve">Asimismo, ha destacado que el peligro procesal no se presume, sino que debe realizarse la verificación </w:t>
      </w:r>
      <w:r w:rsidR="00395232" w:rsidRPr="005C1789">
        <w:rPr>
          <w:rFonts w:ascii="Verdana" w:hAnsi="Verdana"/>
          <w:sz w:val="20"/>
          <w:szCs w:val="20"/>
        </w:rPr>
        <w:t>de este</w:t>
      </w:r>
      <w:r w:rsidRPr="005C1789">
        <w:rPr>
          <w:rFonts w:ascii="Verdana" w:hAnsi="Verdana"/>
          <w:spacing w:val="-2"/>
          <w:sz w:val="20"/>
          <w:szCs w:val="20"/>
        </w:rPr>
        <w:t xml:space="preserve"> en cada caso, fundado en circunstancias objetivas y ciertas del caso concreto</w:t>
      </w:r>
      <w:r w:rsidRPr="005C1789">
        <w:rPr>
          <w:rStyle w:val="Refdenotaalpie"/>
          <w:rFonts w:ascii="Verdana" w:hAnsi="Verdana"/>
          <w:spacing w:val="-2"/>
          <w:sz w:val="20"/>
        </w:rPr>
        <w:footnoteReference w:id="83"/>
      </w:r>
      <w:r w:rsidRPr="005C1789">
        <w:rPr>
          <w:rFonts w:ascii="Verdana" w:hAnsi="Verdana"/>
          <w:spacing w:val="-2"/>
          <w:sz w:val="20"/>
          <w:szCs w:val="20"/>
        </w:rPr>
        <w:t xml:space="preserve">. </w:t>
      </w:r>
      <w:r w:rsidRPr="005C1789">
        <w:rPr>
          <w:rFonts w:ascii="Verdana" w:hAnsi="Verdana"/>
          <w:sz w:val="20"/>
          <w:szCs w:val="20"/>
          <w:lang w:val="es-ES"/>
        </w:rPr>
        <w:t xml:space="preserve">La exigencia de dichos </w:t>
      </w:r>
      <w:r w:rsidR="005653EA" w:rsidRPr="005C1789">
        <w:rPr>
          <w:rFonts w:ascii="Verdana" w:hAnsi="Verdana"/>
          <w:sz w:val="20"/>
          <w:szCs w:val="20"/>
          <w:lang w:val="es-ES"/>
        </w:rPr>
        <w:t>fines</w:t>
      </w:r>
      <w:r w:rsidRPr="005C1789">
        <w:rPr>
          <w:rFonts w:ascii="Verdana" w:hAnsi="Verdana"/>
          <w:sz w:val="20"/>
          <w:szCs w:val="20"/>
          <w:lang w:val="es-ES"/>
        </w:rPr>
        <w:t xml:space="preserve"> encuentra fundamento en los artículos 7.3, 7.5 y 8.2 de la </w:t>
      </w:r>
      <w:r w:rsidRPr="005C1789">
        <w:rPr>
          <w:rFonts w:ascii="Verdana" w:hAnsi="Verdana"/>
          <w:sz w:val="20"/>
          <w:szCs w:val="20"/>
        </w:rPr>
        <w:t>Convención</w:t>
      </w:r>
      <w:r w:rsidRPr="005C1789">
        <w:rPr>
          <w:rFonts w:ascii="Verdana" w:hAnsi="Verdana"/>
          <w:sz w:val="20"/>
          <w:szCs w:val="20"/>
          <w:lang w:val="es-ES"/>
        </w:rPr>
        <w:t>.</w:t>
      </w:r>
    </w:p>
    <w:p w14:paraId="31B4A66C" w14:textId="0334B066"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lang w:val="es-ES"/>
        </w:rPr>
        <w:t xml:space="preserve"> </w:t>
      </w:r>
      <w:r w:rsidR="00830D7C" w:rsidRPr="005C1789">
        <w:rPr>
          <w:rFonts w:ascii="Verdana" w:hAnsi="Verdana"/>
          <w:sz w:val="20"/>
          <w:szCs w:val="20"/>
          <w:lang w:val="es-ES"/>
        </w:rPr>
        <w:t xml:space="preserve">Esta Corte advierte que el </w:t>
      </w:r>
      <w:r w:rsidRPr="005C1789">
        <w:rPr>
          <w:rFonts w:ascii="Verdana" w:hAnsi="Verdana"/>
          <w:sz w:val="20"/>
          <w:szCs w:val="20"/>
          <w:lang w:val="es-ES"/>
        </w:rPr>
        <w:t xml:space="preserve">artículo 7.5 </w:t>
      </w:r>
      <w:r w:rsidR="00830D7C" w:rsidRPr="005C1789">
        <w:rPr>
          <w:rFonts w:ascii="Verdana" w:hAnsi="Verdana"/>
          <w:sz w:val="20"/>
          <w:szCs w:val="20"/>
        </w:rPr>
        <w:t xml:space="preserve">de la Convención </w:t>
      </w:r>
      <w:r w:rsidR="003038FE" w:rsidRPr="005C1789">
        <w:rPr>
          <w:rFonts w:ascii="Verdana" w:hAnsi="Verdana"/>
          <w:sz w:val="20"/>
          <w:szCs w:val="20"/>
        </w:rPr>
        <w:t>establece que</w:t>
      </w:r>
      <w:r w:rsidR="00E35413" w:rsidRPr="005C1789">
        <w:rPr>
          <w:rFonts w:ascii="Verdana" w:hAnsi="Verdana"/>
          <w:sz w:val="20"/>
          <w:szCs w:val="20"/>
        </w:rPr>
        <w:t xml:space="preserve"> </w:t>
      </w:r>
      <w:r w:rsidR="00830D7C" w:rsidRPr="005C1789">
        <w:rPr>
          <w:rFonts w:ascii="Verdana" w:hAnsi="Verdana"/>
          <w:sz w:val="20"/>
          <w:szCs w:val="20"/>
        </w:rPr>
        <w:t>t</w:t>
      </w:r>
      <w:r w:rsidRPr="005C1789">
        <w:rPr>
          <w:rFonts w:ascii="Verdana" w:hAnsi="Verdana"/>
          <w:sz w:val="20"/>
          <w:szCs w:val="20"/>
        </w:rPr>
        <w:t>oda persona detenida o retenida debe ser llevada, sin demora, ante un juez u otro funcionario autorizado por la ley para ejercer funciones judiciales y tendrá derecho a ser juzgada dentro de un plazo razonable o a ser puesta en libertad, sin perjuicio de que continúe el proceso</w:t>
      </w:r>
      <w:r w:rsidR="00830D7C" w:rsidRPr="005C1789">
        <w:rPr>
          <w:rFonts w:ascii="Verdana" w:hAnsi="Verdana"/>
          <w:sz w:val="20"/>
          <w:szCs w:val="20"/>
        </w:rPr>
        <w:t>, y que s</w:t>
      </w:r>
      <w:r w:rsidRPr="005C1789">
        <w:rPr>
          <w:rFonts w:ascii="Verdana" w:hAnsi="Verdana"/>
          <w:sz w:val="20"/>
          <w:szCs w:val="20"/>
        </w:rPr>
        <w:t>u libertad podrá estar condicionada a garantías que aseguren su comparecencia en el juicio</w:t>
      </w:r>
      <w:r w:rsidRPr="005C1789">
        <w:rPr>
          <w:rFonts w:ascii="Verdana" w:hAnsi="Verdana"/>
          <w:sz w:val="20"/>
          <w:szCs w:val="20"/>
          <w:lang w:val="es-ES"/>
        </w:rPr>
        <w:t xml:space="preserve">. El sentido de esta norma indica que las medidas privativas </w:t>
      </w:r>
      <w:r w:rsidR="005B72A1" w:rsidRPr="005C1789">
        <w:rPr>
          <w:rFonts w:ascii="Verdana" w:hAnsi="Verdana"/>
          <w:sz w:val="20"/>
          <w:szCs w:val="20"/>
          <w:lang w:val="es-ES"/>
        </w:rPr>
        <w:t xml:space="preserve">de </w:t>
      </w:r>
      <w:r w:rsidR="003038FE" w:rsidRPr="005C1789">
        <w:rPr>
          <w:rFonts w:ascii="Verdana" w:hAnsi="Verdana"/>
          <w:sz w:val="20"/>
          <w:szCs w:val="20"/>
          <w:lang w:val="es-ES"/>
        </w:rPr>
        <w:t xml:space="preserve">la </w:t>
      </w:r>
      <w:r w:rsidR="005B72A1" w:rsidRPr="005C1789">
        <w:rPr>
          <w:rFonts w:ascii="Verdana" w:hAnsi="Verdana"/>
          <w:sz w:val="20"/>
          <w:szCs w:val="20"/>
          <w:lang w:val="es-ES"/>
        </w:rPr>
        <w:t>libertad</w:t>
      </w:r>
      <w:r w:rsidRPr="005C1789">
        <w:rPr>
          <w:rFonts w:ascii="Verdana" w:hAnsi="Verdana"/>
          <w:sz w:val="20"/>
          <w:szCs w:val="20"/>
          <w:lang w:val="es-ES"/>
        </w:rPr>
        <w:t xml:space="preserve"> en el marco de procedimientos penales son convencionales, siempre que tengan un propósito cautelar, es decir, que sean un medio para la neutralización de riesgos procesales, en particular, la norma se refiere a la finalidad relacionada con la comparecencia al proceso</w:t>
      </w:r>
      <w:r w:rsidRPr="005C1789">
        <w:rPr>
          <w:rStyle w:val="Refdenotaalpie"/>
          <w:rFonts w:ascii="Verdana" w:hAnsi="Verdana"/>
          <w:sz w:val="20"/>
          <w:lang w:val="es-ES"/>
        </w:rPr>
        <w:footnoteReference w:id="84"/>
      </w:r>
      <w:r w:rsidRPr="005C1789">
        <w:rPr>
          <w:rFonts w:ascii="Verdana" w:hAnsi="Verdana"/>
          <w:sz w:val="20"/>
          <w:szCs w:val="20"/>
          <w:lang w:val="es-ES"/>
        </w:rPr>
        <w:t xml:space="preserve">. </w:t>
      </w:r>
    </w:p>
    <w:p w14:paraId="7A614CF4" w14:textId="56567FEC" w:rsidR="00A47E86" w:rsidRPr="005C1789" w:rsidRDefault="00A47E8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lang w:val="es-ES"/>
        </w:rPr>
        <w:t xml:space="preserve">El artículo 8.2 por su parte, contiene el </w:t>
      </w:r>
      <w:r w:rsidR="00D807DF" w:rsidRPr="005C1789">
        <w:rPr>
          <w:rFonts w:ascii="Verdana" w:hAnsi="Verdana"/>
          <w:sz w:val="20"/>
          <w:szCs w:val="20"/>
          <w:lang w:val="es-ES"/>
        </w:rPr>
        <w:t xml:space="preserve">derecho </w:t>
      </w:r>
      <w:r w:rsidR="00D708DF" w:rsidRPr="005C1789">
        <w:rPr>
          <w:rFonts w:ascii="Verdana" w:hAnsi="Verdana"/>
          <w:sz w:val="20"/>
          <w:szCs w:val="20"/>
          <w:lang w:val="es-ES"/>
        </w:rPr>
        <w:t>a la</w:t>
      </w:r>
      <w:r w:rsidR="00D807DF" w:rsidRPr="005C1789">
        <w:rPr>
          <w:rFonts w:ascii="Verdana" w:hAnsi="Verdana"/>
          <w:sz w:val="20"/>
          <w:szCs w:val="20"/>
          <w:lang w:val="es-ES"/>
        </w:rPr>
        <w:t xml:space="preserve"> </w:t>
      </w:r>
      <w:r w:rsidRPr="005C1789">
        <w:rPr>
          <w:rFonts w:ascii="Verdana" w:hAnsi="Verdana"/>
          <w:sz w:val="20"/>
          <w:szCs w:val="20"/>
          <w:lang w:val="es-ES"/>
        </w:rPr>
        <w:t xml:space="preserve">presunción de inocencia, según el cual </w:t>
      </w:r>
      <w:r w:rsidRPr="005C1789">
        <w:rPr>
          <w:rFonts w:ascii="Verdana" w:hAnsi="Verdana"/>
          <w:sz w:val="20"/>
          <w:szCs w:val="20"/>
        </w:rPr>
        <w:t xml:space="preserve">una persona es inocente hasta que su culpabilidad sea demostrada. De esta garantía se desprende que los elementos que acreditan la existencia de los fines legítimos </w:t>
      </w:r>
      <w:r w:rsidRPr="005C1789">
        <w:rPr>
          <w:rFonts w:ascii="Verdana" w:hAnsi="Verdana"/>
          <w:sz w:val="20"/>
          <w:szCs w:val="20"/>
          <w:lang w:val="es-ES"/>
        </w:rPr>
        <w:t xml:space="preserve">tampoco se </w:t>
      </w:r>
      <w:r w:rsidRPr="005C1789">
        <w:rPr>
          <w:rFonts w:ascii="Verdana" w:hAnsi="Verdana"/>
          <w:sz w:val="20"/>
          <w:szCs w:val="20"/>
        </w:rPr>
        <w:t>presumen</w:t>
      </w:r>
      <w:r w:rsidRPr="005C1789">
        <w:rPr>
          <w:rFonts w:ascii="Verdana" w:hAnsi="Verdana"/>
          <w:sz w:val="20"/>
          <w:szCs w:val="20"/>
          <w:lang w:val="es-ES"/>
        </w:rPr>
        <w:t>, sino que el juez debe fundar su decisión en circunstancias objetivas y ciertas del caso concreto</w:t>
      </w:r>
      <w:r w:rsidRPr="005C1789">
        <w:rPr>
          <w:rStyle w:val="Refdenotaalpie"/>
          <w:rFonts w:ascii="Verdana" w:hAnsi="Verdana"/>
          <w:sz w:val="20"/>
          <w:lang w:val="es-ES"/>
        </w:rPr>
        <w:footnoteReference w:id="85"/>
      </w:r>
      <w:r w:rsidRPr="005C1789">
        <w:rPr>
          <w:rFonts w:ascii="Verdana" w:hAnsi="Verdana"/>
          <w:sz w:val="20"/>
          <w:szCs w:val="20"/>
          <w:lang w:val="es-ES"/>
        </w:rPr>
        <w:t>, que corresponde acreditar al titular de la persecución penal y no al acusado</w:t>
      </w:r>
      <w:r w:rsidRPr="005C1789">
        <w:rPr>
          <w:rStyle w:val="Refdenotaalpie"/>
          <w:rFonts w:ascii="Verdana" w:hAnsi="Verdana"/>
          <w:sz w:val="20"/>
          <w:lang w:val="es-ES"/>
        </w:rPr>
        <w:footnoteReference w:id="86"/>
      </w:r>
      <w:r w:rsidRPr="005C1789">
        <w:rPr>
          <w:rFonts w:ascii="Verdana" w:hAnsi="Verdana"/>
          <w:sz w:val="20"/>
          <w:szCs w:val="20"/>
          <w:lang w:val="es-ES"/>
        </w:rPr>
        <w:t>, quien además debe tener la posibilidad de ejercer el derecho de contradicción y estar debidamente asistido por un abogado. Asimismo, l</w:t>
      </w:r>
      <w:r w:rsidRPr="005C1789">
        <w:rPr>
          <w:rFonts w:ascii="Verdana" w:hAnsi="Verdana"/>
          <w:sz w:val="20"/>
          <w:szCs w:val="20"/>
        </w:rPr>
        <w:t xml:space="preserve">a Corte ha sostenido que </w:t>
      </w:r>
      <w:r w:rsidRPr="005C1789">
        <w:rPr>
          <w:rFonts w:ascii="Verdana" w:hAnsi="Verdana"/>
          <w:sz w:val="20"/>
          <w:szCs w:val="20"/>
          <w:lang w:val="es-MX" w:eastAsia="es-ES"/>
        </w:rPr>
        <w:t>la gravedad del delito que se le imputa no es, por sí misma, justificación suficiente de la prisión preventiva</w:t>
      </w:r>
      <w:r w:rsidRPr="005C1789">
        <w:rPr>
          <w:rStyle w:val="PrrafodelistaCar"/>
          <w:vertAlign w:val="superscript"/>
          <w:lang w:val="es-MX" w:eastAsia="es-ES"/>
        </w:rPr>
        <w:footnoteReference w:id="87"/>
      </w:r>
      <w:r w:rsidR="00695834" w:rsidRPr="005C1789">
        <w:rPr>
          <w:rFonts w:ascii="Verdana" w:hAnsi="Verdana"/>
          <w:sz w:val="20"/>
          <w:szCs w:val="20"/>
          <w:lang w:val="es-ES"/>
        </w:rPr>
        <w:t>.</w:t>
      </w:r>
    </w:p>
    <w:p w14:paraId="5729F85D" w14:textId="34E8A2CD"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ES"/>
        </w:rPr>
        <w:t xml:space="preserve">Finalmente, </w:t>
      </w:r>
      <w:r w:rsidRPr="005C1789">
        <w:rPr>
          <w:rFonts w:ascii="Verdana" w:hAnsi="Verdana"/>
          <w:sz w:val="20"/>
          <w:szCs w:val="20"/>
        </w:rPr>
        <w:t>la</w:t>
      </w:r>
      <w:r w:rsidRPr="005C1789">
        <w:rPr>
          <w:rFonts w:ascii="Verdana" w:hAnsi="Verdana"/>
          <w:sz w:val="20"/>
          <w:szCs w:val="20"/>
          <w:lang w:val="es-ES"/>
        </w:rPr>
        <w:t xml:space="preserve"> Corte </w:t>
      </w:r>
      <w:r w:rsidR="00BA5E32" w:rsidRPr="005C1789">
        <w:rPr>
          <w:rFonts w:ascii="Verdana" w:hAnsi="Verdana"/>
          <w:sz w:val="20"/>
          <w:szCs w:val="20"/>
          <w:lang w:val="es-ES"/>
        </w:rPr>
        <w:t xml:space="preserve">ha indicado en otros casos, </w:t>
      </w:r>
      <w:r w:rsidRPr="005C1789">
        <w:rPr>
          <w:rFonts w:ascii="Verdana" w:hAnsi="Verdana"/>
          <w:sz w:val="20"/>
          <w:szCs w:val="20"/>
          <w:lang w:val="es-ES"/>
        </w:rPr>
        <w:t>en relación con la forma en la que se debe acreditar los elementos que son constitutivos de las finalidades legítimas</w:t>
      </w:r>
      <w:r w:rsidR="00BA5E32" w:rsidRPr="005C1789">
        <w:rPr>
          <w:rFonts w:ascii="Verdana" w:hAnsi="Verdana"/>
          <w:sz w:val="20"/>
          <w:szCs w:val="20"/>
          <w:lang w:val="es-ES"/>
        </w:rPr>
        <w:t xml:space="preserve">, </w:t>
      </w:r>
      <w:r w:rsidRPr="005C1789">
        <w:rPr>
          <w:rFonts w:ascii="Verdana" w:hAnsi="Verdana"/>
          <w:sz w:val="20"/>
          <w:szCs w:val="20"/>
          <w:lang w:val="es-ES"/>
        </w:rPr>
        <w:t>que “</w:t>
      </w:r>
      <w:r w:rsidRPr="005C1789">
        <w:rPr>
          <w:rFonts w:ascii="Verdana" w:hAnsi="Verdana"/>
          <w:sz w:val="20"/>
          <w:szCs w:val="20"/>
        </w:rPr>
        <w:t xml:space="preserve">[e]l peligro de fuga no puede medirse únicamente sobre la base de la gravedad de la posible pena a imponer. Debe evaluarse </w:t>
      </w:r>
      <w:r w:rsidRPr="005C1789">
        <w:rPr>
          <w:rFonts w:ascii="Verdana" w:hAnsi="Verdana"/>
          <w:sz w:val="20"/>
          <w:szCs w:val="20"/>
        </w:rPr>
        <w:lastRenderedPageBreak/>
        <w:t xml:space="preserve">con referencia a una serie de otros factores relevantes que pueden confirmar la existencia de un peligro de fuga, como por ejemplo aquellos relacionados con el hogar, ocupación, bienes, </w:t>
      </w:r>
      <w:r w:rsidR="001A5BA3" w:rsidRPr="005C1789">
        <w:rPr>
          <w:rFonts w:ascii="Verdana" w:hAnsi="Verdana"/>
          <w:sz w:val="20"/>
          <w:szCs w:val="20"/>
        </w:rPr>
        <w:t>lazos</w:t>
      </w:r>
      <w:r w:rsidRPr="005C1789">
        <w:rPr>
          <w:rFonts w:ascii="Verdana" w:hAnsi="Verdana"/>
          <w:sz w:val="20"/>
          <w:szCs w:val="20"/>
        </w:rPr>
        <w:t xml:space="preserve"> familiares y todo tipo de vínculos con el país en el que está siendo procesado”</w:t>
      </w:r>
      <w:r w:rsidRPr="005C1789">
        <w:rPr>
          <w:rFonts w:ascii="Verdana" w:hAnsi="Verdana"/>
          <w:sz w:val="20"/>
          <w:szCs w:val="20"/>
          <w:vertAlign w:val="superscript"/>
        </w:rPr>
        <w:footnoteReference w:id="88"/>
      </w:r>
      <w:r w:rsidRPr="005C1789">
        <w:rPr>
          <w:rFonts w:ascii="Verdana" w:hAnsi="Verdana"/>
          <w:sz w:val="20"/>
          <w:szCs w:val="20"/>
        </w:rPr>
        <w:t xml:space="preserve">. </w:t>
      </w:r>
      <w:r w:rsidRPr="005C1789">
        <w:rPr>
          <w:rFonts w:ascii="Verdana" w:hAnsi="Verdana"/>
          <w:sz w:val="20"/>
          <w:szCs w:val="20"/>
          <w:lang w:val="es-ES"/>
        </w:rPr>
        <w:t>También ha afirmado que</w:t>
      </w:r>
      <w:r w:rsidRPr="005C1789">
        <w:rPr>
          <w:rFonts w:ascii="Verdana" w:hAnsi="Verdana"/>
          <w:sz w:val="20"/>
          <w:szCs w:val="20"/>
        </w:rPr>
        <w:t xml:space="preserve"> el peligro de que el acusado obstaculice la conducción adecuada de los procedimientos no se puede inferir </w:t>
      </w:r>
      <w:proofErr w:type="gramStart"/>
      <w:r w:rsidR="00CC4055" w:rsidRPr="005C1789">
        <w:rPr>
          <w:rFonts w:ascii="Verdana" w:hAnsi="Verdana"/>
          <w:i/>
          <w:sz w:val="20"/>
          <w:szCs w:val="20"/>
        </w:rPr>
        <w:t>in abstract</w:t>
      </w:r>
      <w:r w:rsidR="00FE0648" w:rsidRPr="005C1789">
        <w:rPr>
          <w:rFonts w:ascii="Verdana" w:hAnsi="Verdana"/>
          <w:i/>
          <w:sz w:val="20"/>
          <w:szCs w:val="20"/>
        </w:rPr>
        <w:t>o</w:t>
      </w:r>
      <w:proofErr w:type="gramEnd"/>
      <w:r w:rsidRPr="005C1789">
        <w:rPr>
          <w:rFonts w:ascii="Verdana" w:hAnsi="Verdana"/>
          <w:sz w:val="20"/>
          <w:szCs w:val="20"/>
        </w:rPr>
        <w:t>, tiene que estar respaldado por evidencia objetiva, por ejemplo, el riesgo de presión sobre testigos o la pertenencia a una organización criminal o una pandilla</w:t>
      </w:r>
      <w:r w:rsidRPr="005C1789">
        <w:rPr>
          <w:rFonts w:ascii="Verdana" w:hAnsi="Verdana"/>
          <w:sz w:val="20"/>
          <w:szCs w:val="20"/>
          <w:vertAlign w:val="superscript"/>
        </w:rPr>
        <w:footnoteReference w:id="89"/>
      </w:r>
      <w:r w:rsidRPr="005C1789">
        <w:rPr>
          <w:rFonts w:ascii="Verdana" w:hAnsi="Verdana"/>
          <w:sz w:val="20"/>
          <w:szCs w:val="20"/>
        </w:rPr>
        <w:t>.</w:t>
      </w:r>
    </w:p>
    <w:p w14:paraId="0029E599" w14:textId="175FF839"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rPr>
        <w:t xml:space="preserve">Respecto de la necesidad, la Corte encuentra que, al ser la privación </w:t>
      </w:r>
      <w:r w:rsidR="005B72A1" w:rsidRPr="005C1789">
        <w:rPr>
          <w:rFonts w:ascii="Verdana" w:hAnsi="Verdana"/>
          <w:sz w:val="20"/>
          <w:szCs w:val="20"/>
        </w:rPr>
        <w:t xml:space="preserve">de </w:t>
      </w:r>
      <w:r w:rsidR="003038FE" w:rsidRPr="005C1789">
        <w:rPr>
          <w:rFonts w:ascii="Verdana" w:hAnsi="Verdana"/>
          <w:sz w:val="20"/>
          <w:szCs w:val="20"/>
        </w:rPr>
        <w:t xml:space="preserve">la </w:t>
      </w:r>
      <w:r w:rsidR="005B72A1" w:rsidRPr="005C1789">
        <w:rPr>
          <w:rFonts w:ascii="Verdana" w:hAnsi="Verdana"/>
          <w:sz w:val="20"/>
          <w:szCs w:val="20"/>
        </w:rPr>
        <w:t>libertad</w:t>
      </w:r>
      <w:r w:rsidRPr="005C1789">
        <w:rPr>
          <w:rFonts w:ascii="Verdana" w:hAnsi="Verdana"/>
          <w:sz w:val="20"/>
          <w:szCs w:val="20"/>
        </w:rPr>
        <w:t xml:space="preserve"> una medida que implica una restricción a la esfera de acción </w:t>
      </w:r>
      <w:proofErr w:type="gramStart"/>
      <w:r w:rsidRPr="005C1789">
        <w:rPr>
          <w:rFonts w:ascii="Verdana" w:hAnsi="Verdana"/>
          <w:sz w:val="20"/>
          <w:szCs w:val="20"/>
        </w:rPr>
        <w:t>individual,</w:t>
      </w:r>
      <w:proofErr w:type="gramEnd"/>
      <w:r w:rsidRPr="005C1789">
        <w:rPr>
          <w:rFonts w:ascii="Verdana" w:hAnsi="Verdana"/>
          <w:sz w:val="20"/>
          <w:szCs w:val="20"/>
        </w:rPr>
        <w:t xml:space="preserve"> corresponde exigir a la autoridad judicial que imponga dicha medida, únicamente cuando </w:t>
      </w:r>
      <w:r w:rsidR="00ED0D6E" w:rsidRPr="005C1789">
        <w:rPr>
          <w:rFonts w:ascii="Verdana" w:hAnsi="Verdana"/>
          <w:sz w:val="20"/>
          <w:szCs w:val="20"/>
        </w:rPr>
        <w:t>considere</w:t>
      </w:r>
      <w:r w:rsidRPr="005C1789">
        <w:rPr>
          <w:rFonts w:ascii="Verdana" w:hAnsi="Verdana"/>
          <w:sz w:val="20"/>
          <w:szCs w:val="20"/>
        </w:rPr>
        <w:t xml:space="preserve"> que los demás mecanismos previstos en la ley, que impliquen un menor grado de injerencia en los derechos individuales, no son suficientes para satisfacer el fin procesal</w:t>
      </w:r>
      <w:r w:rsidRPr="005C1789">
        <w:rPr>
          <w:rStyle w:val="Refdenotaalpie"/>
          <w:rFonts w:ascii="Verdana" w:hAnsi="Verdana"/>
          <w:sz w:val="20"/>
        </w:rPr>
        <w:footnoteReference w:id="90"/>
      </w:r>
      <w:r w:rsidRPr="005C1789">
        <w:rPr>
          <w:rFonts w:ascii="Verdana" w:hAnsi="Verdana"/>
          <w:sz w:val="20"/>
          <w:szCs w:val="20"/>
        </w:rPr>
        <w:t>.</w:t>
      </w:r>
    </w:p>
    <w:p w14:paraId="2D3DBFB5" w14:textId="7AFC28D7" w:rsidR="00A47E86" w:rsidRPr="005C1789" w:rsidRDefault="00DB10E4"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Asimismo, esta Corte ha sostenido que </w:t>
      </w:r>
      <w:r w:rsidR="00A47E86" w:rsidRPr="005C1789">
        <w:rPr>
          <w:rFonts w:ascii="Verdana" w:hAnsi="Verdana"/>
          <w:sz w:val="20"/>
          <w:szCs w:val="20"/>
        </w:rPr>
        <w:t xml:space="preserve">las medidas alternativas deben estar disponibles y que </w:t>
      </w:r>
      <w:r w:rsidR="00FF35CA" w:rsidRPr="005C1789">
        <w:rPr>
          <w:rFonts w:ascii="Verdana" w:hAnsi="Verdana"/>
          <w:sz w:val="20"/>
          <w:szCs w:val="20"/>
        </w:rPr>
        <w:t>una medida restrictiva de</w:t>
      </w:r>
      <w:r w:rsidR="003038FE" w:rsidRPr="005C1789">
        <w:rPr>
          <w:rFonts w:ascii="Verdana" w:hAnsi="Verdana"/>
          <w:sz w:val="20"/>
          <w:szCs w:val="20"/>
        </w:rPr>
        <w:t xml:space="preserve"> la</w:t>
      </w:r>
      <w:r w:rsidR="00FF35CA" w:rsidRPr="005C1789">
        <w:rPr>
          <w:rFonts w:ascii="Verdana" w:hAnsi="Verdana"/>
          <w:sz w:val="20"/>
          <w:szCs w:val="20"/>
        </w:rPr>
        <w:t xml:space="preserve"> libertad </w:t>
      </w:r>
      <w:r w:rsidR="00A47E86" w:rsidRPr="005C1789">
        <w:rPr>
          <w:rFonts w:ascii="Verdana" w:hAnsi="Verdana"/>
          <w:sz w:val="20"/>
          <w:szCs w:val="20"/>
        </w:rPr>
        <w:t>solo se puede imponer cuando no sea posible el uso de medidas alternativas para mitigar sus fundamentos</w:t>
      </w:r>
      <w:r w:rsidR="00FF35CA" w:rsidRPr="005C1789">
        <w:rPr>
          <w:rFonts w:ascii="Verdana" w:hAnsi="Verdana"/>
          <w:sz w:val="20"/>
          <w:szCs w:val="20"/>
        </w:rPr>
        <w:t>;</w:t>
      </w:r>
      <w:r w:rsidR="00DE673F" w:rsidRPr="005C1789">
        <w:rPr>
          <w:rFonts w:ascii="Verdana" w:hAnsi="Verdana"/>
          <w:sz w:val="20"/>
          <w:szCs w:val="20"/>
        </w:rPr>
        <w:t xml:space="preserve"> </w:t>
      </w:r>
      <w:r w:rsidR="00FF35CA" w:rsidRPr="005C1789">
        <w:rPr>
          <w:rFonts w:ascii="Verdana" w:hAnsi="Verdana"/>
          <w:sz w:val="20"/>
          <w:szCs w:val="20"/>
        </w:rPr>
        <w:t>asimismo</w:t>
      </w:r>
      <w:r w:rsidR="0007404E" w:rsidRPr="005C1789">
        <w:rPr>
          <w:rFonts w:ascii="Verdana" w:hAnsi="Verdana"/>
          <w:sz w:val="20"/>
          <w:szCs w:val="20"/>
        </w:rPr>
        <w:t>, ha señalado</w:t>
      </w:r>
      <w:r w:rsidRPr="005C1789">
        <w:rPr>
          <w:rFonts w:ascii="Verdana" w:hAnsi="Verdana"/>
          <w:sz w:val="20"/>
          <w:szCs w:val="20"/>
        </w:rPr>
        <w:t xml:space="preserve"> </w:t>
      </w:r>
      <w:r w:rsidR="00A47E86" w:rsidRPr="005C1789">
        <w:rPr>
          <w:rFonts w:ascii="Verdana" w:hAnsi="Verdana"/>
          <w:sz w:val="20"/>
          <w:szCs w:val="20"/>
        </w:rPr>
        <w:t>que las autoridades deben considerar medidas alternativas para garantizar la comparecencia en el juicio</w:t>
      </w:r>
      <w:r w:rsidR="00A47E86" w:rsidRPr="005C1789">
        <w:rPr>
          <w:rFonts w:ascii="Verdana" w:hAnsi="Verdana"/>
          <w:sz w:val="20"/>
          <w:szCs w:val="20"/>
          <w:vertAlign w:val="superscript"/>
        </w:rPr>
        <w:footnoteReference w:id="91"/>
      </w:r>
      <w:r w:rsidR="00A47E86" w:rsidRPr="005C1789">
        <w:rPr>
          <w:rFonts w:ascii="Verdana" w:hAnsi="Verdana"/>
          <w:sz w:val="20"/>
          <w:szCs w:val="20"/>
        </w:rPr>
        <w:t xml:space="preserve">. Por su parte, en el Sistema Universal de Protección de Derechos Humanos, las Reglas mínimas de las Naciones Unidas sobre las medidas no privativas </w:t>
      </w:r>
      <w:r w:rsidR="005B72A1" w:rsidRPr="005C1789">
        <w:rPr>
          <w:rFonts w:ascii="Verdana" w:hAnsi="Verdana"/>
          <w:sz w:val="20"/>
          <w:szCs w:val="20"/>
        </w:rPr>
        <w:t xml:space="preserve">de </w:t>
      </w:r>
      <w:r w:rsidR="003038FE" w:rsidRPr="005C1789">
        <w:rPr>
          <w:rFonts w:ascii="Verdana" w:hAnsi="Verdana"/>
          <w:sz w:val="20"/>
          <w:szCs w:val="20"/>
        </w:rPr>
        <w:t xml:space="preserve">la </w:t>
      </w:r>
      <w:r w:rsidR="005B72A1" w:rsidRPr="005C1789">
        <w:rPr>
          <w:rFonts w:ascii="Verdana" w:hAnsi="Verdana"/>
          <w:sz w:val="20"/>
          <w:szCs w:val="20"/>
        </w:rPr>
        <w:t>libertad</w:t>
      </w:r>
      <w:r w:rsidR="00A47E86" w:rsidRPr="005C1789">
        <w:rPr>
          <w:rFonts w:ascii="Verdana" w:hAnsi="Verdana"/>
          <w:sz w:val="20"/>
          <w:szCs w:val="20"/>
        </w:rPr>
        <w:t xml:space="preserve"> se refieren a la prisión preventiva como último recurso y aclara que en el procedimiento penal “sólo se recurrirá a la prisión preventiva como último recurso, teniendo debidamente en cuenta la investigación del supuesto delito y la protección de la sociedad y de la víctima”. Además, agregan que las medidas sustitutivas de la prisión preventiva “se aplicarán lo antes posible”</w:t>
      </w:r>
      <w:r w:rsidR="00A47E86" w:rsidRPr="005C1789">
        <w:rPr>
          <w:rStyle w:val="Refdenotaalpie"/>
          <w:rFonts w:ascii="Verdana" w:hAnsi="Verdana"/>
          <w:sz w:val="20"/>
        </w:rPr>
        <w:footnoteReference w:id="92"/>
      </w:r>
      <w:r w:rsidR="00A47E86" w:rsidRPr="005C1789">
        <w:rPr>
          <w:rFonts w:ascii="Verdana" w:hAnsi="Verdana"/>
          <w:sz w:val="20"/>
          <w:szCs w:val="20"/>
        </w:rPr>
        <w:t>.</w:t>
      </w:r>
    </w:p>
    <w:p w14:paraId="0EC92EC2" w14:textId="521FC67D" w:rsidR="00641205"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ES"/>
        </w:rPr>
        <w:t xml:space="preserve">Adicionalmente, la Corte ha dicho </w:t>
      </w:r>
      <w:r w:rsidR="00B004B7" w:rsidRPr="005C1789">
        <w:rPr>
          <w:rFonts w:ascii="Verdana" w:hAnsi="Verdana"/>
          <w:sz w:val="20"/>
          <w:szCs w:val="20"/>
          <w:lang w:val="es-ES"/>
        </w:rPr>
        <w:t>-</w:t>
      </w:r>
      <w:r w:rsidRPr="005C1789">
        <w:rPr>
          <w:rFonts w:ascii="Verdana" w:hAnsi="Verdana"/>
          <w:sz w:val="20"/>
          <w:szCs w:val="20"/>
          <w:lang w:val="es-ES"/>
        </w:rPr>
        <w:t>e</w:t>
      </w:r>
      <w:r w:rsidRPr="005C1789">
        <w:rPr>
          <w:rFonts w:ascii="Verdana" w:hAnsi="Verdana"/>
          <w:sz w:val="20"/>
          <w:szCs w:val="20"/>
        </w:rPr>
        <w:t xml:space="preserve">n los casos que se impongan medidas privativas </w:t>
      </w:r>
      <w:r w:rsidR="005B72A1" w:rsidRPr="005C1789">
        <w:rPr>
          <w:rFonts w:ascii="Verdana" w:hAnsi="Verdana"/>
          <w:sz w:val="20"/>
          <w:szCs w:val="20"/>
        </w:rPr>
        <w:t>de libertad</w:t>
      </w:r>
      <w:r w:rsidR="00B004B7" w:rsidRPr="005C1789">
        <w:rPr>
          <w:rFonts w:ascii="Verdana" w:hAnsi="Verdana"/>
          <w:sz w:val="20"/>
          <w:szCs w:val="20"/>
        </w:rPr>
        <w:t>-</w:t>
      </w:r>
      <w:r w:rsidRPr="005C1789">
        <w:rPr>
          <w:rFonts w:ascii="Verdana" w:hAnsi="Verdana"/>
          <w:sz w:val="20"/>
          <w:szCs w:val="20"/>
        </w:rPr>
        <w:t>, que el artículo 7.5 establece límites temporales a su duración</w:t>
      </w:r>
      <w:r w:rsidR="006070AD" w:rsidRPr="005C1789">
        <w:rPr>
          <w:rFonts w:ascii="Verdana" w:hAnsi="Verdana"/>
          <w:sz w:val="20"/>
          <w:szCs w:val="20"/>
        </w:rPr>
        <w:t>;</w:t>
      </w:r>
      <w:r w:rsidRPr="005C1789">
        <w:rPr>
          <w:rFonts w:ascii="Verdana" w:hAnsi="Verdana"/>
          <w:sz w:val="20"/>
          <w:szCs w:val="20"/>
        </w:rPr>
        <w:t xml:space="preserve"> por ende, cuando el plazo de la prisión preventiva sobrepasa lo razonable,</w:t>
      </w:r>
      <w:r w:rsidR="00EB732D" w:rsidRPr="005C1789">
        <w:rPr>
          <w:rFonts w:ascii="Verdana" w:hAnsi="Verdana"/>
          <w:sz w:val="20"/>
          <w:szCs w:val="20"/>
        </w:rPr>
        <w:t xml:space="preserve"> </w:t>
      </w:r>
      <w:r w:rsidR="00F54EAF" w:rsidRPr="005C1789">
        <w:rPr>
          <w:rFonts w:ascii="Verdana" w:hAnsi="Verdana"/>
          <w:sz w:val="20"/>
          <w:szCs w:val="20"/>
        </w:rPr>
        <w:t>procede</w:t>
      </w:r>
      <w:r w:rsidRPr="005C1789">
        <w:rPr>
          <w:rFonts w:ascii="Verdana" w:hAnsi="Verdana"/>
          <w:sz w:val="20"/>
          <w:szCs w:val="20"/>
        </w:rPr>
        <w:t xml:space="preserve"> limitar la libertad del imputado con otras medidas menos lesivas que aseguren la comparecencia al juicio. Los criterios que podrán ser tenidos en cuenta para determinar la razonabilidad del plazo deberán tener estrecha relación con las circunstancias particulares del caso concreto. Teniendo en cuenta lo anterior, a la luz de lo dispuesto en </w:t>
      </w:r>
      <w:r w:rsidR="006070AD" w:rsidRPr="005C1789">
        <w:rPr>
          <w:rFonts w:ascii="Verdana" w:hAnsi="Verdana"/>
          <w:sz w:val="20"/>
          <w:szCs w:val="20"/>
        </w:rPr>
        <w:t>los</w:t>
      </w:r>
      <w:r w:rsidRPr="005C1789">
        <w:rPr>
          <w:rFonts w:ascii="Verdana" w:hAnsi="Verdana"/>
          <w:sz w:val="20"/>
          <w:szCs w:val="20"/>
        </w:rPr>
        <w:t xml:space="preserve"> artículo</w:t>
      </w:r>
      <w:r w:rsidR="006070AD" w:rsidRPr="005C1789">
        <w:rPr>
          <w:rFonts w:ascii="Verdana" w:hAnsi="Verdana"/>
          <w:sz w:val="20"/>
          <w:szCs w:val="20"/>
        </w:rPr>
        <w:t>s</w:t>
      </w:r>
      <w:r w:rsidRPr="005C1789">
        <w:rPr>
          <w:rFonts w:ascii="Verdana" w:hAnsi="Verdana"/>
          <w:sz w:val="20"/>
          <w:szCs w:val="20"/>
        </w:rPr>
        <w:t xml:space="preserve"> 7.3, 7.5 y 8.2 (presunción de inocencia)</w:t>
      </w:r>
      <w:r w:rsidR="00AC3AB7">
        <w:rPr>
          <w:rFonts w:ascii="Verdana" w:hAnsi="Verdana"/>
          <w:sz w:val="20"/>
          <w:szCs w:val="20"/>
        </w:rPr>
        <w:t xml:space="preserve"> de la Convención Americana</w:t>
      </w:r>
      <w:r w:rsidRPr="005C1789">
        <w:rPr>
          <w:rFonts w:ascii="Verdana" w:hAnsi="Verdana"/>
          <w:sz w:val="20"/>
          <w:szCs w:val="20"/>
        </w:rPr>
        <w:t>, la Corte considera que las autoridades internas deben propender</w:t>
      </w:r>
      <w:r w:rsidR="0062252F" w:rsidRPr="005C1789">
        <w:rPr>
          <w:rFonts w:ascii="Verdana" w:hAnsi="Verdana"/>
          <w:sz w:val="20"/>
          <w:szCs w:val="20"/>
        </w:rPr>
        <w:t xml:space="preserve"> a</w:t>
      </w:r>
      <w:r w:rsidRPr="005C1789">
        <w:rPr>
          <w:rFonts w:ascii="Verdana" w:hAnsi="Verdana"/>
          <w:sz w:val="20"/>
          <w:szCs w:val="20"/>
        </w:rPr>
        <w:t xml:space="preserve"> la imposición de medidas alternativas a la prisión preventiva </w:t>
      </w:r>
      <w:r w:rsidR="007B7A59" w:rsidRPr="005C1789">
        <w:rPr>
          <w:rFonts w:ascii="Verdana" w:hAnsi="Verdana"/>
          <w:sz w:val="20"/>
          <w:szCs w:val="20"/>
        </w:rPr>
        <w:t>a fin de evitar</w:t>
      </w:r>
      <w:r w:rsidRPr="005C1789">
        <w:rPr>
          <w:rFonts w:ascii="Verdana" w:hAnsi="Verdana"/>
          <w:sz w:val="20"/>
          <w:szCs w:val="20"/>
        </w:rPr>
        <w:t xml:space="preserve"> que se desvirtúe el carácter excepcional de la misma</w:t>
      </w:r>
      <w:r w:rsidRPr="005C1789">
        <w:rPr>
          <w:rFonts w:ascii="Verdana" w:hAnsi="Verdana"/>
          <w:sz w:val="20"/>
          <w:szCs w:val="20"/>
          <w:vertAlign w:val="superscript"/>
        </w:rPr>
        <w:footnoteReference w:id="93"/>
      </w:r>
      <w:r w:rsidRPr="005C1789">
        <w:rPr>
          <w:rFonts w:ascii="Verdana" w:hAnsi="Verdana"/>
          <w:sz w:val="20"/>
          <w:szCs w:val="20"/>
        </w:rPr>
        <w:t xml:space="preserve">. </w:t>
      </w:r>
    </w:p>
    <w:p w14:paraId="01C1600E" w14:textId="16569810" w:rsidR="00A47E86" w:rsidRPr="005C1789" w:rsidRDefault="00A47E86" w:rsidP="00955888">
      <w:pPr>
        <w:numPr>
          <w:ilvl w:val="0"/>
          <w:numId w:val="38"/>
        </w:numPr>
        <w:spacing w:before="240" w:after="240"/>
        <w:jc w:val="both"/>
        <w:outlineLvl w:val="3"/>
        <w:rPr>
          <w:rFonts w:ascii="Verdana" w:hAnsi="Verdana"/>
          <w:i/>
          <w:sz w:val="20"/>
          <w:szCs w:val="20"/>
        </w:rPr>
      </w:pPr>
      <w:bookmarkStart w:id="94" w:name="_Toc123347534"/>
      <w:r w:rsidRPr="005C1789">
        <w:rPr>
          <w:rFonts w:ascii="Verdana" w:hAnsi="Verdana"/>
          <w:i/>
          <w:sz w:val="20"/>
          <w:szCs w:val="20"/>
        </w:rPr>
        <w:t xml:space="preserve">Deber de motivación de las medidas privativas </w:t>
      </w:r>
      <w:r w:rsidR="005B72A1" w:rsidRPr="005C1789">
        <w:rPr>
          <w:rFonts w:ascii="Verdana" w:hAnsi="Verdana"/>
          <w:i/>
          <w:sz w:val="20"/>
          <w:szCs w:val="20"/>
        </w:rPr>
        <w:t>de</w:t>
      </w:r>
      <w:r w:rsidR="003038FE" w:rsidRPr="005C1789">
        <w:rPr>
          <w:rFonts w:ascii="Verdana" w:hAnsi="Verdana"/>
          <w:i/>
          <w:sz w:val="20"/>
          <w:szCs w:val="20"/>
        </w:rPr>
        <w:t xml:space="preserve"> la</w:t>
      </w:r>
      <w:r w:rsidR="005B72A1" w:rsidRPr="005C1789">
        <w:rPr>
          <w:rFonts w:ascii="Verdana" w:hAnsi="Verdana"/>
          <w:i/>
          <w:sz w:val="20"/>
          <w:szCs w:val="20"/>
        </w:rPr>
        <w:t xml:space="preserve"> libertad</w:t>
      </w:r>
      <w:bookmarkEnd w:id="94"/>
      <w:r w:rsidRPr="005C1789">
        <w:rPr>
          <w:rFonts w:ascii="Verdana" w:hAnsi="Verdana"/>
          <w:i/>
          <w:sz w:val="20"/>
          <w:szCs w:val="20"/>
        </w:rPr>
        <w:t xml:space="preserve"> </w:t>
      </w:r>
    </w:p>
    <w:p w14:paraId="728E9B2D" w14:textId="13145962" w:rsidR="00A47E86" w:rsidRPr="005C1789" w:rsidRDefault="00A47E86" w:rsidP="00955888">
      <w:pPr>
        <w:numPr>
          <w:ilvl w:val="0"/>
          <w:numId w:val="2"/>
        </w:numPr>
        <w:spacing w:before="120" w:after="120"/>
        <w:ind w:left="0" w:firstLine="0"/>
        <w:jc w:val="both"/>
        <w:rPr>
          <w:rFonts w:ascii="Verdana" w:hAnsi="Verdana"/>
          <w:sz w:val="20"/>
          <w:szCs w:val="20"/>
          <w:lang w:val="es-ES" w:eastAsia="es-ES"/>
        </w:rPr>
      </w:pPr>
      <w:r w:rsidRPr="005C1789">
        <w:rPr>
          <w:rFonts w:ascii="Verdana" w:hAnsi="Verdana"/>
          <w:sz w:val="20"/>
          <w:szCs w:val="20"/>
          <w:lang w:val="es-MX" w:eastAsia="es-ES"/>
        </w:rPr>
        <w:lastRenderedPageBreak/>
        <w:t>Finalmente, en relación con el tercer punto</w:t>
      </w:r>
      <w:r w:rsidRPr="005C1789">
        <w:rPr>
          <w:rFonts w:ascii="Verdana" w:hAnsi="Verdana"/>
          <w:sz w:val="20"/>
          <w:szCs w:val="20"/>
          <w:lang w:val="es-ES" w:eastAsia="es-ES"/>
        </w:rPr>
        <w:t xml:space="preserve">, la Corte ha considerado que cualquier restricción a la libertad que no contenga una motivación suficiente (artículo 8.1) que permita evaluar si se ajusta a las condiciones señaladas será arbitraria y, por tanto, viola el artículo 7.3 de la Convención. De este modo, para que se respete la presunción de inocencia (artículo 8.2) al ordenarse medidas cautelares restrictivas </w:t>
      </w:r>
      <w:r w:rsidR="005B72A1" w:rsidRPr="005C1789">
        <w:rPr>
          <w:rFonts w:ascii="Verdana" w:hAnsi="Verdana"/>
          <w:sz w:val="20"/>
          <w:szCs w:val="20"/>
          <w:lang w:val="es-ES" w:eastAsia="es-ES"/>
        </w:rPr>
        <w:t xml:space="preserve">de </w:t>
      </w:r>
      <w:r w:rsidR="003038FE" w:rsidRPr="005C1789">
        <w:rPr>
          <w:rFonts w:ascii="Verdana" w:hAnsi="Verdana"/>
          <w:sz w:val="20"/>
          <w:szCs w:val="20"/>
          <w:lang w:val="es-ES" w:eastAsia="es-ES"/>
        </w:rPr>
        <w:t xml:space="preserve">la </w:t>
      </w:r>
      <w:r w:rsidR="005B72A1" w:rsidRPr="005C1789">
        <w:rPr>
          <w:rFonts w:ascii="Verdana" w:hAnsi="Verdana"/>
          <w:sz w:val="20"/>
          <w:szCs w:val="20"/>
          <w:lang w:val="es-ES" w:eastAsia="es-ES"/>
        </w:rPr>
        <w:t>libertad</w:t>
      </w:r>
      <w:r w:rsidRPr="005C1789">
        <w:rPr>
          <w:rFonts w:ascii="Verdana" w:hAnsi="Verdana"/>
          <w:sz w:val="20"/>
          <w:szCs w:val="20"/>
          <w:lang w:val="es-ES" w:eastAsia="es-ES"/>
        </w:rPr>
        <w:t>, es preciso que el Estado fundamente y acredite, de manera clara y motivada, según cada caso concreto, la existencia de los referidos requisitos exigidos por la Convención</w:t>
      </w:r>
      <w:r w:rsidRPr="005C1789">
        <w:rPr>
          <w:rFonts w:ascii="Verdana" w:hAnsi="Verdana"/>
          <w:sz w:val="20"/>
          <w:szCs w:val="20"/>
          <w:vertAlign w:val="superscript"/>
          <w:lang w:val="es-ES" w:eastAsia="es-ES"/>
        </w:rPr>
        <w:footnoteReference w:id="94"/>
      </w:r>
      <w:r w:rsidRPr="005C1789">
        <w:rPr>
          <w:rFonts w:ascii="Verdana" w:hAnsi="Verdana"/>
          <w:sz w:val="20"/>
          <w:szCs w:val="20"/>
          <w:lang w:val="es-ES" w:eastAsia="es-ES"/>
        </w:rPr>
        <w:t xml:space="preserve">. </w:t>
      </w:r>
      <w:r w:rsidRPr="005C1789">
        <w:rPr>
          <w:rFonts w:ascii="Verdana" w:hAnsi="Verdana"/>
          <w:spacing w:val="-2"/>
          <w:sz w:val="20"/>
          <w:szCs w:val="20"/>
          <w:lang w:bidi="en-US"/>
        </w:rPr>
        <w:t xml:space="preserve">Proceder de otro modo equivaldría a anticipar la pena, lo cual contraviene principios generales del derecho, ampliamente reconocidos, entre ellos, el </w:t>
      </w:r>
      <w:r w:rsidR="00D807DF" w:rsidRPr="005C1789">
        <w:rPr>
          <w:rFonts w:ascii="Verdana" w:hAnsi="Verdana"/>
          <w:spacing w:val="-2"/>
          <w:sz w:val="20"/>
          <w:szCs w:val="20"/>
          <w:lang w:bidi="en-US"/>
        </w:rPr>
        <w:t xml:space="preserve">derecho </w:t>
      </w:r>
      <w:r w:rsidR="00D708DF" w:rsidRPr="005C1789">
        <w:rPr>
          <w:rFonts w:ascii="Verdana" w:hAnsi="Verdana"/>
          <w:spacing w:val="-2"/>
          <w:sz w:val="20"/>
          <w:szCs w:val="20"/>
          <w:lang w:bidi="en-US"/>
        </w:rPr>
        <w:t>a la</w:t>
      </w:r>
      <w:r w:rsidR="00D807DF" w:rsidRPr="005C1789">
        <w:rPr>
          <w:rFonts w:ascii="Verdana" w:hAnsi="Verdana"/>
          <w:spacing w:val="-2"/>
          <w:sz w:val="20"/>
          <w:szCs w:val="20"/>
          <w:lang w:bidi="en-US"/>
        </w:rPr>
        <w:t xml:space="preserve"> </w:t>
      </w:r>
      <w:r w:rsidRPr="005C1789">
        <w:rPr>
          <w:rFonts w:ascii="Verdana" w:hAnsi="Verdana"/>
          <w:spacing w:val="-2"/>
          <w:sz w:val="20"/>
          <w:szCs w:val="20"/>
          <w:lang w:bidi="en-US"/>
        </w:rPr>
        <w:t>presunción de inocencia</w:t>
      </w:r>
      <w:r w:rsidRPr="005C1789">
        <w:rPr>
          <w:rStyle w:val="Refdenotaalpie"/>
          <w:rFonts w:ascii="Verdana" w:hAnsi="Verdana"/>
          <w:spacing w:val="-2"/>
          <w:sz w:val="20"/>
          <w:lang w:bidi="en-US"/>
        </w:rPr>
        <w:footnoteReference w:id="95"/>
      </w:r>
      <w:r w:rsidRPr="005C1789">
        <w:rPr>
          <w:rFonts w:ascii="Verdana" w:hAnsi="Verdana"/>
          <w:spacing w:val="-2"/>
          <w:sz w:val="20"/>
          <w:szCs w:val="20"/>
          <w:lang w:bidi="en-US"/>
        </w:rPr>
        <w:t>.</w:t>
      </w:r>
    </w:p>
    <w:p w14:paraId="63E3FFFD" w14:textId="6EB6AE2A" w:rsidR="00A47E86" w:rsidRPr="005C1789" w:rsidRDefault="00A47E86" w:rsidP="00955888">
      <w:pPr>
        <w:numPr>
          <w:ilvl w:val="0"/>
          <w:numId w:val="2"/>
        </w:numPr>
        <w:spacing w:before="120" w:after="120"/>
        <w:ind w:left="0" w:firstLine="0"/>
        <w:jc w:val="both"/>
        <w:rPr>
          <w:rFonts w:ascii="Verdana" w:hAnsi="Verdana"/>
          <w:sz w:val="20"/>
          <w:szCs w:val="20"/>
          <w:lang w:val="es-ES"/>
        </w:rPr>
      </w:pPr>
      <w:r w:rsidRPr="005C1789">
        <w:rPr>
          <w:rFonts w:ascii="Verdana" w:hAnsi="Verdana"/>
          <w:sz w:val="20"/>
          <w:szCs w:val="20"/>
          <w:lang w:val="es-ES" w:eastAsia="es-ES"/>
        </w:rPr>
        <w:t xml:space="preserve">Del mismo modo, </w:t>
      </w:r>
      <w:r w:rsidRPr="005C1789">
        <w:rPr>
          <w:rFonts w:ascii="Verdana" w:hAnsi="Verdana"/>
          <w:sz w:val="20"/>
          <w:szCs w:val="20"/>
          <w:lang w:val="es-ES"/>
        </w:rPr>
        <w:t xml:space="preserve">la Corte ha asumido la postura según la cual la </w:t>
      </w:r>
      <w:r w:rsidRPr="005C1789">
        <w:rPr>
          <w:rFonts w:ascii="Verdana" w:hAnsi="Verdana"/>
          <w:sz w:val="20"/>
          <w:szCs w:val="20"/>
        </w:rPr>
        <w:t xml:space="preserve">prisión </w:t>
      </w:r>
      <w:r w:rsidRPr="005C1789">
        <w:rPr>
          <w:rFonts w:ascii="Verdana" w:hAnsi="Verdana"/>
          <w:sz w:val="20"/>
          <w:szCs w:val="20"/>
          <w:lang w:val="es-ES"/>
        </w:rPr>
        <w:t>preventiva debe estar sometida a revisión periódica, de tal forma que no se prolongue cuando no subsistan las razones que motivaron su adopción</w:t>
      </w:r>
      <w:r w:rsidRPr="005C1789">
        <w:rPr>
          <w:rFonts w:ascii="Verdana" w:hAnsi="Verdana"/>
          <w:sz w:val="20"/>
          <w:szCs w:val="20"/>
          <w:vertAlign w:val="superscript"/>
          <w:lang w:val="es-ES"/>
        </w:rPr>
        <w:footnoteReference w:id="96"/>
      </w:r>
      <w:r w:rsidRPr="005C1789">
        <w:rPr>
          <w:rFonts w:ascii="Verdana" w:hAnsi="Verdana"/>
          <w:sz w:val="20"/>
          <w:szCs w:val="20"/>
          <w:lang w:val="es-ES"/>
        </w:rPr>
        <w:t>. Puntualment</w:t>
      </w:r>
      <w:r w:rsidR="0042023C" w:rsidRPr="005C1789">
        <w:rPr>
          <w:rFonts w:ascii="Verdana" w:hAnsi="Verdana"/>
          <w:sz w:val="20"/>
          <w:szCs w:val="20"/>
          <w:lang w:val="es-ES"/>
        </w:rPr>
        <w:t xml:space="preserve">e ha afirmado </w:t>
      </w:r>
      <w:r w:rsidRPr="005C1789">
        <w:rPr>
          <w:rFonts w:ascii="Verdana" w:hAnsi="Verdana"/>
          <w:sz w:val="20"/>
          <w:szCs w:val="20"/>
          <w:lang w:val="es-ES"/>
        </w:rPr>
        <w:t xml:space="preserve">que el juez no tiene que esperar hasta el momento de dictar sentencia absolutoria para que una persona detenida recupere su libertad, sino que debe valorar periódicamente si las causas, necesidad y proporcionalidad de la medida se mantienen, y si el plazo de la privación a la libertad ha sobrepasado los límites que imponen la ley y la razón. En cualquier momento en que parezca que la prisión preventiva no satisface estas condiciones, deberá decretarse la libertad, sin perjuicio de que el proceso respectivo continúe. A su vez, corresponde recordar que son las autoridades nacionales las encargadas de valorar la pertinencia o no del mantenimiento de las medidas cautelares que emiten conforme a su propio ordenamiento. Al realizar esta tarea, deben ofrecer los fundamentos suficientes que permitan conocer los motivos por los cuales se mantiene la restricción </w:t>
      </w:r>
      <w:r w:rsidR="005B72A1" w:rsidRPr="005C1789">
        <w:rPr>
          <w:rFonts w:ascii="Verdana" w:hAnsi="Verdana"/>
          <w:sz w:val="20"/>
          <w:szCs w:val="20"/>
          <w:lang w:val="es-ES"/>
        </w:rPr>
        <w:t xml:space="preserve">de </w:t>
      </w:r>
      <w:r w:rsidR="003038FE" w:rsidRPr="005C1789">
        <w:rPr>
          <w:rFonts w:ascii="Verdana" w:hAnsi="Verdana"/>
          <w:sz w:val="20"/>
          <w:szCs w:val="20"/>
          <w:lang w:val="es-ES"/>
        </w:rPr>
        <w:t xml:space="preserve">la </w:t>
      </w:r>
      <w:r w:rsidR="005B72A1" w:rsidRPr="005C1789">
        <w:rPr>
          <w:rFonts w:ascii="Verdana" w:hAnsi="Verdana"/>
          <w:sz w:val="20"/>
          <w:szCs w:val="20"/>
          <w:lang w:val="es-ES"/>
        </w:rPr>
        <w:t>libertad</w:t>
      </w:r>
      <w:r w:rsidRPr="005C1789">
        <w:rPr>
          <w:rFonts w:ascii="Verdana" w:hAnsi="Verdana"/>
          <w:sz w:val="20"/>
          <w:szCs w:val="20"/>
          <w:lang w:val="es-ES"/>
        </w:rPr>
        <w:t xml:space="preserve">, la cual, para que no se erija en una privación de libertad arbitraria de acuerdo con el artículo 7.3 de la Convención Americana, debe estar fundada en la necesidad de asegurar que el detenido no impedirá el desarrollo eficiente de las investigaciones ni eludirá la acción de la justicia. De igual forma, ante cada solicitud de liberación del detenido, el juez tiene que motivar (artículo 8.1), aunque sea en forma mínima las razones por las cuales considera que la prisión preventiva debe mantenerse. No </w:t>
      </w:r>
      <w:r w:rsidR="005653EA" w:rsidRPr="005C1789">
        <w:rPr>
          <w:rFonts w:ascii="Verdana" w:hAnsi="Verdana"/>
          <w:sz w:val="20"/>
          <w:szCs w:val="20"/>
          <w:lang w:val="es-ES"/>
        </w:rPr>
        <w:t>obstante,</w:t>
      </w:r>
      <w:r w:rsidRPr="005C1789">
        <w:rPr>
          <w:rFonts w:ascii="Verdana" w:hAnsi="Verdana"/>
          <w:sz w:val="20"/>
          <w:szCs w:val="20"/>
          <w:lang w:val="es-ES"/>
        </w:rPr>
        <w:t xml:space="preserve"> lo anterior, aun cuando medien razones para mantener a una persona en prisión preventiva, el período de la privación a la libertad no debe exceder el límite de lo razonable conforme el artículo 7.5 de la Convención</w:t>
      </w:r>
      <w:r w:rsidRPr="005C1789">
        <w:rPr>
          <w:rFonts w:ascii="Verdana" w:hAnsi="Verdana"/>
          <w:sz w:val="20"/>
          <w:szCs w:val="20"/>
          <w:vertAlign w:val="superscript"/>
          <w:lang w:val="es-ES"/>
        </w:rPr>
        <w:footnoteReference w:id="97"/>
      </w:r>
      <w:r w:rsidRPr="005C1789">
        <w:rPr>
          <w:rFonts w:ascii="Verdana" w:hAnsi="Verdana"/>
          <w:sz w:val="20"/>
          <w:szCs w:val="20"/>
          <w:lang w:val="es-ES"/>
        </w:rPr>
        <w:t xml:space="preserve">. </w:t>
      </w:r>
    </w:p>
    <w:p w14:paraId="64E581BE" w14:textId="0EA8EED5" w:rsidR="003F2179" w:rsidRPr="005C1789" w:rsidRDefault="00A47E86" w:rsidP="00955888">
      <w:pPr>
        <w:pStyle w:val="Ttulo3"/>
        <w:spacing w:before="240" w:after="240"/>
        <w:ind w:left="567"/>
        <w:jc w:val="both"/>
        <w:rPr>
          <w:rFonts w:ascii="Verdana" w:hAnsi="Verdana"/>
          <w:b w:val="0"/>
          <w:snapToGrid w:val="0"/>
          <w:spacing w:val="-2"/>
          <w:sz w:val="20"/>
          <w:szCs w:val="20"/>
          <w:lang w:eastAsia="es-ES"/>
        </w:rPr>
      </w:pPr>
      <w:bookmarkStart w:id="95" w:name="_Toc123347535"/>
      <w:r w:rsidRPr="005C1789">
        <w:rPr>
          <w:rFonts w:ascii="Verdana" w:hAnsi="Verdana"/>
          <w:b w:val="0"/>
          <w:snapToGrid w:val="0"/>
          <w:spacing w:val="-2"/>
          <w:sz w:val="20"/>
          <w:szCs w:val="20"/>
          <w:lang w:eastAsia="es-ES"/>
        </w:rPr>
        <w:t>B.</w:t>
      </w:r>
      <w:r w:rsidR="003F2179" w:rsidRPr="005C1789">
        <w:rPr>
          <w:rFonts w:ascii="Verdana" w:hAnsi="Verdana"/>
          <w:b w:val="0"/>
          <w:snapToGrid w:val="0"/>
          <w:spacing w:val="-2"/>
          <w:sz w:val="20"/>
          <w:szCs w:val="20"/>
          <w:lang w:eastAsia="es-ES"/>
        </w:rPr>
        <w:t>2</w:t>
      </w:r>
      <w:r w:rsidRPr="005C1789">
        <w:rPr>
          <w:rFonts w:ascii="Verdana" w:hAnsi="Verdana"/>
          <w:b w:val="0"/>
          <w:snapToGrid w:val="0"/>
          <w:spacing w:val="-2"/>
          <w:sz w:val="20"/>
          <w:szCs w:val="20"/>
          <w:lang w:eastAsia="es-ES"/>
        </w:rPr>
        <w:t>.</w:t>
      </w:r>
      <w:r w:rsidR="003F2179" w:rsidRPr="005C1789">
        <w:rPr>
          <w:rFonts w:ascii="Verdana" w:hAnsi="Verdana"/>
          <w:b w:val="0"/>
          <w:snapToGrid w:val="0"/>
          <w:spacing w:val="-2"/>
          <w:sz w:val="20"/>
          <w:szCs w:val="20"/>
          <w:lang w:eastAsia="es-ES"/>
        </w:rPr>
        <w:t xml:space="preserve"> Sobre </w:t>
      </w:r>
      <w:r w:rsidR="00D8715E" w:rsidRPr="005C1789">
        <w:rPr>
          <w:rFonts w:ascii="Verdana" w:hAnsi="Verdana"/>
          <w:b w:val="0"/>
          <w:snapToGrid w:val="0"/>
          <w:spacing w:val="-2"/>
          <w:sz w:val="20"/>
          <w:szCs w:val="20"/>
          <w:lang w:eastAsia="es-ES"/>
        </w:rPr>
        <w:t xml:space="preserve">la compatibilidad de </w:t>
      </w:r>
      <w:r w:rsidR="003F2179" w:rsidRPr="005C1789">
        <w:rPr>
          <w:rFonts w:ascii="Verdana" w:hAnsi="Verdana"/>
          <w:b w:val="0"/>
          <w:snapToGrid w:val="0"/>
          <w:spacing w:val="-2"/>
          <w:sz w:val="20"/>
          <w:szCs w:val="20"/>
          <w:lang w:eastAsia="es-ES"/>
        </w:rPr>
        <w:t>las figuras del arraigo y de la prisión preventiva</w:t>
      </w:r>
      <w:r w:rsidR="00D8715E" w:rsidRPr="005C1789">
        <w:rPr>
          <w:rFonts w:ascii="Verdana" w:hAnsi="Verdana"/>
          <w:b w:val="0"/>
          <w:snapToGrid w:val="0"/>
          <w:spacing w:val="-2"/>
          <w:sz w:val="20"/>
          <w:szCs w:val="20"/>
          <w:lang w:eastAsia="es-ES"/>
        </w:rPr>
        <w:t xml:space="preserve"> con la Convención Americana</w:t>
      </w:r>
      <w:bookmarkEnd w:id="95"/>
    </w:p>
    <w:p w14:paraId="2F878957" w14:textId="6E340B1A" w:rsidR="00D73A5C" w:rsidRPr="005C1789" w:rsidRDefault="00526A50" w:rsidP="00955888">
      <w:pPr>
        <w:pStyle w:val="Prrafodelista"/>
        <w:numPr>
          <w:ilvl w:val="0"/>
          <w:numId w:val="2"/>
        </w:numPr>
        <w:spacing w:before="120" w:after="120"/>
        <w:ind w:left="0" w:firstLine="0"/>
        <w:contextualSpacing w:val="0"/>
        <w:jc w:val="both"/>
        <w:rPr>
          <w:rFonts w:ascii="Verdana" w:hAnsi="Verdana"/>
          <w:sz w:val="20"/>
          <w:szCs w:val="20"/>
        </w:rPr>
      </w:pPr>
      <w:bookmarkStart w:id="96" w:name="_Ref308535770"/>
      <w:r w:rsidRPr="005C1789">
        <w:rPr>
          <w:rFonts w:ascii="Verdana" w:hAnsi="Verdana"/>
          <w:sz w:val="20"/>
          <w:szCs w:val="20"/>
        </w:rPr>
        <w:t>Se alega por parte de los representantes y de la Comisión</w:t>
      </w:r>
      <w:r w:rsidR="00D73A5C" w:rsidRPr="005C1789">
        <w:rPr>
          <w:rFonts w:ascii="Verdana" w:hAnsi="Verdana"/>
          <w:sz w:val="20"/>
          <w:szCs w:val="20"/>
        </w:rPr>
        <w:t xml:space="preserve"> que la figura del arraigo contenida en </w:t>
      </w:r>
      <w:r w:rsidR="005733BA" w:rsidRPr="005C1789">
        <w:rPr>
          <w:rFonts w:ascii="Verdana" w:hAnsi="Verdana"/>
          <w:sz w:val="20"/>
          <w:szCs w:val="20"/>
        </w:rPr>
        <w:t xml:space="preserve">el artículo 12 de la Ley Federal contra la Delincuencia Organizada de 28 de octubre de 1996 y en el </w:t>
      </w:r>
      <w:r w:rsidRPr="005C1789">
        <w:rPr>
          <w:rFonts w:ascii="Verdana" w:hAnsi="Verdana"/>
          <w:sz w:val="20"/>
          <w:szCs w:val="20"/>
        </w:rPr>
        <w:t>artículo 133 bis al Código Federal Procesal Penal de diciembre de 1993</w:t>
      </w:r>
      <w:r w:rsidR="005733BA" w:rsidRPr="005C1789">
        <w:rPr>
          <w:rFonts w:ascii="Verdana" w:hAnsi="Verdana"/>
          <w:sz w:val="20"/>
          <w:szCs w:val="20"/>
        </w:rPr>
        <w:t>,</w:t>
      </w:r>
      <w:r w:rsidRPr="005C1789">
        <w:rPr>
          <w:rFonts w:ascii="Verdana" w:hAnsi="Verdana"/>
          <w:sz w:val="20"/>
          <w:szCs w:val="20"/>
        </w:rPr>
        <w:t xml:space="preserve"> </w:t>
      </w:r>
      <w:r w:rsidR="005733BA" w:rsidRPr="005C1789">
        <w:rPr>
          <w:rFonts w:ascii="Verdana" w:hAnsi="Verdana"/>
          <w:sz w:val="20"/>
          <w:szCs w:val="20"/>
        </w:rPr>
        <w:t>normas que fueron</w:t>
      </w:r>
      <w:r w:rsidR="00041AD3" w:rsidRPr="005C1789">
        <w:rPr>
          <w:rFonts w:ascii="Verdana" w:hAnsi="Verdana"/>
          <w:sz w:val="20"/>
          <w:szCs w:val="20"/>
        </w:rPr>
        <w:t xml:space="preserve"> </w:t>
      </w:r>
      <w:r w:rsidR="005733BA" w:rsidRPr="005C1789">
        <w:rPr>
          <w:rFonts w:ascii="Verdana" w:hAnsi="Verdana"/>
          <w:sz w:val="20"/>
          <w:szCs w:val="20"/>
        </w:rPr>
        <w:t>aplicadas</w:t>
      </w:r>
      <w:r w:rsidR="00D73A5C" w:rsidRPr="005C1789">
        <w:rPr>
          <w:rFonts w:ascii="Verdana" w:hAnsi="Verdana"/>
          <w:sz w:val="20"/>
          <w:szCs w:val="20"/>
        </w:rPr>
        <w:t xml:space="preserve"> en el presente caso, no </w:t>
      </w:r>
      <w:r w:rsidR="005733BA" w:rsidRPr="005C1789">
        <w:rPr>
          <w:rFonts w:ascii="Verdana" w:hAnsi="Verdana"/>
          <w:sz w:val="20"/>
          <w:szCs w:val="20"/>
        </w:rPr>
        <w:t>son</w:t>
      </w:r>
      <w:r w:rsidR="00D73A5C" w:rsidRPr="005C1789">
        <w:rPr>
          <w:rFonts w:ascii="Verdana" w:hAnsi="Verdana"/>
          <w:sz w:val="20"/>
          <w:szCs w:val="20"/>
        </w:rPr>
        <w:t xml:space="preserve"> acorde</w:t>
      </w:r>
      <w:r w:rsidR="005733BA" w:rsidRPr="005C1789">
        <w:rPr>
          <w:rFonts w:ascii="Verdana" w:hAnsi="Verdana"/>
          <w:sz w:val="20"/>
          <w:szCs w:val="20"/>
        </w:rPr>
        <w:t>s</w:t>
      </w:r>
      <w:r w:rsidR="00D73A5C" w:rsidRPr="005C1789">
        <w:rPr>
          <w:rFonts w:ascii="Verdana" w:hAnsi="Verdana"/>
          <w:sz w:val="20"/>
          <w:szCs w:val="20"/>
        </w:rPr>
        <w:t xml:space="preserve"> al contenido de la Convención Americana </w:t>
      </w:r>
      <w:r w:rsidR="00A8500A">
        <w:rPr>
          <w:rFonts w:ascii="Verdana" w:hAnsi="Verdana"/>
          <w:sz w:val="20"/>
          <w:szCs w:val="20"/>
        </w:rPr>
        <w:t xml:space="preserve">pues </w:t>
      </w:r>
      <w:r w:rsidR="00D73A5C" w:rsidRPr="005C1789">
        <w:rPr>
          <w:rFonts w:ascii="Verdana" w:hAnsi="Verdana"/>
          <w:sz w:val="20"/>
          <w:szCs w:val="20"/>
        </w:rPr>
        <w:t>vulnera</w:t>
      </w:r>
      <w:r w:rsidR="005733BA" w:rsidRPr="005C1789">
        <w:rPr>
          <w:rFonts w:ascii="Verdana" w:hAnsi="Verdana"/>
          <w:sz w:val="20"/>
          <w:szCs w:val="20"/>
        </w:rPr>
        <w:t>n</w:t>
      </w:r>
      <w:r w:rsidR="00D73A5C" w:rsidRPr="005C1789">
        <w:rPr>
          <w:rFonts w:ascii="Verdana" w:hAnsi="Verdana"/>
          <w:sz w:val="20"/>
          <w:szCs w:val="20"/>
        </w:rPr>
        <w:t xml:space="preserve"> los derechos a la libertad personal</w:t>
      </w:r>
      <w:r w:rsidR="00A8500A">
        <w:rPr>
          <w:rFonts w:ascii="Verdana" w:hAnsi="Verdana"/>
          <w:sz w:val="20"/>
          <w:szCs w:val="20"/>
        </w:rPr>
        <w:t>,</w:t>
      </w:r>
      <w:r w:rsidR="00711E8F">
        <w:rPr>
          <w:rFonts w:ascii="Verdana" w:hAnsi="Verdana"/>
          <w:sz w:val="20"/>
          <w:szCs w:val="20"/>
        </w:rPr>
        <w:t xml:space="preserve"> </w:t>
      </w:r>
      <w:r w:rsidR="00D73A5C" w:rsidRPr="005C1789">
        <w:rPr>
          <w:rFonts w:ascii="Verdana" w:hAnsi="Verdana"/>
          <w:sz w:val="20"/>
          <w:szCs w:val="20"/>
        </w:rPr>
        <w:t xml:space="preserve">a la presunción de inocencia y la obligación de adoptar </w:t>
      </w:r>
      <w:r w:rsidR="00D73A5C" w:rsidRPr="005C1789">
        <w:rPr>
          <w:rFonts w:ascii="Verdana" w:hAnsi="Verdana" w:cs="Verdana"/>
          <w:sz w:val="20"/>
          <w:szCs w:val="20"/>
        </w:rPr>
        <w:t>disposiciones</w:t>
      </w:r>
      <w:r w:rsidR="00D73A5C" w:rsidRPr="005C1789">
        <w:rPr>
          <w:rFonts w:ascii="Verdana" w:hAnsi="Verdana"/>
          <w:sz w:val="20"/>
          <w:szCs w:val="20"/>
        </w:rPr>
        <w:t xml:space="preserve"> de derecho interno (artículos 7, 8.2 y 2 de la Convención).</w:t>
      </w:r>
      <w:r w:rsidRPr="005C1789">
        <w:rPr>
          <w:rFonts w:ascii="Verdana" w:hAnsi="Verdana"/>
          <w:sz w:val="20"/>
          <w:szCs w:val="20"/>
        </w:rPr>
        <w:t xml:space="preserve"> Los representantes llegaron a conclusiones similares con respecto a la figura de la prisión preventiva </w:t>
      </w:r>
      <w:r w:rsidR="005733BA" w:rsidRPr="005C1789">
        <w:rPr>
          <w:rFonts w:ascii="Verdana" w:hAnsi="Verdana"/>
          <w:sz w:val="20"/>
          <w:szCs w:val="20"/>
        </w:rPr>
        <w:t>contenida en la Ley Federal contra la Delincuencia Organizada</w:t>
      </w:r>
      <w:r w:rsidRPr="005C1789">
        <w:rPr>
          <w:rFonts w:ascii="Verdana" w:hAnsi="Verdana"/>
          <w:sz w:val="20"/>
          <w:szCs w:val="20"/>
        </w:rPr>
        <w:t xml:space="preserve">. </w:t>
      </w:r>
      <w:r w:rsidR="00D73A5C" w:rsidRPr="005C1789">
        <w:rPr>
          <w:rFonts w:ascii="Verdana" w:hAnsi="Verdana"/>
          <w:sz w:val="20"/>
          <w:szCs w:val="20"/>
        </w:rPr>
        <w:t xml:space="preserve">De acuerdo con lo anterior, corresponde por tanto examinar </w:t>
      </w:r>
      <w:r w:rsidRPr="005C1789">
        <w:rPr>
          <w:rFonts w:ascii="Verdana" w:hAnsi="Verdana"/>
          <w:sz w:val="20"/>
          <w:szCs w:val="20"/>
        </w:rPr>
        <w:t xml:space="preserve">esas leyes, </w:t>
      </w:r>
      <w:r w:rsidR="00D73A5C" w:rsidRPr="005C1789">
        <w:rPr>
          <w:rFonts w:ascii="Verdana" w:hAnsi="Verdana"/>
          <w:sz w:val="20"/>
          <w:szCs w:val="20"/>
        </w:rPr>
        <w:t xml:space="preserve">y determinar </w:t>
      </w:r>
      <w:r w:rsidRPr="005C1789">
        <w:rPr>
          <w:rFonts w:ascii="Verdana" w:hAnsi="Verdana"/>
          <w:sz w:val="20"/>
          <w:szCs w:val="20"/>
        </w:rPr>
        <w:t>si las mismas</w:t>
      </w:r>
      <w:r w:rsidR="00D73A5C" w:rsidRPr="005C1789">
        <w:rPr>
          <w:rFonts w:ascii="Verdana" w:hAnsi="Verdana"/>
          <w:sz w:val="20"/>
          <w:szCs w:val="20"/>
        </w:rPr>
        <w:t xml:space="preserve"> </w:t>
      </w:r>
      <w:r w:rsidR="00D73A5C" w:rsidRPr="005C1789">
        <w:rPr>
          <w:rFonts w:ascii="Verdana" w:hAnsi="Verdana" w:cs="Verdana"/>
          <w:sz w:val="20"/>
          <w:szCs w:val="20"/>
        </w:rPr>
        <w:t>resulta</w:t>
      </w:r>
      <w:r w:rsidRPr="005C1789">
        <w:rPr>
          <w:rFonts w:ascii="Verdana" w:hAnsi="Verdana" w:cs="Verdana"/>
          <w:sz w:val="20"/>
          <w:szCs w:val="20"/>
        </w:rPr>
        <w:t>n</w:t>
      </w:r>
      <w:r w:rsidR="00D73A5C" w:rsidRPr="005C1789">
        <w:rPr>
          <w:rFonts w:ascii="Verdana" w:hAnsi="Verdana"/>
          <w:sz w:val="20"/>
          <w:szCs w:val="20"/>
        </w:rPr>
        <w:t xml:space="preserve"> contrari</w:t>
      </w:r>
      <w:r w:rsidR="003D706A" w:rsidRPr="005C1789">
        <w:rPr>
          <w:rFonts w:ascii="Verdana" w:hAnsi="Verdana"/>
          <w:sz w:val="20"/>
          <w:szCs w:val="20"/>
        </w:rPr>
        <w:t>as</w:t>
      </w:r>
      <w:r w:rsidR="00D73A5C" w:rsidRPr="005C1789">
        <w:rPr>
          <w:rFonts w:ascii="Verdana" w:hAnsi="Verdana"/>
          <w:sz w:val="20"/>
          <w:szCs w:val="20"/>
        </w:rPr>
        <w:t xml:space="preserve"> </w:t>
      </w:r>
      <w:r w:rsidRPr="005C1789">
        <w:rPr>
          <w:rFonts w:ascii="Verdana" w:hAnsi="Verdana"/>
          <w:sz w:val="20"/>
          <w:szCs w:val="20"/>
        </w:rPr>
        <w:t>al derecho a la libertad personal y a la presunción de inocencia</w:t>
      </w:r>
      <w:r w:rsidR="00D73A5C" w:rsidRPr="005C1789">
        <w:rPr>
          <w:rFonts w:ascii="Verdana" w:hAnsi="Verdana"/>
          <w:sz w:val="20"/>
          <w:szCs w:val="20"/>
        </w:rPr>
        <w:t xml:space="preserve">. </w:t>
      </w:r>
    </w:p>
    <w:p w14:paraId="37A7A1CB" w14:textId="22DE3660" w:rsidR="00184DCD" w:rsidRPr="005C1789" w:rsidRDefault="00526A50"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lang w:val="es-CO"/>
        </w:rPr>
        <w:t>Para llevar a cabo tal análisis, l</w:t>
      </w:r>
      <w:r w:rsidR="00215137" w:rsidRPr="005C1789">
        <w:rPr>
          <w:rFonts w:ascii="Verdana" w:hAnsi="Verdana"/>
          <w:sz w:val="20"/>
          <w:szCs w:val="20"/>
          <w:lang w:val="es-CO"/>
        </w:rPr>
        <w:t xml:space="preserve">a Corte recuerda que </w:t>
      </w:r>
      <w:r w:rsidR="00184DCD" w:rsidRPr="005C1789">
        <w:rPr>
          <w:rFonts w:ascii="Verdana" w:hAnsi="Verdana"/>
          <w:sz w:val="20"/>
          <w:szCs w:val="20"/>
          <w:lang w:val="es-CO"/>
        </w:rPr>
        <w:t xml:space="preserve">el artículo 2 de la Convención obliga a los </w:t>
      </w:r>
      <w:proofErr w:type="gramStart"/>
      <w:r w:rsidR="00184DCD" w:rsidRPr="005C1789">
        <w:rPr>
          <w:rFonts w:ascii="Verdana" w:hAnsi="Verdana"/>
          <w:sz w:val="20"/>
          <w:szCs w:val="20"/>
          <w:lang w:val="es-CO"/>
        </w:rPr>
        <w:t>Estados Partes</w:t>
      </w:r>
      <w:proofErr w:type="gramEnd"/>
      <w:r w:rsidR="00184DCD" w:rsidRPr="005C1789">
        <w:rPr>
          <w:rFonts w:ascii="Verdana" w:hAnsi="Verdana"/>
          <w:sz w:val="20"/>
          <w:szCs w:val="20"/>
          <w:lang w:val="es-CO"/>
        </w:rPr>
        <w:t xml:space="preserve"> a adoptar, con arreglo a sus procedimientos constitucionales y a las disposiciones de la </w:t>
      </w:r>
      <w:r w:rsidR="00184DCD" w:rsidRPr="005C1789">
        <w:rPr>
          <w:rFonts w:ascii="Verdana" w:hAnsi="Verdana"/>
          <w:sz w:val="20"/>
          <w:szCs w:val="20"/>
          <w:lang w:val="es-CO" w:eastAsia="es-ES"/>
        </w:rPr>
        <w:t>Convención</w:t>
      </w:r>
      <w:r w:rsidR="00184DCD" w:rsidRPr="005C1789">
        <w:rPr>
          <w:rFonts w:ascii="Verdana" w:hAnsi="Verdana"/>
          <w:sz w:val="20"/>
          <w:szCs w:val="20"/>
          <w:lang w:val="es-CO"/>
        </w:rPr>
        <w:t xml:space="preserve">, las medidas legislativas o de otro carácter que fueren necesarias para hacer efectivos </w:t>
      </w:r>
      <w:r w:rsidR="00184DCD" w:rsidRPr="005C1789">
        <w:rPr>
          <w:rFonts w:ascii="Verdana" w:hAnsi="Verdana"/>
          <w:sz w:val="20"/>
          <w:szCs w:val="20"/>
          <w:lang w:val="es-CO"/>
        </w:rPr>
        <w:lastRenderedPageBreak/>
        <w:t>los derechos y libertades protegidos por la Convención</w:t>
      </w:r>
      <w:r w:rsidR="00184DCD" w:rsidRPr="005C1789">
        <w:rPr>
          <w:rFonts w:ascii="Verdana" w:hAnsi="Verdana"/>
          <w:sz w:val="20"/>
          <w:szCs w:val="20"/>
          <w:vertAlign w:val="superscript"/>
          <w:lang w:val="es-ES"/>
        </w:rPr>
        <w:footnoteReference w:id="98"/>
      </w:r>
      <w:r w:rsidR="00184DCD" w:rsidRPr="005C1789">
        <w:rPr>
          <w:rFonts w:ascii="Verdana" w:hAnsi="Verdana"/>
          <w:sz w:val="20"/>
          <w:szCs w:val="20"/>
          <w:lang w:val="es-CO"/>
        </w:rPr>
        <w:t xml:space="preserve">. </w:t>
      </w:r>
      <w:r w:rsidR="00184DCD" w:rsidRPr="005C1789">
        <w:rPr>
          <w:rFonts w:ascii="Verdana" w:hAnsi="Verdana"/>
          <w:sz w:val="20"/>
          <w:szCs w:val="20"/>
        </w:rPr>
        <w:t>Dicho deber implica la adopción de medidas en dos vertientes. Por una parte, la supresión de las normas y prácticas de cualquier naturaleza que entrañen violación a las garantías previstas en la Convención</w:t>
      </w:r>
      <w:r w:rsidR="00184DCD" w:rsidRPr="005C1789">
        <w:rPr>
          <w:rStyle w:val="Refdenotaalpie"/>
          <w:rFonts w:ascii="Verdana" w:hAnsi="Verdana"/>
          <w:sz w:val="20"/>
        </w:rPr>
        <w:footnoteReference w:id="99"/>
      </w:r>
      <w:r w:rsidR="00184DCD" w:rsidRPr="005C1789">
        <w:rPr>
          <w:rFonts w:ascii="Verdana" w:hAnsi="Verdana"/>
          <w:sz w:val="20"/>
          <w:szCs w:val="20"/>
        </w:rPr>
        <w:t xml:space="preserve">, ya sea porque desconozcan esos derechos o libertades </w:t>
      </w:r>
      <w:r w:rsidR="00F20599" w:rsidRPr="005C1789">
        <w:rPr>
          <w:rFonts w:ascii="Verdana" w:hAnsi="Verdana"/>
          <w:sz w:val="20"/>
          <w:szCs w:val="20"/>
        </w:rPr>
        <w:t xml:space="preserve">o </w:t>
      </w:r>
      <w:r w:rsidR="000E7F52" w:rsidRPr="005C1789">
        <w:rPr>
          <w:rFonts w:ascii="Verdana" w:hAnsi="Verdana"/>
          <w:sz w:val="20"/>
          <w:szCs w:val="20"/>
        </w:rPr>
        <w:t xml:space="preserve">porque </w:t>
      </w:r>
      <w:r w:rsidR="00184DCD" w:rsidRPr="005C1789">
        <w:rPr>
          <w:rFonts w:ascii="Verdana" w:hAnsi="Verdana"/>
          <w:sz w:val="20"/>
          <w:szCs w:val="20"/>
        </w:rPr>
        <w:t>su ejercicio</w:t>
      </w:r>
      <w:r w:rsidR="000E7F52" w:rsidRPr="005C1789">
        <w:rPr>
          <w:rFonts w:ascii="Verdana" w:hAnsi="Verdana"/>
          <w:sz w:val="20"/>
          <w:szCs w:val="20"/>
        </w:rPr>
        <w:t xml:space="preserve"> se ve </w:t>
      </w:r>
      <w:r w:rsidR="00B4716E" w:rsidRPr="005C1789">
        <w:rPr>
          <w:rFonts w:ascii="Verdana" w:hAnsi="Verdana"/>
          <w:sz w:val="20"/>
          <w:szCs w:val="20"/>
        </w:rPr>
        <w:t>obstaculizado</w:t>
      </w:r>
      <w:r w:rsidR="00184DCD" w:rsidRPr="005C1789">
        <w:rPr>
          <w:rStyle w:val="Refdenotaalpie"/>
          <w:rFonts w:ascii="Verdana" w:hAnsi="Verdana"/>
          <w:sz w:val="20"/>
        </w:rPr>
        <w:footnoteReference w:id="100"/>
      </w:r>
      <w:r w:rsidR="00184DCD" w:rsidRPr="005C1789">
        <w:rPr>
          <w:rFonts w:ascii="Verdana" w:hAnsi="Verdana"/>
          <w:sz w:val="20"/>
          <w:szCs w:val="20"/>
        </w:rPr>
        <w:t>. Por otra, la expedición de normas y el desarrollo de prácticas conducentes a la efectiva observancia de dichas garantías</w:t>
      </w:r>
      <w:r w:rsidR="00184DCD" w:rsidRPr="005C1789">
        <w:rPr>
          <w:rStyle w:val="Refdenotaalpie"/>
          <w:rFonts w:ascii="Verdana" w:hAnsi="Verdana"/>
          <w:sz w:val="20"/>
        </w:rPr>
        <w:footnoteReference w:id="101"/>
      </w:r>
      <w:r w:rsidR="00184DCD" w:rsidRPr="005C1789">
        <w:rPr>
          <w:rFonts w:ascii="Verdana" w:hAnsi="Verdana"/>
          <w:sz w:val="20"/>
          <w:szCs w:val="20"/>
        </w:rPr>
        <w:t>.</w:t>
      </w:r>
      <w:bookmarkEnd w:id="96"/>
      <w:r w:rsidR="00184DCD" w:rsidRPr="005C1789">
        <w:rPr>
          <w:rFonts w:ascii="Verdana" w:hAnsi="Verdana"/>
          <w:sz w:val="20"/>
          <w:szCs w:val="20"/>
        </w:rPr>
        <w:t xml:space="preserve"> </w:t>
      </w:r>
    </w:p>
    <w:p w14:paraId="6EAF813E" w14:textId="74E803E9" w:rsidR="00215137" w:rsidRPr="005C1789" w:rsidRDefault="00184DCD" w:rsidP="00955888">
      <w:pPr>
        <w:numPr>
          <w:ilvl w:val="0"/>
          <w:numId w:val="2"/>
        </w:numPr>
        <w:spacing w:before="120" w:after="120"/>
        <w:ind w:left="0" w:firstLine="0"/>
        <w:jc w:val="both"/>
        <w:rPr>
          <w:rFonts w:ascii="Verdana" w:hAnsi="Verdana"/>
          <w:snapToGrid w:val="0"/>
          <w:spacing w:val="-2"/>
          <w:sz w:val="20"/>
          <w:szCs w:val="20"/>
          <w:lang w:eastAsia="es-ES"/>
        </w:rPr>
      </w:pPr>
      <w:r w:rsidRPr="005C1789">
        <w:rPr>
          <w:rFonts w:ascii="Verdana" w:hAnsi="Verdana"/>
          <w:sz w:val="20"/>
          <w:szCs w:val="20"/>
        </w:rPr>
        <w:t xml:space="preserve">Como este Tribunal ha señalado en otras oportunidades, las disposiciones de derecho interno que se adopten para tales fines han de ser efectivas </w:t>
      </w:r>
      <w:r w:rsidR="00794010" w:rsidRPr="005C1789">
        <w:rPr>
          <w:rFonts w:ascii="Verdana" w:hAnsi="Verdana"/>
          <w:sz w:val="20"/>
          <w:szCs w:val="20"/>
        </w:rPr>
        <w:t xml:space="preserve">(principio del </w:t>
      </w:r>
      <w:proofErr w:type="spellStart"/>
      <w:r w:rsidR="00794010" w:rsidRPr="005C1789">
        <w:rPr>
          <w:rFonts w:ascii="Verdana" w:hAnsi="Verdana"/>
          <w:i/>
          <w:sz w:val="20"/>
          <w:szCs w:val="20"/>
        </w:rPr>
        <w:t>effet</w:t>
      </w:r>
      <w:proofErr w:type="spellEnd"/>
      <w:r w:rsidR="00794010" w:rsidRPr="005C1789">
        <w:rPr>
          <w:rFonts w:ascii="Verdana" w:hAnsi="Verdana"/>
          <w:i/>
          <w:sz w:val="20"/>
          <w:szCs w:val="20"/>
        </w:rPr>
        <w:t xml:space="preserve"> </w:t>
      </w:r>
      <w:proofErr w:type="spellStart"/>
      <w:r w:rsidR="00794010" w:rsidRPr="005C1789">
        <w:rPr>
          <w:rFonts w:ascii="Verdana" w:hAnsi="Verdana"/>
          <w:i/>
          <w:sz w:val="20"/>
          <w:szCs w:val="20"/>
        </w:rPr>
        <w:t>utile</w:t>
      </w:r>
      <w:proofErr w:type="spellEnd"/>
      <w:r w:rsidR="00794010" w:rsidRPr="005C1789">
        <w:rPr>
          <w:rFonts w:ascii="Verdana" w:hAnsi="Verdana"/>
          <w:sz w:val="20"/>
          <w:szCs w:val="20"/>
        </w:rPr>
        <w:t>), lo que significa que el Estado tiene la obligación de consagrar y adoptar en su ordenamiento jurídico interno todas las medidas necesarias para que lo establecido en la Convención sea realmente cumplido y puesto en práctica</w:t>
      </w:r>
      <w:r w:rsidR="00794010" w:rsidRPr="005C1789">
        <w:rPr>
          <w:rStyle w:val="Refdenotaalpie"/>
          <w:rFonts w:ascii="Verdana" w:hAnsi="Verdana"/>
          <w:sz w:val="20"/>
        </w:rPr>
        <w:footnoteReference w:id="102"/>
      </w:r>
      <w:r w:rsidR="00794010" w:rsidRPr="005C1789">
        <w:rPr>
          <w:rFonts w:ascii="Verdana" w:hAnsi="Verdana"/>
          <w:sz w:val="20"/>
          <w:szCs w:val="20"/>
        </w:rPr>
        <w:t xml:space="preserve">. </w:t>
      </w:r>
      <w:r w:rsidRPr="005C1789">
        <w:rPr>
          <w:rFonts w:ascii="Verdana" w:hAnsi="Verdana"/>
          <w:sz w:val="20"/>
          <w:szCs w:val="20"/>
          <w:lang w:eastAsia="es-ES"/>
        </w:rPr>
        <w:t>En ese sentido, est</w:t>
      </w:r>
      <w:r w:rsidR="00F53F67" w:rsidRPr="005C1789">
        <w:rPr>
          <w:rFonts w:ascii="Verdana" w:hAnsi="Verdana"/>
          <w:sz w:val="20"/>
          <w:szCs w:val="20"/>
          <w:lang w:eastAsia="es-ES"/>
        </w:rPr>
        <w:t>e</w:t>
      </w:r>
      <w:r w:rsidR="00AF0E43" w:rsidRPr="005C1789">
        <w:rPr>
          <w:rFonts w:ascii="Verdana" w:hAnsi="Verdana"/>
          <w:sz w:val="20"/>
          <w:szCs w:val="20"/>
          <w:lang w:eastAsia="es-ES"/>
        </w:rPr>
        <w:t xml:space="preserve"> </w:t>
      </w:r>
      <w:r w:rsidR="00F33999" w:rsidRPr="005C1789">
        <w:rPr>
          <w:rFonts w:ascii="Verdana" w:hAnsi="Verdana"/>
          <w:sz w:val="20"/>
          <w:szCs w:val="20"/>
          <w:lang w:eastAsia="es-ES"/>
        </w:rPr>
        <w:t>Tribunal ha indicado que los</w:t>
      </w:r>
      <w:r w:rsidR="00113399" w:rsidRPr="005C1789">
        <w:rPr>
          <w:rFonts w:ascii="Verdana" w:hAnsi="Verdana"/>
          <w:sz w:val="20"/>
          <w:szCs w:val="20"/>
          <w:lang w:eastAsia="es-ES"/>
        </w:rPr>
        <w:t xml:space="preserve"> </w:t>
      </w:r>
      <w:r w:rsidR="00540E85" w:rsidRPr="005C1789">
        <w:rPr>
          <w:rFonts w:ascii="Verdana" w:hAnsi="Verdana"/>
          <w:sz w:val="20"/>
          <w:szCs w:val="20"/>
          <w:lang w:val="es-CO" w:eastAsia="es-ES"/>
        </w:rPr>
        <w:t>Estados no solo tienen la obligación positiva de adoptar las medidas legislativas necesarias para garantizar el ejercicio de los derechos en ella consagrados, sino que también deben evitar promulgar leyes que impidan el libre ejercicio de estos derechos y, a la vez, evitar que se supriman o modifiquen las leyes que los protege</w:t>
      </w:r>
      <w:r w:rsidR="00AF0E43" w:rsidRPr="005C1789">
        <w:rPr>
          <w:rFonts w:ascii="Verdana" w:hAnsi="Verdana"/>
          <w:sz w:val="20"/>
          <w:szCs w:val="20"/>
        </w:rPr>
        <w:t>n</w:t>
      </w:r>
      <w:r w:rsidR="00AF0E43" w:rsidRPr="005C1789">
        <w:rPr>
          <w:rFonts w:ascii="Verdana" w:hAnsi="Verdana"/>
          <w:sz w:val="20"/>
          <w:szCs w:val="20"/>
          <w:vertAlign w:val="superscript"/>
          <w:lang w:val="es-ES"/>
        </w:rPr>
        <w:footnoteReference w:id="103"/>
      </w:r>
      <w:r w:rsidR="3E176104" w:rsidRPr="005C1789">
        <w:rPr>
          <w:rFonts w:ascii="Verdana" w:hAnsi="Verdana"/>
          <w:sz w:val="20"/>
          <w:szCs w:val="20"/>
          <w:lang w:val="es-CO" w:eastAsia="es-ES"/>
        </w:rPr>
        <w:t>.</w:t>
      </w:r>
      <w:r w:rsidR="00215137" w:rsidRPr="005C1789">
        <w:t xml:space="preserve"> </w:t>
      </w:r>
    </w:p>
    <w:p w14:paraId="53F52B99" w14:textId="6EB30237" w:rsidR="00996E97" w:rsidRPr="005C1789" w:rsidRDefault="00DB5867" w:rsidP="00955888">
      <w:pPr>
        <w:numPr>
          <w:ilvl w:val="0"/>
          <w:numId w:val="2"/>
        </w:numPr>
        <w:spacing w:before="120" w:after="120"/>
        <w:ind w:left="0" w:firstLine="0"/>
        <w:jc w:val="both"/>
        <w:rPr>
          <w:rFonts w:ascii="Verdana" w:hAnsi="Verdana"/>
          <w:sz w:val="20"/>
          <w:szCs w:val="20"/>
          <w:lang w:val="es-CO" w:eastAsia="es-ES"/>
        </w:rPr>
      </w:pPr>
      <w:r w:rsidRPr="005C1789">
        <w:rPr>
          <w:rFonts w:ascii="Verdana" w:hAnsi="Verdana"/>
          <w:sz w:val="20"/>
          <w:szCs w:val="20"/>
          <w:lang w:val="es-CO" w:eastAsia="es-ES"/>
        </w:rPr>
        <w:t xml:space="preserve">Por último, corresponde recordar que la Convención de Viena sobre el Derecho de los Tratados dispone en su artículo 27 </w:t>
      </w:r>
      <w:r w:rsidR="00996E97" w:rsidRPr="005C1789">
        <w:rPr>
          <w:rFonts w:ascii="Verdana" w:hAnsi="Verdana"/>
          <w:sz w:val="20"/>
          <w:lang w:val="es-ES_tradnl"/>
        </w:rPr>
        <w:t xml:space="preserve">que un Estado parte no puede invocar disposiciones de su derecho interno, incluyendo sus disposiciones constitucionales, para dejar sin efecto el cumplimiento de los tratados internacionales y efectuar un adecuado control de Convencionalidad. </w:t>
      </w:r>
    </w:p>
    <w:p w14:paraId="71B3F48D" w14:textId="25514D5A" w:rsidR="00A552CE" w:rsidRPr="005C1789" w:rsidRDefault="00A552CE" w:rsidP="00955888">
      <w:pPr>
        <w:numPr>
          <w:ilvl w:val="0"/>
          <w:numId w:val="2"/>
        </w:numPr>
        <w:spacing w:before="120" w:after="120"/>
        <w:ind w:left="0" w:firstLine="0"/>
        <w:jc w:val="both"/>
        <w:rPr>
          <w:rFonts w:ascii="Verdana" w:hAnsi="Verdana"/>
          <w:sz w:val="20"/>
          <w:szCs w:val="20"/>
          <w:lang w:val="es-CO" w:eastAsia="es-ES"/>
        </w:rPr>
      </w:pPr>
      <w:r w:rsidRPr="005C1789">
        <w:rPr>
          <w:rFonts w:ascii="Verdana" w:hAnsi="Verdana"/>
          <w:sz w:val="20"/>
          <w:lang w:val="es-ES_tradnl"/>
        </w:rPr>
        <w:t xml:space="preserve">A </w:t>
      </w:r>
      <w:r w:rsidR="00F4067A" w:rsidRPr="005C1789">
        <w:rPr>
          <w:rFonts w:ascii="Verdana" w:hAnsi="Verdana"/>
          <w:sz w:val="20"/>
          <w:lang w:val="es-ES_tradnl"/>
        </w:rPr>
        <w:t>continuación,</w:t>
      </w:r>
      <w:r w:rsidRPr="005C1789">
        <w:rPr>
          <w:rFonts w:ascii="Verdana" w:hAnsi="Verdana"/>
          <w:sz w:val="20"/>
          <w:lang w:val="es-ES_tradnl"/>
        </w:rPr>
        <w:t xml:space="preserve"> se analizará el carácter </w:t>
      </w:r>
      <w:r w:rsidR="007108A3" w:rsidRPr="005C1789">
        <w:rPr>
          <w:rFonts w:ascii="Verdana" w:hAnsi="Verdana"/>
          <w:sz w:val="20"/>
          <w:lang w:val="es-ES_tradnl"/>
        </w:rPr>
        <w:t>convenc</w:t>
      </w:r>
      <w:r w:rsidR="003551FE" w:rsidRPr="005C1789">
        <w:rPr>
          <w:rFonts w:ascii="Verdana" w:hAnsi="Verdana"/>
          <w:sz w:val="20"/>
          <w:lang w:val="es-ES_tradnl"/>
        </w:rPr>
        <w:t>ional</w:t>
      </w:r>
      <w:r w:rsidRPr="005C1789">
        <w:rPr>
          <w:rFonts w:ascii="Verdana" w:hAnsi="Verdana"/>
          <w:sz w:val="20"/>
          <w:lang w:val="es-ES_tradnl"/>
        </w:rPr>
        <w:t xml:space="preserve"> de las normas relativas al arraigo y a la prisión preventiva que fueron aplicadas al caso concreto</w:t>
      </w:r>
      <w:r w:rsidR="00EB32AA" w:rsidRPr="005C1789">
        <w:rPr>
          <w:rFonts w:ascii="Verdana" w:hAnsi="Verdana"/>
          <w:sz w:val="20"/>
          <w:lang w:val="es-ES_tradnl"/>
        </w:rPr>
        <w:t>. Para</w:t>
      </w:r>
      <w:r w:rsidR="001A67BA" w:rsidRPr="005C1789">
        <w:rPr>
          <w:rFonts w:ascii="Verdana" w:hAnsi="Verdana"/>
          <w:sz w:val="20"/>
          <w:lang w:val="es-ES_tradnl"/>
        </w:rPr>
        <w:t xml:space="preserve"> tales efectos, se referirá a los </w:t>
      </w:r>
      <w:r w:rsidR="00C6575B" w:rsidRPr="005C1789">
        <w:rPr>
          <w:rFonts w:ascii="Verdana" w:hAnsi="Verdana"/>
          <w:sz w:val="20"/>
          <w:lang w:val="es-ES_tradnl"/>
        </w:rPr>
        <w:t>desarrollos normativos y jurisprudenciales</w:t>
      </w:r>
      <w:r w:rsidR="001A67BA" w:rsidRPr="005C1789">
        <w:rPr>
          <w:rFonts w:ascii="Verdana" w:hAnsi="Verdana"/>
          <w:sz w:val="20"/>
          <w:lang w:val="es-ES_tradnl"/>
        </w:rPr>
        <w:t xml:space="preserve"> recapitulados en el acápite sobre consideraciones generales sobre la libertad personal, el derecho </w:t>
      </w:r>
      <w:r w:rsidR="00364399" w:rsidRPr="005C1789">
        <w:rPr>
          <w:rFonts w:ascii="Verdana" w:hAnsi="Verdana"/>
          <w:sz w:val="20"/>
          <w:lang w:val="es-ES_tradnl"/>
        </w:rPr>
        <w:t>a la</w:t>
      </w:r>
      <w:r w:rsidR="001A67BA" w:rsidRPr="005C1789">
        <w:rPr>
          <w:rFonts w:ascii="Verdana" w:hAnsi="Verdana"/>
          <w:sz w:val="20"/>
          <w:lang w:val="es-ES_tradnl"/>
        </w:rPr>
        <w:t xml:space="preserve"> presunción de inocencia en el marco de la investigación y del proceso penal</w:t>
      </w:r>
      <w:r w:rsidR="00C6575B" w:rsidRPr="005C1789">
        <w:rPr>
          <w:rFonts w:ascii="Verdana" w:hAnsi="Verdana"/>
          <w:sz w:val="20"/>
          <w:lang w:val="es-ES_tradnl"/>
        </w:rPr>
        <w:t xml:space="preserve"> (</w:t>
      </w:r>
      <w:r w:rsidR="00C6575B" w:rsidRPr="005C1789">
        <w:rPr>
          <w:rFonts w:ascii="Verdana" w:hAnsi="Verdana"/>
          <w:i/>
          <w:sz w:val="20"/>
          <w:lang w:val="es-ES_tradnl"/>
        </w:rPr>
        <w:t>supra</w:t>
      </w:r>
      <w:r w:rsidR="00C6575B" w:rsidRPr="005C1789">
        <w:rPr>
          <w:rFonts w:ascii="Verdana" w:hAnsi="Verdana"/>
          <w:sz w:val="20"/>
          <w:lang w:val="es-ES_tradnl"/>
        </w:rPr>
        <w:t xml:space="preserve"> </w:t>
      </w:r>
      <w:proofErr w:type="spellStart"/>
      <w:r w:rsidR="00C6575B" w:rsidRPr="005C1789">
        <w:rPr>
          <w:rFonts w:ascii="Verdana" w:hAnsi="Verdana"/>
          <w:sz w:val="20"/>
          <w:lang w:val="es-ES_tradnl"/>
        </w:rPr>
        <w:t>párrs</w:t>
      </w:r>
      <w:proofErr w:type="spellEnd"/>
      <w:r w:rsidR="00C6575B" w:rsidRPr="005C1789">
        <w:rPr>
          <w:rFonts w:ascii="Verdana" w:hAnsi="Verdana"/>
          <w:sz w:val="20"/>
          <w:lang w:val="es-ES_tradnl"/>
        </w:rPr>
        <w:t xml:space="preserve">. </w:t>
      </w:r>
      <w:r w:rsidR="00F612F1" w:rsidRPr="005C1789">
        <w:rPr>
          <w:rFonts w:ascii="Verdana" w:hAnsi="Verdana"/>
          <w:sz w:val="20"/>
          <w:lang w:val="es-ES_tradnl"/>
        </w:rPr>
        <w:t>95</w:t>
      </w:r>
      <w:r w:rsidR="00C6575B" w:rsidRPr="005C1789">
        <w:rPr>
          <w:rFonts w:ascii="Verdana" w:hAnsi="Verdana"/>
          <w:sz w:val="20"/>
          <w:lang w:val="es-ES_tradnl"/>
        </w:rPr>
        <w:t xml:space="preserve"> a </w:t>
      </w:r>
      <w:r w:rsidR="00F612F1" w:rsidRPr="005C1789">
        <w:rPr>
          <w:rFonts w:ascii="Verdana" w:hAnsi="Verdana"/>
          <w:sz w:val="20"/>
          <w:lang w:val="es-ES_tradnl"/>
        </w:rPr>
        <w:t>114</w:t>
      </w:r>
      <w:r w:rsidR="00C6575B" w:rsidRPr="005C1789">
        <w:rPr>
          <w:rFonts w:ascii="Verdana" w:hAnsi="Verdana"/>
          <w:sz w:val="20"/>
          <w:lang w:val="es-ES_tradnl"/>
        </w:rPr>
        <w:t>)</w:t>
      </w:r>
      <w:r w:rsidR="001A67BA" w:rsidRPr="005C1789">
        <w:rPr>
          <w:rFonts w:ascii="Verdana" w:hAnsi="Verdana"/>
          <w:sz w:val="20"/>
          <w:lang w:val="es-ES_tradnl"/>
        </w:rPr>
        <w:t xml:space="preserve">, en el entendido </w:t>
      </w:r>
      <w:r w:rsidR="00F612F1" w:rsidRPr="005C1789">
        <w:rPr>
          <w:rFonts w:ascii="Verdana" w:hAnsi="Verdana"/>
          <w:sz w:val="20"/>
          <w:lang w:val="es-ES_tradnl"/>
        </w:rPr>
        <w:t xml:space="preserve">de </w:t>
      </w:r>
      <w:r w:rsidR="001A67BA" w:rsidRPr="005C1789">
        <w:rPr>
          <w:rFonts w:ascii="Verdana" w:hAnsi="Verdana"/>
          <w:sz w:val="20"/>
          <w:lang w:val="es-ES_tradnl"/>
        </w:rPr>
        <w:t xml:space="preserve">que los mismos son aplicables a cualquier situación de </w:t>
      </w:r>
      <w:r w:rsidR="00C6575B" w:rsidRPr="005C1789">
        <w:rPr>
          <w:rFonts w:ascii="Verdana" w:hAnsi="Verdana"/>
          <w:sz w:val="20"/>
          <w:lang w:val="es-ES_tradnl"/>
        </w:rPr>
        <w:t>restricción a la libertad</w:t>
      </w:r>
      <w:r w:rsidR="001A67BA" w:rsidRPr="005C1789">
        <w:rPr>
          <w:rFonts w:ascii="Verdana" w:hAnsi="Verdana"/>
          <w:sz w:val="20"/>
          <w:lang w:val="es-ES_tradnl"/>
        </w:rPr>
        <w:t xml:space="preserve"> como medida cautelar previa a la emisión de una condena </w:t>
      </w:r>
      <w:r w:rsidR="005750C0" w:rsidRPr="005C1789">
        <w:rPr>
          <w:rFonts w:ascii="Verdana" w:hAnsi="Verdana"/>
          <w:sz w:val="20"/>
          <w:lang w:val="es-ES_tradnl"/>
        </w:rPr>
        <w:t>penal.</w:t>
      </w:r>
      <w:r w:rsidR="00023E34" w:rsidRPr="005C1789">
        <w:rPr>
          <w:rFonts w:ascii="Verdana" w:hAnsi="Verdana"/>
          <w:sz w:val="20"/>
          <w:lang w:val="es-ES_tradnl"/>
        </w:rPr>
        <w:t xml:space="preserve"> </w:t>
      </w:r>
      <w:r w:rsidR="001A67BA" w:rsidRPr="005C1789">
        <w:rPr>
          <w:rFonts w:ascii="Verdana" w:hAnsi="Verdana"/>
          <w:sz w:val="20"/>
          <w:lang w:val="es-ES_tradnl"/>
        </w:rPr>
        <w:t xml:space="preserve"> </w:t>
      </w:r>
    </w:p>
    <w:p w14:paraId="1323B656" w14:textId="2EF21847" w:rsidR="00215137" w:rsidRPr="005C1789" w:rsidRDefault="00215137" w:rsidP="00955888">
      <w:pPr>
        <w:numPr>
          <w:ilvl w:val="0"/>
          <w:numId w:val="57"/>
        </w:numPr>
        <w:spacing w:before="240" w:after="240"/>
        <w:jc w:val="both"/>
        <w:outlineLvl w:val="3"/>
        <w:rPr>
          <w:rFonts w:ascii="Verdana" w:hAnsi="Verdana"/>
          <w:i/>
          <w:sz w:val="20"/>
          <w:szCs w:val="20"/>
        </w:rPr>
      </w:pPr>
      <w:bookmarkStart w:id="97" w:name="_Toc123347536"/>
      <w:r w:rsidRPr="005C1789">
        <w:rPr>
          <w:rFonts w:ascii="Verdana" w:hAnsi="Verdana"/>
          <w:i/>
          <w:sz w:val="20"/>
          <w:szCs w:val="20"/>
        </w:rPr>
        <w:t>El arraigo</w:t>
      </w:r>
      <w:bookmarkEnd w:id="97"/>
    </w:p>
    <w:p w14:paraId="76538F96" w14:textId="39F7BEAF" w:rsidR="00A35985" w:rsidRPr="005C1789" w:rsidRDefault="00752730"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alegato de la Comisión y de los representantes se refiere a la figura del arraigo en sí misma la cual, según arguyen, sería contraria a varias disposiciones de la Convención Americana. La Corte advierte que la figura del arraigo se encuentra actualmente establecida en </w:t>
      </w:r>
      <w:r w:rsidR="00043095" w:rsidRPr="005C1789">
        <w:rPr>
          <w:rFonts w:ascii="Verdana" w:hAnsi="Verdana"/>
          <w:sz w:val="20"/>
          <w:szCs w:val="20"/>
        </w:rPr>
        <w:t xml:space="preserve">diversos </w:t>
      </w:r>
      <w:r w:rsidRPr="005C1789">
        <w:rPr>
          <w:rFonts w:ascii="Verdana" w:hAnsi="Verdana"/>
          <w:sz w:val="20"/>
          <w:szCs w:val="20"/>
        </w:rPr>
        <w:t>cuerpos normativos internos de México (</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párrs</w:t>
      </w:r>
      <w:proofErr w:type="spellEnd"/>
      <w:r w:rsidRPr="005C1789">
        <w:rPr>
          <w:rFonts w:ascii="Verdana" w:hAnsi="Verdana"/>
          <w:sz w:val="20"/>
          <w:szCs w:val="20"/>
        </w:rPr>
        <w:t xml:space="preserve">. </w:t>
      </w:r>
      <w:r w:rsidR="000F0BA6" w:rsidRPr="005C1789">
        <w:rPr>
          <w:rFonts w:ascii="Verdana" w:hAnsi="Verdana"/>
          <w:sz w:val="20"/>
          <w:szCs w:val="20"/>
        </w:rPr>
        <w:t>38</w:t>
      </w:r>
      <w:r w:rsidRPr="005C1789">
        <w:rPr>
          <w:rFonts w:ascii="Verdana" w:hAnsi="Verdana"/>
          <w:sz w:val="20"/>
          <w:szCs w:val="20"/>
        </w:rPr>
        <w:t xml:space="preserve"> a </w:t>
      </w:r>
      <w:r w:rsidR="000F0BA6" w:rsidRPr="005C1789">
        <w:rPr>
          <w:rFonts w:ascii="Verdana" w:hAnsi="Verdana"/>
          <w:sz w:val="20"/>
          <w:szCs w:val="20"/>
        </w:rPr>
        <w:t>41</w:t>
      </w:r>
      <w:r w:rsidRPr="005C1789">
        <w:rPr>
          <w:rFonts w:ascii="Verdana" w:hAnsi="Verdana"/>
          <w:sz w:val="20"/>
          <w:szCs w:val="20"/>
        </w:rPr>
        <w:t xml:space="preserve">). A su vez, esas disposiciones </w:t>
      </w:r>
      <w:r w:rsidR="00297EAA" w:rsidRPr="005C1789">
        <w:rPr>
          <w:rFonts w:ascii="Verdana" w:hAnsi="Verdana"/>
          <w:sz w:val="20"/>
          <w:szCs w:val="20"/>
        </w:rPr>
        <w:t>de derecho interno</w:t>
      </w:r>
      <w:r w:rsidRPr="005C1789">
        <w:rPr>
          <w:rFonts w:ascii="Verdana" w:hAnsi="Verdana"/>
          <w:sz w:val="20"/>
          <w:szCs w:val="20"/>
        </w:rPr>
        <w:t xml:space="preserve"> que contienen la figura de</w:t>
      </w:r>
      <w:r w:rsidR="00F71117" w:rsidRPr="005C1789">
        <w:rPr>
          <w:rFonts w:ascii="Verdana" w:hAnsi="Verdana"/>
          <w:sz w:val="20"/>
          <w:szCs w:val="20"/>
        </w:rPr>
        <w:t>l ar</w:t>
      </w:r>
      <w:r w:rsidRPr="005C1789">
        <w:rPr>
          <w:rFonts w:ascii="Verdana" w:hAnsi="Verdana"/>
          <w:sz w:val="20"/>
          <w:szCs w:val="20"/>
        </w:rPr>
        <w:t xml:space="preserve">raigo fueron </w:t>
      </w:r>
      <w:r w:rsidR="00682557" w:rsidRPr="005C1789">
        <w:rPr>
          <w:rFonts w:ascii="Verdana" w:hAnsi="Verdana"/>
          <w:sz w:val="20"/>
          <w:szCs w:val="20"/>
        </w:rPr>
        <w:t xml:space="preserve">evolucionando </w:t>
      </w:r>
      <w:r w:rsidRPr="005C1789">
        <w:rPr>
          <w:rFonts w:ascii="Verdana" w:hAnsi="Verdana"/>
          <w:sz w:val="20"/>
          <w:szCs w:val="20"/>
        </w:rPr>
        <w:t>a lo largo del tiempo</w:t>
      </w:r>
      <w:r w:rsidRPr="005C1789">
        <w:rPr>
          <w:rFonts w:ascii="Verdana" w:hAnsi="Verdana"/>
          <w:sz w:val="20"/>
          <w:szCs w:val="20"/>
          <w:vertAlign w:val="superscript"/>
          <w:lang w:val="es-ES"/>
        </w:rPr>
        <w:footnoteReference w:id="104"/>
      </w:r>
      <w:r w:rsidRPr="005C1789">
        <w:rPr>
          <w:rFonts w:ascii="Verdana" w:hAnsi="Verdana"/>
          <w:sz w:val="20"/>
          <w:szCs w:val="20"/>
        </w:rPr>
        <w:t xml:space="preserve">. </w:t>
      </w:r>
      <w:r w:rsidR="00260714" w:rsidRPr="005C1789">
        <w:rPr>
          <w:rFonts w:ascii="Verdana" w:hAnsi="Verdana"/>
          <w:sz w:val="20"/>
          <w:szCs w:val="20"/>
        </w:rPr>
        <w:t>Al respecto, cabe recordar que</w:t>
      </w:r>
      <w:r w:rsidR="009634C7">
        <w:rPr>
          <w:rFonts w:ascii="Verdana" w:hAnsi="Verdana"/>
          <w:sz w:val="20"/>
          <w:szCs w:val="20"/>
        </w:rPr>
        <w:t>, a nivel federal,</w:t>
      </w:r>
      <w:r w:rsidR="00260714" w:rsidRPr="005C1789">
        <w:rPr>
          <w:rFonts w:ascii="Verdana" w:hAnsi="Verdana"/>
          <w:sz w:val="20"/>
          <w:szCs w:val="20"/>
        </w:rPr>
        <w:t xml:space="preserve"> la figura del </w:t>
      </w:r>
      <w:r w:rsidR="00AA598F" w:rsidRPr="005C1789">
        <w:rPr>
          <w:rFonts w:ascii="Verdana" w:hAnsi="Verdana"/>
          <w:sz w:val="20"/>
          <w:szCs w:val="20"/>
        </w:rPr>
        <w:t xml:space="preserve">arraigo </w:t>
      </w:r>
      <w:r w:rsidR="00260714" w:rsidRPr="005C1789">
        <w:rPr>
          <w:rFonts w:ascii="Verdana" w:hAnsi="Verdana"/>
          <w:sz w:val="20"/>
          <w:szCs w:val="20"/>
        </w:rPr>
        <w:t>en México, con anterioridad al año 2008, estaba prevista en la legislación, tanto en el Código Federal de Procedimientos Penales co</w:t>
      </w:r>
      <w:r w:rsidR="004A03DF" w:rsidRPr="005C1789">
        <w:rPr>
          <w:rFonts w:ascii="Verdana" w:hAnsi="Verdana"/>
          <w:sz w:val="20"/>
          <w:szCs w:val="20"/>
        </w:rPr>
        <w:t>m</w:t>
      </w:r>
      <w:r w:rsidR="00260714" w:rsidRPr="005C1789">
        <w:rPr>
          <w:rFonts w:ascii="Verdana" w:hAnsi="Verdana"/>
          <w:sz w:val="20"/>
          <w:szCs w:val="20"/>
        </w:rPr>
        <w:t xml:space="preserve">o en la Ley Federal contra la delincuencia organizada, pero no en la Constitución General de la República. El 18 de junio </w:t>
      </w:r>
      <w:r w:rsidR="00260714" w:rsidRPr="005C1789">
        <w:rPr>
          <w:rFonts w:ascii="Verdana" w:hAnsi="Verdana"/>
          <w:sz w:val="20"/>
          <w:szCs w:val="20"/>
        </w:rPr>
        <w:lastRenderedPageBreak/>
        <w:t xml:space="preserve">de 2008 se constitucionalizó el arraigo. </w:t>
      </w:r>
      <w:r w:rsidR="004A03DF" w:rsidRPr="005C1789">
        <w:rPr>
          <w:rFonts w:ascii="Verdana" w:hAnsi="Verdana"/>
          <w:sz w:val="20"/>
          <w:szCs w:val="20"/>
        </w:rPr>
        <w:t>Además, tanto el Código Federal de Procedimientos Penales como</w:t>
      </w:r>
      <w:r w:rsidR="00023E34" w:rsidRPr="005C1789">
        <w:rPr>
          <w:rFonts w:ascii="Verdana" w:hAnsi="Verdana"/>
          <w:sz w:val="20"/>
          <w:szCs w:val="20"/>
        </w:rPr>
        <w:t xml:space="preserve"> </w:t>
      </w:r>
      <w:r w:rsidR="004A03DF" w:rsidRPr="005C1789">
        <w:rPr>
          <w:rFonts w:ascii="Verdana" w:hAnsi="Verdana"/>
          <w:sz w:val="20"/>
          <w:szCs w:val="20"/>
        </w:rPr>
        <w:t xml:space="preserve">la Ley Federal contra la delincuencia organizada fueron objetos de reformas. </w:t>
      </w:r>
      <w:r w:rsidR="0068110E" w:rsidRPr="005C1789">
        <w:rPr>
          <w:rFonts w:ascii="Verdana" w:hAnsi="Verdana"/>
          <w:sz w:val="20"/>
          <w:szCs w:val="20"/>
        </w:rPr>
        <w:t>En el presente caso, al momento en que se produjeron los hechos, esa figura estaba contenida en dos normas</w:t>
      </w:r>
      <w:r w:rsidR="00642048">
        <w:rPr>
          <w:rFonts w:ascii="Verdana" w:hAnsi="Verdana"/>
          <w:sz w:val="20"/>
          <w:szCs w:val="20"/>
        </w:rPr>
        <w:t xml:space="preserve"> a nivel federal</w:t>
      </w:r>
      <w:r w:rsidR="0068110E" w:rsidRPr="005C1789">
        <w:rPr>
          <w:rFonts w:ascii="Verdana" w:hAnsi="Verdana"/>
          <w:sz w:val="20"/>
          <w:szCs w:val="20"/>
        </w:rPr>
        <w:t>: en el artículo 12 de la Ley Federal contra la Delincuencia Organizada de 1996 y en el artículo 133 bis al Código Federal Procesal Penal de 1999 (</w:t>
      </w:r>
      <w:r w:rsidR="0068110E" w:rsidRPr="005C1789">
        <w:rPr>
          <w:rFonts w:ascii="Verdana" w:hAnsi="Verdana"/>
          <w:i/>
          <w:iCs/>
          <w:sz w:val="20"/>
          <w:szCs w:val="20"/>
        </w:rPr>
        <w:t>supra</w:t>
      </w:r>
      <w:r w:rsidR="0068110E" w:rsidRPr="005C1789">
        <w:rPr>
          <w:rFonts w:ascii="Verdana" w:hAnsi="Verdana"/>
          <w:sz w:val="20"/>
          <w:szCs w:val="20"/>
        </w:rPr>
        <w:t xml:space="preserve"> </w:t>
      </w:r>
      <w:proofErr w:type="spellStart"/>
      <w:r w:rsidR="0068110E" w:rsidRPr="005C1789">
        <w:rPr>
          <w:rFonts w:ascii="Verdana" w:hAnsi="Verdana"/>
          <w:sz w:val="20"/>
          <w:szCs w:val="20"/>
        </w:rPr>
        <w:t>párrs</w:t>
      </w:r>
      <w:proofErr w:type="spellEnd"/>
      <w:r w:rsidR="0068110E" w:rsidRPr="005C1789">
        <w:rPr>
          <w:rFonts w:ascii="Verdana" w:hAnsi="Verdana"/>
          <w:sz w:val="20"/>
          <w:szCs w:val="20"/>
        </w:rPr>
        <w:t xml:space="preserve">. </w:t>
      </w:r>
      <w:r w:rsidR="000F0BA6" w:rsidRPr="005C1789">
        <w:rPr>
          <w:rFonts w:ascii="Verdana" w:hAnsi="Verdana"/>
          <w:sz w:val="20"/>
          <w:szCs w:val="20"/>
        </w:rPr>
        <w:t>36</w:t>
      </w:r>
      <w:r w:rsidR="0068110E" w:rsidRPr="005C1789">
        <w:rPr>
          <w:rFonts w:ascii="Verdana" w:hAnsi="Verdana"/>
          <w:sz w:val="20"/>
          <w:szCs w:val="20"/>
        </w:rPr>
        <w:t xml:space="preserve"> </w:t>
      </w:r>
      <w:r w:rsidR="000F0BA6" w:rsidRPr="005C1789">
        <w:rPr>
          <w:rFonts w:ascii="Verdana" w:hAnsi="Verdana"/>
          <w:sz w:val="20"/>
          <w:szCs w:val="20"/>
        </w:rPr>
        <w:t>y</w:t>
      </w:r>
      <w:r w:rsidR="0068110E" w:rsidRPr="005C1789">
        <w:rPr>
          <w:rFonts w:ascii="Verdana" w:hAnsi="Verdana"/>
          <w:sz w:val="20"/>
          <w:szCs w:val="20"/>
        </w:rPr>
        <w:t xml:space="preserve"> </w:t>
      </w:r>
      <w:r w:rsidR="000F0BA6" w:rsidRPr="005C1789">
        <w:rPr>
          <w:rFonts w:ascii="Verdana" w:hAnsi="Verdana"/>
          <w:sz w:val="20"/>
          <w:szCs w:val="20"/>
        </w:rPr>
        <w:t>37</w:t>
      </w:r>
      <w:r w:rsidR="0068110E" w:rsidRPr="005C1789">
        <w:rPr>
          <w:rFonts w:ascii="Verdana" w:hAnsi="Verdana"/>
          <w:sz w:val="20"/>
          <w:szCs w:val="20"/>
        </w:rPr>
        <w:t xml:space="preserve">). </w:t>
      </w:r>
    </w:p>
    <w:p w14:paraId="32974A6B" w14:textId="24A1AB9D" w:rsidR="00971108" w:rsidRPr="005C1789" w:rsidRDefault="00952A3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Al respecto</w:t>
      </w:r>
      <w:r w:rsidR="006E6C3A" w:rsidRPr="005C1789">
        <w:rPr>
          <w:rFonts w:ascii="Verdana" w:hAnsi="Verdana"/>
          <w:sz w:val="20"/>
          <w:szCs w:val="20"/>
        </w:rPr>
        <w:t>, la Corte recuerda que</w:t>
      </w:r>
      <w:r w:rsidR="002756C2" w:rsidRPr="005C1789">
        <w:rPr>
          <w:rFonts w:ascii="Verdana" w:hAnsi="Verdana"/>
          <w:sz w:val="20"/>
          <w:szCs w:val="20"/>
        </w:rPr>
        <w:t>,</w:t>
      </w:r>
      <w:r w:rsidR="006E6C3A" w:rsidRPr="005C1789">
        <w:rPr>
          <w:rFonts w:ascii="Verdana" w:hAnsi="Verdana"/>
          <w:sz w:val="20"/>
          <w:szCs w:val="20"/>
        </w:rPr>
        <w:t xml:space="preserve"> desde el </w:t>
      </w:r>
      <w:r w:rsidR="0068110E" w:rsidRPr="005C1789">
        <w:rPr>
          <w:rFonts w:ascii="Verdana" w:hAnsi="Verdana"/>
          <w:sz w:val="20"/>
          <w:szCs w:val="20"/>
        </w:rPr>
        <w:t>18</w:t>
      </w:r>
      <w:r w:rsidR="006E6C3A" w:rsidRPr="005C1789">
        <w:rPr>
          <w:rFonts w:ascii="Verdana" w:hAnsi="Verdana"/>
          <w:sz w:val="20"/>
          <w:szCs w:val="20"/>
        </w:rPr>
        <w:t xml:space="preserve"> de enero de 2006 al </w:t>
      </w:r>
      <w:r w:rsidR="0027637B" w:rsidRPr="005C1789">
        <w:rPr>
          <w:rFonts w:ascii="Verdana" w:hAnsi="Verdana"/>
          <w:sz w:val="20"/>
          <w:szCs w:val="20"/>
        </w:rPr>
        <w:t xml:space="preserve">17 </w:t>
      </w:r>
      <w:r w:rsidR="006E6C3A" w:rsidRPr="005C1789">
        <w:rPr>
          <w:rFonts w:ascii="Verdana" w:hAnsi="Verdana"/>
          <w:sz w:val="20"/>
          <w:szCs w:val="20"/>
        </w:rPr>
        <w:t xml:space="preserve">de abril de 2006, </w:t>
      </w:r>
      <w:r w:rsidR="005A66C7" w:rsidRPr="005C1789">
        <w:rPr>
          <w:rFonts w:ascii="Verdana" w:hAnsi="Verdana"/>
          <w:sz w:val="20"/>
          <w:szCs w:val="20"/>
        </w:rPr>
        <w:t xml:space="preserve">Jorge Marcial y Gerardo </w:t>
      </w:r>
      <w:proofErr w:type="spellStart"/>
      <w:r w:rsidR="005A66C7" w:rsidRPr="005C1789">
        <w:rPr>
          <w:rFonts w:ascii="Verdana" w:hAnsi="Verdana"/>
          <w:sz w:val="20"/>
          <w:szCs w:val="20"/>
        </w:rPr>
        <w:t>Tzompaxtle</w:t>
      </w:r>
      <w:proofErr w:type="spellEnd"/>
      <w:r w:rsidR="005A66C7" w:rsidRPr="005C1789">
        <w:rPr>
          <w:rFonts w:ascii="Verdana" w:hAnsi="Verdana"/>
          <w:sz w:val="20"/>
          <w:szCs w:val="20"/>
        </w:rPr>
        <w:t xml:space="preserve"> </w:t>
      </w:r>
      <w:proofErr w:type="spellStart"/>
      <w:r w:rsidR="005A66C7" w:rsidRPr="005C1789">
        <w:rPr>
          <w:rFonts w:ascii="Verdana" w:hAnsi="Verdana"/>
          <w:sz w:val="20"/>
          <w:szCs w:val="20"/>
        </w:rPr>
        <w:t>Tecpile</w:t>
      </w:r>
      <w:proofErr w:type="spellEnd"/>
      <w:r w:rsidR="005A66C7" w:rsidRPr="005C1789">
        <w:rPr>
          <w:rFonts w:ascii="Verdana" w:hAnsi="Verdana"/>
          <w:sz w:val="20"/>
          <w:szCs w:val="20"/>
        </w:rPr>
        <w:t>, y Gustavo Robles López</w:t>
      </w:r>
      <w:r w:rsidR="006E6C3A" w:rsidRPr="005C1789">
        <w:rPr>
          <w:rFonts w:ascii="Verdana" w:hAnsi="Verdana"/>
          <w:sz w:val="20"/>
          <w:szCs w:val="20"/>
        </w:rPr>
        <w:t xml:space="preserve"> estuvieron privad</w:t>
      </w:r>
      <w:r w:rsidR="004A03DF" w:rsidRPr="005C1789">
        <w:rPr>
          <w:rFonts w:ascii="Verdana" w:hAnsi="Verdana"/>
          <w:sz w:val="20"/>
          <w:szCs w:val="20"/>
        </w:rPr>
        <w:t>o</w:t>
      </w:r>
      <w:r w:rsidR="006E6C3A" w:rsidRPr="005C1789">
        <w:rPr>
          <w:rFonts w:ascii="Verdana" w:hAnsi="Verdana"/>
          <w:sz w:val="20"/>
          <w:szCs w:val="20"/>
        </w:rPr>
        <w:t xml:space="preserve">s </w:t>
      </w:r>
      <w:r w:rsidR="005B72A1" w:rsidRPr="005C1789">
        <w:rPr>
          <w:rFonts w:ascii="Verdana" w:hAnsi="Verdana"/>
          <w:sz w:val="20"/>
          <w:szCs w:val="20"/>
        </w:rPr>
        <w:t xml:space="preserve">de </w:t>
      </w:r>
      <w:r w:rsidR="00B56C0E" w:rsidRPr="005C1789">
        <w:rPr>
          <w:rFonts w:ascii="Verdana" w:hAnsi="Verdana"/>
          <w:sz w:val="20"/>
          <w:szCs w:val="20"/>
        </w:rPr>
        <w:t xml:space="preserve">la </w:t>
      </w:r>
      <w:r w:rsidR="005B72A1" w:rsidRPr="005C1789">
        <w:rPr>
          <w:rFonts w:ascii="Verdana" w:hAnsi="Verdana"/>
          <w:sz w:val="20"/>
          <w:szCs w:val="20"/>
        </w:rPr>
        <w:t>libertad</w:t>
      </w:r>
      <w:r w:rsidR="006E6C3A" w:rsidRPr="005C1789">
        <w:rPr>
          <w:rFonts w:ascii="Verdana" w:hAnsi="Verdana"/>
          <w:sz w:val="20"/>
          <w:szCs w:val="20"/>
        </w:rPr>
        <w:t xml:space="preserve"> bajo la figura del arraigo</w:t>
      </w:r>
      <w:r w:rsidR="0068110E" w:rsidRPr="005C1789">
        <w:rPr>
          <w:rFonts w:ascii="Verdana" w:hAnsi="Verdana"/>
          <w:sz w:val="20"/>
          <w:szCs w:val="20"/>
        </w:rPr>
        <w:t xml:space="preserve">, y que la decisión judicial que dispuso la aplicación de </w:t>
      </w:r>
      <w:r w:rsidR="001A0032" w:rsidRPr="005C1789">
        <w:rPr>
          <w:rFonts w:ascii="Verdana" w:hAnsi="Verdana"/>
          <w:sz w:val="20"/>
          <w:szCs w:val="20"/>
        </w:rPr>
        <w:t>esta</w:t>
      </w:r>
      <w:r w:rsidR="0068110E" w:rsidRPr="005C1789">
        <w:rPr>
          <w:rFonts w:ascii="Verdana" w:hAnsi="Verdana"/>
          <w:sz w:val="20"/>
          <w:szCs w:val="20"/>
        </w:rPr>
        <w:t xml:space="preserve"> se refiere tanto al artículo 12 de la Ley Federal contra la Delincuencia </w:t>
      </w:r>
      <w:r w:rsidR="004A03DF" w:rsidRPr="005C1789">
        <w:rPr>
          <w:rFonts w:ascii="Verdana" w:hAnsi="Verdana"/>
          <w:sz w:val="20"/>
          <w:szCs w:val="20"/>
        </w:rPr>
        <w:t xml:space="preserve">Organizada </w:t>
      </w:r>
      <w:r w:rsidR="0068110E" w:rsidRPr="005C1789">
        <w:rPr>
          <w:rFonts w:ascii="Verdana" w:hAnsi="Verdana"/>
          <w:sz w:val="20"/>
          <w:szCs w:val="20"/>
        </w:rPr>
        <w:t>c</w:t>
      </w:r>
      <w:r w:rsidR="001A0032" w:rsidRPr="005C1789">
        <w:rPr>
          <w:rFonts w:ascii="Verdana" w:hAnsi="Verdana"/>
          <w:sz w:val="20"/>
          <w:szCs w:val="20"/>
        </w:rPr>
        <w:t>o</w:t>
      </w:r>
      <w:r w:rsidR="0068110E" w:rsidRPr="005C1789">
        <w:rPr>
          <w:rFonts w:ascii="Verdana" w:hAnsi="Verdana"/>
          <w:sz w:val="20"/>
          <w:szCs w:val="20"/>
        </w:rPr>
        <w:t>mo al artículo 133 bis al Código Federal Procesal Penal de 1999</w:t>
      </w:r>
      <w:r w:rsidR="0068110E" w:rsidRPr="005C1789">
        <w:rPr>
          <w:rFonts w:ascii="Verdana" w:hAnsi="Verdana"/>
          <w:sz w:val="20"/>
          <w:szCs w:val="20"/>
          <w:vertAlign w:val="superscript"/>
          <w:lang w:val="es-ES"/>
        </w:rPr>
        <w:footnoteReference w:id="105"/>
      </w:r>
      <w:r w:rsidR="0068110E" w:rsidRPr="005C1789">
        <w:rPr>
          <w:rFonts w:ascii="Verdana" w:hAnsi="Verdana"/>
          <w:sz w:val="20"/>
          <w:szCs w:val="20"/>
        </w:rPr>
        <w:t xml:space="preserve"> (</w:t>
      </w:r>
      <w:r w:rsidR="0068110E" w:rsidRPr="005C1789">
        <w:rPr>
          <w:rFonts w:ascii="Verdana" w:hAnsi="Verdana"/>
          <w:i/>
          <w:iCs/>
          <w:sz w:val="20"/>
          <w:szCs w:val="20"/>
        </w:rPr>
        <w:t>supra</w:t>
      </w:r>
      <w:r w:rsidR="0068110E" w:rsidRPr="005C1789">
        <w:rPr>
          <w:rFonts w:ascii="Verdana" w:hAnsi="Verdana"/>
          <w:sz w:val="20"/>
          <w:szCs w:val="20"/>
        </w:rPr>
        <w:t xml:space="preserve"> párr. </w:t>
      </w:r>
      <w:r w:rsidR="001A0032" w:rsidRPr="005C1789">
        <w:rPr>
          <w:rFonts w:ascii="Verdana" w:hAnsi="Verdana"/>
          <w:sz w:val="20"/>
          <w:szCs w:val="20"/>
        </w:rPr>
        <w:t>36</w:t>
      </w:r>
      <w:r w:rsidR="0068110E" w:rsidRPr="005C1789">
        <w:rPr>
          <w:rFonts w:ascii="Verdana" w:hAnsi="Verdana"/>
          <w:sz w:val="20"/>
          <w:szCs w:val="20"/>
        </w:rPr>
        <w:t>)</w:t>
      </w:r>
      <w:r w:rsidR="0004333F" w:rsidRPr="005C1789">
        <w:rPr>
          <w:rFonts w:ascii="Verdana" w:eastAsia="Calibri" w:hAnsi="Verdana" w:cs="Arial"/>
          <w:bCs/>
          <w:sz w:val="20"/>
          <w:szCs w:val="20"/>
          <w:lang w:eastAsia="es-CR"/>
        </w:rPr>
        <w:t>.</w:t>
      </w:r>
      <w:r w:rsidR="005733BA" w:rsidRPr="005C1789">
        <w:rPr>
          <w:rFonts w:ascii="Verdana" w:hAnsi="Verdana"/>
          <w:sz w:val="20"/>
          <w:szCs w:val="20"/>
        </w:rPr>
        <w:t xml:space="preserve"> </w:t>
      </w:r>
      <w:r w:rsidR="00971108" w:rsidRPr="005C1789">
        <w:rPr>
          <w:rFonts w:ascii="Verdana" w:hAnsi="Verdana"/>
          <w:sz w:val="20"/>
          <w:szCs w:val="20"/>
        </w:rPr>
        <w:t>La Corte constata</w:t>
      </w:r>
      <w:r w:rsidR="00AC3AB7">
        <w:rPr>
          <w:rFonts w:ascii="Verdana" w:hAnsi="Verdana"/>
          <w:sz w:val="20"/>
          <w:szCs w:val="20"/>
        </w:rPr>
        <w:t>,</w:t>
      </w:r>
      <w:r w:rsidR="00971108" w:rsidRPr="005C1789">
        <w:rPr>
          <w:rFonts w:ascii="Verdana" w:hAnsi="Verdana"/>
          <w:sz w:val="20"/>
          <w:szCs w:val="20"/>
        </w:rPr>
        <w:t xml:space="preserve"> por otra parte, que la </w:t>
      </w:r>
      <w:r w:rsidR="000A3A05" w:rsidRPr="005C1789">
        <w:rPr>
          <w:rFonts w:ascii="Verdana" w:hAnsi="Verdana"/>
          <w:sz w:val="20"/>
          <w:szCs w:val="20"/>
        </w:rPr>
        <w:t>providencia</w:t>
      </w:r>
      <w:r w:rsidR="00971108" w:rsidRPr="005C1789">
        <w:rPr>
          <w:rFonts w:ascii="Verdana" w:hAnsi="Verdana"/>
          <w:sz w:val="20"/>
          <w:szCs w:val="20"/>
        </w:rPr>
        <w:t xml:space="preserve"> judicial que ordenó la medida de arraigo en el presente caso (</w:t>
      </w:r>
      <w:r w:rsidR="00971108" w:rsidRPr="005C1789">
        <w:rPr>
          <w:rFonts w:ascii="Verdana" w:hAnsi="Verdana"/>
          <w:i/>
          <w:iCs/>
          <w:sz w:val="20"/>
          <w:szCs w:val="20"/>
        </w:rPr>
        <w:t>supra</w:t>
      </w:r>
      <w:r w:rsidR="00971108" w:rsidRPr="005C1789">
        <w:rPr>
          <w:rFonts w:ascii="Verdana" w:hAnsi="Verdana"/>
          <w:sz w:val="20"/>
          <w:szCs w:val="20"/>
        </w:rPr>
        <w:t xml:space="preserve"> párr. </w:t>
      </w:r>
      <w:r w:rsidR="00B50163" w:rsidRPr="005C1789">
        <w:rPr>
          <w:rFonts w:ascii="Verdana" w:hAnsi="Verdana"/>
          <w:sz w:val="20"/>
          <w:szCs w:val="20"/>
        </w:rPr>
        <w:t>57</w:t>
      </w:r>
      <w:r w:rsidR="00971108" w:rsidRPr="005C1789">
        <w:rPr>
          <w:rFonts w:ascii="Verdana" w:hAnsi="Verdana"/>
          <w:sz w:val="20"/>
          <w:szCs w:val="20"/>
        </w:rPr>
        <w:t>) se refirió precisamente a esas dos normas para justificar que era competente para conocer y resolver la solicitud de arraigo, aunque a la hora de analizar los requisitos de procedencia de dicha figura, se a</w:t>
      </w:r>
      <w:r w:rsidR="00E35413" w:rsidRPr="005C1789">
        <w:rPr>
          <w:rFonts w:ascii="Verdana" w:hAnsi="Verdana"/>
          <w:sz w:val="20"/>
          <w:szCs w:val="20"/>
        </w:rPr>
        <w:t>v</w:t>
      </w:r>
      <w:r w:rsidR="00971108" w:rsidRPr="005C1789">
        <w:rPr>
          <w:rFonts w:ascii="Verdana" w:hAnsi="Verdana"/>
          <w:sz w:val="20"/>
          <w:szCs w:val="20"/>
        </w:rPr>
        <w:t xml:space="preserve">ocó al cumplimiento de lo establecido por el artículo 12 de Ley Federal contra la </w:t>
      </w:r>
      <w:r w:rsidR="00A669B0" w:rsidRPr="005C1789">
        <w:rPr>
          <w:rFonts w:ascii="Verdana" w:hAnsi="Verdana"/>
          <w:sz w:val="20"/>
          <w:szCs w:val="20"/>
        </w:rPr>
        <w:t>D</w:t>
      </w:r>
      <w:r w:rsidR="00971108" w:rsidRPr="005C1789">
        <w:rPr>
          <w:rFonts w:ascii="Verdana" w:hAnsi="Verdana"/>
          <w:sz w:val="20"/>
          <w:szCs w:val="20"/>
        </w:rPr>
        <w:t xml:space="preserve">elincuencia </w:t>
      </w:r>
      <w:r w:rsidR="00A669B0" w:rsidRPr="005C1789">
        <w:rPr>
          <w:rFonts w:ascii="Verdana" w:hAnsi="Verdana"/>
          <w:sz w:val="20"/>
          <w:szCs w:val="20"/>
        </w:rPr>
        <w:t>O</w:t>
      </w:r>
      <w:r w:rsidR="00971108" w:rsidRPr="005C1789">
        <w:rPr>
          <w:rFonts w:ascii="Verdana" w:hAnsi="Verdana"/>
          <w:sz w:val="20"/>
          <w:szCs w:val="20"/>
        </w:rPr>
        <w:t>rganizada (</w:t>
      </w:r>
      <w:r w:rsidR="00971108" w:rsidRPr="005C1789">
        <w:rPr>
          <w:rFonts w:ascii="Verdana" w:hAnsi="Verdana"/>
          <w:i/>
          <w:iCs/>
          <w:sz w:val="20"/>
          <w:szCs w:val="20"/>
        </w:rPr>
        <w:t>supra</w:t>
      </w:r>
      <w:r w:rsidR="00971108" w:rsidRPr="005C1789">
        <w:rPr>
          <w:rFonts w:ascii="Verdana" w:hAnsi="Verdana"/>
          <w:sz w:val="20"/>
          <w:szCs w:val="20"/>
        </w:rPr>
        <w:t xml:space="preserve"> párr. </w:t>
      </w:r>
      <w:r w:rsidR="00B50163" w:rsidRPr="005C1789">
        <w:rPr>
          <w:rFonts w:ascii="Verdana" w:hAnsi="Verdana"/>
          <w:sz w:val="20"/>
          <w:szCs w:val="20"/>
        </w:rPr>
        <w:t>41</w:t>
      </w:r>
      <w:r w:rsidR="00971108" w:rsidRPr="005C1789">
        <w:rPr>
          <w:rFonts w:ascii="Verdana" w:hAnsi="Verdana"/>
          <w:sz w:val="20"/>
          <w:szCs w:val="20"/>
        </w:rPr>
        <w:t>)</w:t>
      </w:r>
      <w:r w:rsidR="00971108" w:rsidRPr="005C1789">
        <w:rPr>
          <w:rFonts w:ascii="Verdana" w:hAnsi="Verdana"/>
          <w:iCs/>
          <w:sz w:val="20"/>
          <w:szCs w:val="20"/>
          <w:vertAlign w:val="superscript"/>
          <w:lang w:val="es-ES"/>
        </w:rPr>
        <w:footnoteReference w:id="106"/>
      </w:r>
      <w:r w:rsidR="00971108" w:rsidRPr="005C1789">
        <w:rPr>
          <w:rFonts w:ascii="Verdana" w:hAnsi="Verdana"/>
          <w:sz w:val="20"/>
          <w:szCs w:val="20"/>
        </w:rPr>
        <w:t>. En ese sentido, para este Tribunal, resulta relevante analizar la figura del arraigo contenida en esas dos normas.</w:t>
      </w:r>
    </w:p>
    <w:p w14:paraId="54C0DDE0" w14:textId="4C039659" w:rsidR="005733BA" w:rsidRPr="005C1789" w:rsidRDefault="005733B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5C1789">
        <w:rPr>
          <w:rFonts w:ascii="Verdana" w:eastAsia="Calibri" w:hAnsi="Verdana" w:cs="Arial"/>
          <w:bCs/>
          <w:i w:val="0"/>
          <w:iCs/>
          <w:sz w:val="20"/>
          <w:szCs w:val="20"/>
          <w:lang w:eastAsia="es-CR"/>
        </w:rPr>
        <w:t>Según se ha indicado, la Ley Federal contra la Delincuencia Organizada de 28 de octubre de 1996 estable</w:t>
      </w:r>
      <w:r w:rsidR="00D51647" w:rsidRPr="005C1789">
        <w:rPr>
          <w:rFonts w:ascii="Verdana" w:eastAsia="Calibri" w:hAnsi="Verdana" w:cs="Arial"/>
          <w:bCs/>
          <w:i w:val="0"/>
          <w:iCs/>
          <w:sz w:val="20"/>
          <w:szCs w:val="20"/>
          <w:lang w:eastAsia="es-CR"/>
        </w:rPr>
        <w:t>cía</w:t>
      </w:r>
      <w:r w:rsidR="00772940" w:rsidRPr="005C1789">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en su artículo 12 que</w:t>
      </w:r>
      <w:r w:rsidR="0068110E" w:rsidRPr="005C1789">
        <w:rPr>
          <w:rFonts w:ascii="Verdana" w:eastAsia="Calibri" w:hAnsi="Verdana" w:cs="Arial"/>
          <w:bCs/>
          <w:i w:val="0"/>
          <w:iCs/>
          <w:sz w:val="20"/>
          <w:szCs w:val="20"/>
          <w:lang w:eastAsia="es-CR"/>
        </w:rPr>
        <w:t xml:space="preserve"> el “juez podrá dictar, a solicitud del Ministerio Público de la Federación y tomando en cuenta las características del hecho imputado y las circunstancias personales del inculpado, el arraigo de éste en el lugar, forma y medios de realización señalados en la solicitud, con vigilancia de la autoridad, la que ejercerá el Ministerio Público de la Federación y sus auxiliares, mismo que se prolongará por el tiempo estrictamente indispensable para la debida integración de la averiguación de que se trate, sin que exceda de noventa días, con el objeto de que el afectado participe en la aclaración de los hechos que se le imputan y pueda abreviarse el tiempo de arraigo</w:t>
      </w:r>
      <w:r w:rsidR="006A2E72" w:rsidRPr="005C1789">
        <w:rPr>
          <w:rFonts w:ascii="Verdana" w:eastAsia="Calibri" w:hAnsi="Verdana" w:cs="Arial"/>
          <w:bCs/>
          <w:i w:val="0"/>
          <w:iCs/>
          <w:sz w:val="20"/>
          <w:szCs w:val="20"/>
          <w:lang w:eastAsia="es-CR"/>
        </w:rPr>
        <w:t>”.</w:t>
      </w:r>
    </w:p>
    <w:p w14:paraId="7B19EFA0" w14:textId="462DCDB3" w:rsidR="006A2E72" w:rsidRPr="005C1789" w:rsidRDefault="006A2E72"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5C1789">
        <w:rPr>
          <w:rFonts w:ascii="Verdana" w:eastAsia="Calibri" w:hAnsi="Verdana" w:cs="Arial"/>
          <w:bCs/>
          <w:i w:val="0"/>
          <w:iCs/>
          <w:sz w:val="20"/>
          <w:szCs w:val="20"/>
          <w:lang w:eastAsia="es-CR"/>
        </w:rPr>
        <w:t xml:space="preserve">Por otra parte, el artículo 133 bis </w:t>
      </w:r>
      <w:r w:rsidR="00417AA0" w:rsidRPr="005C1789">
        <w:rPr>
          <w:rFonts w:ascii="Verdana" w:eastAsia="Calibri" w:hAnsi="Verdana" w:cs="Arial"/>
          <w:bCs/>
          <w:i w:val="0"/>
          <w:iCs/>
          <w:sz w:val="20"/>
          <w:szCs w:val="20"/>
          <w:lang w:eastAsia="es-CR"/>
        </w:rPr>
        <w:t>del</w:t>
      </w:r>
      <w:r w:rsidRPr="005C1789">
        <w:rPr>
          <w:rFonts w:ascii="Verdana" w:eastAsia="Calibri" w:hAnsi="Verdana" w:cs="Arial"/>
          <w:bCs/>
          <w:i w:val="0"/>
          <w:iCs/>
          <w:sz w:val="20"/>
          <w:szCs w:val="20"/>
          <w:lang w:eastAsia="es-CR"/>
        </w:rPr>
        <w:t xml:space="preserve"> Código Federal Procesal Penal de 1999 </w:t>
      </w:r>
      <w:r w:rsidR="005E3A94" w:rsidRPr="005C1789">
        <w:rPr>
          <w:rFonts w:ascii="Verdana" w:eastAsia="Calibri" w:hAnsi="Verdana" w:cs="Arial"/>
          <w:bCs/>
          <w:i w:val="0"/>
          <w:iCs/>
          <w:sz w:val="20"/>
          <w:szCs w:val="20"/>
          <w:lang w:eastAsia="es-CR"/>
        </w:rPr>
        <w:t xml:space="preserve">señalaba </w:t>
      </w:r>
      <w:r w:rsidRPr="005C1789">
        <w:rPr>
          <w:rFonts w:ascii="Verdana" w:eastAsia="Calibri" w:hAnsi="Verdana" w:cs="Arial"/>
          <w:bCs/>
          <w:i w:val="0"/>
          <w:iCs/>
          <w:sz w:val="20"/>
          <w:szCs w:val="20"/>
          <w:lang w:eastAsia="es-CR"/>
        </w:rPr>
        <w:t>que la “autoridad judicial podrá, a petición del Ministerio Público, decretar el arraigo domiciliario o imponer la prohibición de abandonar una demarcación geográfica sin su autorización, a la persona en contra de quien se prepare el ejercicio de la acción penal, siempre y cuando exista el riesgo fundado de que se sustraiga a la acción de la justicia. […]. El arraigo domiciliario o la prohibición de abandonar una demarcación geográfica se prolongarán por el tiempo estrictamente indispensable, no debiendo exceder de treinta días naturales, en el caso del arraigo, y de sesenta días naturales, en el de la prohibición de abandonar una demarcación geográfica”.</w:t>
      </w:r>
    </w:p>
    <w:p w14:paraId="43CE661C" w14:textId="760B4951" w:rsidR="00193EBA" w:rsidRPr="005C1789" w:rsidRDefault="00193EBA"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5C1789">
        <w:rPr>
          <w:rFonts w:ascii="Verdana" w:eastAsia="Calibri" w:hAnsi="Verdana" w:cs="Arial"/>
          <w:bCs/>
          <w:i w:val="0"/>
          <w:iCs/>
          <w:sz w:val="20"/>
          <w:szCs w:val="20"/>
          <w:lang w:eastAsia="es-CR"/>
        </w:rPr>
        <w:t xml:space="preserve">A </w:t>
      </w:r>
      <w:r w:rsidR="00A669B0" w:rsidRPr="005C1789">
        <w:rPr>
          <w:rFonts w:ascii="Verdana" w:eastAsia="Calibri" w:hAnsi="Verdana" w:cs="Arial"/>
          <w:bCs/>
          <w:i w:val="0"/>
          <w:iCs/>
          <w:sz w:val="20"/>
          <w:szCs w:val="20"/>
          <w:lang w:eastAsia="es-CR"/>
        </w:rPr>
        <w:t>continuación,</w:t>
      </w:r>
      <w:r w:rsidRPr="005C1789">
        <w:rPr>
          <w:rFonts w:ascii="Verdana" w:eastAsia="Calibri" w:hAnsi="Verdana" w:cs="Arial"/>
          <w:bCs/>
          <w:i w:val="0"/>
          <w:iCs/>
          <w:sz w:val="20"/>
          <w:szCs w:val="20"/>
          <w:lang w:eastAsia="es-CR"/>
        </w:rPr>
        <w:t xml:space="preserve"> se analizan distintos aspectos de estas normas a la luz de la Convención Americana y de la jurisprudencia de esta Corte.</w:t>
      </w:r>
    </w:p>
    <w:p w14:paraId="76AC727C" w14:textId="2CCF0CBB" w:rsidR="00D15B00" w:rsidRPr="005C1789" w:rsidRDefault="00A8500A" w:rsidP="00955888">
      <w:pPr>
        <w:pStyle w:val="Prrafodelista"/>
        <w:numPr>
          <w:ilvl w:val="0"/>
          <w:numId w:val="55"/>
        </w:numPr>
        <w:spacing w:before="240" w:after="240"/>
        <w:ind w:left="709" w:hanging="6"/>
        <w:contextualSpacing w:val="0"/>
        <w:jc w:val="both"/>
        <w:outlineLvl w:val="4"/>
        <w:rPr>
          <w:rFonts w:ascii="Verdana" w:hAnsi="Verdana"/>
          <w:i/>
          <w:iCs/>
          <w:sz w:val="20"/>
          <w:szCs w:val="20"/>
        </w:rPr>
      </w:pPr>
      <w:bookmarkStart w:id="98" w:name="_Toc123347537"/>
      <w:r>
        <w:rPr>
          <w:rFonts w:ascii="Verdana" w:hAnsi="Verdana"/>
          <w:i/>
          <w:iCs/>
          <w:sz w:val="20"/>
          <w:szCs w:val="20"/>
        </w:rPr>
        <w:t xml:space="preserve"> </w:t>
      </w:r>
      <w:r w:rsidR="00D15B00" w:rsidRPr="005C1789">
        <w:rPr>
          <w:rFonts w:ascii="Verdana" w:hAnsi="Verdana"/>
          <w:i/>
          <w:iCs/>
          <w:sz w:val="20"/>
          <w:szCs w:val="20"/>
        </w:rPr>
        <w:t>Arraigo y debido proceso</w:t>
      </w:r>
      <w:bookmarkEnd w:id="98"/>
      <w:r w:rsidR="00D15B00" w:rsidRPr="005C1789">
        <w:rPr>
          <w:rFonts w:ascii="Verdana" w:hAnsi="Verdana" w:hint="eastAsia"/>
          <w:i/>
          <w:iCs/>
          <w:sz w:val="20"/>
          <w:szCs w:val="20"/>
        </w:rPr>
        <w:t> </w:t>
      </w:r>
    </w:p>
    <w:p w14:paraId="2A08B06C" w14:textId="4218C9F1" w:rsidR="00D15B00" w:rsidRPr="005C1789" w:rsidRDefault="007D21E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5C1789">
        <w:rPr>
          <w:rFonts w:ascii="Verdana" w:eastAsia="Calibri" w:hAnsi="Verdana" w:cs="Arial"/>
          <w:bCs/>
          <w:i w:val="0"/>
          <w:iCs/>
          <w:sz w:val="20"/>
          <w:szCs w:val="20"/>
          <w:lang w:eastAsia="es-CR"/>
        </w:rPr>
        <w:t>Toda persona que mediante cualquier acto de investigaci</w:t>
      </w:r>
      <w:r w:rsidRPr="005C1789">
        <w:rPr>
          <w:rFonts w:ascii="Verdana" w:eastAsia="Calibri" w:hAnsi="Verdana" w:cs="Arial" w:hint="eastAsia"/>
          <w:bCs/>
          <w:i w:val="0"/>
          <w:iCs/>
          <w:sz w:val="20"/>
          <w:szCs w:val="20"/>
          <w:lang w:eastAsia="es-CR"/>
        </w:rPr>
        <w:t>ó</w:t>
      </w:r>
      <w:r w:rsidRPr="005C1789">
        <w:rPr>
          <w:rFonts w:ascii="Verdana" w:eastAsia="Calibri" w:hAnsi="Verdana" w:cs="Arial"/>
          <w:bCs/>
          <w:i w:val="0"/>
          <w:iCs/>
          <w:sz w:val="20"/>
          <w:szCs w:val="20"/>
          <w:lang w:eastAsia="es-CR"/>
        </w:rPr>
        <w:t>n o del procedimiento sea sospechosa de ser autora o partícipe de un hecho punible es titular de las garantías del debido proceso.</w:t>
      </w:r>
      <w:r w:rsidR="00AC3AB7">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La figura del arraigo de naturaleza pre-procesal con fines investigativos importa una negaci</w:t>
      </w:r>
      <w:r w:rsidRPr="005C1789">
        <w:rPr>
          <w:rFonts w:ascii="Verdana" w:eastAsia="Calibri" w:hAnsi="Verdana" w:cs="Arial" w:hint="eastAsia"/>
          <w:bCs/>
          <w:i w:val="0"/>
          <w:iCs/>
          <w:sz w:val="20"/>
          <w:szCs w:val="20"/>
          <w:lang w:eastAsia="es-CR"/>
        </w:rPr>
        <w:t>ó</w:t>
      </w:r>
      <w:r w:rsidRPr="005C1789">
        <w:rPr>
          <w:rFonts w:ascii="Verdana" w:eastAsia="Calibri" w:hAnsi="Verdana" w:cs="Arial"/>
          <w:bCs/>
          <w:i w:val="0"/>
          <w:iCs/>
          <w:sz w:val="20"/>
          <w:szCs w:val="20"/>
          <w:lang w:eastAsia="es-CR"/>
        </w:rPr>
        <w:t>n absoluta de tales garant</w:t>
      </w:r>
      <w:r w:rsidRPr="005C1789">
        <w:rPr>
          <w:rFonts w:ascii="Verdana" w:eastAsia="Calibri" w:hAnsi="Verdana" w:cs="Arial" w:hint="eastAsia"/>
          <w:bCs/>
          <w:i w:val="0"/>
          <w:iCs/>
          <w:sz w:val="20"/>
          <w:szCs w:val="20"/>
          <w:lang w:eastAsia="es-CR"/>
        </w:rPr>
        <w:t>í</w:t>
      </w:r>
      <w:r w:rsidRPr="005C1789">
        <w:rPr>
          <w:rFonts w:ascii="Verdana" w:eastAsia="Calibri" w:hAnsi="Verdana" w:cs="Arial"/>
          <w:bCs/>
          <w:i w:val="0"/>
          <w:iCs/>
          <w:sz w:val="20"/>
          <w:szCs w:val="20"/>
          <w:lang w:eastAsia="es-CR"/>
        </w:rPr>
        <w:t>as, en la</w:t>
      </w:r>
      <w:r w:rsidR="00712EBB">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medida que</w:t>
      </w:r>
      <w:r w:rsidR="00AC3AB7">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la persona detenida queda sustraída de su protección.</w:t>
      </w:r>
      <w:r w:rsidR="00023E34" w:rsidRPr="005C1789">
        <w:rPr>
          <w:rFonts w:ascii="Verdana" w:eastAsia="Calibri" w:hAnsi="Verdana" w:cs="Arial" w:hint="eastAsia"/>
          <w:bCs/>
          <w:i w:val="0"/>
          <w:iCs/>
          <w:sz w:val="20"/>
          <w:szCs w:val="20"/>
          <w:lang w:eastAsia="es-CR"/>
        </w:rPr>
        <w:t xml:space="preserve"> </w:t>
      </w:r>
      <w:r w:rsidRPr="005C1789">
        <w:rPr>
          <w:rFonts w:ascii="Verdana" w:eastAsia="Calibri" w:hAnsi="Verdana" w:cs="Arial"/>
          <w:bCs/>
          <w:i w:val="0"/>
          <w:iCs/>
          <w:sz w:val="20"/>
          <w:szCs w:val="20"/>
          <w:lang w:eastAsia="es-CR"/>
        </w:rPr>
        <w:t>En consecuencia, no pueden existir restricciones a la libertad impuestas fuera de un proceso penal. Ello constituir</w:t>
      </w:r>
      <w:r w:rsidRPr="005C1789">
        <w:rPr>
          <w:rFonts w:ascii="Verdana" w:eastAsia="Calibri" w:hAnsi="Verdana" w:cs="Arial" w:hint="eastAsia"/>
          <w:bCs/>
          <w:i w:val="0"/>
          <w:iCs/>
          <w:sz w:val="20"/>
          <w:szCs w:val="20"/>
          <w:lang w:eastAsia="es-CR"/>
        </w:rPr>
        <w:t>í</w:t>
      </w:r>
      <w:r w:rsidRPr="005C1789">
        <w:rPr>
          <w:rFonts w:ascii="Verdana" w:eastAsia="Calibri" w:hAnsi="Verdana" w:cs="Arial"/>
          <w:bCs/>
          <w:i w:val="0"/>
          <w:iCs/>
          <w:sz w:val="20"/>
          <w:szCs w:val="20"/>
          <w:lang w:eastAsia="es-CR"/>
        </w:rPr>
        <w:t>a la negaci</w:t>
      </w:r>
      <w:r w:rsidRPr="005C1789">
        <w:rPr>
          <w:rFonts w:ascii="Verdana" w:eastAsia="Calibri" w:hAnsi="Verdana" w:cs="Arial" w:hint="eastAsia"/>
          <w:bCs/>
          <w:i w:val="0"/>
          <w:iCs/>
          <w:sz w:val="20"/>
          <w:szCs w:val="20"/>
          <w:lang w:eastAsia="es-CR"/>
        </w:rPr>
        <w:t>ó</w:t>
      </w:r>
      <w:r w:rsidRPr="005C1789">
        <w:rPr>
          <w:rFonts w:ascii="Verdana" w:eastAsia="Calibri" w:hAnsi="Verdana" w:cs="Arial"/>
          <w:bCs/>
          <w:i w:val="0"/>
          <w:iCs/>
          <w:sz w:val="20"/>
          <w:szCs w:val="20"/>
          <w:lang w:eastAsia="es-CR"/>
        </w:rPr>
        <w:t>n misma del debido proceso</w:t>
      </w:r>
      <w:r w:rsidR="00D15B00" w:rsidRPr="005C1789">
        <w:rPr>
          <w:rFonts w:ascii="Verdana" w:eastAsia="Calibri" w:hAnsi="Verdana" w:cs="Arial"/>
          <w:bCs/>
          <w:i w:val="0"/>
          <w:iCs/>
          <w:sz w:val="20"/>
          <w:szCs w:val="20"/>
          <w:lang w:eastAsia="es-CR"/>
        </w:rPr>
        <w:t>.</w:t>
      </w:r>
    </w:p>
    <w:p w14:paraId="319FC2F7" w14:textId="0D44641D" w:rsidR="002A2F87" w:rsidRPr="005C1789" w:rsidRDefault="00B57FF1" w:rsidP="00955888">
      <w:pPr>
        <w:pStyle w:val="Prrafodelista"/>
        <w:numPr>
          <w:ilvl w:val="0"/>
          <w:numId w:val="55"/>
        </w:numPr>
        <w:spacing w:before="240" w:after="240"/>
        <w:ind w:left="709" w:hanging="6"/>
        <w:contextualSpacing w:val="0"/>
        <w:jc w:val="both"/>
        <w:outlineLvl w:val="4"/>
        <w:rPr>
          <w:rFonts w:ascii="Verdana" w:hAnsi="Verdana"/>
          <w:iCs/>
          <w:sz w:val="20"/>
          <w:szCs w:val="20"/>
        </w:rPr>
      </w:pPr>
      <w:r w:rsidRPr="005C1789">
        <w:rPr>
          <w:rFonts w:ascii="Verdana" w:hAnsi="Verdana"/>
          <w:i/>
          <w:iCs/>
          <w:sz w:val="20"/>
          <w:szCs w:val="20"/>
        </w:rPr>
        <w:lastRenderedPageBreak/>
        <w:t xml:space="preserve"> </w:t>
      </w:r>
      <w:bookmarkStart w:id="99" w:name="_Toc123347538"/>
      <w:r w:rsidR="002A2F87" w:rsidRPr="005C1789">
        <w:rPr>
          <w:rFonts w:ascii="Verdana" w:hAnsi="Verdana"/>
          <w:i/>
          <w:iCs/>
          <w:sz w:val="20"/>
          <w:szCs w:val="20"/>
        </w:rPr>
        <w:t xml:space="preserve">Sobre el derecho a ser oído y </w:t>
      </w:r>
      <w:r w:rsidR="00E627C5" w:rsidRPr="005C1789">
        <w:rPr>
          <w:rFonts w:ascii="Verdana" w:hAnsi="Verdana"/>
          <w:i/>
          <w:iCs/>
          <w:sz w:val="20"/>
          <w:szCs w:val="20"/>
        </w:rPr>
        <w:t xml:space="preserve">el </w:t>
      </w:r>
      <w:r w:rsidR="002A2F87" w:rsidRPr="005C1789">
        <w:rPr>
          <w:rFonts w:ascii="Verdana" w:hAnsi="Verdana"/>
          <w:i/>
          <w:iCs/>
          <w:sz w:val="20"/>
          <w:szCs w:val="20"/>
        </w:rPr>
        <w:t>derecho a ser llevado, sin demora, ante un juez u otro funcionario autorizado por la ley para ejercer funciones judiciales,</w:t>
      </w:r>
      <w:r w:rsidR="00E627C5" w:rsidRPr="005C1789">
        <w:rPr>
          <w:rFonts w:ascii="Verdana" w:hAnsi="Verdana"/>
          <w:i/>
          <w:iCs/>
          <w:sz w:val="20"/>
          <w:szCs w:val="20"/>
        </w:rPr>
        <w:t xml:space="preserve"> y</w:t>
      </w:r>
      <w:r w:rsidR="002A2F87" w:rsidRPr="005C1789">
        <w:rPr>
          <w:rFonts w:ascii="Verdana" w:hAnsi="Verdana"/>
          <w:i/>
          <w:iCs/>
          <w:sz w:val="20"/>
          <w:szCs w:val="20"/>
        </w:rPr>
        <w:t xml:space="preserve"> el derecho a no declarar contra s</w:t>
      </w:r>
      <w:r w:rsidR="00957006" w:rsidRPr="005C1789">
        <w:rPr>
          <w:rFonts w:ascii="Verdana" w:hAnsi="Verdana"/>
          <w:i/>
          <w:iCs/>
          <w:sz w:val="20"/>
          <w:szCs w:val="20"/>
        </w:rPr>
        <w:t>í</w:t>
      </w:r>
      <w:r w:rsidR="002A2F87" w:rsidRPr="005C1789">
        <w:rPr>
          <w:rFonts w:ascii="Verdana" w:hAnsi="Verdana"/>
          <w:i/>
          <w:iCs/>
          <w:sz w:val="20"/>
          <w:szCs w:val="20"/>
        </w:rPr>
        <w:t xml:space="preserve"> mismo y la situación de indefensión de la persona arraigada</w:t>
      </w:r>
      <w:bookmarkEnd w:id="99"/>
    </w:p>
    <w:p w14:paraId="60302759" w14:textId="45A73160" w:rsidR="00193EBA" w:rsidRPr="005C1789" w:rsidRDefault="00190E21" w:rsidP="00955888">
      <w:pPr>
        <w:pStyle w:val="Prrafodelista"/>
        <w:numPr>
          <w:ilvl w:val="1"/>
          <w:numId w:val="55"/>
        </w:numPr>
        <w:spacing w:before="240" w:after="240"/>
        <w:ind w:left="1434" w:hanging="357"/>
        <w:contextualSpacing w:val="0"/>
        <w:jc w:val="both"/>
        <w:outlineLvl w:val="5"/>
        <w:rPr>
          <w:rFonts w:ascii="Verdana" w:hAnsi="Verdana"/>
          <w:iCs/>
          <w:sz w:val="20"/>
          <w:szCs w:val="20"/>
        </w:rPr>
      </w:pPr>
      <w:r w:rsidRPr="005C1789">
        <w:rPr>
          <w:rFonts w:ascii="Verdana" w:hAnsi="Verdana"/>
          <w:i/>
          <w:iCs/>
          <w:sz w:val="20"/>
          <w:szCs w:val="20"/>
        </w:rPr>
        <w:t>Sobre el d</w:t>
      </w:r>
      <w:r w:rsidR="00193EBA" w:rsidRPr="005C1789">
        <w:rPr>
          <w:rFonts w:ascii="Verdana" w:hAnsi="Verdana"/>
          <w:i/>
          <w:iCs/>
          <w:sz w:val="20"/>
          <w:szCs w:val="20"/>
        </w:rPr>
        <w:t xml:space="preserve">erecho a ser oído y </w:t>
      </w:r>
      <w:r w:rsidR="00AE7D59">
        <w:rPr>
          <w:rFonts w:ascii="Verdana" w:hAnsi="Verdana"/>
          <w:i/>
          <w:iCs/>
          <w:sz w:val="20"/>
          <w:szCs w:val="20"/>
        </w:rPr>
        <w:t xml:space="preserve">el </w:t>
      </w:r>
      <w:r w:rsidR="00193EBA" w:rsidRPr="005C1789">
        <w:rPr>
          <w:rFonts w:ascii="Verdana" w:hAnsi="Verdana"/>
          <w:i/>
          <w:iCs/>
          <w:sz w:val="20"/>
          <w:szCs w:val="20"/>
        </w:rPr>
        <w:t>derecho a ser llevad</w:t>
      </w:r>
      <w:r w:rsidR="00D03483" w:rsidRPr="005C1789">
        <w:rPr>
          <w:rFonts w:ascii="Verdana" w:hAnsi="Verdana"/>
          <w:i/>
          <w:iCs/>
          <w:sz w:val="20"/>
          <w:szCs w:val="20"/>
        </w:rPr>
        <w:t>o,</w:t>
      </w:r>
      <w:r w:rsidR="00193EBA" w:rsidRPr="005C1789">
        <w:rPr>
          <w:rFonts w:ascii="Verdana" w:hAnsi="Verdana"/>
          <w:i/>
          <w:iCs/>
          <w:sz w:val="20"/>
          <w:szCs w:val="20"/>
        </w:rPr>
        <w:t xml:space="preserve"> sin demora, ante un juez u otro funcionario autorizado por la ley para ejercer funciones judiciales </w:t>
      </w:r>
      <w:r w:rsidRPr="005C1789">
        <w:rPr>
          <w:rFonts w:ascii="Verdana" w:hAnsi="Verdana"/>
          <w:i/>
          <w:iCs/>
          <w:sz w:val="20"/>
          <w:szCs w:val="20"/>
        </w:rPr>
        <w:t>de las personas arraigadas</w:t>
      </w:r>
    </w:p>
    <w:p w14:paraId="53296876" w14:textId="2540B645" w:rsidR="004A03DF" w:rsidRPr="005C1789" w:rsidRDefault="004A03DF"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5C1789">
        <w:rPr>
          <w:rFonts w:ascii="Verdana" w:eastAsia="Calibri" w:hAnsi="Verdana" w:cs="Arial"/>
          <w:bCs/>
          <w:i w:val="0"/>
          <w:iCs/>
          <w:sz w:val="20"/>
          <w:szCs w:val="20"/>
          <w:lang w:eastAsia="es-CR"/>
        </w:rPr>
        <w:t>Según indicó el perito Luis Raúl González Pérez, el arraigo es “una medida administrativa autorizada por una autoridad judicial de restricción a la libertad personal</w:t>
      </w:r>
      <w:r w:rsidR="007E62E1" w:rsidRPr="005C1789">
        <w:rPr>
          <w:rFonts w:ascii="Verdana" w:eastAsia="Calibri" w:hAnsi="Verdana" w:cs="Arial"/>
          <w:bCs/>
          <w:i w:val="0"/>
          <w:iCs/>
          <w:sz w:val="20"/>
          <w:szCs w:val="20"/>
          <w:lang w:eastAsia="es-CR"/>
        </w:rPr>
        <w:t>,</w:t>
      </w:r>
      <w:r w:rsidRPr="005C1789">
        <w:rPr>
          <w:rFonts w:ascii="Verdana" w:eastAsia="Calibri" w:hAnsi="Verdana" w:cs="Arial"/>
          <w:bCs/>
          <w:i w:val="0"/>
          <w:iCs/>
          <w:sz w:val="20"/>
          <w:szCs w:val="20"/>
          <w:lang w:eastAsia="es-CR"/>
        </w:rPr>
        <w:t xml:space="preserve"> en una fase de investigación encaminada a un posible y/o supuesto proceso penal”, y se lleva a cabo “sin contar con una acusación formal, ni tampoco un proceso iniciado, con datos</w:t>
      </w:r>
      <w:r w:rsidR="009568E6" w:rsidRPr="005C1789">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mínimos y suficientes, esto es, se da a la persona de facto el trato</w:t>
      </w:r>
      <w:r w:rsidR="009568E6" w:rsidRPr="005C1789">
        <w:rPr>
          <w:rFonts w:ascii="Verdana" w:eastAsia="Calibri" w:hAnsi="Verdana" w:cs="Arial"/>
          <w:bCs/>
          <w:i w:val="0"/>
          <w:iCs/>
          <w:sz w:val="20"/>
          <w:szCs w:val="20"/>
          <w:lang w:eastAsia="es-CR"/>
        </w:rPr>
        <w:t xml:space="preserve"> </w:t>
      </w:r>
      <w:r w:rsidRPr="005C1789">
        <w:rPr>
          <w:rFonts w:ascii="Verdana" w:eastAsia="Calibri" w:hAnsi="Verdana" w:cs="Arial"/>
          <w:bCs/>
          <w:i w:val="0"/>
          <w:iCs/>
          <w:sz w:val="20"/>
          <w:szCs w:val="20"/>
          <w:lang w:eastAsia="es-CR"/>
        </w:rPr>
        <w:t>correspondiente a quienes enfrentan un proceso sin estar sometido a éste</w:t>
      </w:r>
      <w:r w:rsidR="009568E6" w:rsidRPr="005C1789">
        <w:rPr>
          <w:rFonts w:ascii="Verdana" w:eastAsia="Calibri" w:hAnsi="Verdana" w:cs="Arial"/>
          <w:bCs/>
          <w:i w:val="0"/>
          <w:iCs/>
          <w:sz w:val="20"/>
          <w:szCs w:val="20"/>
          <w:lang w:eastAsia="es-CR"/>
        </w:rPr>
        <w:t>”</w:t>
      </w:r>
      <w:r w:rsidRPr="005C1789">
        <w:rPr>
          <w:rFonts w:ascii="Verdana" w:eastAsia="Calibri" w:hAnsi="Verdana" w:cs="Arial"/>
          <w:bCs/>
          <w:i w:val="0"/>
          <w:iCs/>
          <w:sz w:val="20"/>
          <w:szCs w:val="20"/>
          <w:lang w:eastAsia="es-CR"/>
        </w:rPr>
        <w:t xml:space="preserve">. </w:t>
      </w:r>
      <w:r w:rsidR="00A778BE" w:rsidRPr="005C1789">
        <w:rPr>
          <w:rFonts w:ascii="Verdana" w:hAnsi="Verdana"/>
          <w:i w:val="0"/>
          <w:iCs/>
          <w:sz w:val="20"/>
          <w:szCs w:val="20"/>
        </w:rPr>
        <w:t>En el mismo sentido, el perito Esteban Gilberto Arcos Corté</w:t>
      </w:r>
      <w:r w:rsidR="00F120CB" w:rsidRPr="005C1789">
        <w:rPr>
          <w:rFonts w:ascii="Verdana" w:hAnsi="Verdana"/>
          <w:i w:val="0"/>
          <w:iCs/>
          <w:sz w:val="20"/>
          <w:szCs w:val="20"/>
        </w:rPr>
        <w:t>s</w:t>
      </w:r>
      <w:r w:rsidR="00A778BE" w:rsidRPr="005C1789">
        <w:rPr>
          <w:rFonts w:ascii="Verdana" w:hAnsi="Verdana"/>
          <w:i w:val="0"/>
          <w:iCs/>
          <w:sz w:val="20"/>
          <w:szCs w:val="20"/>
        </w:rPr>
        <w:t xml:space="preserve">, </w:t>
      </w:r>
      <w:r w:rsidR="00217EC9" w:rsidRPr="005C1789">
        <w:rPr>
          <w:rFonts w:ascii="Verdana" w:hAnsi="Verdana"/>
          <w:i w:val="0"/>
          <w:iCs/>
          <w:sz w:val="20"/>
          <w:szCs w:val="20"/>
        </w:rPr>
        <w:t>quien fue</w:t>
      </w:r>
      <w:r w:rsidR="00A778BE" w:rsidRPr="005C1789">
        <w:rPr>
          <w:rFonts w:ascii="Verdana" w:hAnsi="Verdana"/>
          <w:i w:val="0"/>
          <w:iCs/>
          <w:sz w:val="20"/>
          <w:szCs w:val="20"/>
        </w:rPr>
        <w:t xml:space="preserve"> propuesto por el Estado, </w:t>
      </w:r>
      <w:r w:rsidR="008918BB" w:rsidRPr="005C1789">
        <w:rPr>
          <w:rFonts w:ascii="Verdana" w:hAnsi="Verdana"/>
          <w:i w:val="0"/>
          <w:iCs/>
          <w:sz w:val="20"/>
          <w:szCs w:val="20"/>
        </w:rPr>
        <w:t xml:space="preserve">manifestó </w:t>
      </w:r>
      <w:r w:rsidR="00A778BE" w:rsidRPr="005C1789">
        <w:rPr>
          <w:rFonts w:ascii="Verdana" w:hAnsi="Verdana"/>
          <w:i w:val="0"/>
          <w:iCs/>
          <w:sz w:val="20"/>
          <w:szCs w:val="20"/>
        </w:rPr>
        <w:t>durante la audiencia pública del caso que</w:t>
      </w:r>
      <w:r w:rsidR="00E3448B" w:rsidRPr="005C1789">
        <w:rPr>
          <w:rFonts w:ascii="Verdana" w:hAnsi="Verdana"/>
          <w:i w:val="0"/>
          <w:iCs/>
          <w:sz w:val="20"/>
          <w:szCs w:val="20"/>
        </w:rPr>
        <w:t xml:space="preserve"> el arraigo es un “técnica en la investigación” y que </w:t>
      </w:r>
      <w:r w:rsidR="00A778BE" w:rsidRPr="005C1789">
        <w:rPr>
          <w:rFonts w:ascii="Verdana" w:hAnsi="Verdana"/>
          <w:i w:val="0"/>
          <w:iCs/>
          <w:sz w:val="20"/>
          <w:szCs w:val="20"/>
        </w:rPr>
        <w:t>“</w:t>
      </w:r>
      <w:r w:rsidR="004729B5" w:rsidRPr="005C1789">
        <w:rPr>
          <w:rFonts w:ascii="Verdana" w:hAnsi="Verdana"/>
          <w:i w:val="0"/>
          <w:iCs/>
          <w:sz w:val="20"/>
          <w:szCs w:val="20"/>
        </w:rPr>
        <w:t>en su ejecución no se ha formulado imputación aún, no se ha determinado una vinculación a proceso</w:t>
      </w:r>
      <w:r w:rsidR="00E3448B" w:rsidRPr="005C1789">
        <w:rPr>
          <w:rFonts w:ascii="Verdana" w:hAnsi="Verdana"/>
          <w:i w:val="0"/>
          <w:iCs/>
          <w:sz w:val="20"/>
          <w:szCs w:val="20"/>
        </w:rPr>
        <w:t>”</w:t>
      </w:r>
      <w:r w:rsidR="00E80A9E" w:rsidRPr="005C1789">
        <w:rPr>
          <w:rFonts w:ascii="Verdana" w:hAnsi="Verdana"/>
          <w:i w:val="0"/>
          <w:iCs/>
          <w:sz w:val="20"/>
          <w:szCs w:val="20"/>
        </w:rPr>
        <w:t xml:space="preserve">. Agregó que lo anterior es consecuencia de dotar al Ministerio Público de una herramienta </w:t>
      </w:r>
      <w:r w:rsidR="006C293D" w:rsidRPr="005C1789">
        <w:rPr>
          <w:rFonts w:ascii="Verdana" w:hAnsi="Verdana"/>
          <w:i w:val="0"/>
          <w:iCs/>
          <w:sz w:val="20"/>
          <w:szCs w:val="20"/>
        </w:rPr>
        <w:t>técnico-jurídica</w:t>
      </w:r>
      <w:r w:rsidR="00E80A9E" w:rsidRPr="005C1789">
        <w:rPr>
          <w:rFonts w:ascii="Verdana" w:hAnsi="Verdana"/>
          <w:i w:val="0"/>
          <w:iCs/>
          <w:sz w:val="20"/>
          <w:szCs w:val="20"/>
        </w:rPr>
        <w:t xml:space="preserve"> para acudir a un juez de control y solicitar</w:t>
      </w:r>
      <w:r w:rsidR="00857B7A" w:rsidRPr="005C1789">
        <w:rPr>
          <w:rFonts w:ascii="Verdana" w:hAnsi="Verdana"/>
          <w:i w:val="0"/>
          <w:iCs/>
          <w:sz w:val="20"/>
          <w:szCs w:val="20"/>
        </w:rPr>
        <w:t xml:space="preserve"> por un términ</w:t>
      </w:r>
      <w:r w:rsidR="006C293D" w:rsidRPr="005C1789">
        <w:rPr>
          <w:rFonts w:ascii="Verdana" w:hAnsi="Verdana"/>
          <w:i w:val="0"/>
          <w:iCs/>
          <w:sz w:val="20"/>
          <w:szCs w:val="20"/>
        </w:rPr>
        <w:t xml:space="preserve">o de 40 días, </w:t>
      </w:r>
      <w:r w:rsidR="003C7853" w:rsidRPr="005C1789">
        <w:rPr>
          <w:rFonts w:ascii="Verdana" w:hAnsi="Verdana"/>
          <w:i w:val="0"/>
          <w:iCs/>
          <w:sz w:val="20"/>
          <w:szCs w:val="20"/>
        </w:rPr>
        <w:t xml:space="preserve">prorrogable </w:t>
      </w:r>
      <w:r w:rsidR="006C293D" w:rsidRPr="005C1789">
        <w:rPr>
          <w:rFonts w:ascii="Verdana" w:hAnsi="Verdana"/>
          <w:i w:val="0"/>
          <w:iCs/>
          <w:sz w:val="20"/>
          <w:szCs w:val="20"/>
        </w:rPr>
        <w:t xml:space="preserve">a 80 días, una medida </w:t>
      </w:r>
      <w:r w:rsidR="004729B5" w:rsidRPr="005C1789">
        <w:rPr>
          <w:rFonts w:ascii="Verdana" w:hAnsi="Verdana"/>
          <w:i w:val="0"/>
          <w:iCs/>
          <w:sz w:val="20"/>
          <w:szCs w:val="20"/>
        </w:rPr>
        <w:t>de ese tipo “</w:t>
      </w:r>
      <w:r w:rsidR="00E80A9E" w:rsidRPr="005C1789">
        <w:rPr>
          <w:rFonts w:ascii="Verdana" w:hAnsi="Verdana"/>
          <w:i w:val="0"/>
          <w:iCs/>
          <w:sz w:val="20"/>
          <w:szCs w:val="20"/>
        </w:rPr>
        <w:t>debido a la complejidad de los delitos para los cuales hoy en día aplica que son la delincuencia organizada</w:t>
      </w:r>
      <w:r w:rsidR="004729B5" w:rsidRPr="005C1789">
        <w:rPr>
          <w:rFonts w:ascii="Verdana" w:hAnsi="Verdana"/>
          <w:i w:val="0"/>
          <w:iCs/>
          <w:sz w:val="20"/>
          <w:szCs w:val="20"/>
        </w:rPr>
        <w:t>”</w:t>
      </w:r>
      <w:r w:rsidR="00A778BE" w:rsidRPr="005C1789">
        <w:rPr>
          <w:rFonts w:ascii="Verdana" w:hAnsi="Verdana"/>
          <w:i w:val="0"/>
          <w:iCs/>
          <w:sz w:val="20"/>
          <w:szCs w:val="20"/>
          <w:vertAlign w:val="superscript"/>
          <w:lang w:val="es-ES"/>
        </w:rPr>
        <w:footnoteReference w:id="107"/>
      </w:r>
      <w:r w:rsidR="00E3448B" w:rsidRPr="005C1789">
        <w:rPr>
          <w:rFonts w:ascii="Verdana" w:hAnsi="Verdana"/>
          <w:i w:val="0"/>
          <w:iCs/>
          <w:sz w:val="20"/>
          <w:szCs w:val="20"/>
        </w:rPr>
        <w:t>.</w:t>
      </w:r>
      <w:r w:rsidR="00BD0C81" w:rsidRPr="005C1789">
        <w:rPr>
          <w:rFonts w:ascii="Verdana" w:hAnsi="Verdana"/>
          <w:i w:val="0"/>
          <w:iCs/>
          <w:sz w:val="20"/>
          <w:szCs w:val="20"/>
        </w:rPr>
        <w:t xml:space="preserve"> </w:t>
      </w:r>
    </w:p>
    <w:p w14:paraId="2F593756" w14:textId="4C07F20D" w:rsidR="00351990" w:rsidRPr="005C1789" w:rsidRDefault="003F5265"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Con relación a estas normas, esta Corte </w:t>
      </w:r>
      <w:r w:rsidR="006A2E72" w:rsidRPr="005C1789">
        <w:rPr>
          <w:rFonts w:ascii="Verdana" w:hAnsi="Verdana"/>
          <w:i w:val="0"/>
          <w:iCs/>
          <w:sz w:val="20"/>
          <w:szCs w:val="20"/>
        </w:rPr>
        <w:t xml:space="preserve">advierte </w:t>
      </w:r>
      <w:r w:rsidR="00BA2006" w:rsidRPr="005C1789">
        <w:rPr>
          <w:rFonts w:ascii="Verdana" w:hAnsi="Verdana"/>
          <w:i w:val="0"/>
          <w:iCs/>
          <w:sz w:val="20"/>
          <w:szCs w:val="20"/>
        </w:rPr>
        <w:t>de forma preliminar</w:t>
      </w:r>
      <w:r w:rsidR="00CC4055" w:rsidRPr="005C1789">
        <w:rPr>
          <w:rFonts w:ascii="Verdana" w:hAnsi="Verdana"/>
          <w:i w:val="0"/>
          <w:iCs/>
          <w:sz w:val="20"/>
          <w:szCs w:val="20"/>
        </w:rPr>
        <w:t xml:space="preserve"> </w:t>
      </w:r>
      <w:r w:rsidR="006A2E72" w:rsidRPr="005C1789">
        <w:rPr>
          <w:rFonts w:ascii="Verdana" w:hAnsi="Verdana"/>
          <w:i w:val="0"/>
          <w:iCs/>
          <w:sz w:val="20"/>
          <w:szCs w:val="20"/>
        </w:rPr>
        <w:t>que</w:t>
      </w:r>
      <w:r w:rsidR="008D5008" w:rsidRPr="005C1789">
        <w:rPr>
          <w:rFonts w:ascii="Verdana" w:hAnsi="Verdana"/>
          <w:i w:val="0"/>
          <w:iCs/>
          <w:sz w:val="20"/>
          <w:szCs w:val="20"/>
        </w:rPr>
        <w:t xml:space="preserve"> </w:t>
      </w:r>
      <w:r w:rsidR="006A2E72" w:rsidRPr="005C1789">
        <w:rPr>
          <w:rFonts w:ascii="Verdana" w:hAnsi="Verdana"/>
          <w:i w:val="0"/>
          <w:iCs/>
          <w:sz w:val="20"/>
          <w:szCs w:val="20"/>
        </w:rPr>
        <w:t>en ninguna de ellas se dispone una instancia</w:t>
      </w:r>
      <w:r w:rsidR="001F481A" w:rsidRPr="005C1789">
        <w:rPr>
          <w:rFonts w:ascii="Verdana" w:hAnsi="Verdana"/>
          <w:i w:val="0"/>
          <w:iCs/>
          <w:sz w:val="20"/>
          <w:szCs w:val="20"/>
        </w:rPr>
        <w:t>,</w:t>
      </w:r>
      <w:r w:rsidR="006A2E72" w:rsidRPr="005C1789">
        <w:rPr>
          <w:rFonts w:ascii="Verdana" w:hAnsi="Verdana"/>
          <w:i w:val="0"/>
          <w:iCs/>
          <w:sz w:val="20"/>
          <w:szCs w:val="20"/>
        </w:rPr>
        <w:t xml:space="preserve"> en la cual s</w:t>
      </w:r>
      <w:r w:rsidR="00943065" w:rsidRPr="005C1789">
        <w:rPr>
          <w:rFonts w:ascii="Verdana" w:hAnsi="Verdana"/>
          <w:i w:val="0"/>
          <w:iCs/>
          <w:sz w:val="20"/>
          <w:szCs w:val="20"/>
        </w:rPr>
        <w:t xml:space="preserve">e escuche </w:t>
      </w:r>
      <w:r w:rsidR="006A2E72" w:rsidRPr="005C1789">
        <w:rPr>
          <w:rFonts w:ascii="Verdana" w:hAnsi="Verdana"/>
          <w:i w:val="0"/>
          <w:iCs/>
          <w:sz w:val="20"/>
          <w:szCs w:val="20"/>
        </w:rPr>
        <w:t>a la persona investigada</w:t>
      </w:r>
      <w:r w:rsidR="00C6148D" w:rsidRPr="005C1789">
        <w:rPr>
          <w:rFonts w:ascii="Verdana" w:hAnsi="Verdana"/>
          <w:i w:val="0"/>
          <w:iCs/>
          <w:sz w:val="20"/>
          <w:szCs w:val="20"/>
        </w:rPr>
        <w:t xml:space="preserve"> o a sus representantes</w:t>
      </w:r>
      <w:r w:rsidR="008D5008" w:rsidRPr="005C1789">
        <w:rPr>
          <w:rFonts w:ascii="Verdana" w:hAnsi="Verdana"/>
          <w:i w:val="0"/>
          <w:iCs/>
          <w:sz w:val="20"/>
          <w:szCs w:val="20"/>
        </w:rPr>
        <w:t xml:space="preserve"> para que puedan ejercer su derecho de defensa</w:t>
      </w:r>
      <w:r w:rsidR="006A2E72" w:rsidRPr="005C1789">
        <w:rPr>
          <w:rFonts w:ascii="Verdana" w:hAnsi="Verdana"/>
          <w:i w:val="0"/>
          <w:iCs/>
          <w:sz w:val="20"/>
          <w:szCs w:val="20"/>
        </w:rPr>
        <w:t xml:space="preserve"> antes de</w:t>
      </w:r>
      <w:r w:rsidR="00943065" w:rsidRPr="005C1789">
        <w:rPr>
          <w:rFonts w:ascii="Verdana" w:hAnsi="Verdana"/>
          <w:i w:val="0"/>
          <w:iCs/>
          <w:sz w:val="20"/>
          <w:szCs w:val="20"/>
        </w:rPr>
        <w:t xml:space="preserve"> que se</w:t>
      </w:r>
      <w:r w:rsidR="006A2E72" w:rsidRPr="005C1789">
        <w:rPr>
          <w:rFonts w:ascii="Verdana" w:hAnsi="Verdana"/>
          <w:i w:val="0"/>
          <w:iCs/>
          <w:sz w:val="20"/>
          <w:szCs w:val="20"/>
        </w:rPr>
        <w:t xml:space="preserve"> apli</w:t>
      </w:r>
      <w:r w:rsidR="00943065" w:rsidRPr="005C1789">
        <w:rPr>
          <w:rFonts w:ascii="Verdana" w:hAnsi="Verdana"/>
          <w:i w:val="0"/>
          <w:iCs/>
          <w:sz w:val="20"/>
          <w:szCs w:val="20"/>
        </w:rPr>
        <w:t>que,</w:t>
      </w:r>
      <w:r w:rsidR="006A2E72" w:rsidRPr="005C1789">
        <w:rPr>
          <w:rFonts w:ascii="Verdana" w:hAnsi="Verdana"/>
          <w:i w:val="0"/>
          <w:iCs/>
          <w:sz w:val="20"/>
          <w:szCs w:val="20"/>
        </w:rPr>
        <w:t xml:space="preserve"> eventualmente</w:t>
      </w:r>
      <w:r w:rsidR="00943065" w:rsidRPr="005C1789">
        <w:rPr>
          <w:rFonts w:ascii="Verdana" w:hAnsi="Verdana"/>
          <w:i w:val="0"/>
          <w:iCs/>
          <w:sz w:val="20"/>
          <w:szCs w:val="20"/>
        </w:rPr>
        <w:t>,</w:t>
      </w:r>
      <w:r w:rsidR="006A2E72" w:rsidRPr="005C1789">
        <w:rPr>
          <w:rFonts w:ascii="Verdana" w:hAnsi="Verdana"/>
          <w:i w:val="0"/>
          <w:iCs/>
          <w:sz w:val="20"/>
          <w:szCs w:val="20"/>
        </w:rPr>
        <w:t xml:space="preserve"> </w:t>
      </w:r>
      <w:r w:rsidR="006A2E72" w:rsidRPr="005C1789">
        <w:rPr>
          <w:rFonts w:ascii="Verdana" w:eastAsia="Calibri" w:hAnsi="Verdana" w:cs="Arial"/>
          <w:bCs/>
          <w:i w:val="0"/>
          <w:iCs/>
          <w:sz w:val="20"/>
          <w:szCs w:val="20"/>
          <w:lang w:eastAsia="es-CR"/>
        </w:rPr>
        <w:t>la</w:t>
      </w:r>
      <w:r w:rsidR="006A2E72" w:rsidRPr="005C1789">
        <w:rPr>
          <w:rFonts w:ascii="Verdana" w:hAnsi="Verdana"/>
          <w:i w:val="0"/>
          <w:iCs/>
          <w:sz w:val="20"/>
          <w:szCs w:val="20"/>
        </w:rPr>
        <w:t xml:space="preserve"> medida restrictiva a la libertad</w:t>
      </w:r>
      <w:r w:rsidR="00720FCE" w:rsidRPr="005C1789">
        <w:rPr>
          <w:rFonts w:ascii="Verdana" w:hAnsi="Verdana"/>
          <w:i w:val="0"/>
          <w:iCs/>
          <w:sz w:val="20"/>
          <w:szCs w:val="20"/>
          <w:vertAlign w:val="superscript"/>
          <w:lang w:val="es-ES"/>
        </w:rPr>
        <w:footnoteReference w:id="108"/>
      </w:r>
      <w:r w:rsidR="008D5008" w:rsidRPr="005C1789">
        <w:rPr>
          <w:rFonts w:ascii="Verdana" w:hAnsi="Verdana"/>
          <w:i w:val="0"/>
          <w:iCs/>
          <w:sz w:val="20"/>
          <w:szCs w:val="20"/>
        </w:rPr>
        <w:t xml:space="preserve">. Sobre este punto, cabe recordar que el artículo 7.5 de la Convención Americana </w:t>
      </w:r>
      <w:r w:rsidR="0089525B" w:rsidRPr="005C1789">
        <w:rPr>
          <w:rFonts w:ascii="Verdana" w:hAnsi="Verdana"/>
          <w:i w:val="0"/>
          <w:iCs/>
          <w:sz w:val="20"/>
          <w:szCs w:val="20"/>
        </w:rPr>
        <w:t>dispone</w:t>
      </w:r>
      <w:r w:rsidR="008D5008" w:rsidRPr="005C1789">
        <w:rPr>
          <w:rFonts w:ascii="Verdana" w:hAnsi="Verdana"/>
          <w:i w:val="0"/>
          <w:iCs/>
          <w:sz w:val="20"/>
          <w:szCs w:val="20"/>
        </w:rPr>
        <w:t xml:space="preserve"> que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w:t>
      </w:r>
      <w:r w:rsidR="00C328E7" w:rsidRPr="005C1789">
        <w:rPr>
          <w:rFonts w:ascii="Verdana" w:hAnsi="Verdana"/>
          <w:i w:val="0"/>
          <w:iCs/>
          <w:sz w:val="20"/>
          <w:szCs w:val="20"/>
        </w:rPr>
        <w:t xml:space="preserve"> </w:t>
      </w:r>
      <w:r w:rsidR="00D6443F" w:rsidRPr="005C1789">
        <w:rPr>
          <w:rFonts w:ascii="Verdana" w:hAnsi="Verdana"/>
          <w:i w:val="0"/>
          <w:iCs/>
          <w:sz w:val="20"/>
          <w:szCs w:val="20"/>
        </w:rPr>
        <w:t>Del mismo modo, el artículo 8.1 de la Convención Americana dispone que toda persona tiene derecho a ser oída, en la sustanciación de cualquier acusación penal formulada contra ella, o para la determinación de sus derechos y obligaciones.</w:t>
      </w:r>
      <w:r w:rsidR="003B2C02" w:rsidRPr="005C1789">
        <w:rPr>
          <w:rFonts w:ascii="Verdana" w:hAnsi="Verdana"/>
          <w:i w:val="0"/>
          <w:iCs/>
          <w:sz w:val="20"/>
          <w:szCs w:val="20"/>
        </w:rPr>
        <w:t xml:space="preserve"> </w:t>
      </w:r>
      <w:r w:rsidR="00712EBB">
        <w:rPr>
          <w:rFonts w:ascii="Verdana" w:hAnsi="Verdana"/>
          <w:i w:val="0"/>
          <w:iCs/>
          <w:sz w:val="20"/>
          <w:szCs w:val="20"/>
        </w:rPr>
        <w:t>Al respecto</w:t>
      </w:r>
      <w:r w:rsidR="003B2C02" w:rsidRPr="005C1789">
        <w:rPr>
          <w:rFonts w:ascii="Verdana" w:hAnsi="Verdana"/>
          <w:i w:val="0"/>
          <w:iCs/>
          <w:sz w:val="20"/>
          <w:szCs w:val="20"/>
        </w:rPr>
        <w:t xml:space="preserve">, corresponde recordar que ese derecho </w:t>
      </w:r>
      <w:r w:rsidR="000474C0" w:rsidRPr="005C1789">
        <w:rPr>
          <w:rFonts w:ascii="Verdana" w:hAnsi="Verdana"/>
          <w:i w:val="0"/>
          <w:iCs/>
          <w:sz w:val="20"/>
          <w:szCs w:val="20"/>
        </w:rPr>
        <w:t>comprende</w:t>
      </w:r>
      <w:r w:rsidR="00E4693C" w:rsidRPr="005C1789">
        <w:rPr>
          <w:rFonts w:ascii="Verdana" w:hAnsi="Verdana"/>
          <w:i w:val="0"/>
          <w:iCs/>
          <w:sz w:val="20"/>
          <w:szCs w:val="20"/>
        </w:rPr>
        <w:t>,</w:t>
      </w:r>
      <w:r w:rsidR="000474C0" w:rsidRPr="005C1789">
        <w:rPr>
          <w:rFonts w:ascii="Verdana" w:hAnsi="Verdana"/>
          <w:i w:val="0"/>
          <w:iCs/>
          <w:sz w:val="20"/>
          <w:szCs w:val="20"/>
        </w:rPr>
        <w:t xml:space="preserve"> </w:t>
      </w:r>
      <w:r w:rsidR="00A714CE" w:rsidRPr="005C1789">
        <w:rPr>
          <w:rFonts w:ascii="Verdana" w:hAnsi="Verdana"/>
          <w:i w:val="0"/>
          <w:iCs/>
          <w:sz w:val="20"/>
          <w:szCs w:val="20"/>
        </w:rPr>
        <w:t>además de una dimensión material</w:t>
      </w:r>
      <w:r w:rsidR="00642A60" w:rsidRPr="005C1789">
        <w:rPr>
          <w:rFonts w:ascii="Verdana" w:hAnsi="Verdana"/>
          <w:i w:val="0"/>
          <w:iCs/>
          <w:sz w:val="20"/>
          <w:szCs w:val="20"/>
        </w:rPr>
        <w:t>, “un ámbito formal y procesal de asegurar el acceso al órgano competente para que determine el derecho que se reclama en apego a las debidas garantías procesales (tales como la presentación de alegatos, hacer planteamientos, aportación de prueba y, en síntesis, hacer valer sus derechos)”</w:t>
      </w:r>
      <w:r w:rsidR="00642A60" w:rsidRPr="005C1789">
        <w:rPr>
          <w:rFonts w:ascii="Verdana" w:hAnsi="Verdana"/>
          <w:i w:val="0"/>
          <w:iCs/>
          <w:sz w:val="20"/>
          <w:szCs w:val="20"/>
          <w:vertAlign w:val="superscript"/>
          <w:lang w:val="es-ES"/>
        </w:rPr>
        <w:footnoteReference w:id="109"/>
      </w:r>
      <w:r w:rsidR="00642A60" w:rsidRPr="005C1789">
        <w:rPr>
          <w:rFonts w:ascii="Verdana" w:hAnsi="Verdana"/>
          <w:i w:val="0"/>
          <w:iCs/>
          <w:sz w:val="20"/>
          <w:szCs w:val="20"/>
        </w:rPr>
        <w:t>.</w:t>
      </w:r>
    </w:p>
    <w:p w14:paraId="0109F459" w14:textId="3E16767A" w:rsidR="003C272E" w:rsidRPr="005C1789" w:rsidRDefault="003C272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Por otra parte, corresponde recordar lo mencionado por el perito Carlos María Pelayo </w:t>
      </w:r>
      <w:proofErr w:type="spellStart"/>
      <w:r w:rsidRPr="005C1789">
        <w:rPr>
          <w:rFonts w:ascii="Verdana" w:hAnsi="Verdana"/>
          <w:i w:val="0"/>
          <w:iCs/>
          <w:sz w:val="20"/>
          <w:szCs w:val="20"/>
        </w:rPr>
        <w:t>Mo</w:t>
      </w:r>
      <w:r w:rsidR="00590D9A" w:rsidRPr="005C1789">
        <w:rPr>
          <w:rFonts w:ascii="Verdana" w:hAnsi="Verdana"/>
          <w:i w:val="0"/>
          <w:iCs/>
          <w:sz w:val="20"/>
          <w:szCs w:val="20"/>
        </w:rPr>
        <w:t>ller</w:t>
      </w:r>
      <w:proofErr w:type="spellEnd"/>
      <w:r w:rsidR="00945D79" w:rsidRPr="005C1789">
        <w:rPr>
          <w:rFonts w:ascii="Verdana" w:hAnsi="Verdana"/>
          <w:i w:val="0"/>
          <w:iCs/>
          <w:sz w:val="20"/>
          <w:szCs w:val="20"/>
        </w:rPr>
        <w:t>,</w:t>
      </w:r>
      <w:r w:rsidRPr="005C1789">
        <w:rPr>
          <w:rFonts w:ascii="Verdana" w:hAnsi="Verdana"/>
          <w:i w:val="0"/>
          <w:iCs/>
          <w:sz w:val="20"/>
          <w:szCs w:val="20"/>
        </w:rPr>
        <w:t xml:space="preserve"> durante la audiencia pública cuando explicó que el procedimiento para obtener una orden de arraigo se sustancia ante uno de los jueces especializados adscritos al Centro Nacional de Justicia de Control Técnicas de Investigación, y que </w:t>
      </w:r>
      <w:r w:rsidR="00AE3626" w:rsidRPr="005C1789">
        <w:rPr>
          <w:rFonts w:ascii="Verdana" w:hAnsi="Verdana"/>
          <w:i w:val="0"/>
          <w:iCs/>
          <w:sz w:val="20"/>
          <w:szCs w:val="20"/>
        </w:rPr>
        <w:t>aun</w:t>
      </w:r>
      <w:r w:rsidRPr="005C1789">
        <w:rPr>
          <w:rFonts w:ascii="Verdana" w:hAnsi="Verdana"/>
          <w:i w:val="0"/>
          <w:iCs/>
          <w:sz w:val="20"/>
          <w:szCs w:val="20"/>
        </w:rPr>
        <w:t xml:space="preserve"> cuando se sabe cuáles son los elementos meramente formales que dichas </w:t>
      </w:r>
      <w:r w:rsidR="00F44443" w:rsidRPr="005C1789">
        <w:rPr>
          <w:rFonts w:ascii="Verdana" w:hAnsi="Verdana"/>
          <w:i w:val="0"/>
          <w:iCs/>
          <w:sz w:val="20"/>
          <w:szCs w:val="20"/>
        </w:rPr>
        <w:t>ó</w:t>
      </w:r>
      <w:r w:rsidRPr="005C1789">
        <w:rPr>
          <w:rFonts w:ascii="Verdana" w:hAnsi="Verdana"/>
          <w:i w:val="0"/>
          <w:iCs/>
          <w:sz w:val="20"/>
          <w:szCs w:val="20"/>
        </w:rPr>
        <w:t>rdenes de arraigo contienen, “las resoluciones en sí se encuentran en general clasificadas como información reservada, de ahí que se desconozca el nivel de pruebas necesarias para dictar una orden de arraigo”. Agregó que el estándar probatorio del arraigo “resulta ser necesariamente mucho meno</w:t>
      </w:r>
      <w:r w:rsidR="006E2745" w:rsidRPr="005C1789">
        <w:rPr>
          <w:rFonts w:ascii="Verdana" w:hAnsi="Verdana"/>
          <w:i w:val="0"/>
          <w:iCs/>
          <w:sz w:val="20"/>
          <w:szCs w:val="20"/>
        </w:rPr>
        <w:t>r</w:t>
      </w:r>
      <w:r w:rsidRPr="005C1789">
        <w:rPr>
          <w:rFonts w:ascii="Verdana" w:hAnsi="Verdana"/>
          <w:i w:val="0"/>
          <w:iCs/>
          <w:sz w:val="20"/>
          <w:szCs w:val="20"/>
        </w:rPr>
        <w:t xml:space="preserve"> que el que podría disponerse al dictar una prisión preventiva, ese estándar es el de la sospecha fundada de que una persona haya cometido delitos en el marco de la Ley Federal contra la delincuencia organizada</w:t>
      </w:r>
      <w:r w:rsidR="00007062" w:rsidRPr="005C1789">
        <w:rPr>
          <w:rFonts w:ascii="Verdana" w:hAnsi="Verdana"/>
          <w:i w:val="0"/>
          <w:iCs/>
          <w:sz w:val="20"/>
          <w:szCs w:val="20"/>
        </w:rPr>
        <w:t>”</w:t>
      </w:r>
      <w:r w:rsidRPr="005C1789">
        <w:rPr>
          <w:rFonts w:ascii="Verdana" w:hAnsi="Verdana"/>
          <w:i w:val="0"/>
          <w:iCs/>
          <w:sz w:val="20"/>
          <w:szCs w:val="20"/>
        </w:rPr>
        <w:t xml:space="preserve">. </w:t>
      </w:r>
      <w:r w:rsidR="00007062" w:rsidRPr="005C1789">
        <w:rPr>
          <w:rFonts w:ascii="Verdana" w:hAnsi="Verdana"/>
          <w:i w:val="0"/>
          <w:iCs/>
          <w:sz w:val="20"/>
          <w:szCs w:val="20"/>
        </w:rPr>
        <w:t xml:space="preserve">El perito añadió </w:t>
      </w:r>
      <w:r w:rsidR="00D8577D" w:rsidRPr="005C1789">
        <w:rPr>
          <w:rFonts w:ascii="Verdana" w:hAnsi="Verdana"/>
          <w:i w:val="0"/>
          <w:iCs/>
          <w:sz w:val="20"/>
          <w:szCs w:val="20"/>
        </w:rPr>
        <w:t>que,</w:t>
      </w:r>
      <w:r w:rsidR="00007062" w:rsidRPr="005C1789">
        <w:rPr>
          <w:rFonts w:ascii="Verdana" w:hAnsi="Verdana"/>
          <w:i w:val="0"/>
          <w:iCs/>
          <w:sz w:val="20"/>
          <w:szCs w:val="20"/>
        </w:rPr>
        <w:t xml:space="preserve"> puesto</w:t>
      </w:r>
      <w:r w:rsidRPr="005C1789">
        <w:rPr>
          <w:rFonts w:ascii="Verdana" w:hAnsi="Verdana"/>
          <w:i w:val="0"/>
          <w:iCs/>
          <w:sz w:val="20"/>
          <w:szCs w:val="20"/>
        </w:rPr>
        <w:t xml:space="preserve"> </w:t>
      </w:r>
      <w:r w:rsidR="00007062" w:rsidRPr="005C1789">
        <w:rPr>
          <w:rFonts w:ascii="Verdana" w:hAnsi="Verdana"/>
          <w:i w:val="0"/>
          <w:iCs/>
          <w:sz w:val="20"/>
          <w:szCs w:val="20"/>
        </w:rPr>
        <w:t xml:space="preserve">que </w:t>
      </w:r>
      <w:r w:rsidRPr="005C1789">
        <w:rPr>
          <w:rFonts w:ascii="Verdana" w:hAnsi="Verdana"/>
          <w:i w:val="0"/>
          <w:iCs/>
          <w:sz w:val="20"/>
          <w:szCs w:val="20"/>
        </w:rPr>
        <w:t xml:space="preserve">el arraigo </w:t>
      </w:r>
      <w:r w:rsidR="00007062" w:rsidRPr="005C1789">
        <w:rPr>
          <w:rFonts w:ascii="Verdana" w:hAnsi="Verdana"/>
          <w:i w:val="0"/>
          <w:iCs/>
          <w:sz w:val="20"/>
          <w:szCs w:val="20"/>
        </w:rPr>
        <w:t xml:space="preserve">es </w:t>
      </w:r>
      <w:r w:rsidRPr="005C1789">
        <w:rPr>
          <w:rFonts w:ascii="Verdana" w:hAnsi="Verdana"/>
          <w:i w:val="0"/>
          <w:iCs/>
          <w:sz w:val="20"/>
          <w:szCs w:val="20"/>
        </w:rPr>
        <w:t xml:space="preserve">una detención con el fin de investigar, </w:t>
      </w:r>
      <w:r w:rsidR="00007062" w:rsidRPr="005C1789">
        <w:rPr>
          <w:rFonts w:ascii="Verdana" w:hAnsi="Verdana"/>
          <w:i w:val="0"/>
          <w:iCs/>
          <w:sz w:val="20"/>
          <w:szCs w:val="20"/>
        </w:rPr>
        <w:t>“</w:t>
      </w:r>
      <w:r w:rsidRPr="005C1789">
        <w:rPr>
          <w:rFonts w:ascii="Verdana" w:hAnsi="Verdana"/>
          <w:i w:val="0"/>
          <w:iCs/>
          <w:sz w:val="20"/>
          <w:szCs w:val="20"/>
        </w:rPr>
        <w:t xml:space="preserve">esto por sí mismo </w:t>
      </w:r>
      <w:r w:rsidR="00D8577D" w:rsidRPr="005C1789">
        <w:rPr>
          <w:rFonts w:ascii="Verdana" w:hAnsi="Verdana"/>
          <w:i w:val="0"/>
          <w:iCs/>
          <w:sz w:val="20"/>
          <w:szCs w:val="20"/>
        </w:rPr>
        <w:t xml:space="preserve">deja </w:t>
      </w:r>
      <w:r w:rsidR="009E52AE" w:rsidRPr="005C1789">
        <w:rPr>
          <w:rFonts w:ascii="Verdana" w:hAnsi="Verdana"/>
          <w:i w:val="0"/>
          <w:iCs/>
          <w:sz w:val="20"/>
          <w:szCs w:val="20"/>
        </w:rPr>
        <w:t xml:space="preserve">en </w:t>
      </w:r>
      <w:r w:rsidRPr="005C1789">
        <w:rPr>
          <w:rFonts w:ascii="Verdana" w:hAnsi="Verdana"/>
          <w:i w:val="0"/>
          <w:iCs/>
          <w:sz w:val="20"/>
          <w:szCs w:val="20"/>
        </w:rPr>
        <w:t xml:space="preserve">un limbo procesal a la persona arraigada, ya que no hay un proceso penal en su contra en donde se le haya hecho una acusación formal ni tampoco existe la certeza de si </w:t>
      </w:r>
      <w:r w:rsidRPr="005C1789">
        <w:rPr>
          <w:rFonts w:ascii="Verdana" w:hAnsi="Verdana"/>
          <w:i w:val="0"/>
          <w:iCs/>
          <w:sz w:val="20"/>
          <w:szCs w:val="20"/>
        </w:rPr>
        <w:lastRenderedPageBreak/>
        <w:t>eventualmente este proceso penal llegará a sustanciarse o no, entonces romper la lógica del arraigo resulta imposible en sus propios términos, te detengo para investigar, te investigo para detenerte</w:t>
      </w:r>
      <w:r w:rsidR="00007062" w:rsidRPr="005C1789">
        <w:rPr>
          <w:rFonts w:ascii="Verdana" w:hAnsi="Verdana"/>
          <w:i w:val="0"/>
          <w:iCs/>
          <w:sz w:val="20"/>
          <w:szCs w:val="20"/>
        </w:rPr>
        <w:t>”</w:t>
      </w:r>
      <w:r w:rsidR="00007062" w:rsidRPr="005C1789">
        <w:rPr>
          <w:rFonts w:ascii="Verdana" w:hAnsi="Verdana"/>
          <w:i w:val="0"/>
          <w:iCs/>
          <w:sz w:val="20"/>
          <w:szCs w:val="20"/>
          <w:vertAlign w:val="superscript"/>
          <w:lang w:val="es-ES"/>
        </w:rPr>
        <w:footnoteReference w:id="110"/>
      </w:r>
      <w:r w:rsidR="00007062" w:rsidRPr="005C1789">
        <w:rPr>
          <w:rFonts w:ascii="Verdana" w:hAnsi="Verdana"/>
          <w:i w:val="0"/>
          <w:iCs/>
          <w:sz w:val="20"/>
          <w:szCs w:val="20"/>
        </w:rPr>
        <w:t>.</w:t>
      </w:r>
    </w:p>
    <w:p w14:paraId="0AD19C9B" w14:textId="7ECC0D91" w:rsidR="000150E6" w:rsidRPr="00DD1158" w:rsidRDefault="000150E6" w:rsidP="000150E6">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Pr>
          <w:rFonts w:ascii="Verdana" w:hAnsi="Verdana"/>
          <w:i w:val="0"/>
          <w:iCs/>
          <w:sz w:val="20"/>
          <w:szCs w:val="20"/>
        </w:rPr>
        <w:t>Adicionalmente, la Corte advierte que e</w:t>
      </w:r>
      <w:r w:rsidRPr="005C1789">
        <w:rPr>
          <w:rFonts w:ascii="Verdana" w:hAnsi="Verdana"/>
          <w:i w:val="0"/>
          <w:iCs/>
          <w:sz w:val="20"/>
          <w:szCs w:val="20"/>
        </w:rPr>
        <w:t xml:space="preserve">l actual artículo 12 Bis de </w:t>
      </w:r>
      <w:r w:rsidRPr="005C1789">
        <w:rPr>
          <w:rFonts w:ascii="Verdana" w:hAnsi="Verdana"/>
          <w:i w:val="0"/>
          <w:sz w:val="20"/>
          <w:szCs w:val="20"/>
          <w:lang w:val="es-CR"/>
        </w:rPr>
        <w:t>la Ley contra la Delincuencia Organizada (</w:t>
      </w:r>
      <w:r w:rsidRPr="005C1789">
        <w:rPr>
          <w:rFonts w:ascii="Verdana" w:hAnsi="Verdana"/>
          <w:iCs/>
          <w:sz w:val="20"/>
          <w:szCs w:val="20"/>
          <w:lang w:val="es-CR"/>
        </w:rPr>
        <w:t>supra</w:t>
      </w:r>
      <w:r w:rsidRPr="005C1789">
        <w:rPr>
          <w:rFonts w:ascii="Verdana" w:hAnsi="Verdana"/>
          <w:i w:val="0"/>
          <w:sz w:val="20"/>
          <w:szCs w:val="20"/>
          <w:lang w:val="es-CR"/>
        </w:rPr>
        <w:t xml:space="preserve"> párr. 41)-que no se encontraba vigente para la época de los hechos y que fue agregado en la reforma a esa norma en el año 2016-, </w:t>
      </w:r>
      <w:r w:rsidR="00535F70">
        <w:rPr>
          <w:rFonts w:ascii="Verdana" w:hAnsi="Verdana"/>
          <w:i w:val="0"/>
          <w:sz w:val="20"/>
          <w:szCs w:val="20"/>
          <w:lang w:val="es-CR"/>
        </w:rPr>
        <w:t xml:space="preserve">refuerza esa idea según la cual </w:t>
      </w:r>
      <w:r w:rsidR="002F06CA">
        <w:rPr>
          <w:rFonts w:ascii="Verdana" w:hAnsi="Verdana"/>
          <w:i w:val="0"/>
          <w:sz w:val="20"/>
          <w:szCs w:val="20"/>
          <w:lang w:val="es-CR"/>
        </w:rPr>
        <w:t xml:space="preserve">la medida de arraigo se aplica sin que la persona arraigada sea llevada ante una autoridad judicial. En efecto, el artículo </w:t>
      </w:r>
      <w:r w:rsidRPr="005C1789">
        <w:rPr>
          <w:rFonts w:ascii="Verdana" w:hAnsi="Verdana"/>
          <w:i w:val="0"/>
          <w:sz w:val="20"/>
          <w:szCs w:val="20"/>
          <w:lang w:val="es-CR"/>
        </w:rPr>
        <w:t>establece que la “</w:t>
      </w:r>
      <w:r w:rsidRPr="005C1789">
        <w:rPr>
          <w:rFonts w:ascii="Verdana" w:hAnsi="Verdana"/>
          <w:i w:val="0"/>
          <w:iCs/>
          <w:sz w:val="20"/>
          <w:szCs w:val="20"/>
        </w:rPr>
        <w:t>petición de arraigo o su ampliación deberá ser resuelta por la autoridad judicial de manera inmediata por cualquier medio que garantice su autenticidad, o en audiencia privada con la sola comparecencia del agente del Ministerio Público de la Federación, en un plazo que no exceda de las seis horas siguientes a que se haya recibido”</w:t>
      </w:r>
      <w:r w:rsidRPr="005C1789">
        <w:rPr>
          <w:rFonts w:ascii="Verdana" w:hAnsi="Verdana"/>
          <w:i w:val="0"/>
          <w:iCs/>
          <w:sz w:val="20"/>
          <w:szCs w:val="20"/>
          <w:vertAlign w:val="superscript"/>
          <w:lang w:val="es-ES"/>
        </w:rPr>
        <w:footnoteReference w:id="111"/>
      </w:r>
      <w:r w:rsidRPr="005C1789">
        <w:rPr>
          <w:rFonts w:ascii="Verdana" w:hAnsi="Verdana"/>
          <w:i w:val="0"/>
          <w:iCs/>
          <w:sz w:val="20"/>
          <w:szCs w:val="20"/>
        </w:rPr>
        <w:t xml:space="preserve">. </w:t>
      </w:r>
    </w:p>
    <w:p w14:paraId="0F4390A6" w14:textId="37586AD5" w:rsidR="003E7287" w:rsidRPr="005C1789" w:rsidRDefault="003E728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De conformidad con lo expresado en los párrafos anteriores, queda claro que no estaba previsto que se escuchara a la persona investigada o que se la llevara ante un juez u otro funcionario autorizado por la ley para ejercer funciones judiciales, antes de que se le decret</w:t>
      </w:r>
      <w:r w:rsidR="00687EE1" w:rsidRPr="005C1789">
        <w:rPr>
          <w:rFonts w:ascii="Verdana" w:hAnsi="Verdana"/>
          <w:sz w:val="20"/>
          <w:szCs w:val="20"/>
        </w:rPr>
        <w:t>ara</w:t>
      </w:r>
      <w:r w:rsidRPr="005C1789">
        <w:rPr>
          <w:rFonts w:ascii="Verdana" w:hAnsi="Verdana"/>
          <w:sz w:val="20"/>
          <w:szCs w:val="20"/>
        </w:rPr>
        <w:t xml:space="preserve"> una medida de arraigo</w:t>
      </w:r>
      <w:r w:rsidR="007D21ED" w:rsidRPr="005C1789">
        <w:rPr>
          <w:rFonts w:ascii="Verdana" w:hAnsi="Verdana"/>
          <w:sz w:val="20"/>
          <w:szCs w:val="20"/>
        </w:rPr>
        <w:t xml:space="preserve">. Como consecuencia de lo anterior, </w:t>
      </w:r>
      <w:r w:rsidR="00601E5F" w:rsidRPr="005C1789">
        <w:rPr>
          <w:rFonts w:ascii="Verdana" w:hAnsi="Verdana"/>
          <w:sz w:val="20"/>
          <w:szCs w:val="20"/>
        </w:rPr>
        <w:t>los</w:t>
      </w:r>
      <w:r w:rsidR="007D21ED" w:rsidRPr="005C1789">
        <w:rPr>
          <w:rFonts w:ascii="Verdana" w:hAnsi="Verdana"/>
          <w:sz w:val="20"/>
          <w:szCs w:val="20"/>
        </w:rPr>
        <w:t xml:space="preserve"> artículo</w:t>
      </w:r>
      <w:r w:rsidR="00601E5F" w:rsidRPr="005C1789">
        <w:rPr>
          <w:rFonts w:ascii="Verdana" w:hAnsi="Verdana"/>
          <w:sz w:val="20"/>
          <w:szCs w:val="20"/>
        </w:rPr>
        <w:t>s</w:t>
      </w:r>
      <w:r w:rsidR="007D21ED" w:rsidRPr="005C1789">
        <w:rPr>
          <w:rFonts w:ascii="Verdana" w:hAnsi="Verdana"/>
          <w:sz w:val="20"/>
          <w:szCs w:val="20"/>
        </w:rPr>
        <w:t xml:space="preserve"> 133 Bis del Código Federal Procesal Penal de 1999 y 12 de la Ley Federal contra la Delincuencia Organizada de 1996, vigentes a la época de los hechos del caso, vulneraban el derecho a ser oído y el derecho a ser llevado ante un juez u otro funcionario autorizado por la ley para ejercer funciones judiciales contenidos en los artículos 8.1 y 7.5 de la Convención Americana</w:t>
      </w:r>
      <w:r w:rsidRPr="005C1789">
        <w:rPr>
          <w:rFonts w:ascii="Verdana" w:hAnsi="Verdana"/>
          <w:sz w:val="20"/>
          <w:szCs w:val="20"/>
        </w:rPr>
        <w:t>.</w:t>
      </w:r>
    </w:p>
    <w:p w14:paraId="11D7879A" w14:textId="5607366F" w:rsidR="002A2F87" w:rsidRPr="005C1789" w:rsidRDefault="002A2F87" w:rsidP="00955888">
      <w:pPr>
        <w:pStyle w:val="Prrafodelista"/>
        <w:numPr>
          <w:ilvl w:val="1"/>
          <w:numId w:val="55"/>
        </w:numPr>
        <w:spacing w:before="240" w:after="240"/>
        <w:ind w:left="1434" w:hanging="357"/>
        <w:contextualSpacing w:val="0"/>
        <w:jc w:val="both"/>
        <w:outlineLvl w:val="5"/>
        <w:rPr>
          <w:rFonts w:ascii="Verdana" w:hAnsi="Verdana"/>
          <w:i/>
          <w:iCs/>
          <w:sz w:val="20"/>
          <w:szCs w:val="20"/>
        </w:rPr>
      </w:pPr>
      <w:r w:rsidRPr="005C1789">
        <w:rPr>
          <w:rFonts w:ascii="Verdana" w:hAnsi="Verdana"/>
          <w:i/>
          <w:iCs/>
          <w:sz w:val="20"/>
          <w:szCs w:val="20"/>
        </w:rPr>
        <w:t xml:space="preserve">Sobre el derecho a no declarar contra sí mismo de la persona arraigada </w:t>
      </w:r>
    </w:p>
    <w:p w14:paraId="1479CCE1" w14:textId="2457325A" w:rsidR="002A2F87" w:rsidRPr="005C1789" w:rsidRDefault="002A2F8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Corresponde recordar que </w:t>
      </w:r>
      <w:r w:rsidRPr="005C1789">
        <w:rPr>
          <w:rFonts w:ascii="Verdana" w:hAnsi="Verdana"/>
          <w:sz w:val="20"/>
          <w:szCs w:val="20"/>
          <w:lang w:val="es-MX" w:eastAsia="es-ES"/>
        </w:rPr>
        <w:t xml:space="preserve">el artículo 8.2.g) de la Convención reconoce el derecho a no ser obligado a declarar contra sí mismo ni a declararse culpable. El ejercicio de este derecho supone que deben existir condiciones para que el imputado decida libremente si prestará o no declaración o, en otras palabras, que no exista un contexto coactivo que le impida tomar esa determinación en forma libre. Corolario de lo anterior es que la persona investigada tiene derecho a guardar silencio, absteniéndose de declarar en una investigación o proceso penal en que sea señalada como partícipe probable o sospechosa de la comisión de un hecho ilícito. Además, como esta Corte ha señalado, puesto que la administración de justicia penal debe partir del análisis de pruebas legalmente obtenidas, un medio de investigación que implique el uso de coacción para doblegar la voluntad del imputado deja de ser válido, implica una instrumentalización de la persona y una violación </w:t>
      </w:r>
      <w:r w:rsidRPr="005C1789">
        <w:rPr>
          <w:rFonts w:ascii="Verdana" w:hAnsi="Verdana"/>
          <w:i/>
          <w:sz w:val="20"/>
          <w:szCs w:val="20"/>
          <w:lang w:val="es-MX" w:eastAsia="es-ES"/>
        </w:rPr>
        <w:t>per se</w:t>
      </w:r>
      <w:r w:rsidRPr="005C1789">
        <w:rPr>
          <w:rFonts w:ascii="Verdana" w:hAnsi="Verdana"/>
          <w:sz w:val="20"/>
          <w:szCs w:val="20"/>
          <w:lang w:val="es-MX" w:eastAsia="es-ES"/>
        </w:rPr>
        <w:t xml:space="preserve"> de aquel derecho, independientemente del grado de coacción (ya fuere desde una amenaza, otros tratos crueles inhumanos o degradantes o tortura) y del resultado (es decir, de que se obtenga efectivamente una confesión o información)</w:t>
      </w:r>
      <w:r w:rsidRPr="005C1789">
        <w:rPr>
          <w:rFonts w:ascii="Verdana" w:hAnsi="Verdana"/>
          <w:iCs/>
          <w:sz w:val="20"/>
          <w:szCs w:val="20"/>
          <w:vertAlign w:val="superscript"/>
          <w:lang w:val="es-ES"/>
        </w:rPr>
        <w:footnoteReference w:id="112"/>
      </w:r>
      <w:r w:rsidRPr="005C1789">
        <w:rPr>
          <w:rFonts w:ascii="Verdana" w:hAnsi="Verdana"/>
          <w:sz w:val="20"/>
          <w:szCs w:val="20"/>
          <w:lang w:val="es-MX" w:eastAsia="es-ES"/>
        </w:rPr>
        <w:t>.</w:t>
      </w:r>
    </w:p>
    <w:p w14:paraId="73E788B4" w14:textId="75317F6A" w:rsidR="002A2F87" w:rsidRPr="005C1789" w:rsidRDefault="002A2F87" w:rsidP="00955888">
      <w:pPr>
        <w:numPr>
          <w:ilvl w:val="0"/>
          <w:numId w:val="2"/>
        </w:numPr>
        <w:spacing w:before="120" w:after="120"/>
        <w:ind w:left="0" w:firstLine="0"/>
        <w:jc w:val="both"/>
        <w:rPr>
          <w:rFonts w:ascii="Verdana" w:hAnsi="Verdana"/>
          <w:sz w:val="20"/>
          <w:szCs w:val="20"/>
          <w:lang w:eastAsia="es-ES"/>
        </w:rPr>
      </w:pPr>
      <w:r w:rsidRPr="005C1789">
        <w:rPr>
          <w:rFonts w:ascii="Verdana" w:hAnsi="Verdana"/>
          <w:sz w:val="20"/>
          <w:szCs w:val="20"/>
          <w:lang w:val="es-MX" w:eastAsia="es-ES"/>
        </w:rPr>
        <w:t>Este derecho a no declarar contra sí mismo o a guardar silencio se encuentra también contemplado en las Constituciones de varios países de la región, incluyendo la de México</w:t>
      </w:r>
      <w:r w:rsidRPr="005C1789">
        <w:rPr>
          <w:rFonts w:ascii="Verdana" w:hAnsi="Verdana"/>
          <w:sz w:val="20"/>
          <w:szCs w:val="20"/>
          <w:vertAlign w:val="superscript"/>
          <w:lang w:val="es-ES"/>
        </w:rPr>
        <w:footnoteReference w:id="113"/>
      </w:r>
      <w:r w:rsidRPr="005C1789">
        <w:rPr>
          <w:rFonts w:ascii="Verdana" w:hAnsi="Verdana"/>
          <w:sz w:val="20"/>
          <w:szCs w:val="20"/>
          <w:lang w:val="es-MX" w:eastAsia="es-ES"/>
        </w:rPr>
        <w:t xml:space="preserve">, </w:t>
      </w:r>
      <w:r w:rsidR="000450BC" w:rsidRPr="005C1789">
        <w:rPr>
          <w:rFonts w:ascii="Verdana" w:hAnsi="Verdana"/>
          <w:sz w:val="20"/>
          <w:szCs w:val="20"/>
          <w:lang w:val="es-MX" w:eastAsia="es-ES"/>
        </w:rPr>
        <w:t>en la jurisprudencia de Altas Cortes de países de la región</w:t>
      </w:r>
      <w:r w:rsidR="000450BC" w:rsidRPr="005C1789">
        <w:rPr>
          <w:rFonts w:ascii="Verdana" w:hAnsi="Verdana"/>
          <w:sz w:val="20"/>
          <w:szCs w:val="20"/>
          <w:vertAlign w:val="superscript"/>
          <w:lang w:val="es-ES"/>
        </w:rPr>
        <w:footnoteReference w:id="114"/>
      </w:r>
      <w:r w:rsidR="000450BC" w:rsidRPr="005C1789">
        <w:rPr>
          <w:rFonts w:ascii="Verdana" w:hAnsi="Verdana"/>
          <w:sz w:val="20"/>
          <w:szCs w:val="20"/>
          <w:lang w:val="es-MX" w:eastAsia="es-ES"/>
        </w:rPr>
        <w:t xml:space="preserve">, </w:t>
      </w:r>
      <w:r w:rsidRPr="005C1789">
        <w:rPr>
          <w:rFonts w:ascii="Verdana" w:hAnsi="Verdana"/>
          <w:sz w:val="20"/>
          <w:szCs w:val="20"/>
          <w:lang w:val="es-MX" w:eastAsia="es-ES"/>
        </w:rPr>
        <w:t xml:space="preserve">y en instrumentos internacionales de derechos </w:t>
      </w:r>
      <w:r w:rsidRPr="005C1789">
        <w:rPr>
          <w:rFonts w:ascii="Verdana" w:hAnsi="Verdana"/>
          <w:sz w:val="20"/>
          <w:szCs w:val="20"/>
          <w:lang w:val="es-MX" w:eastAsia="es-ES"/>
        </w:rPr>
        <w:lastRenderedPageBreak/>
        <w:t xml:space="preserve">humanos como el Pacto </w:t>
      </w:r>
      <w:r w:rsidR="00140CFE" w:rsidRPr="005C1789">
        <w:rPr>
          <w:rFonts w:ascii="Verdana" w:hAnsi="Verdana"/>
          <w:sz w:val="20"/>
          <w:szCs w:val="20"/>
          <w:lang w:val="es-MX" w:eastAsia="es-ES"/>
        </w:rPr>
        <w:t>Internacional</w:t>
      </w:r>
      <w:r w:rsidRPr="005C1789">
        <w:rPr>
          <w:rFonts w:ascii="Verdana" w:hAnsi="Verdana"/>
          <w:sz w:val="20"/>
          <w:szCs w:val="20"/>
          <w:lang w:val="es-MX" w:eastAsia="es-ES"/>
        </w:rPr>
        <w:t xml:space="preserve"> de Derechos Civiles y Políticos (artículo 14.1.g). De</w:t>
      </w:r>
      <w:r w:rsidR="006E04D2" w:rsidRPr="005C1789">
        <w:rPr>
          <w:rFonts w:ascii="Verdana" w:hAnsi="Verdana"/>
          <w:sz w:val="20"/>
          <w:szCs w:val="20"/>
          <w:lang w:val="es-MX" w:eastAsia="es-ES"/>
        </w:rPr>
        <w:t xml:space="preserve"> la misma forma, </w:t>
      </w:r>
      <w:r w:rsidRPr="005C1789">
        <w:rPr>
          <w:rFonts w:ascii="Verdana" w:hAnsi="Verdana"/>
          <w:sz w:val="20"/>
          <w:szCs w:val="20"/>
          <w:lang w:val="es-MX" w:eastAsia="es-ES"/>
        </w:rPr>
        <w:t>el T</w:t>
      </w:r>
      <w:r w:rsidR="00712EBB">
        <w:rPr>
          <w:rFonts w:ascii="Verdana" w:hAnsi="Verdana"/>
          <w:sz w:val="20"/>
          <w:szCs w:val="20"/>
          <w:lang w:val="es-MX" w:eastAsia="es-ES"/>
        </w:rPr>
        <w:t xml:space="preserve">ribunal </w:t>
      </w:r>
      <w:r w:rsidRPr="005C1789">
        <w:rPr>
          <w:rFonts w:ascii="Verdana" w:hAnsi="Verdana"/>
          <w:sz w:val="20"/>
          <w:szCs w:val="20"/>
          <w:lang w:val="es-MX" w:eastAsia="es-ES"/>
        </w:rPr>
        <w:t>E</w:t>
      </w:r>
      <w:r w:rsidR="00712EBB">
        <w:rPr>
          <w:rFonts w:ascii="Verdana" w:hAnsi="Verdana"/>
          <w:sz w:val="20"/>
          <w:szCs w:val="20"/>
          <w:lang w:val="es-MX" w:eastAsia="es-ES"/>
        </w:rPr>
        <w:t xml:space="preserve">uropeo de </w:t>
      </w:r>
      <w:r w:rsidRPr="005C1789">
        <w:rPr>
          <w:rFonts w:ascii="Verdana" w:hAnsi="Verdana"/>
          <w:sz w:val="20"/>
          <w:szCs w:val="20"/>
          <w:lang w:val="es-MX" w:eastAsia="es-ES"/>
        </w:rPr>
        <w:t>D</w:t>
      </w:r>
      <w:r w:rsidR="00712EBB">
        <w:rPr>
          <w:rFonts w:ascii="Verdana" w:hAnsi="Verdana"/>
          <w:sz w:val="20"/>
          <w:szCs w:val="20"/>
          <w:lang w:val="es-MX" w:eastAsia="es-ES"/>
        </w:rPr>
        <w:t xml:space="preserve">erechos </w:t>
      </w:r>
      <w:r w:rsidRPr="005C1789">
        <w:rPr>
          <w:rFonts w:ascii="Verdana" w:hAnsi="Verdana"/>
          <w:sz w:val="20"/>
          <w:szCs w:val="20"/>
          <w:lang w:val="es-MX" w:eastAsia="es-ES"/>
        </w:rPr>
        <w:t>H</w:t>
      </w:r>
      <w:r w:rsidR="00712EBB">
        <w:rPr>
          <w:rFonts w:ascii="Verdana" w:hAnsi="Verdana"/>
          <w:sz w:val="20"/>
          <w:szCs w:val="20"/>
          <w:lang w:val="es-MX" w:eastAsia="es-ES"/>
        </w:rPr>
        <w:t>umanos</w:t>
      </w:r>
      <w:r w:rsidRPr="005C1789">
        <w:rPr>
          <w:rFonts w:ascii="Verdana" w:hAnsi="Verdana"/>
          <w:sz w:val="20"/>
          <w:szCs w:val="20"/>
          <w:lang w:val="es-MX" w:eastAsia="es-ES"/>
        </w:rPr>
        <w:t xml:space="preserve"> ha entendido en su jurisprudencia </w:t>
      </w:r>
      <w:proofErr w:type="gramStart"/>
      <w:r w:rsidRPr="005C1789">
        <w:rPr>
          <w:rFonts w:ascii="Verdana" w:hAnsi="Verdana"/>
          <w:sz w:val="20"/>
          <w:szCs w:val="20"/>
          <w:lang w:val="es-MX" w:eastAsia="es-ES"/>
        </w:rPr>
        <w:t>que</w:t>
      </w:r>
      <w:proofErr w:type="gramEnd"/>
      <w:r w:rsidRPr="005C1789">
        <w:rPr>
          <w:rFonts w:ascii="Verdana" w:hAnsi="Verdana"/>
          <w:sz w:val="20"/>
          <w:szCs w:val="20"/>
          <w:lang w:val="es-MX" w:eastAsia="es-ES"/>
        </w:rPr>
        <w:t xml:space="preserve"> si bien el derecho a la no autoincriminaciónno se encuentra contemplado específicamente en el Convenio Europeo sobre Derechos Humanos, el derecho a guardar silencio y el derecho a no autoincriminarse son estándares internacionales generalmente reconocidos que se encuentran en el centro de la noción de un procedimiento justo en virtud del artículo 6 de dicho </w:t>
      </w:r>
      <w:r w:rsidRPr="005C1789" w:rsidDel="0D823E46">
        <w:rPr>
          <w:rFonts w:ascii="Verdana" w:hAnsi="Verdana"/>
          <w:sz w:val="20"/>
          <w:szCs w:val="20"/>
          <w:lang w:val="es-MX" w:eastAsia="es-ES"/>
        </w:rPr>
        <w:t>tratad</w:t>
      </w:r>
      <w:r w:rsidRPr="005C1789">
        <w:rPr>
          <w:rFonts w:ascii="Verdana" w:hAnsi="Verdana"/>
          <w:sz w:val="20"/>
          <w:szCs w:val="20"/>
          <w:lang w:val="es-MX" w:eastAsia="es-ES"/>
        </w:rPr>
        <w:t>o</w:t>
      </w:r>
      <w:r w:rsidRPr="005C1789">
        <w:rPr>
          <w:rStyle w:val="Refdenotaalpie"/>
          <w:rFonts w:ascii="Verdana" w:hAnsi="Verdana"/>
          <w:sz w:val="20"/>
          <w:lang w:val="es-MX" w:eastAsia="es-ES"/>
        </w:rPr>
        <w:footnoteReference w:id="115"/>
      </w:r>
      <w:r w:rsidR="00106CE1" w:rsidRPr="005C1789">
        <w:rPr>
          <w:rFonts w:ascii="Verdana" w:hAnsi="Verdana"/>
          <w:sz w:val="20"/>
          <w:szCs w:val="20"/>
          <w:lang w:val="es-MX" w:eastAsia="es-ES"/>
        </w:rPr>
        <w:t xml:space="preserve">. </w:t>
      </w:r>
      <w:r w:rsidR="00106CE1" w:rsidRPr="005C1789">
        <w:rPr>
          <w:rFonts w:ascii="Verdana" w:hAnsi="Verdana"/>
          <w:sz w:val="20"/>
          <w:lang w:val="es-MX" w:eastAsia="es-ES"/>
        </w:rPr>
        <w:t>Del mismo modo, el Comité de Derechos Humanos de Naciones Unidas indicó con respecto a este derecho que “ha de entenderse en el sentido de que no debe haber coacción alguna, directa o indirecta, física o psicológica, contra el acusado por parte de las autoridades investigadoras, con miras a obtener una confesión de culpabilidad”</w:t>
      </w:r>
      <w:r w:rsidRPr="005C1789">
        <w:rPr>
          <w:rStyle w:val="Refdenotaalpie"/>
          <w:rFonts w:ascii="Verdana" w:hAnsi="Verdana"/>
          <w:sz w:val="20"/>
          <w:lang w:val="es-MX" w:eastAsia="es-ES"/>
        </w:rPr>
        <w:footnoteReference w:id="116"/>
      </w:r>
      <w:r w:rsidR="00FEF568" w:rsidRPr="005C1789">
        <w:rPr>
          <w:rFonts w:ascii="Verdana" w:hAnsi="Verdana"/>
          <w:sz w:val="20"/>
          <w:szCs w:val="20"/>
          <w:lang w:val="es-MX" w:eastAsia="es-ES"/>
        </w:rPr>
        <w:t>.</w:t>
      </w:r>
    </w:p>
    <w:p w14:paraId="2A6D00C0" w14:textId="58B03482" w:rsidR="002A2F87" w:rsidRPr="005C1789" w:rsidRDefault="002A2F8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el presente caso, el Tribunal advierte que </w:t>
      </w:r>
      <w:r w:rsidR="00D136CA" w:rsidRPr="005C1789">
        <w:rPr>
          <w:rFonts w:ascii="Verdana" w:hAnsi="Verdana"/>
          <w:sz w:val="20"/>
          <w:szCs w:val="20"/>
        </w:rPr>
        <w:t xml:space="preserve">el artículo 12 de </w:t>
      </w:r>
      <w:r w:rsidRPr="005C1789">
        <w:rPr>
          <w:rFonts w:ascii="Verdana" w:hAnsi="Verdana"/>
          <w:sz w:val="20"/>
          <w:szCs w:val="20"/>
        </w:rPr>
        <w:t>la Ley Federal contra la Delincuencia Organizada de 28 de octubre de 1996 establecía que el juez podrá dictar el arraigo el cual “se prolongará por el tiempo estrictamente indispensable para la debida integración de la averiguación de que se trate […], con el objeto de que el afectado participe en la aclaración de los hechos que se le imputan y pueda abreviarse el tiempo de arraigo” (</w:t>
      </w:r>
      <w:r w:rsidRPr="005C1789">
        <w:rPr>
          <w:rFonts w:ascii="Verdana" w:hAnsi="Verdana"/>
          <w:i/>
          <w:iCs/>
          <w:sz w:val="20"/>
          <w:szCs w:val="20"/>
        </w:rPr>
        <w:t>supra</w:t>
      </w:r>
      <w:r w:rsidRPr="005C1789">
        <w:rPr>
          <w:rFonts w:ascii="Verdana" w:hAnsi="Verdana"/>
          <w:sz w:val="20"/>
          <w:szCs w:val="20"/>
        </w:rPr>
        <w:t xml:space="preserve"> párr. </w:t>
      </w:r>
      <w:r w:rsidR="00412665" w:rsidRPr="005C1789">
        <w:rPr>
          <w:rFonts w:ascii="Verdana" w:hAnsi="Verdana"/>
          <w:sz w:val="20"/>
          <w:szCs w:val="20"/>
        </w:rPr>
        <w:t>36</w:t>
      </w:r>
      <w:r w:rsidRPr="005C1789">
        <w:rPr>
          <w:rFonts w:ascii="Verdana" w:hAnsi="Verdana"/>
          <w:sz w:val="20"/>
          <w:szCs w:val="20"/>
        </w:rPr>
        <w:t>).</w:t>
      </w:r>
    </w:p>
    <w:p w14:paraId="7169266D" w14:textId="0BA8E1EC" w:rsidR="002A2F87" w:rsidRPr="005C1789" w:rsidRDefault="002A2F87" w:rsidP="00955888">
      <w:pPr>
        <w:numPr>
          <w:ilvl w:val="0"/>
          <w:numId w:val="2"/>
        </w:numPr>
        <w:spacing w:before="120" w:after="120"/>
        <w:ind w:left="0" w:firstLine="0"/>
        <w:jc w:val="both"/>
        <w:rPr>
          <w:rFonts w:ascii="Verdana" w:hAnsi="Verdana"/>
          <w:sz w:val="20"/>
          <w:szCs w:val="20"/>
        </w:rPr>
      </w:pPr>
      <w:r w:rsidRPr="005C1789">
        <w:rPr>
          <w:rFonts w:ascii="Verdana" w:hAnsi="Verdana"/>
          <w:sz w:val="20"/>
          <w:lang w:val="es-MX" w:eastAsia="es-ES"/>
        </w:rPr>
        <w:t xml:space="preserve">De conformidad con lo señalado, para esta Corte, es claro por tanto que, de conformidad con esta norma, uno de los objetivos </w:t>
      </w:r>
      <w:r w:rsidRPr="005C1789">
        <w:rPr>
          <w:rFonts w:ascii="Verdana" w:hAnsi="Verdana"/>
          <w:sz w:val="20"/>
          <w:szCs w:val="20"/>
        </w:rPr>
        <w:t xml:space="preserve">de la restricción a la libertad de la persona arraigada consiste en obtener su declaración con relación a los hechos delictivos que se le estarían atribuyendo, puesto que no se entendería de que otra forma ésta podría “participar” en la “aclaración” de esos hechos. En consecuencia, para este Tribunal no </w:t>
      </w:r>
      <w:r w:rsidRPr="005C1789">
        <w:rPr>
          <w:rFonts w:ascii="Verdana" w:hAnsi="Verdana"/>
          <w:sz w:val="20"/>
          <w:lang w:val="es-MX" w:eastAsia="es-ES"/>
        </w:rPr>
        <w:t xml:space="preserve">cabe duda que la redacción del artículo 12 de la </w:t>
      </w:r>
      <w:r w:rsidRPr="005C1789">
        <w:rPr>
          <w:rFonts w:ascii="Verdana" w:hAnsi="Verdana"/>
          <w:sz w:val="20"/>
          <w:szCs w:val="20"/>
        </w:rPr>
        <w:t xml:space="preserve">Ley Federal contra la Delincuencia Organizada de 28 de octubre de 1996, vulnera </w:t>
      </w:r>
      <w:r w:rsidRPr="005C1789">
        <w:rPr>
          <w:rFonts w:ascii="Verdana" w:hAnsi="Verdana"/>
          <w:i/>
          <w:iCs/>
          <w:sz w:val="20"/>
          <w:szCs w:val="20"/>
        </w:rPr>
        <w:t>per se</w:t>
      </w:r>
      <w:r w:rsidRPr="005C1789">
        <w:rPr>
          <w:rFonts w:ascii="Verdana" w:hAnsi="Verdana"/>
          <w:sz w:val="20"/>
          <w:szCs w:val="20"/>
        </w:rPr>
        <w:t xml:space="preserve"> el derecho a no declarar contra sí mismo contenido </w:t>
      </w:r>
      <w:r w:rsidRPr="005C1789">
        <w:rPr>
          <w:rFonts w:ascii="Verdana" w:hAnsi="Verdana"/>
          <w:sz w:val="20"/>
          <w:lang w:val="es-MX" w:eastAsia="es-ES"/>
        </w:rPr>
        <w:t>artículo 8.2.g) de la Convención</w:t>
      </w:r>
      <w:r w:rsidRPr="005C1789">
        <w:rPr>
          <w:rFonts w:ascii="Verdana" w:hAnsi="Verdana"/>
          <w:sz w:val="20"/>
          <w:szCs w:val="20"/>
        </w:rPr>
        <w:t xml:space="preserve"> Americana</w:t>
      </w:r>
      <w:r w:rsidR="00712EBB">
        <w:rPr>
          <w:rFonts w:ascii="Verdana" w:hAnsi="Verdana"/>
          <w:sz w:val="20"/>
          <w:szCs w:val="20"/>
        </w:rPr>
        <w:t>,</w:t>
      </w:r>
      <w:r w:rsidRPr="005C1789">
        <w:rPr>
          <w:rFonts w:ascii="Verdana" w:hAnsi="Verdana"/>
          <w:sz w:val="20"/>
          <w:szCs w:val="20"/>
        </w:rPr>
        <w:t xml:space="preserve"> puesto que establece como objetivo de una medida restrictiva a la libertad la obtención de una declaración de la persona investigada por un hecho delictivo sin contemplar la posibilidad de que esta pueda permanecer en silencio o no declarar contra sí mismo. Adicionalmente, la norma </w:t>
      </w:r>
      <w:r w:rsidR="00461B01">
        <w:rPr>
          <w:rFonts w:ascii="Verdana" w:hAnsi="Verdana"/>
          <w:sz w:val="20"/>
          <w:szCs w:val="20"/>
        </w:rPr>
        <w:t>dispone</w:t>
      </w:r>
      <w:r w:rsidRPr="005C1789">
        <w:rPr>
          <w:rFonts w:ascii="Verdana" w:hAnsi="Verdana"/>
          <w:sz w:val="20"/>
          <w:szCs w:val="20"/>
        </w:rPr>
        <w:t xml:space="preserve"> un incentivo para que la persona indiciada preste declaración (</w:t>
      </w:r>
      <w:proofErr w:type="gramStart"/>
      <w:r w:rsidRPr="005C1789">
        <w:rPr>
          <w:rFonts w:ascii="Verdana" w:hAnsi="Verdana"/>
          <w:sz w:val="20"/>
          <w:szCs w:val="20"/>
        </w:rPr>
        <w:t>o</w:t>
      </w:r>
      <w:proofErr w:type="gramEnd"/>
      <w:r w:rsidRPr="005C1789">
        <w:rPr>
          <w:rFonts w:ascii="Verdana" w:hAnsi="Verdana"/>
          <w:sz w:val="20"/>
          <w:szCs w:val="20"/>
        </w:rPr>
        <w:t xml:space="preserve"> dicho de otro modo, renuncie a guardar silencio), pues establece que si participa en el esclarecimiento de los hechos que se le atribuyen puede reducirse el tiempo de arraigo</w:t>
      </w:r>
      <w:r w:rsidR="00546D34" w:rsidRPr="005C1789">
        <w:rPr>
          <w:rStyle w:val="Refdenotaalpie"/>
          <w:rFonts w:ascii="Verdana" w:hAnsi="Verdana"/>
          <w:sz w:val="20"/>
        </w:rPr>
        <w:footnoteReference w:id="117"/>
      </w:r>
      <w:r w:rsidRPr="005C1789">
        <w:rPr>
          <w:rFonts w:ascii="Verdana" w:hAnsi="Verdana"/>
          <w:sz w:val="20"/>
          <w:szCs w:val="20"/>
        </w:rPr>
        <w:t xml:space="preserve">. En síntesis, el artículo 12 de la Ley Federal contra la Delincuencia Organizada de 28 de octubre de 1996 </w:t>
      </w:r>
      <w:r w:rsidR="00AD1F75" w:rsidRPr="005C1789">
        <w:rPr>
          <w:rFonts w:ascii="Verdana" w:hAnsi="Verdana"/>
          <w:sz w:val="20"/>
          <w:szCs w:val="20"/>
        </w:rPr>
        <w:t>era</w:t>
      </w:r>
      <w:r w:rsidRPr="005C1789">
        <w:rPr>
          <w:rFonts w:ascii="Verdana" w:hAnsi="Verdana"/>
          <w:sz w:val="20"/>
          <w:szCs w:val="20"/>
        </w:rPr>
        <w:t xml:space="preserve"> contrario al derecho contenido en el artículo 8.2.g de la Convención y</w:t>
      </w:r>
      <w:r w:rsidR="00EE5149" w:rsidRPr="005C1789">
        <w:rPr>
          <w:rFonts w:ascii="Verdana" w:hAnsi="Verdana"/>
          <w:sz w:val="20"/>
          <w:szCs w:val="20"/>
        </w:rPr>
        <w:t>,</w:t>
      </w:r>
      <w:r w:rsidRPr="005C1789">
        <w:rPr>
          <w:rFonts w:ascii="Verdana" w:hAnsi="Verdana"/>
          <w:sz w:val="20"/>
          <w:szCs w:val="20"/>
        </w:rPr>
        <w:t xml:space="preserve"> a la postre, impacta en el derecho a la libertad personal de la persona arraigada.</w:t>
      </w:r>
    </w:p>
    <w:p w14:paraId="4B890B98" w14:textId="77777777" w:rsidR="00E3428C" w:rsidRPr="005C1789" w:rsidRDefault="00E3428C" w:rsidP="00955888">
      <w:pPr>
        <w:pStyle w:val="Prrafodelista"/>
        <w:numPr>
          <w:ilvl w:val="1"/>
          <w:numId w:val="55"/>
        </w:numPr>
        <w:spacing w:before="240" w:after="240"/>
        <w:ind w:left="1434" w:hanging="357"/>
        <w:contextualSpacing w:val="0"/>
        <w:jc w:val="both"/>
        <w:outlineLvl w:val="5"/>
        <w:rPr>
          <w:rFonts w:ascii="Verdana" w:hAnsi="Verdana"/>
          <w:i/>
          <w:iCs/>
          <w:sz w:val="20"/>
          <w:szCs w:val="20"/>
        </w:rPr>
      </w:pPr>
      <w:r w:rsidRPr="005C1789">
        <w:rPr>
          <w:rFonts w:ascii="Verdana" w:hAnsi="Verdana"/>
          <w:i/>
          <w:iCs/>
          <w:sz w:val="20"/>
          <w:szCs w:val="20"/>
        </w:rPr>
        <w:t>Sobre la situación de indefensión de la persona arraigada</w:t>
      </w:r>
    </w:p>
    <w:p w14:paraId="638EA8E6" w14:textId="70A577C2" w:rsidR="00E3428C" w:rsidRPr="005C1789" w:rsidRDefault="00E3428C"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El Tribunal nota que</w:t>
      </w:r>
      <w:r w:rsidR="00712EBB">
        <w:rPr>
          <w:rFonts w:ascii="Verdana" w:hAnsi="Verdana"/>
          <w:sz w:val="20"/>
          <w:szCs w:val="20"/>
        </w:rPr>
        <w:t>,</w:t>
      </w:r>
      <w:r w:rsidRPr="005C1789">
        <w:rPr>
          <w:rFonts w:ascii="Verdana" w:hAnsi="Verdana"/>
          <w:sz w:val="20"/>
          <w:szCs w:val="20"/>
        </w:rPr>
        <w:t xml:space="preserve"> según fuera señalado por el perito Luis Raúl González Pérez, cuando se aplica esa figura, el arraigado no recibe una comunicación previa y detallada de la acusación que se pretende formular en su contra ni se le concede al investigado el tiempo y los medios adecuados para la preparación de su defensa. Además,</w:t>
      </w:r>
      <w:r w:rsidRPr="005C1789">
        <w:rPr>
          <w:rFonts w:ascii="Verdana" w:hAnsi="Verdana"/>
          <w:iCs/>
          <w:sz w:val="20"/>
          <w:szCs w:val="20"/>
        </w:rPr>
        <w:t xml:space="preserve"> la persona arraigada no tiene </w:t>
      </w:r>
      <w:r w:rsidRPr="005C1789">
        <w:rPr>
          <w:rFonts w:ascii="Verdana" w:hAnsi="Verdana"/>
          <w:i/>
          <w:iCs/>
          <w:sz w:val="20"/>
          <w:szCs w:val="20"/>
        </w:rPr>
        <w:t>“</w:t>
      </w:r>
      <w:r w:rsidRPr="005C1789">
        <w:rPr>
          <w:rFonts w:ascii="Verdana" w:hAnsi="Verdana"/>
          <w:iCs/>
          <w:sz w:val="20"/>
          <w:szCs w:val="20"/>
        </w:rPr>
        <w:t>la oportunidad de cuestionar</w:t>
      </w:r>
      <w:r w:rsidRPr="005C1789">
        <w:rPr>
          <w:rFonts w:ascii="Verdana" w:hAnsi="Verdana"/>
          <w:i/>
          <w:iCs/>
          <w:sz w:val="20"/>
          <w:szCs w:val="20"/>
        </w:rPr>
        <w:t xml:space="preserve"> </w:t>
      </w:r>
      <w:r w:rsidRPr="005C1789">
        <w:rPr>
          <w:rFonts w:ascii="Verdana" w:hAnsi="Verdana"/>
          <w:iCs/>
          <w:sz w:val="20"/>
          <w:szCs w:val="20"/>
        </w:rPr>
        <w:t>la actividad que</w:t>
      </w:r>
      <w:r w:rsidRPr="005C1789">
        <w:rPr>
          <w:rFonts w:ascii="Verdana" w:hAnsi="Verdana"/>
          <w:i/>
          <w:iCs/>
          <w:sz w:val="20"/>
          <w:szCs w:val="20"/>
        </w:rPr>
        <w:t xml:space="preserve"> </w:t>
      </w:r>
      <w:r w:rsidRPr="005C1789">
        <w:rPr>
          <w:rFonts w:ascii="Verdana" w:hAnsi="Verdana"/>
          <w:iCs/>
          <w:sz w:val="20"/>
          <w:szCs w:val="20"/>
        </w:rPr>
        <w:t>desarrollaba el Ministerio Público, ni aportar elemento de</w:t>
      </w:r>
      <w:r w:rsidRPr="005C1789">
        <w:rPr>
          <w:rFonts w:ascii="Verdana" w:hAnsi="Verdana"/>
          <w:i/>
          <w:iCs/>
          <w:sz w:val="20"/>
          <w:szCs w:val="20"/>
        </w:rPr>
        <w:t xml:space="preserve"> </w:t>
      </w:r>
      <w:r w:rsidRPr="005C1789">
        <w:rPr>
          <w:rFonts w:ascii="Verdana" w:hAnsi="Verdana"/>
          <w:iCs/>
          <w:sz w:val="20"/>
          <w:szCs w:val="20"/>
        </w:rPr>
        <w:t xml:space="preserve">prueba alguno en dicha </w:t>
      </w:r>
      <w:r w:rsidRPr="005C1789">
        <w:rPr>
          <w:rFonts w:ascii="Verdana" w:hAnsi="Verdana"/>
          <w:iCs/>
          <w:sz w:val="20"/>
          <w:szCs w:val="20"/>
        </w:rPr>
        <w:lastRenderedPageBreak/>
        <w:t>fase</w:t>
      </w:r>
      <w:r w:rsidRPr="005C1789">
        <w:rPr>
          <w:rFonts w:ascii="Verdana" w:hAnsi="Verdana"/>
          <w:i/>
          <w:iCs/>
          <w:sz w:val="20"/>
          <w:szCs w:val="20"/>
        </w:rPr>
        <w:t>”</w:t>
      </w:r>
      <w:r w:rsidRPr="005C1789">
        <w:rPr>
          <w:rFonts w:ascii="Verdana" w:hAnsi="Verdana"/>
          <w:iCs/>
          <w:sz w:val="20"/>
          <w:szCs w:val="20"/>
          <w:vertAlign w:val="superscript"/>
          <w:lang w:val="es-ES"/>
        </w:rPr>
        <w:footnoteReference w:id="118"/>
      </w:r>
      <w:r w:rsidRPr="005C1789">
        <w:rPr>
          <w:rFonts w:ascii="Verdana" w:hAnsi="Verdana"/>
          <w:sz w:val="20"/>
          <w:szCs w:val="20"/>
        </w:rPr>
        <w:t>. En efecto, éste no tiene la posibilidad de interrogar a los testigos, o de obtener la comparecencia de otras personas que puedan arrojar luz sobre los hechos. Según señaló el perito, esta figura se contrapone “con las bases de proceso penal acusatorio y oral, toda vez que dos de sus principios se ven muy afectados, el derecho de que toda audiencia se desarrolle en presencia del juez, lo que no ocurre en el arraigo y que la carga de la prueba para demostrar la culpabilidad corresponde a la parte acusadora lo que tratándose del arraigo se desnaturaliza pues se detiene una persona sin prueba alguna de culpabilidad”</w:t>
      </w:r>
      <w:r w:rsidRPr="005C1789">
        <w:rPr>
          <w:rFonts w:ascii="Verdana" w:hAnsi="Verdana"/>
          <w:iCs/>
          <w:sz w:val="20"/>
          <w:szCs w:val="20"/>
          <w:vertAlign w:val="superscript"/>
          <w:lang w:val="es-ES"/>
        </w:rPr>
        <w:footnoteReference w:id="119"/>
      </w:r>
      <w:r w:rsidRPr="005C1789">
        <w:rPr>
          <w:rFonts w:ascii="Verdana" w:hAnsi="Verdana"/>
          <w:sz w:val="20"/>
          <w:szCs w:val="20"/>
        </w:rPr>
        <w:t>.</w:t>
      </w:r>
    </w:p>
    <w:p w14:paraId="72F261DC" w14:textId="4B8573E9" w:rsidR="00E3428C" w:rsidRPr="005C1789" w:rsidRDefault="00E3428C"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Para este Tribunal</w:t>
      </w:r>
      <w:r w:rsidR="00EE5149" w:rsidRPr="005C1789">
        <w:rPr>
          <w:rFonts w:ascii="Verdana" w:hAnsi="Verdana"/>
          <w:sz w:val="20"/>
          <w:szCs w:val="20"/>
        </w:rPr>
        <w:t>,</w:t>
      </w:r>
      <w:r w:rsidRPr="005C1789">
        <w:rPr>
          <w:rFonts w:ascii="Verdana" w:hAnsi="Verdana"/>
          <w:sz w:val="20"/>
          <w:szCs w:val="20"/>
        </w:rPr>
        <w:t xml:space="preserve"> esa situación de completa indefensión de la persona arraigada, sin conocer los motivos por los cuales se encuentra en aquella circunstancia, sin oportuno acceso a defensa técnica y sin posibilidades de recurrir, constituye una forma de coacción por parte de las autoridades, </w:t>
      </w:r>
      <w:r w:rsidR="009E4E11" w:rsidRPr="005C1789">
        <w:rPr>
          <w:rFonts w:ascii="Verdana" w:hAnsi="Verdana"/>
          <w:sz w:val="20"/>
          <w:szCs w:val="20"/>
        </w:rPr>
        <w:t>motivo por el cual</w:t>
      </w:r>
      <w:r w:rsidRPr="005C1789">
        <w:rPr>
          <w:rFonts w:ascii="Verdana" w:hAnsi="Verdana"/>
          <w:sz w:val="20"/>
          <w:szCs w:val="20"/>
        </w:rPr>
        <w:t xml:space="preserve"> las pruebas obtenidas en esas circunstancias no deberían ser utilizadas para fundar una eventual condena en el marco de un proceso penal. Al respecto, corresponde recordar que el artículo 8.3 de la Convención Americana establece que la “confesión del inculpado solamente es válida si es hecha sin coacción de ninguna naturaleza”. En concordancia con lo anterior</w:t>
      </w:r>
      <w:r w:rsidR="006E7B9F" w:rsidRPr="005C1789">
        <w:rPr>
          <w:rFonts w:ascii="Verdana" w:hAnsi="Verdana"/>
          <w:sz w:val="20"/>
          <w:szCs w:val="20"/>
        </w:rPr>
        <w:t xml:space="preserve">, </w:t>
      </w:r>
      <w:r w:rsidRPr="005C1789">
        <w:rPr>
          <w:rFonts w:ascii="Verdana" w:hAnsi="Verdana"/>
          <w:sz w:val="20"/>
          <w:szCs w:val="20"/>
        </w:rPr>
        <w:t>resulta ilustrativo recordar que el perito Luis Raúl González Pérez indicó que el arraigo implica también “sufrir los efectos de una pena de privación de libertad anticipada, sin existir aún una acusación formal que permita inicio al proceso, y más bien utilizada para en todo caso causar zozobra e incertidumbre, que puede llevar a vencer la voluntad de la persona y ponerla</w:t>
      </w:r>
      <w:r w:rsidR="00E74D0D" w:rsidRPr="005C1789">
        <w:rPr>
          <w:rFonts w:ascii="Verdana" w:hAnsi="Verdana"/>
          <w:sz w:val="20"/>
          <w:szCs w:val="20"/>
        </w:rPr>
        <w:t xml:space="preserve"> </w:t>
      </w:r>
      <w:r w:rsidRPr="005C1789">
        <w:rPr>
          <w:rFonts w:ascii="Verdana" w:hAnsi="Verdana"/>
          <w:sz w:val="20"/>
          <w:szCs w:val="20"/>
        </w:rPr>
        <w:t>a disposición de las diligencias ministeriales que se le quieran practicar”</w:t>
      </w:r>
      <w:r w:rsidRPr="005C1789">
        <w:rPr>
          <w:rFonts w:ascii="Verdana" w:hAnsi="Verdana"/>
          <w:iCs/>
          <w:sz w:val="20"/>
          <w:szCs w:val="20"/>
          <w:vertAlign w:val="superscript"/>
          <w:lang w:val="es-ES"/>
        </w:rPr>
        <w:footnoteReference w:id="120"/>
      </w:r>
      <w:r w:rsidRPr="005C1789">
        <w:rPr>
          <w:rFonts w:ascii="Verdana" w:hAnsi="Verdana"/>
          <w:sz w:val="20"/>
          <w:szCs w:val="20"/>
        </w:rPr>
        <w:t xml:space="preserve">. </w:t>
      </w:r>
    </w:p>
    <w:p w14:paraId="57A11AC0" w14:textId="77777777" w:rsidR="00E3428C" w:rsidRPr="005C1789" w:rsidRDefault="00E3428C"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Por otra parte, la Corte advierte que la eventual declaración o prueba obtenida no es una consecuencia indirecta del arraigo, sino que es la finalidad misma del instituto, tal como surge del artículo 133 bis del Código Federal Procesal Penal de 1999 y, sobre todo, del artículo 12 de la ya mencionada Ley Federal contra la Delincuencia Organizada de 1996.</w:t>
      </w:r>
    </w:p>
    <w:p w14:paraId="7B01E2A3" w14:textId="789944B9" w:rsidR="00E3428C" w:rsidRPr="005C1789" w:rsidRDefault="007D21ED"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De conformidad con lo expresado, la sola sujeción de una persona al arraigo supone colocarla en una situación de máxima vulnerabilidad, lo que atenta contra su dignidad humana, la expone a sufrimientos psíquicos y eventualmente físicos</w:t>
      </w:r>
      <w:r w:rsidR="009C0406" w:rsidRPr="005C1789">
        <w:rPr>
          <w:rFonts w:ascii="Verdana" w:hAnsi="Verdana"/>
          <w:sz w:val="20"/>
          <w:szCs w:val="20"/>
        </w:rPr>
        <w:t>,</w:t>
      </w:r>
      <w:r w:rsidRPr="005C1789">
        <w:rPr>
          <w:rFonts w:ascii="Verdana" w:hAnsi="Verdana"/>
          <w:sz w:val="20"/>
          <w:szCs w:val="20"/>
        </w:rPr>
        <w:t xml:space="preserve"> y la deja en un estado de incertidumbre sobre su situación y destino. En ese sentido, dadas las condiciones de detención, aislamiento e incomunicación, el arraigo coloca a la persona sujeta a esta medida en un contexto de vulnerabilidad frente a eventuales y probables tratos crueles, inhumanos y degradantes ante la ausencia de garantías judiciales; de forma tal que la aplicación de esta medida podría suponer una violación al artículo 5.2 de la Convención</w:t>
      </w:r>
      <w:r w:rsidR="00E3428C" w:rsidRPr="005C1789">
        <w:rPr>
          <w:rFonts w:ascii="Verdana" w:hAnsi="Verdana"/>
          <w:sz w:val="20"/>
          <w:szCs w:val="20"/>
        </w:rPr>
        <w:t xml:space="preserve">. </w:t>
      </w:r>
    </w:p>
    <w:p w14:paraId="2191F870" w14:textId="1006BD81" w:rsidR="00AA1228" w:rsidRPr="005C1789" w:rsidRDefault="00375E8F" w:rsidP="00955888">
      <w:pPr>
        <w:pStyle w:val="Prrafodelista"/>
        <w:numPr>
          <w:ilvl w:val="0"/>
          <w:numId w:val="55"/>
        </w:numPr>
        <w:spacing w:before="240" w:after="240"/>
        <w:ind w:left="709" w:hanging="6"/>
        <w:contextualSpacing w:val="0"/>
        <w:jc w:val="both"/>
        <w:outlineLvl w:val="4"/>
        <w:rPr>
          <w:rFonts w:ascii="Verdana" w:hAnsi="Verdana"/>
          <w:iCs/>
          <w:sz w:val="20"/>
          <w:szCs w:val="20"/>
        </w:rPr>
      </w:pPr>
      <w:bookmarkStart w:id="100" w:name="_Toc123347539"/>
      <w:r>
        <w:rPr>
          <w:rFonts w:ascii="Verdana" w:hAnsi="Verdana"/>
          <w:i/>
          <w:iCs/>
          <w:sz w:val="20"/>
          <w:szCs w:val="20"/>
        </w:rPr>
        <w:t xml:space="preserve"> </w:t>
      </w:r>
      <w:r w:rsidR="00AA1228" w:rsidRPr="005C1789">
        <w:rPr>
          <w:rFonts w:ascii="Verdana" w:hAnsi="Verdana"/>
          <w:i/>
          <w:iCs/>
          <w:sz w:val="20"/>
          <w:szCs w:val="20"/>
        </w:rPr>
        <w:t xml:space="preserve">Sobre los supuestos materiales, la finalidad y la necesidad </w:t>
      </w:r>
      <w:r w:rsidR="002A2F87" w:rsidRPr="005C1789">
        <w:rPr>
          <w:rFonts w:ascii="Verdana" w:hAnsi="Verdana"/>
          <w:i/>
          <w:iCs/>
          <w:sz w:val="20"/>
          <w:szCs w:val="20"/>
        </w:rPr>
        <w:t>del arraigo</w:t>
      </w:r>
      <w:bookmarkEnd w:id="100"/>
      <w:r w:rsidR="00023E34" w:rsidRPr="005C1789">
        <w:rPr>
          <w:rFonts w:ascii="Verdana" w:hAnsi="Verdana"/>
          <w:i/>
          <w:iCs/>
          <w:sz w:val="20"/>
          <w:szCs w:val="20"/>
        </w:rPr>
        <w:t xml:space="preserve"> </w:t>
      </w:r>
      <w:r w:rsidR="00AA1228" w:rsidRPr="005C1789">
        <w:rPr>
          <w:rFonts w:ascii="Verdana" w:hAnsi="Verdana"/>
          <w:i/>
          <w:iCs/>
          <w:sz w:val="20"/>
          <w:szCs w:val="20"/>
        </w:rPr>
        <w:t xml:space="preserve"> </w:t>
      </w:r>
    </w:p>
    <w:p w14:paraId="4F913CAB" w14:textId="0B50CED4" w:rsidR="00AA1228" w:rsidRPr="005C1789" w:rsidRDefault="00193EBA" w:rsidP="00955888">
      <w:pPr>
        <w:pStyle w:val="Prrafodelista"/>
        <w:numPr>
          <w:ilvl w:val="1"/>
          <w:numId w:val="55"/>
        </w:numPr>
        <w:spacing w:before="240" w:after="240"/>
        <w:ind w:left="1434" w:hanging="357"/>
        <w:contextualSpacing w:val="0"/>
        <w:jc w:val="both"/>
        <w:outlineLvl w:val="5"/>
        <w:rPr>
          <w:rFonts w:ascii="Verdana" w:hAnsi="Verdana"/>
          <w:iCs/>
          <w:sz w:val="20"/>
          <w:szCs w:val="20"/>
        </w:rPr>
      </w:pPr>
      <w:r w:rsidRPr="005C1789">
        <w:rPr>
          <w:rFonts w:ascii="Verdana" w:hAnsi="Verdana"/>
          <w:i/>
          <w:iCs/>
          <w:sz w:val="20"/>
          <w:szCs w:val="20"/>
        </w:rPr>
        <w:t xml:space="preserve">Sobre los presupuestos materiales </w:t>
      </w:r>
    </w:p>
    <w:p w14:paraId="3E5F34F6" w14:textId="29AABB85" w:rsidR="00AA1228" w:rsidRPr="005C1789" w:rsidRDefault="00AA1228"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Como fuera mencionado </w:t>
      </w:r>
      <w:r w:rsidRPr="005C1789">
        <w:rPr>
          <w:rFonts w:ascii="Verdana" w:hAnsi="Verdana"/>
          <w:sz w:val="20"/>
          <w:szCs w:val="20"/>
        </w:rPr>
        <w:t>supra</w:t>
      </w:r>
      <w:r w:rsidRPr="005C1789">
        <w:rPr>
          <w:rFonts w:ascii="Verdana" w:hAnsi="Verdana"/>
          <w:i w:val="0"/>
          <w:iCs/>
          <w:sz w:val="20"/>
          <w:szCs w:val="20"/>
        </w:rPr>
        <w:t>, a la hora de aplicar medidas restrictivas a la libertad de naturaleza cautelar, deben existir indicios suficientes que permitan suponer razonablemente que un hecho ilícito ocurrió y que la persona sometida al proceso pudo haber participado en ese ilícito. A su vez, la sospecha o los indicios suficientes que permitan suponer razonablemente que la persona sometida al proceso pudo haber participado en el ilícito que se investiga, deben estar fundados y expresados con base en hechos específicos, esto es, no en meras conjeturas o intuiciones abstractas (</w:t>
      </w:r>
      <w:r w:rsidRPr="005C1789">
        <w:rPr>
          <w:rFonts w:ascii="Verdana" w:hAnsi="Verdana"/>
          <w:sz w:val="20"/>
          <w:szCs w:val="20"/>
        </w:rPr>
        <w:t>supra</w:t>
      </w:r>
      <w:r w:rsidRPr="005C1789">
        <w:rPr>
          <w:rFonts w:ascii="Verdana" w:hAnsi="Verdana"/>
          <w:i w:val="0"/>
          <w:iCs/>
          <w:sz w:val="20"/>
          <w:szCs w:val="20"/>
        </w:rPr>
        <w:t xml:space="preserve"> párr. </w:t>
      </w:r>
      <w:r w:rsidR="0012355A" w:rsidRPr="005C1789">
        <w:rPr>
          <w:rFonts w:ascii="Verdana" w:hAnsi="Verdana"/>
          <w:i w:val="0"/>
          <w:iCs/>
          <w:sz w:val="20"/>
          <w:szCs w:val="20"/>
        </w:rPr>
        <w:t>103)</w:t>
      </w:r>
      <w:r w:rsidR="00712EBB">
        <w:rPr>
          <w:rFonts w:ascii="Verdana" w:hAnsi="Verdana"/>
          <w:i w:val="0"/>
          <w:iCs/>
          <w:sz w:val="20"/>
          <w:szCs w:val="20"/>
        </w:rPr>
        <w:t>.</w:t>
      </w:r>
    </w:p>
    <w:p w14:paraId="0E5C9437" w14:textId="02F38750" w:rsidR="001D699E" w:rsidRPr="005C1789" w:rsidRDefault="00971108"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En </w:t>
      </w:r>
      <w:r w:rsidR="00AA1228" w:rsidRPr="005C1789">
        <w:rPr>
          <w:rFonts w:ascii="Verdana" w:hAnsi="Verdana"/>
          <w:i w:val="0"/>
          <w:iCs/>
          <w:sz w:val="20"/>
          <w:szCs w:val="20"/>
        </w:rPr>
        <w:t xml:space="preserve">el presente caso, </w:t>
      </w:r>
      <w:r w:rsidR="007C53A2" w:rsidRPr="005C1789">
        <w:rPr>
          <w:rFonts w:ascii="Verdana" w:hAnsi="Verdana"/>
          <w:i w:val="0"/>
          <w:iCs/>
          <w:sz w:val="20"/>
          <w:szCs w:val="20"/>
        </w:rPr>
        <w:t xml:space="preserve">el Tribunal advierte </w:t>
      </w:r>
      <w:r w:rsidR="00AA1228" w:rsidRPr="005C1789">
        <w:rPr>
          <w:rFonts w:ascii="Verdana" w:hAnsi="Verdana"/>
          <w:i w:val="0"/>
          <w:iCs/>
          <w:sz w:val="20"/>
          <w:szCs w:val="20"/>
        </w:rPr>
        <w:t xml:space="preserve">que </w:t>
      </w:r>
      <w:r w:rsidR="00ED61BF" w:rsidRPr="005C1789">
        <w:rPr>
          <w:rFonts w:ascii="Verdana" w:hAnsi="Verdana"/>
          <w:i w:val="0"/>
          <w:iCs/>
          <w:sz w:val="20"/>
          <w:szCs w:val="20"/>
        </w:rPr>
        <w:t xml:space="preserve">la decisión de 18 de enero de 2006 mediante la cual se impuso el arraigo tuvo </w:t>
      </w:r>
      <w:r w:rsidRPr="005C1789">
        <w:rPr>
          <w:rFonts w:ascii="Verdana" w:hAnsi="Verdana"/>
          <w:i w:val="0"/>
          <w:iCs/>
          <w:sz w:val="20"/>
          <w:szCs w:val="20"/>
        </w:rPr>
        <w:t xml:space="preserve">en cuenta </w:t>
      </w:r>
      <w:r w:rsidR="003622ED" w:rsidRPr="005C1789">
        <w:rPr>
          <w:rFonts w:ascii="Verdana" w:hAnsi="Verdana"/>
          <w:i w:val="0"/>
          <w:iCs/>
          <w:sz w:val="20"/>
          <w:szCs w:val="20"/>
        </w:rPr>
        <w:t xml:space="preserve">determinados </w:t>
      </w:r>
      <w:r w:rsidR="00743C44" w:rsidRPr="005C1789">
        <w:rPr>
          <w:rFonts w:ascii="Verdana" w:hAnsi="Verdana"/>
          <w:i w:val="0"/>
          <w:iCs/>
          <w:sz w:val="20"/>
          <w:szCs w:val="20"/>
        </w:rPr>
        <w:t>antecedentes</w:t>
      </w:r>
      <w:r w:rsidRPr="005C1789">
        <w:rPr>
          <w:rFonts w:ascii="Verdana" w:hAnsi="Verdana"/>
          <w:i w:val="0"/>
          <w:iCs/>
          <w:sz w:val="20"/>
          <w:szCs w:val="20"/>
        </w:rPr>
        <w:t xml:space="preserve"> para vincular a las personas investigadas a un hecho delictivo</w:t>
      </w:r>
      <w:r w:rsidRPr="005C1789">
        <w:rPr>
          <w:rFonts w:ascii="Verdana" w:hAnsi="Verdana"/>
          <w:i w:val="0"/>
          <w:iCs/>
          <w:sz w:val="20"/>
          <w:szCs w:val="20"/>
          <w:vertAlign w:val="superscript"/>
          <w:lang w:val="es-ES"/>
        </w:rPr>
        <w:footnoteReference w:id="121"/>
      </w:r>
      <w:r w:rsidRPr="005C1789">
        <w:rPr>
          <w:rFonts w:ascii="Verdana" w:hAnsi="Verdana"/>
          <w:i w:val="0"/>
          <w:iCs/>
          <w:sz w:val="20"/>
          <w:szCs w:val="20"/>
        </w:rPr>
        <w:t xml:space="preserve">. </w:t>
      </w:r>
    </w:p>
    <w:p w14:paraId="5A2681FC" w14:textId="7C2F8E64" w:rsidR="00330A2D" w:rsidRPr="005C1789" w:rsidRDefault="00AA1228"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lastRenderedPageBreak/>
        <w:t>Sin perjuicio de lo anterior</w:t>
      </w:r>
      <w:r w:rsidR="00600C4D" w:rsidRPr="005C1789">
        <w:rPr>
          <w:rFonts w:ascii="Verdana" w:hAnsi="Verdana"/>
          <w:i w:val="0"/>
          <w:iCs/>
          <w:sz w:val="20"/>
          <w:szCs w:val="20"/>
        </w:rPr>
        <w:t xml:space="preserve">, </w:t>
      </w:r>
      <w:r w:rsidRPr="005C1789">
        <w:rPr>
          <w:rFonts w:ascii="Verdana" w:hAnsi="Verdana"/>
          <w:i w:val="0"/>
          <w:iCs/>
          <w:sz w:val="20"/>
          <w:szCs w:val="20"/>
        </w:rPr>
        <w:t>la Corte nota que ninguna de las dos normas que regulaban la figura del arraigo</w:t>
      </w:r>
      <w:r w:rsidR="00330A2D" w:rsidRPr="005C1789">
        <w:rPr>
          <w:rFonts w:ascii="Verdana" w:hAnsi="Verdana"/>
          <w:i w:val="0"/>
          <w:iCs/>
          <w:sz w:val="20"/>
          <w:szCs w:val="20"/>
        </w:rPr>
        <w:t xml:space="preserve"> </w:t>
      </w:r>
      <w:r w:rsidRPr="005C1789">
        <w:rPr>
          <w:rFonts w:ascii="Verdana" w:hAnsi="Verdana"/>
          <w:i w:val="0"/>
          <w:iCs/>
          <w:sz w:val="20"/>
          <w:szCs w:val="20"/>
        </w:rPr>
        <w:t>estable</w:t>
      </w:r>
      <w:r w:rsidR="00ED4498" w:rsidRPr="005C1789">
        <w:rPr>
          <w:rFonts w:ascii="Verdana" w:hAnsi="Verdana"/>
          <w:i w:val="0"/>
          <w:iCs/>
          <w:sz w:val="20"/>
          <w:szCs w:val="20"/>
        </w:rPr>
        <w:t>ce</w:t>
      </w:r>
      <w:r w:rsidRPr="005C1789">
        <w:rPr>
          <w:rFonts w:ascii="Verdana" w:hAnsi="Verdana"/>
          <w:i w:val="0"/>
          <w:iCs/>
          <w:sz w:val="20"/>
          <w:szCs w:val="20"/>
        </w:rPr>
        <w:t xml:space="preserve"> de forma clara cuáles son los presupuestos materiales que deben ser cumplidos para aplicar ese tipo de medidas restrictivas a la libertad personal y a la presunción de inocencia. En efecto, </w:t>
      </w:r>
      <w:r w:rsidR="0081721B" w:rsidRPr="005C1789">
        <w:rPr>
          <w:rFonts w:ascii="Verdana" w:hAnsi="Verdana"/>
          <w:i w:val="0"/>
          <w:iCs/>
          <w:sz w:val="20"/>
          <w:szCs w:val="20"/>
        </w:rPr>
        <w:t>e</w:t>
      </w:r>
      <w:r w:rsidR="00091692" w:rsidRPr="005C1789">
        <w:rPr>
          <w:rFonts w:ascii="Verdana" w:hAnsi="Verdana"/>
          <w:i w:val="0"/>
          <w:iCs/>
          <w:sz w:val="20"/>
          <w:szCs w:val="20"/>
        </w:rPr>
        <w:t xml:space="preserve">l </w:t>
      </w:r>
      <w:r w:rsidR="0081721B" w:rsidRPr="005C1789">
        <w:rPr>
          <w:rFonts w:ascii="Verdana" w:hAnsi="Verdana"/>
          <w:i w:val="0"/>
          <w:iCs/>
          <w:sz w:val="20"/>
          <w:szCs w:val="20"/>
        </w:rPr>
        <w:t xml:space="preserve">artículo 133 bis al Código Federal Procesal Penal de 1999 se </w:t>
      </w:r>
      <w:r w:rsidR="002E4488">
        <w:rPr>
          <w:rFonts w:ascii="Verdana" w:hAnsi="Verdana"/>
          <w:i w:val="0"/>
          <w:iCs/>
          <w:sz w:val="20"/>
          <w:szCs w:val="20"/>
        </w:rPr>
        <w:t>refería</w:t>
      </w:r>
      <w:r w:rsidR="0081721B" w:rsidRPr="005C1789">
        <w:rPr>
          <w:rFonts w:ascii="Verdana" w:hAnsi="Verdana"/>
          <w:i w:val="0"/>
          <w:iCs/>
          <w:sz w:val="20"/>
          <w:szCs w:val="20"/>
        </w:rPr>
        <w:t xml:space="preserve"> “a la persona en contra de quien se prepare el ejercicio de la acción penal”</w:t>
      </w:r>
      <w:r w:rsidRPr="005C1789">
        <w:rPr>
          <w:rFonts w:ascii="Verdana" w:hAnsi="Verdana"/>
          <w:i w:val="0"/>
          <w:iCs/>
          <w:sz w:val="20"/>
          <w:szCs w:val="20"/>
        </w:rPr>
        <w:t>. Por otra parte,</w:t>
      </w:r>
      <w:r w:rsidR="0081721B" w:rsidRPr="005C1789">
        <w:rPr>
          <w:rFonts w:ascii="Verdana" w:hAnsi="Verdana"/>
          <w:i w:val="0"/>
          <w:iCs/>
          <w:sz w:val="20"/>
          <w:szCs w:val="20"/>
        </w:rPr>
        <w:t xml:space="preserve"> el artículo 12 de la Ley Federal contra la Delincuencia Organizada </w:t>
      </w:r>
      <w:r w:rsidRPr="005C1789">
        <w:rPr>
          <w:rFonts w:ascii="Verdana" w:hAnsi="Verdana"/>
          <w:i w:val="0"/>
          <w:iCs/>
          <w:sz w:val="20"/>
          <w:szCs w:val="20"/>
        </w:rPr>
        <w:t>indicaba que el juez podrá decretar el arraigo “tomando en cuenta las características del hecho imputado y las circunstancias personales del inculpado”</w:t>
      </w:r>
      <w:r w:rsidR="00330A2D" w:rsidRPr="005C1789">
        <w:rPr>
          <w:rFonts w:ascii="Verdana" w:hAnsi="Verdana"/>
          <w:i w:val="0"/>
          <w:iCs/>
          <w:sz w:val="20"/>
          <w:szCs w:val="20"/>
        </w:rPr>
        <w:t>.</w:t>
      </w:r>
    </w:p>
    <w:p w14:paraId="52E81A20" w14:textId="031372B4" w:rsidR="0087245C" w:rsidRPr="005C1789" w:rsidRDefault="007D21E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De conformidad con lo expresado en los párrafos anteriores, este Tribunal concluye que las dos normas que regulaban el arraigo no hacían referencia a los presupuestos materiales que deben ser cumplidos para aplicar ese tipo de medidas restrictivas a la libertad personal. En </w:t>
      </w:r>
      <w:proofErr w:type="gramStart"/>
      <w:r w:rsidRPr="005C1789">
        <w:rPr>
          <w:rFonts w:ascii="Verdana" w:hAnsi="Verdana"/>
          <w:i w:val="0"/>
          <w:iCs/>
          <w:sz w:val="20"/>
          <w:szCs w:val="20"/>
        </w:rPr>
        <w:t>consecuencia</w:t>
      </w:r>
      <w:proofErr w:type="gramEnd"/>
      <w:r w:rsidRPr="005C1789">
        <w:rPr>
          <w:rFonts w:ascii="Verdana" w:hAnsi="Verdana"/>
          <w:i w:val="0"/>
          <w:iCs/>
          <w:sz w:val="20"/>
          <w:szCs w:val="20"/>
        </w:rPr>
        <w:t xml:space="preserve"> el arraigo se decreta</w:t>
      </w:r>
      <w:r w:rsidR="00166218">
        <w:rPr>
          <w:rFonts w:ascii="Verdana" w:hAnsi="Verdana"/>
          <w:i w:val="0"/>
          <w:iCs/>
          <w:sz w:val="20"/>
          <w:szCs w:val="20"/>
        </w:rPr>
        <w:t>ba</w:t>
      </w:r>
      <w:r w:rsidRPr="005C1789">
        <w:rPr>
          <w:rFonts w:ascii="Verdana" w:hAnsi="Verdana"/>
          <w:i w:val="0"/>
          <w:iCs/>
          <w:sz w:val="20"/>
          <w:szCs w:val="20"/>
        </w:rPr>
        <w:t xml:space="preserve"> sin haber ningún supuesto material que justifique su aplicación y</w:t>
      </w:r>
      <w:r w:rsidR="00712EBB">
        <w:rPr>
          <w:rFonts w:ascii="Verdana" w:hAnsi="Verdana"/>
          <w:i w:val="0"/>
          <w:iCs/>
          <w:sz w:val="20"/>
          <w:szCs w:val="20"/>
        </w:rPr>
        <w:t>,</w:t>
      </w:r>
      <w:r w:rsidRPr="005C1789">
        <w:rPr>
          <w:rFonts w:ascii="Verdana" w:hAnsi="Verdana"/>
          <w:i w:val="0"/>
          <w:iCs/>
          <w:sz w:val="20"/>
          <w:szCs w:val="20"/>
        </w:rPr>
        <w:t xml:space="preserve"> por lo tanto</w:t>
      </w:r>
      <w:r w:rsidR="00712EBB">
        <w:rPr>
          <w:rFonts w:ascii="Verdana" w:hAnsi="Verdana"/>
          <w:i w:val="0"/>
          <w:iCs/>
          <w:sz w:val="20"/>
          <w:szCs w:val="20"/>
        </w:rPr>
        <w:t>,</w:t>
      </w:r>
      <w:r w:rsidRPr="005C1789">
        <w:rPr>
          <w:rFonts w:ascii="Verdana" w:hAnsi="Verdana"/>
          <w:i w:val="0"/>
          <w:iCs/>
          <w:sz w:val="20"/>
          <w:szCs w:val="20"/>
        </w:rPr>
        <w:t xml:space="preserve"> violenta el derecho a la presunción de inocencia</w:t>
      </w:r>
      <w:r w:rsidR="00AA1228" w:rsidRPr="005C1789">
        <w:rPr>
          <w:rFonts w:ascii="Verdana" w:hAnsi="Verdana"/>
          <w:i w:val="0"/>
          <w:iCs/>
          <w:sz w:val="20"/>
          <w:szCs w:val="20"/>
        </w:rPr>
        <w:t xml:space="preserve">. </w:t>
      </w:r>
    </w:p>
    <w:p w14:paraId="65E392E5" w14:textId="1B9F7556" w:rsidR="001D699E" w:rsidRPr="005C1789" w:rsidRDefault="001D699E" w:rsidP="00955888">
      <w:pPr>
        <w:pStyle w:val="Prrafodelista"/>
        <w:numPr>
          <w:ilvl w:val="1"/>
          <w:numId w:val="55"/>
        </w:numPr>
        <w:spacing w:before="240" w:after="240"/>
        <w:ind w:left="1434" w:hanging="357"/>
        <w:contextualSpacing w:val="0"/>
        <w:jc w:val="both"/>
        <w:outlineLvl w:val="5"/>
        <w:rPr>
          <w:rFonts w:ascii="Verdana" w:hAnsi="Verdana"/>
          <w:i/>
          <w:iCs/>
          <w:sz w:val="20"/>
          <w:szCs w:val="20"/>
        </w:rPr>
      </w:pPr>
      <w:r w:rsidRPr="005C1789">
        <w:rPr>
          <w:rFonts w:ascii="Verdana" w:hAnsi="Verdana"/>
          <w:i/>
          <w:iCs/>
          <w:sz w:val="20"/>
          <w:szCs w:val="20"/>
        </w:rPr>
        <w:t xml:space="preserve">Sobre la finalidad </w:t>
      </w:r>
    </w:p>
    <w:p w14:paraId="1BBBD6E3" w14:textId="5CFFF1CD" w:rsidR="00CC5901" w:rsidRPr="005C1789" w:rsidRDefault="001D699E"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sz w:val="20"/>
          <w:szCs w:val="20"/>
        </w:rPr>
      </w:pPr>
      <w:r w:rsidRPr="005C1789">
        <w:rPr>
          <w:rFonts w:ascii="Verdana" w:hAnsi="Verdana"/>
          <w:i w:val="0"/>
          <w:sz w:val="20"/>
          <w:szCs w:val="20"/>
        </w:rPr>
        <w:t>L</w:t>
      </w:r>
      <w:r w:rsidR="00402FB4" w:rsidRPr="005C1789">
        <w:rPr>
          <w:rFonts w:ascii="Verdana" w:hAnsi="Verdana"/>
          <w:i w:val="0"/>
          <w:sz w:val="20"/>
          <w:szCs w:val="20"/>
        </w:rPr>
        <w:t xml:space="preserve">a Corte observa que </w:t>
      </w:r>
      <w:r w:rsidR="004318EC" w:rsidRPr="005C1789">
        <w:rPr>
          <w:rFonts w:ascii="Verdana" w:hAnsi="Verdana"/>
          <w:i w:val="0"/>
          <w:sz w:val="20"/>
          <w:szCs w:val="20"/>
        </w:rPr>
        <w:t>e</w:t>
      </w:r>
      <w:r w:rsidR="0081721B" w:rsidRPr="005C1789">
        <w:rPr>
          <w:rFonts w:ascii="Verdana" w:hAnsi="Verdana"/>
          <w:i w:val="0"/>
          <w:sz w:val="20"/>
          <w:szCs w:val="20"/>
        </w:rPr>
        <w:t>l artículo 133 bis al Código Federal Procesal Penal de 1999 establece una finalidad legítima para la aplicación de esa figura</w:t>
      </w:r>
      <w:r w:rsidR="00B57958" w:rsidRPr="005C1789">
        <w:rPr>
          <w:rFonts w:ascii="Verdana" w:hAnsi="Verdana"/>
          <w:i w:val="0"/>
          <w:sz w:val="20"/>
          <w:szCs w:val="20"/>
        </w:rPr>
        <w:t xml:space="preserve"> </w:t>
      </w:r>
      <w:r w:rsidR="0081721B" w:rsidRPr="005C1789">
        <w:rPr>
          <w:rFonts w:ascii="Verdana" w:hAnsi="Verdana"/>
          <w:i w:val="0"/>
          <w:sz w:val="20"/>
          <w:szCs w:val="20"/>
        </w:rPr>
        <w:t>puesto que la misma requiere que “</w:t>
      </w:r>
      <w:r w:rsidR="0081721B" w:rsidRPr="005C1789">
        <w:rPr>
          <w:rFonts w:ascii="Verdana" w:eastAsia="Calibri" w:hAnsi="Verdana" w:cs="Arial"/>
          <w:bCs/>
          <w:i w:val="0"/>
          <w:iCs/>
          <w:sz w:val="20"/>
          <w:szCs w:val="20"/>
          <w:lang w:eastAsia="es-CR"/>
        </w:rPr>
        <w:t>exista el riesgo fundado de que se sustraiga a la acción de la justicia</w:t>
      </w:r>
      <w:r w:rsidR="004318EC" w:rsidRPr="005C1789">
        <w:rPr>
          <w:rFonts w:ascii="Verdana" w:eastAsia="Calibri" w:hAnsi="Verdana" w:cs="Arial"/>
          <w:bCs/>
          <w:i w:val="0"/>
          <w:iCs/>
          <w:sz w:val="20"/>
          <w:szCs w:val="20"/>
          <w:lang w:eastAsia="es-CR"/>
        </w:rPr>
        <w:t>”</w:t>
      </w:r>
      <w:r w:rsidR="004318EC" w:rsidRPr="005C1789">
        <w:rPr>
          <w:rFonts w:ascii="Verdana" w:hAnsi="Verdana"/>
          <w:i w:val="0"/>
          <w:sz w:val="20"/>
          <w:szCs w:val="20"/>
        </w:rPr>
        <w:t xml:space="preserve">. Sin embargo, </w:t>
      </w:r>
      <w:r w:rsidR="00C6148D" w:rsidRPr="005C1789">
        <w:rPr>
          <w:rFonts w:ascii="Verdana" w:hAnsi="Verdana"/>
          <w:i w:val="0"/>
          <w:sz w:val="20"/>
          <w:szCs w:val="20"/>
        </w:rPr>
        <w:t>el arraigo previsto en el artículo 12 de la Ley Federal contra la Delincuencia Organizada de 28 de octubre de 1996 establec</w:t>
      </w:r>
      <w:r w:rsidR="00D51647" w:rsidRPr="005C1789">
        <w:rPr>
          <w:rFonts w:ascii="Verdana" w:hAnsi="Verdana"/>
          <w:i w:val="0"/>
          <w:sz w:val="20"/>
          <w:szCs w:val="20"/>
        </w:rPr>
        <w:t>ía</w:t>
      </w:r>
      <w:r w:rsidR="00C8171C" w:rsidRPr="005C1789">
        <w:rPr>
          <w:rFonts w:ascii="Verdana" w:hAnsi="Verdana"/>
          <w:i w:val="0"/>
          <w:sz w:val="20"/>
          <w:szCs w:val="20"/>
        </w:rPr>
        <w:t xml:space="preserve"> </w:t>
      </w:r>
      <w:r w:rsidR="00402FB4" w:rsidRPr="005C1789">
        <w:rPr>
          <w:rFonts w:ascii="Verdana" w:hAnsi="Verdana"/>
          <w:i w:val="0"/>
          <w:sz w:val="20"/>
          <w:szCs w:val="20"/>
        </w:rPr>
        <w:t>que</w:t>
      </w:r>
      <w:r w:rsidR="00C6148D" w:rsidRPr="005C1789">
        <w:rPr>
          <w:rFonts w:ascii="Verdana" w:hAnsi="Verdana"/>
          <w:i w:val="0"/>
          <w:sz w:val="20"/>
          <w:szCs w:val="20"/>
        </w:rPr>
        <w:t xml:space="preserve"> </w:t>
      </w:r>
      <w:r w:rsidR="009C2D81" w:rsidRPr="005C1789">
        <w:rPr>
          <w:rFonts w:ascii="Verdana" w:hAnsi="Verdana"/>
          <w:i w:val="0"/>
          <w:sz w:val="20"/>
          <w:szCs w:val="20"/>
        </w:rPr>
        <w:t xml:space="preserve">el arraigo </w:t>
      </w:r>
      <w:r w:rsidR="00C6148D" w:rsidRPr="005C1789">
        <w:rPr>
          <w:rFonts w:ascii="Verdana" w:hAnsi="Verdana"/>
          <w:i w:val="0"/>
          <w:sz w:val="20"/>
          <w:szCs w:val="20"/>
        </w:rPr>
        <w:t xml:space="preserve">podía ser </w:t>
      </w:r>
      <w:r w:rsidR="008D5008" w:rsidRPr="005C1789">
        <w:rPr>
          <w:rFonts w:ascii="Verdana" w:hAnsi="Verdana"/>
          <w:i w:val="0"/>
          <w:sz w:val="20"/>
          <w:szCs w:val="20"/>
        </w:rPr>
        <w:t>aplicado cuando</w:t>
      </w:r>
      <w:r w:rsidR="00C6148D" w:rsidRPr="005C1789">
        <w:rPr>
          <w:rFonts w:ascii="Verdana" w:hAnsi="Verdana"/>
          <w:i w:val="0"/>
          <w:sz w:val="20"/>
          <w:szCs w:val="20"/>
        </w:rPr>
        <w:t xml:space="preserve"> resulte necesario para la debida integración de la averiguación de que se trate con el objeto de que el afectado participe en la aclaración de los hechos que se le imputan</w:t>
      </w:r>
      <w:r w:rsidR="008D5008" w:rsidRPr="005C1789">
        <w:rPr>
          <w:rFonts w:ascii="Verdana" w:hAnsi="Verdana"/>
          <w:i w:val="0"/>
          <w:sz w:val="20"/>
          <w:szCs w:val="20"/>
        </w:rPr>
        <w:t xml:space="preserve">. </w:t>
      </w:r>
      <w:r w:rsidR="00273BB9" w:rsidRPr="005C1789">
        <w:rPr>
          <w:rFonts w:ascii="Verdana" w:eastAsia="Calibri" w:hAnsi="Verdana" w:cs="Arial"/>
          <w:bCs/>
          <w:i w:val="0"/>
          <w:sz w:val="20"/>
          <w:szCs w:val="20"/>
          <w:lang w:eastAsia="es-CR"/>
        </w:rPr>
        <w:t xml:space="preserve">Sobre ese punto, cabe recordar que la Corte ha establecido en su jurisprudencia constante que </w:t>
      </w:r>
      <w:r w:rsidR="00273BB9" w:rsidRPr="005C1789">
        <w:rPr>
          <w:rFonts w:ascii="Verdana" w:hAnsi="Verdana"/>
          <w:i w:val="0"/>
          <w:sz w:val="20"/>
          <w:szCs w:val="20"/>
        </w:rPr>
        <w:t xml:space="preserve">la finalidad de las medidas </w:t>
      </w:r>
      <w:r w:rsidR="00425F5A" w:rsidRPr="005C1789">
        <w:rPr>
          <w:rFonts w:ascii="Verdana" w:hAnsi="Verdana"/>
          <w:i w:val="0"/>
          <w:sz w:val="20"/>
          <w:szCs w:val="20"/>
        </w:rPr>
        <w:t xml:space="preserve">de naturaleza cautelar </w:t>
      </w:r>
      <w:r w:rsidR="00273BB9" w:rsidRPr="005C1789">
        <w:rPr>
          <w:rFonts w:ascii="Verdana" w:hAnsi="Verdana"/>
          <w:i w:val="0"/>
          <w:sz w:val="20"/>
          <w:szCs w:val="20"/>
        </w:rPr>
        <w:t>que priven o restrinjan la libertad debe</w:t>
      </w:r>
      <w:r w:rsidR="00B068C2" w:rsidRPr="005C1789">
        <w:rPr>
          <w:rFonts w:ascii="Verdana" w:hAnsi="Verdana"/>
          <w:i w:val="0"/>
          <w:sz w:val="20"/>
          <w:szCs w:val="20"/>
        </w:rPr>
        <w:t>n</w:t>
      </w:r>
      <w:r w:rsidR="00273BB9" w:rsidRPr="005C1789">
        <w:rPr>
          <w:rFonts w:ascii="Verdana" w:hAnsi="Verdana"/>
          <w:i w:val="0"/>
          <w:sz w:val="20"/>
          <w:szCs w:val="20"/>
        </w:rPr>
        <w:t xml:space="preserve"> ser compatible</w:t>
      </w:r>
      <w:r w:rsidR="00B068C2" w:rsidRPr="005C1789">
        <w:rPr>
          <w:rFonts w:ascii="Verdana" w:hAnsi="Verdana"/>
          <w:i w:val="0"/>
          <w:sz w:val="20"/>
          <w:szCs w:val="20"/>
        </w:rPr>
        <w:t>s</w:t>
      </w:r>
      <w:r w:rsidR="00273BB9" w:rsidRPr="005C1789">
        <w:rPr>
          <w:rFonts w:ascii="Verdana" w:hAnsi="Verdana"/>
          <w:i w:val="0"/>
          <w:sz w:val="20"/>
          <w:szCs w:val="20"/>
        </w:rPr>
        <w:t xml:space="preserve"> con la Convención (</w:t>
      </w:r>
      <w:r w:rsidR="00273BB9" w:rsidRPr="005C1789">
        <w:rPr>
          <w:rFonts w:ascii="Verdana" w:hAnsi="Verdana"/>
          <w:iCs/>
          <w:sz w:val="20"/>
          <w:szCs w:val="20"/>
        </w:rPr>
        <w:t>supra</w:t>
      </w:r>
      <w:r w:rsidR="00273BB9" w:rsidRPr="005C1789">
        <w:rPr>
          <w:rFonts w:ascii="Verdana" w:hAnsi="Verdana"/>
          <w:i w:val="0"/>
          <w:sz w:val="20"/>
          <w:szCs w:val="20"/>
        </w:rPr>
        <w:t xml:space="preserve"> párr. </w:t>
      </w:r>
      <w:r w:rsidR="00A04DD8" w:rsidRPr="005C1789">
        <w:rPr>
          <w:rFonts w:ascii="Verdana" w:hAnsi="Verdana"/>
          <w:i w:val="0"/>
          <w:sz w:val="20"/>
          <w:szCs w:val="20"/>
        </w:rPr>
        <w:t>96</w:t>
      </w:r>
      <w:r w:rsidR="00273BB9" w:rsidRPr="005C1789">
        <w:rPr>
          <w:rFonts w:ascii="Verdana" w:hAnsi="Verdana"/>
          <w:i w:val="0"/>
          <w:sz w:val="20"/>
          <w:szCs w:val="20"/>
        </w:rPr>
        <w:t xml:space="preserve">). A su vez, </w:t>
      </w:r>
      <w:r w:rsidR="009B5EEC" w:rsidRPr="005C1789">
        <w:rPr>
          <w:rFonts w:ascii="Verdana" w:hAnsi="Verdana"/>
          <w:i w:val="0"/>
          <w:sz w:val="20"/>
          <w:szCs w:val="20"/>
        </w:rPr>
        <w:t>a la luz de dicho instrumento internacional</w:t>
      </w:r>
      <w:r w:rsidR="008705CE" w:rsidRPr="005C1789">
        <w:rPr>
          <w:rFonts w:ascii="Verdana" w:hAnsi="Verdana"/>
          <w:i w:val="0"/>
          <w:sz w:val="20"/>
          <w:szCs w:val="20"/>
        </w:rPr>
        <w:t>,</w:t>
      </w:r>
      <w:r w:rsidR="009B5EEC" w:rsidRPr="005C1789">
        <w:rPr>
          <w:rFonts w:ascii="Verdana" w:hAnsi="Verdana"/>
          <w:i w:val="0"/>
          <w:sz w:val="20"/>
          <w:szCs w:val="20"/>
        </w:rPr>
        <w:t xml:space="preserve"> </w:t>
      </w:r>
      <w:r w:rsidR="0004333F" w:rsidRPr="005C1789">
        <w:rPr>
          <w:rFonts w:ascii="Verdana" w:hAnsi="Verdana"/>
          <w:i w:val="0"/>
          <w:sz w:val="20"/>
          <w:szCs w:val="20"/>
        </w:rPr>
        <w:t xml:space="preserve">la medida restrictiva </w:t>
      </w:r>
      <w:r w:rsidR="005B72A1" w:rsidRPr="005C1789">
        <w:rPr>
          <w:rFonts w:ascii="Verdana" w:hAnsi="Verdana"/>
          <w:i w:val="0"/>
          <w:sz w:val="20"/>
          <w:szCs w:val="20"/>
        </w:rPr>
        <w:t>de</w:t>
      </w:r>
      <w:r w:rsidR="00AD1F75" w:rsidRPr="005C1789">
        <w:rPr>
          <w:rFonts w:ascii="Verdana" w:hAnsi="Verdana"/>
          <w:i w:val="0"/>
          <w:sz w:val="20"/>
          <w:szCs w:val="20"/>
        </w:rPr>
        <w:t xml:space="preserve"> la</w:t>
      </w:r>
      <w:r w:rsidR="005B72A1" w:rsidRPr="005C1789">
        <w:rPr>
          <w:rFonts w:ascii="Verdana" w:hAnsi="Verdana"/>
          <w:i w:val="0"/>
          <w:sz w:val="20"/>
          <w:szCs w:val="20"/>
        </w:rPr>
        <w:t xml:space="preserve"> libertad</w:t>
      </w:r>
      <w:r w:rsidR="0004333F" w:rsidRPr="005C1789">
        <w:rPr>
          <w:rFonts w:ascii="Verdana" w:hAnsi="Verdana"/>
          <w:i w:val="0"/>
          <w:sz w:val="20"/>
          <w:szCs w:val="20"/>
        </w:rPr>
        <w:t xml:space="preserve"> únicamente podrá buscar cumplir con dos finalidades: que el acusado no im</w:t>
      </w:r>
      <w:r w:rsidR="00765136" w:rsidRPr="005C1789">
        <w:rPr>
          <w:rFonts w:ascii="Verdana" w:hAnsi="Verdana"/>
          <w:i w:val="0"/>
          <w:sz w:val="20"/>
          <w:szCs w:val="20"/>
        </w:rPr>
        <w:t>pida</w:t>
      </w:r>
      <w:r w:rsidR="0004333F" w:rsidRPr="005C1789">
        <w:rPr>
          <w:rFonts w:ascii="Verdana" w:hAnsi="Verdana"/>
          <w:i w:val="0"/>
          <w:sz w:val="20"/>
          <w:szCs w:val="20"/>
        </w:rPr>
        <w:t xml:space="preserve"> el desarrollo del procedimiento ni elud</w:t>
      </w:r>
      <w:r w:rsidR="00765136" w:rsidRPr="005C1789">
        <w:rPr>
          <w:rFonts w:ascii="Verdana" w:hAnsi="Verdana"/>
          <w:i w:val="0"/>
          <w:sz w:val="20"/>
          <w:szCs w:val="20"/>
        </w:rPr>
        <w:t>a</w:t>
      </w:r>
      <w:r w:rsidR="0004333F" w:rsidRPr="005C1789">
        <w:rPr>
          <w:rFonts w:ascii="Verdana" w:hAnsi="Verdana"/>
          <w:i w:val="0"/>
          <w:sz w:val="20"/>
          <w:szCs w:val="20"/>
        </w:rPr>
        <w:t xml:space="preserve"> la acción de la justicia (</w:t>
      </w:r>
      <w:r w:rsidR="0004333F" w:rsidRPr="008B74D2">
        <w:rPr>
          <w:rFonts w:ascii="Verdana" w:hAnsi="Verdana"/>
          <w:sz w:val="20"/>
          <w:szCs w:val="20"/>
        </w:rPr>
        <w:t>supra</w:t>
      </w:r>
      <w:r w:rsidR="0004333F" w:rsidRPr="005C1789">
        <w:rPr>
          <w:rFonts w:ascii="Verdana" w:hAnsi="Verdana"/>
          <w:i w:val="0"/>
          <w:sz w:val="20"/>
          <w:szCs w:val="20"/>
        </w:rPr>
        <w:t xml:space="preserve"> párr. </w:t>
      </w:r>
      <w:r w:rsidR="00462876" w:rsidRPr="005C1789">
        <w:rPr>
          <w:rFonts w:ascii="Verdana" w:hAnsi="Verdana"/>
          <w:i w:val="0"/>
          <w:sz w:val="20"/>
          <w:szCs w:val="20"/>
        </w:rPr>
        <w:t>106</w:t>
      </w:r>
      <w:r w:rsidR="0004333F" w:rsidRPr="005C1789">
        <w:rPr>
          <w:rFonts w:ascii="Verdana" w:hAnsi="Verdana"/>
          <w:i w:val="0"/>
          <w:sz w:val="20"/>
          <w:szCs w:val="20"/>
        </w:rPr>
        <w:t xml:space="preserve">). </w:t>
      </w:r>
      <w:r w:rsidR="004601FC" w:rsidRPr="005C1789">
        <w:rPr>
          <w:rFonts w:ascii="Verdana" w:hAnsi="Verdana"/>
          <w:i w:val="0"/>
          <w:sz w:val="20"/>
          <w:szCs w:val="20"/>
        </w:rPr>
        <w:t>De lo contrario, se verían vulnerados los derechos a la libertad personal y a la presunción de inocencia (</w:t>
      </w:r>
      <w:r w:rsidR="004601FC" w:rsidRPr="005C1789">
        <w:rPr>
          <w:rFonts w:ascii="Verdana" w:hAnsi="Verdana"/>
          <w:iCs/>
          <w:sz w:val="20"/>
          <w:szCs w:val="20"/>
        </w:rPr>
        <w:t>supra</w:t>
      </w:r>
      <w:r w:rsidR="004601FC" w:rsidRPr="005C1789">
        <w:rPr>
          <w:rFonts w:ascii="Verdana" w:hAnsi="Verdana"/>
          <w:i w:val="0"/>
          <w:sz w:val="20"/>
          <w:szCs w:val="20"/>
        </w:rPr>
        <w:t xml:space="preserve"> párr. </w:t>
      </w:r>
      <w:r w:rsidR="002C2D52" w:rsidRPr="005C1789">
        <w:rPr>
          <w:rFonts w:ascii="Verdana" w:hAnsi="Verdana"/>
          <w:i w:val="0"/>
          <w:sz w:val="20"/>
          <w:szCs w:val="20"/>
        </w:rPr>
        <w:t>142</w:t>
      </w:r>
      <w:r w:rsidR="004601FC" w:rsidRPr="005C1789">
        <w:rPr>
          <w:rFonts w:ascii="Verdana" w:hAnsi="Verdana"/>
          <w:i w:val="0"/>
          <w:sz w:val="20"/>
          <w:szCs w:val="20"/>
        </w:rPr>
        <w:t>).</w:t>
      </w:r>
      <w:r w:rsidR="00330A2D" w:rsidRPr="005C1789">
        <w:rPr>
          <w:rFonts w:ascii="Verdana" w:hAnsi="Verdana"/>
          <w:i w:val="0"/>
          <w:sz w:val="20"/>
          <w:szCs w:val="20"/>
        </w:rPr>
        <w:t xml:space="preserve"> </w:t>
      </w:r>
    </w:p>
    <w:p w14:paraId="77D31F55" w14:textId="3B96A4EF" w:rsidR="00DA57A5" w:rsidRPr="005C1789" w:rsidRDefault="0004333F"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De acuerdo con lo anterior, la causal prevista en el artículo 12 de la Ley Federal contra la Delincuencia Organizada </w:t>
      </w:r>
      <w:r w:rsidR="008A1E47" w:rsidRPr="005C1789">
        <w:rPr>
          <w:rFonts w:ascii="Verdana" w:hAnsi="Verdana"/>
          <w:sz w:val="20"/>
          <w:szCs w:val="20"/>
        </w:rPr>
        <w:t xml:space="preserve">no </w:t>
      </w:r>
      <w:r w:rsidRPr="005C1789">
        <w:rPr>
          <w:rFonts w:ascii="Verdana" w:hAnsi="Verdana"/>
          <w:sz w:val="20"/>
          <w:szCs w:val="20"/>
        </w:rPr>
        <w:t>cumpl</w:t>
      </w:r>
      <w:r w:rsidR="008A1E47" w:rsidRPr="005C1789">
        <w:rPr>
          <w:rFonts w:ascii="Verdana" w:hAnsi="Verdana"/>
          <w:sz w:val="20"/>
          <w:szCs w:val="20"/>
        </w:rPr>
        <w:t>e</w:t>
      </w:r>
      <w:r w:rsidRPr="005C1789">
        <w:rPr>
          <w:rFonts w:ascii="Verdana" w:hAnsi="Verdana"/>
          <w:sz w:val="20"/>
          <w:szCs w:val="20"/>
        </w:rPr>
        <w:t xml:space="preserve"> con </w:t>
      </w:r>
      <w:r w:rsidR="00760D91" w:rsidRPr="005C1789">
        <w:rPr>
          <w:rFonts w:ascii="Verdana" w:hAnsi="Verdana"/>
          <w:sz w:val="20"/>
          <w:szCs w:val="20"/>
        </w:rPr>
        <w:t>ninguna</w:t>
      </w:r>
      <w:r w:rsidRPr="005C1789">
        <w:rPr>
          <w:rFonts w:ascii="Verdana" w:hAnsi="Verdana"/>
          <w:sz w:val="20"/>
          <w:szCs w:val="20"/>
        </w:rPr>
        <w:t xml:space="preserve"> </w:t>
      </w:r>
      <w:r w:rsidR="008A1E47" w:rsidRPr="005C1789">
        <w:rPr>
          <w:rFonts w:ascii="Verdana" w:hAnsi="Verdana"/>
          <w:sz w:val="20"/>
          <w:szCs w:val="20"/>
        </w:rPr>
        <w:t>de las</w:t>
      </w:r>
      <w:r w:rsidRPr="005C1789">
        <w:rPr>
          <w:rFonts w:ascii="Verdana" w:hAnsi="Verdana"/>
          <w:sz w:val="20"/>
          <w:szCs w:val="20"/>
        </w:rPr>
        <w:t xml:space="preserve"> finalidades </w:t>
      </w:r>
      <w:r w:rsidR="00760D91" w:rsidRPr="005C1789">
        <w:rPr>
          <w:rFonts w:ascii="Verdana" w:hAnsi="Verdana"/>
          <w:sz w:val="20"/>
          <w:szCs w:val="20"/>
        </w:rPr>
        <w:t xml:space="preserve">legítimas </w:t>
      </w:r>
      <w:r w:rsidR="009B5EEC" w:rsidRPr="005C1789">
        <w:rPr>
          <w:rFonts w:ascii="Verdana" w:hAnsi="Verdana"/>
          <w:sz w:val="20"/>
          <w:szCs w:val="20"/>
        </w:rPr>
        <w:t xml:space="preserve">previstas por la Convención </w:t>
      </w:r>
      <w:r w:rsidR="008A1E47" w:rsidRPr="005C1789">
        <w:rPr>
          <w:rFonts w:ascii="Verdana" w:hAnsi="Verdana"/>
          <w:sz w:val="20"/>
          <w:szCs w:val="20"/>
        </w:rPr>
        <w:t>para restringir la libertad de una persona en el marco de un proceso</w:t>
      </w:r>
      <w:r w:rsidR="00986480" w:rsidRPr="005C1789">
        <w:rPr>
          <w:rFonts w:ascii="Verdana" w:hAnsi="Verdana"/>
          <w:sz w:val="20"/>
          <w:szCs w:val="20"/>
        </w:rPr>
        <w:t xml:space="preserve">. </w:t>
      </w:r>
      <w:r w:rsidR="004601FC" w:rsidRPr="005C1789">
        <w:rPr>
          <w:rFonts w:ascii="Verdana" w:hAnsi="Verdana"/>
          <w:sz w:val="20"/>
          <w:szCs w:val="20"/>
        </w:rPr>
        <w:t>En efecto</w:t>
      </w:r>
      <w:r w:rsidR="00986480" w:rsidRPr="005C1789">
        <w:rPr>
          <w:rFonts w:ascii="Verdana" w:hAnsi="Verdana"/>
          <w:sz w:val="20"/>
          <w:szCs w:val="20"/>
        </w:rPr>
        <w:t>, surge de la expresión</w:t>
      </w:r>
      <w:r w:rsidR="00760D91" w:rsidRPr="005C1789">
        <w:rPr>
          <w:rFonts w:ascii="Verdana" w:hAnsi="Verdana"/>
          <w:sz w:val="20"/>
          <w:szCs w:val="20"/>
        </w:rPr>
        <w:t xml:space="preserve"> “con el objeto de que </w:t>
      </w:r>
      <w:r w:rsidR="00986480" w:rsidRPr="005C1789">
        <w:rPr>
          <w:rFonts w:ascii="Verdana" w:hAnsi="Verdana"/>
          <w:sz w:val="20"/>
          <w:szCs w:val="20"/>
        </w:rPr>
        <w:t>el afectado participe en la aclaración de los hechos que se le imputan”</w:t>
      </w:r>
      <w:r w:rsidR="008A1E47" w:rsidRPr="005C1789">
        <w:rPr>
          <w:rFonts w:ascii="Verdana" w:hAnsi="Verdana"/>
          <w:sz w:val="20"/>
          <w:szCs w:val="20"/>
        </w:rPr>
        <w:t>,</w:t>
      </w:r>
      <w:r w:rsidR="00986480" w:rsidRPr="005C1789">
        <w:rPr>
          <w:rFonts w:ascii="Verdana" w:hAnsi="Verdana"/>
          <w:sz w:val="20"/>
          <w:szCs w:val="20"/>
        </w:rPr>
        <w:t xml:space="preserve"> </w:t>
      </w:r>
      <w:r w:rsidR="008A1E47" w:rsidRPr="005C1789">
        <w:rPr>
          <w:rFonts w:ascii="Verdana" w:hAnsi="Verdana"/>
          <w:sz w:val="20"/>
          <w:szCs w:val="20"/>
        </w:rPr>
        <w:t xml:space="preserve">que </w:t>
      </w:r>
      <w:r w:rsidR="00986480" w:rsidRPr="005C1789">
        <w:rPr>
          <w:rFonts w:ascii="Verdana" w:hAnsi="Verdana"/>
          <w:sz w:val="20"/>
          <w:szCs w:val="20"/>
        </w:rPr>
        <w:t xml:space="preserve">sería </w:t>
      </w:r>
      <w:r w:rsidR="00C03084" w:rsidRPr="005C1789">
        <w:rPr>
          <w:rFonts w:ascii="Verdana" w:hAnsi="Verdana"/>
          <w:sz w:val="20"/>
          <w:szCs w:val="20"/>
        </w:rPr>
        <w:t>legítimo</w:t>
      </w:r>
      <w:r w:rsidR="00986480" w:rsidRPr="005C1789">
        <w:rPr>
          <w:rFonts w:ascii="Verdana" w:hAnsi="Verdana"/>
          <w:sz w:val="20"/>
          <w:szCs w:val="20"/>
        </w:rPr>
        <w:t xml:space="preserve"> privar </w:t>
      </w:r>
      <w:r w:rsidR="005B72A1" w:rsidRPr="005C1789">
        <w:rPr>
          <w:rFonts w:ascii="Verdana" w:hAnsi="Verdana"/>
          <w:sz w:val="20"/>
          <w:szCs w:val="20"/>
        </w:rPr>
        <w:t>de</w:t>
      </w:r>
      <w:r w:rsidR="00AD1F75" w:rsidRPr="005C1789">
        <w:rPr>
          <w:rFonts w:ascii="Verdana" w:hAnsi="Verdana"/>
          <w:sz w:val="20"/>
          <w:szCs w:val="20"/>
        </w:rPr>
        <w:t xml:space="preserve"> la</w:t>
      </w:r>
      <w:r w:rsidR="005B72A1" w:rsidRPr="005C1789">
        <w:rPr>
          <w:rFonts w:ascii="Verdana" w:hAnsi="Verdana"/>
          <w:sz w:val="20"/>
          <w:szCs w:val="20"/>
        </w:rPr>
        <w:t xml:space="preserve"> libertad</w:t>
      </w:r>
      <w:r w:rsidR="00986480" w:rsidRPr="005C1789">
        <w:rPr>
          <w:rFonts w:ascii="Verdana" w:hAnsi="Verdana"/>
          <w:sz w:val="20"/>
          <w:szCs w:val="20"/>
        </w:rPr>
        <w:t xml:space="preserve"> a una persona con fines </w:t>
      </w:r>
      <w:r w:rsidR="004601FC" w:rsidRPr="005C1789">
        <w:rPr>
          <w:rFonts w:ascii="Verdana" w:hAnsi="Verdana"/>
          <w:sz w:val="20"/>
          <w:szCs w:val="20"/>
        </w:rPr>
        <w:t>investigativos</w:t>
      </w:r>
      <w:r w:rsidR="00C03084" w:rsidRPr="005C1789">
        <w:rPr>
          <w:rFonts w:ascii="Verdana" w:hAnsi="Verdana"/>
          <w:sz w:val="20"/>
          <w:szCs w:val="20"/>
        </w:rPr>
        <w:t>,</w:t>
      </w:r>
      <w:r w:rsidR="00986480" w:rsidRPr="005C1789">
        <w:rPr>
          <w:rFonts w:ascii="Verdana" w:hAnsi="Verdana"/>
          <w:sz w:val="20"/>
          <w:szCs w:val="20"/>
        </w:rPr>
        <w:t xml:space="preserve"> sin que se cumpla con ningun</w:t>
      </w:r>
      <w:r w:rsidR="00293FA3" w:rsidRPr="005C1789">
        <w:rPr>
          <w:rFonts w:ascii="Verdana" w:hAnsi="Verdana"/>
          <w:sz w:val="20"/>
          <w:szCs w:val="20"/>
        </w:rPr>
        <w:t>a</w:t>
      </w:r>
      <w:r w:rsidR="00986480" w:rsidRPr="005C1789">
        <w:rPr>
          <w:rFonts w:ascii="Verdana" w:hAnsi="Verdana"/>
          <w:sz w:val="20"/>
          <w:szCs w:val="20"/>
        </w:rPr>
        <w:t xml:space="preserve"> de l</w:t>
      </w:r>
      <w:r w:rsidR="00891325" w:rsidRPr="005C1789">
        <w:rPr>
          <w:rFonts w:ascii="Verdana" w:hAnsi="Verdana"/>
          <w:sz w:val="20"/>
          <w:szCs w:val="20"/>
        </w:rPr>
        <w:t xml:space="preserve">as situaciones </w:t>
      </w:r>
      <w:r w:rsidR="00986480" w:rsidRPr="005C1789">
        <w:rPr>
          <w:rFonts w:ascii="Verdana" w:hAnsi="Verdana"/>
          <w:sz w:val="20"/>
          <w:szCs w:val="20"/>
        </w:rPr>
        <w:t>procesales relacionad</w:t>
      </w:r>
      <w:r w:rsidR="00752E1A" w:rsidRPr="005C1789">
        <w:rPr>
          <w:rFonts w:ascii="Verdana" w:hAnsi="Verdana"/>
          <w:sz w:val="20"/>
          <w:szCs w:val="20"/>
        </w:rPr>
        <w:t>as</w:t>
      </w:r>
      <w:r w:rsidR="00986480" w:rsidRPr="005C1789">
        <w:rPr>
          <w:rFonts w:ascii="Verdana" w:hAnsi="Verdana"/>
          <w:sz w:val="20"/>
          <w:szCs w:val="20"/>
        </w:rPr>
        <w:t xml:space="preserve"> con un peligro de fuga, o con la obstaculización del desarrollo del proceso, </w:t>
      </w:r>
      <w:r w:rsidR="00C03084" w:rsidRPr="005C1789">
        <w:rPr>
          <w:rFonts w:ascii="Verdana" w:hAnsi="Verdana"/>
          <w:sz w:val="20"/>
          <w:szCs w:val="20"/>
        </w:rPr>
        <w:t xml:space="preserve">causales que además deben estar fundamentadas en elementos objetivos. </w:t>
      </w:r>
      <w:r w:rsidR="00B6551F" w:rsidRPr="005C1789">
        <w:rPr>
          <w:rFonts w:ascii="Verdana" w:hAnsi="Verdana"/>
          <w:sz w:val="20"/>
          <w:szCs w:val="20"/>
        </w:rPr>
        <w:t>Al respecto, cabe recordar que las autoridades estatales no deben detener para luego investigar</w:t>
      </w:r>
      <w:r w:rsidR="00020DFC" w:rsidRPr="005C1789">
        <w:rPr>
          <w:rFonts w:ascii="Verdana" w:hAnsi="Verdana"/>
          <w:sz w:val="20"/>
          <w:szCs w:val="20"/>
        </w:rPr>
        <w:t xml:space="preserve">. </w:t>
      </w:r>
      <w:r w:rsidR="006E087F" w:rsidRPr="005C1789">
        <w:rPr>
          <w:rFonts w:ascii="Verdana" w:hAnsi="Verdana"/>
          <w:sz w:val="20"/>
          <w:szCs w:val="20"/>
        </w:rPr>
        <w:t xml:space="preserve">Durante </w:t>
      </w:r>
      <w:r w:rsidR="00766755" w:rsidRPr="005C1789">
        <w:rPr>
          <w:rFonts w:ascii="Verdana" w:hAnsi="Verdana"/>
          <w:sz w:val="20"/>
          <w:szCs w:val="20"/>
        </w:rPr>
        <w:t>el período de investigación</w:t>
      </w:r>
      <w:r w:rsidR="00020DFC" w:rsidRPr="005C1789">
        <w:rPr>
          <w:rFonts w:ascii="Verdana" w:hAnsi="Verdana"/>
          <w:sz w:val="20"/>
          <w:szCs w:val="20"/>
        </w:rPr>
        <w:t xml:space="preserve"> dichas autoridades </w:t>
      </w:r>
      <w:r w:rsidR="006F1BCF" w:rsidRPr="005C1789">
        <w:rPr>
          <w:rFonts w:ascii="Verdana" w:hAnsi="Verdana"/>
          <w:sz w:val="20"/>
          <w:szCs w:val="20"/>
        </w:rPr>
        <w:t>deben</w:t>
      </w:r>
      <w:r w:rsidR="0087569C" w:rsidRPr="005C1789">
        <w:rPr>
          <w:rFonts w:ascii="Verdana" w:hAnsi="Verdana"/>
          <w:sz w:val="20"/>
          <w:szCs w:val="20"/>
        </w:rPr>
        <w:t xml:space="preserve"> -</w:t>
      </w:r>
      <w:r w:rsidR="006F1BCF" w:rsidRPr="005C1789">
        <w:rPr>
          <w:rFonts w:ascii="Verdana" w:hAnsi="Verdana"/>
          <w:sz w:val="20"/>
          <w:szCs w:val="20"/>
        </w:rPr>
        <w:t>con el auxilio de la policía y de otros or</w:t>
      </w:r>
      <w:r w:rsidR="006E087F" w:rsidRPr="005C1789">
        <w:rPr>
          <w:rFonts w:ascii="Verdana" w:hAnsi="Verdana"/>
          <w:sz w:val="20"/>
          <w:szCs w:val="20"/>
        </w:rPr>
        <w:t>ganismos especializados</w:t>
      </w:r>
      <w:r w:rsidR="0087569C" w:rsidRPr="005C1789">
        <w:rPr>
          <w:rFonts w:ascii="Verdana" w:hAnsi="Verdana"/>
          <w:sz w:val="20"/>
          <w:szCs w:val="20"/>
        </w:rPr>
        <w:t xml:space="preserve">- investigar el hecho </w:t>
      </w:r>
      <w:r w:rsidR="00160EE2" w:rsidRPr="005C1789">
        <w:rPr>
          <w:rFonts w:ascii="Verdana" w:hAnsi="Verdana"/>
          <w:sz w:val="20"/>
          <w:szCs w:val="20"/>
        </w:rPr>
        <w:t xml:space="preserve">denunciado </w:t>
      </w:r>
      <w:r w:rsidR="003419F0" w:rsidRPr="005C1789">
        <w:rPr>
          <w:rFonts w:ascii="Verdana" w:hAnsi="Verdana"/>
          <w:sz w:val="20"/>
          <w:szCs w:val="20"/>
        </w:rPr>
        <w:t xml:space="preserve">y </w:t>
      </w:r>
      <w:r w:rsidR="00160EE2" w:rsidRPr="005C1789">
        <w:rPr>
          <w:rFonts w:ascii="Verdana" w:hAnsi="Verdana"/>
          <w:sz w:val="20"/>
          <w:szCs w:val="20"/>
        </w:rPr>
        <w:t xml:space="preserve">recabar los medios probatorios </w:t>
      </w:r>
      <w:r w:rsidR="001A6DBB" w:rsidRPr="005C1789">
        <w:rPr>
          <w:rFonts w:ascii="Verdana" w:hAnsi="Verdana"/>
          <w:sz w:val="20"/>
          <w:szCs w:val="20"/>
        </w:rPr>
        <w:t>que</w:t>
      </w:r>
      <w:r w:rsidR="00B302A6" w:rsidRPr="005C1789">
        <w:rPr>
          <w:rFonts w:ascii="Verdana" w:hAnsi="Verdana"/>
          <w:sz w:val="20"/>
          <w:szCs w:val="20"/>
        </w:rPr>
        <w:t>,</w:t>
      </w:r>
      <w:r w:rsidR="0063274F" w:rsidRPr="005C1789">
        <w:rPr>
          <w:rFonts w:ascii="Verdana" w:hAnsi="Verdana"/>
          <w:sz w:val="20"/>
          <w:szCs w:val="20"/>
        </w:rPr>
        <w:t xml:space="preserve"> en su oportunidad</w:t>
      </w:r>
      <w:r w:rsidR="00B302A6" w:rsidRPr="005C1789">
        <w:rPr>
          <w:rFonts w:ascii="Verdana" w:hAnsi="Verdana"/>
          <w:sz w:val="20"/>
          <w:szCs w:val="20"/>
        </w:rPr>
        <w:t>,</w:t>
      </w:r>
      <w:r w:rsidR="0063274F" w:rsidRPr="005C1789">
        <w:rPr>
          <w:rFonts w:ascii="Verdana" w:hAnsi="Verdana"/>
          <w:sz w:val="20"/>
          <w:szCs w:val="20"/>
        </w:rPr>
        <w:t xml:space="preserve"> le</w:t>
      </w:r>
      <w:r w:rsidR="00B5714A" w:rsidRPr="005C1789">
        <w:rPr>
          <w:rFonts w:ascii="Verdana" w:hAnsi="Verdana"/>
          <w:sz w:val="20"/>
          <w:szCs w:val="20"/>
        </w:rPr>
        <w:t>s</w:t>
      </w:r>
      <w:r w:rsidR="0063274F" w:rsidRPr="005C1789">
        <w:rPr>
          <w:rFonts w:ascii="Verdana" w:hAnsi="Verdana"/>
          <w:sz w:val="20"/>
          <w:szCs w:val="20"/>
        </w:rPr>
        <w:t xml:space="preserve"> permitirán </w:t>
      </w:r>
      <w:r w:rsidR="00B302A6" w:rsidRPr="005C1789">
        <w:rPr>
          <w:rFonts w:ascii="Verdana" w:hAnsi="Verdana"/>
          <w:sz w:val="20"/>
          <w:szCs w:val="20"/>
        </w:rPr>
        <w:t>fundar</w:t>
      </w:r>
      <w:r w:rsidR="0063274F" w:rsidRPr="005C1789">
        <w:rPr>
          <w:rFonts w:ascii="Verdana" w:hAnsi="Verdana"/>
          <w:sz w:val="20"/>
          <w:szCs w:val="20"/>
        </w:rPr>
        <w:t xml:space="preserve"> </w:t>
      </w:r>
      <w:r w:rsidR="003419F0" w:rsidRPr="005C1789">
        <w:rPr>
          <w:rFonts w:ascii="Verdana" w:hAnsi="Verdana"/>
          <w:sz w:val="20"/>
          <w:szCs w:val="20"/>
        </w:rPr>
        <w:t>una acusación</w:t>
      </w:r>
      <w:r w:rsidR="00814625" w:rsidRPr="005C1789">
        <w:rPr>
          <w:rFonts w:ascii="Verdana" w:hAnsi="Verdana"/>
          <w:sz w:val="20"/>
          <w:szCs w:val="20"/>
        </w:rPr>
        <w:t xml:space="preserve"> contra la persona investigada</w:t>
      </w:r>
      <w:r w:rsidR="003419F0" w:rsidRPr="005C1789">
        <w:rPr>
          <w:rFonts w:ascii="Verdana" w:hAnsi="Verdana"/>
          <w:sz w:val="20"/>
          <w:szCs w:val="20"/>
        </w:rPr>
        <w:t xml:space="preserve"> ante </w:t>
      </w:r>
      <w:r w:rsidR="00814625" w:rsidRPr="005C1789">
        <w:rPr>
          <w:rFonts w:ascii="Verdana" w:hAnsi="Verdana"/>
          <w:sz w:val="20"/>
          <w:szCs w:val="20"/>
        </w:rPr>
        <w:t xml:space="preserve">un </w:t>
      </w:r>
      <w:r w:rsidR="003419F0" w:rsidRPr="005C1789">
        <w:rPr>
          <w:rFonts w:ascii="Verdana" w:hAnsi="Verdana"/>
          <w:sz w:val="20"/>
          <w:szCs w:val="20"/>
        </w:rPr>
        <w:t>tribunal.</w:t>
      </w:r>
      <w:r w:rsidR="006F3433" w:rsidRPr="005C1789">
        <w:rPr>
          <w:rFonts w:ascii="Verdana" w:hAnsi="Verdana"/>
          <w:sz w:val="20"/>
          <w:szCs w:val="20"/>
        </w:rPr>
        <w:t xml:space="preserve"> </w:t>
      </w:r>
    </w:p>
    <w:p w14:paraId="5581E6C7" w14:textId="6E9C0031" w:rsidR="00DA57A5" w:rsidRPr="005C1789" w:rsidRDefault="0087245C" w:rsidP="00955888">
      <w:pPr>
        <w:numPr>
          <w:ilvl w:val="0"/>
          <w:numId w:val="2"/>
        </w:numPr>
        <w:spacing w:before="120" w:after="120"/>
        <w:ind w:left="0" w:firstLine="0"/>
        <w:jc w:val="both"/>
      </w:pPr>
      <w:r w:rsidRPr="005C1789">
        <w:rPr>
          <w:rFonts w:ascii="Verdana" w:hAnsi="Verdana"/>
          <w:sz w:val="20"/>
          <w:szCs w:val="20"/>
        </w:rPr>
        <w:t xml:space="preserve">Con respecto a </w:t>
      </w:r>
      <w:r w:rsidR="00695EC6">
        <w:rPr>
          <w:rFonts w:ascii="Verdana" w:hAnsi="Verdana"/>
          <w:sz w:val="20"/>
          <w:szCs w:val="20"/>
        </w:rPr>
        <w:t>lo anterior</w:t>
      </w:r>
      <w:r w:rsidRPr="005C1789">
        <w:rPr>
          <w:rFonts w:ascii="Verdana" w:hAnsi="Verdana"/>
          <w:sz w:val="20"/>
          <w:szCs w:val="20"/>
        </w:rPr>
        <w:t xml:space="preserve">, </w:t>
      </w:r>
      <w:r w:rsidR="00837ACE" w:rsidRPr="005C1789">
        <w:rPr>
          <w:rFonts w:ascii="Verdana" w:hAnsi="Verdana"/>
          <w:sz w:val="20"/>
          <w:szCs w:val="20"/>
        </w:rPr>
        <w:t xml:space="preserve">es pertinente </w:t>
      </w:r>
      <w:r w:rsidRPr="005C1789">
        <w:rPr>
          <w:rFonts w:ascii="Verdana" w:hAnsi="Verdana"/>
          <w:sz w:val="20"/>
          <w:szCs w:val="20"/>
        </w:rPr>
        <w:t xml:space="preserve">recordar que el perito </w:t>
      </w:r>
      <w:r w:rsidRPr="005C1789">
        <w:rPr>
          <w:rFonts w:ascii="Verdana" w:hAnsi="Verdana"/>
          <w:iCs/>
          <w:sz w:val="20"/>
          <w:szCs w:val="20"/>
        </w:rPr>
        <w:t xml:space="preserve">Esteban Gilberto Arcos Cortés, mencionó la importancia del arraigo como “una herramienta de investigación” para ciertos delitos relacionados con la </w:t>
      </w:r>
      <w:r w:rsidRPr="005C1789">
        <w:rPr>
          <w:rFonts w:ascii="Verdana" w:hAnsi="Verdana"/>
          <w:sz w:val="20"/>
          <w:szCs w:val="20"/>
        </w:rPr>
        <w:t>delincuencia</w:t>
      </w:r>
      <w:r w:rsidRPr="005C1789">
        <w:rPr>
          <w:rFonts w:ascii="Verdana" w:hAnsi="Verdana"/>
          <w:iCs/>
          <w:sz w:val="20"/>
          <w:szCs w:val="20"/>
        </w:rPr>
        <w:t xml:space="preserve"> organizada. Sobre ese punto, indicó que el arraigo de tipo precautorio implicaba que cuando el Ministerio Público “no contaba con los elementos necesarios para presentar el caso ante un órgano jurisdiccional […] solicitaba una detención fuera de un centro penitenciario en lugares específicos mientras reunía los elementos necesarios para la imputación de hechos ante el órgano jurisdiccional”</w:t>
      </w:r>
      <w:r w:rsidRPr="005C1789">
        <w:rPr>
          <w:rFonts w:ascii="Verdana" w:hAnsi="Verdana"/>
          <w:iCs/>
          <w:sz w:val="20"/>
          <w:szCs w:val="20"/>
          <w:vertAlign w:val="superscript"/>
          <w:lang w:val="es-ES"/>
        </w:rPr>
        <w:footnoteReference w:id="122"/>
      </w:r>
      <w:r w:rsidRPr="005C1789">
        <w:rPr>
          <w:rFonts w:ascii="Verdana" w:hAnsi="Verdana"/>
          <w:iCs/>
          <w:sz w:val="20"/>
          <w:szCs w:val="20"/>
        </w:rPr>
        <w:t xml:space="preserve">. En ese sentido, no hay duda acerca del hecho que la finalidad buscada por el arraigo consiste en restringir la libertad de una persona sospechosa de un delito para completar los medios de prueba y eventualmente formular una imputación formal. Al respecto, corresponde reiterar que la investigación no puede constituir una finalidad legítima para privar a una persona de la libertad </w:t>
      </w:r>
      <w:r w:rsidRPr="005C1789">
        <w:rPr>
          <w:rFonts w:ascii="Verdana" w:hAnsi="Verdana"/>
          <w:iCs/>
          <w:sz w:val="20"/>
          <w:szCs w:val="20"/>
        </w:rPr>
        <w:lastRenderedPageBreak/>
        <w:t>sin una condena y que las autoridades no deben privar de libertad a una persona para luego investigar, sino que por el contrario, dicha privación de libertad puede concretarse una vez que el ente persecutor cuente con los elementos materiales suficientes, y que la medida cautelar sea idónea, necesaria, y proporcional para conjurar los peligros procesales que constituyen la no comparecencia al proceso  o el menoscabo de los medios de prueba</w:t>
      </w:r>
      <w:r w:rsidR="00DA57A5" w:rsidRPr="005C1789">
        <w:rPr>
          <w:rStyle w:val="Refdenotaalpie"/>
          <w:rFonts w:ascii="Verdana" w:hAnsi="Verdana"/>
          <w:iCs/>
          <w:sz w:val="20"/>
        </w:rPr>
        <w:footnoteReference w:id="123"/>
      </w:r>
      <w:r w:rsidRPr="005C1789">
        <w:rPr>
          <w:rFonts w:ascii="Verdana" w:hAnsi="Verdana"/>
          <w:iCs/>
          <w:sz w:val="20"/>
          <w:szCs w:val="20"/>
        </w:rPr>
        <w:t xml:space="preserve">. </w:t>
      </w:r>
    </w:p>
    <w:p w14:paraId="18E765B3" w14:textId="50A28C23" w:rsidR="0087245C" w:rsidRPr="005C1789" w:rsidRDefault="0087245C" w:rsidP="00955888">
      <w:pPr>
        <w:numPr>
          <w:ilvl w:val="0"/>
          <w:numId w:val="2"/>
        </w:numPr>
        <w:spacing w:before="120" w:after="120"/>
        <w:ind w:left="0" w:firstLine="0"/>
        <w:jc w:val="both"/>
        <w:rPr>
          <w:rFonts w:ascii="Verdana" w:hAnsi="Verdana"/>
          <w:sz w:val="20"/>
          <w:szCs w:val="20"/>
        </w:rPr>
      </w:pPr>
      <w:r w:rsidRPr="005C1789">
        <w:rPr>
          <w:rFonts w:ascii="Verdana" w:hAnsi="Verdana"/>
          <w:iCs/>
          <w:sz w:val="20"/>
          <w:szCs w:val="20"/>
        </w:rPr>
        <w:t xml:space="preserve">En ese sentido, para esta Corte es claro </w:t>
      </w:r>
      <w:r w:rsidR="00A15BE8" w:rsidRPr="005C1789">
        <w:rPr>
          <w:rFonts w:ascii="Verdana" w:hAnsi="Verdana"/>
          <w:iCs/>
          <w:sz w:val="20"/>
          <w:szCs w:val="20"/>
        </w:rPr>
        <w:t>que</w:t>
      </w:r>
      <w:r w:rsidR="00712EBB">
        <w:rPr>
          <w:rFonts w:ascii="Verdana" w:hAnsi="Verdana"/>
          <w:iCs/>
          <w:sz w:val="20"/>
          <w:szCs w:val="20"/>
        </w:rPr>
        <w:t>,</w:t>
      </w:r>
      <w:r w:rsidR="00A15BE8" w:rsidRPr="005C1789">
        <w:rPr>
          <w:rFonts w:ascii="Verdana" w:hAnsi="Verdana"/>
          <w:iCs/>
          <w:sz w:val="20"/>
          <w:szCs w:val="20"/>
        </w:rPr>
        <w:t xml:space="preserve"> </w:t>
      </w:r>
      <w:r w:rsidRPr="005C1789">
        <w:rPr>
          <w:rFonts w:ascii="Verdana" w:hAnsi="Verdana"/>
          <w:iCs/>
          <w:sz w:val="20"/>
          <w:szCs w:val="20"/>
        </w:rPr>
        <w:t xml:space="preserve">en la forma en que está concebida la figura del arraigo en el ordenamiento mexicano, la persona sospechosa es instrumentalizada y pasa a ser un medio para obtener pruebas sobre su propia responsabilidad. El perito </w:t>
      </w:r>
      <w:r w:rsidRPr="005C1789">
        <w:rPr>
          <w:rFonts w:ascii="Verdana" w:hAnsi="Verdana"/>
          <w:sz w:val="20"/>
          <w:szCs w:val="20"/>
        </w:rPr>
        <w:t>Luis Raúl González Pérez ilustró esa idea afirmando que</w:t>
      </w:r>
      <w:r w:rsidRPr="005C1789">
        <w:rPr>
          <w:rFonts w:ascii="Verdana" w:hAnsi="Verdana"/>
          <w:iCs/>
          <w:sz w:val="20"/>
          <w:szCs w:val="20"/>
        </w:rPr>
        <w:t xml:space="preserve"> “el arrai</w:t>
      </w:r>
      <w:r w:rsidR="00375E8F">
        <w:rPr>
          <w:rFonts w:ascii="Verdana" w:hAnsi="Verdana"/>
          <w:iCs/>
          <w:sz w:val="20"/>
          <w:szCs w:val="20"/>
        </w:rPr>
        <w:t>g</w:t>
      </w:r>
      <w:r w:rsidRPr="005C1789">
        <w:rPr>
          <w:rFonts w:ascii="Verdana" w:hAnsi="Verdana"/>
          <w:iCs/>
          <w:sz w:val="20"/>
          <w:szCs w:val="20"/>
        </w:rPr>
        <w:t>o afecta también el derecho de defensa, pues la persona sabe que está siendo investigada y vinculada a la comisión de un delito</w:t>
      </w:r>
      <w:r w:rsidR="00CD351B" w:rsidRPr="005C1789">
        <w:rPr>
          <w:rFonts w:ascii="Verdana" w:hAnsi="Verdana"/>
          <w:iCs/>
          <w:sz w:val="20"/>
          <w:szCs w:val="20"/>
        </w:rPr>
        <w:t>,</w:t>
      </w:r>
      <w:r w:rsidRPr="005C1789">
        <w:rPr>
          <w:rFonts w:ascii="Verdana" w:hAnsi="Verdana"/>
          <w:iCs/>
          <w:sz w:val="20"/>
          <w:szCs w:val="20"/>
        </w:rPr>
        <w:t xml:space="preserve"> pero en lugar de reunir los elementos para su eventual defensa, se convierte en un mero espectador encerrado de la actividad ministerial”</w:t>
      </w:r>
      <w:r w:rsidRPr="005C1789">
        <w:rPr>
          <w:rFonts w:ascii="Verdana" w:hAnsi="Verdana"/>
          <w:iCs/>
          <w:sz w:val="20"/>
          <w:szCs w:val="20"/>
          <w:vertAlign w:val="superscript"/>
          <w:lang w:val="es-ES"/>
        </w:rPr>
        <w:footnoteReference w:id="124"/>
      </w:r>
      <w:r w:rsidR="005B72A1" w:rsidRPr="005C1789">
        <w:rPr>
          <w:rFonts w:ascii="Verdana" w:hAnsi="Verdana"/>
          <w:iCs/>
          <w:sz w:val="20"/>
          <w:szCs w:val="20"/>
        </w:rPr>
        <w:t>.</w:t>
      </w:r>
    </w:p>
    <w:p w14:paraId="0E1F5EE2" w14:textId="0DB35C3D" w:rsidR="001D699E" w:rsidRPr="005C1789" w:rsidRDefault="001D699E" w:rsidP="00955888">
      <w:pPr>
        <w:pStyle w:val="Prrafodelista"/>
        <w:numPr>
          <w:ilvl w:val="1"/>
          <w:numId w:val="55"/>
        </w:numPr>
        <w:spacing w:before="240" w:after="240"/>
        <w:ind w:left="1434" w:hanging="357"/>
        <w:contextualSpacing w:val="0"/>
        <w:jc w:val="both"/>
        <w:outlineLvl w:val="5"/>
        <w:rPr>
          <w:rFonts w:ascii="Verdana" w:hAnsi="Verdana"/>
          <w:i/>
          <w:iCs/>
          <w:sz w:val="20"/>
          <w:szCs w:val="20"/>
        </w:rPr>
      </w:pPr>
      <w:r w:rsidRPr="005C1789">
        <w:rPr>
          <w:rFonts w:ascii="Verdana" w:hAnsi="Verdana"/>
          <w:i/>
          <w:iCs/>
          <w:sz w:val="20"/>
          <w:szCs w:val="20"/>
        </w:rPr>
        <w:t>Sobre la necesidad del arraigo</w:t>
      </w:r>
    </w:p>
    <w:p w14:paraId="681EEF15" w14:textId="304B447D" w:rsidR="0087245C" w:rsidRPr="005C1789" w:rsidRDefault="007D21ED" w:rsidP="0095588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5C1789">
        <w:rPr>
          <w:rFonts w:ascii="Verdana" w:hAnsi="Verdana"/>
          <w:i w:val="0"/>
          <w:iCs/>
          <w:sz w:val="20"/>
          <w:szCs w:val="20"/>
        </w:rPr>
        <w:t xml:space="preserve">En los dos acápites anteriores se concluyó que la figura del arraigo establecida en el artículo 12 de la Ley Federal contra la Delincuencia Organizada de 1996 y en el </w:t>
      </w:r>
      <w:r w:rsidRPr="005C1789">
        <w:rPr>
          <w:rFonts w:ascii="Verdana" w:hAnsi="Verdana"/>
          <w:i w:val="0"/>
          <w:sz w:val="20"/>
          <w:szCs w:val="20"/>
        </w:rPr>
        <w:t xml:space="preserve">artículo 133 bis del Código Federal Procesal Penal de 1999 </w:t>
      </w:r>
      <w:r w:rsidRPr="005C1789">
        <w:rPr>
          <w:rFonts w:ascii="Verdana" w:hAnsi="Verdana"/>
          <w:i w:val="0"/>
          <w:iCs/>
          <w:sz w:val="20"/>
          <w:szCs w:val="20"/>
        </w:rPr>
        <w:t xml:space="preserve">vulneraba los presupuestos materiales que deben ser cumplidos para aplicar ese tipo de medidas restrictivas a la libertad personal y a la presunción de inocencia. A su vez, se indicó que el artículo 12 de la Ley Federal contra la Delincuencia Organizada de 1996 no cumplía con las finalidades legítimas para restringir la libertad de una persona en el marco de un proceso penal. Para esta Corte resulta claro que, por tratarse de una medida restrictiva a la libertad de naturaleza pre-procesal con fines investigativos, resultaba contraria al contenido de la Convención Americana, en particular vulneraba </w:t>
      </w:r>
      <w:r w:rsidRPr="005C1789">
        <w:rPr>
          <w:rFonts w:ascii="Verdana" w:hAnsi="Verdana"/>
          <w:sz w:val="20"/>
          <w:szCs w:val="20"/>
        </w:rPr>
        <w:t>per se</w:t>
      </w:r>
      <w:r w:rsidRPr="005C1789">
        <w:rPr>
          <w:rFonts w:ascii="Verdana" w:hAnsi="Verdana"/>
          <w:i w:val="0"/>
          <w:iCs/>
          <w:sz w:val="20"/>
          <w:szCs w:val="20"/>
        </w:rPr>
        <w:t xml:space="preserve"> los derechos a la libertad personal y la presunción de inocencia de la persona arraigada</w:t>
      </w:r>
      <w:r w:rsidR="0087245C" w:rsidRPr="005C1789">
        <w:rPr>
          <w:rFonts w:ascii="Verdana" w:hAnsi="Verdana"/>
          <w:i w:val="0"/>
          <w:iCs/>
          <w:sz w:val="20"/>
          <w:szCs w:val="20"/>
        </w:rPr>
        <w:t xml:space="preserve">. </w:t>
      </w:r>
    </w:p>
    <w:p w14:paraId="558C3457" w14:textId="34E6588B" w:rsidR="00F85929" w:rsidRPr="005C1789" w:rsidRDefault="007D21ED" w:rsidP="00955888">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sz w:val="20"/>
          <w:szCs w:val="20"/>
          <w:lang w:val="es-ES"/>
        </w:rPr>
      </w:pPr>
      <w:r w:rsidRPr="005C1789">
        <w:rPr>
          <w:rFonts w:ascii="Verdana" w:hAnsi="Verdana"/>
          <w:i w:val="0"/>
          <w:iCs/>
          <w:sz w:val="20"/>
          <w:szCs w:val="20"/>
        </w:rPr>
        <w:t>Lo anterior es suficiente para concluir que la figura del arraigo contenida en esas dos normas no cumplía con los elementos que deben tomar en cuenta las autoridades a la hora de restringir la libertad personal</w:t>
      </w:r>
      <w:r w:rsidRPr="005C1789">
        <w:rPr>
          <w:rFonts w:ascii="Verdana" w:hAnsi="Verdana"/>
          <w:i w:val="0"/>
          <w:sz w:val="20"/>
          <w:szCs w:val="20"/>
          <w:lang w:val="es-ES"/>
        </w:rPr>
        <w:t xml:space="preserve">. </w:t>
      </w:r>
      <w:r w:rsidRPr="005C1789">
        <w:rPr>
          <w:rFonts w:ascii="Verdana" w:hAnsi="Verdana"/>
          <w:i w:val="0"/>
          <w:iCs/>
          <w:sz w:val="20"/>
          <w:szCs w:val="20"/>
        </w:rPr>
        <w:t xml:space="preserve">En vista de lo anterior, por tratarse de una medida restrictiva a la libertad que tiene una finalidad que resulta claramente contraria a la Convención, la Corte considera que en el presente caso no procede seguir examinando los restantes elementos </w:t>
      </w:r>
      <w:proofErr w:type="gramStart"/>
      <w:r w:rsidR="1EA761A5" w:rsidRPr="005C1789">
        <w:rPr>
          <w:rFonts w:ascii="Verdana" w:hAnsi="Verdana"/>
          <w:i w:val="0"/>
          <w:sz w:val="20"/>
          <w:szCs w:val="20"/>
        </w:rPr>
        <w:t>del test</w:t>
      </w:r>
      <w:proofErr w:type="gramEnd"/>
      <w:r w:rsidRPr="005C1789">
        <w:rPr>
          <w:rFonts w:ascii="Verdana" w:hAnsi="Verdana"/>
          <w:i w:val="0"/>
          <w:iCs/>
          <w:sz w:val="20"/>
          <w:szCs w:val="20"/>
        </w:rPr>
        <w:t xml:space="preserve"> de proporcionalidad al que previamente se hizo referencia</w:t>
      </w:r>
      <w:r w:rsidR="002A2F87" w:rsidRPr="005C1789">
        <w:rPr>
          <w:rFonts w:ascii="Verdana" w:hAnsi="Verdana"/>
          <w:i w:val="0"/>
          <w:iCs/>
          <w:sz w:val="20"/>
          <w:szCs w:val="20"/>
        </w:rPr>
        <w:t>.</w:t>
      </w:r>
      <w:r w:rsidR="002A2F87" w:rsidRPr="005C1789">
        <w:rPr>
          <w:rFonts w:ascii="Verdana" w:hAnsi="Verdana"/>
          <w:i w:val="0"/>
          <w:sz w:val="20"/>
          <w:szCs w:val="20"/>
          <w:lang w:val="es-ES"/>
        </w:rPr>
        <w:t xml:space="preserve"> </w:t>
      </w:r>
    </w:p>
    <w:p w14:paraId="35F9E45A" w14:textId="3175D779" w:rsidR="0059103A" w:rsidRPr="005C1789" w:rsidRDefault="0059103A" w:rsidP="00955888">
      <w:pPr>
        <w:pStyle w:val="Prrafodelista"/>
        <w:numPr>
          <w:ilvl w:val="0"/>
          <w:numId w:val="55"/>
        </w:numPr>
        <w:spacing w:before="240" w:after="240"/>
        <w:ind w:left="709" w:hanging="6"/>
        <w:contextualSpacing w:val="0"/>
        <w:jc w:val="both"/>
        <w:outlineLvl w:val="4"/>
        <w:rPr>
          <w:rFonts w:ascii="Verdana" w:hAnsi="Verdana"/>
          <w:i/>
          <w:iCs/>
          <w:sz w:val="20"/>
          <w:szCs w:val="20"/>
        </w:rPr>
      </w:pPr>
      <w:bookmarkStart w:id="101" w:name="_Toc123347540"/>
      <w:r w:rsidRPr="005C1789">
        <w:rPr>
          <w:rFonts w:ascii="Verdana" w:hAnsi="Verdana"/>
          <w:i/>
          <w:iCs/>
          <w:sz w:val="20"/>
          <w:szCs w:val="20"/>
        </w:rPr>
        <w:t>Sobre los pronunciamientos nacionales e internacionales en relación con el arraigo</w:t>
      </w:r>
      <w:bookmarkEnd w:id="101"/>
    </w:p>
    <w:p w14:paraId="0924D4E1" w14:textId="06E70E68" w:rsidR="00B7224B" w:rsidRPr="005C1789" w:rsidRDefault="00B57FF1"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L</w:t>
      </w:r>
      <w:r w:rsidR="006F2E2F" w:rsidRPr="005C1789">
        <w:rPr>
          <w:rFonts w:ascii="Verdana" w:hAnsi="Verdana"/>
          <w:sz w:val="20"/>
          <w:szCs w:val="20"/>
        </w:rPr>
        <w:t xml:space="preserve">a Corte advierte que </w:t>
      </w:r>
      <w:r w:rsidR="008E647A" w:rsidRPr="005C1789">
        <w:rPr>
          <w:rFonts w:ascii="Verdana" w:hAnsi="Verdana"/>
          <w:sz w:val="20"/>
          <w:szCs w:val="20"/>
        </w:rPr>
        <w:t xml:space="preserve">la validez de la figura del </w:t>
      </w:r>
      <w:r w:rsidR="00120C4E" w:rsidRPr="005C1789">
        <w:rPr>
          <w:rFonts w:ascii="Verdana" w:hAnsi="Verdana"/>
          <w:sz w:val="20"/>
          <w:szCs w:val="20"/>
        </w:rPr>
        <w:t>arraigo</w:t>
      </w:r>
      <w:r w:rsidR="008E647A" w:rsidRPr="005C1789">
        <w:rPr>
          <w:rFonts w:ascii="Verdana" w:hAnsi="Verdana"/>
          <w:sz w:val="20"/>
          <w:szCs w:val="20"/>
        </w:rPr>
        <w:t xml:space="preserve"> </w:t>
      </w:r>
      <w:r w:rsidR="000973C3" w:rsidRPr="005C1789">
        <w:rPr>
          <w:rFonts w:ascii="Verdana" w:hAnsi="Verdana"/>
          <w:sz w:val="20"/>
          <w:szCs w:val="20"/>
        </w:rPr>
        <w:t>ha sido</w:t>
      </w:r>
      <w:r w:rsidR="008E647A" w:rsidRPr="005C1789">
        <w:rPr>
          <w:rFonts w:ascii="Verdana" w:hAnsi="Verdana"/>
          <w:sz w:val="20"/>
          <w:szCs w:val="20"/>
        </w:rPr>
        <w:t xml:space="preserve"> abordada por algunas instancias internas</w:t>
      </w:r>
      <w:r w:rsidR="00771DD5" w:rsidRPr="005C1789">
        <w:rPr>
          <w:rFonts w:ascii="Verdana" w:hAnsi="Verdana"/>
          <w:sz w:val="20"/>
          <w:szCs w:val="20"/>
        </w:rPr>
        <w:t>,</w:t>
      </w:r>
      <w:r w:rsidR="008E647A" w:rsidRPr="005C1789">
        <w:rPr>
          <w:rFonts w:ascii="Verdana" w:hAnsi="Verdana"/>
          <w:sz w:val="20"/>
          <w:szCs w:val="20"/>
        </w:rPr>
        <w:t xml:space="preserve"> por ejemplo</w:t>
      </w:r>
      <w:r w:rsidR="00080AA2" w:rsidRPr="005C1789">
        <w:rPr>
          <w:rFonts w:ascii="Verdana" w:hAnsi="Verdana"/>
          <w:sz w:val="20"/>
          <w:szCs w:val="20"/>
        </w:rPr>
        <w:t>,</w:t>
      </w:r>
      <w:r w:rsidR="008E647A" w:rsidRPr="005C1789">
        <w:rPr>
          <w:rFonts w:ascii="Verdana" w:hAnsi="Verdana"/>
          <w:sz w:val="20"/>
          <w:szCs w:val="20"/>
        </w:rPr>
        <w:t xml:space="preserve"> la </w:t>
      </w:r>
      <w:r w:rsidR="00203106" w:rsidRPr="005C1789">
        <w:rPr>
          <w:rFonts w:ascii="Verdana" w:hAnsi="Verdana"/>
          <w:sz w:val="20"/>
          <w:szCs w:val="20"/>
        </w:rPr>
        <w:t xml:space="preserve">Suprema </w:t>
      </w:r>
      <w:r w:rsidR="008E647A" w:rsidRPr="005C1789">
        <w:rPr>
          <w:rFonts w:ascii="Verdana" w:hAnsi="Verdana"/>
          <w:sz w:val="20"/>
          <w:szCs w:val="20"/>
        </w:rPr>
        <w:t>Corte de Justicia</w:t>
      </w:r>
      <w:r w:rsidR="001F08C6" w:rsidRPr="005C1789">
        <w:rPr>
          <w:rFonts w:ascii="Verdana" w:hAnsi="Verdana"/>
          <w:sz w:val="20"/>
          <w:szCs w:val="20"/>
        </w:rPr>
        <w:t xml:space="preserve"> de la Nación</w:t>
      </w:r>
      <w:r w:rsidR="00FD30DD" w:rsidRPr="005C1789">
        <w:rPr>
          <w:rFonts w:ascii="Verdana" w:hAnsi="Verdana"/>
          <w:sz w:val="20"/>
          <w:szCs w:val="20"/>
        </w:rPr>
        <w:t xml:space="preserve"> de M</w:t>
      </w:r>
      <w:r w:rsidR="00FD30DD" w:rsidRPr="005C1789">
        <w:rPr>
          <w:rFonts w:ascii="Verdana" w:hAnsi="Verdana"/>
          <w:sz w:val="20"/>
          <w:szCs w:val="20"/>
          <w:lang w:val="es-419"/>
        </w:rPr>
        <w:t>éxico</w:t>
      </w:r>
      <w:r w:rsidR="001F08C6" w:rsidRPr="005C1789">
        <w:rPr>
          <w:rFonts w:ascii="Verdana" w:hAnsi="Verdana"/>
          <w:sz w:val="20"/>
          <w:szCs w:val="20"/>
        </w:rPr>
        <w:t>,</w:t>
      </w:r>
      <w:r w:rsidR="008E647A" w:rsidRPr="005C1789">
        <w:rPr>
          <w:rFonts w:ascii="Verdana" w:hAnsi="Verdana"/>
          <w:sz w:val="20"/>
          <w:szCs w:val="20"/>
        </w:rPr>
        <w:t xml:space="preserve"> </w:t>
      </w:r>
      <w:r w:rsidR="00051259" w:rsidRPr="005C1789">
        <w:rPr>
          <w:rFonts w:ascii="Verdana" w:hAnsi="Verdana"/>
          <w:sz w:val="20"/>
          <w:szCs w:val="20"/>
        </w:rPr>
        <w:t xml:space="preserve">magistratura que </w:t>
      </w:r>
      <w:r w:rsidR="008E647A" w:rsidRPr="005C1789">
        <w:rPr>
          <w:rFonts w:ascii="Verdana" w:hAnsi="Verdana"/>
          <w:sz w:val="20"/>
          <w:szCs w:val="20"/>
        </w:rPr>
        <w:t xml:space="preserve">resolvió la acción de inconstitucionalidad 20/2003 el 5 de enero de 2005. En esa decisión, se analizó el arraigo y se resolvió que la figura regulada en el </w:t>
      </w:r>
      <w:proofErr w:type="spellStart"/>
      <w:r w:rsidR="008E647A" w:rsidRPr="005C1789">
        <w:rPr>
          <w:rFonts w:ascii="Verdana" w:hAnsi="Verdana"/>
          <w:sz w:val="20"/>
          <w:szCs w:val="20"/>
        </w:rPr>
        <w:t>art</w:t>
      </w:r>
      <w:r w:rsidR="00712EBB">
        <w:rPr>
          <w:rFonts w:ascii="Verdana" w:hAnsi="Verdana"/>
          <w:sz w:val="20"/>
          <w:szCs w:val="20"/>
        </w:rPr>
        <w:t>íuculo</w:t>
      </w:r>
      <w:proofErr w:type="spellEnd"/>
      <w:r w:rsidR="008E647A" w:rsidRPr="005C1789">
        <w:rPr>
          <w:rFonts w:ascii="Verdana" w:hAnsi="Verdana"/>
          <w:sz w:val="20"/>
          <w:szCs w:val="20"/>
        </w:rPr>
        <w:t xml:space="preserve"> 122 bis del Código de Procedimientos Penales del Estado de Chihuahua, de texto similar al establecido en el Código Federal Procesal Penal y la LFDO, </w:t>
      </w:r>
      <w:r w:rsidR="006F2E2F" w:rsidRPr="005C1789">
        <w:rPr>
          <w:rFonts w:ascii="Verdana" w:hAnsi="Verdana"/>
          <w:sz w:val="20"/>
          <w:szCs w:val="20"/>
        </w:rPr>
        <w:lastRenderedPageBreak/>
        <w:t>violaba la garantía de libertad personal consagrada en la Constitución Federal</w:t>
      </w:r>
      <w:r w:rsidR="001D53FE" w:rsidRPr="005C1789">
        <w:rPr>
          <w:rFonts w:ascii="Verdana" w:hAnsi="Verdana"/>
          <w:sz w:val="20"/>
          <w:szCs w:val="20"/>
        </w:rPr>
        <w:t>,</w:t>
      </w:r>
      <w:r w:rsidR="006F2E2F" w:rsidRPr="005C1789">
        <w:rPr>
          <w:rFonts w:ascii="Verdana" w:hAnsi="Verdana"/>
          <w:sz w:val="20"/>
          <w:szCs w:val="20"/>
        </w:rPr>
        <w:t xml:space="preserve"> por lo que solicitó su derogación</w:t>
      </w:r>
      <w:r w:rsidR="008E647A" w:rsidRPr="005C1789">
        <w:rPr>
          <w:rFonts w:ascii="Verdana" w:hAnsi="Verdana"/>
          <w:sz w:val="20"/>
          <w:szCs w:val="20"/>
          <w:vertAlign w:val="superscript"/>
          <w:lang w:val="es-ES"/>
        </w:rPr>
        <w:footnoteReference w:id="125"/>
      </w:r>
      <w:r w:rsidR="006F2E2F" w:rsidRPr="005C1789">
        <w:rPr>
          <w:rFonts w:ascii="Verdana" w:hAnsi="Verdana"/>
          <w:sz w:val="20"/>
          <w:szCs w:val="20"/>
        </w:rPr>
        <w:t>.</w:t>
      </w:r>
    </w:p>
    <w:p w14:paraId="0F59AA1F" w14:textId="1C8E1AA6" w:rsidR="002052ED" w:rsidRPr="005C1789" w:rsidRDefault="008E647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Del mismo modo, </w:t>
      </w:r>
      <w:r w:rsidR="00EB28AF" w:rsidRPr="005C1789">
        <w:rPr>
          <w:rFonts w:ascii="Verdana" w:hAnsi="Verdana"/>
          <w:sz w:val="20"/>
          <w:szCs w:val="20"/>
        </w:rPr>
        <w:t xml:space="preserve">el </w:t>
      </w:r>
      <w:proofErr w:type="spellStart"/>
      <w:r w:rsidR="00EB28AF" w:rsidRPr="005C1789">
        <w:rPr>
          <w:rFonts w:ascii="Verdana" w:hAnsi="Verdana"/>
          <w:sz w:val="20"/>
          <w:szCs w:val="20"/>
        </w:rPr>
        <w:t>ombudsperson</w:t>
      </w:r>
      <w:proofErr w:type="spellEnd"/>
      <w:r w:rsidR="00EB28AF" w:rsidRPr="005C1789">
        <w:rPr>
          <w:rFonts w:ascii="Verdana" w:hAnsi="Verdana"/>
          <w:sz w:val="20"/>
          <w:szCs w:val="20"/>
        </w:rPr>
        <w:t xml:space="preserve"> de México señaló en septiembre de 2019 que “el arraigo estipulado como medida cautelar […] es una figura inconvencional […] por tratarse de una m</w:t>
      </w:r>
      <w:r w:rsidR="00F45909" w:rsidRPr="005C1789">
        <w:rPr>
          <w:rFonts w:ascii="Verdana" w:hAnsi="Verdana"/>
          <w:sz w:val="20"/>
          <w:szCs w:val="20"/>
        </w:rPr>
        <w:t>edid</w:t>
      </w:r>
      <w:r w:rsidR="00EB28AF" w:rsidRPr="005C1789">
        <w:rPr>
          <w:rFonts w:ascii="Verdana" w:hAnsi="Verdana"/>
          <w:sz w:val="20"/>
          <w:szCs w:val="20"/>
        </w:rPr>
        <w:t xml:space="preserve">a privativa de libertad arbitraria, prohibida por el artículo 7.3 de la [Convención Americana] y </w:t>
      </w:r>
      <w:r w:rsidR="00083F48" w:rsidRPr="005C1789">
        <w:rPr>
          <w:rFonts w:ascii="Verdana" w:hAnsi="Verdana"/>
          <w:sz w:val="20"/>
          <w:szCs w:val="20"/>
        </w:rPr>
        <w:t xml:space="preserve">por el artículo 8.2, ya que dicta a una persona previo al inicio de un proceso judicial. […] en tal virtud, </w:t>
      </w:r>
      <w:r w:rsidR="007D05AB" w:rsidRPr="005C1789">
        <w:rPr>
          <w:rFonts w:ascii="Verdana" w:hAnsi="Verdana"/>
          <w:sz w:val="20"/>
          <w:szCs w:val="20"/>
        </w:rPr>
        <w:t xml:space="preserve">el </w:t>
      </w:r>
      <w:r w:rsidR="00083F48" w:rsidRPr="005C1789">
        <w:rPr>
          <w:rFonts w:ascii="Verdana" w:hAnsi="Verdana"/>
          <w:sz w:val="20"/>
          <w:szCs w:val="20"/>
        </w:rPr>
        <w:t xml:space="preserve">arraigo es un tipo de </w:t>
      </w:r>
      <w:r w:rsidR="00C32C50" w:rsidRPr="005C1789">
        <w:rPr>
          <w:rFonts w:ascii="Verdana" w:hAnsi="Verdana"/>
          <w:sz w:val="20"/>
          <w:szCs w:val="20"/>
        </w:rPr>
        <w:t>[pena] ‘</w:t>
      </w:r>
      <w:proofErr w:type="spellStart"/>
      <w:r w:rsidR="00083F48" w:rsidRPr="005C1789">
        <w:rPr>
          <w:rFonts w:ascii="Verdana" w:hAnsi="Verdana"/>
          <w:sz w:val="20"/>
          <w:szCs w:val="20"/>
        </w:rPr>
        <w:t>precondenatoria</w:t>
      </w:r>
      <w:proofErr w:type="spellEnd"/>
      <w:r w:rsidR="00C32C50" w:rsidRPr="005C1789">
        <w:rPr>
          <w:rFonts w:ascii="Verdana" w:hAnsi="Verdana"/>
          <w:sz w:val="20"/>
          <w:szCs w:val="20"/>
        </w:rPr>
        <w:t>’</w:t>
      </w:r>
      <w:r w:rsidR="00083F48" w:rsidRPr="005C1789">
        <w:rPr>
          <w:rFonts w:ascii="Verdana" w:hAnsi="Verdana"/>
          <w:sz w:val="20"/>
          <w:szCs w:val="20"/>
        </w:rPr>
        <w:t xml:space="preserve"> que se usa con un medio para investigar y no como una consecuencia </w:t>
      </w:r>
      <w:r w:rsidR="00891325" w:rsidRPr="005C1789">
        <w:rPr>
          <w:rFonts w:ascii="Verdana" w:hAnsi="Verdana"/>
          <w:sz w:val="20"/>
          <w:szCs w:val="20"/>
        </w:rPr>
        <w:t>d</w:t>
      </w:r>
      <w:r w:rsidR="00083F48" w:rsidRPr="005C1789">
        <w:rPr>
          <w:rFonts w:ascii="Verdana" w:hAnsi="Verdana"/>
          <w:sz w:val="20"/>
          <w:szCs w:val="20"/>
        </w:rPr>
        <w:t xml:space="preserve">e una investigación que haya arrojado suficientes elementos que permitan vincular una persona con el hecho punible, contraviniendo con ello, el derecho a la presunción de inocencia y, por </w:t>
      </w:r>
      <w:proofErr w:type="gramStart"/>
      <w:r w:rsidR="00083F48" w:rsidRPr="005C1789">
        <w:rPr>
          <w:rFonts w:ascii="Verdana" w:hAnsi="Verdana"/>
          <w:sz w:val="20"/>
          <w:szCs w:val="20"/>
        </w:rPr>
        <w:t>ende</w:t>
      </w:r>
      <w:proofErr w:type="gramEnd"/>
      <w:r w:rsidR="00083F48" w:rsidRPr="005C1789">
        <w:rPr>
          <w:rFonts w:ascii="Verdana" w:hAnsi="Verdana"/>
          <w:sz w:val="20"/>
          <w:szCs w:val="20"/>
        </w:rPr>
        <w:t xml:space="preserve"> al debido proceso. […] Por último, el arraigo es una medida que atenta también contra derecho a la seguridad jurídica y el principio </w:t>
      </w:r>
      <w:proofErr w:type="gramStart"/>
      <w:r w:rsidR="00083F48" w:rsidRPr="005C1789">
        <w:rPr>
          <w:rFonts w:ascii="Verdana" w:hAnsi="Verdana"/>
          <w:i/>
          <w:iCs/>
          <w:sz w:val="20"/>
          <w:szCs w:val="20"/>
        </w:rPr>
        <w:t>pro persona</w:t>
      </w:r>
      <w:proofErr w:type="gramEnd"/>
      <w:r w:rsidR="00083F48" w:rsidRPr="005C1789">
        <w:rPr>
          <w:rFonts w:ascii="Verdana" w:hAnsi="Verdana"/>
          <w:sz w:val="20"/>
          <w:szCs w:val="20"/>
        </w:rPr>
        <w:t xml:space="preserve">; primeramente porque se practica a una persona sin que esté sujeta a un procedimiento penal formal, lo que genera incertidumbre jurídica y, en segundo lugar, al tratarse de una medida cautelar extrema, considerada en ámbito internacional como una detención arbitraria, </w:t>
      </w:r>
      <w:r w:rsidR="002052ED" w:rsidRPr="005C1789">
        <w:rPr>
          <w:rFonts w:ascii="Verdana" w:hAnsi="Verdana"/>
          <w:sz w:val="20"/>
          <w:szCs w:val="20"/>
        </w:rPr>
        <w:t>se violenta</w:t>
      </w:r>
      <w:r w:rsidR="00083F48" w:rsidRPr="005C1789">
        <w:rPr>
          <w:rFonts w:ascii="Verdana" w:hAnsi="Verdana"/>
          <w:sz w:val="20"/>
          <w:szCs w:val="20"/>
        </w:rPr>
        <w:t xml:space="preserve"> el principio </w:t>
      </w:r>
      <w:r w:rsidR="00083F48" w:rsidRPr="005C1789">
        <w:rPr>
          <w:rFonts w:ascii="Verdana" w:hAnsi="Verdana"/>
          <w:i/>
          <w:iCs/>
          <w:sz w:val="20"/>
          <w:szCs w:val="20"/>
        </w:rPr>
        <w:t xml:space="preserve">pro persona </w:t>
      </w:r>
      <w:r w:rsidR="00083F48" w:rsidRPr="005C1789">
        <w:rPr>
          <w:rFonts w:ascii="Verdana" w:hAnsi="Verdana"/>
          <w:sz w:val="20"/>
          <w:szCs w:val="20"/>
        </w:rPr>
        <w:t>por no aplicar otra medida cautelar menos lesiva”</w:t>
      </w:r>
      <w:r w:rsidR="00083F48" w:rsidRPr="005C1789">
        <w:rPr>
          <w:rFonts w:ascii="Verdana" w:hAnsi="Verdana"/>
          <w:sz w:val="20"/>
          <w:szCs w:val="20"/>
          <w:vertAlign w:val="superscript"/>
          <w:lang w:val="es-ES"/>
        </w:rPr>
        <w:footnoteReference w:id="126"/>
      </w:r>
      <w:r w:rsidR="00083F48" w:rsidRPr="005C1789">
        <w:rPr>
          <w:rFonts w:ascii="Verdana" w:hAnsi="Verdana"/>
          <w:sz w:val="20"/>
          <w:szCs w:val="20"/>
        </w:rPr>
        <w:t>.</w:t>
      </w:r>
      <w:r w:rsidR="002052ED" w:rsidRPr="005C1789">
        <w:rPr>
          <w:rFonts w:ascii="Verdana" w:hAnsi="Verdana"/>
          <w:sz w:val="20"/>
          <w:szCs w:val="20"/>
        </w:rPr>
        <w:t xml:space="preserve"> </w:t>
      </w:r>
      <w:r w:rsidR="002876D1" w:rsidRPr="005C1789">
        <w:rPr>
          <w:rFonts w:ascii="Verdana" w:hAnsi="Verdana"/>
          <w:sz w:val="20"/>
          <w:szCs w:val="20"/>
        </w:rPr>
        <w:t>En el mismo sentido</w:t>
      </w:r>
      <w:r w:rsidR="002052ED" w:rsidRPr="005C1789">
        <w:rPr>
          <w:rFonts w:ascii="Verdana" w:hAnsi="Verdana"/>
          <w:sz w:val="20"/>
          <w:szCs w:val="20"/>
        </w:rPr>
        <w:t xml:space="preserve">, la Comisión de </w:t>
      </w:r>
      <w:r w:rsidR="00712EBB">
        <w:rPr>
          <w:rFonts w:ascii="Verdana" w:hAnsi="Verdana"/>
          <w:sz w:val="20"/>
          <w:szCs w:val="20"/>
        </w:rPr>
        <w:t>D</w:t>
      </w:r>
      <w:r w:rsidR="00712EBB" w:rsidRPr="005C1789">
        <w:rPr>
          <w:rFonts w:ascii="Verdana" w:hAnsi="Verdana"/>
          <w:sz w:val="20"/>
          <w:szCs w:val="20"/>
        </w:rPr>
        <w:t xml:space="preserve">erechos </w:t>
      </w:r>
      <w:r w:rsidR="00712EBB">
        <w:rPr>
          <w:rFonts w:ascii="Verdana" w:hAnsi="Verdana"/>
          <w:sz w:val="20"/>
          <w:szCs w:val="20"/>
        </w:rPr>
        <w:t>H</w:t>
      </w:r>
      <w:r w:rsidR="00712EBB" w:rsidRPr="005C1789">
        <w:rPr>
          <w:rFonts w:ascii="Verdana" w:hAnsi="Verdana"/>
          <w:sz w:val="20"/>
          <w:szCs w:val="20"/>
        </w:rPr>
        <w:t xml:space="preserve">umanos </w:t>
      </w:r>
      <w:r w:rsidR="002052ED" w:rsidRPr="005C1789">
        <w:rPr>
          <w:rFonts w:ascii="Verdana" w:hAnsi="Verdana"/>
          <w:sz w:val="20"/>
          <w:szCs w:val="20"/>
        </w:rPr>
        <w:t>del Distrito Federal de México, estableció que el arraigo “viola diversos derechos humanos tanto en su aplicación, como en la forma en que se lleva a cabo”</w:t>
      </w:r>
      <w:r w:rsidR="002052ED" w:rsidRPr="005C1789">
        <w:rPr>
          <w:rFonts w:ascii="Verdana" w:hAnsi="Verdana"/>
          <w:sz w:val="20"/>
          <w:szCs w:val="20"/>
          <w:vertAlign w:val="superscript"/>
          <w:lang w:val="es-ES"/>
        </w:rPr>
        <w:footnoteReference w:id="127"/>
      </w:r>
      <w:r w:rsidR="002052ED" w:rsidRPr="005C1789">
        <w:rPr>
          <w:rFonts w:ascii="Verdana" w:hAnsi="Verdana"/>
          <w:sz w:val="20"/>
          <w:szCs w:val="20"/>
        </w:rPr>
        <w:t>.</w:t>
      </w:r>
    </w:p>
    <w:p w14:paraId="48A7B43E" w14:textId="5C52F2AD" w:rsidR="0071267D" w:rsidRPr="005C1789" w:rsidRDefault="00F45909"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V</w:t>
      </w:r>
      <w:r w:rsidR="002876D1" w:rsidRPr="005C1789">
        <w:rPr>
          <w:rFonts w:ascii="Verdana" w:hAnsi="Verdana"/>
          <w:sz w:val="20"/>
          <w:szCs w:val="20"/>
        </w:rPr>
        <w:t>arias instancias internacionales afirmaron que la figura del arraigo era contraria a los tratados internacionales sobre derechos humanos. Se destacan</w:t>
      </w:r>
      <w:r w:rsidR="00712EBB">
        <w:rPr>
          <w:rFonts w:ascii="Verdana" w:hAnsi="Verdana"/>
          <w:sz w:val="20"/>
          <w:szCs w:val="20"/>
        </w:rPr>
        <w:t>,</w:t>
      </w:r>
      <w:r w:rsidR="002876D1" w:rsidRPr="005C1789">
        <w:rPr>
          <w:rFonts w:ascii="Verdana" w:hAnsi="Verdana"/>
          <w:sz w:val="20"/>
          <w:szCs w:val="20"/>
        </w:rPr>
        <w:t xml:space="preserve"> en particular</w:t>
      </w:r>
      <w:r w:rsidR="00712EBB">
        <w:rPr>
          <w:rFonts w:ascii="Verdana" w:hAnsi="Verdana"/>
          <w:sz w:val="20"/>
          <w:szCs w:val="20"/>
        </w:rPr>
        <w:t>,</w:t>
      </w:r>
      <w:r w:rsidR="002876D1" w:rsidRPr="005C1789">
        <w:rPr>
          <w:rFonts w:ascii="Verdana" w:hAnsi="Verdana"/>
          <w:sz w:val="20"/>
          <w:szCs w:val="20"/>
        </w:rPr>
        <w:t xml:space="preserve"> las decisiones del Grupo de Trabajo sobre la Detención Arbitraria </w:t>
      </w:r>
      <w:r w:rsidR="00FA79DA" w:rsidRPr="005C1789">
        <w:rPr>
          <w:rFonts w:ascii="Verdana" w:hAnsi="Verdana"/>
          <w:sz w:val="20"/>
          <w:szCs w:val="20"/>
        </w:rPr>
        <w:t xml:space="preserve">que calificó el arraigo </w:t>
      </w:r>
      <w:r w:rsidR="005D3E95" w:rsidRPr="005C1789">
        <w:rPr>
          <w:rFonts w:ascii="Verdana" w:hAnsi="Verdana"/>
          <w:sz w:val="20"/>
          <w:szCs w:val="20"/>
        </w:rPr>
        <w:t>como un “</w:t>
      </w:r>
      <w:r w:rsidR="00FA79DA" w:rsidRPr="005C1789">
        <w:rPr>
          <w:rFonts w:ascii="Verdana" w:hAnsi="Verdana"/>
          <w:sz w:val="20"/>
          <w:szCs w:val="20"/>
        </w:rPr>
        <w:t xml:space="preserve">preproceso o </w:t>
      </w:r>
      <w:proofErr w:type="spellStart"/>
      <w:r w:rsidR="00FA79DA" w:rsidRPr="005C1789">
        <w:rPr>
          <w:rFonts w:ascii="Verdana" w:hAnsi="Verdana"/>
          <w:sz w:val="20"/>
          <w:szCs w:val="20"/>
        </w:rPr>
        <w:t>anteproceso</w:t>
      </w:r>
      <w:proofErr w:type="spellEnd"/>
      <w:r w:rsidR="00FA79DA" w:rsidRPr="005C1789">
        <w:rPr>
          <w:rFonts w:ascii="Verdana" w:hAnsi="Verdana"/>
          <w:sz w:val="20"/>
          <w:szCs w:val="20"/>
        </w:rPr>
        <w:t xml:space="preserve"> que se lleva de facto no ante</w:t>
      </w:r>
      <w:r w:rsidR="005D3E95" w:rsidRPr="005C1789">
        <w:rPr>
          <w:rFonts w:ascii="Verdana" w:hAnsi="Verdana"/>
          <w:sz w:val="20"/>
          <w:szCs w:val="20"/>
        </w:rPr>
        <w:t xml:space="preserve"> </w:t>
      </w:r>
      <w:r w:rsidR="00FA79DA" w:rsidRPr="005C1789">
        <w:rPr>
          <w:rFonts w:ascii="Verdana" w:hAnsi="Verdana"/>
          <w:sz w:val="20"/>
          <w:szCs w:val="20"/>
        </w:rPr>
        <w:t>un juez, sino ante funcionarios de la Procuraduría General de la República que adquieren así la</w:t>
      </w:r>
      <w:r w:rsidR="005D3E95" w:rsidRPr="005C1789">
        <w:rPr>
          <w:rFonts w:ascii="Verdana" w:hAnsi="Verdana"/>
          <w:sz w:val="20"/>
          <w:szCs w:val="20"/>
        </w:rPr>
        <w:t xml:space="preserve"> </w:t>
      </w:r>
      <w:r w:rsidR="00FA79DA" w:rsidRPr="005C1789">
        <w:rPr>
          <w:rFonts w:ascii="Verdana" w:hAnsi="Verdana"/>
          <w:sz w:val="20"/>
          <w:szCs w:val="20"/>
        </w:rPr>
        <w:t xml:space="preserve">facultad de actuar y valorar pruebas o desahogar medios de prueba con </w:t>
      </w:r>
      <w:proofErr w:type="spellStart"/>
      <w:r w:rsidR="00FA79DA" w:rsidRPr="005C1789">
        <w:rPr>
          <w:rFonts w:ascii="Verdana" w:hAnsi="Verdana"/>
          <w:sz w:val="20"/>
          <w:szCs w:val="20"/>
        </w:rPr>
        <w:t>preinculpados</w:t>
      </w:r>
      <w:proofErr w:type="spellEnd"/>
      <w:r w:rsidR="005D3E95" w:rsidRPr="005C1789">
        <w:rPr>
          <w:rFonts w:ascii="Verdana" w:hAnsi="Verdana"/>
          <w:sz w:val="20"/>
          <w:szCs w:val="20"/>
        </w:rPr>
        <w:t>” y que constituye “en realidad una forma de detención preventiva de carácter arbitrario en razón de la insuficiencia del control jurisdiccional”</w:t>
      </w:r>
      <w:r w:rsidR="005D3E95" w:rsidRPr="005C1789">
        <w:rPr>
          <w:rFonts w:ascii="Verdana" w:hAnsi="Verdana"/>
          <w:sz w:val="20"/>
          <w:szCs w:val="20"/>
          <w:vertAlign w:val="superscript"/>
          <w:lang w:val="es-ES"/>
        </w:rPr>
        <w:footnoteReference w:id="128"/>
      </w:r>
      <w:r w:rsidR="005D3E95" w:rsidRPr="005C1789">
        <w:rPr>
          <w:rFonts w:ascii="Verdana" w:hAnsi="Verdana"/>
          <w:sz w:val="20"/>
          <w:szCs w:val="20"/>
        </w:rPr>
        <w:t>.</w:t>
      </w:r>
      <w:r w:rsidR="004E0C42" w:rsidRPr="005C1789">
        <w:rPr>
          <w:rFonts w:ascii="Verdana" w:hAnsi="Verdana"/>
          <w:sz w:val="20"/>
          <w:szCs w:val="20"/>
        </w:rPr>
        <w:t xml:space="preserve"> </w:t>
      </w:r>
    </w:p>
    <w:p w14:paraId="7BF6EAFE" w14:textId="5916520D" w:rsidR="002052ED" w:rsidRPr="005C1789" w:rsidRDefault="004E0C4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Asimismo, el Comité contra la Tortura indicó</w:t>
      </w:r>
      <w:r w:rsidR="00712EBB">
        <w:rPr>
          <w:rFonts w:ascii="Verdana" w:hAnsi="Verdana"/>
          <w:sz w:val="20"/>
          <w:szCs w:val="20"/>
        </w:rPr>
        <w:t>,</w:t>
      </w:r>
      <w:r w:rsidRPr="005C1789">
        <w:rPr>
          <w:rFonts w:ascii="Verdana" w:hAnsi="Verdana"/>
          <w:sz w:val="20"/>
          <w:szCs w:val="20"/>
        </w:rPr>
        <w:t xml:space="preserve"> en el año </w:t>
      </w:r>
      <w:r w:rsidR="0071267D" w:rsidRPr="005C1789">
        <w:rPr>
          <w:rFonts w:ascii="Verdana" w:hAnsi="Verdana"/>
          <w:sz w:val="20"/>
          <w:szCs w:val="20"/>
        </w:rPr>
        <w:t>2007</w:t>
      </w:r>
      <w:r w:rsidR="00084D95" w:rsidRPr="005C1789">
        <w:rPr>
          <w:rFonts w:ascii="Verdana" w:hAnsi="Verdana"/>
          <w:sz w:val="20"/>
          <w:szCs w:val="20"/>
        </w:rPr>
        <w:t>,</w:t>
      </w:r>
      <w:r w:rsidRPr="005C1789">
        <w:rPr>
          <w:rFonts w:ascii="Verdana" w:hAnsi="Verdana"/>
          <w:sz w:val="20"/>
          <w:szCs w:val="20"/>
        </w:rPr>
        <w:t xml:space="preserve"> que</w:t>
      </w:r>
      <w:r w:rsidR="0071267D" w:rsidRPr="005C1789">
        <w:rPr>
          <w:rFonts w:ascii="Verdana" w:hAnsi="Verdana"/>
          <w:sz w:val="20"/>
          <w:szCs w:val="20"/>
        </w:rPr>
        <w:t xml:space="preserve"> “le preocupa la figura del ‘arraigo penal’ que, según la información recibida, se habría convertido en una forma de detención preventiva con el uso de casas de seguridad (casas de arraigo) custodiadas por policías judiciales y agentes del Ministerio Público, donde se pueden detener indiciados durante 30 días —hasta 90 días en algunos Estados— mientras se lleva a cabo la investigación para recabar evidencia, incluyendo interrogatorios. Aun cuando el Comité toma nota con satisfacción de la decisión adoptada por la Suprema Corte de Justicia de la Nación en septiembre de 2005 en la que se declara inconstitucional la figura del arraigo penal, le preocupa sin embargo que la decisión judicial se refiere únicamente al Código Penal del Estado de Chihuahua y carecería de eficacia vinculante para los tribunales de otros Estados”. A su vez, </w:t>
      </w:r>
      <w:r w:rsidR="006E5A3F" w:rsidRPr="005C1789">
        <w:rPr>
          <w:rFonts w:ascii="Verdana" w:hAnsi="Verdana"/>
          <w:sz w:val="20"/>
          <w:szCs w:val="20"/>
        </w:rPr>
        <w:t>recomendó</w:t>
      </w:r>
      <w:r w:rsidR="0071267D" w:rsidRPr="005C1789">
        <w:rPr>
          <w:rFonts w:ascii="Verdana" w:hAnsi="Verdana"/>
          <w:sz w:val="20"/>
          <w:szCs w:val="20"/>
        </w:rPr>
        <w:t xml:space="preserve"> que “</w:t>
      </w:r>
      <w:r w:rsidR="00E546CE" w:rsidRPr="005C1789">
        <w:rPr>
          <w:rFonts w:ascii="Verdana" w:hAnsi="Verdana"/>
          <w:sz w:val="20"/>
          <w:szCs w:val="20"/>
        </w:rPr>
        <w:t>[e]</w:t>
      </w:r>
      <w:r w:rsidR="0071267D" w:rsidRPr="005C1789">
        <w:rPr>
          <w:rFonts w:ascii="Verdana" w:hAnsi="Verdana"/>
          <w:sz w:val="20"/>
          <w:szCs w:val="20"/>
        </w:rPr>
        <w:t xml:space="preserve">l Estado Parte debe, a la luz de la decisión de la Suprema Corte de Justicia de la Nación, garantizar que la figura del arraigo desaparezca tanto en la legislación como en la práctica, a nivel </w:t>
      </w:r>
      <w:r w:rsidR="00E74D0D" w:rsidRPr="005C1789">
        <w:rPr>
          <w:rFonts w:ascii="Verdana" w:hAnsi="Verdana"/>
          <w:sz w:val="20"/>
          <w:szCs w:val="20"/>
        </w:rPr>
        <w:t>federal,</w:t>
      </w:r>
      <w:r w:rsidR="0071267D" w:rsidRPr="005C1789">
        <w:rPr>
          <w:rFonts w:ascii="Verdana" w:hAnsi="Verdana"/>
          <w:sz w:val="20"/>
          <w:szCs w:val="20"/>
        </w:rPr>
        <w:t xml:space="preserve"> así como a nivel estatal”</w:t>
      </w:r>
      <w:r w:rsidR="0071267D" w:rsidRPr="005C1789">
        <w:rPr>
          <w:rFonts w:ascii="Verdana" w:hAnsi="Verdana"/>
          <w:sz w:val="20"/>
          <w:szCs w:val="20"/>
          <w:vertAlign w:val="superscript"/>
          <w:lang w:val="es-ES"/>
        </w:rPr>
        <w:footnoteReference w:id="129"/>
      </w:r>
      <w:r w:rsidR="0071267D" w:rsidRPr="005C1789">
        <w:rPr>
          <w:rFonts w:ascii="Verdana" w:hAnsi="Verdana"/>
          <w:sz w:val="20"/>
          <w:szCs w:val="20"/>
        </w:rPr>
        <w:t>.</w:t>
      </w:r>
      <w:r w:rsidR="00023E34" w:rsidRPr="005C1789">
        <w:rPr>
          <w:rFonts w:ascii="Verdana" w:hAnsi="Verdana"/>
          <w:sz w:val="20"/>
          <w:szCs w:val="20"/>
        </w:rPr>
        <w:t xml:space="preserve"> </w:t>
      </w:r>
    </w:p>
    <w:p w14:paraId="49694CA3" w14:textId="12A10855" w:rsidR="002F76C1" w:rsidRPr="005C1789" w:rsidRDefault="002F76C1"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En ese mismo sentido, el Comité de Derechos Humanos de Naciones Unidas en un informe de 2010, “expresó su preocupación por la legalidad de la utilización del arraigo penal en el contexto de la lucha contra la delincuencia organizada, que prevé la posibilidad de detener a una persona sin cargos durante un máximo de 80 días, sin ser llevado ante un juez y sin las necesarias garantías jurídicas según lo prescrito por el artículo 14 del Pacto”. Además, lamentó la falta de aclaraciones sobre el nivel de las pruebas necesarias para una orden de arraigo. El Comité subray</w:t>
      </w:r>
      <w:r w:rsidR="00712EBB">
        <w:rPr>
          <w:rFonts w:ascii="Verdana" w:hAnsi="Verdana"/>
          <w:sz w:val="20"/>
          <w:szCs w:val="20"/>
        </w:rPr>
        <w:t>ó</w:t>
      </w:r>
      <w:r w:rsidRPr="005C1789">
        <w:rPr>
          <w:rFonts w:ascii="Verdana" w:hAnsi="Verdana"/>
          <w:sz w:val="20"/>
          <w:szCs w:val="20"/>
        </w:rPr>
        <w:t xml:space="preserve"> que las personas detenidas en virtud del arraigo corren peligro de ser sometidas a malos tratos (arts. 9 y 14 del Pacto)” </w:t>
      </w:r>
      <w:r w:rsidRPr="005C1789">
        <w:rPr>
          <w:rFonts w:ascii="Verdana" w:hAnsi="Verdana"/>
          <w:sz w:val="20"/>
          <w:szCs w:val="20"/>
        </w:rPr>
        <w:lastRenderedPageBreak/>
        <w:t>Agregó que el Estado “debe adoptar todas las medidas necesarias para eliminar la detención mediante arraigo de la legislación y la práctica, tanto a nivel federal como estatal”</w:t>
      </w:r>
      <w:r w:rsidRPr="005C1789">
        <w:rPr>
          <w:rFonts w:ascii="Verdana" w:hAnsi="Verdana"/>
          <w:sz w:val="20"/>
          <w:szCs w:val="20"/>
          <w:vertAlign w:val="superscript"/>
          <w:lang w:val="es-ES"/>
        </w:rPr>
        <w:footnoteReference w:id="130"/>
      </w:r>
      <w:r w:rsidRPr="005C1789">
        <w:rPr>
          <w:rFonts w:ascii="Verdana" w:hAnsi="Verdana"/>
          <w:sz w:val="20"/>
          <w:szCs w:val="20"/>
        </w:rPr>
        <w:t>.</w:t>
      </w:r>
    </w:p>
    <w:p w14:paraId="2080AA4D" w14:textId="18907E43" w:rsidR="005B7E6D" w:rsidRPr="005C1789" w:rsidRDefault="0089042F"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su parte, el Subcomité para la Prevención de la Tortura y Otros Tratos o Penas Crueles, Inhumanos o Degradantes </w:t>
      </w:r>
      <w:r w:rsidR="00200D82" w:rsidRPr="005C1789">
        <w:rPr>
          <w:rFonts w:ascii="Verdana" w:hAnsi="Verdana"/>
          <w:sz w:val="20"/>
          <w:szCs w:val="20"/>
        </w:rPr>
        <w:t xml:space="preserve">(SPT) </w:t>
      </w:r>
      <w:r w:rsidRPr="005C1789">
        <w:rPr>
          <w:rFonts w:ascii="Verdana" w:hAnsi="Verdana"/>
          <w:sz w:val="20"/>
          <w:szCs w:val="20"/>
        </w:rPr>
        <w:t>recomendó a México “que elimine la figura del arraigo ya que es una situación fuera del control judicial que se constituye en un riesgo de sufrir torturas y malos tratos”</w:t>
      </w:r>
      <w:r w:rsidRPr="005C1789">
        <w:rPr>
          <w:rFonts w:ascii="Verdana" w:hAnsi="Verdana"/>
          <w:sz w:val="20"/>
          <w:szCs w:val="20"/>
          <w:vertAlign w:val="superscript"/>
          <w:lang w:val="es-ES"/>
        </w:rPr>
        <w:footnoteReference w:id="131"/>
      </w:r>
      <w:r w:rsidRPr="005C1789">
        <w:rPr>
          <w:rFonts w:ascii="Verdana" w:hAnsi="Verdana"/>
          <w:sz w:val="20"/>
          <w:szCs w:val="20"/>
        </w:rPr>
        <w:t>.</w:t>
      </w:r>
      <w:r w:rsidR="00200D82" w:rsidRPr="005C1789">
        <w:rPr>
          <w:rFonts w:ascii="Verdana" w:hAnsi="Verdana"/>
          <w:sz w:val="20"/>
          <w:szCs w:val="20"/>
        </w:rPr>
        <w:t xml:space="preserve"> El mismo</w:t>
      </w:r>
      <w:r w:rsidR="005B7E6D" w:rsidRPr="005C1789">
        <w:rPr>
          <w:rFonts w:ascii="Verdana" w:hAnsi="Verdana"/>
          <w:sz w:val="20"/>
          <w:szCs w:val="20"/>
        </w:rPr>
        <w:t xml:space="preserve"> SPT tomó nota de que, conforme al artículo 12 de la Ley federal contra la delincuencia organizada de 1996, el juez, a solicitud del </w:t>
      </w:r>
      <w:r w:rsidR="002A3320" w:rsidRPr="005C1789">
        <w:rPr>
          <w:rFonts w:ascii="Verdana" w:hAnsi="Verdana"/>
          <w:sz w:val="20"/>
          <w:szCs w:val="20"/>
        </w:rPr>
        <w:t>Ministerio Público</w:t>
      </w:r>
      <w:r w:rsidR="005B7E6D" w:rsidRPr="005C1789">
        <w:rPr>
          <w:rFonts w:ascii="Verdana" w:hAnsi="Verdana"/>
          <w:sz w:val="20"/>
          <w:szCs w:val="20"/>
        </w:rPr>
        <w:t xml:space="preserve">, podrá </w:t>
      </w:r>
      <w:r w:rsidR="00F94BC7" w:rsidRPr="005C1789">
        <w:rPr>
          <w:rFonts w:ascii="Verdana" w:hAnsi="Verdana"/>
          <w:sz w:val="20"/>
          <w:szCs w:val="20"/>
        </w:rPr>
        <w:t xml:space="preserve">requerir </w:t>
      </w:r>
      <w:r w:rsidR="005B7E6D" w:rsidRPr="005C1789">
        <w:rPr>
          <w:rFonts w:ascii="Verdana" w:hAnsi="Verdana"/>
          <w:sz w:val="20"/>
          <w:szCs w:val="20"/>
        </w:rPr>
        <w:t xml:space="preserve">el arraigo de una persona inculpada bajo la figura de la delincuencia organizada. Dicha figura implica la vigilancia permanente del </w:t>
      </w:r>
      <w:r w:rsidR="009E31CA" w:rsidRPr="005C1789">
        <w:rPr>
          <w:rFonts w:ascii="Verdana" w:hAnsi="Verdana"/>
          <w:sz w:val="20"/>
          <w:szCs w:val="20"/>
        </w:rPr>
        <w:t>Ministerio P</w:t>
      </w:r>
      <w:r w:rsidR="005B7E6D" w:rsidRPr="005C1789">
        <w:rPr>
          <w:rFonts w:ascii="Verdana" w:hAnsi="Verdana"/>
          <w:sz w:val="20"/>
          <w:szCs w:val="20"/>
        </w:rPr>
        <w:t xml:space="preserve">úblico y tiene como fin incrementar el tiempo con el que cuenta para integrar la averiguación previa en la que se sustenta la responsabilidad de la persona inculpada. El SPT también ha </w:t>
      </w:r>
      <w:r w:rsidR="0052552A" w:rsidRPr="005C1789">
        <w:rPr>
          <w:rFonts w:ascii="Verdana" w:hAnsi="Verdana"/>
          <w:sz w:val="20"/>
          <w:szCs w:val="20"/>
        </w:rPr>
        <w:t xml:space="preserve">indicado </w:t>
      </w:r>
      <w:r w:rsidR="00E15781" w:rsidRPr="005C1789">
        <w:rPr>
          <w:rFonts w:ascii="Verdana" w:hAnsi="Verdana"/>
          <w:sz w:val="20"/>
          <w:szCs w:val="20"/>
        </w:rPr>
        <w:t>que,</w:t>
      </w:r>
      <w:r w:rsidR="005B7E6D" w:rsidRPr="005C1789">
        <w:rPr>
          <w:rFonts w:ascii="Verdana" w:hAnsi="Verdana"/>
          <w:sz w:val="20"/>
          <w:szCs w:val="20"/>
        </w:rPr>
        <w:t xml:space="preserve"> con la reforma, </w:t>
      </w:r>
      <w:r w:rsidR="0052552A" w:rsidRPr="005C1789">
        <w:rPr>
          <w:rFonts w:ascii="Verdana" w:hAnsi="Verdana"/>
          <w:sz w:val="20"/>
          <w:szCs w:val="20"/>
        </w:rPr>
        <w:t>“</w:t>
      </w:r>
      <w:r w:rsidR="005B7E6D" w:rsidRPr="005C1789">
        <w:rPr>
          <w:rFonts w:ascii="Verdana" w:hAnsi="Verdana"/>
          <w:sz w:val="20"/>
          <w:szCs w:val="20"/>
        </w:rPr>
        <w:t>el tiempo durante el cual una persona puede permanecer arraigada se extiende hasta 80 días y, en general, se utilizan las llamadas casas de seguridad donde permanecen las personas arraigadas</w:t>
      </w:r>
      <w:r w:rsidR="0052552A" w:rsidRPr="005C1789">
        <w:rPr>
          <w:rFonts w:ascii="Verdana" w:hAnsi="Verdana"/>
          <w:sz w:val="20"/>
          <w:szCs w:val="20"/>
        </w:rPr>
        <w:t>”</w:t>
      </w:r>
      <w:r w:rsidR="005B7E6D" w:rsidRPr="005C1789">
        <w:rPr>
          <w:rFonts w:ascii="Verdana" w:hAnsi="Verdana"/>
          <w:sz w:val="20"/>
          <w:szCs w:val="20"/>
          <w:vertAlign w:val="superscript"/>
          <w:lang w:val="es-ES"/>
        </w:rPr>
        <w:footnoteReference w:id="132"/>
      </w:r>
      <w:r w:rsidR="005B7E6D" w:rsidRPr="005C1789">
        <w:rPr>
          <w:rFonts w:ascii="Verdana" w:hAnsi="Verdana"/>
          <w:sz w:val="20"/>
          <w:szCs w:val="20"/>
        </w:rPr>
        <w:t>.</w:t>
      </w:r>
    </w:p>
    <w:p w14:paraId="0E963A81" w14:textId="190ED742" w:rsidR="00120C4E" w:rsidRPr="005C1789" w:rsidRDefault="00120C4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Con respecto a lo anterior, cabe recordar que el SPT </w:t>
      </w:r>
      <w:r w:rsidR="00AE2CF9">
        <w:rPr>
          <w:rFonts w:ascii="Verdana" w:hAnsi="Verdana"/>
          <w:sz w:val="20"/>
          <w:szCs w:val="20"/>
        </w:rPr>
        <w:t>sostuvo</w:t>
      </w:r>
      <w:r w:rsidRPr="005C1789">
        <w:rPr>
          <w:rFonts w:ascii="Verdana" w:hAnsi="Verdana"/>
          <w:sz w:val="20"/>
          <w:szCs w:val="20"/>
        </w:rPr>
        <w:t xml:space="preserve"> que el arraigo se convierte en México en un limbo procesal por un tiempo que excede lo razonable, además de generar obstáculos a la defensa y a la determinación de la situación jurídica de la persona arraigada en condición de detención (cualquiera que sea la denominación que se le quiera dar a esa condición)</w:t>
      </w:r>
      <w:r w:rsidRPr="00C83518">
        <w:rPr>
          <w:rFonts w:ascii="Verdana" w:hAnsi="Verdana"/>
          <w:sz w:val="20"/>
          <w:szCs w:val="20"/>
          <w:vertAlign w:val="superscript"/>
          <w:lang w:val="es-ES"/>
        </w:rPr>
        <w:footnoteReference w:id="133"/>
      </w:r>
      <w:r w:rsidRPr="005C1789">
        <w:rPr>
          <w:rFonts w:ascii="Verdana" w:hAnsi="Verdana"/>
          <w:sz w:val="20"/>
          <w:szCs w:val="20"/>
        </w:rPr>
        <w:t>.</w:t>
      </w:r>
    </w:p>
    <w:p w14:paraId="245564F0" w14:textId="2F617A0B" w:rsidR="0059103A" w:rsidRPr="005C1789" w:rsidRDefault="00B57FF1" w:rsidP="00955888">
      <w:pPr>
        <w:pStyle w:val="Prrafodelista"/>
        <w:numPr>
          <w:ilvl w:val="0"/>
          <w:numId w:val="55"/>
        </w:numPr>
        <w:spacing w:before="240" w:after="240"/>
        <w:ind w:left="709" w:hanging="6"/>
        <w:contextualSpacing w:val="0"/>
        <w:jc w:val="both"/>
        <w:outlineLvl w:val="4"/>
        <w:rPr>
          <w:rFonts w:ascii="Verdana" w:hAnsi="Verdana"/>
          <w:i/>
          <w:iCs/>
          <w:sz w:val="20"/>
          <w:szCs w:val="20"/>
        </w:rPr>
      </w:pPr>
      <w:r w:rsidRPr="005C1789">
        <w:rPr>
          <w:rFonts w:ascii="Verdana" w:hAnsi="Verdana"/>
          <w:i/>
          <w:iCs/>
          <w:sz w:val="20"/>
          <w:szCs w:val="20"/>
        </w:rPr>
        <w:t xml:space="preserve"> </w:t>
      </w:r>
      <w:bookmarkStart w:id="102" w:name="_Toc123347541"/>
      <w:r w:rsidR="0059103A" w:rsidRPr="005C1789">
        <w:rPr>
          <w:rFonts w:ascii="Verdana" w:hAnsi="Verdana"/>
          <w:i/>
          <w:iCs/>
          <w:sz w:val="20"/>
          <w:szCs w:val="20"/>
        </w:rPr>
        <w:t>Conclusión</w:t>
      </w:r>
      <w:bookmarkEnd w:id="102"/>
      <w:r w:rsidR="0059103A" w:rsidRPr="005C1789">
        <w:rPr>
          <w:rFonts w:ascii="Verdana" w:hAnsi="Verdana"/>
          <w:i/>
          <w:iCs/>
          <w:sz w:val="20"/>
          <w:szCs w:val="20"/>
        </w:rPr>
        <w:t xml:space="preserve"> </w:t>
      </w:r>
    </w:p>
    <w:p w14:paraId="0CC4D8A7" w14:textId="5938004C" w:rsidR="00CA2898" w:rsidRPr="005C1789" w:rsidRDefault="00BD3EDB"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De conformidad con lo expresado, la figura del arraigo contenida </w:t>
      </w:r>
      <w:r w:rsidR="00182F4A" w:rsidRPr="005C1789">
        <w:rPr>
          <w:rFonts w:ascii="Verdana" w:hAnsi="Verdana"/>
          <w:sz w:val="20"/>
          <w:szCs w:val="20"/>
        </w:rPr>
        <w:t xml:space="preserve">en el </w:t>
      </w:r>
      <w:r w:rsidRPr="005C1789">
        <w:rPr>
          <w:rFonts w:ascii="Verdana" w:hAnsi="Verdana"/>
          <w:sz w:val="20"/>
          <w:szCs w:val="20"/>
        </w:rPr>
        <w:t>artículo 12 de la Ley Federal contra la Delincuencia de 1996</w:t>
      </w:r>
      <w:r w:rsidR="00821CB8" w:rsidRPr="005C1789">
        <w:rPr>
          <w:rFonts w:ascii="Verdana" w:hAnsi="Verdana"/>
          <w:sz w:val="20"/>
          <w:szCs w:val="20"/>
        </w:rPr>
        <w:t>,</w:t>
      </w:r>
      <w:r w:rsidRPr="005C1789">
        <w:rPr>
          <w:rFonts w:ascii="Verdana" w:hAnsi="Verdana"/>
          <w:sz w:val="20"/>
          <w:szCs w:val="20"/>
        </w:rPr>
        <w:t xml:space="preserve"> así como en el artículo 133 bis al Código Federal Procesal Penal de 1999 presentaba varias problemáticas a la luz de la Convención Americana puesto que: a) no permitía que la persona arraigada fuera oída por una autoridad judicial antes de que</w:t>
      </w:r>
      <w:r w:rsidR="0013722C" w:rsidRPr="005C1789">
        <w:rPr>
          <w:rFonts w:ascii="Verdana" w:hAnsi="Verdana"/>
          <w:sz w:val="20"/>
          <w:szCs w:val="20"/>
        </w:rPr>
        <w:t xml:space="preserve"> </w:t>
      </w:r>
      <w:r w:rsidR="00AA4495" w:rsidRPr="005C1789">
        <w:rPr>
          <w:rFonts w:ascii="Verdana" w:hAnsi="Verdana"/>
          <w:sz w:val="20"/>
          <w:szCs w:val="20"/>
        </w:rPr>
        <w:t>fuese</w:t>
      </w:r>
      <w:r w:rsidRPr="005C1789">
        <w:rPr>
          <w:rFonts w:ascii="Verdana" w:hAnsi="Verdana"/>
          <w:sz w:val="20"/>
          <w:szCs w:val="20"/>
        </w:rPr>
        <w:t xml:space="preserve"> decretada la medida que restringe su libertad personal o su libertad de circulación (</w:t>
      </w:r>
      <w:r w:rsidRPr="005C1789">
        <w:rPr>
          <w:rFonts w:ascii="Verdana" w:hAnsi="Verdana"/>
          <w:i/>
          <w:iCs/>
          <w:sz w:val="20"/>
          <w:szCs w:val="20"/>
        </w:rPr>
        <w:t>supra</w:t>
      </w:r>
      <w:r w:rsidRPr="005C1789">
        <w:rPr>
          <w:rFonts w:ascii="Verdana" w:hAnsi="Verdana"/>
          <w:sz w:val="20"/>
          <w:szCs w:val="20"/>
        </w:rPr>
        <w:t xml:space="preserve"> párr.</w:t>
      </w:r>
      <w:r w:rsidR="00F94BC7" w:rsidRPr="005C1789">
        <w:rPr>
          <w:rFonts w:ascii="Verdana" w:hAnsi="Verdana"/>
          <w:sz w:val="20"/>
          <w:szCs w:val="20"/>
        </w:rPr>
        <w:t xml:space="preserve"> 130</w:t>
      </w:r>
      <w:r w:rsidRPr="005C1789">
        <w:rPr>
          <w:rFonts w:ascii="Verdana" w:hAnsi="Verdana"/>
          <w:sz w:val="20"/>
          <w:szCs w:val="20"/>
        </w:rPr>
        <w:t xml:space="preserve">); b) </w:t>
      </w:r>
      <w:r w:rsidR="000440F8" w:rsidRPr="005C1789">
        <w:rPr>
          <w:rFonts w:ascii="Verdana" w:hAnsi="Verdana"/>
          <w:sz w:val="20"/>
          <w:szCs w:val="20"/>
        </w:rPr>
        <w:t xml:space="preserve">se </w:t>
      </w:r>
      <w:r w:rsidRPr="005C1789">
        <w:rPr>
          <w:rFonts w:ascii="Verdana" w:hAnsi="Verdana"/>
          <w:sz w:val="20"/>
          <w:szCs w:val="20"/>
        </w:rPr>
        <w:t>restring</w:t>
      </w:r>
      <w:r w:rsidR="00BD7C1B" w:rsidRPr="005C1789">
        <w:rPr>
          <w:rFonts w:ascii="Verdana" w:hAnsi="Verdana"/>
          <w:sz w:val="20"/>
          <w:szCs w:val="20"/>
        </w:rPr>
        <w:t>ía</w:t>
      </w:r>
      <w:r w:rsidRPr="005C1789">
        <w:rPr>
          <w:rFonts w:ascii="Verdana" w:hAnsi="Verdana"/>
          <w:sz w:val="20"/>
          <w:szCs w:val="20"/>
        </w:rPr>
        <w:t xml:space="preserve"> la libertad de una persona sin contar con elementos suficientes para vincularla formalmente a un delito concreto</w:t>
      </w:r>
      <w:r w:rsidR="00F94BC7" w:rsidRPr="005C1789">
        <w:rPr>
          <w:rFonts w:ascii="Verdana" w:hAnsi="Verdana"/>
          <w:sz w:val="20"/>
          <w:szCs w:val="20"/>
        </w:rPr>
        <w:t xml:space="preserve"> (</w:t>
      </w:r>
      <w:r w:rsidR="00F94BC7" w:rsidRPr="005C1789">
        <w:rPr>
          <w:rFonts w:ascii="Verdana" w:hAnsi="Verdana"/>
          <w:i/>
          <w:iCs/>
          <w:sz w:val="20"/>
          <w:szCs w:val="20"/>
        </w:rPr>
        <w:t>supra</w:t>
      </w:r>
      <w:r w:rsidR="00F94BC7" w:rsidRPr="005C1789">
        <w:rPr>
          <w:rFonts w:ascii="Verdana" w:hAnsi="Verdana"/>
          <w:sz w:val="20"/>
          <w:szCs w:val="20"/>
        </w:rPr>
        <w:t xml:space="preserve"> párr. </w:t>
      </w:r>
      <w:r w:rsidR="009C49C5" w:rsidRPr="005C1789">
        <w:rPr>
          <w:rFonts w:ascii="Verdana" w:hAnsi="Verdana"/>
          <w:sz w:val="20"/>
          <w:szCs w:val="20"/>
        </w:rPr>
        <w:t>125</w:t>
      </w:r>
      <w:r w:rsidR="00F94BC7" w:rsidRPr="005C1789">
        <w:rPr>
          <w:rFonts w:ascii="Verdana" w:hAnsi="Verdana"/>
          <w:sz w:val="20"/>
          <w:szCs w:val="20"/>
        </w:rPr>
        <w:t>)</w:t>
      </w:r>
      <w:r w:rsidRPr="005C1789">
        <w:rPr>
          <w:rFonts w:ascii="Verdana" w:hAnsi="Verdana"/>
          <w:sz w:val="20"/>
          <w:szCs w:val="20"/>
        </w:rPr>
        <w:t xml:space="preserve">; </w:t>
      </w:r>
      <w:r w:rsidR="00497006" w:rsidRPr="005C1789">
        <w:rPr>
          <w:rFonts w:ascii="Verdana" w:hAnsi="Verdana"/>
          <w:sz w:val="20"/>
          <w:szCs w:val="20"/>
        </w:rPr>
        <w:t>c</w:t>
      </w:r>
      <w:r w:rsidRPr="005C1789">
        <w:rPr>
          <w:rFonts w:ascii="Verdana" w:hAnsi="Verdana"/>
          <w:sz w:val="20"/>
          <w:szCs w:val="20"/>
        </w:rPr>
        <w:t xml:space="preserve">) </w:t>
      </w:r>
      <w:r w:rsidR="000440F8" w:rsidRPr="005C1789">
        <w:rPr>
          <w:rFonts w:ascii="Verdana" w:hAnsi="Verdana"/>
          <w:sz w:val="20"/>
          <w:szCs w:val="20"/>
        </w:rPr>
        <w:t xml:space="preserve">en el caso de la Ley Federal contra la Delincuencia de 1996, </w:t>
      </w:r>
      <w:r w:rsidRPr="005C1789">
        <w:rPr>
          <w:rFonts w:ascii="Verdana" w:hAnsi="Verdana"/>
          <w:iCs/>
          <w:sz w:val="20"/>
          <w:szCs w:val="20"/>
        </w:rPr>
        <w:t>la normatividad no se ref</w:t>
      </w:r>
      <w:r w:rsidR="00BD7C1B" w:rsidRPr="005C1789">
        <w:rPr>
          <w:rFonts w:ascii="Verdana" w:hAnsi="Verdana"/>
          <w:iCs/>
          <w:sz w:val="20"/>
          <w:szCs w:val="20"/>
        </w:rPr>
        <w:t>ería</w:t>
      </w:r>
      <w:r w:rsidRPr="005C1789">
        <w:rPr>
          <w:rFonts w:ascii="Verdana" w:hAnsi="Verdana"/>
          <w:iCs/>
          <w:sz w:val="20"/>
          <w:szCs w:val="20"/>
        </w:rPr>
        <w:t xml:space="preserve"> a los supuestos materiales que se deb</w:t>
      </w:r>
      <w:r w:rsidR="00C0570C" w:rsidRPr="005C1789">
        <w:rPr>
          <w:rFonts w:ascii="Verdana" w:hAnsi="Verdana"/>
          <w:iCs/>
          <w:sz w:val="20"/>
          <w:szCs w:val="20"/>
        </w:rPr>
        <w:t>ían</w:t>
      </w:r>
      <w:r w:rsidRPr="005C1789">
        <w:rPr>
          <w:rFonts w:ascii="Verdana" w:hAnsi="Verdana"/>
          <w:iCs/>
          <w:sz w:val="20"/>
          <w:szCs w:val="20"/>
        </w:rPr>
        <w:t xml:space="preserve"> cumplir para aplicar ese tipo de medidas restrictivas a la libertad personal y a la presunción de inocencia </w:t>
      </w:r>
      <w:r w:rsidRPr="005C1789">
        <w:rPr>
          <w:rFonts w:ascii="Verdana" w:hAnsi="Verdana"/>
          <w:sz w:val="20"/>
          <w:szCs w:val="20"/>
        </w:rPr>
        <w:t>(</w:t>
      </w:r>
      <w:r w:rsidRPr="005C1789">
        <w:rPr>
          <w:rFonts w:ascii="Verdana" w:hAnsi="Verdana"/>
          <w:i/>
          <w:iCs/>
          <w:sz w:val="20"/>
          <w:szCs w:val="20"/>
        </w:rPr>
        <w:t>supra</w:t>
      </w:r>
      <w:r w:rsidRPr="005C1789">
        <w:rPr>
          <w:rFonts w:ascii="Verdana" w:hAnsi="Verdana"/>
          <w:sz w:val="20"/>
          <w:szCs w:val="20"/>
        </w:rPr>
        <w:t xml:space="preserve"> párr.</w:t>
      </w:r>
      <w:r w:rsidR="00F94BC7" w:rsidRPr="005C1789">
        <w:rPr>
          <w:rFonts w:ascii="Verdana" w:hAnsi="Verdana"/>
          <w:sz w:val="20"/>
          <w:szCs w:val="20"/>
        </w:rPr>
        <w:t xml:space="preserve"> 14</w:t>
      </w:r>
      <w:r w:rsidR="0013120E" w:rsidRPr="005C1789">
        <w:rPr>
          <w:rFonts w:ascii="Verdana" w:hAnsi="Verdana"/>
          <w:sz w:val="20"/>
          <w:szCs w:val="20"/>
        </w:rPr>
        <w:t>2</w:t>
      </w:r>
      <w:r w:rsidRPr="005C1789">
        <w:rPr>
          <w:rFonts w:ascii="Verdana" w:hAnsi="Verdana"/>
          <w:sz w:val="20"/>
          <w:szCs w:val="20"/>
        </w:rPr>
        <w:t>)</w:t>
      </w:r>
      <w:r w:rsidR="00D56284">
        <w:rPr>
          <w:rFonts w:ascii="Verdana" w:hAnsi="Verdana"/>
          <w:iCs/>
          <w:sz w:val="20"/>
          <w:szCs w:val="20"/>
        </w:rPr>
        <w:t>;</w:t>
      </w:r>
      <w:r w:rsidR="001A39DD" w:rsidRPr="005C1789">
        <w:rPr>
          <w:rFonts w:ascii="Verdana" w:hAnsi="Verdana"/>
          <w:iCs/>
          <w:sz w:val="20"/>
          <w:szCs w:val="20"/>
        </w:rPr>
        <w:t xml:space="preserve"> </w:t>
      </w:r>
      <w:r w:rsidR="00497006" w:rsidRPr="005C1789">
        <w:rPr>
          <w:rFonts w:ascii="Verdana" w:hAnsi="Verdana"/>
          <w:iCs/>
          <w:sz w:val="20"/>
          <w:szCs w:val="20"/>
        </w:rPr>
        <w:t>d</w:t>
      </w:r>
      <w:r w:rsidRPr="005C1789">
        <w:rPr>
          <w:rFonts w:ascii="Verdana" w:hAnsi="Verdana"/>
          <w:iCs/>
          <w:sz w:val="20"/>
          <w:szCs w:val="20"/>
        </w:rPr>
        <w:t xml:space="preserve">) el objetivo de la medida restrictiva a la libertad prevista en el </w:t>
      </w:r>
      <w:r w:rsidRPr="005C1789">
        <w:rPr>
          <w:rFonts w:ascii="Verdana" w:hAnsi="Verdana"/>
          <w:sz w:val="20"/>
          <w:szCs w:val="20"/>
        </w:rPr>
        <w:t>artículo 12 de la Ley Federal contra la Delincuencia Organizada de 1996 no resulta</w:t>
      </w:r>
      <w:r w:rsidR="00BD7C1B" w:rsidRPr="005C1789">
        <w:rPr>
          <w:rFonts w:ascii="Verdana" w:hAnsi="Verdana"/>
          <w:sz w:val="20"/>
          <w:szCs w:val="20"/>
        </w:rPr>
        <w:t>ba</w:t>
      </w:r>
      <w:r w:rsidRPr="005C1789">
        <w:rPr>
          <w:rFonts w:ascii="Verdana" w:hAnsi="Verdana"/>
          <w:sz w:val="20"/>
          <w:szCs w:val="20"/>
        </w:rPr>
        <w:t xml:space="preserve"> compatible con las finalidades legítimas para la restricción a la libertad personal conforme a la jurisprudencia de esta Corte (</w:t>
      </w:r>
      <w:r w:rsidRPr="005C1789">
        <w:rPr>
          <w:rFonts w:ascii="Verdana" w:hAnsi="Verdana"/>
          <w:i/>
          <w:iCs/>
          <w:sz w:val="20"/>
          <w:szCs w:val="20"/>
        </w:rPr>
        <w:t>supra</w:t>
      </w:r>
      <w:r w:rsidRPr="005C1789">
        <w:rPr>
          <w:rFonts w:ascii="Verdana" w:hAnsi="Verdana"/>
          <w:sz w:val="20"/>
          <w:szCs w:val="20"/>
        </w:rPr>
        <w:t xml:space="preserve"> párr</w:t>
      </w:r>
      <w:r w:rsidR="0013120E" w:rsidRPr="005C1789">
        <w:rPr>
          <w:rFonts w:ascii="Verdana" w:hAnsi="Verdana"/>
          <w:sz w:val="20"/>
          <w:szCs w:val="20"/>
        </w:rPr>
        <w:t>. 144)</w:t>
      </w:r>
      <w:r w:rsidR="00D56284">
        <w:rPr>
          <w:rFonts w:ascii="Verdana" w:hAnsi="Verdana"/>
          <w:sz w:val="20"/>
          <w:szCs w:val="20"/>
        </w:rPr>
        <w:t xml:space="preserve">, y </w:t>
      </w:r>
      <w:proofErr w:type="spellStart"/>
      <w:r w:rsidR="00D56284">
        <w:rPr>
          <w:rFonts w:ascii="Verdana" w:hAnsi="Verdana"/>
          <w:sz w:val="20"/>
          <w:szCs w:val="20"/>
        </w:rPr>
        <w:t>e</w:t>
      </w:r>
      <w:proofErr w:type="spellEnd"/>
      <w:r w:rsidR="00D56284">
        <w:rPr>
          <w:rFonts w:ascii="Verdana" w:hAnsi="Verdana"/>
          <w:sz w:val="20"/>
          <w:szCs w:val="20"/>
        </w:rPr>
        <w:t xml:space="preserve">) afecta el </w:t>
      </w:r>
      <w:r w:rsidR="00D56284" w:rsidRPr="00D56284">
        <w:rPr>
          <w:rFonts w:ascii="Verdana" w:hAnsi="Verdana"/>
          <w:sz w:val="20"/>
          <w:szCs w:val="20"/>
        </w:rPr>
        <w:t>derecho a no declarar contra sí mismo de la persona arraigada</w:t>
      </w:r>
      <w:r w:rsidRPr="005C1789">
        <w:rPr>
          <w:rFonts w:ascii="Verdana" w:hAnsi="Verdana"/>
          <w:sz w:val="20"/>
          <w:szCs w:val="20"/>
        </w:rPr>
        <w:t xml:space="preserve"> </w:t>
      </w:r>
      <w:r w:rsidR="00D56284">
        <w:rPr>
          <w:rFonts w:ascii="Verdana" w:hAnsi="Verdana"/>
          <w:sz w:val="20"/>
          <w:szCs w:val="20"/>
        </w:rPr>
        <w:t>(</w:t>
      </w:r>
      <w:r w:rsidR="00D56284" w:rsidRPr="00D56284">
        <w:rPr>
          <w:rFonts w:ascii="Verdana" w:hAnsi="Verdana"/>
          <w:i/>
          <w:iCs/>
          <w:sz w:val="20"/>
          <w:szCs w:val="20"/>
        </w:rPr>
        <w:t>supra</w:t>
      </w:r>
      <w:r w:rsidR="00D56284">
        <w:rPr>
          <w:rFonts w:ascii="Verdana" w:hAnsi="Verdana"/>
          <w:sz w:val="20"/>
          <w:szCs w:val="20"/>
        </w:rPr>
        <w:t xml:space="preserve"> párr. 134). </w:t>
      </w:r>
      <w:r w:rsidRPr="005C1789">
        <w:rPr>
          <w:rFonts w:ascii="Verdana" w:hAnsi="Verdana"/>
          <w:sz w:val="20"/>
          <w:szCs w:val="20"/>
        </w:rPr>
        <w:t xml:space="preserve">Por otra parte, </w:t>
      </w:r>
      <w:r w:rsidR="00C675C8" w:rsidRPr="005C1789">
        <w:rPr>
          <w:rFonts w:ascii="Verdana" w:hAnsi="Verdana"/>
          <w:sz w:val="20"/>
          <w:szCs w:val="20"/>
        </w:rPr>
        <w:t>diversas</w:t>
      </w:r>
      <w:r w:rsidRPr="005C1789">
        <w:rPr>
          <w:rFonts w:ascii="Verdana" w:hAnsi="Verdana"/>
          <w:sz w:val="20"/>
          <w:szCs w:val="20"/>
        </w:rPr>
        <w:t xml:space="preserve"> instancias internas e internacionales se refirieron precisamente a estos puntos para concluir que la figura del arraigo resulta</w:t>
      </w:r>
      <w:r w:rsidR="00BD7C1B" w:rsidRPr="005C1789">
        <w:rPr>
          <w:rFonts w:ascii="Verdana" w:hAnsi="Verdana"/>
          <w:sz w:val="20"/>
          <w:szCs w:val="20"/>
        </w:rPr>
        <w:t>ba</w:t>
      </w:r>
      <w:r w:rsidRPr="005C1789">
        <w:rPr>
          <w:rFonts w:ascii="Verdana" w:hAnsi="Verdana"/>
          <w:sz w:val="20"/>
          <w:szCs w:val="20"/>
        </w:rPr>
        <w:t xml:space="preserve"> contraria a varios derechos fundamentales como el derecho a la libertad personal, al debido proceso o a la presunción de inocencia (</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párrs</w:t>
      </w:r>
      <w:proofErr w:type="spellEnd"/>
      <w:r w:rsidRPr="005C1789">
        <w:rPr>
          <w:rFonts w:ascii="Verdana" w:hAnsi="Verdana"/>
          <w:sz w:val="20"/>
          <w:szCs w:val="20"/>
        </w:rPr>
        <w:t>.</w:t>
      </w:r>
      <w:r w:rsidR="002768C9" w:rsidRPr="005C1789">
        <w:rPr>
          <w:rFonts w:ascii="Verdana" w:hAnsi="Verdana"/>
          <w:sz w:val="20"/>
          <w:szCs w:val="20"/>
        </w:rPr>
        <w:t xml:space="preserve"> </w:t>
      </w:r>
      <w:r w:rsidR="001A39DD" w:rsidRPr="005C1789">
        <w:rPr>
          <w:rFonts w:ascii="Verdana" w:hAnsi="Verdana"/>
          <w:sz w:val="20"/>
          <w:szCs w:val="20"/>
        </w:rPr>
        <w:t xml:space="preserve">149 </w:t>
      </w:r>
      <w:r w:rsidRPr="005C1789">
        <w:rPr>
          <w:rFonts w:ascii="Verdana" w:hAnsi="Verdana"/>
          <w:sz w:val="20"/>
          <w:szCs w:val="20"/>
        </w:rPr>
        <w:t xml:space="preserve">a </w:t>
      </w:r>
      <w:r w:rsidR="001A39DD" w:rsidRPr="005C1789">
        <w:rPr>
          <w:rFonts w:ascii="Verdana" w:hAnsi="Verdana"/>
          <w:sz w:val="20"/>
          <w:szCs w:val="20"/>
        </w:rPr>
        <w:t xml:space="preserve">155). </w:t>
      </w:r>
    </w:p>
    <w:p w14:paraId="3F3D5721" w14:textId="1910D1CB" w:rsidR="004345AD" w:rsidRPr="005C1789" w:rsidRDefault="00211063"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todos estos motivos, este Tribunal encuentra que </w:t>
      </w:r>
      <w:bookmarkStart w:id="103" w:name="_Hlk110927492"/>
      <w:r w:rsidR="00A51F53" w:rsidRPr="005C1789">
        <w:rPr>
          <w:rFonts w:ascii="Verdana" w:hAnsi="Verdana"/>
          <w:sz w:val="20"/>
          <w:szCs w:val="20"/>
        </w:rPr>
        <w:t xml:space="preserve">el artículo 12 de la Ley Federal contra la Delincuencia de 1996 así como el artículo 133 bis al Código Federal Procesal Penal de 1999 </w:t>
      </w:r>
      <w:bookmarkEnd w:id="103"/>
      <w:r w:rsidR="00A51F53" w:rsidRPr="005C1789">
        <w:rPr>
          <w:rFonts w:ascii="Verdana" w:hAnsi="Verdana"/>
          <w:sz w:val="20"/>
          <w:szCs w:val="20"/>
        </w:rPr>
        <w:t xml:space="preserve">que se refieren a la figura del arraigo, y que fueron </w:t>
      </w:r>
      <w:r w:rsidR="00712EBB" w:rsidRPr="005C1789">
        <w:rPr>
          <w:rFonts w:ascii="Verdana" w:hAnsi="Verdana"/>
          <w:sz w:val="20"/>
          <w:szCs w:val="20"/>
        </w:rPr>
        <w:t>aplicad</w:t>
      </w:r>
      <w:r w:rsidR="00712EBB">
        <w:rPr>
          <w:rFonts w:ascii="Verdana" w:hAnsi="Verdana"/>
          <w:sz w:val="20"/>
          <w:szCs w:val="20"/>
        </w:rPr>
        <w:t>o</w:t>
      </w:r>
      <w:r w:rsidR="00712EBB" w:rsidRPr="005C1789">
        <w:rPr>
          <w:rFonts w:ascii="Verdana" w:hAnsi="Verdana"/>
          <w:sz w:val="20"/>
          <w:szCs w:val="20"/>
        </w:rPr>
        <w:t xml:space="preserve">s </w:t>
      </w:r>
      <w:r w:rsidR="00A51F53" w:rsidRPr="005C1789">
        <w:rPr>
          <w:rFonts w:ascii="Verdana" w:hAnsi="Verdana"/>
          <w:sz w:val="20"/>
          <w:szCs w:val="20"/>
        </w:rPr>
        <w:t xml:space="preserve">en el presente caso, contenían cláusulas que, </w:t>
      </w:r>
      <w:r w:rsidR="00A51F53" w:rsidRPr="005C1789">
        <w:rPr>
          <w:rFonts w:ascii="Verdana" w:hAnsi="Verdana"/>
          <w:i/>
          <w:iCs/>
          <w:sz w:val="20"/>
          <w:szCs w:val="20"/>
        </w:rPr>
        <w:t>per se</w:t>
      </w:r>
      <w:r w:rsidR="00A51F53" w:rsidRPr="005C1789">
        <w:rPr>
          <w:rFonts w:ascii="Verdana" w:hAnsi="Verdana"/>
          <w:sz w:val="20"/>
          <w:szCs w:val="20"/>
        </w:rPr>
        <w:t xml:space="preserve">, </w:t>
      </w:r>
      <w:r w:rsidR="007D05AB" w:rsidRPr="005C1789">
        <w:rPr>
          <w:rFonts w:ascii="Verdana" w:hAnsi="Verdana"/>
          <w:sz w:val="20"/>
          <w:szCs w:val="20"/>
        </w:rPr>
        <w:t>son</w:t>
      </w:r>
      <w:r w:rsidR="00A51F53" w:rsidRPr="005C1789">
        <w:rPr>
          <w:rFonts w:ascii="Verdana" w:hAnsi="Verdana"/>
          <w:sz w:val="20"/>
          <w:szCs w:val="20"/>
        </w:rPr>
        <w:t xml:space="preserve"> contrarias a varios derechos establecidos en la Convención Americana, </w:t>
      </w:r>
      <w:r w:rsidR="00887E9F" w:rsidRPr="005C1789">
        <w:rPr>
          <w:rFonts w:ascii="Verdana" w:hAnsi="Verdana"/>
          <w:sz w:val="20"/>
          <w:szCs w:val="20"/>
        </w:rPr>
        <w:t>a saber:</w:t>
      </w:r>
      <w:r w:rsidR="00A51F53" w:rsidRPr="005C1789">
        <w:rPr>
          <w:rFonts w:ascii="Verdana" w:hAnsi="Verdana"/>
          <w:sz w:val="20"/>
          <w:szCs w:val="20"/>
        </w:rPr>
        <w:t xml:space="preserve"> el derecho</w:t>
      </w:r>
      <w:r w:rsidR="00023E34" w:rsidRPr="005C1789">
        <w:t xml:space="preserve"> </w:t>
      </w:r>
      <w:r w:rsidR="005F4FB2" w:rsidRPr="005C1789">
        <w:rPr>
          <w:rFonts w:ascii="Verdana" w:hAnsi="Verdana"/>
          <w:sz w:val="20"/>
          <w:szCs w:val="20"/>
        </w:rPr>
        <w:t xml:space="preserve">a no ser privado de la libertad arbitrariamente (art. 7.3), al control judicial de la privación de la libertad y la razonabilidad del plazo de la prisión preventiva (art. 7.5), </w:t>
      </w:r>
      <w:r w:rsidR="00782B27" w:rsidRPr="005C1789">
        <w:rPr>
          <w:rFonts w:ascii="Verdana" w:hAnsi="Verdana"/>
          <w:sz w:val="20"/>
          <w:szCs w:val="20"/>
        </w:rPr>
        <w:t>a ser oído (art. 8.1)</w:t>
      </w:r>
      <w:r w:rsidR="00047726">
        <w:rPr>
          <w:rFonts w:ascii="Verdana" w:hAnsi="Verdana"/>
          <w:sz w:val="20"/>
          <w:szCs w:val="20"/>
        </w:rPr>
        <w:t xml:space="preserve">, </w:t>
      </w:r>
      <w:r w:rsidR="005F4FB2" w:rsidRPr="005C1789">
        <w:rPr>
          <w:rFonts w:ascii="Verdana" w:hAnsi="Verdana"/>
          <w:sz w:val="20"/>
          <w:szCs w:val="20"/>
        </w:rPr>
        <w:t>a la presunción de inocencia (art. 8.2)</w:t>
      </w:r>
      <w:r w:rsidR="00047726">
        <w:rPr>
          <w:rFonts w:ascii="Verdana" w:hAnsi="Verdana"/>
          <w:sz w:val="20"/>
          <w:szCs w:val="20"/>
        </w:rPr>
        <w:t xml:space="preserve"> y a no declarar contra sí mismo (art.8.2.g)</w:t>
      </w:r>
      <w:r w:rsidR="005F4FB2" w:rsidRPr="005C1789">
        <w:rPr>
          <w:rFonts w:ascii="Verdana" w:hAnsi="Verdana"/>
          <w:sz w:val="20"/>
          <w:szCs w:val="20"/>
        </w:rPr>
        <w:t>.</w:t>
      </w:r>
      <w:r w:rsidR="00A51F53" w:rsidRPr="005C1789">
        <w:rPr>
          <w:rFonts w:ascii="Verdana" w:hAnsi="Verdana"/>
          <w:sz w:val="20"/>
          <w:szCs w:val="20"/>
        </w:rPr>
        <w:t xml:space="preserve"> </w:t>
      </w:r>
      <w:r w:rsidR="005F4FB2" w:rsidRPr="005C1789">
        <w:rPr>
          <w:rFonts w:ascii="Verdana" w:hAnsi="Verdana"/>
          <w:sz w:val="20"/>
          <w:szCs w:val="20"/>
        </w:rPr>
        <w:t xml:space="preserve">En esa medida, la Corte concluye que </w:t>
      </w:r>
      <w:r w:rsidR="005F4FB2" w:rsidRPr="005C1789">
        <w:rPr>
          <w:rFonts w:ascii="Verdana" w:hAnsi="Verdana"/>
          <w:sz w:val="20"/>
          <w:szCs w:val="20"/>
        </w:rPr>
        <w:lastRenderedPageBreak/>
        <w:t>el Estado vulneró su obligación de adoptar disposiciones de derecho interno</w:t>
      </w:r>
      <w:r w:rsidR="00824E88" w:rsidRPr="005C1789">
        <w:rPr>
          <w:rFonts w:ascii="Verdana" w:hAnsi="Verdana"/>
          <w:sz w:val="20"/>
          <w:szCs w:val="20"/>
        </w:rPr>
        <w:t xml:space="preserve"> contenida en el artículo 2 de la Convención Americana</w:t>
      </w:r>
      <w:r w:rsidR="00712EBB">
        <w:rPr>
          <w:rFonts w:ascii="Verdana" w:hAnsi="Verdana"/>
          <w:sz w:val="20"/>
          <w:szCs w:val="20"/>
        </w:rPr>
        <w:t>,</w:t>
      </w:r>
      <w:r w:rsidR="00824E88" w:rsidRPr="005C1789">
        <w:rPr>
          <w:rFonts w:ascii="Verdana" w:hAnsi="Verdana"/>
          <w:sz w:val="20"/>
          <w:szCs w:val="20"/>
        </w:rPr>
        <w:t xml:space="preserve"> en relación con el derecho a la libertad personal (artículo 7) y </w:t>
      </w:r>
      <w:r w:rsidR="005A4F7A">
        <w:rPr>
          <w:rFonts w:ascii="Verdana" w:hAnsi="Verdana"/>
          <w:sz w:val="20"/>
          <w:szCs w:val="20"/>
        </w:rPr>
        <w:t xml:space="preserve">el derecho a </w:t>
      </w:r>
      <w:r w:rsidR="00824E88" w:rsidRPr="005C1789">
        <w:rPr>
          <w:rFonts w:ascii="Verdana" w:hAnsi="Verdana"/>
          <w:sz w:val="20"/>
          <w:szCs w:val="20"/>
        </w:rPr>
        <w:t xml:space="preserve">la presunción de inocencia (artículo 8.2) </w:t>
      </w:r>
      <w:r w:rsidR="004D3E27">
        <w:rPr>
          <w:rFonts w:ascii="Verdana" w:hAnsi="Verdana"/>
          <w:sz w:val="20"/>
          <w:szCs w:val="20"/>
        </w:rPr>
        <w:t>establecidos en</w:t>
      </w:r>
      <w:r w:rsidR="00824E88" w:rsidRPr="005C1789">
        <w:rPr>
          <w:rFonts w:ascii="Verdana" w:hAnsi="Verdana"/>
          <w:sz w:val="20"/>
          <w:szCs w:val="20"/>
        </w:rPr>
        <w:t xml:space="preserve"> el mismo instrumento</w:t>
      </w:r>
      <w:r w:rsidR="004D3E27">
        <w:rPr>
          <w:rFonts w:ascii="Verdana" w:hAnsi="Verdana"/>
          <w:sz w:val="20"/>
          <w:szCs w:val="20"/>
        </w:rPr>
        <w:t>,</w:t>
      </w:r>
      <w:r w:rsidR="003D0928" w:rsidRPr="005C1789">
        <w:rPr>
          <w:rFonts w:ascii="Verdana" w:hAnsi="Verdana"/>
          <w:sz w:val="20"/>
          <w:szCs w:val="20"/>
        </w:rPr>
        <w:t xml:space="preserve"> en perjuicio de </w:t>
      </w:r>
      <w:r w:rsidR="005A66C7" w:rsidRPr="005C1789">
        <w:rPr>
          <w:rFonts w:ascii="Verdana" w:hAnsi="Verdana"/>
          <w:sz w:val="20"/>
          <w:szCs w:val="20"/>
        </w:rPr>
        <w:t xml:space="preserve">Jorge Marcial y Gerardo </w:t>
      </w:r>
      <w:proofErr w:type="spellStart"/>
      <w:r w:rsidR="005A66C7" w:rsidRPr="005C1789">
        <w:rPr>
          <w:rFonts w:ascii="Verdana" w:hAnsi="Verdana"/>
          <w:sz w:val="20"/>
          <w:szCs w:val="20"/>
        </w:rPr>
        <w:t>Tzompaxtle</w:t>
      </w:r>
      <w:proofErr w:type="spellEnd"/>
      <w:r w:rsidR="005A66C7" w:rsidRPr="005C1789">
        <w:rPr>
          <w:rFonts w:ascii="Verdana" w:hAnsi="Verdana"/>
          <w:sz w:val="20"/>
          <w:szCs w:val="20"/>
        </w:rPr>
        <w:t xml:space="preserve"> </w:t>
      </w:r>
      <w:proofErr w:type="spellStart"/>
      <w:r w:rsidR="005A66C7" w:rsidRPr="005C1789">
        <w:rPr>
          <w:rFonts w:ascii="Verdana" w:hAnsi="Verdana"/>
          <w:sz w:val="20"/>
          <w:szCs w:val="20"/>
        </w:rPr>
        <w:t>Tecpile</w:t>
      </w:r>
      <w:proofErr w:type="spellEnd"/>
      <w:r w:rsidR="005A66C7" w:rsidRPr="005C1789">
        <w:rPr>
          <w:rFonts w:ascii="Verdana" w:hAnsi="Verdana"/>
          <w:sz w:val="20"/>
          <w:szCs w:val="20"/>
        </w:rPr>
        <w:t>, y Gustavo Robles López</w:t>
      </w:r>
      <w:r w:rsidR="00824E88" w:rsidRPr="005C1789">
        <w:rPr>
          <w:rFonts w:ascii="Verdana" w:hAnsi="Verdana"/>
          <w:sz w:val="20"/>
          <w:szCs w:val="20"/>
        </w:rPr>
        <w:t xml:space="preserve">. </w:t>
      </w:r>
    </w:p>
    <w:p w14:paraId="14F0A100" w14:textId="44CFB1B8" w:rsidR="00B47600" w:rsidRPr="005C1789" w:rsidRDefault="00215137" w:rsidP="00955888">
      <w:pPr>
        <w:numPr>
          <w:ilvl w:val="0"/>
          <w:numId w:val="57"/>
        </w:numPr>
        <w:spacing w:before="240" w:after="240"/>
        <w:jc w:val="both"/>
        <w:outlineLvl w:val="3"/>
        <w:rPr>
          <w:rFonts w:ascii="Verdana" w:hAnsi="Verdana"/>
          <w:i/>
          <w:sz w:val="20"/>
          <w:szCs w:val="20"/>
        </w:rPr>
      </w:pPr>
      <w:bookmarkStart w:id="104" w:name="_Toc123347542"/>
      <w:r w:rsidRPr="005C1789">
        <w:rPr>
          <w:rFonts w:ascii="Verdana" w:hAnsi="Verdana"/>
          <w:i/>
          <w:sz w:val="20"/>
          <w:szCs w:val="20"/>
        </w:rPr>
        <w:t>La prisión preventiva</w:t>
      </w:r>
      <w:bookmarkEnd w:id="104"/>
      <w:r w:rsidRPr="005C1789">
        <w:rPr>
          <w:rFonts w:ascii="Verdana" w:hAnsi="Verdana"/>
          <w:i/>
          <w:sz w:val="20"/>
          <w:szCs w:val="20"/>
        </w:rPr>
        <w:t xml:space="preserve"> </w:t>
      </w:r>
    </w:p>
    <w:p w14:paraId="26A27B3F" w14:textId="15FA5075" w:rsidR="006D20F9" w:rsidRPr="005C1789" w:rsidRDefault="006D20F9"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El alegato de los representantes se refiere a la figura de la prisión preventiva</w:t>
      </w:r>
      <w:r w:rsidR="007D05AB" w:rsidRPr="005C1789">
        <w:rPr>
          <w:rFonts w:ascii="Verdana" w:hAnsi="Verdana"/>
          <w:sz w:val="20"/>
          <w:szCs w:val="20"/>
        </w:rPr>
        <w:t xml:space="preserve"> </w:t>
      </w:r>
      <w:r w:rsidR="00F50A15" w:rsidRPr="005C1789">
        <w:rPr>
          <w:rFonts w:ascii="Verdana" w:hAnsi="Verdana"/>
          <w:sz w:val="20"/>
          <w:szCs w:val="20"/>
        </w:rPr>
        <w:t xml:space="preserve">oficiosa </w:t>
      </w:r>
      <w:r w:rsidRPr="005C1789">
        <w:rPr>
          <w:rFonts w:ascii="Verdana" w:hAnsi="Verdana"/>
          <w:sz w:val="20"/>
          <w:szCs w:val="20"/>
        </w:rPr>
        <w:t>que</w:t>
      </w:r>
      <w:r w:rsidR="00DD3939" w:rsidRPr="005C1789">
        <w:rPr>
          <w:rFonts w:ascii="Verdana" w:hAnsi="Verdana"/>
          <w:sz w:val="20"/>
          <w:szCs w:val="20"/>
        </w:rPr>
        <w:t>,</w:t>
      </w:r>
      <w:r w:rsidRPr="005C1789">
        <w:rPr>
          <w:rFonts w:ascii="Verdana" w:hAnsi="Verdana"/>
          <w:sz w:val="20"/>
          <w:szCs w:val="20"/>
        </w:rPr>
        <w:t xml:space="preserve"> según arguyen, sería contraria a varias disposiciones de la Convención Americana. La Corte advierte que </w:t>
      </w:r>
      <w:r w:rsidR="00F50A15" w:rsidRPr="005C1789">
        <w:rPr>
          <w:rFonts w:ascii="Verdana" w:hAnsi="Verdana"/>
          <w:sz w:val="20"/>
          <w:szCs w:val="20"/>
        </w:rPr>
        <w:t>esta figura no fue aplicada al caso concreto</w:t>
      </w:r>
      <w:r w:rsidR="00B47600" w:rsidRPr="005C1789">
        <w:rPr>
          <w:rFonts w:ascii="Verdana" w:hAnsi="Verdana"/>
          <w:sz w:val="20"/>
          <w:szCs w:val="20"/>
        </w:rPr>
        <w:t>, por esta razón no corresponde entrar en su análisis</w:t>
      </w:r>
      <w:r w:rsidR="00F50A15" w:rsidRPr="005C1789">
        <w:rPr>
          <w:rFonts w:ascii="Verdana" w:hAnsi="Verdana"/>
          <w:sz w:val="20"/>
          <w:szCs w:val="20"/>
        </w:rPr>
        <w:t>. L</w:t>
      </w:r>
      <w:r w:rsidRPr="005C1789">
        <w:rPr>
          <w:rFonts w:ascii="Verdana" w:hAnsi="Verdana"/>
          <w:sz w:val="20"/>
          <w:szCs w:val="20"/>
        </w:rPr>
        <w:t xml:space="preserve">a figura de la prisión </w:t>
      </w:r>
      <w:proofErr w:type="gramStart"/>
      <w:r w:rsidRPr="005C1789">
        <w:rPr>
          <w:rFonts w:ascii="Verdana" w:hAnsi="Verdana"/>
          <w:sz w:val="20"/>
          <w:szCs w:val="20"/>
        </w:rPr>
        <w:t>preventiva,</w:t>
      </w:r>
      <w:proofErr w:type="gramEnd"/>
      <w:r w:rsidRPr="005C1789">
        <w:rPr>
          <w:rFonts w:ascii="Verdana" w:hAnsi="Verdana"/>
          <w:sz w:val="20"/>
          <w:szCs w:val="20"/>
        </w:rPr>
        <w:t xml:space="preserve"> se encuentra actualmente establecida en </w:t>
      </w:r>
      <w:r w:rsidR="006B094D" w:rsidRPr="005C1789">
        <w:rPr>
          <w:rFonts w:ascii="Verdana" w:hAnsi="Verdana"/>
          <w:sz w:val="20"/>
          <w:szCs w:val="20"/>
        </w:rPr>
        <w:t>diversos</w:t>
      </w:r>
      <w:r w:rsidRPr="005C1789">
        <w:rPr>
          <w:rFonts w:ascii="Verdana" w:hAnsi="Verdana"/>
          <w:sz w:val="20"/>
          <w:szCs w:val="20"/>
        </w:rPr>
        <w:t xml:space="preserve"> cuerpos normativos internos de México (</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párrs</w:t>
      </w:r>
      <w:proofErr w:type="spellEnd"/>
      <w:r w:rsidRPr="005C1789">
        <w:rPr>
          <w:rFonts w:ascii="Verdana" w:hAnsi="Verdana"/>
          <w:sz w:val="20"/>
          <w:szCs w:val="20"/>
        </w:rPr>
        <w:t xml:space="preserve">. </w:t>
      </w:r>
      <w:r w:rsidR="009C690B" w:rsidRPr="005C1789">
        <w:rPr>
          <w:rFonts w:ascii="Verdana" w:hAnsi="Verdana"/>
          <w:sz w:val="20"/>
          <w:szCs w:val="20"/>
        </w:rPr>
        <w:t>42</w:t>
      </w:r>
      <w:r w:rsidRPr="005C1789">
        <w:rPr>
          <w:rFonts w:ascii="Verdana" w:hAnsi="Verdana"/>
          <w:sz w:val="20"/>
          <w:szCs w:val="20"/>
        </w:rPr>
        <w:t xml:space="preserve"> a </w:t>
      </w:r>
      <w:r w:rsidR="009C690B" w:rsidRPr="005C1789">
        <w:rPr>
          <w:rFonts w:ascii="Verdana" w:hAnsi="Verdana"/>
          <w:sz w:val="20"/>
          <w:szCs w:val="20"/>
        </w:rPr>
        <w:t>46</w:t>
      </w:r>
      <w:r w:rsidRPr="005C1789">
        <w:rPr>
          <w:rFonts w:ascii="Verdana" w:hAnsi="Verdana"/>
          <w:sz w:val="20"/>
          <w:szCs w:val="20"/>
        </w:rPr>
        <w:t>). A su vez, esas disposiciones de derecho interno que contienen esa figura fueron variando a lo largo del tiempo</w:t>
      </w:r>
      <w:r w:rsidRPr="005C1789">
        <w:rPr>
          <w:rFonts w:ascii="Verdana" w:hAnsi="Verdana"/>
          <w:sz w:val="20"/>
          <w:szCs w:val="20"/>
          <w:vertAlign w:val="superscript"/>
          <w:lang w:val="es-ES"/>
        </w:rPr>
        <w:footnoteReference w:id="134"/>
      </w:r>
      <w:r w:rsidRPr="005C1789">
        <w:rPr>
          <w:rFonts w:ascii="Verdana" w:hAnsi="Verdana"/>
          <w:sz w:val="20"/>
          <w:szCs w:val="20"/>
        </w:rPr>
        <w:t xml:space="preserve">. En el presente caso, al momento en que se produjeron los hechos, </w:t>
      </w:r>
      <w:r w:rsidR="005465BE" w:rsidRPr="005C1789">
        <w:rPr>
          <w:rFonts w:ascii="Verdana" w:hAnsi="Verdana"/>
          <w:sz w:val="20"/>
          <w:szCs w:val="20"/>
        </w:rPr>
        <w:t xml:space="preserve">el Código Federal Procesal Penal de 1999 se refería a la prisión preventiva en sus artículos 161 y 168 </w:t>
      </w:r>
      <w:r w:rsidRPr="005C1789">
        <w:rPr>
          <w:rFonts w:ascii="Verdana" w:hAnsi="Verdana"/>
          <w:sz w:val="20"/>
          <w:szCs w:val="20"/>
        </w:rPr>
        <w:t>(</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párrs</w:t>
      </w:r>
      <w:proofErr w:type="spellEnd"/>
      <w:r w:rsidRPr="005C1789">
        <w:rPr>
          <w:rFonts w:ascii="Verdana" w:hAnsi="Verdana"/>
          <w:sz w:val="20"/>
          <w:szCs w:val="20"/>
        </w:rPr>
        <w:t xml:space="preserve">. </w:t>
      </w:r>
      <w:r w:rsidR="00C61317" w:rsidRPr="005C1789">
        <w:rPr>
          <w:rFonts w:ascii="Verdana" w:hAnsi="Verdana"/>
          <w:sz w:val="20"/>
          <w:szCs w:val="20"/>
        </w:rPr>
        <w:t xml:space="preserve">43 </w:t>
      </w:r>
      <w:r w:rsidRPr="005C1789">
        <w:rPr>
          <w:rFonts w:ascii="Verdana" w:hAnsi="Verdana"/>
          <w:sz w:val="20"/>
          <w:szCs w:val="20"/>
        </w:rPr>
        <w:t>a</w:t>
      </w:r>
      <w:r w:rsidR="00023E34" w:rsidRPr="005C1789">
        <w:rPr>
          <w:rFonts w:ascii="Verdana" w:hAnsi="Verdana"/>
          <w:sz w:val="20"/>
          <w:szCs w:val="20"/>
        </w:rPr>
        <w:t xml:space="preserve"> </w:t>
      </w:r>
      <w:r w:rsidR="00C61317" w:rsidRPr="005C1789">
        <w:rPr>
          <w:rFonts w:ascii="Verdana" w:hAnsi="Verdana"/>
          <w:sz w:val="20"/>
          <w:szCs w:val="20"/>
        </w:rPr>
        <w:t>44</w:t>
      </w:r>
      <w:r w:rsidR="00633BB0" w:rsidRPr="005C1789">
        <w:rPr>
          <w:rFonts w:ascii="Verdana" w:hAnsi="Verdana"/>
          <w:sz w:val="20"/>
          <w:szCs w:val="20"/>
        </w:rPr>
        <w:t xml:space="preserve">). </w:t>
      </w:r>
      <w:r w:rsidR="00F54095" w:rsidRPr="005C1789">
        <w:rPr>
          <w:rFonts w:ascii="Verdana" w:hAnsi="Verdana"/>
          <w:sz w:val="20"/>
          <w:szCs w:val="20"/>
        </w:rPr>
        <w:t xml:space="preserve">Es recién a partir del año </w:t>
      </w:r>
      <w:r w:rsidR="00633BB0" w:rsidRPr="005C1789">
        <w:rPr>
          <w:rFonts w:ascii="Verdana" w:hAnsi="Verdana"/>
          <w:sz w:val="20"/>
          <w:szCs w:val="20"/>
        </w:rPr>
        <w:t>2011</w:t>
      </w:r>
      <w:r w:rsidR="00962FD0" w:rsidRPr="005C1789">
        <w:rPr>
          <w:rFonts w:ascii="Verdana" w:hAnsi="Verdana"/>
          <w:sz w:val="20"/>
          <w:szCs w:val="20"/>
        </w:rPr>
        <w:t>,</w:t>
      </w:r>
      <w:r w:rsidR="00F54095" w:rsidRPr="005C1789">
        <w:rPr>
          <w:rFonts w:ascii="Verdana" w:hAnsi="Verdana"/>
          <w:sz w:val="20"/>
          <w:szCs w:val="20"/>
        </w:rPr>
        <w:t xml:space="preserve"> que la llamada prisión preventiva oficiosa fue introducida en el régimen jurídico mexicano (</w:t>
      </w:r>
      <w:r w:rsidR="00F54095" w:rsidRPr="005C1789">
        <w:rPr>
          <w:rFonts w:ascii="Verdana" w:hAnsi="Verdana"/>
          <w:i/>
          <w:iCs/>
          <w:sz w:val="20"/>
          <w:szCs w:val="20"/>
        </w:rPr>
        <w:t>supra</w:t>
      </w:r>
      <w:r w:rsidR="00F54095" w:rsidRPr="005C1789">
        <w:rPr>
          <w:rFonts w:ascii="Verdana" w:hAnsi="Verdana"/>
          <w:sz w:val="20"/>
          <w:szCs w:val="20"/>
        </w:rPr>
        <w:t xml:space="preserve"> párr. </w:t>
      </w:r>
      <w:r w:rsidR="00633BB0" w:rsidRPr="005C1789">
        <w:rPr>
          <w:rFonts w:ascii="Verdana" w:hAnsi="Verdana"/>
          <w:sz w:val="20"/>
          <w:szCs w:val="20"/>
        </w:rPr>
        <w:t xml:space="preserve">45). </w:t>
      </w:r>
      <w:r w:rsidR="00782B27" w:rsidRPr="005C1789">
        <w:rPr>
          <w:rFonts w:ascii="Verdana" w:hAnsi="Verdana"/>
          <w:sz w:val="20"/>
          <w:szCs w:val="20"/>
        </w:rPr>
        <w:t>En el presente acápite, la Corte centrará su análisis en la figura de la prisión preventiva que fue aplicada al caso concreto.</w:t>
      </w:r>
    </w:p>
    <w:p w14:paraId="425EEB0A" w14:textId="01EA7C15" w:rsidR="006D20F9" w:rsidRPr="005C1789" w:rsidRDefault="006D20F9"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Al respecto, la Corte recuerda que</w:t>
      </w:r>
      <w:r w:rsidR="00B44DC3" w:rsidRPr="005C1789">
        <w:rPr>
          <w:rFonts w:ascii="Verdana" w:hAnsi="Verdana"/>
          <w:sz w:val="20"/>
          <w:szCs w:val="20"/>
        </w:rPr>
        <w:t>,</w:t>
      </w:r>
      <w:r w:rsidRPr="005C1789">
        <w:rPr>
          <w:rFonts w:ascii="Verdana" w:hAnsi="Verdana"/>
          <w:sz w:val="20"/>
          <w:szCs w:val="20"/>
        </w:rPr>
        <w:t xml:space="preserve"> desde </w:t>
      </w:r>
      <w:r w:rsidR="005465BE" w:rsidRPr="005C1789">
        <w:rPr>
          <w:rFonts w:ascii="Verdana" w:hAnsi="Verdana"/>
          <w:sz w:val="20"/>
          <w:szCs w:val="20"/>
        </w:rPr>
        <w:t>el</w:t>
      </w:r>
      <w:r w:rsidRPr="005C1789">
        <w:rPr>
          <w:rFonts w:ascii="Verdana" w:hAnsi="Verdana"/>
          <w:sz w:val="20"/>
          <w:szCs w:val="20"/>
        </w:rPr>
        <w:t xml:space="preserve"> 22 de abril de 2006</w:t>
      </w:r>
      <w:r w:rsidR="005465BE" w:rsidRPr="005C1789">
        <w:rPr>
          <w:rFonts w:ascii="Verdana" w:hAnsi="Verdana"/>
          <w:sz w:val="20"/>
          <w:szCs w:val="20"/>
        </w:rPr>
        <w:t xml:space="preserve"> al </w:t>
      </w:r>
      <w:r w:rsidR="00B11645" w:rsidRPr="005C1789">
        <w:rPr>
          <w:rFonts w:ascii="Verdana" w:hAnsi="Verdana"/>
          <w:sz w:val="20"/>
          <w:szCs w:val="20"/>
        </w:rPr>
        <w:t>16 de octubre de 2008</w:t>
      </w:r>
      <w:r w:rsidRPr="005C1789">
        <w:rPr>
          <w:rFonts w:ascii="Verdana" w:hAnsi="Verdana"/>
          <w:sz w:val="20"/>
          <w:szCs w:val="20"/>
        </w:rPr>
        <w:t xml:space="preserve">, las víctimas estuvieron privadas </w:t>
      </w:r>
      <w:r w:rsidR="005B72A1" w:rsidRPr="005C1789">
        <w:rPr>
          <w:rFonts w:ascii="Verdana" w:hAnsi="Verdana"/>
          <w:sz w:val="20"/>
          <w:szCs w:val="20"/>
        </w:rPr>
        <w:t>de</w:t>
      </w:r>
      <w:r w:rsidR="00BB0035" w:rsidRPr="005C1789">
        <w:rPr>
          <w:rFonts w:ascii="Verdana" w:hAnsi="Verdana"/>
          <w:sz w:val="20"/>
          <w:szCs w:val="20"/>
        </w:rPr>
        <w:t xml:space="preserve"> la</w:t>
      </w:r>
      <w:r w:rsidR="005B72A1" w:rsidRPr="005C1789">
        <w:rPr>
          <w:rFonts w:ascii="Verdana" w:hAnsi="Verdana"/>
          <w:sz w:val="20"/>
          <w:szCs w:val="20"/>
        </w:rPr>
        <w:t xml:space="preserve"> libertad</w:t>
      </w:r>
      <w:r w:rsidRPr="005C1789">
        <w:rPr>
          <w:rFonts w:ascii="Verdana" w:hAnsi="Verdana"/>
          <w:sz w:val="20"/>
          <w:szCs w:val="20"/>
        </w:rPr>
        <w:t xml:space="preserve"> </w:t>
      </w:r>
      <w:r w:rsidR="005465BE" w:rsidRPr="005C1789">
        <w:rPr>
          <w:rFonts w:ascii="Verdana" w:hAnsi="Verdana"/>
          <w:sz w:val="20"/>
          <w:szCs w:val="20"/>
        </w:rPr>
        <w:t>en prisión preventiva</w:t>
      </w:r>
      <w:r w:rsidRPr="005C1789">
        <w:rPr>
          <w:rFonts w:ascii="Verdana" w:hAnsi="Verdana"/>
          <w:sz w:val="20"/>
          <w:szCs w:val="20"/>
        </w:rPr>
        <w:t xml:space="preserve">, y que la decisión judicial que dispuso la aplicación de </w:t>
      </w:r>
      <w:r w:rsidR="00B44DC3" w:rsidRPr="005C1789">
        <w:rPr>
          <w:rFonts w:ascii="Verdana" w:hAnsi="Verdana"/>
          <w:sz w:val="20"/>
          <w:szCs w:val="20"/>
        </w:rPr>
        <w:t>esta</w:t>
      </w:r>
      <w:r w:rsidRPr="005C1789">
        <w:rPr>
          <w:rFonts w:ascii="Verdana" w:hAnsi="Verdana"/>
          <w:sz w:val="20"/>
          <w:szCs w:val="20"/>
        </w:rPr>
        <w:t xml:space="preserve"> se refiere </w:t>
      </w:r>
      <w:r w:rsidR="005465BE" w:rsidRPr="005C1789">
        <w:rPr>
          <w:rFonts w:ascii="Verdana" w:hAnsi="Verdana"/>
          <w:sz w:val="20"/>
          <w:szCs w:val="20"/>
        </w:rPr>
        <w:t>a los artículo</w:t>
      </w:r>
      <w:r w:rsidR="00B44DC3" w:rsidRPr="005C1789">
        <w:rPr>
          <w:rFonts w:ascii="Verdana" w:hAnsi="Verdana"/>
          <w:sz w:val="20"/>
          <w:szCs w:val="20"/>
        </w:rPr>
        <w:t>s</w:t>
      </w:r>
      <w:r w:rsidR="005465BE" w:rsidRPr="005C1789">
        <w:rPr>
          <w:rFonts w:ascii="Verdana" w:hAnsi="Verdana"/>
          <w:sz w:val="20"/>
          <w:szCs w:val="20"/>
        </w:rPr>
        <w:t xml:space="preserve"> 161 y 168 </w:t>
      </w:r>
      <w:r w:rsidR="00B44DC3" w:rsidRPr="005C1789">
        <w:rPr>
          <w:rFonts w:ascii="Verdana" w:hAnsi="Verdana"/>
          <w:sz w:val="20"/>
          <w:szCs w:val="20"/>
        </w:rPr>
        <w:t xml:space="preserve">del </w:t>
      </w:r>
      <w:r w:rsidR="005465BE" w:rsidRPr="005C1789">
        <w:rPr>
          <w:rFonts w:ascii="Verdana" w:hAnsi="Verdana"/>
          <w:sz w:val="20"/>
          <w:szCs w:val="20"/>
        </w:rPr>
        <w:t>Código Federal Procesal Penal de 1999</w:t>
      </w:r>
      <w:r w:rsidRPr="005C1789">
        <w:rPr>
          <w:rFonts w:ascii="Verdana" w:hAnsi="Verdana"/>
          <w:sz w:val="20"/>
          <w:szCs w:val="20"/>
          <w:vertAlign w:val="superscript"/>
          <w:lang w:val="es-ES"/>
        </w:rPr>
        <w:footnoteReference w:id="135"/>
      </w:r>
      <w:r w:rsidRPr="005C1789">
        <w:rPr>
          <w:rFonts w:ascii="Verdana" w:hAnsi="Verdana"/>
          <w:sz w:val="20"/>
          <w:szCs w:val="20"/>
        </w:rPr>
        <w:t xml:space="preserve"> (</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w:t>
      </w:r>
      <w:r w:rsidR="00712EBB">
        <w:rPr>
          <w:rFonts w:ascii="Verdana" w:hAnsi="Verdana"/>
          <w:sz w:val="20"/>
          <w:szCs w:val="20"/>
        </w:rPr>
        <w:t>s</w:t>
      </w:r>
      <w:proofErr w:type="spellEnd"/>
      <w:r w:rsidRPr="005C1789">
        <w:rPr>
          <w:rFonts w:ascii="Verdana" w:hAnsi="Verdana"/>
          <w:sz w:val="20"/>
          <w:szCs w:val="20"/>
        </w:rPr>
        <w:t xml:space="preserve">. </w:t>
      </w:r>
      <w:r w:rsidR="00B30FDF" w:rsidRPr="005C1789">
        <w:rPr>
          <w:rFonts w:ascii="Verdana" w:hAnsi="Verdana"/>
          <w:sz w:val="20"/>
          <w:szCs w:val="20"/>
        </w:rPr>
        <w:t>43</w:t>
      </w:r>
      <w:r w:rsidRPr="005C1789">
        <w:rPr>
          <w:rFonts w:ascii="Verdana" w:hAnsi="Verdana"/>
          <w:sz w:val="20"/>
          <w:szCs w:val="20"/>
        </w:rPr>
        <w:t xml:space="preserve"> </w:t>
      </w:r>
      <w:r w:rsidR="00B30FDF" w:rsidRPr="005C1789">
        <w:rPr>
          <w:rFonts w:ascii="Verdana" w:hAnsi="Verdana"/>
          <w:sz w:val="20"/>
          <w:szCs w:val="20"/>
        </w:rPr>
        <w:t>y</w:t>
      </w:r>
      <w:r w:rsidRPr="005C1789">
        <w:rPr>
          <w:rFonts w:ascii="Verdana" w:hAnsi="Verdana"/>
          <w:sz w:val="20"/>
          <w:szCs w:val="20"/>
        </w:rPr>
        <w:t xml:space="preserve"> </w:t>
      </w:r>
      <w:r w:rsidR="009C690B" w:rsidRPr="005C1789">
        <w:rPr>
          <w:rFonts w:ascii="Verdana" w:hAnsi="Verdana"/>
          <w:sz w:val="20"/>
          <w:szCs w:val="20"/>
        </w:rPr>
        <w:t>44</w:t>
      </w:r>
      <w:r w:rsidRPr="005C1789">
        <w:rPr>
          <w:rFonts w:ascii="Verdana" w:hAnsi="Verdana"/>
          <w:sz w:val="20"/>
          <w:szCs w:val="20"/>
        </w:rPr>
        <w:t>)</w:t>
      </w:r>
      <w:r w:rsidRPr="005C1789">
        <w:rPr>
          <w:rFonts w:ascii="Verdana" w:eastAsia="Calibri" w:hAnsi="Verdana" w:cs="Arial"/>
          <w:bCs/>
          <w:sz w:val="20"/>
          <w:szCs w:val="20"/>
          <w:lang w:eastAsia="es-CR"/>
        </w:rPr>
        <w:t>.</w:t>
      </w:r>
      <w:r w:rsidRPr="005C1789">
        <w:rPr>
          <w:rFonts w:ascii="Verdana" w:hAnsi="Verdana"/>
          <w:sz w:val="20"/>
          <w:szCs w:val="20"/>
        </w:rPr>
        <w:t xml:space="preserve"> </w:t>
      </w:r>
    </w:p>
    <w:p w14:paraId="01D27E46" w14:textId="42E5C0A3" w:rsidR="006D20F9" w:rsidRPr="005C1789" w:rsidRDefault="00603147" w:rsidP="00955888">
      <w:pPr>
        <w:numPr>
          <w:ilvl w:val="0"/>
          <w:numId w:val="2"/>
        </w:numPr>
        <w:spacing w:before="120" w:after="120"/>
        <w:ind w:left="0" w:firstLine="0"/>
        <w:jc w:val="both"/>
        <w:rPr>
          <w:rFonts w:ascii="Verdana" w:eastAsia="Calibri" w:hAnsi="Verdana" w:cs="Arial"/>
          <w:bCs/>
          <w:i/>
          <w:iCs/>
          <w:sz w:val="20"/>
          <w:szCs w:val="20"/>
          <w:lang w:eastAsia="es-CR"/>
        </w:rPr>
      </w:pPr>
      <w:r w:rsidRPr="005C1789">
        <w:rPr>
          <w:rFonts w:ascii="Verdana" w:eastAsia="Calibri" w:hAnsi="Verdana" w:cs="Arial"/>
          <w:bCs/>
          <w:sz w:val="20"/>
          <w:szCs w:val="20"/>
          <w:lang w:eastAsia="es-CR"/>
        </w:rPr>
        <w:t xml:space="preserve">De acuerdo con el artículo 161 del </w:t>
      </w:r>
      <w:r w:rsidRPr="005C1789">
        <w:rPr>
          <w:rFonts w:ascii="Verdana" w:hAnsi="Verdana"/>
          <w:sz w:val="20"/>
          <w:szCs w:val="20"/>
        </w:rPr>
        <w:t>Código</w:t>
      </w:r>
      <w:r w:rsidRPr="005C1789">
        <w:rPr>
          <w:rFonts w:ascii="Verdana" w:eastAsia="Calibri" w:hAnsi="Verdana" w:cs="Arial"/>
          <w:bCs/>
          <w:iCs/>
          <w:sz w:val="20"/>
          <w:szCs w:val="20"/>
          <w:lang w:eastAsia="es-CR"/>
        </w:rPr>
        <w:t xml:space="preserve"> Federal Procesal Penal de 1999, “[d]entro de las setenta y dos horas siguientes al momento en que el inculpado quede a disposición del juez, se dictará el auto de prisión cuando de lo actuado aparezcan acreditados los siguientes requisitos: I. Que se haya tomado declaración preparatoria del inculpado, en la forma y con los requisitos que establece el capítulo anterior, o bien que conste en el expediente que aquél se rehusó a declarar; II. Que esté comprobado el cuerpo del delito que tenga señalado sanción privativa de libertad; III. Que </w:t>
      </w:r>
      <w:proofErr w:type="gramStart"/>
      <w:r w:rsidRPr="005C1789">
        <w:rPr>
          <w:rFonts w:ascii="Verdana" w:eastAsia="Calibri" w:hAnsi="Verdana" w:cs="Arial"/>
          <w:bCs/>
          <w:iCs/>
          <w:sz w:val="20"/>
          <w:szCs w:val="20"/>
          <w:lang w:eastAsia="es-CR"/>
        </w:rPr>
        <w:t>en relación a</w:t>
      </w:r>
      <w:proofErr w:type="gramEnd"/>
      <w:r w:rsidRPr="005C1789">
        <w:rPr>
          <w:rFonts w:ascii="Verdana" w:eastAsia="Calibri" w:hAnsi="Verdana" w:cs="Arial"/>
          <w:bCs/>
          <w:iCs/>
          <w:sz w:val="20"/>
          <w:szCs w:val="20"/>
          <w:lang w:eastAsia="es-CR"/>
        </w:rPr>
        <w:t xml:space="preserve"> la fracción anterior esté demostrada la probable responsabilidad del inculpado, y IV. Que no esté plenamente comprobado a favor del inculpado alguna circunstancia eximente de responsabilidad, o que extinga la acción penal”.</w:t>
      </w:r>
    </w:p>
    <w:p w14:paraId="021948C1" w14:textId="674CDE7A" w:rsidR="00474734" w:rsidRPr="005C1789" w:rsidRDefault="00603147" w:rsidP="00955888">
      <w:pPr>
        <w:numPr>
          <w:ilvl w:val="0"/>
          <w:numId w:val="2"/>
        </w:numPr>
        <w:spacing w:before="120" w:after="120"/>
        <w:ind w:left="0" w:firstLine="0"/>
        <w:jc w:val="both"/>
        <w:rPr>
          <w:rFonts w:ascii="Verdana" w:eastAsia="Calibri" w:hAnsi="Verdana" w:cs="Arial"/>
          <w:bCs/>
          <w:sz w:val="20"/>
          <w:szCs w:val="20"/>
          <w:lang w:eastAsia="es-CR"/>
        </w:rPr>
      </w:pPr>
      <w:r w:rsidRPr="005C1789">
        <w:rPr>
          <w:rFonts w:ascii="Verdana" w:eastAsia="Calibri" w:hAnsi="Verdana" w:cs="Arial"/>
          <w:bCs/>
          <w:sz w:val="20"/>
          <w:szCs w:val="20"/>
          <w:lang w:eastAsia="es-CR"/>
        </w:rPr>
        <w:t>A su vez, el artículo 168 Código Federal Procesal Penal de 1999 establec</w:t>
      </w:r>
      <w:r w:rsidR="00530CB6" w:rsidRPr="005C1789">
        <w:rPr>
          <w:rFonts w:ascii="Verdana" w:eastAsia="Calibri" w:hAnsi="Verdana" w:cs="Arial"/>
          <w:bCs/>
          <w:sz w:val="20"/>
          <w:szCs w:val="20"/>
          <w:lang w:eastAsia="es-CR"/>
        </w:rPr>
        <w:t>ía</w:t>
      </w:r>
      <w:r w:rsidR="0093550A" w:rsidRPr="005C1789">
        <w:rPr>
          <w:rFonts w:ascii="Verdana" w:eastAsia="Calibri" w:hAnsi="Verdana" w:cs="Arial"/>
          <w:bCs/>
          <w:sz w:val="20"/>
          <w:szCs w:val="20"/>
          <w:lang w:eastAsia="es-CR"/>
        </w:rPr>
        <w:t>,</w:t>
      </w:r>
      <w:r w:rsidR="00530CB6" w:rsidRPr="005C1789">
        <w:rPr>
          <w:rFonts w:ascii="Verdana" w:eastAsia="Calibri" w:hAnsi="Verdana" w:cs="Arial"/>
          <w:bCs/>
          <w:sz w:val="20"/>
          <w:szCs w:val="20"/>
          <w:lang w:eastAsia="es-CR"/>
        </w:rPr>
        <w:t xml:space="preserve"> y sigue </w:t>
      </w:r>
      <w:r w:rsidR="00C862F5" w:rsidRPr="005C1789">
        <w:rPr>
          <w:rFonts w:ascii="Verdana" w:eastAsia="Calibri" w:hAnsi="Verdana" w:cs="Arial"/>
          <w:bCs/>
          <w:sz w:val="20"/>
          <w:szCs w:val="20"/>
          <w:lang w:eastAsia="es-CR"/>
        </w:rPr>
        <w:t xml:space="preserve">regulando </w:t>
      </w:r>
      <w:r w:rsidR="00530CB6" w:rsidRPr="005C1789">
        <w:rPr>
          <w:rFonts w:ascii="Verdana" w:eastAsia="Calibri" w:hAnsi="Verdana" w:cs="Arial"/>
          <w:bCs/>
          <w:sz w:val="20"/>
          <w:szCs w:val="20"/>
          <w:lang w:eastAsia="es-CR"/>
        </w:rPr>
        <w:t>en su versión actual</w:t>
      </w:r>
      <w:r w:rsidR="0093550A" w:rsidRPr="005C1789">
        <w:rPr>
          <w:rFonts w:ascii="Verdana" w:eastAsia="Calibri" w:hAnsi="Verdana" w:cs="Arial"/>
          <w:bCs/>
          <w:sz w:val="20"/>
          <w:szCs w:val="20"/>
          <w:lang w:eastAsia="es-CR"/>
        </w:rPr>
        <w:t xml:space="preserve">, </w:t>
      </w:r>
      <w:r w:rsidRPr="005C1789">
        <w:rPr>
          <w:rFonts w:ascii="Verdana" w:eastAsia="Calibri" w:hAnsi="Verdana" w:cs="Arial"/>
          <w:bCs/>
          <w:sz w:val="20"/>
          <w:szCs w:val="20"/>
          <w:lang w:eastAsia="es-CR"/>
        </w:rPr>
        <w:t>que “[e]</w:t>
      </w:r>
      <w:r w:rsidR="00173702" w:rsidRPr="005C1789">
        <w:rPr>
          <w:rFonts w:ascii="Verdana" w:eastAsia="Calibri" w:hAnsi="Verdana" w:cs="Arial"/>
          <w:bCs/>
          <w:sz w:val="20"/>
          <w:szCs w:val="20"/>
          <w:lang w:eastAsia="es-CR"/>
        </w:rPr>
        <w:t>l Ministerio Público acreditará el cuerpo del delito de que se trate y la probable responsabilidad del indiciado, como base del ejercicio de la acción penal; y la autoridad judicial, a su vez, examinará s</w:t>
      </w:r>
      <w:r w:rsidR="001850FE" w:rsidRPr="005C1789">
        <w:rPr>
          <w:rFonts w:ascii="Verdana" w:eastAsia="Calibri" w:hAnsi="Verdana" w:cs="Arial"/>
          <w:bCs/>
          <w:sz w:val="20"/>
          <w:szCs w:val="20"/>
          <w:lang w:eastAsia="es-CR"/>
        </w:rPr>
        <w:t>i</w:t>
      </w:r>
      <w:r w:rsidR="00173702" w:rsidRPr="005C1789">
        <w:rPr>
          <w:rFonts w:ascii="Verdana" w:eastAsia="Calibri" w:hAnsi="Verdana" w:cs="Arial"/>
          <w:bCs/>
          <w:sz w:val="20"/>
          <w:szCs w:val="20"/>
          <w:lang w:eastAsia="es-CR"/>
        </w:rPr>
        <w:t xml:space="preserve"> ambos requisitos están acreditados en autos. Por cuerpo del delito se entiende el conjunto de elementos objetivos o externos que constituyen la materialidad del hecho que ley señale como delito, así como los normativos, en el caso de que la descripción típica lo requiera. La probable responsabilidad del indiciado se tendrá por acreditada cuando, de los </w:t>
      </w:r>
      <w:r w:rsidR="00636421" w:rsidRPr="005C1789">
        <w:rPr>
          <w:rFonts w:ascii="Verdana" w:eastAsia="Calibri" w:hAnsi="Verdana" w:cs="Arial"/>
          <w:bCs/>
          <w:sz w:val="20"/>
          <w:szCs w:val="20"/>
          <w:lang w:eastAsia="es-CR"/>
        </w:rPr>
        <w:t xml:space="preserve">medios </w:t>
      </w:r>
      <w:r w:rsidR="00173702" w:rsidRPr="005C1789">
        <w:rPr>
          <w:rFonts w:ascii="Verdana" w:eastAsia="Calibri" w:hAnsi="Verdana" w:cs="Arial"/>
          <w:bCs/>
          <w:sz w:val="20"/>
          <w:szCs w:val="20"/>
          <w:lang w:eastAsia="es-CR"/>
        </w:rPr>
        <w:t>probatorios existentes, se deduzca su participación en el delito, la comisión dolosa o culposa del mismo y no exista acreditada en favor del indiciado alguna causa de licitud o alguna excluyente de culpabilidad. El cuerpo del delito de que se trate y la probable responsabilidad se acreditarán por cualquier medio probatorio que señale la ley</w:t>
      </w:r>
      <w:r w:rsidRPr="005C1789">
        <w:rPr>
          <w:rFonts w:ascii="Verdana" w:eastAsia="Calibri" w:hAnsi="Verdana" w:cs="Arial"/>
          <w:bCs/>
          <w:sz w:val="20"/>
          <w:szCs w:val="20"/>
          <w:lang w:eastAsia="es-CR"/>
        </w:rPr>
        <w:t>”</w:t>
      </w:r>
      <w:r w:rsidR="00173702" w:rsidRPr="005C1789">
        <w:rPr>
          <w:rFonts w:ascii="Verdana" w:eastAsia="Calibri" w:hAnsi="Verdana" w:cs="Arial"/>
          <w:bCs/>
          <w:sz w:val="20"/>
          <w:szCs w:val="20"/>
          <w:lang w:eastAsia="es-CR"/>
        </w:rPr>
        <w:t>.</w:t>
      </w:r>
    </w:p>
    <w:p w14:paraId="424210F9" w14:textId="1F553E7C" w:rsidR="00F63D4A" w:rsidRPr="005C1789" w:rsidRDefault="00DD07A4" w:rsidP="00955888">
      <w:pPr>
        <w:numPr>
          <w:ilvl w:val="0"/>
          <w:numId w:val="2"/>
        </w:numPr>
        <w:spacing w:before="120" w:after="120"/>
        <w:ind w:left="0" w:firstLine="0"/>
        <w:jc w:val="both"/>
        <w:rPr>
          <w:rFonts w:ascii="Verdana" w:eastAsia="Calibri" w:hAnsi="Verdana" w:cs="Arial"/>
          <w:bCs/>
          <w:sz w:val="20"/>
          <w:szCs w:val="20"/>
          <w:lang w:eastAsia="es-CR"/>
        </w:rPr>
      </w:pPr>
      <w:r w:rsidRPr="005C1789">
        <w:rPr>
          <w:rFonts w:ascii="Verdana" w:eastAsia="Calibri" w:hAnsi="Verdana" w:cs="Arial"/>
          <w:bCs/>
          <w:sz w:val="20"/>
          <w:szCs w:val="20"/>
          <w:lang w:eastAsia="es-CR"/>
        </w:rPr>
        <w:t xml:space="preserve">Con respecto a esta figura, el Tribunal constata que </w:t>
      </w:r>
      <w:r w:rsidR="00C71225">
        <w:rPr>
          <w:rFonts w:ascii="Verdana" w:eastAsia="Calibri" w:hAnsi="Verdana" w:cs="Arial"/>
          <w:bCs/>
          <w:sz w:val="20"/>
          <w:szCs w:val="20"/>
          <w:lang w:eastAsia="es-CR"/>
        </w:rPr>
        <w:t>el artículo 161</w:t>
      </w:r>
      <w:r w:rsidRPr="005C1789">
        <w:rPr>
          <w:rFonts w:ascii="Verdana" w:eastAsia="Calibri" w:hAnsi="Verdana" w:cs="Arial"/>
          <w:bCs/>
          <w:sz w:val="20"/>
          <w:szCs w:val="20"/>
          <w:lang w:eastAsia="es-CR"/>
        </w:rPr>
        <w:t xml:space="preserve"> </w:t>
      </w:r>
      <w:r w:rsidR="00C71225" w:rsidRPr="005C1789">
        <w:rPr>
          <w:rFonts w:ascii="Verdana" w:eastAsia="Calibri" w:hAnsi="Verdana" w:cs="Arial"/>
          <w:bCs/>
          <w:sz w:val="20"/>
          <w:szCs w:val="20"/>
          <w:lang w:eastAsia="es-CR"/>
        </w:rPr>
        <w:t xml:space="preserve">del </w:t>
      </w:r>
      <w:r w:rsidR="00C71225" w:rsidRPr="005C1789">
        <w:rPr>
          <w:rFonts w:ascii="Verdana" w:hAnsi="Verdana"/>
          <w:sz w:val="20"/>
          <w:szCs w:val="20"/>
        </w:rPr>
        <w:t>Código</w:t>
      </w:r>
      <w:r w:rsidR="00C71225" w:rsidRPr="005C1789">
        <w:rPr>
          <w:rFonts w:ascii="Verdana" w:eastAsia="Calibri" w:hAnsi="Verdana" w:cs="Arial"/>
          <w:bCs/>
          <w:iCs/>
          <w:sz w:val="20"/>
          <w:szCs w:val="20"/>
          <w:lang w:eastAsia="es-CR"/>
        </w:rPr>
        <w:t xml:space="preserve"> Federal Procesal Penal de 1999</w:t>
      </w:r>
      <w:r w:rsidR="007C0EF0" w:rsidRPr="005C1789">
        <w:rPr>
          <w:rFonts w:ascii="Verdana" w:eastAsia="Calibri" w:hAnsi="Verdana" w:cs="Arial"/>
          <w:bCs/>
          <w:sz w:val="20"/>
          <w:szCs w:val="20"/>
          <w:lang w:eastAsia="es-CR"/>
        </w:rPr>
        <w:t xml:space="preserve"> </w:t>
      </w:r>
      <w:r w:rsidR="00CC355B" w:rsidRPr="005C1789">
        <w:rPr>
          <w:rFonts w:ascii="Verdana" w:eastAsia="Calibri" w:hAnsi="Verdana" w:cs="Arial"/>
          <w:bCs/>
          <w:sz w:val="20"/>
          <w:szCs w:val="20"/>
          <w:lang w:eastAsia="es-CR"/>
        </w:rPr>
        <w:t>se refiere</w:t>
      </w:r>
      <w:r w:rsidR="00D628FE" w:rsidRPr="005C1789">
        <w:rPr>
          <w:rFonts w:ascii="Verdana" w:eastAsia="Calibri" w:hAnsi="Verdana" w:cs="Arial"/>
          <w:bCs/>
          <w:sz w:val="20"/>
          <w:szCs w:val="20"/>
          <w:lang w:eastAsia="es-CR"/>
        </w:rPr>
        <w:t xml:space="preserve"> </w:t>
      </w:r>
      <w:r w:rsidR="007D21ED" w:rsidRPr="005C1789">
        <w:rPr>
          <w:rFonts w:ascii="Verdana" w:eastAsia="Calibri" w:hAnsi="Verdana" w:cs="Arial"/>
          <w:bCs/>
          <w:sz w:val="20"/>
          <w:szCs w:val="20"/>
          <w:lang w:eastAsia="es-CR"/>
        </w:rPr>
        <w:t>únicamente a</w:t>
      </w:r>
      <w:r w:rsidR="00CC355B" w:rsidRPr="005C1789">
        <w:rPr>
          <w:rFonts w:ascii="Verdana" w:eastAsia="Calibri" w:hAnsi="Verdana" w:cs="Arial"/>
          <w:bCs/>
          <w:sz w:val="20"/>
          <w:szCs w:val="20"/>
          <w:lang w:eastAsia="es-CR"/>
        </w:rPr>
        <w:t xml:space="preserve"> la concurrencia de los </w:t>
      </w:r>
      <w:r w:rsidR="00C62AE0" w:rsidRPr="005C1789">
        <w:rPr>
          <w:rFonts w:ascii="Verdana" w:eastAsia="Calibri" w:hAnsi="Verdana" w:cs="Arial"/>
          <w:bCs/>
          <w:sz w:val="20"/>
          <w:szCs w:val="20"/>
          <w:lang w:eastAsia="es-CR"/>
        </w:rPr>
        <w:t>presupuestos materiales</w:t>
      </w:r>
      <w:r w:rsidR="00C81115" w:rsidRPr="005C1789">
        <w:rPr>
          <w:rFonts w:ascii="Verdana" w:eastAsia="Calibri" w:hAnsi="Verdana" w:cs="Arial"/>
          <w:bCs/>
          <w:sz w:val="20"/>
          <w:szCs w:val="20"/>
          <w:lang w:eastAsia="es-CR"/>
        </w:rPr>
        <w:t xml:space="preserve">, es decir al </w:t>
      </w:r>
      <w:r w:rsidR="009C6B83" w:rsidRPr="005C1789">
        <w:rPr>
          <w:rFonts w:ascii="Verdana" w:eastAsia="Calibri" w:hAnsi="Verdana" w:cs="Arial"/>
          <w:bCs/>
          <w:sz w:val="20"/>
          <w:szCs w:val="20"/>
          <w:lang w:eastAsia="es-CR"/>
        </w:rPr>
        <w:t xml:space="preserve">hecho punible y </w:t>
      </w:r>
      <w:r w:rsidR="00C81115" w:rsidRPr="005C1789">
        <w:rPr>
          <w:rFonts w:ascii="Verdana" w:eastAsia="Calibri" w:hAnsi="Verdana" w:cs="Arial"/>
          <w:bCs/>
          <w:sz w:val="20"/>
          <w:szCs w:val="20"/>
          <w:lang w:eastAsia="es-CR"/>
        </w:rPr>
        <w:t xml:space="preserve">a la </w:t>
      </w:r>
      <w:r w:rsidR="009C6B83" w:rsidRPr="005C1789">
        <w:rPr>
          <w:rFonts w:ascii="Verdana" w:eastAsia="Calibri" w:hAnsi="Verdana" w:cs="Arial"/>
          <w:bCs/>
          <w:sz w:val="20"/>
          <w:szCs w:val="20"/>
          <w:lang w:eastAsia="es-CR"/>
        </w:rPr>
        <w:t>participación</w:t>
      </w:r>
      <w:r w:rsidR="00C81115" w:rsidRPr="005C1789">
        <w:rPr>
          <w:rFonts w:ascii="Verdana" w:eastAsia="Calibri" w:hAnsi="Verdana" w:cs="Arial"/>
          <w:bCs/>
          <w:sz w:val="20"/>
          <w:szCs w:val="20"/>
          <w:lang w:eastAsia="es-CR"/>
        </w:rPr>
        <w:t xml:space="preserve"> del imputado.</w:t>
      </w:r>
      <w:r w:rsidR="00023E34" w:rsidRPr="005C1789">
        <w:rPr>
          <w:rFonts w:ascii="Verdana" w:eastAsia="Calibri" w:hAnsi="Verdana" w:cs="Arial"/>
          <w:bCs/>
          <w:sz w:val="20"/>
          <w:szCs w:val="20"/>
          <w:lang w:eastAsia="es-CR"/>
        </w:rPr>
        <w:t xml:space="preserve"> </w:t>
      </w:r>
      <w:r w:rsidR="00F30633" w:rsidRPr="005C1789">
        <w:rPr>
          <w:rFonts w:ascii="Verdana" w:eastAsia="Calibri" w:hAnsi="Verdana" w:cs="Arial"/>
          <w:bCs/>
          <w:sz w:val="20"/>
          <w:szCs w:val="20"/>
          <w:lang w:eastAsia="es-CR"/>
        </w:rPr>
        <w:t>La norma no hace referencia a las finalidades de la prisión preventiva</w:t>
      </w:r>
      <w:r w:rsidR="00927033" w:rsidRPr="005C1789">
        <w:rPr>
          <w:rFonts w:ascii="Verdana" w:eastAsia="Calibri" w:hAnsi="Verdana" w:cs="Arial"/>
          <w:bCs/>
          <w:sz w:val="20"/>
          <w:szCs w:val="20"/>
          <w:lang w:eastAsia="es-CR"/>
        </w:rPr>
        <w:t xml:space="preserve">, </w:t>
      </w:r>
      <w:r w:rsidR="00C3422A" w:rsidRPr="005C1789">
        <w:rPr>
          <w:rFonts w:ascii="Verdana" w:eastAsia="Calibri" w:hAnsi="Verdana" w:cs="Arial"/>
          <w:bCs/>
          <w:sz w:val="20"/>
          <w:szCs w:val="20"/>
          <w:lang w:eastAsia="es-CR"/>
        </w:rPr>
        <w:t>ni</w:t>
      </w:r>
      <w:r w:rsidR="00F30633" w:rsidRPr="005C1789">
        <w:rPr>
          <w:rFonts w:ascii="Verdana" w:eastAsia="Calibri" w:hAnsi="Verdana" w:cs="Arial"/>
          <w:bCs/>
          <w:sz w:val="20"/>
          <w:szCs w:val="20"/>
          <w:lang w:eastAsia="es-CR"/>
        </w:rPr>
        <w:t xml:space="preserve"> </w:t>
      </w:r>
      <w:r w:rsidR="00013453" w:rsidRPr="005C1789">
        <w:rPr>
          <w:rFonts w:ascii="Verdana" w:eastAsia="Calibri" w:hAnsi="Verdana" w:cs="Arial"/>
          <w:bCs/>
          <w:sz w:val="20"/>
          <w:szCs w:val="20"/>
          <w:lang w:eastAsia="es-CR"/>
        </w:rPr>
        <w:t xml:space="preserve">a </w:t>
      </w:r>
      <w:r w:rsidR="00F30633" w:rsidRPr="005C1789">
        <w:rPr>
          <w:rFonts w:ascii="Verdana" w:eastAsia="Calibri" w:hAnsi="Verdana" w:cs="Arial"/>
          <w:bCs/>
          <w:sz w:val="20"/>
          <w:szCs w:val="20"/>
          <w:lang w:eastAsia="es-CR"/>
        </w:rPr>
        <w:t xml:space="preserve">los peligros procesales que buscaría precaver, ni tampoco a </w:t>
      </w:r>
      <w:r w:rsidR="00BC5A74" w:rsidRPr="005C1789">
        <w:rPr>
          <w:rFonts w:ascii="Verdana" w:eastAsia="Calibri" w:hAnsi="Verdana" w:cs="Arial"/>
          <w:bCs/>
          <w:sz w:val="20"/>
          <w:szCs w:val="20"/>
          <w:lang w:eastAsia="es-CR"/>
        </w:rPr>
        <w:t xml:space="preserve">la exigencia de hacer </w:t>
      </w:r>
      <w:r w:rsidR="00F30633" w:rsidRPr="005C1789">
        <w:rPr>
          <w:rFonts w:ascii="Verdana" w:eastAsia="Calibri" w:hAnsi="Verdana" w:cs="Arial"/>
          <w:bCs/>
          <w:sz w:val="20"/>
          <w:szCs w:val="20"/>
          <w:lang w:eastAsia="es-CR"/>
        </w:rPr>
        <w:t>un análisis</w:t>
      </w:r>
      <w:r w:rsidR="00462716" w:rsidRPr="005C1789">
        <w:rPr>
          <w:rFonts w:ascii="Verdana" w:eastAsia="Calibri" w:hAnsi="Verdana" w:cs="Arial"/>
          <w:bCs/>
          <w:sz w:val="20"/>
          <w:szCs w:val="20"/>
          <w:lang w:eastAsia="es-CR"/>
        </w:rPr>
        <w:t xml:space="preserve"> de</w:t>
      </w:r>
      <w:r w:rsidR="00F30633" w:rsidRPr="005C1789">
        <w:rPr>
          <w:rFonts w:ascii="Verdana" w:eastAsia="Calibri" w:hAnsi="Verdana" w:cs="Arial"/>
          <w:bCs/>
          <w:sz w:val="20"/>
          <w:szCs w:val="20"/>
          <w:lang w:eastAsia="es-CR"/>
        </w:rPr>
        <w:t xml:space="preserve"> la necesidad de la medida frente a otras menos lesivas para los derechos de la persona procesada</w:t>
      </w:r>
      <w:r w:rsidR="00462716" w:rsidRPr="005C1789">
        <w:rPr>
          <w:rFonts w:ascii="Verdana" w:eastAsia="Calibri" w:hAnsi="Verdana" w:cs="Arial"/>
          <w:bCs/>
          <w:sz w:val="20"/>
          <w:szCs w:val="20"/>
          <w:lang w:eastAsia="es-CR"/>
        </w:rPr>
        <w:t xml:space="preserve">, </w:t>
      </w:r>
      <w:r w:rsidR="00F30633" w:rsidRPr="005C1789">
        <w:rPr>
          <w:rFonts w:ascii="Verdana" w:eastAsia="Calibri" w:hAnsi="Verdana" w:cs="Arial"/>
          <w:bCs/>
          <w:sz w:val="20"/>
          <w:szCs w:val="20"/>
          <w:lang w:eastAsia="es-CR"/>
        </w:rPr>
        <w:t>como lo serían las medidas alternativas a la privación a la libertad.</w:t>
      </w:r>
      <w:r w:rsidR="000C6D1E" w:rsidRPr="005C1789">
        <w:rPr>
          <w:rFonts w:ascii="Verdana" w:eastAsia="Calibri" w:hAnsi="Verdana" w:cs="Arial"/>
          <w:bCs/>
          <w:sz w:val="20"/>
          <w:szCs w:val="20"/>
          <w:lang w:eastAsia="es-CR"/>
        </w:rPr>
        <w:t xml:space="preserve"> </w:t>
      </w:r>
      <w:r w:rsidR="00462716" w:rsidRPr="005C1789">
        <w:rPr>
          <w:rFonts w:ascii="Verdana" w:eastAsia="Calibri" w:hAnsi="Verdana" w:cs="Arial"/>
          <w:bCs/>
          <w:sz w:val="20"/>
          <w:szCs w:val="20"/>
          <w:lang w:eastAsia="es-CR"/>
        </w:rPr>
        <w:t xml:space="preserve">En este </w:t>
      </w:r>
      <w:r w:rsidR="00462716" w:rsidRPr="005C1789">
        <w:rPr>
          <w:rFonts w:ascii="Verdana" w:eastAsia="Calibri" w:hAnsi="Verdana" w:cs="Arial"/>
          <w:bCs/>
          <w:sz w:val="20"/>
          <w:szCs w:val="20"/>
          <w:lang w:eastAsia="es-CR"/>
        </w:rPr>
        <w:lastRenderedPageBreak/>
        <w:t>contexto, las</w:t>
      </w:r>
      <w:r w:rsidR="000C6D1E" w:rsidRPr="005C1789">
        <w:rPr>
          <w:rFonts w:ascii="Verdana" w:eastAsia="Calibri" w:hAnsi="Verdana" w:cs="Arial"/>
          <w:bCs/>
          <w:sz w:val="20"/>
          <w:szCs w:val="20"/>
          <w:lang w:eastAsia="es-CR"/>
        </w:rPr>
        <w:t xml:space="preserve"> únicas circunstancias que los tribunales podrían tomar en cuenta a la hora de evaluar la imposición de esta medida cautelar es que se encuentre </w:t>
      </w:r>
      <w:r w:rsidR="007D21ED" w:rsidRPr="005C1789">
        <w:rPr>
          <w:rFonts w:ascii="Verdana" w:eastAsia="Calibri" w:hAnsi="Verdana" w:cs="Arial"/>
          <w:bCs/>
          <w:sz w:val="20"/>
          <w:szCs w:val="20"/>
          <w:lang w:eastAsia="es-CR"/>
        </w:rPr>
        <w:t>comprobada una</w:t>
      </w:r>
      <w:r w:rsidR="000C6D1E" w:rsidRPr="005C1789">
        <w:rPr>
          <w:rFonts w:ascii="Verdana" w:eastAsia="Calibri" w:hAnsi="Verdana" w:cs="Arial"/>
          <w:bCs/>
          <w:sz w:val="20"/>
          <w:szCs w:val="20"/>
          <w:lang w:eastAsia="es-CR"/>
        </w:rPr>
        <w:t xml:space="preserve"> circunstancia eximente de responsabilidad o de extinción de responsabilidad. Asimismo, la Corte advierte, </w:t>
      </w:r>
      <w:r w:rsidR="007D21ED" w:rsidRPr="005C1789">
        <w:rPr>
          <w:rFonts w:ascii="Verdana" w:eastAsia="Calibri" w:hAnsi="Verdana" w:cs="Arial"/>
          <w:bCs/>
          <w:sz w:val="20"/>
          <w:szCs w:val="20"/>
          <w:lang w:eastAsia="es-CR"/>
        </w:rPr>
        <w:t>en relación con</w:t>
      </w:r>
      <w:r w:rsidR="000C6D1E" w:rsidRPr="005C1789">
        <w:rPr>
          <w:rFonts w:ascii="Verdana" w:eastAsia="Calibri" w:hAnsi="Verdana" w:cs="Arial"/>
          <w:bCs/>
          <w:sz w:val="20"/>
          <w:szCs w:val="20"/>
          <w:lang w:eastAsia="es-CR"/>
        </w:rPr>
        <w:t xml:space="preserve"> este último punto, que la norma requiere un elevado estándar probatorio para </w:t>
      </w:r>
      <w:r w:rsidR="00222D78" w:rsidRPr="005C1789">
        <w:rPr>
          <w:rFonts w:ascii="Verdana" w:eastAsia="Calibri" w:hAnsi="Verdana" w:cs="Arial"/>
          <w:bCs/>
          <w:sz w:val="20"/>
          <w:szCs w:val="20"/>
          <w:lang w:eastAsia="es-CR"/>
        </w:rPr>
        <w:t xml:space="preserve">estimar </w:t>
      </w:r>
      <w:r w:rsidR="000C6D1E" w:rsidRPr="005C1789">
        <w:rPr>
          <w:rFonts w:ascii="Verdana" w:eastAsia="Calibri" w:hAnsi="Verdana" w:cs="Arial"/>
          <w:bCs/>
          <w:sz w:val="20"/>
          <w:szCs w:val="20"/>
          <w:lang w:eastAsia="es-CR"/>
        </w:rPr>
        <w:t>acreditada la extinción o exención de responsabilidad</w:t>
      </w:r>
      <w:r w:rsidR="002921B3" w:rsidRPr="005C1789">
        <w:rPr>
          <w:rFonts w:ascii="Verdana" w:eastAsia="Calibri" w:hAnsi="Verdana" w:cs="Arial"/>
          <w:bCs/>
          <w:sz w:val="20"/>
          <w:szCs w:val="20"/>
          <w:lang w:eastAsia="es-CR"/>
        </w:rPr>
        <w:t>,</w:t>
      </w:r>
      <w:r w:rsidR="000C6D1E" w:rsidRPr="005C1789">
        <w:rPr>
          <w:rFonts w:ascii="Verdana" w:eastAsia="Calibri" w:hAnsi="Verdana" w:cs="Arial"/>
          <w:bCs/>
          <w:sz w:val="20"/>
          <w:szCs w:val="20"/>
          <w:lang w:eastAsia="es-CR"/>
        </w:rPr>
        <w:t xml:space="preserve"> exigiendo que esté plenamente comprobada para que no se decrete la prisión preventiva. No se considera</w:t>
      </w:r>
      <w:r w:rsidR="004039D6" w:rsidRPr="005C1789">
        <w:rPr>
          <w:rFonts w:ascii="Verdana" w:eastAsia="Calibri" w:hAnsi="Verdana" w:cs="Arial"/>
          <w:bCs/>
          <w:sz w:val="20"/>
          <w:szCs w:val="20"/>
          <w:lang w:eastAsia="es-CR"/>
        </w:rPr>
        <w:t>,</w:t>
      </w:r>
      <w:r w:rsidR="000C6D1E" w:rsidRPr="005C1789">
        <w:rPr>
          <w:rFonts w:ascii="Verdana" w:eastAsia="Calibri" w:hAnsi="Verdana" w:cs="Arial"/>
          <w:bCs/>
          <w:sz w:val="20"/>
          <w:szCs w:val="20"/>
          <w:lang w:eastAsia="es-CR"/>
        </w:rPr>
        <w:t xml:space="preserve"> por ejemplo</w:t>
      </w:r>
      <w:r w:rsidR="004039D6" w:rsidRPr="005C1789">
        <w:rPr>
          <w:rFonts w:ascii="Verdana" w:eastAsia="Calibri" w:hAnsi="Verdana" w:cs="Arial"/>
          <w:bCs/>
          <w:sz w:val="20"/>
          <w:szCs w:val="20"/>
          <w:lang w:eastAsia="es-CR"/>
        </w:rPr>
        <w:t>,</w:t>
      </w:r>
      <w:r w:rsidR="000C6D1E" w:rsidRPr="005C1789">
        <w:rPr>
          <w:rFonts w:ascii="Verdana" w:eastAsia="Calibri" w:hAnsi="Verdana" w:cs="Arial"/>
          <w:bCs/>
          <w:sz w:val="20"/>
          <w:szCs w:val="20"/>
          <w:lang w:eastAsia="es-CR"/>
        </w:rPr>
        <w:t xml:space="preserve"> la necesidad de valorar la concurrencia de circunstancias atenuantes de responsabilidad ni el grado de desarrollo del delito.</w:t>
      </w:r>
      <w:r w:rsidR="00474734" w:rsidRPr="005C1789">
        <w:rPr>
          <w:rFonts w:ascii="Verdana" w:eastAsia="Calibri" w:hAnsi="Verdana" w:cs="Arial"/>
          <w:bCs/>
          <w:sz w:val="20"/>
          <w:szCs w:val="20"/>
          <w:lang w:eastAsia="es-CR"/>
        </w:rPr>
        <w:t xml:space="preserve"> Por lo tanto, tal como está concebida, la prisión preventiva no tiene finalidad cautelar alguna y se transforma en una pena anticipada.</w:t>
      </w:r>
    </w:p>
    <w:p w14:paraId="1D3FE6CA" w14:textId="54FE2FED" w:rsidR="00B47BDD" w:rsidRPr="005C1789" w:rsidRDefault="00F63D4A" w:rsidP="00955888">
      <w:pPr>
        <w:numPr>
          <w:ilvl w:val="0"/>
          <w:numId w:val="2"/>
        </w:numPr>
        <w:spacing w:before="120" w:after="120"/>
        <w:ind w:left="0" w:firstLine="0"/>
        <w:jc w:val="both"/>
        <w:rPr>
          <w:rFonts w:ascii="Verdana" w:hAnsi="Verdana"/>
          <w:snapToGrid w:val="0"/>
          <w:spacing w:val="-2"/>
          <w:sz w:val="20"/>
          <w:szCs w:val="20"/>
          <w:lang w:eastAsia="es-ES"/>
        </w:rPr>
      </w:pPr>
      <w:r w:rsidRPr="005C1789">
        <w:rPr>
          <w:rFonts w:ascii="Verdana" w:hAnsi="Verdana"/>
          <w:snapToGrid w:val="0"/>
          <w:spacing w:val="-2"/>
          <w:sz w:val="20"/>
          <w:szCs w:val="20"/>
          <w:lang w:eastAsia="es-ES"/>
        </w:rPr>
        <w:t>Con relación a la finalidad de la prisión preventiva</w:t>
      </w:r>
      <w:r w:rsidR="00B47BDD" w:rsidRPr="005C1789">
        <w:rPr>
          <w:rFonts w:ascii="Verdana" w:hAnsi="Verdana"/>
          <w:snapToGrid w:val="0"/>
          <w:spacing w:val="-2"/>
          <w:sz w:val="20"/>
          <w:szCs w:val="20"/>
          <w:lang w:eastAsia="es-ES"/>
        </w:rPr>
        <w:t xml:space="preserve">, </w:t>
      </w:r>
      <w:r w:rsidRPr="005C1789">
        <w:rPr>
          <w:rFonts w:ascii="Verdana" w:hAnsi="Verdana"/>
          <w:snapToGrid w:val="0"/>
          <w:spacing w:val="-2"/>
          <w:sz w:val="20"/>
          <w:szCs w:val="20"/>
          <w:lang w:eastAsia="es-ES"/>
        </w:rPr>
        <w:t xml:space="preserve">la Corte advierte que el propio Estado en su escrito de contestación señaló que </w:t>
      </w:r>
      <w:r w:rsidR="00B47BDD" w:rsidRPr="005C1789">
        <w:rPr>
          <w:rFonts w:ascii="Verdana" w:hAnsi="Verdana"/>
          <w:snapToGrid w:val="0"/>
          <w:spacing w:val="-2"/>
          <w:sz w:val="20"/>
          <w:szCs w:val="20"/>
          <w:lang w:eastAsia="es-ES"/>
        </w:rPr>
        <w:t>se trata de “una de las medidas cautelares más enérgicas a fin de que las personas involucradas en estos esquemas se sientan disuadidas a no seguir colaborando en organizaciones delictivas. Por lo que, también busca tener un efecto preventivo y disuasivo”. En el mismo sentido</w:t>
      </w:r>
      <w:r w:rsidR="00712EBB">
        <w:rPr>
          <w:rFonts w:ascii="Verdana" w:hAnsi="Verdana"/>
          <w:snapToGrid w:val="0"/>
          <w:spacing w:val="-2"/>
          <w:sz w:val="20"/>
          <w:szCs w:val="20"/>
          <w:lang w:eastAsia="es-ES"/>
        </w:rPr>
        <w:t>,</w:t>
      </w:r>
      <w:r w:rsidR="00B47BDD" w:rsidRPr="005C1789">
        <w:rPr>
          <w:rFonts w:ascii="Verdana" w:hAnsi="Verdana"/>
          <w:snapToGrid w:val="0"/>
          <w:spacing w:val="-2"/>
          <w:sz w:val="20"/>
          <w:szCs w:val="20"/>
          <w:lang w:eastAsia="es-ES"/>
        </w:rPr>
        <w:t xml:space="preserve"> agregó que “[</w:t>
      </w:r>
      <w:r w:rsidR="00712EBB">
        <w:rPr>
          <w:rFonts w:ascii="Verdana" w:hAnsi="Verdana"/>
          <w:snapToGrid w:val="0"/>
          <w:spacing w:val="-2"/>
          <w:sz w:val="20"/>
          <w:szCs w:val="20"/>
          <w:lang w:eastAsia="es-ES"/>
        </w:rPr>
        <w:t xml:space="preserve">…] </w:t>
      </w:r>
      <w:r w:rsidR="00B47BDD" w:rsidRPr="005C1789">
        <w:rPr>
          <w:rFonts w:ascii="Verdana" w:hAnsi="Verdana"/>
          <w:snapToGrid w:val="0"/>
          <w:spacing w:val="-2"/>
          <w:sz w:val="20"/>
          <w:szCs w:val="20"/>
          <w:lang w:eastAsia="es-ES"/>
        </w:rPr>
        <w:t>debido a la trascendencia y a la gravedad que estos los delitos implican, el Estado Mexicano ha considerado necesario establecer la prisión preventiva, como un mecanismo efectivo para perseguir estos delitos y erradicar estas conductas, no sólo desde el punto de vista de la prevención especial del derecho penal, sino también desde la prevención general, al buscar un efecto disuasorio de la comisión de delitos”.</w:t>
      </w:r>
      <w:r w:rsidR="00DE4FE7" w:rsidRPr="005C1789">
        <w:rPr>
          <w:rFonts w:ascii="Verdana" w:hAnsi="Verdana"/>
          <w:snapToGrid w:val="0"/>
          <w:spacing w:val="-2"/>
          <w:sz w:val="20"/>
          <w:szCs w:val="20"/>
          <w:lang w:eastAsia="es-ES"/>
        </w:rPr>
        <w:t xml:space="preserve"> </w:t>
      </w:r>
      <w:r w:rsidR="00B47BDD" w:rsidRPr="005C1789">
        <w:rPr>
          <w:rFonts w:ascii="Verdana" w:hAnsi="Verdana"/>
          <w:snapToGrid w:val="0"/>
          <w:spacing w:val="-2"/>
          <w:sz w:val="20"/>
          <w:szCs w:val="20"/>
          <w:lang w:eastAsia="es-ES"/>
        </w:rPr>
        <w:t>Corresponde recordar en relación con este punto, que la jurisprudencia de este Tribunal ha sido clara y consistente en reconocer únicamente dos finalidades legítimas a la prisión preventiva (</w:t>
      </w:r>
      <w:r w:rsidR="00B47BDD" w:rsidRPr="005C1789">
        <w:rPr>
          <w:rFonts w:ascii="Verdana" w:hAnsi="Verdana"/>
          <w:i/>
          <w:iCs/>
          <w:snapToGrid w:val="0"/>
          <w:spacing w:val="-2"/>
          <w:sz w:val="20"/>
          <w:szCs w:val="20"/>
          <w:lang w:eastAsia="es-ES"/>
        </w:rPr>
        <w:t>supra</w:t>
      </w:r>
      <w:r w:rsidR="00B47BDD" w:rsidRPr="005C1789">
        <w:rPr>
          <w:rFonts w:ascii="Verdana" w:hAnsi="Verdana"/>
          <w:snapToGrid w:val="0"/>
          <w:spacing w:val="-2"/>
          <w:sz w:val="20"/>
          <w:szCs w:val="20"/>
          <w:lang w:eastAsia="es-ES"/>
        </w:rPr>
        <w:t xml:space="preserve"> p</w:t>
      </w:r>
      <w:r w:rsidR="0042347D" w:rsidRPr="005C1789">
        <w:rPr>
          <w:rFonts w:ascii="Verdana" w:hAnsi="Verdana"/>
          <w:snapToGrid w:val="0"/>
          <w:spacing w:val="-2"/>
          <w:sz w:val="20"/>
          <w:szCs w:val="20"/>
          <w:lang w:eastAsia="es-ES"/>
        </w:rPr>
        <w:t>á</w:t>
      </w:r>
      <w:r w:rsidR="00B47BDD" w:rsidRPr="005C1789">
        <w:rPr>
          <w:rFonts w:ascii="Verdana" w:hAnsi="Verdana"/>
          <w:snapToGrid w:val="0"/>
          <w:spacing w:val="-2"/>
          <w:sz w:val="20"/>
          <w:szCs w:val="20"/>
          <w:lang w:eastAsia="es-ES"/>
        </w:rPr>
        <w:t xml:space="preserve">rr. </w:t>
      </w:r>
      <w:r w:rsidR="00C61317" w:rsidRPr="005C1789">
        <w:rPr>
          <w:rFonts w:ascii="Verdana" w:hAnsi="Verdana"/>
          <w:snapToGrid w:val="0"/>
          <w:spacing w:val="-2"/>
          <w:sz w:val="20"/>
          <w:szCs w:val="20"/>
          <w:lang w:eastAsia="es-ES"/>
        </w:rPr>
        <w:t xml:space="preserve">106) </w:t>
      </w:r>
      <w:r w:rsidR="00B47BDD" w:rsidRPr="005C1789">
        <w:rPr>
          <w:rFonts w:ascii="Verdana" w:hAnsi="Verdana"/>
          <w:snapToGrid w:val="0"/>
          <w:spacing w:val="-2"/>
          <w:sz w:val="20"/>
          <w:szCs w:val="20"/>
          <w:lang w:eastAsia="es-ES"/>
        </w:rPr>
        <w:t xml:space="preserve">y que “la prevención general” de ciertos delitos, por </w:t>
      </w:r>
      <w:r w:rsidR="00DE4FE7" w:rsidRPr="005C1789">
        <w:rPr>
          <w:rFonts w:ascii="Verdana" w:hAnsi="Verdana"/>
          <w:snapToGrid w:val="0"/>
          <w:spacing w:val="-2"/>
          <w:sz w:val="20"/>
          <w:szCs w:val="20"/>
          <w:lang w:eastAsia="es-ES"/>
        </w:rPr>
        <w:t>más</w:t>
      </w:r>
      <w:r w:rsidR="00B47BDD" w:rsidRPr="005C1789">
        <w:rPr>
          <w:rFonts w:ascii="Verdana" w:hAnsi="Verdana"/>
          <w:snapToGrid w:val="0"/>
          <w:spacing w:val="-2"/>
          <w:sz w:val="20"/>
          <w:szCs w:val="20"/>
          <w:lang w:eastAsia="es-ES"/>
        </w:rPr>
        <w:t xml:space="preserve"> graves que sean, o el “efecto disuasivo” no son una de ellas ni deberían serlo</w:t>
      </w:r>
      <w:r w:rsidR="00DE4FE7" w:rsidRPr="005C1789">
        <w:rPr>
          <w:rFonts w:ascii="Verdana" w:hAnsi="Verdana"/>
          <w:snapToGrid w:val="0"/>
          <w:spacing w:val="-2"/>
          <w:sz w:val="20"/>
          <w:szCs w:val="20"/>
          <w:lang w:eastAsia="es-ES"/>
        </w:rPr>
        <w:t xml:space="preserve"> (</w:t>
      </w:r>
      <w:r w:rsidR="00DE4FE7" w:rsidRPr="005C1789">
        <w:rPr>
          <w:rFonts w:ascii="Verdana" w:hAnsi="Verdana"/>
          <w:i/>
          <w:iCs/>
          <w:snapToGrid w:val="0"/>
          <w:spacing w:val="-2"/>
          <w:sz w:val="20"/>
          <w:szCs w:val="20"/>
          <w:lang w:eastAsia="es-ES"/>
        </w:rPr>
        <w:t>supra</w:t>
      </w:r>
      <w:r w:rsidR="00DE4FE7" w:rsidRPr="005C1789">
        <w:rPr>
          <w:rFonts w:ascii="Verdana" w:hAnsi="Verdana"/>
          <w:snapToGrid w:val="0"/>
          <w:spacing w:val="-2"/>
          <w:sz w:val="20"/>
          <w:szCs w:val="20"/>
          <w:lang w:eastAsia="es-ES"/>
        </w:rPr>
        <w:t xml:space="preserve"> </w:t>
      </w:r>
      <w:proofErr w:type="spellStart"/>
      <w:r w:rsidR="00DE4FE7" w:rsidRPr="005C1789">
        <w:rPr>
          <w:rFonts w:ascii="Verdana" w:hAnsi="Verdana"/>
          <w:snapToGrid w:val="0"/>
          <w:spacing w:val="-2"/>
          <w:sz w:val="20"/>
          <w:szCs w:val="20"/>
          <w:lang w:eastAsia="es-ES"/>
        </w:rPr>
        <w:t>párr</w:t>
      </w:r>
      <w:r w:rsidR="00C10D82" w:rsidRPr="005C1789">
        <w:rPr>
          <w:rFonts w:ascii="Verdana" w:hAnsi="Verdana"/>
          <w:snapToGrid w:val="0"/>
          <w:spacing w:val="-2"/>
          <w:sz w:val="20"/>
          <w:szCs w:val="20"/>
          <w:lang w:eastAsia="es-ES"/>
        </w:rPr>
        <w:t>s</w:t>
      </w:r>
      <w:proofErr w:type="spellEnd"/>
      <w:r w:rsidR="00DE4FE7" w:rsidRPr="005C1789">
        <w:rPr>
          <w:rFonts w:ascii="Verdana" w:hAnsi="Verdana"/>
          <w:snapToGrid w:val="0"/>
          <w:spacing w:val="-2"/>
          <w:sz w:val="20"/>
          <w:szCs w:val="20"/>
          <w:lang w:eastAsia="es-ES"/>
        </w:rPr>
        <w:t xml:space="preserve">. </w:t>
      </w:r>
      <w:r w:rsidR="00C10D82" w:rsidRPr="005C1789">
        <w:rPr>
          <w:rFonts w:ascii="Verdana" w:hAnsi="Verdana"/>
          <w:snapToGrid w:val="0"/>
          <w:spacing w:val="-2"/>
          <w:sz w:val="20"/>
          <w:szCs w:val="20"/>
          <w:lang w:eastAsia="es-ES"/>
        </w:rPr>
        <w:t>108 y 109).</w:t>
      </w:r>
    </w:p>
    <w:p w14:paraId="676B07A6" w14:textId="7E4306D9" w:rsidR="00215137" w:rsidRPr="005C1789" w:rsidRDefault="00F30633" w:rsidP="00955888">
      <w:pPr>
        <w:numPr>
          <w:ilvl w:val="0"/>
          <w:numId w:val="2"/>
        </w:numPr>
        <w:spacing w:before="120" w:after="120"/>
        <w:ind w:left="0" w:firstLine="0"/>
        <w:jc w:val="both"/>
        <w:rPr>
          <w:rFonts w:ascii="Verdana" w:hAnsi="Verdana"/>
          <w:snapToGrid w:val="0"/>
          <w:spacing w:val="-2"/>
          <w:sz w:val="20"/>
          <w:szCs w:val="20"/>
          <w:lang w:eastAsia="es-ES"/>
        </w:rPr>
      </w:pPr>
      <w:r w:rsidRPr="005C1789">
        <w:rPr>
          <w:rFonts w:ascii="Verdana" w:hAnsi="Verdana"/>
          <w:snapToGrid w:val="0"/>
          <w:spacing w:val="-2"/>
          <w:sz w:val="20"/>
          <w:szCs w:val="20"/>
          <w:lang w:eastAsia="es-ES"/>
        </w:rPr>
        <w:t xml:space="preserve"> </w:t>
      </w:r>
      <w:r w:rsidR="00A9736A" w:rsidRPr="005C1789">
        <w:rPr>
          <w:rFonts w:ascii="Verdana" w:hAnsi="Verdana"/>
          <w:snapToGrid w:val="0"/>
          <w:spacing w:val="-2"/>
          <w:sz w:val="20"/>
          <w:szCs w:val="20"/>
          <w:lang w:eastAsia="es-ES"/>
        </w:rPr>
        <w:t>Por otra parte, de la lectura del artículo 161 del Código Federal Procesal Penal de 1999</w:t>
      </w:r>
      <w:r w:rsidR="003457DA" w:rsidRPr="005C1789">
        <w:rPr>
          <w:rFonts w:ascii="Verdana" w:hAnsi="Verdana"/>
          <w:snapToGrid w:val="0"/>
          <w:spacing w:val="-2"/>
          <w:sz w:val="20"/>
          <w:szCs w:val="20"/>
          <w:lang w:eastAsia="es-ES"/>
        </w:rPr>
        <w:t>, cuando se trata de un proceso penal por un delito que conlleva sanciones privativas a la libertad,</w:t>
      </w:r>
      <w:r w:rsidR="00023E34" w:rsidRPr="005C1789">
        <w:rPr>
          <w:rFonts w:ascii="Verdana" w:hAnsi="Verdana"/>
          <w:snapToGrid w:val="0"/>
          <w:spacing w:val="-2"/>
          <w:sz w:val="20"/>
          <w:szCs w:val="20"/>
          <w:lang w:eastAsia="es-ES"/>
        </w:rPr>
        <w:t xml:space="preserve"> </w:t>
      </w:r>
      <w:r w:rsidR="003457DA" w:rsidRPr="005C1789">
        <w:rPr>
          <w:rFonts w:ascii="Verdana" w:hAnsi="Verdana"/>
          <w:snapToGrid w:val="0"/>
          <w:spacing w:val="-2"/>
          <w:sz w:val="20"/>
          <w:szCs w:val="20"/>
          <w:lang w:eastAsia="es-ES"/>
        </w:rPr>
        <w:t xml:space="preserve">pareciera </w:t>
      </w:r>
      <w:proofErr w:type="gramStart"/>
      <w:r w:rsidR="003457DA" w:rsidRPr="005C1789">
        <w:rPr>
          <w:rFonts w:ascii="Verdana" w:hAnsi="Verdana"/>
          <w:snapToGrid w:val="0"/>
          <w:spacing w:val="-2"/>
          <w:sz w:val="20"/>
          <w:szCs w:val="20"/>
          <w:lang w:eastAsia="es-ES"/>
        </w:rPr>
        <w:t>que</w:t>
      </w:r>
      <w:proofErr w:type="gramEnd"/>
      <w:r w:rsidR="003457DA" w:rsidRPr="005C1789">
        <w:rPr>
          <w:rFonts w:ascii="Verdana" w:hAnsi="Verdana"/>
          <w:snapToGrid w:val="0"/>
          <w:spacing w:val="-2"/>
          <w:sz w:val="20"/>
          <w:szCs w:val="20"/>
          <w:lang w:eastAsia="es-ES"/>
        </w:rPr>
        <w:t xml:space="preserve"> </w:t>
      </w:r>
      <w:r w:rsidR="00A9736A" w:rsidRPr="005C1789">
        <w:rPr>
          <w:rFonts w:ascii="Verdana" w:hAnsi="Verdana"/>
          <w:snapToGrid w:val="0"/>
          <w:spacing w:val="-2"/>
          <w:sz w:val="20"/>
          <w:szCs w:val="20"/>
          <w:lang w:eastAsia="es-ES"/>
        </w:rPr>
        <w:t>una vez comprobados los supuestos materiales, basta con verifi</w:t>
      </w:r>
      <w:r w:rsidR="00821D0E" w:rsidRPr="005C1789">
        <w:rPr>
          <w:rFonts w:ascii="Verdana" w:hAnsi="Verdana"/>
          <w:snapToGrid w:val="0"/>
          <w:spacing w:val="-2"/>
          <w:sz w:val="20"/>
          <w:szCs w:val="20"/>
          <w:lang w:eastAsia="es-ES"/>
        </w:rPr>
        <w:t>car</w:t>
      </w:r>
      <w:r w:rsidR="00A9736A" w:rsidRPr="005C1789">
        <w:rPr>
          <w:rFonts w:ascii="Verdana" w:hAnsi="Verdana"/>
          <w:snapToGrid w:val="0"/>
          <w:spacing w:val="-2"/>
          <w:sz w:val="20"/>
          <w:szCs w:val="20"/>
          <w:lang w:eastAsia="es-ES"/>
        </w:rPr>
        <w:t xml:space="preserve"> que se le tomó la declaración a la persona procesada (o que conste que se rehusó a declarar) para que se aplique </w:t>
      </w:r>
      <w:r w:rsidR="003457DA" w:rsidRPr="005C1789">
        <w:rPr>
          <w:rFonts w:ascii="Verdana" w:hAnsi="Verdana"/>
          <w:snapToGrid w:val="0"/>
          <w:spacing w:val="-2"/>
          <w:sz w:val="20"/>
          <w:szCs w:val="20"/>
          <w:lang w:eastAsia="es-ES"/>
        </w:rPr>
        <w:t>la prisión preventiva. De eso modo, el referido artículo</w:t>
      </w:r>
      <w:r w:rsidR="00821D0E" w:rsidRPr="005C1789">
        <w:rPr>
          <w:rFonts w:ascii="Verdana" w:hAnsi="Verdana"/>
          <w:snapToGrid w:val="0"/>
          <w:spacing w:val="-2"/>
          <w:sz w:val="20"/>
          <w:szCs w:val="20"/>
          <w:lang w:eastAsia="es-ES"/>
        </w:rPr>
        <w:t xml:space="preserve"> establece preceptivamente la aplicación de la prisión preventiva </w:t>
      </w:r>
      <w:r w:rsidR="00C3422A" w:rsidRPr="005C1789">
        <w:rPr>
          <w:rFonts w:ascii="Verdana" w:hAnsi="Verdana"/>
          <w:snapToGrid w:val="0"/>
          <w:spacing w:val="-2"/>
          <w:sz w:val="20"/>
          <w:szCs w:val="20"/>
          <w:lang w:eastAsia="es-ES"/>
        </w:rPr>
        <w:t xml:space="preserve">para los delitos que revisten cierta gravedad </w:t>
      </w:r>
      <w:r w:rsidR="00821D0E" w:rsidRPr="005C1789">
        <w:rPr>
          <w:rFonts w:ascii="Verdana" w:hAnsi="Verdana"/>
          <w:snapToGrid w:val="0"/>
          <w:spacing w:val="-2"/>
          <w:sz w:val="20"/>
          <w:szCs w:val="20"/>
          <w:lang w:eastAsia="es-ES"/>
        </w:rPr>
        <w:t>una vez establecidos los presupuestos materiales</w:t>
      </w:r>
      <w:r w:rsidR="00767AB7" w:rsidRPr="005C1789">
        <w:rPr>
          <w:rFonts w:ascii="Verdana" w:hAnsi="Verdana"/>
          <w:snapToGrid w:val="0"/>
          <w:spacing w:val="-2"/>
          <w:sz w:val="20"/>
          <w:szCs w:val="20"/>
          <w:lang w:eastAsia="es-ES"/>
        </w:rPr>
        <w:t>,</w:t>
      </w:r>
      <w:r w:rsidR="00821D0E" w:rsidRPr="005C1789">
        <w:rPr>
          <w:rFonts w:ascii="Verdana" w:hAnsi="Verdana"/>
          <w:snapToGrid w:val="0"/>
          <w:spacing w:val="-2"/>
          <w:sz w:val="20"/>
          <w:szCs w:val="20"/>
          <w:lang w:eastAsia="es-ES"/>
        </w:rPr>
        <w:t xml:space="preserve"> sin que se </w:t>
      </w:r>
      <w:r w:rsidR="008F000A" w:rsidRPr="005C1789">
        <w:rPr>
          <w:rFonts w:ascii="Verdana" w:hAnsi="Verdana"/>
          <w:snapToGrid w:val="0"/>
          <w:spacing w:val="-2"/>
          <w:sz w:val="20"/>
          <w:szCs w:val="20"/>
          <w:lang w:eastAsia="es-ES"/>
        </w:rPr>
        <w:t>lleva a cabo un análisis de la necesidad de la cautela frente a las circunstancias particulares del caso.</w:t>
      </w:r>
      <w:r w:rsidR="00821D0E" w:rsidRPr="005C1789">
        <w:rPr>
          <w:rFonts w:ascii="Verdana" w:hAnsi="Verdana"/>
          <w:snapToGrid w:val="0"/>
          <w:spacing w:val="-2"/>
          <w:sz w:val="20"/>
          <w:szCs w:val="20"/>
          <w:lang w:eastAsia="es-ES"/>
        </w:rPr>
        <w:t xml:space="preserve"> </w:t>
      </w:r>
    </w:p>
    <w:p w14:paraId="1CD38682" w14:textId="75852B4F" w:rsidR="003D0928" w:rsidRPr="005C1789" w:rsidRDefault="00106D64" w:rsidP="00955888">
      <w:pPr>
        <w:numPr>
          <w:ilvl w:val="0"/>
          <w:numId w:val="2"/>
        </w:numPr>
        <w:spacing w:before="120" w:after="120"/>
        <w:ind w:left="0" w:firstLine="0"/>
        <w:jc w:val="both"/>
        <w:rPr>
          <w:rFonts w:ascii="Verdana" w:hAnsi="Verdana"/>
          <w:snapToGrid w:val="0"/>
          <w:spacing w:val="-2"/>
          <w:sz w:val="20"/>
          <w:szCs w:val="20"/>
          <w:lang w:eastAsia="es-ES"/>
        </w:rPr>
      </w:pPr>
      <w:r w:rsidRPr="005C1789">
        <w:rPr>
          <w:rFonts w:ascii="Verdana" w:hAnsi="Verdana"/>
          <w:sz w:val="20"/>
          <w:szCs w:val="20"/>
        </w:rPr>
        <w:t xml:space="preserve">Por todos estos motivos, este Tribunal encuentra que el </w:t>
      </w:r>
      <w:r w:rsidRPr="005C1789">
        <w:rPr>
          <w:rFonts w:ascii="Verdana" w:hAnsi="Verdana"/>
          <w:snapToGrid w:val="0"/>
          <w:spacing w:val="-2"/>
          <w:sz w:val="20"/>
          <w:szCs w:val="20"/>
          <w:lang w:eastAsia="es-ES"/>
        </w:rPr>
        <w:t xml:space="preserve">artículo 161 del Código Federal Procesal Penal de </w:t>
      </w:r>
      <w:r w:rsidR="007D21ED" w:rsidRPr="005C1789">
        <w:rPr>
          <w:rFonts w:ascii="Verdana" w:hAnsi="Verdana"/>
          <w:snapToGrid w:val="0"/>
          <w:spacing w:val="-2"/>
          <w:sz w:val="20"/>
          <w:szCs w:val="20"/>
          <w:lang w:eastAsia="es-ES"/>
        </w:rPr>
        <w:t>1999</w:t>
      </w:r>
      <w:r w:rsidR="007D21ED" w:rsidRPr="005C1789">
        <w:rPr>
          <w:rFonts w:ascii="Verdana" w:hAnsi="Verdana"/>
          <w:sz w:val="20"/>
          <w:szCs w:val="20"/>
        </w:rPr>
        <w:t>, aplicado</w:t>
      </w:r>
      <w:r w:rsidRPr="005C1789">
        <w:rPr>
          <w:rFonts w:ascii="Verdana" w:hAnsi="Verdana"/>
          <w:sz w:val="20"/>
          <w:szCs w:val="20"/>
        </w:rPr>
        <w:t xml:space="preserve"> en el presente caso (</w:t>
      </w:r>
      <w:r w:rsidRPr="005C1789">
        <w:rPr>
          <w:rFonts w:ascii="Verdana" w:hAnsi="Verdana"/>
          <w:i/>
          <w:iCs/>
          <w:sz w:val="20"/>
          <w:szCs w:val="20"/>
        </w:rPr>
        <w:t>supra</w:t>
      </w:r>
      <w:r w:rsidRPr="005C1789">
        <w:rPr>
          <w:rFonts w:ascii="Verdana" w:hAnsi="Verdana"/>
          <w:sz w:val="20"/>
          <w:szCs w:val="20"/>
        </w:rPr>
        <w:t xml:space="preserve"> párr. </w:t>
      </w:r>
      <w:r w:rsidR="00C10D82" w:rsidRPr="005C1789">
        <w:rPr>
          <w:rFonts w:ascii="Verdana" w:hAnsi="Verdana"/>
          <w:sz w:val="20"/>
          <w:szCs w:val="20"/>
        </w:rPr>
        <w:t xml:space="preserve">43), </w:t>
      </w:r>
      <w:r w:rsidRPr="005C1789">
        <w:rPr>
          <w:rFonts w:ascii="Verdana" w:hAnsi="Verdana"/>
          <w:sz w:val="20"/>
          <w:szCs w:val="20"/>
        </w:rPr>
        <w:t xml:space="preserve">contenía cláusulas que, </w:t>
      </w:r>
      <w:r w:rsidRPr="005C1789">
        <w:rPr>
          <w:rFonts w:ascii="Verdana" w:hAnsi="Verdana"/>
          <w:i/>
          <w:iCs/>
          <w:sz w:val="20"/>
          <w:szCs w:val="20"/>
        </w:rPr>
        <w:t>per se</w:t>
      </w:r>
      <w:r w:rsidRPr="005C1789">
        <w:rPr>
          <w:rFonts w:ascii="Verdana" w:hAnsi="Verdana"/>
          <w:sz w:val="20"/>
          <w:szCs w:val="20"/>
        </w:rPr>
        <w:t>, resultaban contrarias a varios derechos establecidos en la Convención Americana, como lo son el derecho</w:t>
      </w:r>
      <w:r w:rsidRPr="005C1789">
        <w:t xml:space="preserve"> </w:t>
      </w:r>
      <w:r w:rsidRPr="005C1789">
        <w:rPr>
          <w:rFonts w:ascii="Verdana" w:hAnsi="Verdana"/>
          <w:sz w:val="20"/>
          <w:szCs w:val="20"/>
        </w:rPr>
        <w:t>a no ser privado de la libertad arbitrariamente (art. 7.3), al control judicial de la privación de la libertad (art. 7.5), y a la presunción de inocencia (art. 8.2). En esa medida, la Corte concluye que el Estado vulneró su obligación de adoptar disposiciones de derecho interno contenida en el artículo 2 de la Convención Americana en relación con el derecho a la libertad personal (artículo 7) y la presunción de inocencia (artículo 8.2) del mismo instrumento</w:t>
      </w:r>
      <w:r w:rsidR="00712EBB">
        <w:rPr>
          <w:rFonts w:ascii="Verdana" w:hAnsi="Verdana"/>
          <w:sz w:val="20"/>
          <w:szCs w:val="20"/>
        </w:rPr>
        <w:t>,</w:t>
      </w:r>
      <w:r w:rsidRPr="005C1789">
        <w:rPr>
          <w:rFonts w:ascii="Verdana" w:hAnsi="Verdana"/>
          <w:sz w:val="20"/>
          <w:szCs w:val="20"/>
        </w:rPr>
        <w:t xml:space="preserve"> en perjuicio de Jorge Marcial y Gerardo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y Gustavo Robles López</w:t>
      </w:r>
      <w:r w:rsidR="003D0928" w:rsidRPr="005C1789">
        <w:rPr>
          <w:rFonts w:ascii="Verdana" w:hAnsi="Verdana"/>
          <w:sz w:val="20"/>
          <w:szCs w:val="20"/>
        </w:rPr>
        <w:t xml:space="preserve">. </w:t>
      </w:r>
    </w:p>
    <w:p w14:paraId="7D98AB3B" w14:textId="4FDF75D4" w:rsidR="00EF3F18" w:rsidRPr="005C1789" w:rsidRDefault="00EF3F18" w:rsidP="00955888">
      <w:pPr>
        <w:pStyle w:val="Ttulo3"/>
        <w:spacing w:before="240" w:after="240"/>
        <w:ind w:left="567"/>
        <w:jc w:val="both"/>
        <w:rPr>
          <w:rFonts w:ascii="Verdana" w:hAnsi="Verdana"/>
          <w:b w:val="0"/>
          <w:snapToGrid w:val="0"/>
          <w:spacing w:val="-2"/>
          <w:sz w:val="20"/>
          <w:szCs w:val="20"/>
          <w:lang w:eastAsia="es-ES"/>
        </w:rPr>
      </w:pPr>
      <w:bookmarkStart w:id="106" w:name="_Toc123347543"/>
      <w:r w:rsidRPr="005C1789">
        <w:rPr>
          <w:rFonts w:ascii="Verdana" w:hAnsi="Verdana"/>
          <w:b w:val="0"/>
          <w:snapToGrid w:val="0"/>
          <w:spacing w:val="-2"/>
          <w:sz w:val="20"/>
          <w:szCs w:val="20"/>
          <w:lang w:eastAsia="es-ES"/>
        </w:rPr>
        <w:t>B.3. Sobre la aplicación del arraigo y de la prisión preventiva en el caso concreto</w:t>
      </w:r>
      <w:bookmarkEnd w:id="106"/>
    </w:p>
    <w:p w14:paraId="4DD6BF98" w14:textId="5A99D096" w:rsidR="003403EB" w:rsidRPr="005C1789" w:rsidRDefault="00053C9B"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lo que concierne </w:t>
      </w:r>
      <w:r w:rsidR="00712EBB">
        <w:rPr>
          <w:rFonts w:ascii="Verdana" w:hAnsi="Verdana"/>
          <w:sz w:val="20"/>
          <w:szCs w:val="20"/>
        </w:rPr>
        <w:t xml:space="preserve">a </w:t>
      </w:r>
      <w:r w:rsidRPr="005C1789">
        <w:rPr>
          <w:rFonts w:ascii="Verdana" w:hAnsi="Verdana"/>
          <w:sz w:val="20"/>
          <w:szCs w:val="20"/>
        </w:rPr>
        <w:t xml:space="preserve">la aplicación de las figuras del arraigo y de la prisión preventiva en el presente caso, en contra de </w:t>
      </w:r>
      <w:bookmarkStart w:id="107" w:name="_Hlk110927812"/>
      <w:r w:rsidRPr="005C1789">
        <w:rPr>
          <w:rFonts w:ascii="Verdana" w:hAnsi="Verdana"/>
          <w:sz w:val="20"/>
          <w:szCs w:val="20"/>
        </w:rPr>
        <w:t xml:space="preserve">Jorge Marcial y Gerardo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y Gustavo Robles López</w:t>
      </w:r>
      <w:bookmarkEnd w:id="107"/>
      <w:r w:rsidRPr="005C1789">
        <w:rPr>
          <w:rFonts w:ascii="Verdana" w:hAnsi="Verdana"/>
          <w:sz w:val="20"/>
          <w:szCs w:val="20"/>
        </w:rPr>
        <w:t xml:space="preserve"> en el marco de las decisiones de 18 de enero de 2006 y de </w:t>
      </w:r>
      <w:r w:rsidR="00763EB5" w:rsidRPr="005C1789">
        <w:rPr>
          <w:rFonts w:ascii="Verdana" w:hAnsi="Verdana"/>
          <w:sz w:val="20"/>
          <w:szCs w:val="20"/>
        </w:rPr>
        <w:t>22 de abril de 2006 (</w:t>
      </w:r>
      <w:r w:rsidR="00763EB5" w:rsidRPr="005C1789">
        <w:rPr>
          <w:rFonts w:ascii="Verdana" w:hAnsi="Verdana"/>
          <w:i/>
          <w:iCs/>
          <w:sz w:val="20"/>
          <w:szCs w:val="20"/>
        </w:rPr>
        <w:t>supra</w:t>
      </w:r>
      <w:r w:rsidR="00763EB5" w:rsidRPr="005C1789">
        <w:rPr>
          <w:rFonts w:ascii="Verdana" w:hAnsi="Verdana"/>
          <w:sz w:val="20"/>
          <w:szCs w:val="20"/>
        </w:rPr>
        <w:t xml:space="preserve"> </w:t>
      </w:r>
      <w:proofErr w:type="spellStart"/>
      <w:r w:rsidR="00763EB5" w:rsidRPr="005C1789">
        <w:rPr>
          <w:rFonts w:ascii="Verdana" w:hAnsi="Verdana"/>
          <w:sz w:val="20"/>
          <w:szCs w:val="20"/>
        </w:rPr>
        <w:t>párrs</w:t>
      </w:r>
      <w:proofErr w:type="spellEnd"/>
      <w:r w:rsidR="00763EB5" w:rsidRPr="005C1789">
        <w:rPr>
          <w:rFonts w:ascii="Verdana" w:hAnsi="Verdana"/>
          <w:sz w:val="20"/>
          <w:szCs w:val="20"/>
        </w:rPr>
        <w:t xml:space="preserve">. </w:t>
      </w:r>
      <w:r w:rsidR="00C10D82" w:rsidRPr="005C1789">
        <w:rPr>
          <w:rFonts w:ascii="Verdana" w:hAnsi="Verdana"/>
          <w:sz w:val="20"/>
          <w:szCs w:val="20"/>
        </w:rPr>
        <w:t xml:space="preserve">57 </w:t>
      </w:r>
      <w:r w:rsidR="00763EB5" w:rsidRPr="005C1789">
        <w:rPr>
          <w:rFonts w:ascii="Verdana" w:hAnsi="Verdana"/>
          <w:sz w:val="20"/>
          <w:szCs w:val="20"/>
        </w:rPr>
        <w:t>y</w:t>
      </w:r>
      <w:r w:rsidR="00023E34" w:rsidRPr="005C1789">
        <w:rPr>
          <w:rFonts w:ascii="Verdana" w:hAnsi="Verdana"/>
          <w:sz w:val="20"/>
          <w:szCs w:val="20"/>
        </w:rPr>
        <w:t xml:space="preserve"> </w:t>
      </w:r>
      <w:r w:rsidR="00C10D82" w:rsidRPr="005C1789">
        <w:rPr>
          <w:rFonts w:ascii="Verdana" w:hAnsi="Verdana"/>
          <w:sz w:val="20"/>
          <w:szCs w:val="20"/>
        </w:rPr>
        <w:t xml:space="preserve">63), </w:t>
      </w:r>
      <w:r w:rsidRPr="005C1789">
        <w:rPr>
          <w:rFonts w:ascii="Verdana" w:hAnsi="Verdana"/>
          <w:sz w:val="20"/>
          <w:szCs w:val="20"/>
        </w:rPr>
        <w:t xml:space="preserve">la Corte </w:t>
      </w:r>
      <w:r w:rsidR="00763EB5" w:rsidRPr="005C1789">
        <w:rPr>
          <w:rFonts w:ascii="Verdana" w:hAnsi="Verdana"/>
          <w:sz w:val="20"/>
          <w:szCs w:val="20"/>
        </w:rPr>
        <w:t>advierte en primer término</w:t>
      </w:r>
      <w:r w:rsidR="00712EBB">
        <w:rPr>
          <w:rFonts w:ascii="Verdana" w:hAnsi="Verdana"/>
          <w:sz w:val="20"/>
          <w:szCs w:val="20"/>
        </w:rPr>
        <w:t>,</w:t>
      </w:r>
      <w:r w:rsidRPr="005C1789">
        <w:rPr>
          <w:rFonts w:ascii="Verdana" w:hAnsi="Verdana"/>
          <w:sz w:val="20"/>
          <w:szCs w:val="20"/>
        </w:rPr>
        <w:t xml:space="preserve"> que el Estado reconoció su responsabilidad internacional por</w:t>
      </w:r>
      <w:r w:rsidR="00763EB5" w:rsidRPr="005C1789">
        <w:rPr>
          <w:rFonts w:ascii="Verdana" w:hAnsi="Verdana"/>
          <w:sz w:val="20"/>
          <w:szCs w:val="20"/>
        </w:rPr>
        <w:t xml:space="preserve"> la violación a esos derechos en el marco de esas resoluciones. </w:t>
      </w:r>
    </w:p>
    <w:p w14:paraId="72EB36ED" w14:textId="6DD0BE6E" w:rsidR="003403EB" w:rsidRPr="005C1789" w:rsidRDefault="00546AB9"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otra parte, en el acápite anterior, el Tribunal determinó que tanto la figura del arraigo contenida en </w:t>
      </w:r>
      <w:r w:rsidR="003403EB" w:rsidRPr="005C1789">
        <w:rPr>
          <w:rFonts w:ascii="Verdana" w:hAnsi="Verdana"/>
          <w:sz w:val="20"/>
          <w:szCs w:val="20"/>
        </w:rPr>
        <w:t xml:space="preserve">el artículo 12 de la Ley Federal contra la Delincuencia de 1996 </w:t>
      </w:r>
      <w:r w:rsidR="00D525EB" w:rsidRPr="005C1789">
        <w:rPr>
          <w:rFonts w:ascii="Verdana" w:hAnsi="Verdana"/>
          <w:sz w:val="20"/>
          <w:szCs w:val="20"/>
        </w:rPr>
        <w:t>y</w:t>
      </w:r>
      <w:r w:rsidR="003403EB" w:rsidRPr="005C1789">
        <w:rPr>
          <w:rFonts w:ascii="Verdana" w:hAnsi="Verdana"/>
          <w:sz w:val="20"/>
          <w:szCs w:val="20"/>
        </w:rPr>
        <w:t xml:space="preserve"> en el artículo 133 bis al Código Federal Procesal Penal de 1999</w:t>
      </w:r>
      <w:r w:rsidR="00D525EB" w:rsidRPr="005C1789">
        <w:rPr>
          <w:rFonts w:ascii="Verdana" w:hAnsi="Verdana"/>
          <w:sz w:val="20"/>
          <w:szCs w:val="20"/>
        </w:rPr>
        <w:t xml:space="preserve">, </w:t>
      </w:r>
      <w:r w:rsidRPr="005C1789">
        <w:rPr>
          <w:rFonts w:ascii="Verdana" w:hAnsi="Verdana"/>
          <w:sz w:val="20"/>
          <w:szCs w:val="20"/>
        </w:rPr>
        <w:t xml:space="preserve">como la </w:t>
      </w:r>
      <w:r w:rsidR="00D525EB" w:rsidRPr="005C1789">
        <w:rPr>
          <w:rFonts w:ascii="Verdana" w:hAnsi="Verdana"/>
          <w:sz w:val="20"/>
          <w:szCs w:val="20"/>
        </w:rPr>
        <w:t xml:space="preserve">figura </w:t>
      </w:r>
      <w:r w:rsidRPr="005C1789">
        <w:rPr>
          <w:rFonts w:ascii="Verdana" w:hAnsi="Verdana"/>
          <w:sz w:val="20"/>
          <w:szCs w:val="20"/>
        </w:rPr>
        <w:t xml:space="preserve">de la prisión preventiva </w:t>
      </w:r>
      <w:r w:rsidR="00A05C3B" w:rsidRPr="005C1789">
        <w:rPr>
          <w:rFonts w:ascii="Verdana" w:hAnsi="Verdana"/>
          <w:sz w:val="20"/>
          <w:szCs w:val="20"/>
        </w:rPr>
        <w:t xml:space="preserve">contemplada </w:t>
      </w:r>
      <w:r w:rsidRPr="005C1789">
        <w:rPr>
          <w:rFonts w:ascii="Verdana" w:hAnsi="Verdana"/>
          <w:sz w:val="20"/>
          <w:szCs w:val="20"/>
        </w:rPr>
        <w:t xml:space="preserve">en </w:t>
      </w:r>
      <w:r w:rsidR="00D525EB" w:rsidRPr="005C1789">
        <w:rPr>
          <w:rFonts w:ascii="Verdana" w:hAnsi="Verdana"/>
          <w:sz w:val="20"/>
          <w:szCs w:val="20"/>
        </w:rPr>
        <w:t>el</w:t>
      </w:r>
      <w:r w:rsidR="003403EB" w:rsidRPr="005C1789">
        <w:rPr>
          <w:rFonts w:ascii="Verdana" w:hAnsi="Verdana"/>
          <w:sz w:val="20"/>
          <w:szCs w:val="20"/>
        </w:rPr>
        <w:t xml:space="preserve"> artículo 161 del Código Federal Procesal Penal de 1999</w:t>
      </w:r>
      <w:r w:rsidR="00D525EB" w:rsidRPr="005C1789">
        <w:rPr>
          <w:rFonts w:ascii="Verdana" w:hAnsi="Verdana"/>
          <w:sz w:val="20"/>
          <w:szCs w:val="20"/>
        </w:rPr>
        <w:t xml:space="preserve">, </w:t>
      </w:r>
      <w:r w:rsidRPr="005C1789">
        <w:rPr>
          <w:rFonts w:ascii="Verdana" w:hAnsi="Verdana"/>
          <w:sz w:val="20"/>
          <w:szCs w:val="20"/>
        </w:rPr>
        <w:t xml:space="preserve">resultaban contrarias a la Convención Americana </w:t>
      </w:r>
      <w:r w:rsidR="003403EB" w:rsidRPr="005C1789">
        <w:rPr>
          <w:rFonts w:ascii="Verdana" w:hAnsi="Verdana"/>
          <w:sz w:val="20"/>
          <w:szCs w:val="20"/>
        </w:rPr>
        <w:t>vulnerando</w:t>
      </w:r>
      <w:r w:rsidRPr="005C1789">
        <w:rPr>
          <w:rFonts w:ascii="Verdana" w:hAnsi="Verdana"/>
          <w:sz w:val="20"/>
          <w:szCs w:val="20"/>
        </w:rPr>
        <w:t xml:space="preserve"> la obligación de </w:t>
      </w:r>
      <w:r w:rsidR="003403EB" w:rsidRPr="005C1789">
        <w:rPr>
          <w:rFonts w:ascii="Verdana" w:hAnsi="Verdana"/>
          <w:sz w:val="20"/>
          <w:szCs w:val="20"/>
        </w:rPr>
        <w:t>adoptar disposiciones de derecho interno contenida en el artículo 2</w:t>
      </w:r>
      <w:r w:rsidR="00712EBB">
        <w:rPr>
          <w:rFonts w:ascii="Verdana" w:hAnsi="Verdana"/>
          <w:sz w:val="20"/>
          <w:szCs w:val="20"/>
        </w:rPr>
        <w:t>,</w:t>
      </w:r>
      <w:r w:rsidR="003403EB" w:rsidRPr="005C1789">
        <w:rPr>
          <w:rFonts w:ascii="Verdana" w:hAnsi="Verdana"/>
          <w:sz w:val="20"/>
          <w:szCs w:val="20"/>
        </w:rPr>
        <w:t xml:space="preserve"> </w:t>
      </w:r>
      <w:r w:rsidR="00D525EB" w:rsidRPr="005C1789">
        <w:rPr>
          <w:rFonts w:ascii="Verdana" w:hAnsi="Verdana"/>
          <w:sz w:val="20"/>
          <w:szCs w:val="20"/>
        </w:rPr>
        <w:t xml:space="preserve">en relación con </w:t>
      </w:r>
      <w:r w:rsidR="003403EB" w:rsidRPr="005C1789">
        <w:rPr>
          <w:rFonts w:ascii="Verdana" w:hAnsi="Verdana"/>
          <w:sz w:val="20"/>
          <w:szCs w:val="20"/>
        </w:rPr>
        <w:t xml:space="preserve">los derechos a la libertad personal y presunción de inocencia establecidas </w:t>
      </w:r>
      <w:r w:rsidR="003403EB" w:rsidRPr="005C1789">
        <w:rPr>
          <w:rFonts w:ascii="Verdana" w:hAnsi="Verdana"/>
          <w:sz w:val="20"/>
          <w:szCs w:val="20"/>
        </w:rPr>
        <w:lastRenderedPageBreak/>
        <w:t xml:space="preserve">en los artículos 7 y 8.2 respectivamente del mismo instrumento. En ese sentido, no cabe duda </w:t>
      </w:r>
      <w:r w:rsidR="00DD3939" w:rsidRPr="005C1789">
        <w:rPr>
          <w:rFonts w:ascii="Verdana" w:hAnsi="Verdana"/>
          <w:sz w:val="20"/>
          <w:szCs w:val="20"/>
        </w:rPr>
        <w:t>de que</w:t>
      </w:r>
      <w:r w:rsidR="003403EB" w:rsidRPr="005C1789">
        <w:rPr>
          <w:rFonts w:ascii="Verdana" w:hAnsi="Verdana"/>
          <w:sz w:val="20"/>
          <w:szCs w:val="20"/>
        </w:rPr>
        <w:t xml:space="preserve">, al aplicar figuras que </w:t>
      </w:r>
      <w:r w:rsidR="003403EB" w:rsidRPr="005C1789">
        <w:rPr>
          <w:rFonts w:ascii="Verdana" w:hAnsi="Verdana"/>
          <w:i/>
          <w:iCs/>
          <w:sz w:val="20"/>
          <w:szCs w:val="20"/>
        </w:rPr>
        <w:t xml:space="preserve">per se </w:t>
      </w:r>
      <w:r w:rsidR="003403EB" w:rsidRPr="005C1789">
        <w:rPr>
          <w:rFonts w:ascii="Verdana" w:hAnsi="Verdana"/>
          <w:sz w:val="20"/>
          <w:szCs w:val="20"/>
        </w:rPr>
        <w:t xml:space="preserve">son contrarias a la Convención Americana, las autoridades internas vulneraron los derechos a la libertad personal y a la presunción de inocencia en perjuicio de las víctimas incumpliendo su obligación de respeto contenida en el artículo 1.1 de la Convención Americana. </w:t>
      </w:r>
    </w:p>
    <w:p w14:paraId="2FDAC7DE" w14:textId="51AC6174" w:rsidR="00A47E86" w:rsidRPr="005C1789" w:rsidRDefault="003F2179" w:rsidP="00955888">
      <w:pPr>
        <w:pStyle w:val="Ttulo3"/>
        <w:spacing w:before="240" w:after="240"/>
        <w:ind w:left="567"/>
        <w:jc w:val="both"/>
        <w:rPr>
          <w:rFonts w:ascii="Verdana" w:hAnsi="Verdana"/>
          <w:b w:val="0"/>
          <w:snapToGrid w:val="0"/>
          <w:spacing w:val="-2"/>
          <w:sz w:val="20"/>
          <w:szCs w:val="20"/>
          <w:lang w:eastAsia="es-ES"/>
        </w:rPr>
      </w:pPr>
      <w:bookmarkStart w:id="108" w:name="_Toc123347544"/>
      <w:r w:rsidRPr="005C1789">
        <w:rPr>
          <w:rFonts w:ascii="Verdana" w:hAnsi="Verdana"/>
          <w:b w:val="0"/>
          <w:snapToGrid w:val="0"/>
          <w:spacing w:val="-2"/>
          <w:sz w:val="20"/>
          <w:szCs w:val="20"/>
          <w:lang w:eastAsia="es-ES"/>
        </w:rPr>
        <w:t xml:space="preserve">B.4. </w:t>
      </w:r>
      <w:r w:rsidR="00A47E86" w:rsidRPr="005C1789">
        <w:rPr>
          <w:rFonts w:ascii="Verdana" w:hAnsi="Verdana"/>
          <w:b w:val="0"/>
          <w:snapToGrid w:val="0"/>
          <w:spacing w:val="-2"/>
          <w:sz w:val="20"/>
          <w:szCs w:val="20"/>
          <w:lang w:eastAsia="es-ES"/>
        </w:rPr>
        <w:t>Conclusión</w:t>
      </w:r>
      <w:bookmarkEnd w:id="108"/>
    </w:p>
    <w:p w14:paraId="55CD5F9E" w14:textId="41A67CD9" w:rsidR="00322CC6" w:rsidRPr="005C1789" w:rsidRDefault="009843CD" w:rsidP="00955888">
      <w:pPr>
        <w:numPr>
          <w:ilvl w:val="0"/>
          <w:numId w:val="2"/>
        </w:numPr>
        <w:spacing w:before="120" w:after="120"/>
        <w:ind w:left="0" w:firstLine="0"/>
        <w:jc w:val="both"/>
        <w:rPr>
          <w:rFonts w:ascii="Verdana" w:hAnsi="Verdana"/>
          <w:i/>
          <w:iCs/>
          <w:sz w:val="20"/>
          <w:szCs w:val="20"/>
        </w:rPr>
      </w:pPr>
      <w:r w:rsidRPr="005C1789">
        <w:rPr>
          <w:rFonts w:ascii="Verdana" w:hAnsi="Verdana"/>
          <w:sz w:val="20"/>
          <w:szCs w:val="20"/>
        </w:rPr>
        <w:t>De conformidad con lo</w:t>
      </w:r>
      <w:r w:rsidR="009A181E" w:rsidRPr="005C1789">
        <w:rPr>
          <w:rFonts w:ascii="Verdana" w:hAnsi="Verdana"/>
          <w:sz w:val="20"/>
          <w:szCs w:val="20"/>
        </w:rPr>
        <w:t xml:space="preserve"> expuesto</w:t>
      </w:r>
      <w:r w:rsidR="00DD3939" w:rsidRPr="005C1789">
        <w:rPr>
          <w:rFonts w:ascii="Verdana" w:hAnsi="Verdana"/>
          <w:sz w:val="20"/>
          <w:szCs w:val="20"/>
        </w:rPr>
        <w:t xml:space="preserve"> y de acuerdo con el reconocimiento de responsabilidad efectuado por el Estado</w:t>
      </w:r>
      <w:r w:rsidRPr="005C1789">
        <w:rPr>
          <w:rFonts w:ascii="Verdana" w:hAnsi="Verdana"/>
          <w:sz w:val="20"/>
          <w:szCs w:val="20"/>
        </w:rPr>
        <w:t xml:space="preserve">, esta Corte </w:t>
      </w:r>
      <w:r w:rsidR="00305BBC" w:rsidRPr="005C1789">
        <w:rPr>
          <w:rFonts w:ascii="Verdana" w:hAnsi="Verdana"/>
          <w:sz w:val="20"/>
          <w:szCs w:val="20"/>
        </w:rPr>
        <w:t>determina</w:t>
      </w:r>
      <w:r w:rsidR="009370F0" w:rsidRPr="005C1789">
        <w:rPr>
          <w:rFonts w:ascii="Verdana" w:hAnsi="Verdana"/>
          <w:sz w:val="20"/>
          <w:szCs w:val="20"/>
        </w:rPr>
        <w:t xml:space="preserve"> </w:t>
      </w:r>
      <w:r w:rsidRPr="005C1789">
        <w:rPr>
          <w:rFonts w:ascii="Verdana" w:hAnsi="Verdana"/>
          <w:sz w:val="20"/>
          <w:szCs w:val="20"/>
        </w:rPr>
        <w:t xml:space="preserve">que el </w:t>
      </w:r>
      <w:r w:rsidR="00322CC6" w:rsidRPr="005C1789">
        <w:rPr>
          <w:rFonts w:ascii="Verdana" w:hAnsi="Verdana"/>
          <w:sz w:val="20"/>
          <w:szCs w:val="20"/>
          <w:lang w:val="es-PE"/>
        </w:rPr>
        <w:t>Estado es responsable por la violación al derecho a la libertad personal contenido en los artículos 7.1, 7.2, 7.3, 7.5 y 7.6 de la Convención Americana sobre Derechos Humanos, al derecho a la presunción de inocencia reconocido en el artículo 8.2, y a no declarar contra sí mismo, contemplado en el artículo 8.2.g) del mismo instrumento, en relación con la obligación de respetar y de garantizar los derechos establecida en el artículo 1.1 de la Convención, así como la obligación de adoptar disposiciones de derecho interno contenida en el artículo 2 de dicho instrumento, por la aplicación de la figura del arraigo en perjuicio de Jorge Marcial Tzompaxtle Tecpile, Gerardo Tzompaxtle Tecpile y Gustavo Robles López</w:t>
      </w:r>
      <w:r w:rsidR="00322CC6" w:rsidRPr="005C1789">
        <w:rPr>
          <w:rFonts w:ascii="Verdana" w:hAnsi="Verdana"/>
          <w:sz w:val="20"/>
          <w:szCs w:val="20"/>
        </w:rPr>
        <w:t xml:space="preserve"> </w:t>
      </w:r>
      <w:r w:rsidR="00AB0E97" w:rsidRPr="005C1789">
        <w:rPr>
          <w:rFonts w:ascii="Verdana" w:hAnsi="Verdana"/>
          <w:sz w:val="20"/>
          <w:szCs w:val="20"/>
        </w:rPr>
        <w:t>(</w:t>
      </w:r>
      <w:r w:rsidR="00AB0E97" w:rsidRPr="005C1789">
        <w:rPr>
          <w:rFonts w:ascii="Verdana" w:hAnsi="Verdana"/>
          <w:i/>
          <w:iCs/>
          <w:sz w:val="20"/>
          <w:szCs w:val="20"/>
        </w:rPr>
        <w:t>supra</w:t>
      </w:r>
      <w:r w:rsidR="00AB0E97" w:rsidRPr="005C1789">
        <w:rPr>
          <w:rFonts w:ascii="Verdana" w:hAnsi="Verdana"/>
          <w:sz w:val="20"/>
          <w:szCs w:val="20"/>
        </w:rPr>
        <w:t xml:space="preserve"> </w:t>
      </w:r>
      <w:proofErr w:type="spellStart"/>
      <w:r w:rsidR="00AB0E97" w:rsidRPr="005C1789">
        <w:rPr>
          <w:rFonts w:ascii="Verdana" w:hAnsi="Verdana"/>
          <w:sz w:val="20"/>
          <w:szCs w:val="20"/>
        </w:rPr>
        <w:t>párr</w:t>
      </w:r>
      <w:r w:rsidR="00C10D82" w:rsidRPr="005C1789">
        <w:rPr>
          <w:rFonts w:ascii="Verdana" w:hAnsi="Verdana"/>
          <w:sz w:val="20"/>
          <w:szCs w:val="20"/>
        </w:rPr>
        <w:t>s</w:t>
      </w:r>
      <w:proofErr w:type="spellEnd"/>
      <w:r w:rsidR="00AB0E97" w:rsidRPr="005C1789">
        <w:rPr>
          <w:rFonts w:ascii="Verdana" w:hAnsi="Verdana"/>
          <w:sz w:val="20"/>
          <w:szCs w:val="20"/>
        </w:rPr>
        <w:t xml:space="preserve">. </w:t>
      </w:r>
      <w:r w:rsidR="00C10D82" w:rsidRPr="005C1789">
        <w:rPr>
          <w:rFonts w:ascii="Verdana" w:hAnsi="Verdana"/>
          <w:sz w:val="20"/>
          <w:szCs w:val="20"/>
        </w:rPr>
        <w:t xml:space="preserve">156 y 157). </w:t>
      </w:r>
    </w:p>
    <w:p w14:paraId="273FF104" w14:textId="4CF2FEF7" w:rsidR="00322CC6" w:rsidRPr="005C1789" w:rsidRDefault="005D4B0A" w:rsidP="00955888">
      <w:pPr>
        <w:numPr>
          <w:ilvl w:val="0"/>
          <w:numId w:val="2"/>
        </w:numPr>
        <w:spacing w:before="120" w:after="120"/>
        <w:ind w:left="0" w:firstLine="0"/>
        <w:jc w:val="both"/>
        <w:rPr>
          <w:rFonts w:ascii="Verdana" w:hAnsi="Verdana"/>
          <w:sz w:val="20"/>
          <w:szCs w:val="20"/>
          <w:lang w:val="es-PE"/>
        </w:rPr>
      </w:pPr>
      <w:r w:rsidRPr="005C1789">
        <w:rPr>
          <w:rFonts w:ascii="Verdana" w:hAnsi="Verdana"/>
          <w:sz w:val="20"/>
          <w:szCs w:val="20"/>
          <w:lang w:val="es-PE"/>
        </w:rPr>
        <w:t>Asimismo, e</w:t>
      </w:r>
      <w:r w:rsidR="00322CC6" w:rsidRPr="005C1789">
        <w:rPr>
          <w:rFonts w:ascii="Verdana" w:hAnsi="Verdana"/>
          <w:sz w:val="20"/>
          <w:szCs w:val="20"/>
          <w:lang w:val="es-PE"/>
        </w:rPr>
        <w:t>l Estado es responsable por la violación al derecho a la libertad personal contenido en los artículos 7.1, 7.3, y 7.5 de la Convención Americana sobre Derechos Humanos, al derecho a la presunción de inocencia reconocido en el artículo 8.2, contemplado en el mismo instrumento, en relación con la obligación de respetar y de garantizar los derechos establecida en el artículo 1.1 de la Convención, así como la obligación de adoptar disposiciones de derecho interno contenida en el artículo 2 de dicho instrumento, por la aplicación de la prisión preventiva en perjuicio de Jorge Marcial Tzompaxtle Tecpile, Gerardo Tzompaxtle Tecpile y Gustavo Robles López</w:t>
      </w:r>
      <w:r w:rsidR="00C10D82" w:rsidRPr="005C1789">
        <w:rPr>
          <w:rFonts w:ascii="Verdana" w:hAnsi="Verdana"/>
          <w:sz w:val="20"/>
          <w:szCs w:val="20"/>
          <w:lang w:val="es-PE"/>
        </w:rPr>
        <w:t xml:space="preserve"> </w:t>
      </w:r>
      <w:r w:rsidR="00C10D82" w:rsidRPr="005C1789">
        <w:rPr>
          <w:rFonts w:ascii="Verdana" w:hAnsi="Verdana"/>
          <w:sz w:val="20"/>
          <w:szCs w:val="20"/>
        </w:rPr>
        <w:t>(</w:t>
      </w:r>
      <w:r w:rsidR="00C10D82" w:rsidRPr="005C1789">
        <w:rPr>
          <w:rFonts w:ascii="Verdana" w:hAnsi="Verdana"/>
          <w:i/>
          <w:iCs/>
          <w:sz w:val="20"/>
          <w:szCs w:val="20"/>
        </w:rPr>
        <w:t>supra</w:t>
      </w:r>
      <w:r w:rsidR="00C10D82" w:rsidRPr="005C1789">
        <w:rPr>
          <w:rFonts w:ascii="Verdana" w:hAnsi="Verdana"/>
          <w:sz w:val="20"/>
          <w:szCs w:val="20"/>
        </w:rPr>
        <w:t xml:space="preserve"> párr. 165)</w:t>
      </w:r>
      <w:r w:rsidR="00322CC6" w:rsidRPr="005C1789">
        <w:rPr>
          <w:rFonts w:ascii="Verdana" w:hAnsi="Verdana"/>
          <w:sz w:val="20"/>
          <w:szCs w:val="20"/>
          <w:lang w:val="es-MX"/>
        </w:rPr>
        <w:t>.</w:t>
      </w:r>
    </w:p>
    <w:p w14:paraId="5D488D40" w14:textId="354D2121" w:rsidR="004345AD" w:rsidRPr="005C1789" w:rsidRDefault="005273C2" w:rsidP="00955888">
      <w:pPr>
        <w:numPr>
          <w:ilvl w:val="0"/>
          <w:numId w:val="2"/>
        </w:numPr>
        <w:spacing w:before="120" w:after="120"/>
        <w:ind w:left="0" w:firstLine="0"/>
        <w:jc w:val="both"/>
        <w:rPr>
          <w:rFonts w:ascii="Verdana" w:hAnsi="Verdana"/>
          <w:i/>
          <w:iCs/>
          <w:sz w:val="20"/>
          <w:szCs w:val="20"/>
        </w:rPr>
      </w:pPr>
      <w:r w:rsidRPr="005C1789">
        <w:rPr>
          <w:rFonts w:ascii="Verdana" w:hAnsi="Verdana"/>
          <w:sz w:val="20"/>
          <w:szCs w:val="20"/>
        </w:rPr>
        <w:t>Por otra parte</w:t>
      </w:r>
      <w:r w:rsidR="00D2103E" w:rsidRPr="005C1789">
        <w:rPr>
          <w:rFonts w:ascii="Verdana" w:hAnsi="Verdana"/>
          <w:sz w:val="20"/>
          <w:szCs w:val="20"/>
        </w:rPr>
        <w:t>,</w:t>
      </w:r>
      <w:r w:rsidR="003E4B49" w:rsidRPr="005C1789">
        <w:rPr>
          <w:rFonts w:ascii="Verdana" w:hAnsi="Verdana"/>
          <w:sz w:val="20"/>
          <w:szCs w:val="20"/>
        </w:rPr>
        <w:t xml:space="preserve"> </w:t>
      </w:r>
      <w:r w:rsidR="00D2103E" w:rsidRPr="005C1789">
        <w:rPr>
          <w:rFonts w:ascii="Verdana" w:hAnsi="Verdana"/>
          <w:sz w:val="20"/>
          <w:szCs w:val="20"/>
        </w:rPr>
        <w:t>los artículos 133 bis del Código Federal Procesal Penal y 12 de la Ley Federal contra la Delincuencia Organizada, en su redacción actual, siguen presentando varias de las problemáticas que fueron subrayadas en relación con las normas vigentes al momento de los hechos del presente caso (</w:t>
      </w:r>
      <w:r w:rsidR="00D2103E" w:rsidRPr="005C1789">
        <w:rPr>
          <w:rFonts w:ascii="Verdana" w:hAnsi="Verdana"/>
          <w:i/>
          <w:iCs/>
          <w:sz w:val="20"/>
          <w:szCs w:val="20"/>
        </w:rPr>
        <w:t>supra</w:t>
      </w:r>
      <w:r w:rsidR="00D2103E" w:rsidRPr="005C1789">
        <w:rPr>
          <w:rFonts w:ascii="Verdana" w:hAnsi="Verdana"/>
          <w:sz w:val="20"/>
          <w:szCs w:val="20"/>
        </w:rPr>
        <w:t xml:space="preserve"> párr. </w:t>
      </w:r>
      <w:r w:rsidR="00E07DDB" w:rsidRPr="005C1789">
        <w:rPr>
          <w:rFonts w:ascii="Verdana" w:hAnsi="Verdana"/>
          <w:sz w:val="20"/>
          <w:szCs w:val="20"/>
        </w:rPr>
        <w:t xml:space="preserve">156), </w:t>
      </w:r>
      <w:r w:rsidR="00887E9F" w:rsidRPr="005C1789">
        <w:rPr>
          <w:rFonts w:ascii="Verdana" w:hAnsi="Verdana"/>
          <w:sz w:val="20"/>
          <w:szCs w:val="20"/>
        </w:rPr>
        <w:t xml:space="preserve">puesto que siguen sin permitir que </w:t>
      </w:r>
      <w:r w:rsidR="00D2103E" w:rsidRPr="005C1789">
        <w:rPr>
          <w:rFonts w:ascii="Verdana" w:hAnsi="Verdana"/>
          <w:sz w:val="20"/>
          <w:szCs w:val="20"/>
        </w:rPr>
        <w:t>la persona arraigada sea oída por una autoridad judicial antes de que se decrete la medida que restringe su libertad personal o su libertad de circulación</w:t>
      </w:r>
      <w:r w:rsidR="00887E9F" w:rsidRPr="005C1789">
        <w:rPr>
          <w:rFonts w:ascii="Verdana" w:hAnsi="Verdana"/>
          <w:sz w:val="20"/>
          <w:szCs w:val="20"/>
        </w:rPr>
        <w:t>,</w:t>
      </w:r>
      <w:r w:rsidR="00D2103E" w:rsidRPr="005C1789">
        <w:rPr>
          <w:rFonts w:ascii="Verdana" w:hAnsi="Verdana"/>
          <w:sz w:val="20"/>
          <w:szCs w:val="20"/>
        </w:rPr>
        <w:t xml:space="preserve"> </w:t>
      </w:r>
      <w:r w:rsidR="00887E9F" w:rsidRPr="005C1789">
        <w:rPr>
          <w:rFonts w:ascii="Verdana" w:hAnsi="Verdana"/>
          <w:sz w:val="20"/>
          <w:szCs w:val="20"/>
        </w:rPr>
        <w:t>y</w:t>
      </w:r>
      <w:r w:rsidR="00D2103E" w:rsidRPr="005C1789">
        <w:rPr>
          <w:rFonts w:ascii="Verdana" w:hAnsi="Verdana"/>
          <w:sz w:val="20"/>
          <w:szCs w:val="20"/>
        </w:rPr>
        <w:t xml:space="preserve"> algunos de los objetivos </w:t>
      </w:r>
      <w:r w:rsidR="00887E9F" w:rsidRPr="005C1789">
        <w:rPr>
          <w:rFonts w:ascii="Verdana" w:hAnsi="Verdana"/>
          <w:sz w:val="20"/>
          <w:szCs w:val="20"/>
        </w:rPr>
        <w:t xml:space="preserve">de esas figuras siguen sin ser </w:t>
      </w:r>
      <w:r w:rsidR="00D2103E" w:rsidRPr="005C1789">
        <w:rPr>
          <w:rFonts w:ascii="Verdana" w:hAnsi="Verdana"/>
          <w:sz w:val="20"/>
          <w:szCs w:val="20"/>
        </w:rPr>
        <w:t xml:space="preserve">compatibles con las finalidades legítimas para la restricción a la libertad personal conforme a la </w:t>
      </w:r>
      <w:r w:rsidR="0071675B">
        <w:rPr>
          <w:rFonts w:ascii="Verdana" w:hAnsi="Verdana"/>
          <w:sz w:val="20"/>
          <w:szCs w:val="20"/>
        </w:rPr>
        <w:t xml:space="preserve">Convención Americana </w:t>
      </w:r>
      <w:r w:rsidR="00D2103E" w:rsidRPr="005C1789">
        <w:rPr>
          <w:rFonts w:ascii="Verdana" w:hAnsi="Verdana"/>
          <w:sz w:val="20"/>
          <w:szCs w:val="20"/>
        </w:rPr>
        <w:t>puesto que el éxito de la investigación, la protección de personas o bienes jurídicos no constituyen finalidades legítimas</w:t>
      </w:r>
      <w:r w:rsidR="0071675B">
        <w:rPr>
          <w:rFonts w:ascii="Verdana" w:hAnsi="Verdana"/>
          <w:sz w:val="20"/>
          <w:szCs w:val="20"/>
        </w:rPr>
        <w:t xml:space="preserve"> a la luz del instrumento internacional</w:t>
      </w:r>
      <w:r w:rsidR="00D2103E" w:rsidRPr="005C1789">
        <w:rPr>
          <w:rFonts w:ascii="Verdana" w:hAnsi="Verdana"/>
          <w:i/>
          <w:iCs/>
          <w:sz w:val="20"/>
          <w:szCs w:val="20"/>
        </w:rPr>
        <w:t xml:space="preserve"> </w:t>
      </w:r>
      <w:r w:rsidR="00D2103E" w:rsidRPr="005C1789">
        <w:rPr>
          <w:rFonts w:ascii="Verdana" w:hAnsi="Verdana"/>
          <w:sz w:val="20"/>
          <w:szCs w:val="20"/>
        </w:rPr>
        <w:t>(</w:t>
      </w:r>
      <w:r w:rsidR="0063210A" w:rsidRPr="005C1789">
        <w:rPr>
          <w:rFonts w:ascii="Verdana" w:hAnsi="Verdana"/>
          <w:i/>
          <w:iCs/>
          <w:sz w:val="20"/>
          <w:szCs w:val="20"/>
        </w:rPr>
        <w:t>supra</w:t>
      </w:r>
      <w:r w:rsidR="0063210A" w:rsidRPr="005C1789">
        <w:rPr>
          <w:rFonts w:ascii="Verdana" w:hAnsi="Verdana"/>
          <w:sz w:val="20"/>
          <w:szCs w:val="20"/>
        </w:rPr>
        <w:t xml:space="preserve"> </w:t>
      </w:r>
      <w:r w:rsidR="00D2103E" w:rsidRPr="005C1789">
        <w:rPr>
          <w:rFonts w:ascii="Verdana" w:hAnsi="Verdana"/>
          <w:sz w:val="20"/>
          <w:szCs w:val="20"/>
        </w:rPr>
        <w:t xml:space="preserve">párr. </w:t>
      </w:r>
      <w:r w:rsidR="0063210A" w:rsidRPr="005C1789">
        <w:rPr>
          <w:rFonts w:ascii="Verdana" w:hAnsi="Verdana"/>
          <w:sz w:val="20"/>
          <w:szCs w:val="20"/>
        </w:rPr>
        <w:t xml:space="preserve">103). </w:t>
      </w:r>
      <w:r w:rsidR="00887E9F" w:rsidRPr="005C1789">
        <w:rPr>
          <w:rFonts w:ascii="Verdana" w:hAnsi="Verdana"/>
          <w:sz w:val="20"/>
          <w:szCs w:val="20"/>
        </w:rPr>
        <w:t>En ese sentido, la Corte recuerda que las medidas restrictivas a la libertad</w:t>
      </w:r>
      <w:r w:rsidR="00B21068" w:rsidRPr="005C1789">
        <w:rPr>
          <w:rFonts w:ascii="Verdana" w:hAnsi="Verdana"/>
          <w:sz w:val="20"/>
          <w:szCs w:val="20"/>
        </w:rPr>
        <w:t xml:space="preserve"> </w:t>
      </w:r>
      <w:r w:rsidR="00887E9F" w:rsidRPr="005C1789">
        <w:rPr>
          <w:rFonts w:ascii="Verdana" w:hAnsi="Verdana"/>
          <w:sz w:val="20"/>
          <w:szCs w:val="20"/>
        </w:rPr>
        <w:t>debe</w:t>
      </w:r>
      <w:r w:rsidR="000A1942" w:rsidRPr="005C1789">
        <w:rPr>
          <w:rFonts w:ascii="Verdana" w:hAnsi="Verdana"/>
          <w:sz w:val="20"/>
          <w:szCs w:val="20"/>
        </w:rPr>
        <w:t>n</w:t>
      </w:r>
      <w:r w:rsidR="00887E9F" w:rsidRPr="005C1789">
        <w:rPr>
          <w:rFonts w:ascii="Verdana" w:hAnsi="Verdana"/>
          <w:sz w:val="20"/>
          <w:szCs w:val="20"/>
        </w:rPr>
        <w:t xml:space="preserve"> ajustarse a los lineamientos y estándares </w:t>
      </w:r>
      <w:r w:rsidR="008F3740" w:rsidRPr="005C1789">
        <w:rPr>
          <w:rFonts w:ascii="Verdana" w:hAnsi="Verdana"/>
          <w:sz w:val="20"/>
          <w:szCs w:val="20"/>
        </w:rPr>
        <w:t>previamente señalados para que las mismas no afecten el derecho a la libertad personal o a la presunción de inocencia (</w:t>
      </w:r>
      <w:r w:rsidR="008F3740" w:rsidRPr="005C1789">
        <w:rPr>
          <w:rFonts w:ascii="Verdana" w:hAnsi="Verdana"/>
          <w:i/>
          <w:iCs/>
          <w:sz w:val="20"/>
          <w:szCs w:val="20"/>
        </w:rPr>
        <w:t>supra</w:t>
      </w:r>
      <w:r w:rsidR="008F3740" w:rsidRPr="005C1789">
        <w:rPr>
          <w:rFonts w:ascii="Verdana" w:hAnsi="Verdana"/>
          <w:sz w:val="20"/>
          <w:szCs w:val="20"/>
        </w:rPr>
        <w:t xml:space="preserve"> </w:t>
      </w:r>
      <w:proofErr w:type="spellStart"/>
      <w:r w:rsidR="008F3740" w:rsidRPr="005C1789">
        <w:rPr>
          <w:rFonts w:ascii="Verdana" w:hAnsi="Verdana"/>
          <w:sz w:val="20"/>
          <w:szCs w:val="20"/>
        </w:rPr>
        <w:t>párrs</w:t>
      </w:r>
      <w:proofErr w:type="spellEnd"/>
      <w:r w:rsidR="008F3740" w:rsidRPr="005C1789">
        <w:rPr>
          <w:rFonts w:ascii="Verdana" w:hAnsi="Verdana"/>
          <w:sz w:val="20"/>
          <w:szCs w:val="20"/>
        </w:rPr>
        <w:t xml:space="preserve">. </w:t>
      </w:r>
      <w:r w:rsidR="0063210A" w:rsidRPr="005C1789">
        <w:rPr>
          <w:rFonts w:ascii="Verdana" w:hAnsi="Verdana"/>
          <w:sz w:val="20"/>
          <w:szCs w:val="20"/>
        </w:rPr>
        <w:t xml:space="preserve">96 </w:t>
      </w:r>
      <w:r w:rsidR="008F3740" w:rsidRPr="005C1789">
        <w:rPr>
          <w:rFonts w:ascii="Verdana" w:hAnsi="Verdana"/>
          <w:sz w:val="20"/>
          <w:szCs w:val="20"/>
        </w:rPr>
        <w:t xml:space="preserve">a </w:t>
      </w:r>
      <w:r w:rsidR="0063210A" w:rsidRPr="005C1789">
        <w:rPr>
          <w:rFonts w:ascii="Verdana" w:hAnsi="Verdana"/>
          <w:sz w:val="20"/>
          <w:szCs w:val="20"/>
        </w:rPr>
        <w:t>114)</w:t>
      </w:r>
      <w:r w:rsidR="008F3740" w:rsidRPr="005C1789">
        <w:rPr>
          <w:rFonts w:ascii="Verdana" w:hAnsi="Verdana"/>
          <w:sz w:val="20"/>
          <w:szCs w:val="20"/>
        </w:rPr>
        <w:t>.</w:t>
      </w:r>
      <w:r w:rsidR="004345AD" w:rsidRPr="005C1789">
        <w:rPr>
          <w:rFonts w:ascii="Verdana" w:hAnsi="Verdana"/>
          <w:sz w:val="20"/>
          <w:szCs w:val="20"/>
        </w:rPr>
        <w:t xml:space="preserve"> </w:t>
      </w:r>
    </w:p>
    <w:p w14:paraId="79933735" w14:textId="083DB57A" w:rsidR="00D2103E" w:rsidRPr="005C1789" w:rsidRDefault="007D21ED" w:rsidP="00955888">
      <w:pPr>
        <w:numPr>
          <w:ilvl w:val="0"/>
          <w:numId w:val="2"/>
        </w:numPr>
        <w:spacing w:before="120" w:after="120"/>
        <w:ind w:left="0" w:firstLine="0"/>
        <w:jc w:val="both"/>
        <w:rPr>
          <w:rFonts w:ascii="Verdana" w:hAnsi="Verdana"/>
          <w:i/>
          <w:iCs/>
          <w:sz w:val="20"/>
          <w:szCs w:val="20"/>
        </w:rPr>
      </w:pPr>
      <w:r w:rsidRPr="005C1789">
        <w:rPr>
          <w:rFonts w:ascii="Verdana" w:hAnsi="Verdana"/>
          <w:sz w:val="20"/>
          <w:szCs w:val="20"/>
        </w:rPr>
        <w:t>En términos generales, para la Corte, cualquier figura de naturaleza pre-procesal que busque restringir la libertad de una persona para llevar a cabo una investigación sobre delitos que ella presuntamente habría cometido, resulta intrínsecamente contraria al contenido de la Convención Americana y vulnera de forma manifiesta sus derechos a la libertad personal y a la presunción de inocencia</w:t>
      </w:r>
      <w:r w:rsidR="004345AD" w:rsidRPr="005C1789">
        <w:rPr>
          <w:rFonts w:ascii="Verdana" w:hAnsi="Verdana"/>
          <w:sz w:val="20"/>
          <w:szCs w:val="20"/>
        </w:rPr>
        <w:t>.</w:t>
      </w:r>
    </w:p>
    <w:p w14:paraId="299C47C3" w14:textId="380C22D8" w:rsidR="00A552CE" w:rsidRPr="005C1789" w:rsidRDefault="00106D64" w:rsidP="00955888">
      <w:pPr>
        <w:numPr>
          <w:ilvl w:val="0"/>
          <w:numId w:val="2"/>
        </w:numPr>
        <w:spacing w:before="120" w:after="120"/>
        <w:ind w:left="0" w:firstLine="0"/>
        <w:jc w:val="both"/>
        <w:rPr>
          <w:rFonts w:ascii="Verdana" w:hAnsi="Verdana"/>
          <w:i/>
          <w:iCs/>
          <w:sz w:val="20"/>
          <w:szCs w:val="20"/>
        </w:rPr>
      </w:pPr>
      <w:r w:rsidRPr="005C1789">
        <w:rPr>
          <w:rFonts w:ascii="Verdana" w:hAnsi="Verdana"/>
          <w:sz w:val="20"/>
          <w:szCs w:val="20"/>
        </w:rPr>
        <w:t>En lo que respecta la redacción actual de</w:t>
      </w:r>
      <w:r w:rsidR="00784160">
        <w:rPr>
          <w:rFonts w:ascii="Verdana" w:hAnsi="Verdana"/>
          <w:sz w:val="20"/>
          <w:szCs w:val="20"/>
        </w:rPr>
        <w:t>l</w:t>
      </w:r>
      <w:r w:rsidRPr="005C1789">
        <w:rPr>
          <w:rFonts w:ascii="Verdana" w:hAnsi="Verdana"/>
          <w:sz w:val="20"/>
          <w:szCs w:val="20"/>
        </w:rPr>
        <w:t xml:space="preserve"> artículo 161 del Código Federal Procesal Penal referente a la prisión preventiva, que fue encontrado contrario a la Convención Americana, no ha sufrido una modificación con respecto a</w:t>
      </w:r>
      <w:r w:rsidR="00F852BF">
        <w:rPr>
          <w:rFonts w:ascii="Verdana" w:hAnsi="Verdana"/>
          <w:sz w:val="20"/>
          <w:szCs w:val="20"/>
        </w:rPr>
        <w:t>l</w:t>
      </w:r>
      <w:r w:rsidRPr="005C1789">
        <w:rPr>
          <w:rFonts w:ascii="Verdana" w:hAnsi="Verdana"/>
          <w:sz w:val="20"/>
          <w:szCs w:val="20"/>
        </w:rPr>
        <w:t xml:space="preserve"> que se encontraba vigente y que </w:t>
      </w:r>
      <w:r w:rsidR="00F852BF">
        <w:rPr>
          <w:rFonts w:ascii="Verdana" w:hAnsi="Verdana"/>
          <w:sz w:val="20"/>
          <w:szCs w:val="20"/>
        </w:rPr>
        <w:t>fue</w:t>
      </w:r>
      <w:r w:rsidRPr="005C1789">
        <w:rPr>
          <w:rFonts w:ascii="Verdana" w:hAnsi="Verdana"/>
          <w:sz w:val="20"/>
          <w:szCs w:val="20"/>
        </w:rPr>
        <w:t xml:space="preserve"> aplicado a los hechos del presente caso</w:t>
      </w:r>
      <w:r w:rsidR="00F971A5" w:rsidRPr="005C1789">
        <w:rPr>
          <w:rFonts w:ascii="Verdana" w:hAnsi="Verdana"/>
          <w:sz w:val="20"/>
          <w:szCs w:val="20"/>
        </w:rPr>
        <w:t xml:space="preserve">. </w:t>
      </w:r>
    </w:p>
    <w:p w14:paraId="5F1C0B52" w14:textId="409640D8" w:rsidR="008D3CDB" w:rsidRPr="005C1789" w:rsidRDefault="00106D64"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Por último, para este Tribunal no hay duda acerca del hecho que estas figuras resultan contrarias a la Convención por los motivos expuestos</w:t>
      </w:r>
      <w:r w:rsidR="0071675B">
        <w:rPr>
          <w:rFonts w:ascii="Verdana" w:hAnsi="Verdana"/>
          <w:sz w:val="20"/>
          <w:szCs w:val="20"/>
        </w:rPr>
        <w:t>.</w:t>
      </w:r>
      <w:r w:rsidRPr="005C1789">
        <w:rPr>
          <w:rFonts w:ascii="Verdana" w:hAnsi="Verdana"/>
          <w:sz w:val="20"/>
          <w:szCs w:val="20"/>
        </w:rPr>
        <w:t xml:space="preserve"> La Corte nota que el Estado manifestó que actualmente contaba con un sistema penal acusatorio. Las dos figuras analizadas en este </w:t>
      </w:r>
      <w:r w:rsidR="00E74D0D" w:rsidRPr="005C1789">
        <w:rPr>
          <w:rFonts w:ascii="Verdana" w:hAnsi="Verdana"/>
          <w:sz w:val="20"/>
          <w:szCs w:val="20"/>
        </w:rPr>
        <w:t>capítulo</w:t>
      </w:r>
      <w:r w:rsidRPr="005C1789">
        <w:rPr>
          <w:rFonts w:ascii="Verdana" w:hAnsi="Verdana"/>
          <w:sz w:val="20"/>
          <w:szCs w:val="20"/>
        </w:rPr>
        <w:t xml:space="preserve"> resultan </w:t>
      </w:r>
      <w:proofErr w:type="spellStart"/>
      <w:r w:rsidR="00947D78" w:rsidRPr="005C1789">
        <w:rPr>
          <w:rFonts w:ascii="Verdana" w:hAnsi="Verdana"/>
          <w:sz w:val="20"/>
          <w:szCs w:val="20"/>
        </w:rPr>
        <w:t>inconvencionales</w:t>
      </w:r>
      <w:proofErr w:type="spellEnd"/>
      <w:r w:rsidR="003621D0" w:rsidRPr="005C1789">
        <w:rPr>
          <w:rFonts w:ascii="Verdana" w:hAnsi="Verdana"/>
          <w:sz w:val="20"/>
          <w:szCs w:val="20"/>
        </w:rPr>
        <w:t>,</w:t>
      </w:r>
      <w:r w:rsidRPr="005C1789">
        <w:rPr>
          <w:rFonts w:ascii="Verdana" w:hAnsi="Verdana"/>
          <w:sz w:val="20"/>
          <w:szCs w:val="20"/>
        </w:rPr>
        <w:t xml:space="preserve"> porque precisamente vulneran algunos de los principios de ese sistema como el principio del contradictorio, la igualdad de armas entre las partes en el proceso, la inmediación, y </w:t>
      </w:r>
      <w:r w:rsidR="00DE6BC8" w:rsidRPr="005C1789">
        <w:rPr>
          <w:rFonts w:ascii="Verdana" w:hAnsi="Verdana"/>
          <w:sz w:val="20"/>
          <w:szCs w:val="20"/>
        </w:rPr>
        <w:t>la</w:t>
      </w:r>
      <w:r w:rsidRPr="005C1789">
        <w:rPr>
          <w:rFonts w:ascii="Verdana" w:hAnsi="Verdana"/>
          <w:sz w:val="20"/>
          <w:szCs w:val="20"/>
        </w:rPr>
        <w:t xml:space="preserve"> publicidad</w:t>
      </w:r>
      <w:r w:rsidR="008D3CDB" w:rsidRPr="005C1789">
        <w:rPr>
          <w:rFonts w:ascii="Verdana" w:hAnsi="Verdana"/>
          <w:sz w:val="20"/>
          <w:szCs w:val="20"/>
        </w:rPr>
        <w:t xml:space="preserve">. </w:t>
      </w:r>
    </w:p>
    <w:p w14:paraId="14158110" w14:textId="5FFCC8B8" w:rsidR="00957115" w:rsidRPr="005C1789" w:rsidRDefault="00957115" w:rsidP="00955888">
      <w:pPr>
        <w:pStyle w:val="Ttulo1"/>
        <w:ind w:firstLine="6"/>
        <w:rPr>
          <w:rFonts w:ascii="Verdana" w:eastAsia="Batang" w:hAnsi="Verdana"/>
          <w:bCs w:val="0"/>
          <w:caps w:val="0"/>
          <w:snapToGrid/>
          <w:sz w:val="20"/>
          <w:lang w:val="es-ES_tradnl"/>
        </w:rPr>
      </w:pPr>
      <w:bookmarkStart w:id="109" w:name="_Toc123347545"/>
      <w:r w:rsidRPr="005C1789">
        <w:rPr>
          <w:rFonts w:ascii="Verdana" w:hAnsi="Verdana"/>
          <w:caps w:val="0"/>
          <w:sz w:val="20"/>
          <w:lang w:val="es-ES"/>
        </w:rPr>
        <w:lastRenderedPageBreak/>
        <w:t>V</w:t>
      </w:r>
      <w:r w:rsidR="0085104D" w:rsidRPr="005C1789">
        <w:rPr>
          <w:rFonts w:ascii="Verdana" w:hAnsi="Verdana"/>
          <w:caps w:val="0"/>
          <w:sz w:val="20"/>
          <w:lang w:val="es-ES"/>
        </w:rPr>
        <w:t>II</w:t>
      </w:r>
      <w:r w:rsidRPr="005C1789">
        <w:rPr>
          <w:rFonts w:ascii="Verdana" w:hAnsi="Verdana"/>
          <w:caps w:val="0"/>
          <w:sz w:val="20"/>
          <w:lang w:val="es-ES"/>
        </w:rPr>
        <w:t>I.</w:t>
      </w:r>
      <w:r w:rsidR="00295348" w:rsidRPr="005C1789">
        <w:rPr>
          <w:rFonts w:ascii="Verdana" w:hAnsi="Verdana"/>
          <w:caps w:val="0"/>
          <w:sz w:val="20"/>
          <w:lang w:val="es-ES"/>
        </w:rPr>
        <w:t>2</w:t>
      </w:r>
      <w:r w:rsidRPr="005C1789">
        <w:rPr>
          <w:rFonts w:ascii="Verdana" w:hAnsi="Verdana"/>
          <w:caps w:val="0"/>
          <w:color w:val="FFFFFF" w:themeColor="background1"/>
          <w:sz w:val="20"/>
          <w:lang w:val="es-ES"/>
        </w:rPr>
        <w:t>.</w:t>
      </w:r>
      <w:r w:rsidRPr="005C1789">
        <w:rPr>
          <w:rFonts w:ascii="Verdana" w:hAnsi="Verdana"/>
          <w:b w:val="0"/>
          <w:caps w:val="0"/>
          <w:sz w:val="20"/>
          <w:lang w:val="es-ES_tradnl"/>
        </w:rPr>
        <w:br/>
      </w:r>
      <w:r w:rsidR="00F562B8" w:rsidRPr="005C1789">
        <w:rPr>
          <w:rFonts w:ascii="Verdana" w:hAnsi="Verdana"/>
          <w:caps w:val="0"/>
          <w:sz w:val="20"/>
          <w:lang w:val="es-ES"/>
        </w:rPr>
        <w:t>LOS DERECHOS A LA INTEGRIDAD PERSONAL</w:t>
      </w:r>
      <w:r w:rsidR="00F562B8" w:rsidRPr="005C1789">
        <w:rPr>
          <w:rStyle w:val="Refdenotaalpie"/>
          <w:rFonts w:ascii="Verdana" w:hAnsi="Verdana"/>
          <w:sz w:val="20"/>
          <w:lang w:val="es-ES"/>
        </w:rPr>
        <w:footnoteReference w:id="136"/>
      </w:r>
      <w:r w:rsidR="00F562B8" w:rsidRPr="005C1789">
        <w:rPr>
          <w:rFonts w:ascii="Verdana" w:hAnsi="Verdana"/>
          <w:caps w:val="0"/>
          <w:sz w:val="20"/>
          <w:lang w:val="es-ES"/>
        </w:rPr>
        <w:t xml:space="preserve"> Y A LA VIDA PRIVADA</w:t>
      </w:r>
      <w:r w:rsidR="00F562B8" w:rsidRPr="005C1789">
        <w:rPr>
          <w:rStyle w:val="Refdenotaalpie"/>
          <w:rFonts w:ascii="Verdana" w:hAnsi="Verdana"/>
          <w:sz w:val="20"/>
          <w:lang w:val="es-ES"/>
        </w:rPr>
        <w:footnoteReference w:id="137"/>
      </w:r>
      <w:r w:rsidR="00F562B8" w:rsidRPr="005C1789">
        <w:rPr>
          <w:rFonts w:ascii="Verdana" w:hAnsi="Verdana"/>
          <w:caps w:val="0"/>
          <w:sz w:val="20"/>
          <w:lang w:val="es-ES"/>
        </w:rPr>
        <w:t xml:space="preserve"> EN RELACIÓN CON LA OBLIGACIÓN DE RESPETAR LOS DERECHOS</w:t>
      </w:r>
      <w:r w:rsidR="00F562B8" w:rsidRPr="005C1789">
        <w:rPr>
          <w:rStyle w:val="Refdenotaalpie"/>
          <w:rFonts w:ascii="Verdana" w:hAnsi="Verdana"/>
          <w:sz w:val="20"/>
          <w:lang w:val="es-ES"/>
        </w:rPr>
        <w:footnoteReference w:id="138"/>
      </w:r>
      <w:bookmarkEnd w:id="109"/>
    </w:p>
    <w:p w14:paraId="18050175" w14:textId="77777777" w:rsidR="00957115" w:rsidRPr="005C1789" w:rsidRDefault="00957115" w:rsidP="00955888">
      <w:pPr>
        <w:pStyle w:val="Ttulo2"/>
        <w:numPr>
          <w:ilvl w:val="0"/>
          <w:numId w:val="40"/>
        </w:numPr>
        <w:spacing w:before="240" w:after="240"/>
        <w:rPr>
          <w:rFonts w:ascii="Verdana" w:hAnsi="Verdana"/>
          <w:i/>
          <w:color w:val="auto"/>
          <w:sz w:val="20"/>
          <w:szCs w:val="20"/>
        </w:rPr>
      </w:pPr>
      <w:bookmarkStart w:id="110" w:name="_Toc123347546"/>
      <w:r w:rsidRPr="005C1789">
        <w:rPr>
          <w:rFonts w:ascii="Verdana" w:hAnsi="Verdana"/>
          <w:i/>
          <w:color w:val="auto"/>
          <w:sz w:val="20"/>
          <w:szCs w:val="20"/>
        </w:rPr>
        <w:t>Alegatos de las partes y de la Comisión</w:t>
      </w:r>
      <w:bookmarkEnd w:id="110"/>
    </w:p>
    <w:p w14:paraId="1380CAF2" w14:textId="1BDB7A8D" w:rsidR="00BF516D" w:rsidRPr="005C1789" w:rsidRDefault="00BF516D" w:rsidP="00955888">
      <w:pPr>
        <w:numPr>
          <w:ilvl w:val="0"/>
          <w:numId w:val="2"/>
        </w:numPr>
        <w:spacing w:before="120" w:after="120"/>
        <w:ind w:left="0" w:firstLine="0"/>
        <w:jc w:val="both"/>
        <w:rPr>
          <w:rFonts w:ascii="Verdana" w:eastAsia="Calibri" w:hAnsi="Verdana"/>
          <w:bCs/>
          <w:sz w:val="20"/>
          <w:szCs w:val="20"/>
          <w:lang w:eastAsia="es-CR"/>
        </w:rPr>
      </w:pPr>
      <w:r w:rsidRPr="005C1789">
        <w:rPr>
          <w:rFonts w:ascii="Verdana" w:eastAsia="Calibri" w:hAnsi="Verdana"/>
          <w:bCs/>
          <w:sz w:val="20"/>
          <w:szCs w:val="20"/>
          <w:lang w:eastAsia="es-CR"/>
        </w:rPr>
        <w:t xml:space="preserve">La </w:t>
      </w:r>
      <w:r w:rsidRPr="005C1789">
        <w:rPr>
          <w:rFonts w:ascii="Verdana" w:eastAsia="Calibri" w:hAnsi="Verdana"/>
          <w:b/>
          <w:i/>
          <w:iCs/>
          <w:sz w:val="20"/>
          <w:szCs w:val="20"/>
          <w:lang w:eastAsia="es-CR"/>
        </w:rPr>
        <w:t>Comisión</w:t>
      </w:r>
      <w:r w:rsidRPr="005C1789">
        <w:rPr>
          <w:rFonts w:ascii="Verdana" w:eastAsia="Calibri" w:hAnsi="Verdana"/>
          <w:bCs/>
          <w:sz w:val="20"/>
          <w:szCs w:val="20"/>
          <w:lang w:eastAsia="es-CR"/>
        </w:rPr>
        <w:t xml:space="preserve"> sostuvo que las víctimas estuvieron incomunicadas el 12 de enero de 2006 durante siete horas y media (entre las 11:30 a.</w:t>
      </w:r>
      <w:r w:rsidR="00061B29" w:rsidRPr="005C1789">
        <w:rPr>
          <w:rFonts w:ascii="Verdana" w:eastAsia="Calibri" w:hAnsi="Verdana"/>
          <w:bCs/>
          <w:sz w:val="20"/>
          <w:szCs w:val="20"/>
          <w:lang w:eastAsia="es-CR"/>
        </w:rPr>
        <w:t xml:space="preserve"> </w:t>
      </w:r>
      <w:r w:rsidRPr="005C1789">
        <w:rPr>
          <w:rFonts w:ascii="Verdana" w:eastAsia="Calibri" w:hAnsi="Verdana"/>
          <w:bCs/>
          <w:sz w:val="20"/>
          <w:szCs w:val="20"/>
          <w:lang w:eastAsia="es-CR"/>
        </w:rPr>
        <w:t>m. y 7:00 p.</w:t>
      </w:r>
      <w:r w:rsidR="00061B29" w:rsidRPr="005C1789">
        <w:rPr>
          <w:rFonts w:ascii="Verdana" w:eastAsia="Calibri" w:hAnsi="Verdana"/>
          <w:bCs/>
          <w:sz w:val="20"/>
          <w:szCs w:val="20"/>
          <w:lang w:eastAsia="es-CR"/>
        </w:rPr>
        <w:t xml:space="preserve"> </w:t>
      </w:r>
      <w:r w:rsidRPr="005C1789">
        <w:rPr>
          <w:rFonts w:ascii="Verdana" w:eastAsia="Calibri" w:hAnsi="Verdana"/>
          <w:bCs/>
          <w:sz w:val="20"/>
          <w:szCs w:val="20"/>
          <w:lang w:eastAsia="es-CR"/>
        </w:rPr>
        <w:t>m.). Agreg</w:t>
      </w:r>
      <w:r w:rsidR="00B34315">
        <w:rPr>
          <w:rFonts w:ascii="Verdana" w:eastAsia="Calibri" w:hAnsi="Verdana"/>
          <w:bCs/>
          <w:sz w:val="20"/>
          <w:szCs w:val="20"/>
          <w:lang w:eastAsia="es-CR"/>
        </w:rPr>
        <w:t>ó</w:t>
      </w:r>
      <w:r w:rsidRPr="005C1789">
        <w:rPr>
          <w:rFonts w:ascii="Verdana" w:eastAsia="Calibri" w:hAnsi="Verdana"/>
          <w:bCs/>
          <w:sz w:val="20"/>
          <w:szCs w:val="20"/>
          <w:lang w:eastAsia="es-CR"/>
        </w:rPr>
        <w:t xml:space="preserve"> que el único contacto que </w:t>
      </w:r>
      <w:r w:rsidR="00B34315">
        <w:rPr>
          <w:rFonts w:ascii="Verdana" w:eastAsia="Calibri" w:hAnsi="Verdana"/>
          <w:bCs/>
          <w:sz w:val="20"/>
          <w:szCs w:val="20"/>
          <w:lang w:eastAsia="es-CR"/>
        </w:rPr>
        <w:t>mantuvieron</w:t>
      </w:r>
      <w:r w:rsidRPr="005C1789">
        <w:rPr>
          <w:rFonts w:ascii="Verdana" w:eastAsia="Calibri" w:hAnsi="Verdana"/>
          <w:bCs/>
          <w:sz w:val="20"/>
          <w:szCs w:val="20"/>
          <w:lang w:eastAsia="es-CR"/>
        </w:rPr>
        <w:t xml:space="preserve"> con otra persona fue un doctor al que tuvieron que pagar sus honorarios para que les hiciera un examen médico. Indicó que luego </w:t>
      </w:r>
      <w:r w:rsidR="009A520C" w:rsidRPr="005C1789">
        <w:rPr>
          <w:rFonts w:ascii="Verdana" w:eastAsia="Calibri" w:hAnsi="Verdana"/>
          <w:bCs/>
          <w:sz w:val="20"/>
          <w:szCs w:val="20"/>
          <w:lang w:eastAsia="es-CR"/>
        </w:rPr>
        <w:t>fueron</w:t>
      </w:r>
      <w:r w:rsidRPr="005C1789">
        <w:rPr>
          <w:rFonts w:ascii="Verdana" w:eastAsia="Calibri" w:hAnsi="Verdana"/>
          <w:bCs/>
          <w:sz w:val="20"/>
          <w:szCs w:val="20"/>
          <w:lang w:eastAsia="es-CR"/>
        </w:rPr>
        <w:t xml:space="preserve"> trasladadas al Ministerio Público de la ciudad de Orizaba, en donde estuvieron incomunicadas hasta el 14 de enero, fecha en que rindieron sus primeras declaraciones. Adicionalmente, sostuvo que las víctimas debieron permanecer toda la noche del 16 de enero de 2006 tirados en el suelo de las oficinas de la UEITA. Alegó</w:t>
      </w:r>
      <w:r w:rsidR="00645862" w:rsidRPr="005C1789">
        <w:rPr>
          <w:rFonts w:ascii="Verdana" w:eastAsia="Calibri" w:hAnsi="Verdana"/>
          <w:bCs/>
          <w:sz w:val="20"/>
          <w:szCs w:val="20"/>
          <w:lang w:eastAsia="es-CR"/>
        </w:rPr>
        <w:t>,</w:t>
      </w:r>
      <w:r w:rsidRPr="005C1789">
        <w:rPr>
          <w:rFonts w:ascii="Verdana" w:eastAsia="Calibri" w:hAnsi="Verdana"/>
          <w:bCs/>
          <w:sz w:val="20"/>
          <w:szCs w:val="20"/>
          <w:lang w:eastAsia="es-CR"/>
        </w:rPr>
        <w:t xml:space="preserve"> asimismo</w:t>
      </w:r>
      <w:r w:rsidR="00645862" w:rsidRPr="005C1789">
        <w:rPr>
          <w:rFonts w:ascii="Verdana" w:eastAsia="Calibri" w:hAnsi="Verdana"/>
          <w:bCs/>
          <w:sz w:val="20"/>
          <w:szCs w:val="20"/>
          <w:lang w:eastAsia="es-CR"/>
        </w:rPr>
        <w:t>,</w:t>
      </w:r>
      <w:r w:rsidRPr="005C1789">
        <w:rPr>
          <w:rFonts w:ascii="Verdana" w:eastAsia="Calibri" w:hAnsi="Verdana"/>
          <w:bCs/>
          <w:sz w:val="20"/>
          <w:szCs w:val="20"/>
          <w:lang w:eastAsia="es-CR"/>
        </w:rPr>
        <w:t xml:space="preserve"> que en todos estos momentos no pudieron comunicarse con sus familiares a fin de informarles sobre su detención. Por lo expuesto, concluyó que tales hechos afectaron la integridad personal de las víctimas, en violación del artículo 5.1 de la Convención Americana, en relación con el artículo 1.1 del mismo instrumento, en perjuicio de Jorge Marcial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Gerardo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y Gustavo Robles López.</w:t>
      </w:r>
      <w:r w:rsidR="000A4E41" w:rsidRPr="005C1789">
        <w:rPr>
          <w:rFonts w:ascii="Verdana" w:eastAsia="Calibri" w:hAnsi="Verdana"/>
          <w:bCs/>
          <w:sz w:val="20"/>
          <w:szCs w:val="20"/>
          <w:lang w:eastAsia="es-CR"/>
        </w:rPr>
        <w:t xml:space="preserve"> </w:t>
      </w:r>
    </w:p>
    <w:p w14:paraId="43ED3B55" w14:textId="1B9991A1" w:rsidR="000A4E41" w:rsidRPr="005C1789" w:rsidRDefault="000A4E41" w:rsidP="00955888">
      <w:pPr>
        <w:numPr>
          <w:ilvl w:val="0"/>
          <w:numId w:val="2"/>
        </w:numPr>
        <w:spacing w:before="120" w:after="120"/>
        <w:ind w:left="0" w:firstLine="0"/>
        <w:jc w:val="both"/>
        <w:rPr>
          <w:rFonts w:ascii="Verdana" w:eastAsia="Calibri" w:hAnsi="Verdana"/>
          <w:bCs/>
          <w:sz w:val="20"/>
          <w:szCs w:val="20"/>
          <w:lang w:eastAsia="es-CR"/>
        </w:rPr>
      </w:pPr>
      <w:r w:rsidRPr="005C1789">
        <w:rPr>
          <w:rFonts w:ascii="Verdana" w:eastAsia="Calibri" w:hAnsi="Verdana"/>
          <w:bCs/>
          <w:sz w:val="20"/>
          <w:szCs w:val="20"/>
          <w:lang w:eastAsia="es-CR"/>
        </w:rPr>
        <w:t xml:space="preserve">Del mismo modo, la Comisión alegó que la sumatoria de violaciones derivadas de la privación </w:t>
      </w:r>
      <w:r w:rsidR="005B72A1" w:rsidRPr="005C1789">
        <w:rPr>
          <w:rFonts w:ascii="Verdana" w:eastAsia="Calibri" w:hAnsi="Verdana"/>
          <w:bCs/>
          <w:sz w:val="20"/>
          <w:szCs w:val="20"/>
          <w:lang w:eastAsia="es-CR"/>
        </w:rPr>
        <w:t xml:space="preserve">de </w:t>
      </w:r>
      <w:r w:rsidR="00E236E5" w:rsidRPr="005C1789">
        <w:rPr>
          <w:rFonts w:ascii="Verdana" w:eastAsia="Calibri" w:hAnsi="Verdana"/>
          <w:bCs/>
          <w:sz w:val="20"/>
          <w:szCs w:val="20"/>
          <w:lang w:eastAsia="es-CR"/>
        </w:rPr>
        <w:t xml:space="preserve">la </w:t>
      </w:r>
      <w:r w:rsidR="005B72A1" w:rsidRPr="005C1789">
        <w:rPr>
          <w:rFonts w:ascii="Verdana" w:eastAsia="Calibri" w:hAnsi="Verdana"/>
          <w:bCs/>
          <w:sz w:val="20"/>
          <w:szCs w:val="20"/>
          <w:lang w:eastAsia="es-CR"/>
        </w:rPr>
        <w:t>libertad</w:t>
      </w:r>
      <w:r w:rsidRPr="005C1789">
        <w:rPr>
          <w:rFonts w:ascii="Verdana" w:eastAsia="Calibri" w:hAnsi="Verdana"/>
          <w:bCs/>
          <w:sz w:val="20"/>
          <w:szCs w:val="20"/>
          <w:lang w:eastAsia="es-CR"/>
        </w:rPr>
        <w:t xml:space="preserve"> de manera arbitraria y con base en un proceso sin las debidas garantías judiciales, afectó también su derecho a la integridad psíquica. En ese sentido, concluy</w:t>
      </w:r>
      <w:r w:rsidR="002662B5">
        <w:rPr>
          <w:rFonts w:ascii="Verdana" w:eastAsia="Calibri" w:hAnsi="Verdana"/>
          <w:bCs/>
          <w:sz w:val="20"/>
          <w:szCs w:val="20"/>
          <w:lang w:eastAsia="es-CR"/>
        </w:rPr>
        <w:t>ó</w:t>
      </w:r>
      <w:r w:rsidRPr="005C1789">
        <w:rPr>
          <w:rFonts w:ascii="Verdana" w:eastAsia="Calibri" w:hAnsi="Verdana"/>
          <w:bCs/>
          <w:sz w:val="20"/>
          <w:szCs w:val="20"/>
          <w:lang w:eastAsia="es-CR"/>
        </w:rPr>
        <w:t xml:space="preserve"> que el Estado violó el artículo 5.1 de la Convención Americana, en relación con el artículo 1.1 de la misma, en perjuicio de Jorge Marcial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Gerardo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y Gustavo Robles López. </w:t>
      </w:r>
    </w:p>
    <w:p w14:paraId="084CCFBC" w14:textId="1DA5C433" w:rsidR="000A4E41" w:rsidRPr="005C1789" w:rsidRDefault="000A4E41" w:rsidP="00955888">
      <w:pPr>
        <w:numPr>
          <w:ilvl w:val="0"/>
          <w:numId w:val="2"/>
        </w:numPr>
        <w:spacing w:before="120" w:after="120"/>
        <w:ind w:left="0" w:firstLine="0"/>
        <w:jc w:val="both"/>
        <w:rPr>
          <w:rFonts w:ascii="Verdana" w:eastAsia="Calibri" w:hAnsi="Verdana"/>
          <w:bCs/>
          <w:sz w:val="20"/>
          <w:szCs w:val="20"/>
          <w:lang w:eastAsia="es-CR"/>
        </w:rPr>
      </w:pPr>
      <w:r w:rsidRPr="005C1789">
        <w:rPr>
          <w:rFonts w:ascii="Verdana" w:eastAsia="Calibri" w:hAnsi="Verdana"/>
          <w:bCs/>
          <w:sz w:val="20"/>
          <w:szCs w:val="20"/>
          <w:lang w:eastAsia="es-CR"/>
        </w:rPr>
        <w:t xml:space="preserve">Por otra parte, la Comisión alegó que la requisa del vehículo Jorge Marcial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Gerardo </w:t>
      </w:r>
      <w:proofErr w:type="spellStart"/>
      <w:r w:rsidRPr="005C1789">
        <w:rPr>
          <w:rFonts w:ascii="Verdana" w:eastAsia="Calibri" w:hAnsi="Verdana"/>
          <w:bCs/>
          <w:sz w:val="20"/>
          <w:szCs w:val="20"/>
          <w:lang w:eastAsia="es-CR"/>
        </w:rPr>
        <w:t>Tzompaxtle</w:t>
      </w:r>
      <w:proofErr w:type="spellEnd"/>
      <w:r w:rsidRPr="005C1789">
        <w:rPr>
          <w:rFonts w:ascii="Verdana" w:eastAsia="Calibri" w:hAnsi="Verdana"/>
          <w:bCs/>
          <w:sz w:val="20"/>
          <w:szCs w:val="20"/>
          <w:lang w:eastAsia="es-CR"/>
        </w:rPr>
        <w:t xml:space="preserve"> </w:t>
      </w:r>
      <w:proofErr w:type="spellStart"/>
      <w:r w:rsidRPr="005C1789">
        <w:rPr>
          <w:rFonts w:ascii="Verdana" w:eastAsia="Calibri" w:hAnsi="Verdana"/>
          <w:bCs/>
          <w:sz w:val="20"/>
          <w:szCs w:val="20"/>
          <w:lang w:eastAsia="es-CR"/>
        </w:rPr>
        <w:t>Tecpile</w:t>
      </w:r>
      <w:proofErr w:type="spellEnd"/>
      <w:r w:rsidRPr="005C1789">
        <w:rPr>
          <w:rFonts w:ascii="Verdana" w:eastAsia="Calibri" w:hAnsi="Verdana"/>
          <w:bCs/>
          <w:sz w:val="20"/>
          <w:szCs w:val="20"/>
          <w:lang w:eastAsia="es-CR"/>
        </w:rPr>
        <w:t xml:space="preserve"> y Gustavo Robles López</w:t>
      </w:r>
      <w:r w:rsidR="00B04CB4" w:rsidRPr="005C1789">
        <w:rPr>
          <w:rFonts w:ascii="Verdana" w:eastAsia="Calibri" w:hAnsi="Verdana"/>
          <w:bCs/>
          <w:sz w:val="20"/>
          <w:szCs w:val="20"/>
          <w:lang w:eastAsia="es-CR"/>
        </w:rPr>
        <w:t>,</w:t>
      </w:r>
      <w:r w:rsidRPr="005C1789">
        <w:rPr>
          <w:rFonts w:ascii="Verdana" w:eastAsia="Calibri" w:hAnsi="Verdana"/>
          <w:bCs/>
          <w:sz w:val="20"/>
          <w:szCs w:val="20"/>
          <w:lang w:eastAsia="es-CR"/>
        </w:rPr>
        <w:t xml:space="preserve"> constituyó una afectación a su derecho a la vida privada</w:t>
      </w:r>
      <w:r w:rsidR="00B04CB4" w:rsidRPr="005C1789">
        <w:rPr>
          <w:rFonts w:ascii="Verdana" w:eastAsia="Calibri" w:hAnsi="Verdana"/>
          <w:bCs/>
          <w:sz w:val="20"/>
          <w:szCs w:val="20"/>
          <w:lang w:eastAsia="es-CR"/>
        </w:rPr>
        <w:t>,</w:t>
      </w:r>
      <w:r w:rsidRPr="005C1789">
        <w:rPr>
          <w:rFonts w:ascii="Verdana" w:eastAsia="Calibri" w:hAnsi="Verdana"/>
          <w:bCs/>
          <w:sz w:val="20"/>
          <w:szCs w:val="20"/>
          <w:lang w:eastAsia="es-CR"/>
        </w:rPr>
        <w:t xml:space="preserve"> y concluyó que el Estado vulneró el derecho establecido en el artículo 11.2 de la Convención Americana, en relación con los artículos 1.1 del mismo instrumento en su perjuicio.</w:t>
      </w:r>
    </w:p>
    <w:p w14:paraId="6BD87F71" w14:textId="1B7CDE40" w:rsidR="001D1A4F" w:rsidRPr="005C1789" w:rsidRDefault="001D1A4F" w:rsidP="00955888">
      <w:pPr>
        <w:numPr>
          <w:ilvl w:val="0"/>
          <w:numId w:val="2"/>
        </w:numPr>
        <w:spacing w:before="120" w:after="120"/>
        <w:ind w:left="0" w:firstLine="0"/>
        <w:jc w:val="both"/>
        <w:rPr>
          <w:rFonts w:ascii="Verdana" w:eastAsia="Calibri" w:hAnsi="Verdana"/>
          <w:bCs/>
          <w:sz w:val="20"/>
          <w:szCs w:val="20"/>
          <w:lang w:eastAsia="es-CR"/>
        </w:rPr>
      </w:pPr>
      <w:r w:rsidRPr="005C1789">
        <w:rPr>
          <w:rFonts w:ascii="Verdana" w:eastAsia="Calibri" w:hAnsi="Verdana"/>
          <w:bCs/>
          <w:sz w:val="20"/>
          <w:szCs w:val="20"/>
          <w:lang w:eastAsia="es-CR"/>
        </w:rPr>
        <w:t xml:space="preserve">Los </w:t>
      </w:r>
      <w:r w:rsidRPr="005C1789">
        <w:rPr>
          <w:rFonts w:ascii="Verdana" w:eastAsia="Calibri" w:hAnsi="Verdana"/>
          <w:b/>
          <w:i/>
          <w:iCs/>
          <w:sz w:val="20"/>
          <w:szCs w:val="20"/>
          <w:lang w:eastAsia="es-CR"/>
        </w:rPr>
        <w:t>representantes</w:t>
      </w:r>
      <w:r w:rsidRPr="005C1789">
        <w:rPr>
          <w:rFonts w:ascii="Verdana" w:eastAsia="Calibri" w:hAnsi="Verdana"/>
          <w:bCs/>
          <w:sz w:val="20"/>
          <w:szCs w:val="20"/>
          <w:lang w:eastAsia="es-CR"/>
        </w:rPr>
        <w:t xml:space="preserve"> agregaron a lo alegado por la Comisión que “el hecho de que la detención de las víctimas fue arbitraria agravó su situación de vulnerabilidad ante las autoridades, lo que aunado a las condiciones precarias de detención en el sistema de arraigo y penitenciario mexicano y a las amenazas de las que fueron objeto, vulneró su derecho a la integridad psíquica”.</w:t>
      </w:r>
      <w:r w:rsidR="000A4E41" w:rsidRPr="005C1789">
        <w:rPr>
          <w:rFonts w:ascii="Verdana" w:eastAsia="Calibri" w:hAnsi="Verdana"/>
          <w:bCs/>
          <w:sz w:val="20"/>
          <w:szCs w:val="20"/>
          <w:lang w:eastAsia="es-CR"/>
        </w:rPr>
        <w:t xml:space="preserve"> En cuanto a la alegada violación a la vida privada</w:t>
      </w:r>
      <w:r w:rsidR="002001DE" w:rsidRPr="005C1789">
        <w:rPr>
          <w:rFonts w:ascii="Verdana" w:eastAsia="Calibri" w:hAnsi="Verdana"/>
          <w:bCs/>
          <w:sz w:val="20"/>
          <w:szCs w:val="20"/>
          <w:lang w:eastAsia="es-CR"/>
        </w:rPr>
        <w:t xml:space="preserve">, coincidieron con lo </w:t>
      </w:r>
      <w:r w:rsidR="001D14A8">
        <w:rPr>
          <w:rFonts w:ascii="Verdana" w:eastAsia="Calibri" w:hAnsi="Verdana"/>
          <w:bCs/>
          <w:sz w:val="20"/>
          <w:szCs w:val="20"/>
          <w:lang w:eastAsia="es-CR"/>
        </w:rPr>
        <w:t>mencionado</w:t>
      </w:r>
      <w:r w:rsidR="002001DE" w:rsidRPr="005C1789">
        <w:rPr>
          <w:rFonts w:ascii="Verdana" w:eastAsia="Calibri" w:hAnsi="Verdana"/>
          <w:bCs/>
          <w:sz w:val="20"/>
          <w:szCs w:val="20"/>
          <w:lang w:eastAsia="es-CR"/>
        </w:rPr>
        <w:t xml:space="preserve"> por la Comisión y </w:t>
      </w:r>
      <w:r w:rsidR="001D14A8">
        <w:rPr>
          <w:rFonts w:ascii="Verdana" w:eastAsia="Calibri" w:hAnsi="Verdana"/>
          <w:bCs/>
          <w:sz w:val="20"/>
          <w:szCs w:val="20"/>
          <w:lang w:eastAsia="es-CR"/>
        </w:rPr>
        <w:t>añadieron</w:t>
      </w:r>
      <w:r w:rsidR="002001DE" w:rsidRPr="005C1789">
        <w:rPr>
          <w:rFonts w:ascii="Verdana" w:eastAsia="Calibri" w:hAnsi="Verdana"/>
          <w:bCs/>
          <w:sz w:val="20"/>
          <w:szCs w:val="20"/>
          <w:lang w:eastAsia="es-CR"/>
        </w:rPr>
        <w:t xml:space="preserve"> que los cateos llevados a cabo </w:t>
      </w:r>
      <w:r w:rsidR="007C2A3F" w:rsidRPr="005C1789">
        <w:rPr>
          <w:rFonts w:ascii="Verdana" w:eastAsia="Calibri" w:hAnsi="Verdana"/>
          <w:bCs/>
          <w:sz w:val="20"/>
          <w:szCs w:val="20"/>
          <w:lang w:eastAsia="es-CR"/>
        </w:rPr>
        <w:t>el 31 de marzo de 2006</w:t>
      </w:r>
      <w:r w:rsidR="007C2A3F">
        <w:rPr>
          <w:rFonts w:ascii="Verdana" w:eastAsia="Calibri" w:hAnsi="Verdana"/>
          <w:bCs/>
          <w:sz w:val="20"/>
          <w:szCs w:val="20"/>
          <w:lang w:eastAsia="es-CR"/>
        </w:rPr>
        <w:t xml:space="preserve"> </w:t>
      </w:r>
      <w:r w:rsidR="002001DE" w:rsidRPr="005C1789">
        <w:rPr>
          <w:rFonts w:ascii="Verdana" w:eastAsia="Calibri" w:hAnsi="Verdana"/>
          <w:bCs/>
          <w:sz w:val="20"/>
          <w:szCs w:val="20"/>
          <w:lang w:eastAsia="es-CR"/>
        </w:rPr>
        <w:t xml:space="preserve">en la casa de la madre de los señores </w:t>
      </w:r>
      <w:proofErr w:type="spellStart"/>
      <w:r w:rsidR="002001DE" w:rsidRPr="005C1789">
        <w:rPr>
          <w:rFonts w:ascii="Verdana" w:eastAsia="Calibri" w:hAnsi="Verdana"/>
          <w:bCs/>
          <w:sz w:val="20"/>
          <w:szCs w:val="20"/>
          <w:lang w:eastAsia="es-CR"/>
        </w:rPr>
        <w:t>Tzompaxtle</w:t>
      </w:r>
      <w:proofErr w:type="spellEnd"/>
      <w:r w:rsidR="002001DE" w:rsidRPr="005C1789">
        <w:rPr>
          <w:rFonts w:ascii="Verdana" w:eastAsia="Calibri" w:hAnsi="Verdana"/>
          <w:bCs/>
          <w:sz w:val="20"/>
          <w:szCs w:val="20"/>
          <w:lang w:eastAsia="es-CR"/>
        </w:rPr>
        <w:t xml:space="preserve"> </w:t>
      </w:r>
      <w:proofErr w:type="spellStart"/>
      <w:r w:rsidR="002001DE" w:rsidRPr="005C1789">
        <w:rPr>
          <w:rFonts w:ascii="Verdana" w:eastAsia="Calibri" w:hAnsi="Verdana"/>
          <w:bCs/>
          <w:sz w:val="20"/>
          <w:szCs w:val="20"/>
          <w:lang w:eastAsia="es-CR"/>
        </w:rPr>
        <w:t>Tecpile</w:t>
      </w:r>
      <w:proofErr w:type="spellEnd"/>
      <w:r w:rsidR="002001DE" w:rsidRPr="005C1789">
        <w:rPr>
          <w:rFonts w:ascii="Verdana" w:eastAsia="Calibri" w:hAnsi="Verdana"/>
          <w:bCs/>
          <w:sz w:val="20"/>
          <w:szCs w:val="20"/>
          <w:lang w:eastAsia="es-CR"/>
        </w:rPr>
        <w:t xml:space="preserve">, así como </w:t>
      </w:r>
      <w:r w:rsidR="001D14A8">
        <w:rPr>
          <w:rFonts w:ascii="Verdana" w:eastAsia="Calibri" w:hAnsi="Verdana"/>
          <w:bCs/>
          <w:sz w:val="20"/>
          <w:szCs w:val="20"/>
          <w:lang w:eastAsia="es-CR"/>
        </w:rPr>
        <w:t xml:space="preserve">a </w:t>
      </w:r>
      <w:r w:rsidR="002001DE" w:rsidRPr="005C1789">
        <w:rPr>
          <w:rFonts w:ascii="Verdana" w:eastAsia="Calibri" w:hAnsi="Verdana"/>
          <w:bCs/>
          <w:sz w:val="20"/>
          <w:szCs w:val="20"/>
          <w:lang w:eastAsia="es-CR"/>
        </w:rPr>
        <w:t>una tienda que era el negocio de la familia, menoscabaron el derecho a la vida privada de las víctimas. Alegaron que esta acción se realizó en contravención de la orden de cateo y configuró un abuso de las facultades otorgadas por las leyes a las autoridades para investigar delitos ya que ningún elemento de los tipos penales aplicables podía investigarse o demostrarse a partir de los documentos y publicaciones recabados.</w:t>
      </w:r>
    </w:p>
    <w:p w14:paraId="59222699" w14:textId="25A99A6A" w:rsidR="00037EE5" w:rsidRPr="005C1789" w:rsidRDefault="004C527B" w:rsidP="00955888">
      <w:pPr>
        <w:numPr>
          <w:ilvl w:val="0"/>
          <w:numId w:val="2"/>
        </w:numPr>
        <w:spacing w:before="120" w:after="120"/>
        <w:ind w:left="0" w:firstLine="0"/>
        <w:jc w:val="both"/>
        <w:rPr>
          <w:rFonts w:ascii="Verdana" w:eastAsia="Calibri" w:hAnsi="Verdana" w:cs="Arial"/>
          <w:sz w:val="20"/>
          <w:szCs w:val="20"/>
          <w:lang w:eastAsia="es-CR"/>
        </w:rPr>
      </w:pPr>
      <w:r w:rsidRPr="005C1789">
        <w:rPr>
          <w:rFonts w:ascii="Verdana" w:eastAsia="Calibri" w:hAnsi="Verdana" w:cs="Arial"/>
          <w:sz w:val="20"/>
          <w:szCs w:val="20"/>
          <w:lang w:eastAsia="es-CR"/>
        </w:rPr>
        <w:t xml:space="preserve">El </w:t>
      </w:r>
      <w:r w:rsidRPr="005C1789">
        <w:rPr>
          <w:rFonts w:ascii="Verdana" w:eastAsia="Calibri" w:hAnsi="Verdana" w:cs="Arial"/>
          <w:b/>
          <w:bCs/>
          <w:i/>
          <w:iCs/>
          <w:sz w:val="20"/>
          <w:szCs w:val="20"/>
          <w:lang w:eastAsia="es-CR"/>
        </w:rPr>
        <w:t>Estado</w:t>
      </w:r>
      <w:r w:rsidRPr="005C1789">
        <w:rPr>
          <w:rFonts w:ascii="Verdana" w:eastAsia="Calibri" w:hAnsi="Verdana" w:cs="Arial"/>
          <w:sz w:val="20"/>
          <w:szCs w:val="20"/>
          <w:lang w:eastAsia="es-CR"/>
        </w:rPr>
        <w:t xml:space="preserve"> </w:t>
      </w:r>
      <w:r w:rsidR="001D1A4F" w:rsidRPr="005C1789">
        <w:rPr>
          <w:rFonts w:ascii="Verdana" w:eastAsia="Calibri" w:hAnsi="Verdana" w:cs="Arial"/>
          <w:sz w:val="20"/>
          <w:szCs w:val="20"/>
          <w:lang w:eastAsia="es-CR"/>
        </w:rPr>
        <w:t>reconoció su responsabilidad internacional por la violación a los artículos 5.1 y 11 de la Convención en perjuicio de las víctimas</w:t>
      </w:r>
      <w:r w:rsidR="00B75CB1" w:rsidRPr="005C1789">
        <w:rPr>
          <w:rFonts w:ascii="Verdana" w:eastAsia="Calibri" w:hAnsi="Verdana" w:cs="Arial"/>
          <w:sz w:val="20"/>
          <w:szCs w:val="20"/>
          <w:lang w:eastAsia="es-CR"/>
        </w:rPr>
        <w:t>.</w:t>
      </w:r>
      <w:r w:rsidR="00AB1313" w:rsidRPr="005C1789">
        <w:rPr>
          <w:rFonts w:ascii="Verdana" w:eastAsia="Calibri" w:hAnsi="Verdana" w:cs="Arial"/>
          <w:sz w:val="20"/>
          <w:szCs w:val="20"/>
          <w:lang w:eastAsia="es-CR"/>
        </w:rPr>
        <w:t xml:space="preserve"> En concreto se refirió a su responsabilidad por los hechos relacionados con el aislamiento e incomunicación al cual fueron sometidas Jorge Marcial </w:t>
      </w:r>
      <w:proofErr w:type="spellStart"/>
      <w:r w:rsidR="00AB1313" w:rsidRPr="005C1789">
        <w:rPr>
          <w:rFonts w:ascii="Verdana" w:eastAsia="Calibri" w:hAnsi="Verdana" w:cs="Arial"/>
          <w:sz w:val="20"/>
          <w:szCs w:val="20"/>
          <w:lang w:eastAsia="es-CR"/>
        </w:rPr>
        <w:t>Tzompaxtle</w:t>
      </w:r>
      <w:proofErr w:type="spellEnd"/>
      <w:r w:rsidR="00AB1313" w:rsidRPr="005C1789">
        <w:rPr>
          <w:rFonts w:ascii="Verdana" w:eastAsia="Calibri" w:hAnsi="Verdana" w:cs="Arial"/>
          <w:sz w:val="20"/>
          <w:szCs w:val="20"/>
          <w:lang w:eastAsia="es-CR"/>
        </w:rPr>
        <w:t xml:space="preserve"> </w:t>
      </w:r>
      <w:proofErr w:type="spellStart"/>
      <w:r w:rsidR="00AB1313" w:rsidRPr="005C1789">
        <w:rPr>
          <w:rFonts w:ascii="Verdana" w:eastAsia="Calibri" w:hAnsi="Verdana" w:cs="Arial"/>
          <w:sz w:val="20"/>
          <w:szCs w:val="20"/>
          <w:lang w:eastAsia="es-CR"/>
        </w:rPr>
        <w:t>Tecpile</w:t>
      </w:r>
      <w:proofErr w:type="spellEnd"/>
      <w:r w:rsidR="00AB1313" w:rsidRPr="005C1789">
        <w:rPr>
          <w:rFonts w:ascii="Verdana" w:eastAsia="Calibri" w:hAnsi="Verdana" w:cs="Arial"/>
          <w:sz w:val="20"/>
          <w:szCs w:val="20"/>
          <w:lang w:eastAsia="es-CR"/>
        </w:rPr>
        <w:t xml:space="preserve">, Gerardo </w:t>
      </w:r>
      <w:proofErr w:type="spellStart"/>
      <w:r w:rsidR="00AB1313" w:rsidRPr="005C1789">
        <w:rPr>
          <w:rFonts w:ascii="Verdana" w:eastAsia="Calibri" w:hAnsi="Verdana" w:cs="Arial"/>
          <w:sz w:val="20"/>
          <w:szCs w:val="20"/>
          <w:lang w:eastAsia="es-CR"/>
        </w:rPr>
        <w:t>Tzompaxtle</w:t>
      </w:r>
      <w:proofErr w:type="spellEnd"/>
      <w:r w:rsidR="00AB1313" w:rsidRPr="005C1789">
        <w:rPr>
          <w:rFonts w:ascii="Verdana" w:eastAsia="Calibri" w:hAnsi="Verdana" w:cs="Arial"/>
          <w:sz w:val="20"/>
          <w:szCs w:val="20"/>
          <w:lang w:eastAsia="es-CR"/>
        </w:rPr>
        <w:t xml:space="preserve"> </w:t>
      </w:r>
      <w:proofErr w:type="spellStart"/>
      <w:r w:rsidR="00AB1313" w:rsidRPr="005C1789">
        <w:rPr>
          <w:rFonts w:ascii="Verdana" w:eastAsia="Calibri" w:hAnsi="Verdana" w:cs="Arial"/>
          <w:sz w:val="20"/>
          <w:szCs w:val="20"/>
          <w:lang w:eastAsia="es-CR"/>
        </w:rPr>
        <w:t>Tecpile</w:t>
      </w:r>
      <w:proofErr w:type="spellEnd"/>
      <w:r w:rsidR="00AB1313" w:rsidRPr="005C1789">
        <w:rPr>
          <w:rFonts w:ascii="Verdana" w:eastAsia="Calibri" w:hAnsi="Verdana" w:cs="Arial"/>
          <w:sz w:val="20"/>
          <w:szCs w:val="20"/>
          <w:lang w:eastAsia="es-CR"/>
        </w:rPr>
        <w:t xml:space="preserve"> y Gustavo Robles López durante </w:t>
      </w:r>
      <w:r w:rsidR="006E7DF4" w:rsidRPr="005C1789">
        <w:rPr>
          <w:rFonts w:ascii="Verdana" w:eastAsia="Calibri" w:hAnsi="Verdana" w:cs="Arial"/>
          <w:sz w:val="20"/>
          <w:szCs w:val="20"/>
          <w:lang w:eastAsia="es-CR"/>
        </w:rPr>
        <w:t xml:space="preserve">su detención, </w:t>
      </w:r>
      <w:r w:rsidR="00A54D7E" w:rsidRPr="005C1789">
        <w:rPr>
          <w:rFonts w:ascii="Verdana" w:eastAsia="Calibri" w:hAnsi="Verdana" w:cs="Arial"/>
          <w:sz w:val="20"/>
          <w:szCs w:val="20"/>
          <w:lang w:eastAsia="es-CR"/>
        </w:rPr>
        <w:t>así como por la retención y revisión del vehículo en el que se encontraban (</w:t>
      </w:r>
      <w:r w:rsidR="00A54D7E" w:rsidRPr="005C1789">
        <w:rPr>
          <w:rFonts w:ascii="Verdana" w:eastAsia="Calibri" w:hAnsi="Verdana" w:cs="Arial"/>
          <w:i/>
          <w:iCs/>
          <w:sz w:val="20"/>
          <w:szCs w:val="20"/>
          <w:lang w:eastAsia="es-CR"/>
        </w:rPr>
        <w:t>supra</w:t>
      </w:r>
      <w:r w:rsidR="00A54D7E" w:rsidRPr="005C1789">
        <w:rPr>
          <w:rFonts w:ascii="Verdana" w:eastAsia="Calibri" w:hAnsi="Verdana" w:cs="Arial"/>
          <w:sz w:val="20"/>
          <w:szCs w:val="20"/>
          <w:lang w:eastAsia="es-CR"/>
        </w:rPr>
        <w:t xml:space="preserve"> párr. </w:t>
      </w:r>
      <w:r w:rsidR="002D3A7D" w:rsidRPr="005C1789">
        <w:rPr>
          <w:rFonts w:ascii="Verdana" w:eastAsia="Calibri" w:hAnsi="Verdana" w:cs="Arial"/>
          <w:sz w:val="20"/>
          <w:szCs w:val="20"/>
          <w:lang w:eastAsia="es-CR"/>
        </w:rPr>
        <w:t>14</w:t>
      </w:r>
      <w:r w:rsidR="00A54D7E" w:rsidRPr="005C1789">
        <w:rPr>
          <w:rFonts w:ascii="Verdana" w:eastAsia="Calibri" w:hAnsi="Verdana" w:cs="Arial"/>
          <w:sz w:val="20"/>
          <w:szCs w:val="20"/>
          <w:lang w:eastAsia="es-CR"/>
        </w:rPr>
        <w:t>)</w:t>
      </w:r>
      <w:r w:rsidR="00F621F3" w:rsidRPr="005C1789">
        <w:rPr>
          <w:rFonts w:ascii="Verdana" w:eastAsia="Calibri" w:hAnsi="Verdana" w:cs="Arial"/>
          <w:sz w:val="20"/>
          <w:szCs w:val="20"/>
          <w:lang w:eastAsia="es-CR"/>
        </w:rPr>
        <w:t>.</w:t>
      </w:r>
    </w:p>
    <w:p w14:paraId="5DAF5796" w14:textId="7ED271E3" w:rsidR="000B61D8" w:rsidRPr="005C1789" w:rsidRDefault="000B61D8" w:rsidP="00955888">
      <w:pPr>
        <w:numPr>
          <w:ilvl w:val="0"/>
          <w:numId w:val="2"/>
        </w:numPr>
        <w:spacing w:before="120" w:after="120"/>
        <w:ind w:left="0" w:firstLine="0"/>
        <w:jc w:val="both"/>
        <w:rPr>
          <w:rFonts w:ascii="Verdana" w:eastAsia="Calibri" w:hAnsi="Verdana" w:cs="Arial"/>
          <w:sz w:val="20"/>
          <w:szCs w:val="20"/>
          <w:lang w:eastAsia="es-CR"/>
        </w:rPr>
      </w:pPr>
      <w:r w:rsidRPr="005C1789">
        <w:rPr>
          <w:rFonts w:ascii="Verdana" w:eastAsia="Calibri" w:hAnsi="Verdana" w:cs="Arial"/>
          <w:sz w:val="20"/>
          <w:szCs w:val="20"/>
          <w:lang w:eastAsia="es-CR"/>
        </w:rPr>
        <w:t xml:space="preserve">Sobre la alegada violación al derecho a la vida privada derivada de los cateos llevados a cabo en la casa de la madre de los señores </w:t>
      </w:r>
      <w:proofErr w:type="spellStart"/>
      <w:r w:rsidRPr="005C1789">
        <w:rPr>
          <w:rFonts w:ascii="Verdana" w:eastAsia="Calibri" w:hAnsi="Verdana" w:cs="Arial"/>
          <w:sz w:val="20"/>
          <w:szCs w:val="20"/>
          <w:lang w:eastAsia="es-CR"/>
        </w:rPr>
        <w:t>Tzompaxtle</w:t>
      </w:r>
      <w:proofErr w:type="spellEnd"/>
      <w:r w:rsidRPr="005C1789">
        <w:rPr>
          <w:rFonts w:ascii="Verdana" w:eastAsia="Calibri" w:hAnsi="Verdana" w:cs="Arial"/>
          <w:sz w:val="20"/>
          <w:szCs w:val="20"/>
          <w:lang w:eastAsia="es-CR"/>
        </w:rPr>
        <w:t xml:space="preserve"> </w:t>
      </w:r>
      <w:proofErr w:type="spellStart"/>
      <w:r w:rsidRPr="005C1789">
        <w:rPr>
          <w:rFonts w:ascii="Verdana" w:eastAsia="Calibri" w:hAnsi="Verdana" w:cs="Arial"/>
          <w:sz w:val="20"/>
          <w:szCs w:val="20"/>
          <w:lang w:eastAsia="es-CR"/>
        </w:rPr>
        <w:t>Tecpile</w:t>
      </w:r>
      <w:proofErr w:type="spellEnd"/>
      <w:r w:rsidRPr="005C1789">
        <w:rPr>
          <w:rFonts w:ascii="Verdana" w:eastAsia="Calibri" w:hAnsi="Verdana" w:cs="Arial"/>
          <w:sz w:val="20"/>
          <w:szCs w:val="20"/>
          <w:lang w:eastAsia="es-CR"/>
        </w:rPr>
        <w:t xml:space="preserve">, así como en una tienda </w:t>
      </w:r>
      <w:r w:rsidR="00DE5A60" w:rsidRPr="005C1789">
        <w:rPr>
          <w:rFonts w:ascii="Verdana" w:eastAsia="Calibri" w:hAnsi="Verdana" w:cs="Arial"/>
          <w:sz w:val="20"/>
          <w:szCs w:val="20"/>
          <w:lang w:eastAsia="es-CR"/>
        </w:rPr>
        <w:t>-</w:t>
      </w:r>
      <w:r w:rsidRPr="005C1789">
        <w:rPr>
          <w:rFonts w:ascii="Verdana" w:eastAsia="Calibri" w:hAnsi="Verdana" w:cs="Arial"/>
          <w:sz w:val="20"/>
          <w:szCs w:val="20"/>
          <w:lang w:eastAsia="es-CR"/>
        </w:rPr>
        <w:t xml:space="preserve">que era el negocio de la familia </w:t>
      </w:r>
      <w:r w:rsidR="00DE5A60" w:rsidRPr="005C1789">
        <w:rPr>
          <w:rFonts w:ascii="Verdana" w:eastAsia="Calibri" w:hAnsi="Verdana" w:cs="Arial"/>
          <w:sz w:val="20"/>
          <w:szCs w:val="20"/>
          <w:lang w:eastAsia="es-CR"/>
        </w:rPr>
        <w:t>-</w:t>
      </w:r>
      <w:r w:rsidRPr="005C1789">
        <w:rPr>
          <w:rFonts w:ascii="Verdana" w:eastAsia="Calibri" w:hAnsi="Verdana" w:cs="Arial"/>
          <w:sz w:val="20"/>
          <w:szCs w:val="20"/>
          <w:lang w:eastAsia="es-CR"/>
        </w:rPr>
        <w:t>, sostuvo que la sentencia del 16 de octubre de 2008, del Segundo Tribunal Unitario del Séptimo Circuito</w:t>
      </w:r>
      <w:r w:rsidR="00BB7700" w:rsidRPr="005C1789">
        <w:rPr>
          <w:rFonts w:ascii="Verdana" w:eastAsia="Calibri" w:hAnsi="Verdana" w:cs="Arial"/>
          <w:sz w:val="20"/>
          <w:szCs w:val="20"/>
          <w:lang w:eastAsia="es-CR"/>
        </w:rPr>
        <w:t>,</w:t>
      </w:r>
      <w:r w:rsidRPr="005C1789">
        <w:rPr>
          <w:rFonts w:ascii="Verdana" w:eastAsia="Calibri" w:hAnsi="Verdana" w:cs="Arial"/>
          <w:sz w:val="20"/>
          <w:szCs w:val="20"/>
          <w:lang w:eastAsia="es-CR"/>
        </w:rPr>
        <w:t xml:space="preserve"> que absolvió a los señores Gerardo </w:t>
      </w:r>
      <w:proofErr w:type="spellStart"/>
      <w:r w:rsidRPr="005C1789">
        <w:rPr>
          <w:rFonts w:ascii="Verdana" w:eastAsia="Calibri" w:hAnsi="Verdana" w:cs="Arial"/>
          <w:sz w:val="20"/>
          <w:szCs w:val="20"/>
          <w:lang w:eastAsia="es-CR"/>
        </w:rPr>
        <w:t>Tzompaxtle</w:t>
      </w:r>
      <w:proofErr w:type="spellEnd"/>
      <w:r w:rsidRPr="005C1789">
        <w:rPr>
          <w:rFonts w:ascii="Verdana" w:eastAsia="Calibri" w:hAnsi="Verdana" w:cs="Arial"/>
          <w:sz w:val="20"/>
          <w:szCs w:val="20"/>
          <w:lang w:eastAsia="es-CR"/>
        </w:rPr>
        <w:t xml:space="preserve"> </w:t>
      </w:r>
      <w:proofErr w:type="spellStart"/>
      <w:r w:rsidRPr="005C1789">
        <w:rPr>
          <w:rFonts w:ascii="Verdana" w:eastAsia="Calibri" w:hAnsi="Verdana" w:cs="Arial"/>
          <w:sz w:val="20"/>
          <w:szCs w:val="20"/>
          <w:lang w:eastAsia="es-CR"/>
        </w:rPr>
        <w:t>Tecpile</w:t>
      </w:r>
      <w:proofErr w:type="spellEnd"/>
      <w:r w:rsidRPr="005C1789">
        <w:rPr>
          <w:rFonts w:ascii="Verdana" w:eastAsia="Calibri" w:hAnsi="Verdana" w:cs="Arial"/>
          <w:sz w:val="20"/>
          <w:szCs w:val="20"/>
          <w:lang w:eastAsia="es-CR"/>
        </w:rPr>
        <w:t xml:space="preserve">, Jorge Marcial </w:t>
      </w:r>
      <w:proofErr w:type="spellStart"/>
      <w:r w:rsidRPr="005C1789">
        <w:rPr>
          <w:rFonts w:ascii="Verdana" w:eastAsia="Calibri" w:hAnsi="Verdana" w:cs="Arial"/>
          <w:sz w:val="20"/>
          <w:szCs w:val="20"/>
          <w:lang w:eastAsia="es-CR"/>
        </w:rPr>
        <w:t>Tzompaxtle</w:t>
      </w:r>
      <w:proofErr w:type="spellEnd"/>
      <w:r w:rsidRPr="005C1789">
        <w:rPr>
          <w:rFonts w:ascii="Verdana" w:eastAsia="Calibri" w:hAnsi="Verdana" w:cs="Arial"/>
          <w:sz w:val="20"/>
          <w:szCs w:val="20"/>
          <w:lang w:eastAsia="es-CR"/>
        </w:rPr>
        <w:t xml:space="preserve"> </w:t>
      </w:r>
      <w:proofErr w:type="spellStart"/>
      <w:r w:rsidRPr="005C1789">
        <w:rPr>
          <w:rFonts w:ascii="Verdana" w:eastAsia="Calibri" w:hAnsi="Verdana" w:cs="Arial"/>
          <w:sz w:val="20"/>
          <w:szCs w:val="20"/>
          <w:lang w:eastAsia="es-CR"/>
        </w:rPr>
        <w:lastRenderedPageBreak/>
        <w:t>Tecpile</w:t>
      </w:r>
      <w:proofErr w:type="spellEnd"/>
      <w:r w:rsidRPr="005C1789">
        <w:rPr>
          <w:rFonts w:ascii="Verdana" w:eastAsia="Calibri" w:hAnsi="Verdana" w:cs="Arial"/>
          <w:sz w:val="20"/>
          <w:szCs w:val="20"/>
          <w:lang w:eastAsia="es-CR"/>
        </w:rPr>
        <w:t xml:space="preserve">, Gustavo Robles López, de la acusación realizada en su contra por el Ministerio Público Federal, consideró que las actas de diligencia de cateo que sirvieron de base al Juez federal para considerar demostrado el delito de delincuencia organizada en la hipótesis de terrorismo carecían de valor legal por lo cual consideró que la violación expresada </w:t>
      </w:r>
      <w:r w:rsidR="00D13656">
        <w:rPr>
          <w:rFonts w:ascii="Verdana" w:eastAsia="Calibri" w:hAnsi="Verdana" w:cs="Arial"/>
          <w:sz w:val="20"/>
          <w:szCs w:val="20"/>
          <w:lang w:eastAsia="es-CR"/>
        </w:rPr>
        <w:t>fue revertida</w:t>
      </w:r>
      <w:r w:rsidRPr="005C1789">
        <w:rPr>
          <w:rFonts w:ascii="Verdana" w:eastAsia="Calibri" w:hAnsi="Verdana" w:cs="Arial"/>
          <w:sz w:val="20"/>
          <w:szCs w:val="20"/>
          <w:lang w:eastAsia="es-CR"/>
        </w:rPr>
        <w:t xml:space="preserve"> en el </w:t>
      </w:r>
      <w:r w:rsidR="00D13656">
        <w:rPr>
          <w:rFonts w:ascii="Verdana" w:eastAsia="Calibri" w:hAnsi="Verdana" w:cs="Arial"/>
          <w:sz w:val="20"/>
          <w:szCs w:val="20"/>
          <w:lang w:eastAsia="es-CR"/>
        </w:rPr>
        <w:t>fuero</w:t>
      </w:r>
      <w:r w:rsidRPr="005C1789">
        <w:rPr>
          <w:rFonts w:ascii="Verdana" w:eastAsia="Calibri" w:hAnsi="Verdana" w:cs="Arial"/>
          <w:sz w:val="20"/>
          <w:szCs w:val="20"/>
          <w:lang w:eastAsia="es-CR"/>
        </w:rPr>
        <w:t xml:space="preserve"> interno.</w:t>
      </w:r>
    </w:p>
    <w:p w14:paraId="64865898" w14:textId="3304C8BA" w:rsidR="00957115" w:rsidRPr="005C1789" w:rsidRDefault="00957115" w:rsidP="00955888">
      <w:pPr>
        <w:pStyle w:val="Ttulo2"/>
        <w:numPr>
          <w:ilvl w:val="0"/>
          <w:numId w:val="40"/>
        </w:numPr>
        <w:spacing w:before="240" w:after="240"/>
        <w:rPr>
          <w:rFonts w:ascii="Verdana" w:hAnsi="Verdana"/>
          <w:i/>
          <w:color w:val="auto"/>
          <w:sz w:val="20"/>
          <w:szCs w:val="20"/>
        </w:rPr>
      </w:pPr>
      <w:bookmarkStart w:id="111" w:name="_Toc123347547"/>
      <w:r w:rsidRPr="005C1789">
        <w:rPr>
          <w:rFonts w:ascii="Verdana" w:hAnsi="Verdana"/>
          <w:i/>
          <w:color w:val="auto"/>
          <w:sz w:val="20"/>
          <w:szCs w:val="20"/>
        </w:rPr>
        <w:t>Consideraciones de la Corte</w:t>
      </w:r>
      <w:bookmarkEnd w:id="111"/>
    </w:p>
    <w:p w14:paraId="1FED8E63" w14:textId="7B9DA21F" w:rsidR="0057194C" w:rsidRPr="005C1789" w:rsidRDefault="009B2EB3" w:rsidP="00955888">
      <w:pPr>
        <w:numPr>
          <w:ilvl w:val="0"/>
          <w:numId w:val="2"/>
        </w:numPr>
        <w:spacing w:before="120" w:after="120"/>
        <w:ind w:left="0" w:firstLine="0"/>
        <w:jc w:val="both"/>
        <w:rPr>
          <w:rFonts w:ascii="Verdana" w:hAnsi="Verdana"/>
          <w:i/>
          <w:iCs/>
          <w:sz w:val="20"/>
          <w:szCs w:val="20"/>
          <w:lang w:val="es-ES_tradnl"/>
        </w:rPr>
      </w:pPr>
      <w:r w:rsidRPr="005C1789">
        <w:rPr>
          <w:rFonts w:ascii="Verdana" w:hAnsi="Verdana"/>
          <w:sz w:val="20"/>
          <w:szCs w:val="20"/>
          <w:lang w:val="es-ES_tradnl"/>
        </w:rPr>
        <w:t xml:space="preserve">La Corte recuerda que el Estado reconoció su responsabilidad por la violación de los artículos 5 y 11.2 de la Convención </w:t>
      </w:r>
      <w:r w:rsidRPr="005C1789">
        <w:rPr>
          <w:rFonts w:ascii="Verdana" w:eastAsia="Calibri" w:hAnsi="Verdana" w:cs="Arial"/>
          <w:sz w:val="20"/>
          <w:szCs w:val="20"/>
          <w:lang w:eastAsia="es-CR"/>
        </w:rPr>
        <w:t>Americana</w:t>
      </w:r>
      <w:r w:rsidR="00712EBB">
        <w:rPr>
          <w:rFonts w:ascii="Verdana" w:eastAsia="Calibri" w:hAnsi="Verdana" w:cs="Arial"/>
          <w:sz w:val="20"/>
          <w:szCs w:val="20"/>
          <w:lang w:eastAsia="es-CR"/>
        </w:rPr>
        <w:t>,</w:t>
      </w:r>
      <w:r w:rsidRPr="005C1789">
        <w:rPr>
          <w:rFonts w:ascii="Verdana" w:hAnsi="Verdana"/>
          <w:sz w:val="20"/>
          <w:szCs w:val="20"/>
          <w:lang w:val="es-ES_tradnl"/>
        </w:rPr>
        <w:t xml:space="preserve"> en relación con la obligación de respetar los derechos </w:t>
      </w:r>
      <w:r w:rsidR="00614D19" w:rsidRPr="005C1789">
        <w:rPr>
          <w:rFonts w:ascii="Verdana" w:hAnsi="Verdana"/>
          <w:sz w:val="20"/>
          <w:szCs w:val="20"/>
          <w:lang w:val="es-ES_tradnl"/>
        </w:rPr>
        <w:t>contenidos</w:t>
      </w:r>
      <w:r w:rsidRPr="005C1789">
        <w:rPr>
          <w:rFonts w:ascii="Verdana" w:hAnsi="Verdana"/>
          <w:sz w:val="20"/>
          <w:szCs w:val="20"/>
          <w:lang w:val="es-ES_tradnl"/>
        </w:rPr>
        <w:t xml:space="preserve"> en el mismo instrumento en perjuicio de </w:t>
      </w:r>
      <w:bookmarkStart w:id="112" w:name="_Hlk110931792"/>
      <w:r w:rsidRPr="005C1789">
        <w:rPr>
          <w:rFonts w:ascii="Verdana" w:hAnsi="Verdana"/>
          <w:sz w:val="20"/>
          <w:szCs w:val="20"/>
          <w:lang w:val="es-ES_tradnl"/>
        </w:rPr>
        <w:t xml:space="preserve">Jorge Marcial </w:t>
      </w:r>
      <w:proofErr w:type="spellStart"/>
      <w:r w:rsidRPr="005C1789">
        <w:rPr>
          <w:rFonts w:ascii="Verdana" w:hAnsi="Verdana"/>
          <w:sz w:val="20"/>
          <w:szCs w:val="20"/>
          <w:lang w:val="es-ES_tradnl"/>
        </w:rPr>
        <w:t>Tzompaxtle</w:t>
      </w:r>
      <w:proofErr w:type="spellEnd"/>
      <w:r w:rsidRPr="005C1789">
        <w:rPr>
          <w:rFonts w:ascii="Verdana" w:hAnsi="Verdana"/>
          <w:sz w:val="20"/>
          <w:szCs w:val="20"/>
          <w:lang w:val="es-ES_tradnl"/>
        </w:rPr>
        <w:t xml:space="preserve"> </w:t>
      </w:r>
      <w:proofErr w:type="spellStart"/>
      <w:r w:rsidRPr="005C1789">
        <w:rPr>
          <w:rFonts w:ascii="Verdana" w:hAnsi="Verdana"/>
          <w:sz w:val="20"/>
          <w:szCs w:val="20"/>
          <w:lang w:val="es-ES_tradnl"/>
        </w:rPr>
        <w:t>Tecpile</w:t>
      </w:r>
      <w:proofErr w:type="spellEnd"/>
      <w:r w:rsidRPr="005C1789">
        <w:rPr>
          <w:rFonts w:ascii="Verdana" w:hAnsi="Verdana"/>
          <w:sz w:val="20"/>
          <w:szCs w:val="20"/>
          <w:lang w:val="es-ES_tradnl"/>
        </w:rPr>
        <w:t xml:space="preserve">, Gerardo </w:t>
      </w:r>
      <w:proofErr w:type="spellStart"/>
      <w:r w:rsidRPr="005C1789">
        <w:rPr>
          <w:rFonts w:ascii="Verdana" w:hAnsi="Verdana"/>
          <w:sz w:val="20"/>
          <w:szCs w:val="20"/>
          <w:lang w:val="es-ES_tradnl"/>
        </w:rPr>
        <w:t>Tzompaxtle</w:t>
      </w:r>
      <w:proofErr w:type="spellEnd"/>
      <w:r w:rsidRPr="005C1789">
        <w:rPr>
          <w:rFonts w:ascii="Verdana" w:hAnsi="Verdana"/>
          <w:sz w:val="20"/>
          <w:szCs w:val="20"/>
          <w:lang w:val="es-ES_tradnl"/>
        </w:rPr>
        <w:t xml:space="preserve"> </w:t>
      </w:r>
      <w:proofErr w:type="spellStart"/>
      <w:r w:rsidRPr="005C1789">
        <w:rPr>
          <w:rFonts w:ascii="Verdana" w:hAnsi="Verdana"/>
          <w:sz w:val="20"/>
          <w:szCs w:val="20"/>
          <w:lang w:val="es-ES_tradnl"/>
        </w:rPr>
        <w:t>Tecpile</w:t>
      </w:r>
      <w:proofErr w:type="spellEnd"/>
      <w:r w:rsidRPr="005C1789">
        <w:rPr>
          <w:rFonts w:ascii="Verdana" w:hAnsi="Verdana"/>
          <w:sz w:val="20"/>
          <w:szCs w:val="20"/>
          <w:lang w:val="es-ES_tradnl"/>
        </w:rPr>
        <w:t xml:space="preserve"> y Gustavo Robles López</w:t>
      </w:r>
      <w:bookmarkEnd w:id="112"/>
      <w:r w:rsidRPr="005C1789">
        <w:rPr>
          <w:rFonts w:ascii="Verdana" w:hAnsi="Verdana"/>
          <w:sz w:val="20"/>
          <w:szCs w:val="20"/>
          <w:lang w:val="es-ES_tradnl"/>
        </w:rPr>
        <w:t xml:space="preserve"> (</w:t>
      </w:r>
      <w:r w:rsidRPr="005C1789">
        <w:rPr>
          <w:rFonts w:ascii="Verdana" w:hAnsi="Verdana"/>
          <w:i/>
          <w:sz w:val="20"/>
          <w:szCs w:val="20"/>
          <w:lang w:val="es-ES_tradnl"/>
        </w:rPr>
        <w:t>supra</w:t>
      </w:r>
      <w:r w:rsidRPr="005C1789">
        <w:rPr>
          <w:rFonts w:ascii="Verdana" w:hAnsi="Verdana"/>
          <w:sz w:val="20"/>
          <w:szCs w:val="20"/>
          <w:lang w:val="es-ES_tradnl"/>
        </w:rPr>
        <w:t xml:space="preserve"> pár</w:t>
      </w:r>
      <w:r w:rsidR="00712EBB">
        <w:rPr>
          <w:rFonts w:ascii="Verdana" w:hAnsi="Verdana"/>
          <w:sz w:val="20"/>
          <w:szCs w:val="20"/>
          <w:lang w:val="es-ES_tradnl"/>
        </w:rPr>
        <w:t>r</w:t>
      </w:r>
      <w:r w:rsidRPr="005C1789">
        <w:rPr>
          <w:rFonts w:ascii="Verdana" w:hAnsi="Verdana"/>
          <w:sz w:val="20"/>
          <w:szCs w:val="20"/>
          <w:lang w:val="es-ES_tradnl"/>
        </w:rPr>
        <w:t xml:space="preserve">. </w:t>
      </w:r>
      <w:r w:rsidR="008A7EBC" w:rsidRPr="005C1789">
        <w:rPr>
          <w:rFonts w:ascii="Verdana" w:hAnsi="Verdana"/>
          <w:sz w:val="20"/>
          <w:szCs w:val="20"/>
          <w:lang w:val="es-ES_tradnl"/>
        </w:rPr>
        <w:t>14</w:t>
      </w:r>
      <w:r w:rsidRPr="005C1789">
        <w:rPr>
          <w:rFonts w:ascii="Verdana" w:hAnsi="Verdana"/>
          <w:sz w:val="20"/>
          <w:szCs w:val="20"/>
          <w:lang w:val="es-ES_tradnl"/>
        </w:rPr>
        <w:t>).</w:t>
      </w:r>
      <w:r w:rsidR="0057194C" w:rsidRPr="005C1789">
        <w:rPr>
          <w:rFonts w:ascii="Verdana" w:hAnsi="Verdana"/>
          <w:sz w:val="20"/>
          <w:szCs w:val="20"/>
          <w:lang w:val="es-ES_tradnl"/>
        </w:rPr>
        <w:t xml:space="preserve"> Sin embargo, subsiste la controversia por la alegada vulneración al derecho a la vida privada (artículo 11.2 de la Convención Americana) debido </w:t>
      </w:r>
      <w:r w:rsidR="005B50B4" w:rsidRPr="005C1789">
        <w:rPr>
          <w:rFonts w:ascii="Verdana" w:hAnsi="Verdana"/>
          <w:sz w:val="20"/>
          <w:szCs w:val="20"/>
          <w:lang w:val="es-ES_tradnl"/>
        </w:rPr>
        <w:t>a</w:t>
      </w:r>
      <w:r w:rsidR="0057194C" w:rsidRPr="005C1789">
        <w:rPr>
          <w:rFonts w:ascii="Verdana" w:hAnsi="Verdana"/>
          <w:sz w:val="20"/>
          <w:szCs w:val="20"/>
          <w:lang w:val="es-ES_tradnl"/>
        </w:rPr>
        <w:t xml:space="preserve"> los cateos </w:t>
      </w:r>
      <w:bookmarkStart w:id="113" w:name="_Hlk110931749"/>
      <w:r w:rsidR="0057194C" w:rsidRPr="005C1789">
        <w:rPr>
          <w:rFonts w:ascii="Verdana" w:hAnsi="Verdana"/>
          <w:sz w:val="20"/>
          <w:szCs w:val="20"/>
          <w:lang w:val="es-ES_tradnl"/>
        </w:rPr>
        <w:t xml:space="preserve">llevados a cabo en la casa de la madre de los señores </w:t>
      </w:r>
      <w:proofErr w:type="spellStart"/>
      <w:r w:rsidR="0057194C" w:rsidRPr="005C1789">
        <w:rPr>
          <w:rFonts w:ascii="Verdana" w:hAnsi="Verdana"/>
          <w:sz w:val="20"/>
          <w:szCs w:val="20"/>
          <w:lang w:val="es-ES_tradnl"/>
        </w:rPr>
        <w:t>Tzompaxtle</w:t>
      </w:r>
      <w:proofErr w:type="spellEnd"/>
      <w:r w:rsidR="0057194C" w:rsidRPr="005C1789">
        <w:rPr>
          <w:rFonts w:ascii="Verdana" w:hAnsi="Verdana"/>
          <w:sz w:val="20"/>
          <w:szCs w:val="20"/>
          <w:lang w:val="es-ES_tradnl"/>
        </w:rPr>
        <w:t xml:space="preserve"> </w:t>
      </w:r>
      <w:proofErr w:type="spellStart"/>
      <w:r w:rsidR="0057194C" w:rsidRPr="005C1789">
        <w:rPr>
          <w:rFonts w:ascii="Verdana" w:hAnsi="Verdana"/>
          <w:sz w:val="20"/>
          <w:szCs w:val="20"/>
          <w:lang w:val="es-ES_tradnl"/>
        </w:rPr>
        <w:t>Tecpile</w:t>
      </w:r>
      <w:proofErr w:type="spellEnd"/>
      <w:r w:rsidR="0057194C" w:rsidRPr="005C1789">
        <w:rPr>
          <w:rFonts w:ascii="Verdana" w:hAnsi="Verdana"/>
          <w:sz w:val="20"/>
          <w:szCs w:val="20"/>
          <w:lang w:val="es-ES_tradnl"/>
        </w:rPr>
        <w:t xml:space="preserve">, </w:t>
      </w:r>
      <w:r w:rsidR="0063575B" w:rsidRPr="005C1789">
        <w:rPr>
          <w:rFonts w:ascii="Verdana" w:hAnsi="Verdana"/>
          <w:sz w:val="20"/>
          <w:szCs w:val="20"/>
          <w:lang w:val="es-ES_tradnl"/>
        </w:rPr>
        <w:t>y en</w:t>
      </w:r>
      <w:r w:rsidR="0057194C" w:rsidRPr="005C1789">
        <w:rPr>
          <w:rFonts w:ascii="Verdana" w:hAnsi="Verdana"/>
          <w:sz w:val="20"/>
          <w:szCs w:val="20"/>
          <w:lang w:val="es-ES_tradnl"/>
        </w:rPr>
        <w:t xml:space="preserve"> una tienda </w:t>
      </w:r>
      <w:r w:rsidR="0063575B" w:rsidRPr="005C1789">
        <w:rPr>
          <w:rFonts w:ascii="Verdana" w:hAnsi="Verdana"/>
          <w:sz w:val="20"/>
          <w:szCs w:val="20"/>
          <w:lang w:val="es-ES_tradnl"/>
        </w:rPr>
        <w:t>-</w:t>
      </w:r>
      <w:r w:rsidR="0057194C" w:rsidRPr="005C1789">
        <w:rPr>
          <w:rFonts w:ascii="Verdana" w:hAnsi="Verdana"/>
          <w:sz w:val="20"/>
          <w:szCs w:val="20"/>
          <w:lang w:val="es-ES_tradnl"/>
        </w:rPr>
        <w:t>que era el negocio de la familia</w:t>
      </w:r>
      <w:r w:rsidR="0063575B" w:rsidRPr="005C1789">
        <w:rPr>
          <w:rFonts w:ascii="Verdana" w:hAnsi="Verdana"/>
          <w:sz w:val="20"/>
          <w:szCs w:val="20"/>
          <w:lang w:val="es-ES_tradnl"/>
        </w:rPr>
        <w:t>-</w:t>
      </w:r>
      <w:r w:rsidR="0057194C" w:rsidRPr="005C1789">
        <w:rPr>
          <w:rFonts w:ascii="Verdana" w:hAnsi="Verdana"/>
          <w:sz w:val="20"/>
          <w:szCs w:val="20"/>
          <w:lang w:val="es-ES_tradnl"/>
        </w:rPr>
        <w:t xml:space="preserve"> </w:t>
      </w:r>
      <w:bookmarkEnd w:id="113"/>
      <w:r w:rsidR="0057194C" w:rsidRPr="005C1789">
        <w:rPr>
          <w:rFonts w:ascii="Verdana" w:hAnsi="Verdana"/>
          <w:sz w:val="20"/>
          <w:szCs w:val="20"/>
          <w:lang w:val="es-ES_tradnl"/>
        </w:rPr>
        <w:t>el 31 de marzo de 2006.</w:t>
      </w:r>
      <w:r w:rsidR="00023E34" w:rsidRPr="005C1789">
        <w:rPr>
          <w:rFonts w:ascii="Verdana" w:hAnsi="Verdana"/>
          <w:sz w:val="20"/>
          <w:szCs w:val="20"/>
          <w:lang w:val="es-ES_tradnl"/>
        </w:rPr>
        <w:t xml:space="preserve"> </w:t>
      </w:r>
    </w:p>
    <w:p w14:paraId="7F8A48B5" w14:textId="69616948" w:rsidR="009B2EB3" w:rsidRPr="005C1789" w:rsidRDefault="009B2EB3" w:rsidP="00955888">
      <w:pPr>
        <w:numPr>
          <w:ilvl w:val="0"/>
          <w:numId w:val="2"/>
        </w:numPr>
        <w:spacing w:before="120" w:after="120"/>
        <w:ind w:left="0" w:firstLine="0"/>
        <w:jc w:val="both"/>
        <w:rPr>
          <w:rFonts w:ascii="Verdana" w:hAnsi="Verdana"/>
          <w:i/>
          <w:iCs/>
          <w:sz w:val="20"/>
          <w:szCs w:val="20"/>
          <w:lang w:val="es-ES_tradnl"/>
        </w:rPr>
      </w:pPr>
      <w:r w:rsidRPr="005C1789">
        <w:rPr>
          <w:rFonts w:ascii="Verdana" w:hAnsi="Verdana"/>
          <w:sz w:val="20"/>
          <w:szCs w:val="20"/>
          <w:lang w:val="es-ES_tradnl"/>
        </w:rPr>
        <w:t xml:space="preserve">Sin </w:t>
      </w:r>
      <w:r w:rsidR="0057194C" w:rsidRPr="005C1789">
        <w:rPr>
          <w:rFonts w:ascii="Verdana" w:hAnsi="Verdana"/>
          <w:sz w:val="20"/>
          <w:szCs w:val="20"/>
          <w:lang w:val="es-ES_tradnl"/>
        </w:rPr>
        <w:t xml:space="preserve">perjuicio </w:t>
      </w:r>
      <w:r w:rsidRPr="005C1789">
        <w:rPr>
          <w:rFonts w:ascii="Verdana" w:hAnsi="Verdana"/>
          <w:sz w:val="20"/>
          <w:szCs w:val="20"/>
          <w:lang w:val="es-ES_tradnl"/>
        </w:rPr>
        <w:t>de lo señalado</w:t>
      </w:r>
      <w:r w:rsidR="00B931EA" w:rsidRPr="005C1789">
        <w:rPr>
          <w:rFonts w:ascii="Verdana" w:hAnsi="Verdana"/>
          <w:sz w:val="20"/>
          <w:szCs w:val="20"/>
          <w:lang w:val="es-ES_tradnl"/>
        </w:rPr>
        <w:t xml:space="preserve"> y del reconocimiento efectuado por el Estado</w:t>
      </w:r>
      <w:r w:rsidRPr="005C1789">
        <w:rPr>
          <w:rFonts w:ascii="Verdana" w:hAnsi="Verdana"/>
          <w:sz w:val="20"/>
          <w:szCs w:val="20"/>
          <w:lang w:val="es-ES_tradnl"/>
        </w:rPr>
        <w:t>,</w:t>
      </w:r>
      <w:r w:rsidR="00023E34" w:rsidRPr="005C1789">
        <w:rPr>
          <w:rFonts w:ascii="Verdana" w:hAnsi="Verdana"/>
          <w:sz w:val="20"/>
          <w:szCs w:val="20"/>
          <w:lang w:val="es-ES_tradnl"/>
        </w:rPr>
        <w:t xml:space="preserve"> </w:t>
      </w:r>
      <w:r w:rsidRPr="005C1789">
        <w:rPr>
          <w:rFonts w:ascii="Verdana" w:hAnsi="Verdana"/>
          <w:sz w:val="20"/>
          <w:szCs w:val="20"/>
          <w:lang w:val="es-ES_tradnl"/>
        </w:rPr>
        <w:t xml:space="preserve">tomando en cuenta la naturaleza </w:t>
      </w:r>
      <w:r w:rsidR="009E784B">
        <w:rPr>
          <w:rFonts w:ascii="Verdana" w:hAnsi="Verdana"/>
          <w:sz w:val="20"/>
          <w:szCs w:val="20"/>
          <w:lang w:val="es-ES_tradnl"/>
        </w:rPr>
        <w:t xml:space="preserve">de los hechos </w:t>
      </w:r>
      <w:r w:rsidRPr="005C1789">
        <w:rPr>
          <w:rFonts w:ascii="Verdana" w:hAnsi="Verdana"/>
          <w:sz w:val="20"/>
          <w:szCs w:val="20"/>
          <w:lang w:val="es-ES_tradnl"/>
        </w:rPr>
        <w:t>del caso</w:t>
      </w:r>
      <w:r w:rsidR="00B931EA" w:rsidRPr="005C1789">
        <w:rPr>
          <w:rFonts w:ascii="Verdana" w:hAnsi="Verdana"/>
          <w:sz w:val="20"/>
          <w:szCs w:val="20"/>
          <w:lang w:val="es-ES_tradnl"/>
        </w:rPr>
        <w:t xml:space="preserve"> y de las violaciones que se produjeron</w:t>
      </w:r>
      <w:r w:rsidRPr="005C1789">
        <w:rPr>
          <w:rFonts w:ascii="Verdana" w:hAnsi="Verdana"/>
          <w:sz w:val="20"/>
          <w:szCs w:val="20"/>
          <w:lang w:val="es-ES_tradnl"/>
        </w:rPr>
        <w:t xml:space="preserve">, la Corte estima necesario referirse a algunos puntos relacionados con </w:t>
      </w:r>
      <w:r w:rsidR="00712EBB">
        <w:rPr>
          <w:rFonts w:ascii="Verdana" w:hAnsi="Verdana"/>
          <w:sz w:val="20"/>
          <w:szCs w:val="20"/>
          <w:lang w:val="es-ES_tradnl"/>
        </w:rPr>
        <w:t>los</w:t>
      </w:r>
      <w:r w:rsidR="00712EBB" w:rsidRPr="005C1789">
        <w:rPr>
          <w:rFonts w:ascii="Verdana" w:hAnsi="Verdana"/>
          <w:sz w:val="20"/>
          <w:szCs w:val="20"/>
          <w:lang w:val="es-ES_tradnl"/>
        </w:rPr>
        <w:t xml:space="preserve"> </w:t>
      </w:r>
      <w:r w:rsidRPr="005C1789">
        <w:rPr>
          <w:rFonts w:ascii="Verdana" w:hAnsi="Verdana"/>
          <w:sz w:val="20"/>
          <w:szCs w:val="20"/>
          <w:lang w:val="es-ES_tradnl"/>
        </w:rPr>
        <w:t>derecho</w:t>
      </w:r>
      <w:r w:rsidR="00712EBB">
        <w:rPr>
          <w:rFonts w:ascii="Verdana" w:hAnsi="Verdana"/>
          <w:sz w:val="20"/>
          <w:szCs w:val="20"/>
          <w:lang w:val="es-ES_tradnl"/>
        </w:rPr>
        <w:t>s</w:t>
      </w:r>
      <w:r w:rsidRPr="005C1789">
        <w:rPr>
          <w:rFonts w:ascii="Verdana" w:hAnsi="Verdana"/>
          <w:sz w:val="20"/>
          <w:szCs w:val="20"/>
          <w:lang w:val="es-ES_tradnl"/>
        </w:rPr>
        <w:t xml:space="preserve"> </w:t>
      </w:r>
      <w:r w:rsidR="00B931EA" w:rsidRPr="005C1789">
        <w:rPr>
          <w:rFonts w:ascii="Verdana" w:hAnsi="Verdana"/>
          <w:sz w:val="20"/>
          <w:szCs w:val="20"/>
          <w:lang w:val="es-ES_tradnl"/>
        </w:rPr>
        <w:t>a la integridad personal y a la vida privada</w:t>
      </w:r>
      <w:r w:rsidRPr="005C1789">
        <w:rPr>
          <w:rFonts w:ascii="Verdana" w:hAnsi="Verdana"/>
          <w:sz w:val="20"/>
          <w:szCs w:val="20"/>
          <w:lang w:val="es-ES_tradnl"/>
        </w:rPr>
        <w:t xml:space="preserve">, además de abordar el análisis de las violaciones a la Convención que no fueron reconocidas por el Estado relacionadas </w:t>
      </w:r>
      <w:r w:rsidR="00712EBB">
        <w:rPr>
          <w:rFonts w:ascii="Verdana" w:hAnsi="Verdana"/>
          <w:sz w:val="20"/>
          <w:szCs w:val="20"/>
          <w:lang w:val="es-ES_tradnl"/>
        </w:rPr>
        <w:t xml:space="preserve">con </w:t>
      </w:r>
      <w:r w:rsidR="00B931EA" w:rsidRPr="005C1789">
        <w:rPr>
          <w:rFonts w:ascii="Verdana" w:hAnsi="Verdana"/>
          <w:sz w:val="20"/>
          <w:szCs w:val="20"/>
          <w:lang w:val="es-ES_tradnl"/>
        </w:rPr>
        <w:t xml:space="preserve">los cateos llevados a cabo en la casa de la madre de los señores </w:t>
      </w:r>
      <w:proofErr w:type="spellStart"/>
      <w:r w:rsidR="00B931EA" w:rsidRPr="005C1789">
        <w:rPr>
          <w:rFonts w:ascii="Verdana" w:hAnsi="Verdana"/>
          <w:sz w:val="20"/>
          <w:szCs w:val="20"/>
          <w:lang w:val="es-ES_tradnl"/>
        </w:rPr>
        <w:t>Tzompaxtle</w:t>
      </w:r>
      <w:proofErr w:type="spellEnd"/>
      <w:r w:rsidR="00B931EA" w:rsidRPr="005C1789">
        <w:rPr>
          <w:rFonts w:ascii="Verdana" w:hAnsi="Verdana"/>
          <w:sz w:val="20"/>
          <w:szCs w:val="20"/>
          <w:lang w:val="es-ES_tradnl"/>
        </w:rPr>
        <w:t xml:space="preserve"> </w:t>
      </w:r>
      <w:proofErr w:type="spellStart"/>
      <w:r w:rsidR="00B931EA" w:rsidRPr="005C1789">
        <w:rPr>
          <w:rFonts w:ascii="Verdana" w:hAnsi="Verdana"/>
          <w:sz w:val="20"/>
          <w:szCs w:val="20"/>
          <w:lang w:val="es-ES_tradnl"/>
        </w:rPr>
        <w:t>Tecpile</w:t>
      </w:r>
      <w:proofErr w:type="spellEnd"/>
      <w:r w:rsidR="00B931EA" w:rsidRPr="005C1789">
        <w:rPr>
          <w:rFonts w:ascii="Verdana" w:hAnsi="Verdana"/>
          <w:sz w:val="20"/>
          <w:szCs w:val="20"/>
          <w:lang w:val="es-ES_tradnl"/>
        </w:rPr>
        <w:t xml:space="preserve">, así como </w:t>
      </w:r>
      <w:r w:rsidR="00A91426">
        <w:rPr>
          <w:rFonts w:ascii="Verdana" w:hAnsi="Verdana"/>
          <w:sz w:val="20"/>
          <w:szCs w:val="20"/>
          <w:lang w:val="es-ES_tradnl"/>
        </w:rPr>
        <w:t xml:space="preserve">en </w:t>
      </w:r>
      <w:r w:rsidR="00B931EA" w:rsidRPr="005C1789">
        <w:rPr>
          <w:rFonts w:ascii="Verdana" w:hAnsi="Verdana"/>
          <w:sz w:val="20"/>
          <w:szCs w:val="20"/>
          <w:lang w:val="es-ES_tradnl"/>
        </w:rPr>
        <w:t>una tienda que era el negocio de la familia</w:t>
      </w:r>
      <w:r w:rsidRPr="005C1789">
        <w:rPr>
          <w:rFonts w:ascii="Verdana" w:hAnsi="Verdana"/>
          <w:sz w:val="20"/>
          <w:szCs w:val="20"/>
          <w:lang w:val="es-ES_tradnl"/>
        </w:rPr>
        <w:t xml:space="preserve">. De acuerdo con lo anterior, el presente acápite abordará esos puntos en el siguiente orden: a) </w:t>
      </w:r>
      <w:r w:rsidR="00B931EA" w:rsidRPr="005C1789">
        <w:rPr>
          <w:rFonts w:ascii="Verdana" w:hAnsi="Verdana"/>
          <w:sz w:val="20"/>
          <w:szCs w:val="20"/>
          <w:lang w:val="es-ES_tradnl"/>
        </w:rPr>
        <w:t xml:space="preserve">el derecho a la integridad personal de Jorge Marcial </w:t>
      </w:r>
      <w:proofErr w:type="spellStart"/>
      <w:r w:rsidR="00B931EA" w:rsidRPr="005C1789">
        <w:rPr>
          <w:rFonts w:ascii="Verdana" w:hAnsi="Verdana"/>
          <w:sz w:val="20"/>
          <w:szCs w:val="20"/>
          <w:lang w:val="es-ES_tradnl"/>
        </w:rPr>
        <w:t>Tzompaxtle</w:t>
      </w:r>
      <w:proofErr w:type="spellEnd"/>
      <w:r w:rsidR="00B931EA" w:rsidRPr="005C1789">
        <w:rPr>
          <w:rFonts w:ascii="Verdana" w:hAnsi="Verdana"/>
          <w:sz w:val="20"/>
          <w:szCs w:val="20"/>
          <w:lang w:val="es-ES_tradnl"/>
        </w:rPr>
        <w:t xml:space="preserve"> </w:t>
      </w:r>
      <w:proofErr w:type="spellStart"/>
      <w:r w:rsidR="00B931EA" w:rsidRPr="005C1789">
        <w:rPr>
          <w:rFonts w:ascii="Verdana" w:hAnsi="Verdana"/>
          <w:sz w:val="20"/>
          <w:szCs w:val="20"/>
          <w:lang w:val="es-ES_tradnl"/>
        </w:rPr>
        <w:t>Tecpile</w:t>
      </w:r>
      <w:proofErr w:type="spellEnd"/>
      <w:r w:rsidR="00B931EA" w:rsidRPr="005C1789">
        <w:rPr>
          <w:rFonts w:ascii="Verdana" w:hAnsi="Verdana"/>
          <w:sz w:val="20"/>
          <w:szCs w:val="20"/>
          <w:lang w:val="es-ES_tradnl"/>
        </w:rPr>
        <w:t xml:space="preserve">, Gerardo </w:t>
      </w:r>
      <w:proofErr w:type="spellStart"/>
      <w:r w:rsidR="00B931EA" w:rsidRPr="005C1789">
        <w:rPr>
          <w:rFonts w:ascii="Verdana" w:hAnsi="Verdana"/>
          <w:sz w:val="20"/>
          <w:szCs w:val="20"/>
          <w:lang w:val="es-ES_tradnl"/>
        </w:rPr>
        <w:t>Tzompaxtle</w:t>
      </w:r>
      <w:proofErr w:type="spellEnd"/>
      <w:r w:rsidR="00B931EA" w:rsidRPr="005C1789">
        <w:rPr>
          <w:rFonts w:ascii="Verdana" w:hAnsi="Verdana"/>
          <w:sz w:val="20"/>
          <w:szCs w:val="20"/>
          <w:lang w:val="es-ES_tradnl"/>
        </w:rPr>
        <w:t xml:space="preserve"> </w:t>
      </w:r>
      <w:proofErr w:type="spellStart"/>
      <w:r w:rsidR="00B931EA" w:rsidRPr="005C1789">
        <w:rPr>
          <w:rFonts w:ascii="Verdana" w:hAnsi="Verdana"/>
          <w:sz w:val="20"/>
          <w:szCs w:val="20"/>
          <w:lang w:val="es-ES_tradnl"/>
        </w:rPr>
        <w:t>Tecpile</w:t>
      </w:r>
      <w:proofErr w:type="spellEnd"/>
      <w:r w:rsidR="00B931EA" w:rsidRPr="005C1789">
        <w:rPr>
          <w:rFonts w:ascii="Verdana" w:hAnsi="Verdana"/>
          <w:sz w:val="20"/>
          <w:szCs w:val="20"/>
          <w:lang w:val="es-ES_tradnl"/>
        </w:rPr>
        <w:t xml:space="preserve"> y Gustavo Robles López</w:t>
      </w:r>
      <w:r w:rsidR="00A91426">
        <w:rPr>
          <w:rFonts w:ascii="Verdana" w:hAnsi="Verdana"/>
          <w:sz w:val="20"/>
          <w:szCs w:val="20"/>
          <w:lang w:val="es-ES_tradnl"/>
        </w:rPr>
        <w:t>,</w:t>
      </w:r>
      <w:r w:rsidRPr="005C1789">
        <w:rPr>
          <w:rFonts w:ascii="Verdana" w:hAnsi="Verdana"/>
          <w:sz w:val="20"/>
          <w:szCs w:val="20"/>
          <w:lang w:val="es-ES_tradnl"/>
        </w:rPr>
        <w:t xml:space="preserve"> </w:t>
      </w:r>
      <w:r w:rsidR="00B931EA" w:rsidRPr="005C1789">
        <w:rPr>
          <w:rFonts w:ascii="Verdana" w:hAnsi="Verdana"/>
          <w:sz w:val="20"/>
          <w:szCs w:val="20"/>
          <w:lang w:val="es-ES_tradnl"/>
        </w:rPr>
        <w:t xml:space="preserve">y </w:t>
      </w:r>
      <w:r w:rsidRPr="005C1789">
        <w:rPr>
          <w:rFonts w:ascii="Verdana" w:hAnsi="Verdana"/>
          <w:sz w:val="20"/>
          <w:szCs w:val="20"/>
          <w:lang w:val="es-ES_tradnl"/>
        </w:rPr>
        <w:t>b)</w:t>
      </w:r>
      <w:r w:rsidR="00B931EA" w:rsidRPr="005C1789">
        <w:rPr>
          <w:rFonts w:ascii="Verdana" w:hAnsi="Verdana"/>
          <w:sz w:val="20"/>
          <w:szCs w:val="20"/>
          <w:lang w:val="es-ES_tradnl"/>
        </w:rPr>
        <w:t xml:space="preserve"> el derecho a la vida privada de Jorge Marcial </w:t>
      </w:r>
      <w:proofErr w:type="spellStart"/>
      <w:r w:rsidR="00B931EA" w:rsidRPr="005C1789">
        <w:rPr>
          <w:rFonts w:ascii="Verdana" w:hAnsi="Verdana"/>
          <w:sz w:val="20"/>
          <w:szCs w:val="20"/>
          <w:lang w:val="es-ES_tradnl"/>
        </w:rPr>
        <w:t>Tzompaxtle</w:t>
      </w:r>
      <w:proofErr w:type="spellEnd"/>
      <w:r w:rsidR="00B931EA" w:rsidRPr="005C1789">
        <w:rPr>
          <w:rFonts w:ascii="Verdana" w:hAnsi="Verdana"/>
          <w:sz w:val="20"/>
          <w:szCs w:val="20"/>
          <w:lang w:val="es-ES_tradnl"/>
        </w:rPr>
        <w:t xml:space="preserve"> </w:t>
      </w:r>
      <w:proofErr w:type="spellStart"/>
      <w:r w:rsidR="00B931EA" w:rsidRPr="005C1789">
        <w:rPr>
          <w:rFonts w:ascii="Verdana" w:hAnsi="Verdana"/>
          <w:sz w:val="20"/>
          <w:szCs w:val="20"/>
          <w:lang w:val="es-ES_tradnl"/>
        </w:rPr>
        <w:t>Tecpile</w:t>
      </w:r>
      <w:proofErr w:type="spellEnd"/>
      <w:r w:rsidR="00B931EA" w:rsidRPr="005C1789">
        <w:rPr>
          <w:rFonts w:ascii="Verdana" w:hAnsi="Verdana"/>
          <w:sz w:val="20"/>
          <w:szCs w:val="20"/>
          <w:lang w:val="es-ES_tradnl"/>
        </w:rPr>
        <w:t xml:space="preserve">, Gerardo </w:t>
      </w:r>
      <w:proofErr w:type="spellStart"/>
      <w:r w:rsidR="00B931EA" w:rsidRPr="005C1789">
        <w:rPr>
          <w:rFonts w:ascii="Verdana" w:hAnsi="Verdana"/>
          <w:sz w:val="20"/>
          <w:szCs w:val="20"/>
          <w:lang w:val="es-ES_tradnl"/>
        </w:rPr>
        <w:t>Tzompaxtle</w:t>
      </w:r>
      <w:proofErr w:type="spellEnd"/>
      <w:r w:rsidR="00B931EA" w:rsidRPr="005C1789">
        <w:rPr>
          <w:rFonts w:ascii="Verdana" w:hAnsi="Verdana"/>
          <w:sz w:val="20"/>
          <w:szCs w:val="20"/>
          <w:lang w:val="es-ES_tradnl"/>
        </w:rPr>
        <w:t xml:space="preserve"> </w:t>
      </w:r>
      <w:proofErr w:type="spellStart"/>
      <w:r w:rsidR="00B931EA" w:rsidRPr="005C1789">
        <w:rPr>
          <w:rFonts w:ascii="Verdana" w:hAnsi="Verdana"/>
          <w:sz w:val="20"/>
          <w:szCs w:val="20"/>
          <w:lang w:val="es-ES_tradnl"/>
        </w:rPr>
        <w:t>Tecpile</w:t>
      </w:r>
      <w:proofErr w:type="spellEnd"/>
      <w:r w:rsidR="00B931EA" w:rsidRPr="005C1789">
        <w:rPr>
          <w:rFonts w:ascii="Verdana" w:hAnsi="Verdana"/>
          <w:sz w:val="20"/>
          <w:szCs w:val="20"/>
          <w:lang w:val="es-ES_tradnl"/>
        </w:rPr>
        <w:t xml:space="preserve"> y Gustavo Robles López</w:t>
      </w:r>
      <w:r w:rsidRPr="005C1789">
        <w:rPr>
          <w:rFonts w:ascii="Verdana" w:hAnsi="Verdana"/>
          <w:sz w:val="20"/>
          <w:szCs w:val="20"/>
          <w:lang w:val="es-ES_tradnl"/>
        </w:rPr>
        <w:t>.</w:t>
      </w:r>
    </w:p>
    <w:p w14:paraId="26BD7648" w14:textId="2D624E42" w:rsidR="009449C5" w:rsidRPr="005C1789" w:rsidRDefault="009449C5" w:rsidP="00955888">
      <w:pPr>
        <w:pStyle w:val="Ttulo3"/>
        <w:spacing w:before="240" w:after="240"/>
        <w:ind w:left="567"/>
        <w:jc w:val="both"/>
        <w:rPr>
          <w:rFonts w:ascii="Verdana" w:hAnsi="Verdana"/>
          <w:b w:val="0"/>
          <w:snapToGrid w:val="0"/>
          <w:spacing w:val="-2"/>
          <w:sz w:val="20"/>
          <w:szCs w:val="20"/>
          <w:lang w:eastAsia="es-ES"/>
        </w:rPr>
      </w:pPr>
      <w:bookmarkStart w:id="114" w:name="_Toc123347548"/>
      <w:r w:rsidRPr="005C1789">
        <w:rPr>
          <w:rFonts w:ascii="Verdana" w:hAnsi="Verdana"/>
          <w:b w:val="0"/>
          <w:snapToGrid w:val="0"/>
          <w:spacing w:val="-2"/>
          <w:sz w:val="20"/>
          <w:szCs w:val="20"/>
          <w:lang w:eastAsia="es-ES"/>
        </w:rPr>
        <w:t xml:space="preserve">B.1. El derecho a la integridad personal de Jorge Marcial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xml:space="preserve">, Gerardo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xml:space="preserve"> y Gustavo Robles López</w:t>
      </w:r>
      <w:bookmarkEnd w:id="114"/>
    </w:p>
    <w:p w14:paraId="0149BE9D" w14:textId="0C54AC31" w:rsidR="002A68F8" w:rsidRPr="005C1789" w:rsidRDefault="006868C4" w:rsidP="00955888">
      <w:pPr>
        <w:numPr>
          <w:ilvl w:val="0"/>
          <w:numId w:val="2"/>
        </w:numPr>
        <w:spacing w:before="120" w:after="120"/>
        <w:ind w:left="0" w:firstLine="0"/>
        <w:jc w:val="both"/>
        <w:rPr>
          <w:rFonts w:ascii="Verdana" w:hAnsi="Verdana"/>
          <w:sz w:val="20"/>
          <w:szCs w:val="20"/>
        </w:rPr>
      </w:pPr>
      <w:bookmarkStart w:id="115" w:name="_Ref454242864"/>
      <w:r w:rsidRPr="005C1789">
        <w:rPr>
          <w:rFonts w:ascii="Verdana" w:eastAsia="Cambria" w:hAnsi="Verdana" w:cs="Cambria"/>
          <w:sz w:val="20"/>
          <w:szCs w:val="20"/>
          <w:lang w:val="es-ES"/>
        </w:rPr>
        <w:t xml:space="preserve">De conformidad con el artículo 5 de la Convención, toda persona privada de libertad tiene derecho a vivir en situación de detención compatible con su dignidad personal. En ese sentido, el Tribunal ha </w:t>
      </w:r>
      <w:r w:rsidRPr="005C1789">
        <w:rPr>
          <w:rFonts w:ascii="Verdana" w:hAnsi="Verdana"/>
          <w:sz w:val="20"/>
          <w:szCs w:val="20"/>
          <w:lang w:val="es-ES"/>
        </w:rPr>
        <w:t>señalado</w:t>
      </w:r>
      <w:r w:rsidRPr="005C1789">
        <w:rPr>
          <w:rFonts w:ascii="Verdana" w:eastAsia="Cambria" w:hAnsi="Verdana" w:cs="Cambria"/>
          <w:sz w:val="20"/>
          <w:szCs w:val="20"/>
          <w:lang w:val="es-ES"/>
        </w:rPr>
        <w:t xml:space="preserve"> que las lesiones, sufrimientos, daños a la salud o perjuicios sufridos por una persona mientras se encuentra privada de libertad pueden llegar a constituir un</w:t>
      </w:r>
      <w:r w:rsidR="00C61290" w:rsidRPr="005C1789">
        <w:rPr>
          <w:rFonts w:ascii="Verdana" w:eastAsia="Cambria" w:hAnsi="Verdana" w:cs="Cambria"/>
          <w:sz w:val="20"/>
          <w:szCs w:val="20"/>
          <w:lang w:val="es-ES"/>
        </w:rPr>
        <w:t xml:space="preserve"> trato</w:t>
      </w:r>
      <w:r w:rsidRPr="005C1789">
        <w:rPr>
          <w:rFonts w:ascii="Verdana" w:eastAsia="Cambria" w:hAnsi="Verdana" w:cs="Cambria"/>
          <w:sz w:val="20"/>
          <w:szCs w:val="20"/>
          <w:lang w:val="es-ES"/>
        </w:rPr>
        <w:t xml:space="preserve"> cruel cuando, debido a las condiciones de encierro, exista un deterioro de la integridad física, psíquica y moral, estrictamente prohibido por el inciso 2 del artículo 5 de la Convención, que no es consecuencia natural y directa de la privación de libertad en sí misma. En relación con las condiciones </w:t>
      </w:r>
      <w:r w:rsidR="00040748" w:rsidRPr="005C1789">
        <w:rPr>
          <w:rFonts w:ascii="Verdana" w:eastAsia="Cambria" w:hAnsi="Verdana" w:cs="Cambria"/>
          <w:sz w:val="20"/>
          <w:szCs w:val="20"/>
          <w:lang w:val="es-ES"/>
        </w:rPr>
        <w:t xml:space="preserve">de detención, la Corte ha señalado </w:t>
      </w:r>
      <w:r w:rsidR="00CC3FA6" w:rsidRPr="005C1789">
        <w:rPr>
          <w:rFonts w:ascii="Verdana" w:eastAsia="Cambria" w:hAnsi="Verdana" w:cs="Cambria"/>
          <w:sz w:val="20"/>
          <w:szCs w:val="20"/>
          <w:lang w:val="es-ES"/>
        </w:rPr>
        <w:t xml:space="preserve">que mantener a </w:t>
      </w:r>
      <w:r w:rsidRPr="005C1789">
        <w:rPr>
          <w:rFonts w:ascii="Verdana" w:eastAsia="Cambria" w:hAnsi="Verdana" w:cs="Cambria"/>
          <w:sz w:val="20"/>
          <w:szCs w:val="20"/>
          <w:lang w:val="es-ES"/>
        </w:rPr>
        <w:t>las personas privadas de libertad en aislamiento e incomunicación o con restricciones indebidas al régimen de visitas constituye una violación a la integridad personal</w:t>
      </w:r>
      <w:bookmarkEnd w:id="115"/>
      <w:r w:rsidR="00E361E1" w:rsidRPr="005C1789">
        <w:rPr>
          <w:rStyle w:val="Refdenotaalpie"/>
          <w:rFonts w:ascii="Verdana" w:eastAsia="Cambria" w:hAnsi="Verdana"/>
          <w:sz w:val="20"/>
          <w:lang w:val="es-ES"/>
        </w:rPr>
        <w:footnoteReference w:id="139"/>
      </w:r>
      <w:r w:rsidR="001714D7" w:rsidRPr="005C1789">
        <w:rPr>
          <w:rFonts w:ascii="Verdana" w:hAnsi="Verdana"/>
          <w:sz w:val="20"/>
          <w:szCs w:val="20"/>
        </w:rPr>
        <w:t>.</w:t>
      </w:r>
    </w:p>
    <w:p w14:paraId="380CA3CA" w14:textId="330183BC" w:rsidR="0082179D" w:rsidRPr="005C1789" w:rsidRDefault="00E44B76" w:rsidP="00955888">
      <w:pPr>
        <w:numPr>
          <w:ilvl w:val="0"/>
          <w:numId w:val="2"/>
        </w:numPr>
        <w:spacing w:before="120" w:after="120"/>
        <w:ind w:left="0" w:firstLine="0"/>
        <w:jc w:val="both"/>
        <w:rPr>
          <w:rFonts w:ascii="Verdana" w:eastAsia="Cambria" w:hAnsi="Verdana" w:cs="Cambria"/>
          <w:sz w:val="20"/>
          <w:szCs w:val="20"/>
          <w:lang w:val="es-ES_tradnl"/>
        </w:rPr>
      </w:pPr>
      <w:r w:rsidRPr="005C1789">
        <w:rPr>
          <w:rFonts w:ascii="Verdana" w:hAnsi="Verdana"/>
          <w:sz w:val="20"/>
          <w:szCs w:val="20"/>
        </w:rPr>
        <w:t xml:space="preserve">Por otra parte, la Corte advierte que algunos de los peritos que declararon en audiencia </w:t>
      </w:r>
      <w:r w:rsidRPr="005C1789">
        <w:rPr>
          <w:rFonts w:ascii="Verdana" w:eastAsia="Cambria" w:hAnsi="Verdana" w:cs="Cambria"/>
          <w:sz w:val="20"/>
          <w:szCs w:val="20"/>
          <w:lang w:val="es-ES"/>
        </w:rPr>
        <w:t>señalaron</w:t>
      </w:r>
      <w:r w:rsidRPr="005C1789">
        <w:rPr>
          <w:rFonts w:ascii="Verdana" w:hAnsi="Verdana"/>
          <w:sz w:val="20"/>
          <w:szCs w:val="20"/>
        </w:rPr>
        <w:t xml:space="preserve"> que se “ha documentado por </w:t>
      </w:r>
      <w:r w:rsidR="00882D2D" w:rsidRPr="005C1789">
        <w:rPr>
          <w:rFonts w:ascii="Verdana" w:hAnsi="Verdana"/>
          <w:sz w:val="20"/>
          <w:szCs w:val="20"/>
        </w:rPr>
        <w:t xml:space="preserve">diversos organismos internacionales y </w:t>
      </w:r>
      <w:r w:rsidR="00882D2D" w:rsidRPr="005C1789">
        <w:rPr>
          <w:rFonts w:ascii="Verdana" w:eastAsia="Cambria" w:hAnsi="Verdana" w:cs="Cambria"/>
          <w:sz w:val="20"/>
          <w:szCs w:val="20"/>
          <w:lang w:val="es-ES"/>
        </w:rPr>
        <w:t>nacionales</w:t>
      </w:r>
      <w:r w:rsidR="00882D2D" w:rsidRPr="005C1789">
        <w:rPr>
          <w:rFonts w:ascii="Verdana" w:hAnsi="Verdana"/>
          <w:sz w:val="20"/>
          <w:szCs w:val="20"/>
        </w:rPr>
        <w:t xml:space="preserve"> que la </w:t>
      </w:r>
      <w:r w:rsidR="00882D2D" w:rsidRPr="005C1789">
        <w:rPr>
          <w:rFonts w:ascii="Verdana" w:eastAsia="Cambria" w:hAnsi="Verdana" w:cs="Cambria"/>
          <w:sz w:val="20"/>
          <w:szCs w:val="20"/>
          <w:lang w:val="es-ES"/>
        </w:rPr>
        <w:t>incomunicación</w:t>
      </w:r>
      <w:r w:rsidR="00882D2D" w:rsidRPr="005C1789">
        <w:rPr>
          <w:rFonts w:ascii="Verdana" w:hAnsi="Verdana"/>
          <w:sz w:val="20"/>
          <w:szCs w:val="20"/>
        </w:rPr>
        <w:t xml:space="preserve"> es una práctica común al implementarse [una] medida [de </w:t>
      </w:r>
      <w:r w:rsidR="00882D2D" w:rsidRPr="005C1789">
        <w:rPr>
          <w:rFonts w:ascii="Verdana" w:eastAsia="Cambria" w:hAnsi="Verdana" w:cs="Cambria"/>
          <w:sz w:val="20"/>
          <w:szCs w:val="20"/>
          <w:lang w:val="es-ES"/>
        </w:rPr>
        <w:t>arraigo</w:t>
      </w:r>
      <w:r w:rsidR="00882D2D" w:rsidRPr="005C1789">
        <w:rPr>
          <w:rFonts w:ascii="Verdana" w:hAnsi="Verdana"/>
          <w:sz w:val="20"/>
          <w:szCs w:val="20"/>
        </w:rPr>
        <w:t xml:space="preserve">]”. Del mismo modo, indicaron que se han reportado hechos de tortura y trato cruel, inhumano y </w:t>
      </w:r>
      <w:r w:rsidR="00882D2D" w:rsidRPr="005C1789">
        <w:rPr>
          <w:rFonts w:ascii="Verdana" w:eastAsia="Cambria" w:hAnsi="Verdana" w:cs="Cambria"/>
          <w:sz w:val="20"/>
          <w:szCs w:val="20"/>
          <w:lang w:val="es-ES"/>
        </w:rPr>
        <w:t>degradante en el marco de la aplicación de esa figura</w:t>
      </w:r>
      <w:r w:rsidR="00882D2D" w:rsidRPr="005C1789">
        <w:rPr>
          <w:rStyle w:val="Refdenotaalpie"/>
          <w:rFonts w:ascii="Verdana" w:eastAsia="Cambria" w:hAnsi="Verdana"/>
          <w:sz w:val="20"/>
          <w:lang w:val="es-ES"/>
        </w:rPr>
        <w:footnoteReference w:id="140"/>
      </w:r>
      <w:r w:rsidR="00882D2D" w:rsidRPr="005C1789">
        <w:rPr>
          <w:rFonts w:ascii="Verdana" w:eastAsia="Cambria" w:hAnsi="Verdana" w:cs="Cambria"/>
          <w:sz w:val="20"/>
          <w:szCs w:val="20"/>
          <w:lang w:val="es-ES"/>
        </w:rPr>
        <w:t>.</w:t>
      </w:r>
      <w:r w:rsidR="0082179D" w:rsidRPr="005C1789">
        <w:rPr>
          <w:rFonts w:ascii="Verdana" w:eastAsia="Cambria" w:hAnsi="Verdana" w:cs="Cambria"/>
          <w:sz w:val="20"/>
          <w:szCs w:val="20"/>
          <w:lang w:val="es-ES"/>
        </w:rPr>
        <w:t xml:space="preserve"> Por otra parte, señalaron que además de “propiciar la tortura, el arraigo se ha relacionado con la incomunicación y la obstaculización del derecho a una defensa adecuada”, y que “la falta de acceso a una defensa adecuada frecuentemente se ha combinado con una falta de contacto con familiares u otras personas, en un contexto de incomunicación”</w:t>
      </w:r>
      <w:r w:rsidR="0082179D" w:rsidRPr="005C1789">
        <w:rPr>
          <w:rStyle w:val="Refdenotaalpie"/>
          <w:rFonts w:ascii="Verdana" w:eastAsia="Cambria" w:hAnsi="Verdana"/>
          <w:sz w:val="20"/>
          <w:lang w:val="es-ES"/>
        </w:rPr>
        <w:footnoteReference w:id="141"/>
      </w:r>
      <w:r w:rsidR="0082179D" w:rsidRPr="005C1789">
        <w:rPr>
          <w:rFonts w:ascii="Verdana" w:eastAsia="Cambria" w:hAnsi="Verdana" w:cs="Cambria"/>
          <w:sz w:val="20"/>
          <w:szCs w:val="20"/>
          <w:lang w:val="es-ES"/>
        </w:rPr>
        <w:t xml:space="preserve">. </w:t>
      </w:r>
    </w:p>
    <w:p w14:paraId="27530BBD" w14:textId="4D588CBB" w:rsidR="007E55CF" w:rsidRPr="005C1789" w:rsidRDefault="00882D2D"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lastRenderedPageBreak/>
        <w:t xml:space="preserve">Sobre ese punto, el Comité de Derechos Humanos de Naciones Unidas </w:t>
      </w:r>
      <w:r w:rsidR="00BF788E" w:rsidRPr="005C1789">
        <w:rPr>
          <w:rFonts w:ascii="Verdana" w:hAnsi="Verdana"/>
          <w:sz w:val="20"/>
          <w:szCs w:val="20"/>
        </w:rPr>
        <w:t>advirtió “</w:t>
      </w:r>
      <w:r w:rsidRPr="005C1789">
        <w:rPr>
          <w:rFonts w:ascii="Verdana" w:hAnsi="Verdana"/>
          <w:sz w:val="20"/>
          <w:szCs w:val="20"/>
        </w:rPr>
        <w:t>que las personas detenidas en virtud del arraigo corren peligro de ser sometidas a malos tratos</w:t>
      </w:r>
      <w:r w:rsidR="00BF788E" w:rsidRPr="005C1789">
        <w:rPr>
          <w:rFonts w:ascii="Verdana" w:hAnsi="Verdana"/>
          <w:sz w:val="20"/>
          <w:szCs w:val="20"/>
        </w:rPr>
        <w:t>”</w:t>
      </w:r>
      <w:r w:rsidR="00BF788E" w:rsidRPr="005C1789">
        <w:rPr>
          <w:rStyle w:val="Refdenotaalpie"/>
          <w:rFonts w:ascii="Verdana" w:eastAsia="Cambria" w:hAnsi="Verdana"/>
          <w:sz w:val="20"/>
          <w:lang w:val="es-ES"/>
        </w:rPr>
        <w:footnoteReference w:id="142"/>
      </w:r>
      <w:r w:rsidR="00BF788E" w:rsidRPr="005C1789">
        <w:rPr>
          <w:rFonts w:ascii="Verdana" w:hAnsi="Verdana"/>
          <w:sz w:val="20"/>
          <w:szCs w:val="20"/>
        </w:rPr>
        <w:t>. De</w:t>
      </w:r>
      <w:r w:rsidR="00E76A76" w:rsidRPr="005C1789">
        <w:rPr>
          <w:rFonts w:ascii="Verdana" w:hAnsi="Verdana"/>
          <w:sz w:val="20"/>
          <w:szCs w:val="20"/>
        </w:rPr>
        <w:t xml:space="preserve"> igual </w:t>
      </w:r>
      <w:r w:rsidR="00BF788E" w:rsidRPr="005C1789">
        <w:rPr>
          <w:rFonts w:ascii="Verdana" w:hAnsi="Verdana"/>
          <w:sz w:val="20"/>
          <w:szCs w:val="20"/>
        </w:rPr>
        <w:t>modo, del Subcomité para la Prevención de la Tortura y Otros Tratos o Penas Crueles, Inhumanos o Degradantes observó “cómo de todos los testimonios que la delegación escuchó durante su visita sobre maltrato, las alegaciones más alarmantes venían de personas bajo régimen de arraigo”</w:t>
      </w:r>
      <w:r w:rsidR="003834B0" w:rsidRPr="005C1789">
        <w:rPr>
          <w:rFonts w:ascii="Verdana" w:hAnsi="Verdana"/>
          <w:sz w:val="20"/>
          <w:szCs w:val="20"/>
        </w:rPr>
        <w:t>. Del mismo modo señaló que</w:t>
      </w:r>
      <w:r w:rsidR="00712EBB">
        <w:rPr>
          <w:rFonts w:ascii="Verdana" w:hAnsi="Verdana"/>
          <w:sz w:val="20"/>
          <w:szCs w:val="20"/>
        </w:rPr>
        <w:t>,</w:t>
      </w:r>
      <w:r w:rsidR="003834B0" w:rsidRPr="005C1789">
        <w:rPr>
          <w:rFonts w:ascii="Verdana" w:hAnsi="Verdana"/>
          <w:sz w:val="20"/>
          <w:szCs w:val="20"/>
        </w:rPr>
        <w:t xml:space="preserve"> cuando se </w:t>
      </w:r>
      <w:r w:rsidR="0058030B" w:rsidRPr="005C1789">
        <w:rPr>
          <w:rFonts w:ascii="Verdana" w:hAnsi="Verdana"/>
          <w:sz w:val="20"/>
          <w:szCs w:val="20"/>
        </w:rPr>
        <w:t xml:space="preserve">dan </w:t>
      </w:r>
      <w:r w:rsidR="003834B0" w:rsidRPr="005C1789">
        <w:rPr>
          <w:rFonts w:ascii="Verdana" w:hAnsi="Verdana"/>
          <w:sz w:val="20"/>
          <w:szCs w:val="20"/>
        </w:rPr>
        <w:t xml:space="preserve">detenciones bajo la figura del arraigo, “que supuestamente deberían ser las menos restrictivas a la libertad por no encontrarse las personas todavía sometidas a una averiguación formal, es justamente donde más se restringe la libertad de la persona, llegando a unos niveles de incomunicación total del mundo exterior sin que familiares ni abogados de las personas arraigadas tengan información sobre su paradero. Estas situaciones pueden dar lugar a casos de indefensión ante situaciones de </w:t>
      </w:r>
      <w:bookmarkStart w:id="116" w:name="_Hlk110952933"/>
      <w:r w:rsidR="003834B0" w:rsidRPr="005C1789">
        <w:rPr>
          <w:rFonts w:ascii="Verdana" w:hAnsi="Verdana"/>
          <w:sz w:val="20"/>
          <w:szCs w:val="20"/>
        </w:rPr>
        <w:t>tortura, trato cruel, inhumano o degradante</w:t>
      </w:r>
      <w:bookmarkEnd w:id="116"/>
      <w:r w:rsidR="003834B0" w:rsidRPr="005C1789">
        <w:rPr>
          <w:rFonts w:ascii="Verdana" w:hAnsi="Verdana"/>
          <w:sz w:val="20"/>
          <w:szCs w:val="20"/>
        </w:rPr>
        <w:t>. La delegación se entrevistó con personas arraigadas en todos los estados que visitó”. Concluyó</w:t>
      </w:r>
      <w:r w:rsidR="009308A8" w:rsidRPr="005C1789">
        <w:rPr>
          <w:rFonts w:ascii="Verdana" w:hAnsi="Verdana"/>
          <w:sz w:val="20"/>
          <w:szCs w:val="20"/>
        </w:rPr>
        <w:t xml:space="preserve"> </w:t>
      </w:r>
      <w:r w:rsidR="003834B0" w:rsidRPr="005C1789">
        <w:rPr>
          <w:rFonts w:ascii="Verdana" w:hAnsi="Verdana"/>
          <w:sz w:val="20"/>
          <w:szCs w:val="20"/>
        </w:rPr>
        <w:t xml:space="preserve">que </w:t>
      </w:r>
      <w:r w:rsidR="009308A8" w:rsidRPr="005C1789">
        <w:rPr>
          <w:rFonts w:ascii="Verdana" w:hAnsi="Verdana"/>
          <w:sz w:val="20"/>
          <w:szCs w:val="20"/>
        </w:rPr>
        <w:t>“la figura jurídica del arraigo puede llegar a propiciar la práctica de la tortura al generar espacios de poca vigilancia y vulnerabilidad de los arraigados, quienes no tienen ninguna condición jurídica claramente definida para poder ejercer su derecho de defensa”</w:t>
      </w:r>
      <w:r w:rsidR="009308A8" w:rsidRPr="005C1789">
        <w:rPr>
          <w:rStyle w:val="Refdenotaalpie"/>
          <w:rFonts w:ascii="Verdana" w:eastAsia="Cambria" w:hAnsi="Verdana"/>
          <w:sz w:val="20"/>
          <w:lang w:val="es-ES"/>
        </w:rPr>
        <w:footnoteReference w:id="143"/>
      </w:r>
      <w:r w:rsidR="009308A8" w:rsidRPr="005C1789">
        <w:rPr>
          <w:rFonts w:ascii="Verdana" w:hAnsi="Verdana"/>
          <w:sz w:val="20"/>
          <w:szCs w:val="20"/>
        </w:rPr>
        <w:t>.</w:t>
      </w:r>
    </w:p>
    <w:p w14:paraId="5CCADB87" w14:textId="1FAF0D2A" w:rsidR="00E861C7" w:rsidRPr="005C1789" w:rsidRDefault="009308A8" w:rsidP="00955888">
      <w:pPr>
        <w:numPr>
          <w:ilvl w:val="0"/>
          <w:numId w:val="2"/>
        </w:numPr>
        <w:spacing w:before="120" w:after="120"/>
        <w:ind w:left="0" w:firstLine="0"/>
        <w:jc w:val="both"/>
        <w:rPr>
          <w:rFonts w:ascii="Verdana" w:hAnsi="Verdana"/>
          <w:sz w:val="20"/>
          <w:szCs w:val="20"/>
        </w:rPr>
      </w:pPr>
      <w:r w:rsidRPr="005C1789">
        <w:rPr>
          <w:rFonts w:ascii="Verdana" w:hAnsi="Verdana"/>
          <w:iCs/>
          <w:sz w:val="20"/>
          <w:szCs w:val="20"/>
        </w:rPr>
        <w:t xml:space="preserve">En el presente caso, los representantes </w:t>
      </w:r>
      <w:r w:rsidR="00E76A76" w:rsidRPr="005C1789">
        <w:rPr>
          <w:rFonts w:ascii="Verdana" w:hAnsi="Verdana"/>
          <w:iCs/>
          <w:sz w:val="20"/>
          <w:szCs w:val="20"/>
        </w:rPr>
        <w:t>aseveraron</w:t>
      </w:r>
      <w:r w:rsidR="00E861C7" w:rsidRPr="005C1789">
        <w:rPr>
          <w:rFonts w:ascii="Verdana" w:hAnsi="Verdana"/>
          <w:iCs/>
          <w:sz w:val="20"/>
          <w:szCs w:val="20"/>
        </w:rPr>
        <w:t xml:space="preserve"> que la “reiterada incomunicación de las víctimas durante los primeros días de la retención y hasta la </w:t>
      </w:r>
      <w:r w:rsidR="00E861C7" w:rsidRPr="005C1789">
        <w:rPr>
          <w:rFonts w:ascii="Verdana" w:hAnsi="Verdana"/>
          <w:sz w:val="20"/>
          <w:szCs w:val="20"/>
        </w:rPr>
        <w:t>decisión</w:t>
      </w:r>
      <w:r w:rsidR="00E861C7" w:rsidRPr="005C1789">
        <w:rPr>
          <w:rFonts w:ascii="Verdana" w:hAnsi="Verdana"/>
          <w:iCs/>
          <w:sz w:val="20"/>
          <w:szCs w:val="20"/>
        </w:rPr>
        <w:t xml:space="preserve"> judicial de su detención en arraigo les causó severa angustia, máxime que primero no sabían qué estaba ocurriendo y posteriormente se sabían investigados por el grave delito de terrorismo, que no habían cometido y del que el propio Estado los absolvió finalmente”</w:t>
      </w:r>
      <w:r w:rsidRPr="005C1789">
        <w:rPr>
          <w:rFonts w:ascii="Verdana" w:hAnsi="Verdana"/>
          <w:iCs/>
          <w:sz w:val="20"/>
          <w:szCs w:val="20"/>
        </w:rPr>
        <w:t>.</w:t>
      </w:r>
      <w:r w:rsidR="00E861C7" w:rsidRPr="005C1789">
        <w:rPr>
          <w:rFonts w:ascii="Verdana" w:hAnsi="Verdana"/>
          <w:iCs/>
          <w:sz w:val="20"/>
          <w:szCs w:val="20"/>
        </w:rPr>
        <w:t xml:space="preserve"> Además</w:t>
      </w:r>
      <w:r w:rsidR="00712EBB">
        <w:rPr>
          <w:rFonts w:ascii="Verdana" w:hAnsi="Verdana"/>
          <w:iCs/>
          <w:sz w:val="20"/>
          <w:szCs w:val="20"/>
        </w:rPr>
        <w:t>,</w:t>
      </w:r>
      <w:r w:rsidR="00E861C7" w:rsidRPr="005C1789">
        <w:rPr>
          <w:rFonts w:ascii="Verdana" w:hAnsi="Verdana"/>
          <w:iCs/>
          <w:sz w:val="20"/>
          <w:szCs w:val="20"/>
        </w:rPr>
        <w:t xml:space="preserve"> “</w:t>
      </w:r>
      <w:r w:rsidR="00E861C7" w:rsidRPr="005C1789">
        <w:rPr>
          <w:rFonts w:ascii="Verdana" w:hAnsi="Verdana"/>
          <w:sz w:val="20"/>
          <w:szCs w:val="20"/>
        </w:rPr>
        <w:t>el hecho de que la detención de las víctimas fue arbitraria agravó su situación de vulnerabilidad ante las autoridades, lo que aunado a las condiciones precarias de detención en el sistema de arraigo y penitenciario mexicano y a las amenazas de las que fueron objeto, vulneró su derecho a la integridad psíquica”.</w:t>
      </w:r>
      <w:r w:rsidR="00D878EA" w:rsidRPr="005C1789">
        <w:rPr>
          <w:rFonts w:ascii="Verdana" w:hAnsi="Verdana"/>
          <w:sz w:val="20"/>
          <w:szCs w:val="20"/>
        </w:rPr>
        <w:t xml:space="preserve"> Por otra parte, </w:t>
      </w:r>
      <w:r w:rsidR="007738BB" w:rsidRPr="005C1789">
        <w:rPr>
          <w:rFonts w:ascii="Verdana" w:hAnsi="Verdana"/>
          <w:sz w:val="20"/>
          <w:szCs w:val="20"/>
        </w:rPr>
        <w:t xml:space="preserve">Gerardo </w:t>
      </w:r>
      <w:proofErr w:type="spellStart"/>
      <w:r w:rsidR="007738BB" w:rsidRPr="005C1789">
        <w:rPr>
          <w:rFonts w:ascii="Verdana" w:hAnsi="Verdana"/>
          <w:sz w:val="20"/>
          <w:szCs w:val="20"/>
        </w:rPr>
        <w:t>Tzompaxtle</w:t>
      </w:r>
      <w:proofErr w:type="spellEnd"/>
      <w:r w:rsidR="007738BB" w:rsidRPr="005C1789">
        <w:rPr>
          <w:rFonts w:ascii="Verdana" w:hAnsi="Verdana"/>
          <w:sz w:val="20"/>
          <w:szCs w:val="20"/>
        </w:rPr>
        <w:t xml:space="preserve"> declaró que los daños que les causaron “son mucho daño moral, daño psicológico, daño ante la sociedad de que todo mundo lo ve a uno con desprecio y te maldicen</w:t>
      </w:r>
      <w:r w:rsidR="00345AC2" w:rsidRPr="005C1789">
        <w:rPr>
          <w:rFonts w:ascii="Verdana" w:hAnsi="Verdana"/>
          <w:sz w:val="20"/>
          <w:szCs w:val="20"/>
        </w:rPr>
        <w:t>,</w:t>
      </w:r>
      <w:r w:rsidR="007738BB" w:rsidRPr="005C1789">
        <w:rPr>
          <w:rFonts w:ascii="Verdana" w:hAnsi="Verdana"/>
          <w:sz w:val="20"/>
          <w:szCs w:val="20"/>
        </w:rPr>
        <w:t xml:space="preserve"> te critican</w:t>
      </w:r>
      <w:r w:rsidR="00345AC2" w:rsidRPr="005C1789">
        <w:rPr>
          <w:rFonts w:ascii="Verdana" w:hAnsi="Verdana"/>
          <w:sz w:val="20"/>
          <w:szCs w:val="20"/>
        </w:rPr>
        <w:t>,</w:t>
      </w:r>
      <w:r w:rsidR="007738BB" w:rsidRPr="005C1789">
        <w:rPr>
          <w:rFonts w:ascii="Verdana" w:hAnsi="Verdana"/>
          <w:sz w:val="20"/>
          <w:szCs w:val="20"/>
        </w:rPr>
        <w:t xml:space="preserve"> le dicen a uno muchas cosas”</w:t>
      </w:r>
      <w:r w:rsidR="00266D2F" w:rsidRPr="005C1789">
        <w:rPr>
          <w:rStyle w:val="Refdenotaalpie"/>
          <w:rFonts w:ascii="Verdana" w:eastAsia="Cambria" w:hAnsi="Verdana"/>
          <w:sz w:val="20"/>
          <w:lang w:val="es-ES"/>
        </w:rPr>
        <w:footnoteReference w:id="144"/>
      </w:r>
      <w:r w:rsidR="00266D2F" w:rsidRPr="005C1789">
        <w:rPr>
          <w:rFonts w:ascii="Verdana" w:hAnsi="Verdana"/>
          <w:sz w:val="20"/>
          <w:szCs w:val="20"/>
        </w:rPr>
        <w:t>.</w:t>
      </w:r>
    </w:p>
    <w:p w14:paraId="414E2545" w14:textId="4F118C0F" w:rsidR="005635B6" w:rsidRPr="005C1789" w:rsidRDefault="009308A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Para este Tribunal es claro</w:t>
      </w:r>
      <w:r w:rsidR="00D878EA" w:rsidRPr="005C1789">
        <w:rPr>
          <w:rFonts w:ascii="Verdana" w:hAnsi="Verdana"/>
          <w:sz w:val="20"/>
          <w:szCs w:val="20"/>
        </w:rPr>
        <w:t xml:space="preserve"> que las condiciones de incomunicación y aislamiento en las </w:t>
      </w:r>
      <w:r w:rsidR="00D42AA1" w:rsidRPr="005C1789">
        <w:rPr>
          <w:rFonts w:ascii="Verdana" w:hAnsi="Verdana"/>
          <w:sz w:val="20"/>
          <w:szCs w:val="20"/>
        </w:rPr>
        <w:t xml:space="preserve">que </w:t>
      </w:r>
      <w:r w:rsidR="00D878EA" w:rsidRPr="005C1789">
        <w:rPr>
          <w:rFonts w:ascii="Verdana" w:hAnsi="Verdana"/>
          <w:sz w:val="20"/>
          <w:szCs w:val="20"/>
        </w:rPr>
        <w:t>las víctimas estuvieron privad</w:t>
      </w:r>
      <w:r w:rsidR="005D7582" w:rsidRPr="005C1789">
        <w:rPr>
          <w:rFonts w:ascii="Verdana" w:hAnsi="Verdana"/>
          <w:sz w:val="20"/>
          <w:szCs w:val="20"/>
        </w:rPr>
        <w:t>as</w:t>
      </w:r>
      <w:r w:rsidR="00D878EA" w:rsidRPr="005C1789">
        <w:rPr>
          <w:rFonts w:ascii="Verdana" w:hAnsi="Verdana"/>
          <w:sz w:val="20"/>
          <w:szCs w:val="20"/>
        </w:rPr>
        <w:t xml:space="preserve"> de su libertad bajo la figura del arraigo, y que fueron reconocidas por el Estado, trascienden las circunstancias del caso concreto y se inscriben dentro de una práctica usual en los contextos en donde se aplicaba esta figura. </w:t>
      </w:r>
      <w:r w:rsidR="0058030B" w:rsidRPr="005C1789">
        <w:rPr>
          <w:rFonts w:ascii="Verdana" w:hAnsi="Verdana"/>
          <w:sz w:val="20"/>
          <w:szCs w:val="20"/>
        </w:rPr>
        <w:t>De ese modo, como fuera indicado en los peritajes mencionados y en los informes de diversas entidades internacionales de derechos humanos, la aplicación del arraigo acarrea una serie de afectaciones a los derechos humanos que se extienden más allá de los derechos a la libertad personal o de la presunción de inocencia analizadas en el Capítulo anterior (</w:t>
      </w:r>
      <w:r w:rsidR="0058030B" w:rsidRPr="005C1789">
        <w:rPr>
          <w:rFonts w:ascii="Verdana" w:hAnsi="Verdana"/>
          <w:i/>
          <w:iCs/>
          <w:sz w:val="20"/>
          <w:szCs w:val="20"/>
        </w:rPr>
        <w:t>supra</w:t>
      </w:r>
      <w:r w:rsidR="0058030B" w:rsidRPr="005C1789">
        <w:rPr>
          <w:rFonts w:ascii="Verdana" w:hAnsi="Verdana"/>
          <w:sz w:val="20"/>
          <w:szCs w:val="20"/>
        </w:rPr>
        <w:t xml:space="preserve"> </w:t>
      </w:r>
      <w:proofErr w:type="spellStart"/>
      <w:r w:rsidR="0058030B" w:rsidRPr="005C1789">
        <w:rPr>
          <w:rFonts w:ascii="Verdana" w:hAnsi="Verdana"/>
          <w:sz w:val="20"/>
          <w:szCs w:val="20"/>
        </w:rPr>
        <w:t>párrs</w:t>
      </w:r>
      <w:proofErr w:type="spellEnd"/>
      <w:r w:rsidR="0058030B" w:rsidRPr="005C1789">
        <w:rPr>
          <w:rFonts w:ascii="Verdana" w:hAnsi="Verdana"/>
          <w:sz w:val="20"/>
          <w:szCs w:val="20"/>
        </w:rPr>
        <w:t xml:space="preserve">. </w:t>
      </w:r>
      <w:r w:rsidR="00026362" w:rsidRPr="005C1789">
        <w:rPr>
          <w:rFonts w:ascii="Verdana" w:hAnsi="Verdana"/>
          <w:sz w:val="20"/>
          <w:szCs w:val="20"/>
        </w:rPr>
        <w:t xml:space="preserve">156 </w:t>
      </w:r>
      <w:r w:rsidR="0058030B" w:rsidRPr="005C1789">
        <w:rPr>
          <w:rFonts w:ascii="Verdana" w:hAnsi="Verdana"/>
          <w:sz w:val="20"/>
          <w:szCs w:val="20"/>
        </w:rPr>
        <w:t xml:space="preserve">y </w:t>
      </w:r>
      <w:r w:rsidR="00026362" w:rsidRPr="005C1789">
        <w:rPr>
          <w:rFonts w:ascii="Verdana" w:hAnsi="Verdana"/>
          <w:sz w:val="20"/>
          <w:szCs w:val="20"/>
        </w:rPr>
        <w:t>157</w:t>
      </w:r>
      <w:r w:rsidR="0058030B" w:rsidRPr="005C1789">
        <w:rPr>
          <w:rFonts w:ascii="Verdana" w:hAnsi="Verdana"/>
          <w:sz w:val="20"/>
          <w:szCs w:val="20"/>
        </w:rPr>
        <w:t>) y que abarca</w:t>
      </w:r>
      <w:r w:rsidR="00A10D08" w:rsidRPr="005C1789">
        <w:rPr>
          <w:rFonts w:ascii="Verdana" w:hAnsi="Verdana"/>
          <w:sz w:val="20"/>
          <w:szCs w:val="20"/>
        </w:rPr>
        <w:t>n</w:t>
      </w:r>
      <w:r w:rsidR="0058030B" w:rsidRPr="005C1789">
        <w:rPr>
          <w:rFonts w:ascii="Verdana" w:hAnsi="Verdana"/>
          <w:sz w:val="20"/>
          <w:szCs w:val="20"/>
        </w:rPr>
        <w:t xml:space="preserve"> situaciones intrínsecamente ligadas con afectaciones a la integridad personal </w:t>
      </w:r>
      <w:r w:rsidR="006E6A7A" w:rsidRPr="005C1789">
        <w:rPr>
          <w:rFonts w:ascii="Verdana" w:hAnsi="Verdana"/>
          <w:sz w:val="20"/>
          <w:szCs w:val="20"/>
        </w:rPr>
        <w:t>de la persona arraigada</w:t>
      </w:r>
      <w:r w:rsidR="0058030B" w:rsidRPr="005C1789">
        <w:rPr>
          <w:rFonts w:ascii="Verdana" w:hAnsi="Verdana"/>
          <w:sz w:val="20"/>
          <w:szCs w:val="20"/>
        </w:rPr>
        <w:t>.</w:t>
      </w:r>
      <w:r w:rsidR="006E6A7A" w:rsidRPr="005C1789">
        <w:rPr>
          <w:rFonts w:ascii="Verdana" w:hAnsi="Verdana"/>
          <w:sz w:val="20"/>
          <w:szCs w:val="20"/>
        </w:rPr>
        <w:t xml:space="preserve"> Esas afectaciones al derecho a la integridad personal suelen presentarse bajo la forma de medidas de incomunicación, de </w:t>
      </w:r>
      <w:r w:rsidR="00A82CF2" w:rsidRPr="005C1789">
        <w:rPr>
          <w:rFonts w:ascii="Verdana" w:hAnsi="Verdana"/>
          <w:sz w:val="20"/>
          <w:szCs w:val="20"/>
        </w:rPr>
        <w:t>aislamiento</w:t>
      </w:r>
      <w:r w:rsidR="006E6A7A" w:rsidRPr="005C1789">
        <w:rPr>
          <w:rFonts w:ascii="Verdana" w:hAnsi="Verdana"/>
          <w:sz w:val="20"/>
          <w:szCs w:val="20"/>
        </w:rPr>
        <w:t xml:space="preserve">, de torturas, o tratos crueles, inhumanos o degradantes. En ese escenario, </w:t>
      </w:r>
      <w:r w:rsidR="003A64E7" w:rsidRPr="005C1789">
        <w:rPr>
          <w:rFonts w:ascii="Verdana" w:hAnsi="Verdana"/>
          <w:sz w:val="20"/>
          <w:szCs w:val="20"/>
        </w:rPr>
        <w:t xml:space="preserve">la </w:t>
      </w:r>
      <w:r w:rsidR="00C65371" w:rsidRPr="005C1789">
        <w:rPr>
          <w:rFonts w:ascii="Verdana" w:hAnsi="Verdana"/>
          <w:sz w:val="20"/>
          <w:szCs w:val="20"/>
        </w:rPr>
        <w:t>persona sometida al arraigo suele e</w:t>
      </w:r>
      <w:r w:rsidR="006E6A7A" w:rsidRPr="005C1789">
        <w:rPr>
          <w:rFonts w:ascii="Verdana" w:hAnsi="Verdana"/>
          <w:sz w:val="20"/>
          <w:szCs w:val="20"/>
        </w:rPr>
        <w:t>nc</w:t>
      </w:r>
      <w:r w:rsidR="00C65371" w:rsidRPr="005C1789">
        <w:rPr>
          <w:rFonts w:ascii="Verdana" w:hAnsi="Verdana"/>
          <w:sz w:val="20"/>
          <w:szCs w:val="20"/>
        </w:rPr>
        <w:t xml:space="preserve">ontrarse </w:t>
      </w:r>
      <w:r w:rsidR="006E6A7A" w:rsidRPr="005C1789">
        <w:rPr>
          <w:rFonts w:ascii="Verdana" w:hAnsi="Verdana"/>
          <w:sz w:val="20"/>
          <w:szCs w:val="20"/>
        </w:rPr>
        <w:t xml:space="preserve">en una situación de completa </w:t>
      </w:r>
      <w:r w:rsidR="00C65371" w:rsidRPr="005C1789">
        <w:rPr>
          <w:rFonts w:ascii="Verdana" w:hAnsi="Verdana"/>
          <w:sz w:val="20"/>
          <w:szCs w:val="20"/>
        </w:rPr>
        <w:t xml:space="preserve">vulnerabilidad e </w:t>
      </w:r>
      <w:r w:rsidR="006E6A7A" w:rsidRPr="005C1789">
        <w:rPr>
          <w:rFonts w:ascii="Verdana" w:hAnsi="Verdana"/>
          <w:sz w:val="20"/>
          <w:szCs w:val="20"/>
        </w:rPr>
        <w:t>indefensión</w:t>
      </w:r>
      <w:r w:rsidR="00C65371" w:rsidRPr="005C1789">
        <w:rPr>
          <w:rFonts w:ascii="Verdana" w:hAnsi="Verdana"/>
          <w:sz w:val="20"/>
          <w:szCs w:val="20"/>
        </w:rPr>
        <w:t xml:space="preserve"> frente a las afectaciones a su integridad física y sicológica.</w:t>
      </w:r>
      <w:r w:rsidR="006E6A7A" w:rsidRPr="005C1789">
        <w:rPr>
          <w:rFonts w:ascii="Verdana" w:hAnsi="Verdana"/>
          <w:sz w:val="20"/>
          <w:szCs w:val="20"/>
        </w:rPr>
        <w:t xml:space="preserve"> Ello es precisamente lo que se produjo en este caso concreto</w:t>
      </w:r>
      <w:r w:rsidR="00C65371" w:rsidRPr="005C1789">
        <w:rPr>
          <w:rFonts w:ascii="Verdana" w:hAnsi="Verdana"/>
          <w:sz w:val="20"/>
          <w:szCs w:val="20"/>
        </w:rPr>
        <w:t>.</w:t>
      </w:r>
      <w:r w:rsidR="005635B6" w:rsidRPr="005C1789">
        <w:rPr>
          <w:rFonts w:ascii="Verdana" w:hAnsi="Verdana"/>
          <w:sz w:val="20"/>
          <w:szCs w:val="20"/>
        </w:rPr>
        <w:t xml:space="preserve"> </w:t>
      </w:r>
    </w:p>
    <w:p w14:paraId="2CD59C23" w14:textId="24AD6761" w:rsidR="009308A8" w:rsidRPr="005C1789" w:rsidRDefault="005635B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De conformidad con lo anterior y el reconocimiento de responsabilidad efectuado por el Estado, la Corte encuentra que en el </w:t>
      </w:r>
      <w:r w:rsidR="001D079E" w:rsidRPr="005C1789">
        <w:rPr>
          <w:rFonts w:ascii="Verdana" w:hAnsi="Verdana"/>
          <w:i/>
          <w:iCs/>
          <w:sz w:val="20"/>
          <w:szCs w:val="20"/>
        </w:rPr>
        <w:t>sub examine</w:t>
      </w:r>
      <w:r w:rsidRPr="005C1789">
        <w:rPr>
          <w:rFonts w:ascii="Verdana" w:hAnsi="Verdana"/>
          <w:sz w:val="20"/>
          <w:szCs w:val="20"/>
        </w:rPr>
        <w:t xml:space="preserve"> se violó también el artículo 5 de la Convención Americana</w:t>
      </w:r>
      <w:r w:rsidR="00BD742D">
        <w:rPr>
          <w:rFonts w:ascii="Verdana" w:hAnsi="Verdana"/>
          <w:sz w:val="20"/>
          <w:szCs w:val="20"/>
        </w:rPr>
        <w:t>, en relación con su obligación de respeto contenida en el artículo 1.1 del mismo instrumento,</w:t>
      </w:r>
      <w:r w:rsidRPr="005C1789">
        <w:rPr>
          <w:rFonts w:ascii="Verdana" w:hAnsi="Verdana"/>
          <w:sz w:val="20"/>
          <w:szCs w:val="20"/>
        </w:rPr>
        <w:t xml:space="preserve"> </w:t>
      </w:r>
      <w:r w:rsidR="00576090">
        <w:rPr>
          <w:rFonts w:ascii="Verdana" w:hAnsi="Verdana"/>
          <w:sz w:val="20"/>
          <w:szCs w:val="20"/>
        </w:rPr>
        <w:t>en</w:t>
      </w:r>
      <w:r w:rsidRPr="005C1789">
        <w:rPr>
          <w:rFonts w:ascii="Verdana" w:hAnsi="Verdana"/>
          <w:sz w:val="20"/>
          <w:szCs w:val="20"/>
        </w:rPr>
        <w:t xml:space="preserve"> perjuicio de Jorge Marcial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Gerardo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y Gustavo Robles López. </w:t>
      </w:r>
    </w:p>
    <w:p w14:paraId="626A3441" w14:textId="7BB0455F" w:rsidR="00C6344C" w:rsidRPr="005C1789" w:rsidRDefault="00C6344C" w:rsidP="00955888">
      <w:pPr>
        <w:pStyle w:val="Ttulo3"/>
        <w:spacing w:before="240" w:after="240"/>
        <w:ind w:left="567"/>
        <w:jc w:val="both"/>
        <w:rPr>
          <w:rFonts w:ascii="Verdana" w:hAnsi="Verdana"/>
          <w:b w:val="0"/>
          <w:snapToGrid w:val="0"/>
          <w:spacing w:val="-2"/>
          <w:sz w:val="20"/>
          <w:szCs w:val="20"/>
          <w:lang w:eastAsia="es-ES"/>
        </w:rPr>
      </w:pPr>
      <w:bookmarkStart w:id="117" w:name="_Toc123347549"/>
      <w:r w:rsidRPr="005C1789">
        <w:rPr>
          <w:rFonts w:ascii="Verdana" w:hAnsi="Verdana"/>
          <w:b w:val="0"/>
          <w:snapToGrid w:val="0"/>
          <w:spacing w:val="-2"/>
          <w:sz w:val="20"/>
          <w:szCs w:val="20"/>
          <w:lang w:eastAsia="es-ES"/>
        </w:rPr>
        <w:lastRenderedPageBreak/>
        <w:t xml:space="preserve">B.2. El derecho a la vida privada de Jorge Marcial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xml:space="preserve">, Gerardo </w:t>
      </w:r>
      <w:proofErr w:type="spellStart"/>
      <w:r w:rsidRPr="005C1789">
        <w:rPr>
          <w:rFonts w:ascii="Verdana" w:hAnsi="Verdana"/>
          <w:b w:val="0"/>
          <w:snapToGrid w:val="0"/>
          <w:spacing w:val="-2"/>
          <w:sz w:val="20"/>
          <w:szCs w:val="20"/>
          <w:lang w:eastAsia="es-ES"/>
        </w:rPr>
        <w:t>Tzompaxtle</w:t>
      </w:r>
      <w:proofErr w:type="spellEnd"/>
      <w:r w:rsidRPr="005C1789">
        <w:rPr>
          <w:rFonts w:ascii="Verdana" w:hAnsi="Verdana"/>
          <w:b w:val="0"/>
          <w:snapToGrid w:val="0"/>
          <w:spacing w:val="-2"/>
          <w:sz w:val="20"/>
          <w:szCs w:val="20"/>
          <w:lang w:eastAsia="es-ES"/>
        </w:rPr>
        <w:t xml:space="preserve"> </w:t>
      </w:r>
      <w:proofErr w:type="spellStart"/>
      <w:r w:rsidRPr="005C1789">
        <w:rPr>
          <w:rFonts w:ascii="Verdana" w:hAnsi="Verdana"/>
          <w:b w:val="0"/>
          <w:snapToGrid w:val="0"/>
          <w:spacing w:val="-2"/>
          <w:sz w:val="20"/>
          <w:szCs w:val="20"/>
          <w:lang w:eastAsia="es-ES"/>
        </w:rPr>
        <w:t>Tecpile</w:t>
      </w:r>
      <w:proofErr w:type="spellEnd"/>
      <w:r w:rsidRPr="005C1789">
        <w:rPr>
          <w:rFonts w:ascii="Verdana" w:hAnsi="Verdana"/>
          <w:b w:val="0"/>
          <w:snapToGrid w:val="0"/>
          <w:spacing w:val="-2"/>
          <w:sz w:val="20"/>
          <w:szCs w:val="20"/>
          <w:lang w:eastAsia="es-ES"/>
        </w:rPr>
        <w:t xml:space="preserve"> y Gustavo Robles López</w:t>
      </w:r>
      <w:bookmarkEnd w:id="117"/>
    </w:p>
    <w:p w14:paraId="360D785E" w14:textId="6B03265B" w:rsidR="00C6344C" w:rsidRPr="005C1789" w:rsidRDefault="00C6344C" w:rsidP="00955888">
      <w:pPr>
        <w:numPr>
          <w:ilvl w:val="0"/>
          <w:numId w:val="43"/>
        </w:numPr>
        <w:spacing w:before="240" w:after="240"/>
        <w:jc w:val="both"/>
        <w:outlineLvl w:val="3"/>
        <w:rPr>
          <w:rFonts w:ascii="Verdana" w:hAnsi="Verdana"/>
          <w:i/>
          <w:sz w:val="20"/>
          <w:szCs w:val="20"/>
        </w:rPr>
      </w:pPr>
      <w:bookmarkStart w:id="118" w:name="_Toc123347550"/>
      <w:r w:rsidRPr="005C1789">
        <w:rPr>
          <w:rFonts w:ascii="Verdana" w:hAnsi="Verdana"/>
          <w:i/>
          <w:sz w:val="20"/>
          <w:szCs w:val="20"/>
        </w:rPr>
        <w:t xml:space="preserve">La requisa del vehículo en el que se encontraban las </w:t>
      </w:r>
      <w:r w:rsidR="00193C37" w:rsidRPr="005C1789">
        <w:rPr>
          <w:rFonts w:ascii="Verdana" w:hAnsi="Verdana"/>
          <w:i/>
          <w:sz w:val="20"/>
          <w:szCs w:val="20"/>
        </w:rPr>
        <w:t>victimas</w:t>
      </w:r>
      <w:bookmarkEnd w:id="118"/>
      <w:r w:rsidRPr="005C1789">
        <w:rPr>
          <w:rFonts w:ascii="Verdana" w:hAnsi="Verdana"/>
          <w:i/>
          <w:sz w:val="20"/>
          <w:szCs w:val="20"/>
        </w:rPr>
        <w:t xml:space="preserve"> </w:t>
      </w:r>
    </w:p>
    <w:p w14:paraId="01ADABA4" w14:textId="132A7D40" w:rsidR="00193C37" w:rsidRPr="005C1789" w:rsidRDefault="000B61D8" w:rsidP="00955888">
      <w:pPr>
        <w:numPr>
          <w:ilvl w:val="0"/>
          <w:numId w:val="2"/>
        </w:numPr>
        <w:spacing w:before="120" w:after="120"/>
        <w:ind w:left="0" w:firstLine="0"/>
        <w:jc w:val="both"/>
        <w:rPr>
          <w:rFonts w:ascii="Verdana" w:hAnsi="Verdana"/>
          <w:i/>
          <w:sz w:val="20"/>
          <w:szCs w:val="20"/>
        </w:rPr>
      </w:pPr>
      <w:r w:rsidRPr="005C1789">
        <w:rPr>
          <w:rFonts w:ascii="Verdana" w:hAnsi="Verdana"/>
          <w:iCs/>
          <w:sz w:val="20"/>
          <w:szCs w:val="20"/>
        </w:rPr>
        <w:t>L</w:t>
      </w:r>
      <w:r w:rsidR="00193C37" w:rsidRPr="005C1789">
        <w:rPr>
          <w:rFonts w:ascii="Verdana" w:hAnsi="Verdana"/>
          <w:iCs/>
          <w:sz w:val="20"/>
          <w:szCs w:val="20"/>
        </w:rPr>
        <w:t xml:space="preserve">a Comisión y los representantes alegaron que la requisa del vehículo en el cual se encontraban las víctimas constituyó una vulneración a su derecho a la vida privada contenido en el artículo 11.2 de la Convención. Sobre ese punto cabe recordar que el artículo 11.2 de la Convención Americana </w:t>
      </w:r>
      <w:r w:rsidRPr="005C1789">
        <w:rPr>
          <w:rFonts w:ascii="Verdana" w:hAnsi="Verdana"/>
          <w:iCs/>
          <w:sz w:val="20"/>
          <w:szCs w:val="20"/>
        </w:rPr>
        <w:t>establece que “[n]</w:t>
      </w:r>
      <w:proofErr w:type="spellStart"/>
      <w:r w:rsidRPr="005C1789">
        <w:rPr>
          <w:rFonts w:ascii="Verdana" w:hAnsi="Verdana"/>
          <w:iCs/>
          <w:sz w:val="20"/>
          <w:szCs w:val="20"/>
        </w:rPr>
        <w:t>adie</w:t>
      </w:r>
      <w:proofErr w:type="spellEnd"/>
      <w:r w:rsidRPr="005C1789">
        <w:rPr>
          <w:rFonts w:ascii="Verdana" w:hAnsi="Verdana"/>
          <w:iCs/>
          <w:sz w:val="20"/>
          <w:szCs w:val="20"/>
        </w:rPr>
        <w:t xml:space="preserve"> puede ser objeto de injerencias arbitrarias o abusivas en su vida privada, en la de su familia, en su domicilio o en su correspondencia, ni de ataques ilegales a su honra o reputación”.</w:t>
      </w:r>
      <w:r w:rsidR="00193C37" w:rsidRPr="005C1789">
        <w:rPr>
          <w:rFonts w:ascii="Verdana" w:hAnsi="Verdana"/>
          <w:iCs/>
          <w:sz w:val="20"/>
          <w:szCs w:val="20"/>
        </w:rPr>
        <w:t xml:space="preserve"> </w:t>
      </w:r>
    </w:p>
    <w:p w14:paraId="072423DF" w14:textId="7A52B82C" w:rsidR="00193C37" w:rsidRPr="005C1789" w:rsidRDefault="00193C37" w:rsidP="00955888">
      <w:pPr>
        <w:numPr>
          <w:ilvl w:val="0"/>
          <w:numId w:val="2"/>
        </w:numPr>
        <w:spacing w:before="120" w:after="120"/>
        <w:ind w:left="0" w:firstLine="0"/>
        <w:jc w:val="both"/>
        <w:rPr>
          <w:rFonts w:ascii="Verdana" w:hAnsi="Verdana"/>
          <w:sz w:val="20"/>
          <w:szCs w:val="20"/>
          <w:lang w:eastAsia="es-ES"/>
        </w:rPr>
      </w:pPr>
      <w:r w:rsidRPr="005C1789">
        <w:rPr>
          <w:rFonts w:ascii="Verdana" w:hAnsi="Verdana" w:cs="Verdana"/>
          <w:sz w:val="20"/>
          <w:szCs w:val="20"/>
        </w:rPr>
        <w:t xml:space="preserve">La Corte </w:t>
      </w:r>
      <w:r w:rsidRPr="005C1789">
        <w:rPr>
          <w:rFonts w:ascii="Verdana" w:eastAsia="ヒラギノ角ゴ Pro W3" w:hAnsi="Verdana"/>
          <w:sz w:val="20"/>
          <w:szCs w:val="20"/>
        </w:rPr>
        <w:t>ha precisado, respecto al artículo 11 de la Convención Americana, que, si bien esa norma se titula “Protección de la Honra y de la Dignidad”, su contenido incluye, entre otros, la protección de la vida privada</w:t>
      </w:r>
      <w:bookmarkStart w:id="119" w:name="_Ref318127753"/>
      <w:r w:rsidRPr="005C1789">
        <w:rPr>
          <w:rFonts w:ascii="Verdana" w:hAnsi="Verdana"/>
          <w:sz w:val="20"/>
          <w:szCs w:val="20"/>
          <w:vertAlign w:val="superscript"/>
        </w:rPr>
        <w:footnoteReference w:id="145"/>
      </w:r>
      <w:bookmarkEnd w:id="119"/>
      <w:r w:rsidRPr="005C1789">
        <w:rPr>
          <w:rFonts w:ascii="Verdana" w:eastAsia="ヒラギノ角ゴ Pro W3" w:hAnsi="Verdana"/>
          <w:sz w:val="20"/>
          <w:szCs w:val="20"/>
        </w:rPr>
        <w:t xml:space="preserve">. </w:t>
      </w:r>
      <w:r w:rsidRPr="005C1789">
        <w:rPr>
          <w:rFonts w:ascii="Verdana" w:hAnsi="Verdana" w:cs="Verdana"/>
          <w:sz w:val="20"/>
          <w:szCs w:val="20"/>
        </w:rPr>
        <w:t xml:space="preserve">En ese sentido, </w:t>
      </w:r>
      <w:r w:rsidR="00843197">
        <w:rPr>
          <w:rFonts w:ascii="Verdana" w:hAnsi="Verdana" w:cs="Verdana"/>
          <w:sz w:val="20"/>
          <w:szCs w:val="20"/>
        </w:rPr>
        <w:t>este Tribunal</w:t>
      </w:r>
      <w:r w:rsidRPr="005C1789">
        <w:rPr>
          <w:rFonts w:ascii="Verdana" w:hAnsi="Verdana" w:cs="Verdana"/>
          <w:sz w:val="20"/>
          <w:szCs w:val="20"/>
        </w:rPr>
        <w:t xml:space="preserve"> ha sostenido que el ámbito de la privacidad personal y </w:t>
      </w:r>
      <w:r w:rsidRPr="005C1789">
        <w:rPr>
          <w:rFonts w:ascii="Verdana" w:eastAsia="Cambria" w:hAnsi="Verdana" w:cs="Cambria"/>
          <w:sz w:val="20"/>
          <w:szCs w:val="20"/>
          <w:lang w:val="es-ES"/>
        </w:rPr>
        <w:t>familiar</w:t>
      </w:r>
      <w:r w:rsidRPr="005C1789">
        <w:rPr>
          <w:rFonts w:ascii="Verdana" w:hAnsi="Verdana" w:cs="Verdana"/>
          <w:sz w:val="20"/>
          <w:szCs w:val="20"/>
        </w:rPr>
        <w:t xml:space="preserve"> protegido por dicho precepto se caracteriza por quedar exento e inmune a las invasiones o agresiones abusivas o arbitrarias por parte de terceros o de la </w:t>
      </w:r>
      <w:proofErr w:type="gramStart"/>
      <w:r w:rsidRPr="005C1789">
        <w:rPr>
          <w:rFonts w:ascii="Verdana" w:hAnsi="Verdana" w:cs="Verdana"/>
          <w:sz w:val="20"/>
          <w:szCs w:val="20"/>
        </w:rPr>
        <w:t>autoridad pública</w:t>
      </w:r>
      <w:proofErr w:type="gramEnd"/>
      <w:r w:rsidRPr="005C1789">
        <w:rPr>
          <w:rFonts w:ascii="Verdana" w:hAnsi="Verdana" w:cs="Verdana"/>
          <w:sz w:val="20"/>
          <w:szCs w:val="20"/>
        </w:rPr>
        <w:t xml:space="preserve">. A la luz de lo anterior, </w:t>
      </w:r>
      <w:r w:rsidR="00843197">
        <w:rPr>
          <w:rFonts w:ascii="Verdana" w:hAnsi="Verdana"/>
          <w:sz w:val="20"/>
          <w:szCs w:val="20"/>
        </w:rPr>
        <w:t>la Corte</w:t>
      </w:r>
      <w:r w:rsidRPr="005C1789">
        <w:rPr>
          <w:rFonts w:ascii="Verdana" w:hAnsi="Verdana"/>
          <w:sz w:val="20"/>
          <w:szCs w:val="20"/>
        </w:rPr>
        <w:t xml:space="preserve"> considera que las pertenencias que una persona lleva consigo en la vía pública, incluso cuando la persona se encuentra dentro de un automóvil, son bienes que, al igual que aquellos que se encuentran dentro de su domicilio, están incluidos dentro del ámbito de protección del derecho a la vida privada y la intimidad. Por esta razón, no pueden ser objeto de interferencias arbitrarias por parte de terceros o las autoridades</w:t>
      </w:r>
      <w:r w:rsidRPr="005C1789">
        <w:rPr>
          <w:rFonts w:ascii="Verdana" w:hAnsi="Verdana"/>
          <w:sz w:val="20"/>
          <w:szCs w:val="20"/>
          <w:vertAlign w:val="superscript"/>
        </w:rPr>
        <w:footnoteReference w:id="146"/>
      </w:r>
      <w:r w:rsidRPr="005C1789">
        <w:rPr>
          <w:rFonts w:ascii="Verdana" w:eastAsia="ヒラギノ角ゴ Pro W3" w:hAnsi="Verdana"/>
          <w:sz w:val="20"/>
          <w:szCs w:val="20"/>
        </w:rPr>
        <w:t>.</w:t>
      </w:r>
      <w:r w:rsidR="00FE4D0D" w:rsidRPr="005C1789">
        <w:rPr>
          <w:rFonts w:ascii="Verdana" w:eastAsia="Cambria" w:hAnsi="Verdana" w:cs="Cambria"/>
          <w:sz w:val="20"/>
          <w:szCs w:val="20"/>
          <w:lang w:val="es-ES"/>
        </w:rPr>
        <w:t xml:space="preserve"> De mismo modo, el Tribunal Europeo de Derechos Humanos indicó con respecto a las requisas y su relación con el derecho a la vida privada, que “el uso de poderes coercitivos otorgados por la legislación para exigir a un individuo que se someta a requisa detallada de su persona, su ropa o sus implementos personales llega a ser claramente una interferencia en el derecho a respeto de la vida privada”</w:t>
      </w:r>
      <w:r w:rsidR="00FE4D0D" w:rsidRPr="005C1789">
        <w:rPr>
          <w:rFonts w:ascii="Verdana" w:hAnsi="Verdana"/>
          <w:sz w:val="20"/>
          <w:szCs w:val="20"/>
          <w:vertAlign w:val="superscript"/>
        </w:rPr>
        <w:footnoteReference w:id="147"/>
      </w:r>
      <w:r w:rsidR="00712EBB">
        <w:rPr>
          <w:rFonts w:ascii="Verdana" w:eastAsia="Cambria" w:hAnsi="Verdana" w:cs="Cambria"/>
          <w:sz w:val="20"/>
          <w:szCs w:val="20"/>
          <w:lang w:val="es-ES"/>
        </w:rPr>
        <w:t>.</w:t>
      </w:r>
    </w:p>
    <w:p w14:paraId="49066DBB" w14:textId="1D498AB0" w:rsidR="000B61D8" w:rsidRPr="005C1789" w:rsidRDefault="000B61D8" w:rsidP="00955888">
      <w:pPr>
        <w:numPr>
          <w:ilvl w:val="0"/>
          <w:numId w:val="2"/>
        </w:numPr>
        <w:spacing w:before="120" w:after="120"/>
        <w:ind w:left="0" w:firstLine="0"/>
        <w:jc w:val="both"/>
        <w:rPr>
          <w:rFonts w:ascii="Verdana" w:hAnsi="Verdana"/>
          <w:sz w:val="20"/>
          <w:szCs w:val="20"/>
          <w:lang w:eastAsia="es-ES"/>
        </w:rPr>
      </w:pPr>
      <w:r w:rsidRPr="005C1789">
        <w:rPr>
          <w:rFonts w:ascii="Verdana" w:eastAsia="ヒラギノ角ゴ Pro W3" w:hAnsi="Verdana"/>
          <w:sz w:val="20"/>
          <w:szCs w:val="20"/>
        </w:rPr>
        <w:t>En el presente caso, si bien el Estado reconoció su responsabilidad por los hechos de la requisa del vehículo en el que se encontraban las víctimas (</w:t>
      </w:r>
      <w:r w:rsidRPr="005C1789">
        <w:rPr>
          <w:rFonts w:ascii="Verdana" w:eastAsia="ヒラギノ角ゴ Pro W3" w:hAnsi="Verdana"/>
          <w:i/>
          <w:iCs/>
          <w:sz w:val="20"/>
          <w:szCs w:val="20"/>
        </w:rPr>
        <w:t>supra</w:t>
      </w:r>
      <w:r w:rsidRPr="005C1789">
        <w:rPr>
          <w:rFonts w:ascii="Verdana" w:eastAsia="ヒラギノ角ゴ Pro W3" w:hAnsi="Verdana"/>
          <w:sz w:val="20"/>
          <w:szCs w:val="20"/>
        </w:rPr>
        <w:t xml:space="preserve"> párr. </w:t>
      </w:r>
      <w:r w:rsidR="000F1A14" w:rsidRPr="005C1789">
        <w:rPr>
          <w:rFonts w:ascii="Verdana" w:eastAsia="ヒラギノ角ゴ Pro W3" w:hAnsi="Verdana"/>
          <w:sz w:val="20"/>
          <w:szCs w:val="20"/>
        </w:rPr>
        <w:t>14</w:t>
      </w:r>
      <w:r w:rsidRPr="005C1789">
        <w:rPr>
          <w:rFonts w:ascii="Verdana" w:eastAsia="ヒラギノ角ゴ Pro W3" w:hAnsi="Verdana"/>
          <w:sz w:val="20"/>
          <w:szCs w:val="20"/>
        </w:rPr>
        <w:t xml:space="preserve">), en una etapa procesal anterior, había </w:t>
      </w:r>
      <w:r w:rsidR="00727FF6" w:rsidRPr="005C1789">
        <w:rPr>
          <w:rFonts w:ascii="Verdana" w:eastAsia="ヒラギノ角ゴ Pro W3" w:hAnsi="Verdana"/>
          <w:sz w:val="20"/>
          <w:szCs w:val="20"/>
        </w:rPr>
        <w:t xml:space="preserve">argüido que </w:t>
      </w:r>
      <w:r w:rsidR="00727FF6" w:rsidRPr="005C1789">
        <w:rPr>
          <w:rFonts w:ascii="Verdana" w:hAnsi="Verdana"/>
          <w:sz w:val="20"/>
          <w:szCs w:val="20"/>
          <w:lang w:eastAsia="es-ES"/>
        </w:rPr>
        <w:t xml:space="preserve">la revisión del vehículo se llevó a cabo con el consentimiento del conductor Gerardo </w:t>
      </w:r>
      <w:proofErr w:type="spellStart"/>
      <w:r w:rsidR="00727FF6" w:rsidRPr="005C1789">
        <w:rPr>
          <w:rFonts w:ascii="Verdana" w:hAnsi="Verdana"/>
          <w:sz w:val="20"/>
          <w:szCs w:val="20"/>
          <w:lang w:eastAsia="es-ES"/>
        </w:rPr>
        <w:t>Tzompaxtle</w:t>
      </w:r>
      <w:proofErr w:type="spellEnd"/>
      <w:r w:rsidR="00727FF6" w:rsidRPr="005C1789">
        <w:rPr>
          <w:rFonts w:ascii="Verdana" w:hAnsi="Verdana"/>
          <w:sz w:val="20"/>
          <w:szCs w:val="20"/>
          <w:lang w:eastAsia="es-ES"/>
        </w:rPr>
        <w:t xml:space="preserve"> </w:t>
      </w:r>
      <w:proofErr w:type="spellStart"/>
      <w:r w:rsidR="00727FF6" w:rsidRPr="005C1789">
        <w:rPr>
          <w:rFonts w:ascii="Verdana" w:hAnsi="Verdana"/>
          <w:sz w:val="20"/>
          <w:szCs w:val="20"/>
          <w:lang w:eastAsia="es-ES"/>
        </w:rPr>
        <w:t>Tecpile</w:t>
      </w:r>
      <w:proofErr w:type="spellEnd"/>
      <w:r w:rsidR="00727FF6" w:rsidRPr="005C1789">
        <w:rPr>
          <w:rFonts w:ascii="Verdana" w:hAnsi="Verdana"/>
          <w:sz w:val="20"/>
          <w:szCs w:val="20"/>
          <w:lang w:eastAsia="es-ES"/>
        </w:rPr>
        <w:t xml:space="preserve">, tal y como quedó asentado en el parte informativo de servicios No. 43/2006, del 12 de enero de 2006, emitido por los suboficiales presente en la escena, por lo que no se puede referir a una "requisa" o "cateo". Agregó que los miembros de la Policía Federal Preventiva solicitaron la documentación correspondiente al conductor Gerardo </w:t>
      </w:r>
      <w:proofErr w:type="spellStart"/>
      <w:r w:rsidR="00727FF6" w:rsidRPr="005C1789">
        <w:rPr>
          <w:rFonts w:ascii="Verdana" w:hAnsi="Verdana"/>
          <w:sz w:val="20"/>
          <w:szCs w:val="20"/>
          <w:lang w:eastAsia="es-ES"/>
        </w:rPr>
        <w:t>Tzompaxtle</w:t>
      </w:r>
      <w:proofErr w:type="spellEnd"/>
      <w:r w:rsidR="00727FF6" w:rsidRPr="005C1789">
        <w:rPr>
          <w:rFonts w:ascii="Verdana" w:hAnsi="Verdana"/>
          <w:sz w:val="20"/>
          <w:szCs w:val="20"/>
          <w:lang w:eastAsia="es-ES"/>
        </w:rPr>
        <w:t xml:space="preserve"> </w:t>
      </w:r>
      <w:proofErr w:type="spellStart"/>
      <w:r w:rsidR="00727FF6" w:rsidRPr="005C1789">
        <w:rPr>
          <w:rFonts w:ascii="Verdana" w:hAnsi="Verdana"/>
          <w:sz w:val="20"/>
          <w:szCs w:val="20"/>
          <w:lang w:eastAsia="es-ES"/>
        </w:rPr>
        <w:t>Tecpile</w:t>
      </w:r>
      <w:proofErr w:type="spellEnd"/>
      <w:r w:rsidR="00727FF6" w:rsidRPr="005C1789">
        <w:rPr>
          <w:rFonts w:ascii="Verdana" w:hAnsi="Verdana"/>
          <w:sz w:val="20"/>
          <w:szCs w:val="20"/>
          <w:lang w:eastAsia="es-ES"/>
        </w:rPr>
        <w:t xml:space="preserve">, quien no portaba licencia de conducir como lo manifestó en su declaración ministerial del 14 de enero de 2006. Aunado a lo anterior, las versiones distintas respecto del destino al cual se dirigían, </w:t>
      </w:r>
      <w:r w:rsidR="00F055D3">
        <w:rPr>
          <w:rFonts w:ascii="Verdana" w:hAnsi="Verdana"/>
          <w:sz w:val="20"/>
          <w:szCs w:val="20"/>
          <w:lang w:eastAsia="es-ES"/>
        </w:rPr>
        <w:t>y</w:t>
      </w:r>
      <w:r w:rsidR="00727FF6" w:rsidRPr="005C1789">
        <w:rPr>
          <w:rFonts w:ascii="Verdana" w:hAnsi="Verdana"/>
          <w:sz w:val="20"/>
          <w:szCs w:val="20"/>
          <w:lang w:eastAsia="es-ES"/>
        </w:rPr>
        <w:t xml:space="preserve"> las conductas evasivas de dos de los pasajeros, fue considerado como comportamiento razonable por los miembros de la Policía Federal Preventiva para solicitar a los pasajeros la revisión del vehículo.</w:t>
      </w:r>
    </w:p>
    <w:p w14:paraId="36DE7734" w14:textId="1BB96AFD" w:rsidR="005B43FA" w:rsidRPr="005C1789" w:rsidRDefault="00727FF6" w:rsidP="00955888">
      <w:pPr>
        <w:numPr>
          <w:ilvl w:val="0"/>
          <w:numId w:val="2"/>
        </w:numPr>
        <w:spacing w:before="120" w:after="120"/>
        <w:ind w:left="0" w:firstLine="0"/>
        <w:jc w:val="both"/>
        <w:rPr>
          <w:rFonts w:ascii="Verdana" w:hAnsi="Verdana"/>
          <w:sz w:val="20"/>
          <w:szCs w:val="20"/>
          <w:lang w:eastAsia="es-ES"/>
        </w:rPr>
      </w:pPr>
      <w:r w:rsidRPr="005C1789">
        <w:rPr>
          <w:rFonts w:ascii="Verdana" w:hAnsi="Verdana"/>
          <w:sz w:val="20"/>
          <w:szCs w:val="20"/>
          <w:lang w:eastAsia="es-ES"/>
        </w:rPr>
        <w:t>Para este Tribunal resulta importante</w:t>
      </w:r>
      <w:r w:rsidR="00EE52A4" w:rsidRPr="005C1789">
        <w:rPr>
          <w:rFonts w:ascii="Verdana" w:hAnsi="Verdana"/>
          <w:sz w:val="20"/>
          <w:szCs w:val="20"/>
          <w:lang w:eastAsia="es-ES"/>
        </w:rPr>
        <w:t xml:space="preserve">, tal como se hizo en el caso </w:t>
      </w:r>
      <w:r w:rsidR="00EE52A4" w:rsidRPr="005C1789">
        <w:rPr>
          <w:rFonts w:ascii="Verdana" w:eastAsia="Cambria" w:hAnsi="Verdana" w:cs="Cambria"/>
          <w:i/>
          <w:sz w:val="20"/>
          <w:szCs w:val="20"/>
          <w:lang w:val="es-ES"/>
        </w:rPr>
        <w:t xml:space="preserve">Fernández Prieto y </w:t>
      </w:r>
      <w:proofErr w:type="spellStart"/>
      <w:r w:rsidR="00EE52A4" w:rsidRPr="005C1789">
        <w:rPr>
          <w:rFonts w:ascii="Verdana" w:eastAsia="Cambria" w:hAnsi="Verdana" w:cs="Cambria"/>
          <w:i/>
          <w:sz w:val="20"/>
          <w:szCs w:val="20"/>
          <w:lang w:val="es-ES"/>
        </w:rPr>
        <w:t>Tumbeiro</w:t>
      </w:r>
      <w:proofErr w:type="spellEnd"/>
      <w:r w:rsidR="00EE52A4" w:rsidRPr="005C1789">
        <w:rPr>
          <w:rFonts w:ascii="Verdana" w:eastAsia="Cambria" w:hAnsi="Verdana" w:cs="Cambria"/>
          <w:i/>
          <w:sz w:val="20"/>
          <w:szCs w:val="20"/>
          <w:lang w:val="es-ES"/>
        </w:rPr>
        <w:t xml:space="preserve"> Vs. Argentina</w:t>
      </w:r>
      <w:r w:rsidR="00EE52A4" w:rsidRPr="005C1789">
        <w:rPr>
          <w:rFonts w:ascii="Verdana" w:hAnsi="Verdana"/>
          <w:sz w:val="20"/>
          <w:szCs w:val="20"/>
          <w:vertAlign w:val="superscript"/>
        </w:rPr>
        <w:footnoteReference w:id="148"/>
      </w:r>
      <w:r w:rsidR="00EE52A4" w:rsidRPr="005C1789">
        <w:rPr>
          <w:rFonts w:ascii="Verdana" w:eastAsia="Cambria" w:hAnsi="Verdana" w:cs="Cambria"/>
          <w:sz w:val="20"/>
          <w:szCs w:val="20"/>
          <w:lang w:val="es-ES"/>
        </w:rPr>
        <w:t>,</w:t>
      </w:r>
      <w:r w:rsidR="00EE52A4" w:rsidRPr="005C1789">
        <w:rPr>
          <w:rFonts w:ascii="Verdana" w:eastAsia="Cambria" w:hAnsi="Verdana" w:cs="Cambria"/>
          <w:i/>
          <w:sz w:val="20"/>
          <w:szCs w:val="20"/>
          <w:lang w:val="es-ES"/>
        </w:rPr>
        <w:t xml:space="preserve"> </w:t>
      </w:r>
      <w:r w:rsidRPr="005C1789">
        <w:rPr>
          <w:rFonts w:ascii="Verdana" w:hAnsi="Verdana"/>
          <w:sz w:val="20"/>
          <w:szCs w:val="20"/>
          <w:lang w:eastAsia="es-ES"/>
        </w:rPr>
        <w:t xml:space="preserve">determinar si </w:t>
      </w:r>
      <w:r w:rsidR="00EE52A4" w:rsidRPr="005C1789">
        <w:rPr>
          <w:rFonts w:ascii="Verdana" w:hAnsi="Verdana"/>
          <w:sz w:val="20"/>
          <w:szCs w:val="20"/>
          <w:lang w:eastAsia="es-ES"/>
        </w:rPr>
        <w:t xml:space="preserve">las autoridades internas contaban con la potestad, conferida por una </w:t>
      </w:r>
      <w:r w:rsidR="0069060B" w:rsidRPr="005C1789">
        <w:rPr>
          <w:rFonts w:ascii="Verdana" w:hAnsi="Verdana"/>
          <w:sz w:val="20"/>
          <w:szCs w:val="20"/>
          <w:lang w:eastAsia="es-ES"/>
        </w:rPr>
        <w:t>L</w:t>
      </w:r>
      <w:r w:rsidR="00EE52A4" w:rsidRPr="005C1789">
        <w:rPr>
          <w:rFonts w:ascii="Verdana" w:hAnsi="Verdana"/>
          <w:sz w:val="20"/>
          <w:szCs w:val="20"/>
          <w:lang w:eastAsia="es-ES"/>
        </w:rPr>
        <w:t xml:space="preserve">ey o un </w:t>
      </w:r>
      <w:r w:rsidR="0069060B" w:rsidRPr="005C1789">
        <w:rPr>
          <w:rFonts w:ascii="Verdana" w:hAnsi="Verdana"/>
          <w:sz w:val="20"/>
          <w:szCs w:val="20"/>
          <w:lang w:eastAsia="es-ES"/>
        </w:rPr>
        <w:t>Reglamento,</w:t>
      </w:r>
      <w:r w:rsidR="00EE52A4" w:rsidRPr="005C1789">
        <w:rPr>
          <w:rFonts w:ascii="Verdana" w:hAnsi="Verdana"/>
          <w:sz w:val="20"/>
          <w:szCs w:val="20"/>
          <w:lang w:eastAsia="es-ES"/>
        </w:rPr>
        <w:t xml:space="preserve"> </w:t>
      </w:r>
      <w:r w:rsidR="0069060B" w:rsidRPr="005C1789">
        <w:rPr>
          <w:rFonts w:ascii="Verdana" w:hAnsi="Verdana"/>
          <w:sz w:val="20"/>
          <w:szCs w:val="20"/>
          <w:lang w:eastAsia="es-ES"/>
        </w:rPr>
        <w:t>para</w:t>
      </w:r>
      <w:r w:rsidR="00EE52A4" w:rsidRPr="005C1789">
        <w:rPr>
          <w:rFonts w:ascii="Verdana" w:hAnsi="Verdana"/>
          <w:sz w:val="20"/>
          <w:szCs w:val="20"/>
          <w:lang w:eastAsia="es-ES"/>
        </w:rPr>
        <w:t xml:space="preserve"> efectuar revisiones o requisas a los vehículos</w:t>
      </w:r>
      <w:r w:rsidR="0069060B" w:rsidRPr="005C1789">
        <w:rPr>
          <w:rFonts w:ascii="Verdana" w:hAnsi="Verdana"/>
          <w:sz w:val="20"/>
          <w:szCs w:val="20"/>
          <w:lang w:eastAsia="es-ES"/>
        </w:rPr>
        <w:t>. Con respecto a este punto la Corte advierte que el Estado</w:t>
      </w:r>
      <w:r w:rsidR="00400E1F" w:rsidRPr="005C1789">
        <w:rPr>
          <w:rFonts w:ascii="Verdana" w:hAnsi="Verdana"/>
          <w:sz w:val="20"/>
          <w:szCs w:val="20"/>
          <w:lang w:eastAsia="es-ES"/>
        </w:rPr>
        <w:t xml:space="preserve"> no refirió ninguna normatividad que faculte a las autoridades </w:t>
      </w:r>
      <w:r w:rsidR="008D73D4">
        <w:rPr>
          <w:rFonts w:ascii="Verdana" w:hAnsi="Verdana"/>
          <w:sz w:val="20"/>
          <w:szCs w:val="20"/>
          <w:lang w:eastAsia="es-ES"/>
        </w:rPr>
        <w:t xml:space="preserve">a </w:t>
      </w:r>
      <w:r w:rsidR="00400E1F" w:rsidRPr="005C1789">
        <w:rPr>
          <w:rFonts w:ascii="Verdana" w:hAnsi="Verdana"/>
          <w:sz w:val="20"/>
          <w:szCs w:val="20"/>
          <w:lang w:eastAsia="es-ES"/>
        </w:rPr>
        <w:t>efectuar requisas a vehículos, únicamente hizo alusión a la autorización del conductor del vehículo y al “cumplimiento de funciones”.</w:t>
      </w:r>
      <w:r w:rsidR="00EE52A4" w:rsidRPr="005C1789">
        <w:rPr>
          <w:rFonts w:ascii="Verdana" w:hAnsi="Verdana"/>
          <w:sz w:val="20"/>
          <w:szCs w:val="20"/>
          <w:lang w:eastAsia="es-ES"/>
        </w:rPr>
        <w:t xml:space="preserve"> </w:t>
      </w:r>
      <w:r w:rsidR="00FE4D0D" w:rsidRPr="005C1789">
        <w:rPr>
          <w:rFonts w:ascii="Verdana" w:hAnsi="Verdana"/>
          <w:sz w:val="20"/>
          <w:szCs w:val="20"/>
          <w:lang w:eastAsia="es-ES"/>
        </w:rPr>
        <w:t xml:space="preserve">Por otra parte, con respecto a lo que constituye </w:t>
      </w:r>
      <w:r w:rsidR="00FE4D0D" w:rsidRPr="005C1789">
        <w:rPr>
          <w:rFonts w:ascii="Verdana" w:eastAsia="Cambria" w:hAnsi="Verdana" w:cs="Cambria"/>
          <w:sz w:val="20"/>
          <w:szCs w:val="20"/>
          <w:lang w:val="es-ES"/>
        </w:rPr>
        <w:t>“la sospecha razonable” de que un delito ha sido cometido</w:t>
      </w:r>
      <w:r w:rsidR="00495608" w:rsidRPr="005C1789">
        <w:rPr>
          <w:rFonts w:ascii="Verdana" w:eastAsia="Cambria" w:hAnsi="Verdana" w:cs="Cambria"/>
          <w:sz w:val="20"/>
          <w:szCs w:val="20"/>
          <w:lang w:val="es-ES"/>
        </w:rPr>
        <w:t>,</w:t>
      </w:r>
      <w:r w:rsidR="00FE4D0D" w:rsidRPr="005C1789">
        <w:rPr>
          <w:rFonts w:ascii="Verdana" w:eastAsia="Cambria" w:hAnsi="Verdana" w:cs="Cambria"/>
          <w:sz w:val="20"/>
          <w:szCs w:val="20"/>
          <w:lang w:val="es-ES"/>
        </w:rPr>
        <w:t xml:space="preserve"> corresponde mencionar que el Tribunal Europeo de Derechos </w:t>
      </w:r>
      <w:r w:rsidR="00FE4D0D" w:rsidRPr="005C1789">
        <w:rPr>
          <w:rFonts w:ascii="Verdana" w:eastAsia="Cambria" w:hAnsi="Verdana" w:cs="Cambria"/>
          <w:sz w:val="20"/>
          <w:szCs w:val="20"/>
          <w:lang w:val="es-ES"/>
        </w:rPr>
        <w:lastRenderedPageBreak/>
        <w:t>Humanos ha indicado que ello “presupone la existencia de hechos o información que podría satisfacer a un observador razonable en cuanto a que la persona involucrada habría cometido una ofensa”</w:t>
      </w:r>
      <w:r w:rsidR="00FE4D0D" w:rsidRPr="005C1789">
        <w:rPr>
          <w:rFonts w:ascii="Verdana" w:hAnsi="Verdana"/>
          <w:sz w:val="20"/>
          <w:szCs w:val="20"/>
          <w:vertAlign w:val="superscript"/>
        </w:rPr>
        <w:footnoteReference w:id="149"/>
      </w:r>
      <w:r w:rsidR="00FE4D0D" w:rsidRPr="005C1789">
        <w:rPr>
          <w:rFonts w:ascii="Verdana" w:eastAsia="Cambria" w:hAnsi="Verdana" w:cs="Cambria"/>
          <w:sz w:val="20"/>
          <w:szCs w:val="20"/>
          <w:lang w:val="es-ES"/>
        </w:rPr>
        <w:t xml:space="preserve">. </w:t>
      </w:r>
    </w:p>
    <w:p w14:paraId="001348FC" w14:textId="2B1186ED" w:rsidR="000C6D1E" w:rsidRPr="005C1789" w:rsidRDefault="000C6D1E" w:rsidP="00955888">
      <w:pPr>
        <w:numPr>
          <w:ilvl w:val="0"/>
          <w:numId w:val="2"/>
        </w:numPr>
        <w:spacing w:before="120" w:after="120"/>
        <w:ind w:left="0" w:firstLine="0"/>
        <w:jc w:val="both"/>
        <w:rPr>
          <w:rFonts w:ascii="Verdana" w:hAnsi="Verdana"/>
          <w:sz w:val="20"/>
          <w:szCs w:val="20"/>
          <w:lang w:eastAsia="es-ES"/>
        </w:rPr>
      </w:pPr>
      <w:r w:rsidRPr="005C1789">
        <w:rPr>
          <w:rFonts w:ascii="Verdana" w:eastAsia="Cambria" w:hAnsi="Verdana" w:cs="Cambria"/>
          <w:sz w:val="20"/>
          <w:szCs w:val="20"/>
          <w:lang w:val="es-ES_tradnl"/>
        </w:rPr>
        <w:t xml:space="preserve">Por los motivos expuestos, la requisa del vehículo en el que se encontraban las víctimas vulneró el derecho a la vida privada </w:t>
      </w:r>
      <w:r w:rsidR="003670CE" w:rsidRPr="005C1789">
        <w:rPr>
          <w:rFonts w:ascii="Verdana" w:eastAsia="Cambria" w:hAnsi="Verdana" w:cs="Cambria"/>
          <w:sz w:val="20"/>
          <w:szCs w:val="20"/>
          <w:lang w:val="es-ES_tradnl"/>
        </w:rPr>
        <w:t xml:space="preserve">reconocido en el artículo 11.2 de la Convención Americana, en </w:t>
      </w:r>
      <w:r w:rsidR="00B44FA1">
        <w:rPr>
          <w:rFonts w:ascii="Verdana" w:eastAsia="Cambria" w:hAnsi="Verdana" w:cs="Cambria"/>
          <w:sz w:val="20"/>
          <w:szCs w:val="20"/>
          <w:lang w:val="es-ES_tradnl"/>
        </w:rPr>
        <w:t xml:space="preserve">relación con la obligación de respeto a cargo del Estado contenida </w:t>
      </w:r>
      <w:r w:rsidR="00F20B40">
        <w:rPr>
          <w:rFonts w:ascii="Verdana" w:eastAsia="Cambria" w:hAnsi="Verdana" w:cs="Cambria"/>
          <w:sz w:val="20"/>
          <w:szCs w:val="20"/>
          <w:lang w:val="es-ES_tradnl"/>
        </w:rPr>
        <w:t>en el artículo 1.1 del mismo instrumento</w:t>
      </w:r>
      <w:r w:rsidR="003670CE" w:rsidRPr="005C1789">
        <w:rPr>
          <w:rFonts w:ascii="Verdana" w:eastAsia="Cambria" w:hAnsi="Verdana" w:cs="Cambria"/>
          <w:sz w:val="20"/>
          <w:szCs w:val="20"/>
          <w:lang w:val="es-ES_tradnl"/>
        </w:rPr>
        <w:t xml:space="preserve">, en perjuicio </w:t>
      </w:r>
      <w:r w:rsidRPr="005C1789">
        <w:rPr>
          <w:rFonts w:ascii="Verdana" w:eastAsia="Cambria" w:hAnsi="Verdana" w:cs="Cambria"/>
          <w:sz w:val="20"/>
          <w:szCs w:val="20"/>
          <w:lang w:val="es-ES_tradnl"/>
        </w:rPr>
        <w:t xml:space="preserve">de Jorge Marcial </w:t>
      </w:r>
      <w:proofErr w:type="spellStart"/>
      <w:r w:rsidRPr="005C1789">
        <w:rPr>
          <w:rFonts w:ascii="Verdana" w:eastAsia="Cambria" w:hAnsi="Verdana" w:cs="Cambria"/>
          <w:sz w:val="20"/>
          <w:szCs w:val="20"/>
          <w:lang w:val="es-ES_tradnl"/>
        </w:rPr>
        <w:t>Tzompaxtle</w:t>
      </w:r>
      <w:proofErr w:type="spellEnd"/>
      <w:r w:rsidRPr="005C1789">
        <w:rPr>
          <w:rFonts w:ascii="Verdana" w:eastAsia="Cambria" w:hAnsi="Verdana" w:cs="Cambria"/>
          <w:sz w:val="20"/>
          <w:szCs w:val="20"/>
          <w:lang w:val="es-ES_tradnl"/>
        </w:rPr>
        <w:t xml:space="preserve"> </w:t>
      </w:r>
      <w:proofErr w:type="spellStart"/>
      <w:r w:rsidRPr="005C1789">
        <w:rPr>
          <w:rFonts w:ascii="Verdana" w:eastAsia="Cambria" w:hAnsi="Verdana" w:cs="Cambria"/>
          <w:sz w:val="20"/>
          <w:szCs w:val="20"/>
          <w:lang w:val="es-ES_tradnl"/>
        </w:rPr>
        <w:t>Tecpile</w:t>
      </w:r>
      <w:proofErr w:type="spellEnd"/>
      <w:r w:rsidRPr="005C1789">
        <w:rPr>
          <w:rFonts w:ascii="Verdana" w:eastAsia="Cambria" w:hAnsi="Verdana" w:cs="Cambria"/>
          <w:sz w:val="20"/>
          <w:szCs w:val="20"/>
          <w:lang w:val="es-ES_tradnl"/>
        </w:rPr>
        <w:t xml:space="preserve">, Gerardo </w:t>
      </w:r>
      <w:proofErr w:type="spellStart"/>
      <w:r w:rsidRPr="005C1789">
        <w:rPr>
          <w:rFonts w:ascii="Verdana" w:eastAsia="Cambria" w:hAnsi="Verdana" w:cs="Cambria"/>
          <w:sz w:val="20"/>
          <w:szCs w:val="20"/>
          <w:lang w:val="es-ES_tradnl"/>
        </w:rPr>
        <w:t>Tzompaxtle</w:t>
      </w:r>
      <w:proofErr w:type="spellEnd"/>
      <w:r w:rsidRPr="005C1789">
        <w:rPr>
          <w:rFonts w:ascii="Verdana" w:eastAsia="Cambria" w:hAnsi="Verdana" w:cs="Cambria"/>
          <w:sz w:val="20"/>
          <w:szCs w:val="20"/>
          <w:lang w:val="es-ES_tradnl"/>
        </w:rPr>
        <w:t xml:space="preserve"> </w:t>
      </w:r>
      <w:proofErr w:type="spellStart"/>
      <w:r w:rsidRPr="005C1789">
        <w:rPr>
          <w:rFonts w:ascii="Verdana" w:eastAsia="Cambria" w:hAnsi="Verdana" w:cs="Cambria"/>
          <w:sz w:val="20"/>
          <w:szCs w:val="20"/>
          <w:lang w:val="es-ES_tradnl"/>
        </w:rPr>
        <w:t>Tecpile</w:t>
      </w:r>
      <w:proofErr w:type="spellEnd"/>
      <w:r w:rsidRPr="005C1789">
        <w:rPr>
          <w:rFonts w:ascii="Verdana" w:eastAsia="Cambria" w:hAnsi="Verdana" w:cs="Cambria"/>
          <w:sz w:val="20"/>
          <w:szCs w:val="20"/>
          <w:lang w:val="es-ES_tradnl"/>
        </w:rPr>
        <w:t xml:space="preserve"> y Gustavo Robles López</w:t>
      </w:r>
      <w:r w:rsidR="003670CE" w:rsidRPr="005C1789">
        <w:rPr>
          <w:rFonts w:ascii="Verdana" w:eastAsia="Cambria" w:hAnsi="Verdana" w:cs="Cambria"/>
          <w:sz w:val="20"/>
          <w:szCs w:val="20"/>
          <w:lang w:val="es-ES_tradnl"/>
        </w:rPr>
        <w:t>.</w:t>
      </w:r>
    </w:p>
    <w:p w14:paraId="74B33296" w14:textId="4C166BD4" w:rsidR="00C6344C" w:rsidRPr="005C1789" w:rsidRDefault="00C816A1" w:rsidP="00955888">
      <w:pPr>
        <w:numPr>
          <w:ilvl w:val="0"/>
          <w:numId w:val="43"/>
        </w:numPr>
        <w:spacing w:before="240" w:after="240"/>
        <w:jc w:val="both"/>
        <w:outlineLvl w:val="3"/>
        <w:rPr>
          <w:rFonts w:ascii="Verdana" w:hAnsi="Verdana"/>
          <w:i/>
          <w:sz w:val="20"/>
          <w:szCs w:val="20"/>
        </w:rPr>
      </w:pPr>
      <w:bookmarkStart w:id="120" w:name="_Toc123347551"/>
      <w:r w:rsidRPr="005C1789">
        <w:rPr>
          <w:rFonts w:ascii="Verdana" w:hAnsi="Verdana"/>
          <w:i/>
          <w:sz w:val="20"/>
          <w:szCs w:val="20"/>
        </w:rPr>
        <w:t xml:space="preserve">Los </w:t>
      </w:r>
      <w:bookmarkStart w:id="121" w:name="_Hlk110942426"/>
      <w:r w:rsidRPr="005C1789">
        <w:rPr>
          <w:rFonts w:ascii="Verdana" w:hAnsi="Verdana"/>
          <w:i/>
          <w:sz w:val="20"/>
          <w:szCs w:val="20"/>
        </w:rPr>
        <w:t xml:space="preserve">cateos llevados a cabo en la casa de la madre de los señores </w:t>
      </w:r>
      <w:proofErr w:type="spellStart"/>
      <w:r w:rsidRPr="005C1789">
        <w:rPr>
          <w:rFonts w:ascii="Verdana" w:hAnsi="Verdana"/>
          <w:i/>
          <w:sz w:val="20"/>
          <w:szCs w:val="20"/>
        </w:rPr>
        <w:t>Tzompaxtle</w:t>
      </w:r>
      <w:proofErr w:type="spellEnd"/>
      <w:r w:rsidRPr="005C1789">
        <w:rPr>
          <w:rFonts w:ascii="Verdana" w:hAnsi="Verdana"/>
          <w:i/>
          <w:sz w:val="20"/>
          <w:szCs w:val="20"/>
        </w:rPr>
        <w:t xml:space="preserve"> </w:t>
      </w:r>
      <w:proofErr w:type="spellStart"/>
      <w:r w:rsidRPr="005C1789">
        <w:rPr>
          <w:rFonts w:ascii="Verdana" w:hAnsi="Verdana"/>
          <w:i/>
          <w:sz w:val="20"/>
          <w:szCs w:val="20"/>
        </w:rPr>
        <w:t>Tecpile</w:t>
      </w:r>
      <w:proofErr w:type="spellEnd"/>
      <w:r w:rsidRPr="005C1789">
        <w:rPr>
          <w:rFonts w:ascii="Verdana" w:hAnsi="Verdana"/>
          <w:i/>
          <w:sz w:val="20"/>
          <w:szCs w:val="20"/>
        </w:rPr>
        <w:t>, así como en una tienda que era el negocio de la familia</w:t>
      </w:r>
      <w:bookmarkEnd w:id="120"/>
      <w:r w:rsidRPr="005C1789">
        <w:rPr>
          <w:rFonts w:ascii="Verdana" w:hAnsi="Verdana"/>
          <w:i/>
          <w:sz w:val="20"/>
          <w:szCs w:val="20"/>
        </w:rPr>
        <w:t xml:space="preserve"> </w:t>
      </w:r>
      <w:bookmarkEnd w:id="121"/>
    </w:p>
    <w:p w14:paraId="7EE84B58" w14:textId="733A6351" w:rsidR="00C816A1" w:rsidRPr="005C1789" w:rsidRDefault="00C816A1" w:rsidP="00955888">
      <w:pPr>
        <w:numPr>
          <w:ilvl w:val="0"/>
          <w:numId w:val="2"/>
        </w:numPr>
        <w:spacing w:before="120" w:after="120"/>
        <w:ind w:left="0" w:firstLine="0"/>
        <w:jc w:val="both"/>
        <w:rPr>
          <w:rFonts w:ascii="Verdana" w:hAnsi="Verdana" w:cs="Calibri"/>
          <w:sz w:val="20"/>
          <w:szCs w:val="20"/>
        </w:rPr>
      </w:pPr>
      <w:r w:rsidRPr="005C1789">
        <w:rPr>
          <w:rFonts w:ascii="Verdana" w:hAnsi="Verdana" w:cs="Calibri"/>
          <w:sz w:val="20"/>
          <w:szCs w:val="20"/>
        </w:rPr>
        <w:t xml:space="preserve">Con respecto a este alegato, la Corte nota que el Estado </w:t>
      </w:r>
      <w:r w:rsidR="007E499C" w:rsidRPr="005C1789">
        <w:rPr>
          <w:rFonts w:ascii="Verdana" w:hAnsi="Verdana" w:cs="Calibri"/>
          <w:sz w:val="20"/>
          <w:szCs w:val="20"/>
        </w:rPr>
        <w:t>reconoció</w:t>
      </w:r>
      <w:r w:rsidRPr="005C1789">
        <w:rPr>
          <w:rFonts w:ascii="Verdana" w:hAnsi="Verdana" w:cs="Calibri"/>
          <w:sz w:val="20"/>
          <w:szCs w:val="20"/>
        </w:rPr>
        <w:t xml:space="preserve"> en su escrito de contestación</w:t>
      </w:r>
      <w:r w:rsidR="007E499C" w:rsidRPr="005C1789">
        <w:rPr>
          <w:rFonts w:ascii="Verdana" w:hAnsi="Verdana" w:cs="Calibri"/>
          <w:sz w:val="20"/>
          <w:szCs w:val="20"/>
        </w:rPr>
        <w:t xml:space="preserve"> </w:t>
      </w:r>
      <w:bookmarkStart w:id="122" w:name="_Hlk110942573"/>
      <w:r w:rsidR="007E499C" w:rsidRPr="005C1789">
        <w:rPr>
          <w:rFonts w:ascii="Verdana" w:hAnsi="Verdana" w:cs="Calibri"/>
          <w:sz w:val="20"/>
          <w:szCs w:val="20"/>
        </w:rPr>
        <w:t xml:space="preserve">que en la </w:t>
      </w:r>
      <w:r w:rsidR="007E499C" w:rsidRPr="005C1789">
        <w:rPr>
          <w:rFonts w:ascii="Verdana" w:eastAsia="Calibri" w:hAnsi="Verdana" w:cs="Arial"/>
          <w:sz w:val="20"/>
          <w:szCs w:val="20"/>
          <w:lang w:eastAsia="es-CR"/>
        </w:rPr>
        <w:t xml:space="preserve">sentencia del 16 de octubre de 2008, del Segundo Tribunal Unitario del Séptimo Circuito que absolvió a los señores </w:t>
      </w:r>
      <w:bookmarkStart w:id="123" w:name="_Hlk110942396"/>
      <w:r w:rsidR="007E499C" w:rsidRPr="005C1789">
        <w:rPr>
          <w:rFonts w:ascii="Verdana" w:eastAsia="Calibri" w:hAnsi="Verdana" w:cs="Arial"/>
          <w:sz w:val="20"/>
          <w:szCs w:val="20"/>
          <w:lang w:eastAsia="es-CR"/>
        </w:rPr>
        <w:t xml:space="preserve">Gerardo </w:t>
      </w:r>
      <w:proofErr w:type="spellStart"/>
      <w:r w:rsidR="007E499C" w:rsidRPr="005C1789">
        <w:rPr>
          <w:rFonts w:ascii="Verdana" w:eastAsia="Calibri" w:hAnsi="Verdana" w:cs="Arial"/>
          <w:sz w:val="20"/>
          <w:szCs w:val="20"/>
          <w:lang w:eastAsia="es-CR"/>
        </w:rPr>
        <w:t>Tzompaxtle</w:t>
      </w:r>
      <w:proofErr w:type="spellEnd"/>
      <w:r w:rsidR="007E499C" w:rsidRPr="005C1789">
        <w:rPr>
          <w:rFonts w:ascii="Verdana" w:eastAsia="Calibri" w:hAnsi="Verdana" w:cs="Arial"/>
          <w:sz w:val="20"/>
          <w:szCs w:val="20"/>
          <w:lang w:eastAsia="es-CR"/>
        </w:rPr>
        <w:t xml:space="preserve"> </w:t>
      </w:r>
      <w:proofErr w:type="spellStart"/>
      <w:r w:rsidR="007E499C" w:rsidRPr="005C1789">
        <w:rPr>
          <w:rFonts w:ascii="Verdana" w:eastAsia="Calibri" w:hAnsi="Verdana" w:cs="Arial"/>
          <w:sz w:val="20"/>
          <w:szCs w:val="20"/>
          <w:lang w:eastAsia="es-CR"/>
        </w:rPr>
        <w:t>Tecpile</w:t>
      </w:r>
      <w:proofErr w:type="spellEnd"/>
      <w:r w:rsidR="007E499C" w:rsidRPr="005C1789">
        <w:rPr>
          <w:rFonts w:ascii="Verdana" w:eastAsia="Calibri" w:hAnsi="Verdana" w:cs="Arial"/>
          <w:sz w:val="20"/>
          <w:szCs w:val="20"/>
          <w:lang w:eastAsia="es-CR"/>
        </w:rPr>
        <w:t xml:space="preserve">, Jorge Marcial </w:t>
      </w:r>
      <w:proofErr w:type="spellStart"/>
      <w:r w:rsidR="007E499C" w:rsidRPr="005C1789">
        <w:rPr>
          <w:rFonts w:ascii="Verdana" w:eastAsia="Calibri" w:hAnsi="Verdana" w:cs="Arial"/>
          <w:sz w:val="20"/>
          <w:szCs w:val="20"/>
          <w:lang w:eastAsia="es-CR"/>
        </w:rPr>
        <w:t>Tzompaxtle</w:t>
      </w:r>
      <w:proofErr w:type="spellEnd"/>
      <w:r w:rsidR="007E499C" w:rsidRPr="005C1789">
        <w:rPr>
          <w:rFonts w:ascii="Verdana" w:eastAsia="Calibri" w:hAnsi="Verdana" w:cs="Arial"/>
          <w:sz w:val="20"/>
          <w:szCs w:val="20"/>
          <w:lang w:eastAsia="es-CR"/>
        </w:rPr>
        <w:t xml:space="preserve"> </w:t>
      </w:r>
      <w:proofErr w:type="spellStart"/>
      <w:r w:rsidR="007E499C" w:rsidRPr="005C1789">
        <w:rPr>
          <w:rFonts w:ascii="Verdana" w:eastAsia="Calibri" w:hAnsi="Verdana" w:cs="Arial"/>
          <w:sz w:val="20"/>
          <w:szCs w:val="20"/>
          <w:lang w:eastAsia="es-CR"/>
        </w:rPr>
        <w:t>Tecpile</w:t>
      </w:r>
      <w:bookmarkEnd w:id="123"/>
      <w:proofErr w:type="spellEnd"/>
      <w:r w:rsidR="007E499C" w:rsidRPr="005C1789">
        <w:rPr>
          <w:rFonts w:ascii="Verdana" w:eastAsia="Calibri" w:hAnsi="Verdana" w:cs="Arial"/>
          <w:sz w:val="20"/>
          <w:szCs w:val="20"/>
          <w:lang w:eastAsia="es-CR"/>
        </w:rPr>
        <w:t>, Gustavo Robles López, de la acusación realizada en su contra por el Ministerio Público Federal, consideró que las actas de diligencia de cateo que sirvieron de base al Juez federal para considerar demostrado el delito de delincuencia organizada en la hipótesis de terrorismo carecían de valor legal (</w:t>
      </w:r>
      <w:r w:rsidR="007E499C" w:rsidRPr="005C1789">
        <w:rPr>
          <w:rFonts w:ascii="Verdana" w:eastAsia="Calibri" w:hAnsi="Verdana" w:cs="Arial"/>
          <w:i/>
          <w:iCs/>
          <w:sz w:val="20"/>
          <w:szCs w:val="20"/>
          <w:lang w:eastAsia="es-CR"/>
        </w:rPr>
        <w:t>supra</w:t>
      </w:r>
      <w:r w:rsidR="007E499C" w:rsidRPr="005C1789">
        <w:rPr>
          <w:rFonts w:ascii="Verdana" w:eastAsia="Calibri" w:hAnsi="Verdana" w:cs="Arial"/>
          <w:sz w:val="20"/>
          <w:szCs w:val="20"/>
          <w:lang w:eastAsia="es-CR"/>
        </w:rPr>
        <w:t xml:space="preserve"> párr</w:t>
      </w:r>
      <w:r w:rsidR="00054797" w:rsidRPr="005C1789">
        <w:rPr>
          <w:rFonts w:ascii="Verdana" w:eastAsia="Calibri" w:hAnsi="Verdana" w:cs="Arial"/>
          <w:sz w:val="20"/>
          <w:szCs w:val="20"/>
          <w:lang w:eastAsia="es-CR"/>
        </w:rPr>
        <w:t xml:space="preserve">. 71). </w:t>
      </w:r>
      <w:r w:rsidR="007E499C" w:rsidRPr="005C1789">
        <w:rPr>
          <w:rFonts w:ascii="Verdana" w:eastAsia="Calibri" w:hAnsi="Verdana" w:cs="Arial"/>
          <w:sz w:val="20"/>
          <w:szCs w:val="20"/>
          <w:lang w:eastAsia="es-CR"/>
        </w:rPr>
        <w:t xml:space="preserve">A </w:t>
      </w:r>
      <w:r w:rsidR="00267FC0" w:rsidRPr="005C1789">
        <w:rPr>
          <w:rFonts w:ascii="Verdana" w:eastAsia="Calibri" w:hAnsi="Verdana" w:cs="Arial"/>
          <w:sz w:val="20"/>
          <w:szCs w:val="20"/>
          <w:lang w:eastAsia="es-CR"/>
        </w:rPr>
        <w:t xml:space="preserve">raíz de esa </w:t>
      </w:r>
      <w:r w:rsidR="00044347" w:rsidRPr="005C1789">
        <w:rPr>
          <w:rFonts w:ascii="Verdana" w:eastAsia="Calibri" w:hAnsi="Verdana" w:cs="Arial"/>
          <w:sz w:val="20"/>
          <w:szCs w:val="20"/>
          <w:lang w:eastAsia="es-CR"/>
        </w:rPr>
        <w:t xml:space="preserve">declaración de invalidez, </w:t>
      </w:r>
      <w:r w:rsidR="0052552A" w:rsidRPr="005C1789">
        <w:rPr>
          <w:rFonts w:ascii="Verdana" w:eastAsia="Calibri" w:hAnsi="Verdana" w:cs="Arial"/>
          <w:sz w:val="20"/>
          <w:szCs w:val="20"/>
          <w:lang w:eastAsia="es-CR"/>
        </w:rPr>
        <w:t>el</w:t>
      </w:r>
      <w:r w:rsidR="007E499C" w:rsidRPr="005C1789">
        <w:rPr>
          <w:rFonts w:ascii="Verdana" w:eastAsia="Calibri" w:hAnsi="Verdana" w:cs="Arial"/>
          <w:sz w:val="20"/>
          <w:szCs w:val="20"/>
          <w:lang w:eastAsia="es-CR"/>
        </w:rPr>
        <w:t xml:space="preserve"> Estado alegó que el “juez de la causa revirtió la violación expresada en el foro interno”.</w:t>
      </w:r>
      <w:bookmarkEnd w:id="122"/>
    </w:p>
    <w:p w14:paraId="52CAEB53" w14:textId="44E08B9C" w:rsidR="00C816A1" w:rsidRPr="005C1789" w:rsidRDefault="007E499C" w:rsidP="00955888">
      <w:pPr>
        <w:numPr>
          <w:ilvl w:val="0"/>
          <w:numId w:val="2"/>
        </w:numPr>
        <w:spacing w:before="120" w:after="120"/>
        <w:ind w:left="0" w:firstLine="0"/>
        <w:jc w:val="both"/>
        <w:rPr>
          <w:rFonts w:ascii="Verdana" w:hAnsi="Verdana" w:cs="Calibri"/>
          <w:sz w:val="20"/>
          <w:szCs w:val="20"/>
        </w:rPr>
      </w:pPr>
      <w:r w:rsidRPr="005C1789">
        <w:rPr>
          <w:rFonts w:ascii="Verdana" w:hAnsi="Verdana" w:cs="Calibri"/>
          <w:sz w:val="20"/>
          <w:szCs w:val="20"/>
        </w:rPr>
        <w:t xml:space="preserve">Con respecto a lo anterior, corresponde recordar que </w:t>
      </w:r>
      <w:r w:rsidR="00744EF8" w:rsidRPr="005C1789">
        <w:rPr>
          <w:rFonts w:ascii="Verdana" w:hAnsi="Verdana"/>
          <w:sz w:val="20"/>
          <w:szCs w:val="20"/>
        </w:rPr>
        <w:t>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como los internacionales, puedan ser conformados y adecuados entre sí. Así, en aplicación del principio de complementariedad (o subsidiariedad), la Corte ha señalado que la responsabilidad estatal bajo la Convención solo puede ser exigida a nivel internacional después de que el Estado haya tenido la oportunidad de reconocer, en su caso, una violación de un derecho, y de reparar por sus propios medios los daños ocasionados.</w:t>
      </w:r>
      <w:r w:rsidR="00023E34" w:rsidRPr="005C1789">
        <w:rPr>
          <w:rFonts w:ascii="Verdana" w:hAnsi="Verdana"/>
          <w:sz w:val="20"/>
          <w:szCs w:val="20"/>
        </w:rPr>
        <w:t xml:space="preserve"> </w:t>
      </w:r>
      <w:r w:rsidR="0047303A" w:rsidRPr="005C1789">
        <w:rPr>
          <w:rFonts w:ascii="Verdana" w:hAnsi="Verdana"/>
          <w:sz w:val="20"/>
          <w:szCs w:val="20"/>
        </w:rPr>
        <w:t>De esta forma, cuando el Estado cesa las violaciones a los derechos humanos, y repara a las víctimas de dichas violaciones, no corresponde a este Tribunal declarar la responsabilidad internacional respecto de dichas violaciones</w:t>
      </w:r>
      <w:r w:rsidR="00DB7CBD" w:rsidRPr="005C1789">
        <w:rPr>
          <w:rStyle w:val="Refdenotaalpie"/>
          <w:rFonts w:ascii="Verdana" w:eastAsia="MS Mincho" w:hAnsi="Verdana"/>
          <w:sz w:val="20"/>
        </w:rPr>
        <w:footnoteReference w:id="150"/>
      </w:r>
      <w:r w:rsidR="0047303A" w:rsidRPr="005C1789">
        <w:rPr>
          <w:rFonts w:ascii="Verdana" w:hAnsi="Verdana"/>
          <w:sz w:val="20"/>
          <w:szCs w:val="20"/>
        </w:rPr>
        <w:t>.</w:t>
      </w:r>
    </w:p>
    <w:p w14:paraId="281C2589" w14:textId="2FBAE0C0" w:rsidR="000849EC" w:rsidRPr="005C1789" w:rsidRDefault="0047303A" w:rsidP="00955888">
      <w:pPr>
        <w:numPr>
          <w:ilvl w:val="0"/>
          <w:numId w:val="2"/>
        </w:numPr>
        <w:spacing w:before="120" w:after="120"/>
        <w:ind w:left="0" w:firstLine="0"/>
        <w:jc w:val="both"/>
        <w:rPr>
          <w:rFonts w:ascii="Verdana" w:hAnsi="Verdana" w:cs="Calibri"/>
          <w:sz w:val="20"/>
          <w:szCs w:val="20"/>
        </w:rPr>
      </w:pPr>
      <w:r w:rsidRPr="005C1789">
        <w:rPr>
          <w:rFonts w:ascii="Verdana" w:hAnsi="Verdana" w:cs="Calibri"/>
          <w:sz w:val="20"/>
          <w:szCs w:val="20"/>
        </w:rPr>
        <w:t xml:space="preserve">En relación con </w:t>
      </w:r>
      <w:r w:rsidR="009D034D">
        <w:rPr>
          <w:rFonts w:ascii="Verdana" w:hAnsi="Verdana" w:cs="Calibri"/>
          <w:sz w:val="20"/>
          <w:szCs w:val="20"/>
        </w:rPr>
        <w:t>este punto</w:t>
      </w:r>
      <w:r w:rsidRPr="005C1789">
        <w:rPr>
          <w:rFonts w:ascii="Verdana" w:hAnsi="Verdana" w:cs="Calibri"/>
          <w:sz w:val="20"/>
          <w:szCs w:val="20"/>
        </w:rPr>
        <w:t xml:space="preserve">, esta Corte nota que en el presente caso no hay duda </w:t>
      </w:r>
      <w:r w:rsidR="004216BB">
        <w:rPr>
          <w:rFonts w:ascii="Verdana" w:hAnsi="Verdana" w:cs="Calibri"/>
          <w:sz w:val="20"/>
          <w:szCs w:val="20"/>
        </w:rPr>
        <w:t xml:space="preserve">acerca </w:t>
      </w:r>
      <w:r w:rsidRPr="005C1789">
        <w:rPr>
          <w:rFonts w:ascii="Verdana" w:hAnsi="Verdana" w:cs="Calibri"/>
          <w:sz w:val="20"/>
          <w:szCs w:val="20"/>
        </w:rPr>
        <w:t xml:space="preserve">de que, el Estado, a través de uno de sus órganos judiciales, reconoció que se produjo una vulneración a la vida privada </w:t>
      </w:r>
      <w:r w:rsidR="004216BB">
        <w:rPr>
          <w:rFonts w:ascii="Verdana" w:hAnsi="Verdana" w:cs="Calibri"/>
          <w:sz w:val="20"/>
          <w:szCs w:val="20"/>
        </w:rPr>
        <w:t xml:space="preserve">en perjuicio </w:t>
      </w:r>
      <w:r w:rsidRPr="005C1789">
        <w:rPr>
          <w:rFonts w:ascii="Verdana" w:hAnsi="Verdana" w:cs="Calibri"/>
          <w:sz w:val="20"/>
          <w:szCs w:val="20"/>
        </w:rPr>
        <w:t xml:space="preserve">de Gerardo </w:t>
      </w:r>
      <w:proofErr w:type="spellStart"/>
      <w:r w:rsidRPr="005C1789">
        <w:rPr>
          <w:rFonts w:ascii="Verdana" w:hAnsi="Verdana" w:cs="Calibri"/>
          <w:sz w:val="20"/>
          <w:szCs w:val="20"/>
        </w:rPr>
        <w:t>Tzompaxtle</w:t>
      </w:r>
      <w:proofErr w:type="spellEnd"/>
      <w:r w:rsidRPr="005C1789">
        <w:rPr>
          <w:rFonts w:ascii="Verdana" w:hAnsi="Verdana" w:cs="Calibri"/>
          <w:sz w:val="20"/>
          <w:szCs w:val="20"/>
        </w:rPr>
        <w:t xml:space="preserve"> </w:t>
      </w:r>
      <w:proofErr w:type="spellStart"/>
      <w:r w:rsidRPr="005C1789">
        <w:rPr>
          <w:rFonts w:ascii="Verdana" w:hAnsi="Verdana" w:cs="Calibri"/>
          <w:sz w:val="20"/>
          <w:szCs w:val="20"/>
        </w:rPr>
        <w:t>Tecpile</w:t>
      </w:r>
      <w:proofErr w:type="spellEnd"/>
      <w:r w:rsidRPr="005C1789">
        <w:rPr>
          <w:rFonts w:ascii="Verdana" w:hAnsi="Verdana" w:cs="Calibri"/>
          <w:sz w:val="20"/>
          <w:szCs w:val="20"/>
        </w:rPr>
        <w:t xml:space="preserve">, y </w:t>
      </w:r>
      <w:r w:rsidR="004216BB">
        <w:rPr>
          <w:rFonts w:ascii="Verdana" w:hAnsi="Verdana" w:cs="Calibri"/>
          <w:sz w:val="20"/>
          <w:szCs w:val="20"/>
        </w:rPr>
        <w:t>de</w:t>
      </w:r>
      <w:r w:rsidRPr="005C1789">
        <w:rPr>
          <w:rFonts w:ascii="Verdana" w:hAnsi="Verdana" w:cs="Calibri"/>
          <w:sz w:val="20"/>
          <w:szCs w:val="20"/>
        </w:rPr>
        <w:t xml:space="preserve"> Jorge Marcial </w:t>
      </w:r>
      <w:proofErr w:type="spellStart"/>
      <w:r w:rsidRPr="005C1789">
        <w:rPr>
          <w:rFonts w:ascii="Verdana" w:hAnsi="Verdana" w:cs="Calibri"/>
          <w:sz w:val="20"/>
          <w:szCs w:val="20"/>
        </w:rPr>
        <w:t>Tzompaxtle</w:t>
      </w:r>
      <w:proofErr w:type="spellEnd"/>
      <w:r w:rsidRPr="005C1789">
        <w:rPr>
          <w:rFonts w:ascii="Verdana" w:hAnsi="Verdana" w:cs="Calibri"/>
          <w:sz w:val="20"/>
          <w:szCs w:val="20"/>
        </w:rPr>
        <w:t xml:space="preserve"> </w:t>
      </w:r>
      <w:proofErr w:type="spellStart"/>
      <w:r w:rsidRPr="005C1789">
        <w:rPr>
          <w:rFonts w:ascii="Verdana" w:hAnsi="Verdana" w:cs="Calibri"/>
          <w:sz w:val="20"/>
          <w:szCs w:val="20"/>
        </w:rPr>
        <w:t>Tecpile</w:t>
      </w:r>
      <w:proofErr w:type="spellEnd"/>
      <w:r w:rsidRPr="005C1789">
        <w:rPr>
          <w:rFonts w:ascii="Verdana" w:hAnsi="Verdana" w:cs="Calibri"/>
          <w:sz w:val="20"/>
          <w:szCs w:val="20"/>
        </w:rPr>
        <w:t xml:space="preserve"> cuando se llevaron a cabo los cateos en la casa de su madre, así como en una tienda que era el negocio de la familia</w:t>
      </w:r>
      <w:r w:rsidR="00F83517">
        <w:rPr>
          <w:rFonts w:ascii="Verdana" w:hAnsi="Verdana" w:cs="Calibri"/>
          <w:sz w:val="20"/>
          <w:szCs w:val="20"/>
        </w:rPr>
        <w:t>,</w:t>
      </w:r>
      <w:r w:rsidRPr="005C1789">
        <w:rPr>
          <w:rFonts w:ascii="Verdana" w:hAnsi="Verdana" w:cs="Calibri"/>
          <w:sz w:val="20"/>
          <w:szCs w:val="20"/>
        </w:rPr>
        <w:t xml:space="preserve"> el </w:t>
      </w:r>
      <w:r w:rsidR="00F83517">
        <w:rPr>
          <w:rFonts w:ascii="Verdana" w:hAnsi="Verdana" w:cs="Calibri"/>
          <w:sz w:val="20"/>
          <w:szCs w:val="20"/>
        </w:rPr>
        <w:t xml:space="preserve">día </w:t>
      </w:r>
      <w:r w:rsidRPr="005C1789">
        <w:rPr>
          <w:rFonts w:ascii="Verdana" w:hAnsi="Verdana" w:cs="Calibri"/>
          <w:sz w:val="20"/>
          <w:szCs w:val="20"/>
        </w:rPr>
        <w:t>31 de marzo de 2006 (</w:t>
      </w:r>
      <w:r w:rsidRPr="005C1789">
        <w:rPr>
          <w:rFonts w:ascii="Verdana" w:hAnsi="Verdana" w:cs="Calibri"/>
          <w:i/>
          <w:iCs/>
          <w:sz w:val="20"/>
          <w:szCs w:val="20"/>
        </w:rPr>
        <w:t>supra</w:t>
      </w:r>
      <w:r w:rsidRPr="005C1789">
        <w:rPr>
          <w:rFonts w:ascii="Verdana" w:hAnsi="Verdana" w:cs="Calibri"/>
          <w:sz w:val="20"/>
          <w:szCs w:val="20"/>
        </w:rPr>
        <w:t xml:space="preserve"> párr. </w:t>
      </w:r>
      <w:r w:rsidR="00E1010D" w:rsidRPr="005C1789">
        <w:rPr>
          <w:rFonts w:ascii="Verdana" w:hAnsi="Verdana" w:cs="Calibri"/>
          <w:sz w:val="20"/>
          <w:szCs w:val="20"/>
        </w:rPr>
        <w:t xml:space="preserve">31). </w:t>
      </w:r>
      <w:r w:rsidRPr="005C1789">
        <w:rPr>
          <w:rFonts w:ascii="Verdana" w:hAnsi="Verdana" w:cs="Calibri"/>
          <w:sz w:val="20"/>
          <w:szCs w:val="20"/>
        </w:rPr>
        <w:t xml:space="preserve">Sin embargo, el Estado no indicó de qué forma las víctimas </w:t>
      </w:r>
      <w:r w:rsidR="00FD4B92" w:rsidRPr="005C1789">
        <w:rPr>
          <w:rFonts w:ascii="Verdana" w:hAnsi="Verdana" w:cs="Calibri"/>
          <w:sz w:val="20"/>
          <w:szCs w:val="20"/>
        </w:rPr>
        <w:t xml:space="preserve">fueron reparadas por estos hechos en concreto. El Estado únicamente hizo alusión </w:t>
      </w:r>
      <w:r w:rsidR="00CE19E3" w:rsidRPr="005C1789">
        <w:rPr>
          <w:rFonts w:ascii="Verdana" w:hAnsi="Verdana" w:cs="Calibri"/>
          <w:sz w:val="20"/>
          <w:szCs w:val="20"/>
        </w:rPr>
        <w:t xml:space="preserve">a </w:t>
      </w:r>
      <w:proofErr w:type="gramStart"/>
      <w:r w:rsidR="00FD4B92" w:rsidRPr="005C1789">
        <w:rPr>
          <w:rFonts w:ascii="Verdana" w:hAnsi="Verdana" w:cs="Calibri"/>
          <w:sz w:val="20"/>
          <w:szCs w:val="20"/>
        </w:rPr>
        <w:t>que</w:t>
      </w:r>
      <w:proofErr w:type="gramEnd"/>
      <w:r w:rsidR="00FD4B92" w:rsidRPr="005C1789">
        <w:rPr>
          <w:rFonts w:ascii="Verdana" w:hAnsi="Verdana" w:cs="Calibri"/>
          <w:sz w:val="20"/>
          <w:szCs w:val="20"/>
        </w:rPr>
        <w:t xml:space="preserve"> en la sentencia del 16 de octubre de 2008, que absolvió a los señores Gerardo </w:t>
      </w:r>
      <w:proofErr w:type="spellStart"/>
      <w:r w:rsidR="00FD4B92" w:rsidRPr="005C1789">
        <w:rPr>
          <w:rFonts w:ascii="Verdana" w:hAnsi="Verdana" w:cs="Calibri"/>
          <w:sz w:val="20"/>
          <w:szCs w:val="20"/>
        </w:rPr>
        <w:t>Tzompaxtle</w:t>
      </w:r>
      <w:proofErr w:type="spellEnd"/>
      <w:r w:rsidR="00FD4B92" w:rsidRPr="005C1789">
        <w:rPr>
          <w:rFonts w:ascii="Verdana" w:hAnsi="Verdana" w:cs="Calibri"/>
          <w:sz w:val="20"/>
          <w:szCs w:val="20"/>
        </w:rPr>
        <w:t xml:space="preserve"> </w:t>
      </w:r>
      <w:proofErr w:type="spellStart"/>
      <w:r w:rsidR="00FD4B92" w:rsidRPr="005C1789">
        <w:rPr>
          <w:rFonts w:ascii="Verdana" w:hAnsi="Verdana" w:cs="Calibri"/>
          <w:sz w:val="20"/>
          <w:szCs w:val="20"/>
        </w:rPr>
        <w:t>Tecpile</w:t>
      </w:r>
      <w:proofErr w:type="spellEnd"/>
      <w:r w:rsidR="00FD4B92" w:rsidRPr="005C1789">
        <w:rPr>
          <w:rFonts w:ascii="Verdana" w:hAnsi="Verdana" w:cs="Calibri"/>
          <w:sz w:val="20"/>
          <w:szCs w:val="20"/>
        </w:rPr>
        <w:t xml:space="preserve">, Jorge Marcial </w:t>
      </w:r>
      <w:proofErr w:type="spellStart"/>
      <w:r w:rsidR="00FD4B92" w:rsidRPr="005C1789">
        <w:rPr>
          <w:rFonts w:ascii="Verdana" w:hAnsi="Verdana" w:cs="Calibri"/>
          <w:sz w:val="20"/>
          <w:szCs w:val="20"/>
        </w:rPr>
        <w:t>Tzompaxtle</w:t>
      </w:r>
      <w:proofErr w:type="spellEnd"/>
      <w:r w:rsidR="00FD4B92" w:rsidRPr="005C1789">
        <w:rPr>
          <w:rFonts w:ascii="Verdana" w:hAnsi="Verdana" w:cs="Calibri"/>
          <w:sz w:val="20"/>
          <w:szCs w:val="20"/>
        </w:rPr>
        <w:t xml:space="preserve"> </w:t>
      </w:r>
      <w:proofErr w:type="spellStart"/>
      <w:r w:rsidR="00FD4B92" w:rsidRPr="005C1789">
        <w:rPr>
          <w:rFonts w:ascii="Verdana" w:hAnsi="Verdana" w:cs="Calibri"/>
          <w:sz w:val="20"/>
          <w:szCs w:val="20"/>
        </w:rPr>
        <w:t>Tecpile</w:t>
      </w:r>
      <w:proofErr w:type="spellEnd"/>
      <w:r w:rsidR="00FD4B92" w:rsidRPr="005C1789">
        <w:rPr>
          <w:rFonts w:ascii="Verdana" w:hAnsi="Verdana" w:cs="Calibri"/>
          <w:sz w:val="20"/>
          <w:szCs w:val="20"/>
        </w:rPr>
        <w:t xml:space="preserve">, Gustavo Robles López, de la acusación realizada en su contra por el Ministerio Público Federal, </w:t>
      </w:r>
      <w:r w:rsidR="00F717BA">
        <w:rPr>
          <w:rFonts w:ascii="Verdana" w:hAnsi="Verdana" w:cs="Calibri"/>
          <w:sz w:val="20"/>
          <w:szCs w:val="20"/>
        </w:rPr>
        <w:t xml:space="preserve">al hecho que </w:t>
      </w:r>
      <w:r w:rsidR="00851480" w:rsidRPr="005C1789">
        <w:rPr>
          <w:rFonts w:ascii="Verdana" w:hAnsi="Verdana" w:cs="Calibri"/>
          <w:sz w:val="20"/>
          <w:szCs w:val="20"/>
        </w:rPr>
        <w:t xml:space="preserve">el </w:t>
      </w:r>
      <w:r w:rsidR="00FD4B92" w:rsidRPr="005C1789">
        <w:rPr>
          <w:rFonts w:ascii="Verdana" w:hAnsi="Verdana" w:cs="Calibri"/>
          <w:sz w:val="20"/>
          <w:szCs w:val="20"/>
        </w:rPr>
        <w:t>“juez de la causa revirtió la violación expresada en el foro interno” (</w:t>
      </w:r>
      <w:r w:rsidR="00FD4B92" w:rsidRPr="005C1789">
        <w:rPr>
          <w:rFonts w:ascii="Verdana" w:hAnsi="Verdana" w:cs="Calibri"/>
          <w:i/>
          <w:iCs/>
          <w:sz w:val="20"/>
          <w:szCs w:val="20"/>
        </w:rPr>
        <w:t>supra</w:t>
      </w:r>
      <w:r w:rsidR="00FD4B92" w:rsidRPr="005C1789">
        <w:rPr>
          <w:rFonts w:ascii="Verdana" w:hAnsi="Verdana" w:cs="Calibri"/>
          <w:sz w:val="20"/>
          <w:szCs w:val="20"/>
        </w:rPr>
        <w:t xml:space="preserve"> párr. </w:t>
      </w:r>
      <w:r w:rsidR="00F5354B" w:rsidRPr="005C1789">
        <w:rPr>
          <w:rFonts w:ascii="Verdana" w:hAnsi="Verdana" w:cs="Calibri"/>
          <w:sz w:val="20"/>
          <w:szCs w:val="20"/>
        </w:rPr>
        <w:t xml:space="preserve">71). </w:t>
      </w:r>
      <w:r w:rsidR="00FD4B92" w:rsidRPr="005C1789">
        <w:rPr>
          <w:rFonts w:ascii="Verdana" w:hAnsi="Verdana" w:cs="Calibri"/>
          <w:sz w:val="20"/>
          <w:szCs w:val="20"/>
        </w:rPr>
        <w:t xml:space="preserve">De ese modo, no corresponde </w:t>
      </w:r>
      <w:r w:rsidR="000849EC" w:rsidRPr="005C1789">
        <w:rPr>
          <w:rFonts w:ascii="Verdana" w:hAnsi="Verdana" w:cs="Calibri"/>
          <w:sz w:val="20"/>
          <w:szCs w:val="20"/>
        </w:rPr>
        <w:t xml:space="preserve">concluir que el Estado reparó las violaciones a la vida privada de Gerardo </w:t>
      </w:r>
      <w:proofErr w:type="spellStart"/>
      <w:r w:rsidR="000849EC" w:rsidRPr="005C1789">
        <w:rPr>
          <w:rFonts w:ascii="Verdana" w:hAnsi="Verdana" w:cs="Calibri"/>
          <w:sz w:val="20"/>
          <w:szCs w:val="20"/>
        </w:rPr>
        <w:t>Tzompaxtle</w:t>
      </w:r>
      <w:proofErr w:type="spellEnd"/>
      <w:r w:rsidR="000849EC" w:rsidRPr="005C1789">
        <w:rPr>
          <w:rFonts w:ascii="Verdana" w:hAnsi="Verdana" w:cs="Calibri"/>
          <w:sz w:val="20"/>
          <w:szCs w:val="20"/>
        </w:rPr>
        <w:t xml:space="preserve"> </w:t>
      </w:r>
      <w:proofErr w:type="spellStart"/>
      <w:r w:rsidR="000849EC" w:rsidRPr="005C1789">
        <w:rPr>
          <w:rFonts w:ascii="Verdana" w:hAnsi="Verdana" w:cs="Calibri"/>
          <w:sz w:val="20"/>
          <w:szCs w:val="20"/>
        </w:rPr>
        <w:t>Tecpile</w:t>
      </w:r>
      <w:proofErr w:type="spellEnd"/>
      <w:r w:rsidR="000849EC" w:rsidRPr="005C1789">
        <w:rPr>
          <w:rFonts w:ascii="Verdana" w:hAnsi="Verdana" w:cs="Calibri"/>
          <w:sz w:val="20"/>
          <w:szCs w:val="20"/>
        </w:rPr>
        <w:t xml:space="preserve">, y Jorge Marcial </w:t>
      </w:r>
      <w:proofErr w:type="spellStart"/>
      <w:r w:rsidR="000849EC" w:rsidRPr="005C1789">
        <w:rPr>
          <w:rFonts w:ascii="Verdana" w:hAnsi="Verdana" w:cs="Calibri"/>
          <w:sz w:val="20"/>
          <w:szCs w:val="20"/>
        </w:rPr>
        <w:t>Tzompaxtle</w:t>
      </w:r>
      <w:proofErr w:type="spellEnd"/>
      <w:r w:rsidR="000849EC" w:rsidRPr="005C1789">
        <w:rPr>
          <w:rFonts w:ascii="Verdana" w:hAnsi="Verdana" w:cs="Calibri"/>
          <w:sz w:val="20"/>
          <w:szCs w:val="20"/>
        </w:rPr>
        <w:t xml:space="preserve"> </w:t>
      </w:r>
      <w:proofErr w:type="spellStart"/>
      <w:r w:rsidR="000849EC" w:rsidRPr="005C1789">
        <w:rPr>
          <w:rFonts w:ascii="Verdana" w:hAnsi="Verdana" w:cs="Calibri"/>
          <w:sz w:val="20"/>
          <w:szCs w:val="20"/>
        </w:rPr>
        <w:t>Tecpile</w:t>
      </w:r>
      <w:proofErr w:type="spellEnd"/>
      <w:r w:rsidR="00851480" w:rsidRPr="005C1789">
        <w:rPr>
          <w:rFonts w:ascii="Verdana" w:hAnsi="Verdana" w:cs="Calibri"/>
          <w:sz w:val="20"/>
          <w:szCs w:val="20"/>
        </w:rPr>
        <w:t xml:space="preserve"> y que se deba aplicar </w:t>
      </w:r>
      <w:r w:rsidR="000849EC" w:rsidRPr="005C1789">
        <w:rPr>
          <w:rFonts w:ascii="Verdana" w:hAnsi="Verdana" w:cs="Calibri"/>
          <w:sz w:val="20"/>
          <w:szCs w:val="20"/>
        </w:rPr>
        <w:t xml:space="preserve">el principio de </w:t>
      </w:r>
      <w:r w:rsidR="008163E0" w:rsidRPr="005C1789">
        <w:rPr>
          <w:rFonts w:ascii="Verdana" w:hAnsi="Verdana" w:cs="Calibri"/>
          <w:sz w:val="20"/>
          <w:szCs w:val="20"/>
        </w:rPr>
        <w:t>complementariedad</w:t>
      </w:r>
      <w:r w:rsidR="000849EC" w:rsidRPr="005C1789">
        <w:rPr>
          <w:rFonts w:ascii="Verdana" w:hAnsi="Verdana" w:cs="Calibri"/>
          <w:sz w:val="20"/>
          <w:szCs w:val="20"/>
        </w:rPr>
        <w:t xml:space="preserve"> a los hechos relacionados con </w:t>
      </w:r>
      <w:r w:rsidR="00B816DF" w:rsidRPr="005C1789">
        <w:rPr>
          <w:rFonts w:ascii="Verdana" w:hAnsi="Verdana" w:cs="Calibri"/>
          <w:sz w:val="20"/>
          <w:szCs w:val="20"/>
        </w:rPr>
        <w:t xml:space="preserve">los </w:t>
      </w:r>
      <w:r w:rsidR="008163E0" w:rsidRPr="005C1789">
        <w:rPr>
          <w:rFonts w:ascii="Verdana" w:hAnsi="Verdana" w:cs="Calibri"/>
          <w:sz w:val="20"/>
          <w:szCs w:val="20"/>
        </w:rPr>
        <w:t>mencionados</w:t>
      </w:r>
      <w:r w:rsidR="000849EC" w:rsidRPr="005C1789">
        <w:rPr>
          <w:rFonts w:ascii="Verdana" w:hAnsi="Verdana" w:cs="Calibri"/>
          <w:sz w:val="20"/>
          <w:szCs w:val="20"/>
        </w:rPr>
        <w:t xml:space="preserve"> cateo</w:t>
      </w:r>
      <w:r w:rsidR="00B816DF" w:rsidRPr="005C1789">
        <w:rPr>
          <w:rFonts w:ascii="Verdana" w:hAnsi="Verdana" w:cs="Calibri"/>
          <w:sz w:val="20"/>
          <w:szCs w:val="20"/>
        </w:rPr>
        <w:t>s</w:t>
      </w:r>
      <w:r w:rsidR="000849EC" w:rsidRPr="005C1789">
        <w:rPr>
          <w:rFonts w:ascii="Verdana" w:hAnsi="Verdana" w:cs="Calibri"/>
          <w:sz w:val="20"/>
          <w:szCs w:val="20"/>
        </w:rPr>
        <w:t xml:space="preserve">. Por tanto, el Estado es responsable por una vulneración al derecho a la vida privada, contenido en el artículo 11.2 de la Convención Americana, en relación con la obligación de respeto contenida en el artículo 1.1 del mismo instrumento, en perjuicio de Gerardo </w:t>
      </w:r>
      <w:proofErr w:type="spellStart"/>
      <w:r w:rsidR="000849EC" w:rsidRPr="005C1789">
        <w:rPr>
          <w:rFonts w:ascii="Verdana" w:hAnsi="Verdana" w:cs="Calibri"/>
          <w:sz w:val="20"/>
          <w:szCs w:val="20"/>
        </w:rPr>
        <w:t>Tzompaxtle</w:t>
      </w:r>
      <w:proofErr w:type="spellEnd"/>
      <w:r w:rsidR="000849EC" w:rsidRPr="005C1789">
        <w:rPr>
          <w:rFonts w:ascii="Verdana" w:hAnsi="Verdana" w:cs="Calibri"/>
          <w:sz w:val="20"/>
          <w:szCs w:val="20"/>
        </w:rPr>
        <w:t xml:space="preserve"> </w:t>
      </w:r>
      <w:proofErr w:type="spellStart"/>
      <w:r w:rsidR="000849EC" w:rsidRPr="005C1789">
        <w:rPr>
          <w:rFonts w:ascii="Verdana" w:hAnsi="Verdana" w:cs="Calibri"/>
          <w:sz w:val="20"/>
          <w:szCs w:val="20"/>
        </w:rPr>
        <w:t>Tecpile</w:t>
      </w:r>
      <w:proofErr w:type="spellEnd"/>
      <w:r w:rsidR="000849EC" w:rsidRPr="005C1789">
        <w:rPr>
          <w:rFonts w:ascii="Verdana" w:hAnsi="Verdana" w:cs="Calibri"/>
          <w:sz w:val="20"/>
          <w:szCs w:val="20"/>
        </w:rPr>
        <w:t xml:space="preserve">, y Jorge Marcial </w:t>
      </w:r>
      <w:proofErr w:type="spellStart"/>
      <w:r w:rsidR="000849EC" w:rsidRPr="005C1789">
        <w:rPr>
          <w:rFonts w:ascii="Verdana" w:hAnsi="Verdana" w:cs="Calibri"/>
          <w:sz w:val="20"/>
          <w:szCs w:val="20"/>
        </w:rPr>
        <w:t>Tzompaxtle</w:t>
      </w:r>
      <w:proofErr w:type="spellEnd"/>
      <w:r w:rsidR="000849EC" w:rsidRPr="005C1789">
        <w:rPr>
          <w:rFonts w:ascii="Verdana" w:hAnsi="Verdana" w:cs="Calibri"/>
          <w:sz w:val="20"/>
          <w:szCs w:val="20"/>
        </w:rPr>
        <w:t xml:space="preserve"> </w:t>
      </w:r>
      <w:proofErr w:type="spellStart"/>
      <w:r w:rsidR="000849EC" w:rsidRPr="005C1789">
        <w:rPr>
          <w:rFonts w:ascii="Verdana" w:hAnsi="Verdana" w:cs="Calibri"/>
          <w:sz w:val="20"/>
          <w:szCs w:val="20"/>
        </w:rPr>
        <w:t>Tecpile</w:t>
      </w:r>
      <w:proofErr w:type="spellEnd"/>
      <w:r w:rsidR="000849EC" w:rsidRPr="005C1789">
        <w:rPr>
          <w:rFonts w:ascii="Verdana" w:hAnsi="Verdana" w:cs="Calibri"/>
          <w:sz w:val="20"/>
          <w:szCs w:val="20"/>
        </w:rPr>
        <w:t xml:space="preserve"> por </w:t>
      </w:r>
      <w:r w:rsidR="00B816DF" w:rsidRPr="005C1789">
        <w:rPr>
          <w:rFonts w:ascii="Verdana" w:hAnsi="Verdana" w:cs="Calibri"/>
          <w:sz w:val="20"/>
          <w:szCs w:val="20"/>
        </w:rPr>
        <w:t xml:space="preserve">los cateos llevados a cabo en la casa de la madre de los señores </w:t>
      </w:r>
      <w:proofErr w:type="spellStart"/>
      <w:r w:rsidR="00B816DF" w:rsidRPr="005C1789">
        <w:rPr>
          <w:rFonts w:ascii="Verdana" w:hAnsi="Verdana" w:cs="Calibri"/>
          <w:sz w:val="20"/>
          <w:szCs w:val="20"/>
        </w:rPr>
        <w:t>Tzompaxtle</w:t>
      </w:r>
      <w:proofErr w:type="spellEnd"/>
      <w:r w:rsidR="00B816DF" w:rsidRPr="005C1789">
        <w:rPr>
          <w:rFonts w:ascii="Verdana" w:hAnsi="Verdana" w:cs="Calibri"/>
          <w:sz w:val="20"/>
          <w:szCs w:val="20"/>
        </w:rPr>
        <w:t xml:space="preserve"> </w:t>
      </w:r>
      <w:proofErr w:type="spellStart"/>
      <w:r w:rsidR="00B816DF" w:rsidRPr="005C1789">
        <w:rPr>
          <w:rFonts w:ascii="Verdana" w:hAnsi="Verdana" w:cs="Calibri"/>
          <w:sz w:val="20"/>
          <w:szCs w:val="20"/>
        </w:rPr>
        <w:t>Tecpile</w:t>
      </w:r>
      <w:proofErr w:type="spellEnd"/>
      <w:r w:rsidR="00B816DF" w:rsidRPr="005C1789">
        <w:rPr>
          <w:rFonts w:ascii="Verdana" w:hAnsi="Verdana" w:cs="Calibri"/>
          <w:sz w:val="20"/>
          <w:szCs w:val="20"/>
        </w:rPr>
        <w:t>, así como en una tienda que era el negocio de la familia.</w:t>
      </w:r>
    </w:p>
    <w:p w14:paraId="0DB61DA5" w14:textId="504413D4" w:rsidR="00A3327D" w:rsidRPr="005C1789" w:rsidRDefault="0085104D" w:rsidP="00955888">
      <w:pPr>
        <w:pStyle w:val="Ttulo1"/>
        <w:rPr>
          <w:rFonts w:ascii="Verdana" w:hAnsi="Verdana"/>
          <w:b w:val="0"/>
          <w:sz w:val="20"/>
          <w:lang w:val="es-ES_tradnl"/>
        </w:rPr>
      </w:pPr>
      <w:bookmarkStart w:id="124" w:name="_ftnref258"/>
      <w:bookmarkStart w:id="125" w:name="_Toc123347552"/>
      <w:bookmarkEnd w:id="124"/>
      <w:r w:rsidRPr="005C1789">
        <w:rPr>
          <w:rFonts w:ascii="Verdana" w:hAnsi="Verdana"/>
          <w:sz w:val="20"/>
          <w:lang w:val="es-ES"/>
        </w:rPr>
        <w:lastRenderedPageBreak/>
        <w:t>IX</w:t>
      </w:r>
      <w:r w:rsidR="00457174" w:rsidRPr="005C1789">
        <w:rPr>
          <w:rFonts w:ascii="Verdana" w:hAnsi="Verdana"/>
          <w:color w:val="FFFFFF" w:themeColor="background1"/>
          <w:sz w:val="20"/>
          <w:lang w:val="es-ES"/>
        </w:rPr>
        <w:t>.</w:t>
      </w:r>
      <w:r w:rsidR="00B16F66" w:rsidRPr="005C1789">
        <w:rPr>
          <w:rFonts w:ascii="Verdana" w:hAnsi="Verdana"/>
          <w:sz w:val="20"/>
          <w:lang w:val="es-ES_tradnl"/>
        </w:rPr>
        <w:br/>
      </w:r>
      <w:r w:rsidR="00B16F66" w:rsidRPr="005C1789">
        <w:rPr>
          <w:rFonts w:ascii="Verdana" w:hAnsi="Verdana"/>
          <w:sz w:val="20"/>
          <w:lang w:val="es-ES"/>
        </w:rPr>
        <w:t>REPARACIONES</w:t>
      </w:r>
      <w:r w:rsidR="00DE23C8" w:rsidRPr="005C1789">
        <w:rPr>
          <w:rStyle w:val="Refdenotaalpie"/>
          <w:rFonts w:ascii="Verdana" w:hAnsi="Verdana"/>
          <w:sz w:val="20"/>
          <w:lang w:val="es-ES"/>
        </w:rPr>
        <w:footnoteReference w:id="151"/>
      </w:r>
      <w:bookmarkEnd w:id="125"/>
    </w:p>
    <w:p w14:paraId="6A87CC5A" w14:textId="77777777" w:rsidR="0043610A" w:rsidRPr="005C1789" w:rsidRDefault="0043610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Sobre la</w:t>
      </w:r>
      <w:r w:rsidRPr="005C1789">
        <w:rPr>
          <w:rFonts w:ascii="Verdana" w:hAnsi="Verdana"/>
          <w:spacing w:val="1"/>
          <w:sz w:val="20"/>
          <w:szCs w:val="20"/>
        </w:rPr>
        <w:t xml:space="preserve"> </w:t>
      </w:r>
      <w:r w:rsidRPr="005C1789">
        <w:rPr>
          <w:rFonts w:ascii="Verdana" w:hAnsi="Verdana"/>
          <w:sz w:val="20"/>
          <w:szCs w:val="20"/>
        </w:rPr>
        <w:t>base de lo dispuesto en</w:t>
      </w:r>
      <w:r w:rsidRPr="005C1789">
        <w:rPr>
          <w:rFonts w:ascii="Verdana" w:hAnsi="Verdana"/>
          <w:spacing w:val="1"/>
          <w:sz w:val="20"/>
          <w:szCs w:val="20"/>
        </w:rPr>
        <w:t xml:space="preserve"> </w:t>
      </w:r>
      <w:r w:rsidRPr="005C1789">
        <w:rPr>
          <w:rFonts w:ascii="Verdana" w:hAnsi="Verdana"/>
          <w:sz w:val="20"/>
          <w:szCs w:val="20"/>
        </w:rPr>
        <w:t>el</w:t>
      </w:r>
      <w:r w:rsidRPr="005C1789">
        <w:rPr>
          <w:rFonts w:ascii="Verdana" w:hAnsi="Verdana"/>
          <w:spacing w:val="1"/>
          <w:sz w:val="20"/>
          <w:szCs w:val="20"/>
        </w:rPr>
        <w:t xml:space="preserve"> </w:t>
      </w:r>
      <w:r w:rsidRPr="005C1789">
        <w:rPr>
          <w:rFonts w:ascii="Verdana" w:hAnsi="Verdana"/>
          <w:sz w:val="20"/>
          <w:szCs w:val="20"/>
        </w:rPr>
        <w:t>artículo 63.1</w:t>
      </w:r>
      <w:r w:rsidRPr="005C1789">
        <w:rPr>
          <w:rFonts w:ascii="Verdana" w:hAnsi="Verdana"/>
          <w:spacing w:val="1"/>
          <w:sz w:val="20"/>
          <w:szCs w:val="20"/>
        </w:rPr>
        <w:t xml:space="preserve"> </w:t>
      </w:r>
      <w:r w:rsidRPr="005C1789">
        <w:rPr>
          <w:rFonts w:ascii="Verdana" w:hAnsi="Verdana"/>
          <w:sz w:val="20"/>
          <w:szCs w:val="20"/>
        </w:rPr>
        <w:t>de la</w:t>
      </w:r>
      <w:r w:rsidRPr="005C1789">
        <w:rPr>
          <w:rFonts w:ascii="Verdana" w:hAnsi="Verdana"/>
          <w:spacing w:val="1"/>
          <w:sz w:val="20"/>
          <w:szCs w:val="20"/>
        </w:rPr>
        <w:t xml:space="preserve"> </w:t>
      </w:r>
      <w:r w:rsidRPr="005C1789">
        <w:rPr>
          <w:rFonts w:ascii="Verdana" w:hAnsi="Verdana"/>
          <w:sz w:val="20"/>
          <w:szCs w:val="20"/>
        </w:rPr>
        <w:t>Convención</w:t>
      </w:r>
      <w:r w:rsidRPr="005C1789">
        <w:rPr>
          <w:rFonts w:ascii="Verdana" w:hAnsi="Verdana"/>
          <w:spacing w:val="70"/>
          <w:sz w:val="20"/>
          <w:szCs w:val="20"/>
        </w:rPr>
        <w:t xml:space="preserve"> </w:t>
      </w:r>
      <w:r w:rsidRPr="005C1789">
        <w:rPr>
          <w:rFonts w:ascii="Verdana" w:hAnsi="Verdana"/>
          <w:sz w:val="20"/>
          <w:szCs w:val="20"/>
        </w:rPr>
        <w:t>Americana, la</w:t>
      </w:r>
      <w:r w:rsidRPr="005C1789">
        <w:rPr>
          <w:rFonts w:ascii="Verdana" w:hAnsi="Verdana"/>
          <w:spacing w:val="1"/>
          <w:sz w:val="20"/>
          <w:szCs w:val="20"/>
        </w:rPr>
        <w:t xml:space="preserve"> </w:t>
      </w:r>
      <w:r w:rsidRPr="005C1789">
        <w:rPr>
          <w:rFonts w:ascii="Verdana" w:hAnsi="Verdana"/>
          <w:sz w:val="20"/>
          <w:szCs w:val="20"/>
        </w:rPr>
        <w:t>Corte ha indicado que toda violación de una obligación internacional que haya producido</w:t>
      </w:r>
      <w:r w:rsidRPr="005C1789">
        <w:rPr>
          <w:rFonts w:ascii="Verdana" w:hAnsi="Verdana"/>
          <w:spacing w:val="1"/>
          <w:sz w:val="20"/>
          <w:szCs w:val="20"/>
        </w:rPr>
        <w:t xml:space="preserve"> </w:t>
      </w:r>
      <w:r w:rsidRPr="005C1789">
        <w:rPr>
          <w:rFonts w:ascii="Verdana" w:hAnsi="Verdana"/>
          <w:sz w:val="20"/>
          <w:szCs w:val="20"/>
        </w:rPr>
        <w:t>daño comporta el deber de repararlo adecuadamente, y que esa disposición recoge una</w:t>
      </w:r>
      <w:r w:rsidRPr="005C1789">
        <w:rPr>
          <w:rFonts w:ascii="Verdana" w:hAnsi="Verdana"/>
          <w:spacing w:val="1"/>
          <w:sz w:val="20"/>
          <w:szCs w:val="20"/>
        </w:rPr>
        <w:t xml:space="preserve"> </w:t>
      </w:r>
      <w:r w:rsidRPr="005C1789">
        <w:rPr>
          <w:rFonts w:ascii="Verdana" w:hAnsi="Verdana"/>
          <w:sz w:val="20"/>
          <w:szCs w:val="20"/>
        </w:rPr>
        <w:t>norma consuetudinaria que constituye uno de los principios fundamentales del Derecho</w:t>
      </w:r>
      <w:r w:rsidRPr="005C1789">
        <w:rPr>
          <w:rFonts w:ascii="Verdana" w:hAnsi="Verdana"/>
          <w:spacing w:val="1"/>
          <w:sz w:val="20"/>
          <w:szCs w:val="20"/>
        </w:rPr>
        <w:t xml:space="preserve"> </w:t>
      </w:r>
      <w:r w:rsidRPr="005C1789">
        <w:rPr>
          <w:rFonts w:ascii="Verdana" w:hAnsi="Verdana"/>
          <w:sz w:val="20"/>
          <w:szCs w:val="20"/>
        </w:rPr>
        <w:t>Internacional</w:t>
      </w:r>
      <w:r w:rsidRPr="005C1789">
        <w:rPr>
          <w:rFonts w:ascii="Verdana" w:hAnsi="Verdana"/>
          <w:spacing w:val="2"/>
          <w:sz w:val="20"/>
          <w:szCs w:val="20"/>
        </w:rPr>
        <w:t xml:space="preserve"> </w:t>
      </w:r>
      <w:r w:rsidRPr="005C1789">
        <w:rPr>
          <w:rFonts w:ascii="Verdana" w:hAnsi="Verdana"/>
          <w:sz w:val="20"/>
          <w:szCs w:val="20"/>
        </w:rPr>
        <w:t>contemporáneo</w:t>
      </w:r>
      <w:r w:rsidRPr="005C1789">
        <w:rPr>
          <w:rFonts w:ascii="Verdana" w:hAnsi="Verdana"/>
          <w:spacing w:val="-2"/>
          <w:sz w:val="20"/>
          <w:szCs w:val="20"/>
        </w:rPr>
        <w:t xml:space="preserve"> </w:t>
      </w:r>
      <w:r w:rsidRPr="005C1789">
        <w:rPr>
          <w:rFonts w:ascii="Verdana" w:hAnsi="Verdana"/>
          <w:sz w:val="20"/>
          <w:szCs w:val="20"/>
        </w:rPr>
        <w:t>sobre</w:t>
      </w:r>
      <w:r w:rsidRPr="005C1789">
        <w:rPr>
          <w:rFonts w:ascii="Verdana" w:hAnsi="Verdana"/>
          <w:spacing w:val="-1"/>
          <w:sz w:val="20"/>
          <w:szCs w:val="20"/>
        </w:rPr>
        <w:t xml:space="preserve"> </w:t>
      </w:r>
      <w:r w:rsidRPr="005C1789">
        <w:rPr>
          <w:rFonts w:ascii="Verdana" w:hAnsi="Verdana"/>
          <w:sz w:val="20"/>
          <w:szCs w:val="20"/>
        </w:rPr>
        <w:t>responsabilidad de</w:t>
      </w:r>
      <w:r w:rsidRPr="005C1789">
        <w:rPr>
          <w:rFonts w:ascii="Verdana" w:hAnsi="Verdana"/>
          <w:spacing w:val="-3"/>
          <w:sz w:val="20"/>
          <w:szCs w:val="20"/>
        </w:rPr>
        <w:t xml:space="preserve"> </w:t>
      </w:r>
      <w:r w:rsidRPr="005C1789">
        <w:rPr>
          <w:rFonts w:ascii="Verdana" w:hAnsi="Verdana"/>
          <w:sz w:val="20"/>
          <w:szCs w:val="20"/>
        </w:rPr>
        <w:t>un</w:t>
      </w:r>
      <w:r w:rsidRPr="005C1789">
        <w:rPr>
          <w:rFonts w:ascii="Verdana" w:hAnsi="Verdana"/>
          <w:spacing w:val="1"/>
          <w:sz w:val="20"/>
          <w:szCs w:val="20"/>
        </w:rPr>
        <w:t xml:space="preserve"> </w:t>
      </w:r>
      <w:r w:rsidRPr="005C1789">
        <w:rPr>
          <w:rFonts w:ascii="Verdana" w:hAnsi="Verdana"/>
          <w:sz w:val="20"/>
          <w:szCs w:val="20"/>
        </w:rPr>
        <w:t>Estado</w:t>
      </w:r>
      <w:r w:rsidRPr="005C1789">
        <w:rPr>
          <w:rStyle w:val="Refdenotaalpie"/>
          <w:rFonts w:ascii="Verdana" w:hAnsi="Verdana"/>
          <w:sz w:val="20"/>
        </w:rPr>
        <w:footnoteReference w:id="152"/>
      </w:r>
      <w:r w:rsidRPr="005C1789">
        <w:rPr>
          <w:rFonts w:ascii="Verdana" w:hAnsi="Verdana"/>
          <w:sz w:val="20"/>
          <w:szCs w:val="20"/>
        </w:rPr>
        <w:t>.</w:t>
      </w:r>
    </w:p>
    <w:p w14:paraId="778959BD" w14:textId="77777777" w:rsidR="0043610A" w:rsidRPr="005C1789" w:rsidRDefault="0043610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La reparación del daño ocasionado por la infracción de una obligación internacional</w:t>
      </w:r>
      <w:r w:rsidRPr="005C1789">
        <w:rPr>
          <w:rFonts w:ascii="Verdana" w:hAnsi="Verdana"/>
          <w:spacing w:val="1"/>
          <w:sz w:val="20"/>
          <w:szCs w:val="20"/>
        </w:rPr>
        <w:t xml:space="preserve"> </w:t>
      </w:r>
      <w:r w:rsidRPr="005C1789">
        <w:rPr>
          <w:rFonts w:ascii="Verdana" w:hAnsi="Verdana"/>
          <w:sz w:val="20"/>
          <w:szCs w:val="20"/>
        </w:rPr>
        <w:t xml:space="preserve">requiere, siempre que sea posible, la plena restitución </w:t>
      </w:r>
      <w:r w:rsidRPr="005C1789">
        <w:rPr>
          <w:rFonts w:ascii="Verdana" w:hAnsi="Verdana"/>
          <w:i/>
          <w:sz w:val="20"/>
          <w:szCs w:val="20"/>
        </w:rPr>
        <w:t>(</w:t>
      </w:r>
      <w:proofErr w:type="spellStart"/>
      <w:r w:rsidRPr="005C1789">
        <w:rPr>
          <w:rFonts w:ascii="Verdana" w:hAnsi="Verdana"/>
          <w:i/>
          <w:sz w:val="20"/>
          <w:szCs w:val="20"/>
        </w:rPr>
        <w:t>restitutio</w:t>
      </w:r>
      <w:proofErr w:type="spellEnd"/>
      <w:r w:rsidRPr="005C1789">
        <w:rPr>
          <w:rFonts w:ascii="Verdana" w:hAnsi="Verdana"/>
          <w:i/>
          <w:sz w:val="20"/>
          <w:szCs w:val="20"/>
        </w:rPr>
        <w:t xml:space="preserve"> in </w:t>
      </w:r>
      <w:proofErr w:type="spellStart"/>
      <w:r w:rsidRPr="005C1789">
        <w:rPr>
          <w:rFonts w:ascii="Verdana" w:hAnsi="Verdana"/>
          <w:i/>
          <w:sz w:val="20"/>
          <w:szCs w:val="20"/>
        </w:rPr>
        <w:t>integrum</w:t>
      </w:r>
      <w:proofErr w:type="spellEnd"/>
      <w:r w:rsidRPr="005C1789">
        <w:rPr>
          <w:rFonts w:ascii="Verdana" w:hAnsi="Verdana"/>
          <w:i/>
          <w:sz w:val="20"/>
          <w:szCs w:val="20"/>
        </w:rPr>
        <w:t>)</w:t>
      </w:r>
      <w:r w:rsidRPr="005C1789">
        <w:rPr>
          <w:rFonts w:ascii="Verdana" w:hAnsi="Verdana"/>
          <w:sz w:val="20"/>
          <w:szCs w:val="20"/>
        </w:rPr>
        <w:t>, que consiste</w:t>
      </w:r>
      <w:r w:rsidRPr="005C1789">
        <w:rPr>
          <w:rFonts w:ascii="Verdana" w:hAnsi="Verdana"/>
          <w:spacing w:val="1"/>
          <w:sz w:val="20"/>
          <w:szCs w:val="20"/>
        </w:rPr>
        <w:t xml:space="preserve"> </w:t>
      </w:r>
      <w:r w:rsidRPr="005C1789">
        <w:rPr>
          <w:rFonts w:ascii="Verdana" w:hAnsi="Verdana"/>
          <w:sz w:val="20"/>
          <w:szCs w:val="20"/>
        </w:rPr>
        <w:t>en el restablecimiento de la situación anterior. De no ser esto factible, como ocurre en la</w:t>
      </w:r>
      <w:r w:rsidRPr="005C1789">
        <w:rPr>
          <w:rFonts w:ascii="Verdana" w:hAnsi="Verdana"/>
          <w:spacing w:val="1"/>
          <w:sz w:val="20"/>
          <w:szCs w:val="20"/>
        </w:rPr>
        <w:t xml:space="preserve"> </w:t>
      </w:r>
      <w:r w:rsidRPr="005C1789">
        <w:rPr>
          <w:rFonts w:ascii="Verdana" w:hAnsi="Verdana"/>
          <w:sz w:val="20"/>
          <w:szCs w:val="20"/>
        </w:rPr>
        <w:t>mayoría de los casos de violaciones a derechos humanos, el Tribunal determinará medidas</w:t>
      </w:r>
      <w:r w:rsidRPr="005C1789">
        <w:rPr>
          <w:rFonts w:ascii="Verdana" w:hAnsi="Verdana"/>
          <w:spacing w:val="1"/>
          <w:sz w:val="20"/>
          <w:szCs w:val="20"/>
        </w:rPr>
        <w:t xml:space="preserve"> </w:t>
      </w:r>
      <w:r w:rsidRPr="005C1789">
        <w:rPr>
          <w:rFonts w:ascii="Verdana" w:hAnsi="Verdana"/>
          <w:sz w:val="20"/>
          <w:szCs w:val="20"/>
        </w:rPr>
        <w:t>para garantizar los derechos conculcados y reparar las consecuencias que las infracciones</w:t>
      </w:r>
      <w:r w:rsidRPr="005C1789">
        <w:rPr>
          <w:rFonts w:ascii="Verdana" w:hAnsi="Verdana"/>
          <w:spacing w:val="1"/>
          <w:sz w:val="20"/>
          <w:szCs w:val="20"/>
        </w:rPr>
        <w:t xml:space="preserve"> </w:t>
      </w:r>
      <w:r w:rsidRPr="005C1789">
        <w:rPr>
          <w:rFonts w:ascii="Verdana" w:hAnsi="Verdana"/>
          <w:sz w:val="20"/>
          <w:szCs w:val="20"/>
        </w:rPr>
        <w:t>produjeron</w:t>
      </w:r>
      <w:r w:rsidRPr="005C1789">
        <w:rPr>
          <w:rStyle w:val="Refdenotaalpie"/>
          <w:rFonts w:ascii="Verdana" w:hAnsi="Verdana"/>
          <w:sz w:val="20"/>
        </w:rPr>
        <w:footnoteReference w:id="153"/>
      </w:r>
      <w:r w:rsidRPr="005C1789">
        <w:rPr>
          <w:rFonts w:ascii="Verdana" w:hAnsi="Verdana"/>
          <w:sz w:val="20"/>
          <w:szCs w:val="20"/>
        </w:rPr>
        <w:t>. Por tanto, la Corte ha considerado la necesidad de otorgar diversas medidas</w:t>
      </w:r>
      <w:r w:rsidRPr="005C1789">
        <w:rPr>
          <w:rFonts w:ascii="Verdana" w:hAnsi="Verdana"/>
          <w:spacing w:val="1"/>
          <w:sz w:val="20"/>
          <w:szCs w:val="20"/>
        </w:rPr>
        <w:t xml:space="preserve"> </w:t>
      </w:r>
      <w:r w:rsidRPr="005C1789">
        <w:rPr>
          <w:rFonts w:ascii="Verdana" w:hAnsi="Verdana"/>
          <w:sz w:val="20"/>
          <w:szCs w:val="20"/>
        </w:rPr>
        <w:t>de reparación a fin de resarcir los daños de manera integral por lo que, además de las</w:t>
      </w:r>
      <w:r w:rsidRPr="005C1789">
        <w:rPr>
          <w:rFonts w:ascii="Verdana" w:hAnsi="Verdana"/>
          <w:spacing w:val="1"/>
          <w:sz w:val="20"/>
          <w:szCs w:val="20"/>
        </w:rPr>
        <w:t xml:space="preserve"> </w:t>
      </w:r>
      <w:r w:rsidRPr="005C1789">
        <w:rPr>
          <w:rFonts w:ascii="Verdana" w:hAnsi="Verdana"/>
          <w:sz w:val="20"/>
          <w:szCs w:val="20"/>
        </w:rPr>
        <w:t>compensaciones</w:t>
      </w:r>
      <w:r w:rsidRPr="005C1789">
        <w:rPr>
          <w:rFonts w:ascii="Verdana" w:hAnsi="Verdana"/>
          <w:spacing w:val="1"/>
          <w:sz w:val="20"/>
          <w:szCs w:val="20"/>
        </w:rPr>
        <w:t xml:space="preserve"> </w:t>
      </w:r>
      <w:r w:rsidRPr="005C1789">
        <w:rPr>
          <w:rFonts w:ascii="Verdana" w:hAnsi="Verdana"/>
          <w:sz w:val="20"/>
          <w:szCs w:val="20"/>
        </w:rPr>
        <w:t>pecuniarias,</w:t>
      </w:r>
      <w:r w:rsidRPr="005C1789">
        <w:rPr>
          <w:rFonts w:ascii="Verdana" w:hAnsi="Verdana"/>
          <w:spacing w:val="1"/>
          <w:sz w:val="20"/>
          <w:szCs w:val="20"/>
        </w:rPr>
        <w:t xml:space="preserve"> </w:t>
      </w:r>
      <w:r w:rsidRPr="005C1789">
        <w:rPr>
          <w:rFonts w:ascii="Verdana" w:hAnsi="Verdana"/>
          <w:sz w:val="20"/>
          <w:szCs w:val="20"/>
        </w:rPr>
        <w:t>las</w:t>
      </w:r>
      <w:r w:rsidRPr="005C1789">
        <w:rPr>
          <w:rFonts w:ascii="Verdana" w:hAnsi="Verdana"/>
          <w:spacing w:val="1"/>
          <w:sz w:val="20"/>
          <w:szCs w:val="20"/>
        </w:rPr>
        <w:t xml:space="preserve"> </w:t>
      </w:r>
      <w:r w:rsidRPr="005C1789">
        <w:rPr>
          <w:rFonts w:ascii="Verdana" w:hAnsi="Verdana"/>
          <w:sz w:val="20"/>
          <w:szCs w:val="20"/>
        </w:rPr>
        <w:t>medidas</w:t>
      </w:r>
      <w:r w:rsidRPr="005C1789">
        <w:rPr>
          <w:rFonts w:ascii="Verdana" w:hAnsi="Verdana"/>
          <w:spacing w:val="1"/>
          <w:sz w:val="20"/>
          <w:szCs w:val="20"/>
        </w:rPr>
        <w:t xml:space="preserve"> </w:t>
      </w:r>
      <w:r w:rsidRPr="005C1789">
        <w:rPr>
          <w:rFonts w:ascii="Verdana" w:hAnsi="Verdana"/>
          <w:sz w:val="20"/>
          <w:szCs w:val="20"/>
        </w:rPr>
        <w:t>de</w:t>
      </w:r>
      <w:r w:rsidRPr="005C1789">
        <w:rPr>
          <w:rFonts w:ascii="Verdana" w:hAnsi="Verdana"/>
          <w:spacing w:val="1"/>
          <w:sz w:val="20"/>
          <w:szCs w:val="20"/>
        </w:rPr>
        <w:t xml:space="preserve"> </w:t>
      </w:r>
      <w:r w:rsidRPr="005C1789">
        <w:rPr>
          <w:rFonts w:ascii="Verdana" w:hAnsi="Verdana"/>
          <w:sz w:val="20"/>
          <w:szCs w:val="20"/>
        </w:rPr>
        <w:t>restitución,</w:t>
      </w:r>
      <w:r w:rsidRPr="005C1789">
        <w:rPr>
          <w:rFonts w:ascii="Verdana" w:hAnsi="Verdana"/>
          <w:spacing w:val="1"/>
          <w:sz w:val="20"/>
          <w:szCs w:val="20"/>
        </w:rPr>
        <w:t xml:space="preserve"> </w:t>
      </w:r>
      <w:r w:rsidRPr="005C1789">
        <w:rPr>
          <w:rFonts w:ascii="Verdana" w:hAnsi="Verdana"/>
          <w:sz w:val="20"/>
          <w:szCs w:val="20"/>
        </w:rPr>
        <w:t>rehabilitación,</w:t>
      </w:r>
      <w:r w:rsidRPr="005C1789">
        <w:rPr>
          <w:rFonts w:ascii="Verdana" w:hAnsi="Verdana"/>
          <w:spacing w:val="1"/>
          <w:sz w:val="20"/>
          <w:szCs w:val="20"/>
        </w:rPr>
        <w:t xml:space="preserve"> </w:t>
      </w:r>
      <w:r w:rsidRPr="005C1789">
        <w:rPr>
          <w:rFonts w:ascii="Verdana" w:hAnsi="Verdana"/>
          <w:sz w:val="20"/>
          <w:szCs w:val="20"/>
        </w:rPr>
        <w:t>satisfacción</w:t>
      </w:r>
      <w:r w:rsidRPr="005C1789">
        <w:rPr>
          <w:rFonts w:ascii="Verdana" w:hAnsi="Verdana"/>
          <w:spacing w:val="1"/>
          <w:sz w:val="20"/>
          <w:szCs w:val="20"/>
        </w:rPr>
        <w:t xml:space="preserve"> </w:t>
      </w:r>
      <w:r w:rsidRPr="005C1789">
        <w:rPr>
          <w:rFonts w:ascii="Verdana" w:hAnsi="Verdana"/>
          <w:sz w:val="20"/>
          <w:szCs w:val="20"/>
        </w:rPr>
        <w:t>y</w:t>
      </w:r>
      <w:r w:rsidRPr="005C1789">
        <w:rPr>
          <w:rFonts w:ascii="Verdana" w:hAnsi="Verdana"/>
          <w:spacing w:val="1"/>
          <w:sz w:val="20"/>
          <w:szCs w:val="20"/>
        </w:rPr>
        <w:t xml:space="preserve"> </w:t>
      </w:r>
      <w:r w:rsidRPr="005C1789">
        <w:rPr>
          <w:rFonts w:ascii="Verdana" w:hAnsi="Verdana"/>
          <w:sz w:val="20"/>
          <w:szCs w:val="20"/>
        </w:rPr>
        <w:t>garantías</w:t>
      </w:r>
      <w:r w:rsidRPr="005C1789">
        <w:rPr>
          <w:rFonts w:ascii="Verdana" w:hAnsi="Verdana"/>
          <w:spacing w:val="-2"/>
          <w:sz w:val="20"/>
          <w:szCs w:val="20"/>
        </w:rPr>
        <w:t xml:space="preserve"> </w:t>
      </w:r>
      <w:r w:rsidRPr="005C1789">
        <w:rPr>
          <w:rFonts w:ascii="Verdana" w:hAnsi="Verdana"/>
          <w:sz w:val="20"/>
          <w:szCs w:val="20"/>
        </w:rPr>
        <w:t>de</w:t>
      </w:r>
      <w:r w:rsidRPr="005C1789">
        <w:rPr>
          <w:rFonts w:ascii="Verdana" w:hAnsi="Verdana"/>
          <w:spacing w:val="-3"/>
          <w:sz w:val="20"/>
          <w:szCs w:val="20"/>
        </w:rPr>
        <w:t xml:space="preserve"> </w:t>
      </w:r>
      <w:r w:rsidRPr="005C1789">
        <w:rPr>
          <w:rFonts w:ascii="Verdana" w:hAnsi="Verdana"/>
          <w:sz w:val="20"/>
          <w:szCs w:val="20"/>
        </w:rPr>
        <w:t>no repetición</w:t>
      </w:r>
      <w:r w:rsidRPr="005C1789">
        <w:rPr>
          <w:rFonts w:ascii="Verdana" w:hAnsi="Verdana"/>
          <w:spacing w:val="-1"/>
          <w:sz w:val="20"/>
          <w:szCs w:val="20"/>
        </w:rPr>
        <w:t xml:space="preserve"> </w:t>
      </w:r>
      <w:r w:rsidRPr="005C1789">
        <w:rPr>
          <w:rFonts w:ascii="Verdana" w:hAnsi="Verdana"/>
          <w:sz w:val="20"/>
          <w:szCs w:val="20"/>
        </w:rPr>
        <w:t>tienen</w:t>
      </w:r>
      <w:r w:rsidRPr="005C1789">
        <w:rPr>
          <w:rFonts w:ascii="Verdana" w:hAnsi="Verdana"/>
          <w:spacing w:val="-1"/>
          <w:sz w:val="20"/>
          <w:szCs w:val="20"/>
        </w:rPr>
        <w:t xml:space="preserve"> </w:t>
      </w:r>
      <w:r w:rsidRPr="005C1789">
        <w:rPr>
          <w:rFonts w:ascii="Verdana" w:hAnsi="Verdana"/>
          <w:sz w:val="20"/>
          <w:szCs w:val="20"/>
        </w:rPr>
        <w:t>especial</w:t>
      </w:r>
      <w:r w:rsidRPr="005C1789">
        <w:rPr>
          <w:rFonts w:ascii="Verdana" w:hAnsi="Verdana"/>
          <w:spacing w:val="2"/>
          <w:sz w:val="20"/>
          <w:szCs w:val="20"/>
        </w:rPr>
        <w:t xml:space="preserve"> </w:t>
      </w:r>
      <w:r w:rsidRPr="005C1789">
        <w:rPr>
          <w:rFonts w:ascii="Verdana" w:hAnsi="Verdana"/>
          <w:sz w:val="20"/>
          <w:szCs w:val="20"/>
        </w:rPr>
        <w:t>relevancia</w:t>
      </w:r>
      <w:r w:rsidRPr="005C1789">
        <w:rPr>
          <w:rFonts w:ascii="Verdana" w:hAnsi="Verdana"/>
          <w:spacing w:val="-2"/>
          <w:sz w:val="20"/>
          <w:szCs w:val="20"/>
        </w:rPr>
        <w:t xml:space="preserve"> </w:t>
      </w:r>
      <w:r w:rsidRPr="005C1789">
        <w:rPr>
          <w:rFonts w:ascii="Verdana" w:hAnsi="Verdana"/>
          <w:sz w:val="20"/>
          <w:szCs w:val="20"/>
        </w:rPr>
        <w:t>por</w:t>
      </w:r>
      <w:r w:rsidRPr="005C1789">
        <w:rPr>
          <w:rFonts w:ascii="Verdana" w:hAnsi="Verdana"/>
          <w:spacing w:val="-2"/>
          <w:sz w:val="20"/>
          <w:szCs w:val="20"/>
        </w:rPr>
        <w:t xml:space="preserve"> </w:t>
      </w:r>
      <w:r w:rsidRPr="005C1789">
        <w:rPr>
          <w:rFonts w:ascii="Verdana" w:hAnsi="Verdana"/>
          <w:sz w:val="20"/>
          <w:szCs w:val="20"/>
        </w:rPr>
        <w:t>los</w:t>
      </w:r>
      <w:r w:rsidRPr="005C1789">
        <w:rPr>
          <w:rFonts w:ascii="Verdana" w:hAnsi="Verdana"/>
          <w:spacing w:val="-3"/>
          <w:sz w:val="20"/>
          <w:szCs w:val="20"/>
        </w:rPr>
        <w:t xml:space="preserve"> </w:t>
      </w:r>
      <w:r w:rsidRPr="005C1789">
        <w:rPr>
          <w:rFonts w:ascii="Verdana" w:hAnsi="Verdana"/>
          <w:sz w:val="20"/>
          <w:szCs w:val="20"/>
        </w:rPr>
        <w:t>daños ocasionados</w:t>
      </w:r>
      <w:r w:rsidRPr="005C1789">
        <w:rPr>
          <w:rStyle w:val="Refdenotaalpie"/>
          <w:rFonts w:ascii="Verdana" w:hAnsi="Verdana"/>
          <w:sz w:val="20"/>
        </w:rPr>
        <w:footnoteReference w:id="154"/>
      </w:r>
      <w:r w:rsidRPr="005C1789">
        <w:rPr>
          <w:rFonts w:ascii="Verdana" w:hAnsi="Verdana"/>
          <w:sz w:val="20"/>
          <w:szCs w:val="20"/>
        </w:rPr>
        <w:t>.</w:t>
      </w:r>
    </w:p>
    <w:p w14:paraId="4386DF6E" w14:textId="77777777" w:rsidR="0043610A" w:rsidRPr="005C1789" w:rsidRDefault="0043610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Además, este Tribunal ha establecido que las reparaciones deben tener un nexo</w:t>
      </w:r>
      <w:r w:rsidRPr="005C1789">
        <w:rPr>
          <w:rFonts w:ascii="Verdana" w:hAnsi="Verdana"/>
          <w:spacing w:val="1"/>
          <w:sz w:val="20"/>
          <w:szCs w:val="20"/>
        </w:rPr>
        <w:t xml:space="preserve"> </w:t>
      </w:r>
      <w:r w:rsidRPr="005C1789">
        <w:rPr>
          <w:rFonts w:ascii="Verdana" w:hAnsi="Verdana"/>
          <w:sz w:val="20"/>
          <w:szCs w:val="20"/>
        </w:rPr>
        <w:t>causal con los hechos del caso, las violaciones declaradas, los daños acreditados, así como</w:t>
      </w:r>
      <w:r w:rsidRPr="005C1789">
        <w:rPr>
          <w:rFonts w:ascii="Verdana" w:hAnsi="Verdana"/>
          <w:spacing w:val="1"/>
          <w:sz w:val="20"/>
          <w:szCs w:val="20"/>
        </w:rPr>
        <w:t xml:space="preserve"> </w:t>
      </w:r>
      <w:r w:rsidRPr="005C1789">
        <w:rPr>
          <w:rFonts w:ascii="Verdana" w:hAnsi="Verdana"/>
          <w:sz w:val="20"/>
          <w:szCs w:val="20"/>
        </w:rPr>
        <w:t>las medidas solicitadas para reparar los daños respectivos. Por tanto, la Corte deberá</w:t>
      </w:r>
      <w:r w:rsidRPr="005C1789">
        <w:rPr>
          <w:rFonts w:ascii="Verdana" w:hAnsi="Verdana"/>
          <w:spacing w:val="1"/>
          <w:sz w:val="20"/>
          <w:szCs w:val="20"/>
        </w:rPr>
        <w:t xml:space="preserve"> </w:t>
      </w:r>
      <w:r w:rsidRPr="005C1789">
        <w:rPr>
          <w:rFonts w:ascii="Verdana" w:hAnsi="Verdana"/>
          <w:sz w:val="20"/>
          <w:szCs w:val="20"/>
        </w:rPr>
        <w:t>analizar</w:t>
      </w:r>
      <w:r w:rsidRPr="005C1789">
        <w:rPr>
          <w:rFonts w:ascii="Verdana" w:hAnsi="Verdana"/>
          <w:spacing w:val="-2"/>
          <w:sz w:val="20"/>
          <w:szCs w:val="20"/>
        </w:rPr>
        <w:t xml:space="preserve"> </w:t>
      </w:r>
      <w:r w:rsidRPr="005C1789">
        <w:rPr>
          <w:rFonts w:ascii="Verdana" w:hAnsi="Verdana"/>
          <w:sz w:val="20"/>
          <w:szCs w:val="20"/>
        </w:rPr>
        <w:t>dicha</w:t>
      </w:r>
      <w:r w:rsidRPr="005C1789">
        <w:rPr>
          <w:rFonts w:ascii="Verdana" w:hAnsi="Verdana"/>
          <w:spacing w:val="-1"/>
          <w:sz w:val="20"/>
          <w:szCs w:val="20"/>
        </w:rPr>
        <w:t xml:space="preserve"> </w:t>
      </w:r>
      <w:r w:rsidRPr="005C1789">
        <w:rPr>
          <w:rFonts w:ascii="Verdana" w:hAnsi="Verdana"/>
          <w:sz w:val="20"/>
          <w:szCs w:val="20"/>
        </w:rPr>
        <w:t>concurrencia</w:t>
      </w:r>
      <w:r w:rsidRPr="005C1789">
        <w:rPr>
          <w:rFonts w:ascii="Verdana" w:hAnsi="Verdana"/>
          <w:spacing w:val="-2"/>
          <w:sz w:val="20"/>
          <w:szCs w:val="20"/>
        </w:rPr>
        <w:t xml:space="preserve"> </w:t>
      </w:r>
      <w:r w:rsidRPr="005C1789">
        <w:rPr>
          <w:rFonts w:ascii="Verdana" w:hAnsi="Verdana"/>
          <w:sz w:val="20"/>
          <w:szCs w:val="20"/>
        </w:rPr>
        <w:t>para</w:t>
      </w:r>
      <w:r w:rsidRPr="005C1789">
        <w:rPr>
          <w:rFonts w:ascii="Verdana" w:hAnsi="Verdana"/>
          <w:spacing w:val="-2"/>
          <w:sz w:val="20"/>
          <w:szCs w:val="20"/>
        </w:rPr>
        <w:t xml:space="preserve"> </w:t>
      </w:r>
      <w:r w:rsidRPr="005C1789">
        <w:rPr>
          <w:rFonts w:ascii="Verdana" w:hAnsi="Verdana"/>
          <w:sz w:val="20"/>
          <w:szCs w:val="20"/>
        </w:rPr>
        <w:t>pronunciarse</w:t>
      </w:r>
      <w:r w:rsidRPr="005C1789">
        <w:rPr>
          <w:rFonts w:ascii="Verdana" w:hAnsi="Verdana"/>
          <w:spacing w:val="-1"/>
          <w:sz w:val="20"/>
          <w:szCs w:val="20"/>
        </w:rPr>
        <w:t xml:space="preserve"> </w:t>
      </w:r>
      <w:r w:rsidRPr="005C1789">
        <w:rPr>
          <w:rFonts w:ascii="Verdana" w:hAnsi="Verdana"/>
          <w:sz w:val="20"/>
          <w:szCs w:val="20"/>
        </w:rPr>
        <w:t>debidamente</w:t>
      </w:r>
      <w:r w:rsidRPr="005C1789">
        <w:rPr>
          <w:rFonts w:ascii="Verdana" w:hAnsi="Verdana"/>
          <w:spacing w:val="-3"/>
          <w:sz w:val="20"/>
          <w:szCs w:val="20"/>
        </w:rPr>
        <w:t xml:space="preserve"> </w:t>
      </w:r>
      <w:r w:rsidRPr="005C1789">
        <w:rPr>
          <w:rFonts w:ascii="Verdana" w:hAnsi="Verdana"/>
          <w:sz w:val="20"/>
          <w:szCs w:val="20"/>
        </w:rPr>
        <w:t>y</w:t>
      </w:r>
      <w:r w:rsidRPr="005C1789">
        <w:rPr>
          <w:rFonts w:ascii="Verdana" w:hAnsi="Verdana"/>
          <w:spacing w:val="-1"/>
          <w:sz w:val="20"/>
          <w:szCs w:val="20"/>
        </w:rPr>
        <w:t xml:space="preserve"> </w:t>
      </w:r>
      <w:r w:rsidRPr="005C1789">
        <w:rPr>
          <w:rFonts w:ascii="Verdana" w:hAnsi="Verdana"/>
          <w:sz w:val="20"/>
          <w:szCs w:val="20"/>
        </w:rPr>
        <w:t>conforme</w:t>
      </w:r>
      <w:r w:rsidRPr="005C1789">
        <w:rPr>
          <w:rFonts w:ascii="Verdana" w:hAnsi="Verdana"/>
          <w:spacing w:val="-3"/>
          <w:sz w:val="20"/>
          <w:szCs w:val="20"/>
        </w:rPr>
        <w:t xml:space="preserve"> </w:t>
      </w:r>
      <w:r w:rsidRPr="005C1789">
        <w:rPr>
          <w:rFonts w:ascii="Verdana" w:hAnsi="Verdana"/>
          <w:sz w:val="20"/>
          <w:szCs w:val="20"/>
        </w:rPr>
        <w:t>a</w:t>
      </w:r>
      <w:r w:rsidRPr="005C1789">
        <w:rPr>
          <w:rFonts w:ascii="Verdana" w:hAnsi="Verdana"/>
          <w:spacing w:val="-1"/>
          <w:sz w:val="20"/>
          <w:szCs w:val="20"/>
        </w:rPr>
        <w:t xml:space="preserve"> </w:t>
      </w:r>
      <w:r w:rsidRPr="005C1789">
        <w:rPr>
          <w:rFonts w:ascii="Verdana" w:hAnsi="Verdana"/>
          <w:sz w:val="20"/>
          <w:szCs w:val="20"/>
        </w:rPr>
        <w:t>derecho</w:t>
      </w:r>
      <w:r w:rsidRPr="005C1789">
        <w:rPr>
          <w:rStyle w:val="Refdenotaalpie"/>
          <w:rFonts w:ascii="Verdana" w:hAnsi="Verdana"/>
          <w:sz w:val="20"/>
        </w:rPr>
        <w:footnoteReference w:id="155"/>
      </w:r>
      <w:r w:rsidRPr="005C1789">
        <w:rPr>
          <w:rFonts w:ascii="Verdana" w:hAnsi="Verdana"/>
          <w:sz w:val="20"/>
          <w:szCs w:val="20"/>
        </w:rPr>
        <w:t>.</w:t>
      </w:r>
    </w:p>
    <w:p w14:paraId="766B7269" w14:textId="4F3906C9" w:rsidR="006E0975" w:rsidRPr="005C1789" w:rsidRDefault="0043610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En consecuencia, de acuerdo con las consideraciones expuestas sobre el fondo y las</w:t>
      </w:r>
      <w:r w:rsidRPr="005C1789">
        <w:rPr>
          <w:rFonts w:ascii="Verdana" w:hAnsi="Verdana"/>
          <w:spacing w:val="1"/>
          <w:sz w:val="20"/>
          <w:szCs w:val="20"/>
        </w:rPr>
        <w:t xml:space="preserve"> </w:t>
      </w:r>
      <w:r w:rsidRPr="005C1789">
        <w:rPr>
          <w:rFonts w:ascii="Verdana" w:hAnsi="Verdana"/>
          <w:sz w:val="20"/>
          <w:szCs w:val="20"/>
        </w:rPr>
        <w:t>violaciones a la Convención declaradas en la presente Sentencia, el Tribunal procederá a</w:t>
      </w:r>
      <w:r w:rsidRPr="005C1789">
        <w:rPr>
          <w:rFonts w:ascii="Verdana" w:hAnsi="Verdana"/>
          <w:spacing w:val="1"/>
          <w:sz w:val="20"/>
          <w:szCs w:val="20"/>
        </w:rPr>
        <w:t xml:space="preserve"> </w:t>
      </w:r>
      <w:r w:rsidRPr="005C1789">
        <w:rPr>
          <w:rFonts w:ascii="Verdana" w:hAnsi="Verdana"/>
          <w:sz w:val="20"/>
          <w:szCs w:val="20"/>
        </w:rPr>
        <w:t>analizar las pretensiones presentadas por la Comisión y l</w:t>
      </w:r>
      <w:r w:rsidR="00B05687" w:rsidRPr="005C1789">
        <w:rPr>
          <w:rFonts w:ascii="Verdana" w:hAnsi="Verdana"/>
          <w:sz w:val="20"/>
          <w:szCs w:val="20"/>
        </w:rPr>
        <w:t>o</w:t>
      </w:r>
      <w:r w:rsidRPr="005C1789">
        <w:rPr>
          <w:rFonts w:ascii="Verdana" w:hAnsi="Verdana"/>
          <w:sz w:val="20"/>
          <w:szCs w:val="20"/>
        </w:rPr>
        <w:t>s representantes de la</w:t>
      </w:r>
      <w:r w:rsidR="00712EBB">
        <w:rPr>
          <w:rFonts w:ascii="Verdana" w:hAnsi="Verdana"/>
          <w:sz w:val="20"/>
          <w:szCs w:val="20"/>
        </w:rPr>
        <w:t>s</w:t>
      </w:r>
      <w:r w:rsidRPr="005C1789">
        <w:rPr>
          <w:rFonts w:ascii="Verdana" w:hAnsi="Verdana"/>
          <w:sz w:val="20"/>
          <w:szCs w:val="20"/>
        </w:rPr>
        <w:t xml:space="preserve"> víctima</w:t>
      </w:r>
      <w:r w:rsidR="00712EBB">
        <w:rPr>
          <w:rFonts w:ascii="Verdana" w:hAnsi="Verdana"/>
          <w:sz w:val="20"/>
          <w:szCs w:val="20"/>
        </w:rPr>
        <w:t>s</w:t>
      </w:r>
      <w:r w:rsidRPr="005C1789">
        <w:rPr>
          <w:rFonts w:ascii="Verdana" w:hAnsi="Verdana"/>
          <w:sz w:val="20"/>
          <w:szCs w:val="20"/>
        </w:rPr>
        <w:t>,</w:t>
      </w:r>
      <w:r w:rsidRPr="005C1789">
        <w:rPr>
          <w:rFonts w:ascii="Verdana" w:hAnsi="Verdana"/>
          <w:spacing w:val="1"/>
          <w:sz w:val="20"/>
          <w:szCs w:val="20"/>
        </w:rPr>
        <w:t xml:space="preserve"> </w:t>
      </w:r>
      <w:r w:rsidRPr="005C1789">
        <w:rPr>
          <w:rFonts w:ascii="Verdana" w:hAnsi="Verdana"/>
          <w:sz w:val="20"/>
          <w:szCs w:val="20"/>
        </w:rPr>
        <w:t>así como las observaciones del Estado a las mismas, a la luz de los criterios fijados en su</w:t>
      </w:r>
      <w:r w:rsidRPr="005C1789">
        <w:rPr>
          <w:rFonts w:ascii="Verdana" w:hAnsi="Verdana"/>
          <w:spacing w:val="1"/>
          <w:sz w:val="20"/>
          <w:szCs w:val="20"/>
        </w:rPr>
        <w:t xml:space="preserve"> </w:t>
      </w:r>
      <w:r w:rsidRPr="005C1789">
        <w:rPr>
          <w:rFonts w:ascii="Verdana" w:hAnsi="Verdana"/>
          <w:sz w:val="20"/>
          <w:szCs w:val="20"/>
        </w:rPr>
        <w:t>jurisprudencia en relación con la naturaleza y alcance de la obligación de reparar, con el</w:t>
      </w:r>
      <w:r w:rsidRPr="005C1789">
        <w:rPr>
          <w:rFonts w:ascii="Verdana" w:hAnsi="Verdana"/>
          <w:spacing w:val="1"/>
          <w:sz w:val="20"/>
          <w:szCs w:val="20"/>
        </w:rPr>
        <w:t xml:space="preserve"> </w:t>
      </w:r>
      <w:r w:rsidRPr="005C1789">
        <w:rPr>
          <w:rFonts w:ascii="Verdana" w:hAnsi="Verdana"/>
          <w:sz w:val="20"/>
          <w:szCs w:val="20"/>
        </w:rPr>
        <w:t>objeto de</w:t>
      </w:r>
      <w:r w:rsidRPr="005C1789">
        <w:rPr>
          <w:rFonts w:ascii="Verdana" w:hAnsi="Verdana"/>
          <w:spacing w:val="-3"/>
          <w:sz w:val="20"/>
          <w:szCs w:val="20"/>
        </w:rPr>
        <w:t xml:space="preserve"> </w:t>
      </w:r>
      <w:r w:rsidRPr="005C1789">
        <w:rPr>
          <w:rFonts w:ascii="Verdana" w:hAnsi="Verdana"/>
          <w:sz w:val="20"/>
          <w:szCs w:val="20"/>
        </w:rPr>
        <w:t>disponer</w:t>
      </w:r>
      <w:r w:rsidRPr="005C1789">
        <w:rPr>
          <w:rFonts w:ascii="Verdana" w:hAnsi="Verdana"/>
          <w:spacing w:val="-2"/>
          <w:sz w:val="20"/>
          <w:szCs w:val="20"/>
        </w:rPr>
        <w:t xml:space="preserve"> </w:t>
      </w:r>
      <w:r w:rsidRPr="005C1789">
        <w:rPr>
          <w:rFonts w:ascii="Verdana" w:hAnsi="Verdana"/>
          <w:sz w:val="20"/>
          <w:szCs w:val="20"/>
        </w:rPr>
        <w:t>las medidas</w:t>
      </w:r>
      <w:r w:rsidRPr="005C1789">
        <w:rPr>
          <w:rFonts w:ascii="Verdana" w:hAnsi="Verdana"/>
          <w:spacing w:val="-2"/>
          <w:sz w:val="20"/>
          <w:szCs w:val="20"/>
        </w:rPr>
        <w:t xml:space="preserve"> </w:t>
      </w:r>
      <w:r w:rsidRPr="005C1789">
        <w:rPr>
          <w:rFonts w:ascii="Verdana" w:hAnsi="Verdana"/>
          <w:sz w:val="20"/>
          <w:szCs w:val="20"/>
        </w:rPr>
        <w:t>dirigidas</w:t>
      </w:r>
      <w:r w:rsidRPr="005C1789">
        <w:rPr>
          <w:rFonts w:ascii="Verdana" w:hAnsi="Verdana"/>
          <w:spacing w:val="-1"/>
          <w:sz w:val="20"/>
          <w:szCs w:val="20"/>
        </w:rPr>
        <w:t xml:space="preserve"> </w:t>
      </w:r>
      <w:r w:rsidRPr="005C1789">
        <w:rPr>
          <w:rFonts w:ascii="Verdana" w:hAnsi="Verdana"/>
          <w:sz w:val="20"/>
          <w:szCs w:val="20"/>
        </w:rPr>
        <w:t>a</w:t>
      </w:r>
      <w:r w:rsidRPr="005C1789">
        <w:rPr>
          <w:rFonts w:ascii="Verdana" w:hAnsi="Verdana"/>
          <w:spacing w:val="-2"/>
          <w:sz w:val="20"/>
          <w:szCs w:val="20"/>
        </w:rPr>
        <w:t xml:space="preserve"> </w:t>
      </w:r>
      <w:r w:rsidRPr="005C1789">
        <w:rPr>
          <w:rFonts w:ascii="Verdana" w:hAnsi="Verdana"/>
          <w:sz w:val="20"/>
          <w:szCs w:val="20"/>
        </w:rPr>
        <w:t>reparar los</w:t>
      </w:r>
      <w:r w:rsidRPr="005C1789">
        <w:rPr>
          <w:rFonts w:ascii="Verdana" w:hAnsi="Verdana"/>
          <w:spacing w:val="-2"/>
          <w:sz w:val="20"/>
          <w:szCs w:val="20"/>
        </w:rPr>
        <w:t xml:space="preserve"> </w:t>
      </w:r>
      <w:r w:rsidRPr="005C1789">
        <w:rPr>
          <w:rFonts w:ascii="Verdana" w:hAnsi="Verdana"/>
          <w:sz w:val="20"/>
          <w:szCs w:val="20"/>
        </w:rPr>
        <w:t>daños ocasionados</w:t>
      </w:r>
      <w:r w:rsidRPr="005C1789">
        <w:rPr>
          <w:rStyle w:val="Refdenotaalpie"/>
          <w:rFonts w:ascii="Verdana" w:hAnsi="Verdana"/>
          <w:sz w:val="20"/>
        </w:rPr>
        <w:footnoteReference w:id="156"/>
      </w:r>
      <w:r w:rsidRPr="005C1789">
        <w:rPr>
          <w:rFonts w:ascii="Verdana" w:hAnsi="Verdana"/>
          <w:sz w:val="20"/>
          <w:szCs w:val="20"/>
        </w:rPr>
        <w:t>.</w:t>
      </w:r>
    </w:p>
    <w:p w14:paraId="51D404D2" w14:textId="2103D3A8" w:rsidR="003E046D" w:rsidRPr="005C1789" w:rsidRDefault="003E046D"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Corte reitera </w:t>
      </w:r>
      <w:proofErr w:type="gramStart"/>
      <w:r w:rsidRPr="005C1789">
        <w:rPr>
          <w:rFonts w:ascii="Verdana" w:hAnsi="Verdana"/>
          <w:sz w:val="20"/>
          <w:szCs w:val="20"/>
        </w:rPr>
        <w:t>que</w:t>
      </w:r>
      <w:proofErr w:type="gramEnd"/>
      <w:r w:rsidRPr="005C1789">
        <w:rPr>
          <w:rFonts w:ascii="Verdana" w:hAnsi="Verdana"/>
          <w:sz w:val="20"/>
          <w:szCs w:val="20"/>
        </w:rPr>
        <w:t xml:space="preserve"> en </w:t>
      </w:r>
      <w:r w:rsidR="005B1EA7" w:rsidRPr="005C1789">
        <w:rPr>
          <w:rFonts w:ascii="Verdana" w:hAnsi="Verdana"/>
          <w:sz w:val="20"/>
          <w:szCs w:val="20"/>
        </w:rPr>
        <w:t xml:space="preserve">el </w:t>
      </w:r>
      <w:r w:rsidRPr="005C1789">
        <w:rPr>
          <w:rFonts w:ascii="Verdana" w:hAnsi="Verdana"/>
          <w:sz w:val="20"/>
          <w:szCs w:val="20"/>
        </w:rPr>
        <w:t>transcurso del proceso del presente caso ante la Comisión</w:t>
      </w:r>
      <w:r w:rsidR="000B5FF3">
        <w:rPr>
          <w:rFonts w:ascii="Verdana" w:hAnsi="Verdana"/>
          <w:sz w:val="20"/>
          <w:szCs w:val="20"/>
        </w:rPr>
        <w:t>,</w:t>
      </w:r>
      <w:r w:rsidRPr="005C1789">
        <w:rPr>
          <w:rFonts w:ascii="Verdana" w:hAnsi="Verdana"/>
          <w:sz w:val="20"/>
          <w:szCs w:val="20"/>
        </w:rPr>
        <w:t xml:space="preserve"> se firmó un Acta de Entendimiento para la Búsqueda de un Acuerdo de Cumplimiento de</w:t>
      </w:r>
      <w:r w:rsidR="005B1EA7" w:rsidRPr="005C1789">
        <w:rPr>
          <w:rFonts w:ascii="Verdana" w:hAnsi="Verdana"/>
          <w:sz w:val="20"/>
          <w:szCs w:val="20"/>
        </w:rPr>
        <w:t>l</w:t>
      </w:r>
      <w:r w:rsidRPr="005C1789">
        <w:rPr>
          <w:rFonts w:ascii="Verdana" w:hAnsi="Verdana"/>
          <w:sz w:val="20"/>
          <w:szCs w:val="20"/>
        </w:rPr>
        <w:t xml:space="preserve"> Informe de Fondo entre los representantes y el Estado</w:t>
      </w:r>
      <w:r w:rsidR="009A2A41">
        <w:rPr>
          <w:rFonts w:ascii="Verdana" w:hAnsi="Verdana"/>
          <w:sz w:val="20"/>
          <w:szCs w:val="20"/>
        </w:rPr>
        <w:t>,</w:t>
      </w:r>
      <w:r w:rsidRPr="005C1789">
        <w:rPr>
          <w:rFonts w:ascii="Verdana" w:hAnsi="Verdana"/>
          <w:sz w:val="20"/>
          <w:szCs w:val="20"/>
        </w:rPr>
        <w:t xml:space="preserve"> </w:t>
      </w:r>
      <w:r w:rsidR="008E6CFF" w:rsidRPr="005C1789">
        <w:rPr>
          <w:rFonts w:ascii="Verdana" w:hAnsi="Verdana"/>
          <w:sz w:val="20"/>
          <w:szCs w:val="20"/>
        </w:rPr>
        <w:t xml:space="preserve">el </w:t>
      </w:r>
      <w:r w:rsidRPr="005C1789">
        <w:rPr>
          <w:rFonts w:ascii="Verdana" w:hAnsi="Verdana"/>
          <w:sz w:val="20"/>
          <w:szCs w:val="20"/>
        </w:rPr>
        <w:t xml:space="preserve">cual no fue </w:t>
      </w:r>
      <w:r w:rsidR="008E6CFF" w:rsidRPr="005C1789">
        <w:rPr>
          <w:rFonts w:ascii="Verdana" w:hAnsi="Verdana"/>
          <w:sz w:val="20"/>
          <w:szCs w:val="20"/>
        </w:rPr>
        <w:t xml:space="preserve">homologado </w:t>
      </w:r>
      <w:r w:rsidRPr="005C1789">
        <w:rPr>
          <w:rFonts w:ascii="Verdana" w:hAnsi="Verdana"/>
          <w:sz w:val="20"/>
          <w:szCs w:val="20"/>
        </w:rPr>
        <w:t>por la Comisión (</w:t>
      </w:r>
      <w:r w:rsidRPr="005C1789">
        <w:rPr>
          <w:rFonts w:ascii="Verdana" w:hAnsi="Verdana"/>
          <w:i/>
          <w:iCs/>
          <w:sz w:val="20"/>
          <w:szCs w:val="20"/>
        </w:rPr>
        <w:t>supra</w:t>
      </w:r>
      <w:r w:rsidRPr="005C1789">
        <w:rPr>
          <w:rFonts w:ascii="Verdana" w:hAnsi="Verdana"/>
          <w:sz w:val="20"/>
          <w:szCs w:val="20"/>
        </w:rPr>
        <w:t xml:space="preserve"> párr. </w:t>
      </w:r>
      <w:r w:rsidR="005751DA" w:rsidRPr="005C1789">
        <w:rPr>
          <w:rFonts w:ascii="Verdana" w:hAnsi="Verdana"/>
          <w:sz w:val="20"/>
          <w:szCs w:val="20"/>
        </w:rPr>
        <w:t>2.d</w:t>
      </w:r>
      <w:r w:rsidRPr="005C1789">
        <w:rPr>
          <w:rFonts w:ascii="Verdana" w:hAnsi="Verdana"/>
          <w:sz w:val="20"/>
          <w:szCs w:val="20"/>
        </w:rPr>
        <w:t xml:space="preserve">). A pesar de ello, el Estado </w:t>
      </w:r>
      <w:r w:rsidR="00CD235E" w:rsidRPr="005C1789">
        <w:rPr>
          <w:rFonts w:ascii="Verdana" w:hAnsi="Verdana"/>
          <w:sz w:val="20"/>
          <w:szCs w:val="20"/>
        </w:rPr>
        <w:t>se encuentra en proceso de cumplir</w:t>
      </w:r>
      <w:r w:rsidRPr="005C1789">
        <w:rPr>
          <w:rFonts w:ascii="Verdana" w:hAnsi="Verdana"/>
          <w:sz w:val="20"/>
          <w:szCs w:val="20"/>
        </w:rPr>
        <w:t xml:space="preserve"> con varias medidas de reparación que habían sido acordadas con los representantes y que son objeto de pretensión de medidas de reparación en el proceso ante </w:t>
      </w:r>
      <w:r w:rsidR="009A2A41">
        <w:rPr>
          <w:rFonts w:ascii="Verdana" w:hAnsi="Verdana"/>
          <w:sz w:val="20"/>
          <w:szCs w:val="20"/>
        </w:rPr>
        <w:t>este</w:t>
      </w:r>
      <w:r w:rsidRPr="005C1789">
        <w:rPr>
          <w:rFonts w:ascii="Verdana" w:hAnsi="Verdana"/>
          <w:sz w:val="20"/>
          <w:szCs w:val="20"/>
        </w:rPr>
        <w:t xml:space="preserve"> Tribunal.</w:t>
      </w:r>
    </w:p>
    <w:p w14:paraId="2EBEBC4B" w14:textId="26580F33" w:rsidR="007A666F" w:rsidRPr="005C1789" w:rsidRDefault="007A666F" w:rsidP="00955888">
      <w:pPr>
        <w:pStyle w:val="Ttulo2"/>
        <w:numPr>
          <w:ilvl w:val="0"/>
          <w:numId w:val="9"/>
        </w:numPr>
        <w:spacing w:before="240" w:after="240"/>
        <w:rPr>
          <w:rFonts w:ascii="Verdana" w:hAnsi="Verdana"/>
          <w:i/>
          <w:color w:val="auto"/>
          <w:sz w:val="20"/>
          <w:szCs w:val="20"/>
        </w:rPr>
      </w:pPr>
      <w:bookmarkStart w:id="126" w:name="_Toc514063465"/>
      <w:bookmarkStart w:id="127" w:name="_Toc502891616"/>
      <w:bookmarkStart w:id="128" w:name="_Toc502885956"/>
      <w:bookmarkStart w:id="129" w:name="_Toc192587"/>
      <w:bookmarkStart w:id="130" w:name="_Toc32394184"/>
      <w:bookmarkStart w:id="131" w:name="_Toc36823503"/>
      <w:bookmarkStart w:id="132" w:name="_Toc123347553"/>
      <w:r w:rsidRPr="005C1789">
        <w:rPr>
          <w:rFonts w:ascii="Verdana" w:hAnsi="Verdana"/>
          <w:i/>
          <w:color w:val="auto"/>
          <w:sz w:val="20"/>
          <w:szCs w:val="20"/>
        </w:rPr>
        <w:t>Parte Lesionada</w:t>
      </w:r>
      <w:bookmarkEnd w:id="126"/>
      <w:bookmarkEnd w:id="127"/>
      <w:bookmarkEnd w:id="128"/>
      <w:bookmarkEnd w:id="129"/>
      <w:bookmarkEnd w:id="130"/>
      <w:bookmarkEnd w:id="131"/>
      <w:bookmarkEnd w:id="132"/>
    </w:p>
    <w:p w14:paraId="3264A6EB" w14:textId="5910F042" w:rsidR="00460F08" w:rsidRPr="005C1789" w:rsidRDefault="00E5332D"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Est</w:t>
      </w:r>
      <w:r w:rsidR="007F0610">
        <w:rPr>
          <w:rFonts w:ascii="Verdana" w:hAnsi="Verdana"/>
          <w:sz w:val="20"/>
          <w:szCs w:val="20"/>
        </w:rPr>
        <w:t>a</w:t>
      </w:r>
      <w:r w:rsidRPr="005C1789">
        <w:rPr>
          <w:rFonts w:ascii="Verdana" w:hAnsi="Verdana"/>
          <w:sz w:val="20"/>
          <w:szCs w:val="20"/>
        </w:rPr>
        <w:t xml:space="preserve"> </w:t>
      </w:r>
      <w:r w:rsidR="007F0610">
        <w:rPr>
          <w:rFonts w:ascii="Verdana" w:hAnsi="Verdana"/>
          <w:sz w:val="20"/>
          <w:szCs w:val="20"/>
        </w:rPr>
        <w:t>Corte</w:t>
      </w:r>
      <w:r w:rsidRPr="005C1789">
        <w:rPr>
          <w:rFonts w:ascii="Verdana" w:hAnsi="Verdana"/>
          <w:sz w:val="20"/>
          <w:szCs w:val="20"/>
        </w:rPr>
        <w:t xml:space="preserve"> considera parte lesionada, en los términos del artículo 63.1 de la Convención, a quien ha sido declarada víctima de la violación de algún derecho reconocido en la misma. Por lo tanto, </w:t>
      </w:r>
      <w:r w:rsidR="007F0610">
        <w:rPr>
          <w:rFonts w:ascii="Verdana" w:hAnsi="Verdana"/>
          <w:sz w:val="20"/>
          <w:szCs w:val="20"/>
        </w:rPr>
        <w:t>el</w:t>
      </w:r>
      <w:r w:rsidRPr="005C1789">
        <w:rPr>
          <w:rFonts w:ascii="Verdana" w:hAnsi="Verdana"/>
          <w:sz w:val="20"/>
          <w:szCs w:val="20"/>
        </w:rPr>
        <w:t xml:space="preserve"> </w:t>
      </w:r>
      <w:r w:rsidR="007F0610">
        <w:rPr>
          <w:rFonts w:ascii="Verdana" w:hAnsi="Verdana"/>
          <w:sz w:val="20"/>
          <w:szCs w:val="20"/>
        </w:rPr>
        <w:t>Tribunal</w:t>
      </w:r>
      <w:r w:rsidRPr="005C1789">
        <w:rPr>
          <w:rFonts w:ascii="Verdana" w:hAnsi="Verdana"/>
          <w:sz w:val="20"/>
          <w:szCs w:val="20"/>
        </w:rPr>
        <w:t xml:space="preserve"> considera como “parte lesionada” a </w:t>
      </w:r>
      <w:r w:rsidR="00866EAA" w:rsidRPr="005C1789">
        <w:rPr>
          <w:rFonts w:ascii="Verdana" w:hAnsi="Verdana"/>
          <w:sz w:val="20"/>
          <w:szCs w:val="20"/>
        </w:rPr>
        <w:t xml:space="preserve">Jorge Marcial </w:t>
      </w:r>
      <w:proofErr w:type="spellStart"/>
      <w:r w:rsidR="00866EAA" w:rsidRPr="005C1789">
        <w:rPr>
          <w:rFonts w:ascii="Verdana" w:hAnsi="Verdana"/>
          <w:sz w:val="20"/>
          <w:szCs w:val="20"/>
        </w:rPr>
        <w:t>Tzompaxtle</w:t>
      </w:r>
      <w:proofErr w:type="spellEnd"/>
      <w:r w:rsidR="00866EAA" w:rsidRPr="005C1789">
        <w:rPr>
          <w:rFonts w:ascii="Verdana" w:hAnsi="Verdana"/>
          <w:sz w:val="20"/>
          <w:szCs w:val="20"/>
        </w:rPr>
        <w:t xml:space="preserve"> </w:t>
      </w:r>
      <w:proofErr w:type="spellStart"/>
      <w:r w:rsidR="00866EAA" w:rsidRPr="005C1789">
        <w:rPr>
          <w:rFonts w:ascii="Verdana" w:hAnsi="Verdana"/>
          <w:sz w:val="20"/>
          <w:szCs w:val="20"/>
        </w:rPr>
        <w:t>Tecpile</w:t>
      </w:r>
      <w:proofErr w:type="spellEnd"/>
      <w:r w:rsidR="00866EAA" w:rsidRPr="005C1789">
        <w:rPr>
          <w:rFonts w:ascii="Verdana" w:hAnsi="Verdana"/>
          <w:sz w:val="20"/>
          <w:szCs w:val="20"/>
        </w:rPr>
        <w:t xml:space="preserve">, Gerardo </w:t>
      </w:r>
      <w:proofErr w:type="spellStart"/>
      <w:r w:rsidR="00866EAA" w:rsidRPr="005C1789">
        <w:rPr>
          <w:rFonts w:ascii="Verdana" w:hAnsi="Verdana"/>
          <w:sz w:val="20"/>
          <w:szCs w:val="20"/>
        </w:rPr>
        <w:t>Tzompaxtle</w:t>
      </w:r>
      <w:proofErr w:type="spellEnd"/>
      <w:r w:rsidR="00866EAA" w:rsidRPr="005C1789">
        <w:rPr>
          <w:rFonts w:ascii="Verdana" w:hAnsi="Verdana"/>
          <w:sz w:val="20"/>
          <w:szCs w:val="20"/>
        </w:rPr>
        <w:t xml:space="preserve"> </w:t>
      </w:r>
      <w:proofErr w:type="spellStart"/>
      <w:r w:rsidR="00866EAA" w:rsidRPr="005C1789">
        <w:rPr>
          <w:rFonts w:ascii="Verdana" w:hAnsi="Verdana"/>
          <w:sz w:val="20"/>
          <w:szCs w:val="20"/>
        </w:rPr>
        <w:lastRenderedPageBreak/>
        <w:t>Tecpile</w:t>
      </w:r>
      <w:proofErr w:type="spellEnd"/>
      <w:r w:rsidR="00866EAA" w:rsidRPr="005C1789">
        <w:rPr>
          <w:rFonts w:ascii="Verdana" w:hAnsi="Verdana"/>
          <w:sz w:val="20"/>
          <w:szCs w:val="20"/>
        </w:rPr>
        <w:t xml:space="preserve"> y Gustavo Robles López</w:t>
      </w:r>
      <w:r w:rsidRPr="005C1789">
        <w:rPr>
          <w:rFonts w:ascii="Verdana" w:hAnsi="Verdana"/>
          <w:sz w:val="20"/>
          <w:szCs w:val="20"/>
        </w:rPr>
        <w:t>, quien</w:t>
      </w:r>
      <w:r w:rsidR="00B30BA4" w:rsidRPr="005C1789">
        <w:rPr>
          <w:rFonts w:ascii="Verdana" w:hAnsi="Verdana"/>
          <w:sz w:val="20"/>
          <w:szCs w:val="20"/>
        </w:rPr>
        <w:t>es</w:t>
      </w:r>
      <w:r w:rsidRPr="005C1789">
        <w:rPr>
          <w:rFonts w:ascii="Verdana" w:hAnsi="Verdana"/>
          <w:sz w:val="20"/>
          <w:szCs w:val="20"/>
        </w:rPr>
        <w:t xml:space="preserve"> en su carácter de víctima</w:t>
      </w:r>
      <w:r w:rsidR="00B30BA4" w:rsidRPr="005C1789">
        <w:rPr>
          <w:rFonts w:ascii="Verdana" w:hAnsi="Verdana"/>
          <w:sz w:val="20"/>
          <w:szCs w:val="20"/>
        </w:rPr>
        <w:t>s</w:t>
      </w:r>
      <w:r w:rsidRPr="005C1789">
        <w:rPr>
          <w:rFonts w:ascii="Verdana" w:hAnsi="Verdana"/>
          <w:sz w:val="20"/>
          <w:szCs w:val="20"/>
        </w:rPr>
        <w:t xml:space="preserve"> de las violaciones declaradas en el Capítulo </w:t>
      </w:r>
      <w:r w:rsidR="0093511A" w:rsidRPr="005C1789">
        <w:rPr>
          <w:rFonts w:ascii="Verdana" w:hAnsi="Verdana"/>
          <w:sz w:val="20"/>
          <w:szCs w:val="20"/>
        </w:rPr>
        <w:t>VII</w:t>
      </w:r>
      <w:r w:rsidR="00712EBB">
        <w:rPr>
          <w:rFonts w:ascii="Verdana" w:hAnsi="Verdana"/>
          <w:sz w:val="20"/>
          <w:szCs w:val="20"/>
        </w:rPr>
        <w:t>I</w:t>
      </w:r>
      <w:r w:rsidRPr="005C1789">
        <w:rPr>
          <w:rFonts w:ascii="Verdana" w:hAnsi="Verdana"/>
          <w:sz w:val="20"/>
          <w:szCs w:val="20"/>
        </w:rPr>
        <w:t xml:space="preserve"> </w:t>
      </w:r>
      <w:r w:rsidR="005751DA" w:rsidRPr="005C1789">
        <w:rPr>
          <w:rFonts w:ascii="Verdana" w:hAnsi="Verdana"/>
          <w:sz w:val="20"/>
          <w:szCs w:val="20"/>
        </w:rPr>
        <w:t>y en el Capítulo sobre Reconocimiento de Responsabilidad del Estado (</w:t>
      </w:r>
      <w:r w:rsidR="005751DA" w:rsidRPr="005C1789">
        <w:rPr>
          <w:rFonts w:ascii="Verdana" w:hAnsi="Verdana"/>
          <w:i/>
          <w:iCs/>
          <w:sz w:val="20"/>
          <w:szCs w:val="20"/>
        </w:rPr>
        <w:t>supra</w:t>
      </w:r>
      <w:r w:rsidR="005751DA" w:rsidRPr="005C1789">
        <w:rPr>
          <w:rFonts w:ascii="Verdana" w:hAnsi="Verdana"/>
          <w:sz w:val="20"/>
          <w:szCs w:val="20"/>
        </w:rPr>
        <w:t xml:space="preserve"> Capítulo IV), </w:t>
      </w:r>
      <w:r w:rsidRPr="005C1789">
        <w:rPr>
          <w:rFonts w:ascii="Verdana" w:hAnsi="Verdana"/>
          <w:sz w:val="20"/>
          <w:szCs w:val="20"/>
        </w:rPr>
        <w:t>será</w:t>
      </w:r>
      <w:r w:rsidR="00B30BA4" w:rsidRPr="005C1789">
        <w:rPr>
          <w:rFonts w:ascii="Verdana" w:hAnsi="Verdana"/>
          <w:sz w:val="20"/>
          <w:szCs w:val="20"/>
        </w:rPr>
        <w:t>n</w:t>
      </w:r>
      <w:r w:rsidRPr="005C1789">
        <w:rPr>
          <w:rFonts w:ascii="Verdana" w:hAnsi="Verdana"/>
          <w:sz w:val="20"/>
          <w:szCs w:val="20"/>
        </w:rPr>
        <w:t xml:space="preserve"> considerad</w:t>
      </w:r>
      <w:r w:rsidR="00B30BA4" w:rsidRPr="005C1789">
        <w:rPr>
          <w:rFonts w:ascii="Verdana" w:hAnsi="Verdana"/>
          <w:sz w:val="20"/>
          <w:szCs w:val="20"/>
        </w:rPr>
        <w:t>os</w:t>
      </w:r>
      <w:r w:rsidRPr="005C1789">
        <w:rPr>
          <w:rFonts w:ascii="Verdana" w:hAnsi="Verdana"/>
          <w:sz w:val="20"/>
          <w:szCs w:val="20"/>
        </w:rPr>
        <w:t xml:space="preserve"> beneficiari</w:t>
      </w:r>
      <w:r w:rsidR="00B30BA4" w:rsidRPr="005C1789">
        <w:rPr>
          <w:rFonts w:ascii="Verdana" w:hAnsi="Verdana"/>
          <w:sz w:val="20"/>
          <w:szCs w:val="20"/>
        </w:rPr>
        <w:t>os</w:t>
      </w:r>
      <w:r w:rsidRPr="005C1789">
        <w:rPr>
          <w:rFonts w:ascii="Verdana" w:hAnsi="Verdana"/>
          <w:sz w:val="20"/>
          <w:szCs w:val="20"/>
        </w:rPr>
        <w:t xml:space="preserve"> de las reparaciones que la Corte ordene</w:t>
      </w:r>
      <w:r w:rsidR="000B68D1" w:rsidRPr="005C1789">
        <w:rPr>
          <w:rFonts w:ascii="Verdana" w:hAnsi="Verdana"/>
          <w:sz w:val="20"/>
          <w:szCs w:val="20"/>
        </w:rPr>
        <w:t>.</w:t>
      </w:r>
      <w:r w:rsidR="00460F08" w:rsidRPr="005C1789">
        <w:rPr>
          <w:rFonts w:ascii="Verdana" w:hAnsi="Verdana"/>
          <w:sz w:val="20"/>
          <w:szCs w:val="20"/>
        </w:rPr>
        <w:t xml:space="preserve"> </w:t>
      </w:r>
      <w:r w:rsidR="00D164B4" w:rsidRPr="005C1789">
        <w:rPr>
          <w:rFonts w:ascii="Verdana" w:hAnsi="Verdana"/>
          <w:sz w:val="20"/>
          <w:szCs w:val="20"/>
        </w:rPr>
        <w:t>Por otra parte, esta Corte nota que, según informaron los representantes, Gustavo Robles López falleció el 26 de noviembre de 2015 (</w:t>
      </w:r>
      <w:r w:rsidR="00D164B4" w:rsidRPr="005C1789">
        <w:rPr>
          <w:rFonts w:ascii="Verdana" w:hAnsi="Verdana"/>
          <w:i/>
          <w:iCs/>
          <w:sz w:val="20"/>
          <w:szCs w:val="20"/>
        </w:rPr>
        <w:t>supra</w:t>
      </w:r>
      <w:r w:rsidR="00D164B4" w:rsidRPr="005C1789">
        <w:rPr>
          <w:rFonts w:ascii="Verdana" w:hAnsi="Verdana"/>
          <w:sz w:val="20"/>
          <w:szCs w:val="20"/>
        </w:rPr>
        <w:t xml:space="preserve"> párr. </w:t>
      </w:r>
      <w:r w:rsidR="00E35019" w:rsidRPr="005C1789">
        <w:rPr>
          <w:rFonts w:ascii="Verdana" w:hAnsi="Verdana"/>
          <w:sz w:val="20"/>
          <w:szCs w:val="20"/>
        </w:rPr>
        <w:t xml:space="preserve">79) </w:t>
      </w:r>
      <w:r w:rsidR="00D164B4" w:rsidRPr="005C1789">
        <w:rPr>
          <w:rFonts w:ascii="Verdana" w:hAnsi="Verdana"/>
          <w:sz w:val="20"/>
          <w:szCs w:val="20"/>
        </w:rPr>
        <w:t xml:space="preserve">“por lo que sus intereses, en lo que corresponde, son ejercidos por sus derechohabientes: la señora </w:t>
      </w:r>
      <w:proofErr w:type="spellStart"/>
      <w:r w:rsidR="00D164B4" w:rsidRPr="005C1789">
        <w:rPr>
          <w:rFonts w:ascii="Verdana" w:hAnsi="Verdana"/>
          <w:sz w:val="20"/>
          <w:szCs w:val="20"/>
        </w:rPr>
        <w:t>Anacely</w:t>
      </w:r>
      <w:proofErr w:type="spellEnd"/>
      <w:r w:rsidR="00D164B4" w:rsidRPr="005C1789">
        <w:rPr>
          <w:rFonts w:ascii="Verdana" w:hAnsi="Verdana"/>
          <w:sz w:val="20"/>
          <w:szCs w:val="20"/>
        </w:rPr>
        <w:t xml:space="preserve"> Martínez García, su compañera permanente, y el señor David Martínez García, hijo de ambos”. </w:t>
      </w:r>
    </w:p>
    <w:p w14:paraId="4F672E15" w14:textId="79DDEC8A" w:rsidR="00460F08" w:rsidRPr="005C1789" w:rsidRDefault="00460F0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Del mismo modo, y sin perjuicio de lo anterior</w:t>
      </w:r>
      <w:r w:rsidRPr="005C1789">
        <w:rPr>
          <w:rFonts w:ascii="Verdana" w:hAnsi="Verdana"/>
          <w:sz w:val="20"/>
          <w:szCs w:val="20"/>
          <w:lang w:val="es-ES"/>
        </w:rPr>
        <w:t xml:space="preserve">, la Corte nota que </w:t>
      </w:r>
      <w:r w:rsidRPr="005C1789">
        <w:rPr>
          <w:rFonts w:ascii="Verdana" w:hAnsi="Verdana"/>
          <w:sz w:val="20"/>
          <w:szCs w:val="20"/>
        </w:rPr>
        <w:t xml:space="preserve">en el </w:t>
      </w:r>
      <w:r w:rsidR="00586406" w:rsidRPr="005C1789">
        <w:rPr>
          <w:rFonts w:ascii="Verdana" w:hAnsi="Verdana"/>
          <w:sz w:val="20"/>
          <w:szCs w:val="20"/>
        </w:rPr>
        <w:t>Acta</w:t>
      </w:r>
      <w:r w:rsidRPr="005C1789">
        <w:rPr>
          <w:rFonts w:ascii="Verdana" w:hAnsi="Verdana"/>
          <w:sz w:val="20"/>
          <w:szCs w:val="20"/>
        </w:rPr>
        <w:t xml:space="preserve"> de Entendimiento, las partes acordaron que se reconocerá como víctimas directas a los señores Jorge Marcial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Gerardo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y los derechohabientes del fallecido Gustavo Robles López” y que “[e]n este sentido, se solicitará a la Comisión Ejecutiva de Atención a Víctimas que, con base en el "Título Cuarto" de la Ley General de Víctimas, se lleven a cabo las gestiones necesarias para inscribir a dichas personas en el Registro Nacional de Víctimas, a fin de permitirles acceder a las medidas de asistencia y atención establecidas en la citada ley”</w:t>
      </w:r>
      <w:r w:rsidRPr="005C1789">
        <w:rPr>
          <w:rStyle w:val="Refdenotaalpie"/>
          <w:rFonts w:ascii="Verdana" w:hAnsi="Verdana"/>
          <w:sz w:val="20"/>
        </w:rPr>
        <w:footnoteReference w:id="157"/>
      </w:r>
      <w:r w:rsidRPr="005C1789">
        <w:rPr>
          <w:rFonts w:ascii="Verdana" w:hAnsi="Verdana"/>
          <w:sz w:val="20"/>
          <w:szCs w:val="20"/>
        </w:rPr>
        <w:t>. De conformidad con lo anterior, y e</w:t>
      </w:r>
      <w:r w:rsidRPr="005C1789">
        <w:rPr>
          <w:rFonts w:ascii="Verdana" w:hAnsi="Verdana"/>
          <w:sz w:val="20"/>
          <w:szCs w:val="20"/>
          <w:lang w:val="es-ES"/>
        </w:rPr>
        <w:t xml:space="preserve">n virtud del amplio reconocimiento de responsabilidad del Estado y del espíritu y alcance del acuerdo a favor de las familiares de la referida víctima, el Tribunal reconoce el acuerdo en este aspecto y considerará a </w:t>
      </w:r>
      <w:proofErr w:type="spellStart"/>
      <w:r w:rsidRPr="005C1789">
        <w:rPr>
          <w:rFonts w:ascii="Verdana" w:hAnsi="Verdana"/>
          <w:sz w:val="20"/>
          <w:szCs w:val="20"/>
          <w:lang w:val="es-ES"/>
        </w:rPr>
        <w:t>Anacely</w:t>
      </w:r>
      <w:proofErr w:type="spellEnd"/>
      <w:r w:rsidRPr="005C1789">
        <w:rPr>
          <w:rFonts w:ascii="Verdana" w:hAnsi="Verdana"/>
          <w:sz w:val="20"/>
          <w:szCs w:val="20"/>
          <w:lang w:val="es-ES"/>
        </w:rPr>
        <w:t xml:space="preserve"> Martínez García y a David Martínez García como beneficiarios de las medidas de reparación dispuestas en el </w:t>
      </w:r>
      <w:r w:rsidR="00586406" w:rsidRPr="005C1789">
        <w:rPr>
          <w:rFonts w:ascii="Verdana" w:hAnsi="Verdana"/>
          <w:sz w:val="20"/>
          <w:szCs w:val="20"/>
        </w:rPr>
        <w:t>Acta</w:t>
      </w:r>
      <w:r w:rsidRPr="005C1789">
        <w:rPr>
          <w:rFonts w:ascii="Verdana" w:hAnsi="Verdana"/>
          <w:sz w:val="20"/>
          <w:szCs w:val="20"/>
        </w:rPr>
        <w:t xml:space="preserve"> de Entendimiento.</w:t>
      </w:r>
    </w:p>
    <w:p w14:paraId="3B9A3BF3" w14:textId="0C143AC2" w:rsidR="00C93CC8" w:rsidRPr="005C1789" w:rsidRDefault="00C93CC8" w:rsidP="00955888">
      <w:pPr>
        <w:pStyle w:val="Ttulo2"/>
        <w:numPr>
          <w:ilvl w:val="0"/>
          <w:numId w:val="9"/>
        </w:numPr>
        <w:spacing w:before="240" w:after="240"/>
        <w:rPr>
          <w:rFonts w:ascii="Verdana" w:hAnsi="Verdana"/>
          <w:i/>
          <w:color w:val="auto"/>
          <w:sz w:val="20"/>
          <w:szCs w:val="20"/>
        </w:rPr>
      </w:pPr>
      <w:bookmarkStart w:id="133" w:name="_Toc114828521"/>
      <w:bookmarkStart w:id="134" w:name="_Toc114926483"/>
      <w:bookmarkStart w:id="135" w:name="_Toc114828522"/>
      <w:bookmarkStart w:id="136" w:name="_Toc114926484"/>
      <w:bookmarkStart w:id="137" w:name="_Toc123347554"/>
      <w:bookmarkStart w:id="138" w:name="_Ref33110014"/>
      <w:bookmarkEnd w:id="133"/>
      <w:bookmarkEnd w:id="134"/>
      <w:bookmarkEnd w:id="135"/>
      <w:bookmarkEnd w:id="136"/>
      <w:r w:rsidRPr="005C1789">
        <w:rPr>
          <w:rFonts w:ascii="Verdana" w:hAnsi="Verdana"/>
          <w:i/>
          <w:color w:val="auto"/>
          <w:sz w:val="20"/>
          <w:szCs w:val="20"/>
        </w:rPr>
        <w:t>Garantías de no repetición</w:t>
      </w:r>
      <w:bookmarkEnd w:id="137"/>
      <w:r w:rsidRPr="005C1789">
        <w:rPr>
          <w:rFonts w:ascii="Verdana" w:hAnsi="Verdana"/>
          <w:i/>
          <w:color w:val="auto"/>
          <w:sz w:val="20"/>
          <w:szCs w:val="20"/>
        </w:rPr>
        <w:t xml:space="preserve"> </w:t>
      </w:r>
    </w:p>
    <w:p w14:paraId="26FAAE19" w14:textId="478437A5" w:rsidR="00C93CC8" w:rsidRPr="005C1789" w:rsidRDefault="00C93CC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w:t>
      </w:r>
      <w:r w:rsidRPr="005C1789">
        <w:rPr>
          <w:rFonts w:ascii="Verdana" w:hAnsi="Verdana"/>
          <w:b/>
          <w:i/>
          <w:sz w:val="20"/>
          <w:szCs w:val="20"/>
        </w:rPr>
        <w:t>Comisión</w:t>
      </w:r>
      <w:r w:rsidRPr="005C1789">
        <w:rPr>
          <w:rFonts w:ascii="Verdana" w:hAnsi="Verdana"/>
          <w:sz w:val="20"/>
          <w:szCs w:val="20"/>
        </w:rPr>
        <w:t xml:space="preserve"> solicitó que se ordenara adecuar “el ordenamiento jurídico interno, incluyendo las normas constitucionales y legales que mantengan la figura del arraigo, a fin de eliminar definitivamente dicha figura”. Mientras ello ocurre, “asegurar que los operadores jurídicos llamados a aplicar la figura de</w:t>
      </w:r>
      <w:r w:rsidR="00335AA8" w:rsidRPr="005C1789">
        <w:rPr>
          <w:rFonts w:ascii="Verdana" w:hAnsi="Verdana"/>
          <w:sz w:val="20"/>
          <w:szCs w:val="20"/>
        </w:rPr>
        <w:t>l</w:t>
      </w:r>
      <w:r w:rsidRPr="005C1789">
        <w:rPr>
          <w:rFonts w:ascii="Verdana" w:hAnsi="Verdana"/>
          <w:sz w:val="20"/>
          <w:szCs w:val="20"/>
        </w:rPr>
        <w:t xml:space="preserve"> </w:t>
      </w:r>
      <w:proofErr w:type="gramStart"/>
      <w:r w:rsidRPr="005C1789">
        <w:rPr>
          <w:rFonts w:ascii="Verdana" w:hAnsi="Verdana"/>
          <w:sz w:val="20"/>
          <w:szCs w:val="20"/>
        </w:rPr>
        <w:t>arraigo,</w:t>
      </w:r>
      <w:proofErr w:type="gramEnd"/>
      <w:r w:rsidRPr="005C1789">
        <w:rPr>
          <w:rFonts w:ascii="Verdana" w:hAnsi="Verdana"/>
          <w:sz w:val="20"/>
          <w:szCs w:val="20"/>
        </w:rPr>
        <w:t xml:space="preserve"> la inapliquen mediante un debido control de convencionalidad, a la luz de los estándares establecidos en el presente informe”.</w:t>
      </w:r>
    </w:p>
    <w:p w14:paraId="79F5C03B" w14:textId="6114A353" w:rsidR="00C93CC8" w:rsidRPr="005C1789" w:rsidRDefault="00C93CC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su parte, los </w:t>
      </w:r>
      <w:r w:rsidRPr="005C1789">
        <w:rPr>
          <w:rFonts w:ascii="Verdana" w:hAnsi="Verdana"/>
          <w:b/>
          <w:bCs/>
          <w:i/>
          <w:iCs/>
          <w:sz w:val="20"/>
          <w:szCs w:val="20"/>
        </w:rPr>
        <w:t>representantes</w:t>
      </w:r>
      <w:r w:rsidRPr="005C1789">
        <w:rPr>
          <w:rFonts w:ascii="Verdana" w:hAnsi="Verdana"/>
          <w:sz w:val="20"/>
          <w:szCs w:val="20"/>
        </w:rPr>
        <w:t xml:space="preserve"> solicitaron que se ordene al Estado la adecuación de su ordenamiento </w:t>
      </w:r>
      <w:r w:rsidR="00636B2C">
        <w:rPr>
          <w:rFonts w:ascii="Verdana" w:hAnsi="Verdana"/>
          <w:sz w:val="20"/>
          <w:szCs w:val="20"/>
        </w:rPr>
        <w:t xml:space="preserve">jurídico </w:t>
      </w:r>
      <w:r w:rsidRPr="005C1789">
        <w:rPr>
          <w:rFonts w:ascii="Verdana" w:hAnsi="Verdana"/>
          <w:sz w:val="20"/>
          <w:szCs w:val="20"/>
        </w:rPr>
        <w:t xml:space="preserve">interno, incluyendo las normas constitucionales y legales, a fin de eliminar definitivamente las figuras legales del arraigo y de la prisión preventiva </w:t>
      </w:r>
      <w:r w:rsidR="003639DB" w:rsidRPr="005C1789">
        <w:rPr>
          <w:rFonts w:ascii="Verdana" w:hAnsi="Verdana"/>
          <w:sz w:val="20"/>
          <w:szCs w:val="20"/>
        </w:rPr>
        <w:t>oficiosa</w:t>
      </w:r>
      <w:r w:rsidRPr="005C1789">
        <w:rPr>
          <w:rFonts w:ascii="Verdana" w:hAnsi="Verdana"/>
          <w:sz w:val="20"/>
          <w:szCs w:val="20"/>
        </w:rPr>
        <w:t>.</w:t>
      </w:r>
      <w:r w:rsidR="00023E34" w:rsidRPr="005C1789">
        <w:rPr>
          <w:rFonts w:ascii="Verdana" w:hAnsi="Verdana"/>
          <w:sz w:val="20"/>
          <w:szCs w:val="20"/>
        </w:rPr>
        <w:t xml:space="preserve"> </w:t>
      </w:r>
      <w:r w:rsidRPr="005C1789">
        <w:rPr>
          <w:rFonts w:ascii="Verdana" w:hAnsi="Verdana"/>
          <w:sz w:val="20"/>
          <w:szCs w:val="20"/>
        </w:rPr>
        <w:t xml:space="preserve">Agregaron que esta medida es conducente a pesar de que hayan ocurrido modificaciones legislativas desde la época de los hechos hasta la actualidad, ya que las mismas no han purgado </w:t>
      </w:r>
      <w:r w:rsidR="00E22888">
        <w:rPr>
          <w:rFonts w:ascii="Verdana" w:hAnsi="Verdana"/>
          <w:sz w:val="20"/>
          <w:szCs w:val="20"/>
        </w:rPr>
        <w:t>“</w:t>
      </w:r>
      <w:r w:rsidRPr="005C1789">
        <w:rPr>
          <w:rFonts w:ascii="Verdana" w:hAnsi="Verdana"/>
          <w:sz w:val="20"/>
          <w:szCs w:val="20"/>
        </w:rPr>
        <w:t>los efectos nocivos</w:t>
      </w:r>
      <w:r w:rsidR="00E22888">
        <w:rPr>
          <w:rFonts w:ascii="Verdana" w:hAnsi="Verdana"/>
          <w:sz w:val="20"/>
          <w:szCs w:val="20"/>
        </w:rPr>
        <w:t>”</w:t>
      </w:r>
      <w:r w:rsidRPr="005C1789">
        <w:rPr>
          <w:rFonts w:ascii="Verdana" w:hAnsi="Verdana"/>
          <w:sz w:val="20"/>
          <w:szCs w:val="20"/>
        </w:rPr>
        <w:t xml:space="preserve"> de las figuras bajo análisis y no han significado un cumplimiento al deber de adoptar disposiciones de derecho interno. Sostuvieron que “en tanto no se cumpla con esta medida legislativa, los operadores jurídicos nacionales, en particular </w:t>
      </w:r>
      <w:proofErr w:type="gramStart"/>
      <w:r w:rsidRPr="005C1789">
        <w:rPr>
          <w:rFonts w:ascii="Verdana" w:hAnsi="Verdana"/>
          <w:sz w:val="20"/>
          <w:szCs w:val="20"/>
        </w:rPr>
        <w:t>las juezas y los jueces</w:t>
      </w:r>
      <w:proofErr w:type="gramEnd"/>
      <w:r w:rsidRPr="005C1789">
        <w:rPr>
          <w:rFonts w:ascii="Verdana" w:hAnsi="Verdana"/>
          <w:sz w:val="20"/>
          <w:szCs w:val="20"/>
        </w:rPr>
        <w:t xml:space="preserve">, deben ejercer un control de la convencionalidad de las figuras e </w:t>
      </w:r>
      <w:proofErr w:type="spellStart"/>
      <w:r w:rsidRPr="005C1789">
        <w:rPr>
          <w:rFonts w:ascii="Verdana" w:hAnsi="Verdana"/>
          <w:sz w:val="20"/>
          <w:szCs w:val="20"/>
        </w:rPr>
        <w:t>inaplicarlas</w:t>
      </w:r>
      <w:proofErr w:type="spellEnd"/>
      <w:r w:rsidRPr="005C1789">
        <w:rPr>
          <w:rFonts w:ascii="Verdana" w:hAnsi="Verdana"/>
          <w:sz w:val="20"/>
          <w:szCs w:val="20"/>
        </w:rPr>
        <w:t xml:space="preserve"> en todos los casos que conozcan, pudiendo aplicar medidas no lesivas de derechos humanos como la prisión preventiva justificada y otras medidas de carácter cautelar”.</w:t>
      </w:r>
    </w:p>
    <w:p w14:paraId="07E4162E" w14:textId="16F317BB" w:rsidR="00992E0B" w:rsidRPr="005C1789" w:rsidRDefault="00C93CC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w:t>
      </w:r>
      <w:r w:rsidRPr="005C1789">
        <w:rPr>
          <w:rFonts w:ascii="Verdana" w:hAnsi="Verdana"/>
          <w:b/>
          <w:i/>
          <w:sz w:val="20"/>
          <w:szCs w:val="20"/>
        </w:rPr>
        <w:t>Estado</w:t>
      </w:r>
      <w:r w:rsidRPr="005C1789">
        <w:rPr>
          <w:rFonts w:ascii="Verdana" w:hAnsi="Verdana"/>
          <w:sz w:val="20"/>
          <w:szCs w:val="20"/>
        </w:rPr>
        <w:t xml:space="preserve">, </w:t>
      </w:r>
      <w:r w:rsidR="00992E0B" w:rsidRPr="005C1789">
        <w:rPr>
          <w:rFonts w:ascii="Verdana" w:hAnsi="Verdana"/>
          <w:sz w:val="20"/>
          <w:szCs w:val="20"/>
        </w:rPr>
        <w:t>manifestó “su apertura para el debate público de los mecanismos de control y restricciones de la figura del arraigo luego de su transformación a partir de la entrada en vigor del sistema penal acusatorio”. Para dicho efecto propuso la “organización de un parlamento abierto”, en el que “se incluyan la diversidad de posturas respecto de esta figura, tanto de las propias autoridades del Estado como de la sociedad civil”. Además, invitó a la representación de las víctimas a participar en la planeación de este proceso. Agregó, que “la propuesta de parlamento abierto busca generar un diálogo democrático en el seno del Congreso de la Unión, que incluyan la diversidad de voces respecto del arraigo, particularmente aquellas dentro del propio Estado, como la SCJN, el Poder Legislativo, las autoridades administrativas a nivel federal y la sociedad civil que están en contra de esta figura jurídica”. Sostuvo, que este mecanismo “podría dar como resultado, de manera democrática, la eliminación del arraigo, por lo que se considera el mecanismo idóneo para el cumplimiento del mencionado compromiso del Estado en el Acta de Entendimiento de 2020”.</w:t>
      </w:r>
    </w:p>
    <w:p w14:paraId="06E2111E" w14:textId="7DE5DB93" w:rsidR="00992E0B" w:rsidRPr="005C1789" w:rsidRDefault="00992E0B"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lastRenderedPageBreak/>
        <w:t xml:space="preserve">Por lo que hace a la eliminación de la figura de la prisión preventiva oficiosa, el Estado indicó que “no resulta aceptable esta pretensión” puesto que tanto la representación como la Comisión, “han fallado en demostrar cómo la aplicación de la figura de la prisión preventiva fue violatoria del derecho de la libertad personal de los señores Jorge Marcial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Gerardo </w:t>
      </w:r>
      <w:proofErr w:type="spellStart"/>
      <w:r w:rsidRPr="005C1789">
        <w:rPr>
          <w:rFonts w:ascii="Verdana" w:hAnsi="Verdana"/>
          <w:sz w:val="20"/>
          <w:szCs w:val="20"/>
        </w:rPr>
        <w:t>Tzompaxtle</w:t>
      </w:r>
      <w:proofErr w:type="spellEnd"/>
      <w:r w:rsidRPr="005C1789">
        <w:rPr>
          <w:rFonts w:ascii="Verdana" w:hAnsi="Verdana"/>
          <w:sz w:val="20"/>
          <w:szCs w:val="20"/>
        </w:rPr>
        <w:t xml:space="preserve"> </w:t>
      </w:r>
      <w:proofErr w:type="spellStart"/>
      <w:r w:rsidRPr="005C1789">
        <w:rPr>
          <w:rFonts w:ascii="Verdana" w:hAnsi="Verdana"/>
          <w:sz w:val="20"/>
          <w:szCs w:val="20"/>
        </w:rPr>
        <w:t>Tecpile</w:t>
      </w:r>
      <w:proofErr w:type="spellEnd"/>
      <w:r w:rsidRPr="005C1789">
        <w:rPr>
          <w:rFonts w:ascii="Verdana" w:hAnsi="Verdana"/>
          <w:sz w:val="20"/>
          <w:szCs w:val="20"/>
        </w:rPr>
        <w:t xml:space="preserve"> y Gustavo Robles López, por lo que la Corte no podría analizar la figura jurídica</w:t>
      </w:r>
      <w:r w:rsidR="00BC3A48" w:rsidRPr="005C1789">
        <w:rPr>
          <w:rFonts w:ascii="Verdana" w:hAnsi="Verdana"/>
          <w:sz w:val="20"/>
          <w:szCs w:val="20"/>
        </w:rPr>
        <w:t xml:space="preserve"> </w:t>
      </w:r>
      <w:r w:rsidRPr="005C1789">
        <w:rPr>
          <w:rFonts w:ascii="Verdana" w:hAnsi="Verdana"/>
          <w:sz w:val="20"/>
          <w:szCs w:val="20"/>
        </w:rPr>
        <w:t xml:space="preserve">en su totalidad derivada de un caso particular en el cual no </w:t>
      </w:r>
      <w:r w:rsidR="00BC2877" w:rsidRPr="005C1789">
        <w:rPr>
          <w:rFonts w:ascii="Verdana" w:hAnsi="Verdana"/>
          <w:sz w:val="20"/>
          <w:szCs w:val="20"/>
        </w:rPr>
        <w:t>existió</w:t>
      </w:r>
      <w:r w:rsidRPr="005C1789">
        <w:rPr>
          <w:rFonts w:ascii="Verdana" w:hAnsi="Verdana"/>
          <w:sz w:val="20"/>
          <w:szCs w:val="20"/>
        </w:rPr>
        <w:t xml:space="preserve"> la violación</w:t>
      </w:r>
      <w:r w:rsidR="00BC3A48" w:rsidRPr="005C1789">
        <w:rPr>
          <w:rFonts w:ascii="Verdana" w:hAnsi="Verdana"/>
          <w:sz w:val="20"/>
          <w:szCs w:val="20"/>
        </w:rPr>
        <w:t xml:space="preserve"> </w:t>
      </w:r>
      <w:r w:rsidRPr="005C1789">
        <w:rPr>
          <w:rFonts w:ascii="Verdana" w:hAnsi="Verdana"/>
          <w:sz w:val="20"/>
          <w:szCs w:val="20"/>
        </w:rPr>
        <w:t>alegada</w:t>
      </w:r>
      <w:r w:rsidR="00BC3A48" w:rsidRPr="005C1789">
        <w:rPr>
          <w:rFonts w:ascii="Verdana" w:hAnsi="Verdana"/>
          <w:sz w:val="20"/>
          <w:szCs w:val="20"/>
        </w:rPr>
        <w:t>”</w:t>
      </w:r>
      <w:r w:rsidRPr="005C1789">
        <w:rPr>
          <w:rFonts w:ascii="Verdana" w:hAnsi="Verdana"/>
          <w:sz w:val="20"/>
          <w:szCs w:val="20"/>
        </w:rPr>
        <w:t xml:space="preserve">. </w:t>
      </w:r>
      <w:r w:rsidR="00BC3A48" w:rsidRPr="005C1789">
        <w:rPr>
          <w:rFonts w:ascii="Verdana" w:hAnsi="Verdana"/>
          <w:sz w:val="20"/>
          <w:szCs w:val="20"/>
        </w:rPr>
        <w:t>Sostuvo asimismo que l</w:t>
      </w:r>
      <w:r w:rsidRPr="005C1789">
        <w:rPr>
          <w:rFonts w:ascii="Verdana" w:hAnsi="Verdana"/>
          <w:sz w:val="20"/>
          <w:szCs w:val="20"/>
        </w:rPr>
        <w:t>o anterior se refuerza con las conclusiones del informe de fondo de la</w:t>
      </w:r>
      <w:r w:rsidR="00BC3A48" w:rsidRPr="005C1789">
        <w:rPr>
          <w:rFonts w:ascii="Verdana" w:hAnsi="Verdana"/>
          <w:sz w:val="20"/>
          <w:szCs w:val="20"/>
        </w:rPr>
        <w:t xml:space="preserve"> </w:t>
      </w:r>
      <w:r w:rsidRPr="005C1789">
        <w:rPr>
          <w:rFonts w:ascii="Verdana" w:hAnsi="Verdana"/>
          <w:sz w:val="20"/>
          <w:szCs w:val="20"/>
        </w:rPr>
        <w:t>Comisión</w:t>
      </w:r>
      <w:r w:rsidR="00BC3A48" w:rsidRPr="005C1789">
        <w:rPr>
          <w:rFonts w:ascii="Verdana" w:hAnsi="Verdana"/>
          <w:sz w:val="20"/>
          <w:szCs w:val="20"/>
        </w:rPr>
        <w:t>,</w:t>
      </w:r>
      <w:r w:rsidRPr="005C1789">
        <w:rPr>
          <w:rFonts w:ascii="Verdana" w:hAnsi="Verdana"/>
          <w:sz w:val="20"/>
          <w:szCs w:val="20"/>
        </w:rPr>
        <w:t xml:space="preserve"> </w:t>
      </w:r>
      <w:r w:rsidR="00BC3A48" w:rsidRPr="005C1789">
        <w:rPr>
          <w:rFonts w:ascii="Verdana" w:hAnsi="Verdana"/>
          <w:sz w:val="20"/>
          <w:szCs w:val="20"/>
        </w:rPr>
        <w:t>“</w:t>
      </w:r>
      <w:r w:rsidRPr="005C1789">
        <w:rPr>
          <w:rFonts w:ascii="Verdana" w:hAnsi="Verdana"/>
          <w:sz w:val="20"/>
          <w:szCs w:val="20"/>
        </w:rPr>
        <w:t>la cual no consideró necesaria esta recomendación</w:t>
      </w:r>
      <w:r w:rsidR="00BC3A48" w:rsidRPr="005C1789">
        <w:rPr>
          <w:rFonts w:ascii="Verdana" w:hAnsi="Verdana"/>
          <w:sz w:val="20"/>
          <w:szCs w:val="20"/>
        </w:rPr>
        <w:t>”</w:t>
      </w:r>
      <w:r w:rsidRPr="005C1789">
        <w:rPr>
          <w:rFonts w:ascii="Verdana" w:hAnsi="Verdana"/>
          <w:sz w:val="20"/>
          <w:szCs w:val="20"/>
        </w:rPr>
        <w:t>.</w:t>
      </w:r>
    </w:p>
    <w:p w14:paraId="52DC11B0" w14:textId="408714E8" w:rsidR="00BC3A48" w:rsidRPr="005C1789" w:rsidRDefault="00BC3A4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lo que se refiere a esta solicitud, la </w:t>
      </w:r>
      <w:r w:rsidRPr="005C1789">
        <w:rPr>
          <w:rFonts w:ascii="Verdana" w:hAnsi="Verdana"/>
          <w:b/>
          <w:bCs/>
          <w:i/>
          <w:iCs/>
          <w:sz w:val="20"/>
          <w:szCs w:val="20"/>
        </w:rPr>
        <w:t>Corte</w:t>
      </w:r>
      <w:r w:rsidRPr="005C1789">
        <w:rPr>
          <w:rFonts w:ascii="Verdana" w:hAnsi="Verdana"/>
          <w:sz w:val="20"/>
          <w:szCs w:val="20"/>
        </w:rPr>
        <w:t xml:space="preserve"> advierte en primer término que en el Acta de Entendimiento, el Estado señaló que “se compromete a realizar gestiones para el impulso legislativo relacionado con la eliminación de la figura del arraigo de la normatividad mexicana, para lo cual se llevarán a cabo foros en coordinación con el Congreso de la Unión”. </w:t>
      </w:r>
    </w:p>
    <w:p w14:paraId="724E1A34" w14:textId="5BB6FDF5" w:rsidR="00E54E0E" w:rsidRPr="005C1789" w:rsidRDefault="00BC3A4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otra parte, el Tribunal constata que la solicitud de reparación presentada por los representantes, relacionada con </w:t>
      </w:r>
      <w:r w:rsidR="00443B8F" w:rsidRPr="005C1789">
        <w:rPr>
          <w:rFonts w:ascii="Verdana" w:hAnsi="Verdana"/>
          <w:sz w:val="20"/>
          <w:szCs w:val="20"/>
        </w:rPr>
        <w:t>una re</w:t>
      </w:r>
      <w:r w:rsidRPr="005C1789">
        <w:rPr>
          <w:rFonts w:ascii="Verdana" w:hAnsi="Verdana"/>
          <w:sz w:val="20"/>
          <w:szCs w:val="20"/>
        </w:rPr>
        <w:t>forma normativa</w:t>
      </w:r>
      <w:r w:rsidR="00443B8F" w:rsidRPr="005C1789">
        <w:rPr>
          <w:rFonts w:ascii="Verdana" w:hAnsi="Verdana"/>
          <w:sz w:val="20"/>
          <w:szCs w:val="20"/>
        </w:rPr>
        <w:t>,</w:t>
      </w:r>
      <w:r w:rsidRPr="005C1789">
        <w:rPr>
          <w:rFonts w:ascii="Verdana" w:hAnsi="Verdana"/>
          <w:sz w:val="20"/>
          <w:szCs w:val="20"/>
        </w:rPr>
        <w:t xml:space="preserve"> se refiere tanto a la figura del arraigo como a la figura de la prisión preventiva </w:t>
      </w:r>
      <w:r w:rsidR="00443B8F" w:rsidRPr="005C1789">
        <w:rPr>
          <w:rFonts w:ascii="Verdana" w:hAnsi="Verdana"/>
          <w:sz w:val="20"/>
          <w:szCs w:val="20"/>
        </w:rPr>
        <w:t>(</w:t>
      </w:r>
      <w:r w:rsidR="00443B8F" w:rsidRPr="005C1789">
        <w:rPr>
          <w:rFonts w:ascii="Verdana" w:hAnsi="Verdana"/>
          <w:i/>
          <w:iCs/>
          <w:sz w:val="20"/>
          <w:szCs w:val="20"/>
        </w:rPr>
        <w:t>supra</w:t>
      </w:r>
      <w:r w:rsidR="00443B8F" w:rsidRPr="005C1789">
        <w:rPr>
          <w:rFonts w:ascii="Verdana" w:hAnsi="Verdana"/>
          <w:sz w:val="20"/>
          <w:szCs w:val="20"/>
        </w:rPr>
        <w:t xml:space="preserve"> párr. </w:t>
      </w:r>
      <w:r w:rsidR="00F6168A" w:rsidRPr="005C1789">
        <w:rPr>
          <w:rFonts w:ascii="Verdana" w:hAnsi="Verdana"/>
          <w:sz w:val="20"/>
          <w:szCs w:val="20"/>
        </w:rPr>
        <w:t xml:space="preserve">204). </w:t>
      </w:r>
      <w:r w:rsidR="00443B8F" w:rsidRPr="005C1789">
        <w:rPr>
          <w:rFonts w:ascii="Verdana" w:hAnsi="Verdana"/>
          <w:sz w:val="20"/>
          <w:szCs w:val="20"/>
        </w:rPr>
        <w:t>Con respecto a ello, corresponde recordar que en</w:t>
      </w:r>
      <w:r w:rsidR="00177F40" w:rsidRPr="005C1789">
        <w:rPr>
          <w:rFonts w:ascii="Verdana" w:hAnsi="Verdana"/>
          <w:sz w:val="20"/>
          <w:szCs w:val="20"/>
        </w:rPr>
        <w:t xml:space="preserve"> el</w:t>
      </w:r>
      <w:r w:rsidR="00443B8F" w:rsidRPr="005C1789">
        <w:rPr>
          <w:rFonts w:ascii="Verdana" w:hAnsi="Verdana"/>
          <w:sz w:val="20"/>
          <w:szCs w:val="20"/>
        </w:rPr>
        <w:t xml:space="preserve"> Capítulo VIII.1 de esta Sentencia, la Corte concluyó que el Estado es responsable por una violación a su obligación de adoptar disposiciones de derecho interno contenida en el artículo 2 de la Convención Americana en relación con el derecho a la libertad personal y a la presunción de inocencia </w:t>
      </w:r>
      <w:r w:rsidR="00CF0AC7">
        <w:rPr>
          <w:rFonts w:ascii="Verdana" w:hAnsi="Verdana"/>
          <w:sz w:val="20"/>
          <w:szCs w:val="20"/>
        </w:rPr>
        <w:t>(</w:t>
      </w:r>
      <w:r w:rsidR="00443B8F" w:rsidRPr="005C1789">
        <w:rPr>
          <w:rFonts w:ascii="Verdana" w:hAnsi="Verdana"/>
          <w:sz w:val="20"/>
          <w:szCs w:val="20"/>
        </w:rPr>
        <w:t>artículos 7 y 8.2 del mismo instrumento</w:t>
      </w:r>
      <w:r w:rsidR="00CF0AC7">
        <w:rPr>
          <w:rFonts w:ascii="Verdana" w:hAnsi="Verdana"/>
          <w:sz w:val="20"/>
          <w:szCs w:val="20"/>
        </w:rPr>
        <w:t>)</w:t>
      </w:r>
      <w:r w:rsidR="00443B8F" w:rsidRPr="005C1789">
        <w:rPr>
          <w:rFonts w:ascii="Verdana" w:hAnsi="Verdana"/>
          <w:sz w:val="20"/>
          <w:szCs w:val="20"/>
        </w:rPr>
        <w:t xml:space="preserve">, en perjuicio de Jorge Marcial y Gerardo </w:t>
      </w:r>
      <w:proofErr w:type="spellStart"/>
      <w:r w:rsidR="00443B8F" w:rsidRPr="005C1789">
        <w:rPr>
          <w:rFonts w:ascii="Verdana" w:hAnsi="Verdana"/>
          <w:sz w:val="20"/>
          <w:szCs w:val="20"/>
        </w:rPr>
        <w:t>Tzompaxtle</w:t>
      </w:r>
      <w:proofErr w:type="spellEnd"/>
      <w:r w:rsidR="00443B8F" w:rsidRPr="005C1789">
        <w:rPr>
          <w:rFonts w:ascii="Verdana" w:hAnsi="Verdana"/>
          <w:sz w:val="20"/>
          <w:szCs w:val="20"/>
        </w:rPr>
        <w:t xml:space="preserve"> </w:t>
      </w:r>
      <w:proofErr w:type="spellStart"/>
      <w:r w:rsidR="00443B8F" w:rsidRPr="005C1789">
        <w:rPr>
          <w:rFonts w:ascii="Verdana" w:hAnsi="Verdana"/>
          <w:sz w:val="20"/>
          <w:szCs w:val="20"/>
        </w:rPr>
        <w:t>Tecpile</w:t>
      </w:r>
      <w:proofErr w:type="spellEnd"/>
      <w:r w:rsidR="00443B8F" w:rsidRPr="005C1789">
        <w:rPr>
          <w:rFonts w:ascii="Verdana" w:hAnsi="Verdana"/>
          <w:sz w:val="20"/>
          <w:szCs w:val="20"/>
        </w:rPr>
        <w:t>, y Gustavo Robles López, porque les fueron aplicadas las figuras legales del arraigo y de la prisión preventiva</w:t>
      </w:r>
      <w:r w:rsidR="00023E34" w:rsidRPr="005C1789">
        <w:rPr>
          <w:rFonts w:ascii="Verdana" w:hAnsi="Verdana"/>
          <w:sz w:val="20"/>
          <w:szCs w:val="20"/>
        </w:rPr>
        <w:t xml:space="preserve"> </w:t>
      </w:r>
      <w:r w:rsidR="00443B8F" w:rsidRPr="005C1789">
        <w:rPr>
          <w:rFonts w:ascii="Verdana" w:hAnsi="Verdana"/>
          <w:sz w:val="20"/>
          <w:szCs w:val="20"/>
        </w:rPr>
        <w:t xml:space="preserve">que resultaban, en su regulación a través de Ley Federal contra la Delincuencia de 1996 y del Código Federal Procesal Penal de 1999, </w:t>
      </w:r>
      <w:r w:rsidR="00443B8F" w:rsidRPr="005C1789">
        <w:rPr>
          <w:rFonts w:ascii="Verdana" w:hAnsi="Verdana"/>
          <w:i/>
          <w:iCs/>
          <w:sz w:val="20"/>
          <w:szCs w:val="20"/>
        </w:rPr>
        <w:t>per se</w:t>
      </w:r>
      <w:r w:rsidR="00443B8F" w:rsidRPr="005C1789">
        <w:rPr>
          <w:rFonts w:ascii="Verdana" w:hAnsi="Verdana"/>
          <w:sz w:val="20"/>
          <w:szCs w:val="20"/>
        </w:rPr>
        <w:t>, contrarias a la Convención Americana (</w:t>
      </w:r>
      <w:r w:rsidR="00443B8F" w:rsidRPr="005C1789">
        <w:rPr>
          <w:rFonts w:ascii="Verdana" w:hAnsi="Verdana"/>
          <w:i/>
          <w:iCs/>
          <w:sz w:val="20"/>
          <w:szCs w:val="20"/>
        </w:rPr>
        <w:t>supra</w:t>
      </w:r>
      <w:r w:rsidR="00443B8F" w:rsidRPr="005C1789">
        <w:rPr>
          <w:rFonts w:ascii="Verdana" w:hAnsi="Verdana"/>
          <w:sz w:val="20"/>
          <w:szCs w:val="20"/>
        </w:rPr>
        <w:t xml:space="preserve"> párr. </w:t>
      </w:r>
      <w:r w:rsidR="007B4446" w:rsidRPr="005C1789">
        <w:rPr>
          <w:rFonts w:ascii="Verdana" w:hAnsi="Verdana"/>
          <w:sz w:val="20"/>
          <w:szCs w:val="20"/>
        </w:rPr>
        <w:t xml:space="preserve">157). </w:t>
      </w:r>
    </w:p>
    <w:p w14:paraId="7972A77C" w14:textId="065A07A7" w:rsidR="00B94328" w:rsidRPr="005C1789" w:rsidRDefault="00443B8F"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Sin embargo, como ha sido indicado en el capítulo de Hechos (</w:t>
      </w:r>
      <w:r w:rsidRPr="005C1789">
        <w:rPr>
          <w:rFonts w:ascii="Verdana" w:hAnsi="Verdana"/>
          <w:i/>
          <w:iCs/>
          <w:sz w:val="20"/>
          <w:szCs w:val="20"/>
        </w:rPr>
        <w:t>supra</w:t>
      </w:r>
      <w:r w:rsidRPr="005C1789">
        <w:rPr>
          <w:rFonts w:ascii="Verdana" w:hAnsi="Verdana"/>
          <w:sz w:val="20"/>
          <w:szCs w:val="20"/>
        </w:rPr>
        <w:t xml:space="preserve"> </w:t>
      </w:r>
      <w:proofErr w:type="spellStart"/>
      <w:r w:rsidRPr="005C1789">
        <w:rPr>
          <w:rFonts w:ascii="Verdana" w:hAnsi="Verdana"/>
          <w:sz w:val="20"/>
          <w:szCs w:val="20"/>
        </w:rPr>
        <w:t>párrs</w:t>
      </w:r>
      <w:proofErr w:type="spellEnd"/>
      <w:r w:rsidRPr="005C1789">
        <w:rPr>
          <w:rFonts w:ascii="Verdana" w:hAnsi="Verdana"/>
          <w:sz w:val="20"/>
          <w:szCs w:val="20"/>
        </w:rPr>
        <w:t xml:space="preserve">. </w:t>
      </w:r>
      <w:r w:rsidR="00AE2B8F" w:rsidRPr="005C1789">
        <w:rPr>
          <w:rFonts w:ascii="Verdana" w:hAnsi="Verdana"/>
          <w:sz w:val="20"/>
          <w:szCs w:val="20"/>
        </w:rPr>
        <w:t>39 a 41</w:t>
      </w:r>
      <w:r w:rsidRPr="005C1789">
        <w:rPr>
          <w:rFonts w:ascii="Verdana" w:hAnsi="Verdana"/>
          <w:sz w:val="20"/>
          <w:szCs w:val="20"/>
        </w:rPr>
        <w:t>)</w:t>
      </w:r>
      <w:r w:rsidR="00E54E0E" w:rsidRPr="005C1789">
        <w:rPr>
          <w:rFonts w:ascii="Verdana" w:hAnsi="Verdana"/>
          <w:sz w:val="20"/>
          <w:szCs w:val="20"/>
        </w:rPr>
        <w:t>,</w:t>
      </w:r>
      <w:r w:rsidRPr="005C1789">
        <w:rPr>
          <w:rFonts w:ascii="Verdana" w:hAnsi="Verdana"/>
          <w:sz w:val="20"/>
          <w:szCs w:val="20"/>
        </w:rPr>
        <w:t xml:space="preserve"> el contenido de estas normas ha sido reformado desde que se produjeron los hechos del caso. </w:t>
      </w:r>
      <w:r w:rsidR="00E54E0E" w:rsidRPr="005C1789">
        <w:rPr>
          <w:rFonts w:ascii="Verdana" w:hAnsi="Verdana"/>
          <w:sz w:val="20"/>
          <w:szCs w:val="20"/>
        </w:rPr>
        <w:t>A continuación</w:t>
      </w:r>
      <w:r w:rsidR="00C6212F" w:rsidRPr="005C1789">
        <w:rPr>
          <w:rFonts w:ascii="Verdana" w:hAnsi="Verdana"/>
          <w:sz w:val="20"/>
          <w:szCs w:val="20"/>
        </w:rPr>
        <w:t>,</w:t>
      </w:r>
      <w:r w:rsidR="00E54E0E" w:rsidRPr="005C1789">
        <w:rPr>
          <w:rFonts w:ascii="Verdana" w:hAnsi="Verdana"/>
          <w:sz w:val="20"/>
          <w:szCs w:val="20"/>
        </w:rPr>
        <w:t xml:space="preserve"> la Corte analizará las disposiciones normativas actuales y las comparará con las que se encontraban en vigor a la época de los hechos para determinar si las problemáticas p</w:t>
      </w:r>
      <w:r w:rsidR="00C6212F" w:rsidRPr="005C1789">
        <w:rPr>
          <w:rFonts w:ascii="Verdana" w:hAnsi="Verdana"/>
          <w:sz w:val="20"/>
          <w:szCs w:val="20"/>
        </w:rPr>
        <w:t xml:space="preserve">resentes </w:t>
      </w:r>
      <w:r w:rsidR="00E54E0E" w:rsidRPr="005C1789">
        <w:rPr>
          <w:rFonts w:ascii="Verdana" w:hAnsi="Verdana"/>
          <w:sz w:val="20"/>
          <w:szCs w:val="20"/>
        </w:rPr>
        <w:t>en la normatividad que fue aplicada fue</w:t>
      </w:r>
      <w:r w:rsidR="00C6212F" w:rsidRPr="005C1789">
        <w:rPr>
          <w:rFonts w:ascii="Verdana" w:hAnsi="Verdana"/>
          <w:sz w:val="20"/>
          <w:szCs w:val="20"/>
        </w:rPr>
        <w:t>ron</w:t>
      </w:r>
      <w:r w:rsidR="00E54E0E" w:rsidRPr="005C1789">
        <w:rPr>
          <w:rFonts w:ascii="Verdana" w:hAnsi="Verdana"/>
          <w:sz w:val="20"/>
          <w:szCs w:val="20"/>
        </w:rPr>
        <w:t xml:space="preserve"> subsanada</w:t>
      </w:r>
      <w:r w:rsidR="00C6212F" w:rsidRPr="005C1789">
        <w:rPr>
          <w:rFonts w:ascii="Verdana" w:hAnsi="Verdana"/>
          <w:sz w:val="20"/>
          <w:szCs w:val="20"/>
        </w:rPr>
        <w:t>s</w:t>
      </w:r>
      <w:r w:rsidR="00E54E0E" w:rsidRPr="005C1789">
        <w:rPr>
          <w:rFonts w:ascii="Verdana" w:hAnsi="Verdana"/>
          <w:sz w:val="20"/>
          <w:szCs w:val="20"/>
        </w:rPr>
        <w:t xml:space="preserve"> o si</w:t>
      </w:r>
      <w:r w:rsidR="00B60F38" w:rsidRPr="005C1789">
        <w:rPr>
          <w:rFonts w:ascii="Verdana" w:hAnsi="Verdana"/>
          <w:sz w:val="20"/>
          <w:szCs w:val="20"/>
        </w:rPr>
        <w:t xml:space="preserve"> se sigue</w:t>
      </w:r>
      <w:r w:rsidR="00C6212F" w:rsidRPr="005C1789">
        <w:rPr>
          <w:rFonts w:ascii="Verdana" w:hAnsi="Verdana"/>
          <w:sz w:val="20"/>
          <w:szCs w:val="20"/>
        </w:rPr>
        <w:t>n</w:t>
      </w:r>
      <w:r w:rsidR="00B60F38" w:rsidRPr="005C1789">
        <w:rPr>
          <w:rFonts w:ascii="Verdana" w:hAnsi="Verdana"/>
          <w:sz w:val="20"/>
          <w:szCs w:val="20"/>
        </w:rPr>
        <w:t xml:space="preserve"> presentando, tanto en esas normas reformadas como en otras que aparec</w:t>
      </w:r>
      <w:r w:rsidR="00696D0B" w:rsidRPr="005C1789">
        <w:rPr>
          <w:rFonts w:ascii="Verdana" w:hAnsi="Verdana"/>
          <w:sz w:val="20"/>
          <w:szCs w:val="20"/>
        </w:rPr>
        <w:t>ieron</w:t>
      </w:r>
      <w:r w:rsidR="00B60F38" w:rsidRPr="005C1789">
        <w:rPr>
          <w:rFonts w:ascii="Verdana" w:hAnsi="Verdana"/>
          <w:sz w:val="20"/>
          <w:szCs w:val="20"/>
        </w:rPr>
        <w:t xml:space="preserve"> en el ordenamiento jurídico con posterioridad.</w:t>
      </w:r>
      <w:r w:rsidR="00B94328" w:rsidRPr="005C1789">
        <w:rPr>
          <w:rFonts w:ascii="Verdana" w:hAnsi="Verdana"/>
          <w:sz w:val="20"/>
          <w:szCs w:val="20"/>
        </w:rPr>
        <w:t xml:space="preserve"> </w:t>
      </w:r>
    </w:p>
    <w:p w14:paraId="17D59E17" w14:textId="69891ECE" w:rsidR="00B60F38" w:rsidRPr="005C1789" w:rsidRDefault="00B60F38" w:rsidP="002965AD">
      <w:pPr>
        <w:pStyle w:val="Ttulo3"/>
        <w:spacing w:before="240" w:after="240"/>
        <w:jc w:val="both"/>
        <w:rPr>
          <w:rFonts w:ascii="Verdana" w:hAnsi="Verdana"/>
          <w:b w:val="0"/>
          <w:snapToGrid w:val="0"/>
          <w:spacing w:val="-2"/>
          <w:sz w:val="20"/>
          <w:szCs w:val="20"/>
          <w:lang w:eastAsia="es-ES"/>
        </w:rPr>
      </w:pPr>
      <w:bookmarkStart w:id="139" w:name="_Toc123347555"/>
      <w:r w:rsidRPr="005C1789">
        <w:rPr>
          <w:rFonts w:ascii="Verdana" w:hAnsi="Verdana"/>
          <w:b w:val="0"/>
          <w:snapToGrid w:val="0"/>
          <w:spacing w:val="-2"/>
          <w:sz w:val="20"/>
          <w:szCs w:val="20"/>
          <w:lang w:eastAsia="es-ES"/>
        </w:rPr>
        <w:lastRenderedPageBreak/>
        <w:t>B.1. Sobre la figura del arraigo</w:t>
      </w:r>
      <w:bookmarkEnd w:id="139"/>
    </w:p>
    <w:p w14:paraId="6845B063" w14:textId="77777777" w:rsidR="006449EC" w:rsidRPr="005C1789" w:rsidRDefault="006449EC"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La Corte nota que tanto el artículo 12 de la Ley Federal contra la Delincuencia Organizada</w:t>
      </w:r>
      <w:r w:rsidRPr="005C1789">
        <w:rPr>
          <w:rStyle w:val="Refdenotaalpie"/>
          <w:rFonts w:ascii="Verdana" w:hAnsi="Verdana"/>
          <w:sz w:val="20"/>
        </w:rPr>
        <w:footnoteReference w:id="158"/>
      </w:r>
      <w:r w:rsidRPr="005C1789">
        <w:rPr>
          <w:rFonts w:ascii="Verdana" w:hAnsi="Verdana"/>
          <w:sz w:val="20"/>
          <w:szCs w:val="20"/>
        </w:rPr>
        <w:t xml:space="preserve"> así como en el artículo 133 bis </w:t>
      </w:r>
      <w:bookmarkStart w:id="140" w:name="_Hlk125472416"/>
      <w:r w:rsidRPr="005C1789">
        <w:rPr>
          <w:rFonts w:ascii="Verdana" w:hAnsi="Verdana"/>
          <w:sz w:val="20"/>
          <w:szCs w:val="20"/>
        </w:rPr>
        <w:t>al Código Federal Procesal Penal</w:t>
      </w:r>
      <w:bookmarkEnd w:id="140"/>
      <w:r w:rsidRPr="005C1789">
        <w:rPr>
          <w:rStyle w:val="Refdenotaalpie"/>
          <w:rFonts w:ascii="Verdana" w:hAnsi="Verdana"/>
          <w:sz w:val="20"/>
        </w:rPr>
        <w:footnoteReference w:id="159"/>
      </w:r>
      <w:r w:rsidRPr="005C1789">
        <w:rPr>
          <w:rFonts w:ascii="Verdana" w:hAnsi="Verdana"/>
          <w:sz w:val="20"/>
          <w:szCs w:val="20"/>
        </w:rPr>
        <w:t xml:space="preserve"> cuentan con una redacción distinta a aquella que se encontraba en vigor a la época en que ocurrieron los hechos. </w:t>
      </w:r>
    </w:p>
    <w:p w14:paraId="62A511C6" w14:textId="36D82730" w:rsidR="005D491B" w:rsidRPr="005C1789" w:rsidRDefault="00F77E63"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Respecto de</w:t>
      </w:r>
      <w:r w:rsidR="00B60F38" w:rsidRPr="005C1789">
        <w:rPr>
          <w:rFonts w:ascii="Verdana" w:hAnsi="Verdana"/>
          <w:sz w:val="20"/>
          <w:szCs w:val="20"/>
        </w:rPr>
        <w:t xml:space="preserve"> los artículos 133 bis al Código Federal Procesal Penal</w:t>
      </w:r>
      <w:r w:rsidR="00B339EE" w:rsidRPr="005C1789">
        <w:rPr>
          <w:rFonts w:ascii="Verdana" w:hAnsi="Verdana"/>
          <w:sz w:val="20"/>
          <w:szCs w:val="20"/>
        </w:rPr>
        <w:t xml:space="preserve"> y</w:t>
      </w:r>
      <w:r w:rsidR="00B60F38" w:rsidRPr="005C1789">
        <w:rPr>
          <w:rFonts w:ascii="Verdana" w:hAnsi="Verdana"/>
          <w:sz w:val="20"/>
          <w:szCs w:val="20"/>
        </w:rPr>
        <w:t xml:space="preserve"> 12 de la Ley Federal contra la Delincuencia</w:t>
      </w:r>
      <w:r w:rsidR="00D6234E" w:rsidRPr="005C1789">
        <w:rPr>
          <w:rFonts w:ascii="Verdana" w:hAnsi="Verdana"/>
          <w:sz w:val="20"/>
          <w:szCs w:val="20"/>
        </w:rPr>
        <w:t xml:space="preserve"> Organizada</w:t>
      </w:r>
      <w:r w:rsidR="00B60F38" w:rsidRPr="005C1789">
        <w:rPr>
          <w:rFonts w:ascii="Verdana" w:hAnsi="Verdana"/>
          <w:sz w:val="20"/>
          <w:szCs w:val="20"/>
        </w:rPr>
        <w:t xml:space="preserve">, </w:t>
      </w:r>
      <w:r w:rsidR="00E60DA3" w:rsidRPr="005C1789">
        <w:rPr>
          <w:rFonts w:ascii="Verdana" w:hAnsi="Verdana"/>
          <w:sz w:val="20"/>
          <w:szCs w:val="20"/>
        </w:rPr>
        <w:t xml:space="preserve">como </w:t>
      </w:r>
      <w:r w:rsidR="00CD191D" w:rsidRPr="005C1789">
        <w:rPr>
          <w:rFonts w:ascii="Verdana" w:hAnsi="Verdana"/>
          <w:sz w:val="20"/>
          <w:szCs w:val="20"/>
        </w:rPr>
        <w:t xml:space="preserve">fuera mencionado por </w:t>
      </w:r>
      <w:r w:rsidR="00E60DA3" w:rsidRPr="005C1789">
        <w:rPr>
          <w:rFonts w:ascii="Verdana" w:hAnsi="Verdana"/>
          <w:sz w:val="20"/>
          <w:szCs w:val="20"/>
        </w:rPr>
        <w:t>la Corte en el capítulo VIII.1 de Fondo (</w:t>
      </w:r>
      <w:r w:rsidR="00E60DA3" w:rsidRPr="005C1789">
        <w:rPr>
          <w:rFonts w:ascii="Verdana" w:hAnsi="Verdana"/>
          <w:i/>
          <w:iCs/>
          <w:sz w:val="20"/>
          <w:szCs w:val="20"/>
        </w:rPr>
        <w:t>supra</w:t>
      </w:r>
      <w:r w:rsidR="00E60DA3" w:rsidRPr="005C1789">
        <w:rPr>
          <w:rFonts w:ascii="Verdana" w:hAnsi="Verdana"/>
          <w:sz w:val="20"/>
          <w:szCs w:val="20"/>
        </w:rPr>
        <w:t xml:space="preserve"> párr. </w:t>
      </w:r>
      <w:r w:rsidR="00363D99" w:rsidRPr="005C1789">
        <w:rPr>
          <w:rFonts w:ascii="Verdana" w:hAnsi="Verdana"/>
          <w:sz w:val="20"/>
          <w:szCs w:val="20"/>
        </w:rPr>
        <w:t xml:space="preserve">170), </w:t>
      </w:r>
      <w:r w:rsidR="00B60F38" w:rsidRPr="005C1789">
        <w:rPr>
          <w:rFonts w:ascii="Verdana" w:hAnsi="Verdana"/>
          <w:sz w:val="20"/>
          <w:szCs w:val="20"/>
        </w:rPr>
        <w:t>la Corte advierte que</w:t>
      </w:r>
      <w:r w:rsidR="00DE0F6F" w:rsidRPr="005C1789">
        <w:rPr>
          <w:rFonts w:ascii="Verdana" w:hAnsi="Verdana"/>
          <w:sz w:val="20"/>
          <w:szCs w:val="20"/>
        </w:rPr>
        <w:t xml:space="preserve"> se</w:t>
      </w:r>
      <w:r w:rsidR="00B60F38" w:rsidRPr="005C1789">
        <w:rPr>
          <w:rFonts w:ascii="Verdana" w:hAnsi="Verdana"/>
          <w:sz w:val="20"/>
          <w:szCs w:val="20"/>
        </w:rPr>
        <w:t xml:space="preserve"> </w:t>
      </w:r>
      <w:r w:rsidR="005D491B" w:rsidRPr="005C1789">
        <w:rPr>
          <w:rFonts w:ascii="Verdana" w:hAnsi="Verdana"/>
          <w:sz w:val="20"/>
          <w:szCs w:val="20"/>
        </w:rPr>
        <w:t>siguen presentando varias de las problemáticas que había</w:t>
      </w:r>
      <w:r w:rsidR="00CE1FD6" w:rsidRPr="005C1789">
        <w:rPr>
          <w:rFonts w:ascii="Verdana" w:hAnsi="Verdana"/>
          <w:sz w:val="20"/>
          <w:szCs w:val="20"/>
        </w:rPr>
        <w:t>n</w:t>
      </w:r>
      <w:r w:rsidR="005D491B" w:rsidRPr="005C1789">
        <w:rPr>
          <w:rFonts w:ascii="Verdana" w:hAnsi="Verdana"/>
          <w:sz w:val="20"/>
          <w:szCs w:val="20"/>
        </w:rPr>
        <w:t xml:space="preserve"> sido reseñadas en el Capítulo de Fondo (</w:t>
      </w:r>
      <w:r w:rsidR="005D491B" w:rsidRPr="005C1789">
        <w:rPr>
          <w:rFonts w:ascii="Verdana" w:hAnsi="Verdana"/>
          <w:i/>
          <w:iCs/>
          <w:sz w:val="20"/>
          <w:szCs w:val="20"/>
        </w:rPr>
        <w:t>supra</w:t>
      </w:r>
      <w:r w:rsidR="005D491B" w:rsidRPr="005C1789">
        <w:rPr>
          <w:rFonts w:ascii="Verdana" w:hAnsi="Verdana"/>
          <w:sz w:val="20"/>
          <w:szCs w:val="20"/>
        </w:rPr>
        <w:t xml:space="preserve"> párr. </w:t>
      </w:r>
      <w:r w:rsidR="00363D99" w:rsidRPr="005C1789">
        <w:rPr>
          <w:rFonts w:ascii="Verdana" w:hAnsi="Verdana"/>
          <w:sz w:val="20"/>
          <w:szCs w:val="20"/>
        </w:rPr>
        <w:t xml:space="preserve">156), </w:t>
      </w:r>
      <w:r w:rsidR="005D491B" w:rsidRPr="005C1789">
        <w:rPr>
          <w:rFonts w:ascii="Verdana" w:hAnsi="Verdana"/>
          <w:sz w:val="20"/>
          <w:szCs w:val="20"/>
        </w:rPr>
        <w:t>a saber</w:t>
      </w:r>
      <w:r w:rsidR="00276B82">
        <w:rPr>
          <w:rFonts w:ascii="Verdana" w:hAnsi="Verdana"/>
          <w:sz w:val="20"/>
          <w:szCs w:val="20"/>
        </w:rPr>
        <w:t>:</w:t>
      </w:r>
      <w:r w:rsidR="005D491B" w:rsidRPr="005C1789">
        <w:rPr>
          <w:rFonts w:ascii="Verdana" w:hAnsi="Verdana"/>
          <w:sz w:val="20"/>
          <w:szCs w:val="20"/>
        </w:rPr>
        <w:t xml:space="preserve"> a) no permiten que la persona arraigada sea oída por una autoridad judicial antes de que se </w:t>
      </w:r>
      <w:r w:rsidR="00C6212F" w:rsidRPr="005C1789">
        <w:rPr>
          <w:rFonts w:ascii="Verdana" w:hAnsi="Verdana"/>
          <w:sz w:val="20"/>
          <w:szCs w:val="20"/>
        </w:rPr>
        <w:t xml:space="preserve">decrete </w:t>
      </w:r>
      <w:r w:rsidR="005D491B" w:rsidRPr="005C1789">
        <w:rPr>
          <w:rFonts w:ascii="Verdana" w:hAnsi="Verdana"/>
          <w:sz w:val="20"/>
          <w:szCs w:val="20"/>
        </w:rPr>
        <w:t xml:space="preserve">la medida que restringe su libertad personal o su libertad </w:t>
      </w:r>
      <w:r w:rsidR="00AB797F" w:rsidRPr="005C1789">
        <w:rPr>
          <w:rFonts w:ascii="Verdana" w:hAnsi="Verdana"/>
          <w:sz w:val="20"/>
          <w:szCs w:val="20"/>
        </w:rPr>
        <w:t>de</w:t>
      </w:r>
      <w:r w:rsidR="00CE1FD6" w:rsidRPr="005C1789">
        <w:rPr>
          <w:rFonts w:ascii="Verdana" w:hAnsi="Verdana"/>
          <w:sz w:val="20"/>
          <w:szCs w:val="20"/>
        </w:rPr>
        <w:t xml:space="preserve"> circulación</w:t>
      </w:r>
      <w:r w:rsidR="005D491B" w:rsidRPr="005C1789">
        <w:rPr>
          <w:rFonts w:ascii="Verdana" w:hAnsi="Verdana"/>
          <w:sz w:val="20"/>
          <w:szCs w:val="20"/>
        </w:rPr>
        <w:t xml:space="preserve">; </w:t>
      </w:r>
      <w:r w:rsidR="00A74C23" w:rsidRPr="005C1789">
        <w:rPr>
          <w:rFonts w:ascii="Verdana" w:hAnsi="Verdana"/>
          <w:sz w:val="20"/>
          <w:szCs w:val="20"/>
        </w:rPr>
        <w:t>b</w:t>
      </w:r>
      <w:r w:rsidR="005D491B" w:rsidRPr="005C1789">
        <w:rPr>
          <w:rFonts w:ascii="Verdana" w:hAnsi="Verdana"/>
          <w:sz w:val="20"/>
          <w:szCs w:val="20"/>
        </w:rPr>
        <w:t xml:space="preserve">) </w:t>
      </w:r>
      <w:r w:rsidR="005D491B" w:rsidRPr="005C1789">
        <w:rPr>
          <w:rFonts w:ascii="Verdana" w:hAnsi="Verdana"/>
          <w:iCs/>
          <w:sz w:val="20"/>
          <w:szCs w:val="20"/>
        </w:rPr>
        <w:t>la normatividad aludida no se refiere a los supuestos materiales que se deben cumplir para aplicar ese tipo de medidas restrictivas a la libertad personal y a la presunción de inocencia</w:t>
      </w:r>
      <w:r w:rsidR="00A74C23" w:rsidRPr="005C1789">
        <w:rPr>
          <w:rFonts w:ascii="Verdana" w:hAnsi="Verdana"/>
          <w:iCs/>
          <w:sz w:val="20"/>
          <w:szCs w:val="20"/>
        </w:rPr>
        <w:t>,</w:t>
      </w:r>
      <w:r w:rsidR="005D491B" w:rsidRPr="005C1789">
        <w:rPr>
          <w:rFonts w:ascii="Verdana" w:hAnsi="Verdana"/>
          <w:iCs/>
          <w:sz w:val="20"/>
          <w:szCs w:val="20"/>
        </w:rPr>
        <w:t xml:space="preserve"> </w:t>
      </w:r>
      <w:r w:rsidR="005A281A" w:rsidRPr="005C1789">
        <w:rPr>
          <w:rFonts w:ascii="Verdana" w:hAnsi="Verdana"/>
          <w:iCs/>
          <w:sz w:val="20"/>
          <w:szCs w:val="20"/>
        </w:rPr>
        <w:t xml:space="preserve">y </w:t>
      </w:r>
      <w:r w:rsidR="00A74C23" w:rsidRPr="005C1789">
        <w:rPr>
          <w:rFonts w:ascii="Verdana" w:hAnsi="Verdana"/>
          <w:iCs/>
          <w:sz w:val="20"/>
          <w:szCs w:val="20"/>
        </w:rPr>
        <w:t>c)</w:t>
      </w:r>
      <w:r w:rsidR="005D491B" w:rsidRPr="005C1789">
        <w:rPr>
          <w:rFonts w:ascii="Verdana" w:hAnsi="Verdana"/>
          <w:iCs/>
          <w:sz w:val="20"/>
          <w:szCs w:val="20"/>
        </w:rPr>
        <w:t xml:space="preserve"> algunos de los objetivos de la medidas restrictivas a la libertad </w:t>
      </w:r>
      <w:r w:rsidR="005D491B" w:rsidRPr="005C1789">
        <w:rPr>
          <w:rFonts w:ascii="Verdana" w:hAnsi="Verdana"/>
          <w:sz w:val="20"/>
          <w:szCs w:val="20"/>
        </w:rPr>
        <w:t>no resultan compatible</w:t>
      </w:r>
      <w:r w:rsidR="00C6212F" w:rsidRPr="005C1789">
        <w:rPr>
          <w:rFonts w:ascii="Verdana" w:hAnsi="Verdana"/>
          <w:sz w:val="20"/>
          <w:szCs w:val="20"/>
        </w:rPr>
        <w:t>s</w:t>
      </w:r>
      <w:r w:rsidR="005D491B" w:rsidRPr="005C1789">
        <w:rPr>
          <w:rFonts w:ascii="Verdana" w:hAnsi="Verdana"/>
          <w:sz w:val="20"/>
          <w:szCs w:val="20"/>
        </w:rPr>
        <w:t xml:space="preserve"> con las finalidades legítimas para la restricción a la libertad personal conforme a la </w:t>
      </w:r>
      <w:r w:rsidR="005D491B" w:rsidRPr="005C1789">
        <w:rPr>
          <w:rFonts w:ascii="Verdana" w:hAnsi="Verdana"/>
          <w:sz w:val="20"/>
          <w:szCs w:val="20"/>
        </w:rPr>
        <w:lastRenderedPageBreak/>
        <w:t xml:space="preserve">jurisprudencia de esta Corte </w:t>
      </w:r>
      <w:r w:rsidR="005A281A" w:rsidRPr="005C1789">
        <w:rPr>
          <w:rFonts w:ascii="Verdana" w:hAnsi="Verdana"/>
          <w:sz w:val="20"/>
          <w:szCs w:val="20"/>
        </w:rPr>
        <w:t>(</w:t>
      </w:r>
      <w:r w:rsidR="005D491B" w:rsidRPr="005C1789">
        <w:rPr>
          <w:rFonts w:ascii="Verdana" w:hAnsi="Verdana"/>
          <w:sz w:val="20"/>
          <w:szCs w:val="20"/>
        </w:rPr>
        <w:t xml:space="preserve">puesto que </w:t>
      </w:r>
      <w:r w:rsidR="005A281A" w:rsidRPr="005C1789">
        <w:rPr>
          <w:rFonts w:ascii="Verdana" w:hAnsi="Verdana"/>
          <w:sz w:val="20"/>
          <w:szCs w:val="20"/>
        </w:rPr>
        <w:t>el éxito de la investigación, la protección de personas o bienes jurídicos no constituyen finalidades legítimas). Del mismo modo, esas mismas problemáticas se reiteraron en la redacción del artículo 16 de la Constitución Federal</w:t>
      </w:r>
      <w:r w:rsidR="001277DC" w:rsidRPr="005C1789">
        <w:rPr>
          <w:rStyle w:val="Refdenotaalpie"/>
          <w:rFonts w:ascii="Verdana" w:hAnsi="Verdana"/>
          <w:sz w:val="20"/>
        </w:rPr>
        <w:footnoteReference w:id="160"/>
      </w:r>
      <w:r w:rsidR="005A281A" w:rsidRPr="005C1789">
        <w:rPr>
          <w:rFonts w:ascii="Verdana" w:hAnsi="Verdana"/>
          <w:sz w:val="20"/>
          <w:szCs w:val="20"/>
        </w:rPr>
        <w:t>.</w:t>
      </w:r>
    </w:p>
    <w:p w14:paraId="27825CF4" w14:textId="6C77F0C7" w:rsidR="00B60F38" w:rsidRPr="005C1789" w:rsidRDefault="00B60F38" w:rsidP="00955888">
      <w:pPr>
        <w:pStyle w:val="Ttulo3"/>
        <w:spacing w:before="240" w:after="240"/>
        <w:ind w:left="567"/>
        <w:jc w:val="both"/>
        <w:rPr>
          <w:rFonts w:ascii="Verdana" w:hAnsi="Verdana"/>
          <w:b w:val="0"/>
          <w:snapToGrid w:val="0"/>
          <w:spacing w:val="-2"/>
          <w:sz w:val="20"/>
          <w:szCs w:val="20"/>
          <w:lang w:eastAsia="es-ES"/>
        </w:rPr>
      </w:pPr>
      <w:bookmarkStart w:id="141" w:name="_Toc123347556"/>
      <w:r w:rsidRPr="005C1789">
        <w:rPr>
          <w:rFonts w:ascii="Verdana" w:hAnsi="Verdana"/>
          <w:b w:val="0"/>
          <w:snapToGrid w:val="0"/>
          <w:spacing w:val="-2"/>
          <w:sz w:val="20"/>
          <w:szCs w:val="20"/>
          <w:lang w:eastAsia="es-ES"/>
        </w:rPr>
        <w:t>B.2. Sobre la prisión preventiva</w:t>
      </w:r>
      <w:bookmarkEnd w:id="141"/>
      <w:r w:rsidR="00023E34" w:rsidRPr="005C1789">
        <w:rPr>
          <w:rFonts w:ascii="Verdana" w:hAnsi="Verdana"/>
          <w:b w:val="0"/>
          <w:snapToGrid w:val="0"/>
          <w:spacing w:val="-2"/>
          <w:sz w:val="20"/>
          <w:szCs w:val="20"/>
          <w:lang w:eastAsia="es-ES"/>
        </w:rPr>
        <w:t xml:space="preserve"> </w:t>
      </w:r>
    </w:p>
    <w:p w14:paraId="2E34138C" w14:textId="505CFF7F" w:rsidR="005A281A" w:rsidRPr="005C1789" w:rsidRDefault="005A281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lo que se refiere a la prisión preventiva, </w:t>
      </w:r>
      <w:r w:rsidR="00810A26" w:rsidRPr="005C1789">
        <w:rPr>
          <w:rFonts w:ascii="Verdana" w:hAnsi="Verdana"/>
          <w:sz w:val="20"/>
          <w:szCs w:val="20"/>
        </w:rPr>
        <w:t xml:space="preserve">los </w:t>
      </w:r>
      <w:r w:rsidRPr="005C1789">
        <w:rPr>
          <w:rFonts w:ascii="Verdana" w:hAnsi="Verdana"/>
          <w:sz w:val="20"/>
          <w:szCs w:val="20"/>
        </w:rPr>
        <w:t>artículo</w:t>
      </w:r>
      <w:r w:rsidR="00810A26" w:rsidRPr="005C1789">
        <w:rPr>
          <w:rFonts w:ascii="Verdana" w:hAnsi="Verdana"/>
          <w:sz w:val="20"/>
          <w:szCs w:val="20"/>
        </w:rPr>
        <w:t>s</w:t>
      </w:r>
      <w:r w:rsidRPr="005C1789">
        <w:rPr>
          <w:rFonts w:ascii="Verdana" w:hAnsi="Verdana"/>
          <w:sz w:val="20"/>
          <w:szCs w:val="20"/>
        </w:rPr>
        <w:t xml:space="preserve"> 161</w:t>
      </w:r>
      <w:r w:rsidR="00810A26" w:rsidRPr="005C1789">
        <w:rPr>
          <w:rFonts w:ascii="Verdana" w:hAnsi="Verdana"/>
          <w:sz w:val="20"/>
          <w:szCs w:val="20"/>
        </w:rPr>
        <w:t xml:space="preserve"> y 168 del Código Federal Procesal Penal</w:t>
      </w:r>
      <w:r w:rsidRPr="005C1789">
        <w:rPr>
          <w:rFonts w:ascii="Verdana" w:hAnsi="Verdana"/>
          <w:sz w:val="20"/>
          <w:szCs w:val="20"/>
        </w:rPr>
        <w:t xml:space="preserve"> </w:t>
      </w:r>
      <w:r w:rsidR="00810A26" w:rsidRPr="005C1789">
        <w:rPr>
          <w:rFonts w:ascii="Verdana" w:hAnsi="Verdana"/>
          <w:sz w:val="20"/>
          <w:szCs w:val="20"/>
        </w:rPr>
        <w:t>siguen vigentes con una redacción idéntica a la que se encontraba en vigor para la época de los hechos. A su vez, a ello se sumó el artículo 19 de la Constitución Federal</w:t>
      </w:r>
      <w:r w:rsidR="00F177AF" w:rsidRPr="005C1789">
        <w:rPr>
          <w:rStyle w:val="Refdenotaalpie"/>
          <w:rFonts w:ascii="Verdana" w:hAnsi="Verdana"/>
          <w:sz w:val="20"/>
        </w:rPr>
        <w:footnoteReference w:id="161"/>
      </w:r>
      <w:r w:rsidR="004A1550" w:rsidRPr="005C1789">
        <w:rPr>
          <w:rFonts w:ascii="Verdana" w:hAnsi="Verdana"/>
          <w:sz w:val="20"/>
          <w:szCs w:val="20"/>
        </w:rPr>
        <w:t xml:space="preserve"> y el artículo 3 de la Ley Federal contra la Delincuencia Organizada, establece que el delito de delincuencia organizada, así como los señalados en los artículos 2o., 2o. Bis y 2o. Ter de esta Ley, ameritarán prisión preventiva oficiosa (</w:t>
      </w:r>
      <w:r w:rsidR="004A1550" w:rsidRPr="005C1789">
        <w:rPr>
          <w:rFonts w:ascii="Verdana" w:hAnsi="Verdana"/>
          <w:i/>
          <w:iCs/>
          <w:sz w:val="20"/>
          <w:szCs w:val="20"/>
        </w:rPr>
        <w:t>supra</w:t>
      </w:r>
      <w:r w:rsidR="004A1550" w:rsidRPr="005C1789">
        <w:rPr>
          <w:rFonts w:ascii="Verdana" w:hAnsi="Verdana"/>
          <w:sz w:val="20"/>
          <w:szCs w:val="20"/>
        </w:rPr>
        <w:t xml:space="preserve"> párr. </w:t>
      </w:r>
      <w:r w:rsidR="000A54E6" w:rsidRPr="005C1789">
        <w:rPr>
          <w:rFonts w:ascii="Verdana" w:hAnsi="Verdana"/>
          <w:sz w:val="20"/>
          <w:szCs w:val="20"/>
        </w:rPr>
        <w:t>46).</w:t>
      </w:r>
    </w:p>
    <w:p w14:paraId="11E397F6" w14:textId="18C03852" w:rsidR="005A281A" w:rsidRPr="005C1789" w:rsidRDefault="00D6234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ese sentido, el Tribunal nota que los aspectos problemáticos que habían sido señalados en el Capítulo de Fondo, aún persisten y fueron incluso ampliados en las normatividades ulteriores. Esos </w:t>
      </w:r>
      <w:r w:rsidR="002E4149" w:rsidRPr="005C1789">
        <w:rPr>
          <w:rFonts w:ascii="Verdana" w:hAnsi="Verdana"/>
          <w:sz w:val="20"/>
          <w:szCs w:val="20"/>
        </w:rPr>
        <w:t xml:space="preserve">aspectos </w:t>
      </w:r>
      <w:r w:rsidR="003F3553">
        <w:rPr>
          <w:rFonts w:ascii="Verdana" w:hAnsi="Verdana"/>
          <w:sz w:val="20"/>
          <w:szCs w:val="20"/>
        </w:rPr>
        <w:t>consisten en que</w:t>
      </w:r>
      <w:r w:rsidRPr="005C1789">
        <w:rPr>
          <w:rFonts w:ascii="Verdana" w:hAnsi="Verdana"/>
          <w:sz w:val="20"/>
          <w:szCs w:val="20"/>
        </w:rPr>
        <w:t xml:space="preserve">: a) </w:t>
      </w:r>
      <w:r w:rsidRPr="005C1789">
        <w:rPr>
          <w:rFonts w:ascii="Verdana" w:hAnsi="Verdana"/>
          <w:snapToGrid w:val="0"/>
          <w:spacing w:val="-2"/>
          <w:sz w:val="20"/>
          <w:szCs w:val="20"/>
          <w:lang w:eastAsia="es-ES"/>
        </w:rPr>
        <w:t>no se hace referencia a las finalidades de la prisión preventiva</w:t>
      </w:r>
      <w:r w:rsidR="00DD15B1" w:rsidRPr="005C1789">
        <w:rPr>
          <w:rFonts w:ascii="Verdana" w:hAnsi="Verdana"/>
          <w:snapToGrid w:val="0"/>
          <w:spacing w:val="-2"/>
          <w:sz w:val="20"/>
          <w:szCs w:val="20"/>
          <w:lang w:eastAsia="es-ES"/>
        </w:rPr>
        <w:t xml:space="preserve">, </w:t>
      </w:r>
      <w:r w:rsidRPr="005C1789">
        <w:rPr>
          <w:rFonts w:ascii="Verdana" w:hAnsi="Verdana"/>
          <w:snapToGrid w:val="0"/>
          <w:spacing w:val="-2"/>
          <w:sz w:val="20"/>
          <w:szCs w:val="20"/>
          <w:lang w:eastAsia="es-ES"/>
        </w:rPr>
        <w:t xml:space="preserve">ni </w:t>
      </w:r>
      <w:r w:rsidR="00D3329D" w:rsidRPr="005C1789">
        <w:rPr>
          <w:rFonts w:ascii="Verdana" w:hAnsi="Verdana"/>
          <w:snapToGrid w:val="0"/>
          <w:spacing w:val="-2"/>
          <w:sz w:val="20"/>
          <w:szCs w:val="20"/>
          <w:lang w:eastAsia="es-ES"/>
        </w:rPr>
        <w:t xml:space="preserve">a </w:t>
      </w:r>
      <w:r w:rsidRPr="005C1789">
        <w:rPr>
          <w:rFonts w:ascii="Verdana" w:hAnsi="Verdana"/>
          <w:snapToGrid w:val="0"/>
          <w:spacing w:val="-2"/>
          <w:sz w:val="20"/>
          <w:szCs w:val="20"/>
          <w:lang w:eastAsia="es-ES"/>
        </w:rPr>
        <w:t>los peligros procesales que buscaría precaver (</w:t>
      </w:r>
      <w:r w:rsidRPr="005C1789">
        <w:rPr>
          <w:rFonts w:ascii="Verdana" w:hAnsi="Verdana"/>
          <w:i/>
          <w:iCs/>
          <w:snapToGrid w:val="0"/>
          <w:spacing w:val="-2"/>
          <w:sz w:val="20"/>
          <w:szCs w:val="20"/>
          <w:lang w:eastAsia="es-ES"/>
        </w:rPr>
        <w:t>supra</w:t>
      </w:r>
      <w:r w:rsidRPr="005C1789">
        <w:rPr>
          <w:rFonts w:ascii="Verdana" w:hAnsi="Verdana"/>
          <w:snapToGrid w:val="0"/>
          <w:spacing w:val="-2"/>
          <w:sz w:val="20"/>
          <w:szCs w:val="20"/>
          <w:lang w:eastAsia="es-ES"/>
        </w:rPr>
        <w:t xml:space="preserve"> párr. </w:t>
      </w:r>
      <w:r w:rsidR="00EB2915" w:rsidRPr="005C1789">
        <w:rPr>
          <w:rFonts w:ascii="Verdana" w:hAnsi="Verdana"/>
          <w:snapToGrid w:val="0"/>
          <w:spacing w:val="-2"/>
          <w:sz w:val="20"/>
          <w:szCs w:val="20"/>
          <w:lang w:eastAsia="es-ES"/>
        </w:rPr>
        <w:t xml:space="preserve">106) </w:t>
      </w:r>
      <w:r w:rsidRPr="005C1789">
        <w:rPr>
          <w:rFonts w:ascii="Verdana" w:hAnsi="Verdana"/>
          <w:snapToGrid w:val="0"/>
          <w:spacing w:val="-2"/>
          <w:sz w:val="20"/>
          <w:szCs w:val="20"/>
          <w:lang w:eastAsia="es-ES"/>
        </w:rPr>
        <w:t>para los casos de prisión preventiva oficiosa por delincuencia organizada</w:t>
      </w:r>
      <w:r w:rsidR="00B84FFD">
        <w:rPr>
          <w:rFonts w:ascii="Verdana" w:hAnsi="Verdana"/>
          <w:snapToGrid w:val="0"/>
          <w:spacing w:val="-2"/>
          <w:sz w:val="20"/>
          <w:szCs w:val="20"/>
          <w:lang w:eastAsia="es-ES"/>
        </w:rPr>
        <w:t>;</w:t>
      </w:r>
      <w:r w:rsidRPr="005C1789">
        <w:rPr>
          <w:rFonts w:ascii="Verdana" w:hAnsi="Verdana"/>
          <w:snapToGrid w:val="0"/>
          <w:spacing w:val="-2"/>
          <w:sz w:val="20"/>
          <w:szCs w:val="20"/>
          <w:lang w:eastAsia="es-ES"/>
        </w:rPr>
        <w:t xml:space="preserve"> b) tampoco se propone ponderar a través de un análisis la necesidad de la medida frente a otras medidas menos lesivas para los derechos de la persona procesada como lo serían las medidas alternativas a la privación a la libertad (</w:t>
      </w:r>
      <w:r w:rsidRPr="005C1789">
        <w:rPr>
          <w:rFonts w:ascii="Verdana" w:hAnsi="Verdana"/>
          <w:i/>
          <w:iCs/>
          <w:snapToGrid w:val="0"/>
          <w:spacing w:val="-2"/>
          <w:sz w:val="20"/>
          <w:szCs w:val="20"/>
          <w:lang w:eastAsia="es-ES"/>
        </w:rPr>
        <w:t>supra</w:t>
      </w:r>
      <w:r w:rsidRPr="005C1789">
        <w:rPr>
          <w:rFonts w:ascii="Verdana" w:hAnsi="Verdana"/>
          <w:snapToGrid w:val="0"/>
          <w:spacing w:val="-2"/>
          <w:sz w:val="20"/>
          <w:szCs w:val="20"/>
          <w:lang w:eastAsia="es-ES"/>
        </w:rPr>
        <w:t xml:space="preserve"> párr. </w:t>
      </w:r>
      <w:r w:rsidR="00585498" w:rsidRPr="005C1789">
        <w:rPr>
          <w:rFonts w:ascii="Verdana" w:hAnsi="Verdana"/>
          <w:snapToGrid w:val="0"/>
          <w:spacing w:val="-2"/>
          <w:sz w:val="20"/>
          <w:szCs w:val="20"/>
          <w:lang w:eastAsia="es-ES"/>
        </w:rPr>
        <w:t xml:space="preserve">111), </w:t>
      </w:r>
      <w:r w:rsidR="00F22482" w:rsidRPr="005C1789">
        <w:rPr>
          <w:rFonts w:ascii="Verdana" w:hAnsi="Verdana"/>
          <w:snapToGrid w:val="0"/>
          <w:spacing w:val="-2"/>
          <w:sz w:val="20"/>
          <w:szCs w:val="20"/>
          <w:lang w:eastAsia="es-ES"/>
        </w:rPr>
        <w:t xml:space="preserve">y c) se </w:t>
      </w:r>
      <w:r w:rsidRPr="005C1789">
        <w:rPr>
          <w:rFonts w:ascii="Verdana" w:hAnsi="Verdana"/>
          <w:snapToGrid w:val="0"/>
          <w:spacing w:val="-2"/>
          <w:sz w:val="20"/>
          <w:szCs w:val="20"/>
          <w:lang w:eastAsia="es-ES"/>
        </w:rPr>
        <w:t>establece preceptivamente la aplicación de la prisión preventiva para los delitos que revisten cierta gravedad una vez establecidos los presupuestos materiales sin que se llev</w:t>
      </w:r>
      <w:r w:rsidR="00E33325" w:rsidRPr="005C1789">
        <w:rPr>
          <w:rFonts w:ascii="Verdana" w:hAnsi="Verdana"/>
          <w:snapToGrid w:val="0"/>
          <w:spacing w:val="-2"/>
          <w:sz w:val="20"/>
          <w:szCs w:val="20"/>
          <w:lang w:eastAsia="es-ES"/>
        </w:rPr>
        <w:t>e</w:t>
      </w:r>
      <w:r w:rsidRPr="005C1789">
        <w:rPr>
          <w:rFonts w:ascii="Verdana" w:hAnsi="Verdana"/>
          <w:snapToGrid w:val="0"/>
          <w:spacing w:val="-2"/>
          <w:sz w:val="20"/>
          <w:szCs w:val="20"/>
          <w:lang w:eastAsia="es-ES"/>
        </w:rPr>
        <w:t xml:space="preserve"> a cabo un análisis de la necesidad de la cautela frente a las circunstancias particulares del caso</w:t>
      </w:r>
      <w:r w:rsidR="00EB2915" w:rsidRPr="005C1789">
        <w:rPr>
          <w:rFonts w:ascii="Verdana" w:hAnsi="Verdana"/>
          <w:snapToGrid w:val="0"/>
          <w:spacing w:val="-2"/>
          <w:sz w:val="20"/>
          <w:szCs w:val="20"/>
          <w:lang w:eastAsia="es-ES"/>
        </w:rPr>
        <w:t xml:space="preserve"> (</w:t>
      </w:r>
      <w:r w:rsidR="00EB2915" w:rsidRPr="005C1789">
        <w:rPr>
          <w:rFonts w:ascii="Verdana" w:hAnsi="Verdana"/>
          <w:i/>
          <w:iCs/>
          <w:snapToGrid w:val="0"/>
          <w:spacing w:val="-2"/>
          <w:sz w:val="20"/>
          <w:szCs w:val="20"/>
          <w:lang w:eastAsia="es-ES"/>
        </w:rPr>
        <w:t>supra</w:t>
      </w:r>
      <w:r w:rsidR="00EB2915" w:rsidRPr="005C1789">
        <w:rPr>
          <w:rFonts w:ascii="Verdana" w:hAnsi="Verdana"/>
          <w:snapToGrid w:val="0"/>
          <w:spacing w:val="-2"/>
          <w:sz w:val="20"/>
          <w:szCs w:val="20"/>
          <w:lang w:eastAsia="es-ES"/>
        </w:rPr>
        <w:t xml:space="preserve"> párr. </w:t>
      </w:r>
      <w:r w:rsidR="00201AD1" w:rsidRPr="005C1789">
        <w:rPr>
          <w:rFonts w:ascii="Verdana" w:hAnsi="Verdana"/>
          <w:snapToGrid w:val="0"/>
          <w:spacing w:val="-2"/>
          <w:sz w:val="20"/>
          <w:szCs w:val="20"/>
          <w:lang w:eastAsia="es-ES"/>
        </w:rPr>
        <w:t>108</w:t>
      </w:r>
      <w:r w:rsidR="00EB2915" w:rsidRPr="005C1789">
        <w:rPr>
          <w:rFonts w:ascii="Verdana" w:hAnsi="Verdana"/>
          <w:snapToGrid w:val="0"/>
          <w:spacing w:val="-2"/>
          <w:sz w:val="20"/>
          <w:szCs w:val="20"/>
          <w:lang w:eastAsia="es-ES"/>
        </w:rPr>
        <w:t>)</w:t>
      </w:r>
      <w:r w:rsidR="00F22482" w:rsidRPr="005C1789">
        <w:rPr>
          <w:rFonts w:ascii="Verdana" w:hAnsi="Verdana"/>
          <w:snapToGrid w:val="0"/>
          <w:spacing w:val="-2"/>
          <w:sz w:val="20"/>
          <w:szCs w:val="20"/>
          <w:lang w:eastAsia="es-ES"/>
        </w:rPr>
        <w:t xml:space="preserve">. </w:t>
      </w:r>
    </w:p>
    <w:p w14:paraId="14018957" w14:textId="7512E478" w:rsidR="00F22482" w:rsidRPr="005C1789" w:rsidRDefault="00F22482" w:rsidP="00955888">
      <w:pPr>
        <w:pStyle w:val="Ttulo3"/>
        <w:spacing w:before="240" w:after="240"/>
        <w:ind w:left="567"/>
        <w:jc w:val="both"/>
        <w:rPr>
          <w:rFonts w:ascii="Verdana" w:hAnsi="Verdana"/>
          <w:b w:val="0"/>
          <w:snapToGrid w:val="0"/>
          <w:spacing w:val="-2"/>
          <w:sz w:val="20"/>
          <w:szCs w:val="20"/>
          <w:lang w:eastAsia="es-ES"/>
        </w:rPr>
      </w:pPr>
      <w:bookmarkStart w:id="142" w:name="_Toc123347557"/>
      <w:r w:rsidRPr="005C1789">
        <w:rPr>
          <w:rFonts w:ascii="Verdana" w:hAnsi="Verdana"/>
          <w:b w:val="0"/>
          <w:snapToGrid w:val="0"/>
          <w:spacing w:val="-2"/>
          <w:sz w:val="20"/>
          <w:szCs w:val="20"/>
          <w:lang w:eastAsia="es-ES"/>
        </w:rPr>
        <w:t>B.3. Conclusión</w:t>
      </w:r>
      <w:bookmarkEnd w:id="142"/>
    </w:p>
    <w:p w14:paraId="70B2A649" w14:textId="14067A4A" w:rsidR="00D90CB6" w:rsidRPr="005C1789" w:rsidRDefault="00F2248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De conformidad con lo anterior, </w:t>
      </w:r>
      <w:r w:rsidR="00D90CB6" w:rsidRPr="005C1789">
        <w:rPr>
          <w:rFonts w:ascii="Verdana" w:hAnsi="Verdana"/>
          <w:sz w:val="20"/>
          <w:szCs w:val="20"/>
        </w:rPr>
        <w:t>si bien es cierto que la normatividad mediante la cual se aplicó el arraigo y la prisión preventiva</w:t>
      </w:r>
      <w:r w:rsidR="005B747A" w:rsidRPr="005C1789">
        <w:rPr>
          <w:rFonts w:ascii="Verdana" w:hAnsi="Verdana"/>
          <w:sz w:val="20"/>
          <w:szCs w:val="20"/>
        </w:rPr>
        <w:t xml:space="preserve"> </w:t>
      </w:r>
      <w:r w:rsidR="00D90CB6" w:rsidRPr="005C1789">
        <w:rPr>
          <w:rFonts w:ascii="Verdana" w:hAnsi="Verdana"/>
          <w:sz w:val="20"/>
          <w:szCs w:val="20"/>
        </w:rPr>
        <w:t xml:space="preserve">a los hechos del caso ha variado, </w:t>
      </w:r>
      <w:r w:rsidRPr="005C1789">
        <w:rPr>
          <w:rFonts w:ascii="Verdana" w:hAnsi="Verdana"/>
          <w:sz w:val="20"/>
          <w:szCs w:val="20"/>
        </w:rPr>
        <w:t xml:space="preserve">para esta Corte no cabe duda que los aspectos </w:t>
      </w:r>
      <w:r w:rsidR="00FB72AD" w:rsidRPr="005C1789">
        <w:rPr>
          <w:rFonts w:ascii="Verdana" w:hAnsi="Verdana"/>
          <w:sz w:val="20"/>
          <w:szCs w:val="20"/>
        </w:rPr>
        <w:t xml:space="preserve">que la hacen incompatible con la </w:t>
      </w:r>
      <w:r w:rsidR="00802399">
        <w:rPr>
          <w:rFonts w:ascii="Verdana" w:hAnsi="Verdana"/>
          <w:sz w:val="20"/>
          <w:szCs w:val="20"/>
        </w:rPr>
        <w:t>C</w:t>
      </w:r>
      <w:r w:rsidR="00FB72AD" w:rsidRPr="005C1789">
        <w:rPr>
          <w:rFonts w:ascii="Verdana" w:hAnsi="Verdana"/>
          <w:sz w:val="20"/>
          <w:szCs w:val="20"/>
        </w:rPr>
        <w:t>onvención</w:t>
      </w:r>
      <w:r w:rsidR="00802399">
        <w:rPr>
          <w:rFonts w:ascii="Verdana" w:hAnsi="Verdana"/>
          <w:sz w:val="20"/>
          <w:szCs w:val="20"/>
        </w:rPr>
        <w:t xml:space="preserve"> Americana</w:t>
      </w:r>
      <w:r w:rsidR="00FB72AD" w:rsidRPr="005C1789">
        <w:rPr>
          <w:rFonts w:ascii="Verdana" w:hAnsi="Verdana"/>
          <w:sz w:val="20"/>
          <w:szCs w:val="20"/>
        </w:rPr>
        <w:t xml:space="preserve">, según lo señalado </w:t>
      </w:r>
      <w:r w:rsidR="00FB72AD" w:rsidRPr="005C1789">
        <w:rPr>
          <w:rFonts w:ascii="Verdana" w:hAnsi="Verdana"/>
          <w:i/>
          <w:iCs/>
          <w:sz w:val="20"/>
          <w:szCs w:val="20"/>
        </w:rPr>
        <w:t>supra</w:t>
      </w:r>
      <w:r w:rsidR="00FB72AD" w:rsidRPr="005C1789">
        <w:rPr>
          <w:rFonts w:ascii="Verdana" w:hAnsi="Verdana"/>
          <w:sz w:val="20"/>
          <w:szCs w:val="20"/>
        </w:rPr>
        <w:t>,</w:t>
      </w:r>
      <w:r w:rsidRPr="005C1789">
        <w:rPr>
          <w:rFonts w:ascii="Verdana" w:hAnsi="Verdana"/>
          <w:sz w:val="20"/>
          <w:szCs w:val="20"/>
        </w:rPr>
        <w:t xml:space="preserve"> </w:t>
      </w:r>
      <w:r w:rsidR="00D90CB6" w:rsidRPr="005C1789">
        <w:rPr>
          <w:rFonts w:ascii="Verdana" w:hAnsi="Verdana"/>
          <w:sz w:val="20"/>
          <w:szCs w:val="20"/>
        </w:rPr>
        <w:t xml:space="preserve">persisten en su redacción actual. Esos aspectos son los que llevaron a </w:t>
      </w:r>
      <w:r w:rsidR="00C2244E" w:rsidRPr="005C1789">
        <w:rPr>
          <w:rFonts w:ascii="Verdana" w:hAnsi="Verdana"/>
          <w:sz w:val="20"/>
          <w:szCs w:val="20"/>
        </w:rPr>
        <w:t>este Tribunal a declarar que las normas que recogen las figuras del arraigo (</w:t>
      </w:r>
      <w:r w:rsidR="004F7800" w:rsidRPr="005C1789">
        <w:rPr>
          <w:rFonts w:ascii="Verdana" w:hAnsi="Verdana"/>
          <w:sz w:val="20"/>
          <w:szCs w:val="20"/>
        </w:rPr>
        <w:t>artículo</w:t>
      </w:r>
      <w:r w:rsidR="00C2244E" w:rsidRPr="005C1789">
        <w:rPr>
          <w:rFonts w:ascii="Verdana" w:hAnsi="Verdana"/>
          <w:sz w:val="20"/>
          <w:szCs w:val="20"/>
        </w:rPr>
        <w:t xml:space="preserve"> 133 </w:t>
      </w:r>
      <w:r w:rsidR="00276D9E">
        <w:rPr>
          <w:rFonts w:ascii="Verdana" w:hAnsi="Verdana"/>
          <w:sz w:val="20"/>
          <w:szCs w:val="20"/>
        </w:rPr>
        <w:t>bis de</w:t>
      </w:r>
      <w:r w:rsidR="00276D9E" w:rsidRPr="00276D9E">
        <w:rPr>
          <w:rFonts w:ascii="Verdana" w:hAnsi="Verdana"/>
          <w:sz w:val="20"/>
          <w:szCs w:val="20"/>
        </w:rPr>
        <w:t xml:space="preserve">l Código Federal Procesal Penal </w:t>
      </w:r>
      <w:r w:rsidR="00C2244E" w:rsidRPr="005C1789">
        <w:rPr>
          <w:rFonts w:ascii="Verdana" w:hAnsi="Verdana"/>
          <w:sz w:val="20"/>
          <w:szCs w:val="20"/>
        </w:rPr>
        <w:t xml:space="preserve">y 12 de la </w:t>
      </w:r>
      <w:r w:rsidR="00276D9E" w:rsidRPr="00276D9E">
        <w:rPr>
          <w:rFonts w:ascii="Verdana" w:hAnsi="Verdana"/>
          <w:sz w:val="20"/>
          <w:szCs w:val="20"/>
        </w:rPr>
        <w:t>Ley Federal contra la Delincuencia Organizada</w:t>
      </w:r>
      <w:r w:rsidR="00C2244E" w:rsidRPr="005C1789">
        <w:rPr>
          <w:rFonts w:ascii="Verdana" w:hAnsi="Verdana"/>
          <w:sz w:val="20"/>
          <w:szCs w:val="20"/>
        </w:rPr>
        <w:t xml:space="preserve">) y de la </w:t>
      </w:r>
      <w:r w:rsidR="004E04F7" w:rsidRPr="005C1789">
        <w:rPr>
          <w:rFonts w:ascii="Verdana" w:hAnsi="Verdana"/>
          <w:sz w:val="20"/>
          <w:szCs w:val="20"/>
        </w:rPr>
        <w:t>p</w:t>
      </w:r>
      <w:r w:rsidR="00C2244E" w:rsidRPr="005C1789">
        <w:rPr>
          <w:rFonts w:ascii="Verdana" w:hAnsi="Verdana"/>
          <w:sz w:val="20"/>
          <w:szCs w:val="20"/>
        </w:rPr>
        <w:t xml:space="preserve">risión </w:t>
      </w:r>
      <w:r w:rsidR="004E04F7" w:rsidRPr="005C1789">
        <w:rPr>
          <w:rFonts w:ascii="Verdana" w:hAnsi="Verdana"/>
          <w:sz w:val="20"/>
          <w:szCs w:val="20"/>
        </w:rPr>
        <w:t>p</w:t>
      </w:r>
      <w:r w:rsidR="00C2244E" w:rsidRPr="005C1789">
        <w:rPr>
          <w:rFonts w:ascii="Verdana" w:hAnsi="Verdana"/>
          <w:sz w:val="20"/>
          <w:szCs w:val="20"/>
        </w:rPr>
        <w:t xml:space="preserve">reventiva (artículo 161 del </w:t>
      </w:r>
      <w:r w:rsidR="00276D9E" w:rsidRPr="00276D9E">
        <w:rPr>
          <w:rFonts w:ascii="Verdana" w:hAnsi="Verdana"/>
          <w:sz w:val="20"/>
          <w:szCs w:val="20"/>
        </w:rPr>
        <w:t xml:space="preserve">Código </w:t>
      </w:r>
      <w:r w:rsidR="00276D9E" w:rsidRPr="00276D9E">
        <w:rPr>
          <w:rFonts w:ascii="Verdana" w:hAnsi="Verdana"/>
          <w:sz w:val="20"/>
          <w:szCs w:val="20"/>
        </w:rPr>
        <w:lastRenderedPageBreak/>
        <w:t>Federal Procesal Penal</w:t>
      </w:r>
      <w:r w:rsidR="00C2244E" w:rsidRPr="005C1789">
        <w:rPr>
          <w:rFonts w:ascii="Verdana" w:hAnsi="Verdana"/>
          <w:sz w:val="20"/>
          <w:szCs w:val="20"/>
        </w:rPr>
        <w:t>) eran c</w:t>
      </w:r>
      <w:r w:rsidR="00D90CB6" w:rsidRPr="005C1789">
        <w:rPr>
          <w:rFonts w:ascii="Verdana" w:hAnsi="Verdana"/>
          <w:sz w:val="20"/>
          <w:szCs w:val="20"/>
        </w:rPr>
        <w:t xml:space="preserve">ontrarias a la </w:t>
      </w:r>
      <w:r w:rsidR="00C2244E" w:rsidRPr="005C1789">
        <w:rPr>
          <w:rFonts w:ascii="Verdana" w:hAnsi="Verdana"/>
          <w:sz w:val="20"/>
          <w:szCs w:val="20"/>
        </w:rPr>
        <w:t>Convención</w:t>
      </w:r>
      <w:r w:rsidR="00D90CB6" w:rsidRPr="005C1789">
        <w:rPr>
          <w:rFonts w:ascii="Verdana" w:hAnsi="Verdana"/>
          <w:sz w:val="20"/>
          <w:szCs w:val="20"/>
        </w:rPr>
        <w:t xml:space="preserve"> Americana y a la obligación </w:t>
      </w:r>
      <w:r w:rsidR="00C2244E" w:rsidRPr="005C1789">
        <w:rPr>
          <w:rFonts w:ascii="Verdana" w:hAnsi="Verdana"/>
          <w:sz w:val="20"/>
          <w:szCs w:val="20"/>
        </w:rPr>
        <w:t xml:space="preserve">a cargo del Estado de </w:t>
      </w:r>
      <w:r w:rsidR="00D90CB6" w:rsidRPr="005C1789">
        <w:rPr>
          <w:rFonts w:ascii="Verdana" w:hAnsi="Verdana"/>
          <w:sz w:val="20"/>
          <w:szCs w:val="20"/>
        </w:rPr>
        <w:t xml:space="preserve">adecuar las </w:t>
      </w:r>
      <w:r w:rsidR="00C2244E" w:rsidRPr="005C1789">
        <w:rPr>
          <w:rFonts w:ascii="Verdana" w:hAnsi="Verdana"/>
          <w:sz w:val="20"/>
          <w:szCs w:val="20"/>
        </w:rPr>
        <w:t>disposiciones</w:t>
      </w:r>
      <w:r w:rsidR="00D90CB6" w:rsidRPr="005C1789">
        <w:rPr>
          <w:rFonts w:ascii="Verdana" w:hAnsi="Verdana"/>
          <w:sz w:val="20"/>
          <w:szCs w:val="20"/>
        </w:rPr>
        <w:t xml:space="preserve"> de derecho interno contenida </w:t>
      </w:r>
      <w:r w:rsidR="002E4149" w:rsidRPr="005C1789">
        <w:rPr>
          <w:rFonts w:ascii="Verdana" w:hAnsi="Verdana"/>
          <w:sz w:val="20"/>
          <w:szCs w:val="20"/>
        </w:rPr>
        <w:t xml:space="preserve">en el </w:t>
      </w:r>
      <w:r w:rsidR="00C2244E" w:rsidRPr="005C1789">
        <w:rPr>
          <w:rFonts w:ascii="Verdana" w:hAnsi="Verdana"/>
          <w:sz w:val="20"/>
          <w:szCs w:val="20"/>
        </w:rPr>
        <w:t>artículo 2</w:t>
      </w:r>
      <w:r w:rsidR="002E4149" w:rsidRPr="005C1789">
        <w:rPr>
          <w:rFonts w:ascii="Verdana" w:hAnsi="Verdana"/>
          <w:sz w:val="20"/>
          <w:szCs w:val="20"/>
        </w:rPr>
        <w:t xml:space="preserve"> de la Convención Americana</w:t>
      </w:r>
      <w:r w:rsidR="00D90CB6" w:rsidRPr="005C1789">
        <w:rPr>
          <w:rFonts w:ascii="Verdana" w:hAnsi="Verdana"/>
          <w:sz w:val="20"/>
          <w:szCs w:val="20"/>
        </w:rPr>
        <w:t>.</w:t>
      </w:r>
    </w:p>
    <w:p w14:paraId="36637E36" w14:textId="6D22984F" w:rsidR="00FC77B4" w:rsidRPr="005C1789" w:rsidRDefault="00671337" w:rsidP="00955888">
      <w:pPr>
        <w:numPr>
          <w:ilvl w:val="0"/>
          <w:numId w:val="2"/>
        </w:numPr>
        <w:spacing w:before="120" w:after="120"/>
        <w:ind w:left="0" w:firstLine="0"/>
        <w:jc w:val="both"/>
        <w:rPr>
          <w:rFonts w:ascii="Verdana" w:hAnsi="Verdana"/>
          <w:sz w:val="20"/>
          <w:lang w:val="es-ES_tradnl"/>
        </w:rPr>
      </w:pPr>
      <w:r w:rsidRPr="005C1789">
        <w:rPr>
          <w:rFonts w:ascii="Verdana" w:hAnsi="Verdana"/>
          <w:sz w:val="20"/>
          <w:szCs w:val="20"/>
          <w:lang w:val="es-ES"/>
        </w:rPr>
        <w:t>La</w:t>
      </w:r>
      <w:r w:rsidR="0052552A" w:rsidRPr="005C1789">
        <w:rPr>
          <w:rFonts w:ascii="Verdana" w:hAnsi="Verdana"/>
          <w:sz w:val="20"/>
          <w:szCs w:val="20"/>
          <w:lang w:val="es-ES"/>
        </w:rPr>
        <w:t xml:space="preserve"> </w:t>
      </w:r>
      <w:r w:rsidR="00FC77B4" w:rsidRPr="005C1789">
        <w:rPr>
          <w:rFonts w:ascii="Verdana" w:hAnsi="Verdana"/>
          <w:sz w:val="20"/>
          <w:szCs w:val="20"/>
          <w:lang w:val="es-ES"/>
        </w:rPr>
        <w:t xml:space="preserve">Corte recuerda que el deber general del Estado establecido en el artículo 2 de la Convención, </w:t>
      </w:r>
      <w:r w:rsidR="00FC77B4" w:rsidRPr="005C1789">
        <w:rPr>
          <w:rFonts w:ascii="Verdana" w:hAnsi="Verdana"/>
          <w:sz w:val="20"/>
          <w:szCs w:val="20"/>
          <w:lang w:val="es-CO"/>
        </w:rPr>
        <w:t>incluye</w:t>
      </w:r>
      <w:r w:rsidR="00FC77B4" w:rsidRPr="005C1789">
        <w:rPr>
          <w:rFonts w:ascii="Verdana" w:hAnsi="Verdana"/>
          <w:sz w:val="20"/>
          <w:szCs w:val="20"/>
          <w:lang w:val="es-ES"/>
        </w:rPr>
        <w:t xml:space="preserve"> la adopción de medidas para suprimir las normas y prácticas de cualquier naturaleza que impliquen una violación a las garantías previstas en la Convención, así como la expedición de normas y el desarrollo de prácticas conducentes a la observancia efectiva de dichas garantías</w:t>
      </w:r>
      <w:r w:rsidR="00FC77B4" w:rsidRPr="005C1789">
        <w:rPr>
          <w:rStyle w:val="Refdenotaalpie"/>
          <w:rFonts w:ascii="Verdana" w:hAnsi="Verdana"/>
          <w:sz w:val="20"/>
          <w:lang w:val="es-ES"/>
        </w:rPr>
        <w:footnoteReference w:id="162"/>
      </w:r>
      <w:r w:rsidR="00FC77B4" w:rsidRPr="005C1789">
        <w:rPr>
          <w:rFonts w:ascii="Verdana" w:hAnsi="Verdana"/>
          <w:sz w:val="20"/>
          <w:szCs w:val="20"/>
          <w:lang w:val="es-ES"/>
        </w:rPr>
        <w:t>.</w:t>
      </w:r>
      <w:r w:rsidR="00F07956" w:rsidRPr="005C1789">
        <w:rPr>
          <w:rFonts w:ascii="Verdana" w:hAnsi="Verdana"/>
          <w:sz w:val="20"/>
          <w:szCs w:val="20"/>
          <w:lang w:val="es-ES"/>
        </w:rPr>
        <w:t xml:space="preserve"> </w:t>
      </w:r>
    </w:p>
    <w:p w14:paraId="41CE8A9D" w14:textId="0485827D" w:rsidR="004345AD" w:rsidRPr="005C1789" w:rsidRDefault="00350C61" w:rsidP="00955888">
      <w:pPr>
        <w:numPr>
          <w:ilvl w:val="0"/>
          <w:numId w:val="2"/>
        </w:numPr>
        <w:spacing w:before="120" w:after="120"/>
        <w:ind w:left="0" w:firstLine="0"/>
        <w:jc w:val="both"/>
        <w:rPr>
          <w:rFonts w:ascii="Segoe UI" w:hAnsi="Segoe UI" w:cs="Segoe UI"/>
          <w:color w:val="242424"/>
          <w:sz w:val="29"/>
          <w:szCs w:val="29"/>
        </w:rPr>
      </w:pPr>
      <w:r w:rsidRPr="005C1789">
        <w:rPr>
          <w:rFonts w:ascii="Verdana" w:hAnsi="Verdana"/>
          <w:sz w:val="20"/>
          <w:szCs w:val="20"/>
        </w:rPr>
        <w:t xml:space="preserve"> </w:t>
      </w:r>
      <w:r w:rsidR="0035178B" w:rsidRPr="005C1789">
        <w:rPr>
          <w:rFonts w:ascii="Verdana" w:hAnsi="Verdana"/>
          <w:sz w:val="20"/>
          <w:szCs w:val="20"/>
        </w:rPr>
        <w:t xml:space="preserve">Conforme a lo expuesto y en relación </w:t>
      </w:r>
      <w:r w:rsidR="005B72A1" w:rsidRPr="005C1789">
        <w:rPr>
          <w:rFonts w:ascii="Verdana" w:hAnsi="Verdana"/>
          <w:sz w:val="20"/>
          <w:szCs w:val="20"/>
        </w:rPr>
        <w:t>con</w:t>
      </w:r>
      <w:r w:rsidR="0035178B" w:rsidRPr="005C1789">
        <w:rPr>
          <w:rFonts w:ascii="Verdana" w:hAnsi="Verdana"/>
          <w:sz w:val="20"/>
          <w:szCs w:val="20"/>
        </w:rPr>
        <w:t xml:space="preserve"> la figura del arraigo como medida de naturaleza pre-procesal restrictiva de la libertad con fines investigativos, la Corte entiende que la misma resulta incompatible con la Convención Americana, puesto que los postulados que definen sus características inherentes no conviven de forma pacífica con los derechos a la libertad personal y a la presunción de inocencia. Como consecuencia de lo anterior, el Tribunal considera que el Estado deberá dejar sin efecto, en su ordenamiento jurídico, la normatividad relacionada con el arraigo como medida de naturaleza pre-procesal restrictiva de la libertad para fines investigativos</w:t>
      </w:r>
      <w:r w:rsidR="004345AD" w:rsidRPr="005C1789">
        <w:rPr>
          <w:rFonts w:ascii="Verdana" w:hAnsi="Verdana"/>
          <w:sz w:val="20"/>
          <w:szCs w:val="20"/>
        </w:rPr>
        <w:t>.</w:t>
      </w:r>
    </w:p>
    <w:p w14:paraId="49AF82AD" w14:textId="35DF30E7" w:rsidR="008D17F2" w:rsidRPr="005C1789" w:rsidRDefault="00155207" w:rsidP="00955888">
      <w:pPr>
        <w:numPr>
          <w:ilvl w:val="0"/>
          <w:numId w:val="2"/>
        </w:numPr>
        <w:spacing w:before="120" w:after="120"/>
        <w:ind w:left="0" w:firstLine="0"/>
        <w:jc w:val="both"/>
        <w:rPr>
          <w:rFonts w:ascii="Verdana" w:hAnsi="Verdana"/>
          <w:color w:val="C00000"/>
          <w:sz w:val="20"/>
          <w:szCs w:val="20"/>
        </w:rPr>
      </w:pPr>
      <w:r w:rsidRPr="005C1789">
        <w:rPr>
          <w:rFonts w:ascii="Verdana" w:hAnsi="Verdana"/>
          <w:sz w:val="20"/>
          <w:szCs w:val="20"/>
          <w:lang w:val="es-ES"/>
        </w:rPr>
        <w:t>Por otra parte, en lo que se refiere a la figura de la prisión preventiva, esta Corte ordena</w:t>
      </w:r>
      <w:r w:rsidRPr="005C1789">
        <w:rPr>
          <w:rFonts w:ascii="Verdana" w:hAnsi="Verdana"/>
          <w:sz w:val="20"/>
          <w:szCs w:val="20"/>
        </w:rPr>
        <w:t xml:space="preserve"> al Estado</w:t>
      </w:r>
      <w:r w:rsidRPr="005C1789">
        <w:rPr>
          <w:rFonts w:ascii="Verdana" w:hAnsi="Verdana"/>
          <w:sz w:val="20"/>
          <w:szCs w:val="20"/>
          <w:lang w:val="es-ES"/>
        </w:rPr>
        <w:t xml:space="preserve">, </w:t>
      </w:r>
      <w:r w:rsidR="004345AD" w:rsidRPr="005C1789">
        <w:rPr>
          <w:rFonts w:ascii="Verdana" w:hAnsi="Verdana"/>
          <w:sz w:val="20"/>
          <w:szCs w:val="20"/>
          <w:lang w:val="es-ES"/>
        </w:rPr>
        <w:t>como lo ha hecho en otros casos</w:t>
      </w:r>
      <w:r w:rsidR="004345AD" w:rsidRPr="005C1789">
        <w:rPr>
          <w:rStyle w:val="Refdenotaalpie"/>
          <w:rFonts w:ascii="Verdana" w:hAnsi="Verdana"/>
          <w:sz w:val="20"/>
        </w:rPr>
        <w:footnoteReference w:id="163"/>
      </w:r>
      <w:r w:rsidR="004345AD" w:rsidRPr="005C1789">
        <w:rPr>
          <w:rFonts w:ascii="Verdana" w:hAnsi="Verdana"/>
          <w:sz w:val="20"/>
          <w:szCs w:val="20"/>
        </w:rPr>
        <w:t xml:space="preserve">, </w:t>
      </w:r>
      <w:r w:rsidR="008C1B6E" w:rsidRPr="005C1789">
        <w:rPr>
          <w:rFonts w:ascii="Verdana" w:hAnsi="Verdana"/>
          <w:sz w:val="20"/>
          <w:szCs w:val="20"/>
        </w:rPr>
        <w:t xml:space="preserve">adecuar su ordenamiento jurídico </w:t>
      </w:r>
      <w:r w:rsidR="00A23E11" w:rsidRPr="005C1789">
        <w:rPr>
          <w:rFonts w:ascii="Verdana" w:hAnsi="Verdana"/>
          <w:sz w:val="20"/>
          <w:szCs w:val="20"/>
        </w:rPr>
        <w:t xml:space="preserve">para que </w:t>
      </w:r>
      <w:r w:rsidR="008C1B6E" w:rsidRPr="005C1789">
        <w:rPr>
          <w:rFonts w:ascii="Verdana" w:hAnsi="Verdana"/>
          <w:sz w:val="20"/>
          <w:szCs w:val="20"/>
        </w:rPr>
        <w:t xml:space="preserve">sea compatible con la Convención Americana. Para tales efectos, </w:t>
      </w:r>
      <w:r w:rsidR="00B65D3D" w:rsidRPr="005C1789">
        <w:rPr>
          <w:rFonts w:ascii="Verdana" w:hAnsi="Verdana"/>
          <w:sz w:val="20"/>
          <w:szCs w:val="20"/>
        </w:rPr>
        <w:t xml:space="preserve">el Estado deberá tomar en consideración lo indicado en los párrafos </w:t>
      </w:r>
      <w:r w:rsidR="00EB30D0" w:rsidRPr="005C1789">
        <w:rPr>
          <w:rFonts w:ascii="Verdana" w:hAnsi="Verdana"/>
          <w:sz w:val="20"/>
          <w:szCs w:val="20"/>
        </w:rPr>
        <w:t xml:space="preserve">96 </w:t>
      </w:r>
      <w:r w:rsidR="00B65D3D" w:rsidRPr="005C1789">
        <w:rPr>
          <w:rFonts w:ascii="Verdana" w:hAnsi="Verdana"/>
          <w:sz w:val="20"/>
          <w:szCs w:val="20"/>
        </w:rPr>
        <w:t xml:space="preserve">a </w:t>
      </w:r>
      <w:r w:rsidR="00EB30D0" w:rsidRPr="005C1789">
        <w:rPr>
          <w:rFonts w:ascii="Verdana" w:hAnsi="Verdana"/>
          <w:sz w:val="20"/>
          <w:szCs w:val="20"/>
        </w:rPr>
        <w:t>114</w:t>
      </w:r>
      <w:r w:rsidR="00B65D3D" w:rsidRPr="005C1789">
        <w:rPr>
          <w:rFonts w:ascii="Verdana" w:hAnsi="Verdana"/>
          <w:sz w:val="20"/>
          <w:szCs w:val="20"/>
        </w:rPr>
        <w:t xml:space="preserve"> de la presente Sentencia </w:t>
      </w:r>
      <w:r w:rsidR="0036201D" w:rsidRPr="005C1789">
        <w:rPr>
          <w:rFonts w:ascii="Verdana" w:hAnsi="Verdana"/>
          <w:sz w:val="20"/>
          <w:szCs w:val="20"/>
        </w:rPr>
        <w:t xml:space="preserve">en donde se establecen los requisitos que deben cumplir las medidas de esa naturaleza para que sean </w:t>
      </w:r>
      <w:r w:rsidR="00541AF2">
        <w:rPr>
          <w:rFonts w:ascii="Verdana" w:hAnsi="Verdana"/>
          <w:sz w:val="20"/>
          <w:szCs w:val="20"/>
        </w:rPr>
        <w:t>conformes</w:t>
      </w:r>
      <w:r w:rsidR="0036201D" w:rsidRPr="005C1789">
        <w:rPr>
          <w:rFonts w:ascii="Verdana" w:hAnsi="Verdana"/>
          <w:sz w:val="20"/>
          <w:szCs w:val="20"/>
        </w:rPr>
        <w:t xml:space="preserve"> con </w:t>
      </w:r>
      <w:r w:rsidR="00EC3ACC" w:rsidRPr="005C1789">
        <w:rPr>
          <w:rFonts w:ascii="Verdana" w:hAnsi="Verdana"/>
          <w:sz w:val="20"/>
          <w:szCs w:val="20"/>
        </w:rPr>
        <w:t>el referido tratado</w:t>
      </w:r>
      <w:r w:rsidR="0036201D" w:rsidRPr="005C1789">
        <w:rPr>
          <w:rFonts w:ascii="Verdana" w:hAnsi="Verdana"/>
          <w:sz w:val="20"/>
          <w:szCs w:val="20"/>
        </w:rPr>
        <w:t>.</w:t>
      </w:r>
    </w:p>
    <w:p w14:paraId="2ADCB364" w14:textId="41030788" w:rsidR="00604C85" w:rsidRPr="005C1789" w:rsidRDefault="00604C85" w:rsidP="00955888">
      <w:pPr>
        <w:numPr>
          <w:ilvl w:val="0"/>
          <w:numId w:val="2"/>
        </w:numPr>
        <w:spacing w:before="120" w:after="120"/>
        <w:ind w:left="0" w:firstLine="0"/>
        <w:jc w:val="both"/>
        <w:rPr>
          <w:rFonts w:ascii="Verdana" w:hAnsi="Verdana"/>
          <w:color w:val="C00000"/>
          <w:sz w:val="20"/>
          <w:szCs w:val="20"/>
        </w:rPr>
      </w:pPr>
      <w:r w:rsidRPr="005C1789">
        <w:rPr>
          <w:rFonts w:ascii="Verdana" w:hAnsi="Verdana"/>
          <w:sz w:val="20"/>
          <w:szCs w:val="20"/>
        </w:rPr>
        <w:t xml:space="preserve">Por otra parte, no solo la supresión o adecuación de las normas en el derecho interno garantizan los derechos contenidos en la Convención Americana, de conformidad a la obligación comprendida en el artículo 2 de dicho instrumento. También se requiere el desarrollo de prácticas estatales conducentes a la observancia efectiva de los derechos y libertades consagrados en la misma. En consecuencia, la existencia de una norma no garantiza por sí misma que su aplicación sea adecuada. Es necesario que la aplicación de las normas o su interpretación, en tanto prácticas jurisdiccionales y manifestación del orden público estatal, se encuentren ajustadas al mismo fin que persigue el artículo 2 de la Convención. </w:t>
      </w:r>
    </w:p>
    <w:p w14:paraId="08254CC1" w14:textId="3E0E7231" w:rsidR="008D17F2" w:rsidRPr="005C1789" w:rsidRDefault="00541AF2" w:rsidP="00955888">
      <w:pPr>
        <w:numPr>
          <w:ilvl w:val="0"/>
          <w:numId w:val="2"/>
        </w:numPr>
        <w:spacing w:before="120" w:after="120"/>
        <w:ind w:left="0" w:firstLine="0"/>
        <w:jc w:val="both"/>
        <w:rPr>
          <w:rFonts w:ascii="Verdana" w:hAnsi="Verdana"/>
          <w:sz w:val="20"/>
          <w:szCs w:val="20"/>
        </w:rPr>
      </w:pPr>
      <w:r>
        <w:rPr>
          <w:rFonts w:ascii="Verdana" w:hAnsi="Verdana"/>
          <w:sz w:val="20"/>
          <w:szCs w:val="20"/>
        </w:rPr>
        <w:t>De acuerdo con</w:t>
      </w:r>
      <w:r w:rsidR="00604C85" w:rsidRPr="005C1789">
        <w:rPr>
          <w:rFonts w:ascii="Verdana" w:hAnsi="Verdana"/>
          <w:sz w:val="20"/>
          <w:szCs w:val="20"/>
        </w:rPr>
        <w:t xml:space="preserve"> lo expuesto</w:t>
      </w:r>
      <w:r w:rsidR="00230CD2" w:rsidRPr="005C1789">
        <w:rPr>
          <w:rFonts w:ascii="Verdana" w:hAnsi="Verdana"/>
          <w:sz w:val="20"/>
          <w:szCs w:val="20"/>
        </w:rPr>
        <w:t xml:space="preserve">, se recuerda que las autoridades internas, al aplicar las figuras del arraigo o de la prisión preventiva, deben ejercer un adecuado control de convencionalidad para que las mismas no afecten los derechos contenidos en la Convención Americana de las personas investigadas o procesadas por un delito. </w:t>
      </w:r>
      <w:r w:rsidR="008D17F2" w:rsidRPr="005C1789">
        <w:rPr>
          <w:rFonts w:ascii="Verdana" w:hAnsi="Verdana"/>
          <w:sz w:val="20"/>
          <w:szCs w:val="20"/>
        </w:rPr>
        <w:t xml:space="preserve">En ese sentido, corresponde </w:t>
      </w:r>
      <w:r w:rsidR="00230CD2" w:rsidRPr="005C1789">
        <w:rPr>
          <w:rFonts w:ascii="Verdana" w:hAnsi="Verdana"/>
          <w:sz w:val="20"/>
          <w:szCs w:val="20"/>
        </w:rPr>
        <w:t>reiterar</w:t>
      </w:r>
      <w:r w:rsidR="008D17F2" w:rsidRPr="005C1789">
        <w:rPr>
          <w:rFonts w:ascii="Verdana" w:hAnsi="Verdana"/>
          <w:sz w:val="20"/>
          <w:szCs w:val="20"/>
        </w:rPr>
        <w:t xml:space="preserve"> que cuando</w:t>
      </w:r>
      <w:r w:rsidR="008D17F2" w:rsidRPr="005C1789">
        <w:rPr>
          <w:rFonts w:ascii="Verdana" w:hAnsi="Verdana"/>
          <w:spacing w:val="1"/>
          <w:sz w:val="20"/>
          <w:szCs w:val="20"/>
        </w:rPr>
        <w:t xml:space="preserve"> </w:t>
      </w:r>
      <w:r w:rsidR="008D17F2" w:rsidRPr="005C1789">
        <w:rPr>
          <w:rFonts w:ascii="Verdana" w:hAnsi="Verdana"/>
          <w:sz w:val="20"/>
          <w:szCs w:val="20"/>
        </w:rPr>
        <w:t>un</w:t>
      </w:r>
      <w:r w:rsidR="008D17F2" w:rsidRPr="005C1789">
        <w:rPr>
          <w:rFonts w:ascii="Verdana" w:hAnsi="Verdana"/>
          <w:spacing w:val="1"/>
          <w:sz w:val="20"/>
          <w:szCs w:val="20"/>
        </w:rPr>
        <w:t xml:space="preserve"> </w:t>
      </w:r>
      <w:r w:rsidR="008D17F2" w:rsidRPr="005C1789">
        <w:rPr>
          <w:rFonts w:ascii="Verdana" w:hAnsi="Verdana"/>
          <w:sz w:val="20"/>
          <w:szCs w:val="20"/>
        </w:rPr>
        <w:t>Estado</w:t>
      </w:r>
      <w:r w:rsidR="008D17F2" w:rsidRPr="005C1789">
        <w:rPr>
          <w:rFonts w:ascii="Verdana" w:hAnsi="Verdana"/>
          <w:spacing w:val="1"/>
          <w:sz w:val="20"/>
          <w:szCs w:val="20"/>
        </w:rPr>
        <w:t xml:space="preserve"> </w:t>
      </w:r>
      <w:r w:rsidR="008D17F2" w:rsidRPr="005C1789">
        <w:rPr>
          <w:rFonts w:ascii="Verdana" w:hAnsi="Verdana"/>
          <w:sz w:val="20"/>
          <w:szCs w:val="20"/>
        </w:rPr>
        <w:t>ha</w:t>
      </w:r>
      <w:r w:rsidR="008D17F2" w:rsidRPr="005C1789">
        <w:rPr>
          <w:rFonts w:ascii="Verdana" w:hAnsi="Verdana"/>
          <w:spacing w:val="1"/>
          <w:sz w:val="20"/>
          <w:szCs w:val="20"/>
        </w:rPr>
        <w:t xml:space="preserve"> </w:t>
      </w:r>
      <w:r w:rsidR="008D17F2" w:rsidRPr="005C1789">
        <w:rPr>
          <w:rFonts w:ascii="Verdana" w:hAnsi="Verdana"/>
          <w:sz w:val="20"/>
          <w:szCs w:val="20"/>
        </w:rPr>
        <w:t>ratificado</w:t>
      </w:r>
      <w:r w:rsidR="008D17F2" w:rsidRPr="005C1789">
        <w:rPr>
          <w:rFonts w:ascii="Verdana" w:hAnsi="Verdana"/>
          <w:spacing w:val="1"/>
          <w:sz w:val="20"/>
          <w:szCs w:val="20"/>
        </w:rPr>
        <w:t xml:space="preserve"> </w:t>
      </w:r>
      <w:r w:rsidR="008D17F2" w:rsidRPr="005C1789">
        <w:rPr>
          <w:rFonts w:ascii="Verdana" w:hAnsi="Verdana"/>
          <w:sz w:val="20"/>
          <w:szCs w:val="20"/>
        </w:rPr>
        <w:t>un</w:t>
      </w:r>
      <w:r w:rsidR="008D17F2" w:rsidRPr="005C1789">
        <w:rPr>
          <w:rFonts w:ascii="Verdana" w:hAnsi="Verdana"/>
          <w:spacing w:val="1"/>
          <w:sz w:val="20"/>
          <w:szCs w:val="20"/>
        </w:rPr>
        <w:t xml:space="preserve"> </w:t>
      </w:r>
      <w:r w:rsidR="008D17F2" w:rsidRPr="005C1789">
        <w:rPr>
          <w:rFonts w:ascii="Verdana" w:hAnsi="Verdana"/>
          <w:sz w:val="20"/>
          <w:szCs w:val="20"/>
        </w:rPr>
        <w:t>tratado</w:t>
      </w:r>
      <w:r w:rsidR="008D17F2" w:rsidRPr="005C1789">
        <w:rPr>
          <w:rFonts w:ascii="Verdana" w:hAnsi="Verdana"/>
          <w:spacing w:val="1"/>
          <w:sz w:val="20"/>
          <w:szCs w:val="20"/>
        </w:rPr>
        <w:t xml:space="preserve"> </w:t>
      </w:r>
      <w:r w:rsidR="008D17F2" w:rsidRPr="005C1789">
        <w:rPr>
          <w:rFonts w:ascii="Verdana" w:hAnsi="Verdana"/>
          <w:sz w:val="20"/>
          <w:szCs w:val="20"/>
        </w:rPr>
        <w:t>internacional</w:t>
      </w:r>
      <w:r w:rsidR="008D17F2" w:rsidRPr="005C1789">
        <w:rPr>
          <w:rFonts w:ascii="Verdana" w:hAnsi="Verdana"/>
          <w:spacing w:val="1"/>
          <w:sz w:val="20"/>
          <w:szCs w:val="20"/>
        </w:rPr>
        <w:t xml:space="preserve"> </w:t>
      </w:r>
      <w:r w:rsidR="008D17F2" w:rsidRPr="005C1789">
        <w:rPr>
          <w:rFonts w:ascii="Verdana" w:hAnsi="Verdana"/>
          <w:sz w:val="20"/>
          <w:szCs w:val="20"/>
        </w:rPr>
        <w:t>como</w:t>
      </w:r>
      <w:r w:rsidR="008D17F2" w:rsidRPr="005C1789">
        <w:rPr>
          <w:rFonts w:ascii="Verdana" w:hAnsi="Verdana"/>
          <w:spacing w:val="1"/>
          <w:sz w:val="20"/>
          <w:szCs w:val="20"/>
        </w:rPr>
        <w:t xml:space="preserve"> </w:t>
      </w:r>
      <w:r w:rsidR="008D17F2" w:rsidRPr="005C1789">
        <w:rPr>
          <w:rFonts w:ascii="Verdana" w:hAnsi="Verdana"/>
          <w:sz w:val="20"/>
          <w:szCs w:val="20"/>
        </w:rPr>
        <w:t>la</w:t>
      </w:r>
      <w:r w:rsidR="008D17F2" w:rsidRPr="005C1789">
        <w:rPr>
          <w:rFonts w:ascii="Verdana" w:hAnsi="Verdana"/>
          <w:spacing w:val="1"/>
          <w:sz w:val="20"/>
          <w:szCs w:val="20"/>
        </w:rPr>
        <w:t xml:space="preserve"> </w:t>
      </w:r>
      <w:r w:rsidR="008D17F2" w:rsidRPr="005C1789">
        <w:rPr>
          <w:rFonts w:ascii="Verdana" w:hAnsi="Verdana"/>
          <w:sz w:val="20"/>
          <w:szCs w:val="20"/>
        </w:rPr>
        <w:t>Convención Americana, todos sus órganos, incluidos sus jueces, están sometidos a</w:t>
      </w:r>
      <w:r w:rsidR="008D17F2" w:rsidRPr="005C1789">
        <w:rPr>
          <w:rFonts w:ascii="Verdana" w:hAnsi="Verdana"/>
          <w:spacing w:val="1"/>
          <w:sz w:val="20"/>
          <w:szCs w:val="20"/>
        </w:rPr>
        <w:t xml:space="preserve"> </w:t>
      </w:r>
      <w:r w:rsidR="008D17F2" w:rsidRPr="005C1789">
        <w:rPr>
          <w:rFonts w:ascii="Verdana" w:hAnsi="Verdana"/>
          <w:sz w:val="20"/>
          <w:szCs w:val="20"/>
        </w:rPr>
        <w:t>aquél,</w:t>
      </w:r>
      <w:r w:rsidR="008D17F2" w:rsidRPr="005C1789">
        <w:rPr>
          <w:rFonts w:ascii="Verdana" w:hAnsi="Verdana"/>
          <w:spacing w:val="-10"/>
          <w:sz w:val="20"/>
          <w:szCs w:val="20"/>
        </w:rPr>
        <w:t xml:space="preserve"> </w:t>
      </w:r>
      <w:r w:rsidR="008D17F2" w:rsidRPr="005C1789">
        <w:rPr>
          <w:rFonts w:ascii="Verdana" w:hAnsi="Verdana"/>
          <w:sz w:val="20"/>
          <w:szCs w:val="20"/>
        </w:rPr>
        <w:t>lo</w:t>
      </w:r>
      <w:r w:rsidR="008D17F2" w:rsidRPr="005C1789">
        <w:rPr>
          <w:rFonts w:ascii="Verdana" w:hAnsi="Verdana"/>
          <w:spacing w:val="-10"/>
          <w:sz w:val="20"/>
          <w:szCs w:val="20"/>
        </w:rPr>
        <w:t xml:space="preserve"> </w:t>
      </w:r>
      <w:r w:rsidR="008D17F2" w:rsidRPr="005C1789">
        <w:rPr>
          <w:rFonts w:ascii="Verdana" w:hAnsi="Verdana"/>
          <w:sz w:val="20"/>
          <w:szCs w:val="20"/>
        </w:rPr>
        <w:t>cual</w:t>
      </w:r>
      <w:r w:rsidR="008D17F2" w:rsidRPr="005C1789">
        <w:rPr>
          <w:rFonts w:ascii="Verdana" w:hAnsi="Verdana"/>
          <w:spacing w:val="-7"/>
          <w:sz w:val="20"/>
          <w:szCs w:val="20"/>
        </w:rPr>
        <w:t xml:space="preserve"> </w:t>
      </w:r>
      <w:r w:rsidR="008D17F2" w:rsidRPr="005C1789">
        <w:rPr>
          <w:rFonts w:ascii="Verdana" w:hAnsi="Verdana"/>
          <w:sz w:val="20"/>
          <w:szCs w:val="20"/>
        </w:rPr>
        <w:t>les</w:t>
      </w:r>
      <w:r w:rsidR="008D17F2" w:rsidRPr="005C1789">
        <w:rPr>
          <w:rFonts w:ascii="Verdana" w:hAnsi="Verdana"/>
          <w:spacing w:val="-9"/>
          <w:sz w:val="20"/>
          <w:szCs w:val="20"/>
        </w:rPr>
        <w:t xml:space="preserve"> </w:t>
      </w:r>
      <w:r w:rsidR="008D17F2" w:rsidRPr="005C1789">
        <w:rPr>
          <w:rFonts w:ascii="Verdana" w:hAnsi="Verdana"/>
          <w:sz w:val="20"/>
          <w:szCs w:val="20"/>
        </w:rPr>
        <w:t>obliga</w:t>
      </w:r>
      <w:r w:rsidR="008D17F2" w:rsidRPr="005C1789">
        <w:rPr>
          <w:rFonts w:ascii="Verdana" w:hAnsi="Verdana"/>
          <w:spacing w:val="-11"/>
          <w:sz w:val="20"/>
          <w:szCs w:val="20"/>
        </w:rPr>
        <w:t xml:space="preserve"> </w:t>
      </w:r>
      <w:r w:rsidR="008D17F2" w:rsidRPr="005C1789">
        <w:rPr>
          <w:rFonts w:ascii="Verdana" w:hAnsi="Verdana"/>
          <w:sz w:val="20"/>
          <w:szCs w:val="20"/>
        </w:rPr>
        <w:t>a</w:t>
      </w:r>
      <w:r w:rsidR="008D17F2" w:rsidRPr="005C1789">
        <w:rPr>
          <w:rFonts w:ascii="Verdana" w:hAnsi="Verdana"/>
          <w:spacing w:val="-9"/>
          <w:sz w:val="20"/>
          <w:szCs w:val="20"/>
        </w:rPr>
        <w:t xml:space="preserve"> </w:t>
      </w:r>
      <w:r w:rsidR="008D17F2" w:rsidRPr="005C1789">
        <w:rPr>
          <w:rFonts w:ascii="Verdana" w:hAnsi="Verdana"/>
          <w:sz w:val="20"/>
          <w:szCs w:val="20"/>
        </w:rPr>
        <w:t>velar</w:t>
      </w:r>
      <w:r w:rsidR="008D17F2" w:rsidRPr="005C1789">
        <w:rPr>
          <w:rFonts w:ascii="Verdana" w:hAnsi="Verdana"/>
          <w:spacing w:val="-10"/>
          <w:sz w:val="20"/>
          <w:szCs w:val="20"/>
        </w:rPr>
        <w:t xml:space="preserve"> </w:t>
      </w:r>
      <w:r w:rsidR="008D17F2" w:rsidRPr="005C1789">
        <w:rPr>
          <w:rFonts w:ascii="Verdana" w:hAnsi="Verdana"/>
          <w:sz w:val="20"/>
          <w:szCs w:val="20"/>
        </w:rPr>
        <w:t>por</w:t>
      </w:r>
      <w:r w:rsidR="008D17F2" w:rsidRPr="005C1789">
        <w:rPr>
          <w:rFonts w:ascii="Verdana" w:hAnsi="Verdana"/>
          <w:spacing w:val="-9"/>
          <w:sz w:val="20"/>
          <w:szCs w:val="20"/>
        </w:rPr>
        <w:t xml:space="preserve"> </w:t>
      </w:r>
      <w:r w:rsidR="008D17F2" w:rsidRPr="005C1789">
        <w:rPr>
          <w:rFonts w:ascii="Verdana" w:hAnsi="Verdana"/>
          <w:sz w:val="20"/>
          <w:szCs w:val="20"/>
        </w:rPr>
        <w:t>que</w:t>
      </w:r>
      <w:r w:rsidR="008D17F2" w:rsidRPr="005C1789">
        <w:rPr>
          <w:rFonts w:ascii="Verdana" w:hAnsi="Verdana"/>
          <w:spacing w:val="-10"/>
          <w:sz w:val="20"/>
          <w:szCs w:val="20"/>
        </w:rPr>
        <w:t xml:space="preserve"> </w:t>
      </w:r>
      <w:r w:rsidR="008D17F2" w:rsidRPr="005C1789">
        <w:rPr>
          <w:rFonts w:ascii="Verdana" w:hAnsi="Verdana"/>
          <w:sz w:val="20"/>
          <w:szCs w:val="20"/>
        </w:rPr>
        <w:t>los</w:t>
      </w:r>
      <w:r w:rsidR="008D17F2" w:rsidRPr="005C1789">
        <w:rPr>
          <w:rFonts w:ascii="Verdana" w:hAnsi="Verdana"/>
          <w:spacing w:val="-5"/>
          <w:sz w:val="20"/>
          <w:szCs w:val="20"/>
        </w:rPr>
        <w:t xml:space="preserve"> </w:t>
      </w:r>
      <w:r w:rsidR="008D17F2" w:rsidRPr="005C1789">
        <w:rPr>
          <w:rFonts w:ascii="Verdana" w:hAnsi="Verdana"/>
          <w:sz w:val="20"/>
          <w:szCs w:val="20"/>
        </w:rPr>
        <w:t>efectos</w:t>
      </w:r>
      <w:r w:rsidR="008D17F2" w:rsidRPr="005C1789">
        <w:rPr>
          <w:rFonts w:ascii="Verdana" w:hAnsi="Verdana"/>
          <w:spacing w:val="-8"/>
          <w:sz w:val="20"/>
          <w:szCs w:val="20"/>
        </w:rPr>
        <w:t xml:space="preserve"> </w:t>
      </w:r>
      <w:r w:rsidR="008D17F2" w:rsidRPr="005C1789">
        <w:rPr>
          <w:rFonts w:ascii="Verdana" w:hAnsi="Verdana"/>
          <w:sz w:val="20"/>
          <w:szCs w:val="20"/>
        </w:rPr>
        <w:t>de</w:t>
      </w:r>
      <w:r w:rsidR="008D17F2" w:rsidRPr="005C1789">
        <w:rPr>
          <w:rFonts w:ascii="Verdana" w:hAnsi="Verdana"/>
          <w:spacing w:val="-7"/>
          <w:sz w:val="20"/>
          <w:szCs w:val="20"/>
        </w:rPr>
        <w:t xml:space="preserve"> </w:t>
      </w:r>
      <w:r w:rsidR="008D17F2" w:rsidRPr="005C1789">
        <w:rPr>
          <w:rFonts w:ascii="Verdana" w:hAnsi="Verdana"/>
          <w:sz w:val="20"/>
          <w:szCs w:val="20"/>
        </w:rPr>
        <w:t>las</w:t>
      </w:r>
      <w:r w:rsidR="008D17F2" w:rsidRPr="005C1789">
        <w:rPr>
          <w:rFonts w:ascii="Verdana" w:hAnsi="Verdana"/>
          <w:spacing w:val="-10"/>
          <w:sz w:val="20"/>
          <w:szCs w:val="20"/>
        </w:rPr>
        <w:t xml:space="preserve"> </w:t>
      </w:r>
      <w:r w:rsidR="008D17F2" w:rsidRPr="005C1789">
        <w:rPr>
          <w:rFonts w:ascii="Verdana" w:hAnsi="Verdana"/>
          <w:sz w:val="20"/>
          <w:szCs w:val="20"/>
        </w:rPr>
        <w:t>disposiciones</w:t>
      </w:r>
      <w:r w:rsidR="008D17F2" w:rsidRPr="005C1789">
        <w:rPr>
          <w:rFonts w:ascii="Verdana" w:hAnsi="Verdana"/>
          <w:spacing w:val="-10"/>
          <w:sz w:val="20"/>
          <w:szCs w:val="20"/>
        </w:rPr>
        <w:t xml:space="preserve"> </w:t>
      </w:r>
      <w:r w:rsidR="008D17F2" w:rsidRPr="005C1789">
        <w:rPr>
          <w:rFonts w:ascii="Verdana" w:hAnsi="Verdana"/>
          <w:sz w:val="20"/>
          <w:szCs w:val="20"/>
        </w:rPr>
        <w:t>de</w:t>
      </w:r>
      <w:r w:rsidR="008D17F2" w:rsidRPr="005C1789">
        <w:rPr>
          <w:rFonts w:ascii="Verdana" w:hAnsi="Verdana"/>
          <w:spacing w:val="-9"/>
          <w:sz w:val="20"/>
          <w:szCs w:val="20"/>
        </w:rPr>
        <w:t xml:space="preserve"> </w:t>
      </w:r>
      <w:r w:rsidR="008D17F2" w:rsidRPr="005C1789">
        <w:rPr>
          <w:rFonts w:ascii="Verdana" w:hAnsi="Verdana"/>
          <w:sz w:val="20"/>
          <w:szCs w:val="20"/>
        </w:rPr>
        <w:t>la</w:t>
      </w:r>
      <w:r w:rsidR="008D17F2" w:rsidRPr="005C1789">
        <w:rPr>
          <w:rFonts w:ascii="Verdana" w:hAnsi="Verdana"/>
          <w:spacing w:val="-9"/>
          <w:sz w:val="20"/>
          <w:szCs w:val="20"/>
        </w:rPr>
        <w:t xml:space="preserve"> </w:t>
      </w:r>
      <w:r w:rsidR="008D17F2" w:rsidRPr="005C1789">
        <w:rPr>
          <w:rFonts w:ascii="Verdana" w:hAnsi="Verdana"/>
          <w:sz w:val="20"/>
          <w:szCs w:val="20"/>
        </w:rPr>
        <w:t>Convención</w:t>
      </w:r>
      <w:r w:rsidR="00023E34" w:rsidRPr="005C1789">
        <w:rPr>
          <w:rFonts w:ascii="Verdana" w:hAnsi="Verdana"/>
          <w:spacing w:val="-68"/>
          <w:sz w:val="20"/>
          <w:szCs w:val="20"/>
        </w:rPr>
        <w:t xml:space="preserve"> </w:t>
      </w:r>
      <w:r w:rsidR="00F63FDE" w:rsidRPr="005C1789">
        <w:rPr>
          <w:rFonts w:ascii="Verdana" w:hAnsi="Verdana"/>
          <w:sz w:val="20"/>
          <w:szCs w:val="20"/>
        </w:rPr>
        <w:t>no</w:t>
      </w:r>
      <w:r w:rsidR="008D17F2" w:rsidRPr="005C1789">
        <w:rPr>
          <w:rFonts w:ascii="Verdana" w:hAnsi="Verdana"/>
          <w:sz w:val="20"/>
          <w:szCs w:val="20"/>
        </w:rPr>
        <w:t xml:space="preserve"> se vean mermados por la aplicación de normas contrarias a su objeto y fin, por lo</w:t>
      </w:r>
      <w:r w:rsidR="008D17F2" w:rsidRPr="005C1789">
        <w:rPr>
          <w:rFonts w:ascii="Verdana" w:hAnsi="Verdana"/>
          <w:spacing w:val="1"/>
          <w:sz w:val="20"/>
          <w:szCs w:val="20"/>
        </w:rPr>
        <w:t xml:space="preserve"> </w:t>
      </w:r>
      <w:r w:rsidR="008D17F2" w:rsidRPr="005C1789">
        <w:rPr>
          <w:rFonts w:ascii="Verdana" w:hAnsi="Verdana"/>
          <w:sz w:val="20"/>
          <w:szCs w:val="20"/>
        </w:rPr>
        <w:t>que</w:t>
      </w:r>
      <w:r w:rsidR="00E30666" w:rsidRPr="005C1789">
        <w:rPr>
          <w:rFonts w:ascii="Verdana" w:hAnsi="Verdana"/>
          <w:sz w:val="20"/>
          <w:szCs w:val="20"/>
        </w:rPr>
        <w:t xml:space="preserve"> - en</w:t>
      </w:r>
      <w:r w:rsidR="00E30666" w:rsidRPr="005C1789">
        <w:rPr>
          <w:rFonts w:ascii="Verdana" w:hAnsi="Verdana"/>
          <w:spacing w:val="1"/>
          <w:sz w:val="20"/>
          <w:szCs w:val="20"/>
        </w:rPr>
        <w:t xml:space="preserve"> </w:t>
      </w:r>
      <w:r w:rsidR="00E30666" w:rsidRPr="005C1789">
        <w:rPr>
          <w:rFonts w:ascii="Verdana" w:hAnsi="Verdana"/>
          <w:sz w:val="20"/>
          <w:szCs w:val="20"/>
        </w:rPr>
        <w:t>el</w:t>
      </w:r>
      <w:r w:rsidR="00E30666" w:rsidRPr="005C1789">
        <w:rPr>
          <w:rFonts w:ascii="Verdana" w:hAnsi="Verdana"/>
          <w:spacing w:val="1"/>
          <w:sz w:val="20"/>
          <w:szCs w:val="20"/>
        </w:rPr>
        <w:t xml:space="preserve"> </w:t>
      </w:r>
      <w:r w:rsidR="00E30666" w:rsidRPr="005C1789">
        <w:rPr>
          <w:rFonts w:ascii="Verdana" w:hAnsi="Verdana"/>
          <w:sz w:val="20"/>
          <w:szCs w:val="20"/>
        </w:rPr>
        <w:t>marco</w:t>
      </w:r>
      <w:r w:rsidR="00E30666" w:rsidRPr="005C1789">
        <w:rPr>
          <w:rFonts w:ascii="Verdana" w:hAnsi="Verdana"/>
          <w:spacing w:val="1"/>
          <w:sz w:val="20"/>
          <w:szCs w:val="20"/>
        </w:rPr>
        <w:t xml:space="preserve"> </w:t>
      </w:r>
      <w:r w:rsidR="00E30666" w:rsidRPr="005C1789">
        <w:rPr>
          <w:rFonts w:ascii="Verdana" w:hAnsi="Verdana"/>
          <w:sz w:val="20"/>
          <w:szCs w:val="20"/>
        </w:rPr>
        <w:t>de</w:t>
      </w:r>
      <w:r w:rsidR="00E30666" w:rsidRPr="005C1789">
        <w:rPr>
          <w:rFonts w:ascii="Verdana" w:hAnsi="Verdana"/>
          <w:spacing w:val="1"/>
          <w:sz w:val="20"/>
          <w:szCs w:val="20"/>
        </w:rPr>
        <w:t xml:space="preserve"> </w:t>
      </w:r>
      <w:r w:rsidR="00E30666" w:rsidRPr="005C1789">
        <w:rPr>
          <w:rFonts w:ascii="Verdana" w:hAnsi="Verdana"/>
          <w:sz w:val="20"/>
          <w:szCs w:val="20"/>
        </w:rPr>
        <w:t>sus</w:t>
      </w:r>
      <w:r w:rsidR="00023E34">
        <w:rPr>
          <w:rFonts w:ascii="Verdana" w:hAnsi="Verdana"/>
          <w:sz w:val="20"/>
          <w:szCs w:val="20"/>
        </w:rPr>
        <w:t xml:space="preserve"> </w:t>
      </w:r>
      <w:r w:rsidR="00023E34" w:rsidRPr="005C1789">
        <w:rPr>
          <w:rFonts w:ascii="Verdana" w:hAnsi="Verdana"/>
          <w:spacing w:val="-68"/>
          <w:sz w:val="20"/>
          <w:szCs w:val="20"/>
        </w:rPr>
        <w:t xml:space="preserve"> </w:t>
      </w:r>
      <w:r w:rsidR="00C5605B" w:rsidRPr="00C5605B">
        <w:rPr>
          <w:rFonts w:ascii="Verdana" w:hAnsi="Verdana"/>
          <w:spacing w:val="-68"/>
          <w:sz w:val="20"/>
          <w:szCs w:val="20"/>
        </w:rPr>
        <w:t xml:space="preserve"> </w:t>
      </w:r>
      <w:r w:rsidR="00023E34" w:rsidRPr="00C5605B">
        <w:rPr>
          <w:rFonts w:ascii="Verdana" w:hAnsi="Verdana"/>
          <w:spacing w:val="-68"/>
          <w:sz w:val="20"/>
          <w:szCs w:val="20"/>
        </w:rPr>
        <w:t xml:space="preserve"> </w:t>
      </w:r>
      <w:r w:rsidR="0063698B" w:rsidRPr="00C5605B">
        <w:rPr>
          <w:rFonts w:ascii="Verdana" w:hAnsi="Verdana"/>
          <w:spacing w:val="-68"/>
          <w:sz w:val="20"/>
          <w:szCs w:val="20"/>
        </w:rPr>
        <w:t xml:space="preserve">   </w:t>
      </w:r>
      <w:r w:rsidR="00E30666" w:rsidRPr="005C1789">
        <w:rPr>
          <w:rFonts w:ascii="Verdana" w:hAnsi="Verdana"/>
          <w:sz w:val="20"/>
          <w:szCs w:val="20"/>
        </w:rPr>
        <w:t>respectivas competencias y de las regulaciones procesales correspondientes</w:t>
      </w:r>
      <w:r w:rsidR="00854291" w:rsidRPr="005C1789">
        <w:rPr>
          <w:rFonts w:ascii="Verdana" w:hAnsi="Verdana"/>
          <w:sz w:val="20"/>
          <w:szCs w:val="20"/>
        </w:rPr>
        <w:t>-</w:t>
      </w:r>
      <w:r w:rsidR="008D17F2" w:rsidRPr="005C1789">
        <w:rPr>
          <w:rFonts w:ascii="Verdana" w:hAnsi="Verdana"/>
          <w:sz w:val="20"/>
          <w:szCs w:val="20"/>
        </w:rPr>
        <w:t xml:space="preserve"> l</w:t>
      </w:r>
      <w:r w:rsidR="00230CD2" w:rsidRPr="005C1789">
        <w:rPr>
          <w:rFonts w:ascii="Verdana" w:hAnsi="Verdana"/>
          <w:sz w:val="20"/>
          <w:szCs w:val="20"/>
        </w:rPr>
        <w:t>a</w:t>
      </w:r>
      <w:r w:rsidR="008D17F2" w:rsidRPr="005C1789">
        <w:rPr>
          <w:rFonts w:ascii="Verdana" w:hAnsi="Verdana"/>
          <w:sz w:val="20"/>
          <w:szCs w:val="20"/>
        </w:rPr>
        <w:t xml:space="preserve">s </w:t>
      </w:r>
      <w:r w:rsidR="005F08E2" w:rsidRPr="005C1789">
        <w:rPr>
          <w:rFonts w:ascii="Verdana" w:hAnsi="Verdana"/>
          <w:sz w:val="20"/>
          <w:szCs w:val="20"/>
        </w:rPr>
        <w:t>magistraturas</w:t>
      </w:r>
      <w:r w:rsidR="00230CD2" w:rsidRPr="005C1789">
        <w:rPr>
          <w:rFonts w:ascii="Verdana" w:hAnsi="Verdana"/>
          <w:sz w:val="20"/>
          <w:szCs w:val="20"/>
        </w:rPr>
        <w:t xml:space="preserve"> </w:t>
      </w:r>
      <w:r w:rsidR="008D17F2" w:rsidRPr="005C1789">
        <w:rPr>
          <w:rFonts w:ascii="Verdana" w:hAnsi="Verdana"/>
          <w:sz w:val="20"/>
          <w:szCs w:val="20"/>
        </w:rPr>
        <w:t>y órganos vinculados a la administración de justicia en todos los niveles</w:t>
      </w:r>
      <w:r w:rsidR="008D17F2" w:rsidRPr="005C1789">
        <w:rPr>
          <w:rFonts w:ascii="Verdana" w:hAnsi="Verdana"/>
          <w:spacing w:val="1"/>
          <w:sz w:val="20"/>
          <w:szCs w:val="20"/>
        </w:rPr>
        <w:t xml:space="preserve"> </w:t>
      </w:r>
      <w:r w:rsidR="008D17F2" w:rsidRPr="005C1789">
        <w:rPr>
          <w:rFonts w:ascii="Verdana" w:hAnsi="Verdana"/>
          <w:sz w:val="20"/>
          <w:szCs w:val="20"/>
        </w:rPr>
        <w:t xml:space="preserve">están en la obligación de ejercer </w:t>
      </w:r>
      <w:r w:rsidR="008D17F2" w:rsidRPr="005C1789">
        <w:rPr>
          <w:rFonts w:ascii="Verdana" w:hAnsi="Verdana"/>
          <w:i/>
          <w:sz w:val="20"/>
          <w:szCs w:val="20"/>
        </w:rPr>
        <w:t xml:space="preserve">ex </w:t>
      </w:r>
      <w:proofErr w:type="spellStart"/>
      <w:r w:rsidR="008D17F2" w:rsidRPr="005C1789">
        <w:rPr>
          <w:rFonts w:ascii="Verdana" w:hAnsi="Verdana"/>
          <w:i/>
          <w:sz w:val="20"/>
          <w:szCs w:val="20"/>
        </w:rPr>
        <w:t>officio</w:t>
      </w:r>
      <w:proofErr w:type="spellEnd"/>
      <w:r w:rsidR="008D17F2" w:rsidRPr="005C1789">
        <w:rPr>
          <w:rFonts w:ascii="Verdana" w:hAnsi="Verdana"/>
          <w:i/>
          <w:sz w:val="20"/>
          <w:szCs w:val="20"/>
        </w:rPr>
        <w:t xml:space="preserve"> </w:t>
      </w:r>
      <w:r w:rsidR="008D17F2" w:rsidRPr="005C1789">
        <w:rPr>
          <w:rFonts w:ascii="Verdana" w:hAnsi="Verdana"/>
          <w:sz w:val="20"/>
          <w:szCs w:val="20"/>
        </w:rPr>
        <w:t>un control de convencionalidad entre las</w:t>
      </w:r>
      <w:r w:rsidR="008D17F2" w:rsidRPr="005C1789">
        <w:rPr>
          <w:rFonts w:ascii="Verdana" w:hAnsi="Verdana"/>
          <w:spacing w:val="1"/>
          <w:sz w:val="20"/>
          <w:szCs w:val="20"/>
        </w:rPr>
        <w:t xml:space="preserve"> </w:t>
      </w:r>
      <w:r w:rsidR="008D17F2" w:rsidRPr="005C1789">
        <w:rPr>
          <w:rFonts w:ascii="Verdana" w:hAnsi="Verdana"/>
          <w:sz w:val="20"/>
          <w:szCs w:val="20"/>
        </w:rPr>
        <w:t>normas</w:t>
      </w:r>
      <w:r w:rsidR="008D17F2" w:rsidRPr="005C1789">
        <w:rPr>
          <w:rFonts w:ascii="Verdana" w:hAnsi="Verdana"/>
          <w:spacing w:val="1"/>
          <w:sz w:val="20"/>
          <w:szCs w:val="20"/>
        </w:rPr>
        <w:t xml:space="preserve"> </w:t>
      </w:r>
      <w:r w:rsidR="008D17F2" w:rsidRPr="005C1789">
        <w:rPr>
          <w:rFonts w:ascii="Verdana" w:hAnsi="Verdana"/>
          <w:sz w:val="20"/>
          <w:szCs w:val="20"/>
        </w:rPr>
        <w:t>internas</w:t>
      </w:r>
      <w:r w:rsidR="008D17F2" w:rsidRPr="005C1789">
        <w:rPr>
          <w:rFonts w:ascii="Verdana" w:hAnsi="Verdana"/>
          <w:spacing w:val="1"/>
          <w:sz w:val="20"/>
          <w:szCs w:val="20"/>
        </w:rPr>
        <w:t xml:space="preserve"> </w:t>
      </w:r>
      <w:r w:rsidR="008D17F2" w:rsidRPr="005C1789">
        <w:rPr>
          <w:rFonts w:ascii="Verdana" w:hAnsi="Verdana"/>
          <w:sz w:val="20"/>
          <w:szCs w:val="20"/>
        </w:rPr>
        <w:t>y</w:t>
      </w:r>
      <w:r w:rsidR="008D17F2" w:rsidRPr="005C1789">
        <w:rPr>
          <w:rFonts w:ascii="Verdana" w:hAnsi="Verdana"/>
          <w:spacing w:val="1"/>
          <w:sz w:val="20"/>
          <w:szCs w:val="20"/>
        </w:rPr>
        <w:t xml:space="preserve"> </w:t>
      </w:r>
      <w:r w:rsidR="008D17F2" w:rsidRPr="005C1789">
        <w:rPr>
          <w:rFonts w:ascii="Verdana" w:hAnsi="Verdana"/>
          <w:sz w:val="20"/>
          <w:szCs w:val="20"/>
        </w:rPr>
        <w:t>la</w:t>
      </w:r>
      <w:r w:rsidR="008D17F2" w:rsidRPr="005C1789">
        <w:rPr>
          <w:rFonts w:ascii="Verdana" w:hAnsi="Verdana"/>
          <w:spacing w:val="1"/>
          <w:sz w:val="20"/>
          <w:szCs w:val="20"/>
        </w:rPr>
        <w:t xml:space="preserve"> </w:t>
      </w:r>
      <w:r w:rsidR="008D17F2" w:rsidRPr="005C1789">
        <w:rPr>
          <w:rFonts w:ascii="Verdana" w:hAnsi="Verdana"/>
          <w:sz w:val="20"/>
          <w:szCs w:val="20"/>
        </w:rPr>
        <w:t>Convención</w:t>
      </w:r>
      <w:r w:rsidR="008D17F2" w:rsidRPr="005C1789">
        <w:rPr>
          <w:rFonts w:ascii="Verdana" w:hAnsi="Verdana"/>
          <w:spacing w:val="1"/>
          <w:sz w:val="20"/>
          <w:szCs w:val="20"/>
        </w:rPr>
        <w:t xml:space="preserve"> </w:t>
      </w:r>
      <w:r w:rsidR="008D17F2" w:rsidRPr="005C1789">
        <w:rPr>
          <w:rFonts w:ascii="Verdana" w:hAnsi="Verdana"/>
          <w:sz w:val="20"/>
          <w:szCs w:val="20"/>
        </w:rPr>
        <w:t>Americana, y en esta</w:t>
      </w:r>
      <w:r w:rsidR="008D17F2" w:rsidRPr="005C1789">
        <w:rPr>
          <w:rFonts w:ascii="Verdana" w:hAnsi="Verdana"/>
          <w:spacing w:val="1"/>
          <w:sz w:val="20"/>
          <w:szCs w:val="20"/>
        </w:rPr>
        <w:t xml:space="preserve"> </w:t>
      </w:r>
      <w:r w:rsidR="008D17F2" w:rsidRPr="005C1789">
        <w:rPr>
          <w:rFonts w:ascii="Verdana" w:hAnsi="Verdana"/>
          <w:sz w:val="20"/>
          <w:szCs w:val="20"/>
        </w:rPr>
        <w:t>tarea, deben tener en cuenta no solamente el tratado, sino también la interpretación</w:t>
      </w:r>
      <w:r w:rsidR="008D17F2" w:rsidRPr="005C1789">
        <w:rPr>
          <w:rFonts w:ascii="Verdana" w:hAnsi="Verdana"/>
          <w:spacing w:val="1"/>
          <w:sz w:val="20"/>
          <w:szCs w:val="20"/>
        </w:rPr>
        <w:t xml:space="preserve"> </w:t>
      </w:r>
      <w:r w:rsidR="008D17F2" w:rsidRPr="005C1789">
        <w:rPr>
          <w:rFonts w:ascii="Verdana" w:hAnsi="Verdana"/>
          <w:sz w:val="20"/>
          <w:szCs w:val="20"/>
        </w:rPr>
        <w:t>que del mismo ha hecho la Corte Interamericana, intérprete última de la Convención</w:t>
      </w:r>
      <w:r w:rsidR="008D17F2" w:rsidRPr="005C1789">
        <w:rPr>
          <w:rFonts w:ascii="Verdana" w:hAnsi="Verdana"/>
          <w:spacing w:val="1"/>
          <w:sz w:val="20"/>
          <w:szCs w:val="20"/>
        </w:rPr>
        <w:t xml:space="preserve"> </w:t>
      </w:r>
      <w:r w:rsidR="008D17F2" w:rsidRPr="005C1789">
        <w:rPr>
          <w:rFonts w:ascii="Verdana" w:hAnsi="Verdana"/>
          <w:sz w:val="20"/>
          <w:szCs w:val="20"/>
        </w:rPr>
        <w:t>Americana</w:t>
      </w:r>
      <w:r w:rsidR="00230CD2" w:rsidRPr="005C1789">
        <w:t>.</w:t>
      </w:r>
    </w:p>
    <w:p w14:paraId="619A2D07" w14:textId="7C31DE1D" w:rsidR="005537B2" w:rsidRPr="005C1789" w:rsidRDefault="005537B2" w:rsidP="00955888">
      <w:pPr>
        <w:pStyle w:val="Ttulo2"/>
        <w:numPr>
          <w:ilvl w:val="0"/>
          <w:numId w:val="9"/>
        </w:numPr>
        <w:spacing w:before="240" w:after="240"/>
        <w:rPr>
          <w:rFonts w:ascii="Verdana" w:hAnsi="Verdana"/>
          <w:i/>
          <w:color w:val="auto"/>
          <w:sz w:val="20"/>
          <w:szCs w:val="20"/>
        </w:rPr>
      </w:pPr>
      <w:bookmarkStart w:id="143" w:name="_Toc114828527"/>
      <w:bookmarkStart w:id="144" w:name="_Toc123347558"/>
      <w:bookmarkEnd w:id="143"/>
      <w:r w:rsidRPr="005C1789">
        <w:rPr>
          <w:rFonts w:ascii="Verdana" w:hAnsi="Verdana"/>
          <w:i/>
          <w:color w:val="auto"/>
          <w:sz w:val="20"/>
          <w:szCs w:val="20"/>
        </w:rPr>
        <w:lastRenderedPageBreak/>
        <w:t>Medidas de satisfacción</w:t>
      </w:r>
      <w:r w:rsidR="000A52F2" w:rsidRPr="005C1789">
        <w:rPr>
          <w:rStyle w:val="Refdenotaalpie"/>
          <w:rFonts w:ascii="Verdana" w:hAnsi="Verdana"/>
          <w:b w:val="0"/>
          <w:bCs w:val="0"/>
          <w:color w:val="auto"/>
          <w:sz w:val="20"/>
        </w:rPr>
        <w:footnoteReference w:id="164"/>
      </w:r>
      <w:bookmarkEnd w:id="144"/>
      <w:r w:rsidRPr="005C1789">
        <w:rPr>
          <w:rFonts w:ascii="Verdana" w:hAnsi="Verdana"/>
          <w:i/>
          <w:color w:val="auto"/>
          <w:sz w:val="20"/>
          <w:szCs w:val="20"/>
        </w:rPr>
        <w:t xml:space="preserve"> </w:t>
      </w:r>
    </w:p>
    <w:p w14:paraId="39CB1320" w14:textId="21849D33" w:rsidR="00A676CD" w:rsidRPr="005C1789" w:rsidRDefault="00A676CD" w:rsidP="00955888">
      <w:pPr>
        <w:pStyle w:val="Ttulo3"/>
        <w:spacing w:before="240" w:after="240"/>
        <w:ind w:left="567"/>
        <w:jc w:val="both"/>
        <w:rPr>
          <w:rFonts w:ascii="Verdana" w:hAnsi="Verdana"/>
          <w:b w:val="0"/>
          <w:snapToGrid w:val="0"/>
          <w:spacing w:val="-2"/>
          <w:sz w:val="20"/>
          <w:szCs w:val="20"/>
          <w:lang w:eastAsia="es-ES"/>
        </w:rPr>
      </w:pPr>
      <w:bookmarkStart w:id="145" w:name="_Toc123347559"/>
      <w:r w:rsidRPr="005C1789">
        <w:rPr>
          <w:rFonts w:ascii="Verdana" w:hAnsi="Verdana"/>
          <w:b w:val="0"/>
          <w:snapToGrid w:val="0"/>
          <w:spacing w:val="-2"/>
          <w:sz w:val="20"/>
          <w:szCs w:val="20"/>
          <w:lang w:eastAsia="es-ES"/>
        </w:rPr>
        <w:t>C.1 Publicación de la sentencia</w:t>
      </w:r>
      <w:bookmarkEnd w:id="145"/>
    </w:p>
    <w:p w14:paraId="37D3E11D" w14:textId="5E8E68DF" w:rsidR="00CD235E" w:rsidRPr="005C1789" w:rsidRDefault="00CD235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que se ordene al Estado publicar íntegramente </w:t>
      </w:r>
      <w:r w:rsidR="005B1EA7" w:rsidRPr="005C1789">
        <w:rPr>
          <w:rFonts w:ascii="Verdana" w:hAnsi="Verdana"/>
          <w:sz w:val="20"/>
          <w:szCs w:val="20"/>
        </w:rPr>
        <w:t xml:space="preserve">el resumen oficial </w:t>
      </w:r>
      <w:r w:rsidRPr="005C1789">
        <w:rPr>
          <w:rFonts w:ascii="Verdana" w:hAnsi="Verdana"/>
          <w:sz w:val="20"/>
          <w:szCs w:val="20"/>
        </w:rPr>
        <w:t xml:space="preserve">de la sentencia en el Diario Oficial de la Federación y en el Semanario Judicial de la Federación y su Gaceta por ser los principales órganos de difusión de información jurídica en México. Asimismo, solicitaron que se ordene al Estado la publicación, por una sola vez, del resumen oficial de la sentencia que emita la Corte, en un diario de amplia circulación nacional, en un tamaño de letra legible y adecuado. Finalmente, solicitaron que la sentencia íntegra esté disponible por un año en un sitio web oficial del Gobierno de México. La </w:t>
      </w:r>
      <w:r w:rsidRPr="005C1789">
        <w:rPr>
          <w:rFonts w:ascii="Verdana" w:hAnsi="Verdana"/>
          <w:b/>
          <w:i/>
          <w:sz w:val="20"/>
          <w:szCs w:val="20"/>
        </w:rPr>
        <w:t>Comisión</w:t>
      </w:r>
      <w:r w:rsidRPr="005C1789">
        <w:rPr>
          <w:rFonts w:ascii="Verdana" w:hAnsi="Verdana"/>
          <w:sz w:val="20"/>
          <w:szCs w:val="20"/>
        </w:rPr>
        <w:t xml:space="preserve"> </w:t>
      </w:r>
      <w:r w:rsidRPr="005C1789">
        <w:rPr>
          <w:rFonts w:ascii="Verdana" w:hAnsi="Verdana" w:cs="Calibri-Light"/>
          <w:sz w:val="20"/>
          <w:szCs w:val="20"/>
        </w:rPr>
        <w:t>no se refirió específicamente a esta medida</w:t>
      </w:r>
      <w:r w:rsidRPr="005C1789">
        <w:rPr>
          <w:rFonts w:ascii="Verdana" w:hAnsi="Verdana"/>
          <w:sz w:val="20"/>
          <w:szCs w:val="20"/>
        </w:rPr>
        <w:t xml:space="preserve">. </w:t>
      </w:r>
    </w:p>
    <w:p w14:paraId="131869EC" w14:textId="35786931" w:rsidR="00CD235E" w:rsidRPr="005C1789" w:rsidRDefault="00CD235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w:t>
      </w:r>
      <w:r w:rsidRPr="005C1789">
        <w:rPr>
          <w:rFonts w:ascii="Verdana" w:hAnsi="Verdana"/>
          <w:b/>
          <w:bCs/>
          <w:i/>
          <w:iCs/>
          <w:sz w:val="20"/>
          <w:szCs w:val="20"/>
        </w:rPr>
        <w:t>Estado</w:t>
      </w:r>
      <w:r w:rsidRPr="005C1789">
        <w:rPr>
          <w:rFonts w:ascii="Verdana" w:hAnsi="Verdana"/>
          <w:sz w:val="20"/>
          <w:szCs w:val="20"/>
        </w:rPr>
        <w:t xml:space="preserve"> indicó que en caso de que la Corte llegara a emitir una sentencia, “se compromete de igual forma a realizar las medidas de publicación y difusión de la misma”. Del mismo modo, la Corte nota que</w:t>
      </w:r>
      <w:r w:rsidR="00C83547" w:rsidRPr="005C1789">
        <w:rPr>
          <w:rFonts w:ascii="Verdana" w:hAnsi="Verdana"/>
          <w:sz w:val="20"/>
          <w:szCs w:val="20"/>
        </w:rPr>
        <w:t xml:space="preserve"> el</w:t>
      </w:r>
      <w:r w:rsidRPr="005C1789">
        <w:rPr>
          <w:rFonts w:ascii="Verdana" w:hAnsi="Verdana"/>
          <w:sz w:val="20"/>
          <w:szCs w:val="20"/>
        </w:rPr>
        <w:t xml:space="preserve"> Acta de Entendimiento</w:t>
      </w:r>
      <w:r w:rsidR="008C11BD" w:rsidRPr="005C1789">
        <w:rPr>
          <w:rFonts w:ascii="Verdana" w:hAnsi="Verdana"/>
          <w:sz w:val="20"/>
          <w:szCs w:val="20"/>
        </w:rPr>
        <w:t xml:space="preserve"> </w:t>
      </w:r>
      <w:r w:rsidR="00D1610B" w:rsidRPr="005C1789">
        <w:rPr>
          <w:rFonts w:ascii="Verdana" w:hAnsi="Verdana"/>
          <w:sz w:val="20"/>
          <w:szCs w:val="20"/>
        </w:rPr>
        <w:t xml:space="preserve">establece </w:t>
      </w:r>
      <w:r w:rsidR="0005367E" w:rsidRPr="005C1789">
        <w:rPr>
          <w:rFonts w:ascii="Verdana" w:hAnsi="Verdana"/>
          <w:sz w:val="20"/>
          <w:szCs w:val="20"/>
        </w:rPr>
        <w:t xml:space="preserve">que </w:t>
      </w:r>
      <w:r w:rsidR="00265783" w:rsidRPr="005C1789">
        <w:rPr>
          <w:rFonts w:ascii="Verdana" w:hAnsi="Verdana"/>
          <w:sz w:val="20"/>
          <w:szCs w:val="20"/>
        </w:rPr>
        <w:t>el Estado se compromete “a publicar en dos diarios de circulación nacional el resumen del Informe de Fondo, y a publicar el documento íntegro en las páginas web de las Secretarías propuestas por los representantes”</w:t>
      </w:r>
      <w:r w:rsidR="00624987" w:rsidRPr="005C1789">
        <w:rPr>
          <w:rFonts w:ascii="Verdana" w:hAnsi="Verdana"/>
          <w:sz w:val="20"/>
          <w:szCs w:val="20"/>
        </w:rPr>
        <w:t xml:space="preserve"> (</w:t>
      </w:r>
      <w:r w:rsidR="00624987" w:rsidRPr="005C1789">
        <w:rPr>
          <w:rFonts w:ascii="Verdana" w:hAnsi="Verdana"/>
          <w:i/>
          <w:iCs/>
          <w:sz w:val="20"/>
          <w:szCs w:val="20"/>
        </w:rPr>
        <w:t>supra</w:t>
      </w:r>
      <w:r w:rsidR="00624987" w:rsidRPr="005C1789">
        <w:rPr>
          <w:rFonts w:ascii="Verdana" w:hAnsi="Verdana"/>
          <w:sz w:val="20"/>
          <w:szCs w:val="20"/>
        </w:rPr>
        <w:t xml:space="preserve"> párr. 2.d)</w:t>
      </w:r>
      <w:r w:rsidR="00265783" w:rsidRPr="005C1789">
        <w:rPr>
          <w:rFonts w:ascii="Verdana" w:hAnsi="Verdana"/>
          <w:sz w:val="20"/>
          <w:szCs w:val="20"/>
        </w:rPr>
        <w:t>.</w:t>
      </w:r>
    </w:p>
    <w:p w14:paraId="67C62802" w14:textId="25D6E586" w:rsidR="005537B2" w:rsidRPr="005C1789" w:rsidRDefault="00265783"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De conformidad con lo anterior, l</w:t>
      </w:r>
      <w:r w:rsidR="005537B2" w:rsidRPr="005C1789">
        <w:rPr>
          <w:rFonts w:ascii="Verdana" w:hAnsi="Verdana"/>
          <w:sz w:val="20"/>
          <w:szCs w:val="20"/>
        </w:rPr>
        <w:t xml:space="preserve">a </w:t>
      </w:r>
      <w:r w:rsidR="005537B2" w:rsidRPr="005C1789">
        <w:rPr>
          <w:rFonts w:ascii="Verdana" w:hAnsi="Verdana"/>
          <w:b/>
          <w:i/>
          <w:sz w:val="20"/>
          <w:szCs w:val="20"/>
        </w:rPr>
        <w:t xml:space="preserve">Corte </w:t>
      </w:r>
      <w:r w:rsidR="005537B2" w:rsidRPr="005C1789">
        <w:rPr>
          <w:rFonts w:ascii="Verdana" w:hAnsi="Verdana"/>
          <w:sz w:val="20"/>
          <w:szCs w:val="20"/>
        </w:rPr>
        <w:t>dispone, como lo ha hecho en otros casos</w:t>
      </w:r>
      <w:r w:rsidR="005537B2" w:rsidRPr="005C1789">
        <w:rPr>
          <w:rStyle w:val="Refdenotaalpie"/>
          <w:rFonts w:ascii="Verdana" w:hAnsi="Verdana"/>
          <w:sz w:val="20"/>
        </w:rPr>
        <w:footnoteReference w:id="165"/>
      </w:r>
      <w:r w:rsidR="005537B2" w:rsidRPr="005C1789">
        <w:rPr>
          <w:rFonts w:ascii="Verdana" w:hAnsi="Verdana"/>
          <w:sz w:val="20"/>
          <w:szCs w:val="20"/>
        </w:rPr>
        <w:t>, que el Estado publique, en el plazo de seis meses, contado a partir de la notificación de la presente Sentencia, en un tamaño de letra legible y adecuado: a) el resumen oficial de la presente Sentencia elaborado</w:t>
      </w:r>
      <w:r w:rsidR="00023E34" w:rsidRPr="005C1789">
        <w:rPr>
          <w:rFonts w:ascii="Verdana" w:hAnsi="Verdana"/>
          <w:sz w:val="20"/>
          <w:szCs w:val="20"/>
        </w:rPr>
        <w:t xml:space="preserve"> </w:t>
      </w:r>
      <w:r w:rsidR="005537B2" w:rsidRPr="005C1789">
        <w:rPr>
          <w:rFonts w:ascii="Verdana" w:hAnsi="Verdana"/>
          <w:sz w:val="20"/>
          <w:szCs w:val="20"/>
        </w:rPr>
        <w:t>por la Corte, por una sola vez, en el Diario Oficial</w:t>
      </w:r>
      <w:r w:rsidR="005B1EA7" w:rsidRPr="005C1789">
        <w:rPr>
          <w:rFonts w:ascii="Verdana" w:hAnsi="Verdana"/>
          <w:sz w:val="20"/>
          <w:szCs w:val="20"/>
        </w:rPr>
        <w:t xml:space="preserve"> y en el Semanario Judicial de la Federación y su Gaceta</w:t>
      </w:r>
      <w:r w:rsidR="005537B2" w:rsidRPr="005C1789">
        <w:rPr>
          <w:rFonts w:ascii="Verdana" w:hAnsi="Verdana"/>
          <w:sz w:val="20"/>
          <w:szCs w:val="20"/>
        </w:rPr>
        <w:t xml:space="preserve">; b) el resumen oficial de la presente Sentencia elaborado por la Corte, por una sola vez, en un diario de amplia circulación nacional, y c) la presente Sentencia en su integridad, disponible por un período de un año, en un sitio web oficial del </w:t>
      </w:r>
      <w:r w:rsidRPr="005C1789">
        <w:rPr>
          <w:rFonts w:ascii="Verdana" w:hAnsi="Verdana"/>
          <w:sz w:val="20"/>
          <w:szCs w:val="20"/>
        </w:rPr>
        <w:t xml:space="preserve">Gobierno del </w:t>
      </w:r>
      <w:r w:rsidR="005537B2" w:rsidRPr="005C1789">
        <w:rPr>
          <w:rFonts w:ascii="Verdana" w:hAnsi="Verdana"/>
          <w:sz w:val="20"/>
          <w:szCs w:val="20"/>
        </w:rPr>
        <w:t>Estado</w:t>
      </w:r>
      <w:r w:rsidRPr="005C1789">
        <w:rPr>
          <w:rFonts w:ascii="Verdana" w:hAnsi="Verdana"/>
          <w:sz w:val="20"/>
          <w:szCs w:val="20"/>
        </w:rPr>
        <w:t xml:space="preserve"> mexicano</w:t>
      </w:r>
      <w:r w:rsidR="00D42FB3" w:rsidRPr="005C1789">
        <w:rPr>
          <w:rFonts w:ascii="Verdana" w:hAnsi="Verdana"/>
          <w:sz w:val="20"/>
          <w:szCs w:val="20"/>
        </w:rPr>
        <w:t>, de una manera accesible al público y desde la página de inicio del sitio web</w:t>
      </w:r>
      <w:r w:rsidR="005537B2" w:rsidRPr="005C1789">
        <w:rPr>
          <w:rFonts w:ascii="Verdana" w:hAnsi="Verdana"/>
          <w:sz w:val="20"/>
          <w:szCs w:val="20"/>
        </w:rPr>
        <w:t xml:space="preserve">. El Estado deberá informar de </w:t>
      </w:r>
      <w:r w:rsidR="00322F55" w:rsidRPr="005C1789">
        <w:rPr>
          <w:rFonts w:ascii="Verdana" w:hAnsi="Verdana"/>
          <w:sz w:val="20"/>
          <w:szCs w:val="20"/>
        </w:rPr>
        <w:t>manera</w:t>
      </w:r>
      <w:r w:rsidR="005537B2" w:rsidRPr="005C1789">
        <w:rPr>
          <w:rFonts w:ascii="Verdana" w:hAnsi="Verdana"/>
          <w:sz w:val="20"/>
          <w:szCs w:val="20"/>
        </w:rPr>
        <w:t xml:space="preserve"> inmediata a este Tribunal una vez que proceda a realizar cada una de las publicaciones dispuestas, independientemente del plazo de un año para presentar su primer informe dispuesto en el punto resolutivo </w:t>
      </w:r>
      <w:r w:rsidR="00B5712D" w:rsidRPr="005C1789">
        <w:rPr>
          <w:rFonts w:ascii="Verdana" w:hAnsi="Verdana"/>
          <w:sz w:val="20"/>
          <w:szCs w:val="20"/>
        </w:rPr>
        <w:t>12</w:t>
      </w:r>
      <w:r w:rsidR="005537B2" w:rsidRPr="005C1789">
        <w:rPr>
          <w:rFonts w:ascii="Verdana" w:hAnsi="Verdana"/>
          <w:sz w:val="20"/>
          <w:szCs w:val="20"/>
        </w:rPr>
        <w:t xml:space="preserve"> de la presente Sentencia.</w:t>
      </w:r>
    </w:p>
    <w:p w14:paraId="014E9AFB" w14:textId="49748161" w:rsidR="005537B2" w:rsidRPr="005C1789" w:rsidRDefault="000A52F2" w:rsidP="00955888">
      <w:pPr>
        <w:pStyle w:val="Ttulo3"/>
        <w:spacing w:before="240" w:after="240"/>
        <w:ind w:left="567"/>
        <w:jc w:val="both"/>
        <w:rPr>
          <w:rFonts w:ascii="Verdana" w:hAnsi="Verdana"/>
          <w:i w:val="0"/>
          <w:snapToGrid w:val="0"/>
          <w:spacing w:val="-2"/>
          <w:sz w:val="20"/>
          <w:szCs w:val="20"/>
          <w:lang w:eastAsia="es-ES"/>
        </w:rPr>
      </w:pPr>
      <w:bookmarkStart w:id="146" w:name="_Toc123347560"/>
      <w:r w:rsidRPr="005C1789">
        <w:rPr>
          <w:rFonts w:ascii="Verdana" w:hAnsi="Verdana"/>
          <w:b w:val="0"/>
          <w:snapToGrid w:val="0"/>
          <w:spacing w:val="-2"/>
          <w:sz w:val="20"/>
          <w:szCs w:val="20"/>
          <w:lang w:eastAsia="es-ES"/>
        </w:rPr>
        <w:t xml:space="preserve">C.2 </w:t>
      </w:r>
      <w:r w:rsidR="005537B2" w:rsidRPr="005C1789">
        <w:rPr>
          <w:rFonts w:ascii="Verdana" w:hAnsi="Verdana"/>
          <w:b w:val="0"/>
          <w:snapToGrid w:val="0"/>
          <w:spacing w:val="-2"/>
          <w:sz w:val="20"/>
          <w:szCs w:val="20"/>
          <w:lang w:eastAsia="es-ES"/>
        </w:rPr>
        <w:t>Acto público de reconocimiento de responsabilidad internacional</w:t>
      </w:r>
      <w:bookmarkEnd w:id="146"/>
    </w:p>
    <w:p w14:paraId="67EFC7FD" w14:textId="74263FD9" w:rsidR="005537B2" w:rsidRPr="005C1789" w:rsidRDefault="00265783"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solicitaron, con el fin de reparar el daño causado a las víctimas la realización de un acto público de reconocimiento de responsabilidad y desagravio a las víctimas. Indicaron que para ser “una medida de satisfacción efectiva” dicho acto “deberá contar con participación de altas autoridades del Estado, realizarse en presencia y en coordinación y acuerdo previo con las víctimas y sus representantes”. La </w:t>
      </w:r>
      <w:r w:rsidRPr="005C1789">
        <w:rPr>
          <w:rFonts w:ascii="Verdana" w:hAnsi="Verdana"/>
          <w:b/>
          <w:i/>
          <w:sz w:val="20"/>
          <w:szCs w:val="20"/>
        </w:rPr>
        <w:t>Comisión</w:t>
      </w:r>
      <w:r w:rsidRPr="005C1789">
        <w:rPr>
          <w:rFonts w:ascii="Verdana" w:hAnsi="Verdana"/>
          <w:sz w:val="20"/>
          <w:szCs w:val="20"/>
        </w:rPr>
        <w:t xml:space="preserve"> </w:t>
      </w:r>
      <w:r w:rsidRPr="005C1789">
        <w:rPr>
          <w:rFonts w:ascii="Verdana" w:hAnsi="Verdana" w:cs="Calibri-Light"/>
          <w:sz w:val="20"/>
          <w:szCs w:val="20"/>
        </w:rPr>
        <w:t>no se refirió específicamente a esta medida</w:t>
      </w:r>
      <w:r w:rsidR="005537B2" w:rsidRPr="005C1789">
        <w:rPr>
          <w:rFonts w:ascii="Verdana" w:hAnsi="Verdana"/>
          <w:sz w:val="20"/>
          <w:szCs w:val="20"/>
        </w:rPr>
        <w:t xml:space="preserve">. </w:t>
      </w:r>
    </w:p>
    <w:p w14:paraId="2EE3ADF1" w14:textId="4E3158A0"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w:t>
      </w:r>
      <w:r w:rsidRPr="005C1789">
        <w:rPr>
          <w:rFonts w:ascii="Verdana" w:hAnsi="Verdana"/>
          <w:b/>
          <w:i/>
          <w:sz w:val="20"/>
          <w:szCs w:val="20"/>
        </w:rPr>
        <w:t>Estado</w:t>
      </w:r>
      <w:r w:rsidRPr="005C1789">
        <w:rPr>
          <w:rFonts w:ascii="Verdana" w:hAnsi="Verdana"/>
          <w:sz w:val="20"/>
          <w:szCs w:val="20"/>
        </w:rPr>
        <w:t xml:space="preserve"> </w:t>
      </w:r>
      <w:r w:rsidR="00C83547" w:rsidRPr="005C1789">
        <w:rPr>
          <w:rFonts w:ascii="Verdana" w:hAnsi="Verdana"/>
          <w:sz w:val="20"/>
          <w:szCs w:val="20"/>
        </w:rPr>
        <w:t xml:space="preserve">sostuvo en caso de que la Corte llegara a encontrar al Estado como responsable, se compromete a realizar el acto de reconocimiento. De igual forma, la Corte advierte que el Acta de Entendimiento establece </w:t>
      </w:r>
      <w:r w:rsidR="0005367E" w:rsidRPr="005C1789">
        <w:rPr>
          <w:rFonts w:ascii="Verdana" w:hAnsi="Verdana"/>
          <w:sz w:val="20"/>
          <w:szCs w:val="20"/>
        </w:rPr>
        <w:t xml:space="preserve">que el Estado mexicano, “a través de funcionarios de alto rango, ofrecerá a las víctimas del caso un acto de Disculpa Pública y Reconocimiento de Responsabilidad por los hechos señalados por la [Comisión] en el Informe de Fondo 158/18. El formato </w:t>
      </w:r>
      <w:r w:rsidR="00826B4E" w:rsidRPr="005C1789">
        <w:rPr>
          <w:rFonts w:ascii="Verdana" w:hAnsi="Verdana"/>
          <w:sz w:val="20"/>
          <w:szCs w:val="20"/>
        </w:rPr>
        <w:t>de este</w:t>
      </w:r>
      <w:r w:rsidR="0005367E" w:rsidRPr="005C1789">
        <w:rPr>
          <w:rFonts w:ascii="Verdana" w:hAnsi="Verdana"/>
          <w:sz w:val="20"/>
          <w:szCs w:val="20"/>
        </w:rPr>
        <w:t xml:space="preserve"> se realizará en coordinación con las víctimas y sus representantes</w:t>
      </w:r>
      <w:r w:rsidR="00C83547" w:rsidRPr="005C1789">
        <w:rPr>
          <w:rFonts w:ascii="Verdana" w:hAnsi="Verdana"/>
          <w:sz w:val="20"/>
          <w:szCs w:val="20"/>
        </w:rPr>
        <w:t>”</w:t>
      </w:r>
      <w:r w:rsidR="00624987" w:rsidRPr="005C1789">
        <w:rPr>
          <w:rFonts w:ascii="Verdana" w:hAnsi="Verdana"/>
          <w:sz w:val="20"/>
          <w:szCs w:val="20"/>
        </w:rPr>
        <w:t xml:space="preserve"> (</w:t>
      </w:r>
      <w:r w:rsidR="00624987" w:rsidRPr="005C1789">
        <w:rPr>
          <w:rFonts w:ascii="Verdana" w:hAnsi="Verdana"/>
          <w:i/>
          <w:iCs/>
          <w:sz w:val="20"/>
          <w:szCs w:val="20"/>
        </w:rPr>
        <w:t>supra</w:t>
      </w:r>
      <w:r w:rsidR="00624987" w:rsidRPr="005C1789">
        <w:rPr>
          <w:rFonts w:ascii="Verdana" w:hAnsi="Verdana"/>
          <w:sz w:val="20"/>
          <w:szCs w:val="20"/>
        </w:rPr>
        <w:t xml:space="preserve"> párr. 2.d)</w:t>
      </w:r>
      <w:r w:rsidR="0005367E" w:rsidRPr="005C1789">
        <w:rPr>
          <w:rFonts w:ascii="Verdana" w:hAnsi="Verdana"/>
          <w:sz w:val="20"/>
          <w:szCs w:val="20"/>
        </w:rPr>
        <w:t>.</w:t>
      </w:r>
    </w:p>
    <w:p w14:paraId="39B82D43" w14:textId="2D52E4AD"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w:t>
      </w:r>
      <w:r w:rsidRPr="005C1789">
        <w:rPr>
          <w:rFonts w:ascii="Verdana" w:hAnsi="Verdana"/>
          <w:b/>
          <w:i/>
          <w:sz w:val="20"/>
          <w:szCs w:val="20"/>
        </w:rPr>
        <w:t>Corte</w:t>
      </w:r>
      <w:r w:rsidRPr="005C1789">
        <w:rPr>
          <w:rFonts w:ascii="Verdana" w:hAnsi="Verdana"/>
          <w:sz w:val="20"/>
          <w:szCs w:val="20"/>
        </w:rPr>
        <w:t xml:space="preserve"> estima necesario ordenar, con el fin de</w:t>
      </w:r>
      <w:r w:rsidRPr="005C1789">
        <w:rPr>
          <w:rFonts w:ascii="Verdana" w:hAnsi="Verdana"/>
          <w:spacing w:val="1"/>
          <w:sz w:val="20"/>
          <w:szCs w:val="20"/>
        </w:rPr>
        <w:t xml:space="preserve"> </w:t>
      </w:r>
      <w:r w:rsidRPr="005C1789">
        <w:rPr>
          <w:rFonts w:ascii="Verdana" w:hAnsi="Verdana"/>
          <w:sz w:val="20"/>
          <w:szCs w:val="20"/>
        </w:rPr>
        <w:t>reparar el daño causado a la</w:t>
      </w:r>
      <w:r w:rsidR="0005367E" w:rsidRPr="005C1789">
        <w:rPr>
          <w:rFonts w:ascii="Verdana" w:hAnsi="Verdana"/>
          <w:sz w:val="20"/>
          <w:szCs w:val="20"/>
        </w:rPr>
        <w:t>s</w:t>
      </w:r>
      <w:r w:rsidRPr="005C1789">
        <w:rPr>
          <w:rFonts w:ascii="Verdana" w:hAnsi="Verdana"/>
          <w:sz w:val="20"/>
          <w:szCs w:val="20"/>
        </w:rPr>
        <w:t xml:space="preserve"> víctima</w:t>
      </w:r>
      <w:r w:rsidR="0005367E" w:rsidRPr="005C1789">
        <w:rPr>
          <w:rFonts w:ascii="Verdana" w:hAnsi="Verdana"/>
          <w:sz w:val="20"/>
          <w:szCs w:val="20"/>
        </w:rPr>
        <w:t>s</w:t>
      </w:r>
      <w:r w:rsidRPr="005C1789">
        <w:rPr>
          <w:rFonts w:ascii="Verdana" w:hAnsi="Verdana"/>
          <w:sz w:val="20"/>
          <w:szCs w:val="20"/>
        </w:rPr>
        <w:t xml:space="preserve"> y de evitar que hechos como los de este caso se</w:t>
      </w:r>
      <w:r w:rsidRPr="005C1789">
        <w:rPr>
          <w:rFonts w:ascii="Verdana" w:hAnsi="Verdana"/>
          <w:spacing w:val="1"/>
          <w:sz w:val="20"/>
          <w:szCs w:val="20"/>
        </w:rPr>
        <w:t xml:space="preserve"> </w:t>
      </w:r>
      <w:r w:rsidRPr="005C1789">
        <w:rPr>
          <w:rFonts w:ascii="Verdana" w:hAnsi="Verdana"/>
          <w:sz w:val="20"/>
          <w:szCs w:val="20"/>
        </w:rPr>
        <w:t>repitan,</w:t>
      </w:r>
      <w:r w:rsidRPr="005C1789">
        <w:rPr>
          <w:rFonts w:ascii="Verdana" w:hAnsi="Verdana"/>
          <w:spacing w:val="1"/>
          <w:sz w:val="20"/>
          <w:szCs w:val="20"/>
        </w:rPr>
        <w:t xml:space="preserve"> </w:t>
      </w:r>
      <w:r w:rsidRPr="005C1789">
        <w:rPr>
          <w:rFonts w:ascii="Verdana" w:hAnsi="Verdana"/>
          <w:sz w:val="20"/>
          <w:szCs w:val="20"/>
        </w:rPr>
        <w:t>que</w:t>
      </w:r>
      <w:r w:rsidRPr="005C1789">
        <w:rPr>
          <w:rFonts w:ascii="Verdana" w:hAnsi="Verdana"/>
          <w:spacing w:val="1"/>
          <w:sz w:val="20"/>
          <w:szCs w:val="20"/>
        </w:rPr>
        <w:t xml:space="preserve"> </w:t>
      </w:r>
      <w:r w:rsidRPr="005C1789">
        <w:rPr>
          <w:rFonts w:ascii="Verdana" w:hAnsi="Verdana"/>
          <w:sz w:val="20"/>
          <w:szCs w:val="20"/>
        </w:rPr>
        <w:t>el</w:t>
      </w:r>
      <w:r w:rsidRPr="005C1789">
        <w:rPr>
          <w:rFonts w:ascii="Verdana" w:hAnsi="Verdana"/>
          <w:spacing w:val="1"/>
          <w:sz w:val="20"/>
          <w:szCs w:val="20"/>
        </w:rPr>
        <w:t xml:space="preserve"> </w:t>
      </w:r>
      <w:r w:rsidRPr="005C1789">
        <w:rPr>
          <w:rFonts w:ascii="Verdana" w:hAnsi="Verdana"/>
          <w:sz w:val="20"/>
          <w:szCs w:val="20"/>
        </w:rPr>
        <w:t>Estado</w:t>
      </w:r>
      <w:r w:rsidRPr="005C1789">
        <w:rPr>
          <w:rFonts w:ascii="Verdana" w:hAnsi="Verdana"/>
          <w:spacing w:val="1"/>
          <w:sz w:val="20"/>
          <w:szCs w:val="20"/>
        </w:rPr>
        <w:t xml:space="preserve"> </w:t>
      </w:r>
      <w:r w:rsidRPr="005C1789">
        <w:rPr>
          <w:rFonts w:ascii="Verdana" w:hAnsi="Verdana"/>
          <w:sz w:val="20"/>
          <w:szCs w:val="20"/>
        </w:rPr>
        <w:t>realice</w:t>
      </w:r>
      <w:r w:rsidRPr="005C1789">
        <w:rPr>
          <w:rFonts w:ascii="Verdana" w:hAnsi="Verdana"/>
          <w:spacing w:val="1"/>
          <w:sz w:val="20"/>
          <w:szCs w:val="20"/>
        </w:rPr>
        <w:t xml:space="preserve"> </w:t>
      </w:r>
      <w:r w:rsidRPr="005C1789">
        <w:rPr>
          <w:rFonts w:ascii="Verdana" w:hAnsi="Verdana"/>
          <w:sz w:val="20"/>
          <w:szCs w:val="20"/>
        </w:rPr>
        <w:t>un</w:t>
      </w:r>
      <w:r w:rsidRPr="005C1789">
        <w:rPr>
          <w:rFonts w:ascii="Verdana" w:hAnsi="Verdana"/>
          <w:spacing w:val="1"/>
          <w:sz w:val="20"/>
          <w:szCs w:val="20"/>
        </w:rPr>
        <w:t xml:space="preserve"> </w:t>
      </w:r>
      <w:r w:rsidRPr="005C1789">
        <w:rPr>
          <w:rFonts w:ascii="Verdana" w:hAnsi="Verdana"/>
          <w:sz w:val="20"/>
          <w:szCs w:val="20"/>
        </w:rPr>
        <w:t>acto</w:t>
      </w:r>
      <w:r w:rsidRPr="005C1789">
        <w:rPr>
          <w:rFonts w:ascii="Verdana" w:hAnsi="Verdana"/>
          <w:spacing w:val="1"/>
          <w:sz w:val="20"/>
          <w:szCs w:val="20"/>
        </w:rPr>
        <w:t xml:space="preserve"> </w:t>
      </w:r>
      <w:r w:rsidRPr="005C1789">
        <w:rPr>
          <w:rFonts w:ascii="Verdana" w:hAnsi="Verdana"/>
          <w:sz w:val="20"/>
          <w:szCs w:val="20"/>
        </w:rPr>
        <w:t>público</w:t>
      </w:r>
      <w:r w:rsidRPr="005C1789">
        <w:rPr>
          <w:rFonts w:ascii="Verdana" w:hAnsi="Verdana"/>
          <w:spacing w:val="1"/>
          <w:sz w:val="20"/>
          <w:szCs w:val="20"/>
        </w:rPr>
        <w:t xml:space="preserve"> </w:t>
      </w:r>
      <w:r w:rsidRPr="005C1789">
        <w:rPr>
          <w:rFonts w:ascii="Verdana" w:hAnsi="Verdana"/>
          <w:sz w:val="20"/>
          <w:szCs w:val="20"/>
        </w:rPr>
        <w:t>de</w:t>
      </w:r>
      <w:r w:rsidRPr="005C1789">
        <w:rPr>
          <w:rFonts w:ascii="Verdana" w:hAnsi="Verdana"/>
          <w:spacing w:val="1"/>
          <w:sz w:val="20"/>
          <w:szCs w:val="20"/>
        </w:rPr>
        <w:t xml:space="preserve"> </w:t>
      </w:r>
      <w:r w:rsidRPr="005C1789">
        <w:rPr>
          <w:rFonts w:ascii="Verdana" w:hAnsi="Verdana"/>
          <w:sz w:val="20"/>
          <w:szCs w:val="20"/>
        </w:rPr>
        <w:t>reconocimiento</w:t>
      </w:r>
      <w:r w:rsidRPr="005C1789">
        <w:rPr>
          <w:rFonts w:ascii="Verdana" w:hAnsi="Verdana"/>
          <w:spacing w:val="1"/>
          <w:sz w:val="20"/>
          <w:szCs w:val="20"/>
        </w:rPr>
        <w:t xml:space="preserve"> </w:t>
      </w:r>
      <w:r w:rsidRPr="005C1789">
        <w:rPr>
          <w:rFonts w:ascii="Verdana" w:hAnsi="Verdana"/>
          <w:sz w:val="20"/>
          <w:szCs w:val="20"/>
        </w:rPr>
        <w:t>de</w:t>
      </w:r>
      <w:r w:rsidRPr="005C1789">
        <w:rPr>
          <w:rFonts w:ascii="Verdana" w:hAnsi="Verdana"/>
          <w:spacing w:val="1"/>
          <w:sz w:val="20"/>
          <w:szCs w:val="20"/>
        </w:rPr>
        <w:t xml:space="preserve"> </w:t>
      </w:r>
      <w:r w:rsidRPr="005C1789">
        <w:rPr>
          <w:rFonts w:ascii="Verdana" w:hAnsi="Verdana"/>
          <w:sz w:val="20"/>
          <w:szCs w:val="20"/>
        </w:rPr>
        <w:t>responsabilidad</w:t>
      </w:r>
      <w:r w:rsidRPr="005C1789">
        <w:rPr>
          <w:rFonts w:ascii="Verdana" w:hAnsi="Verdana"/>
          <w:spacing w:val="1"/>
          <w:sz w:val="20"/>
          <w:szCs w:val="20"/>
        </w:rPr>
        <w:t xml:space="preserve"> </w:t>
      </w:r>
      <w:r w:rsidRPr="005C1789">
        <w:rPr>
          <w:rFonts w:ascii="Verdana" w:hAnsi="Verdana"/>
          <w:sz w:val="20"/>
          <w:szCs w:val="20"/>
        </w:rPr>
        <w:t>internacional en relación con los hechos del presente caso. En dicho acto se deberá hacer</w:t>
      </w:r>
      <w:r w:rsidRPr="005C1789">
        <w:rPr>
          <w:rFonts w:ascii="Verdana" w:hAnsi="Verdana"/>
          <w:spacing w:val="1"/>
          <w:sz w:val="20"/>
          <w:szCs w:val="20"/>
        </w:rPr>
        <w:t xml:space="preserve"> </w:t>
      </w:r>
      <w:r w:rsidRPr="005C1789">
        <w:rPr>
          <w:rFonts w:ascii="Verdana" w:hAnsi="Verdana"/>
          <w:sz w:val="20"/>
          <w:szCs w:val="20"/>
        </w:rPr>
        <w:t xml:space="preserve">referencia a las violaciones de derechos humanos declaradas en la presente </w:t>
      </w:r>
      <w:r w:rsidRPr="005C1789">
        <w:rPr>
          <w:rFonts w:ascii="Verdana" w:hAnsi="Verdana"/>
          <w:sz w:val="20"/>
          <w:szCs w:val="20"/>
        </w:rPr>
        <w:lastRenderedPageBreak/>
        <w:t>Sentencia.</w:t>
      </w:r>
      <w:r w:rsidRPr="005C1789">
        <w:rPr>
          <w:rFonts w:ascii="Verdana" w:hAnsi="Verdana"/>
          <w:spacing w:val="1"/>
          <w:sz w:val="20"/>
          <w:szCs w:val="20"/>
        </w:rPr>
        <w:t xml:space="preserve"> </w:t>
      </w:r>
      <w:r w:rsidRPr="005C1789">
        <w:rPr>
          <w:rFonts w:ascii="Verdana" w:hAnsi="Verdana"/>
          <w:sz w:val="20"/>
          <w:szCs w:val="20"/>
        </w:rPr>
        <w:t>Asimismo, deberá llevarse a cabo mediante una ceremonia pública en presencia de altos</w:t>
      </w:r>
      <w:r w:rsidRPr="005C1789">
        <w:rPr>
          <w:rFonts w:ascii="Verdana" w:hAnsi="Verdana"/>
          <w:spacing w:val="1"/>
          <w:sz w:val="20"/>
          <w:szCs w:val="20"/>
        </w:rPr>
        <w:t xml:space="preserve"> </w:t>
      </w:r>
      <w:r w:rsidRPr="005C1789">
        <w:rPr>
          <w:rFonts w:ascii="Verdana" w:hAnsi="Verdana"/>
          <w:sz w:val="20"/>
          <w:szCs w:val="20"/>
        </w:rPr>
        <w:t>funcionari</w:t>
      </w:r>
      <w:r w:rsidR="00A17473" w:rsidRPr="005C1789">
        <w:rPr>
          <w:rFonts w:ascii="Verdana" w:hAnsi="Verdana"/>
          <w:sz w:val="20"/>
          <w:szCs w:val="20"/>
        </w:rPr>
        <w:t>o</w:t>
      </w:r>
      <w:r w:rsidRPr="005C1789">
        <w:rPr>
          <w:rFonts w:ascii="Verdana" w:hAnsi="Verdana"/>
          <w:sz w:val="20"/>
          <w:szCs w:val="20"/>
        </w:rPr>
        <w:t>s del Estado y de la</w:t>
      </w:r>
      <w:r w:rsidR="0005367E" w:rsidRPr="005C1789">
        <w:rPr>
          <w:rFonts w:ascii="Verdana" w:hAnsi="Verdana"/>
          <w:sz w:val="20"/>
          <w:szCs w:val="20"/>
        </w:rPr>
        <w:t>s</w:t>
      </w:r>
      <w:r w:rsidRPr="005C1789">
        <w:rPr>
          <w:rFonts w:ascii="Verdana" w:hAnsi="Verdana"/>
          <w:sz w:val="20"/>
          <w:szCs w:val="20"/>
        </w:rPr>
        <w:t xml:space="preserve"> víctima</w:t>
      </w:r>
      <w:r w:rsidR="0005367E" w:rsidRPr="005C1789">
        <w:rPr>
          <w:rFonts w:ascii="Verdana" w:hAnsi="Verdana"/>
          <w:sz w:val="20"/>
          <w:szCs w:val="20"/>
        </w:rPr>
        <w:t>s</w:t>
      </w:r>
      <w:r w:rsidRPr="005C1789">
        <w:rPr>
          <w:rFonts w:ascii="Verdana" w:hAnsi="Verdana"/>
          <w:sz w:val="20"/>
          <w:szCs w:val="20"/>
        </w:rPr>
        <w:t xml:space="preserve"> declarada</w:t>
      </w:r>
      <w:r w:rsidR="0005367E" w:rsidRPr="005C1789">
        <w:rPr>
          <w:rFonts w:ascii="Verdana" w:hAnsi="Verdana"/>
          <w:sz w:val="20"/>
          <w:szCs w:val="20"/>
        </w:rPr>
        <w:t>s</w:t>
      </w:r>
      <w:r w:rsidRPr="005C1789">
        <w:rPr>
          <w:rFonts w:ascii="Verdana" w:hAnsi="Verdana"/>
          <w:sz w:val="20"/>
          <w:szCs w:val="20"/>
        </w:rPr>
        <w:t xml:space="preserve"> en esta Sentencia, si así lo desea</w:t>
      </w:r>
      <w:r w:rsidR="0005367E" w:rsidRPr="005C1789">
        <w:rPr>
          <w:rFonts w:ascii="Verdana" w:hAnsi="Verdana"/>
          <w:sz w:val="20"/>
          <w:szCs w:val="20"/>
        </w:rPr>
        <w:t>n</w:t>
      </w:r>
      <w:r w:rsidRPr="005C1789">
        <w:rPr>
          <w:rFonts w:ascii="Verdana" w:hAnsi="Verdana"/>
          <w:sz w:val="20"/>
          <w:szCs w:val="20"/>
        </w:rPr>
        <w:t>, y de</w:t>
      </w:r>
      <w:r w:rsidR="007D4E21" w:rsidRPr="005C1789">
        <w:rPr>
          <w:rFonts w:ascii="Verdana" w:hAnsi="Verdana"/>
          <w:sz w:val="20"/>
          <w:szCs w:val="20"/>
        </w:rPr>
        <w:t xml:space="preserve"> </w:t>
      </w:r>
      <w:r w:rsidRPr="005C1789">
        <w:rPr>
          <w:rFonts w:ascii="Verdana" w:hAnsi="Verdana"/>
          <w:sz w:val="20"/>
          <w:szCs w:val="20"/>
        </w:rPr>
        <w:t>sus</w:t>
      </w:r>
      <w:r w:rsidRPr="005C1789">
        <w:rPr>
          <w:rFonts w:ascii="Verdana" w:hAnsi="Verdana"/>
          <w:spacing w:val="-2"/>
          <w:sz w:val="20"/>
          <w:szCs w:val="20"/>
        </w:rPr>
        <w:t xml:space="preserve"> </w:t>
      </w:r>
      <w:r w:rsidRPr="005C1789">
        <w:rPr>
          <w:rFonts w:ascii="Verdana" w:hAnsi="Verdana"/>
          <w:sz w:val="20"/>
          <w:szCs w:val="20"/>
        </w:rPr>
        <w:t>representantes</w:t>
      </w:r>
      <w:r w:rsidRPr="005C1789">
        <w:rPr>
          <w:rStyle w:val="Refdenotaalpie"/>
          <w:rFonts w:ascii="Verdana" w:hAnsi="Verdana"/>
          <w:sz w:val="20"/>
        </w:rPr>
        <w:footnoteReference w:id="166"/>
      </w:r>
      <w:r w:rsidRPr="005C1789">
        <w:rPr>
          <w:rFonts w:ascii="Verdana" w:hAnsi="Verdana"/>
          <w:sz w:val="20"/>
          <w:szCs w:val="20"/>
        </w:rPr>
        <w:t>.</w:t>
      </w:r>
    </w:p>
    <w:p w14:paraId="342275A1" w14:textId="429DC124"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El Estado, la</w:t>
      </w:r>
      <w:r w:rsidR="0005367E" w:rsidRPr="005C1789">
        <w:rPr>
          <w:rFonts w:ascii="Verdana" w:hAnsi="Verdana"/>
          <w:sz w:val="20"/>
          <w:szCs w:val="20"/>
        </w:rPr>
        <w:t>s</w:t>
      </w:r>
      <w:r w:rsidRPr="005C1789">
        <w:rPr>
          <w:rFonts w:ascii="Verdana" w:hAnsi="Verdana"/>
          <w:sz w:val="20"/>
          <w:szCs w:val="20"/>
        </w:rPr>
        <w:t xml:space="preserve"> víctima</w:t>
      </w:r>
      <w:r w:rsidR="0005367E" w:rsidRPr="005C1789">
        <w:rPr>
          <w:rFonts w:ascii="Verdana" w:hAnsi="Verdana"/>
          <w:sz w:val="20"/>
          <w:szCs w:val="20"/>
        </w:rPr>
        <w:t>s</w:t>
      </w:r>
      <w:r w:rsidRPr="005C1789">
        <w:rPr>
          <w:rFonts w:ascii="Verdana" w:hAnsi="Verdana"/>
          <w:sz w:val="20"/>
          <w:szCs w:val="20"/>
        </w:rPr>
        <w:t>, y/o sus representantes, deberán acordar la modalidad de</w:t>
      </w:r>
      <w:r w:rsidRPr="005C1789">
        <w:rPr>
          <w:rFonts w:ascii="Verdana" w:hAnsi="Verdana"/>
          <w:spacing w:val="1"/>
          <w:sz w:val="20"/>
          <w:szCs w:val="20"/>
        </w:rPr>
        <w:t xml:space="preserve"> </w:t>
      </w:r>
      <w:r w:rsidR="002815F0" w:rsidRPr="005C1789">
        <w:rPr>
          <w:rFonts w:ascii="Verdana" w:hAnsi="Verdana"/>
          <w:sz w:val="20"/>
          <w:szCs w:val="20"/>
        </w:rPr>
        <w:t xml:space="preserve">cumplimiento </w:t>
      </w:r>
      <w:r w:rsidRPr="005C1789">
        <w:rPr>
          <w:rFonts w:ascii="Verdana" w:hAnsi="Verdana"/>
          <w:sz w:val="20"/>
          <w:szCs w:val="20"/>
        </w:rPr>
        <w:t>del acto público, así como las particularidades que se requieran, tales como el</w:t>
      </w:r>
      <w:r w:rsidRPr="005C1789">
        <w:rPr>
          <w:rFonts w:ascii="Verdana" w:hAnsi="Verdana"/>
          <w:spacing w:val="1"/>
          <w:sz w:val="20"/>
          <w:szCs w:val="20"/>
        </w:rPr>
        <w:t xml:space="preserve"> </w:t>
      </w:r>
      <w:r w:rsidRPr="005C1789">
        <w:rPr>
          <w:rFonts w:ascii="Verdana" w:hAnsi="Verdana"/>
          <w:sz w:val="20"/>
          <w:szCs w:val="20"/>
        </w:rPr>
        <w:t>lugar y la fecha para su realización</w:t>
      </w:r>
      <w:r w:rsidRPr="005C1789">
        <w:rPr>
          <w:rStyle w:val="Refdenotaalpie"/>
          <w:rFonts w:ascii="Verdana" w:hAnsi="Verdana"/>
          <w:sz w:val="20"/>
        </w:rPr>
        <w:footnoteReference w:id="167"/>
      </w:r>
      <w:r w:rsidRPr="005C1789">
        <w:rPr>
          <w:rFonts w:ascii="Verdana" w:hAnsi="Verdana"/>
          <w:sz w:val="20"/>
          <w:szCs w:val="20"/>
        </w:rPr>
        <w:t>. Además, deberá</w:t>
      </w:r>
      <w:r w:rsidRPr="005C1789">
        <w:rPr>
          <w:rFonts w:ascii="Verdana" w:hAnsi="Verdana"/>
          <w:spacing w:val="1"/>
          <w:sz w:val="20"/>
          <w:szCs w:val="20"/>
        </w:rPr>
        <w:t xml:space="preserve"> </w:t>
      </w:r>
      <w:r w:rsidRPr="005C1789">
        <w:rPr>
          <w:rFonts w:ascii="Verdana" w:hAnsi="Verdana"/>
          <w:sz w:val="20"/>
          <w:szCs w:val="20"/>
        </w:rPr>
        <w:t>garantizarse que la</w:t>
      </w:r>
      <w:r w:rsidR="0005367E" w:rsidRPr="005C1789">
        <w:rPr>
          <w:rFonts w:ascii="Verdana" w:hAnsi="Verdana"/>
          <w:sz w:val="20"/>
          <w:szCs w:val="20"/>
        </w:rPr>
        <w:t>s</w:t>
      </w:r>
      <w:r w:rsidRPr="005C1789">
        <w:rPr>
          <w:rFonts w:ascii="Verdana" w:hAnsi="Verdana"/>
          <w:sz w:val="20"/>
          <w:szCs w:val="20"/>
        </w:rPr>
        <w:t xml:space="preserve"> víctima</w:t>
      </w:r>
      <w:r w:rsidR="0005367E" w:rsidRPr="005C1789">
        <w:rPr>
          <w:rFonts w:ascii="Verdana" w:hAnsi="Verdana"/>
          <w:sz w:val="20"/>
          <w:szCs w:val="20"/>
        </w:rPr>
        <w:t>s</w:t>
      </w:r>
      <w:r w:rsidRPr="005C1789">
        <w:rPr>
          <w:rFonts w:ascii="Verdana" w:hAnsi="Verdana"/>
          <w:sz w:val="20"/>
          <w:szCs w:val="20"/>
        </w:rPr>
        <w:t xml:space="preserve"> tenga</w:t>
      </w:r>
      <w:r w:rsidR="0005367E" w:rsidRPr="005C1789">
        <w:rPr>
          <w:rFonts w:ascii="Verdana" w:hAnsi="Verdana"/>
          <w:sz w:val="20"/>
          <w:szCs w:val="20"/>
        </w:rPr>
        <w:t>n</w:t>
      </w:r>
      <w:r w:rsidRPr="005C1789">
        <w:rPr>
          <w:rFonts w:ascii="Verdana" w:hAnsi="Verdana"/>
          <w:sz w:val="20"/>
          <w:szCs w:val="20"/>
        </w:rPr>
        <w:t xml:space="preserve"> la posibilidad de asistir, para lo cual el</w:t>
      </w:r>
      <w:r w:rsidRPr="005C1789">
        <w:rPr>
          <w:rFonts w:ascii="Verdana" w:hAnsi="Verdana"/>
          <w:spacing w:val="1"/>
          <w:sz w:val="20"/>
          <w:szCs w:val="20"/>
        </w:rPr>
        <w:t xml:space="preserve"> </w:t>
      </w:r>
      <w:r w:rsidRPr="005C1789">
        <w:rPr>
          <w:rFonts w:ascii="Verdana" w:hAnsi="Verdana"/>
          <w:sz w:val="20"/>
          <w:szCs w:val="20"/>
        </w:rPr>
        <w:t>Estado deberá sufragar los gastos correspondientes a su transporte. De igual manera, como</w:t>
      </w:r>
      <w:r w:rsidRPr="005C1789">
        <w:rPr>
          <w:rFonts w:ascii="Verdana" w:hAnsi="Verdana"/>
          <w:spacing w:val="1"/>
          <w:sz w:val="20"/>
          <w:szCs w:val="20"/>
        </w:rPr>
        <w:t xml:space="preserve"> </w:t>
      </w:r>
      <w:r w:rsidRPr="005C1789">
        <w:rPr>
          <w:rFonts w:ascii="Verdana" w:hAnsi="Verdana"/>
          <w:sz w:val="20"/>
          <w:szCs w:val="20"/>
        </w:rPr>
        <w:t>lo ha hecho en otros casos</w:t>
      </w:r>
      <w:r w:rsidRPr="005C1789">
        <w:rPr>
          <w:rStyle w:val="Refdenotaalpie"/>
          <w:rFonts w:ascii="Verdana" w:hAnsi="Verdana"/>
          <w:sz w:val="20"/>
        </w:rPr>
        <w:footnoteReference w:id="168"/>
      </w:r>
      <w:r w:rsidRPr="005C1789">
        <w:rPr>
          <w:rFonts w:ascii="Verdana" w:hAnsi="Verdana"/>
          <w:sz w:val="20"/>
          <w:szCs w:val="20"/>
        </w:rPr>
        <w:t>, la Corte ordena al Estado difundir dicho acto a través de los</w:t>
      </w:r>
      <w:r w:rsidRPr="005C1789">
        <w:rPr>
          <w:rFonts w:ascii="Verdana" w:hAnsi="Verdana"/>
          <w:spacing w:val="1"/>
          <w:sz w:val="20"/>
          <w:szCs w:val="20"/>
        </w:rPr>
        <w:t xml:space="preserve"> </w:t>
      </w:r>
      <w:r w:rsidRPr="005C1789">
        <w:rPr>
          <w:rFonts w:ascii="Verdana" w:hAnsi="Verdana"/>
          <w:sz w:val="20"/>
          <w:szCs w:val="20"/>
        </w:rPr>
        <w:t>medios de comunicación de la manera más amplia posible, incluyendo la difusión por radio,</w:t>
      </w:r>
      <w:r w:rsidRPr="005C1789">
        <w:rPr>
          <w:rFonts w:ascii="Verdana" w:hAnsi="Verdana"/>
          <w:spacing w:val="1"/>
          <w:sz w:val="20"/>
          <w:szCs w:val="20"/>
        </w:rPr>
        <w:t xml:space="preserve"> </w:t>
      </w:r>
      <w:r w:rsidRPr="005C1789">
        <w:rPr>
          <w:rFonts w:ascii="Verdana" w:hAnsi="Verdana"/>
          <w:sz w:val="20"/>
          <w:szCs w:val="20"/>
        </w:rPr>
        <w:t>televisión</w:t>
      </w:r>
      <w:r w:rsidRPr="005C1789">
        <w:rPr>
          <w:rFonts w:ascii="Verdana" w:hAnsi="Verdana"/>
          <w:spacing w:val="1"/>
          <w:sz w:val="20"/>
          <w:szCs w:val="20"/>
        </w:rPr>
        <w:t xml:space="preserve"> </w:t>
      </w:r>
      <w:r w:rsidRPr="005C1789">
        <w:rPr>
          <w:rFonts w:ascii="Verdana" w:hAnsi="Verdana"/>
          <w:sz w:val="20"/>
          <w:szCs w:val="20"/>
        </w:rPr>
        <w:t>y</w:t>
      </w:r>
      <w:r w:rsidRPr="005C1789">
        <w:rPr>
          <w:rFonts w:ascii="Verdana" w:hAnsi="Verdana"/>
          <w:spacing w:val="1"/>
          <w:sz w:val="20"/>
          <w:szCs w:val="20"/>
        </w:rPr>
        <w:t xml:space="preserve"> </w:t>
      </w:r>
      <w:r w:rsidRPr="005C1789">
        <w:rPr>
          <w:rFonts w:ascii="Verdana" w:hAnsi="Verdana"/>
          <w:sz w:val="20"/>
          <w:szCs w:val="20"/>
        </w:rPr>
        <w:t>redes</w:t>
      </w:r>
      <w:r w:rsidRPr="005C1789">
        <w:rPr>
          <w:rFonts w:ascii="Verdana" w:hAnsi="Verdana"/>
          <w:spacing w:val="1"/>
          <w:sz w:val="20"/>
          <w:szCs w:val="20"/>
        </w:rPr>
        <w:t xml:space="preserve"> </w:t>
      </w:r>
      <w:r w:rsidRPr="005C1789">
        <w:rPr>
          <w:rFonts w:ascii="Verdana" w:hAnsi="Verdana"/>
          <w:sz w:val="20"/>
          <w:szCs w:val="20"/>
        </w:rPr>
        <w:t>sociales</w:t>
      </w:r>
      <w:r w:rsidR="00D74398" w:rsidRPr="005C1789">
        <w:rPr>
          <w:rFonts w:ascii="Verdana" w:hAnsi="Verdana"/>
          <w:sz w:val="20"/>
          <w:szCs w:val="20"/>
        </w:rPr>
        <w:t xml:space="preserve"> </w:t>
      </w:r>
      <w:r w:rsidR="00264F68" w:rsidRPr="005C1789">
        <w:rPr>
          <w:rFonts w:ascii="Verdana" w:hAnsi="Verdana"/>
          <w:sz w:val="20"/>
          <w:szCs w:val="20"/>
        </w:rPr>
        <w:t>correspondientes</w:t>
      </w:r>
      <w:r w:rsidRPr="005C1789">
        <w:rPr>
          <w:rFonts w:ascii="Verdana" w:hAnsi="Verdana"/>
          <w:sz w:val="20"/>
          <w:szCs w:val="20"/>
        </w:rPr>
        <w:t>.</w:t>
      </w:r>
      <w:r w:rsidRPr="005C1789">
        <w:rPr>
          <w:rFonts w:ascii="Verdana" w:hAnsi="Verdana"/>
          <w:spacing w:val="1"/>
          <w:sz w:val="20"/>
          <w:szCs w:val="20"/>
        </w:rPr>
        <w:t xml:space="preserve"> </w:t>
      </w:r>
      <w:r w:rsidRPr="005C1789">
        <w:rPr>
          <w:rFonts w:ascii="Verdana" w:hAnsi="Verdana"/>
          <w:sz w:val="20"/>
          <w:szCs w:val="20"/>
        </w:rPr>
        <w:t>Las</w:t>
      </w:r>
      <w:r w:rsidRPr="005C1789">
        <w:rPr>
          <w:rFonts w:ascii="Verdana" w:hAnsi="Verdana"/>
          <w:spacing w:val="1"/>
          <w:sz w:val="20"/>
          <w:szCs w:val="20"/>
        </w:rPr>
        <w:t xml:space="preserve"> </w:t>
      </w:r>
      <w:r w:rsidRPr="005C1789">
        <w:rPr>
          <w:rFonts w:ascii="Verdana" w:hAnsi="Verdana"/>
          <w:sz w:val="20"/>
          <w:szCs w:val="20"/>
        </w:rPr>
        <w:t>autoridades</w:t>
      </w:r>
      <w:r w:rsidRPr="005C1789">
        <w:rPr>
          <w:rFonts w:ascii="Verdana" w:hAnsi="Verdana"/>
          <w:spacing w:val="1"/>
          <w:sz w:val="20"/>
          <w:szCs w:val="20"/>
        </w:rPr>
        <w:t xml:space="preserve"> </w:t>
      </w:r>
      <w:r w:rsidRPr="005C1789">
        <w:rPr>
          <w:rFonts w:ascii="Verdana" w:hAnsi="Verdana"/>
          <w:sz w:val="20"/>
          <w:szCs w:val="20"/>
        </w:rPr>
        <w:t>estatales</w:t>
      </w:r>
      <w:r w:rsidRPr="005C1789">
        <w:rPr>
          <w:rFonts w:ascii="Verdana" w:hAnsi="Verdana"/>
          <w:spacing w:val="1"/>
          <w:sz w:val="20"/>
          <w:szCs w:val="20"/>
        </w:rPr>
        <w:t xml:space="preserve"> </w:t>
      </w:r>
      <w:r w:rsidRPr="005C1789">
        <w:rPr>
          <w:rFonts w:ascii="Verdana" w:hAnsi="Verdana"/>
          <w:sz w:val="20"/>
          <w:szCs w:val="20"/>
        </w:rPr>
        <w:t>que</w:t>
      </w:r>
      <w:r w:rsidRPr="005C1789">
        <w:rPr>
          <w:rFonts w:ascii="Verdana" w:hAnsi="Verdana"/>
          <w:spacing w:val="1"/>
          <w:sz w:val="20"/>
          <w:szCs w:val="20"/>
        </w:rPr>
        <w:t xml:space="preserve"> </w:t>
      </w:r>
      <w:r w:rsidRPr="005C1789">
        <w:rPr>
          <w:rFonts w:ascii="Verdana" w:hAnsi="Verdana"/>
          <w:sz w:val="20"/>
          <w:szCs w:val="20"/>
        </w:rPr>
        <w:t>deberán</w:t>
      </w:r>
      <w:r w:rsidRPr="005C1789">
        <w:rPr>
          <w:rFonts w:ascii="Verdana" w:hAnsi="Verdana"/>
          <w:spacing w:val="1"/>
          <w:sz w:val="20"/>
          <w:szCs w:val="20"/>
        </w:rPr>
        <w:t xml:space="preserve"> </w:t>
      </w:r>
      <w:r w:rsidRPr="005C1789">
        <w:rPr>
          <w:rFonts w:ascii="Verdana" w:hAnsi="Verdana"/>
          <w:sz w:val="20"/>
          <w:szCs w:val="20"/>
        </w:rPr>
        <w:t>estar</w:t>
      </w:r>
      <w:r w:rsidRPr="005C1789">
        <w:rPr>
          <w:rFonts w:ascii="Verdana" w:hAnsi="Verdana"/>
          <w:spacing w:val="1"/>
          <w:sz w:val="20"/>
          <w:szCs w:val="20"/>
        </w:rPr>
        <w:t xml:space="preserve"> </w:t>
      </w:r>
      <w:r w:rsidRPr="005C1789">
        <w:rPr>
          <w:rFonts w:ascii="Verdana" w:hAnsi="Verdana"/>
          <w:sz w:val="20"/>
          <w:szCs w:val="20"/>
        </w:rPr>
        <w:t>presentes</w:t>
      </w:r>
      <w:r w:rsidRPr="005C1789">
        <w:rPr>
          <w:rFonts w:ascii="Verdana" w:hAnsi="Verdana"/>
          <w:spacing w:val="1"/>
          <w:sz w:val="20"/>
          <w:szCs w:val="20"/>
        </w:rPr>
        <w:t xml:space="preserve"> </w:t>
      </w:r>
      <w:r w:rsidRPr="005C1789">
        <w:rPr>
          <w:rFonts w:ascii="Verdana" w:hAnsi="Verdana"/>
          <w:sz w:val="20"/>
          <w:szCs w:val="20"/>
        </w:rPr>
        <w:t>o</w:t>
      </w:r>
      <w:r w:rsidRPr="005C1789">
        <w:rPr>
          <w:rFonts w:ascii="Verdana" w:hAnsi="Verdana"/>
          <w:spacing w:val="1"/>
          <w:sz w:val="20"/>
          <w:szCs w:val="20"/>
        </w:rPr>
        <w:t xml:space="preserve"> </w:t>
      </w:r>
      <w:r w:rsidRPr="005C1789">
        <w:rPr>
          <w:rFonts w:ascii="Verdana" w:hAnsi="Verdana"/>
          <w:sz w:val="20"/>
          <w:szCs w:val="20"/>
        </w:rPr>
        <w:t>participar en dicho acto</w:t>
      </w:r>
      <w:r w:rsidR="008211BD" w:rsidRPr="005C1789">
        <w:rPr>
          <w:rFonts w:ascii="Verdana" w:hAnsi="Verdana"/>
          <w:sz w:val="20"/>
          <w:szCs w:val="20"/>
        </w:rPr>
        <w:t>,</w:t>
      </w:r>
      <w:r w:rsidRPr="005C1789">
        <w:rPr>
          <w:rFonts w:ascii="Verdana" w:hAnsi="Verdana"/>
          <w:sz w:val="20"/>
          <w:szCs w:val="20"/>
        </w:rPr>
        <w:t xml:space="preserve"> deberán ser altos funcionarios estatales, incluidas las máximas</w:t>
      </w:r>
      <w:r w:rsidR="00285D52" w:rsidRPr="005C1789">
        <w:rPr>
          <w:rFonts w:ascii="Verdana" w:hAnsi="Verdana"/>
          <w:sz w:val="20"/>
          <w:szCs w:val="20"/>
        </w:rPr>
        <w:t xml:space="preserve"> </w:t>
      </w:r>
      <w:r w:rsidRPr="005C1789">
        <w:rPr>
          <w:rFonts w:ascii="Verdana" w:hAnsi="Verdana"/>
          <w:sz w:val="20"/>
          <w:szCs w:val="20"/>
        </w:rPr>
        <w:t>autoridades</w:t>
      </w:r>
      <w:r w:rsidRPr="005C1789">
        <w:rPr>
          <w:rFonts w:ascii="Verdana" w:hAnsi="Verdana"/>
          <w:spacing w:val="33"/>
          <w:sz w:val="20"/>
          <w:szCs w:val="20"/>
        </w:rPr>
        <w:t xml:space="preserve"> </w:t>
      </w:r>
      <w:r w:rsidR="00762742" w:rsidRPr="005C1789">
        <w:rPr>
          <w:rFonts w:ascii="Verdana" w:hAnsi="Verdana"/>
          <w:sz w:val="20"/>
          <w:szCs w:val="20"/>
        </w:rPr>
        <w:t>de la Secretaría de Justicia</w:t>
      </w:r>
      <w:r w:rsidRPr="005C1789">
        <w:rPr>
          <w:rFonts w:ascii="Verdana" w:hAnsi="Verdana"/>
          <w:sz w:val="20"/>
          <w:szCs w:val="20"/>
        </w:rPr>
        <w:t>.</w:t>
      </w:r>
      <w:r w:rsidRPr="005C1789">
        <w:rPr>
          <w:rFonts w:ascii="Verdana" w:hAnsi="Verdana"/>
          <w:spacing w:val="33"/>
          <w:sz w:val="20"/>
          <w:szCs w:val="20"/>
        </w:rPr>
        <w:t xml:space="preserve"> </w:t>
      </w:r>
      <w:r w:rsidRPr="005C1789">
        <w:rPr>
          <w:rFonts w:ascii="Verdana" w:hAnsi="Verdana"/>
          <w:sz w:val="20"/>
          <w:szCs w:val="20"/>
        </w:rPr>
        <w:t>Para</w:t>
      </w:r>
      <w:r w:rsidRPr="005C1789">
        <w:rPr>
          <w:rFonts w:ascii="Verdana" w:hAnsi="Verdana"/>
          <w:spacing w:val="36"/>
          <w:sz w:val="20"/>
          <w:szCs w:val="20"/>
        </w:rPr>
        <w:t xml:space="preserve"> </w:t>
      </w:r>
      <w:r w:rsidRPr="005C1789">
        <w:rPr>
          <w:rFonts w:ascii="Verdana" w:hAnsi="Verdana"/>
          <w:sz w:val="20"/>
          <w:szCs w:val="20"/>
        </w:rPr>
        <w:t>cumplir</w:t>
      </w:r>
      <w:r w:rsidRPr="005C1789">
        <w:rPr>
          <w:rFonts w:ascii="Verdana" w:hAnsi="Verdana"/>
          <w:spacing w:val="33"/>
          <w:sz w:val="20"/>
          <w:szCs w:val="20"/>
        </w:rPr>
        <w:t xml:space="preserve"> </w:t>
      </w:r>
      <w:r w:rsidRPr="005C1789">
        <w:rPr>
          <w:rFonts w:ascii="Verdana" w:hAnsi="Verdana"/>
          <w:sz w:val="20"/>
          <w:szCs w:val="20"/>
        </w:rPr>
        <w:t>con</w:t>
      </w:r>
      <w:r w:rsidRPr="005C1789">
        <w:rPr>
          <w:rFonts w:ascii="Verdana" w:hAnsi="Verdana"/>
          <w:spacing w:val="35"/>
          <w:sz w:val="20"/>
          <w:szCs w:val="20"/>
        </w:rPr>
        <w:t xml:space="preserve"> </w:t>
      </w:r>
      <w:r w:rsidRPr="005C1789">
        <w:rPr>
          <w:rFonts w:ascii="Verdana" w:hAnsi="Verdana"/>
          <w:sz w:val="20"/>
          <w:szCs w:val="20"/>
        </w:rPr>
        <w:t>esta</w:t>
      </w:r>
      <w:r w:rsidRPr="005C1789">
        <w:rPr>
          <w:rFonts w:ascii="Verdana" w:hAnsi="Verdana"/>
          <w:spacing w:val="39"/>
          <w:sz w:val="20"/>
          <w:szCs w:val="20"/>
        </w:rPr>
        <w:t xml:space="preserve"> </w:t>
      </w:r>
      <w:r w:rsidRPr="005C1789">
        <w:rPr>
          <w:rFonts w:ascii="Verdana" w:hAnsi="Verdana"/>
          <w:sz w:val="20"/>
          <w:szCs w:val="20"/>
        </w:rPr>
        <w:t>obligación</w:t>
      </w:r>
      <w:r w:rsidRPr="005C1789">
        <w:rPr>
          <w:rFonts w:ascii="Verdana" w:hAnsi="Verdana"/>
          <w:spacing w:val="35"/>
          <w:sz w:val="20"/>
          <w:szCs w:val="20"/>
        </w:rPr>
        <w:t xml:space="preserve"> </w:t>
      </w:r>
      <w:r w:rsidRPr="005C1789">
        <w:rPr>
          <w:rFonts w:ascii="Verdana" w:hAnsi="Verdana"/>
          <w:sz w:val="20"/>
          <w:szCs w:val="20"/>
        </w:rPr>
        <w:t>de</w:t>
      </w:r>
      <w:r w:rsidRPr="005C1789">
        <w:rPr>
          <w:rFonts w:ascii="Verdana" w:hAnsi="Verdana"/>
          <w:spacing w:val="33"/>
          <w:sz w:val="20"/>
          <w:szCs w:val="20"/>
        </w:rPr>
        <w:t xml:space="preserve"> </w:t>
      </w:r>
      <w:r w:rsidRPr="005C1789">
        <w:rPr>
          <w:rFonts w:ascii="Verdana" w:hAnsi="Verdana"/>
          <w:sz w:val="20"/>
          <w:szCs w:val="20"/>
        </w:rPr>
        <w:t>realizar</w:t>
      </w:r>
      <w:r w:rsidRPr="005C1789">
        <w:rPr>
          <w:rFonts w:ascii="Verdana" w:hAnsi="Verdana"/>
          <w:spacing w:val="33"/>
          <w:sz w:val="20"/>
          <w:szCs w:val="20"/>
        </w:rPr>
        <w:t xml:space="preserve"> </w:t>
      </w:r>
      <w:r w:rsidRPr="005C1789">
        <w:rPr>
          <w:rFonts w:ascii="Verdana" w:hAnsi="Verdana"/>
          <w:sz w:val="20"/>
          <w:szCs w:val="20"/>
        </w:rPr>
        <w:t>el</w:t>
      </w:r>
      <w:r w:rsidRPr="005C1789">
        <w:rPr>
          <w:rFonts w:ascii="Verdana" w:hAnsi="Verdana"/>
          <w:spacing w:val="36"/>
          <w:sz w:val="20"/>
          <w:szCs w:val="20"/>
        </w:rPr>
        <w:t xml:space="preserve"> </w:t>
      </w:r>
      <w:r w:rsidRPr="005C1789">
        <w:rPr>
          <w:rFonts w:ascii="Verdana" w:hAnsi="Verdana"/>
          <w:sz w:val="20"/>
          <w:szCs w:val="20"/>
        </w:rPr>
        <w:t>acto</w:t>
      </w:r>
      <w:r w:rsidRPr="005C1789">
        <w:rPr>
          <w:rFonts w:ascii="Verdana" w:hAnsi="Verdana"/>
          <w:spacing w:val="33"/>
          <w:sz w:val="20"/>
          <w:szCs w:val="20"/>
        </w:rPr>
        <w:t xml:space="preserve"> </w:t>
      </w:r>
      <w:r w:rsidRPr="005C1789">
        <w:rPr>
          <w:rFonts w:ascii="Verdana" w:hAnsi="Verdana"/>
          <w:sz w:val="20"/>
          <w:szCs w:val="20"/>
        </w:rPr>
        <w:t>de reconocimiento</w:t>
      </w:r>
      <w:r w:rsidRPr="005C1789">
        <w:rPr>
          <w:rFonts w:ascii="Verdana" w:hAnsi="Verdana"/>
          <w:spacing w:val="8"/>
          <w:sz w:val="20"/>
          <w:szCs w:val="20"/>
        </w:rPr>
        <w:t xml:space="preserve"> </w:t>
      </w:r>
      <w:r w:rsidRPr="005C1789">
        <w:rPr>
          <w:rFonts w:ascii="Verdana" w:hAnsi="Verdana"/>
          <w:sz w:val="20"/>
          <w:szCs w:val="20"/>
        </w:rPr>
        <w:t>de</w:t>
      </w:r>
      <w:r w:rsidRPr="005C1789">
        <w:rPr>
          <w:rFonts w:ascii="Verdana" w:hAnsi="Verdana"/>
          <w:spacing w:val="9"/>
          <w:sz w:val="20"/>
          <w:szCs w:val="20"/>
        </w:rPr>
        <w:t xml:space="preserve"> </w:t>
      </w:r>
      <w:r w:rsidRPr="005C1789">
        <w:rPr>
          <w:rFonts w:ascii="Verdana" w:hAnsi="Verdana"/>
          <w:sz w:val="20"/>
          <w:szCs w:val="20"/>
        </w:rPr>
        <w:t>responsabilidad</w:t>
      </w:r>
      <w:r w:rsidRPr="005C1789">
        <w:rPr>
          <w:rFonts w:ascii="Verdana" w:hAnsi="Verdana"/>
          <w:spacing w:val="8"/>
          <w:sz w:val="20"/>
          <w:szCs w:val="20"/>
        </w:rPr>
        <w:t xml:space="preserve"> </w:t>
      </w:r>
      <w:r w:rsidRPr="005C1789">
        <w:rPr>
          <w:rFonts w:ascii="Verdana" w:hAnsi="Verdana"/>
          <w:sz w:val="20"/>
          <w:szCs w:val="20"/>
        </w:rPr>
        <w:t>internacional,</w:t>
      </w:r>
      <w:r w:rsidRPr="005C1789">
        <w:rPr>
          <w:rFonts w:ascii="Verdana" w:hAnsi="Verdana"/>
          <w:spacing w:val="8"/>
          <w:sz w:val="20"/>
          <w:szCs w:val="20"/>
        </w:rPr>
        <w:t xml:space="preserve"> </w:t>
      </w:r>
      <w:r w:rsidRPr="005C1789">
        <w:rPr>
          <w:rFonts w:ascii="Verdana" w:hAnsi="Verdana"/>
          <w:sz w:val="20"/>
          <w:szCs w:val="20"/>
        </w:rPr>
        <w:t>el</w:t>
      </w:r>
      <w:r w:rsidRPr="005C1789">
        <w:rPr>
          <w:rFonts w:ascii="Verdana" w:hAnsi="Verdana"/>
          <w:spacing w:val="10"/>
          <w:sz w:val="20"/>
          <w:szCs w:val="20"/>
        </w:rPr>
        <w:t xml:space="preserve"> </w:t>
      </w:r>
      <w:r w:rsidRPr="005C1789">
        <w:rPr>
          <w:rFonts w:ascii="Verdana" w:hAnsi="Verdana"/>
          <w:sz w:val="20"/>
          <w:szCs w:val="20"/>
        </w:rPr>
        <w:t>Estado</w:t>
      </w:r>
      <w:r w:rsidRPr="005C1789">
        <w:rPr>
          <w:rFonts w:ascii="Verdana" w:hAnsi="Verdana"/>
          <w:spacing w:val="9"/>
          <w:sz w:val="20"/>
          <w:szCs w:val="20"/>
        </w:rPr>
        <w:t xml:space="preserve"> </w:t>
      </w:r>
      <w:r w:rsidRPr="005C1789">
        <w:rPr>
          <w:rFonts w:ascii="Verdana" w:hAnsi="Verdana"/>
          <w:sz w:val="20"/>
          <w:szCs w:val="20"/>
        </w:rPr>
        <w:t>cuenta</w:t>
      </w:r>
      <w:r w:rsidRPr="005C1789">
        <w:rPr>
          <w:rFonts w:ascii="Verdana" w:hAnsi="Verdana"/>
          <w:spacing w:val="9"/>
          <w:sz w:val="20"/>
          <w:szCs w:val="20"/>
        </w:rPr>
        <w:t xml:space="preserve"> </w:t>
      </w:r>
      <w:r w:rsidRPr="005C1789">
        <w:rPr>
          <w:rFonts w:ascii="Verdana" w:hAnsi="Verdana"/>
          <w:sz w:val="20"/>
          <w:szCs w:val="20"/>
        </w:rPr>
        <w:t>con</w:t>
      </w:r>
      <w:r w:rsidRPr="005C1789">
        <w:rPr>
          <w:rFonts w:ascii="Verdana" w:hAnsi="Verdana"/>
          <w:spacing w:val="13"/>
          <w:sz w:val="20"/>
          <w:szCs w:val="20"/>
        </w:rPr>
        <w:t xml:space="preserve"> </w:t>
      </w:r>
      <w:r w:rsidRPr="005C1789">
        <w:rPr>
          <w:rFonts w:ascii="Verdana" w:hAnsi="Verdana"/>
          <w:sz w:val="20"/>
          <w:szCs w:val="20"/>
        </w:rPr>
        <w:t>un</w:t>
      </w:r>
      <w:r w:rsidRPr="005C1789">
        <w:rPr>
          <w:rFonts w:ascii="Verdana" w:hAnsi="Verdana"/>
          <w:spacing w:val="11"/>
          <w:sz w:val="20"/>
          <w:szCs w:val="20"/>
        </w:rPr>
        <w:t xml:space="preserve"> </w:t>
      </w:r>
      <w:r w:rsidRPr="005C1789">
        <w:rPr>
          <w:rFonts w:ascii="Verdana" w:hAnsi="Verdana"/>
          <w:sz w:val="20"/>
          <w:szCs w:val="20"/>
        </w:rPr>
        <w:t>plazo</w:t>
      </w:r>
      <w:r w:rsidRPr="005C1789">
        <w:rPr>
          <w:rFonts w:ascii="Verdana" w:hAnsi="Verdana"/>
          <w:spacing w:val="8"/>
          <w:sz w:val="20"/>
          <w:szCs w:val="20"/>
        </w:rPr>
        <w:t xml:space="preserve"> </w:t>
      </w:r>
      <w:r w:rsidRPr="005C1789">
        <w:rPr>
          <w:rFonts w:ascii="Verdana" w:hAnsi="Verdana"/>
          <w:sz w:val="20"/>
          <w:szCs w:val="20"/>
        </w:rPr>
        <w:t>de</w:t>
      </w:r>
      <w:r w:rsidRPr="005C1789">
        <w:rPr>
          <w:rFonts w:ascii="Verdana" w:hAnsi="Verdana"/>
          <w:spacing w:val="9"/>
          <w:sz w:val="20"/>
          <w:szCs w:val="20"/>
        </w:rPr>
        <w:t xml:space="preserve"> </w:t>
      </w:r>
      <w:r w:rsidRPr="005C1789">
        <w:rPr>
          <w:rFonts w:ascii="Verdana" w:hAnsi="Verdana"/>
          <w:sz w:val="20"/>
          <w:szCs w:val="20"/>
        </w:rPr>
        <w:t>un</w:t>
      </w:r>
      <w:r w:rsidRPr="005C1789">
        <w:rPr>
          <w:rFonts w:ascii="Verdana" w:hAnsi="Verdana"/>
          <w:spacing w:val="11"/>
          <w:sz w:val="20"/>
          <w:szCs w:val="20"/>
        </w:rPr>
        <w:t xml:space="preserve"> </w:t>
      </w:r>
      <w:r w:rsidRPr="005C1789">
        <w:rPr>
          <w:rFonts w:ascii="Verdana" w:hAnsi="Verdana"/>
          <w:sz w:val="20"/>
          <w:szCs w:val="20"/>
        </w:rPr>
        <w:t>año</w:t>
      </w:r>
      <w:r w:rsidRPr="005C1789">
        <w:rPr>
          <w:rFonts w:ascii="Verdana" w:hAnsi="Verdana"/>
          <w:spacing w:val="9"/>
          <w:sz w:val="20"/>
          <w:szCs w:val="20"/>
        </w:rPr>
        <w:t xml:space="preserve"> </w:t>
      </w:r>
      <w:r w:rsidRPr="005C1789">
        <w:rPr>
          <w:rFonts w:ascii="Verdana" w:hAnsi="Verdana"/>
          <w:sz w:val="20"/>
          <w:szCs w:val="20"/>
        </w:rPr>
        <w:t>a partir de</w:t>
      </w:r>
      <w:r w:rsidRPr="005C1789">
        <w:rPr>
          <w:rFonts w:ascii="Verdana" w:hAnsi="Verdana"/>
          <w:spacing w:val="-2"/>
          <w:sz w:val="20"/>
          <w:szCs w:val="20"/>
        </w:rPr>
        <w:t xml:space="preserve"> </w:t>
      </w:r>
      <w:r w:rsidRPr="005C1789">
        <w:rPr>
          <w:rFonts w:ascii="Verdana" w:hAnsi="Verdana"/>
          <w:sz w:val="20"/>
          <w:szCs w:val="20"/>
        </w:rPr>
        <w:t>la</w:t>
      </w:r>
      <w:r w:rsidRPr="005C1789">
        <w:rPr>
          <w:rFonts w:ascii="Verdana" w:hAnsi="Verdana"/>
          <w:spacing w:val="-1"/>
          <w:sz w:val="20"/>
          <w:szCs w:val="20"/>
        </w:rPr>
        <w:t xml:space="preserve"> </w:t>
      </w:r>
      <w:r w:rsidRPr="005C1789">
        <w:rPr>
          <w:rFonts w:ascii="Verdana" w:hAnsi="Verdana"/>
          <w:sz w:val="20"/>
          <w:szCs w:val="20"/>
        </w:rPr>
        <w:t>notificación de</w:t>
      </w:r>
      <w:r w:rsidRPr="005C1789">
        <w:rPr>
          <w:rFonts w:ascii="Verdana" w:hAnsi="Verdana"/>
          <w:spacing w:val="-2"/>
          <w:sz w:val="20"/>
          <w:szCs w:val="20"/>
        </w:rPr>
        <w:t xml:space="preserve"> </w:t>
      </w:r>
      <w:r w:rsidRPr="005C1789">
        <w:rPr>
          <w:rFonts w:ascii="Verdana" w:hAnsi="Verdana"/>
          <w:sz w:val="20"/>
          <w:szCs w:val="20"/>
        </w:rPr>
        <w:t>la</w:t>
      </w:r>
      <w:r w:rsidRPr="005C1789">
        <w:rPr>
          <w:rFonts w:ascii="Verdana" w:hAnsi="Verdana"/>
          <w:spacing w:val="-1"/>
          <w:sz w:val="20"/>
          <w:szCs w:val="20"/>
        </w:rPr>
        <w:t xml:space="preserve"> </w:t>
      </w:r>
      <w:r w:rsidRPr="005C1789">
        <w:rPr>
          <w:rFonts w:ascii="Verdana" w:hAnsi="Verdana"/>
          <w:sz w:val="20"/>
          <w:szCs w:val="20"/>
        </w:rPr>
        <w:t>presente</w:t>
      </w:r>
      <w:r w:rsidRPr="005C1789">
        <w:rPr>
          <w:rFonts w:ascii="Verdana" w:hAnsi="Verdana"/>
          <w:spacing w:val="-2"/>
          <w:sz w:val="20"/>
          <w:szCs w:val="20"/>
        </w:rPr>
        <w:t xml:space="preserve"> </w:t>
      </w:r>
      <w:r w:rsidRPr="005C1789">
        <w:rPr>
          <w:rFonts w:ascii="Verdana" w:hAnsi="Verdana"/>
          <w:sz w:val="20"/>
          <w:szCs w:val="20"/>
        </w:rPr>
        <w:t>Sentencia.</w:t>
      </w:r>
    </w:p>
    <w:p w14:paraId="04B29778" w14:textId="6D16221F" w:rsidR="009D2C06" w:rsidRPr="005C1789" w:rsidRDefault="000A52F2" w:rsidP="00955888">
      <w:pPr>
        <w:pStyle w:val="Ttulo3"/>
        <w:spacing w:before="240" w:after="240"/>
        <w:ind w:left="567"/>
        <w:jc w:val="both"/>
        <w:rPr>
          <w:rFonts w:ascii="Verdana" w:hAnsi="Verdana"/>
          <w:i w:val="0"/>
          <w:snapToGrid w:val="0"/>
          <w:spacing w:val="-2"/>
          <w:sz w:val="20"/>
          <w:szCs w:val="20"/>
          <w:lang w:eastAsia="es-ES"/>
        </w:rPr>
      </w:pPr>
      <w:bookmarkStart w:id="147" w:name="_Toc123347561"/>
      <w:r w:rsidRPr="005C1789">
        <w:rPr>
          <w:rFonts w:ascii="Verdana" w:hAnsi="Verdana"/>
          <w:b w:val="0"/>
          <w:snapToGrid w:val="0"/>
          <w:spacing w:val="-2"/>
          <w:sz w:val="20"/>
          <w:szCs w:val="20"/>
          <w:lang w:eastAsia="es-ES"/>
        </w:rPr>
        <w:t xml:space="preserve">C.3 </w:t>
      </w:r>
      <w:r w:rsidR="009D2C06" w:rsidRPr="005C1789">
        <w:rPr>
          <w:rFonts w:ascii="Verdana" w:hAnsi="Verdana"/>
          <w:b w:val="0"/>
          <w:snapToGrid w:val="0"/>
          <w:spacing w:val="-2"/>
          <w:sz w:val="20"/>
          <w:szCs w:val="20"/>
          <w:lang w:eastAsia="es-ES"/>
        </w:rPr>
        <w:t>Beca</w:t>
      </w:r>
      <w:r w:rsidR="00882ABF" w:rsidRPr="005C1789">
        <w:rPr>
          <w:rFonts w:ascii="Verdana" w:hAnsi="Verdana"/>
          <w:b w:val="0"/>
          <w:snapToGrid w:val="0"/>
          <w:spacing w:val="-2"/>
          <w:sz w:val="20"/>
          <w:szCs w:val="20"/>
          <w:lang w:eastAsia="es-ES"/>
        </w:rPr>
        <w:t>s</w:t>
      </w:r>
      <w:r w:rsidR="009D2C06" w:rsidRPr="005C1789">
        <w:rPr>
          <w:rFonts w:ascii="Verdana" w:hAnsi="Verdana"/>
          <w:b w:val="0"/>
          <w:snapToGrid w:val="0"/>
          <w:spacing w:val="-2"/>
          <w:sz w:val="20"/>
          <w:szCs w:val="20"/>
          <w:lang w:eastAsia="es-ES"/>
        </w:rPr>
        <w:t xml:space="preserve"> </w:t>
      </w:r>
      <w:r w:rsidR="00882ABF" w:rsidRPr="005C1789">
        <w:rPr>
          <w:rFonts w:ascii="Verdana" w:hAnsi="Verdana"/>
          <w:b w:val="0"/>
          <w:snapToGrid w:val="0"/>
          <w:spacing w:val="-2"/>
          <w:sz w:val="20"/>
          <w:szCs w:val="20"/>
          <w:lang w:eastAsia="es-ES"/>
        </w:rPr>
        <w:t>e</w:t>
      </w:r>
      <w:r w:rsidR="009D2C06" w:rsidRPr="005C1789">
        <w:rPr>
          <w:rFonts w:ascii="Verdana" w:hAnsi="Verdana"/>
          <w:b w:val="0"/>
          <w:snapToGrid w:val="0"/>
          <w:spacing w:val="-2"/>
          <w:sz w:val="20"/>
          <w:szCs w:val="20"/>
          <w:lang w:eastAsia="es-ES"/>
        </w:rPr>
        <w:t>ducativa</w:t>
      </w:r>
      <w:r w:rsidR="00882ABF" w:rsidRPr="005C1789">
        <w:rPr>
          <w:rFonts w:ascii="Verdana" w:hAnsi="Verdana"/>
          <w:b w:val="0"/>
          <w:snapToGrid w:val="0"/>
          <w:spacing w:val="-2"/>
          <w:sz w:val="20"/>
          <w:szCs w:val="20"/>
          <w:lang w:eastAsia="es-ES"/>
        </w:rPr>
        <w:t>s</w:t>
      </w:r>
      <w:bookmarkEnd w:id="147"/>
    </w:p>
    <w:p w14:paraId="26A4A1A0" w14:textId="6E531D26" w:rsidR="008065F2" w:rsidRPr="005C1789" w:rsidRDefault="009D2C0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w:t>
      </w:r>
      <w:r w:rsidR="008065F2" w:rsidRPr="005C1789">
        <w:rPr>
          <w:rFonts w:ascii="Verdana" w:hAnsi="Verdana"/>
          <w:sz w:val="20"/>
          <w:szCs w:val="20"/>
        </w:rPr>
        <w:t xml:space="preserve">indicaron que “las violaciones sufridas por las víctimas tuvieron como consecuencia limitar su posibilidad y la de sus familiares directos de continuar de forma adecuada con su formación profesional”. Recordaron </w:t>
      </w:r>
      <w:proofErr w:type="gramStart"/>
      <w:r w:rsidR="008065F2" w:rsidRPr="005C1789">
        <w:rPr>
          <w:rFonts w:ascii="Verdana" w:hAnsi="Verdana"/>
          <w:sz w:val="20"/>
          <w:szCs w:val="20"/>
        </w:rPr>
        <w:t>que</w:t>
      </w:r>
      <w:proofErr w:type="gramEnd"/>
      <w:r w:rsidR="008065F2" w:rsidRPr="005C1789">
        <w:rPr>
          <w:rFonts w:ascii="Verdana" w:hAnsi="Verdana"/>
          <w:sz w:val="20"/>
          <w:szCs w:val="20"/>
        </w:rPr>
        <w:t xml:space="preserve"> pese a ello, “tanto Jorge Marcial </w:t>
      </w:r>
      <w:proofErr w:type="spellStart"/>
      <w:r w:rsidR="008065F2" w:rsidRPr="005C1789">
        <w:rPr>
          <w:rFonts w:ascii="Verdana" w:hAnsi="Verdana"/>
          <w:sz w:val="20"/>
          <w:szCs w:val="20"/>
        </w:rPr>
        <w:t>Tzompaxtle</w:t>
      </w:r>
      <w:proofErr w:type="spellEnd"/>
      <w:r w:rsidR="008065F2" w:rsidRPr="005C1789">
        <w:rPr>
          <w:rFonts w:ascii="Verdana" w:hAnsi="Verdana"/>
          <w:sz w:val="20"/>
          <w:szCs w:val="20"/>
        </w:rPr>
        <w:t xml:space="preserve"> </w:t>
      </w:r>
      <w:proofErr w:type="spellStart"/>
      <w:r w:rsidR="008065F2" w:rsidRPr="005C1789">
        <w:rPr>
          <w:rFonts w:ascii="Verdana" w:hAnsi="Verdana"/>
          <w:sz w:val="20"/>
          <w:szCs w:val="20"/>
        </w:rPr>
        <w:t>Tecpile</w:t>
      </w:r>
      <w:proofErr w:type="spellEnd"/>
      <w:r w:rsidR="008065F2" w:rsidRPr="005C1789">
        <w:rPr>
          <w:rFonts w:ascii="Verdana" w:hAnsi="Verdana"/>
          <w:sz w:val="20"/>
          <w:szCs w:val="20"/>
        </w:rPr>
        <w:t xml:space="preserve"> como David Martínez García, hijo de Gustavo Robles López, han hecho enormes esfuerzos por acceder a la universidad”, y que al hacerlo “han tenido que superar una serie importante de obstáculos derivados tanto de la estigmatización por este caso como de la discriminación estructural que enfrentan las personas indígenas en el sistema educativo mexicano. Estos obstáculos podrían solventarse en gran medida con la dación de becas educativas”. Asimismo, hicieron referencia al Acta de Entendimiento en la cual el Estado se comprometió a otorgarles becas educativas. Indicaron que en el caso de David Martínez García la beca fue calculada con un valor total de $344,044.00 pesos mexicanos (aproximadamente $16,800 dólares al tipo de cambio actual); sin embargo, sostuvieron que “a la fecha únicamente ha pagado $57,340.80 pesos”. Agregaron que la beca para el señor Jorge Marcial </w:t>
      </w:r>
      <w:proofErr w:type="spellStart"/>
      <w:r w:rsidR="008065F2" w:rsidRPr="005C1789">
        <w:rPr>
          <w:rFonts w:ascii="Verdana" w:hAnsi="Verdana"/>
          <w:sz w:val="20"/>
          <w:szCs w:val="20"/>
        </w:rPr>
        <w:t>Tzompaxtle</w:t>
      </w:r>
      <w:proofErr w:type="spellEnd"/>
      <w:r w:rsidR="008065F2" w:rsidRPr="005C1789">
        <w:rPr>
          <w:rFonts w:ascii="Verdana" w:hAnsi="Verdana"/>
          <w:sz w:val="20"/>
          <w:szCs w:val="20"/>
        </w:rPr>
        <w:t xml:space="preserve"> </w:t>
      </w:r>
      <w:proofErr w:type="spellStart"/>
      <w:r w:rsidR="008065F2" w:rsidRPr="005C1789">
        <w:rPr>
          <w:rFonts w:ascii="Verdana" w:hAnsi="Verdana"/>
          <w:sz w:val="20"/>
          <w:szCs w:val="20"/>
        </w:rPr>
        <w:t>Tecpile</w:t>
      </w:r>
      <w:proofErr w:type="spellEnd"/>
      <w:r w:rsidR="008065F2" w:rsidRPr="005C1789">
        <w:rPr>
          <w:rFonts w:ascii="Verdana" w:hAnsi="Verdana"/>
          <w:sz w:val="20"/>
          <w:szCs w:val="20"/>
        </w:rPr>
        <w:t xml:space="preserve"> “no ha sido determinada ni entregada por el Estado”. La </w:t>
      </w:r>
      <w:r w:rsidR="008065F2" w:rsidRPr="005C1789">
        <w:rPr>
          <w:rFonts w:ascii="Verdana" w:hAnsi="Verdana"/>
          <w:b/>
          <w:i/>
          <w:sz w:val="20"/>
          <w:szCs w:val="20"/>
        </w:rPr>
        <w:t>Comisión</w:t>
      </w:r>
      <w:r w:rsidR="008065F2" w:rsidRPr="005C1789">
        <w:rPr>
          <w:rFonts w:ascii="Verdana" w:hAnsi="Verdana"/>
          <w:sz w:val="20"/>
          <w:szCs w:val="20"/>
        </w:rPr>
        <w:t xml:space="preserve"> </w:t>
      </w:r>
      <w:r w:rsidR="008065F2" w:rsidRPr="005C1789">
        <w:rPr>
          <w:rFonts w:ascii="Verdana" w:hAnsi="Verdana" w:cs="Calibri-Light"/>
          <w:sz w:val="20"/>
          <w:szCs w:val="20"/>
        </w:rPr>
        <w:t>no se refirió específicamente a esta medida</w:t>
      </w:r>
      <w:r w:rsidR="008065F2" w:rsidRPr="005C1789">
        <w:rPr>
          <w:rFonts w:ascii="Verdana" w:hAnsi="Verdana"/>
          <w:sz w:val="20"/>
          <w:szCs w:val="20"/>
        </w:rPr>
        <w:t>.</w:t>
      </w:r>
    </w:p>
    <w:p w14:paraId="2FD16F91" w14:textId="390758EC" w:rsidR="00996809" w:rsidRPr="005C1789" w:rsidRDefault="008065F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w:t>
      </w:r>
      <w:r w:rsidRPr="005C1789">
        <w:rPr>
          <w:rFonts w:ascii="Verdana" w:hAnsi="Verdana"/>
          <w:b/>
          <w:bCs/>
          <w:i/>
          <w:iCs/>
          <w:sz w:val="20"/>
          <w:szCs w:val="20"/>
        </w:rPr>
        <w:t>Estado</w:t>
      </w:r>
      <w:r w:rsidRPr="005C1789">
        <w:rPr>
          <w:rFonts w:ascii="Verdana" w:hAnsi="Verdana"/>
          <w:sz w:val="20"/>
          <w:szCs w:val="20"/>
        </w:rPr>
        <w:t xml:space="preserve"> indicó</w:t>
      </w:r>
      <w:r w:rsidR="000334D5" w:rsidRPr="005C1789">
        <w:rPr>
          <w:rFonts w:ascii="Verdana" w:hAnsi="Verdana"/>
          <w:sz w:val="20"/>
          <w:szCs w:val="20"/>
        </w:rPr>
        <w:t>,</w:t>
      </w:r>
      <w:r w:rsidRPr="005C1789">
        <w:rPr>
          <w:rFonts w:ascii="Verdana" w:hAnsi="Verdana"/>
          <w:sz w:val="20"/>
          <w:szCs w:val="20"/>
        </w:rPr>
        <w:t xml:space="preserve"> </w:t>
      </w:r>
      <w:r w:rsidR="000334D5" w:rsidRPr="005C1789">
        <w:rPr>
          <w:rFonts w:ascii="Verdana" w:hAnsi="Verdana"/>
          <w:sz w:val="20"/>
          <w:szCs w:val="20"/>
        </w:rPr>
        <w:t>con respecto a la beca de David Martínez García, que el pago se efectuó de forma parcial debido al hecho que “las Reglas de Operación del Fideicomiso para el Cumplimiento de Obligaciones en Materia de Derechos Humanos no permiten el pago adelantado por el total de los años de estudio, sino que la beca se paga conforme se va avanzando en los ciclos escolares”</w:t>
      </w:r>
      <w:r w:rsidR="00E40098" w:rsidRPr="005C1789">
        <w:rPr>
          <w:rFonts w:ascii="Verdana" w:hAnsi="Verdana"/>
          <w:sz w:val="20"/>
          <w:szCs w:val="20"/>
        </w:rPr>
        <w:t xml:space="preserve">. En tanto manifestó su voluntad de continuar cumpliendo con su compromiso derivado de la implementación del Acta de Entendimiento, solicitó a la representación el comprobante de inscripción del siguiente periodo escolar, a fin de proceder al pago correspondiente. Por otra parte, </w:t>
      </w:r>
      <w:r w:rsidR="000334D5" w:rsidRPr="005C1789">
        <w:rPr>
          <w:rFonts w:ascii="Verdana" w:hAnsi="Verdana"/>
          <w:sz w:val="20"/>
          <w:szCs w:val="20"/>
        </w:rPr>
        <w:t xml:space="preserve">“derivado de las limitaciones de las Reglas de Operación del Fideicomiso, y a fin de cubrir los años escolares que David </w:t>
      </w:r>
      <w:r w:rsidR="00BC2877" w:rsidRPr="005C1789">
        <w:rPr>
          <w:rFonts w:ascii="Verdana" w:hAnsi="Verdana"/>
          <w:sz w:val="20"/>
          <w:szCs w:val="20"/>
        </w:rPr>
        <w:t>Martínez</w:t>
      </w:r>
      <w:r w:rsidR="000334D5" w:rsidRPr="005C1789">
        <w:rPr>
          <w:rFonts w:ascii="Verdana" w:hAnsi="Verdana"/>
          <w:sz w:val="20"/>
          <w:szCs w:val="20"/>
        </w:rPr>
        <w:t xml:space="preserve"> García ya había cursado previo a la firma del Acta de Entendimiento, el Estado actualmente analiza la viabilidad para que a través de la colaboración de otro mecanismo se pueda cubrir la cantidad de $114,681.60 adicional a lo mencionado por la representación”</w:t>
      </w:r>
      <w:r w:rsidR="00E40098" w:rsidRPr="005C1789">
        <w:rPr>
          <w:rFonts w:ascii="Verdana" w:hAnsi="Verdana"/>
          <w:sz w:val="20"/>
          <w:szCs w:val="20"/>
        </w:rPr>
        <w:t>.</w:t>
      </w:r>
      <w:r w:rsidR="00A676CD" w:rsidRPr="005C1789">
        <w:rPr>
          <w:rFonts w:ascii="Verdana" w:hAnsi="Verdana"/>
          <w:sz w:val="20"/>
          <w:szCs w:val="20"/>
        </w:rPr>
        <w:t xml:space="preserve"> </w:t>
      </w:r>
    </w:p>
    <w:p w14:paraId="0C8F31F7" w14:textId="1D524EFC" w:rsidR="00996809" w:rsidRPr="005C1789" w:rsidRDefault="00A676CD"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el </w:t>
      </w:r>
      <w:r w:rsidR="00586406" w:rsidRPr="005C1789">
        <w:rPr>
          <w:rFonts w:ascii="Verdana" w:hAnsi="Verdana"/>
          <w:sz w:val="20"/>
          <w:szCs w:val="20"/>
        </w:rPr>
        <w:t>A</w:t>
      </w:r>
      <w:r w:rsidRPr="005C1789">
        <w:rPr>
          <w:rFonts w:ascii="Verdana" w:hAnsi="Verdana"/>
          <w:sz w:val="20"/>
          <w:szCs w:val="20"/>
        </w:rPr>
        <w:t xml:space="preserve">cta de </w:t>
      </w:r>
      <w:r w:rsidR="00586406" w:rsidRPr="005C1789">
        <w:rPr>
          <w:rFonts w:ascii="Verdana" w:hAnsi="Verdana"/>
          <w:sz w:val="20"/>
          <w:szCs w:val="20"/>
        </w:rPr>
        <w:t>E</w:t>
      </w:r>
      <w:r w:rsidRPr="005C1789">
        <w:rPr>
          <w:rFonts w:ascii="Verdana" w:hAnsi="Verdana"/>
          <w:sz w:val="20"/>
          <w:szCs w:val="20"/>
        </w:rPr>
        <w:t xml:space="preserve">ntendimiento el Estado se había comprometido a ofrecer </w:t>
      </w:r>
      <w:r w:rsidR="00996809" w:rsidRPr="005C1789">
        <w:rPr>
          <w:rFonts w:ascii="Verdana" w:hAnsi="Verdana"/>
          <w:sz w:val="20"/>
          <w:szCs w:val="20"/>
        </w:rPr>
        <w:t>“u</w:t>
      </w:r>
      <w:r w:rsidRPr="005C1789">
        <w:rPr>
          <w:rFonts w:ascii="Verdana" w:hAnsi="Verdana"/>
          <w:sz w:val="20"/>
          <w:szCs w:val="20"/>
        </w:rPr>
        <w:t>na beca escolar para el hijo del señor Gustavo Robles López, misma que será pagada a través del Fideicomiso para el Cumplimiento de Obligaciones en Materia de Derechos Humanos,</w:t>
      </w:r>
      <w:r w:rsidR="00996809" w:rsidRPr="005C1789">
        <w:rPr>
          <w:rFonts w:ascii="Verdana" w:hAnsi="Verdana"/>
          <w:sz w:val="20"/>
          <w:szCs w:val="20"/>
        </w:rPr>
        <w:t xml:space="preserve"> con base en las Reglas de Operación </w:t>
      </w:r>
      <w:r w:rsidR="00996809" w:rsidRPr="005C1789">
        <w:rPr>
          <w:rFonts w:ascii="Verdana" w:hAnsi="Verdana"/>
          <w:sz w:val="20"/>
          <w:szCs w:val="20"/>
        </w:rPr>
        <w:lastRenderedPageBreak/>
        <w:t xml:space="preserve">de dicho Fideicomiso” y ello “a través de la Unidad para la Defensa de los Derechos Humanos de la Secretaría de Gobernación”. En ese mismo documento se </w:t>
      </w:r>
      <w:r w:rsidR="00357AD0">
        <w:rPr>
          <w:rFonts w:ascii="Verdana" w:hAnsi="Verdana"/>
          <w:sz w:val="20"/>
          <w:szCs w:val="20"/>
        </w:rPr>
        <w:t>estipuló</w:t>
      </w:r>
      <w:r w:rsidR="00996809" w:rsidRPr="005C1789">
        <w:rPr>
          <w:rFonts w:ascii="Verdana" w:hAnsi="Verdana"/>
          <w:sz w:val="20"/>
          <w:szCs w:val="20"/>
        </w:rPr>
        <w:t xml:space="preserve"> que “se creará una subcuenta a su favor, realizándose los pagos de forma anual, una vez que se presenten los documentos que acrediten su </w:t>
      </w:r>
      <w:r w:rsidR="003F4E99" w:rsidRPr="005C1789">
        <w:rPr>
          <w:rFonts w:ascii="Verdana" w:hAnsi="Verdana"/>
          <w:sz w:val="20"/>
          <w:szCs w:val="20"/>
        </w:rPr>
        <w:t>inscripción</w:t>
      </w:r>
      <w:r w:rsidR="00996809" w:rsidRPr="005C1789">
        <w:rPr>
          <w:rFonts w:ascii="Verdana" w:hAnsi="Verdana"/>
          <w:sz w:val="20"/>
          <w:szCs w:val="20"/>
        </w:rPr>
        <w:t xml:space="preserve"> al siguiente ciclo escolar, hasta que concluya sus estudios universitarios. La propuesta económica que se presentará ante el Comité Técnico del Fideicomiso consiste en crear una subcuenta por la cantidad de $344,044.80 pesos. De igual manera, se sigue a la espera de la respuesta</w:t>
      </w:r>
      <w:r w:rsidR="003F2E6A" w:rsidRPr="005C1789">
        <w:rPr>
          <w:rFonts w:ascii="Verdana" w:hAnsi="Verdana"/>
          <w:sz w:val="20"/>
          <w:szCs w:val="20"/>
        </w:rPr>
        <w:t xml:space="preserve"> de</w:t>
      </w:r>
      <w:r w:rsidR="00996809" w:rsidRPr="005C1789">
        <w:rPr>
          <w:rFonts w:ascii="Verdana" w:hAnsi="Verdana"/>
          <w:sz w:val="20"/>
          <w:szCs w:val="20"/>
        </w:rPr>
        <w:t xml:space="preserve"> las autoridades competentes, a fin de poder ofrecer estudio a Jorge Marcial </w:t>
      </w:r>
      <w:proofErr w:type="spellStart"/>
      <w:r w:rsidR="00996809" w:rsidRPr="005C1789">
        <w:rPr>
          <w:rFonts w:ascii="Verdana" w:hAnsi="Verdana"/>
          <w:sz w:val="20"/>
          <w:szCs w:val="20"/>
        </w:rPr>
        <w:t>Tzompaxtle</w:t>
      </w:r>
      <w:proofErr w:type="spellEnd"/>
      <w:r w:rsidR="00996809" w:rsidRPr="005C1789">
        <w:rPr>
          <w:rFonts w:ascii="Verdana" w:hAnsi="Verdana"/>
          <w:sz w:val="20"/>
          <w:szCs w:val="20"/>
        </w:rPr>
        <w:t xml:space="preserve"> </w:t>
      </w:r>
      <w:proofErr w:type="spellStart"/>
      <w:r w:rsidR="00996809" w:rsidRPr="005C1789">
        <w:rPr>
          <w:rFonts w:ascii="Verdana" w:hAnsi="Verdana"/>
          <w:sz w:val="20"/>
          <w:szCs w:val="20"/>
        </w:rPr>
        <w:t>Tecpile</w:t>
      </w:r>
      <w:proofErr w:type="spellEnd"/>
      <w:r w:rsidR="00996809" w:rsidRPr="005C1789">
        <w:rPr>
          <w:rFonts w:ascii="Verdana" w:hAnsi="Verdana"/>
          <w:sz w:val="20"/>
          <w:szCs w:val="20"/>
        </w:rPr>
        <w:t>, quien comenzaría sus estudios de Maestría”.</w:t>
      </w:r>
    </w:p>
    <w:p w14:paraId="03C1ECC3" w14:textId="578E2666" w:rsidR="00E05355" w:rsidRPr="005C1789" w:rsidRDefault="009D2C06"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w:t>
      </w:r>
      <w:r w:rsidRPr="005C1789">
        <w:rPr>
          <w:rFonts w:ascii="Verdana" w:hAnsi="Verdana"/>
          <w:b/>
          <w:bCs/>
          <w:i/>
          <w:iCs/>
          <w:sz w:val="20"/>
          <w:szCs w:val="20"/>
        </w:rPr>
        <w:t>Corte</w:t>
      </w:r>
      <w:r w:rsidRPr="005C1789">
        <w:rPr>
          <w:rFonts w:ascii="Verdana" w:hAnsi="Verdana"/>
          <w:sz w:val="20"/>
          <w:szCs w:val="20"/>
        </w:rPr>
        <w:t xml:space="preserve"> estima necesario ordenar, </w:t>
      </w:r>
      <w:r w:rsidR="00E40098" w:rsidRPr="005C1789">
        <w:rPr>
          <w:rFonts w:ascii="Verdana" w:hAnsi="Verdana"/>
          <w:sz w:val="20"/>
          <w:szCs w:val="20"/>
        </w:rPr>
        <w:t xml:space="preserve">de conformidad </w:t>
      </w:r>
      <w:r w:rsidR="00E05355" w:rsidRPr="005C1789">
        <w:rPr>
          <w:rFonts w:ascii="Verdana" w:hAnsi="Verdana"/>
          <w:sz w:val="20"/>
          <w:szCs w:val="20"/>
        </w:rPr>
        <w:t>con</w:t>
      </w:r>
      <w:r w:rsidR="00E40098" w:rsidRPr="005C1789">
        <w:rPr>
          <w:rFonts w:ascii="Verdana" w:hAnsi="Verdana"/>
          <w:sz w:val="20"/>
          <w:szCs w:val="20"/>
        </w:rPr>
        <w:t xml:space="preserve"> lo acordado entre las partes en el Acta de Entendimiento</w:t>
      </w:r>
      <w:r w:rsidR="0063312B" w:rsidRPr="005C1789">
        <w:rPr>
          <w:rFonts w:ascii="Verdana" w:hAnsi="Verdana"/>
          <w:sz w:val="20"/>
          <w:szCs w:val="20"/>
        </w:rPr>
        <w:t xml:space="preserve">, </w:t>
      </w:r>
      <w:r w:rsidR="001A3C68">
        <w:rPr>
          <w:rFonts w:ascii="Verdana" w:hAnsi="Verdana"/>
          <w:sz w:val="20"/>
          <w:szCs w:val="20"/>
        </w:rPr>
        <w:t xml:space="preserve">una </w:t>
      </w:r>
      <w:r w:rsidR="0063312B" w:rsidRPr="005C1789">
        <w:rPr>
          <w:rFonts w:ascii="Verdana" w:hAnsi="Verdana"/>
          <w:sz w:val="20"/>
          <w:szCs w:val="20"/>
        </w:rPr>
        <w:t xml:space="preserve">beca escolar para el hijo del señor Gustavo Robles López y otra beca a favor de Jorge Marcial </w:t>
      </w:r>
      <w:proofErr w:type="spellStart"/>
      <w:r w:rsidR="0063312B" w:rsidRPr="005C1789">
        <w:rPr>
          <w:rFonts w:ascii="Verdana" w:hAnsi="Verdana"/>
          <w:sz w:val="20"/>
          <w:szCs w:val="20"/>
        </w:rPr>
        <w:t>Tzompaxtle</w:t>
      </w:r>
      <w:proofErr w:type="spellEnd"/>
      <w:r w:rsidR="0063312B" w:rsidRPr="005C1789">
        <w:rPr>
          <w:rFonts w:ascii="Verdana" w:hAnsi="Verdana"/>
          <w:sz w:val="20"/>
          <w:szCs w:val="20"/>
        </w:rPr>
        <w:t xml:space="preserve"> </w:t>
      </w:r>
      <w:proofErr w:type="spellStart"/>
      <w:r w:rsidR="0063312B" w:rsidRPr="005C1789">
        <w:rPr>
          <w:rFonts w:ascii="Verdana" w:hAnsi="Verdana"/>
          <w:sz w:val="20"/>
          <w:szCs w:val="20"/>
        </w:rPr>
        <w:t>Tecpile</w:t>
      </w:r>
      <w:proofErr w:type="spellEnd"/>
      <w:r w:rsidR="0063312B" w:rsidRPr="005C1789">
        <w:rPr>
          <w:rFonts w:ascii="Verdana" w:hAnsi="Verdana"/>
          <w:sz w:val="20"/>
          <w:szCs w:val="20"/>
        </w:rPr>
        <w:t xml:space="preserve"> para que curse sus estudios de M</w:t>
      </w:r>
      <w:r w:rsidR="005E3B31" w:rsidRPr="005C1789">
        <w:rPr>
          <w:rFonts w:ascii="Verdana" w:hAnsi="Verdana"/>
          <w:sz w:val="20"/>
          <w:szCs w:val="20"/>
        </w:rPr>
        <w:t>aestría</w:t>
      </w:r>
      <w:r w:rsidR="0063312B" w:rsidRPr="005C1789">
        <w:rPr>
          <w:rFonts w:ascii="Verdana" w:hAnsi="Verdana"/>
          <w:sz w:val="20"/>
          <w:szCs w:val="20"/>
        </w:rPr>
        <w:t xml:space="preserve">. </w:t>
      </w:r>
      <w:r w:rsidR="001915D5" w:rsidRPr="005C1789">
        <w:rPr>
          <w:rFonts w:ascii="Verdana" w:hAnsi="Verdana"/>
          <w:sz w:val="20"/>
          <w:szCs w:val="20"/>
        </w:rPr>
        <w:t xml:space="preserve">Las mismas se implementarán de conformidad con lo establecido </w:t>
      </w:r>
      <w:r w:rsidR="0063312B" w:rsidRPr="005C1789">
        <w:rPr>
          <w:rFonts w:ascii="Verdana" w:hAnsi="Verdana"/>
          <w:sz w:val="20"/>
          <w:szCs w:val="20"/>
        </w:rPr>
        <w:t>en el Acta de Entendimiento</w:t>
      </w:r>
      <w:r w:rsidR="001915D5" w:rsidRPr="005C1789">
        <w:rPr>
          <w:rFonts w:ascii="Verdana" w:hAnsi="Verdana"/>
          <w:sz w:val="20"/>
          <w:szCs w:val="20"/>
        </w:rPr>
        <w:t>. La</w:t>
      </w:r>
      <w:r w:rsidR="0063312B" w:rsidRPr="005C1789">
        <w:rPr>
          <w:rFonts w:ascii="Verdana" w:hAnsi="Verdana"/>
          <w:sz w:val="20"/>
          <w:szCs w:val="20"/>
        </w:rPr>
        <w:t xml:space="preserve"> beca</w:t>
      </w:r>
      <w:r w:rsidR="001915D5" w:rsidRPr="005C1789">
        <w:rPr>
          <w:rFonts w:ascii="Verdana" w:hAnsi="Verdana"/>
          <w:sz w:val="20"/>
          <w:szCs w:val="20"/>
        </w:rPr>
        <w:t xml:space="preserve"> </w:t>
      </w:r>
      <w:r w:rsidR="001A3C68">
        <w:rPr>
          <w:rFonts w:ascii="Verdana" w:hAnsi="Verdana"/>
          <w:sz w:val="20"/>
          <w:szCs w:val="20"/>
        </w:rPr>
        <w:t>que corresponde a</w:t>
      </w:r>
      <w:r w:rsidR="004736EA">
        <w:rPr>
          <w:rFonts w:ascii="Verdana" w:hAnsi="Verdana"/>
          <w:sz w:val="20"/>
          <w:szCs w:val="20"/>
        </w:rPr>
        <w:t>l</w:t>
      </w:r>
      <w:r w:rsidR="001915D5" w:rsidRPr="005C1789">
        <w:rPr>
          <w:rFonts w:ascii="Verdana" w:hAnsi="Verdana"/>
          <w:sz w:val="20"/>
          <w:szCs w:val="20"/>
        </w:rPr>
        <w:t xml:space="preserve"> hijo del señor Gustavo Robles López</w:t>
      </w:r>
      <w:r w:rsidR="0063312B" w:rsidRPr="005C1789">
        <w:rPr>
          <w:rFonts w:ascii="Verdana" w:hAnsi="Verdana"/>
          <w:sz w:val="20"/>
          <w:szCs w:val="20"/>
        </w:rPr>
        <w:t xml:space="preserve"> se </w:t>
      </w:r>
      <w:r w:rsidR="00264F68" w:rsidRPr="005C1789">
        <w:rPr>
          <w:rFonts w:ascii="Verdana" w:hAnsi="Verdana"/>
          <w:sz w:val="20"/>
          <w:szCs w:val="20"/>
        </w:rPr>
        <w:t>ejecu</w:t>
      </w:r>
      <w:r w:rsidR="001823F6" w:rsidRPr="005C1789">
        <w:rPr>
          <w:rFonts w:ascii="Verdana" w:hAnsi="Verdana"/>
          <w:sz w:val="20"/>
          <w:szCs w:val="20"/>
        </w:rPr>
        <w:t>t</w:t>
      </w:r>
      <w:r w:rsidR="00264F68" w:rsidRPr="005C1789">
        <w:rPr>
          <w:rFonts w:ascii="Verdana" w:hAnsi="Verdana"/>
          <w:sz w:val="20"/>
          <w:szCs w:val="20"/>
        </w:rPr>
        <w:t xml:space="preserve">ará </w:t>
      </w:r>
      <w:r w:rsidR="0063312B" w:rsidRPr="005C1789">
        <w:rPr>
          <w:rFonts w:ascii="Verdana" w:hAnsi="Verdana"/>
          <w:sz w:val="20"/>
          <w:szCs w:val="20"/>
        </w:rPr>
        <w:t xml:space="preserve">a través de la Unidad para la Defensa de los Derechos Humanos de la Secretaría de Gobernación, </w:t>
      </w:r>
      <w:r w:rsidR="001915D5" w:rsidRPr="005C1789">
        <w:rPr>
          <w:rFonts w:ascii="Verdana" w:hAnsi="Verdana"/>
          <w:sz w:val="20"/>
          <w:szCs w:val="20"/>
        </w:rPr>
        <w:t xml:space="preserve">quien </w:t>
      </w:r>
      <w:r w:rsidR="0063312B" w:rsidRPr="005C1789">
        <w:rPr>
          <w:rFonts w:ascii="Verdana" w:hAnsi="Verdana"/>
          <w:sz w:val="20"/>
          <w:szCs w:val="20"/>
        </w:rPr>
        <w:t xml:space="preserve">ofrecerá </w:t>
      </w:r>
      <w:r w:rsidR="001915D5" w:rsidRPr="005C1789">
        <w:rPr>
          <w:rFonts w:ascii="Verdana" w:hAnsi="Verdana"/>
          <w:sz w:val="20"/>
          <w:szCs w:val="20"/>
        </w:rPr>
        <w:t>una</w:t>
      </w:r>
      <w:r w:rsidR="0063312B" w:rsidRPr="005C1789">
        <w:rPr>
          <w:rFonts w:ascii="Verdana" w:hAnsi="Verdana"/>
          <w:sz w:val="20"/>
          <w:szCs w:val="20"/>
        </w:rPr>
        <w:t xml:space="preserve"> beca escolar </w:t>
      </w:r>
      <w:r w:rsidR="001915D5" w:rsidRPr="005C1789">
        <w:rPr>
          <w:rFonts w:ascii="Verdana" w:hAnsi="Verdana"/>
          <w:sz w:val="20"/>
          <w:szCs w:val="20"/>
        </w:rPr>
        <w:t>“</w:t>
      </w:r>
      <w:r w:rsidR="0063312B" w:rsidRPr="005C1789">
        <w:rPr>
          <w:rFonts w:ascii="Verdana" w:hAnsi="Verdana"/>
          <w:sz w:val="20"/>
          <w:szCs w:val="20"/>
        </w:rPr>
        <w:t>que será pagada a través del Fideicomiso para el cumplimiento de las obligaciones en materia de derechos humanos con base en las reglas de operaciones de dicho Fideicomiso</w:t>
      </w:r>
      <w:r w:rsidR="001915D5" w:rsidRPr="005C1789">
        <w:rPr>
          <w:rFonts w:ascii="Verdana" w:hAnsi="Verdana"/>
          <w:sz w:val="20"/>
          <w:szCs w:val="20"/>
        </w:rPr>
        <w:t xml:space="preserve">”. </w:t>
      </w:r>
      <w:r w:rsidR="00E05355" w:rsidRPr="005C1789">
        <w:rPr>
          <w:rFonts w:ascii="Verdana" w:hAnsi="Verdana"/>
          <w:sz w:val="20"/>
          <w:szCs w:val="20"/>
        </w:rPr>
        <w:t>Del mismo modo, para esos efectos, “se creará una subcuenta a su favor realizándose los pagos de forma anual, una vez que se presenten los documentos que acrediten su inscripción al siguiente ciclo escolar, hasta que concluya sus estudios universitarios”. El documento menciona que la “propuesta económica que se presentará ante el Comité Técnico del Fideicomiso consiste en crear una subcuenta por la cantidad de $344,044.80 pesos”.</w:t>
      </w:r>
    </w:p>
    <w:p w14:paraId="63934A6D" w14:textId="7C141C2F" w:rsidR="00E05355" w:rsidRPr="005C1789" w:rsidRDefault="00E05355"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cuanto a la beca del señor </w:t>
      </w:r>
      <w:proofErr w:type="spellStart"/>
      <w:r w:rsidRPr="005C1789">
        <w:rPr>
          <w:rFonts w:ascii="Verdana" w:hAnsi="Verdana"/>
          <w:sz w:val="20"/>
          <w:szCs w:val="20"/>
        </w:rPr>
        <w:t>Tzomplaxtle</w:t>
      </w:r>
      <w:proofErr w:type="spellEnd"/>
      <w:r w:rsidRPr="005C1789">
        <w:rPr>
          <w:rFonts w:ascii="Verdana" w:hAnsi="Verdana"/>
          <w:sz w:val="20"/>
          <w:szCs w:val="20"/>
        </w:rPr>
        <w:t xml:space="preserve">, </w:t>
      </w:r>
      <w:r w:rsidR="0009460D" w:rsidRPr="005C1789">
        <w:rPr>
          <w:rFonts w:ascii="Verdana" w:hAnsi="Verdana"/>
          <w:sz w:val="20"/>
          <w:szCs w:val="20"/>
        </w:rPr>
        <w:t xml:space="preserve">esta Corte otorga un plazo de 6 meses contados desde la notificación de la presente sentencia, para que el señor Jorge </w:t>
      </w:r>
      <w:proofErr w:type="spellStart"/>
      <w:r w:rsidR="0009460D" w:rsidRPr="005C1789">
        <w:rPr>
          <w:rFonts w:ascii="Verdana" w:hAnsi="Verdana"/>
          <w:sz w:val="20"/>
          <w:szCs w:val="20"/>
        </w:rPr>
        <w:t>Tzomplaxtle</w:t>
      </w:r>
      <w:proofErr w:type="spellEnd"/>
      <w:r w:rsidR="0009460D" w:rsidRPr="005C1789">
        <w:rPr>
          <w:rFonts w:ascii="Verdana" w:hAnsi="Verdana"/>
          <w:sz w:val="20"/>
          <w:szCs w:val="20"/>
        </w:rPr>
        <w:t xml:space="preserve"> informe sobre el programa de estudios de maestría que desea llevar a cabo. Una vez recibida tal información, el Estado contará con el plazo de un año para otorgar la referida beca.</w:t>
      </w:r>
    </w:p>
    <w:p w14:paraId="42955565" w14:textId="6BF92B16" w:rsidR="00882ABF" w:rsidRPr="005C1789" w:rsidRDefault="000A52F2" w:rsidP="00955888">
      <w:pPr>
        <w:pStyle w:val="Ttulo3"/>
        <w:spacing w:before="240" w:after="240"/>
        <w:ind w:left="567"/>
        <w:jc w:val="both"/>
        <w:rPr>
          <w:rFonts w:ascii="Verdana" w:hAnsi="Verdana"/>
          <w:i w:val="0"/>
          <w:snapToGrid w:val="0"/>
          <w:spacing w:val="-2"/>
          <w:sz w:val="20"/>
          <w:szCs w:val="20"/>
          <w:lang w:eastAsia="es-ES"/>
        </w:rPr>
      </w:pPr>
      <w:bookmarkStart w:id="148" w:name="_Toc123347562"/>
      <w:r w:rsidRPr="005C1789">
        <w:rPr>
          <w:rFonts w:ascii="Verdana" w:hAnsi="Verdana"/>
          <w:b w:val="0"/>
          <w:snapToGrid w:val="0"/>
          <w:spacing w:val="-2"/>
          <w:sz w:val="20"/>
          <w:szCs w:val="20"/>
          <w:lang w:eastAsia="es-ES"/>
        </w:rPr>
        <w:t xml:space="preserve">C.4 </w:t>
      </w:r>
      <w:r w:rsidR="00882ABF" w:rsidRPr="005C1789">
        <w:rPr>
          <w:rFonts w:ascii="Verdana" w:hAnsi="Verdana"/>
          <w:b w:val="0"/>
          <w:snapToGrid w:val="0"/>
          <w:spacing w:val="-2"/>
          <w:sz w:val="20"/>
          <w:szCs w:val="20"/>
          <w:lang w:eastAsia="es-ES"/>
        </w:rPr>
        <w:t>Proyectos productivos</w:t>
      </w:r>
      <w:bookmarkEnd w:id="148"/>
    </w:p>
    <w:p w14:paraId="363DF640" w14:textId="7BCCABC1" w:rsidR="006E534A" w:rsidRPr="005C1789" w:rsidRDefault="00882ABF"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006E534A" w:rsidRPr="005C1789">
        <w:rPr>
          <w:rFonts w:ascii="Verdana" w:hAnsi="Verdana"/>
          <w:b/>
          <w:i/>
          <w:sz w:val="20"/>
          <w:szCs w:val="20"/>
        </w:rPr>
        <w:t xml:space="preserve"> </w:t>
      </w:r>
      <w:r w:rsidR="006E534A" w:rsidRPr="005C1789">
        <w:rPr>
          <w:rFonts w:ascii="Verdana" w:hAnsi="Verdana"/>
          <w:sz w:val="20"/>
          <w:szCs w:val="20"/>
        </w:rPr>
        <w:t xml:space="preserve">alegaron que con motivo de los hechos del presente caso, los señores </w:t>
      </w:r>
      <w:proofErr w:type="spellStart"/>
      <w:r w:rsidR="006E534A" w:rsidRPr="005C1789">
        <w:rPr>
          <w:rFonts w:ascii="Verdana" w:hAnsi="Verdana"/>
          <w:sz w:val="20"/>
          <w:szCs w:val="20"/>
        </w:rPr>
        <w:t>Tzompaxtle</w:t>
      </w:r>
      <w:proofErr w:type="spellEnd"/>
      <w:r w:rsidR="006E534A" w:rsidRPr="005C1789">
        <w:rPr>
          <w:rFonts w:ascii="Verdana" w:hAnsi="Verdana"/>
          <w:sz w:val="20"/>
          <w:szCs w:val="20"/>
        </w:rPr>
        <w:t xml:space="preserve"> </w:t>
      </w:r>
      <w:proofErr w:type="spellStart"/>
      <w:r w:rsidR="006E534A" w:rsidRPr="005C1789">
        <w:rPr>
          <w:rFonts w:ascii="Verdana" w:hAnsi="Verdana"/>
          <w:sz w:val="20"/>
          <w:szCs w:val="20"/>
        </w:rPr>
        <w:t>Tecpile</w:t>
      </w:r>
      <w:proofErr w:type="spellEnd"/>
      <w:r w:rsidR="006E534A" w:rsidRPr="005C1789">
        <w:rPr>
          <w:rFonts w:ascii="Verdana" w:hAnsi="Verdana"/>
          <w:sz w:val="20"/>
          <w:szCs w:val="20"/>
        </w:rPr>
        <w:t xml:space="preserve"> y el señor Gustavo Robles López, así como su familia directa, “han tenido dificultad para desarrollar actividades económicas productivas tanto por los recursos gastados en la defensa de las víctimas como por los efectos de la estigmatización por las falsas acusaciones sostenidas por el Estado y el temor de ser nuevamente sometidos a detención arbitraria o a otras violaciones de derechos humanos”. Sostuvieron que una “medida de reparación adecuada consiste en la dación por parte del Estado de capital suficiente para que inicien proyectos productivos propios”. Agregaron que los señores </w:t>
      </w:r>
      <w:proofErr w:type="spellStart"/>
      <w:r w:rsidR="006E534A" w:rsidRPr="005C1789">
        <w:rPr>
          <w:rFonts w:ascii="Verdana" w:hAnsi="Verdana"/>
          <w:sz w:val="20"/>
          <w:szCs w:val="20"/>
        </w:rPr>
        <w:t>Tzompaxtle</w:t>
      </w:r>
      <w:proofErr w:type="spellEnd"/>
      <w:r w:rsidR="006E534A" w:rsidRPr="005C1789">
        <w:rPr>
          <w:rFonts w:ascii="Verdana" w:hAnsi="Verdana"/>
          <w:sz w:val="20"/>
          <w:szCs w:val="20"/>
        </w:rPr>
        <w:t xml:space="preserve"> </w:t>
      </w:r>
      <w:proofErr w:type="spellStart"/>
      <w:r w:rsidR="006E534A" w:rsidRPr="005C1789">
        <w:rPr>
          <w:rFonts w:ascii="Verdana" w:hAnsi="Verdana"/>
          <w:sz w:val="20"/>
          <w:szCs w:val="20"/>
        </w:rPr>
        <w:t>Tecpile</w:t>
      </w:r>
      <w:proofErr w:type="spellEnd"/>
      <w:r w:rsidR="006E534A" w:rsidRPr="005C1789">
        <w:rPr>
          <w:rFonts w:ascii="Verdana" w:hAnsi="Verdana"/>
          <w:sz w:val="20"/>
          <w:szCs w:val="20"/>
        </w:rPr>
        <w:t xml:space="preserve"> han desarrollado una propuesta de proyecto de producción de lech</w:t>
      </w:r>
      <w:r w:rsidR="00C31B4F" w:rsidRPr="005C1789">
        <w:rPr>
          <w:rFonts w:ascii="Verdana" w:hAnsi="Verdana"/>
          <w:sz w:val="20"/>
          <w:szCs w:val="20"/>
        </w:rPr>
        <w:t>e</w:t>
      </w:r>
      <w:r w:rsidR="006E534A" w:rsidRPr="005C1789">
        <w:rPr>
          <w:rFonts w:ascii="Verdana" w:hAnsi="Verdana"/>
          <w:sz w:val="20"/>
          <w:szCs w:val="20"/>
        </w:rPr>
        <w:t xml:space="preserve"> bovina que solicitan sea considerada en esta medida de reparación. Agregaron que “el monto que por este concepto se solicita al Estado es de $434,100 pesos mexicanos”. Asimismo, solicitaron que se disponga, “en equidad, de un monto igual para que </w:t>
      </w:r>
      <w:proofErr w:type="spellStart"/>
      <w:r w:rsidR="006E534A" w:rsidRPr="005C1789">
        <w:rPr>
          <w:rFonts w:ascii="Verdana" w:hAnsi="Verdana"/>
          <w:sz w:val="20"/>
          <w:szCs w:val="20"/>
        </w:rPr>
        <w:t>Anacely</w:t>
      </w:r>
      <w:proofErr w:type="spellEnd"/>
      <w:r w:rsidR="006E534A" w:rsidRPr="005C1789">
        <w:rPr>
          <w:rFonts w:ascii="Verdana" w:hAnsi="Verdana"/>
          <w:sz w:val="20"/>
          <w:szCs w:val="20"/>
        </w:rPr>
        <w:t xml:space="preserve"> Martínez García y David Martínez García, derechohabientes de Gustavo Robles López, desarrollen su propio proyecto productivo según sus propias condiciones y planes de vida”. La </w:t>
      </w:r>
      <w:r w:rsidR="006E534A" w:rsidRPr="005C1789">
        <w:rPr>
          <w:rFonts w:ascii="Verdana" w:hAnsi="Verdana"/>
          <w:b/>
          <w:i/>
          <w:sz w:val="20"/>
          <w:szCs w:val="20"/>
        </w:rPr>
        <w:t>Comisión</w:t>
      </w:r>
      <w:r w:rsidR="006E534A" w:rsidRPr="005C1789">
        <w:rPr>
          <w:rFonts w:ascii="Verdana" w:hAnsi="Verdana"/>
          <w:sz w:val="20"/>
          <w:szCs w:val="20"/>
        </w:rPr>
        <w:t xml:space="preserve"> </w:t>
      </w:r>
      <w:r w:rsidR="006E534A" w:rsidRPr="005C1789">
        <w:rPr>
          <w:rFonts w:ascii="Verdana" w:hAnsi="Verdana" w:cs="Calibri-Light"/>
          <w:sz w:val="20"/>
          <w:szCs w:val="20"/>
        </w:rPr>
        <w:t>no se refirió específicamente a esta medida</w:t>
      </w:r>
      <w:r w:rsidR="006E534A" w:rsidRPr="005C1789">
        <w:rPr>
          <w:rFonts w:ascii="Verdana" w:hAnsi="Verdana"/>
          <w:sz w:val="20"/>
          <w:szCs w:val="20"/>
        </w:rPr>
        <w:t>.</w:t>
      </w:r>
    </w:p>
    <w:p w14:paraId="7C134C34" w14:textId="1BB0A23E" w:rsidR="006E534A" w:rsidRPr="005C1789" w:rsidRDefault="006E534A"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Sobre esta medida, el </w:t>
      </w:r>
      <w:r w:rsidRPr="005C1789">
        <w:rPr>
          <w:rFonts w:ascii="Verdana" w:hAnsi="Verdana"/>
          <w:b/>
          <w:bCs/>
          <w:i/>
          <w:iCs/>
          <w:sz w:val="20"/>
          <w:szCs w:val="20"/>
        </w:rPr>
        <w:t>Estado</w:t>
      </w:r>
      <w:r w:rsidRPr="005C1789">
        <w:rPr>
          <w:rFonts w:ascii="Verdana" w:hAnsi="Verdana"/>
          <w:sz w:val="20"/>
          <w:szCs w:val="20"/>
        </w:rPr>
        <w:t xml:space="preserve"> indicó que reiteró su disposición </w:t>
      </w:r>
      <w:r w:rsidR="002A01B7" w:rsidRPr="005C1789">
        <w:rPr>
          <w:rFonts w:ascii="Verdana" w:hAnsi="Verdana"/>
          <w:sz w:val="20"/>
          <w:szCs w:val="20"/>
        </w:rPr>
        <w:t>“</w:t>
      </w:r>
      <w:r w:rsidRPr="005C1789">
        <w:rPr>
          <w:rFonts w:ascii="Verdana" w:hAnsi="Verdana"/>
          <w:sz w:val="20"/>
          <w:szCs w:val="20"/>
        </w:rPr>
        <w:t>de continuar cumpliendo con su compromiso derivado de la implementación del Acta de Entendimiento</w:t>
      </w:r>
      <w:r w:rsidR="002A01B7" w:rsidRPr="005C1789">
        <w:rPr>
          <w:rFonts w:ascii="Verdana" w:hAnsi="Verdana"/>
          <w:sz w:val="20"/>
          <w:szCs w:val="20"/>
        </w:rPr>
        <w:t>”</w:t>
      </w:r>
      <w:r w:rsidRPr="005C1789">
        <w:rPr>
          <w:rFonts w:ascii="Verdana" w:hAnsi="Verdana"/>
          <w:sz w:val="20"/>
          <w:szCs w:val="20"/>
        </w:rPr>
        <w:t>, para lo cual solicit</w:t>
      </w:r>
      <w:r w:rsidR="002A01B7" w:rsidRPr="005C1789">
        <w:rPr>
          <w:rFonts w:ascii="Verdana" w:hAnsi="Verdana"/>
          <w:sz w:val="20"/>
          <w:szCs w:val="20"/>
        </w:rPr>
        <w:t>ó</w:t>
      </w:r>
      <w:r w:rsidRPr="005C1789">
        <w:rPr>
          <w:rFonts w:ascii="Verdana" w:hAnsi="Verdana"/>
          <w:sz w:val="20"/>
          <w:szCs w:val="20"/>
        </w:rPr>
        <w:t xml:space="preserve"> a la</w:t>
      </w:r>
      <w:r w:rsidR="002A01B7" w:rsidRPr="005C1789">
        <w:rPr>
          <w:rFonts w:ascii="Verdana" w:hAnsi="Verdana"/>
          <w:sz w:val="20"/>
          <w:szCs w:val="20"/>
        </w:rPr>
        <w:t xml:space="preserve"> </w:t>
      </w:r>
      <w:r w:rsidRPr="005C1789">
        <w:rPr>
          <w:rFonts w:ascii="Verdana" w:hAnsi="Verdana"/>
          <w:sz w:val="20"/>
          <w:szCs w:val="20"/>
        </w:rPr>
        <w:t xml:space="preserve">representación </w:t>
      </w:r>
      <w:r w:rsidR="002A01B7" w:rsidRPr="005C1789">
        <w:rPr>
          <w:rFonts w:ascii="Verdana" w:hAnsi="Verdana"/>
          <w:sz w:val="20"/>
          <w:szCs w:val="20"/>
        </w:rPr>
        <w:t>de las víctimas “</w:t>
      </w:r>
      <w:r w:rsidRPr="005C1789">
        <w:rPr>
          <w:rFonts w:ascii="Verdana" w:hAnsi="Verdana"/>
          <w:sz w:val="20"/>
          <w:szCs w:val="20"/>
        </w:rPr>
        <w:t>reanudar el diálogo a fin de analizar estas propuestas, para así</w:t>
      </w:r>
      <w:r w:rsidR="002A01B7" w:rsidRPr="005C1789">
        <w:rPr>
          <w:rFonts w:ascii="Verdana" w:hAnsi="Verdana"/>
          <w:sz w:val="20"/>
          <w:szCs w:val="20"/>
        </w:rPr>
        <w:t xml:space="preserve"> p</w:t>
      </w:r>
      <w:r w:rsidRPr="005C1789">
        <w:rPr>
          <w:rFonts w:ascii="Verdana" w:hAnsi="Verdana"/>
          <w:sz w:val="20"/>
          <w:szCs w:val="20"/>
        </w:rPr>
        <w:t>roponer una lista de programas y proyectos productivos que ofrece el Estado, a</w:t>
      </w:r>
      <w:r w:rsidR="002A01B7" w:rsidRPr="005C1789">
        <w:rPr>
          <w:rFonts w:ascii="Verdana" w:hAnsi="Verdana"/>
          <w:sz w:val="20"/>
          <w:szCs w:val="20"/>
        </w:rPr>
        <w:t xml:space="preserve"> </w:t>
      </w:r>
      <w:r w:rsidRPr="005C1789">
        <w:rPr>
          <w:rFonts w:ascii="Verdana" w:hAnsi="Verdana"/>
          <w:sz w:val="20"/>
          <w:szCs w:val="20"/>
        </w:rPr>
        <w:t>efecto de que la representación realice una valoración sobre la pertinencia y</w:t>
      </w:r>
      <w:r w:rsidR="002A01B7" w:rsidRPr="005C1789">
        <w:rPr>
          <w:rFonts w:ascii="Verdana" w:hAnsi="Verdana"/>
          <w:sz w:val="20"/>
          <w:szCs w:val="20"/>
        </w:rPr>
        <w:t xml:space="preserve"> </w:t>
      </w:r>
      <w:r w:rsidRPr="005C1789">
        <w:rPr>
          <w:rFonts w:ascii="Verdana" w:hAnsi="Verdana"/>
          <w:sz w:val="20"/>
          <w:szCs w:val="20"/>
        </w:rPr>
        <w:t>utilidad de dichos proyectos y programas</w:t>
      </w:r>
      <w:r w:rsidR="002A01B7" w:rsidRPr="005C1789">
        <w:rPr>
          <w:rFonts w:ascii="Verdana" w:hAnsi="Verdana"/>
          <w:sz w:val="20"/>
          <w:szCs w:val="20"/>
        </w:rPr>
        <w:t>”.</w:t>
      </w:r>
    </w:p>
    <w:p w14:paraId="0EF40CE5" w14:textId="2DD40E8C" w:rsidR="002A01B7" w:rsidRPr="005C1789" w:rsidRDefault="002A01B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En cuanto a esta solicitud, la </w:t>
      </w:r>
      <w:r w:rsidRPr="005C1789">
        <w:rPr>
          <w:rFonts w:ascii="Verdana" w:hAnsi="Verdana"/>
          <w:b/>
          <w:bCs/>
          <w:i/>
          <w:iCs/>
          <w:sz w:val="20"/>
          <w:szCs w:val="20"/>
        </w:rPr>
        <w:t>Corte</w:t>
      </w:r>
      <w:r w:rsidRPr="005C1789">
        <w:rPr>
          <w:rFonts w:ascii="Verdana" w:hAnsi="Verdana"/>
          <w:sz w:val="20"/>
          <w:szCs w:val="20"/>
        </w:rPr>
        <w:t xml:space="preserve"> advierte que el Acta de Entendimiento estipula que “a fin de complementar las medidas de indemnización, se pondrá a consideración de las víctimas el otorgamiento de proyectos productivos, a través de los programas que ofrece el Estado mexicano, por lo que se pondrá a su disposición la lista de programas y proyectos productivos que ofrece el Estado, a fin de que realicen una valoración sobre la pertinencia y utilidad de dichos proyectos y programas”.</w:t>
      </w:r>
    </w:p>
    <w:p w14:paraId="1D7F9D8E" w14:textId="2CD82A75" w:rsidR="001F6CF8" w:rsidRPr="005C1789" w:rsidRDefault="002A01B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lastRenderedPageBreak/>
        <w:t xml:space="preserve">El </w:t>
      </w:r>
      <w:r w:rsidRPr="005C1789">
        <w:rPr>
          <w:rFonts w:ascii="Verdana" w:hAnsi="Verdana"/>
          <w:b/>
          <w:bCs/>
          <w:i/>
          <w:iCs/>
          <w:sz w:val="20"/>
          <w:szCs w:val="20"/>
        </w:rPr>
        <w:t>Tribunal</w:t>
      </w:r>
      <w:r w:rsidRPr="005C1789">
        <w:rPr>
          <w:rFonts w:ascii="Verdana" w:hAnsi="Verdana"/>
          <w:sz w:val="20"/>
          <w:szCs w:val="20"/>
        </w:rPr>
        <w:t xml:space="preserve"> estima </w:t>
      </w:r>
      <w:proofErr w:type="gramStart"/>
      <w:r w:rsidRPr="005C1789">
        <w:rPr>
          <w:rFonts w:ascii="Verdana" w:hAnsi="Verdana"/>
          <w:sz w:val="20"/>
          <w:szCs w:val="20"/>
        </w:rPr>
        <w:t>que</w:t>
      </w:r>
      <w:proofErr w:type="gramEnd"/>
      <w:r w:rsidRPr="005C1789">
        <w:rPr>
          <w:rFonts w:ascii="Verdana" w:hAnsi="Verdana"/>
          <w:sz w:val="20"/>
          <w:szCs w:val="20"/>
        </w:rPr>
        <w:t xml:space="preserve"> de acuerdo con lo anterior, el Estado deberá otorgar la suma de</w:t>
      </w:r>
      <w:r w:rsidR="00023E34" w:rsidRPr="005C1789">
        <w:rPr>
          <w:rFonts w:ascii="Verdana" w:hAnsi="Verdana"/>
          <w:sz w:val="20"/>
          <w:szCs w:val="20"/>
        </w:rPr>
        <w:t xml:space="preserve"> </w:t>
      </w:r>
      <w:r w:rsidRPr="005C1789">
        <w:rPr>
          <w:rFonts w:ascii="Verdana" w:hAnsi="Verdana"/>
          <w:sz w:val="20"/>
          <w:szCs w:val="20"/>
        </w:rPr>
        <w:t xml:space="preserve">$434,100 pesos mexicanos para que Jorge y Gerardo </w:t>
      </w:r>
      <w:proofErr w:type="spellStart"/>
      <w:r w:rsidRPr="005C1789">
        <w:rPr>
          <w:rFonts w:ascii="Verdana" w:hAnsi="Verdana"/>
          <w:sz w:val="20"/>
          <w:szCs w:val="20"/>
        </w:rPr>
        <w:t>Tzomplaxtle</w:t>
      </w:r>
      <w:proofErr w:type="spellEnd"/>
      <w:r w:rsidRPr="005C1789">
        <w:rPr>
          <w:rFonts w:ascii="Verdana" w:hAnsi="Verdana"/>
          <w:sz w:val="20"/>
          <w:szCs w:val="20"/>
        </w:rPr>
        <w:t xml:space="preserve"> puedan llevar a cabo </w:t>
      </w:r>
      <w:r w:rsidR="001F6CF8" w:rsidRPr="005C1789">
        <w:rPr>
          <w:rFonts w:ascii="Verdana" w:hAnsi="Verdana"/>
          <w:sz w:val="20"/>
          <w:szCs w:val="20"/>
        </w:rPr>
        <w:t>el proyecto produc</w:t>
      </w:r>
      <w:r w:rsidR="004736EA">
        <w:rPr>
          <w:rFonts w:ascii="Verdana" w:hAnsi="Verdana"/>
          <w:sz w:val="20"/>
          <w:szCs w:val="20"/>
        </w:rPr>
        <w:t>tivo</w:t>
      </w:r>
      <w:r w:rsidR="001F6CF8" w:rsidRPr="005C1789">
        <w:rPr>
          <w:rFonts w:ascii="Verdana" w:hAnsi="Verdana"/>
          <w:sz w:val="20"/>
          <w:szCs w:val="20"/>
        </w:rPr>
        <w:t xml:space="preserve"> </w:t>
      </w:r>
      <w:r w:rsidR="00264F68" w:rsidRPr="005C1789">
        <w:rPr>
          <w:rFonts w:ascii="Verdana" w:hAnsi="Verdana"/>
          <w:sz w:val="20"/>
          <w:szCs w:val="20"/>
        </w:rPr>
        <w:t>de su elección</w:t>
      </w:r>
      <w:r w:rsidR="001F6CF8" w:rsidRPr="005C1789">
        <w:rPr>
          <w:rFonts w:ascii="Verdana" w:hAnsi="Verdana"/>
          <w:sz w:val="20"/>
          <w:szCs w:val="20"/>
        </w:rPr>
        <w:t>. El Estado cuenta con un plazo de un año contado desde la notificación de la presente Sentencia para efectuar ese pago.</w:t>
      </w:r>
    </w:p>
    <w:p w14:paraId="4694A12F" w14:textId="7DAAD726" w:rsidR="00882ABF" w:rsidRPr="005C1789" w:rsidRDefault="001F6CF8"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otra parte, de conformidad con lo establecido en el </w:t>
      </w:r>
      <w:r w:rsidR="00C87088" w:rsidRPr="005C1789">
        <w:rPr>
          <w:rFonts w:ascii="Verdana" w:hAnsi="Verdana"/>
          <w:sz w:val="20"/>
          <w:szCs w:val="20"/>
        </w:rPr>
        <w:t xml:space="preserve">Acta </w:t>
      </w:r>
      <w:r w:rsidRPr="005C1789">
        <w:rPr>
          <w:rFonts w:ascii="Verdana" w:hAnsi="Verdana"/>
          <w:sz w:val="20"/>
          <w:szCs w:val="20"/>
        </w:rPr>
        <w:t xml:space="preserve">de </w:t>
      </w:r>
      <w:r w:rsidR="00C87088" w:rsidRPr="005C1789">
        <w:rPr>
          <w:rFonts w:ascii="Verdana" w:hAnsi="Verdana"/>
          <w:sz w:val="20"/>
          <w:szCs w:val="20"/>
        </w:rPr>
        <w:t>Entendimiento</w:t>
      </w:r>
      <w:r w:rsidRPr="005C1789">
        <w:rPr>
          <w:rFonts w:ascii="Verdana" w:hAnsi="Verdana"/>
          <w:sz w:val="20"/>
          <w:szCs w:val="20"/>
        </w:rPr>
        <w:t>, el Estado deberá poner a disposición de</w:t>
      </w:r>
      <w:r w:rsidRPr="005C1789">
        <w:t xml:space="preserve"> </w:t>
      </w:r>
      <w:proofErr w:type="spellStart"/>
      <w:r w:rsidRPr="005C1789">
        <w:rPr>
          <w:rFonts w:ascii="Verdana" w:hAnsi="Verdana"/>
          <w:sz w:val="20"/>
          <w:szCs w:val="20"/>
        </w:rPr>
        <w:t>Anacely</w:t>
      </w:r>
      <w:proofErr w:type="spellEnd"/>
      <w:r w:rsidRPr="005C1789">
        <w:rPr>
          <w:rFonts w:ascii="Verdana" w:hAnsi="Verdana"/>
          <w:sz w:val="20"/>
          <w:szCs w:val="20"/>
        </w:rPr>
        <w:t xml:space="preserve"> Martínez García y David Martínez García, la lista de programas y proyectos productivos que ofrece el Estado, a fin de que realicen una valoración sobre la pertinencia y utilidad de dichos proyectos y programas. El Estado </w:t>
      </w:r>
      <w:r w:rsidR="006E73DC" w:rsidRPr="005C1789">
        <w:rPr>
          <w:rFonts w:ascii="Verdana" w:hAnsi="Verdana"/>
          <w:sz w:val="20"/>
          <w:szCs w:val="20"/>
        </w:rPr>
        <w:t xml:space="preserve">cuenta </w:t>
      </w:r>
      <w:r w:rsidRPr="005C1789">
        <w:rPr>
          <w:rFonts w:ascii="Verdana" w:hAnsi="Verdana"/>
          <w:sz w:val="20"/>
          <w:szCs w:val="20"/>
        </w:rPr>
        <w:t xml:space="preserve">con un plazo de tres meses desde la notificación de la presente Sentencia para llevar a cabo esta orden. Una vez que </w:t>
      </w:r>
      <w:proofErr w:type="spellStart"/>
      <w:r w:rsidRPr="005C1789">
        <w:rPr>
          <w:rFonts w:ascii="Verdana" w:hAnsi="Verdana"/>
          <w:sz w:val="20"/>
          <w:szCs w:val="20"/>
        </w:rPr>
        <w:t>Anacely</w:t>
      </w:r>
      <w:proofErr w:type="spellEnd"/>
      <w:r w:rsidRPr="005C1789">
        <w:rPr>
          <w:rFonts w:ascii="Verdana" w:hAnsi="Verdana"/>
          <w:sz w:val="20"/>
          <w:szCs w:val="20"/>
        </w:rPr>
        <w:t xml:space="preserve"> Martínez García y David Martínez García identifiquen un proyecto que corresponda a sus necesidades, </w:t>
      </w:r>
      <w:r w:rsidR="00E05355" w:rsidRPr="005C1789">
        <w:rPr>
          <w:rFonts w:ascii="Verdana" w:hAnsi="Verdana"/>
          <w:sz w:val="20"/>
          <w:szCs w:val="20"/>
        </w:rPr>
        <w:t>el Estado deberá financiar dicho proyecto hasta un monto de $232,500 pesos mexicanos, el cual deberá ser pagado en un plazo de un año contado desde la notificación de la presente Sentencia</w:t>
      </w:r>
      <w:r w:rsidR="00882ABF" w:rsidRPr="005C1789">
        <w:rPr>
          <w:rFonts w:ascii="Verdana" w:hAnsi="Verdana"/>
          <w:sz w:val="20"/>
          <w:szCs w:val="20"/>
        </w:rPr>
        <w:t>.</w:t>
      </w:r>
    </w:p>
    <w:p w14:paraId="4226F0AE" w14:textId="21CD5AD7" w:rsidR="000A52F2" w:rsidRPr="005C1789" w:rsidRDefault="000A52F2" w:rsidP="00955888">
      <w:pPr>
        <w:pStyle w:val="Ttulo2"/>
        <w:numPr>
          <w:ilvl w:val="0"/>
          <w:numId w:val="9"/>
        </w:numPr>
        <w:spacing w:before="240" w:after="240"/>
        <w:rPr>
          <w:rFonts w:ascii="Verdana" w:hAnsi="Verdana"/>
          <w:i/>
          <w:color w:val="auto"/>
          <w:sz w:val="20"/>
          <w:szCs w:val="20"/>
        </w:rPr>
      </w:pPr>
      <w:bookmarkStart w:id="149" w:name="_Toc123347563"/>
      <w:r w:rsidRPr="005C1789">
        <w:rPr>
          <w:rFonts w:ascii="Verdana" w:hAnsi="Verdana"/>
          <w:i/>
          <w:color w:val="auto"/>
          <w:sz w:val="20"/>
          <w:szCs w:val="20"/>
        </w:rPr>
        <w:t>Medidas de rehabilitación</w:t>
      </w:r>
      <w:r w:rsidRPr="005C1789">
        <w:rPr>
          <w:rStyle w:val="Refdenotaalpie"/>
          <w:rFonts w:ascii="Verdana" w:hAnsi="Verdana"/>
          <w:b w:val="0"/>
          <w:bCs w:val="0"/>
          <w:color w:val="auto"/>
          <w:sz w:val="20"/>
        </w:rPr>
        <w:footnoteReference w:id="169"/>
      </w:r>
      <w:bookmarkEnd w:id="149"/>
      <w:r w:rsidRPr="005C1789">
        <w:rPr>
          <w:rFonts w:ascii="Verdana" w:hAnsi="Verdana"/>
          <w:i/>
          <w:color w:val="auto"/>
          <w:sz w:val="20"/>
          <w:szCs w:val="20"/>
        </w:rPr>
        <w:t xml:space="preserve"> </w:t>
      </w:r>
    </w:p>
    <w:p w14:paraId="0A3A6CB0" w14:textId="63711DA1" w:rsidR="005537B2" w:rsidRPr="005C1789" w:rsidRDefault="005537B2" w:rsidP="00955888">
      <w:pPr>
        <w:numPr>
          <w:ilvl w:val="0"/>
          <w:numId w:val="2"/>
        </w:numPr>
        <w:spacing w:before="120" w:after="120"/>
        <w:ind w:left="0" w:firstLine="0"/>
        <w:jc w:val="both"/>
        <w:rPr>
          <w:rFonts w:ascii="Verdana" w:hAnsi="Verdana"/>
          <w:b/>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w:t>
      </w:r>
      <w:r w:rsidR="00871C70" w:rsidRPr="005C1789">
        <w:rPr>
          <w:rFonts w:ascii="Verdana" w:hAnsi="Verdana"/>
          <w:sz w:val="20"/>
          <w:szCs w:val="20"/>
        </w:rPr>
        <w:t>alegaron que las víctimas del caso han sufrido afectaciones a su integridad personal derivadas de los hechos de este caso, esta afectación podría aminorarse con atención médica y psicológica adecuada</w:t>
      </w:r>
      <w:r w:rsidRPr="005C1789">
        <w:rPr>
          <w:rFonts w:ascii="Verdana" w:hAnsi="Verdana"/>
          <w:sz w:val="20"/>
          <w:szCs w:val="20"/>
        </w:rPr>
        <w:t xml:space="preserve">. </w:t>
      </w:r>
      <w:r w:rsidR="00871C70" w:rsidRPr="005C1789">
        <w:rPr>
          <w:rFonts w:ascii="Verdana" w:hAnsi="Verdana"/>
          <w:sz w:val="20"/>
          <w:szCs w:val="20"/>
        </w:rPr>
        <w:t xml:space="preserve">Recordaron </w:t>
      </w:r>
      <w:proofErr w:type="gramStart"/>
      <w:r w:rsidR="00871C70" w:rsidRPr="005C1789">
        <w:rPr>
          <w:rFonts w:ascii="Verdana" w:hAnsi="Verdana"/>
          <w:sz w:val="20"/>
          <w:szCs w:val="20"/>
        </w:rPr>
        <w:t>que</w:t>
      </w:r>
      <w:proofErr w:type="gramEnd"/>
      <w:r w:rsidR="00871C70" w:rsidRPr="005C1789">
        <w:rPr>
          <w:rFonts w:ascii="Verdana" w:hAnsi="Verdana"/>
          <w:sz w:val="20"/>
          <w:szCs w:val="20"/>
        </w:rPr>
        <w:t xml:space="preserve"> en el Acta de Entendimiento, se comprometió a proporcionar atención médica, medicamentos, y atención psicológica, en los tres niveles de atención, de forma adecuada, preferencial y gratuita. Asimismo, reconocieron que el Estado “ha implementado ya medidas de esta índole en el presente caso”, por lo que solicitaron a la Corte “disponer que se siga brindando la atención médica por el tiempo que se requiera y de forma gratuita a los hermanos </w:t>
      </w:r>
      <w:proofErr w:type="spellStart"/>
      <w:r w:rsidR="00871C70" w:rsidRPr="005C1789">
        <w:rPr>
          <w:rFonts w:ascii="Verdana" w:hAnsi="Verdana"/>
          <w:sz w:val="20"/>
          <w:szCs w:val="20"/>
        </w:rPr>
        <w:t>Tzompaxtle</w:t>
      </w:r>
      <w:proofErr w:type="spellEnd"/>
      <w:r w:rsidR="00871C70" w:rsidRPr="005C1789">
        <w:rPr>
          <w:rFonts w:ascii="Verdana" w:hAnsi="Verdana"/>
          <w:sz w:val="20"/>
          <w:szCs w:val="20"/>
        </w:rPr>
        <w:t xml:space="preserve"> </w:t>
      </w:r>
      <w:proofErr w:type="spellStart"/>
      <w:r w:rsidR="00871C70" w:rsidRPr="005C1789">
        <w:rPr>
          <w:rFonts w:ascii="Verdana" w:hAnsi="Verdana"/>
          <w:sz w:val="20"/>
          <w:szCs w:val="20"/>
        </w:rPr>
        <w:t>Tecpile</w:t>
      </w:r>
      <w:proofErr w:type="spellEnd"/>
      <w:r w:rsidR="00871C70" w:rsidRPr="005C1789">
        <w:rPr>
          <w:rFonts w:ascii="Verdana" w:hAnsi="Verdana"/>
          <w:sz w:val="20"/>
          <w:szCs w:val="20"/>
        </w:rPr>
        <w:t xml:space="preserve"> y a los derechohabientes del señor Gustavo Robles López”. </w:t>
      </w:r>
    </w:p>
    <w:p w14:paraId="218929C5" w14:textId="04F5E4DB" w:rsidR="00871C70" w:rsidRPr="005C1789" w:rsidRDefault="00871C70" w:rsidP="00955888">
      <w:pPr>
        <w:numPr>
          <w:ilvl w:val="0"/>
          <w:numId w:val="2"/>
        </w:numPr>
        <w:spacing w:before="120" w:after="120"/>
        <w:ind w:left="0" w:firstLine="0"/>
        <w:jc w:val="both"/>
        <w:rPr>
          <w:rFonts w:ascii="Verdana" w:hAnsi="Verdana"/>
          <w:b/>
          <w:sz w:val="20"/>
          <w:szCs w:val="20"/>
        </w:rPr>
      </w:pPr>
      <w:r w:rsidRPr="005C1789">
        <w:rPr>
          <w:rFonts w:ascii="Verdana" w:hAnsi="Verdana"/>
          <w:sz w:val="20"/>
          <w:szCs w:val="20"/>
        </w:rPr>
        <w:t xml:space="preserve">Por su parte, la </w:t>
      </w:r>
      <w:r w:rsidRPr="005C1789">
        <w:rPr>
          <w:rFonts w:ascii="Verdana" w:hAnsi="Verdana"/>
          <w:b/>
          <w:bCs/>
          <w:i/>
          <w:iCs/>
          <w:sz w:val="20"/>
          <w:szCs w:val="20"/>
        </w:rPr>
        <w:t>Comisión</w:t>
      </w:r>
      <w:r w:rsidRPr="005C1789">
        <w:rPr>
          <w:rFonts w:ascii="Verdana" w:hAnsi="Verdana"/>
          <w:sz w:val="20"/>
          <w:szCs w:val="20"/>
        </w:rPr>
        <w:t xml:space="preserve"> solicitó que la Corte ordene brindar “de forma gratuita, inmediata y por el tiempo que sea necesario, el tratamiento de salud físico o mental a las víctimas del presente caso”.</w:t>
      </w:r>
    </w:p>
    <w:p w14:paraId="68595416" w14:textId="287DD9C9" w:rsidR="00871C70" w:rsidRPr="005C1789" w:rsidRDefault="00F22A55" w:rsidP="00955888">
      <w:pPr>
        <w:numPr>
          <w:ilvl w:val="0"/>
          <w:numId w:val="2"/>
        </w:numPr>
        <w:spacing w:before="120" w:after="120"/>
        <w:ind w:left="0" w:firstLine="0"/>
        <w:jc w:val="both"/>
        <w:rPr>
          <w:rFonts w:ascii="Verdana" w:hAnsi="Verdana"/>
          <w:b/>
          <w:sz w:val="20"/>
          <w:szCs w:val="20"/>
        </w:rPr>
      </w:pPr>
      <w:r w:rsidRPr="005C1789">
        <w:rPr>
          <w:rFonts w:ascii="Verdana" w:hAnsi="Verdana"/>
          <w:sz w:val="20"/>
          <w:szCs w:val="20"/>
        </w:rPr>
        <w:t xml:space="preserve">En el </w:t>
      </w:r>
      <w:r w:rsidR="00586406" w:rsidRPr="005C1789">
        <w:rPr>
          <w:rFonts w:ascii="Verdana" w:hAnsi="Verdana"/>
          <w:sz w:val="20"/>
          <w:szCs w:val="20"/>
        </w:rPr>
        <w:t>Acta</w:t>
      </w:r>
      <w:r w:rsidRPr="005C1789">
        <w:rPr>
          <w:rFonts w:ascii="Verdana" w:hAnsi="Verdana"/>
          <w:sz w:val="20"/>
          <w:szCs w:val="20"/>
        </w:rPr>
        <w:t xml:space="preserve"> de </w:t>
      </w:r>
      <w:r w:rsidR="00586406" w:rsidRPr="005C1789">
        <w:rPr>
          <w:rFonts w:ascii="Verdana" w:hAnsi="Verdana"/>
          <w:sz w:val="20"/>
          <w:szCs w:val="20"/>
        </w:rPr>
        <w:t>E</w:t>
      </w:r>
      <w:r w:rsidRPr="005C1789">
        <w:rPr>
          <w:rFonts w:ascii="Verdana" w:hAnsi="Verdana"/>
          <w:sz w:val="20"/>
          <w:szCs w:val="20"/>
        </w:rPr>
        <w:t xml:space="preserve">ntendimiento, el </w:t>
      </w:r>
      <w:r w:rsidR="00871C70" w:rsidRPr="005C1789">
        <w:rPr>
          <w:rFonts w:ascii="Verdana" w:hAnsi="Verdana"/>
          <w:b/>
          <w:bCs/>
          <w:i/>
          <w:iCs/>
          <w:sz w:val="20"/>
          <w:szCs w:val="20"/>
        </w:rPr>
        <w:t>Estado</w:t>
      </w:r>
      <w:r w:rsidR="00871C70" w:rsidRPr="005C1789">
        <w:rPr>
          <w:rFonts w:ascii="Verdana" w:hAnsi="Verdana"/>
          <w:sz w:val="20"/>
          <w:szCs w:val="20"/>
        </w:rPr>
        <w:t xml:space="preserve"> sostuvo que </w:t>
      </w:r>
      <w:r w:rsidRPr="005C1789">
        <w:rPr>
          <w:rFonts w:ascii="Verdana" w:hAnsi="Verdana"/>
          <w:sz w:val="20"/>
          <w:szCs w:val="20"/>
        </w:rPr>
        <w:t xml:space="preserve">“se compromete a proporcionar atención médica, medicamentos, y atención psicológica gratuita, en los tres niveles de atención, a las víctimas de forma adecuada, preferencial y gratuita, estableciendo contacto con la Secretaría de Salud federal así como con las Secretarías de Salud de los estados de Veracruz y Guerrero, quienes fungirán como enlace para comunicarse en caso de emergencia médica o ante cualquier eventualidad respecto de la atención en salud que pueda presentarse. Este enlace tendrá la capacidad de interlocución para la resolución de dichas emergencias, siendo la oficina del </w:t>
      </w:r>
      <w:proofErr w:type="gramStart"/>
      <w:r w:rsidRPr="005C1789">
        <w:rPr>
          <w:rFonts w:ascii="Verdana" w:hAnsi="Verdana"/>
          <w:sz w:val="20"/>
          <w:szCs w:val="20"/>
        </w:rPr>
        <w:t>Secretario</w:t>
      </w:r>
      <w:proofErr w:type="gramEnd"/>
      <w:r w:rsidRPr="005C1789">
        <w:rPr>
          <w:rFonts w:ascii="Verdana" w:hAnsi="Verdana"/>
          <w:sz w:val="20"/>
          <w:szCs w:val="20"/>
        </w:rPr>
        <w:t xml:space="preserve"> de Salud la encargada de coordinar las rutas de salud”. Agregó en sus alegatos que </w:t>
      </w:r>
      <w:r w:rsidR="00730FFE" w:rsidRPr="005C1789">
        <w:rPr>
          <w:rFonts w:ascii="Verdana" w:hAnsi="Verdana"/>
          <w:sz w:val="20"/>
          <w:szCs w:val="20"/>
        </w:rPr>
        <w:t>“tanto las Secretarías de Salud de Veracruz como de Guerrero compartieron información en octubre de 2021 sobre servicios médicos brindados hasta ese momento, por lo que reitera su disposición de continuar cumpliendo con su compromiso derivado de la implementación del Acta de Entendimiento”.</w:t>
      </w:r>
    </w:p>
    <w:p w14:paraId="6B39220C" w14:textId="17103FCC" w:rsidR="00E40098"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w:t>
      </w:r>
      <w:r w:rsidRPr="005C1789">
        <w:rPr>
          <w:rFonts w:ascii="Verdana" w:hAnsi="Verdana"/>
          <w:b/>
          <w:i/>
          <w:sz w:val="20"/>
          <w:szCs w:val="20"/>
        </w:rPr>
        <w:t>Corte</w:t>
      </w:r>
      <w:r w:rsidRPr="005C1789">
        <w:rPr>
          <w:rFonts w:ascii="Verdana" w:hAnsi="Verdana"/>
          <w:sz w:val="20"/>
          <w:szCs w:val="20"/>
        </w:rPr>
        <w:t xml:space="preserve"> </w:t>
      </w:r>
      <w:r w:rsidR="00960249" w:rsidRPr="005C1789">
        <w:rPr>
          <w:rFonts w:ascii="Verdana" w:hAnsi="Verdana"/>
          <w:sz w:val="20"/>
          <w:szCs w:val="20"/>
        </w:rPr>
        <w:t>constata que la medida solicitada fue acordada entre las partes en el Acta de Entendimiento y que no existe controversia en cuanto a la misma ha comenzado a ser ejecutada por parte del Estado</w:t>
      </w:r>
      <w:r w:rsidR="00E16FA7" w:rsidRPr="005C1789">
        <w:rPr>
          <w:rFonts w:ascii="Verdana" w:hAnsi="Verdana"/>
          <w:sz w:val="20"/>
          <w:szCs w:val="20"/>
        </w:rPr>
        <w:t>. Del mismo m</w:t>
      </w:r>
      <w:r w:rsidR="001A67D1" w:rsidRPr="005C1789">
        <w:rPr>
          <w:rFonts w:ascii="Verdana" w:hAnsi="Verdana"/>
          <w:sz w:val="20"/>
          <w:szCs w:val="20"/>
        </w:rPr>
        <w:t xml:space="preserve">odo, tampoco existe controversia sobre el hecho que esa medida debe seguir siendo ejecutada en los términos establecidos en el Acta de Entendimiento, a </w:t>
      </w:r>
      <w:r w:rsidR="00826B4E" w:rsidRPr="005C1789">
        <w:rPr>
          <w:rFonts w:ascii="Verdana" w:hAnsi="Verdana"/>
          <w:sz w:val="20"/>
          <w:szCs w:val="20"/>
        </w:rPr>
        <w:t>saber,</w:t>
      </w:r>
      <w:r w:rsidR="001A67D1" w:rsidRPr="005C1789">
        <w:rPr>
          <w:rFonts w:ascii="Verdana" w:hAnsi="Verdana"/>
          <w:sz w:val="20"/>
          <w:szCs w:val="20"/>
        </w:rPr>
        <w:t xml:space="preserve"> que la atención médica y psicológica debe implementarse de forma adecuada, preferencial y gratuita, y que la misma incluye atención médica, medicamentos, y atención </w:t>
      </w:r>
      <w:r w:rsidR="00BD3A93" w:rsidRPr="005C1789">
        <w:rPr>
          <w:rFonts w:ascii="Verdana" w:hAnsi="Verdana"/>
          <w:sz w:val="20"/>
          <w:szCs w:val="20"/>
        </w:rPr>
        <w:t>psiquiátrica</w:t>
      </w:r>
      <w:r w:rsidR="00960249" w:rsidRPr="005C1789">
        <w:rPr>
          <w:rFonts w:ascii="Verdana" w:hAnsi="Verdana"/>
          <w:sz w:val="20"/>
          <w:szCs w:val="20"/>
        </w:rPr>
        <w:t>.</w:t>
      </w:r>
      <w:r w:rsidR="00D74320" w:rsidRPr="005C1789">
        <w:rPr>
          <w:rFonts w:ascii="Verdana" w:hAnsi="Verdana"/>
          <w:sz w:val="20"/>
          <w:szCs w:val="20"/>
        </w:rPr>
        <w:t xml:space="preserve"> </w:t>
      </w:r>
      <w:r w:rsidR="00E40098" w:rsidRPr="005C1789">
        <w:rPr>
          <w:rFonts w:ascii="Verdana" w:hAnsi="Verdana"/>
          <w:sz w:val="20"/>
          <w:szCs w:val="20"/>
        </w:rPr>
        <w:t xml:space="preserve">Además, según consta en el Acta de Entendimiento, la Secretaría de Salud </w:t>
      </w:r>
      <w:r w:rsidR="00567417" w:rsidRPr="005C1789">
        <w:rPr>
          <w:rFonts w:ascii="Verdana" w:hAnsi="Verdana"/>
          <w:sz w:val="20"/>
          <w:szCs w:val="20"/>
        </w:rPr>
        <w:t>F</w:t>
      </w:r>
      <w:r w:rsidR="00E40098" w:rsidRPr="005C1789">
        <w:rPr>
          <w:rFonts w:ascii="Verdana" w:hAnsi="Verdana"/>
          <w:sz w:val="20"/>
          <w:szCs w:val="20"/>
        </w:rPr>
        <w:t>ederal así como con las Secretarías de Salud de los estados de Veracruz y Guerrero, “fungirán como enlace para comunicarse en caso de emergencia médica o ante cualquier eventualidad respecto de la atención en salud que pueda presentarse. Además, este enlace “tendrá la capacidad de interlocución para la resolución de dichas emergencias, siendo la oficina del Secretario de Salud la encargada de coordinar las rutas de salud”.</w:t>
      </w:r>
      <w:r w:rsidR="001915D5" w:rsidRPr="005C1789">
        <w:rPr>
          <w:rFonts w:ascii="Verdana" w:hAnsi="Verdana"/>
          <w:sz w:val="20"/>
          <w:szCs w:val="20"/>
        </w:rPr>
        <w:t xml:space="preserve"> De acuerdo </w:t>
      </w:r>
      <w:r w:rsidR="001915D5" w:rsidRPr="005C1789">
        <w:rPr>
          <w:rFonts w:ascii="Verdana" w:hAnsi="Verdana"/>
          <w:sz w:val="20"/>
          <w:szCs w:val="20"/>
        </w:rPr>
        <w:lastRenderedPageBreak/>
        <w:t>con lo anterior, el Tribunal considera procedente ordenar esta medida en los términos contenidos en el Acta de Entendimiento</w:t>
      </w:r>
      <w:r w:rsidR="00BD3A93" w:rsidRPr="005C1789">
        <w:rPr>
          <w:rFonts w:ascii="Verdana" w:hAnsi="Verdana"/>
          <w:sz w:val="20"/>
          <w:szCs w:val="20"/>
        </w:rPr>
        <w:t>, y de conformidad con lo dispuesto en el presente párrafo</w:t>
      </w:r>
      <w:r w:rsidR="004A1550" w:rsidRPr="005C1789">
        <w:rPr>
          <w:rFonts w:ascii="Verdana" w:hAnsi="Verdana"/>
          <w:sz w:val="20"/>
          <w:szCs w:val="20"/>
        </w:rPr>
        <w:t xml:space="preserve">, </w:t>
      </w:r>
      <w:r w:rsidR="00A304EE" w:rsidRPr="005C1789">
        <w:rPr>
          <w:rFonts w:ascii="Verdana" w:hAnsi="Verdana"/>
          <w:sz w:val="20"/>
          <w:szCs w:val="20"/>
        </w:rPr>
        <w:t>en beneficio</w:t>
      </w:r>
      <w:r w:rsidR="004A1550" w:rsidRPr="005C1789">
        <w:rPr>
          <w:rFonts w:ascii="Verdana" w:hAnsi="Verdana"/>
          <w:sz w:val="20"/>
          <w:szCs w:val="20"/>
        </w:rPr>
        <w:t xml:space="preserve"> las víctimas declaradas en esta Sentencia</w:t>
      </w:r>
      <w:r w:rsidR="00A304EE" w:rsidRPr="005C1789">
        <w:rPr>
          <w:rFonts w:ascii="Verdana" w:hAnsi="Verdana"/>
          <w:sz w:val="20"/>
          <w:szCs w:val="20"/>
        </w:rPr>
        <w:t xml:space="preserve"> y de los familiares de Gustavo Robles López</w:t>
      </w:r>
      <w:r w:rsidR="004A1550" w:rsidRPr="005C1789">
        <w:rPr>
          <w:rFonts w:ascii="Verdana" w:hAnsi="Verdana"/>
          <w:sz w:val="20"/>
          <w:szCs w:val="20"/>
        </w:rPr>
        <w:t xml:space="preserve">. </w:t>
      </w:r>
      <w:r w:rsidR="00A304EE" w:rsidRPr="005C1789">
        <w:rPr>
          <w:rFonts w:ascii="Verdana" w:hAnsi="Verdana"/>
          <w:sz w:val="20"/>
          <w:szCs w:val="20"/>
        </w:rPr>
        <w:t>L</w:t>
      </w:r>
      <w:r w:rsidR="004A1550" w:rsidRPr="005C1789">
        <w:rPr>
          <w:rFonts w:ascii="Verdana" w:hAnsi="Verdana"/>
          <w:sz w:val="20"/>
          <w:szCs w:val="20"/>
        </w:rPr>
        <w:t>a Corte no supervisará</w:t>
      </w:r>
      <w:r w:rsidR="00D55B2E" w:rsidRPr="005C1789">
        <w:rPr>
          <w:rFonts w:ascii="Verdana" w:hAnsi="Verdana"/>
          <w:sz w:val="20"/>
          <w:szCs w:val="20"/>
        </w:rPr>
        <w:t xml:space="preserve"> </w:t>
      </w:r>
      <w:r w:rsidR="004A1550" w:rsidRPr="005C1789">
        <w:rPr>
          <w:rFonts w:ascii="Verdana" w:hAnsi="Verdana"/>
          <w:sz w:val="20"/>
          <w:szCs w:val="20"/>
        </w:rPr>
        <w:t>el cumplimiento de esta medida de reparación en relació</w:t>
      </w:r>
      <w:r w:rsidR="00D364F3" w:rsidRPr="005C1789">
        <w:rPr>
          <w:rFonts w:ascii="Verdana" w:hAnsi="Verdana"/>
          <w:sz w:val="20"/>
          <w:szCs w:val="20"/>
        </w:rPr>
        <w:t>n</w:t>
      </w:r>
      <w:r w:rsidR="004A1550" w:rsidRPr="005C1789">
        <w:rPr>
          <w:rFonts w:ascii="Verdana" w:hAnsi="Verdana"/>
          <w:sz w:val="20"/>
          <w:szCs w:val="20"/>
        </w:rPr>
        <w:t xml:space="preserve"> con </w:t>
      </w:r>
      <w:r w:rsidR="00D364F3" w:rsidRPr="005C1789">
        <w:rPr>
          <w:rFonts w:ascii="Verdana" w:hAnsi="Verdana"/>
          <w:sz w:val="20"/>
          <w:szCs w:val="20"/>
        </w:rPr>
        <w:t>los derechohabientes</w:t>
      </w:r>
      <w:r w:rsidR="004A1550" w:rsidRPr="005C1789">
        <w:rPr>
          <w:rFonts w:ascii="Verdana" w:hAnsi="Verdana"/>
          <w:sz w:val="20"/>
          <w:szCs w:val="20"/>
        </w:rPr>
        <w:t xml:space="preserve"> de Gustavo Robles López</w:t>
      </w:r>
      <w:r w:rsidR="001915D5" w:rsidRPr="005C1789">
        <w:rPr>
          <w:rFonts w:ascii="Verdana" w:hAnsi="Verdana"/>
          <w:sz w:val="20"/>
          <w:szCs w:val="20"/>
        </w:rPr>
        <w:t>.</w:t>
      </w:r>
      <w:r w:rsidR="00A77A47" w:rsidRPr="005C1789">
        <w:rPr>
          <w:rFonts w:ascii="Verdana" w:hAnsi="Verdana"/>
          <w:sz w:val="20"/>
          <w:szCs w:val="20"/>
        </w:rPr>
        <w:t xml:space="preserve"> </w:t>
      </w:r>
    </w:p>
    <w:p w14:paraId="24BD5488" w14:textId="507690A9" w:rsidR="005537B2" w:rsidRPr="005C1789" w:rsidRDefault="005537B2" w:rsidP="00955888">
      <w:pPr>
        <w:pStyle w:val="Ttulo2"/>
        <w:numPr>
          <w:ilvl w:val="0"/>
          <w:numId w:val="9"/>
        </w:numPr>
        <w:spacing w:before="240" w:after="240"/>
        <w:rPr>
          <w:rFonts w:ascii="Verdana" w:hAnsi="Verdana"/>
          <w:i/>
          <w:color w:val="auto"/>
          <w:sz w:val="20"/>
          <w:szCs w:val="20"/>
        </w:rPr>
      </w:pPr>
      <w:bookmarkStart w:id="150" w:name="_Toc114828534"/>
      <w:bookmarkStart w:id="151" w:name="_Toc114828535"/>
      <w:bookmarkStart w:id="152" w:name="_Toc123347564"/>
      <w:bookmarkEnd w:id="150"/>
      <w:bookmarkEnd w:id="151"/>
      <w:r w:rsidRPr="005C1789">
        <w:rPr>
          <w:rFonts w:ascii="Verdana" w:hAnsi="Verdana"/>
          <w:i/>
          <w:color w:val="auto"/>
          <w:sz w:val="20"/>
          <w:szCs w:val="20"/>
        </w:rPr>
        <w:t>Indemnizaciones compensatorias</w:t>
      </w:r>
      <w:bookmarkEnd w:id="152"/>
      <w:r w:rsidRPr="005C1789">
        <w:rPr>
          <w:rFonts w:ascii="Verdana" w:hAnsi="Verdana"/>
          <w:i/>
          <w:color w:val="auto"/>
          <w:sz w:val="20"/>
          <w:szCs w:val="20"/>
        </w:rPr>
        <w:t xml:space="preserve"> </w:t>
      </w:r>
    </w:p>
    <w:p w14:paraId="392919BC" w14:textId="44DA5691" w:rsidR="00685139"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w:t>
      </w:r>
      <w:r w:rsidR="00685139" w:rsidRPr="005C1789">
        <w:rPr>
          <w:rFonts w:ascii="Verdana" w:hAnsi="Verdana"/>
          <w:sz w:val="20"/>
          <w:szCs w:val="20"/>
        </w:rPr>
        <w:t xml:space="preserve">indicaron que el Estado acordó y pagó a cada una de las víctimas, o a sus derechohabientes en el caso de Gustavo Robles López, </w:t>
      </w:r>
      <w:r w:rsidR="009D6D6E">
        <w:rPr>
          <w:rFonts w:ascii="Verdana" w:hAnsi="Verdana"/>
          <w:sz w:val="20"/>
          <w:szCs w:val="20"/>
        </w:rPr>
        <w:t xml:space="preserve">las indemnizaciones compensatorias correspondientes </w:t>
      </w:r>
      <w:r w:rsidR="00D87F5B" w:rsidRPr="005C1789">
        <w:rPr>
          <w:rFonts w:ascii="Verdana" w:hAnsi="Verdana"/>
          <w:sz w:val="20"/>
          <w:szCs w:val="20"/>
        </w:rPr>
        <w:t>p</w:t>
      </w:r>
      <w:r w:rsidR="00685139" w:rsidRPr="005C1789">
        <w:rPr>
          <w:rFonts w:ascii="Verdana" w:hAnsi="Verdana"/>
          <w:sz w:val="20"/>
          <w:szCs w:val="20"/>
        </w:rPr>
        <w:t>or lo cual, consideraron que esta medida ha sido satisfecha por el Estado.</w:t>
      </w:r>
    </w:p>
    <w:p w14:paraId="53D7974A" w14:textId="06F1458A" w:rsidR="005537B2" w:rsidRPr="005C1789" w:rsidRDefault="00A304E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De conformidad con lo anterior, e</w:t>
      </w:r>
      <w:r w:rsidR="00685139" w:rsidRPr="005C1789">
        <w:rPr>
          <w:rFonts w:ascii="Verdana" w:hAnsi="Verdana"/>
          <w:sz w:val="20"/>
          <w:szCs w:val="20"/>
        </w:rPr>
        <w:t>n el presente caso, la Corte no estima procedente ordenar la referida medida de reparación por entender que el Estado la ha cumplido en el marco del cumplimiento de las disposiciones del Acta de Entendimiento.</w:t>
      </w:r>
    </w:p>
    <w:p w14:paraId="77617E25" w14:textId="1DE3DF07" w:rsidR="005537B2" w:rsidRPr="005C1789" w:rsidRDefault="005537B2" w:rsidP="00955888">
      <w:pPr>
        <w:pStyle w:val="Ttulo2"/>
        <w:numPr>
          <w:ilvl w:val="0"/>
          <w:numId w:val="9"/>
        </w:numPr>
        <w:spacing w:before="240" w:after="240"/>
        <w:rPr>
          <w:rFonts w:ascii="Verdana" w:hAnsi="Verdana"/>
          <w:i/>
          <w:color w:val="auto"/>
          <w:sz w:val="20"/>
          <w:szCs w:val="20"/>
        </w:rPr>
      </w:pPr>
      <w:bookmarkStart w:id="153" w:name="_Toc123347565"/>
      <w:r w:rsidRPr="005C1789">
        <w:rPr>
          <w:rFonts w:ascii="Verdana" w:hAnsi="Verdana"/>
          <w:i/>
          <w:color w:val="auto"/>
          <w:sz w:val="20"/>
          <w:szCs w:val="20"/>
        </w:rPr>
        <w:t>Gastos y costas</w:t>
      </w:r>
      <w:bookmarkEnd w:id="153"/>
      <w:r w:rsidRPr="005C1789">
        <w:rPr>
          <w:rFonts w:ascii="Verdana" w:hAnsi="Verdana"/>
          <w:i/>
          <w:color w:val="auto"/>
          <w:sz w:val="20"/>
          <w:szCs w:val="20"/>
        </w:rPr>
        <w:t xml:space="preserve"> </w:t>
      </w:r>
    </w:p>
    <w:p w14:paraId="02D2293A" w14:textId="7BE1A490" w:rsidR="00D87F5B"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Los </w:t>
      </w:r>
      <w:r w:rsidRPr="005C1789">
        <w:rPr>
          <w:rFonts w:ascii="Verdana" w:hAnsi="Verdana"/>
          <w:b/>
          <w:i/>
          <w:sz w:val="20"/>
          <w:szCs w:val="20"/>
        </w:rPr>
        <w:t>representantes</w:t>
      </w:r>
      <w:r w:rsidRPr="005C1789">
        <w:rPr>
          <w:rFonts w:ascii="Verdana" w:hAnsi="Verdana"/>
          <w:sz w:val="20"/>
          <w:szCs w:val="20"/>
        </w:rPr>
        <w:t xml:space="preserve"> </w:t>
      </w:r>
      <w:r w:rsidR="00D87F5B" w:rsidRPr="005C1789">
        <w:rPr>
          <w:rFonts w:ascii="Verdana" w:hAnsi="Verdana"/>
          <w:sz w:val="20"/>
          <w:szCs w:val="20"/>
        </w:rPr>
        <w:t>indicaron que el Estado ha cubierto los gastos y costas por las acciones legales en el sistema legal nacional y por la tramitación del caso ante la Comisión Interamericana de Derechos Humanos hasta octubre de 2020, al haber reembolsado a la Red Solidaria Década contra la Impunidad A.C. la cantidad de $228,937.18 pesos mexicanos (aproximadamente $10,855 dólares estadounidenses) más $5,000 dólares adicionales</w:t>
      </w:r>
      <w:r w:rsidRPr="005C1789">
        <w:rPr>
          <w:rFonts w:ascii="Verdana" w:hAnsi="Verdana"/>
          <w:sz w:val="20"/>
          <w:szCs w:val="20"/>
        </w:rPr>
        <w:t xml:space="preserve">. </w:t>
      </w:r>
      <w:r w:rsidR="00D87F5B" w:rsidRPr="005C1789">
        <w:rPr>
          <w:rFonts w:ascii="Verdana" w:hAnsi="Verdana"/>
          <w:sz w:val="20"/>
          <w:szCs w:val="20"/>
        </w:rPr>
        <w:t>Solicitaron al Tribunal determinar en equidad el monto que corresponda por la labor de representación del caso desde noviembre de 2020 —fecha a partir de la que ha tenido diversos gastos ya que ha</w:t>
      </w:r>
      <w:r w:rsidR="009D6D6E">
        <w:rPr>
          <w:rFonts w:ascii="Verdana" w:hAnsi="Verdana"/>
          <w:sz w:val="20"/>
          <w:szCs w:val="20"/>
        </w:rPr>
        <w:t>n</w:t>
      </w:r>
      <w:r w:rsidR="00D87F5B" w:rsidRPr="005C1789">
        <w:rPr>
          <w:rFonts w:ascii="Verdana" w:hAnsi="Verdana"/>
          <w:sz w:val="20"/>
          <w:szCs w:val="20"/>
        </w:rPr>
        <w:t xml:space="preserve"> mantenido reuniones con las víctimas en sus lugares de origen, y ha</w:t>
      </w:r>
      <w:r w:rsidR="009D6D6E">
        <w:rPr>
          <w:rFonts w:ascii="Verdana" w:hAnsi="Verdana"/>
          <w:sz w:val="20"/>
          <w:szCs w:val="20"/>
        </w:rPr>
        <w:t>n</w:t>
      </w:r>
      <w:r w:rsidR="00D87F5B" w:rsidRPr="005C1789">
        <w:rPr>
          <w:rFonts w:ascii="Verdana" w:hAnsi="Verdana"/>
          <w:sz w:val="20"/>
          <w:szCs w:val="20"/>
        </w:rPr>
        <w:t xml:space="preserve"> realizado trabajo jurídico que incluye la investigación, recopilación y presentación de pruebas— hasta la conclusión del proceso internacional. En atención a lo anterior, solicitaron la cantidad de $48,556.42 pesos mexicanos, (equivalentes a 2,422.18 dólares estadounidenses) por los gastos erogados con motivo de la audiencia de excepciones preliminares y eventuales fondo, reparaciones y costas.</w:t>
      </w:r>
      <w:r w:rsidR="00023E34" w:rsidRPr="005C1789">
        <w:rPr>
          <w:rFonts w:ascii="Verdana" w:hAnsi="Verdana"/>
          <w:sz w:val="20"/>
          <w:szCs w:val="20"/>
        </w:rPr>
        <w:t xml:space="preserve"> </w:t>
      </w:r>
      <w:r w:rsidR="00D87F5B" w:rsidRPr="005C1789">
        <w:rPr>
          <w:rFonts w:ascii="Verdana" w:hAnsi="Verdana"/>
          <w:sz w:val="20"/>
          <w:szCs w:val="20"/>
        </w:rPr>
        <w:t xml:space="preserve">Además, indicaron </w:t>
      </w:r>
      <w:r w:rsidR="00416467" w:rsidRPr="005C1789">
        <w:rPr>
          <w:rFonts w:ascii="Verdana" w:hAnsi="Verdana"/>
          <w:sz w:val="20"/>
          <w:szCs w:val="20"/>
        </w:rPr>
        <w:t xml:space="preserve">que el monto que se otorgue por costas y gastos </w:t>
      </w:r>
      <w:r w:rsidR="00D87F5B" w:rsidRPr="005C1789">
        <w:rPr>
          <w:rFonts w:ascii="Verdana" w:hAnsi="Verdana"/>
          <w:sz w:val="20"/>
          <w:szCs w:val="20"/>
        </w:rPr>
        <w:t>que debe considerar la etapa de cumplimiento de sentencia tanto a nivel nacional como internacional.</w:t>
      </w:r>
    </w:p>
    <w:p w14:paraId="351058BF" w14:textId="2313C03C" w:rsidR="00416467" w:rsidRPr="005C1789" w:rsidRDefault="00416467"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El </w:t>
      </w:r>
      <w:r w:rsidRPr="005C1789">
        <w:rPr>
          <w:rFonts w:ascii="Verdana" w:hAnsi="Verdana"/>
          <w:b/>
          <w:bCs/>
          <w:i/>
          <w:iCs/>
          <w:sz w:val="20"/>
          <w:szCs w:val="20"/>
        </w:rPr>
        <w:t>Estado</w:t>
      </w:r>
      <w:r w:rsidRPr="005C1789">
        <w:rPr>
          <w:rFonts w:ascii="Verdana" w:hAnsi="Verdana"/>
          <w:sz w:val="20"/>
          <w:szCs w:val="20"/>
        </w:rPr>
        <w:t xml:space="preserve"> indicó que se compromete al pago de costas y gastos correspondientes desde noviembre de 2020, hasta la conclusión del proceso internacional en caso de que la Corte determine su responsabilidad en el presente caso. </w:t>
      </w:r>
    </w:p>
    <w:p w14:paraId="1A1817D4" w14:textId="77777777"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La </w:t>
      </w:r>
      <w:r w:rsidRPr="005C1789">
        <w:rPr>
          <w:rFonts w:ascii="Verdana" w:hAnsi="Verdana"/>
          <w:b/>
          <w:i/>
          <w:sz w:val="20"/>
          <w:szCs w:val="20"/>
        </w:rPr>
        <w:t>Corte</w:t>
      </w:r>
      <w:r w:rsidRPr="005C1789">
        <w:rPr>
          <w:rFonts w:ascii="Verdana" w:hAnsi="Verdana"/>
          <w:sz w:val="20"/>
          <w:szCs w:val="20"/>
        </w:rPr>
        <w:t xml:space="preserve"> 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5C1789">
        <w:rPr>
          <w:rStyle w:val="Refdenotaalpie"/>
          <w:rFonts w:ascii="Verdana" w:hAnsi="Verdana"/>
          <w:sz w:val="20"/>
        </w:rPr>
        <w:footnoteReference w:id="170"/>
      </w:r>
      <w:r w:rsidRPr="005C1789">
        <w:rPr>
          <w:rFonts w:ascii="Verdana" w:hAnsi="Verdana"/>
          <w:sz w:val="20"/>
          <w:szCs w:val="20"/>
        </w:rPr>
        <w:t>.</w:t>
      </w:r>
    </w:p>
    <w:p w14:paraId="024FE235" w14:textId="1FB54383"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Es</w:t>
      </w:r>
      <w:r w:rsidR="00142D5B" w:rsidRPr="005C1789">
        <w:rPr>
          <w:rFonts w:ascii="Verdana" w:hAnsi="Verdana"/>
          <w:sz w:val="20"/>
          <w:szCs w:val="20"/>
        </w:rPr>
        <w:t>t</w:t>
      </w:r>
      <w:r w:rsidRPr="005C1789">
        <w:rPr>
          <w:rFonts w:ascii="Verdana" w:hAnsi="Verdana"/>
          <w:sz w:val="20"/>
          <w:szCs w:val="20"/>
        </w:rPr>
        <w:t xml:space="preserve">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w:t>
      </w:r>
      <w:r w:rsidRPr="005C1789">
        <w:rPr>
          <w:rFonts w:ascii="Verdana" w:hAnsi="Verdana"/>
          <w:sz w:val="20"/>
          <w:szCs w:val="20"/>
        </w:rPr>
        <w:lastRenderedPageBreak/>
        <w:t>gastos en que se haya incurrido con ocasión del procedimiento ante esta Corte”</w:t>
      </w:r>
      <w:r w:rsidRPr="005C1789">
        <w:rPr>
          <w:rStyle w:val="Refdenotaalpie"/>
          <w:rFonts w:ascii="Verdana" w:hAnsi="Verdana"/>
          <w:sz w:val="20"/>
        </w:rPr>
        <w:footnoteReference w:id="171"/>
      </w:r>
      <w:r w:rsidRPr="005C1789">
        <w:rPr>
          <w:rFonts w:ascii="Verdana" w:hAnsi="Verdana"/>
          <w:sz w:val="20"/>
          <w:szCs w:val="20"/>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w:t>
      </w:r>
      <w:r w:rsidR="00B720E2" w:rsidRPr="005C1789">
        <w:rPr>
          <w:rFonts w:ascii="Verdana" w:hAnsi="Verdana"/>
          <w:sz w:val="20"/>
          <w:szCs w:val="20"/>
        </w:rPr>
        <w:t>é</w:t>
      </w:r>
      <w:r w:rsidR="00826B4E" w:rsidRPr="005C1789">
        <w:rPr>
          <w:rFonts w:ascii="Verdana" w:hAnsi="Verdana"/>
          <w:sz w:val="20"/>
          <w:szCs w:val="20"/>
        </w:rPr>
        <w:t>stos</w:t>
      </w:r>
      <w:r w:rsidRPr="005C1789">
        <w:rPr>
          <w:rStyle w:val="Refdenotaalpie"/>
          <w:rFonts w:ascii="Verdana" w:hAnsi="Verdana"/>
          <w:sz w:val="20"/>
        </w:rPr>
        <w:footnoteReference w:id="172"/>
      </w:r>
      <w:r w:rsidRPr="005C1789">
        <w:rPr>
          <w:rFonts w:ascii="Verdana" w:hAnsi="Verdana"/>
          <w:sz w:val="20"/>
          <w:szCs w:val="20"/>
        </w:rPr>
        <w:t>.</w:t>
      </w:r>
    </w:p>
    <w:p w14:paraId="6D1100E5" w14:textId="7C096B6C"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Tomando en cuenta </w:t>
      </w:r>
      <w:r w:rsidR="00416467" w:rsidRPr="005C1789">
        <w:rPr>
          <w:rFonts w:ascii="Verdana" w:hAnsi="Verdana"/>
          <w:sz w:val="20"/>
          <w:szCs w:val="20"/>
        </w:rPr>
        <w:t>que tanto l</w:t>
      </w:r>
      <w:r w:rsidR="005532A8" w:rsidRPr="005C1789">
        <w:rPr>
          <w:rFonts w:ascii="Verdana" w:hAnsi="Verdana"/>
          <w:sz w:val="20"/>
          <w:szCs w:val="20"/>
        </w:rPr>
        <w:t>os</w:t>
      </w:r>
      <w:r w:rsidR="00416467" w:rsidRPr="005C1789">
        <w:rPr>
          <w:rFonts w:ascii="Verdana" w:hAnsi="Verdana"/>
          <w:sz w:val="20"/>
          <w:szCs w:val="20"/>
        </w:rPr>
        <w:t xml:space="preserve"> representantes como el Estado concuerdan en afirmar que parte de las costas y gastos erogad</w:t>
      </w:r>
      <w:r w:rsidR="00473CEF" w:rsidRPr="005C1789">
        <w:rPr>
          <w:rFonts w:ascii="Verdana" w:hAnsi="Verdana"/>
          <w:sz w:val="20"/>
          <w:szCs w:val="20"/>
        </w:rPr>
        <w:t>os</w:t>
      </w:r>
      <w:r w:rsidR="00416467" w:rsidRPr="005C1789">
        <w:rPr>
          <w:rFonts w:ascii="Verdana" w:hAnsi="Verdana"/>
          <w:sz w:val="20"/>
          <w:szCs w:val="20"/>
        </w:rPr>
        <w:t xml:space="preserve"> ya fueron pagad</w:t>
      </w:r>
      <w:r w:rsidR="00473CEF" w:rsidRPr="005C1789">
        <w:rPr>
          <w:rFonts w:ascii="Verdana" w:hAnsi="Verdana"/>
          <w:sz w:val="20"/>
          <w:szCs w:val="20"/>
        </w:rPr>
        <w:t>os</w:t>
      </w:r>
      <w:r w:rsidR="00416467" w:rsidRPr="005C1789">
        <w:rPr>
          <w:rFonts w:ascii="Verdana" w:hAnsi="Verdana"/>
          <w:sz w:val="20"/>
          <w:szCs w:val="20"/>
        </w:rPr>
        <w:t xml:space="preserve"> y que únicamente restaría </w:t>
      </w:r>
      <w:r w:rsidR="00473CEF" w:rsidRPr="005C1789">
        <w:rPr>
          <w:rFonts w:ascii="Verdana" w:hAnsi="Verdana"/>
          <w:sz w:val="20"/>
          <w:szCs w:val="20"/>
        </w:rPr>
        <w:t>pagar</w:t>
      </w:r>
      <w:r w:rsidR="00416467" w:rsidRPr="005C1789">
        <w:rPr>
          <w:rFonts w:ascii="Verdana" w:hAnsi="Verdana"/>
          <w:sz w:val="20"/>
          <w:szCs w:val="20"/>
        </w:rPr>
        <w:t xml:space="preserve"> los gastos ocasionados desde noviembre de 2020 en el marco del presente proceso, y por otra parte dado </w:t>
      </w:r>
      <w:r w:rsidRPr="005C1789">
        <w:rPr>
          <w:rFonts w:ascii="Verdana" w:hAnsi="Verdana"/>
          <w:sz w:val="20"/>
          <w:szCs w:val="20"/>
        </w:rPr>
        <w:t xml:space="preserve">los montos solicitados por </w:t>
      </w:r>
      <w:r w:rsidR="00BF12DF" w:rsidRPr="005C1789">
        <w:rPr>
          <w:rFonts w:ascii="Verdana" w:hAnsi="Verdana"/>
          <w:sz w:val="20"/>
          <w:szCs w:val="20"/>
        </w:rPr>
        <w:t>los representantes</w:t>
      </w:r>
      <w:r w:rsidRPr="005C1789">
        <w:rPr>
          <w:rFonts w:ascii="Verdana" w:hAnsi="Verdana"/>
          <w:sz w:val="20"/>
          <w:szCs w:val="20"/>
        </w:rPr>
        <w:t xml:space="preserve"> y los comprobantes de gastos presentados, la Corte dispone fijar en equidad el pago de USD$</w:t>
      </w:r>
      <w:r w:rsidR="00416467" w:rsidRPr="005C1789">
        <w:rPr>
          <w:rFonts w:ascii="Verdana" w:hAnsi="Verdana"/>
          <w:sz w:val="20"/>
          <w:szCs w:val="20"/>
        </w:rPr>
        <w:t>2</w:t>
      </w:r>
      <w:r w:rsidRPr="005C1789">
        <w:rPr>
          <w:rFonts w:ascii="Verdana" w:hAnsi="Verdana"/>
          <w:sz w:val="20"/>
          <w:szCs w:val="20"/>
        </w:rPr>
        <w:t>.</w:t>
      </w:r>
      <w:r w:rsidR="00416467" w:rsidRPr="005C1789">
        <w:rPr>
          <w:rFonts w:ascii="Verdana" w:hAnsi="Verdana"/>
          <w:sz w:val="20"/>
          <w:szCs w:val="20"/>
        </w:rPr>
        <w:t>5</w:t>
      </w:r>
      <w:r w:rsidRPr="005C1789">
        <w:rPr>
          <w:rFonts w:ascii="Verdana" w:hAnsi="Verdana"/>
          <w:sz w:val="20"/>
          <w:szCs w:val="20"/>
        </w:rPr>
        <w:t>00,00 (</w:t>
      </w:r>
      <w:r w:rsidR="00416467" w:rsidRPr="005C1789">
        <w:rPr>
          <w:rFonts w:ascii="Verdana" w:hAnsi="Verdana"/>
          <w:sz w:val="20"/>
          <w:szCs w:val="20"/>
        </w:rPr>
        <w:t>dos</w:t>
      </w:r>
      <w:r w:rsidRPr="005C1789">
        <w:rPr>
          <w:rFonts w:ascii="Verdana" w:hAnsi="Verdana"/>
          <w:sz w:val="20"/>
          <w:szCs w:val="20"/>
        </w:rPr>
        <w:t xml:space="preserve"> mil </w:t>
      </w:r>
      <w:r w:rsidR="00416467" w:rsidRPr="005C1789">
        <w:rPr>
          <w:rFonts w:ascii="Verdana" w:hAnsi="Verdana"/>
          <w:sz w:val="20"/>
          <w:szCs w:val="20"/>
        </w:rPr>
        <w:t xml:space="preserve">quinientos </w:t>
      </w:r>
      <w:r w:rsidRPr="005C1789">
        <w:rPr>
          <w:rFonts w:ascii="Verdana" w:hAnsi="Verdana"/>
          <w:sz w:val="20"/>
          <w:szCs w:val="20"/>
        </w:rPr>
        <w:t xml:space="preserve">dólares de los Estados Unidos de América) por concepto de costas y gastos. Dicha cantidad deberá ser entregada directamente a </w:t>
      </w:r>
      <w:r w:rsidR="004759E0" w:rsidRPr="005C1789">
        <w:rPr>
          <w:rFonts w:ascii="Verdana" w:hAnsi="Verdana"/>
          <w:sz w:val="20"/>
          <w:szCs w:val="20"/>
        </w:rPr>
        <w:t>los</w:t>
      </w:r>
      <w:r w:rsidRPr="005C1789">
        <w:rPr>
          <w:rFonts w:ascii="Verdana" w:hAnsi="Verdana"/>
          <w:sz w:val="20"/>
          <w:szCs w:val="20"/>
        </w:rPr>
        <w:t xml:space="preserve"> </w:t>
      </w:r>
      <w:r w:rsidR="004759E0" w:rsidRPr="005C1789">
        <w:rPr>
          <w:rFonts w:ascii="Verdana" w:hAnsi="Verdana"/>
          <w:sz w:val="20"/>
          <w:szCs w:val="20"/>
        </w:rPr>
        <w:t>representantes</w:t>
      </w:r>
      <w:r w:rsidRPr="005C1789">
        <w:rPr>
          <w:rFonts w:ascii="Verdana" w:hAnsi="Verdana"/>
          <w:sz w:val="20"/>
          <w:szCs w:val="20"/>
        </w:rPr>
        <w:t>. En la etapa de supervisión del cumplimiento de la presente Sentencia, la Corte podrá disponer que el Estado reembolse a las víctimas o sus representantes los gastos razonables en que incurran en dicha etapa procesal</w:t>
      </w:r>
      <w:r w:rsidRPr="005C1789">
        <w:rPr>
          <w:rStyle w:val="Refdenotaalpie"/>
          <w:rFonts w:ascii="Verdana" w:hAnsi="Verdana"/>
          <w:sz w:val="20"/>
        </w:rPr>
        <w:footnoteReference w:id="173"/>
      </w:r>
      <w:r w:rsidRPr="005C1789">
        <w:rPr>
          <w:rFonts w:ascii="Verdana" w:hAnsi="Verdana"/>
          <w:sz w:val="20"/>
          <w:szCs w:val="20"/>
        </w:rPr>
        <w:t>.</w:t>
      </w:r>
    </w:p>
    <w:p w14:paraId="3E8C49A7" w14:textId="77777777" w:rsidR="00F26BB9" w:rsidRPr="005C1789" w:rsidRDefault="00F26BB9" w:rsidP="00955888">
      <w:pPr>
        <w:pStyle w:val="Ttulo2"/>
        <w:numPr>
          <w:ilvl w:val="0"/>
          <w:numId w:val="9"/>
        </w:numPr>
        <w:spacing w:before="240" w:after="240"/>
        <w:rPr>
          <w:rFonts w:ascii="Verdana" w:hAnsi="Verdana"/>
          <w:i/>
          <w:color w:val="auto"/>
          <w:sz w:val="20"/>
          <w:szCs w:val="20"/>
        </w:rPr>
      </w:pPr>
      <w:bookmarkStart w:id="154" w:name="_Toc85209544"/>
      <w:bookmarkStart w:id="155" w:name="_Toc85801398"/>
      <w:bookmarkStart w:id="156" w:name="_Toc123347566"/>
      <w:r w:rsidRPr="005C1789">
        <w:rPr>
          <w:rFonts w:ascii="Verdana" w:hAnsi="Verdana"/>
          <w:i/>
          <w:color w:val="auto"/>
          <w:sz w:val="20"/>
          <w:szCs w:val="20"/>
        </w:rPr>
        <w:t>Reintegro de los gastos al Fondo de Asistencia Legal de Víctimas</w:t>
      </w:r>
      <w:bookmarkEnd w:id="154"/>
      <w:bookmarkEnd w:id="155"/>
      <w:bookmarkEnd w:id="156"/>
    </w:p>
    <w:p w14:paraId="74C51D4C" w14:textId="6C3014D1" w:rsidR="00F26BB9" w:rsidRPr="005C1789" w:rsidRDefault="00F26BB9"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Mediante Resolución de 24 de mayo de 2022, la Presidencia del Tribunal declaró procedente la solicitud interpuesta por los representantes, para acogerse al Fondo de Asistencia Legal, y dispuso que la asistencia económica fuera asignada para cubrir los gastos para la presentación de los dos declarantes convocados para la audiencia y la comparecencia de hasta dos representantes legales en la audiencia pública del presente caso, así como para la declaración por affidavit de dos declarantes, siempre y cuando tales gastos resultaran razonables.</w:t>
      </w:r>
    </w:p>
    <w:p w14:paraId="3C15FEEF" w14:textId="2087C7F9" w:rsidR="00F26BB9" w:rsidRPr="005C1789" w:rsidRDefault="00F26BB9" w:rsidP="00955888">
      <w:pPr>
        <w:pStyle w:val="Prrafodelista"/>
        <w:numPr>
          <w:ilvl w:val="0"/>
          <w:numId w:val="2"/>
        </w:numPr>
        <w:autoSpaceDE w:val="0"/>
        <w:autoSpaceDN w:val="0"/>
        <w:adjustRightInd w:val="0"/>
        <w:spacing w:before="120" w:after="120"/>
        <w:ind w:left="0" w:right="-6" w:firstLine="0"/>
        <w:contextualSpacing w:val="0"/>
        <w:jc w:val="both"/>
      </w:pPr>
      <w:r w:rsidRPr="005C1789">
        <w:rPr>
          <w:rFonts w:ascii="Verdana" w:hAnsi="Verdana"/>
          <w:sz w:val="20"/>
          <w:szCs w:val="20"/>
        </w:rPr>
        <w:t>Se transmitió́ al Estado copia del informe sobre las erogaciones realizadas en aplicación de dicho fondo en el presente caso, las cuales ascendieron a la suma de USD</w:t>
      </w:r>
      <w:r w:rsidR="00DE5AA1" w:rsidRPr="005C1789">
        <w:rPr>
          <w:rFonts w:ascii="Verdana" w:hAnsi="Verdana"/>
          <w:sz w:val="20"/>
          <w:szCs w:val="20"/>
        </w:rPr>
        <w:t xml:space="preserve"> 4</w:t>
      </w:r>
      <w:r w:rsidR="005816CB">
        <w:rPr>
          <w:rFonts w:ascii="Verdana" w:hAnsi="Verdana"/>
          <w:sz w:val="20"/>
          <w:szCs w:val="20"/>
        </w:rPr>
        <w:t>.</w:t>
      </w:r>
      <w:r w:rsidR="00DE5AA1" w:rsidRPr="005C1789">
        <w:rPr>
          <w:rFonts w:ascii="Verdana" w:hAnsi="Verdana"/>
          <w:sz w:val="20"/>
          <w:szCs w:val="20"/>
        </w:rPr>
        <w:t>372,75</w:t>
      </w:r>
      <w:r w:rsidRPr="005C1789">
        <w:rPr>
          <w:rFonts w:ascii="Verdana" w:hAnsi="Verdana"/>
          <w:sz w:val="20"/>
          <w:szCs w:val="20"/>
        </w:rPr>
        <w:t xml:space="preserve"> (</w:t>
      </w:r>
      <w:r w:rsidR="00DE5AA1" w:rsidRPr="005C1789">
        <w:rPr>
          <w:rFonts w:ascii="Verdana" w:hAnsi="Verdana"/>
          <w:sz w:val="20"/>
          <w:szCs w:val="20"/>
        </w:rPr>
        <w:t>cuatro mil trescientos setenta y dos</w:t>
      </w:r>
      <w:r w:rsidR="00703E49" w:rsidRPr="005C1789">
        <w:rPr>
          <w:rFonts w:ascii="Verdana" w:hAnsi="Verdana"/>
          <w:sz w:val="20"/>
          <w:szCs w:val="20"/>
        </w:rPr>
        <w:t xml:space="preserve"> </w:t>
      </w:r>
      <w:r w:rsidRPr="005C1789">
        <w:rPr>
          <w:rFonts w:ascii="Verdana" w:hAnsi="Verdana"/>
          <w:sz w:val="20"/>
          <w:szCs w:val="20"/>
        </w:rPr>
        <w:t xml:space="preserve">dólares de los Estados Unidos de América con </w:t>
      </w:r>
      <w:r w:rsidR="00DE5AA1" w:rsidRPr="005C1789">
        <w:rPr>
          <w:rFonts w:ascii="Verdana" w:hAnsi="Verdana"/>
          <w:sz w:val="20"/>
          <w:szCs w:val="20"/>
        </w:rPr>
        <w:t xml:space="preserve">setenta y cinco </w:t>
      </w:r>
      <w:r w:rsidRPr="005C1789">
        <w:rPr>
          <w:rFonts w:ascii="Verdana" w:hAnsi="Verdana"/>
          <w:sz w:val="20"/>
          <w:szCs w:val="20"/>
        </w:rPr>
        <w:t xml:space="preserve">centavos) y, según lo dispuesto en el artículo 5 del Reglamento de la Corte sobre el Funcionamiento del referido Fondo, se otorgó un plazo para que </w:t>
      </w:r>
      <w:r w:rsidR="00703E49" w:rsidRPr="005C1789">
        <w:rPr>
          <w:rFonts w:ascii="Verdana" w:hAnsi="Verdana"/>
          <w:sz w:val="20"/>
          <w:szCs w:val="20"/>
        </w:rPr>
        <w:t>México</w:t>
      </w:r>
      <w:r w:rsidRPr="005C1789">
        <w:rPr>
          <w:rFonts w:ascii="Verdana" w:hAnsi="Verdana"/>
          <w:sz w:val="20"/>
          <w:szCs w:val="20"/>
        </w:rPr>
        <w:t xml:space="preserve"> presentara las observaciones que considerara pertinentes. El Estado </w:t>
      </w:r>
      <w:r w:rsidR="00D364F3" w:rsidRPr="005C1789">
        <w:rPr>
          <w:rFonts w:ascii="Verdana" w:hAnsi="Verdana"/>
          <w:sz w:val="20"/>
          <w:szCs w:val="20"/>
        </w:rPr>
        <w:t xml:space="preserve">no </w:t>
      </w:r>
      <w:r w:rsidRPr="005C1789">
        <w:rPr>
          <w:rFonts w:ascii="Verdana" w:hAnsi="Verdana"/>
          <w:sz w:val="20"/>
          <w:szCs w:val="20"/>
        </w:rPr>
        <w:t xml:space="preserve">presentó </w:t>
      </w:r>
      <w:r w:rsidR="00D364F3" w:rsidRPr="005C1789">
        <w:rPr>
          <w:rFonts w:ascii="Verdana" w:hAnsi="Verdana"/>
          <w:sz w:val="20"/>
          <w:szCs w:val="20"/>
        </w:rPr>
        <w:t>observaciones.</w:t>
      </w:r>
      <w:r w:rsidRPr="005C1789">
        <w:rPr>
          <w:rFonts w:ascii="Verdana" w:hAnsi="Verdana"/>
          <w:sz w:val="20"/>
          <w:szCs w:val="20"/>
        </w:rPr>
        <w:t xml:space="preserve"> Corresponde al Tribunal, en aplicación del artículo 5 del Reglamento del Fondo, evaluar la procedencia de ordenar al Estado demandado el reintegro al Fondo de Asistencia Legal de las erogaciones en que se hubiese incurrido</w:t>
      </w:r>
      <w:r w:rsidRPr="005C1789">
        <w:t xml:space="preserve">. </w:t>
      </w:r>
    </w:p>
    <w:p w14:paraId="32E1EAD2" w14:textId="140F6C88" w:rsidR="00F26BB9" w:rsidRPr="005C1789" w:rsidRDefault="00F26BB9" w:rsidP="00955888">
      <w:pPr>
        <w:pStyle w:val="Prrafodelista"/>
        <w:numPr>
          <w:ilvl w:val="0"/>
          <w:numId w:val="2"/>
        </w:numPr>
        <w:autoSpaceDE w:val="0"/>
        <w:autoSpaceDN w:val="0"/>
        <w:adjustRightInd w:val="0"/>
        <w:spacing w:before="120" w:after="120"/>
        <w:ind w:left="0" w:right="-6" w:firstLine="0"/>
        <w:contextualSpacing w:val="0"/>
        <w:jc w:val="both"/>
        <w:rPr>
          <w:rFonts w:ascii="Verdana" w:hAnsi="Verdana"/>
          <w:sz w:val="20"/>
          <w:szCs w:val="20"/>
        </w:rPr>
      </w:pPr>
      <w:r w:rsidRPr="005C1789">
        <w:rPr>
          <w:rFonts w:ascii="Verdana" w:hAnsi="Verdana"/>
          <w:sz w:val="20"/>
          <w:szCs w:val="20"/>
        </w:rPr>
        <w:t xml:space="preserve">En razón de las violaciones declaradas en la presente Sentencia, la Corte ordena al Estado el reintegro a dicho Fondo por la cantidad de </w:t>
      </w:r>
      <w:r w:rsidR="00DE5AA1" w:rsidRPr="005C1789">
        <w:rPr>
          <w:rFonts w:ascii="Verdana" w:hAnsi="Verdana"/>
          <w:sz w:val="20"/>
          <w:szCs w:val="20"/>
        </w:rPr>
        <w:t>USD 4</w:t>
      </w:r>
      <w:r w:rsidR="005816CB">
        <w:rPr>
          <w:rFonts w:ascii="Verdana" w:hAnsi="Verdana"/>
          <w:sz w:val="20"/>
          <w:szCs w:val="20"/>
        </w:rPr>
        <w:t>.</w:t>
      </w:r>
      <w:r w:rsidR="00DE5AA1" w:rsidRPr="005C1789">
        <w:rPr>
          <w:rFonts w:ascii="Verdana" w:hAnsi="Verdana"/>
          <w:sz w:val="20"/>
          <w:szCs w:val="20"/>
        </w:rPr>
        <w:t>372,75 (cuatro mil trescientos setenta y dos dólares de los Estados Unidos de América con setenta y cinco centavos)</w:t>
      </w:r>
      <w:r w:rsidRPr="005C1789">
        <w:rPr>
          <w:rFonts w:ascii="Verdana" w:hAnsi="Verdana"/>
          <w:sz w:val="20"/>
          <w:szCs w:val="20"/>
        </w:rPr>
        <w:t>, por los gastos incurridos. Este monto deberá́ ser reintegrado a la Corte Interamericana en el plazo de noventa días, contados a partir de la notificación del presente Fallo.</w:t>
      </w:r>
    </w:p>
    <w:p w14:paraId="2F2D12B7" w14:textId="52F2CC30" w:rsidR="005537B2" w:rsidRPr="005C1789" w:rsidRDefault="005537B2" w:rsidP="00955888">
      <w:pPr>
        <w:pStyle w:val="Ttulo2"/>
        <w:numPr>
          <w:ilvl w:val="0"/>
          <w:numId w:val="9"/>
        </w:numPr>
        <w:spacing w:before="240" w:after="240"/>
        <w:rPr>
          <w:rFonts w:ascii="Verdana" w:hAnsi="Verdana"/>
          <w:i/>
          <w:color w:val="auto"/>
          <w:sz w:val="20"/>
          <w:szCs w:val="20"/>
        </w:rPr>
      </w:pPr>
      <w:bookmarkStart w:id="157" w:name="_Toc123347567"/>
      <w:r w:rsidRPr="005C1789">
        <w:rPr>
          <w:rFonts w:ascii="Verdana" w:hAnsi="Verdana"/>
          <w:i/>
          <w:color w:val="auto"/>
          <w:sz w:val="20"/>
          <w:szCs w:val="20"/>
        </w:rPr>
        <w:t>Modalidad de cumplimiento de los pagos ordenados</w:t>
      </w:r>
      <w:bookmarkEnd w:id="157"/>
    </w:p>
    <w:p w14:paraId="7871FF6D" w14:textId="0298B630" w:rsidR="005537B2" w:rsidRPr="005C1789" w:rsidRDefault="005537B2"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r w:rsidR="00610572" w:rsidRPr="005C1789">
        <w:rPr>
          <w:rFonts w:ascii="Verdana" w:hAnsi="Verdana"/>
          <w:sz w:val="20"/>
          <w:szCs w:val="20"/>
        </w:rPr>
        <w:t xml:space="preserve"> En caso de que lo anterior no sea posible, el Estado deberá mantener asegurada la disponibilidad a nivel interno de los fondos por el plazo de diez años.</w:t>
      </w:r>
    </w:p>
    <w:p w14:paraId="40CB855A" w14:textId="413C9BD4" w:rsidR="00882ABF" w:rsidRPr="005C1789" w:rsidRDefault="005537B2" w:rsidP="00955888">
      <w:pPr>
        <w:numPr>
          <w:ilvl w:val="0"/>
          <w:numId w:val="2"/>
        </w:numPr>
        <w:spacing w:before="120" w:after="120"/>
        <w:ind w:left="0" w:firstLine="0"/>
        <w:jc w:val="both"/>
        <w:rPr>
          <w:rFonts w:ascii="Verdana" w:hAnsi="Verdana"/>
          <w:sz w:val="20"/>
          <w:szCs w:val="20"/>
        </w:rPr>
        <w:sectPr w:rsidR="00882ABF" w:rsidRPr="005C1789" w:rsidSect="00D10592">
          <w:headerReference w:type="default" r:id="rId8"/>
          <w:footerReference w:type="even" r:id="rId9"/>
          <w:footerReference w:type="default" r:id="rId10"/>
          <w:type w:val="continuous"/>
          <w:pgSz w:w="12240" w:h="15840"/>
          <w:pgMar w:top="1340" w:right="1020" w:bottom="1140" w:left="1020" w:header="0" w:footer="953" w:gutter="0"/>
          <w:cols w:space="720"/>
          <w:titlePg/>
          <w:docGrid w:linePitch="326"/>
        </w:sectPr>
      </w:pPr>
      <w:r w:rsidRPr="005C1789">
        <w:rPr>
          <w:rFonts w:ascii="Verdana" w:hAnsi="Verdana"/>
          <w:sz w:val="20"/>
          <w:szCs w:val="20"/>
        </w:rPr>
        <w:lastRenderedPageBreak/>
        <w:t>En caso de que el Estado incurriera en mora</w:t>
      </w:r>
      <w:r w:rsidR="009D4681" w:rsidRPr="005C1789">
        <w:rPr>
          <w:rFonts w:ascii="Verdana" w:hAnsi="Verdana"/>
          <w:sz w:val="20"/>
          <w:szCs w:val="20"/>
        </w:rPr>
        <w:t xml:space="preserve"> para </w:t>
      </w:r>
      <w:r w:rsidR="00CB4E4D" w:rsidRPr="005C1789">
        <w:rPr>
          <w:rFonts w:ascii="Verdana" w:hAnsi="Verdana"/>
          <w:sz w:val="20"/>
          <w:szCs w:val="20"/>
        </w:rPr>
        <w:t xml:space="preserve">el reintegro de los gastos al Fondo de Asistencia Legal de </w:t>
      </w:r>
      <w:r w:rsidR="009D4681" w:rsidRPr="005C1789">
        <w:rPr>
          <w:rFonts w:ascii="Verdana" w:hAnsi="Verdana"/>
          <w:sz w:val="20"/>
          <w:szCs w:val="20"/>
        </w:rPr>
        <w:t>Víctimas</w:t>
      </w:r>
      <w:r w:rsidR="00CB4E4D" w:rsidRPr="005C1789">
        <w:rPr>
          <w:rFonts w:ascii="Verdana" w:hAnsi="Verdana"/>
          <w:sz w:val="20"/>
          <w:szCs w:val="20"/>
        </w:rPr>
        <w:t xml:space="preserve"> </w:t>
      </w:r>
      <w:r w:rsidRPr="005C1789">
        <w:rPr>
          <w:rFonts w:ascii="Verdana" w:hAnsi="Verdana"/>
          <w:sz w:val="20"/>
          <w:szCs w:val="20"/>
        </w:rPr>
        <w:t xml:space="preserve">deberá pagar un interés sobre la cantidad adeudada correspondiente al interés bancario moratorio en </w:t>
      </w:r>
      <w:r w:rsidR="00882ABF" w:rsidRPr="005C1789">
        <w:rPr>
          <w:rFonts w:ascii="Verdana" w:hAnsi="Verdana"/>
          <w:sz w:val="20"/>
          <w:szCs w:val="20"/>
        </w:rPr>
        <w:t>México</w:t>
      </w:r>
      <w:r w:rsidRPr="005C1789">
        <w:rPr>
          <w:rFonts w:ascii="Verdana" w:hAnsi="Verdana"/>
          <w:sz w:val="20"/>
          <w:szCs w:val="20"/>
        </w:rPr>
        <w:t>.</w:t>
      </w:r>
      <w:r w:rsidR="00610572" w:rsidRPr="005C1789">
        <w:rPr>
          <w:rFonts w:ascii="Verdana" w:hAnsi="Verdana"/>
          <w:sz w:val="20"/>
          <w:szCs w:val="20"/>
        </w:rPr>
        <w:t xml:space="preserve"> </w:t>
      </w:r>
    </w:p>
    <w:p w14:paraId="44CB2EBF" w14:textId="2E39924A" w:rsidR="002236DE" w:rsidRPr="005C1789" w:rsidRDefault="0085104D" w:rsidP="00955888">
      <w:pPr>
        <w:pStyle w:val="Prrafodelista"/>
        <w:spacing w:before="360" w:after="360"/>
        <w:ind w:left="0" w:right="-799"/>
        <w:contextualSpacing w:val="0"/>
        <w:jc w:val="center"/>
        <w:outlineLvl w:val="0"/>
        <w:rPr>
          <w:rFonts w:ascii="Verdana" w:hAnsi="Verdana"/>
          <w:b/>
          <w:sz w:val="20"/>
          <w:szCs w:val="20"/>
        </w:rPr>
      </w:pPr>
      <w:bookmarkStart w:id="158" w:name="_Toc58330246"/>
      <w:bookmarkStart w:id="159" w:name="_Toc114994621"/>
      <w:bookmarkStart w:id="160" w:name="_Toc123347568"/>
      <w:bookmarkEnd w:id="138"/>
      <w:r w:rsidRPr="005C1789">
        <w:rPr>
          <w:rFonts w:ascii="Verdana" w:hAnsi="Verdana"/>
          <w:b/>
          <w:color w:val="000000" w:themeColor="text1"/>
          <w:sz w:val="20"/>
          <w:szCs w:val="20"/>
        </w:rPr>
        <w:t>X</w:t>
      </w:r>
      <w:r w:rsidR="00981A1B" w:rsidRPr="005C1789">
        <w:rPr>
          <w:rFonts w:ascii="Verdana" w:hAnsi="Verdana"/>
          <w:b/>
          <w:color w:val="FFFFFF" w:themeColor="background1"/>
          <w:sz w:val="20"/>
          <w:szCs w:val="20"/>
        </w:rPr>
        <w:t>.</w:t>
      </w:r>
      <w:r w:rsidR="002236DE" w:rsidRPr="005C1789">
        <w:rPr>
          <w:rFonts w:ascii="Verdana" w:hAnsi="Verdana"/>
          <w:b/>
          <w:sz w:val="20"/>
          <w:szCs w:val="20"/>
        </w:rPr>
        <w:br/>
        <w:t>PUNTOS RESOLUTIVOS</w:t>
      </w:r>
      <w:bookmarkEnd w:id="158"/>
      <w:bookmarkEnd w:id="159"/>
      <w:bookmarkEnd w:id="160"/>
    </w:p>
    <w:p w14:paraId="78CA4808" w14:textId="5BA5E134" w:rsidR="002236DE" w:rsidRPr="005C1789" w:rsidRDefault="002236DE" w:rsidP="00955888">
      <w:pPr>
        <w:numPr>
          <w:ilvl w:val="0"/>
          <w:numId w:val="2"/>
        </w:numPr>
        <w:spacing w:before="120" w:after="120"/>
        <w:ind w:left="0" w:firstLine="0"/>
        <w:jc w:val="both"/>
        <w:rPr>
          <w:rFonts w:ascii="Verdana" w:hAnsi="Verdana"/>
          <w:sz w:val="20"/>
          <w:szCs w:val="20"/>
        </w:rPr>
      </w:pPr>
      <w:r w:rsidRPr="005C1789">
        <w:rPr>
          <w:rFonts w:ascii="Verdana" w:hAnsi="Verdana"/>
          <w:sz w:val="20"/>
          <w:szCs w:val="20"/>
        </w:rPr>
        <w:t xml:space="preserve">Por </w:t>
      </w:r>
      <w:r w:rsidRPr="005C1789">
        <w:rPr>
          <w:rFonts w:ascii="Verdana" w:hAnsi="Verdana"/>
          <w:sz w:val="20"/>
          <w:szCs w:val="20"/>
          <w:lang w:bidi="en-US"/>
        </w:rPr>
        <w:t>tanto</w:t>
      </w:r>
      <w:r w:rsidRPr="005C1789">
        <w:rPr>
          <w:rFonts w:ascii="Verdana" w:hAnsi="Verdana"/>
          <w:sz w:val="20"/>
          <w:szCs w:val="20"/>
        </w:rPr>
        <w:t xml:space="preserve">, </w:t>
      </w:r>
    </w:p>
    <w:p w14:paraId="6E7BAD4C" w14:textId="77777777" w:rsidR="002236DE" w:rsidRPr="005C1789" w:rsidRDefault="002236DE" w:rsidP="00955888">
      <w:pPr>
        <w:pStyle w:val="Prrafodelista"/>
        <w:spacing w:before="240" w:after="240"/>
        <w:ind w:left="0" w:right="-799"/>
        <w:contextualSpacing w:val="0"/>
        <w:rPr>
          <w:rFonts w:ascii="Verdana" w:hAnsi="Verdana"/>
          <w:b/>
          <w:sz w:val="20"/>
          <w:szCs w:val="20"/>
        </w:rPr>
      </w:pPr>
      <w:r w:rsidRPr="005C1789">
        <w:rPr>
          <w:rFonts w:ascii="Verdana" w:hAnsi="Verdana"/>
          <w:b/>
          <w:sz w:val="20"/>
          <w:szCs w:val="20"/>
        </w:rPr>
        <w:t>LA CORTE</w:t>
      </w:r>
    </w:p>
    <w:p w14:paraId="1D63CCA4" w14:textId="3641BB86" w:rsidR="0028057C" w:rsidRPr="005C1789" w:rsidRDefault="0028057C" w:rsidP="00955888">
      <w:pPr>
        <w:spacing w:before="240" w:after="240"/>
        <w:ind w:right="45"/>
        <w:rPr>
          <w:rFonts w:ascii="Verdana" w:hAnsi="Verdana"/>
          <w:b/>
          <w:sz w:val="20"/>
          <w:szCs w:val="20"/>
        </w:rPr>
      </w:pPr>
      <w:r w:rsidRPr="005C1789">
        <w:rPr>
          <w:rFonts w:ascii="Verdana" w:hAnsi="Verdana"/>
          <w:b/>
          <w:sz w:val="20"/>
          <w:szCs w:val="20"/>
        </w:rPr>
        <w:t>DECIDE</w:t>
      </w:r>
    </w:p>
    <w:p w14:paraId="12C3D2E2" w14:textId="3E563FCD" w:rsidR="0028057C" w:rsidRPr="005C1789" w:rsidRDefault="0028057C" w:rsidP="00955888">
      <w:pPr>
        <w:spacing w:before="240" w:after="240"/>
        <w:ind w:right="45"/>
        <w:rPr>
          <w:rFonts w:ascii="Verdana" w:hAnsi="Verdana"/>
          <w:sz w:val="20"/>
          <w:szCs w:val="20"/>
          <w:lang w:val="es-PE"/>
        </w:rPr>
      </w:pPr>
      <w:r w:rsidRPr="005C1789">
        <w:rPr>
          <w:rFonts w:ascii="Verdana" w:hAnsi="Verdana"/>
          <w:sz w:val="20"/>
          <w:szCs w:val="20"/>
          <w:lang w:val="es-PE"/>
        </w:rPr>
        <w:t xml:space="preserve">Por </w:t>
      </w:r>
      <w:r w:rsidR="0035178B" w:rsidRPr="005C1789">
        <w:rPr>
          <w:rFonts w:ascii="Verdana" w:hAnsi="Verdana"/>
          <w:sz w:val="20"/>
          <w:szCs w:val="20"/>
        </w:rPr>
        <w:t>unanimidad</w:t>
      </w:r>
      <w:r w:rsidRPr="005C1789">
        <w:rPr>
          <w:rFonts w:ascii="Verdana" w:hAnsi="Verdana"/>
          <w:sz w:val="20"/>
          <w:szCs w:val="20"/>
          <w:lang w:val="es-PE"/>
        </w:rPr>
        <w:t>:</w:t>
      </w:r>
    </w:p>
    <w:p w14:paraId="06BA8FE4" w14:textId="2821D902" w:rsidR="0028057C" w:rsidRPr="005C1789" w:rsidRDefault="0028057C"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Aceptar el reconocimiento de responsabilidad del Estado en los términos de los párrafos</w:t>
      </w:r>
      <w:r w:rsidR="00023E34" w:rsidRPr="005C1789">
        <w:rPr>
          <w:rFonts w:ascii="Verdana" w:hAnsi="Verdana"/>
          <w:sz w:val="20"/>
          <w:szCs w:val="20"/>
          <w:lang w:val="es-PE"/>
        </w:rPr>
        <w:t xml:space="preserve"> </w:t>
      </w:r>
      <w:r w:rsidR="00A71CFA" w:rsidRPr="005C1789">
        <w:rPr>
          <w:rFonts w:ascii="Verdana" w:hAnsi="Verdana"/>
          <w:sz w:val="20"/>
          <w:szCs w:val="20"/>
          <w:lang w:val="es-MX"/>
        </w:rPr>
        <w:t>19 a 27</w:t>
      </w:r>
      <w:r w:rsidRPr="005C1789">
        <w:rPr>
          <w:rFonts w:ascii="Verdana" w:hAnsi="Verdana"/>
          <w:sz w:val="20"/>
          <w:szCs w:val="20"/>
          <w:lang w:val="es-MX"/>
        </w:rPr>
        <w:t xml:space="preserve"> de la presente Sentencia.</w:t>
      </w:r>
    </w:p>
    <w:p w14:paraId="7D1695BB" w14:textId="775F4841" w:rsidR="002236DE" w:rsidRPr="005C1789" w:rsidRDefault="002236DE" w:rsidP="00955888">
      <w:pPr>
        <w:spacing w:before="240" w:after="240"/>
        <w:ind w:right="45"/>
        <w:rPr>
          <w:rFonts w:ascii="Verdana" w:hAnsi="Verdana"/>
          <w:b/>
          <w:sz w:val="20"/>
          <w:szCs w:val="20"/>
          <w:lang w:val="es-PE"/>
        </w:rPr>
      </w:pPr>
      <w:r w:rsidRPr="005C1789">
        <w:rPr>
          <w:rFonts w:ascii="Verdana" w:hAnsi="Verdana"/>
          <w:b/>
          <w:sz w:val="20"/>
          <w:szCs w:val="20"/>
        </w:rPr>
        <w:t>DECLARA</w:t>
      </w:r>
      <w:r w:rsidRPr="005C1789">
        <w:rPr>
          <w:rFonts w:ascii="Verdana" w:hAnsi="Verdana"/>
          <w:b/>
          <w:sz w:val="20"/>
          <w:szCs w:val="20"/>
          <w:lang w:val="es-PE"/>
        </w:rPr>
        <w:t>,</w:t>
      </w:r>
    </w:p>
    <w:p w14:paraId="1DDB5891" w14:textId="687ED087" w:rsidR="002236DE" w:rsidRPr="005C1789" w:rsidRDefault="002236DE" w:rsidP="00955888">
      <w:pPr>
        <w:spacing w:before="240" w:after="240"/>
        <w:ind w:right="45"/>
        <w:rPr>
          <w:rFonts w:ascii="Verdana" w:hAnsi="Verdana"/>
          <w:sz w:val="20"/>
          <w:szCs w:val="20"/>
          <w:lang w:val="es-PE"/>
        </w:rPr>
      </w:pPr>
      <w:r w:rsidRPr="005C1789">
        <w:rPr>
          <w:rFonts w:ascii="Verdana" w:hAnsi="Verdana"/>
          <w:sz w:val="20"/>
          <w:szCs w:val="20"/>
          <w:lang w:val="es-PE"/>
        </w:rPr>
        <w:t xml:space="preserve">Por </w:t>
      </w:r>
      <w:r w:rsidR="0035178B" w:rsidRPr="005C1789">
        <w:rPr>
          <w:rFonts w:ascii="Verdana" w:hAnsi="Verdana"/>
          <w:sz w:val="20"/>
          <w:szCs w:val="20"/>
        </w:rPr>
        <w:t>unanimidad</w:t>
      </w:r>
      <w:r w:rsidRPr="005C1789">
        <w:rPr>
          <w:rFonts w:ascii="Verdana" w:hAnsi="Verdana"/>
          <w:sz w:val="20"/>
          <w:szCs w:val="20"/>
          <w:lang w:val="es-PE"/>
        </w:rPr>
        <w:t>, que:</w:t>
      </w:r>
    </w:p>
    <w:p w14:paraId="47821957" w14:textId="137FF640" w:rsidR="002F12B4" w:rsidRPr="005C1789" w:rsidRDefault="00F60157"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Estado es responsable por la violación al derecho a la libertad personal contenido en los artículos 7.1, 7.3, </w:t>
      </w:r>
      <w:r w:rsidR="00D326D7" w:rsidRPr="005C1789">
        <w:rPr>
          <w:rFonts w:ascii="Verdana" w:hAnsi="Verdana"/>
          <w:sz w:val="20"/>
          <w:szCs w:val="20"/>
          <w:lang w:val="es-PE"/>
        </w:rPr>
        <w:t xml:space="preserve">y </w:t>
      </w:r>
      <w:r w:rsidRPr="005C1789">
        <w:rPr>
          <w:rFonts w:ascii="Verdana" w:hAnsi="Verdana"/>
          <w:sz w:val="20"/>
          <w:szCs w:val="20"/>
          <w:lang w:val="es-PE"/>
        </w:rPr>
        <w:t xml:space="preserve">7.5 de la Convención Americana sobre Derechos Humanos, al derecho a la presunción de inocencia </w:t>
      </w:r>
      <w:r w:rsidR="009B370E" w:rsidRPr="005C1789">
        <w:rPr>
          <w:rFonts w:ascii="Verdana" w:hAnsi="Verdana"/>
          <w:sz w:val="20"/>
          <w:szCs w:val="20"/>
          <w:lang w:val="es-PE"/>
        </w:rPr>
        <w:t xml:space="preserve">reconocido </w:t>
      </w:r>
      <w:r w:rsidRPr="005C1789">
        <w:rPr>
          <w:rFonts w:ascii="Verdana" w:hAnsi="Verdana"/>
          <w:sz w:val="20"/>
          <w:szCs w:val="20"/>
          <w:lang w:val="es-PE"/>
        </w:rPr>
        <w:t>en el artículo 8.2</w:t>
      </w:r>
      <w:r w:rsidR="00101402" w:rsidRPr="005C1789">
        <w:rPr>
          <w:rFonts w:ascii="Verdana" w:hAnsi="Verdana"/>
          <w:sz w:val="20"/>
          <w:szCs w:val="20"/>
          <w:lang w:val="es-PE"/>
        </w:rPr>
        <w:t xml:space="preserve">, y </w:t>
      </w:r>
      <w:r w:rsidR="00D26645" w:rsidRPr="005C1789">
        <w:rPr>
          <w:rFonts w:ascii="Verdana" w:hAnsi="Verdana"/>
          <w:sz w:val="20"/>
          <w:szCs w:val="20"/>
          <w:lang w:val="es-PE"/>
        </w:rPr>
        <w:t xml:space="preserve">a no declarar contra sí mismo, </w:t>
      </w:r>
      <w:r w:rsidR="009B370E" w:rsidRPr="005C1789">
        <w:rPr>
          <w:rFonts w:ascii="Verdana" w:hAnsi="Verdana"/>
          <w:sz w:val="20"/>
          <w:szCs w:val="20"/>
          <w:lang w:val="es-PE"/>
        </w:rPr>
        <w:t>contemplado</w:t>
      </w:r>
      <w:r w:rsidR="00D26645" w:rsidRPr="005C1789">
        <w:rPr>
          <w:rFonts w:ascii="Verdana" w:hAnsi="Verdana"/>
          <w:sz w:val="20"/>
          <w:szCs w:val="20"/>
          <w:lang w:val="es-PE"/>
        </w:rPr>
        <w:t xml:space="preserve"> en el artículo </w:t>
      </w:r>
      <w:r w:rsidR="00101402" w:rsidRPr="005C1789">
        <w:rPr>
          <w:rFonts w:ascii="Verdana" w:hAnsi="Verdana"/>
          <w:sz w:val="20"/>
          <w:szCs w:val="20"/>
          <w:lang w:val="es-PE"/>
        </w:rPr>
        <w:t>8.2.g)</w:t>
      </w:r>
      <w:r w:rsidRPr="005C1789">
        <w:rPr>
          <w:rFonts w:ascii="Verdana" w:hAnsi="Verdana"/>
          <w:sz w:val="20"/>
          <w:szCs w:val="20"/>
          <w:lang w:val="es-PE"/>
        </w:rPr>
        <w:t xml:space="preserve"> del mismo instrumento, en relación con la obligación de respetar y de garantizar los derechos establecida</w:t>
      </w:r>
      <w:r w:rsidR="005D5DFE" w:rsidRPr="005C1789">
        <w:rPr>
          <w:rFonts w:ascii="Verdana" w:hAnsi="Verdana"/>
          <w:sz w:val="20"/>
          <w:szCs w:val="20"/>
          <w:lang w:val="es-PE"/>
        </w:rPr>
        <w:t xml:space="preserve"> </w:t>
      </w:r>
      <w:r w:rsidRPr="005C1789">
        <w:rPr>
          <w:rFonts w:ascii="Verdana" w:hAnsi="Verdana"/>
          <w:sz w:val="20"/>
          <w:szCs w:val="20"/>
          <w:lang w:val="es-PE"/>
        </w:rPr>
        <w:t>en el artículo 1.1 de la Convención</w:t>
      </w:r>
      <w:r w:rsidR="005D5DFE" w:rsidRPr="005C1789">
        <w:rPr>
          <w:rFonts w:ascii="Verdana" w:hAnsi="Verdana"/>
          <w:sz w:val="20"/>
          <w:szCs w:val="20"/>
          <w:lang w:val="es-PE"/>
        </w:rPr>
        <w:t>, así como la obligación de adoptar disposiciones de derecho interno contenida en el artículo 2 de dicho instrumento</w:t>
      </w:r>
      <w:r w:rsidRPr="005C1789">
        <w:rPr>
          <w:rFonts w:ascii="Verdana" w:hAnsi="Verdana"/>
          <w:sz w:val="20"/>
          <w:szCs w:val="20"/>
          <w:lang w:val="es-PE"/>
        </w:rPr>
        <w:t xml:space="preserve">, </w:t>
      </w:r>
      <w:r w:rsidR="005D5DFE" w:rsidRPr="005C1789">
        <w:rPr>
          <w:rFonts w:ascii="Verdana" w:hAnsi="Verdana"/>
          <w:sz w:val="20"/>
          <w:szCs w:val="20"/>
          <w:lang w:val="es-PE"/>
        </w:rPr>
        <w:t xml:space="preserve">por la aplicación de la figura del arraigo </w:t>
      </w:r>
      <w:r w:rsidRPr="005C1789">
        <w:rPr>
          <w:rFonts w:ascii="Verdana" w:hAnsi="Verdana"/>
          <w:sz w:val="20"/>
          <w:szCs w:val="20"/>
          <w:lang w:val="es-PE"/>
        </w:rPr>
        <w:t>en perjuicio de</w:t>
      </w:r>
      <w:r w:rsidR="00986854" w:rsidRPr="005C1789">
        <w:rPr>
          <w:rFonts w:ascii="Verdana" w:hAnsi="Verdana"/>
          <w:sz w:val="20"/>
          <w:szCs w:val="20"/>
          <w:lang w:val="es-PE"/>
        </w:rPr>
        <w:t xml:space="preserve"> </w:t>
      </w:r>
      <w:r w:rsidRPr="005C1789">
        <w:rPr>
          <w:rFonts w:ascii="Verdana" w:hAnsi="Verdana"/>
          <w:sz w:val="20"/>
          <w:szCs w:val="20"/>
          <w:lang w:val="es-PE"/>
        </w:rPr>
        <w:t>Jorge Marcial Tzompaxtle Tecpile, Gerardo Tzompaxtle Tecpile y Gustavo Robles López</w:t>
      </w:r>
      <w:r w:rsidR="00986854" w:rsidRPr="005C1789">
        <w:rPr>
          <w:rFonts w:ascii="Verdana" w:hAnsi="Verdana"/>
          <w:sz w:val="20"/>
          <w:szCs w:val="20"/>
          <w:lang w:val="es-PE"/>
        </w:rPr>
        <w:t xml:space="preserve">, </w:t>
      </w:r>
      <w:r w:rsidR="002F12B4" w:rsidRPr="005C1789">
        <w:rPr>
          <w:rFonts w:ascii="Verdana" w:hAnsi="Verdana"/>
          <w:sz w:val="20"/>
          <w:szCs w:val="20"/>
          <w:lang w:val="es-MX"/>
        </w:rPr>
        <w:t xml:space="preserve">en los términos de los párrafos </w:t>
      </w:r>
      <w:r w:rsidR="009C3A2F" w:rsidRPr="005C1789">
        <w:rPr>
          <w:rFonts w:ascii="Verdana" w:hAnsi="Verdana"/>
          <w:sz w:val="20"/>
          <w:szCs w:val="20"/>
          <w:lang w:val="es-MX"/>
        </w:rPr>
        <w:t xml:space="preserve">120 </w:t>
      </w:r>
      <w:r w:rsidR="002F12B4" w:rsidRPr="005C1789">
        <w:rPr>
          <w:rFonts w:ascii="Verdana" w:hAnsi="Verdana"/>
          <w:sz w:val="20"/>
          <w:szCs w:val="20"/>
          <w:lang w:val="es-MX"/>
        </w:rPr>
        <w:t xml:space="preserve">a </w:t>
      </w:r>
      <w:r w:rsidR="009C3A2F" w:rsidRPr="005C1789">
        <w:rPr>
          <w:rFonts w:ascii="Verdana" w:hAnsi="Verdana"/>
          <w:sz w:val="20"/>
          <w:szCs w:val="20"/>
          <w:lang w:val="es-MX"/>
        </w:rPr>
        <w:t>157</w:t>
      </w:r>
      <w:r w:rsidR="00DB672F" w:rsidRPr="005C1789">
        <w:rPr>
          <w:rFonts w:ascii="Verdana" w:hAnsi="Verdana"/>
          <w:sz w:val="20"/>
          <w:szCs w:val="20"/>
          <w:lang w:val="es-MX"/>
        </w:rPr>
        <w:t xml:space="preserve">, </w:t>
      </w:r>
      <w:r w:rsidR="00C82958" w:rsidRPr="005C1789">
        <w:rPr>
          <w:rFonts w:ascii="Verdana" w:hAnsi="Verdana"/>
          <w:sz w:val="20"/>
          <w:szCs w:val="20"/>
          <w:lang w:val="es-MX"/>
        </w:rPr>
        <w:t>y 166</w:t>
      </w:r>
      <w:r w:rsidR="002F12B4" w:rsidRPr="005C1789">
        <w:rPr>
          <w:rFonts w:ascii="Verdana" w:hAnsi="Verdana"/>
          <w:sz w:val="20"/>
          <w:szCs w:val="20"/>
          <w:lang w:val="es-MX"/>
        </w:rPr>
        <w:t xml:space="preserve"> </w:t>
      </w:r>
      <w:r w:rsidR="00C82958" w:rsidRPr="005C1789">
        <w:rPr>
          <w:rFonts w:ascii="Verdana" w:hAnsi="Verdana"/>
          <w:sz w:val="20"/>
          <w:szCs w:val="20"/>
          <w:lang w:val="es-MX"/>
        </w:rPr>
        <w:t>a</w:t>
      </w:r>
      <w:r w:rsidR="003C3A0A" w:rsidRPr="005C1789">
        <w:rPr>
          <w:rFonts w:ascii="Verdana" w:hAnsi="Verdana"/>
          <w:sz w:val="20"/>
          <w:szCs w:val="20"/>
          <w:lang w:val="es-MX"/>
        </w:rPr>
        <w:t xml:space="preserve"> 168 </w:t>
      </w:r>
      <w:r w:rsidR="002F12B4" w:rsidRPr="005C1789">
        <w:rPr>
          <w:rFonts w:ascii="Verdana" w:hAnsi="Verdana"/>
          <w:sz w:val="20"/>
          <w:szCs w:val="20"/>
          <w:lang w:val="es-MX"/>
        </w:rPr>
        <w:t>de la presente Sentencia.</w:t>
      </w:r>
      <w:r w:rsidR="003D61A1" w:rsidRPr="005C1789">
        <w:rPr>
          <w:rFonts w:ascii="Verdana" w:hAnsi="Verdana"/>
          <w:sz w:val="20"/>
          <w:szCs w:val="20"/>
          <w:lang w:val="es-MX"/>
        </w:rPr>
        <w:t xml:space="preserve"> Asimismo, en virtud del reconocimiento de responsabilidad, </w:t>
      </w:r>
      <w:r w:rsidR="00C77401" w:rsidRPr="005C1789">
        <w:rPr>
          <w:rFonts w:ascii="Verdana" w:hAnsi="Verdana"/>
          <w:sz w:val="20"/>
          <w:szCs w:val="20"/>
          <w:lang w:val="es-MX"/>
        </w:rPr>
        <w:t>el Estado</w:t>
      </w:r>
      <w:r w:rsidR="003D61A1" w:rsidRPr="005C1789">
        <w:rPr>
          <w:rFonts w:ascii="Verdana" w:hAnsi="Verdana"/>
          <w:sz w:val="20"/>
          <w:szCs w:val="20"/>
          <w:lang w:val="es-MX"/>
        </w:rPr>
        <w:t xml:space="preserve"> es responsable por la violación al derecho a la libertad personal contenido en el artículo 7.1, 7.2, </w:t>
      </w:r>
      <w:r w:rsidR="00E110FA">
        <w:rPr>
          <w:rFonts w:ascii="Verdana" w:hAnsi="Verdana"/>
          <w:sz w:val="20"/>
          <w:szCs w:val="20"/>
          <w:lang w:val="es-MX"/>
        </w:rPr>
        <w:t xml:space="preserve">7.3, </w:t>
      </w:r>
      <w:r w:rsidR="003D61A1" w:rsidRPr="005C1789">
        <w:rPr>
          <w:rFonts w:ascii="Verdana" w:hAnsi="Verdana"/>
          <w:sz w:val="20"/>
          <w:szCs w:val="20"/>
          <w:lang w:val="es-MX"/>
        </w:rPr>
        <w:t>7.4</w:t>
      </w:r>
      <w:r w:rsidR="00E110FA">
        <w:rPr>
          <w:rFonts w:ascii="Verdana" w:hAnsi="Verdana"/>
          <w:sz w:val="20"/>
          <w:szCs w:val="20"/>
          <w:lang w:val="es-MX"/>
        </w:rPr>
        <w:t>,</w:t>
      </w:r>
      <w:r w:rsidR="000A14AC">
        <w:rPr>
          <w:rFonts w:ascii="Verdana" w:hAnsi="Verdana"/>
          <w:sz w:val="20"/>
          <w:szCs w:val="20"/>
          <w:lang w:val="es-MX"/>
        </w:rPr>
        <w:t xml:space="preserve"> </w:t>
      </w:r>
      <w:r w:rsidR="00E110FA">
        <w:rPr>
          <w:rFonts w:ascii="Verdana" w:hAnsi="Verdana"/>
          <w:sz w:val="20"/>
          <w:szCs w:val="20"/>
          <w:lang w:val="es-MX"/>
        </w:rPr>
        <w:t xml:space="preserve">7.5, </w:t>
      </w:r>
      <w:r w:rsidR="000A14AC">
        <w:rPr>
          <w:rFonts w:ascii="Verdana" w:hAnsi="Verdana"/>
          <w:sz w:val="20"/>
          <w:szCs w:val="20"/>
          <w:lang w:val="es-MX"/>
        </w:rPr>
        <w:t>y 7</w:t>
      </w:r>
      <w:r w:rsidR="003C06D3">
        <w:rPr>
          <w:rFonts w:ascii="Verdana" w:hAnsi="Verdana"/>
          <w:sz w:val="20"/>
          <w:szCs w:val="20"/>
          <w:lang w:val="es-MX"/>
        </w:rPr>
        <w:t>.6</w:t>
      </w:r>
      <w:r w:rsidR="003D61A1" w:rsidRPr="005C1789">
        <w:rPr>
          <w:rFonts w:ascii="Verdana" w:hAnsi="Verdana"/>
          <w:sz w:val="20"/>
          <w:szCs w:val="20"/>
          <w:lang w:val="es-MX"/>
        </w:rPr>
        <w:t xml:space="preserve"> de la Convención Americana, </w:t>
      </w:r>
      <w:r w:rsidR="00C77401" w:rsidRPr="005C1789">
        <w:rPr>
          <w:rFonts w:ascii="Verdana" w:hAnsi="Verdana"/>
          <w:sz w:val="20"/>
          <w:szCs w:val="20"/>
          <w:lang w:val="es-MX"/>
        </w:rPr>
        <w:t>en relación</w:t>
      </w:r>
      <w:r w:rsidR="003D61A1" w:rsidRPr="005C1789">
        <w:rPr>
          <w:rFonts w:ascii="Verdana" w:hAnsi="Verdana"/>
          <w:sz w:val="20"/>
          <w:szCs w:val="20"/>
          <w:lang w:val="es-MX"/>
        </w:rPr>
        <w:t xml:space="preserve"> </w:t>
      </w:r>
      <w:r w:rsidR="003D61A1" w:rsidRPr="005C1789">
        <w:rPr>
          <w:rFonts w:ascii="Verdana" w:hAnsi="Verdana"/>
          <w:sz w:val="20"/>
          <w:szCs w:val="20"/>
          <w:lang w:val="es-PE"/>
        </w:rPr>
        <w:t>con la obligación de respetar los derechos establecida en el artículo 1.1 del mismo instrumento la Convención</w:t>
      </w:r>
      <w:r w:rsidR="00C77401" w:rsidRPr="005C1789">
        <w:rPr>
          <w:rFonts w:ascii="Verdana" w:hAnsi="Verdana"/>
          <w:sz w:val="20"/>
          <w:szCs w:val="20"/>
          <w:lang w:val="es-MX"/>
        </w:rPr>
        <w:t xml:space="preserve"> en perjuicio </w:t>
      </w:r>
      <w:r w:rsidR="00C77401" w:rsidRPr="005C1789">
        <w:rPr>
          <w:rFonts w:ascii="Verdana" w:hAnsi="Verdana"/>
          <w:sz w:val="20"/>
          <w:szCs w:val="20"/>
          <w:lang w:val="es-PE"/>
        </w:rPr>
        <w:t>de Jorge Marcial Tzompaxtle Tecpile, Gerardo Tzompaxtle Tecpile y Gustavo Robles López</w:t>
      </w:r>
      <w:r w:rsidR="00276D9E">
        <w:rPr>
          <w:rFonts w:ascii="Verdana" w:hAnsi="Verdana"/>
          <w:sz w:val="20"/>
          <w:szCs w:val="20"/>
          <w:lang w:val="es-PE"/>
        </w:rPr>
        <w:t>,</w:t>
      </w:r>
      <w:r w:rsidR="002F2659" w:rsidRPr="005C1789">
        <w:rPr>
          <w:rFonts w:ascii="Verdana" w:hAnsi="Verdana"/>
          <w:sz w:val="20"/>
          <w:szCs w:val="20"/>
          <w:lang w:val="es-PE"/>
        </w:rPr>
        <w:t xml:space="preserve"> </w:t>
      </w:r>
      <w:r w:rsidR="002F2659" w:rsidRPr="005C1789">
        <w:rPr>
          <w:rFonts w:ascii="Verdana" w:hAnsi="Verdana"/>
          <w:sz w:val="20"/>
          <w:szCs w:val="20"/>
          <w:lang w:val="es-MX"/>
        </w:rPr>
        <w:t>en los términos de</w:t>
      </w:r>
      <w:r w:rsidR="00F72D88" w:rsidRPr="005C1789">
        <w:rPr>
          <w:rFonts w:ascii="Verdana" w:hAnsi="Verdana"/>
          <w:sz w:val="20"/>
          <w:szCs w:val="20"/>
          <w:lang w:val="es-MX"/>
        </w:rPr>
        <w:t xml:space="preserve">l </w:t>
      </w:r>
      <w:r w:rsidR="002F2659" w:rsidRPr="005C1789">
        <w:rPr>
          <w:rFonts w:ascii="Verdana" w:hAnsi="Verdana"/>
          <w:sz w:val="20"/>
          <w:szCs w:val="20"/>
          <w:lang w:val="es-MX"/>
        </w:rPr>
        <w:t xml:space="preserve">párrafo </w:t>
      </w:r>
      <w:r w:rsidR="00F72D88" w:rsidRPr="005C1789">
        <w:rPr>
          <w:rFonts w:ascii="Verdana" w:hAnsi="Verdana"/>
          <w:sz w:val="20"/>
          <w:szCs w:val="20"/>
          <w:lang w:val="es-MX"/>
        </w:rPr>
        <w:t>22</w:t>
      </w:r>
      <w:r w:rsidR="002F2659" w:rsidRPr="005C1789">
        <w:rPr>
          <w:rFonts w:ascii="Verdana" w:hAnsi="Verdana"/>
          <w:sz w:val="20"/>
          <w:szCs w:val="20"/>
          <w:lang w:val="es-MX"/>
        </w:rPr>
        <w:t xml:space="preserve"> de la presente Sentencia</w:t>
      </w:r>
      <w:r w:rsidR="00C77401" w:rsidRPr="005C1789">
        <w:rPr>
          <w:rFonts w:ascii="Verdana" w:hAnsi="Verdana"/>
          <w:sz w:val="20"/>
          <w:szCs w:val="20"/>
          <w:lang w:val="es-PE"/>
        </w:rPr>
        <w:t>.</w:t>
      </w:r>
    </w:p>
    <w:p w14:paraId="0294C4FB" w14:textId="2B3302B7" w:rsidR="005D5DFE" w:rsidRPr="005C1789" w:rsidRDefault="005D5DF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Estado es responsable por la violación al derecho a la libertad personal contenido en los artículos 7.1, 7.3, y 7.5 de la Convención Americana sobre Derechos Humanos, al derecho a la presunción de inocencia reconocido en el artículo 8.2, contemplado en el mismo instrumento, en relación con la obligación de respetar y de garantizar los derechos establecida en el artículo 1.1 de la Convención, así como la obligación de adoptar disposiciones de derecho interno contenida en el artículo 2 de dicho instrumento, por la aplicación de la </w:t>
      </w:r>
      <w:r w:rsidR="00322CC6" w:rsidRPr="005C1789">
        <w:rPr>
          <w:rFonts w:ascii="Verdana" w:hAnsi="Verdana"/>
          <w:sz w:val="20"/>
          <w:szCs w:val="20"/>
          <w:lang w:val="es-PE"/>
        </w:rPr>
        <w:t>prisión preventiva</w:t>
      </w:r>
      <w:r w:rsidRPr="005C1789">
        <w:rPr>
          <w:rFonts w:ascii="Verdana" w:hAnsi="Verdana"/>
          <w:sz w:val="20"/>
          <w:szCs w:val="20"/>
          <w:lang w:val="es-PE"/>
        </w:rPr>
        <w:t xml:space="preserve"> en perjuicio de Jorge Marcial Tzompaxtle Tecpile, Gerardo Tzompaxtle Tecpile y Gustavo Robles López, </w:t>
      </w:r>
      <w:r w:rsidRPr="005C1789">
        <w:rPr>
          <w:rFonts w:ascii="Verdana" w:hAnsi="Verdana"/>
          <w:sz w:val="20"/>
          <w:szCs w:val="20"/>
          <w:lang w:val="es-MX"/>
        </w:rPr>
        <w:t xml:space="preserve">en los términos de los párrafos </w:t>
      </w:r>
      <w:r w:rsidR="008F6464" w:rsidRPr="005C1789">
        <w:rPr>
          <w:rFonts w:ascii="Verdana" w:hAnsi="Verdana"/>
          <w:sz w:val="20"/>
          <w:szCs w:val="20"/>
          <w:lang w:val="es-MX"/>
        </w:rPr>
        <w:t xml:space="preserve">158 </w:t>
      </w:r>
      <w:r w:rsidRPr="005C1789">
        <w:rPr>
          <w:rFonts w:ascii="Verdana" w:hAnsi="Verdana"/>
          <w:sz w:val="20"/>
          <w:szCs w:val="20"/>
          <w:lang w:val="es-MX"/>
        </w:rPr>
        <w:t xml:space="preserve">a </w:t>
      </w:r>
      <w:r w:rsidR="008F6464" w:rsidRPr="005C1789">
        <w:rPr>
          <w:rFonts w:ascii="Verdana" w:hAnsi="Verdana"/>
          <w:sz w:val="20"/>
          <w:szCs w:val="20"/>
          <w:lang w:val="es-MX"/>
        </w:rPr>
        <w:t>167 y 169</w:t>
      </w:r>
      <w:r w:rsidRPr="005C1789">
        <w:rPr>
          <w:rFonts w:ascii="Verdana" w:hAnsi="Verdana"/>
          <w:sz w:val="20"/>
          <w:szCs w:val="20"/>
          <w:lang w:val="es-MX"/>
        </w:rPr>
        <w:t xml:space="preserve"> de la presente Sentencia.</w:t>
      </w:r>
    </w:p>
    <w:p w14:paraId="46A906EA" w14:textId="0DDA832D" w:rsidR="00D217D3"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w:t>
      </w:r>
      <w:r w:rsidRPr="005C1789">
        <w:rPr>
          <w:rFonts w:ascii="Verdana" w:hAnsi="Verdana"/>
          <w:sz w:val="20"/>
          <w:szCs w:val="20"/>
        </w:rPr>
        <w:t>Estado</w:t>
      </w:r>
      <w:r w:rsidRPr="005C1789">
        <w:rPr>
          <w:rFonts w:ascii="Verdana" w:hAnsi="Verdana"/>
          <w:sz w:val="20"/>
          <w:szCs w:val="20"/>
          <w:lang w:val="es-PE"/>
        </w:rPr>
        <w:t xml:space="preserve"> es responsable por la violación </w:t>
      </w:r>
      <w:r w:rsidR="005D4C1E" w:rsidRPr="005C1789">
        <w:rPr>
          <w:rFonts w:ascii="Verdana" w:hAnsi="Verdana"/>
          <w:sz w:val="20"/>
          <w:szCs w:val="20"/>
        </w:rPr>
        <w:t>de</w:t>
      </w:r>
      <w:r w:rsidR="00A716CA" w:rsidRPr="005C1789">
        <w:rPr>
          <w:rFonts w:ascii="Verdana" w:hAnsi="Verdana"/>
          <w:sz w:val="20"/>
          <w:szCs w:val="20"/>
        </w:rPr>
        <w:t xml:space="preserve"> los derechos a la </w:t>
      </w:r>
      <w:r w:rsidR="00986854" w:rsidRPr="005C1789">
        <w:rPr>
          <w:rFonts w:ascii="Verdana" w:hAnsi="Verdana"/>
          <w:sz w:val="20"/>
          <w:szCs w:val="20"/>
        </w:rPr>
        <w:t xml:space="preserve">integridad personal y a </w:t>
      </w:r>
      <w:r w:rsidR="00A716CA" w:rsidRPr="005C1789">
        <w:rPr>
          <w:rFonts w:ascii="Verdana" w:hAnsi="Verdana"/>
          <w:sz w:val="20"/>
          <w:szCs w:val="20"/>
        </w:rPr>
        <w:t xml:space="preserve">vida privada, contenidos en los artículos </w:t>
      </w:r>
      <w:r w:rsidR="00F60157" w:rsidRPr="005C1789">
        <w:rPr>
          <w:rFonts w:ascii="Verdana" w:hAnsi="Verdana"/>
          <w:sz w:val="20"/>
          <w:szCs w:val="20"/>
        </w:rPr>
        <w:t xml:space="preserve">5 y </w:t>
      </w:r>
      <w:r w:rsidR="00A716CA" w:rsidRPr="005C1789">
        <w:rPr>
          <w:rFonts w:ascii="Verdana" w:hAnsi="Verdana"/>
          <w:sz w:val="20"/>
          <w:szCs w:val="20"/>
        </w:rPr>
        <w:t>11.2</w:t>
      </w:r>
      <w:r w:rsidR="002F12B4" w:rsidRPr="005C1789">
        <w:rPr>
          <w:rFonts w:ascii="Verdana" w:hAnsi="Verdana"/>
          <w:sz w:val="20"/>
          <w:szCs w:val="20"/>
        </w:rPr>
        <w:t xml:space="preserve"> </w:t>
      </w:r>
      <w:r w:rsidR="00A716CA" w:rsidRPr="005C1789">
        <w:rPr>
          <w:rFonts w:ascii="Verdana" w:hAnsi="Verdana"/>
          <w:sz w:val="20"/>
          <w:szCs w:val="20"/>
        </w:rPr>
        <w:t xml:space="preserve">de la </w:t>
      </w:r>
      <w:r w:rsidR="00D217D3" w:rsidRPr="005C1789">
        <w:rPr>
          <w:rFonts w:ascii="Verdana" w:hAnsi="Verdana"/>
          <w:sz w:val="20"/>
          <w:szCs w:val="20"/>
        </w:rPr>
        <w:t>Convención Americana sobre Derechos Humanos</w:t>
      </w:r>
      <w:r w:rsidR="00A716CA" w:rsidRPr="005C1789">
        <w:rPr>
          <w:rFonts w:ascii="Verdana" w:hAnsi="Verdana"/>
          <w:sz w:val="20"/>
          <w:szCs w:val="20"/>
        </w:rPr>
        <w:t xml:space="preserve">, en relación con </w:t>
      </w:r>
      <w:r w:rsidR="009A36EE" w:rsidRPr="005C1789">
        <w:rPr>
          <w:rFonts w:ascii="Verdana" w:hAnsi="Verdana"/>
          <w:sz w:val="20"/>
          <w:szCs w:val="20"/>
        </w:rPr>
        <w:t xml:space="preserve">las obligaciones de respeto, establecida en el </w:t>
      </w:r>
      <w:r w:rsidR="00692B13" w:rsidRPr="005C1789">
        <w:rPr>
          <w:rFonts w:ascii="Verdana" w:hAnsi="Verdana"/>
          <w:sz w:val="20"/>
          <w:szCs w:val="20"/>
        </w:rPr>
        <w:t xml:space="preserve">artículo </w:t>
      </w:r>
      <w:r w:rsidR="00A716CA" w:rsidRPr="005C1789">
        <w:rPr>
          <w:rFonts w:ascii="Verdana" w:hAnsi="Verdana"/>
          <w:sz w:val="20"/>
          <w:szCs w:val="20"/>
        </w:rPr>
        <w:t xml:space="preserve">1.1 del mismo instrumento, en perjuicio de </w:t>
      </w:r>
      <w:r w:rsidR="00F60157" w:rsidRPr="005C1789">
        <w:rPr>
          <w:rFonts w:ascii="Verdana" w:hAnsi="Verdana"/>
          <w:sz w:val="20"/>
          <w:szCs w:val="20"/>
          <w:lang w:val="es-PE"/>
        </w:rPr>
        <w:t xml:space="preserve">Jorge Marcial y Gerardo Tzompaxtle Tecpile, y Gustavo Robles López, </w:t>
      </w:r>
      <w:r w:rsidR="00F60157" w:rsidRPr="005C1789">
        <w:rPr>
          <w:rFonts w:ascii="Verdana" w:hAnsi="Verdana"/>
          <w:sz w:val="20"/>
          <w:szCs w:val="20"/>
          <w:lang w:val="es-MX"/>
        </w:rPr>
        <w:t xml:space="preserve">en los términos de los párrafos </w:t>
      </w:r>
      <w:r w:rsidR="0070302D" w:rsidRPr="005C1789">
        <w:rPr>
          <w:rFonts w:ascii="Verdana" w:hAnsi="Verdana"/>
          <w:sz w:val="20"/>
          <w:szCs w:val="20"/>
          <w:lang w:val="es-MX"/>
        </w:rPr>
        <w:t xml:space="preserve">22, y 180 </w:t>
      </w:r>
      <w:r w:rsidR="00F60157" w:rsidRPr="005C1789">
        <w:rPr>
          <w:rFonts w:ascii="Verdana" w:hAnsi="Verdana"/>
          <w:sz w:val="20"/>
          <w:szCs w:val="20"/>
          <w:lang w:val="es-MX"/>
        </w:rPr>
        <w:t xml:space="preserve">a </w:t>
      </w:r>
      <w:r w:rsidR="0070302D" w:rsidRPr="005C1789">
        <w:rPr>
          <w:rFonts w:ascii="Verdana" w:hAnsi="Verdana"/>
          <w:sz w:val="20"/>
          <w:szCs w:val="20"/>
          <w:lang w:val="es-MX"/>
        </w:rPr>
        <w:t>195</w:t>
      </w:r>
      <w:r w:rsidR="00F60157" w:rsidRPr="005C1789">
        <w:rPr>
          <w:rFonts w:ascii="Verdana" w:hAnsi="Verdana"/>
          <w:sz w:val="20"/>
          <w:szCs w:val="20"/>
          <w:lang w:val="es-MX"/>
        </w:rPr>
        <w:t xml:space="preserve"> de la presente Sentencia</w:t>
      </w:r>
      <w:r w:rsidRPr="005C1789">
        <w:rPr>
          <w:rFonts w:ascii="Verdana" w:hAnsi="Verdana"/>
          <w:sz w:val="20"/>
          <w:szCs w:val="20"/>
          <w:lang w:val="es-MX"/>
        </w:rPr>
        <w:t>.</w:t>
      </w:r>
    </w:p>
    <w:p w14:paraId="68C9521B" w14:textId="5DBB24D9" w:rsidR="00CB672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w:t>
      </w:r>
      <w:r w:rsidRPr="005C1789">
        <w:rPr>
          <w:rFonts w:ascii="Verdana" w:hAnsi="Verdana"/>
          <w:sz w:val="20"/>
          <w:szCs w:val="20"/>
        </w:rPr>
        <w:t>Estado</w:t>
      </w:r>
      <w:r w:rsidRPr="005C1789">
        <w:rPr>
          <w:rFonts w:ascii="Verdana" w:hAnsi="Verdana"/>
          <w:sz w:val="20"/>
          <w:szCs w:val="20"/>
          <w:lang w:val="es-PE"/>
        </w:rPr>
        <w:t xml:space="preserve"> es responsable por la violación </w:t>
      </w:r>
      <w:r w:rsidR="00F60157" w:rsidRPr="005C1789">
        <w:rPr>
          <w:rFonts w:ascii="Verdana" w:hAnsi="Verdana"/>
          <w:sz w:val="20"/>
          <w:szCs w:val="20"/>
          <w:lang w:val="es-PE"/>
        </w:rPr>
        <w:t>del</w:t>
      </w:r>
      <w:r w:rsidRPr="005C1789">
        <w:rPr>
          <w:rFonts w:ascii="Verdana" w:hAnsi="Verdana"/>
          <w:sz w:val="20"/>
          <w:szCs w:val="20"/>
          <w:lang w:val="es-PE"/>
        </w:rPr>
        <w:t xml:space="preserve"> derecho a las garantías judiciales</w:t>
      </w:r>
      <w:r w:rsidR="00BF48F9" w:rsidRPr="005C1789">
        <w:rPr>
          <w:rFonts w:ascii="Verdana" w:hAnsi="Verdana"/>
          <w:sz w:val="20"/>
          <w:szCs w:val="20"/>
          <w:lang w:val="es-PE"/>
        </w:rPr>
        <w:t xml:space="preserve"> y a la protecci</w:t>
      </w:r>
      <w:r w:rsidR="00280CFD" w:rsidRPr="005C1789">
        <w:rPr>
          <w:rFonts w:ascii="Verdana" w:hAnsi="Verdana"/>
          <w:sz w:val="20"/>
          <w:szCs w:val="20"/>
          <w:lang w:val="es-PE"/>
        </w:rPr>
        <w:t>ó</w:t>
      </w:r>
      <w:r w:rsidR="00BF48F9" w:rsidRPr="005C1789">
        <w:rPr>
          <w:rFonts w:ascii="Verdana" w:hAnsi="Verdana"/>
          <w:sz w:val="20"/>
          <w:szCs w:val="20"/>
          <w:lang w:val="es-PE"/>
        </w:rPr>
        <w:t>n judicial</w:t>
      </w:r>
      <w:r w:rsidRPr="005C1789">
        <w:rPr>
          <w:rFonts w:ascii="Verdana" w:hAnsi="Verdana"/>
          <w:sz w:val="20"/>
          <w:szCs w:val="20"/>
          <w:lang w:val="es-PE"/>
        </w:rPr>
        <w:t>, contenido</w:t>
      </w:r>
      <w:r w:rsidR="00BF48F9" w:rsidRPr="005C1789">
        <w:rPr>
          <w:rFonts w:ascii="Verdana" w:hAnsi="Verdana"/>
          <w:sz w:val="20"/>
          <w:szCs w:val="20"/>
          <w:lang w:val="es-PE"/>
        </w:rPr>
        <w:t>s</w:t>
      </w:r>
      <w:r w:rsidRPr="005C1789">
        <w:rPr>
          <w:rFonts w:ascii="Verdana" w:hAnsi="Verdana"/>
          <w:sz w:val="20"/>
          <w:szCs w:val="20"/>
          <w:lang w:val="es-PE"/>
        </w:rPr>
        <w:t xml:space="preserve"> en </w:t>
      </w:r>
      <w:r w:rsidR="008F5824" w:rsidRPr="005C1789">
        <w:rPr>
          <w:rFonts w:ascii="Verdana" w:hAnsi="Verdana"/>
          <w:sz w:val="20"/>
          <w:szCs w:val="20"/>
          <w:lang w:val="es-PE"/>
        </w:rPr>
        <w:t>los</w:t>
      </w:r>
      <w:r w:rsidRPr="005C1789">
        <w:rPr>
          <w:rFonts w:ascii="Verdana" w:hAnsi="Verdana"/>
          <w:sz w:val="20"/>
          <w:szCs w:val="20"/>
          <w:lang w:val="es-PE"/>
        </w:rPr>
        <w:t xml:space="preserve"> artículo</w:t>
      </w:r>
      <w:r w:rsidR="008F5824" w:rsidRPr="005C1789">
        <w:rPr>
          <w:rFonts w:ascii="Verdana" w:hAnsi="Verdana"/>
          <w:sz w:val="20"/>
          <w:szCs w:val="20"/>
          <w:lang w:val="es-PE"/>
        </w:rPr>
        <w:t>s</w:t>
      </w:r>
      <w:r w:rsidRPr="005C1789">
        <w:rPr>
          <w:rFonts w:ascii="Verdana" w:hAnsi="Verdana"/>
          <w:sz w:val="20"/>
          <w:szCs w:val="20"/>
          <w:lang w:val="es-PE"/>
        </w:rPr>
        <w:t xml:space="preserve"> 8.</w:t>
      </w:r>
      <w:r w:rsidR="001C246B" w:rsidRPr="005C1789">
        <w:rPr>
          <w:rFonts w:ascii="Verdana" w:hAnsi="Verdana"/>
          <w:sz w:val="20"/>
          <w:szCs w:val="20"/>
          <w:lang w:val="es-PE"/>
        </w:rPr>
        <w:t>2.</w:t>
      </w:r>
      <w:r w:rsidR="0051297F" w:rsidRPr="005C1789">
        <w:rPr>
          <w:rFonts w:ascii="Verdana" w:hAnsi="Verdana"/>
          <w:sz w:val="20"/>
          <w:szCs w:val="20"/>
          <w:lang w:val="es-PE"/>
        </w:rPr>
        <w:t>b</w:t>
      </w:r>
      <w:r w:rsidR="001C246B" w:rsidRPr="005C1789">
        <w:rPr>
          <w:rFonts w:ascii="Verdana" w:hAnsi="Verdana"/>
          <w:sz w:val="20"/>
          <w:szCs w:val="20"/>
          <w:lang w:val="es-PE"/>
        </w:rPr>
        <w:t xml:space="preserve">), </w:t>
      </w:r>
      <w:r w:rsidR="0051297F" w:rsidRPr="005C1789">
        <w:rPr>
          <w:rFonts w:ascii="Verdana" w:hAnsi="Verdana"/>
          <w:sz w:val="20"/>
          <w:szCs w:val="20"/>
          <w:lang w:val="es-PE"/>
        </w:rPr>
        <w:t>d</w:t>
      </w:r>
      <w:r w:rsidR="001C246B" w:rsidRPr="005C1789">
        <w:rPr>
          <w:rFonts w:ascii="Verdana" w:hAnsi="Verdana"/>
          <w:sz w:val="20"/>
          <w:szCs w:val="20"/>
          <w:lang w:val="es-PE"/>
        </w:rPr>
        <w:t>)</w:t>
      </w:r>
      <w:r w:rsidR="00101402" w:rsidRPr="005C1789">
        <w:rPr>
          <w:rFonts w:ascii="Verdana" w:hAnsi="Verdana"/>
          <w:sz w:val="20"/>
          <w:szCs w:val="20"/>
          <w:lang w:val="es-PE"/>
        </w:rPr>
        <w:t>,</w:t>
      </w:r>
      <w:r w:rsidR="001C246B" w:rsidRPr="005C1789">
        <w:rPr>
          <w:rFonts w:ascii="Verdana" w:hAnsi="Verdana"/>
          <w:sz w:val="20"/>
          <w:szCs w:val="20"/>
          <w:lang w:val="es-PE"/>
        </w:rPr>
        <w:t xml:space="preserve"> </w:t>
      </w:r>
      <w:r w:rsidR="0051297F" w:rsidRPr="005C1789">
        <w:rPr>
          <w:rFonts w:ascii="Verdana" w:hAnsi="Verdana"/>
          <w:sz w:val="20"/>
          <w:szCs w:val="20"/>
          <w:lang w:val="es-PE"/>
        </w:rPr>
        <w:t>e</w:t>
      </w:r>
      <w:r w:rsidR="001C246B" w:rsidRPr="005C1789">
        <w:rPr>
          <w:rFonts w:ascii="Verdana" w:hAnsi="Verdana"/>
          <w:sz w:val="20"/>
          <w:szCs w:val="20"/>
          <w:lang w:val="es-PE"/>
        </w:rPr>
        <w:t>)</w:t>
      </w:r>
      <w:r w:rsidR="00101402" w:rsidRPr="005C1789">
        <w:rPr>
          <w:rFonts w:ascii="Verdana" w:hAnsi="Verdana"/>
          <w:sz w:val="20"/>
          <w:szCs w:val="20"/>
          <w:lang w:val="es-PE"/>
        </w:rPr>
        <w:t>, y g)</w:t>
      </w:r>
      <w:r w:rsidR="008F5824" w:rsidRPr="005C1789">
        <w:rPr>
          <w:rFonts w:ascii="Verdana" w:hAnsi="Verdana"/>
          <w:sz w:val="20"/>
          <w:szCs w:val="20"/>
          <w:lang w:val="es-PE"/>
        </w:rPr>
        <w:t>, y 25.1</w:t>
      </w:r>
      <w:r w:rsidRPr="005C1789">
        <w:rPr>
          <w:rFonts w:ascii="Verdana" w:hAnsi="Verdana"/>
          <w:sz w:val="20"/>
          <w:szCs w:val="20"/>
          <w:lang w:val="es-PE"/>
        </w:rPr>
        <w:t xml:space="preserve"> de la Convención Americana</w:t>
      </w:r>
      <w:r w:rsidR="00435896" w:rsidRPr="005C1789">
        <w:rPr>
          <w:rFonts w:ascii="Verdana" w:hAnsi="Verdana"/>
          <w:sz w:val="20"/>
          <w:szCs w:val="20"/>
          <w:lang w:val="es-PE"/>
        </w:rPr>
        <w:t xml:space="preserve"> sobre Derechos Humanos</w:t>
      </w:r>
      <w:r w:rsidRPr="005C1789">
        <w:rPr>
          <w:rFonts w:ascii="Verdana" w:hAnsi="Verdana"/>
          <w:sz w:val="20"/>
          <w:szCs w:val="20"/>
          <w:lang w:val="es-PE"/>
        </w:rPr>
        <w:t xml:space="preserve">, en relación con </w:t>
      </w:r>
      <w:r w:rsidR="009A36EE" w:rsidRPr="005C1789">
        <w:rPr>
          <w:rFonts w:ascii="Verdana" w:hAnsi="Verdana"/>
          <w:sz w:val="20"/>
          <w:szCs w:val="20"/>
          <w:lang w:val="es-PE"/>
        </w:rPr>
        <w:t xml:space="preserve">las obligaciones de respeto, establecida en </w:t>
      </w:r>
      <w:r w:rsidR="001C246B" w:rsidRPr="005C1789">
        <w:rPr>
          <w:rFonts w:ascii="Verdana" w:hAnsi="Verdana"/>
          <w:sz w:val="20"/>
          <w:szCs w:val="20"/>
          <w:lang w:val="es-PE"/>
        </w:rPr>
        <w:lastRenderedPageBreak/>
        <w:t>el</w:t>
      </w:r>
      <w:r w:rsidR="00F14F4E" w:rsidRPr="005C1789">
        <w:rPr>
          <w:rFonts w:ascii="Verdana" w:hAnsi="Verdana"/>
          <w:sz w:val="20"/>
          <w:szCs w:val="20"/>
          <w:lang w:val="es-PE"/>
        </w:rPr>
        <w:t xml:space="preserve"> </w:t>
      </w:r>
      <w:r w:rsidRPr="005C1789">
        <w:rPr>
          <w:rFonts w:ascii="Verdana" w:hAnsi="Verdana"/>
          <w:sz w:val="20"/>
          <w:szCs w:val="20"/>
          <w:lang w:val="es-PE"/>
        </w:rPr>
        <w:t>artículo 1.1</w:t>
      </w:r>
      <w:r w:rsidR="009A36EE" w:rsidRPr="005C1789">
        <w:rPr>
          <w:rFonts w:ascii="Verdana" w:hAnsi="Verdana"/>
          <w:sz w:val="20"/>
          <w:szCs w:val="20"/>
          <w:lang w:val="es-PE"/>
        </w:rPr>
        <w:t xml:space="preserve"> </w:t>
      </w:r>
      <w:r w:rsidRPr="005C1789">
        <w:rPr>
          <w:rFonts w:ascii="Verdana" w:hAnsi="Verdana"/>
          <w:sz w:val="20"/>
          <w:szCs w:val="20"/>
          <w:lang w:val="es-PE"/>
        </w:rPr>
        <w:t xml:space="preserve">del mismo instrumento, </w:t>
      </w:r>
      <w:r w:rsidR="00EF57A0" w:rsidRPr="005C1789">
        <w:rPr>
          <w:rFonts w:ascii="Verdana" w:hAnsi="Verdana"/>
          <w:sz w:val="20"/>
          <w:szCs w:val="20"/>
          <w:lang w:val="es-PE"/>
        </w:rPr>
        <w:t xml:space="preserve">en perjuicio de </w:t>
      </w:r>
      <w:r w:rsidR="001C246B" w:rsidRPr="005C1789">
        <w:rPr>
          <w:rFonts w:ascii="Verdana" w:hAnsi="Verdana"/>
          <w:sz w:val="20"/>
          <w:szCs w:val="20"/>
          <w:lang w:val="es-PE"/>
        </w:rPr>
        <w:t>Jorge Marcial y Gerardo Tzompaxtle Tecpile, y Gustavo Robles López</w:t>
      </w:r>
      <w:r w:rsidRPr="005C1789">
        <w:rPr>
          <w:rFonts w:ascii="Verdana" w:hAnsi="Verdana"/>
          <w:sz w:val="20"/>
          <w:szCs w:val="20"/>
        </w:rPr>
        <w:t xml:space="preserve">, </w:t>
      </w:r>
      <w:r w:rsidRPr="005C1789">
        <w:rPr>
          <w:rFonts w:ascii="Verdana" w:hAnsi="Verdana"/>
          <w:sz w:val="20"/>
          <w:szCs w:val="20"/>
          <w:lang w:val="es-MX"/>
        </w:rPr>
        <w:t>en los términos de</w:t>
      </w:r>
      <w:r w:rsidR="003A2E43" w:rsidRPr="005C1789">
        <w:rPr>
          <w:rFonts w:ascii="Verdana" w:hAnsi="Verdana"/>
          <w:sz w:val="20"/>
          <w:szCs w:val="20"/>
          <w:lang w:val="es-MX"/>
        </w:rPr>
        <w:t xml:space="preserve">l </w:t>
      </w:r>
      <w:r w:rsidRPr="005C1789">
        <w:rPr>
          <w:rFonts w:ascii="Verdana" w:hAnsi="Verdana"/>
          <w:sz w:val="20"/>
          <w:szCs w:val="20"/>
          <w:lang w:val="es-MX"/>
        </w:rPr>
        <w:t xml:space="preserve">párrafo </w:t>
      </w:r>
      <w:r w:rsidR="0070302D" w:rsidRPr="005C1789">
        <w:rPr>
          <w:rFonts w:ascii="Verdana" w:hAnsi="Verdana"/>
          <w:sz w:val="20"/>
          <w:szCs w:val="20"/>
          <w:lang w:val="es-MX"/>
        </w:rPr>
        <w:t xml:space="preserve">22 </w:t>
      </w:r>
      <w:r w:rsidRPr="005C1789">
        <w:rPr>
          <w:rFonts w:ascii="Verdana" w:hAnsi="Verdana"/>
          <w:sz w:val="20"/>
          <w:szCs w:val="20"/>
          <w:lang w:val="es-MX"/>
        </w:rPr>
        <w:t>de la presente Sentencia.</w:t>
      </w:r>
    </w:p>
    <w:p w14:paraId="792B418D" w14:textId="77777777" w:rsidR="002236DE" w:rsidRPr="005C1789" w:rsidRDefault="002236DE" w:rsidP="00955888">
      <w:pPr>
        <w:spacing w:before="240" w:after="240"/>
        <w:ind w:right="45"/>
        <w:jc w:val="both"/>
        <w:rPr>
          <w:rFonts w:ascii="Verdana" w:hAnsi="Verdana"/>
          <w:b/>
          <w:sz w:val="20"/>
          <w:szCs w:val="20"/>
          <w:lang w:val="es-PE"/>
        </w:rPr>
      </w:pPr>
      <w:r w:rsidRPr="005C1789">
        <w:rPr>
          <w:rFonts w:ascii="Verdana" w:hAnsi="Verdana"/>
          <w:b/>
          <w:sz w:val="20"/>
          <w:szCs w:val="20"/>
          <w:lang w:val="es-PE"/>
        </w:rPr>
        <w:t>Y DISPONE:</w:t>
      </w:r>
    </w:p>
    <w:p w14:paraId="191704DE" w14:textId="0E63535E" w:rsidR="002236DE" w:rsidRPr="005C1789" w:rsidRDefault="002236DE" w:rsidP="00955888">
      <w:pPr>
        <w:spacing w:before="240" w:after="240"/>
        <w:ind w:right="45"/>
        <w:jc w:val="both"/>
        <w:rPr>
          <w:rFonts w:ascii="Verdana" w:hAnsi="Verdana"/>
          <w:sz w:val="20"/>
          <w:szCs w:val="20"/>
          <w:lang w:val="es-PE"/>
        </w:rPr>
      </w:pPr>
      <w:r w:rsidRPr="005C1789">
        <w:rPr>
          <w:rFonts w:ascii="Verdana" w:hAnsi="Verdana"/>
          <w:sz w:val="20"/>
          <w:szCs w:val="20"/>
          <w:lang w:val="es-PE"/>
        </w:rPr>
        <w:t xml:space="preserve">Por </w:t>
      </w:r>
      <w:r w:rsidR="0035178B" w:rsidRPr="005C1789">
        <w:rPr>
          <w:rFonts w:ascii="Verdana" w:hAnsi="Verdana"/>
          <w:sz w:val="20"/>
          <w:szCs w:val="20"/>
        </w:rPr>
        <w:t>unanimidad</w:t>
      </w:r>
      <w:r w:rsidRPr="005C1789">
        <w:rPr>
          <w:rFonts w:ascii="Verdana" w:hAnsi="Verdana"/>
          <w:sz w:val="20"/>
          <w:szCs w:val="20"/>
          <w:lang w:val="es-PE"/>
        </w:rPr>
        <w:t>, que:</w:t>
      </w:r>
    </w:p>
    <w:p w14:paraId="7AA378E8" w14:textId="4667E4A4"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Esta </w:t>
      </w:r>
      <w:r w:rsidRPr="005C1789">
        <w:rPr>
          <w:rFonts w:ascii="Verdana" w:hAnsi="Verdana"/>
          <w:sz w:val="20"/>
          <w:szCs w:val="20"/>
          <w:lang w:val="es-MX"/>
        </w:rPr>
        <w:t>Sentencia</w:t>
      </w:r>
      <w:r w:rsidRPr="005C1789">
        <w:rPr>
          <w:rFonts w:ascii="Verdana" w:hAnsi="Verdana"/>
          <w:sz w:val="20"/>
          <w:szCs w:val="20"/>
          <w:lang w:val="es-PE"/>
        </w:rPr>
        <w:t xml:space="preserve"> </w:t>
      </w:r>
      <w:r w:rsidR="005D4C1E" w:rsidRPr="005C1789">
        <w:rPr>
          <w:rFonts w:ascii="Verdana" w:hAnsi="Verdana"/>
          <w:sz w:val="20"/>
          <w:szCs w:val="20"/>
          <w:lang w:val="es-PE"/>
        </w:rPr>
        <w:t xml:space="preserve">constituye por </w:t>
      </w:r>
      <w:r w:rsidR="00C3453E" w:rsidRPr="005C1789">
        <w:rPr>
          <w:rFonts w:ascii="Verdana" w:hAnsi="Verdana"/>
          <w:sz w:val="20"/>
          <w:szCs w:val="20"/>
          <w:lang w:val="es-PE"/>
        </w:rPr>
        <w:t>sí</w:t>
      </w:r>
      <w:r w:rsidR="005D4C1E" w:rsidRPr="005C1789">
        <w:rPr>
          <w:rFonts w:ascii="Verdana" w:hAnsi="Verdana"/>
          <w:sz w:val="20"/>
          <w:szCs w:val="20"/>
          <w:lang w:val="es-PE"/>
        </w:rPr>
        <w:t xml:space="preserve"> misma </w:t>
      </w:r>
      <w:r w:rsidRPr="005C1789">
        <w:rPr>
          <w:rFonts w:ascii="Verdana" w:hAnsi="Verdana"/>
          <w:sz w:val="20"/>
          <w:szCs w:val="20"/>
          <w:lang w:val="es-PE"/>
        </w:rPr>
        <w:t>una forma de reparación.</w:t>
      </w:r>
    </w:p>
    <w:p w14:paraId="4F0B43F0" w14:textId="77777777" w:rsidR="00396A4E" w:rsidRPr="005C1789" w:rsidRDefault="00396A4E" w:rsidP="00396A4E">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Estado deberá dejar sin efecto en su ordenamiento interno las disposiciones relativas al arraigo de naturaleza pre – procesal, en los términos </w:t>
      </w:r>
      <w:r w:rsidRPr="005C1789">
        <w:rPr>
          <w:rFonts w:ascii="Verdana" w:hAnsi="Verdana"/>
          <w:sz w:val="20"/>
          <w:szCs w:val="20"/>
        </w:rPr>
        <w:t>de los párrafos 210, 211, 214 a 216, y 218 a 219 de la presente Sentencia</w:t>
      </w:r>
      <w:r w:rsidRPr="005C1789">
        <w:rPr>
          <w:rFonts w:ascii="Verdana" w:hAnsi="Verdana"/>
          <w:sz w:val="20"/>
          <w:szCs w:val="20"/>
          <w:lang w:val="es-PE"/>
        </w:rPr>
        <w:t xml:space="preserve">. </w:t>
      </w:r>
    </w:p>
    <w:p w14:paraId="7E3A2194" w14:textId="77777777" w:rsidR="00396A4E" w:rsidRPr="005C1789" w:rsidRDefault="00396A4E" w:rsidP="00396A4E">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Estado deberá adecuar su ordenamiento jurídico interno sobre prisión preventiva, en los términos </w:t>
      </w:r>
      <w:r w:rsidRPr="005C1789">
        <w:rPr>
          <w:rFonts w:ascii="Verdana" w:hAnsi="Verdana"/>
          <w:sz w:val="20"/>
          <w:szCs w:val="20"/>
        </w:rPr>
        <w:t>de los párrafos 212, 213, y 217 a 219 de la presente Sentencia</w:t>
      </w:r>
      <w:r w:rsidRPr="005C1789">
        <w:rPr>
          <w:rFonts w:ascii="Verdana" w:hAnsi="Verdana"/>
          <w:sz w:val="20"/>
          <w:szCs w:val="20"/>
          <w:lang w:val="es-PE"/>
        </w:rPr>
        <w:t>.</w:t>
      </w:r>
    </w:p>
    <w:p w14:paraId="22973739" w14:textId="561E6AE0"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Estado realizará las publicaciones indicadas en el párrafo </w:t>
      </w:r>
      <w:r w:rsidR="003A2E43" w:rsidRPr="005C1789">
        <w:rPr>
          <w:rFonts w:ascii="Verdana" w:hAnsi="Verdana"/>
          <w:sz w:val="20"/>
          <w:szCs w:val="20"/>
          <w:lang w:val="es-PE"/>
        </w:rPr>
        <w:t xml:space="preserve">222 </w:t>
      </w:r>
      <w:r w:rsidRPr="005C1789">
        <w:rPr>
          <w:rFonts w:ascii="Verdana" w:hAnsi="Verdana"/>
          <w:sz w:val="20"/>
          <w:szCs w:val="20"/>
          <w:lang w:val="es-PE"/>
        </w:rPr>
        <w:t>de esta Sentencia, en el plazo de seis meses contado</w:t>
      </w:r>
      <w:r w:rsidR="00F07DF6" w:rsidRPr="005C1789">
        <w:rPr>
          <w:rFonts w:ascii="Verdana" w:hAnsi="Verdana"/>
          <w:sz w:val="20"/>
          <w:szCs w:val="20"/>
          <w:lang w:val="es-PE"/>
        </w:rPr>
        <w:t>s</w:t>
      </w:r>
      <w:r w:rsidRPr="005C1789">
        <w:rPr>
          <w:rFonts w:ascii="Verdana" w:hAnsi="Verdana"/>
          <w:sz w:val="20"/>
          <w:szCs w:val="20"/>
          <w:lang w:val="es-PE"/>
        </w:rPr>
        <w:t xml:space="preserve"> a partir de la notificación de </w:t>
      </w:r>
      <w:proofErr w:type="gramStart"/>
      <w:r w:rsidRPr="005C1789">
        <w:rPr>
          <w:rFonts w:ascii="Verdana" w:hAnsi="Verdana"/>
          <w:sz w:val="20"/>
          <w:szCs w:val="20"/>
          <w:lang w:val="es-PE"/>
        </w:rPr>
        <w:t>la misma</w:t>
      </w:r>
      <w:proofErr w:type="gramEnd"/>
      <w:r w:rsidRPr="005C1789">
        <w:rPr>
          <w:rFonts w:ascii="Verdana" w:hAnsi="Verdana"/>
          <w:sz w:val="20"/>
          <w:szCs w:val="20"/>
          <w:lang w:val="es-PE"/>
        </w:rPr>
        <w:t>.</w:t>
      </w:r>
    </w:p>
    <w:p w14:paraId="6F9C4300" w14:textId="0F4A6353"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rPr>
        <w:t>El Estado realizar</w:t>
      </w:r>
      <w:r w:rsidR="0056675E" w:rsidRPr="005C1789">
        <w:rPr>
          <w:rFonts w:ascii="Verdana" w:hAnsi="Verdana"/>
          <w:sz w:val="20"/>
          <w:szCs w:val="20"/>
        </w:rPr>
        <w:t>á</w:t>
      </w:r>
      <w:r w:rsidRPr="005C1789">
        <w:rPr>
          <w:rFonts w:ascii="Verdana" w:hAnsi="Verdana"/>
          <w:sz w:val="20"/>
          <w:szCs w:val="20"/>
        </w:rPr>
        <w:t xml:space="preserve"> un acto público de reconocimiento de responsabilidad internacional, en relación con los hechos de este caso, en los términos de los párrafos </w:t>
      </w:r>
      <w:r w:rsidR="003A2E43" w:rsidRPr="005C1789">
        <w:rPr>
          <w:rFonts w:ascii="Verdana" w:hAnsi="Verdana"/>
          <w:sz w:val="20"/>
          <w:szCs w:val="20"/>
        </w:rPr>
        <w:t xml:space="preserve">225 </w:t>
      </w:r>
      <w:r w:rsidRPr="005C1789">
        <w:rPr>
          <w:rFonts w:ascii="Verdana" w:hAnsi="Verdana"/>
          <w:sz w:val="20"/>
          <w:szCs w:val="20"/>
        </w:rPr>
        <w:t xml:space="preserve">y </w:t>
      </w:r>
      <w:r w:rsidR="003A2E43" w:rsidRPr="005C1789">
        <w:rPr>
          <w:rFonts w:ascii="Verdana" w:hAnsi="Verdana"/>
          <w:sz w:val="20"/>
          <w:szCs w:val="20"/>
        </w:rPr>
        <w:t>226</w:t>
      </w:r>
      <w:r w:rsidR="00F610A4" w:rsidRPr="005C1789">
        <w:rPr>
          <w:rFonts w:ascii="Verdana" w:hAnsi="Verdana"/>
          <w:sz w:val="20"/>
          <w:szCs w:val="20"/>
        </w:rPr>
        <w:t xml:space="preserve"> </w:t>
      </w:r>
      <w:r w:rsidRPr="005C1789">
        <w:rPr>
          <w:rFonts w:ascii="Verdana" w:hAnsi="Verdana"/>
          <w:sz w:val="20"/>
          <w:szCs w:val="20"/>
        </w:rPr>
        <w:t>de esta Sentencia.</w:t>
      </w:r>
    </w:p>
    <w:p w14:paraId="47A48B75" w14:textId="0B25B3F5" w:rsidR="00A93357" w:rsidRPr="005C1789" w:rsidRDefault="00A93357" w:rsidP="00955888">
      <w:pPr>
        <w:pStyle w:val="Prrafodelista"/>
        <w:numPr>
          <w:ilvl w:val="3"/>
          <w:numId w:val="11"/>
        </w:numPr>
        <w:spacing w:before="120" w:after="120"/>
        <w:ind w:left="0" w:right="45" w:firstLine="0"/>
        <w:contextualSpacing w:val="0"/>
        <w:jc w:val="both"/>
        <w:rPr>
          <w:rFonts w:ascii="Verdana" w:hAnsi="Verdana"/>
          <w:bCs/>
          <w:sz w:val="20"/>
          <w:szCs w:val="20"/>
        </w:rPr>
      </w:pPr>
      <w:r w:rsidRPr="005C1789">
        <w:rPr>
          <w:rFonts w:ascii="Verdana" w:hAnsi="Verdana"/>
          <w:bCs/>
          <w:sz w:val="20"/>
          <w:szCs w:val="20"/>
        </w:rPr>
        <w:t xml:space="preserve">El Estado brindará de forma adecuada, preferencial y gratuita, el tratamiento médico, psicológico o psiquiátrico, según corresponda, de conformidad con lo establecido en el párrafo </w:t>
      </w:r>
      <w:r w:rsidR="00450C44" w:rsidRPr="005C1789">
        <w:rPr>
          <w:rFonts w:ascii="Verdana" w:hAnsi="Verdana"/>
          <w:bCs/>
          <w:sz w:val="20"/>
          <w:szCs w:val="20"/>
        </w:rPr>
        <w:t>240</w:t>
      </w:r>
      <w:r w:rsidRPr="005C1789">
        <w:rPr>
          <w:rFonts w:ascii="Verdana" w:hAnsi="Verdana"/>
          <w:bCs/>
          <w:sz w:val="20"/>
          <w:szCs w:val="20"/>
        </w:rPr>
        <w:t xml:space="preserve"> de la presente Sentencia</w:t>
      </w:r>
      <w:r w:rsidR="00276D9E">
        <w:rPr>
          <w:rFonts w:ascii="Verdana" w:hAnsi="Verdana"/>
          <w:bCs/>
          <w:sz w:val="20"/>
          <w:szCs w:val="20"/>
        </w:rPr>
        <w:t>.</w:t>
      </w:r>
    </w:p>
    <w:p w14:paraId="4FF85E96" w14:textId="2B4C8DA9"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 xml:space="preserve">El </w:t>
      </w:r>
      <w:r w:rsidRPr="005C1789">
        <w:rPr>
          <w:rFonts w:ascii="Verdana" w:hAnsi="Verdana"/>
          <w:sz w:val="20"/>
          <w:szCs w:val="20"/>
        </w:rPr>
        <w:t>Estado</w:t>
      </w:r>
      <w:r w:rsidRPr="005C1789">
        <w:rPr>
          <w:rFonts w:ascii="Verdana" w:hAnsi="Verdana"/>
          <w:sz w:val="20"/>
          <w:szCs w:val="20"/>
          <w:lang w:val="es-PE"/>
        </w:rPr>
        <w:t xml:space="preserve"> pagará las cantidades fijadas </w:t>
      </w:r>
      <w:r w:rsidR="00C252A5" w:rsidRPr="005C1789">
        <w:rPr>
          <w:rFonts w:ascii="Verdana" w:hAnsi="Verdana"/>
          <w:sz w:val="20"/>
          <w:szCs w:val="20"/>
          <w:lang w:val="es-AR"/>
        </w:rPr>
        <w:t>en</w:t>
      </w:r>
      <w:r w:rsidR="00436262" w:rsidRPr="005C1789">
        <w:rPr>
          <w:rFonts w:ascii="Verdana" w:hAnsi="Verdana"/>
          <w:sz w:val="20"/>
          <w:szCs w:val="20"/>
          <w:lang w:val="es-PE"/>
        </w:rPr>
        <w:t xml:space="preserve"> la presente Sentencia</w:t>
      </w:r>
      <w:r w:rsidR="00436262" w:rsidRPr="005C1789">
        <w:rPr>
          <w:rFonts w:ascii="Verdana" w:hAnsi="Verdana"/>
          <w:bCs/>
          <w:sz w:val="20"/>
          <w:szCs w:val="20"/>
        </w:rPr>
        <w:t xml:space="preserve"> </w:t>
      </w:r>
      <w:r w:rsidR="00C252A5" w:rsidRPr="005C1789">
        <w:rPr>
          <w:rFonts w:ascii="Verdana" w:hAnsi="Verdana"/>
          <w:bCs/>
          <w:sz w:val="20"/>
          <w:szCs w:val="20"/>
        </w:rPr>
        <w:t>para financiar proyectos productivos</w:t>
      </w:r>
      <w:r w:rsidR="00370FD2" w:rsidRPr="005C1789">
        <w:rPr>
          <w:rFonts w:ascii="Verdana" w:hAnsi="Verdana"/>
          <w:bCs/>
          <w:sz w:val="20"/>
          <w:szCs w:val="20"/>
        </w:rPr>
        <w:t>,</w:t>
      </w:r>
      <w:r w:rsidR="007D7E37" w:rsidRPr="005C1789">
        <w:rPr>
          <w:rFonts w:ascii="Verdana" w:hAnsi="Verdana"/>
          <w:bCs/>
          <w:sz w:val="20"/>
          <w:szCs w:val="20"/>
        </w:rPr>
        <w:t xml:space="preserve"> y</w:t>
      </w:r>
      <w:r w:rsidR="00370FD2" w:rsidRPr="005C1789">
        <w:rPr>
          <w:rFonts w:ascii="Verdana" w:hAnsi="Verdana"/>
          <w:bCs/>
          <w:sz w:val="20"/>
          <w:szCs w:val="20"/>
        </w:rPr>
        <w:t xml:space="preserve"> becas </w:t>
      </w:r>
      <w:r w:rsidR="00EF3985" w:rsidRPr="005C1789">
        <w:rPr>
          <w:rFonts w:ascii="Verdana" w:hAnsi="Verdana"/>
          <w:bCs/>
          <w:sz w:val="20"/>
          <w:szCs w:val="20"/>
        </w:rPr>
        <w:t>educativas</w:t>
      </w:r>
      <w:r w:rsidR="00746E5F" w:rsidRPr="005C1789">
        <w:rPr>
          <w:rFonts w:ascii="Verdana" w:hAnsi="Verdana"/>
          <w:bCs/>
          <w:sz w:val="20"/>
          <w:szCs w:val="20"/>
        </w:rPr>
        <w:t xml:space="preserve">, </w:t>
      </w:r>
      <w:r w:rsidR="007D7E37" w:rsidRPr="005C1789">
        <w:rPr>
          <w:rFonts w:ascii="Verdana" w:hAnsi="Verdana"/>
          <w:bCs/>
          <w:sz w:val="20"/>
          <w:szCs w:val="20"/>
        </w:rPr>
        <w:t xml:space="preserve">así como </w:t>
      </w:r>
      <w:r w:rsidR="00746E5F" w:rsidRPr="005C1789">
        <w:rPr>
          <w:rFonts w:ascii="Verdana" w:hAnsi="Verdana"/>
          <w:bCs/>
          <w:sz w:val="20"/>
          <w:szCs w:val="20"/>
        </w:rPr>
        <w:t>por reintegro de costas y gastos</w:t>
      </w:r>
      <w:r w:rsidR="00746E5F" w:rsidRPr="005C1789">
        <w:rPr>
          <w:rFonts w:ascii="Verdana" w:hAnsi="Verdana"/>
          <w:sz w:val="20"/>
          <w:szCs w:val="20"/>
          <w:lang w:val="es-PE"/>
        </w:rPr>
        <w:t xml:space="preserve">, </w:t>
      </w:r>
      <w:r w:rsidR="00436262" w:rsidRPr="005C1789">
        <w:rPr>
          <w:rFonts w:ascii="Verdana" w:hAnsi="Verdana"/>
          <w:sz w:val="20"/>
          <w:szCs w:val="20"/>
          <w:lang w:val="es-PE"/>
        </w:rPr>
        <w:t>en los términos de los párrafos</w:t>
      </w:r>
      <w:r w:rsidR="0056675E" w:rsidRPr="005C1789">
        <w:rPr>
          <w:rFonts w:ascii="Verdana" w:hAnsi="Verdana"/>
          <w:sz w:val="20"/>
          <w:szCs w:val="20"/>
          <w:lang w:val="es-PE"/>
        </w:rPr>
        <w:t xml:space="preserve"> </w:t>
      </w:r>
      <w:r w:rsidR="00EF3985" w:rsidRPr="005C1789">
        <w:rPr>
          <w:rFonts w:ascii="Verdana" w:hAnsi="Verdana"/>
          <w:sz w:val="20"/>
          <w:szCs w:val="20"/>
          <w:lang w:val="es-PE"/>
        </w:rPr>
        <w:t xml:space="preserve">230, 231, 235, 236, </w:t>
      </w:r>
      <w:r w:rsidR="00DC0B42" w:rsidRPr="005C1789">
        <w:rPr>
          <w:rFonts w:ascii="Verdana" w:hAnsi="Verdana"/>
          <w:sz w:val="20"/>
          <w:szCs w:val="20"/>
          <w:lang w:val="es-PE"/>
        </w:rPr>
        <w:t>y 245 a 247</w:t>
      </w:r>
      <w:r w:rsidR="00276D9E">
        <w:rPr>
          <w:rFonts w:ascii="Verdana" w:hAnsi="Verdana"/>
          <w:sz w:val="20"/>
          <w:szCs w:val="20"/>
          <w:lang w:val="es-PE"/>
        </w:rPr>
        <w:t xml:space="preserve"> y 251</w:t>
      </w:r>
      <w:r w:rsidR="00DC0B42" w:rsidRPr="005C1789">
        <w:rPr>
          <w:rFonts w:ascii="Verdana" w:hAnsi="Verdana"/>
          <w:sz w:val="20"/>
          <w:szCs w:val="20"/>
          <w:lang w:val="es-PE"/>
        </w:rPr>
        <w:t xml:space="preserve"> </w:t>
      </w:r>
      <w:r w:rsidR="00C252A5" w:rsidRPr="005C1789">
        <w:rPr>
          <w:rFonts w:ascii="Verdana" w:hAnsi="Verdana"/>
          <w:sz w:val="20"/>
          <w:szCs w:val="20"/>
        </w:rPr>
        <w:t>de la misma</w:t>
      </w:r>
      <w:r w:rsidR="00746E5F" w:rsidRPr="005C1789">
        <w:rPr>
          <w:rFonts w:ascii="Verdana" w:hAnsi="Verdana"/>
          <w:sz w:val="20"/>
          <w:szCs w:val="20"/>
          <w:lang w:val="es-PE"/>
        </w:rPr>
        <w:t>.</w:t>
      </w:r>
    </w:p>
    <w:p w14:paraId="7A7DA906" w14:textId="73354818" w:rsidR="00A77A47" w:rsidRPr="005C1789" w:rsidRDefault="00A77A47" w:rsidP="00955888">
      <w:pPr>
        <w:pStyle w:val="Prrafodelista"/>
        <w:numPr>
          <w:ilvl w:val="3"/>
          <w:numId w:val="11"/>
        </w:numPr>
        <w:spacing w:before="120" w:after="120"/>
        <w:ind w:left="0" w:right="45" w:firstLine="0"/>
        <w:contextualSpacing w:val="0"/>
        <w:jc w:val="both"/>
        <w:rPr>
          <w:rFonts w:ascii="Verdana" w:hAnsi="Verdana"/>
          <w:sz w:val="20"/>
          <w:szCs w:val="20"/>
        </w:rPr>
      </w:pPr>
      <w:r w:rsidRPr="005C1789">
        <w:rPr>
          <w:rFonts w:ascii="Verdana" w:hAnsi="Verdana"/>
          <w:sz w:val="20"/>
          <w:szCs w:val="20"/>
        </w:rPr>
        <w:t xml:space="preserve">El Estado reintegrará al Fondo de Asistencia Legal de Víctimas de la Corte Interamericana de Derechos Humanos la cantidad erogada durante la tramitación del presente caso, en los términos de los párrafos </w:t>
      </w:r>
      <w:r w:rsidR="00834B2E" w:rsidRPr="005C1789">
        <w:rPr>
          <w:rFonts w:ascii="Verdana" w:hAnsi="Verdana"/>
          <w:sz w:val="20"/>
          <w:szCs w:val="20"/>
        </w:rPr>
        <w:t>248 a</w:t>
      </w:r>
      <w:r w:rsidRPr="005C1789">
        <w:rPr>
          <w:rFonts w:ascii="Verdana" w:hAnsi="Verdana"/>
          <w:sz w:val="20"/>
          <w:szCs w:val="20"/>
        </w:rPr>
        <w:t xml:space="preserve"> </w:t>
      </w:r>
      <w:r w:rsidR="00834B2E" w:rsidRPr="005C1789">
        <w:rPr>
          <w:rFonts w:ascii="Verdana" w:hAnsi="Verdana"/>
          <w:sz w:val="20"/>
          <w:szCs w:val="20"/>
        </w:rPr>
        <w:t>250</w:t>
      </w:r>
      <w:r w:rsidR="00276D9E">
        <w:rPr>
          <w:rFonts w:ascii="Verdana" w:hAnsi="Verdana"/>
          <w:sz w:val="20"/>
          <w:szCs w:val="20"/>
        </w:rPr>
        <w:t xml:space="preserve"> y 252</w:t>
      </w:r>
      <w:r w:rsidRPr="005C1789">
        <w:rPr>
          <w:rFonts w:ascii="Verdana" w:hAnsi="Verdana"/>
          <w:sz w:val="20"/>
          <w:szCs w:val="20"/>
        </w:rPr>
        <w:t xml:space="preserve"> de la presente Sentencia.</w:t>
      </w:r>
    </w:p>
    <w:p w14:paraId="7EB7E195" w14:textId="05416690"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El Estado rendirá al Tribunal un informe, dentro del plazo de un año contado a partir de la notificación de la Sentencia, sobre las medidas adoptadas para cumplir con la misma</w:t>
      </w:r>
      <w:r w:rsidRPr="005C1789">
        <w:rPr>
          <w:rFonts w:ascii="Verdana" w:hAnsi="Verdana"/>
          <w:sz w:val="20"/>
          <w:szCs w:val="20"/>
        </w:rPr>
        <w:t>.</w:t>
      </w:r>
    </w:p>
    <w:p w14:paraId="530385B6" w14:textId="77777777" w:rsidR="002236DE" w:rsidRPr="005C1789" w:rsidRDefault="002236DE" w:rsidP="00955888">
      <w:pPr>
        <w:pStyle w:val="Prrafodelista"/>
        <w:numPr>
          <w:ilvl w:val="3"/>
          <w:numId w:val="11"/>
        </w:numPr>
        <w:spacing w:before="120" w:after="120"/>
        <w:ind w:left="0" w:right="45" w:firstLine="0"/>
        <w:contextualSpacing w:val="0"/>
        <w:jc w:val="both"/>
        <w:rPr>
          <w:rFonts w:ascii="Verdana" w:hAnsi="Verdana"/>
          <w:sz w:val="20"/>
          <w:szCs w:val="20"/>
          <w:lang w:val="es-PE"/>
        </w:rPr>
      </w:pPr>
      <w:r w:rsidRPr="005C1789">
        <w:rPr>
          <w:rFonts w:ascii="Verdana" w:hAnsi="Verdana"/>
          <w:sz w:val="20"/>
          <w:szCs w:val="20"/>
          <w:lang w:val="es-PE"/>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p>
    <w:p w14:paraId="00043656" w14:textId="77777777" w:rsidR="00987D83" w:rsidRPr="005C1789" w:rsidRDefault="00987D83" w:rsidP="00955888">
      <w:pPr>
        <w:pStyle w:val="Prrafodelista"/>
        <w:ind w:left="0" w:right="48"/>
        <w:jc w:val="both"/>
        <w:rPr>
          <w:rFonts w:ascii="Verdana" w:hAnsi="Verdana"/>
          <w:sz w:val="20"/>
          <w:szCs w:val="20"/>
          <w:lang w:val="es-PE"/>
        </w:rPr>
      </w:pPr>
    </w:p>
    <w:p w14:paraId="7C4F31A3" w14:textId="4750091E" w:rsidR="002236DE" w:rsidRPr="001714D7" w:rsidRDefault="002236DE" w:rsidP="00955888">
      <w:pPr>
        <w:pStyle w:val="Prrafodelista"/>
        <w:ind w:left="0" w:right="48"/>
        <w:jc w:val="both"/>
        <w:rPr>
          <w:rFonts w:ascii="Verdana" w:hAnsi="Verdana"/>
          <w:sz w:val="20"/>
          <w:szCs w:val="20"/>
          <w:lang w:val="es-PE"/>
        </w:rPr>
      </w:pPr>
      <w:r w:rsidRPr="005C1789">
        <w:rPr>
          <w:rFonts w:ascii="Verdana" w:hAnsi="Verdana"/>
          <w:sz w:val="20"/>
          <w:szCs w:val="20"/>
          <w:lang w:val="es-PE"/>
        </w:rPr>
        <w:t xml:space="preserve">Redactada en español en </w:t>
      </w:r>
      <w:r w:rsidR="00567D3F" w:rsidRPr="005C1789">
        <w:rPr>
          <w:rFonts w:ascii="Verdana" w:hAnsi="Verdana"/>
          <w:sz w:val="20"/>
          <w:szCs w:val="20"/>
          <w:lang w:val="es-PE"/>
        </w:rPr>
        <w:t>San José</w:t>
      </w:r>
      <w:r w:rsidRPr="005C1789">
        <w:rPr>
          <w:rFonts w:ascii="Verdana" w:hAnsi="Verdana"/>
          <w:sz w:val="20"/>
          <w:szCs w:val="20"/>
          <w:lang w:val="es-PE"/>
        </w:rPr>
        <w:t xml:space="preserve">, </w:t>
      </w:r>
      <w:r w:rsidR="00567D3F" w:rsidRPr="005C1789">
        <w:rPr>
          <w:rFonts w:ascii="Verdana" w:hAnsi="Verdana"/>
          <w:sz w:val="20"/>
          <w:szCs w:val="20"/>
          <w:lang w:val="es-PE"/>
        </w:rPr>
        <w:t>Costa Rica</w:t>
      </w:r>
      <w:r w:rsidR="00DC286A" w:rsidRPr="005C1789">
        <w:rPr>
          <w:rFonts w:ascii="Verdana" w:hAnsi="Verdana"/>
          <w:sz w:val="20"/>
          <w:szCs w:val="20"/>
          <w:lang w:val="es-PE"/>
        </w:rPr>
        <w:t xml:space="preserve">, </w:t>
      </w:r>
      <w:r w:rsidRPr="005C1789">
        <w:rPr>
          <w:rFonts w:ascii="Verdana" w:hAnsi="Verdana"/>
          <w:sz w:val="20"/>
          <w:szCs w:val="20"/>
          <w:lang w:val="es-PE"/>
        </w:rPr>
        <w:t xml:space="preserve">el </w:t>
      </w:r>
      <w:r w:rsidR="0035178B" w:rsidRPr="005C1789">
        <w:rPr>
          <w:rFonts w:ascii="Verdana" w:hAnsi="Verdana"/>
          <w:sz w:val="20"/>
          <w:szCs w:val="20"/>
          <w:lang w:val="es-PE"/>
        </w:rPr>
        <w:t>7</w:t>
      </w:r>
      <w:r w:rsidRPr="005C1789">
        <w:rPr>
          <w:rFonts w:ascii="Verdana" w:hAnsi="Verdana"/>
          <w:sz w:val="20"/>
          <w:szCs w:val="20"/>
          <w:lang w:val="es-PE"/>
        </w:rPr>
        <w:t xml:space="preserve"> de </w:t>
      </w:r>
      <w:r w:rsidR="00567D3F" w:rsidRPr="005C1789">
        <w:rPr>
          <w:rFonts w:ascii="Verdana" w:hAnsi="Verdana"/>
          <w:sz w:val="20"/>
          <w:szCs w:val="20"/>
          <w:lang w:val="es-PE"/>
        </w:rPr>
        <w:t>noviembre</w:t>
      </w:r>
      <w:r w:rsidRPr="005C1789">
        <w:rPr>
          <w:rFonts w:ascii="Verdana" w:hAnsi="Verdana"/>
          <w:sz w:val="20"/>
          <w:szCs w:val="20"/>
          <w:lang w:val="es-PE"/>
        </w:rPr>
        <w:t xml:space="preserve"> de </w:t>
      </w:r>
      <w:r w:rsidR="007D30F1" w:rsidRPr="005C1789">
        <w:rPr>
          <w:rFonts w:ascii="Verdana" w:hAnsi="Verdana"/>
          <w:sz w:val="20"/>
          <w:szCs w:val="20"/>
          <w:lang w:val="es-PE"/>
        </w:rPr>
        <w:t>2022</w:t>
      </w:r>
      <w:r w:rsidRPr="005C1789">
        <w:rPr>
          <w:rFonts w:ascii="Verdana" w:hAnsi="Verdana"/>
          <w:sz w:val="20"/>
          <w:szCs w:val="20"/>
          <w:lang w:val="es-PE"/>
        </w:rPr>
        <w:t>.</w:t>
      </w:r>
    </w:p>
    <w:p w14:paraId="25D3917B" w14:textId="77777777" w:rsidR="002236DE" w:rsidRPr="001714D7" w:rsidRDefault="002236DE" w:rsidP="00955888">
      <w:pPr>
        <w:jc w:val="both"/>
        <w:rPr>
          <w:rFonts w:ascii="Verdana" w:hAnsi="Verdana"/>
          <w:sz w:val="20"/>
          <w:szCs w:val="20"/>
        </w:rPr>
      </w:pPr>
    </w:p>
    <w:p w14:paraId="18847A7B" w14:textId="70D63FF3" w:rsidR="002236DE" w:rsidRDefault="002236DE" w:rsidP="00955888">
      <w:pPr>
        <w:jc w:val="both"/>
        <w:rPr>
          <w:rFonts w:ascii="Verdana" w:hAnsi="Verdana"/>
          <w:sz w:val="20"/>
          <w:szCs w:val="20"/>
          <w:lang w:bidi="en-US"/>
        </w:rPr>
      </w:pPr>
    </w:p>
    <w:p w14:paraId="666053FF" w14:textId="55A1B7F6" w:rsidR="007E032B" w:rsidRDefault="007E032B" w:rsidP="00955888">
      <w:pPr>
        <w:rPr>
          <w:rFonts w:ascii="Verdana" w:hAnsi="Verdana"/>
          <w:sz w:val="20"/>
          <w:szCs w:val="20"/>
          <w:lang w:bidi="en-US"/>
        </w:rPr>
      </w:pPr>
    </w:p>
    <w:p w14:paraId="381B4AEF" w14:textId="0A168240" w:rsidR="00882764" w:rsidRDefault="00882764" w:rsidP="00955888">
      <w:pPr>
        <w:rPr>
          <w:rFonts w:ascii="Verdana" w:hAnsi="Verdana"/>
          <w:sz w:val="20"/>
          <w:szCs w:val="20"/>
          <w:lang w:bidi="en-US"/>
        </w:rPr>
      </w:pPr>
    </w:p>
    <w:p w14:paraId="1C8F9969" w14:textId="4BFD018C" w:rsidR="00882764" w:rsidRDefault="00882764" w:rsidP="00955888">
      <w:pPr>
        <w:rPr>
          <w:rFonts w:ascii="Verdana" w:hAnsi="Verdana"/>
          <w:sz w:val="20"/>
          <w:szCs w:val="20"/>
          <w:lang w:bidi="en-US"/>
        </w:rPr>
      </w:pPr>
    </w:p>
    <w:p w14:paraId="44313EBC" w14:textId="30409B33" w:rsidR="00882764" w:rsidRDefault="00882764" w:rsidP="00955888">
      <w:pPr>
        <w:rPr>
          <w:rFonts w:ascii="Verdana" w:hAnsi="Verdana"/>
          <w:sz w:val="20"/>
          <w:szCs w:val="20"/>
          <w:lang w:bidi="en-US"/>
        </w:rPr>
      </w:pPr>
    </w:p>
    <w:p w14:paraId="398EB265" w14:textId="325E8F61" w:rsidR="00882764" w:rsidRDefault="00882764" w:rsidP="00955888">
      <w:pPr>
        <w:rPr>
          <w:rFonts w:ascii="Verdana" w:hAnsi="Verdana"/>
          <w:sz w:val="20"/>
          <w:szCs w:val="20"/>
          <w:lang w:bidi="en-US"/>
        </w:rPr>
      </w:pPr>
    </w:p>
    <w:p w14:paraId="70AF490A" w14:textId="0F91E572" w:rsidR="00882764" w:rsidRDefault="00882764" w:rsidP="00955888">
      <w:pPr>
        <w:rPr>
          <w:rFonts w:ascii="Verdana" w:hAnsi="Verdana"/>
          <w:sz w:val="20"/>
          <w:szCs w:val="20"/>
          <w:lang w:bidi="en-US"/>
        </w:rPr>
      </w:pPr>
    </w:p>
    <w:p w14:paraId="6B1BED99" w14:textId="297706B6" w:rsidR="00882764" w:rsidRDefault="00882764" w:rsidP="00955888">
      <w:pPr>
        <w:rPr>
          <w:rFonts w:ascii="Verdana" w:hAnsi="Verdana"/>
          <w:sz w:val="20"/>
          <w:szCs w:val="20"/>
          <w:lang w:bidi="en-US"/>
        </w:rPr>
      </w:pPr>
    </w:p>
    <w:p w14:paraId="56493EF8" w14:textId="53019B8A" w:rsidR="00882764" w:rsidRDefault="00882764" w:rsidP="00955888">
      <w:pPr>
        <w:rPr>
          <w:rFonts w:ascii="Verdana" w:hAnsi="Verdana"/>
          <w:sz w:val="20"/>
          <w:szCs w:val="20"/>
          <w:lang w:bidi="en-US"/>
        </w:rPr>
      </w:pPr>
    </w:p>
    <w:p w14:paraId="7FB8E91A" w14:textId="73D380D4" w:rsidR="00882764" w:rsidRDefault="00882764" w:rsidP="00955888">
      <w:pPr>
        <w:rPr>
          <w:rFonts w:ascii="Verdana" w:hAnsi="Verdana"/>
          <w:sz w:val="20"/>
          <w:szCs w:val="20"/>
          <w:lang w:bidi="en-US"/>
        </w:rPr>
      </w:pPr>
    </w:p>
    <w:p w14:paraId="140244EC" w14:textId="361AC79C" w:rsidR="00882764" w:rsidRDefault="00882764" w:rsidP="00955888">
      <w:pPr>
        <w:rPr>
          <w:rFonts w:ascii="Verdana" w:hAnsi="Verdana"/>
          <w:sz w:val="20"/>
          <w:szCs w:val="20"/>
          <w:lang w:bidi="en-US"/>
        </w:rPr>
      </w:pPr>
    </w:p>
    <w:p w14:paraId="3C687627" w14:textId="0E897EC7" w:rsidR="00882764" w:rsidRDefault="00882764" w:rsidP="00955888">
      <w:pPr>
        <w:rPr>
          <w:rFonts w:ascii="Verdana" w:hAnsi="Verdana"/>
          <w:sz w:val="20"/>
          <w:szCs w:val="20"/>
          <w:lang w:bidi="en-US"/>
        </w:rPr>
      </w:pPr>
    </w:p>
    <w:p w14:paraId="4BD14C25" w14:textId="3762F598" w:rsidR="00882764" w:rsidRDefault="00882764" w:rsidP="00955888">
      <w:pPr>
        <w:rPr>
          <w:rFonts w:ascii="Verdana" w:hAnsi="Verdana"/>
          <w:sz w:val="20"/>
          <w:szCs w:val="20"/>
          <w:lang w:bidi="en-US"/>
        </w:rPr>
      </w:pPr>
    </w:p>
    <w:p w14:paraId="62C4061A" w14:textId="77777777" w:rsidR="00882764" w:rsidRPr="004450B4" w:rsidRDefault="00882764" w:rsidP="00882764">
      <w:pPr>
        <w:tabs>
          <w:tab w:val="left" w:pos="567"/>
        </w:tabs>
        <w:spacing w:before="240" w:after="240"/>
        <w:jc w:val="both"/>
        <w:rPr>
          <w:rFonts w:ascii="Verdana" w:eastAsia="Calibri" w:hAnsi="Verdana" w:cs="Verdana"/>
          <w:bCs/>
          <w:sz w:val="20"/>
          <w:szCs w:val="20"/>
          <w:lang w:val="es-ES"/>
        </w:rPr>
      </w:pPr>
      <w:r w:rsidRPr="004450B4">
        <w:rPr>
          <w:rFonts w:ascii="Verdana" w:eastAsia="Calibri" w:hAnsi="Verdana" w:cs="Verdana"/>
          <w:bCs/>
          <w:sz w:val="20"/>
          <w:szCs w:val="20"/>
          <w:lang w:val="es-ES"/>
        </w:rPr>
        <w:lastRenderedPageBreak/>
        <w:t xml:space="preserve">Corte IDH. </w:t>
      </w:r>
      <w:r w:rsidRPr="004450B4">
        <w:rPr>
          <w:rFonts w:ascii="Verdana" w:eastAsia="Calibri" w:hAnsi="Verdana" w:cs="Verdana"/>
          <w:bCs/>
          <w:i/>
          <w:iCs/>
          <w:sz w:val="20"/>
          <w:szCs w:val="20"/>
          <w:lang w:val="es-ES"/>
        </w:rPr>
        <w:t xml:space="preserve">Caso </w:t>
      </w:r>
      <w:proofErr w:type="spellStart"/>
      <w:r w:rsidRPr="004450B4">
        <w:rPr>
          <w:rFonts w:ascii="Verdana" w:eastAsia="Calibri" w:hAnsi="Verdana" w:cs="Verdana"/>
          <w:bCs/>
          <w:i/>
          <w:iCs/>
          <w:sz w:val="20"/>
          <w:szCs w:val="20"/>
          <w:lang w:val="es-ES"/>
        </w:rPr>
        <w:t>Tzompaxtle</w:t>
      </w:r>
      <w:proofErr w:type="spellEnd"/>
      <w:r w:rsidRPr="004450B4">
        <w:rPr>
          <w:rFonts w:ascii="Verdana" w:eastAsia="Calibri" w:hAnsi="Verdana" w:cs="Verdana"/>
          <w:bCs/>
          <w:i/>
          <w:iCs/>
          <w:sz w:val="20"/>
          <w:szCs w:val="20"/>
          <w:lang w:val="es-ES"/>
        </w:rPr>
        <w:t xml:space="preserve"> </w:t>
      </w:r>
      <w:proofErr w:type="spellStart"/>
      <w:r w:rsidRPr="004450B4">
        <w:rPr>
          <w:rFonts w:ascii="Verdana" w:eastAsia="Calibri" w:hAnsi="Verdana" w:cs="Verdana"/>
          <w:bCs/>
          <w:i/>
          <w:iCs/>
          <w:sz w:val="20"/>
          <w:szCs w:val="20"/>
          <w:lang w:val="es-ES"/>
        </w:rPr>
        <w:t>Tecpile</w:t>
      </w:r>
      <w:proofErr w:type="spellEnd"/>
      <w:r w:rsidRPr="004450B4">
        <w:rPr>
          <w:rFonts w:ascii="Verdana" w:eastAsia="Calibri" w:hAnsi="Verdana" w:cs="Verdana"/>
          <w:bCs/>
          <w:i/>
          <w:iCs/>
          <w:sz w:val="20"/>
          <w:szCs w:val="20"/>
          <w:lang w:val="es-ES"/>
        </w:rPr>
        <w:t xml:space="preserve"> y otros Vs. México. </w:t>
      </w:r>
      <w:r w:rsidRPr="004450B4">
        <w:rPr>
          <w:rFonts w:ascii="Verdana" w:eastAsia="Calibri" w:hAnsi="Verdana" w:cs="Verdana"/>
          <w:bCs/>
          <w:sz w:val="20"/>
          <w:szCs w:val="20"/>
          <w:lang w:val="es-ES"/>
        </w:rPr>
        <w:t xml:space="preserve">Excepción Preliminar, Fondo, Reparaciones y Costas. Sentencia de la Corte Interamericana de Derechos Humanos de </w:t>
      </w:r>
      <w:r w:rsidRPr="00703CBE">
        <w:rPr>
          <w:rFonts w:ascii="Verdana" w:eastAsia="Calibri" w:hAnsi="Verdana" w:cs="Verdana"/>
          <w:bCs/>
          <w:sz w:val="20"/>
          <w:szCs w:val="20"/>
          <w:lang w:val="es-ES"/>
        </w:rPr>
        <w:t>7 de noviembre de 2022</w:t>
      </w:r>
      <w:r w:rsidRPr="004450B4">
        <w:rPr>
          <w:rFonts w:ascii="Verdana" w:eastAsia="Calibri" w:hAnsi="Verdana" w:cs="Verdana"/>
          <w:bCs/>
          <w:sz w:val="20"/>
          <w:szCs w:val="20"/>
          <w:lang w:val="es-ES"/>
        </w:rPr>
        <w:t>. Sentencia adoptada en San José de Costa Rica.</w:t>
      </w:r>
    </w:p>
    <w:p w14:paraId="152AF2E8" w14:textId="77777777" w:rsidR="00882764" w:rsidRPr="004450B4" w:rsidRDefault="00882764" w:rsidP="00882764">
      <w:pPr>
        <w:jc w:val="center"/>
        <w:rPr>
          <w:rFonts w:ascii="Verdana" w:eastAsia="Batang" w:hAnsi="Verdana" w:cs="Times"/>
          <w:sz w:val="20"/>
          <w:szCs w:val="20"/>
          <w:lang w:val="es-ES"/>
        </w:rPr>
      </w:pPr>
    </w:p>
    <w:p w14:paraId="2BB5717E" w14:textId="77777777" w:rsidR="00882764" w:rsidRPr="004450B4" w:rsidRDefault="00882764" w:rsidP="00882764">
      <w:pPr>
        <w:jc w:val="center"/>
        <w:rPr>
          <w:rFonts w:ascii="Verdana" w:eastAsia="Batang" w:hAnsi="Verdana" w:cs="Times"/>
          <w:sz w:val="20"/>
          <w:szCs w:val="20"/>
          <w:lang w:val="es-ES"/>
        </w:rPr>
      </w:pPr>
    </w:p>
    <w:p w14:paraId="6ACFC5FD" w14:textId="77777777" w:rsidR="00882764" w:rsidRPr="004450B4" w:rsidRDefault="00882764" w:rsidP="00882764">
      <w:pPr>
        <w:jc w:val="center"/>
        <w:rPr>
          <w:rFonts w:ascii="Verdana" w:eastAsia="Batang" w:hAnsi="Verdana" w:cs="Times"/>
          <w:sz w:val="20"/>
          <w:szCs w:val="20"/>
          <w:lang w:val="es-ES"/>
        </w:rPr>
      </w:pPr>
    </w:p>
    <w:p w14:paraId="3FEB653C" w14:textId="77777777" w:rsidR="00882764" w:rsidRPr="004450B4" w:rsidRDefault="00882764" w:rsidP="00882764">
      <w:pPr>
        <w:jc w:val="center"/>
        <w:rPr>
          <w:rFonts w:ascii="Verdana" w:eastAsia="Batang" w:hAnsi="Verdana" w:cs="Times"/>
          <w:sz w:val="20"/>
          <w:szCs w:val="20"/>
          <w:lang w:val="es-ES"/>
        </w:rPr>
      </w:pPr>
    </w:p>
    <w:p w14:paraId="44977F0C" w14:textId="77777777" w:rsidR="00882764" w:rsidRPr="004450B4" w:rsidRDefault="00882764" w:rsidP="00882764">
      <w:pPr>
        <w:jc w:val="center"/>
        <w:rPr>
          <w:rFonts w:ascii="Verdana" w:eastAsia="Batang" w:hAnsi="Verdana" w:cs="Times"/>
          <w:sz w:val="20"/>
          <w:szCs w:val="20"/>
          <w:lang w:val="es-ES"/>
        </w:rPr>
      </w:pPr>
    </w:p>
    <w:p w14:paraId="02F1B772" w14:textId="77777777" w:rsidR="00882764" w:rsidRPr="004450B4" w:rsidRDefault="00882764" w:rsidP="00882764">
      <w:pPr>
        <w:jc w:val="center"/>
        <w:rPr>
          <w:rFonts w:ascii="Verdana" w:eastAsia="Batang" w:hAnsi="Verdana" w:cs="Times"/>
          <w:sz w:val="20"/>
          <w:szCs w:val="20"/>
          <w:lang w:val="es-ES"/>
        </w:rPr>
      </w:pPr>
      <w:r w:rsidRPr="004450B4">
        <w:rPr>
          <w:rFonts w:ascii="Verdana" w:eastAsia="Batang" w:hAnsi="Verdana" w:cs="Times"/>
          <w:sz w:val="20"/>
          <w:szCs w:val="20"/>
          <w:lang w:val="es-ES"/>
        </w:rPr>
        <w:t>Ricardo C. Pérez Manrique</w:t>
      </w:r>
    </w:p>
    <w:p w14:paraId="0E1739DA" w14:textId="77777777" w:rsidR="00882764" w:rsidRPr="004450B4" w:rsidRDefault="00882764" w:rsidP="00882764">
      <w:pPr>
        <w:jc w:val="center"/>
        <w:rPr>
          <w:rFonts w:ascii="Verdana" w:eastAsia="Batang" w:hAnsi="Verdana" w:cs="Times"/>
          <w:sz w:val="20"/>
          <w:szCs w:val="20"/>
          <w:lang w:val="es-ES"/>
        </w:rPr>
      </w:pPr>
      <w:r w:rsidRPr="004450B4">
        <w:rPr>
          <w:rFonts w:ascii="Verdana" w:eastAsia="Batang" w:hAnsi="Verdana" w:cs="Times"/>
          <w:sz w:val="20"/>
          <w:szCs w:val="20"/>
          <w:lang w:val="es-ES"/>
        </w:rPr>
        <w:t>Presidente</w:t>
      </w:r>
    </w:p>
    <w:p w14:paraId="2C1324D5" w14:textId="77777777" w:rsidR="00882764" w:rsidRPr="004450B4" w:rsidRDefault="00882764" w:rsidP="00882764">
      <w:pPr>
        <w:jc w:val="both"/>
        <w:rPr>
          <w:rFonts w:ascii="Verdana" w:eastAsia="Batang" w:hAnsi="Verdana" w:cs="Times"/>
          <w:sz w:val="20"/>
          <w:szCs w:val="20"/>
          <w:lang w:val="es-ES"/>
        </w:rPr>
      </w:pPr>
    </w:p>
    <w:p w14:paraId="7578D88A" w14:textId="77777777" w:rsidR="00882764" w:rsidRPr="004450B4" w:rsidRDefault="00882764" w:rsidP="00882764">
      <w:pPr>
        <w:jc w:val="both"/>
        <w:rPr>
          <w:rFonts w:ascii="Verdana" w:eastAsia="Batang" w:hAnsi="Verdana" w:cs="Times"/>
          <w:sz w:val="20"/>
          <w:szCs w:val="20"/>
          <w:lang w:val="es-ES"/>
        </w:rPr>
      </w:pPr>
    </w:p>
    <w:p w14:paraId="38182C2E" w14:textId="77777777" w:rsidR="00882764" w:rsidRPr="004450B4" w:rsidRDefault="00882764" w:rsidP="00882764">
      <w:pPr>
        <w:jc w:val="both"/>
        <w:rPr>
          <w:rFonts w:ascii="Verdana" w:eastAsia="Batang" w:hAnsi="Verdana" w:cs="Times"/>
          <w:sz w:val="20"/>
          <w:szCs w:val="20"/>
          <w:lang w:val="es-ES"/>
        </w:rPr>
      </w:pPr>
    </w:p>
    <w:p w14:paraId="1263B8E8" w14:textId="77777777" w:rsidR="00882764" w:rsidRPr="004450B4" w:rsidRDefault="00882764" w:rsidP="00882764">
      <w:pPr>
        <w:jc w:val="both"/>
        <w:rPr>
          <w:rFonts w:ascii="Verdana" w:eastAsia="Batang" w:hAnsi="Verdana" w:cs="Times"/>
          <w:sz w:val="20"/>
          <w:szCs w:val="20"/>
          <w:lang w:val="es-ES"/>
        </w:rPr>
      </w:pPr>
    </w:p>
    <w:p w14:paraId="16B947BE" w14:textId="77777777" w:rsidR="00882764" w:rsidRPr="004450B4" w:rsidRDefault="00882764" w:rsidP="00882764">
      <w:pPr>
        <w:jc w:val="both"/>
        <w:rPr>
          <w:rFonts w:ascii="Verdana" w:eastAsia="Batang" w:hAnsi="Verdana" w:cs="Times"/>
          <w:sz w:val="20"/>
          <w:szCs w:val="20"/>
          <w:lang w:val="es-ES"/>
        </w:rPr>
      </w:pPr>
    </w:p>
    <w:p w14:paraId="5D0204FC" w14:textId="274B81E8" w:rsidR="00882764" w:rsidRPr="004450B4" w:rsidRDefault="00882764" w:rsidP="00882764">
      <w:pPr>
        <w:jc w:val="both"/>
        <w:rPr>
          <w:rFonts w:ascii="Verdana" w:eastAsia="Batang" w:hAnsi="Verdana" w:cs="Times"/>
          <w:sz w:val="20"/>
          <w:szCs w:val="20"/>
          <w:lang w:val="es-ES"/>
        </w:rPr>
      </w:pPr>
      <w:r w:rsidRPr="004450B4">
        <w:rPr>
          <w:rFonts w:ascii="Verdana" w:eastAsia="Batang" w:hAnsi="Verdana" w:cs="Times"/>
          <w:sz w:val="20"/>
          <w:szCs w:val="20"/>
          <w:lang w:val="es-ES"/>
        </w:rPr>
        <w:t>Humberto Antonio Sierra Porto</w:t>
      </w:r>
      <w:r w:rsidRPr="004450B4">
        <w:rPr>
          <w:rFonts w:ascii="Verdana" w:eastAsia="Batang" w:hAnsi="Verdana" w:cs="Times"/>
          <w:sz w:val="20"/>
          <w:szCs w:val="20"/>
          <w:lang w:val="es-ES"/>
        </w:rPr>
        <w:tab/>
      </w:r>
      <w:r w:rsidRPr="004450B4">
        <w:rPr>
          <w:rFonts w:ascii="Verdana" w:eastAsia="Batang" w:hAnsi="Verdana" w:cs="Times"/>
          <w:sz w:val="20"/>
          <w:szCs w:val="20"/>
          <w:lang w:val="es-ES"/>
        </w:rPr>
        <w:tab/>
      </w:r>
      <w:r w:rsidRPr="004450B4">
        <w:rPr>
          <w:rFonts w:ascii="Verdana" w:eastAsia="Batang" w:hAnsi="Verdana" w:cs="Times"/>
          <w:sz w:val="20"/>
          <w:szCs w:val="20"/>
          <w:lang w:val="es-ES"/>
        </w:rPr>
        <w:tab/>
      </w:r>
      <w:r w:rsidRPr="004450B4">
        <w:rPr>
          <w:rFonts w:ascii="Verdana" w:eastAsia="Batang" w:hAnsi="Verdana" w:cs="Times"/>
          <w:sz w:val="20"/>
          <w:szCs w:val="20"/>
          <w:lang w:val="es-ES"/>
        </w:rPr>
        <w:tab/>
      </w:r>
      <w:r w:rsidR="00D656EF">
        <w:rPr>
          <w:rFonts w:ascii="Verdana" w:eastAsia="Batang" w:hAnsi="Verdana" w:cs="Times"/>
          <w:sz w:val="20"/>
          <w:szCs w:val="20"/>
          <w:lang w:val="es-ES"/>
        </w:rPr>
        <w:tab/>
      </w:r>
      <w:r w:rsidR="00D656EF">
        <w:rPr>
          <w:rFonts w:ascii="Verdana" w:eastAsia="Batang" w:hAnsi="Verdana" w:cs="Times"/>
          <w:sz w:val="20"/>
          <w:szCs w:val="20"/>
          <w:lang w:val="es-ES"/>
        </w:rPr>
        <w:tab/>
        <w:t xml:space="preserve">     </w:t>
      </w:r>
      <w:r w:rsidRPr="004450B4">
        <w:rPr>
          <w:rFonts w:ascii="Verdana" w:eastAsia="Times" w:hAnsi="Verdana" w:cs="Times"/>
          <w:sz w:val="20"/>
          <w:szCs w:val="20"/>
        </w:rPr>
        <w:t>Nancy Hernández López</w:t>
      </w:r>
    </w:p>
    <w:p w14:paraId="318623E5" w14:textId="77777777" w:rsidR="00882764" w:rsidRPr="004450B4" w:rsidRDefault="00882764" w:rsidP="00882764">
      <w:pPr>
        <w:jc w:val="both"/>
        <w:rPr>
          <w:rFonts w:ascii="Verdana" w:eastAsia="Batang" w:hAnsi="Verdana" w:cs="Times"/>
          <w:sz w:val="20"/>
          <w:szCs w:val="20"/>
          <w:lang w:val="es-ES"/>
        </w:rPr>
      </w:pPr>
    </w:p>
    <w:p w14:paraId="021BD4B3" w14:textId="77777777" w:rsidR="00882764" w:rsidRPr="004450B4" w:rsidRDefault="00882764" w:rsidP="00882764">
      <w:pPr>
        <w:jc w:val="both"/>
        <w:rPr>
          <w:rFonts w:ascii="Verdana" w:eastAsia="Batang" w:hAnsi="Verdana" w:cs="Times"/>
          <w:sz w:val="20"/>
          <w:szCs w:val="20"/>
          <w:lang w:val="es-ES"/>
        </w:rPr>
      </w:pPr>
    </w:p>
    <w:p w14:paraId="00BB759A" w14:textId="77777777" w:rsidR="00882764" w:rsidRPr="004450B4" w:rsidRDefault="00882764" w:rsidP="00882764">
      <w:pPr>
        <w:jc w:val="both"/>
        <w:rPr>
          <w:rFonts w:ascii="Verdana" w:eastAsia="Batang" w:hAnsi="Verdana" w:cs="Times"/>
          <w:sz w:val="20"/>
          <w:szCs w:val="20"/>
          <w:lang w:val="es-ES"/>
        </w:rPr>
      </w:pPr>
    </w:p>
    <w:p w14:paraId="329B4C9F" w14:textId="77777777" w:rsidR="00882764" w:rsidRPr="004450B4" w:rsidRDefault="00882764" w:rsidP="00882764">
      <w:pPr>
        <w:jc w:val="both"/>
        <w:rPr>
          <w:rFonts w:ascii="Verdana" w:eastAsia="Batang" w:hAnsi="Verdana" w:cs="Times"/>
          <w:sz w:val="20"/>
          <w:szCs w:val="20"/>
          <w:lang w:val="es-ES"/>
        </w:rPr>
      </w:pPr>
    </w:p>
    <w:p w14:paraId="0AD738AA" w14:textId="77777777" w:rsidR="00882764" w:rsidRPr="004450B4" w:rsidRDefault="00882764" w:rsidP="00882764">
      <w:pPr>
        <w:jc w:val="both"/>
        <w:rPr>
          <w:rFonts w:ascii="Verdana" w:eastAsia="Batang" w:hAnsi="Verdana" w:cs="Times"/>
          <w:sz w:val="20"/>
          <w:szCs w:val="20"/>
          <w:lang w:val="es-ES"/>
        </w:rPr>
      </w:pPr>
    </w:p>
    <w:p w14:paraId="7DA58E55" w14:textId="62752650" w:rsidR="00882764" w:rsidRPr="004450B4" w:rsidRDefault="00882764" w:rsidP="00882764">
      <w:pPr>
        <w:jc w:val="both"/>
        <w:rPr>
          <w:rFonts w:ascii="Verdana" w:eastAsia="Batang" w:hAnsi="Verdana" w:cs="Times"/>
          <w:sz w:val="20"/>
          <w:szCs w:val="20"/>
        </w:rPr>
      </w:pPr>
      <w:r w:rsidRPr="004450B4">
        <w:rPr>
          <w:rFonts w:ascii="Verdana" w:eastAsia="Batang" w:hAnsi="Verdana" w:cs="Times"/>
          <w:sz w:val="20"/>
          <w:szCs w:val="20"/>
        </w:rPr>
        <w:t>Verónica Gómez</w:t>
      </w:r>
      <w:r w:rsidRPr="004450B4">
        <w:rPr>
          <w:rFonts w:ascii="Verdana" w:eastAsia="Batang" w:hAnsi="Verdana" w:cs="Times"/>
          <w:sz w:val="20"/>
          <w:szCs w:val="20"/>
        </w:rPr>
        <w:tab/>
      </w:r>
      <w:r w:rsidRPr="004450B4">
        <w:rPr>
          <w:rFonts w:ascii="Verdana" w:eastAsia="Batang" w:hAnsi="Verdana" w:cs="Times"/>
          <w:sz w:val="20"/>
          <w:szCs w:val="20"/>
        </w:rPr>
        <w:tab/>
      </w:r>
      <w:r w:rsidRPr="004450B4">
        <w:rPr>
          <w:rFonts w:ascii="Verdana" w:eastAsia="Batang" w:hAnsi="Verdana" w:cs="Times"/>
          <w:sz w:val="20"/>
          <w:szCs w:val="20"/>
        </w:rPr>
        <w:tab/>
      </w:r>
      <w:r w:rsidRPr="004450B4">
        <w:rPr>
          <w:rFonts w:ascii="Verdana" w:eastAsia="Batang" w:hAnsi="Verdana" w:cs="Times"/>
          <w:sz w:val="20"/>
          <w:szCs w:val="20"/>
        </w:rPr>
        <w:tab/>
      </w:r>
      <w:r w:rsidRPr="004450B4">
        <w:rPr>
          <w:rFonts w:ascii="Verdana" w:eastAsia="Batang" w:hAnsi="Verdana" w:cs="Times"/>
          <w:sz w:val="20"/>
          <w:szCs w:val="20"/>
        </w:rPr>
        <w:tab/>
      </w:r>
      <w:r w:rsidRPr="004450B4">
        <w:rPr>
          <w:rFonts w:ascii="Verdana" w:eastAsia="Batang" w:hAnsi="Verdana" w:cs="Times"/>
          <w:sz w:val="20"/>
          <w:szCs w:val="20"/>
        </w:rPr>
        <w:tab/>
      </w:r>
      <w:r w:rsidR="00D656EF">
        <w:rPr>
          <w:rFonts w:ascii="Verdana" w:eastAsia="Batang" w:hAnsi="Verdana" w:cs="Times"/>
          <w:sz w:val="20"/>
          <w:szCs w:val="20"/>
        </w:rPr>
        <w:tab/>
      </w:r>
      <w:r w:rsidR="00D656EF">
        <w:rPr>
          <w:rFonts w:ascii="Verdana" w:eastAsia="Batang" w:hAnsi="Verdana" w:cs="Times"/>
          <w:sz w:val="20"/>
          <w:szCs w:val="20"/>
        </w:rPr>
        <w:tab/>
        <w:t xml:space="preserve">      </w:t>
      </w:r>
      <w:r w:rsidRPr="004450B4">
        <w:rPr>
          <w:rFonts w:ascii="Verdana" w:eastAsia="Batang" w:hAnsi="Verdana" w:cs="Times"/>
          <w:sz w:val="20"/>
          <w:szCs w:val="20"/>
        </w:rPr>
        <w:t>Patricia</w:t>
      </w:r>
      <w:r w:rsidRPr="004450B4">
        <w:rPr>
          <w:rFonts w:ascii="Verdana" w:eastAsia="Batang" w:hAnsi="Verdana" w:cs="Times"/>
          <w:sz w:val="20"/>
          <w:szCs w:val="20"/>
          <w:lang w:val="es-ES"/>
        </w:rPr>
        <w:t xml:space="preserve"> Pérez Goldberg</w:t>
      </w:r>
    </w:p>
    <w:p w14:paraId="535260C1" w14:textId="77777777" w:rsidR="00882764" w:rsidRPr="004450B4" w:rsidRDefault="00882764" w:rsidP="00882764">
      <w:pPr>
        <w:jc w:val="both"/>
        <w:rPr>
          <w:rFonts w:ascii="Verdana" w:eastAsia="Batang" w:hAnsi="Verdana" w:cs="Times"/>
          <w:sz w:val="20"/>
          <w:szCs w:val="20"/>
        </w:rPr>
      </w:pPr>
    </w:p>
    <w:p w14:paraId="1A56B6BD" w14:textId="77777777" w:rsidR="00882764" w:rsidRPr="004450B4" w:rsidRDefault="00882764" w:rsidP="00882764">
      <w:pPr>
        <w:jc w:val="both"/>
        <w:rPr>
          <w:rFonts w:ascii="Verdana" w:eastAsia="Batang" w:hAnsi="Verdana" w:cs="Times"/>
          <w:sz w:val="20"/>
          <w:szCs w:val="20"/>
        </w:rPr>
      </w:pPr>
    </w:p>
    <w:p w14:paraId="0BAD3659" w14:textId="77777777" w:rsidR="00882764" w:rsidRPr="004450B4" w:rsidRDefault="00882764" w:rsidP="00882764">
      <w:pPr>
        <w:jc w:val="both"/>
        <w:rPr>
          <w:rFonts w:ascii="Verdana" w:eastAsia="Batang" w:hAnsi="Verdana" w:cs="Times"/>
          <w:sz w:val="20"/>
          <w:szCs w:val="20"/>
        </w:rPr>
      </w:pPr>
    </w:p>
    <w:p w14:paraId="0F0AA4F7" w14:textId="77777777" w:rsidR="00882764" w:rsidRPr="004450B4" w:rsidRDefault="00882764" w:rsidP="00882764">
      <w:pPr>
        <w:jc w:val="both"/>
        <w:rPr>
          <w:rFonts w:ascii="Verdana" w:eastAsia="Batang" w:hAnsi="Verdana" w:cs="Times"/>
          <w:sz w:val="20"/>
          <w:szCs w:val="20"/>
        </w:rPr>
      </w:pPr>
    </w:p>
    <w:p w14:paraId="266746CA" w14:textId="77777777" w:rsidR="00882764" w:rsidRPr="004450B4" w:rsidRDefault="00882764" w:rsidP="00882764">
      <w:pPr>
        <w:jc w:val="both"/>
        <w:rPr>
          <w:rFonts w:ascii="Verdana" w:eastAsia="Batang" w:hAnsi="Verdana" w:cs="Times"/>
          <w:sz w:val="20"/>
          <w:szCs w:val="20"/>
        </w:rPr>
      </w:pPr>
    </w:p>
    <w:p w14:paraId="6313698E" w14:textId="77777777" w:rsidR="00882764" w:rsidRPr="004450B4" w:rsidRDefault="00882764" w:rsidP="00882764">
      <w:pPr>
        <w:tabs>
          <w:tab w:val="center" w:pos="4419"/>
        </w:tabs>
        <w:rPr>
          <w:rFonts w:ascii="Verdana" w:eastAsia="Batang" w:hAnsi="Verdana" w:cs="Times"/>
          <w:sz w:val="20"/>
          <w:szCs w:val="20"/>
          <w:lang w:val="es-ES"/>
        </w:rPr>
      </w:pPr>
      <w:r w:rsidRPr="004450B4">
        <w:rPr>
          <w:rFonts w:ascii="Verdana" w:eastAsia="Batang" w:hAnsi="Verdana" w:cs="Times"/>
          <w:sz w:val="20"/>
          <w:szCs w:val="20"/>
          <w:lang w:val="es-ES"/>
        </w:rPr>
        <w:tab/>
        <w:t xml:space="preserve">Rodrigo </w:t>
      </w:r>
      <w:proofErr w:type="spellStart"/>
      <w:r w:rsidRPr="004450B4">
        <w:rPr>
          <w:rFonts w:ascii="Verdana" w:eastAsia="Batang" w:hAnsi="Verdana" w:cs="Times"/>
          <w:sz w:val="20"/>
          <w:szCs w:val="20"/>
          <w:lang w:val="es-ES"/>
        </w:rPr>
        <w:t>Mudrovitsch</w:t>
      </w:r>
      <w:proofErr w:type="spellEnd"/>
    </w:p>
    <w:p w14:paraId="7AC552EF" w14:textId="77777777" w:rsidR="00882764" w:rsidRPr="004450B4" w:rsidRDefault="00882764" w:rsidP="00882764">
      <w:pPr>
        <w:jc w:val="both"/>
        <w:rPr>
          <w:rFonts w:ascii="Verdana" w:eastAsia="Batang" w:hAnsi="Verdana" w:cs="Times"/>
          <w:sz w:val="20"/>
          <w:szCs w:val="20"/>
          <w:lang w:val="es-ES"/>
        </w:rPr>
      </w:pPr>
    </w:p>
    <w:p w14:paraId="7F0B9FAB" w14:textId="77777777" w:rsidR="00882764" w:rsidRPr="004450B4" w:rsidRDefault="00882764" w:rsidP="00882764">
      <w:pPr>
        <w:jc w:val="both"/>
        <w:rPr>
          <w:rFonts w:ascii="Verdana" w:eastAsia="Batang" w:hAnsi="Verdana" w:cs="Times"/>
          <w:sz w:val="20"/>
          <w:szCs w:val="20"/>
          <w:lang w:val="es-ES"/>
        </w:rPr>
      </w:pPr>
    </w:p>
    <w:p w14:paraId="7BF96545" w14:textId="77777777" w:rsidR="00882764" w:rsidRPr="004450B4" w:rsidRDefault="00882764" w:rsidP="00882764">
      <w:pPr>
        <w:tabs>
          <w:tab w:val="left" w:pos="3945"/>
        </w:tabs>
        <w:jc w:val="both"/>
        <w:rPr>
          <w:rFonts w:ascii="Verdana" w:eastAsia="Times" w:hAnsi="Verdana" w:cs="Times"/>
          <w:sz w:val="20"/>
          <w:szCs w:val="20"/>
          <w:lang w:val="es-ES"/>
        </w:rPr>
      </w:pPr>
    </w:p>
    <w:p w14:paraId="29AEF58A" w14:textId="77777777" w:rsidR="00882764" w:rsidRPr="004450B4" w:rsidRDefault="00882764" w:rsidP="00882764">
      <w:pPr>
        <w:jc w:val="both"/>
        <w:rPr>
          <w:rFonts w:ascii="Verdana" w:eastAsia="Times" w:hAnsi="Verdana" w:cs="Times"/>
          <w:sz w:val="20"/>
          <w:szCs w:val="20"/>
          <w:lang w:val="es-ES"/>
        </w:rPr>
      </w:pPr>
    </w:p>
    <w:p w14:paraId="380E7125" w14:textId="77777777" w:rsidR="00882764" w:rsidRPr="004450B4" w:rsidRDefault="00882764" w:rsidP="00882764">
      <w:pPr>
        <w:jc w:val="both"/>
        <w:rPr>
          <w:rFonts w:ascii="Verdana" w:eastAsia="Times" w:hAnsi="Verdana" w:cs="Times"/>
          <w:sz w:val="20"/>
          <w:szCs w:val="20"/>
          <w:lang w:val="es-ES"/>
        </w:rPr>
      </w:pPr>
    </w:p>
    <w:p w14:paraId="1D177342" w14:textId="77777777" w:rsidR="00882764" w:rsidRPr="004450B4" w:rsidRDefault="00882764" w:rsidP="00882764">
      <w:pPr>
        <w:jc w:val="center"/>
        <w:rPr>
          <w:rFonts w:ascii="Verdana" w:eastAsia="Times" w:hAnsi="Verdana" w:cs="Times"/>
          <w:sz w:val="20"/>
          <w:szCs w:val="20"/>
        </w:rPr>
      </w:pPr>
      <w:r w:rsidRPr="004450B4">
        <w:rPr>
          <w:rFonts w:ascii="Verdana" w:eastAsia="Times" w:hAnsi="Verdana" w:cs="Times"/>
          <w:sz w:val="20"/>
          <w:szCs w:val="20"/>
        </w:rPr>
        <w:t>Pablo Saavedra Alessandri</w:t>
      </w:r>
    </w:p>
    <w:p w14:paraId="27AD6426" w14:textId="77777777" w:rsidR="00882764" w:rsidRPr="004450B4" w:rsidRDefault="00882764" w:rsidP="00882764">
      <w:pPr>
        <w:jc w:val="center"/>
        <w:rPr>
          <w:rFonts w:ascii="Verdana" w:eastAsia="Times" w:hAnsi="Verdana" w:cs="Times"/>
          <w:sz w:val="20"/>
          <w:szCs w:val="20"/>
        </w:rPr>
      </w:pPr>
      <w:r w:rsidRPr="004450B4">
        <w:rPr>
          <w:rFonts w:ascii="Verdana" w:eastAsia="Times" w:hAnsi="Verdana" w:cs="Times"/>
          <w:sz w:val="20"/>
          <w:szCs w:val="20"/>
        </w:rPr>
        <w:t>Secretario</w:t>
      </w:r>
    </w:p>
    <w:p w14:paraId="41E7CFFC" w14:textId="77777777" w:rsidR="00882764" w:rsidRPr="004450B4" w:rsidRDefault="00882764" w:rsidP="00882764">
      <w:pPr>
        <w:jc w:val="both"/>
        <w:rPr>
          <w:rFonts w:ascii="Verdana" w:eastAsia="Times" w:hAnsi="Verdana" w:cs="Times"/>
          <w:sz w:val="20"/>
          <w:szCs w:val="20"/>
        </w:rPr>
      </w:pPr>
    </w:p>
    <w:p w14:paraId="7522C9A4" w14:textId="77777777" w:rsidR="00882764" w:rsidRPr="004450B4" w:rsidRDefault="00882764" w:rsidP="00882764">
      <w:pPr>
        <w:jc w:val="both"/>
        <w:rPr>
          <w:rFonts w:ascii="Verdana" w:eastAsia="Times" w:hAnsi="Verdana" w:cs="Times"/>
          <w:sz w:val="20"/>
          <w:szCs w:val="20"/>
        </w:rPr>
      </w:pPr>
    </w:p>
    <w:p w14:paraId="529E8346" w14:textId="77777777" w:rsidR="00882764" w:rsidRPr="004450B4" w:rsidRDefault="00882764" w:rsidP="00882764">
      <w:pPr>
        <w:jc w:val="both"/>
        <w:rPr>
          <w:rFonts w:ascii="Verdana" w:eastAsia="Times" w:hAnsi="Verdana" w:cs="Times"/>
          <w:sz w:val="20"/>
          <w:szCs w:val="20"/>
        </w:rPr>
      </w:pPr>
    </w:p>
    <w:p w14:paraId="261F0772" w14:textId="77777777" w:rsidR="00882764" w:rsidRPr="004450B4" w:rsidRDefault="00882764" w:rsidP="00882764">
      <w:pPr>
        <w:jc w:val="both"/>
        <w:rPr>
          <w:rFonts w:ascii="Verdana" w:eastAsia="Times" w:hAnsi="Verdana" w:cs="Times"/>
          <w:sz w:val="20"/>
          <w:szCs w:val="20"/>
        </w:rPr>
      </w:pPr>
      <w:r w:rsidRPr="004450B4">
        <w:rPr>
          <w:rFonts w:ascii="Verdana" w:eastAsia="Times" w:hAnsi="Verdana" w:cs="Times"/>
          <w:sz w:val="20"/>
          <w:szCs w:val="20"/>
        </w:rPr>
        <w:t>Comuníquese y ejecútese,</w:t>
      </w:r>
    </w:p>
    <w:p w14:paraId="0F6D734A" w14:textId="77777777" w:rsidR="00882764" w:rsidRPr="004450B4" w:rsidRDefault="00882764" w:rsidP="00882764">
      <w:pPr>
        <w:jc w:val="both"/>
        <w:rPr>
          <w:rFonts w:ascii="Verdana" w:eastAsia="Times" w:hAnsi="Verdana" w:cs="Times"/>
          <w:sz w:val="20"/>
          <w:szCs w:val="20"/>
        </w:rPr>
      </w:pPr>
    </w:p>
    <w:p w14:paraId="74EC8D4F" w14:textId="77777777" w:rsidR="00882764" w:rsidRPr="004450B4" w:rsidRDefault="00882764" w:rsidP="00882764">
      <w:pPr>
        <w:jc w:val="both"/>
        <w:rPr>
          <w:rFonts w:ascii="Verdana" w:eastAsia="Times" w:hAnsi="Verdana" w:cs="Times"/>
          <w:sz w:val="20"/>
          <w:szCs w:val="20"/>
        </w:rPr>
      </w:pPr>
    </w:p>
    <w:p w14:paraId="31F60F14" w14:textId="77777777" w:rsidR="00882764" w:rsidRPr="004450B4" w:rsidRDefault="00882764" w:rsidP="00882764">
      <w:pPr>
        <w:jc w:val="both"/>
        <w:rPr>
          <w:rFonts w:ascii="Verdana" w:eastAsia="Times" w:hAnsi="Verdana" w:cs="Times"/>
          <w:sz w:val="20"/>
          <w:szCs w:val="20"/>
        </w:rPr>
      </w:pPr>
    </w:p>
    <w:p w14:paraId="47AD4403" w14:textId="77777777" w:rsidR="00882764" w:rsidRPr="004450B4" w:rsidRDefault="00882764" w:rsidP="00882764">
      <w:pPr>
        <w:jc w:val="both"/>
        <w:rPr>
          <w:rFonts w:ascii="Verdana" w:eastAsia="Times" w:hAnsi="Verdana" w:cs="Times"/>
          <w:sz w:val="20"/>
          <w:szCs w:val="20"/>
        </w:rPr>
      </w:pPr>
    </w:p>
    <w:p w14:paraId="5D170772" w14:textId="77777777" w:rsidR="00882764" w:rsidRPr="004450B4" w:rsidRDefault="00882764" w:rsidP="00D656EF">
      <w:pPr>
        <w:ind w:left="7090"/>
        <w:jc w:val="center"/>
        <w:rPr>
          <w:rFonts w:ascii="Verdana" w:eastAsia="Batang" w:hAnsi="Verdana" w:cs="Times"/>
          <w:sz w:val="20"/>
          <w:szCs w:val="20"/>
        </w:rPr>
      </w:pPr>
      <w:r w:rsidRPr="004450B4">
        <w:rPr>
          <w:rFonts w:ascii="Verdana" w:eastAsia="Batang" w:hAnsi="Verdana" w:cs="Times"/>
          <w:sz w:val="20"/>
          <w:szCs w:val="20"/>
        </w:rPr>
        <w:t>Ricardo C. Pérez Manrique</w:t>
      </w:r>
    </w:p>
    <w:p w14:paraId="578590E1" w14:textId="242EB866" w:rsidR="00882764" w:rsidRPr="004450B4" w:rsidRDefault="00882764" w:rsidP="00D656EF">
      <w:pPr>
        <w:ind w:left="7790" w:firstLine="9"/>
        <w:rPr>
          <w:rFonts w:ascii="Verdana" w:eastAsia="Batang" w:hAnsi="Verdana" w:cs="Times"/>
          <w:sz w:val="20"/>
          <w:szCs w:val="20"/>
        </w:rPr>
      </w:pPr>
      <w:r w:rsidRPr="004450B4">
        <w:rPr>
          <w:rFonts w:ascii="Verdana" w:eastAsia="Batang" w:hAnsi="Verdana" w:cs="Times"/>
          <w:sz w:val="20"/>
          <w:szCs w:val="20"/>
        </w:rPr>
        <w:t>Presidente</w:t>
      </w:r>
    </w:p>
    <w:p w14:paraId="3A13FA3B" w14:textId="77777777" w:rsidR="00882764" w:rsidRPr="004450B4" w:rsidRDefault="00882764" w:rsidP="00882764">
      <w:pPr>
        <w:jc w:val="both"/>
        <w:rPr>
          <w:rFonts w:ascii="Verdana" w:eastAsia="Times" w:hAnsi="Verdana" w:cs="Times"/>
          <w:sz w:val="20"/>
          <w:szCs w:val="20"/>
        </w:rPr>
      </w:pPr>
    </w:p>
    <w:p w14:paraId="2B7371E4" w14:textId="77777777" w:rsidR="00882764" w:rsidRPr="004450B4" w:rsidRDefault="00882764" w:rsidP="00882764">
      <w:pPr>
        <w:jc w:val="both"/>
        <w:rPr>
          <w:rFonts w:ascii="Verdana" w:eastAsia="Times" w:hAnsi="Verdana" w:cs="Times"/>
          <w:sz w:val="20"/>
          <w:szCs w:val="20"/>
        </w:rPr>
      </w:pPr>
    </w:p>
    <w:p w14:paraId="06E5041C" w14:textId="77777777" w:rsidR="00882764" w:rsidRPr="004450B4" w:rsidRDefault="00882764" w:rsidP="00882764">
      <w:pPr>
        <w:jc w:val="both"/>
        <w:rPr>
          <w:rFonts w:ascii="Verdana" w:eastAsia="Times" w:hAnsi="Verdana" w:cs="Times"/>
          <w:sz w:val="20"/>
          <w:szCs w:val="20"/>
        </w:rPr>
      </w:pPr>
    </w:p>
    <w:p w14:paraId="1ADB5634" w14:textId="77777777" w:rsidR="00882764" w:rsidRPr="004450B4" w:rsidRDefault="00882764" w:rsidP="00882764">
      <w:pPr>
        <w:jc w:val="both"/>
        <w:rPr>
          <w:rFonts w:ascii="Verdana" w:eastAsia="Times" w:hAnsi="Verdana" w:cs="Times"/>
          <w:sz w:val="20"/>
          <w:szCs w:val="20"/>
        </w:rPr>
      </w:pPr>
    </w:p>
    <w:p w14:paraId="6B86CCEC" w14:textId="77777777" w:rsidR="00882764" w:rsidRPr="004450B4" w:rsidRDefault="00882764" w:rsidP="00882764">
      <w:pPr>
        <w:jc w:val="both"/>
        <w:rPr>
          <w:rFonts w:ascii="Verdana" w:eastAsia="Times" w:hAnsi="Verdana" w:cs="Times"/>
          <w:sz w:val="20"/>
          <w:szCs w:val="20"/>
        </w:rPr>
      </w:pPr>
      <w:r w:rsidRPr="004450B4">
        <w:rPr>
          <w:rFonts w:ascii="Verdana" w:eastAsia="Times" w:hAnsi="Verdana" w:cs="Times"/>
          <w:sz w:val="20"/>
          <w:szCs w:val="20"/>
        </w:rPr>
        <w:t>Pablo Saavedra Alessandri</w:t>
      </w:r>
    </w:p>
    <w:p w14:paraId="2D70773E" w14:textId="77777777" w:rsidR="00882764" w:rsidRPr="004450B4" w:rsidRDefault="00882764" w:rsidP="00882764">
      <w:pPr>
        <w:jc w:val="both"/>
        <w:rPr>
          <w:rFonts w:ascii="Verdana" w:eastAsia="Batang" w:hAnsi="Verdana" w:cs="Times"/>
          <w:sz w:val="20"/>
          <w:szCs w:val="20"/>
          <w:lang w:val="es-ES_tradnl"/>
        </w:rPr>
      </w:pPr>
      <w:r w:rsidRPr="004450B4">
        <w:rPr>
          <w:rFonts w:ascii="Verdana" w:eastAsia="Times" w:hAnsi="Verdana" w:cs="Times"/>
          <w:sz w:val="20"/>
          <w:szCs w:val="20"/>
        </w:rPr>
        <w:tab/>
        <w:t>Secretario</w:t>
      </w:r>
    </w:p>
    <w:sectPr w:rsidR="00882764" w:rsidRPr="004450B4" w:rsidSect="00ED7C91">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18" w:right="1418" w:bottom="1418"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FF526" w14:textId="77777777" w:rsidR="00330E7F" w:rsidRDefault="00330E7F" w:rsidP="009403BF">
      <w:r>
        <w:separator/>
      </w:r>
    </w:p>
  </w:endnote>
  <w:endnote w:type="continuationSeparator" w:id="0">
    <w:p w14:paraId="41E8425E" w14:textId="77777777" w:rsidR="00330E7F" w:rsidRDefault="00330E7F" w:rsidP="009403BF">
      <w:r>
        <w:continuationSeparator/>
      </w:r>
    </w:p>
  </w:endnote>
  <w:endnote w:type="continuationNotice" w:id="1">
    <w:p w14:paraId="69D61D38" w14:textId="77777777" w:rsidR="00330E7F" w:rsidRDefault="00330E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Malgun Gothic Semilight"/>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pple Chancery">
    <w:altName w:val="APPLE CHANCERY"/>
    <w:charset w:val="B1"/>
    <w:family w:val="script"/>
    <w:pitch w:val="variable"/>
    <w:sig w:usb0="80000867" w:usb1="00000003" w:usb2="00000000" w:usb3="00000000" w:csb0="000001F3"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Verdana Bold">
    <w:altName w:val="Klee One"/>
    <w:charset w:val="00"/>
    <w:family w:val="auto"/>
    <w:pitch w:val="variable"/>
    <w:sig w:usb0="A10006FF" w:usb1="4000205B" w:usb2="00000010" w:usb3="00000000" w:csb0="0000019F" w:csb1="00000000"/>
  </w:font>
  <w:font w:name="ヒラギノ角ゴ Pro W3">
    <w:altName w:val="MS Mincho"/>
    <w:charset w:val="80"/>
    <w:family w:val="auto"/>
    <w:pitch w:val="variable"/>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Light">
    <w:altName w:val="Calibri"/>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6E10" w14:textId="4916A33A" w:rsidR="00D15B00" w:rsidRDefault="00D15B00" w:rsidP="00F6556A">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165B94F0" w14:textId="77777777" w:rsidR="00D15B00" w:rsidRDefault="00D15B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Fonts w:ascii="Verdana" w:hAnsi="Verdana"/>
        <w:sz w:val="20"/>
        <w:szCs w:val="20"/>
      </w:rPr>
      <w:id w:val="432861629"/>
      <w:docPartObj>
        <w:docPartGallery w:val="Page Numbers (Bottom of Page)"/>
        <w:docPartUnique/>
      </w:docPartObj>
    </w:sdtPr>
    <w:sdtContent>
      <w:p w14:paraId="18934FF8" w14:textId="0761392E" w:rsidR="00D15B00" w:rsidRPr="00D82653" w:rsidRDefault="00D15B00" w:rsidP="00F6556A">
        <w:pPr>
          <w:pStyle w:val="Piedepgina"/>
          <w:framePr w:wrap="none" w:vAnchor="text" w:hAnchor="margin" w:xAlign="center" w:y="1"/>
          <w:rPr>
            <w:rStyle w:val="Nmerodepgina"/>
            <w:rFonts w:ascii="Verdana" w:hAnsi="Verdana"/>
            <w:sz w:val="20"/>
            <w:szCs w:val="20"/>
          </w:rPr>
        </w:pPr>
        <w:r w:rsidRPr="00D82653">
          <w:rPr>
            <w:rStyle w:val="Nmerodepgina"/>
            <w:rFonts w:ascii="Verdana" w:hAnsi="Verdana"/>
            <w:sz w:val="20"/>
            <w:szCs w:val="20"/>
          </w:rPr>
          <w:fldChar w:fldCharType="begin"/>
        </w:r>
        <w:r w:rsidRPr="00D82653">
          <w:rPr>
            <w:rStyle w:val="Nmerodepgina"/>
            <w:rFonts w:ascii="Verdana" w:hAnsi="Verdana"/>
            <w:sz w:val="20"/>
            <w:szCs w:val="20"/>
          </w:rPr>
          <w:instrText xml:space="preserve"> PAGE </w:instrText>
        </w:r>
        <w:r w:rsidRPr="00D82653">
          <w:rPr>
            <w:rStyle w:val="Nmerodepgina"/>
            <w:rFonts w:ascii="Verdana" w:hAnsi="Verdana"/>
            <w:sz w:val="20"/>
            <w:szCs w:val="20"/>
          </w:rPr>
          <w:fldChar w:fldCharType="separate"/>
        </w:r>
        <w:r w:rsidR="001E6134">
          <w:rPr>
            <w:rStyle w:val="Nmerodepgina"/>
            <w:rFonts w:ascii="Verdana" w:hAnsi="Verdana"/>
            <w:noProof/>
            <w:sz w:val="20"/>
            <w:szCs w:val="20"/>
          </w:rPr>
          <w:t>61</w:t>
        </w:r>
        <w:r w:rsidRPr="00D82653">
          <w:rPr>
            <w:rStyle w:val="Nmerodepgina"/>
            <w:rFonts w:ascii="Verdana" w:hAnsi="Verdana"/>
            <w:sz w:val="20"/>
            <w:szCs w:val="20"/>
          </w:rPr>
          <w:fldChar w:fldCharType="end"/>
        </w:r>
      </w:p>
    </w:sdtContent>
  </w:sdt>
  <w:p w14:paraId="4018F59D" w14:textId="77777777" w:rsidR="00D15B00" w:rsidRDefault="00D15B0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232FE" w14:textId="77777777" w:rsidR="00D15B00" w:rsidRDefault="00D15B00" w:rsidP="00E1419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B14A4" w14:textId="77777777" w:rsidR="00D15B00" w:rsidRDefault="00D15B00" w:rsidP="00E14192">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352320"/>
      <w:docPartObj>
        <w:docPartGallery w:val="Page Numbers (Bottom of Page)"/>
        <w:docPartUnique/>
      </w:docPartObj>
    </w:sdtPr>
    <w:sdtEndPr>
      <w:rPr>
        <w:rFonts w:ascii="Verdana" w:hAnsi="Verdana"/>
        <w:noProof/>
        <w:sz w:val="16"/>
        <w:szCs w:val="16"/>
      </w:rPr>
    </w:sdtEndPr>
    <w:sdtContent>
      <w:p w14:paraId="0F80A5E2" w14:textId="689CBC70" w:rsidR="00D15B00" w:rsidRPr="00A05AED" w:rsidRDefault="00D15B00">
        <w:pPr>
          <w:pStyle w:val="Piedepgina"/>
          <w:jc w:val="center"/>
          <w:rPr>
            <w:rFonts w:ascii="Verdana" w:hAnsi="Verdana"/>
            <w:sz w:val="16"/>
            <w:szCs w:val="16"/>
          </w:rPr>
        </w:pPr>
        <w:r w:rsidRPr="00A05AED">
          <w:rPr>
            <w:rFonts w:ascii="Verdana" w:hAnsi="Verdana"/>
            <w:sz w:val="16"/>
            <w:szCs w:val="16"/>
          </w:rPr>
          <w:t>-</w:t>
        </w:r>
        <w:r w:rsidRPr="00A05AED">
          <w:rPr>
            <w:rFonts w:ascii="Verdana" w:hAnsi="Verdana"/>
            <w:sz w:val="16"/>
            <w:szCs w:val="16"/>
          </w:rPr>
          <w:fldChar w:fldCharType="begin"/>
        </w:r>
        <w:r w:rsidRPr="00A05AED">
          <w:rPr>
            <w:rFonts w:ascii="Verdana" w:hAnsi="Verdana"/>
            <w:sz w:val="16"/>
            <w:szCs w:val="16"/>
          </w:rPr>
          <w:instrText xml:space="preserve"> PAGE   \* MERGEFORMAT </w:instrText>
        </w:r>
        <w:r w:rsidRPr="00A05AED">
          <w:rPr>
            <w:rFonts w:ascii="Verdana" w:hAnsi="Verdana"/>
            <w:sz w:val="16"/>
            <w:szCs w:val="16"/>
          </w:rPr>
          <w:fldChar w:fldCharType="separate"/>
        </w:r>
        <w:r w:rsidR="001E6134">
          <w:rPr>
            <w:rFonts w:ascii="Verdana" w:hAnsi="Verdana"/>
            <w:noProof/>
            <w:sz w:val="16"/>
            <w:szCs w:val="16"/>
          </w:rPr>
          <w:t>62</w:t>
        </w:r>
        <w:r w:rsidRPr="00A05AED">
          <w:rPr>
            <w:rFonts w:ascii="Verdana" w:hAnsi="Verdana"/>
            <w:noProof/>
            <w:sz w:val="16"/>
            <w:szCs w:val="16"/>
          </w:rPr>
          <w:fldChar w:fldCharType="end"/>
        </w:r>
        <w:r w:rsidRPr="00A05AED">
          <w:rPr>
            <w:rFonts w:ascii="Verdana" w:hAnsi="Verdana"/>
            <w:noProof/>
            <w:sz w:val="16"/>
            <w:szCs w:val="16"/>
          </w:rPr>
          <w:t>-</w:t>
        </w:r>
      </w:p>
    </w:sdtContent>
  </w:sdt>
  <w:p w14:paraId="55687996" w14:textId="77777777" w:rsidR="00D15B00" w:rsidRDefault="00D15B00" w:rsidP="00E14192">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D1EB" w14:textId="77777777" w:rsidR="00D15B00" w:rsidRDefault="00D15B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82A59" w14:textId="77777777" w:rsidR="00330E7F" w:rsidRDefault="00330E7F" w:rsidP="009403BF">
      <w:r>
        <w:separator/>
      </w:r>
    </w:p>
  </w:footnote>
  <w:footnote w:type="continuationSeparator" w:id="0">
    <w:p w14:paraId="261DCF85" w14:textId="77777777" w:rsidR="00330E7F" w:rsidRDefault="00330E7F" w:rsidP="009403BF">
      <w:r>
        <w:continuationSeparator/>
      </w:r>
    </w:p>
  </w:footnote>
  <w:footnote w:type="continuationNotice" w:id="1">
    <w:p w14:paraId="31569CB1" w14:textId="77777777" w:rsidR="00330E7F" w:rsidRDefault="00330E7F"/>
  </w:footnote>
  <w:footnote w:id="2">
    <w:p w14:paraId="5E1C61D5" w14:textId="6D15F409" w:rsidR="00D15B00" w:rsidRPr="00B156D5" w:rsidRDefault="00D15B00" w:rsidP="00526A50">
      <w:pPr>
        <w:pStyle w:val="Textonotapie"/>
        <w:jc w:val="both"/>
        <w:rPr>
          <w:rFonts w:ascii="Verdana" w:hAnsi="Verdana"/>
          <w:b/>
          <w:bCs/>
          <w:szCs w:val="16"/>
        </w:rPr>
      </w:pPr>
      <w:r w:rsidRPr="00B156D5">
        <w:rPr>
          <w:rStyle w:val="Refdenotaalpie"/>
          <w:rFonts w:ascii="Verdana" w:hAnsi="Verdana"/>
          <w:szCs w:val="16"/>
        </w:rPr>
        <w:t>*</w:t>
      </w:r>
      <w:r w:rsidRPr="00B156D5">
        <w:rPr>
          <w:rFonts w:ascii="Verdana" w:hAnsi="Verdana"/>
          <w:szCs w:val="16"/>
        </w:rPr>
        <w:t xml:space="preserve"> </w:t>
      </w:r>
      <w:r w:rsidRPr="00B156D5">
        <w:rPr>
          <w:rFonts w:ascii="Verdana" w:hAnsi="Verdana"/>
          <w:szCs w:val="16"/>
        </w:rPr>
        <w:tab/>
        <w:t xml:space="preserve">El Juez Eduardo Ferrer Mac-Gregor Poisot, de nacionalidad mexicana, no participó en la tramitación del presente caso ni en la deliberación y firma de esta Sentencia, de conformidad con lo dispuesto en los artículos 19.1 y 19.2 del Reglamento de la Corte. </w:t>
      </w:r>
    </w:p>
  </w:footnote>
  <w:footnote w:id="3">
    <w:p w14:paraId="0E22457F" w14:textId="526BF8BF"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CR"/>
        </w:rPr>
        <w:tab/>
        <w:t xml:space="preserve">La representación de la presunta víctima la ejerce la organización “Red Solidaria Década Contra la Impunidad A.C”. </w:t>
      </w:r>
    </w:p>
  </w:footnote>
  <w:footnote w:id="4">
    <w:p w14:paraId="53D0C917" w14:textId="70354C33"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El Estado designó como agentes a Martha Delgado Peralta, Subsecretaria para Asuntos Multilaterales y Derechos Humanos; Alejandro Celorio Alcántara, Consultor Jurídico; Marcos Moreno Báez, Coordinador de Asuntos Internacionales de Derechos Humanos; Cristopher Ballinas Valdés, Director General de Derechos Humanos y Democracia;</w:t>
      </w:r>
      <w:r w:rsidR="00023E34" w:rsidRPr="00B156D5">
        <w:rPr>
          <w:rFonts w:ascii="Verdana" w:hAnsi="Verdana"/>
          <w:szCs w:val="16"/>
          <w:lang w:val="es-ES"/>
        </w:rPr>
        <w:t xml:space="preserve"> </w:t>
      </w:r>
      <w:r w:rsidRPr="00B156D5">
        <w:rPr>
          <w:rFonts w:ascii="Verdana" w:hAnsi="Verdana"/>
          <w:szCs w:val="16"/>
          <w:lang w:val="es-ES"/>
        </w:rPr>
        <w:t xml:space="preserve">María Fernanda Pérez Galindo, Encargada de la Dirección General de Cooperación Internacional; Carolina Hernández Nieto, Encargada de la Coordinación de Resoluciones Internacionales; Salvador Tinajero Esquivel, Coordinador de Derecho Internacional; Alfredo Uriel Pérez Manríquez, Director de Derechos Internacional IV; Tisbe Cázares Mejía, Directora de Asuntos Internacionales en Materia de Derechos Humanos; Lucero de Fátima Hinojosa Romero, Directora de Litigio Internacional y, Diana Valle Rodríguez, Subdirectora de Área Secretaría de Relaciones Exteriores, México, D. F. Estados Unidos Mexicanos. </w:t>
      </w:r>
    </w:p>
  </w:footnote>
  <w:footnote w:id="5">
    <w:p w14:paraId="0BBF5ACA" w14:textId="3F849F6B" w:rsidR="00D15B00" w:rsidRPr="00B156D5" w:rsidRDefault="00D15B00" w:rsidP="00526A50">
      <w:pPr>
        <w:pStyle w:val="Textonotapie"/>
        <w:jc w:val="both"/>
        <w:rPr>
          <w:rFonts w:ascii="Verdana" w:hAnsi="Verdana" w:cs="Arial"/>
          <w:szCs w:val="16"/>
          <w:lang w:val="es-CR"/>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CR"/>
        </w:rPr>
        <w:tab/>
      </w:r>
      <w:r w:rsidRPr="00B156D5">
        <w:rPr>
          <w:rFonts w:ascii="Verdana" w:hAnsi="Verdana"/>
          <w:i/>
          <w:iCs/>
          <w:szCs w:val="16"/>
          <w:lang w:val="es-CR"/>
        </w:rPr>
        <w:t xml:space="preserve">Cfr. </w:t>
      </w:r>
      <w:r w:rsidRPr="00B156D5">
        <w:rPr>
          <w:rFonts w:ascii="Verdana" w:hAnsi="Verdana" w:cs="Arial"/>
          <w:i/>
          <w:iCs/>
          <w:szCs w:val="16"/>
          <w:lang w:val="es-CR"/>
        </w:rPr>
        <w:t xml:space="preserve">Tzompaxtle Tecpile y otros Vs. México. </w:t>
      </w:r>
      <w:r w:rsidRPr="00B156D5">
        <w:rPr>
          <w:rFonts w:ascii="Verdana" w:hAnsi="Verdana" w:cs="Arial"/>
          <w:szCs w:val="16"/>
          <w:lang w:val="es-CR"/>
        </w:rPr>
        <w:t xml:space="preserve">Convocatoria a audiencia. Resolución del </w:t>
      </w:r>
      <w:proofErr w:type="gramStart"/>
      <w:r w:rsidRPr="00B156D5">
        <w:rPr>
          <w:rFonts w:ascii="Verdana" w:hAnsi="Verdana" w:cs="Arial"/>
          <w:szCs w:val="16"/>
          <w:lang w:val="es-CR"/>
        </w:rPr>
        <w:t>Presidente</w:t>
      </w:r>
      <w:proofErr w:type="gramEnd"/>
      <w:r w:rsidRPr="00B156D5">
        <w:rPr>
          <w:rFonts w:ascii="Verdana" w:hAnsi="Verdana" w:cs="Arial"/>
          <w:szCs w:val="16"/>
          <w:lang w:val="es-CR"/>
        </w:rPr>
        <w:t xml:space="preserve"> de la Corte Interamericana de Derechos Humanos de 24 de mayo de 2022. </w:t>
      </w:r>
      <w:hyperlink r:id="rId1" w:history="1">
        <w:r w:rsidRPr="00B156D5">
          <w:rPr>
            <w:rStyle w:val="Hipervnculo"/>
            <w:rFonts w:ascii="Verdana" w:hAnsi="Verdana" w:cs="Arial"/>
            <w:szCs w:val="16"/>
            <w:lang w:val="es-CR"/>
          </w:rPr>
          <w:t>https://www.corteidh.or.cr/docs/asuntos/tzompaxtle_tecpile_y_otros_24_05_22.pdf</w:t>
        </w:r>
      </w:hyperlink>
      <w:r w:rsidRPr="00B156D5">
        <w:rPr>
          <w:rFonts w:ascii="Verdana" w:hAnsi="Verdana" w:cs="Arial"/>
          <w:szCs w:val="16"/>
          <w:lang w:val="es-CR"/>
        </w:rPr>
        <w:t xml:space="preserve"> </w:t>
      </w:r>
    </w:p>
  </w:footnote>
  <w:footnote w:id="6">
    <w:p w14:paraId="470AAC48" w14:textId="1FFA37BB" w:rsidR="00D15B00" w:rsidRPr="00B156D5" w:rsidRDefault="00D15B00" w:rsidP="00526A50">
      <w:pPr>
        <w:pStyle w:val="Textonotapie"/>
        <w:jc w:val="both"/>
        <w:rPr>
          <w:rFonts w:ascii="Verdana" w:hAnsi="Verdana"/>
          <w:szCs w:val="16"/>
          <w:lang w:val="es-MX"/>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MX"/>
        </w:rPr>
        <w:tab/>
      </w:r>
      <w:r w:rsidRPr="00B156D5">
        <w:rPr>
          <w:rFonts w:ascii="Verdana" w:hAnsi="Verdana"/>
          <w:szCs w:val="16"/>
          <w:lang w:val="es-CR"/>
        </w:rPr>
        <w:t>A esta audiencia comparecieron: a) por la Comisión Interamericana:</w:t>
      </w:r>
      <w:r w:rsidRPr="00B156D5">
        <w:rPr>
          <w:rFonts w:ascii="Verdana" w:hAnsi="Verdana"/>
          <w:szCs w:val="16"/>
        </w:rPr>
        <w:t xml:space="preserve"> </w:t>
      </w:r>
      <w:r w:rsidRPr="00B156D5">
        <w:rPr>
          <w:rFonts w:ascii="Verdana" w:hAnsi="Verdana"/>
          <w:szCs w:val="16"/>
          <w:lang w:val="es-CR"/>
        </w:rPr>
        <w:t xml:space="preserve">Erick Acuña Pereda, y Paula Rangel, ambos asesores de la </w:t>
      </w:r>
      <w:r w:rsidR="0096498B" w:rsidRPr="00B156D5">
        <w:rPr>
          <w:rFonts w:ascii="Verdana" w:hAnsi="Verdana"/>
          <w:szCs w:val="16"/>
          <w:lang w:val="es-CR"/>
        </w:rPr>
        <w:t>Comisión</w:t>
      </w:r>
      <w:r w:rsidRPr="00B156D5">
        <w:rPr>
          <w:rFonts w:ascii="Verdana" w:hAnsi="Verdana"/>
          <w:szCs w:val="16"/>
          <w:lang w:val="es-CR"/>
        </w:rPr>
        <w:t>; b) por los representantes: María Magdalena López Paulino; Ernesto Rodríguez Cabrera; Armando Venegas Martínez; Julián Ruzalta Aguirre; Sandra Salcedo González; Carlos Karim Zazueta Vargas, y</w:t>
      </w:r>
      <w:r w:rsidR="00023E34" w:rsidRPr="00B156D5">
        <w:rPr>
          <w:rFonts w:ascii="Verdana" w:hAnsi="Verdana"/>
          <w:szCs w:val="16"/>
          <w:lang w:val="es-CR"/>
        </w:rPr>
        <w:t xml:space="preserve"> </w:t>
      </w:r>
      <w:r w:rsidRPr="00B156D5">
        <w:rPr>
          <w:rFonts w:ascii="Verdana" w:hAnsi="Verdana"/>
          <w:szCs w:val="16"/>
          <w:lang w:val="es-CR"/>
        </w:rPr>
        <w:t xml:space="preserve">Ie Tze Rodríguez López, y c) por el Estado: Roselia Margarita Barajas y Olea, Embajadora de México en Costa Rica; Alejandro Celorio Alcántara, Consultor Jurídico; Nancy Desiderio Noyola, Directora de Seguimiento a Casos ante el Sistema Interamericano; Alfredo Uriel Pérez </w:t>
      </w:r>
      <w:r w:rsidR="0096498B" w:rsidRPr="00B156D5">
        <w:rPr>
          <w:rFonts w:ascii="Verdana" w:hAnsi="Verdana"/>
          <w:szCs w:val="16"/>
          <w:lang w:val="es-CR"/>
        </w:rPr>
        <w:t>Manríquez</w:t>
      </w:r>
      <w:r w:rsidRPr="00B156D5">
        <w:rPr>
          <w:rFonts w:ascii="Verdana" w:hAnsi="Verdana"/>
          <w:szCs w:val="16"/>
          <w:lang w:val="es-CR"/>
        </w:rPr>
        <w:t xml:space="preserve">, Director de Derecho Internacional IV; Diana Elena Ramírez Urbina, Agente del Ministerio Público Adscrito a la Unidad Especializada en Investigación de Terrorismo, Acopio y Tráfico de Armas, y Braulio Robles Zúñiga, Agente del Ministerio Público Adscrito a la Unidad Especializada en Investigaciones de Terrorismo, Acopio y Tráfico de Armas. </w:t>
      </w:r>
    </w:p>
  </w:footnote>
  <w:footnote w:id="7">
    <w:p w14:paraId="70DC65BF" w14:textId="46177ED8" w:rsidR="00D15B00" w:rsidRPr="00B156D5" w:rsidRDefault="00D15B00" w:rsidP="00526A50">
      <w:pPr>
        <w:pStyle w:val="Textonotapie"/>
        <w:jc w:val="both"/>
        <w:rPr>
          <w:rFonts w:ascii="Verdana" w:hAnsi="Verdana"/>
          <w:szCs w:val="16"/>
          <w:lang w:val="es-CR"/>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CR"/>
        </w:rPr>
        <w:tab/>
        <w:t>El escrito firmado por Víctor Manuel Rodriguez Rescia</w:t>
      </w:r>
      <w:r w:rsidR="00BD558E" w:rsidRPr="00B156D5">
        <w:rPr>
          <w:rFonts w:ascii="Verdana" w:hAnsi="Verdana"/>
          <w:szCs w:val="16"/>
          <w:lang w:val="es-CR"/>
        </w:rPr>
        <w:t>;</w:t>
      </w:r>
      <w:r w:rsidRPr="00B156D5">
        <w:rPr>
          <w:rFonts w:ascii="Verdana" w:hAnsi="Verdana"/>
          <w:szCs w:val="16"/>
          <w:lang w:val="es-CR"/>
        </w:rPr>
        <w:t xml:space="preserve"> Bertha Carolina López Pérez</w:t>
      </w:r>
      <w:r w:rsidR="00BD558E" w:rsidRPr="00B156D5">
        <w:rPr>
          <w:rFonts w:ascii="Verdana" w:hAnsi="Verdana"/>
          <w:szCs w:val="16"/>
          <w:lang w:val="es-CR"/>
        </w:rPr>
        <w:t>;</w:t>
      </w:r>
      <w:r w:rsidRPr="00B156D5">
        <w:rPr>
          <w:rFonts w:ascii="Verdana" w:hAnsi="Verdana"/>
          <w:szCs w:val="16"/>
          <w:lang w:val="es-CR"/>
        </w:rPr>
        <w:t xml:space="preserve"> Rogelio Flores Pantoja</w:t>
      </w:r>
      <w:r w:rsidR="00BD558E" w:rsidRPr="00B156D5">
        <w:rPr>
          <w:rFonts w:ascii="Verdana" w:hAnsi="Verdana"/>
          <w:szCs w:val="16"/>
          <w:lang w:val="es-CR"/>
        </w:rPr>
        <w:t>;</w:t>
      </w:r>
      <w:r w:rsidRPr="00B156D5">
        <w:rPr>
          <w:rFonts w:ascii="Verdana" w:hAnsi="Verdana"/>
          <w:szCs w:val="16"/>
          <w:lang w:val="es-CR"/>
        </w:rPr>
        <w:t xml:space="preserve"> María de los Ángeles Corte Ríos</w:t>
      </w:r>
      <w:r w:rsidR="00BD558E" w:rsidRPr="00B156D5">
        <w:rPr>
          <w:rFonts w:ascii="Verdana" w:hAnsi="Verdana"/>
          <w:szCs w:val="16"/>
          <w:lang w:val="es-CR"/>
        </w:rPr>
        <w:t>;</w:t>
      </w:r>
      <w:r w:rsidRPr="00B156D5">
        <w:rPr>
          <w:rFonts w:ascii="Verdana" w:hAnsi="Verdana"/>
          <w:szCs w:val="16"/>
          <w:lang w:val="es-CR"/>
        </w:rPr>
        <w:t xml:space="preserve"> Silvia Alexandra Esquivel Díaz</w:t>
      </w:r>
      <w:r w:rsidR="00BD558E" w:rsidRPr="00B156D5">
        <w:rPr>
          <w:rFonts w:ascii="Verdana" w:hAnsi="Verdana"/>
          <w:szCs w:val="16"/>
          <w:lang w:val="es-CR"/>
        </w:rPr>
        <w:t>;</w:t>
      </w:r>
      <w:r w:rsidRPr="00B156D5">
        <w:rPr>
          <w:rFonts w:ascii="Verdana" w:hAnsi="Verdana"/>
          <w:szCs w:val="16"/>
          <w:lang w:val="es-CR"/>
        </w:rPr>
        <w:t xml:space="preserve"> Giselle Meza Martell, y Martha Elba Dávila Pérez versa</w:t>
      </w:r>
      <w:r w:rsidR="00BD558E" w:rsidRPr="00B156D5">
        <w:rPr>
          <w:rFonts w:ascii="Verdana" w:hAnsi="Verdana"/>
          <w:szCs w:val="16"/>
          <w:lang w:val="es-CR"/>
        </w:rPr>
        <w:t xml:space="preserve"> sobre:</w:t>
      </w:r>
      <w:r w:rsidRPr="00B156D5">
        <w:rPr>
          <w:rFonts w:ascii="Verdana" w:hAnsi="Verdana"/>
          <w:szCs w:val="16"/>
          <w:lang w:val="es-CR"/>
        </w:rPr>
        <w:t xml:space="preserve"> a) el contexto en México respecto al arraigo y su “inconvencionalidad”</w:t>
      </w:r>
      <w:r w:rsidR="00BD558E" w:rsidRPr="00B156D5">
        <w:rPr>
          <w:rFonts w:ascii="Verdana" w:hAnsi="Verdana"/>
          <w:szCs w:val="16"/>
          <w:lang w:val="es-CR"/>
        </w:rPr>
        <w:t>;</w:t>
      </w:r>
      <w:r w:rsidRPr="00B156D5">
        <w:rPr>
          <w:rFonts w:ascii="Verdana" w:hAnsi="Verdana"/>
          <w:szCs w:val="16"/>
          <w:lang w:val="es-CR"/>
        </w:rPr>
        <w:t xml:space="preserve"> b) </w:t>
      </w:r>
      <w:proofErr w:type="gramStart"/>
      <w:r w:rsidR="00BD558E" w:rsidRPr="00B156D5">
        <w:rPr>
          <w:rFonts w:ascii="Verdana" w:hAnsi="Verdana"/>
          <w:szCs w:val="16"/>
          <w:lang w:val="es-CR"/>
        </w:rPr>
        <w:t xml:space="preserve">el </w:t>
      </w:r>
      <w:r w:rsidRPr="00B156D5">
        <w:rPr>
          <w:rFonts w:ascii="Verdana" w:hAnsi="Verdana"/>
          <w:szCs w:val="16"/>
          <w:lang w:val="es-CR"/>
        </w:rPr>
        <w:t>Test</w:t>
      </w:r>
      <w:proofErr w:type="gramEnd"/>
      <w:r w:rsidRPr="00B156D5">
        <w:rPr>
          <w:rFonts w:ascii="Verdana" w:hAnsi="Verdana"/>
          <w:szCs w:val="16"/>
          <w:lang w:val="es-CR"/>
        </w:rPr>
        <w:t xml:space="preserve"> de proporcionalidad de la figura del arraigo como restricción expresa de la Constitución Mexicana, y c) el arraigo y los estándares internacionales de derechos humanos.</w:t>
      </w:r>
    </w:p>
  </w:footnote>
  <w:footnote w:id="8">
    <w:p w14:paraId="52384C64" w14:textId="715345C7"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 xml:space="preserve">El escrito firmado por Nashieli Ramírez Hernández versa sobre el carácter </w:t>
      </w:r>
      <w:r w:rsidR="007830FC">
        <w:rPr>
          <w:rFonts w:ascii="Verdana" w:hAnsi="Verdana"/>
          <w:szCs w:val="16"/>
          <w:lang w:val="es-ES"/>
        </w:rPr>
        <w:t xml:space="preserve">de </w:t>
      </w:r>
      <w:proofErr w:type="spellStart"/>
      <w:r w:rsidR="007830FC">
        <w:rPr>
          <w:rFonts w:ascii="Verdana" w:hAnsi="Verdana"/>
          <w:szCs w:val="16"/>
          <w:lang w:val="es-ES"/>
        </w:rPr>
        <w:t>in</w:t>
      </w:r>
      <w:r w:rsidRPr="00B156D5">
        <w:rPr>
          <w:rFonts w:ascii="Verdana" w:hAnsi="Verdana"/>
          <w:szCs w:val="16"/>
          <w:lang w:val="es-ES"/>
        </w:rPr>
        <w:t>convencional</w:t>
      </w:r>
      <w:r w:rsidR="007830FC">
        <w:rPr>
          <w:rFonts w:ascii="Verdana" w:hAnsi="Verdana"/>
          <w:szCs w:val="16"/>
          <w:lang w:val="es-ES"/>
        </w:rPr>
        <w:t>idad</w:t>
      </w:r>
      <w:proofErr w:type="spellEnd"/>
      <w:r w:rsidRPr="00B156D5">
        <w:rPr>
          <w:rFonts w:ascii="Verdana" w:hAnsi="Verdana"/>
          <w:szCs w:val="16"/>
          <w:lang w:val="es-ES"/>
        </w:rPr>
        <w:t xml:space="preserve"> de la figura del arraigo. </w:t>
      </w:r>
    </w:p>
  </w:footnote>
  <w:footnote w:id="9">
    <w:p w14:paraId="54D789D8" w14:textId="0E69FC10"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CR"/>
        </w:rPr>
        <w:tab/>
        <w:t xml:space="preserve">El escrito firmado por Antonio Salcedo Flores versa sobre la </w:t>
      </w:r>
      <w:r w:rsidR="00273B33" w:rsidRPr="00B156D5">
        <w:rPr>
          <w:rFonts w:ascii="Verdana" w:hAnsi="Verdana"/>
          <w:szCs w:val="16"/>
          <w:lang w:val="es-CR"/>
        </w:rPr>
        <w:t>prisión preventiva oficiosa mexicana</w:t>
      </w:r>
      <w:r w:rsidRPr="00B156D5">
        <w:rPr>
          <w:rFonts w:ascii="Verdana" w:hAnsi="Verdana"/>
          <w:szCs w:val="16"/>
          <w:lang w:val="es-CR"/>
        </w:rPr>
        <w:t xml:space="preserve">. </w:t>
      </w:r>
    </w:p>
  </w:footnote>
  <w:footnote w:id="10">
    <w:p w14:paraId="6BD0046C" w14:textId="40EABAEE"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 xml:space="preserve">El escrito firmado por Thurenna Navarro Parra y Víctor Manuela Parada Picos versa sobre el arraigo en México y la prisión preventiva oficiosa. </w:t>
      </w:r>
    </w:p>
  </w:footnote>
  <w:footnote w:id="11">
    <w:p w14:paraId="2646A516" w14:textId="59698953"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El escrito firmado por Miguel Acosta García,</w:t>
      </w:r>
      <w:r w:rsidRPr="00B156D5">
        <w:rPr>
          <w:rFonts w:ascii="Verdana" w:hAnsi="Verdana"/>
          <w:szCs w:val="16"/>
        </w:rPr>
        <w:t xml:space="preserve"> </w:t>
      </w:r>
      <w:r w:rsidRPr="00B156D5">
        <w:rPr>
          <w:rFonts w:ascii="Verdana" w:hAnsi="Verdana"/>
          <w:szCs w:val="16"/>
          <w:lang w:val="es-ES"/>
        </w:rPr>
        <w:t>Maleny Díaz Brito, y Sandra Espinosa Rizo versa sobre</w:t>
      </w:r>
      <w:r w:rsidR="00273B33" w:rsidRPr="00B156D5">
        <w:rPr>
          <w:rFonts w:ascii="Verdana" w:hAnsi="Verdana"/>
          <w:szCs w:val="16"/>
          <w:lang w:val="es-ES"/>
        </w:rPr>
        <w:t>:</w:t>
      </w:r>
      <w:r w:rsidR="00023E34" w:rsidRPr="00B156D5">
        <w:rPr>
          <w:rFonts w:ascii="Verdana" w:hAnsi="Verdana"/>
          <w:szCs w:val="16"/>
          <w:lang w:val="es-ES"/>
        </w:rPr>
        <w:t xml:space="preserve"> </w:t>
      </w:r>
      <w:r w:rsidRPr="00B156D5">
        <w:rPr>
          <w:rFonts w:ascii="Verdana" w:hAnsi="Verdana"/>
          <w:szCs w:val="16"/>
          <w:lang w:val="es-ES"/>
        </w:rPr>
        <w:t xml:space="preserve">a) el arraigo en el </w:t>
      </w:r>
      <w:r w:rsidR="00273B33" w:rsidRPr="00B156D5">
        <w:rPr>
          <w:rFonts w:ascii="Verdana" w:hAnsi="Verdana"/>
          <w:szCs w:val="16"/>
          <w:lang w:val="es-ES"/>
        </w:rPr>
        <w:t>sistema jurídico mexicano;</w:t>
      </w:r>
      <w:r w:rsidRPr="00B156D5">
        <w:rPr>
          <w:rFonts w:ascii="Verdana" w:hAnsi="Verdana"/>
          <w:szCs w:val="16"/>
          <w:lang w:val="es-ES"/>
        </w:rPr>
        <w:t xml:space="preserve"> b) el arraigo desde un enfoque doctrinal</w:t>
      </w:r>
      <w:r w:rsidR="00273B33" w:rsidRPr="00B156D5">
        <w:rPr>
          <w:rFonts w:ascii="Verdana" w:hAnsi="Verdana"/>
          <w:szCs w:val="16"/>
          <w:lang w:val="es-ES"/>
        </w:rPr>
        <w:t>;</w:t>
      </w:r>
      <w:r w:rsidRPr="00B156D5">
        <w:rPr>
          <w:rFonts w:ascii="Verdana" w:hAnsi="Verdana"/>
          <w:szCs w:val="16"/>
          <w:lang w:val="es-ES"/>
        </w:rPr>
        <w:t xml:space="preserve"> c) el arraigo desde la perspectiva del Sistema Universal de Derechos Humanos</w:t>
      </w:r>
      <w:r w:rsidR="00273B33" w:rsidRPr="00B156D5">
        <w:rPr>
          <w:rFonts w:ascii="Verdana" w:hAnsi="Verdana"/>
          <w:szCs w:val="16"/>
          <w:lang w:val="es-ES"/>
        </w:rPr>
        <w:t>;</w:t>
      </w:r>
      <w:r w:rsidRPr="00B156D5">
        <w:rPr>
          <w:rFonts w:ascii="Verdana" w:hAnsi="Verdana"/>
          <w:szCs w:val="16"/>
          <w:lang w:val="es-ES"/>
        </w:rPr>
        <w:t xml:space="preserve"> d) la interpretación inconvencional del arraigo por la </w:t>
      </w:r>
      <w:r w:rsidR="00261F7F" w:rsidRPr="00B156D5">
        <w:rPr>
          <w:rFonts w:ascii="Verdana" w:hAnsi="Verdana"/>
          <w:szCs w:val="16"/>
          <w:lang w:val="es-ES"/>
        </w:rPr>
        <w:t>Suprema Corte de Justicia de la Nación</w:t>
      </w:r>
      <w:r w:rsidRPr="00B156D5">
        <w:rPr>
          <w:rFonts w:ascii="Verdana" w:hAnsi="Verdana"/>
          <w:szCs w:val="16"/>
          <w:lang w:val="es-ES"/>
        </w:rPr>
        <w:t>,</w:t>
      </w:r>
      <w:r w:rsidR="00273B33" w:rsidRPr="00B156D5">
        <w:rPr>
          <w:rFonts w:ascii="Verdana" w:hAnsi="Verdana"/>
          <w:szCs w:val="16"/>
          <w:lang w:val="es-ES"/>
        </w:rPr>
        <w:t xml:space="preserve"> y</w:t>
      </w:r>
      <w:r w:rsidRPr="00B156D5">
        <w:rPr>
          <w:rFonts w:ascii="Verdana" w:hAnsi="Verdana"/>
          <w:szCs w:val="16"/>
          <w:lang w:val="es-ES"/>
        </w:rPr>
        <w:t xml:space="preserve"> e) la Comisión Nacional de Derechos Humanos frente al arraigo.</w:t>
      </w:r>
    </w:p>
  </w:footnote>
  <w:footnote w:id="12">
    <w:p w14:paraId="24948947" w14:textId="0CDD4E0C"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El escrito firmado por Laura Mendoza Molina</w:t>
      </w:r>
      <w:r w:rsidR="00273B33" w:rsidRPr="00B156D5">
        <w:rPr>
          <w:rFonts w:ascii="Verdana" w:hAnsi="Verdana"/>
          <w:szCs w:val="16"/>
          <w:lang w:val="es-ES"/>
        </w:rPr>
        <w:t>;</w:t>
      </w:r>
      <w:r w:rsidRPr="00B156D5">
        <w:rPr>
          <w:rFonts w:ascii="Verdana" w:hAnsi="Verdana"/>
          <w:szCs w:val="16"/>
          <w:lang w:val="es-ES"/>
        </w:rPr>
        <w:t xml:space="preserve"> Ángeles Corte Ríos</w:t>
      </w:r>
      <w:r w:rsidR="00273B33" w:rsidRPr="00B156D5">
        <w:rPr>
          <w:rFonts w:ascii="Verdana" w:hAnsi="Verdana"/>
          <w:szCs w:val="16"/>
          <w:lang w:val="es-ES"/>
        </w:rPr>
        <w:t>;</w:t>
      </w:r>
      <w:r w:rsidRPr="00B156D5">
        <w:rPr>
          <w:rFonts w:ascii="Verdana" w:hAnsi="Verdana"/>
          <w:szCs w:val="16"/>
          <w:lang w:val="es-ES"/>
        </w:rPr>
        <w:t xml:space="preserve"> Ricardo Soto Ramírez</w:t>
      </w:r>
      <w:r w:rsidR="00273B33" w:rsidRPr="00B156D5">
        <w:rPr>
          <w:rFonts w:ascii="Verdana" w:hAnsi="Verdana"/>
          <w:szCs w:val="16"/>
          <w:lang w:val="es-ES"/>
        </w:rPr>
        <w:t>,</w:t>
      </w:r>
      <w:r w:rsidRPr="00B156D5">
        <w:rPr>
          <w:rFonts w:ascii="Verdana" w:hAnsi="Verdana"/>
          <w:szCs w:val="16"/>
          <w:lang w:val="es-ES"/>
        </w:rPr>
        <w:t xml:space="preserve"> y Macarena Corte Ríos versa por una parte sobre la responsabilidad del Congreso de la Unión y las Legislaturas locales ante la aprobación de la modificación constitucional en comento y por otra parte sobre la “responsabilidad de la Suprema Corte de Justicia de la Nación ante la no aplicación y violación de la Convención Americana al no considerar admisible la obligación del Estado mexicano de dar cumplimiento a la Convención Americana ante la restricción constitucional ante la figura del amparo, a pesar de ser inadmisible por sus implicaciones en la violación a los derechos humanos consagrados en el bloque constitucional que incluye la Convención Americana”. </w:t>
      </w:r>
    </w:p>
  </w:footnote>
  <w:footnote w:id="13">
    <w:p w14:paraId="06E09F76" w14:textId="140EFFEF"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ES"/>
        </w:rPr>
        <w:tab/>
        <w:t>El escrito firmado por Roberto Borges Zurita versa sobre</w:t>
      </w:r>
      <w:r w:rsidR="00261F7F" w:rsidRPr="00B156D5">
        <w:rPr>
          <w:rFonts w:ascii="Verdana" w:hAnsi="Verdana"/>
          <w:szCs w:val="16"/>
          <w:lang w:val="es-ES"/>
        </w:rPr>
        <w:t>:</w:t>
      </w:r>
      <w:r w:rsidRPr="00B156D5">
        <w:rPr>
          <w:rFonts w:ascii="Verdana" w:hAnsi="Verdana"/>
          <w:szCs w:val="16"/>
          <w:lang w:val="es-ES"/>
        </w:rPr>
        <w:t xml:space="preserve"> a) la figura del arraigo y la prisión preventiva oficiosa en México; b) algunas conductas estatales relacionadas con estas figuras, y c) los derechos que habrían sido violados por el Estado mexicano en el Caso Tzompaxtle Tecpile y otros vs México.</w:t>
      </w:r>
    </w:p>
  </w:footnote>
  <w:footnote w:id="14">
    <w:p w14:paraId="0248251C" w14:textId="152158AA" w:rsidR="00D15B00" w:rsidRPr="00B156D5" w:rsidRDefault="00D15B00" w:rsidP="00526A50">
      <w:pPr>
        <w:pStyle w:val="Textonotapie"/>
        <w:spacing w:before="40" w:after="40"/>
        <w:jc w:val="both"/>
        <w:rPr>
          <w:rFonts w:ascii="Verdana" w:hAnsi="Verdana"/>
          <w:szCs w:val="16"/>
        </w:rPr>
      </w:pPr>
      <w:r w:rsidRPr="00B156D5">
        <w:rPr>
          <w:rStyle w:val="Refdenotaalpie"/>
          <w:rFonts w:ascii="Verdana" w:eastAsia="Batang" w:hAnsi="Verdana"/>
          <w:szCs w:val="16"/>
        </w:rPr>
        <w:footnoteRef/>
      </w:r>
      <w:r w:rsidRPr="00B156D5">
        <w:rPr>
          <w:rFonts w:ascii="Verdana" w:hAnsi="Verdana"/>
          <w:szCs w:val="16"/>
          <w:lang w:val="es-CR"/>
        </w:rPr>
        <w:t xml:space="preserve"> </w:t>
      </w:r>
      <w:r w:rsidRPr="00B156D5">
        <w:rPr>
          <w:rFonts w:ascii="Verdana" w:hAnsi="Verdana"/>
          <w:szCs w:val="16"/>
          <w:lang w:val="es-CR"/>
        </w:rPr>
        <w:tab/>
      </w:r>
      <w:r w:rsidRPr="00B156D5">
        <w:rPr>
          <w:rFonts w:ascii="Verdana" w:hAnsi="Verdana"/>
          <w:i/>
          <w:szCs w:val="16"/>
          <w:lang w:val="es-CR"/>
        </w:rPr>
        <w:t xml:space="preserve">Cfr. </w:t>
      </w:r>
      <w:r w:rsidR="00634381" w:rsidRPr="00B156D5">
        <w:rPr>
          <w:rFonts w:ascii="Verdana" w:eastAsia="Calibri" w:hAnsi="Verdana"/>
          <w:i/>
        </w:rPr>
        <w:t>Caso Kimel Vs. Argentina. Fondo, Reparaciones y Costas</w:t>
      </w:r>
      <w:r w:rsidR="00634381" w:rsidRPr="00B156D5">
        <w:rPr>
          <w:rFonts w:ascii="Verdana" w:eastAsia="Calibri" w:hAnsi="Verdana"/>
        </w:rPr>
        <w:t>. Sentencia de 2 de mayo de 2008. Serie C No. 177, párr. 24</w:t>
      </w:r>
      <w:r w:rsidRPr="00B156D5">
        <w:rPr>
          <w:rFonts w:ascii="Verdana" w:hAnsi="Verdana"/>
          <w:szCs w:val="16"/>
        </w:rPr>
        <w:t xml:space="preserve">, y </w:t>
      </w:r>
      <w:r w:rsidR="00284705" w:rsidRPr="00B156D5">
        <w:rPr>
          <w:rFonts w:ascii="Verdana" w:hAnsi="Verdana"/>
          <w:i/>
          <w:iCs/>
          <w:szCs w:val="16"/>
        </w:rPr>
        <w:t>Caso Deras García y otros Vs. Honduras. Fondo, Reparaciones y Costas</w:t>
      </w:r>
      <w:r w:rsidR="00284705" w:rsidRPr="00B156D5">
        <w:rPr>
          <w:rFonts w:ascii="Verdana" w:hAnsi="Verdana"/>
          <w:szCs w:val="16"/>
        </w:rPr>
        <w:t>. Sentencia de 25 de agosto de 2022. Serie C No. 462</w:t>
      </w:r>
      <w:r w:rsidRPr="00B156D5">
        <w:rPr>
          <w:rFonts w:ascii="Verdana" w:hAnsi="Verdana"/>
          <w:szCs w:val="16"/>
        </w:rPr>
        <w:t xml:space="preserve">, párr. </w:t>
      </w:r>
      <w:r w:rsidR="00284705" w:rsidRPr="00B156D5">
        <w:rPr>
          <w:rFonts w:ascii="Verdana" w:hAnsi="Verdana"/>
          <w:szCs w:val="16"/>
        </w:rPr>
        <w:t>21</w:t>
      </w:r>
      <w:r w:rsidRPr="00B156D5">
        <w:rPr>
          <w:rFonts w:ascii="Verdana" w:hAnsi="Verdana"/>
          <w:szCs w:val="16"/>
        </w:rPr>
        <w:t>.</w:t>
      </w:r>
    </w:p>
  </w:footnote>
  <w:footnote w:id="15">
    <w:p w14:paraId="24C4421F" w14:textId="03EA10E1" w:rsidR="00D15B00" w:rsidRPr="00B156D5" w:rsidRDefault="00D15B00" w:rsidP="00526A50">
      <w:pPr>
        <w:pStyle w:val="Textonotapie"/>
        <w:spacing w:before="40" w:after="40"/>
        <w:jc w:val="both"/>
        <w:rPr>
          <w:rFonts w:ascii="Verdana" w:hAnsi="Verdana"/>
          <w:szCs w:val="16"/>
        </w:rPr>
      </w:pPr>
      <w:r w:rsidRPr="00B156D5">
        <w:rPr>
          <w:rStyle w:val="Refdenotaalpie"/>
          <w:rFonts w:ascii="Verdana" w:eastAsia="Batang"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Pr="00B156D5">
        <w:rPr>
          <w:rFonts w:ascii="Verdana" w:hAnsi="Verdana"/>
          <w:i/>
          <w:szCs w:val="16"/>
        </w:rPr>
        <w:t>Caso Rodríguez Vera y otros (Desaparecidos del Palacio de Justicia) Vs. Colombia. Excepciones Preliminares, Fondo, Reparaciones y Costas.</w:t>
      </w:r>
      <w:r w:rsidRPr="00B156D5">
        <w:rPr>
          <w:rFonts w:ascii="Verdana" w:hAnsi="Verdana"/>
          <w:szCs w:val="16"/>
        </w:rPr>
        <w:t xml:space="preserve"> Sentencia de 14 de noviembre de 2014. Serie C No. 287, párr. 27, y </w:t>
      </w:r>
      <w:r w:rsidR="00331281" w:rsidRPr="00B156D5">
        <w:rPr>
          <w:rFonts w:ascii="Verdana" w:hAnsi="Verdana"/>
          <w:i/>
          <w:iCs/>
          <w:szCs w:val="16"/>
        </w:rPr>
        <w:t>Caso Digna Ochoa y familiares Vs. México. Excepciones Preliminares, Fondo, Reparaciones y Costas</w:t>
      </w:r>
      <w:r w:rsidR="00331281" w:rsidRPr="00B156D5">
        <w:rPr>
          <w:rFonts w:ascii="Verdana" w:hAnsi="Verdana"/>
          <w:szCs w:val="16"/>
        </w:rPr>
        <w:t>. Sentencia de 25 de noviembre de 2021. Serie C No. 447</w:t>
      </w:r>
      <w:r w:rsidRPr="00B156D5">
        <w:rPr>
          <w:rFonts w:ascii="Verdana" w:hAnsi="Verdana"/>
          <w:szCs w:val="16"/>
        </w:rPr>
        <w:t>, párr</w:t>
      </w:r>
      <w:r w:rsidRPr="00B156D5">
        <w:rPr>
          <w:rFonts w:ascii="Verdana" w:hAnsi="Verdana"/>
          <w:i/>
          <w:szCs w:val="16"/>
        </w:rPr>
        <w:t xml:space="preserve">. </w:t>
      </w:r>
      <w:r w:rsidR="004A2066" w:rsidRPr="00B156D5">
        <w:rPr>
          <w:rFonts w:ascii="Verdana" w:hAnsi="Verdana"/>
          <w:iCs/>
          <w:szCs w:val="16"/>
        </w:rPr>
        <w:t>24</w:t>
      </w:r>
      <w:r w:rsidRPr="00B156D5">
        <w:rPr>
          <w:rFonts w:ascii="Verdana" w:hAnsi="Verdana"/>
          <w:szCs w:val="16"/>
        </w:rPr>
        <w:t>.</w:t>
      </w:r>
    </w:p>
  </w:footnote>
  <w:footnote w:id="16">
    <w:p w14:paraId="1829536B" w14:textId="7675AB1E" w:rsidR="00D15B00" w:rsidRPr="00B156D5" w:rsidRDefault="00D15B00" w:rsidP="00526A50">
      <w:pPr>
        <w:pStyle w:val="Textonotapie"/>
        <w:spacing w:before="40" w:after="40"/>
        <w:jc w:val="both"/>
        <w:rPr>
          <w:rFonts w:ascii="Verdana" w:hAnsi="Verdana"/>
          <w:szCs w:val="16"/>
        </w:rPr>
      </w:pPr>
      <w:r w:rsidRPr="00B156D5">
        <w:rPr>
          <w:rStyle w:val="Refdenotaalpie"/>
          <w:rFonts w:ascii="Verdana" w:eastAsia="Batang"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Tiu Tojín Vs. Guatemala. Fondo, Reparaciones y Costas</w:t>
      </w:r>
      <w:r w:rsidRPr="00B156D5">
        <w:rPr>
          <w:rFonts w:ascii="Verdana" w:hAnsi="Verdana"/>
          <w:szCs w:val="16"/>
        </w:rPr>
        <w:t xml:space="preserve">. Sentencia de 26 de noviembre de 2008. Serie C No. 190, párr. 26, y </w:t>
      </w:r>
      <w:r w:rsidR="000C7E5C" w:rsidRPr="00B156D5">
        <w:rPr>
          <w:rFonts w:ascii="Verdana" w:hAnsi="Verdana"/>
          <w:i/>
          <w:iCs/>
          <w:szCs w:val="16"/>
        </w:rPr>
        <w:t>Caso Deras García y otros Vs. Honduras</w:t>
      </w:r>
      <w:r w:rsidR="000C7E5C" w:rsidRPr="00B156D5">
        <w:rPr>
          <w:rFonts w:ascii="Verdana" w:hAnsi="Verdana"/>
          <w:szCs w:val="16"/>
        </w:rPr>
        <w:t>,</w:t>
      </w:r>
      <w:r w:rsidR="000C7E5C" w:rsidRPr="00B156D5">
        <w:rPr>
          <w:rFonts w:ascii="Verdana" w:hAnsi="Verdana"/>
          <w:i/>
          <w:iCs/>
          <w:szCs w:val="16"/>
        </w:rPr>
        <w:t xml:space="preserve"> supra</w:t>
      </w:r>
      <w:r w:rsidR="000C7E5C" w:rsidRPr="00B156D5">
        <w:rPr>
          <w:rFonts w:ascii="Verdana" w:hAnsi="Verdana"/>
          <w:szCs w:val="16"/>
        </w:rPr>
        <w:t xml:space="preserve">, </w:t>
      </w:r>
      <w:r w:rsidRPr="00B156D5">
        <w:rPr>
          <w:rFonts w:ascii="Verdana" w:hAnsi="Verdana"/>
          <w:szCs w:val="16"/>
        </w:rPr>
        <w:t>párr. 27.</w:t>
      </w:r>
    </w:p>
  </w:footnote>
  <w:footnote w:id="17">
    <w:p w14:paraId="0471E42D" w14:textId="1B32A419" w:rsidR="00D15B00" w:rsidRPr="00B156D5" w:rsidRDefault="00D15B00" w:rsidP="00526A50">
      <w:pPr>
        <w:pStyle w:val="Textonotapie"/>
        <w:spacing w:before="40" w:after="40"/>
        <w:jc w:val="both"/>
        <w:rPr>
          <w:rFonts w:ascii="Verdana" w:hAnsi="Verdana"/>
          <w:szCs w:val="16"/>
          <w:lang w:val="es-ES"/>
        </w:rPr>
      </w:pPr>
      <w:r w:rsidRPr="00B156D5">
        <w:rPr>
          <w:rStyle w:val="Refdenotaalpie"/>
          <w:rFonts w:ascii="Verdana" w:eastAsia="Batang"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Mujeres Víctimas de Tortura Sexual en Atenco Vs. México. Excepción Preliminar, Fondo, Reparaciones y Costas</w:t>
      </w:r>
      <w:r w:rsidRPr="00B156D5">
        <w:rPr>
          <w:rFonts w:ascii="Verdana" w:hAnsi="Verdana"/>
          <w:szCs w:val="16"/>
        </w:rPr>
        <w:t>. Sentencia de 28 de noviembre de 2018. Serie C No. 371, párr. 42</w:t>
      </w:r>
      <w:r w:rsidR="00922C93" w:rsidRPr="00B156D5">
        <w:rPr>
          <w:rFonts w:ascii="Verdana" w:hAnsi="Verdana"/>
          <w:szCs w:val="16"/>
        </w:rPr>
        <w:t xml:space="preserve">, y </w:t>
      </w:r>
      <w:r w:rsidR="00922C93" w:rsidRPr="00B156D5">
        <w:rPr>
          <w:rFonts w:ascii="Verdana" w:hAnsi="Verdana"/>
          <w:i/>
          <w:iCs/>
          <w:szCs w:val="16"/>
        </w:rPr>
        <w:t>Caso Digna Ochoa y familiares Vs. México, supra</w:t>
      </w:r>
      <w:r w:rsidR="00922C93" w:rsidRPr="00B156D5">
        <w:rPr>
          <w:rFonts w:ascii="Verdana" w:hAnsi="Verdana"/>
          <w:szCs w:val="16"/>
        </w:rPr>
        <w:t>, párr. 25.</w:t>
      </w:r>
    </w:p>
  </w:footnote>
  <w:footnote w:id="18">
    <w:p w14:paraId="36BD6BB9" w14:textId="5EA1A44C"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 xml:space="preserve">Durante la audiencia pública y en sus alegatos finales escritos, el Estado desistió de tres excepciones preliminares que había formulado en su contestación y que estaban relacionadas con: a) </w:t>
      </w:r>
      <w:r w:rsidR="007B0E08">
        <w:rPr>
          <w:rFonts w:ascii="Verdana" w:hAnsi="Verdana"/>
          <w:szCs w:val="16"/>
        </w:rPr>
        <w:t xml:space="preserve">la </w:t>
      </w:r>
      <w:r w:rsidRPr="00B156D5">
        <w:rPr>
          <w:rFonts w:ascii="Verdana" w:hAnsi="Verdana"/>
          <w:szCs w:val="16"/>
        </w:rPr>
        <w:t>cosa juzgada</w:t>
      </w:r>
      <w:r w:rsidR="007B0E08">
        <w:rPr>
          <w:rFonts w:ascii="Verdana" w:hAnsi="Verdana"/>
          <w:szCs w:val="16"/>
        </w:rPr>
        <w:t xml:space="preserve"> internacional</w:t>
      </w:r>
      <w:r w:rsidRPr="00B156D5">
        <w:rPr>
          <w:rFonts w:ascii="Verdana" w:hAnsi="Verdana"/>
          <w:szCs w:val="16"/>
        </w:rPr>
        <w:t xml:space="preserve">; b) la falta de agotamiento de los recursos internos, y c) </w:t>
      </w:r>
      <w:r w:rsidR="00B94247" w:rsidRPr="00B156D5">
        <w:rPr>
          <w:rFonts w:ascii="Verdana" w:hAnsi="Verdana"/>
          <w:szCs w:val="16"/>
        </w:rPr>
        <w:t xml:space="preserve">la </w:t>
      </w:r>
      <w:r w:rsidRPr="00B156D5">
        <w:rPr>
          <w:rFonts w:ascii="Verdana" w:hAnsi="Verdana"/>
          <w:szCs w:val="16"/>
        </w:rPr>
        <w:t xml:space="preserve">alegada ausencia de </w:t>
      </w:r>
      <w:r w:rsidRPr="00B156D5">
        <w:rPr>
          <w:rFonts w:ascii="Verdana" w:hAnsi="Verdana"/>
          <w:i/>
          <w:iCs/>
          <w:szCs w:val="16"/>
        </w:rPr>
        <w:t>litis</w:t>
      </w:r>
      <w:r w:rsidRPr="00B156D5">
        <w:rPr>
          <w:rFonts w:ascii="Verdana" w:hAnsi="Verdana"/>
          <w:szCs w:val="16"/>
        </w:rPr>
        <w:t xml:space="preserve">. </w:t>
      </w:r>
    </w:p>
  </w:footnote>
  <w:footnote w:id="19">
    <w:p w14:paraId="73759D8F" w14:textId="673C1C38" w:rsidR="00D15B00" w:rsidRPr="00B156D5" w:rsidRDefault="00D15B00" w:rsidP="00856B7B">
      <w:pPr>
        <w:pStyle w:val="Textonotapie"/>
        <w:spacing w:before="100"/>
        <w:jc w:val="both"/>
        <w:rPr>
          <w:rFonts w:ascii="Verdana" w:hAnsi="Verdana" w:cstheme="minorHAnsi"/>
          <w:i/>
          <w:szCs w:val="16"/>
          <w:lang w:val="es-CR"/>
        </w:rPr>
      </w:pPr>
      <w:r w:rsidRPr="00B156D5">
        <w:rPr>
          <w:rStyle w:val="Refdenotaalpie"/>
          <w:rFonts w:ascii="Verdana" w:hAnsi="Verdana"/>
          <w:szCs w:val="16"/>
          <w:lang w:val="es-CR"/>
        </w:rPr>
        <w:footnoteRef/>
      </w:r>
      <w:r w:rsidRPr="00B156D5">
        <w:rPr>
          <w:rFonts w:ascii="Verdana" w:hAnsi="Verdana"/>
          <w:szCs w:val="16"/>
          <w:lang w:val="pt-BR"/>
        </w:rPr>
        <w:t xml:space="preserve"> </w:t>
      </w:r>
      <w:r w:rsidRPr="00B156D5">
        <w:rPr>
          <w:rFonts w:ascii="Verdana" w:hAnsi="Verdana"/>
          <w:szCs w:val="16"/>
          <w:lang w:val="pt-BR"/>
        </w:rPr>
        <w:tab/>
      </w:r>
      <w:r w:rsidRPr="00B156D5">
        <w:rPr>
          <w:rFonts w:ascii="Verdana" w:hAnsi="Verdana" w:cstheme="minorHAnsi"/>
          <w:i/>
          <w:szCs w:val="16"/>
          <w:lang w:val="pt-BR"/>
        </w:rPr>
        <w:t>Cfr.</w:t>
      </w:r>
      <w:r w:rsidRPr="00B156D5">
        <w:rPr>
          <w:rFonts w:ascii="Verdana" w:hAnsi="Verdana" w:cstheme="minorHAnsi"/>
          <w:szCs w:val="16"/>
          <w:lang w:val="pt-BR"/>
        </w:rPr>
        <w:t xml:space="preserve"> </w:t>
      </w:r>
      <w:r w:rsidRPr="00B156D5">
        <w:rPr>
          <w:rFonts w:ascii="Verdana" w:eastAsiaTheme="minorHAnsi" w:hAnsi="Verdana" w:cstheme="minorHAnsi"/>
          <w:i/>
          <w:iCs/>
          <w:szCs w:val="16"/>
          <w:lang w:val="pt-BR"/>
        </w:rPr>
        <w:t xml:space="preserve">Caso Familia Pacheco Tineo Vs. </w:t>
      </w:r>
      <w:r w:rsidRPr="00B156D5">
        <w:rPr>
          <w:rFonts w:ascii="Verdana" w:eastAsiaTheme="minorHAnsi" w:hAnsi="Verdana" w:cstheme="minorHAnsi"/>
          <w:i/>
          <w:iCs/>
          <w:szCs w:val="16"/>
          <w:lang w:val="es-CR"/>
        </w:rPr>
        <w:t xml:space="preserve">Bolivia. Excepciones Preliminares, Fondo, Reparaciones y Costas. </w:t>
      </w:r>
      <w:r w:rsidRPr="00B156D5">
        <w:rPr>
          <w:rFonts w:ascii="Verdana" w:eastAsiaTheme="minorHAnsi" w:hAnsi="Verdana" w:cstheme="minorHAnsi"/>
          <w:iCs/>
          <w:szCs w:val="16"/>
          <w:lang w:val="es-CR"/>
        </w:rPr>
        <w:t>Sentencia de 25 de noviembre de 2013. Serie C No. 272, párr. 22, y</w:t>
      </w:r>
      <w:r w:rsidRPr="00B156D5">
        <w:rPr>
          <w:rFonts w:ascii="Verdana" w:hAnsi="Verdana" w:cstheme="minorHAnsi"/>
          <w:i/>
          <w:szCs w:val="16"/>
          <w:lang w:val="es-CR"/>
        </w:rPr>
        <w:t xml:space="preserve"> </w:t>
      </w:r>
      <w:r w:rsidR="00142843" w:rsidRPr="00B156D5">
        <w:rPr>
          <w:rFonts w:ascii="Verdana" w:hAnsi="Verdana" w:cstheme="minorHAnsi"/>
          <w:i/>
          <w:szCs w:val="16"/>
          <w:lang w:val="es-CR"/>
        </w:rPr>
        <w:t>Caso Sales Pimenta Vs. Brasil. Excepciones Preliminares, Fondo, Reparaciones y Costas</w:t>
      </w:r>
      <w:r w:rsidR="00142843" w:rsidRPr="00B156D5">
        <w:rPr>
          <w:rFonts w:ascii="Verdana" w:hAnsi="Verdana" w:cstheme="minorHAnsi"/>
          <w:iCs/>
          <w:szCs w:val="16"/>
          <w:lang w:val="es-CR"/>
        </w:rPr>
        <w:t>. Sentencia de 30 de junio de 2022. Serie C No. 454</w:t>
      </w:r>
      <w:r w:rsidRPr="00B156D5">
        <w:rPr>
          <w:rFonts w:ascii="Verdana" w:hAnsi="Verdana" w:cstheme="minorHAnsi"/>
          <w:iCs/>
          <w:szCs w:val="16"/>
          <w:lang w:val="es-CR"/>
        </w:rPr>
        <w:t>,</w:t>
      </w:r>
      <w:r w:rsidRPr="00B156D5">
        <w:rPr>
          <w:rFonts w:ascii="Verdana" w:hAnsi="Verdana" w:cstheme="minorHAnsi"/>
          <w:szCs w:val="16"/>
          <w:lang w:val="es-CR"/>
        </w:rPr>
        <w:t xml:space="preserve"> párr. </w:t>
      </w:r>
      <w:r w:rsidR="00142843" w:rsidRPr="00B156D5">
        <w:rPr>
          <w:rFonts w:ascii="Verdana" w:hAnsi="Verdana" w:cstheme="minorHAnsi"/>
          <w:szCs w:val="16"/>
          <w:lang w:val="es-CR"/>
        </w:rPr>
        <w:t>35</w:t>
      </w:r>
      <w:r w:rsidRPr="00B156D5">
        <w:rPr>
          <w:rFonts w:ascii="Verdana" w:hAnsi="Verdana" w:cstheme="minorHAnsi"/>
          <w:szCs w:val="16"/>
          <w:lang w:val="es-CR"/>
        </w:rPr>
        <w:t>.</w:t>
      </w:r>
    </w:p>
  </w:footnote>
  <w:footnote w:id="20">
    <w:p w14:paraId="2F339D3F" w14:textId="6F52B6E9"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El Estado remitió una consideración general en la cual present</w:t>
      </w:r>
      <w:r w:rsidR="000A7597" w:rsidRPr="00B156D5">
        <w:rPr>
          <w:rFonts w:ascii="Verdana" w:hAnsi="Verdana"/>
          <w:szCs w:val="16"/>
        </w:rPr>
        <w:t>ó</w:t>
      </w:r>
      <w:r w:rsidRPr="00B156D5">
        <w:rPr>
          <w:rFonts w:ascii="Verdana" w:hAnsi="Verdana"/>
          <w:szCs w:val="16"/>
        </w:rPr>
        <w:t xml:space="preserve"> una disidencia en cuanto a la jurisprudencia de este Tribunal </w:t>
      </w:r>
      <w:r w:rsidR="000A7597" w:rsidRPr="00B156D5">
        <w:rPr>
          <w:rFonts w:ascii="Verdana" w:hAnsi="Verdana"/>
          <w:szCs w:val="16"/>
        </w:rPr>
        <w:t xml:space="preserve">relacionada con </w:t>
      </w:r>
      <w:r w:rsidRPr="00B156D5">
        <w:rPr>
          <w:rFonts w:ascii="Verdana" w:hAnsi="Verdana"/>
          <w:szCs w:val="16"/>
        </w:rPr>
        <w:t>la excepción preliminar sobre litispendencia y cosa juzgada. En particular, recordó que en el pasado, la Corte “ha desechado la excepción preliminar de cosa juzgada puesto que la naturaleza de las observaciones y recomendaciones emitidas por comités y mecanismos de derechos humanos derivados de tratados internacionales es distinta a las sentencias emitidas por [el Tribunal]”. Sin embargo, arguyó que el artículo 47, inciso d), de la Convención Americana, el cual se refiere a esta excepción preliminar, “no señala la naturaleza jurídica que deben tener las decisiones de los organismos internacionales que ya hayan examinado la petición, y que por el contrario, por una parte, los trabajos preparatorios de la Convención Americana indican que esta causa de inadmisibilidad fue agregada a fin de evitar conflictos de jurisdicción entre organizaciones internacionales, encargadas en el ámbito mundial y regional de la protección de los derechos humanos”, y por otra parte, ese mismo artículo hace referencia expresa a una petición ya examinada por la Comisión Interamericana de Derechos Humanos, cuyas recomendaciones tampoco son jurídicamente vinculantes.</w:t>
      </w:r>
    </w:p>
  </w:footnote>
  <w:footnote w:id="21">
    <w:p w14:paraId="0782DD20" w14:textId="4D3AD797"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Velásquez Rodríguez Vs. Honduras. Fondo.</w:t>
      </w:r>
      <w:r w:rsidRPr="00B156D5">
        <w:rPr>
          <w:rFonts w:ascii="Verdana" w:hAnsi="Verdana"/>
          <w:szCs w:val="16"/>
        </w:rPr>
        <w:t xml:space="preserve"> Sentencia de 29 de julio de 1988. Serie C No. 4, párr. 140, y </w:t>
      </w:r>
      <w:r w:rsidRPr="00B156D5">
        <w:rPr>
          <w:rFonts w:ascii="Verdana" w:hAnsi="Verdana"/>
          <w:i/>
          <w:szCs w:val="16"/>
        </w:rPr>
        <w:t>Caso Familia Julien Grisonas Vs. Argentina. Excepciones Preliminares, Fondo, Reparaciones y Costas</w:t>
      </w:r>
      <w:r w:rsidRPr="00B156D5">
        <w:rPr>
          <w:rFonts w:ascii="Verdana" w:hAnsi="Verdana"/>
          <w:iCs/>
          <w:szCs w:val="16"/>
        </w:rPr>
        <w:t>. Sentencia de 23 de septiembre de 2021. Serie C No. 437,</w:t>
      </w:r>
      <w:r w:rsidRPr="00B156D5">
        <w:rPr>
          <w:rFonts w:ascii="Verdana" w:hAnsi="Verdana"/>
          <w:szCs w:val="16"/>
        </w:rPr>
        <w:t xml:space="preserve"> párr. 48.</w:t>
      </w:r>
    </w:p>
  </w:footnote>
  <w:footnote w:id="22">
    <w:p w14:paraId="4D9A22A8" w14:textId="55244C89" w:rsidR="00D15B00" w:rsidRPr="00B156D5" w:rsidRDefault="00D15B00" w:rsidP="00526A50">
      <w:pPr>
        <w:pStyle w:val="Textonotapie"/>
        <w:jc w:val="both"/>
        <w:rPr>
          <w:rFonts w:ascii="Verdana" w:hAnsi="Verdana"/>
          <w:szCs w:val="16"/>
          <w:lang w:val="es-CR"/>
        </w:rPr>
      </w:pPr>
      <w:r w:rsidRPr="00B156D5">
        <w:rPr>
          <w:rStyle w:val="Refdenotaalpie"/>
          <w:rFonts w:ascii="Verdana" w:hAnsi="Verdana"/>
          <w:szCs w:val="16"/>
        </w:rPr>
        <w:footnoteRef/>
      </w:r>
      <w:r w:rsidRPr="00B156D5">
        <w:rPr>
          <w:rFonts w:ascii="Verdana" w:hAnsi="Verdana"/>
          <w:szCs w:val="16"/>
          <w:lang w:val="es-CR"/>
        </w:rPr>
        <w:tab/>
        <w:t>Se recibieron las declaraciones de Jorge Marcial Tzompaxtle Tecpile, Luis Raúl González Pérez, Carlos María Pelayo Moller y de Esteban Gilberto Arcos</w:t>
      </w:r>
      <w:r w:rsidRPr="00B156D5">
        <w:rPr>
          <w:rFonts w:ascii="Verdana" w:hAnsi="Verdana"/>
          <w:szCs w:val="16"/>
        </w:rPr>
        <w:t xml:space="preserve">. </w:t>
      </w:r>
    </w:p>
  </w:footnote>
  <w:footnote w:id="23">
    <w:p w14:paraId="02CED786" w14:textId="46CCE597" w:rsidR="00D15B00" w:rsidRPr="00B156D5" w:rsidRDefault="00D15B00" w:rsidP="00526A50">
      <w:pPr>
        <w:pStyle w:val="Textonotapie"/>
        <w:jc w:val="both"/>
        <w:rPr>
          <w:rFonts w:ascii="Verdana" w:hAnsi="Verdana"/>
          <w:szCs w:val="16"/>
          <w:lang w:val="es-CR"/>
        </w:rPr>
      </w:pPr>
      <w:r w:rsidRPr="00B156D5">
        <w:rPr>
          <w:rStyle w:val="Refdenotaalpie"/>
          <w:rFonts w:ascii="Verdana" w:hAnsi="Verdana"/>
          <w:szCs w:val="16"/>
        </w:rPr>
        <w:footnoteRef/>
      </w:r>
      <w:r w:rsidRPr="00B156D5">
        <w:rPr>
          <w:rFonts w:ascii="Verdana" w:hAnsi="Verdana"/>
          <w:szCs w:val="16"/>
          <w:lang w:val="es-CR"/>
        </w:rPr>
        <w:tab/>
      </w:r>
      <w:r w:rsidRPr="00B156D5">
        <w:rPr>
          <w:rFonts w:ascii="Verdana" w:hAnsi="Verdana"/>
          <w:szCs w:val="16"/>
        </w:rPr>
        <w:t>Se recibieron las declaraciones rendidas ante fedatario público de: Gerardo Tzompaxtle Tecpile</w:t>
      </w:r>
      <w:r w:rsidR="00BF5158" w:rsidRPr="00B156D5">
        <w:rPr>
          <w:rFonts w:ascii="Verdana" w:hAnsi="Verdana"/>
          <w:szCs w:val="16"/>
        </w:rPr>
        <w:t>;</w:t>
      </w:r>
      <w:r w:rsidRPr="00B156D5">
        <w:rPr>
          <w:rFonts w:ascii="Verdana" w:hAnsi="Verdana"/>
          <w:szCs w:val="16"/>
        </w:rPr>
        <w:t xml:space="preserve"> Stephanie Erin Brewer</w:t>
      </w:r>
      <w:r w:rsidR="00BF5158" w:rsidRPr="00B156D5">
        <w:rPr>
          <w:rFonts w:ascii="Verdana" w:hAnsi="Verdana"/>
          <w:szCs w:val="16"/>
        </w:rPr>
        <w:t>;</w:t>
      </w:r>
      <w:r w:rsidRPr="00B156D5">
        <w:rPr>
          <w:rFonts w:ascii="Verdana" w:hAnsi="Verdana"/>
          <w:szCs w:val="16"/>
        </w:rPr>
        <w:t xml:space="preserve"> José Antonio Guevara Bermúdez</w:t>
      </w:r>
      <w:r w:rsidR="00BF5158" w:rsidRPr="00B156D5">
        <w:rPr>
          <w:rFonts w:ascii="Verdana" w:hAnsi="Verdana"/>
          <w:szCs w:val="16"/>
        </w:rPr>
        <w:t>;</w:t>
      </w:r>
      <w:r w:rsidRPr="00B156D5">
        <w:rPr>
          <w:rFonts w:ascii="Verdana" w:hAnsi="Verdana"/>
          <w:szCs w:val="16"/>
        </w:rPr>
        <w:t xml:space="preserve"> Erika Bardales Lazcano, y Jorge Ulises Carmona Tinoco. </w:t>
      </w:r>
    </w:p>
  </w:footnote>
  <w:footnote w:id="24">
    <w:p w14:paraId="6586B377" w14:textId="3F46BB3A" w:rsidR="00D15B00" w:rsidRPr="00B156D5" w:rsidRDefault="00D15B00" w:rsidP="00526A50">
      <w:pPr>
        <w:pStyle w:val="Textonotapie"/>
        <w:jc w:val="both"/>
        <w:rPr>
          <w:rFonts w:ascii="Verdana" w:hAnsi="Verdana"/>
          <w:szCs w:val="16"/>
          <w:lang w:val="es-MX"/>
        </w:rPr>
      </w:pPr>
      <w:r w:rsidRPr="00B156D5">
        <w:rPr>
          <w:rStyle w:val="Refdenotaalpie"/>
          <w:rFonts w:ascii="Verdana" w:hAnsi="Verdana"/>
          <w:szCs w:val="16"/>
        </w:rPr>
        <w:footnoteRef/>
      </w:r>
      <w:r w:rsidRPr="00B156D5">
        <w:rPr>
          <w:rFonts w:ascii="Verdana" w:hAnsi="Verdana"/>
          <w:szCs w:val="16"/>
          <w:lang w:val="es-CR"/>
        </w:rPr>
        <w:t xml:space="preserve"> </w:t>
      </w:r>
      <w:r w:rsidRPr="00B156D5">
        <w:rPr>
          <w:rFonts w:ascii="Verdana" w:hAnsi="Verdana"/>
          <w:szCs w:val="16"/>
          <w:lang w:val="es-MX"/>
        </w:rPr>
        <w:tab/>
        <w:t xml:space="preserve">Los objetos de las declaraciones se encuentran establecidos en la Resolución del Presidente de la Corte de 24 de mayo de 2022. En sus alegatos finales escritos, el Estado afirmó que no había recibido las declaraciones de a) Luis Raúl González Pérez; b) Carlos María Pelayo Moller; c) Stephanie Erin Brewer, y de d) José Antonio Guevara Bermúdez y solicitó que </w:t>
      </w:r>
      <w:r w:rsidR="005D2971" w:rsidRPr="00B156D5">
        <w:rPr>
          <w:rFonts w:ascii="Verdana" w:hAnsi="Verdana"/>
          <w:szCs w:val="16"/>
          <w:lang w:val="es-MX"/>
        </w:rPr>
        <w:t>“</w:t>
      </w:r>
      <w:r w:rsidRPr="00B156D5">
        <w:rPr>
          <w:rFonts w:ascii="Verdana" w:hAnsi="Verdana"/>
          <w:szCs w:val="16"/>
          <w:lang w:val="es-MX"/>
        </w:rPr>
        <w:t>no se tomen en consideración [esas] declaraciones periciales</w:t>
      </w:r>
      <w:r w:rsidR="007B6F7A" w:rsidRPr="00B156D5">
        <w:rPr>
          <w:rFonts w:ascii="Verdana" w:hAnsi="Verdana"/>
          <w:szCs w:val="16"/>
          <w:lang w:val="es-MX"/>
        </w:rPr>
        <w:t>”</w:t>
      </w:r>
      <w:r w:rsidRPr="00B156D5">
        <w:rPr>
          <w:rFonts w:ascii="Verdana" w:hAnsi="Verdana"/>
          <w:szCs w:val="16"/>
          <w:lang w:val="es-MX"/>
        </w:rPr>
        <w:t>. En esa oportunidad</w:t>
      </w:r>
      <w:r w:rsidR="00BF5158" w:rsidRPr="00B156D5">
        <w:rPr>
          <w:rFonts w:ascii="Verdana" w:hAnsi="Verdana"/>
          <w:szCs w:val="16"/>
          <w:lang w:val="es-MX"/>
        </w:rPr>
        <w:t>,</w:t>
      </w:r>
      <w:r w:rsidRPr="00B156D5">
        <w:rPr>
          <w:rFonts w:ascii="Verdana" w:hAnsi="Verdana"/>
          <w:szCs w:val="16"/>
          <w:lang w:val="es-MX"/>
        </w:rPr>
        <w:t xml:space="preserve"> el Tribunal remitió los correspondientes comprobantes de envío, aunque también volvió a enviar esos documentos y le otorgó un plazo adicional al Estado para que presente observaciones a los mismos y quede garantizado de ese modo su derecho de defensa.</w:t>
      </w:r>
    </w:p>
  </w:footnote>
  <w:footnote w:id="25">
    <w:p w14:paraId="31EFE7CA" w14:textId="72AD169C"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Remitieron los siguientes documentos: 1) tabla de resumen de gastos</w:t>
      </w:r>
      <w:r w:rsidR="00BF5158" w:rsidRPr="00B156D5">
        <w:rPr>
          <w:rFonts w:ascii="Verdana" w:hAnsi="Verdana"/>
          <w:szCs w:val="16"/>
        </w:rPr>
        <w:t>;</w:t>
      </w:r>
      <w:r w:rsidRPr="00B156D5">
        <w:rPr>
          <w:rFonts w:ascii="Verdana" w:hAnsi="Verdana"/>
          <w:szCs w:val="16"/>
        </w:rPr>
        <w:t xml:space="preserve"> 2) copias de facturas de compra boletos aéreos</w:t>
      </w:r>
      <w:r w:rsidR="00BF5158" w:rsidRPr="00B156D5">
        <w:rPr>
          <w:rFonts w:ascii="Verdana" w:hAnsi="Verdana"/>
          <w:szCs w:val="16"/>
        </w:rPr>
        <w:t>;</w:t>
      </w:r>
      <w:r w:rsidRPr="00B156D5">
        <w:rPr>
          <w:rFonts w:ascii="Verdana" w:hAnsi="Verdana"/>
          <w:szCs w:val="16"/>
        </w:rPr>
        <w:t xml:space="preserve"> 3) copias de facturas de transportes terrestres (taxis), y 4) copias de facturas por gastos de </w:t>
      </w:r>
      <w:r w:rsidR="00AF6018" w:rsidRPr="00B156D5">
        <w:rPr>
          <w:rFonts w:ascii="Verdana" w:hAnsi="Verdana"/>
          <w:szCs w:val="16"/>
        </w:rPr>
        <w:t xml:space="preserve">alimentación (expediente de prueba, folios </w:t>
      </w:r>
      <w:r w:rsidR="00DC52E0" w:rsidRPr="00B156D5">
        <w:rPr>
          <w:rFonts w:ascii="Verdana" w:hAnsi="Verdana"/>
          <w:szCs w:val="16"/>
        </w:rPr>
        <w:t>31450 a 31507)</w:t>
      </w:r>
      <w:r w:rsidR="00281561" w:rsidRPr="00B156D5">
        <w:rPr>
          <w:rFonts w:ascii="Verdana" w:hAnsi="Verdana"/>
          <w:szCs w:val="16"/>
        </w:rPr>
        <w:t>.</w:t>
      </w:r>
    </w:p>
  </w:footnote>
  <w:footnote w:id="26">
    <w:p w14:paraId="54029A4C" w14:textId="78257686" w:rsidR="00D15B00" w:rsidRPr="00B156D5" w:rsidRDefault="00D15B00" w:rsidP="007C52EE">
      <w:pPr>
        <w:jc w:val="both"/>
        <w:rPr>
          <w:rFonts w:ascii="Verdana" w:hAnsi="Verdana"/>
          <w:sz w:val="16"/>
          <w:szCs w:val="16"/>
          <w:lang w:val="es-ES"/>
        </w:rPr>
      </w:pPr>
      <w:r w:rsidRPr="00B156D5">
        <w:rPr>
          <w:rStyle w:val="Refdenotaalpie"/>
          <w:rFonts w:ascii="Verdana" w:hAnsi="Verdana"/>
          <w:sz w:val="16"/>
          <w:szCs w:val="16"/>
        </w:rPr>
        <w:footnoteRef/>
      </w:r>
      <w:r w:rsidRPr="00B156D5">
        <w:rPr>
          <w:rFonts w:ascii="Verdana" w:hAnsi="Verdana"/>
          <w:sz w:val="16"/>
          <w:szCs w:val="16"/>
        </w:rPr>
        <w:t xml:space="preserve"> </w:t>
      </w:r>
      <w:r w:rsidRPr="00B156D5">
        <w:rPr>
          <w:rFonts w:ascii="Verdana" w:hAnsi="Verdana"/>
          <w:sz w:val="16"/>
          <w:szCs w:val="16"/>
          <w:lang w:val="es-ES"/>
        </w:rPr>
        <w:tab/>
        <w:t>Los artículos 2, 2 Bis, y 2 Ter de esa ley establece</w:t>
      </w:r>
      <w:r w:rsidR="005C2B75" w:rsidRPr="00B156D5">
        <w:rPr>
          <w:rFonts w:ascii="Verdana" w:hAnsi="Verdana"/>
          <w:sz w:val="16"/>
          <w:szCs w:val="16"/>
          <w:lang w:val="es-ES"/>
        </w:rPr>
        <w:t>n</w:t>
      </w:r>
      <w:r w:rsidRPr="00B156D5">
        <w:rPr>
          <w:rFonts w:ascii="Verdana" w:hAnsi="Verdana"/>
          <w:sz w:val="16"/>
          <w:szCs w:val="16"/>
          <w:lang w:val="es-ES"/>
        </w:rPr>
        <w:t xml:space="preserve"> lo siguiente: </w:t>
      </w:r>
    </w:p>
    <w:p w14:paraId="02E641F6" w14:textId="754947F1" w:rsidR="00D15B00" w:rsidRPr="00B156D5" w:rsidRDefault="00D15B00" w:rsidP="007C52EE">
      <w:pPr>
        <w:spacing w:before="120" w:after="120"/>
        <w:jc w:val="both"/>
        <w:rPr>
          <w:rFonts w:ascii="Verdana" w:hAnsi="Verdana"/>
          <w:sz w:val="16"/>
          <w:szCs w:val="16"/>
        </w:rPr>
      </w:pPr>
      <w:r w:rsidRPr="00B156D5">
        <w:rPr>
          <w:rFonts w:ascii="Verdana" w:hAnsi="Verdana"/>
          <w:sz w:val="16"/>
          <w:szCs w:val="16"/>
          <w:lang w:val="es-ES"/>
        </w:rPr>
        <w:t>“</w:t>
      </w:r>
      <w:r w:rsidRPr="00B156D5">
        <w:rPr>
          <w:rFonts w:ascii="Verdana" w:hAnsi="Verdana"/>
          <w:sz w:val="16"/>
          <w:szCs w:val="16"/>
        </w:rPr>
        <w:t>Artículo 2</w:t>
      </w:r>
      <w:r w:rsidR="005D2971" w:rsidRPr="00B156D5">
        <w:rPr>
          <w:rFonts w:ascii="Verdana" w:hAnsi="Verdana"/>
          <w:sz w:val="16"/>
          <w:szCs w:val="16"/>
        </w:rPr>
        <w:t>º</w:t>
      </w:r>
      <w:r w:rsidRPr="00B156D5">
        <w:rPr>
          <w:rFonts w:ascii="Verdana" w:hAnsi="Verdana"/>
          <w:sz w:val="16"/>
          <w:szCs w:val="16"/>
        </w:rPr>
        <w:t xml:space="preserve">.- Cuando tres o más personas se organicen de hecho para realizar, en forma permanente o reiterada, conductas que por sí o unidas a otras, tienen como fin o resultado cometer alguno o algunos de los delitos siguientes, serán sancionadas por ese solo hecho, como miembros de la delincuencia organizada: </w:t>
      </w:r>
    </w:p>
    <w:p w14:paraId="567D2081" w14:textId="3F0757F3" w:rsidR="00D15B00" w:rsidRPr="00B156D5" w:rsidRDefault="00D15B00" w:rsidP="00C763C8">
      <w:pPr>
        <w:spacing w:before="120" w:after="120"/>
        <w:ind w:left="567" w:right="561"/>
        <w:jc w:val="both"/>
        <w:rPr>
          <w:rFonts w:ascii="Verdana" w:hAnsi="Verdana"/>
          <w:sz w:val="16"/>
          <w:szCs w:val="16"/>
        </w:rPr>
      </w:pPr>
      <w:r w:rsidRPr="00B156D5">
        <w:rPr>
          <w:rFonts w:ascii="Verdana" w:hAnsi="Verdana"/>
          <w:sz w:val="16"/>
          <w:szCs w:val="16"/>
        </w:rPr>
        <w:t xml:space="preserve">I. Terrorismo, previsto en los artículos 139 al 139 Ter, financiamiento al terrorismo previsto en los artículos 139 Quáter y 139 Quinquies y terrorismo internacional previsto en los artículos 148 Bis al 148 Quáter; contra la salud, previsto en los artículos 194, 195, párrafo primero y 196 Ter; falsificación, uso de moneda falsificada a sabiendas y alteración de moneda, previstos en los artículos 234, 236 y 237; operaciones con recursos de procedencia ilícita, previsto en el artículo 400 Bis; y en materia de derechos de autor previsto en el artículo 424 Bis, todos del Código Penal Federal; </w:t>
      </w:r>
    </w:p>
    <w:p w14:paraId="1954E02A"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II. Acopio y tráfico de armas, previstos en los artículos 83 Bis, 84, 84 Bis, párrafo primero, 85 y 85 Bis, de la Ley Federal de Armas de Fuego y Explosivos; </w:t>
      </w:r>
    </w:p>
    <w:p w14:paraId="682879EE"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III. Tráfico de personas, previsto en el artículo 159 de la Ley de Migración; Fracción reformada; </w:t>
      </w:r>
    </w:p>
    <w:p w14:paraId="73DA9505"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IV. Tráfico de órganos previsto en los artículos 461, 462 y 462 Bis, y delitos contra la salud en su modalidad de narcomenudeo previstos en los artículos 475 y 476, todos de la Ley General de Salud; </w:t>
      </w:r>
    </w:p>
    <w:p w14:paraId="2393E0CC"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V. Corrupción de personas menores de dieciocho años de edad o de personas que no tienen capacidad para comprender el significado del hecho o de personas que no tienen capacidad para resistirlo previsto en el artículo 201; Pornografía de personas menores de dieciocho años de edad o de personas que no tienen capacidad para comprender el significado del hecho o de personas que no tienen capacidad para resistirlo, previsto en el artículo 202; Turismo sexual en contra de personas menores de dieciocho años de edad o de personas que no tienen capacidad para comprender el significado del hecho o de personas que no tiene capacidad para resistirlo, previsto en los artículos 203 y 203 Bis; Lenocinio de personas menores de dieciocho años de edad o de personas que no tienen capacidad para comprender el significado del hecho o de personas que no tienen capacidad para resistirlo, previsto en el artículo 204; Asalto, previsto en los artículos 286 y 287; Tráfico de menores o personas que no tienen capacidad para comprender el significado del hecho, previsto en el artículo 366 Ter, y Robo de vehículos, previsto en los artículos 376 Bis y 377 del Código Penal Federal, o en las disposiciones correspondientes de las legislaciones penales estatales o del Distrito Federal; </w:t>
      </w:r>
    </w:p>
    <w:p w14:paraId="7B23AEDF"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VI. Delitos en materia de trata de personas, previstos y sancionados en el Libro Primero, Título Segundo de la Ley General para Prevenir, Sancionar y Erradicar los Delitos en Materia de Trata de Personas y para la Protección y Asistencia a las Víctimas de estos Delitos, excepto en el caso de los artículos 32, 33 y 34; </w:t>
      </w:r>
    </w:p>
    <w:p w14:paraId="22F8AD21"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VII. Las conductas previstas en los artículos 9, 10, 11, 17 y 18 de la Ley General para Prevenir y Sancionar los Delitos en Materia de Secuestro, Reglamentaria de la fracción XXI del artículo 73 de la Constitución Política de los Estados Unidos Mexicanos. </w:t>
      </w:r>
    </w:p>
    <w:p w14:paraId="3916983D"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VIII Bis. Defraudación fiscal, previsto en el artículo 108, y los supuestos de defraudación fiscal equiparada, previstos en los artículos 109, fracciones I y IV, ambos del Código Fiscal de la Federación, exclusivamente cuando el monto de lo defraudado supere 3 veces lo dispuesto en la fracción III del artículo 108 del Código Fiscal de la Federación; </w:t>
      </w:r>
    </w:p>
    <w:p w14:paraId="32DB406A"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 xml:space="preserve">VIII Ter. Las conductas previstas en el artículo 113 Bis del Código Fiscal de la Federación, exclusivamente cuando las cifras, cantidad o valor de los comprobantes fiscales que amparan operaciones inexistentes, falsas o actos jurídicos simulados, superen 3 veces lo establecido en la fracción III del artículo 108 del Código Fiscal de la Federación; </w:t>
      </w:r>
    </w:p>
    <w:p w14:paraId="2042FDB3"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IX. Los previstos en las fracciones I y II del artículo 8; así como las fracciones I, II y III del artículo 9, estas últimas en relación con el inciso d), y el último párrafo de dicho artículo, todas de la Ley Federal para Prevenir y Sancionar los Delitos Cometidos en Materia de Hidrocarburos.</w:t>
      </w:r>
    </w:p>
    <w:p w14:paraId="450B71AD" w14:textId="77777777" w:rsidR="00D15B00" w:rsidRPr="00B156D5" w:rsidRDefault="00D15B00" w:rsidP="007C52EE">
      <w:pPr>
        <w:spacing w:before="120" w:after="120"/>
        <w:ind w:left="567" w:right="561"/>
        <w:jc w:val="both"/>
        <w:rPr>
          <w:rFonts w:ascii="Verdana" w:hAnsi="Verdana"/>
          <w:sz w:val="16"/>
          <w:szCs w:val="16"/>
        </w:rPr>
      </w:pPr>
      <w:r w:rsidRPr="00B156D5">
        <w:rPr>
          <w:rFonts w:ascii="Verdana" w:hAnsi="Verdana"/>
          <w:sz w:val="16"/>
          <w:szCs w:val="16"/>
        </w:rPr>
        <w:t>X. Contra el Ambiente previsto en la fracción IV del artículo 420 del Código Penal Federal. Los delitos a que se refieren las fracciones previstas en el presente artículo que sean cometidos por algún miembro de la delincuencia organizada, serán investigados, procesados y sancionados conforme a las disposiciones de esta Ley</w:t>
      </w:r>
    </w:p>
    <w:p w14:paraId="6314D5C8" w14:textId="226C81B1" w:rsidR="00D15B00" w:rsidRPr="00B156D5" w:rsidRDefault="00D15B00" w:rsidP="007C52EE">
      <w:pPr>
        <w:spacing w:before="120" w:after="120"/>
        <w:jc w:val="both"/>
        <w:rPr>
          <w:rFonts w:ascii="Verdana" w:hAnsi="Verdana"/>
          <w:sz w:val="16"/>
          <w:szCs w:val="16"/>
        </w:rPr>
      </w:pPr>
      <w:r w:rsidRPr="00B156D5">
        <w:rPr>
          <w:rFonts w:ascii="Verdana" w:hAnsi="Verdana"/>
          <w:sz w:val="16"/>
          <w:szCs w:val="16"/>
        </w:rPr>
        <w:t>Artículo 2</w:t>
      </w:r>
      <w:r w:rsidR="005D2971" w:rsidRPr="00B156D5">
        <w:rPr>
          <w:rFonts w:ascii="Verdana" w:hAnsi="Verdana"/>
          <w:sz w:val="16"/>
          <w:szCs w:val="16"/>
        </w:rPr>
        <w:t>º</w:t>
      </w:r>
      <w:r w:rsidRPr="00B156D5">
        <w:rPr>
          <w:rFonts w:ascii="Verdana" w:hAnsi="Verdana"/>
          <w:sz w:val="16"/>
          <w:szCs w:val="16"/>
        </w:rPr>
        <w:t>. Bis.- Se impondrá hasta dos terceras partes de las penas previstas en el artículo 4</w:t>
      </w:r>
      <w:r w:rsidR="005D2971" w:rsidRPr="00B156D5">
        <w:rPr>
          <w:rFonts w:ascii="Verdana" w:hAnsi="Verdana"/>
          <w:sz w:val="16"/>
          <w:szCs w:val="16"/>
        </w:rPr>
        <w:t>º</w:t>
      </w:r>
      <w:r w:rsidRPr="00B156D5">
        <w:rPr>
          <w:rFonts w:ascii="Verdana" w:hAnsi="Verdana"/>
          <w:sz w:val="16"/>
          <w:szCs w:val="16"/>
        </w:rPr>
        <w:t>. del presente instrumento a quienes resuelvan de concierto cometer las conductas señaladas en el artículo 2</w:t>
      </w:r>
      <w:r w:rsidR="005D2971" w:rsidRPr="00B156D5">
        <w:rPr>
          <w:rFonts w:ascii="Verdana" w:hAnsi="Verdana"/>
          <w:sz w:val="16"/>
          <w:szCs w:val="16"/>
        </w:rPr>
        <w:t>º</w:t>
      </w:r>
      <w:r w:rsidRPr="00B156D5">
        <w:rPr>
          <w:rFonts w:ascii="Verdana" w:hAnsi="Verdana"/>
          <w:sz w:val="16"/>
          <w:szCs w:val="16"/>
        </w:rPr>
        <w:t xml:space="preserve">. de la presente Ley y acuerden los medios de llevar a cabo su determinación. Para acreditar la conducta señalada en el párrafo anterior, las confesionales o testimoniales existentes deberán corroborarse con otros datos o medios de prueba, obtenidos mediante los instrumentos contemplados en el Título Segundo, Capítulos Primero, Segundo, Sexto y Séptimo de la presente Ley, así como los señalados en los artículos 269, 270, 271, 272, 273, 274, 275, 276 y 289 del Código Nacional de Procedimientos Penales. </w:t>
      </w:r>
    </w:p>
    <w:p w14:paraId="315A54FD" w14:textId="2FE67895" w:rsidR="00D15B00" w:rsidRPr="00B156D5" w:rsidRDefault="00D15B00" w:rsidP="007C52EE">
      <w:pPr>
        <w:spacing w:before="120" w:after="120"/>
        <w:jc w:val="both"/>
        <w:rPr>
          <w:rFonts w:ascii="Verdana" w:hAnsi="Verdana"/>
          <w:sz w:val="16"/>
          <w:szCs w:val="16"/>
        </w:rPr>
      </w:pPr>
      <w:r w:rsidRPr="00B156D5">
        <w:rPr>
          <w:rFonts w:ascii="Verdana" w:hAnsi="Verdana"/>
          <w:sz w:val="16"/>
          <w:szCs w:val="16"/>
        </w:rPr>
        <w:t>Artículo 2</w:t>
      </w:r>
      <w:r w:rsidR="005D2971" w:rsidRPr="00B156D5">
        <w:rPr>
          <w:rFonts w:ascii="Verdana" w:hAnsi="Verdana"/>
          <w:sz w:val="16"/>
          <w:szCs w:val="16"/>
        </w:rPr>
        <w:t>º</w:t>
      </w:r>
      <w:r w:rsidRPr="00B156D5">
        <w:rPr>
          <w:rFonts w:ascii="Verdana" w:hAnsi="Verdana"/>
          <w:sz w:val="16"/>
          <w:szCs w:val="16"/>
        </w:rPr>
        <w:t>. Ter.- También se sancionará con las penas contenidas en el artículo 4</w:t>
      </w:r>
      <w:r w:rsidR="005D2971" w:rsidRPr="00B156D5">
        <w:rPr>
          <w:rFonts w:ascii="Verdana" w:hAnsi="Verdana"/>
          <w:sz w:val="16"/>
          <w:szCs w:val="16"/>
        </w:rPr>
        <w:t>º</w:t>
      </w:r>
      <w:r w:rsidRPr="00B156D5">
        <w:rPr>
          <w:rFonts w:ascii="Verdana" w:hAnsi="Verdana"/>
          <w:sz w:val="16"/>
          <w:szCs w:val="16"/>
        </w:rPr>
        <w:t>. de esta Ley a quien a sabiendas de la finalidad y actividad delictiva general de una organización criminal, participe intencional y activamente en sus actividades ilícitas u otras de distinta naturaleza cuando conozca que con su participación contribuye al logro de la finalidad delictiva.</w:t>
      </w:r>
    </w:p>
  </w:footnote>
  <w:footnote w:id="27">
    <w:p w14:paraId="68E07A44" w14:textId="5C362E3D"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szCs w:val="16"/>
          <w:lang w:val="es-ES"/>
        </w:rPr>
        <w:t>Cfr</w:t>
      </w:r>
      <w:r w:rsidRPr="00B156D5">
        <w:rPr>
          <w:rFonts w:ascii="Verdana" w:hAnsi="Verdana"/>
          <w:szCs w:val="16"/>
          <w:lang w:val="es-ES"/>
        </w:rPr>
        <w:t>.</w:t>
      </w:r>
      <w:r w:rsidR="00596EA6" w:rsidRPr="00B156D5">
        <w:rPr>
          <w:rFonts w:ascii="Verdana" w:hAnsi="Verdana"/>
          <w:szCs w:val="16"/>
          <w:lang w:val="es-ES"/>
        </w:rPr>
        <w:t xml:space="preserve"> Secretaría de Seguridad Pública</w:t>
      </w:r>
      <w:r w:rsidR="003C69B8" w:rsidRPr="00B156D5">
        <w:rPr>
          <w:rFonts w:ascii="Verdana" w:hAnsi="Verdana"/>
          <w:szCs w:val="16"/>
          <w:lang w:val="es-ES"/>
        </w:rPr>
        <w:t>. Policía Federal Preventiva</w:t>
      </w:r>
      <w:r w:rsidR="002577BB" w:rsidRPr="00B156D5">
        <w:rPr>
          <w:rFonts w:ascii="Verdana" w:hAnsi="Verdana"/>
          <w:szCs w:val="16"/>
          <w:lang w:val="es-ES"/>
        </w:rPr>
        <w:t xml:space="preserve">, Comisaría </w:t>
      </w:r>
      <w:r w:rsidR="00055981" w:rsidRPr="00B156D5">
        <w:rPr>
          <w:rFonts w:ascii="Verdana" w:hAnsi="Verdana"/>
          <w:szCs w:val="16"/>
          <w:lang w:val="es-ES"/>
        </w:rPr>
        <w:t>de Sector</w:t>
      </w:r>
      <w:r w:rsidR="00EB775D" w:rsidRPr="00B156D5">
        <w:rPr>
          <w:rFonts w:ascii="Verdana" w:hAnsi="Verdana"/>
          <w:szCs w:val="16"/>
          <w:lang w:val="es-ES"/>
        </w:rPr>
        <w:t xml:space="preserve"> 135</w:t>
      </w:r>
      <w:r w:rsidR="0017502E" w:rsidRPr="00B156D5">
        <w:rPr>
          <w:rFonts w:ascii="Verdana" w:hAnsi="Verdana"/>
          <w:szCs w:val="16"/>
          <w:lang w:val="es-ES"/>
        </w:rPr>
        <w:t>-XX</w:t>
      </w:r>
      <w:r w:rsidR="00F237D1" w:rsidRPr="00B156D5">
        <w:rPr>
          <w:rFonts w:ascii="Verdana" w:hAnsi="Verdana"/>
          <w:szCs w:val="16"/>
          <w:lang w:val="es-ES"/>
        </w:rPr>
        <w:t>XI “Orizaba”.</w:t>
      </w:r>
      <w:r w:rsidR="00023E34" w:rsidRPr="00B156D5">
        <w:rPr>
          <w:rFonts w:ascii="Verdana" w:hAnsi="Verdana"/>
          <w:szCs w:val="16"/>
          <w:lang w:val="es-ES"/>
        </w:rPr>
        <w:t xml:space="preserve"> </w:t>
      </w:r>
      <w:r w:rsidRPr="00B156D5">
        <w:rPr>
          <w:rFonts w:ascii="Verdana" w:hAnsi="Verdana"/>
          <w:szCs w:val="16"/>
          <w:lang w:val="es-ES"/>
        </w:rPr>
        <w:t xml:space="preserve">Parte </w:t>
      </w:r>
      <w:r w:rsidR="00ED24B0" w:rsidRPr="00B156D5">
        <w:rPr>
          <w:rFonts w:ascii="Verdana" w:hAnsi="Verdana"/>
          <w:szCs w:val="16"/>
          <w:lang w:val="es-ES"/>
        </w:rPr>
        <w:t>I</w:t>
      </w:r>
      <w:r w:rsidRPr="00B156D5">
        <w:rPr>
          <w:rFonts w:ascii="Verdana" w:hAnsi="Verdana"/>
          <w:szCs w:val="16"/>
          <w:lang w:val="es-ES"/>
        </w:rPr>
        <w:t xml:space="preserve">nformativo de </w:t>
      </w:r>
      <w:r w:rsidR="00ED24B0" w:rsidRPr="00B156D5">
        <w:rPr>
          <w:rFonts w:ascii="Verdana" w:hAnsi="Verdana"/>
          <w:szCs w:val="16"/>
          <w:lang w:val="es-ES"/>
        </w:rPr>
        <w:t>Servicios No.</w:t>
      </w:r>
      <w:r w:rsidR="002E4764" w:rsidRPr="00B156D5">
        <w:rPr>
          <w:rFonts w:ascii="Verdana" w:hAnsi="Verdana"/>
          <w:szCs w:val="16"/>
          <w:lang w:val="es-ES"/>
        </w:rPr>
        <w:t xml:space="preserve"> 043/2006</w:t>
      </w:r>
      <w:r w:rsidRPr="00B156D5">
        <w:rPr>
          <w:rFonts w:ascii="Verdana" w:hAnsi="Verdana"/>
          <w:szCs w:val="16"/>
          <w:lang w:val="es-ES"/>
        </w:rPr>
        <w:t>, 12 de enero de 2006</w:t>
      </w:r>
      <w:r w:rsidR="00197627" w:rsidRPr="00B156D5">
        <w:rPr>
          <w:rFonts w:ascii="Verdana" w:hAnsi="Verdana"/>
          <w:szCs w:val="16"/>
          <w:lang w:val="es-ES"/>
        </w:rPr>
        <w:t xml:space="preserve"> </w:t>
      </w:r>
      <w:r w:rsidR="005D2971" w:rsidRPr="00B156D5">
        <w:rPr>
          <w:rFonts w:ascii="Verdana" w:hAnsi="Verdana"/>
          <w:szCs w:val="16"/>
          <w:lang w:val="es-ES"/>
        </w:rPr>
        <w:t xml:space="preserve">(expediente de </w:t>
      </w:r>
      <w:r w:rsidR="00AA0608" w:rsidRPr="00B156D5">
        <w:rPr>
          <w:rFonts w:ascii="Verdana" w:hAnsi="Verdana"/>
          <w:szCs w:val="16"/>
          <w:lang w:val="es-ES"/>
        </w:rPr>
        <w:t>prueba, folios</w:t>
      </w:r>
      <w:r w:rsidR="00E100F1" w:rsidRPr="00B156D5">
        <w:rPr>
          <w:rFonts w:ascii="Verdana" w:hAnsi="Verdana"/>
          <w:szCs w:val="16"/>
          <w:lang w:val="es-ES"/>
        </w:rPr>
        <w:t xml:space="preserve"> 1 a 5)</w:t>
      </w:r>
      <w:r w:rsidR="00FB3A4C" w:rsidRPr="00B156D5">
        <w:rPr>
          <w:rFonts w:ascii="Verdana" w:hAnsi="Verdana"/>
          <w:szCs w:val="16"/>
          <w:lang w:val="es-ES"/>
        </w:rPr>
        <w:t>.</w:t>
      </w:r>
    </w:p>
  </w:footnote>
  <w:footnote w:id="28">
    <w:p w14:paraId="687C22E7" w14:textId="6C4DED84" w:rsidR="002B5D1C" w:rsidRPr="00B156D5" w:rsidRDefault="002B5D1C">
      <w:pPr>
        <w:pStyle w:val="Textonotapie"/>
        <w:rPr>
          <w:rFonts w:ascii="Verdana" w:hAnsi="Verdana"/>
          <w:szCs w:val="16"/>
          <w:lang w:val="es-ES"/>
        </w:rPr>
      </w:pPr>
      <w:r w:rsidRPr="00B156D5">
        <w:rPr>
          <w:rStyle w:val="Refdenotaalpie"/>
          <w:rFonts w:ascii="Verdana" w:hAnsi="Verdana"/>
          <w:szCs w:val="16"/>
        </w:rPr>
        <w:footnoteRef/>
      </w:r>
      <w:r w:rsidR="00A65F83" w:rsidRPr="00B156D5">
        <w:rPr>
          <w:rFonts w:ascii="Verdana" w:hAnsi="Verdana"/>
          <w:i/>
          <w:szCs w:val="16"/>
          <w:lang w:val="es-ES"/>
        </w:rPr>
        <w:t xml:space="preserve"> </w:t>
      </w:r>
      <w:r w:rsidR="00A65F83" w:rsidRPr="00B156D5">
        <w:rPr>
          <w:rFonts w:ascii="Verdana" w:hAnsi="Verdana"/>
          <w:i/>
          <w:szCs w:val="16"/>
          <w:lang w:val="es-ES"/>
        </w:rPr>
        <w:tab/>
        <w:t>Cfr</w:t>
      </w:r>
      <w:r w:rsidR="00A65F83" w:rsidRPr="00B156D5">
        <w:rPr>
          <w:rFonts w:ascii="Verdana" w:hAnsi="Verdana"/>
          <w:szCs w:val="16"/>
          <w:lang w:val="es-ES"/>
        </w:rPr>
        <w:t>. Poder Judicial de la Federación. Providencia que resolvió el recurso de apelación contra el auto de prisión formal dictado el 22 de abril de 2006, 16 de febrero de 2007</w:t>
      </w:r>
      <w:r w:rsidR="00AA0608" w:rsidRPr="00B156D5">
        <w:rPr>
          <w:rFonts w:ascii="Verdana" w:hAnsi="Verdana"/>
          <w:szCs w:val="16"/>
          <w:lang w:val="es-ES"/>
        </w:rPr>
        <w:t xml:space="preserve"> (expediente de prueba, folios</w:t>
      </w:r>
      <w:r w:rsidR="00E100F1" w:rsidRPr="00B156D5">
        <w:rPr>
          <w:rFonts w:ascii="Verdana" w:hAnsi="Verdana"/>
          <w:szCs w:val="16"/>
          <w:lang w:val="es-ES"/>
        </w:rPr>
        <w:t xml:space="preserve"> </w:t>
      </w:r>
      <w:r w:rsidR="00C20626" w:rsidRPr="00B156D5">
        <w:rPr>
          <w:rFonts w:ascii="Verdana" w:hAnsi="Verdana"/>
          <w:szCs w:val="16"/>
          <w:lang w:val="es-ES"/>
        </w:rPr>
        <w:t>22 y siguientes</w:t>
      </w:r>
      <w:r w:rsidR="00E100F1" w:rsidRPr="00B156D5">
        <w:rPr>
          <w:rFonts w:ascii="Verdana" w:hAnsi="Verdana"/>
          <w:szCs w:val="16"/>
          <w:lang w:val="es-ES"/>
        </w:rPr>
        <w:t>)</w:t>
      </w:r>
      <w:r w:rsidR="00A65F83" w:rsidRPr="00B156D5">
        <w:rPr>
          <w:rFonts w:ascii="Verdana" w:hAnsi="Verdana"/>
          <w:szCs w:val="16"/>
          <w:lang w:val="es-ES"/>
        </w:rPr>
        <w:t>.</w:t>
      </w:r>
    </w:p>
  </w:footnote>
  <w:footnote w:id="29">
    <w:p w14:paraId="6A7A185C" w14:textId="731253C6"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szCs w:val="16"/>
          <w:lang w:val="es-ES"/>
        </w:rPr>
        <w:t>Cfr</w:t>
      </w:r>
      <w:r w:rsidRPr="00B156D5">
        <w:rPr>
          <w:rFonts w:ascii="Verdana" w:hAnsi="Verdana"/>
          <w:szCs w:val="16"/>
          <w:lang w:val="es-ES"/>
        </w:rPr>
        <w:t xml:space="preserve">. </w:t>
      </w:r>
      <w:r w:rsidR="00350D82" w:rsidRPr="00B156D5">
        <w:rPr>
          <w:rFonts w:ascii="Verdana" w:hAnsi="Verdana"/>
          <w:szCs w:val="16"/>
          <w:lang w:val="es-ES"/>
        </w:rPr>
        <w:t>Secretaría de Seguridad Pública. Policía Federal Preventiva,</w:t>
      </w:r>
      <w:r w:rsidR="00351850" w:rsidRPr="00B156D5">
        <w:rPr>
          <w:rFonts w:ascii="Verdana" w:hAnsi="Verdana"/>
          <w:szCs w:val="16"/>
          <w:lang w:val="es-ES"/>
        </w:rPr>
        <w:t xml:space="preserve"> Comisaría de Sector 135-XXXI “Orizaba”. </w:t>
      </w:r>
      <w:r w:rsidRPr="00B156D5">
        <w:rPr>
          <w:rFonts w:ascii="Verdana" w:hAnsi="Verdana"/>
          <w:szCs w:val="16"/>
          <w:lang w:val="es-ES"/>
        </w:rPr>
        <w:t xml:space="preserve">Parte </w:t>
      </w:r>
      <w:r w:rsidR="00634DA8" w:rsidRPr="00B156D5">
        <w:rPr>
          <w:rFonts w:ascii="Verdana" w:hAnsi="Verdana"/>
          <w:szCs w:val="16"/>
          <w:lang w:val="es-ES"/>
        </w:rPr>
        <w:t>I</w:t>
      </w:r>
      <w:r w:rsidRPr="00B156D5">
        <w:rPr>
          <w:rFonts w:ascii="Verdana" w:hAnsi="Verdana"/>
          <w:szCs w:val="16"/>
          <w:lang w:val="es-ES"/>
        </w:rPr>
        <w:t>nformativo</w:t>
      </w:r>
      <w:r w:rsidR="00C3081E" w:rsidRPr="00B156D5">
        <w:rPr>
          <w:rFonts w:ascii="Verdana" w:hAnsi="Verdana"/>
          <w:szCs w:val="16"/>
          <w:lang w:val="es-ES"/>
        </w:rPr>
        <w:t xml:space="preserve"> de Servicios No. 043/2006</w:t>
      </w:r>
      <w:r w:rsidRPr="00B156D5">
        <w:rPr>
          <w:rFonts w:ascii="Verdana" w:hAnsi="Verdana"/>
          <w:szCs w:val="16"/>
          <w:lang w:val="es-ES"/>
        </w:rPr>
        <w:t>, 12 de enero de 2006</w:t>
      </w:r>
      <w:r w:rsidR="00AA0608" w:rsidRPr="00B156D5">
        <w:rPr>
          <w:rFonts w:ascii="Verdana" w:hAnsi="Verdana"/>
          <w:szCs w:val="16"/>
          <w:lang w:val="es-ES"/>
        </w:rPr>
        <w:t xml:space="preserve"> (expediente de prueba, folios</w:t>
      </w:r>
      <w:r w:rsidR="00812273" w:rsidRPr="00B156D5">
        <w:rPr>
          <w:rFonts w:ascii="Verdana" w:hAnsi="Verdana"/>
          <w:szCs w:val="16"/>
          <w:lang w:val="es-ES"/>
        </w:rPr>
        <w:t xml:space="preserve"> 1 a 5)</w:t>
      </w:r>
      <w:r w:rsidRPr="00B156D5">
        <w:rPr>
          <w:rFonts w:ascii="Verdana" w:hAnsi="Verdana"/>
          <w:szCs w:val="16"/>
          <w:lang w:val="es-ES"/>
        </w:rPr>
        <w:t>.</w:t>
      </w:r>
    </w:p>
  </w:footnote>
  <w:footnote w:id="30">
    <w:p w14:paraId="53240626" w14:textId="66E6BABA" w:rsidR="00540780" w:rsidRPr="00B156D5" w:rsidRDefault="00540780" w:rsidP="00955888">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ab/>
      </w:r>
      <w:r w:rsidRPr="00B156D5">
        <w:rPr>
          <w:rFonts w:ascii="Verdana" w:hAnsi="Verdana"/>
          <w:i/>
          <w:szCs w:val="16"/>
          <w:lang w:val="es-ES"/>
        </w:rPr>
        <w:t>Cfr</w:t>
      </w:r>
      <w:r w:rsidRPr="00B156D5">
        <w:rPr>
          <w:rFonts w:ascii="Verdana" w:hAnsi="Verdana"/>
          <w:szCs w:val="16"/>
          <w:lang w:val="es-ES"/>
        </w:rPr>
        <w:t>. Procuraduría General de las República</w:t>
      </w:r>
      <w:r w:rsidR="00315365" w:rsidRPr="00B156D5">
        <w:rPr>
          <w:rFonts w:ascii="Verdana" w:hAnsi="Verdana"/>
          <w:szCs w:val="16"/>
          <w:lang w:val="es-ES"/>
        </w:rPr>
        <w:t xml:space="preserve">. </w:t>
      </w:r>
      <w:r w:rsidRPr="00B156D5">
        <w:rPr>
          <w:rFonts w:ascii="Verdana" w:hAnsi="Verdana"/>
          <w:szCs w:val="16"/>
          <w:lang w:val="es-ES"/>
        </w:rPr>
        <w:t>Subprocuraduría de Investigación Especializada en Terrorismo, Acopio y Tráfico de Armas. Cuadernillo de Pruebas de la A.P. PGR, SIEDO/UEITA/004/2006, Tomo I</w:t>
      </w:r>
      <w:r w:rsidR="00AA0608" w:rsidRPr="00B156D5">
        <w:rPr>
          <w:rFonts w:ascii="Verdana" w:hAnsi="Verdana"/>
          <w:szCs w:val="16"/>
          <w:lang w:val="es-ES"/>
        </w:rPr>
        <w:t xml:space="preserve"> (expediente de prueba, folios</w:t>
      </w:r>
      <w:r w:rsidR="000F1B53" w:rsidRPr="00B156D5">
        <w:rPr>
          <w:rFonts w:ascii="Verdana" w:hAnsi="Verdana"/>
          <w:szCs w:val="16"/>
          <w:lang w:val="es-ES"/>
        </w:rPr>
        <w:t xml:space="preserve"> 26247 y siguientes)</w:t>
      </w:r>
      <w:r w:rsidRPr="00B156D5">
        <w:rPr>
          <w:rFonts w:ascii="Verdana" w:hAnsi="Verdana"/>
          <w:szCs w:val="16"/>
          <w:lang w:val="es-ES"/>
        </w:rPr>
        <w:t>.</w:t>
      </w:r>
    </w:p>
  </w:footnote>
  <w:footnote w:id="31">
    <w:p w14:paraId="5EE4FA09" w14:textId="47A38F29"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215F57" w:rsidRPr="00B156D5">
        <w:rPr>
          <w:rFonts w:ascii="Verdana" w:hAnsi="Verdana"/>
          <w:i/>
          <w:szCs w:val="16"/>
          <w:lang w:val="es-ES"/>
        </w:rPr>
        <w:t>Cfr</w:t>
      </w:r>
      <w:r w:rsidR="00215F57" w:rsidRPr="00B156D5">
        <w:rPr>
          <w:rFonts w:ascii="Verdana" w:hAnsi="Verdana"/>
          <w:szCs w:val="16"/>
          <w:lang w:val="es-ES"/>
        </w:rPr>
        <w:t>. Procuraduría General de las República</w:t>
      </w:r>
      <w:r w:rsidR="00315365" w:rsidRPr="00B156D5">
        <w:rPr>
          <w:rFonts w:ascii="Verdana" w:hAnsi="Verdana"/>
          <w:szCs w:val="16"/>
          <w:lang w:val="es-ES"/>
        </w:rPr>
        <w:t xml:space="preserve">. </w:t>
      </w:r>
      <w:r w:rsidR="00215F57" w:rsidRPr="00B156D5">
        <w:rPr>
          <w:rFonts w:ascii="Verdana" w:hAnsi="Verdana"/>
          <w:szCs w:val="16"/>
          <w:lang w:val="es-ES"/>
        </w:rPr>
        <w:t>Subprocuraduría de Investigación Especializada en Terrorismo, Acopio y Tráfico de Armas. Cuadernillo de Pruebas de la A.P. PGR, SIEDO/UEITA/004/2006, Tomo I</w:t>
      </w:r>
      <w:r w:rsidR="00AA0608" w:rsidRPr="00B156D5">
        <w:rPr>
          <w:rFonts w:ascii="Verdana" w:hAnsi="Verdana"/>
          <w:szCs w:val="16"/>
          <w:lang w:val="es-ES"/>
        </w:rPr>
        <w:t xml:space="preserve"> (expediente de prueba, folios</w:t>
      </w:r>
      <w:r w:rsidR="000F1B53" w:rsidRPr="00B156D5">
        <w:rPr>
          <w:rFonts w:ascii="Verdana" w:hAnsi="Verdana"/>
          <w:szCs w:val="16"/>
          <w:lang w:val="es-ES"/>
        </w:rPr>
        <w:t xml:space="preserve"> 26247 y siguientes)</w:t>
      </w:r>
      <w:r w:rsidR="00215F57" w:rsidRPr="00B156D5">
        <w:rPr>
          <w:rFonts w:ascii="Verdana" w:hAnsi="Verdana"/>
          <w:szCs w:val="16"/>
          <w:lang w:val="es-ES"/>
        </w:rPr>
        <w:t xml:space="preserve">. </w:t>
      </w:r>
    </w:p>
  </w:footnote>
  <w:footnote w:id="32">
    <w:p w14:paraId="3228CF72" w14:textId="20EEB730" w:rsidR="00D15B00" w:rsidRPr="00B156D5" w:rsidRDefault="00D15B00" w:rsidP="00EB3AEC">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szCs w:val="16"/>
          <w:lang w:val="es-ES"/>
        </w:rPr>
        <w:t>Cfr</w:t>
      </w:r>
      <w:r w:rsidRPr="00B156D5">
        <w:rPr>
          <w:rFonts w:ascii="Verdana" w:hAnsi="Verdana"/>
          <w:szCs w:val="16"/>
          <w:lang w:val="es-ES"/>
        </w:rPr>
        <w:t xml:space="preserve">. </w:t>
      </w:r>
      <w:r w:rsidR="00352ADE" w:rsidRPr="00B156D5">
        <w:rPr>
          <w:rFonts w:ascii="Verdana" w:hAnsi="Verdana"/>
          <w:szCs w:val="16"/>
          <w:lang w:val="es-ES"/>
        </w:rPr>
        <w:t>Procuraduría General de la República. Subproc</w:t>
      </w:r>
      <w:r w:rsidR="00844C6E" w:rsidRPr="00B156D5">
        <w:rPr>
          <w:rFonts w:ascii="Verdana" w:hAnsi="Verdana"/>
          <w:szCs w:val="16"/>
          <w:lang w:val="es-ES"/>
        </w:rPr>
        <w:t>uraduría</w:t>
      </w:r>
      <w:r w:rsidR="00FE0F77" w:rsidRPr="00B156D5">
        <w:rPr>
          <w:rFonts w:ascii="Verdana" w:hAnsi="Verdana"/>
          <w:szCs w:val="16"/>
          <w:lang w:val="es-ES"/>
        </w:rPr>
        <w:t xml:space="preserve"> de Investigación</w:t>
      </w:r>
      <w:r w:rsidR="00EB3AEC" w:rsidRPr="00B156D5">
        <w:rPr>
          <w:rFonts w:ascii="Verdana" w:hAnsi="Verdana"/>
          <w:szCs w:val="16"/>
          <w:lang w:val="es-ES"/>
        </w:rPr>
        <w:t xml:space="preserve"> Especializada en Delincuencia </w:t>
      </w:r>
      <w:r w:rsidR="00FE0F77" w:rsidRPr="00B156D5">
        <w:rPr>
          <w:rFonts w:ascii="Verdana" w:hAnsi="Verdana"/>
          <w:szCs w:val="16"/>
          <w:lang w:val="es-ES"/>
        </w:rPr>
        <w:t>Org</w:t>
      </w:r>
      <w:r w:rsidR="00EB3AEC" w:rsidRPr="00B156D5">
        <w:rPr>
          <w:rFonts w:ascii="Verdana" w:hAnsi="Verdana"/>
          <w:szCs w:val="16"/>
          <w:lang w:val="es-ES"/>
        </w:rPr>
        <w:t>anizada</w:t>
      </w:r>
      <w:r w:rsidR="00FE0F77" w:rsidRPr="00B156D5">
        <w:rPr>
          <w:rFonts w:ascii="Verdana" w:hAnsi="Verdana"/>
          <w:szCs w:val="16"/>
          <w:lang w:val="es-ES"/>
        </w:rPr>
        <w:t xml:space="preserve">. </w:t>
      </w:r>
      <w:r w:rsidRPr="00B156D5">
        <w:rPr>
          <w:rFonts w:ascii="Verdana" w:hAnsi="Verdana"/>
          <w:szCs w:val="16"/>
          <w:lang w:val="es-ES"/>
        </w:rPr>
        <w:t>Declaraciones Ministeriales de Gerardo y Jorge Marcial Tzompaxtle Tecpile de 14 de enero de 2006</w:t>
      </w:r>
      <w:r w:rsidR="00AA0608" w:rsidRPr="00B156D5">
        <w:rPr>
          <w:rFonts w:ascii="Verdana" w:hAnsi="Verdana"/>
          <w:szCs w:val="16"/>
          <w:lang w:val="es-ES"/>
        </w:rPr>
        <w:t xml:space="preserve"> (expediente de </w:t>
      </w:r>
      <w:r w:rsidR="00C20626" w:rsidRPr="00B156D5">
        <w:rPr>
          <w:rFonts w:ascii="Verdana" w:hAnsi="Verdana"/>
          <w:szCs w:val="16"/>
          <w:lang w:val="es-ES"/>
        </w:rPr>
        <w:t>prueba</w:t>
      </w:r>
      <w:r w:rsidR="00AA0608" w:rsidRPr="00B156D5">
        <w:rPr>
          <w:rFonts w:ascii="Verdana" w:hAnsi="Verdana"/>
          <w:szCs w:val="16"/>
          <w:lang w:val="es-ES"/>
        </w:rPr>
        <w:t>, folios</w:t>
      </w:r>
      <w:r w:rsidR="00C20626" w:rsidRPr="00B156D5">
        <w:rPr>
          <w:rFonts w:ascii="Verdana" w:hAnsi="Verdana"/>
          <w:szCs w:val="16"/>
          <w:lang w:val="es-ES"/>
        </w:rPr>
        <w:t xml:space="preserve"> 6 a 21)</w:t>
      </w:r>
      <w:r w:rsidRPr="00B156D5">
        <w:rPr>
          <w:rFonts w:ascii="Verdana" w:hAnsi="Verdana"/>
          <w:szCs w:val="16"/>
          <w:lang w:val="es-ES"/>
        </w:rPr>
        <w:t>.</w:t>
      </w:r>
    </w:p>
  </w:footnote>
  <w:footnote w:id="33">
    <w:p w14:paraId="649DD6D0" w14:textId="7369B692"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szCs w:val="16"/>
          <w:lang w:val="es-ES"/>
        </w:rPr>
        <w:t>Cfr</w:t>
      </w:r>
      <w:r w:rsidRPr="00B156D5">
        <w:rPr>
          <w:rFonts w:ascii="Verdana" w:hAnsi="Verdana"/>
          <w:szCs w:val="16"/>
          <w:lang w:val="es-ES"/>
        </w:rPr>
        <w:t>. Procuraduría General de las República</w:t>
      </w:r>
      <w:r w:rsidR="00315365" w:rsidRPr="00B156D5">
        <w:rPr>
          <w:rFonts w:ascii="Verdana" w:hAnsi="Verdana"/>
          <w:szCs w:val="16"/>
          <w:lang w:val="es-ES"/>
        </w:rPr>
        <w:t xml:space="preserve">. </w:t>
      </w:r>
      <w:r w:rsidRPr="00B156D5">
        <w:rPr>
          <w:rFonts w:ascii="Verdana" w:hAnsi="Verdana"/>
          <w:szCs w:val="16"/>
          <w:lang w:val="es-ES"/>
        </w:rPr>
        <w:t xml:space="preserve">Subprocuraduría de </w:t>
      </w:r>
      <w:r w:rsidR="006E4D75" w:rsidRPr="00B156D5">
        <w:rPr>
          <w:rFonts w:ascii="Verdana" w:hAnsi="Verdana"/>
          <w:szCs w:val="16"/>
          <w:lang w:val="es-ES"/>
        </w:rPr>
        <w:t>I</w:t>
      </w:r>
      <w:r w:rsidRPr="00B156D5">
        <w:rPr>
          <w:rFonts w:ascii="Verdana" w:hAnsi="Verdana"/>
          <w:szCs w:val="16"/>
          <w:lang w:val="es-ES"/>
        </w:rPr>
        <w:t xml:space="preserve">nvestigación </w:t>
      </w:r>
      <w:r w:rsidR="006E4D75" w:rsidRPr="00B156D5">
        <w:rPr>
          <w:rFonts w:ascii="Verdana" w:hAnsi="Verdana"/>
          <w:szCs w:val="16"/>
          <w:lang w:val="es-ES"/>
        </w:rPr>
        <w:t>E</w:t>
      </w:r>
      <w:r w:rsidRPr="00B156D5">
        <w:rPr>
          <w:rFonts w:ascii="Verdana" w:hAnsi="Verdana"/>
          <w:szCs w:val="16"/>
          <w:lang w:val="es-ES"/>
        </w:rPr>
        <w:t xml:space="preserve">specializada en </w:t>
      </w:r>
      <w:r w:rsidR="00927567" w:rsidRPr="00B156D5">
        <w:rPr>
          <w:rFonts w:ascii="Verdana" w:hAnsi="Verdana"/>
          <w:szCs w:val="16"/>
          <w:lang w:val="es-ES"/>
        </w:rPr>
        <w:t xml:space="preserve">Terrorismo, Acopio y Tráfico de Armas. Cuadernillo de Pruebas de la A.P. </w:t>
      </w:r>
      <w:r w:rsidR="00DA1715" w:rsidRPr="00B156D5">
        <w:rPr>
          <w:rFonts w:ascii="Verdana" w:hAnsi="Verdana"/>
          <w:szCs w:val="16"/>
          <w:lang w:val="es-ES"/>
        </w:rPr>
        <w:t>PGR</w:t>
      </w:r>
      <w:r w:rsidR="00215F57" w:rsidRPr="00B156D5">
        <w:rPr>
          <w:rFonts w:ascii="Verdana" w:hAnsi="Verdana"/>
          <w:szCs w:val="16"/>
          <w:lang w:val="es-ES"/>
        </w:rPr>
        <w:t xml:space="preserve">, </w:t>
      </w:r>
      <w:r w:rsidR="00927567" w:rsidRPr="00B156D5">
        <w:rPr>
          <w:rFonts w:ascii="Verdana" w:hAnsi="Verdana"/>
          <w:szCs w:val="16"/>
          <w:lang w:val="es-ES"/>
        </w:rPr>
        <w:t>SIEDO/UEITA/004/2006</w:t>
      </w:r>
      <w:r w:rsidR="00DA1715" w:rsidRPr="00B156D5">
        <w:rPr>
          <w:rFonts w:ascii="Verdana" w:hAnsi="Verdana"/>
          <w:szCs w:val="16"/>
          <w:lang w:val="es-ES"/>
        </w:rPr>
        <w:t>, Tomo I</w:t>
      </w:r>
      <w:r w:rsidR="00AA0608" w:rsidRPr="00B156D5">
        <w:rPr>
          <w:rFonts w:ascii="Verdana" w:hAnsi="Verdana"/>
          <w:szCs w:val="16"/>
          <w:lang w:val="es-ES"/>
        </w:rPr>
        <w:t xml:space="preserve"> (expediente de prueba, folios</w:t>
      </w:r>
      <w:r w:rsidR="003974A6" w:rsidRPr="00B156D5">
        <w:rPr>
          <w:rFonts w:ascii="Verdana" w:hAnsi="Verdana"/>
          <w:szCs w:val="16"/>
          <w:lang w:val="es-ES"/>
        </w:rPr>
        <w:t xml:space="preserve"> 26247 y siguientes</w:t>
      </w:r>
      <w:r w:rsidR="00315365" w:rsidRPr="00B156D5">
        <w:rPr>
          <w:rFonts w:ascii="Verdana" w:hAnsi="Verdana"/>
          <w:szCs w:val="16"/>
          <w:lang w:val="es-ES"/>
        </w:rPr>
        <w:t>)</w:t>
      </w:r>
      <w:r w:rsidR="003974A6" w:rsidRPr="00B156D5">
        <w:rPr>
          <w:rFonts w:ascii="Verdana" w:hAnsi="Verdana"/>
          <w:szCs w:val="16"/>
          <w:lang w:val="es-ES"/>
        </w:rPr>
        <w:t>.</w:t>
      </w:r>
      <w:r w:rsidR="00023E34" w:rsidRPr="00B156D5">
        <w:rPr>
          <w:rFonts w:ascii="Verdana" w:hAnsi="Verdana"/>
          <w:szCs w:val="16"/>
          <w:lang w:val="es-ES"/>
        </w:rPr>
        <w:t xml:space="preserve"> </w:t>
      </w:r>
    </w:p>
  </w:footnote>
  <w:footnote w:id="34">
    <w:p w14:paraId="344C38D1" w14:textId="398DF042"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 xml:space="preserve">Se había vinculado a las víctimas a una investigación seguida por el secuestro de Mario Alberto Rafael Zepahua Valencia, candidato a diputado del PRI, ocurrido en junio de 2003 en el estado de Veracruz. El señor Zepahua estuvo secuestrado durante casi cuatro meses y se sospechaba que el grupo Movimiento Popular Revolucionario era el responsable de dicho acto. Estas personas habían sido vinculadas con ese grupo en las primeras diligencias de investigación. Cfr. Procuraduría General de la República, Subprocuraduría de Investigación Especializada en Delincuencia Organizada. </w:t>
      </w:r>
      <w:r w:rsidRPr="00B156D5">
        <w:rPr>
          <w:rFonts w:ascii="Verdana" w:hAnsi="Verdana"/>
          <w:i/>
          <w:szCs w:val="16"/>
          <w:lang w:val="es-ES"/>
        </w:rPr>
        <w:t>Cfr</w:t>
      </w:r>
      <w:r w:rsidRPr="00B156D5">
        <w:rPr>
          <w:rFonts w:ascii="Verdana" w:hAnsi="Verdana"/>
          <w:szCs w:val="16"/>
          <w:lang w:val="es-ES"/>
        </w:rPr>
        <w:t>. Procuraduría General de las República</w:t>
      </w:r>
      <w:r w:rsidR="009C76FD" w:rsidRPr="00B156D5">
        <w:rPr>
          <w:rFonts w:ascii="Verdana" w:hAnsi="Verdana"/>
          <w:szCs w:val="16"/>
          <w:lang w:val="es-ES"/>
        </w:rPr>
        <w:t xml:space="preserve">. </w:t>
      </w:r>
      <w:r w:rsidRPr="00B156D5">
        <w:rPr>
          <w:rFonts w:ascii="Verdana" w:hAnsi="Verdana"/>
          <w:szCs w:val="16"/>
          <w:lang w:val="es-ES"/>
        </w:rPr>
        <w:t>Subprocuraduría de investigación especializada en delincuencia organizada (expediente de prueba, folios 26247 y siguientes).</w:t>
      </w:r>
    </w:p>
  </w:footnote>
  <w:footnote w:id="35">
    <w:p w14:paraId="45FDB0E5" w14:textId="640F6535"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szCs w:val="16"/>
          <w:lang w:val="es-ES"/>
        </w:rPr>
        <w:t>Cfr</w:t>
      </w:r>
      <w:r w:rsidRPr="00B156D5">
        <w:rPr>
          <w:rFonts w:ascii="Verdana" w:hAnsi="Verdana"/>
          <w:szCs w:val="16"/>
          <w:lang w:val="es-ES"/>
        </w:rPr>
        <w:t xml:space="preserve">. </w:t>
      </w:r>
      <w:r w:rsidR="00EF63E7"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w:t>
      </w:r>
      <w:r w:rsidR="003974A6" w:rsidRPr="00B156D5">
        <w:rPr>
          <w:rFonts w:ascii="Verdana" w:hAnsi="Verdana"/>
          <w:szCs w:val="16"/>
          <w:lang w:val="es-ES"/>
        </w:rPr>
        <w:t xml:space="preserve"> (expediente de prueba, folios 22 y siguientes)</w:t>
      </w:r>
      <w:r w:rsidRPr="00B156D5">
        <w:rPr>
          <w:rFonts w:ascii="Verdana" w:hAnsi="Verdana"/>
          <w:szCs w:val="16"/>
          <w:lang w:val="es-ES"/>
        </w:rPr>
        <w:t>.</w:t>
      </w:r>
    </w:p>
  </w:footnote>
  <w:footnote w:id="36">
    <w:p w14:paraId="0304A6B8" w14:textId="081D6927"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 xml:space="preserve">Asimismo, el mismo día un agente del Ministerio Público de la Federación adscrito a la UEITA registró una llamada telefónica anónima que indicó lo siguiente: ”Mi llamada es para decirles que Gerardo Tzompaxtle Tecpile nació el 25 de junio de 1976; Jorge Marcial Tzompaxtle Tecpile nació el 25 de abril de 1970 y Gustavo Robles López nació el 21 de diciembre de 1976, son miembros del grupo Comando Popular Revolucionario “La Patria es Primero”, que fueron detenidos el viernes 12 de enero de 2006 por elementos de la Policía Federal Preventiva en la carretera, en el estado de Veracruz, y que se encontraban llevando a cabo operaciones de logística con el fin de llevar a cabo actos en contra de la seguridad nacional </w:t>
      </w:r>
      <w:r w:rsidR="00687BEB" w:rsidRPr="00B156D5">
        <w:rPr>
          <w:rFonts w:ascii="Verdana" w:hAnsi="Verdana"/>
          <w:szCs w:val="16"/>
          <w:lang w:val="es-ES"/>
        </w:rPr>
        <w:t>[...]</w:t>
      </w:r>
      <w:r w:rsidRPr="00B156D5">
        <w:rPr>
          <w:rFonts w:ascii="Verdana" w:hAnsi="Verdana"/>
          <w:szCs w:val="16"/>
          <w:lang w:val="es-ES"/>
        </w:rPr>
        <w:t xml:space="preserve"> Que este grupo se ha declarado en contra de las acciones del gobierno y que se ha adjudicado entre otras cosas la muerte de José Rubén Robles </w:t>
      </w:r>
      <w:r w:rsidR="00687BEB" w:rsidRPr="00B156D5">
        <w:rPr>
          <w:rFonts w:ascii="Verdana" w:hAnsi="Verdana"/>
          <w:szCs w:val="16"/>
          <w:lang w:val="es-ES"/>
        </w:rPr>
        <w:t>[...]</w:t>
      </w:r>
      <w:r w:rsidRPr="00B156D5">
        <w:rPr>
          <w:rFonts w:ascii="Verdana" w:hAnsi="Verdana"/>
          <w:szCs w:val="16"/>
          <w:lang w:val="es-ES"/>
        </w:rPr>
        <w:t xml:space="preserve"> el 6 de julio de 2005 en Acapulco </w:t>
      </w:r>
      <w:r w:rsidR="00687BEB" w:rsidRPr="00B156D5">
        <w:rPr>
          <w:rFonts w:ascii="Verdana" w:hAnsi="Verdana"/>
          <w:szCs w:val="16"/>
          <w:lang w:val="es-ES"/>
        </w:rPr>
        <w:t>[...]</w:t>
      </w:r>
      <w:r w:rsidRPr="00B156D5">
        <w:rPr>
          <w:rFonts w:ascii="Verdana" w:hAnsi="Verdana"/>
          <w:szCs w:val="16"/>
          <w:lang w:val="es-ES"/>
        </w:rPr>
        <w:t xml:space="preserve">, quien fungiera como Secretario de Gobernación en el estado de Guerrero en el año 1997. Ustedes saben, si no hacen nada, estos sujetos son peligrosos, ese día iban dos jefes de su grupo quienes fueron los que se dieron a la fuga. Dando por terminada la llamada, colgando esta persona sin poder proporcionar nombre ni algún dato adicional siendo todo lo que se asienta”. </w:t>
      </w:r>
      <w:r w:rsidRPr="00B156D5">
        <w:rPr>
          <w:rFonts w:ascii="Verdana" w:hAnsi="Verdana"/>
          <w:i/>
          <w:iCs/>
          <w:szCs w:val="16"/>
          <w:lang w:val="es-ES"/>
        </w:rPr>
        <w:t>Cfr</w:t>
      </w:r>
      <w:r w:rsidRPr="00B156D5">
        <w:rPr>
          <w:rFonts w:ascii="Verdana" w:hAnsi="Verdana"/>
          <w:szCs w:val="16"/>
          <w:lang w:val="es-ES"/>
        </w:rPr>
        <w:t xml:space="preserve">. </w:t>
      </w:r>
      <w:r w:rsidR="00620778" w:rsidRPr="00B156D5">
        <w:rPr>
          <w:rFonts w:ascii="Verdana" w:hAnsi="Verdana"/>
          <w:szCs w:val="16"/>
          <w:lang w:val="es-ES"/>
        </w:rPr>
        <w:t>Poder Judicial de la Federación.</w:t>
      </w:r>
      <w:r w:rsidR="00A4343F" w:rsidRPr="00B156D5">
        <w:rPr>
          <w:rFonts w:ascii="Verdana" w:hAnsi="Verdana"/>
          <w:szCs w:val="16"/>
          <w:lang w:val="es-ES"/>
        </w:rPr>
        <w:t xml:space="preserve"> </w:t>
      </w:r>
      <w:r w:rsidRPr="00B156D5">
        <w:rPr>
          <w:rFonts w:ascii="Verdana" w:hAnsi="Verdana"/>
          <w:szCs w:val="16"/>
          <w:lang w:val="es-ES"/>
        </w:rPr>
        <w:t>Providencia que resolvió el recurso de apelación contra el auto de prisión formal dictado el 22 de abril de 2006, 16 de febrero de 2007</w:t>
      </w:r>
      <w:r w:rsidR="00192BB1" w:rsidRPr="00B156D5">
        <w:rPr>
          <w:rFonts w:ascii="Verdana" w:hAnsi="Verdana"/>
          <w:szCs w:val="16"/>
          <w:lang w:val="es-ES"/>
        </w:rPr>
        <w:t xml:space="preserve"> (expediente de prueba, folios 22 y siguientes)</w:t>
      </w:r>
      <w:r w:rsidRPr="00B156D5">
        <w:rPr>
          <w:rFonts w:ascii="Verdana" w:hAnsi="Verdana"/>
          <w:szCs w:val="16"/>
          <w:lang w:val="es-ES"/>
        </w:rPr>
        <w:t>.</w:t>
      </w:r>
    </w:p>
  </w:footnote>
  <w:footnote w:id="37">
    <w:p w14:paraId="4D8F54CE" w14:textId="3EC74DBD"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9B73AC"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w:t>
      </w:r>
      <w:r w:rsidR="00386D03" w:rsidRPr="00B156D5">
        <w:rPr>
          <w:rFonts w:ascii="Verdana" w:hAnsi="Verdana"/>
          <w:szCs w:val="16"/>
          <w:lang w:val="es-ES"/>
        </w:rPr>
        <w:t xml:space="preserve"> (expediente de pr</w:t>
      </w:r>
      <w:r w:rsidR="00192BB1" w:rsidRPr="00B156D5">
        <w:rPr>
          <w:rFonts w:ascii="Verdana" w:hAnsi="Verdana"/>
          <w:szCs w:val="16"/>
          <w:lang w:val="es-ES"/>
        </w:rPr>
        <w:t>ueba, folios 22 y siguientes)</w:t>
      </w:r>
      <w:r w:rsidRPr="00B156D5">
        <w:rPr>
          <w:rFonts w:ascii="Verdana" w:hAnsi="Verdana"/>
          <w:szCs w:val="16"/>
          <w:lang w:val="es-ES"/>
        </w:rPr>
        <w:t>.</w:t>
      </w:r>
    </w:p>
  </w:footnote>
  <w:footnote w:id="38">
    <w:p w14:paraId="10DB8CEA" w14:textId="1FC0805A"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A537E0" w:rsidRPr="00B156D5">
        <w:rPr>
          <w:rFonts w:ascii="Verdana" w:hAnsi="Verdana"/>
          <w:szCs w:val="16"/>
          <w:lang w:val="es-ES"/>
        </w:rPr>
        <w:t xml:space="preserve">Subprocuraduría Especial </w:t>
      </w:r>
      <w:r w:rsidRPr="00B156D5">
        <w:rPr>
          <w:rFonts w:ascii="Verdana" w:hAnsi="Verdana"/>
          <w:szCs w:val="16"/>
          <w:lang w:val="es-ES"/>
        </w:rPr>
        <w:t>Oficio No. SIEDO/UEIS/281/2006, en el que se decreta libertad con las reservas de ley para los inculpados en el marco de la averiguación previa PGR/SIEDO/UEIS/2003</w:t>
      </w:r>
      <w:r w:rsidR="0075338F" w:rsidRPr="00B156D5">
        <w:rPr>
          <w:rFonts w:ascii="Verdana" w:hAnsi="Verdana"/>
          <w:szCs w:val="16"/>
          <w:lang w:val="es-ES"/>
        </w:rPr>
        <w:t xml:space="preserve"> (expediente de prueba, folios 28563</w:t>
      </w:r>
      <w:r w:rsidR="00386D03" w:rsidRPr="00B156D5">
        <w:rPr>
          <w:rFonts w:ascii="Verdana" w:hAnsi="Verdana"/>
          <w:szCs w:val="16"/>
          <w:lang w:val="es-ES"/>
        </w:rPr>
        <w:t xml:space="preserve"> y siguientes).</w:t>
      </w:r>
    </w:p>
  </w:footnote>
  <w:footnote w:id="39">
    <w:p w14:paraId="36918151" w14:textId="35FCB96B"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9B73AC"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w:t>
      </w:r>
      <w:r w:rsidR="00192BB1" w:rsidRPr="00B156D5">
        <w:rPr>
          <w:rFonts w:ascii="Verdana" w:hAnsi="Verdana"/>
          <w:szCs w:val="16"/>
          <w:lang w:val="es-ES"/>
        </w:rPr>
        <w:t xml:space="preserve"> (expediente de prueba, folios 22 y siguientes).</w:t>
      </w:r>
    </w:p>
  </w:footnote>
  <w:footnote w:id="40">
    <w:p w14:paraId="53F0303F" w14:textId="7683DA0A"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5018F2" w:rsidRPr="00B156D5">
        <w:rPr>
          <w:rFonts w:ascii="Verdana" w:hAnsi="Verdana"/>
          <w:szCs w:val="16"/>
          <w:lang w:val="es-ES"/>
        </w:rPr>
        <w:t>Subprocuraduría en Investigación Especializada</w:t>
      </w:r>
      <w:r w:rsidR="00D9374C" w:rsidRPr="00B156D5">
        <w:rPr>
          <w:rFonts w:ascii="Verdana" w:hAnsi="Verdana"/>
          <w:szCs w:val="16"/>
          <w:lang w:val="es-ES"/>
        </w:rPr>
        <w:t xml:space="preserve"> </w:t>
      </w:r>
      <w:r w:rsidR="005018F2" w:rsidRPr="00B156D5">
        <w:rPr>
          <w:rFonts w:ascii="Verdana" w:hAnsi="Verdana"/>
          <w:szCs w:val="16"/>
          <w:lang w:val="es-ES"/>
        </w:rPr>
        <w:t>en Delincuencia Organizada</w:t>
      </w:r>
      <w:r w:rsidR="00B273D1" w:rsidRPr="00B156D5">
        <w:rPr>
          <w:rFonts w:ascii="Verdana" w:hAnsi="Verdana"/>
          <w:szCs w:val="16"/>
          <w:lang w:val="es-ES"/>
        </w:rPr>
        <w:t xml:space="preserve">. </w:t>
      </w:r>
      <w:r w:rsidR="005018F2" w:rsidRPr="00B156D5">
        <w:rPr>
          <w:rFonts w:ascii="Verdana" w:hAnsi="Verdana"/>
          <w:szCs w:val="16"/>
          <w:lang w:val="es-ES"/>
        </w:rPr>
        <w:t>Declaraciones</w:t>
      </w:r>
      <w:r w:rsidR="00D9374C" w:rsidRPr="00B156D5">
        <w:rPr>
          <w:rFonts w:ascii="Verdana" w:hAnsi="Verdana"/>
          <w:szCs w:val="16"/>
          <w:lang w:val="es-ES"/>
        </w:rPr>
        <w:t xml:space="preserve"> </w:t>
      </w:r>
      <w:r w:rsidRPr="00B156D5">
        <w:rPr>
          <w:rFonts w:ascii="Verdana" w:hAnsi="Verdana"/>
          <w:szCs w:val="16"/>
          <w:lang w:val="es-ES"/>
        </w:rPr>
        <w:t>Ministeriales de Gerardo Tzompaxtle Tecpile, Jorge Marcial Tzompaxtle Tecpile y Gustavo Robles López ante la Unidad Especializada en Investigación de Terrorismo, Acopio y Tráfico de Armas de la SIEDO,</w:t>
      </w:r>
      <w:r w:rsidR="00B273D1" w:rsidRPr="00B156D5">
        <w:rPr>
          <w:rFonts w:ascii="Verdana" w:hAnsi="Verdana"/>
          <w:szCs w:val="16"/>
          <w:lang w:val="es-ES"/>
        </w:rPr>
        <w:t xml:space="preserve"> </w:t>
      </w:r>
      <w:r w:rsidR="00B273D1" w:rsidRPr="00B156D5">
        <w:rPr>
          <w:rFonts w:ascii="Verdana" w:eastAsiaTheme="minorHAnsi" w:hAnsi="Verdana" w:cs="Arial"/>
          <w:szCs w:val="16"/>
          <w:lang w:eastAsia="en-US"/>
        </w:rPr>
        <w:t>A. P. PC3R/S</w:t>
      </w:r>
      <w:r w:rsidR="00AE53C1" w:rsidRPr="00B156D5">
        <w:rPr>
          <w:rFonts w:ascii="Verdana" w:eastAsiaTheme="minorHAnsi" w:hAnsi="Verdana" w:cs="Arial"/>
          <w:szCs w:val="16"/>
          <w:lang w:eastAsia="en-US"/>
        </w:rPr>
        <w:t>I</w:t>
      </w:r>
      <w:r w:rsidR="00B273D1" w:rsidRPr="00B156D5">
        <w:rPr>
          <w:rFonts w:ascii="Verdana" w:eastAsiaTheme="minorHAnsi" w:hAnsi="Verdana" w:cs="Arial"/>
          <w:szCs w:val="16"/>
          <w:lang w:eastAsia="en-US"/>
        </w:rPr>
        <w:t>EDO/UE</w:t>
      </w:r>
      <w:r w:rsidR="00D9374C" w:rsidRPr="00B156D5">
        <w:rPr>
          <w:rFonts w:ascii="Verdana" w:eastAsiaTheme="minorHAnsi" w:hAnsi="Verdana" w:cs="Arial"/>
          <w:szCs w:val="16"/>
          <w:lang w:eastAsia="en-US"/>
        </w:rPr>
        <w:t>ITA</w:t>
      </w:r>
      <w:r w:rsidR="00AE53C1" w:rsidRPr="00B156D5">
        <w:rPr>
          <w:rFonts w:ascii="Verdana" w:eastAsiaTheme="minorHAnsi" w:hAnsi="Verdana" w:cs="Arial"/>
          <w:szCs w:val="16"/>
          <w:lang w:eastAsia="en-US"/>
        </w:rPr>
        <w:t>/</w:t>
      </w:r>
      <w:r w:rsidR="00B273D1" w:rsidRPr="00B156D5">
        <w:rPr>
          <w:rFonts w:ascii="Verdana" w:eastAsiaTheme="minorHAnsi" w:hAnsi="Verdana" w:cs="Arial"/>
          <w:szCs w:val="16"/>
          <w:lang w:eastAsia="en-US"/>
        </w:rPr>
        <w:t>004/2006,</w:t>
      </w:r>
      <w:r w:rsidRPr="00B156D5">
        <w:rPr>
          <w:rFonts w:ascii="Verdana" w:hAnsi="Verdana"/>
          <w:szCs w:val="16"/>
          <w:lang w:val="es-ES"/>
        </w:rPr>
        <w:t xml:space="preserve"> 17 de enero de 2006</w:t>
      </w:r>
      <w:r w:rsidR="00FB64CC" w:rsidRPr="00B156D5">
        <w:rPr>
          <w:rFonts w:ascii="Verdana" w:hAnsi="Verdana"/>
          <w:szCs w:val="16"/>
          <w:lang w:val="es-ES"/>
        </w:rPr>
        <w:t xml:space="preserve"> </w:t>
      </w:r>
      <w:r w:rsidR="00D14CBD" w:rsidRPr="00B156D5">
        <w:rPr>
          <w:rFonts w:ascii="Verdana" w:hAnsi="Verdana"/>
          <w:szCs w:val="16"/>
          <w:lang w:val="es-ES"/>
        </w:rPr>
        <w:t>(expediente de prueba, folios 358 y siguientes</w:t>
      </w:r>
      <w:r w:rsidR="0075338F" w:rsidRPr="00B156D5">
        <w:rPr>
          <w:rFonts w:ascii="Verdana" w:hAnsi="Verdana"/>
          <w:szCs w:val="16"/>
          <w:lang w:val="es-ES"/>
        </w:rPr>
        <w:t>)</w:t>
      </w:r>
      <w:r w:rsidRPr="00B156D5">
        <w:rPr>
          <w:rFonts w:ascii="Verdana" w:hAnsi="Verdana"/>
          <w:szCs w:val="16"/>
          <w:lang w:val="es-ES"/>
        </w:rPr>
        <w:t>.</w:t>
      </w:r>
    </w:p>
  </w:footnote>
  <w:footnote w:id="41">
    <w:p w14:paraId="3CDF5D0F" w14:textId="26B0AE73"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5277D5"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 (expediente de prueba, folios 22 y siguientes).</w:t>
      </w:r>
    </w:p>
  </w:footnote>
  <w:footnote w:id="42">
    <w:p w14:paraId="647C91D8" w14:textId="0A9A85C6" w:rsidR="00D15B00" w:rsidRPr="00B156D5" w:rsidRDefault="00D15B00" w:rsidP="00FF245E">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 xml:space="preserve">El Juzgado indicó lo siguiente: “En la especie los indicios que obran en </w:t>
      </w:r>
      <w:proofErr w:type="gramStart"/>
      <w:r w:rsidRPr="00B156D5">
        <w:rPr>
          <w:rFonts w:ascii="Verdana" w:hAnsi="Verdana"/>
          <w:szCs w:val="16"/>
          <w:lang w:val="es-ES"/>
        </w:rPr>
        <w:t>autos,</w:t>
      </w:r>
      <w:proofErr w:type="gramEnd"/>
      <w:r w:rsidRPr="00B156D5">
        <w:rPr>
          <w:rFonts w:ascii="Verdana" w:hAnsi="Verdana"/>
          <w:szCs w:val="16"/>
          <w:lang w:val="es-ES"/>
        </w:rPr>
        <w:t xml:space="preserve"> resultan suficientes, al menos por ahora, conforme a las exigencias legales para decretar el arraigo solicitado. </w:t>
      </w:r>
      <w:r w:rsidR="00DD52EA" w:rsidRPr="00B156D5">
        <w:rPr>
          <w:rFonts w:ascii="Verdana" w:hAnsi="Verdana"/>
          <w:szCs w:val="16"/>
          <w:lang w:val="es-ES"/>
        </w:rPr>
        <w:t xml:space="preserve">[...] </w:t>
      </w:r>
      <w:r w:rsidRPr="00B156D5">
        <w:rPr>
          <w:rFonts w:ascii="Verdana" w:hAnsi="Verdana"/>
          <w:szCs w:val="16"/>
          <w:lang w:val="es-ES"/>
        </w:rPr>
        <w:t>Por tanto, con los elementos de convicción aportados, se estima que el agente del Ministerio Público de la Federación adscrito a la Subprocuraduría de Investigación Especializada en Delincuencia Organizada, Unidad Especializada en Investigación de Terrorismo, Acopio y Tráfico de Armas, puede verse afectada la prosecución y debida integración de la averiguación previa de que se trata y con ello la acción de la justicia y el esclarecimiento de los hechos delictivos que se investigan. Máxime que en la especie, los delitos que se les atribuyen a los arraigables, están considerados como graves en el artículo 194 del Código Federal de Procedimientos Penales, se relacionan con la Ley Federal contra la Delincuencia Organizada, lo que haría probable, que de no acceder a lo solicitado existe la posibilidad fundada de que, como antes se dijo Gerardo Tzompaxtle Tecpile; Jorge Marcial Tzompaxtle Tecpile y Gustavo Robles Lopez, se sustraigan a la acción de la justicia, ello tomando en cuenta, las características de los hechos materia de la investigación y las circunstancias personales</w:t>
      </w:r>
      <w:r w:rsidR="00023E34" w:rsidRPr="00B156D5">
        <w:rPr>
          <w:rFonts w:ascii="Verdana" w:hAnsi="Verdana"/>
          <w:szCs w:val="16"/>
          <w:lang w:val="es-ES"/>
        </w:rPr>
        <w:t xml:space="preserve"> </w:t>
      </w:r>
      <w:r w:rsidRPr="00B156D5">
        <w:rPr>
          <w:rFonts w:ascii="Verdana" w:hAnsi="Verdana"/>
          <w:szCs w:val="16"/>
          <w:lang w:val="es-ES"/>
        </w:rPr>
        <w:t xml:space="preserve">de estos; además de que como se aprecia del material probatorio es evidente que se impone la necesidad de asegurar la localización de los involucrados, entre tanto la autoridad ministerial practica diversas diligencias y recopila pruebas tendientes a enriquecer la averiguación previa, para finalmente ejercer acción penal; justificándose así la medida cautelar que se solicita”. Asimismo, el Juzgado solicitó lo siguiente: “Infórmese a la autoridad </w:t>
      </w:r>
      <w:r w:rsidR="00DD52EA" w:rsidRPr="00B156D5">
        <w:rPr>
          <w:rFonts w:ascii="Verdana" w:hAnsi="Verdana"/>
          <w:szCs w:val="16"/>
          <w:lang w:val="es-ES"/>
        </w:rPr>
        <w:t>[</w:t>
      </w:r>
      <w:r w:rsidRPr="00B156D5">
        <w:rPr>
          <w:rFonts w:ascii="Verdana" w:hAnsi="Verdana"/>
          <w:szCs w:val="16"/>
          <w:lang w:val="es-ES"/>
        </w:rPr>
        <w:t>…</w:t>
      </w:r>
      <w:r w:rsidR="00DD52EA" w:rsidRPr="00B156D5">
        <w:rPr>
          <w:rFonts w:ascii="Verdana" w:hAnsi="Verdana"/>
          <w:szCs w:val="16"/>
          <w:lang w:val="es-ES"/>
        </w:rPr>
        <w:t xml:space="preserve">] </w:t>
      </w:r>
      <w:r w:rsidRPr="00B156D5">
        <w:rPr>
          <w:rFonts w:ascii="Verdana" w:hAnsi="Verdana"/>
          <w:szCs w:val="16"/>
          <w:lang w:val="es-ES"/>
        </w:rPr>
        <w:t xml:space="preserve">que queda obligada a comunicar el primer día hábil de cada mes a este Juzgado de Distrito, las diligencias y avances que en la integración de la averiguación precitada se logren y que apoyen la existencia de la medida cautelar que se decreta, sin que ello implique que este órgano jurisdiccional se impone de las constancias que se exhiban, sino para el único efecto de constatar que efectivamente el agente del Ministerio Público de la Federación está reuniendo las pruebas que alude en su solicitud, de lo que deriva la legalidad de esta medida. Apercibido dicho fiscal de la Federación que en caso de no cumplir con lo que aquí se ordena, se entenderá que no existe razón alguna para continuar con el arraigo domiciliario y se ordenará su levantamiento </w:t>
      </w:r>
      <w:r w:rsidR="00DD52EA" w:rsidRPr="00B156D5">
        <w:rPr>
          <w:rFonts w:ascii="Verdana" w:hAnsi="Verdana"/>
          <w:szCs w:val="16"/>
          <w:lang w:val="es-ES"/>
        </w:rPr>
        <w:t>[</w:t>
      </w:r>
      <w:r w:rsidRPr="00B156D5">
        <w:rPr>
          <w:rFonts w:ascii="Verdana" w:hAnsi="Verdana"/>
          <w:szCs w:val="16"/>
          <w:lang w:val="es-ES"/>
        </w:rPr>
        <w:t>...</w:t>
      </w:r>
      <w:r w:rsidR="00DD52EA" w:rsidRPr="00B156D5">
        <w:rPr>
          <w:rFonts w:ascii="Verdana" w:hAnsi="Verdana"/>
          <w:szCs w:val="16"/>
          <w:lang w:val="es-ES"/>
        </w:rPr>
        <w:t>]</w:t>
      </w:r>
      <w:r w:rsidRPr="00B156D5">
        <w:rPr>
          <w:rFonts w:ascii="Verdana" w:hAnsi="Verdana"/>
          <w:szCs w:val="16"/>
          <w:lang w:val="es-ES"/>
        </w:rPr>
        <w:t xml:space="preserve">. Hágase del conocimiento al agente del Ministerio Público de la Federación adscrito a la Subprocuraduría de investigación Especializada en Delincuencia Organizada, Unidad Especializada en Investigación de Terrorismo, Acopio y Tráfico de Armas, de la Procuraduría General de la República, que el plazo de noventa días fenece el 17 de abril de 2006 </w:t>
      </w:r>
      <w:r w:rsidR="00DD52EA" w:rsidRPr="00B156D5">
        <w:rPr>
          <w:rFonts w:ascii="Verdana" w:hAnsi="Verdana"/>
          <w:szCs w:val="16"/>
          <w:lang w:val="es-ES"/>
        </w:rPr>
        <w:t xml:space="preserve">[...]”. </w:t>
      </w:r>
      <w:r w:rsidRPr="00B156D5">
        <w:rPr>
          <w:rFonts w:ascii="Verdana" w:hAnsi="Verdana"/>
          <w:i/>
          <w:iCs/>
          <w:szCs w:val="16"/>
          <w:lang w:val="es-ES"/>
        </w:rPr>
        <w:t>Cfr</w:t>
      </w:r>
      <w:r w:rsidRPr="00B156D5">
        <w:rPr>
          <w:rFonts w:ascii="Verdana" w:hAnsi="Verdana"/>
          <w:szCs w:val="16"/>
          <w:lang w:val="es-ES"/>
        </w:rPr>
        <w:t xml:space="preserve">. </w:t>
      </w:r>
      <w:r w:rsidR="005453EA" w:rsidRPr="00B156D5">
        <w:rPr>
          <w:rFonts w:ascii="Verdana" w:hAnsi="Verdana"/>
          <w:szCs w:val="16"/>
          <w:lang w:val="es-ES"/>
        </w:rPr>
        <w:t>Poder Judicial de la Federación.</w:t>
      </w:r>
      <w:r w:rsidR="00964F1F" w:rsidRPr="00B156D5">
        <w:rPr>
          <w:rFonts w:ascii="Verdana" w:hAnsi="Verdana"/>
          <w:szCs w:val="16"/>
        </w:rPr>
        <w:t xml:space="preserve"> </w:t>
      </w:r>
      <w:r w:rsidR="00964F1F" w:rsidRPr="00B156D5">
        <w:rPr>
          <w:rFonts w:ascii="Verdana" w:hAnsi="Verdana"/>
          <w:szCs w:val="16"/>
          <w:lang w:val="es-ES"/>
        </w:rPr>
        <w:t xml:space="preserve">Subprocuraduría </w:t>
      </w:r>
      <w:r w:rsidR="00034A2C" w:rsidRPr="00B156D5">
        <w:rPr>
          <w:rFonts w:ascii="Verdana" w:hAnsi="Verdana"/>
          <w:szCs w:val="16"/>
          <w:lang w:val="es-ES"/>
        </w:rPr>
        <w:t>de Investigación Especializada en Delincuencia Organizada, Unidad Especializada en Investigación de Terrorismo</w:t>
      </w:r>
      <w:r w:rsidR="00FF245E" w:rsidRPr="00B156D5">
        <w:rPr>
          <w:rFonts w:ascii="Verdana" w:hAnsi="Verdana"/>
          <w:szCs w:val="16"/>
          <w:lang w:val="es-ES"/>
        </w:rPr>
        <w:t xml:space="preserve">, Acopio y Tráfico de Armas. </w:t>
      </w:r>
      <w:r w:rsidRPr="00B156D5">
        <w:rPr>
          <w:rFonts w:ascii="Verdana" w:hAnsi="Verdana"/>
          <w:szCs w:val="16"/>
          <w:lang w:val="es-ES"/>
        </w:rPr>
        <w:t>Resolución de Arraigo 03/2006, dictada por el Juzgado Decimocuarto de Distrito de Procesos Penales Federales, 18 de enero de 2006 (expediente de prueba, folios 382 y siguientes).</w:t>
      </w:r>
    </w:p>
  </w:footnote>
  <w:footnote w:id="43">
    <w:p w14:paraId="1CB4BD4A" w14:textId="3E162FFF"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16393C"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w:t>
      </w:r>
      <w:r w:rsidR="00CC0D43" w:rsidRPr="00B156D5">
        <w:rPr>
          <w:rFonts w:ascii="Verdana" w:hAnsi="Verdana"/>
          <w:szCs w:val="16"/>
          <w:lang w:val="es-ES"/>
        </w:rPr>
        <w:t xml:space="preserve"> (expediente de prueba, folios 22 y siguientes)</w:t>
      </w:r>
      <w:r w:rsidRPr="00B156D5">
        <w:rPr>
          <w:rFonts w:ascii="Verdana" w:hAnsi="Verdana"/>
          <w:szCs w:val="16"/>
          <w:lang w:val="es-ES"/>
        </w:rPr>
        <w:t>.</w:t>
      </w:r>
    </w:p>
  </w:footnote>
  <w:footnote w:id="44">
    <w:p w14:paraId="6A7806C9" w14:textId="12C7F6D1"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16393C" w:rsidRPr="00B156D5">
        <w:rPr>
          <w:rFonts w:ascii="Verdana" w:hAnsi="Verdana"/>
          <w:szCs w:val="16"/>
          <w:lang w:val="es-ES"/>
        </w:rPr>
        <w:t xml:space="preserve">Poder Judicial de la Federación. </w:t>
      </w:r>
      <w:r w:rsidRPr="00B156D5">
        <w:rPr>
          <w:rFonts w:ascii="Verdana" w:hAnsi="Verdana"/>
          <w:szCs w:val="16"/>
          <w:lang w:val="es-ES"/>
        </w:rPr>
        <w:t>Providencia que resolvió el recurso de apelación contra el auto de prisión formal dictado el 22 de abril de 2006, 16 de febrero de 2007</w:t>
      </w:r>
      <w:r w:rsidR="0098282A" w:rsidRPr="00B156D5">
        <w:rPr>
          <w:rFonts w:ascii="Verdana" w:hAnsi="Verdana"/>
          <w:szCs w:val="16"/>
          <w:lang w:val="es-ES"/>
        </w:rPr>
        <w:t xml:space="preserve"> </w:t>
      </w:r>
      <w:r w:rsidR="00CC0D43" w:rsidRPr="00B156D5">
        <w:rPr>
          <w:rFonts w:ascii="Verdana" w:hAnsi="Verdana"/>
          <w:szCs w:val="16"/>
          <w:lang w:val="es-ES"/>
        </w:rPr>
        <w:t>(expediente de prueba, folios 22 y siguientes).</w:t>
      </w:r>
    </w:p>
  </w:footnote>
  <w:footnote w:id="45">
    <w:p w14:paraId="6608B902" w14:textId="15EBDBAF" w:rsidR="00D15B00" w:rsidRPr="00B156D5" w:rsidRDefault="00D15B00" w:rsidP="007B311E">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7B311E" w:rsidRPr="00B156D5">
        <w:rPr>
          <w:rFonts w:ascii="Verdana" w:hAnsi="Verdana"/>
          <w:i/>
          <w:iCs/>
          <w:szCs w:val="16"/>
          <w:lang w:val="es-ES"/>
        </w:rPr>
        <w:t>Cfr</w:t>
      </w:r>
      <w:r w:rsidR="007B311E" w:rsidRPr="00B156D5">
        <w:rPr>
          <w:rFonts w:ascii="Verdana" w:hAnsi="Verdana"/>
          <w:szCs w:val="16"/>
          <w:lang w:val="es-ES"/>
        </w:rPr>
        <w:t>. Comisión Nacional de los Derechos Humanos</w:t>
      </w:r>
      <w:r w:rsidR="00CB5768" w:rsidRPr="00B156D5">
        <w:rPr>
          <w:rFonts w:ascii="Verdana" w:hAnsi="Verdana"/>
          <w:szCs w:val="16"/>
          <w:lang w:val="es-ES"/>
        </w:rPr>
        <w:t xml:space="preserve">. </w:t>
      </w:r>
      <w:r w:rsidR="007B311E" w:rsidRPr="00B156D5">
        <w:rPr>
          <w:rFonts w:ascii="Verdana" w:hAnsi="Verdana"/>
          <w:szCs w:val="16"/>
          <w:lang w:val="es-ES"/>
        </w:rPr>
        <w:t>México. Oficio 002997, expediente: 2006/44/1/Q, 31 de enero de 2007 (expediente de prueba, folios 391 y siguientes).</w:t>
      </w:r>
    </w:p>
  </w:footnote>
  <w:footnote w:id="46">
    <w:p w14:paraId="403873B3" w14:textId="679406A3" w:rsidR="00D15B00" w:rsidRPr="00B156D5" w:rsidRDefault="00D15B00" w:rsidP="007B311E">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Declaración de Jorge Tzompaxtle </w:t>
      </w:r>
      <w:r w:rsidR="00EC7B55" w:rsidRPr="00B156D5">
        <w:rPr>
          <w:rFonts w:ascii="Verdana" w:hAnsi="Verdana"/>
          <w:szCs w:val="16"/>
          <w:lang w:val="es-ES"/>
        </w:rPr>
        <w:t xml:space="preserve">rendida </w:t>
      </w:r>
      <w:r w:rsidR="00834D49" w:rsidRPr="00B156D5">
        <w:rPr>
          <w:rFonts w:ascii="Verdana" w:hAnsi="Verdana"/>
          <w:szCs w:val="16"/>
          <w:lang w:val="es-ES"/>
        </w:rPr>
        <w:t>durante</w:t>
      </w:r>
      <w:r w:rsidR="00EC7B55" w:rsidRPr="00B156D5">
        <w:rPr>
          <w:rFonts w:ascii="Verdana" w:hAnsi="Verdana"/>
          <w:szCs w:val="16"/>
          <w:lang w:val="es-ES"/>
        </w:rPr>
        <w:t xml:space="preserve"> </w:t>
      </w:r>
      <w:r w:rsidRPr="00B156D5">
        <w:rPr>
          <w:rFonts w:ascii="Verdana" w:hAnsi="Verdana"/>
          <w:szCs w:val="16"/>
          <w:lang w:val="es-ES"/>
        </w:rPr>
        <w:t>la audiencia pública</w:t>
      </w:r>
      <w:r w:rsidR="00C26E92" w:rsidRPr="00B156D5">
        <w:rPr>
          <w:rFonts w:ascii="Verdana" w:hAnsi="Verdana"/>
          <w:szCs w:val="16"/>
          <w:lang w:val="es-ES"/>
        </w:rPr>
        <w:t xml:space="preserve"> d</w:t>
      </w:r>
      <w:r w:rsidR="00EC7B55" w:rsidRPr="00B156D5">
        <w:rPr>
          <w:rFonts w:ascii="Verdana" w:hAnsi="Verdana"/>
          <w:szCs w:val="16"/>
          <w:lang w:val="es-ES"/>
        </w:rPr>
        <w:t>el presente caso</w:t>
      </w:r>
      <w:r w:rsidRPr="00B156D5">
        <w:rPr>
          <w:rFonts w:ascii="Verdana" w:hAnsi="Verdana"/>
          <w:szCs w:val="16"/>
          <w:lang w:val="es-ES"/>
        </w:rPr>
        <w:t>.</w:t>
      </w:r>
    </w:p>
  </w:footnote>
  <w:footnote w:id="47">
    <w:p w14:paraId="629EDD17" w14:textId="34CF9C51"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D17748" w:rsidRPr="00B156D5">
        <w:rPr>
          <w:rFonts w:ascii="Verdana" w:hAnsi="Verdana"/>
          <w:szCs w:val="16"/>
          <w:lang w:val="es-ES"/>
        </w:rPr>
        <w:t xml:space="preserve">Poder Judicial de la Federación. </w:t>
      </w:r>
      <w:r w:rsidRPr="00B156D5">
        <w:rPr>
          <w:rFonts w:ascii="Verdana" w:hAnsi="Verdana"/>
          <w:szCs w:val="16"/>
          <w:lang w:val="es-ES"/>
        </w:rPr>
        <w:t xml:space="preserve">Providencia que resolvió el recurso de apelación contra el auto de prisión formal dictado el 22 de abril de 2006, 16 de febrero de 2007 (expediente de prueba, folios </w:t>
      </w:r>
      <w:r w:rsidR="00A040C4" w:rsidRPr="00B156D5">
        <w:rPr>
          <w:rFonts w:ascii="Verdana" w:hAnsi="Verdana"/>
          <w:szCs w:val="16"/>
          <w:lang w:val="es-ES"/>
        </w:rPr>
        <w:t>66</w:t>
      </w:r>
      <w:r w:rsidRPr="00B156D5">
        <w:rPr>
          <w:rFonts w:ascii="Verdana" w:hAnsi="Verdana"/>
          <w:szCs w:val="16"/>
          <w:lang w:val="es-ES"/>
        </w:rPr>
        <w:t xml:space="preserve"> y siguientes).</w:t>
      </w:r>
    </w:p>
  </w:footnote>
  <w:footnote w:id="48">
    <w:p w14:paraId="47412976" w14:textId="3FC4567B" w:rsidR="00D15B00" w:rsidRPr="00B156D5" w:rsidRDefault="00D15B00" w:rsidP="00955888">
      <w:pPr>
        <w:autoSpaceDE w:val="0"/>
        <w:autoSpaceDN w:val="0"/>
        <w:adjustRightInd w:val="0"/>
        <w:jc w:val="both"/>
        <w:rPr>
          <w:rFonts w:ascii="Verdana" w:hAnsi="Verdana"/>
          <w:szCs w:val="16"/>
          <w:lang w:val="es-ES"/>
        </w:rPr>
      </w:pPr>
      <w:r w:rsidRPr="00B156D5">
        <w:rPr>
          <w:rStyle w:val="Refdenotaalpie"/>
          <w:rFonts w:ascii="Verdana" w:hAnsi="Verdana"/>
          <w:sz w:val="16"/>
          <w:szCs w:val="16"/>
        </w:rPr>
        <w:footnoteRef/>
      </w:r>
      <w:r w:rsidRPr="00B156D5">
        <w:rPr>
          <w:rFonts w:ascii="Verdana" w:hAnsi="Verdana"/>
          <w:sz w:val="16"/>
          <w:szCs w:val="16"/>
        </w:rPr>
        <w:t xml:space="preserve"> </w:t>
      </w:r>
      <w:r w:rsidRPr="00B156D5">
        <w:rPr>
          <w:rFonts w:ascii="Verdana" w:hAnsi="Verdana"/>
          <w:sz w:val="16"/>
          <w:szCs w:val="16"/>
          <w:lang w:val="es-ES"/>
        </w:rPr>
        <w:tab/>
      </w:r>
      <w:r w:rsidRPr="00B156D5">
        <w:rPr>
          <w:rFonts w:ascii="Verdana" w:hAnsi="Verdana"/>
          <w:i/>
          <w:sz w:val="16"/>
          <w:szCs w:val="16"/>
          <w:lang w:val="es-ES"/>
        </w:rPr>
        <w:t>Cfr</w:t>
      </w:r>
      <w:r w:rsidRPr="00B156D5">
        <w:rPr>
          <w:rFonts w:ascii="Verdana" w:hAnsi="Verdana"/>
          <w:sz w:val="16"/>
          <w:szCs w:val="16"/>
          <w:lang w:val="es-ES"/>
        </w:rPr>
        <w:t>.</w:t>
      </w:r>
      <w:r w:rsidR="00EE45F4" w:rsidRPr="00B156D5">
        <w:rPr>
          <w:rFonts w:ascii="Verdana" w:hAnsi="Verdana"/>
          <w:sz w:val="16"/>
          <w:szCs w:val="16"/>
          <w:lang w:val="es-ES"/>
        </w:rPr>
        <w:t xml:space="preserve"> Poder </w:t>
      </w:r>
      <w:r w:rsidR="0088077B" w:rsidRPr="00B156D5">
        <w:rPr>
          <w:rFonts w:ascii="Verdana" w:hAnsi="Verdana"/>
          <w:sz w:val="16"/>
          <w:szCs w:val="16"/>
          <w:lang w:val="es-ES"/>
        </w:rPr>
        <w:t>Judicial</w:t>
      </w:r>
      <w:r w:rsidR="00EE45F4" w:rsidRPr="00B156D5">
        <w:rPr>
          <w:rFonts w:ascii="Verdana" w:hAnsi="Verdana"/>
          <w:sz w:val="16"/>
          <w:szCs w:val="16"/>
          <w:lang w:val="es-ES"/>
        </w:rPr>
        <w:t xml:space="preserve"> de la Federación. Juzgado Décimo Segund</w:t>
      </w:r>
      <w:r w:rsidR="009B177A" w:rsidRPr="00B156D5">
        <w:rPr>
          <w:rFonts w:ascii="Verdana" w:hAnsi="Verdana"/>
          <w:sz w:val="16"/>
          <w:szCs w:val="16"/>
          <w:lang w:val="es-ES"/>
        </w:rPr>
        <w:t>o de Distrito en el estado de Veracruz con residencia en Córdoba.</w:t>
      </w:r>
      <w:r w:rsidRPr="00B156D5">
        <w:rPr>
          <w:rFonts w:ascii="Verdana" w:hAnsi="Verdana"/>
          <w:sz w:val="16"/>
          <w:szCs w:val="16"/>
          <w:lang w:val="es-ES"/>
        </w:rPr>
        <w:t xml:space="preserve"> Expediente de Causa Penal 61/2006 (acumulada 21/2007) (expediente de prueba, folios 13191 y siguientes).</w:t>
      </w:r>
    </w:p>
  </w:footnote>
  <w:footnote w:id="49">
    <w:p w14:paraId="40AA27A7" w14:textId="1D2A0D43" w:rsidR="00D15B00" w:rsidRPr="00B156D5" w:rsidRDefault="00D15B00" w:rsidP="00041AD3">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88077B" w:rsidRPr="00B156D5">
        <w:rPr>
          <w:rFonts w:ascii="Verdana" w:hAnsi="Verdana"/>
          <w:szCs w:val="16"/>
          <w:lang w:val="es-ES"/>
        </w:rPr>
        <w:t xml:space="preserve">Poder Judicial de la Federación. Juzgado Décimo Segundo de Distrito en el estado de Veracruz con residencia en Córdoba </w:t>
      </w:r>
      <w:r w:rsidRPr="00B156D5">
        <w:rPr>
          <w:rFonts w:ascii="Verdana" w:hAnsi="Verdana"/>
          <w:szCs w:val="16"/>
          <w:lang w:val="es-ES"/>
        </w:rPr>
        <w:t>Expediente de Causa Penal 61/2006 (acumulada 21/2007) (expediente de prueba, folios 14584 y siguientes).</w:t>
      </w:r>
    </w:p>
  </w:footnote>
  <w:footnote w:id="50">
    <w:p w14:paraId="79E93FD3" w14:textId="1D1D1A71" w:rsidR="00D15B00" w:rsidRPr="00B156D5" w:rsidRDefault="00D15B00" w:rsidP="00C702AC">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88077B" w:rsidRPr="00B156D5">
        <w:rPr>
          <w:rFonts w:ascii="Verdana" w:hAnsi="Verdana"/>
          <w:szCs w:val="16"/>
          <w:lang w:val="es-ES"/>
        </w:rPr>
        <w:t xml:space="preserve">Poder Judicial de la Federación. Juzgado Décimo Segundo de Distrito en el estado de Veracruz con residencia en Córdoba. </w:t>
      </w:r>
      <w:r w:rsidRPr="00B156D5">
        <w:rPr>
          <w:rFonts w:ascii="Verdana" w:hAnsi="Verdana"/>
          <w:szCs w:val="16"/>
          <w:lang w:val="es-ES"/>
        </w:rPr>
        <w:t>Expediente de Causa Penal 61/2006 (acumulada 21/2007) (expediente de prueba, folios 14811 y siguientes).</w:t>
      </w:r>
    </w:p>
  </w:footnote>
  <w:footnote w:id="51">
    <w:p w14:paraId="343F4CBF" w14:textId="1B3856FB"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911B98" w:rsidRPr="00B156D5">
        <w:rPr>
          <w:rFonts w:ascii="Verdana" w:hAnsi="Verdana"/>
          <w:szCs w:val="16"/>
          <w:lang w:val="es-ES"/>
        </w:rPr>
        <w:t xml:space="preserve">Poder Judicial de la Federación. Juzgado Décimo Segundo de Distrito en el estado de Veracruz con residencia en Córdoba. </w:t>
      </w:r>
      <w:r w:rsidRPr="00B156D5">
        <w:rPr>
          <w:rFonts w:ascii="Verdana" w:hAnsi="Verdana"/>
          <w:szCs w:val="16"/>
          <w:lang w:val="es-ES"/>
        </w:rPr>
        <w:t>Expediente de Causa Penal 61/2006 (acumulada 21/2007), (expediente de prueba, folios 14821 y siguientes).</w:t>
      </w:r>
    </w:p>
  </w:footnote>
  <w:footnote w:id="52">
    <w:p w14:paraId="19F403BC" w14:textId="503CC0EB" w:rsidR="00D15B00" w:rsidRPr="00B156D5" w:rsidRDefault="00D15B00" w:rsidP="003C707B">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 xml:space="preserve">En su resolución el Tribunal señaló lo siguiente: </w:t>
      </w:r>
      <w:r w:rsidR="00DD52EA" w:rsidRPr="00B156D5">
        <w:rPr>
          <w:rFonts w:ascii="Verdana" w:hAnsi="Verdana"/>
          <w:szCs w:val="16"/>
          <w:lang w:val="es-ES"/>
        </w:rPr>
        <w:t xml:space="preserve">“[...] </w:t>
      </w:r>
      <w:r w:rsidRPr="00B156D5">
        <w:rPr>
          <w:rFonts w:ascii="Verdana" w:hAnsi="Verdana"/>
          <w:szCs w:val="16"/>
          <w:lang w:val="es-ES"/>
        </w:rPr>
        <w:t xml:space="preserve">de acuerdo al contenido de las notas periodísticas que obran en autos, los diversos informes policíacos ratificados ministerialmente por sus suscriptores, así como los diversos documentos anexados a éstos; las publicaciones recabadas por la Dirección General de Comunicación Social de la Procuraduría General de la República el diez de octubre de dos mil cinco, las cuales dicen: 1) "Día del Guerrillero Heroico'', 2) "Reaparece grupo armado", 3) "Aparece en San Marcos una columna del presunto grupo armado La Patria es Primero", 4) "Guerrilleros incursionan en San Marcos y Atoyac"; diversas constancias de consulta en Internet, </w:t>
      </w:r>
      <w:r w:rsidR="00E53DA2" w:rsidRPr="00B156D5">
        <w:rPr>
          <w:rFonts w:ascii="Verdana" w:hAnsi="Verdana"/>
          <w:szCs w:val="16"/>
          <w:lang w:val="es-ES"/>
        </w:rPr>
        <w:t>[...]</w:t>
      </w:r>
      <w:r w:rsidRPr="00B156D5">
        <w:rPr>
          <w:rFonts w:ascii="Verdana" w:hAnsi="Verdana"/>
          <w:szCs w:val="16"/>
          <w:lang w:val="es-ES"/>
        </w:rPr>
        <w:t xml:space="preserve"> la llamada telefónica anónima </w:t>
      </w:r>
      <w:r w:rsidR="00E53DA2" w:rsidRPr="00B156D5">
        <w:rPr>
          <w:rFonts w:ascii="Verdana" w:hAnsi="Verdana"/>
          <w:szCs w:val="16"/>
          <w:lang w:val="es-ES"/>
        </w:rPr>
        <w:t>[...]</w:t>
      </w:r>
      <w:r w:rsidRPr="00B156D5">
        <w:rPr>
          <w:rFonts w:ascii="Verdana" w:hAnsi="Verdana"/>
          <w:szCs w:val="16"/>
          <w:lang w:val="es-ES"/>
        </w:rPr>
        <w:t xml:space="preserve">; todas esas pruebas citadas con anterioridad, debidamente analizadas en su conjunto, </w:t>
      </w:r>
      <w:r w:rsidR="00687BEB" w:rsidRPr="00B156D5">
        <w:rPr>
          <w:rFonts w:ascii="Verdana" w:hAnsi="Verdana"/>
          <w:szCs w:val="16"/>
          <w:lang w:val="es-ES"/>
        </w:rPr>
        <w:t>[...]</w:t>
      </w:r>
      <w:r w:rsidRPr="00B156D5">
        <w:rPr>
          <w:rFonts w:ascii="Verdana" w:hAnsi="Verdana"/>
          <w:szCs w:val="16"/>
          <w:lang w:val="es-ES"/>
        </w:rPr>
        <w:t xml:space="preserve"> constituyen la prueba circunstancial </w:t>
      </w:r>
      <w:r w:rsidR="00687BEB" w:rsidRPr="00B156D5">
        <w:rPr>
          <w:rFonts w:ascii="Verdana" w:hAnsi="Verdana"/>
          <w:szCs w:val="16"/>
          <w:lang w:val="es-ES"/>
        </w:rPr>
        <w:t>[...]</w:t>
      </w:r>
      <w:r w:rsidRPr="00B156D5">
        <w:rPr>
          <w:rFonts w:ascii="Verdana" w:hAnsi="Verdana"/>
          <w:szCs w:val="16"/>
          <w:lang w:val="es-ES"/>
        </w:rPr>
        <w:t xml:space="preserve"> aptas para arribar a la verdad buscada; esto es, que en el caso se comprobó que los procesados, en conjunto con otros sujetos, adecuaron su conducta a la descripción típica contenida en la norma penal, conducta con la que pusieron en peligro el bien jurídico protegido que es la seguridad pública, la cual engloba la salvaguarda de la soberanía y seguridad de la nación, la seguridad de las personas, la paz y tranquilidad social, en forma genérica, pero en particular, la puesta en peligro de la paz pública, sobre todo, cuando se trata de menoscabar la autoridad del Estado, o presionar a las autoridades para que tomen una determinación, a cuya afectación se dirigen como finalidad o resultado las conductas unidas entre sí de los miembros de la organización delictiva, mediante el uso de su potencial criminal”.</w:t>
      </w:r>
      <w:r w:rsidR="00023E34" w:rsidRPr="00B156D5">
        <w:rPr>
          <w:rFonts w:ascii="Verdana" w:hAnsi="Verdana"/>
          <w:szCs w:val="16"/>
          <w:lang w:val="es-ES"/>
        </w:rPr>
        <w:t xml:space="preserve"> </w:t>
      </w:r>
      <w:r w:rsidRPr="00B156D5">
        <w:rPr>
          <w:rFonts w:ascii="Verdana" w:hAnsi="Verdana"/>
          <w:i/>
          <w:iCs/>
          <w:szCs w:val="16"/>
          <w:lang w:val="es-ES"/>
        </w:rPr>
        <w:t>Cfr</w:t>
      </w:r>
      <w:r w:rsidRPr="00B156D5">
        <w:rPr>
          <w:rFonts w:ascii="Verdana" w:hAnsi="Verdana"/>
          <w:szCs w:val="16"/>
          <w:lang w:val="es-ES"/>
        </w:rPr>
        <w:t xml:space="preserve">. </w:t>
      </w:r>
      <w:r w:rsidR="00CA6B0A" w:rsidRPr="00B156D5">
        <w:rPr>
          <w:rFonts w:ascii="Verdana" w:hAnsi="Verdana"/>
          <w:szCs w:val="16"/>
          <w:lang w:val="es-ES"/>
        </w:rPr>
        <w:t>Poder Judicial de la Federación.</w:t>
      </w:r>
      <w:r w:rsidR="003C707B" w:rsidRPr="00B156D5">
        <w:rPr>
          <w:rFonts w:ascii="Verdana" w:hAnsi="Verdana"/>
          <w:szCs w:val="16"/>
          <w:lang w:val="es-ES"/>
        </w:rPr>
        <w:t xml:space="preserve"> Primer Tribunal Unitario en Materia Penal del Primer Circuito.</w:t>
      </w:r>
      <w:r w:rsidR="003B49F0" w:rsidRPr="00B156D5">
        <w:rPr>
          <w:rFonts w:ascii="Verdana" w:hAnsi="Verdana"/>
          <w:szCs w:val="16"/>
          <w:lang w:val="es-ES"/>
        </w:rPr>
        <w:t xml:space="preserve"> </w:t>
      </w:r>
      <w:r w:rsidR="003C707B" w:rsidRPr="00B156D5">
        <w:rPr>
          <w:rFonts w:ascii="Verdana" w:hAnsi="Verdana"/>
          <w:szCs w:val="16"/>
          <w:lang w:val="es-ES"/>
        </w:rPr>
        <w:t>Toca</w:t>
      </w:r>
      <w:r w:rsidRPr="00B156D5">
        <w:rPr>
          <w:rFonts w:ascii="Verdana" w:hAnsi="Verdana"/>
          <w:szCs w:val="16"/>
          <w:lang w:val="es-ES"/>
        </w:rPr>
        <w:t xml:space="preserve"> penal 221/2006, en virtud de los recursos de apelación interpuestos por los procesados Gerardo Tzompaxtle Tecpile, Jorge Marcial Tzompaxtle Tecpile y Gustavo Robles López (expediente de prueba, folios 28955 y siguientes).</w:t>
      </w:r>
    </w:p>
  </w:footnote>
  <w:footnote w:id="53">
    <w:p w14:paraId="05D4A408" w14:textId="45C1CE5D"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EC395C" w:rsidRPr="00B156D5">
        <w:rPr>
          <w:rFonts w:ascii="Verdana" w:hAnsi="Verdana"/>
          <w:szCs w:val="16"/>
          <w:lang w:val="es-ES"/>
        </w:rPr>
        <w:t xml:space="preserve">Procuraduría General de Justicia. </w:t>
      </w:r>
      <w:r w:rsidR="007E6736" w:rsidRPr="00B156D5">
        <w:rPr>
          <w:rFonts w:ascii="Verdana" w:hAnsi="Verdana"/>
          <w:szCs w:val="16"/>
          <w:lang w:val="es-ES"/>
        </w:rPr>
        <w:t>Dirección</w:t>
      </w:r>
      <w:r w:rsidR="00EC395C" w:rsidRPr="00B156D5">
        <w:rPr>
          <w:rFonts w:ascii="Verdana" w:hAnsi="Verdana"/>
          <w:szCs w:val="16"/>
          <w:lang w:val="es-ES"/>
        </w:rPr>
        <w:t xml:space="preserve"> de Servicios Periciales</w:t>
      </w:r>
      <w:r w:rsidR="007E6736" w:rsidRPr="00B156D5">
        <w:rPr>
          <w:rFonts w:ascii="Verdana" w:hAnsi="Verdana"/>
          <w:szCs w:val="16"/>
          <w:lang w:val="es-ES"/>
        </w:rPr>
        <w:t xml:space="preserve">. </w:t>
      </w:r>
      <w:r w:rsidRPr="00B156D5">
        <w:rPr>
          <w:rFonts w:ascii="Verdana" w:hAnsi="Verdana"/>
          <w:szCs w:val="16"/>
          <w:lang w:val="es-ES"/>
        </w:rPr>
        <w:t xml:space="preserve">Dictámenes </w:t>
      </w:r>
      <w:r w:rsidR="00AF033D" w:rsidRPr="00B156D5">
        <w:rPr>
          <w:rFonts w:ascii="Verdana" w:hAnsi="Verdana"/>
          <w:szCs w:val="16"/>
          <w:lang w:val="es-ES"/>
        </w:rPr>
        <w:t xml:space="preserve">de </w:t>
      </w:r>
      <w:proofErr w:type="gramStart"/>
      <w:r w:rsidR="00AF033D" w:rsidRPr="00B156D5">
        <w:rPr>
          <w:rFonts w:ascii="Verdana" w:hAnsi="Verdana"/>
          <w:szCs w:val="16"/>
          <w:lang w:val="es-ES"/>
        </w:rPr>
        <w:t xml:space="preserve">grafoscopía </w:t>
      </w:r>
      <w:r w:rsidRPr="00B156D5">
        <w:rPr>
          <w:rFonts w:ascii="Verdana" w:hAnsi="Verdana"/>
          <w:szCs w:val="16"/>
          <w:lang w:val="es-ES"/>
        </w:rPr>
        <w:t xml:space="preserve"> de</w:t>
      </w:r>
      <w:proofErr w:type="gramEnd"/>
      <w:r w:rsidRPr="00B156D5">
        <w:rPr>
          <w:rFonts w:ascii="Verdana" w:hAnsi="Verdana"/>
          <w:szCs w:val="16"/>
          <w:lang w:val="es-ES"/>
        </w:rPr>
        <w:t xml:space="preserve"> 15 de mayo y 6 de junio de 2007 (expediente de prueba, folios 395 y siguientes).</w:t>
      </w:r>
    </w:p>
  </w:footnote>
  <w:footnote w:id="54">
    <w:p w14:paraId="42F2DDF3" w14:textId="05AAF63E"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En su resolución el Tribunal señaló lo siguiente: “</w:t>
      </w:r>
      <w:r w:rsidR="00E53DA2" w:rsidRPr="00B156D5">
        <w:rPr>
          <w:rFonts w:ascii="Verdana" w:hAnsi="Verdana"/>
          <w:szCs w:val="16"/>
          <w:lang w:val="es-ES"/>
        </w:rPr>
        <w:t>[...]</w:t>
      </w:r>
      <w:r w:rsidRPr="00B156D5">
        <w:rPr>
          <w:rFonts w:ascii="Verdana" w:hAnsi="Verdana"/>
          <w:szCs w:val="16"/>
          <w:lang w:val="es-ES"/>
        </w:rPr>
        <w:t xml:space="preserve"> de acuerdo al contenido de las notas periodísticas que obran en autos, los diversos informes policíacos ratificados ministerialmente por sus suscriptores, así como los diversos documentos anexados a éstos; las publicaciones recabadas por la Dirección General de Comunicación Social de la Procuraduría General de la República el diez de octubre de dos mil cinco, las cuales dicen: 1) "Día del Guerrillero Heroico'', 2) "Reaparece grupo armado", 3) "Aparece en San Marcos una columna del presunto grupo armado La Patria es Primero", 4) "Guerrilleros incursionan en San Marcos y Atoyac"; diversas constancias de consulta en Internet, </w:t>
      </w:r>
      <w:r w:rsidR="00E53DA2" w:rsidRPr="00B156D5">
        <w:rPr>
          <w:rFonts w:ascii="Verdana" w:hAnsi="Verdana"/>
          <w:szCs w:val="16"/>
          <w:lang w:val="es-ES"/>
        </w:rPr>
        <w:t>[...]</w:t>
      </w:r>
      <w:r w:rsidRPr="00B156D5">
        <w:rPr>
          <w:rFonts w:ascii="Verdana" w:hAnsi="Verdana"/>
          <w:szCs w:val="16"/>
          <w:lang w:val="es-ES"/>
        </w:rPr>
        <w:t xml:space="preserve"> la llamada telefónica anónima </w:t>
      </w:r>
      <w:r w:rsidR="00E53DA2" w:rsidRPr="00B156D5">
        <w:rPr>
          <w:rFonts w:ascii="Verdana" w:hAnsi="Verdana"/>
          <w:szCs w:val="16"/>
          <w:lang w:val="es-ES"/>
        </w:rPr>
        <w:t>[...]</w:t>
      </w:r>
      <w:r w:rsidRPr="00B156D5">
        <w:rPr>
          <w:rFonts w:ascii="Verdana" w:hAnsi="Verdana"/>
          <w:szCs w:val="16"/>
          <w:lang w:val="es-ES"/>
        </w:rPr>
        <w:t xml:space="preserve">; todas esas pruebas citadas con anterioridad, debidamente analizadas en su conjunto, </w:t>
      </w:r>
      <w:r w:rsidR="00687BEB" w:rsidRPr="00B156D5">
        <w:rPr>
          <w:rFonts w:ascii="Verdana" w:hAnsi="Verdana"/>
          <w:szCs w:val="16"/>
          <w:lang w:val="es-ES"/>
        </w:rPr>
        <w:t>[...]</w:t>
      </w:r>
      <w:r w:rsidRPr="00B156D5">
        <w:rPr>
          <w:rFonts w:ascii="Verdana" w:hAnsi="Verdana"/>
          <w:szCs w:val="16"/>
          <w:lang w:val="es-ES"/>
        </w:rPr>
        <w:t xml:space="preserve"> constituyen la prueba circunstancial </w:t>
      </w:r>
      <w:r w:rsidR="00687BEB" w:rsidRPr="00B156D5">
        <w:rPr>
          <w:rFonts w:ascii="Verdana" w:hAnsi="Verdana"/>
          <w:szCs w:val="16"/>
          <w:lang w:val="es-ES"/>
        </w:rPr>
        <w:t>[...]</w:t>
      </w:r>
      <w:r w:rsidRPr="00B156D5">
        <w:rPr>
          <w:rFonts w:ascii="Verdana" w:hAnsi="Verdana"/>
          <w:szCs w:val="16"/>
          <w:lang w:val="es-ES"/>
        </w:rPr>
        <w:t xml:space="preserve"> aptas para arribar a la verdad buscada; esto es, que en el caso se comprobó que los procesados, en conjunto con otros sujetos, adecuaron su conducta a la descripción típica contenida en la norma penal, conducta con la que pusieron en peligro el bien jurídico protegido que es la seguridad pública, la cual engloba la salvaguarda de la soberanía y seguridad de la nación, la seguridad de las personas, la paz y tranquilidad social, en forma genérica, pero en particular, la puesta en peligro de la paz pública, sobre todo, cuando se trata de menoscabar la autoridad del Estado, o presionar a las autoridades para que tomen una determinación, a cuya afectación se dirigen como finalidad o resultado las conductas unidas entre sí de los miembros de la organización delictiva, mediante el uso de su potencial criminal”.</w:t>
      </w:r>
    </w:p>
  </w:footnote>
  <w:footnote w:id="55">
    <w:p w14:paraId="17A06E06" w14:textId="500CE3F3" w:rsidR="00466044" w:rsidRPr="00B156D5" w:rsidRDefault="00466044" w:rsidP="00466044">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332D87" w:rsidRPr="00B156D5">
        <w:rPr>
          <w:rFonts w:ascii="Verdana" w:hAnsi="Verdana"/>
          <w:i/>
          <w:iCs/>
          <w:szCs w:val="16"/>
          <w:lang w:val="es-ES"/>
        </w:rPr>
        <w:t>Cfr</w:t>
      </w:r>
      <w:r w:rsidR="00332D87" w:rsidRPr="00B156D5">
        <w:rPr>
          <w:rFonts w:ascii="Verdana" w:hAnsi="Verdana"/>
          <w:szCs w:val="16"/>
          <w:lang w:val="es-ES"/>
        </w:rPr>
        <w:t xml:space="preserve">. Poder Judicial de la Federación. Juzgado Décimo Segundo de Distrito en el estado de Veracruz con residencia en Córdoba. </w:t>
      </w:r>
      <w:r w:rsidR="004A4344" w:rsidRPr="00B156D5">
        <w:rPr>
          <w:rFonts w:ascii="Verdana" w:hAnsi="Verdana"/>
          <w:szCs w:val="16"/>
          <w:lang w:val="es-ES"/>
        </w:rPr>
        <w:t>Auto de 20</w:t>
      </w:r>
      <w:r w:rsidR="00332D87" w:rsidRPr="00B156D5">
        <w:rPr>
          <w:rFonts w:ascii="Verdana" w:hAnsi="Verdana"/>
          <w:szCs w:val="16"/>
          <w:lang w:val="es-ES"/>
        </w:rPr>
        <w:t xml:space="preserve"> </w:t>
      </w:r>
      <w:r w:rsidR="004A4344" w:rsidRPr="00B156D5">
        <w:rPr>
          <w:rFonts w:ascii="Verdana" w:hAnsi="Verdana"/>
          <w:szCs w:val="16"/>
          <w:lang w:val="es-ES"/>
        </w:rPr>
        <w:t xml:space="preserve">de agosto de 2007 </w:t>
      </w:r>
      <w:r w:rsidR="00332D87" w:rsidRPr="00B156D5">
        <w:rPr>
          <w:rFonts w:ascii="Verdana" w:hAnsi="Verdana"/>
          <w:szCs w:val="16"/>
          <w:lang w:val="es-ES"/>
        </w:rPr>
        <w:t>(expediente de prueba, folios 21675 y siguientes)</w:t>
      </w:r>
      <w:r w:rsidRPr="00B156D5">
        <w:rPr>
          <w:rFonts w:ascii="Verdana" w:hAnsi="Verdana"/>
          <w:szCs w:val="16"/>
          <w:lang w:val="es-ES"/>
        </w:rPr>
        <w:t>.</w:t>
      </w:r>
    </w:p>
  </w:footnote>
  <w:footnote w:id="56">
    <w:p w14:paraId="4D1E48CD" w14:textId="5DB0E26E" w:rsidR="00FC62F4" w:rsidRPr="00B156D5" w:rsidRDefault="00FC62F4" w:rsidP="00FC62F4">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Poder Judicial de la Federación. Juzgado Décimo Segundo de Distrito en el estado de Veracruz con residencia en Córdoba. Sentencia de 14 de mayo de 20</w:t>
      </w:r>
      <w:r w:rsidR="0083410A" w:rsidRPr="00B156D5">
        <w:rPr>
          <w:rFonts w:ascii="Verdana" w:hAnsi="Verdana"/>
          <w:szCs w:val="16"/>
          <w:lang w:val="es-ES"/>
        </w:rPr>
        <w:t>08</w:t>
      </w:r>
      <w:r w:rsidRPr="00B156D5">
        <w:rPr>
          <w:rFonts w:ascii="Verdana" w:hAnsi="Verdana"/>
          <w:szCs w:val="16"/>
          <w:lang w:val="es-ES"/>
        </w:rPr>
        <w:t xml:space="preserve"> (expediente de prueba, folios 23943 y siguientes).</w:t>
      </w:r>
    </w:p>
  </w:footnote>
  <w:footnote w:id="57">
    <w:p w14:paraId="51604914" w14:textId="1A9679BA"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E15402" w:rsidRPr="00B156D5">
        <w:rPr>
          <w:rFonts w:ascii="Verdana" w:hAnsi="Verdana"/>
          <w:szCs w:val="16"/>
          <w:lang w:val="es-ES"/>
        </w:rPr>
        <w:t xml:space="preserve">Poder Judicial de la Federación. Primer Tribunal Unitario en Materia Penal del Primer Circuito. </w:t>
      </w:r>
      <w:r w:rsidRPr="00B156D5">
        <w:rPr>
          <w:rFonts w:ascii="Verdana" w:hAnsi="Verdana"/>
          <w:szCs w:val="16"/>
          <w:lang w:val="es-ES"/>
        </w:rPr>
        <w:t>Toca penal 207/2008, en virtud de los recursos de apelación interpuestos por los procesados Gerardo Tzompaxtle Tecpile, Jorge Marcial Tzompaxtle Tecpile y Gustavo Robles López (expediente de prueba, folios 29471 y siguientes).</w:t>
      </w:r>
    </w:p>
  </w:footnote>
  <w:footnote w:id="58">
    <w:p w14:paraId="17C76D83" w14:textId="07FE3BA0"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666570" w:rsidRPr="00B156D5">
        <w:rPr>
          <w:rFonts w:ascii="Verdana" w:hAnsi="Verdana"/>
          <w:szCs w:val="16"/>
          <w:lang w:val="es-ES"/>
        </w:rPr>
        <w:t>Poder Judicial de la Federación. Tribunal Colegiado en Materia Penal del Primer Circuito</w:t>
      </w:r>
      <w:r w:rsidR="00C944D4" w:rsidRPr="00B156D5">
        <w:rPr>
          <w:rFonts w:ascii="Verdana" w:hAnsi="Verdana"/>
          <w:szCs w:val="16"/>
          <w:lang w:val="es-ES"/>
        </w:rPr>
        <w:t xml:space="preserve">. </w:t>
      </w:r>
      <w:r w:rsidRPr="00B156D5">
        <w:rPr>
          <w:rFonts w:ascii="Verdana" w:hAnsi="Verdana"/>
          <w:szCs w:val="16"/>
          <w:lang w:val="es-ES"/>
        </w:rPr>
        <w:t>Expediente de amparo en revisión 541-2006, amparo número 240/2006-VII-B, quejosos Gustavo Robles López y otros, en relación con su orden de arraigo, detención y traslado (expediente de prueba, folios 28589 y siguientes).</w:t>
      </w:r>
    </w:p>
  </w:footnote>
  <w:footnote w:id="59">
    <w:p w14:paraId="3C7995A0" w14:textId="7407B988"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0A3C38" w:rsidRPr="00B156D5">
        <w:rPr>
          <w:rFonts w:ascii="Verdana" w:hAnsi="Verdana"/>
          <w:szCs w:val="16"/>
          <w:lang w:val="es-ES"/>
        </w:rPr>
        <w:t>Poder Judicial de la F</w:t>
      </w:r>
      <w:r w:rsidR="00E41EB5" w:rsidRPr="00B156D5">
        <w:rPr>
          <w:rFonts w:ascii="Verdana" w:hAnsi="Verdana"/>
          <w:szCs w:val="16"/>
          <w:lang w:val="es-ES"/>
        </w:rPr>
        <w:t xml:space="preserve">ederación. Consejo de la Judicatura Federal. </w:t>
      </w:r>
      <w:r w:rsidRPr="00B156D5">
        <w:rPr>
          <w:rFonts w:ascii="Verdana" w:hAnsi="Verdana"/>
          <w:szCs w:val="16"/>
          <w:lang w:val="es-ES"/>
        </w:rPr>
        <w:t>Expediente de amparo en revisión 741-2006, amparo número 350/2006-VII-B, quejosos Jorge Marcial Tzompaxtle Tecpile, Gerardo Tzompaxtle Tecpile y Gustavo Robles López, en relación con su orden de detención y traslado (expediente de prueba, folios 28778 y siguientes).</w:t>
      </w:r>
    </w:p>
  </w:footnote>
  <w:footnote w:id="60">
    <w:p w14:paraId="2684F258" w14:textId="344BE0B6" w:rsidR="00D15B00" w:rsidRPr="00B156D5" w:rsidRDefault="00D15B00" w:rsidP="007B311E">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7B311E" w:rsidRPr="00B156D5">
        <w:rPr>
          <w:rFonts w:ascii="Verdana" w:hAnsi="Verdana"/>
          <w:i/>
          <w:iCs/>
          <w:szCs w:val="16"/>
          <w:lang w:val="es-ES"/>
        </w:rPr>
        <w:t>Cfr</w:t>
      </w:r>
      <w:r w:rsidR="007B311E" w:rsidRPr="00B156D5">
        <w:rPr>
          <w:rFonts w:ascii="Verdana" w:hAnsi="Verdana"/>
          <w:szCs w:val="16"/>
          <w:lang w:val="es-ES"/>
        </w:rPr>
        <w:t>. Comisión Nacional de los Derechos Humanos, México. Oficio 002997, expediente: 2006/44/1/Q, 31 de enero de 2007 (expediente de prueba, folios 391 y siguientes)</w:t>
      </w:r>
      <w:r w:rsidR="00575E68" w:rsidRPr="00B156D5">
        <w:rPr>
          <w:rFonts w:ascii="Verdana" w:hAnsi="Verdana"/>
          <w:szCs w:val="16"/>
          <w:lang w:val="es-ES"/>
        </w:rPr>
        <w:t>.</w:t>
      </w:r>
    </w:p>
  </w:footnote>
  <w:footnote w:id="61">
    <w:p w14:paraId="00431417" w14:textId="7D0869F7"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xml:space="preserve">. </w:t>
      </w:r>
      <w:r w:rsidR="005E57D7" w:rsidRPr="00B156D5">
        <w:rPr>
          <w:rFonts w:ascii="Verdana" w:hAnsi="Verdana"/>
          <w:szCs w:val="16"/>
          <w:lang w:val="es-ES"/>
        </w:rPr>
        <w:t xml:space="preserve">Organización de </w:t>
      </w:r>
      <w:r w:rsidRPr="00B156D5">
        <w:rPr>
          <w:rFonts w:ascii="Verdana" w:hAnsi="Verdana"/>
          <w:szCs w:val="16"/>
          <w:lang w:val="es-ES"/>
        </w:rPr>
        <w:t>Naciones Unidas. Grupo de Trabajo sobre la Detención Arbitraria. Opinión No. 20/2007 (México), 22 de noviembre de 2007, A/HRC/10/21/Add.1, partes pertinentes (expediente de prueba, folios 6036 y siguientes).</w:t>
      </w:r>
    </w:p>
  </w:footnote>
  <w:footnote w:id="62">
    <w:p w14:paraId="258CCE8E" w14:textId="5F3045A4"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lang w:val="es-ES"/>
        </w:rPr>
        <w:t>Cfr</w:t>
      </w:r>
      <w:r w:rsidRPr="00B156D5">
        <w:rPr>
          <w:rFonts w:ascii="Verdana" w:hAnsi="Verdana"/>
          <w:szCs w:val="16"/>
          <w:lang w:val="es-ES"/>
        </w:rPr>
        <w:t>. Acciones urgentes de Amnistía Internacional y de la Organización Mundial Contra la Tortura por las amenazas recibidas por la señora Elena López Hernández</w:t>
      </w:r>
      <w:r w:rsidR="00061C89" w:rsidRPr="00B156D5">
        <w:rPr>
          <w:rFonts w:ascii="Verdana" w:hAnsi="Verdana"/>
          <w:szCs w:val="16"/>
          <w:lang w:val="es-ES"/>
        </w:rPr>
        <w:t>, 19 de marzo de 20</w:t>
      </w:r>
      <w:r w:rsidR="0067746F" w:rsidRPr="00B156D5">
        <w:rPr>
          <w:rFonts w:ascii="Verdana" w:hAnsi="Verdana"/>
          <w:szCs w:val="16"/>
          <w:lang w:val="es-ES"/>
        </w:rPr>
        <w:t xml:space="preserve">07 </w:t>
      </w:r>
      <w:r w:rsidRPr="00B156D5">
        <w:rPr>
          <w:rFonts w:ascii="Verdana" w:hAnsi="Verdana"/>
          <w:szCs w:val="16"/>
          <w:lang w:val="es-ES"/>
        </w:rPr>
        <w:t>(expediente de prueba, folios 6030 y siguientes).</w:t>
      </w:r>
    </w:p>
  </w:footnote>
  <w:footnote w:id="63">
    <w:p w14:paraId="544051F3" w14:textId="53A74B8B"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7 de la Convención Americana.</w:t>
      </w:r>
    </w:p>
  </w:footnote>
  <w:footnote w:id="64">
    <w:p w14:paraId="16B4DA2E" w14:textId="5B6B3F08"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8.2 de la Convención Americana.</w:t>
      </w:r>
    </w:p>
  </w:footnote>
  <w:footnote w:id="65">
    <w:p w14:paraId="15AAF250" w14:textId="71E6ED21"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1.1 de la Convención Americana.</w:t>
      </w:r>
    </w:p>
  </w:footnote>
  <w:footnote w:id="66">
    <w:p w14:paraId="37CFFCA4" w14:textId="366220ED"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2 de la Convención Americana.</w:t>
      </w:r>
    </w:p>
  </w:footnote>
  <w:footnote w:id="67">
    <w:p w14:paraId="1D681B34" w14:textId="2D708B50" w:rsidR="00D15B00" w:rsidRPr="00C83518" w:rsidRDefault="00D15B00" w:rsidP="00A110E7">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eastAsia="Verdana" w:hAnsi="Verdana" w:cs="Verdana"/>
          <w:i/>
        </w:rPr>
        <w:t>Cfr.</w:t>
      </w:r>
      <w:r w:rsidR="006C254D" w:rsidRPr="00B156D5">
        <w:rPr>
          <w:rFonts w:ascii="Verdana" w:eastAsia="Verdana" w:hAnsi="Verdana" w:cs="Verdana"/>
          <w:i/>
        </w:rPr>
        <w:t>,</w:t>
      </w:r>
      <w:r w:rsidRPr="00B156D5">
        <w:rPr>
          <w:rFonts w:ascii="Verdana" w:eastAsia="Verdana" w:hAnsi="Verdana" w:cs="Verdana"/>
          <w:i/>
        </w:rPr>
        <w:t xml:space="preserve"> </w:t>
      </w:r>
      <w:r w:rsidR="006C254D" w:rsidRPr="00B156D5">
        <w:rPr>
          <w:rFonts w:ascii="Verdana" w:eastAsia="Verdana" w:hAnsi="Verdana" w:cs="Verdana"/>
          <w:i/>
        </w:rPr>
        <w:t>m</w:t>
      </w:r>
      <w:r w:rsidRPr="00B156D5">
        <w:rPr>
          <w:rFonts w:ascii="Verdana" w:eastAsia="Verdana" w:hAnsi="Verdana" w:cs="Verdana"/>
          <w:i/>
        </w:rPr>
        <w:t>utatis mutandis,</w:t>
      </w:r>
      <w:r w:rsidR="5F7FEE0C" w:rsidRPr="00B156D5">
        <w:rPr>
          <w:rFonts w:ascii="Verdana" w:eastAsia="Verdana" w:hAnsi="Verdana" w:cs="Verdana"/>
          <w:i/>
          <w:lang w:val="es-CR"/>
        </w:rPr>
        <w:t xml:space="preserve"> Caso Vel</w:t>
      </w:r>
      <w:r w:rsidR="006A0881" w:rsidRPr="00B156D5">
        <w:rPr>
          <w:rFonts w:ascii="Verdana" w:eastAsia="Verdana" w:hAnsi="Verdana" w:cs="Verdana"/>
          <w:i/>
          <w:lang w:val="es-CR"/>
        </w:rPr>
        <w:t>ás</w:t>
      </w:r>
      <w:r w:rsidR="5F7FEE0C" w:rsidRPr="00B156D5">
        <w:rPr>
          <w:rFonts w:ascii="Verdana" w:eastAsia="Verdana" w:hAnsi="Verdana" w:cs="Verdana"/>
          <w:i/>
          <w:lang w:val="es-CR"/>
        </w:rPr>
        <w:t xml:space="preserve">quez Rodríguez </w:t>
      </w:r>
      <w:r w:rsidR="1EA761A5" w:rsidRPr="00B156D5">
        <w:rPr>
          <w:rFonts w:ascii="Verdana" w:eastAsia="Verdana" w:hAnsi="Verdana" w:cs="Verdana"/>
          <w:i/>
          <w:iCs/>
          <w:lang w:val="es-CR"/>
        </w:rPr>
        <w:t>Vs</w:t>
      </w:r>
      <w:r w:rsidR="5F7FEE0C" w:rsidRPr="00B156D5">
        <w:rPr>
          <w:rFonts w:ascii="Verdana" w:eastAsia="Verdana" w:hAnsi="Verdana" w:cs="Verdana"/>
          <w:i/>
          <w:lang w:val="es-CR"/>
        </w:rPr>
        <w:t>. Honduras</w:t>
      </w:r>
      <w:r w:rsidR="00E613B5" w:rsidRPr="00B156D5">
        <w:rPr>
          <w:rFonts w:ascii="Verdana" w:eastAsia="Verdana" w:hAnsi="Verdana" w:cs="Verdana"/>
          <w:i/>
          <w:lang w:val="es-CR"/>
        </w:rPr>
        <w:t>. Fondo,</w:t>
      </w:r>
      <w:r w:rsidR="0092300F" w:rsidRPr="00B156D5">
        <w:rPr>
          <w:rFonts w:ascii="Verdana" w:eastAsia="Verdana" w:hAnsi="Verdana" w:cs="Verdana"/>
          <w:i/>
          <w:lang w:val="es-CR"/>
        </w:rPr>
        <w:t xml:space="preserve"> </w:t>
      </w:r>
      <w:r w:rsidR="007C1FBC" w:rsidRPr="00B156D5">
        <w:rPr>
          <w:rFonts w:ascii="Verdana" w:eastAsia="Verdana" w:hAnsi="Verdana" w:cs="Verdana"/>
          <w:iCs/>
          <w:lang w:val="es-CR"/>
        </w:rPr>
        <w:t>Sentencia de 29 de julio de 1988. Serie C No. 4</w:t>
      </w:r>
      <w:r w:rsidR="00FD6FBC" w:rsidRPr="00B156D5">
        <w:rPr>
          <w:rFonts w:ascii="Verdana" w:eastAsia="Verdana" w:hAnsi="Verdana" w:cs="Verdana"/>
          <w:iCs/>
          <w:lang w:val="es-CR"/>
        </w:rPr>
        <w:t>,</w:t>
      </w:r>
      <w:r w:rsidR="0092300F" w:rsidRPr="00B156D5">
        <w:rPr>
          <w:rFonts w:ascii="Verdana" w:eastAsia="Verdana" w:hAnsi="Verdana" w:cs="Verdana"/>
          <w:iCs/>
          <w:lang w:val="es-CR"/>
        </w:rPr>
        <w:t xml:space="preserve"> </w:t>
      </w:r>
      <w:r w:rsidR="5F7FEE0C" w:rsidRPr="00B156D5">
        <w:rPr>
          <w:rFonts w:ascii="Verdana" w:eastAsia="Verdana" w:hAnsi="Verdana" w:cs="Verdana"/>
          <w:lang w:val="es-CR"/>
        </w:rPr>
        <w:t>párr. 154</w:t>
      </w:r>
      <w:r w:rsidR="0092300F" w:rsidRPr="00B156D5">
        <w:rPr>
          <w:rFonts w:ascii="Verdana" w:eastAsia="Verdana" w:hAnsi="Verdana" w:cs="Verdana"/>
          <w:lang w:val="es-CR"/>
        </w:rPr>
        <w:t>,</w:t>
      </w:r>
      <w:r w:rsidR="5F7FEE0C" w:rsidRPr="00B156D5">
        <w:rPr>
          <w:rFonts w:ascii="Verdana" w:eastAsia="Verdana" w:hAnsi="Verdana" w:cs="Verdana"/>
          <w:lang w:val="es-CR"/>
        </w:rPr>
        <w:t xml:space="preserve"> </w:t>
      </w:r>
      <w:r w:rsidR="5F7FEE0C" w:rsidRPr="00B156D5">
        <w:rPr>
          <w:rFonts w:ascii="Verdana" w:eastAsia="Verdana" w:hAnsi="Verdana" w:cs="Verdana"/>
          <w:iCs/>
          <w:lang w:val="es-CR"/>
        </w:rPr>
        <w:t xml:space="preserve">y </w:t>
      </w:r>
      <w:r w:rsidR="5F7FEE0C" w:rsidRPr="00B156D5">
        <w:rPr>
          <w:rFonts w:ascii="Verdana" w:eastAsia="Verdana" w:hAnsi="Verdana" w:cs="Verdana"/>
          <w:i/>
          <w:lang w:val="es-CR"/>
        </w:rPr>
        <w:t xml:space="preserve">Caso Cruz Sánchez y otros Vs. </w:t>
      </w:r>
      <w:r w:rsidR="5F7FEE0C" w:rsidRPr="00C83518">
        <w:rPr>
          <w:rFonts w:ascii="Verdana" w:eastAsia="Verdana" w:hAnsi="Verdana" w:cs="Verdana"/>
          <w:i/>
          <w:lang w:val="es-CR"/>
        </w:rPr>
        <w:t>Perú. Excepciones preliminares, Fondo</w:t>
      </w:r>
      <w:r w:rsidR="00FD6FBC" w:rsidRPr="00C83518">
        <w:rPr>
          <w:rFonts w:ascii="Verdana" w:eastAsia="Verdana" w:hAnsi="Verdana" w:cs="Verdana"/>
          <w:i/>
          <w:lang w:val="es-CR"/>
        </w:rPr>
        <w:t>.</w:t>
      </w:r>
      <w:r w:rsidR="5F7FEE0C" w:rsidRPr="00C83518">
        <w:rPr>
          <w:rFonts w:ascii="Verdana" w:eastAsia="Verdana" w:hAnsi="Verdana" w:cs="Verdana"/>
          <w:i/>
          <w:lang w:val="es-CR"/>
        </w:rPr>
        <w:t xml:space="preserve"> Reparaciones y Costas. </w:t>
      </w:r>
      <w:r w:rsidR="5F7FEE0C" w:rsidRPr="00C83518">
        <w:rPr>
          <w:rFonts w:ascii="Verdana" w:eastAsia="Verdana" w:hAnsi="Verdana" w:cs="Verdana"/>
          <w:lang w:val="es-CR"/>
        </w:rPr>
        <w:t>Sentencia de 17 abril de 2015. Serie C No. 292, párr. 262.</w:t>
      </w:r>
    </w:p>
  </w:footnote>
  <w:footnote w:id="68">
    <w:p w14:paraId="6960A639" w14:textId="27D7D45A"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es-CR"/>
        </w:rPr>
        <w:t xml:space="preserve"> </w:t>
      </w:r>
      <w:r w:rsidRPr="00C83518">
        <w:rPr>
          <w:rFonts w:ascii="Verdana" w:hAnsi="Verdana"/>
          <w:szCs w:val="16"/>
          <w:lang w:val="es-CR"/>
        </w:rPr>
        <w:tab/>
      </w:r>
      <w:r w:rsidRPr="00C83518">
        <w:rPr>
          <w:rFonts w:ascii="Verdana" w:hAnsi="Verdana"/>
          <w:i/>
          <w:lang w:val="es-CR"/>
        </w:rPr>
        <w:t xml:space="preserve">Cfr. Caso </w:t>
      </w:r>
      <w:proofErr w:type="spellStart"/>
      <w:r w:rsidRPr="00C83518">
        <w:rPr>
          <w:rFonts w:ascii="Verdana" w:hAnsi="Verdana"/>
          <w:i/>
          <w:lang w:val="es-CR"/>
        </w:rPr>
        <w:t>Gangaram</w:t>
      </w:r>
      <w:proofErr w:type="spellEnd"/>
      <w:r w:rsidRPr="00C83518">
        <w:rPr>
          <w:rFonts w:ascii="Verdana" w:hAnsi="Verdana"/>
          <w:i/>
          <w:lang w:val="es-CR"/>
        </w:rPr>
        <w:t xml:space="preserve"> </w:t>
      </w:r>
      <w:proofErr w:type="spellStart"/>
      <w:r w:rsidRPr="00C83518">
        <w:rPr>
          <w:rFonts w:ascii="Verdana" w:hAnsi="Verdana"/>
          <w:i/>
          <w:lang w:val="es-CR"/>
        </w:rPr>
        <w:t>Panday</w:t>
      </w:r>
      <w:proofErr w:type="spellEnd"/>
      <w:r w:rsidRPr="00C83518">
        <w:rPr>
          <w:rFonts w:ascii="Verdana" w:hAnsi="Verdana"/>
          <w:i/>
          <w:lang w:val="es-CR"/>
        </w:rPr>
        <w:t xml:space="preserve"> Vs. </w:t>
      </w:r>
      <w:r w:rsidRPr="00B156D5">
        <w:rPr>
          <w:rFonts w:ascii="Verdana" w:hAnsi="Verdana"/>
          <w:i/>
        </w:rPr>
        <w:t>Surinam. Fondo, Reparaciones y Costas.</w:t>
      </w:r>
      <w:r w:rsidRPr="00B156D5">
        <w:rPr>
          <w:rFonts w:ascii="Verdana" w:hAnsi="Verdana"/>
        </w:rPr>
        <w:t xml:space="preserve"> Sentencia de 21 de enero de 1994. Serie C No. 16, párr. 47</w:t>
      </w:r>
      <w:r w:rsidR="001F1D39" w:rsidRPr="00B156D5">
        <w:rPr>
          <w:rFonts w:ascii="Verdana" w:hAnsi="Verdana"/>
        </w:rPr>
        <w:t>,</w:t>
      </w:r>
      <w:r w:rsidRPr="00B156D5">
        <w:rPr>
          <w:rFonts w:ascii="Verdana" w:hAnsi="Verdana"/>
        </w:rPr>
        <w:t xml:space="preserve"> y </w:t>
      </w:r>
      <w:r w:rsidR="002D5F9B" w:rsidRPr="00B156D5">
        <w:rPr>
          <w:rFonts w:ascii="Verdana" w:hAnsi="Verdana"/>
          <w:i/>
          <w:iCs/>
        </w:rPr>
        <w:t>Caso Habbal y otros Vs. Argentina. Excepciones Preliminares y Fondo</w:t>
      </w:r>
      <w:r w:rsidR="002D5F9B" w:rsidRPr="00B156D5">
        <w:rPr>
          <w:rFonts w:ascii="Verdana" w:hAnsi="Verdana"/>
        </w:rPr>
        <w:t>. Sentencia de 31 de agosto de 2022. Serie C No. 463</w:t>
      </w:r>
      <w:r w:rsidRPr="00B156D5">
        <w:rPr>
          <w:rFonts w:ascii="Verdana" w:hAnsi="Verdana"/>
        </w:rPr>
        <w:t>, párr</w:t>
      </w:r>
      <w:r w:rsidR="002D5F9B" w:rsidRPr="00B156D5">
        <w:rPr>
          <w:rFonts w:ascii="Verdana" w:hAnsi="Verdana"/>
        </w:rPr>
        <w:t>.</w:t>
      </w:r>
      <w:r w:rsidRPr="00B156D5">
        <w:rPr>
          <w:rFonts w:ascii="Verdana" w:hAnsi="Verdana"/>
        </w:rPr>
        <w:t xml:space="preserve"> </w:t>
      </w:r>
      <w:r w:rsidR="002B4732" w:rsidRPr="00B156D5">
        <w:rPr>
          <w:rFonts w:ascii="Verdana" w:hAnsi="Verdana"/>
        </w:rPr>
        <w:t>63</w:t>
      </w:r>
      <w:r w:rsidRPr="00B156D5">
        <w:rPr>
          <w:rFonts w:ascii="Verdana" w:hAnsi="Verdana"/>
        </w:rPr>
        <w:t>.</w:t>
      </w:r>
    </w:p>
  </w:footnote>
  <w:footnote w:id="69">
    <w:p w14:paraId="3BD5C97A" w14:textId="630816A3" w:rsidR="00D15B00" w:rsidRPr="00B156D5" w:rsidRDefault="00D15B00" w:rsidP="00526A50">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Chaparro Álvarez y Lapo Íñiguez Vs. Ecuador</w:t>
      </w:r>
      <w:r w:rsidRPr="00B156D5">
        <w:rPr>
          <w:rFonts w:ascii="Verdana" w:hAnsi="Verdana"/>
          <w:i/>
          <w:iCs/>
          <w:szCs w:val="16"/>
        </w:rPr>
        <w:t xml:space="preserve">. Excepciones preliminares, Fondo, Reparaciones y Costas. </w:t>
      </w:r>
      <w:r w:rsidRPr="00B156D5">
        <w:rPr>
          <w:rFonts w:ascii="Verdana" w:hAnsi="Verdana"/>
          <w:szCs w:val="16"/>
        </w:rPr>
        <w:t>Sentencia 21 de noviembre de 2007. Serie C No. 170</w:t>
      </w:r>
      <w:r w:rsidR="0038600E" w:rsidRPr="00B156D5">
        <w:rPr>
          <w:rFonts w:ascii="Verdana" w:hAnsi="Verdana"/>
          <w:szCs w:val="16"/>
        </w:rPr>
        <w:t xml:space="preserve">, </w:t>
      </w:r>
      <w:r w:rsidRPr="00B156D5">
        <w:rPr>
          <w:rFonts w:ascii="Verdana" w:hAnsi="Verdana"/>
          <w:szCs w:val="16"/>
        </w:rPr>
        <w:t>párr. 92</w:t>
      </w:r>
      <w:r w:rsidR="006F6A4F" w:rsidRPr="00B156D5">
        <w:rPr>
          <w:rFonts w:ascii="Verdana" w:hAnsi="Verdana"/>
          <w:szCs w:val="16"/>
        </w:rPr>
        <w:t>, y</w:t>
      </w:r>
      <w:r w:rsidRPr="00B156D5">
        <w:rPr>
          <w:rFonts w:ascii="Verdana" w:hAnsi="Verdana"/>
          <w:szCs w:val="16"/>
        </w:rPr>
        <w:t xml:space="preserve"> </w:t>
      </w:r>
      <w:r w:rsidR="00DC6D3D" w:rsidRPr="00B156D5">
        <w:rPr>
          <w:rFonts w:ascii="Verdana" w:hAnsi="Verdana"/>
          <w:i/>
          <w:iCs/>
        </w:rPr>
        <w:t>Caso Habbal y otros Vs. Argentina, supra</w:t>
      </w:r>
      <w:r w:rsidR="00DC6D3D" w:rsidRPr="00B156D5">
        <w:rPr>
          <w:rFonts w:ascii="Verdana" w:hAnsi="Verdana"/>
        </w:rPr>
        <w:t xml:space="preserve">, párr. 63. </w:t>
      </w:r>
      <w:r w:rsidR="00023E34" w:rsidRPr="00B156D5">
        <w:rPr>
          <w:rFonts w:ascii="Verdana" w:hAnsi="Verdana"/>
          <w:szCs w:val="16"/>
        </w:rPr>
        <w:t xml:space="preserve">  </w:t>
      </w:r>
      <w:r w:rsidRPr="00B156D5">
        <w:rPr>
          <w:rFonts w:ascii="Verdana" w:hAnsi="Verdana"/>
          <w:szCs w:val="16"/>
        </w:rPr>
        <w:t xml:space="preserve"> </w:t>
      </w:r>
    </w:p>
  </w:footnote>
  <w:footnote w:id="70">
    <w:p w14:paraId="139F0EF6" w14:textId="69536412" w:rsidR="00D15B00" w:rsidRPr="00C83518"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 Caso Servellón García y otros Vs. Honduras. Excepción Preliminar, Fondo, Reparaciones y Costas.</w:t>
      </w:r>
      <w:r w:rsidRPr="00B156D5">
        <w:rPr>
          <w:rFonts w:ascii="Verdana" w:hAnsi="Verdana"/>
        </w:rPr>
        <w:t xml:space="preserve"> Sentencia de 21 de septiembre de 2006. Serie C No. 152, párr. 89</w:t>
      </w:r>
      <w:r w:rsidR="00DC216A" w:rsidRPr="00B156D5">
        <w:rPr>
          <w:rFonts w:ascii="Verdana" w:hAnsi="Verdana"/>
        </w:rPr>
        <w:t>, y</w:t>
      </w:r>
      <w:r w:rsidRPr="00B156D5">
        <w:rPr>
          <w:rFonts w:ascii="Verdana" w:hAnsi="Verdana"/>
        </w:rPr>
        <w:t xml:space="preserve"> </w:t>
      </w:r>
      <w:r w:rsidR="00DC216A" w:rsidRPr="00B156D5">
        <w:rPr>
          <w:rFonts w:ascii="Verdana" w:hAnsi="Verdana"/>
          <w:i/>
        </w:rPr>
        <w:t>C</w:t>
      </w:r>
      <w:r w:rsidR="00DC216A" w:rsidRPr="00B156D5">
        <w:rPr>
          <w:rFonts w:ascii="Verdana" w:hAnsi="Verdana"/>
          <w:i/>
          <w:iCs/>
        </w:rPr>
        <w:t>aso Habbal y otros Vs. Argentina, supra</w:t>
      </w:r>
      <w:r w:rsidR="00DC216A" w:rsidRPr="00B156D5">
        <w:rPr>
          <w:rFonts w:ascii="Verdana" w:hAnsi="Verdana"/>
        </w:rPr>
        <w:t>, párr. 64</w:t>
      </w:r>
      <w:r w:rsidRPr="00C83518">
        <w:rPr>
          <w:rFonts w:ascii="Verdana" w:hAnsi="Verdana"/>
        </w:rPr>
        <w:t>.</w:t>
      </w:r>
    </w:p>
  </w:footnote>
  <w:footnote w:id="71">
    <w:p w14:paraId="580DAB56" w14:textId="48A5F2C3"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7830FC">
        <w:rPr>
          <w:rFonts w:ascii="Verdana" w:hAnsi="Verdana"/>
        </w:rPr>
        <w:t xml:space="preserve"> </w:t>
      </w:r>
      <w:r w:rsidRPr="007830FC">
        <w:rPr>
          <w:rFonts w:ascii="Verdana" w:hAnsi="Verdana"/>
          <w:szCs w:val="16"/>
        </w:rPr>
        <w:tab/>
      </w:r>
      <w:r w:rsidRPr="007830FC">
        <w:rPr>
          <w:rFonts w:ascii="Verdana" w:hAnsi="Verdana"/>
          <w:i/>
        </w:rPr>
        <w:t xml:space="preserve">Cfr. Caso </w:t>
      </w:r>
      <w:proofErr w:type="spellStart"/>
      <w:r w:rsidRPr="007830FC">
        <w:rPr>
          <w:rFonts w:ascii="Verdana" w:hAnsi="Verdana"/>
          <w:i/>
        </w:rPr>
        <w:t>Palamara</w:t>
      </w:r>
      <w:proofErr w:type="spellEnd"/>
      <w:r w:rsidRPr="007830FC">
        <w:rPr>
          <w:rFonts w:ascii="Verdana" w:hAnsi="Verdana"/>
          <w:i/>
        </w:rPr>
        <w:t xml:space="preserve"> Iribarne Vs. </w:t>
      </w:r>
      <w:r w:rsidRPr="00B156D5">
        <w:rPr>
          <w:rFonts w:ascii="Verdana" w:hAnsi="Verdana"/>
          <w:i/>
        </w:rPr>
        <w:t>Chile. Fondo, Reparaciones y Costas</w:t>
      </w:r>
      <w:r w:rsidRPr="00B156D5">
        <w:rPr>
          <w:rFonts w:ascii="Verdana" w:hAnsi="Verdana"/>
        </w:rPr>
        <w:t>. Sentencia de 22 de noviembre de 2005. Serie C No. 135, párr. 197</w:t>
      </w:r>
      <w:r w:rsidR="006F6A4F" w:rsidRPr="00B156D5">
        <w:rPr>
          <w:rFonts w:ascii="Verdana" w:hAnsi="Verdana"/>
        </w:rPr>
        <w:t>, y</w:t>
      </w:r>
      <w:r w:rsidR="00C145E0" w:rsidRPr="00B156D5">
        <w:rPr>
          <w:rFonts w:ascii="Verdana" w:hAnsi="Verdana"/>
        </w:rPr>
        <w:t xml:space="preserve"> </w:t>
      </w:r>
      <w:r w:rsidR="006F6A4F" w:rsidRPr="00B156D5">
        <w:rPr>
          <w:rFonts w:ascii="Verdana" w:hAnsi="Verdana"/>
          <w:i/>
          <w:iCs/>
        </w:rPr>
        <w:t>Caso Habbal y otros Vs. Argentina, supra</w:t>
      </w:r>
      <w:r w:rsidR="006F6A4F" w:rsidRPr="00B156D5">
        <w:rPr>
          <w:rFonts w:ascii="Verdana" w:hAnsi="Verdana"/>
        </w:rPr>
        <w:t>, párr. 64</w:t>
      </w:r>
      <w:r w:rsidRPr="00B156D5">
        <w:rPr>
          <w:rFonts w:ascii="Verdana" w:hAnsi="Verdana"/>
        </w:rPr>
        <w:t>.</w:t>
      </w:r>
    </w:p>
  </w:footnote>
  <w:footnote w:id="72">
    <w:p w14:paraId="1F72F662" w14:textId="7C6B15CC"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 xml:space="preserve">Cfr. Caso García Asto y Ramírez Rojas Vs. Perú. Excepción Preliminar, Fondo, Reparaciones y Costas. </w:t>
      </w:r>
      <w:r w:rsidRPr="00B156D5">
        <w:rPr>
          <w:rFonts w:ascii="Verdana" w:hAnsi="Verdana"/>
        </w:rPr>
        <w:t>Sentencia de 25 de noviembre de 2005. Serie C No. 137, párr. 128,</w:t>
      </w:r>
      <w:r w:rsidR="00023E34" w:rsidRPr="00B156D5">
        <w:rPr>
          <w:rFonts w:ascii="Verdana" w:hAnsi="Verdana"/>
        </w:rPr>
        <w:t xml:space="preserve"> </w:t>
      </w:r>
      <w:r w:rsidR="006F6A4F" w:rsidRPr="00B156D5">
        <w:rPr>
          <w:rFonts w:ascii="Verdana" w:hAnsi="Verdana"/>
        </w:rPr>
        <w:t xml:space="preserve">y </w:t>
      </w:r>
      <w:r w:rsidR="006F6A4F" w:rsidRPr="00B156D5">
        <w:rPr>
          <w:rFonts w:ascii="Verdana" w:hAnsi="Verdana"/>
          <w:i/>
          <w:iCs/>
        </w:rPr>
        <w:t>Caso Habbal y otros Vs. Argentina, supra</w:t>
      </w:r>
      <w:r w:rsidR="006F6A4F" w:rsidRPr="00B156D5">
        <w:rPr>
          <w:rFonts w:ascii="Verdana" w:hAnsi="Verdana"/>
        </w:rPr>
        <w:t>, párr. 64</w:t>
      </w:r>
      <w:r w:rsidR="006F6A4F" w:rsidRPr="00C83518">
        <w:rPr>
          <w:rFonts w:ascii="Verdana" w:hAnsi="Verdana"/>
          <w:lang w:val="es-CR"/>
        </w:rPr>
        <w:t>.</w:t>
      </w:r>
    </w:p>
  </w:footnote>
  <w:footnote w:id="73">
    <w:p w14:paraId="1862D5E9" w14:textId="69D247C6"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Pr="00B156D5">
        <w:rPr>
          <w:rFonts w:ascii="Verdana" w:hAnsi="Verdana"/>
          <w:i/>
        </w:rPr>
        <w:t>Caso Servellón García y otros Vs. Honduras</w:t>
      </w:r>
      <w:r w:rsidRPr="00B156D5">
        <w:rPr>
          <w:rFonts w:ascii="Verdana" w:hAnsi="Verdana"/>
        </w:rPr>
        <w:t xml:space="preserve">, </w:t>
      </w:r>
      <w:r w:rsidRPr="00B156D5">
        <w:rPr>
          <w:rFonts w:ascii="Verdana" w:hAnsi="Verdana"/>
          <w:i/>
        </w:rPr>
        <w:t>supra,</w:t>
      </w:r>
      <w:r w:rsidRPr="00B156D5">
        <w:rPr>
          <w:rFonts w:ascii="Verdana" w:hAnsi="Verdana"/>
        </w:rPr>
        <w:t xml:space="preserve"> párr. 90</w:t>
      </w:r>
      <w:r w:rsidR="00C145E0" w:rsidRPr="00B156D5">
        <w:rPr>
          <w:rFonts w:ascii="Verdana" w:hAnsi="Verdana"/>
        </w:rPr>
        <w:t>;</w:t>
      </w:r>
      <w:r w:rsidRPr="00B156D5">
        <w:rPr>
          <w:rFonts w:ascii="Verdana" w:hAnsi="Verdana"/>
          <w:b/>
        </w:rPr>
        <w:t xml:space="preserve"> </w:t>
      </w:r>
      <w:r w:rsidRPr="00B156D5">
        <w:rPr>
          <w:rFonts w:ascii="Verdana" w:hAnsi="Verdana"/>
          <w:i/>
        </w:rPr>
        <w:t xml:space="preserve">Caso Chaparro Álvarez y Lapo Íñiguez Vs. </w:t>
      </w:r>
      <w:r w:rsidRPr="00C83518">
        <w:rPr>
          <w:rFonts w:ascii="Verdana" w:hAnsi="Verdana"/>
          <w:i/>
          <w:lang w:val="es-CR"/>
        </w:rPr>
        <w:t>Ecuador</w:t>
      </w:r>
      <w:r w:rsidRPr="00C83518">
        <w:rPr>
          <w:rFonts w:ascii="Verdana" w:hAnsi="Verdana"/>
          <w:lang w:val="es-CR"/>
        </w:rPr>
        <w:t xml:space="preserve">, </w:t>
      </w:r>
      <w:r w:rsidRPr="00C83518">
        <w:rPr>
          <w:rFonts w:ascii="Verdana" w:hAnsi="Verdana"/>
          <w:i/>
          <w:lang w:val="es-CR"/>
        </w:rPr>
        <w:t xml:space="preserve">supra, </w:t>
      </w:r>
      <w:proofErr w:type="spellStart"/>
      <w:r w:rsidRPr="00C83518">
        <w:rPr>
          <w:rFonts w:ascii="Verdana" w:hAnsi="Verdana"/>
          <w:lang w:val="es-CR"/>
        </w:rPr>
        <w:t>párrs</w:t>
      </w:r>
      <w:proofErr w:type="spellEnd"/>
      <w:r w:rsidRPr="00C83518">
        <w:rPr>
          <w:rFonts w:ascii="Verdana" w:hAnsi="Verdana"/>
          <w:lang w:val="es-CR"/>
        </w:rPr>
        <w:t xml:space="preserve">. 101 </w:t>
      </w:r>
      <w:r w:rsidR="00F200E2" w:rsidRPr="00C83518">
        <w:rPr>
          <w:rFonts w:ascii="Verdana" w:hAnsi="Verdana"/>
          <w:lang w:val="es-CR"/>
        </w:rPr>
        <w:t>y</w:t>
      </w:r>
      <w:r w:rsidRPr="00C83518">
        <w:rPr>
          <w:rFonts w:ascii="Verdana" w:hAnsi="Verdana"/>
          <w:lang w:val="es-CR"/>
        </w:rPr>
        <w:t xml:space="preserve"> 103</w:t>
      </w:r>
      <w:r w:rsidR="00F200E2" w:rsidRPr="00C83518">
        <w:rPr>
          <w:rFonts w:ascii="Verdana" w:hAnsi="Verdana"/>
          <w:lang w:val="es-CR"/>
        </w:rPr>
        <w:t>,</w:t>
      </w:r>
      <w:r w:rsidRPr="00C83518">
        <w:rPr>
          <w:rFonts w:ascii="Verdana" w:hAnsi="Verdana"/>
          <w:lang w:val="es-CR"/>
        </w:rPr>
        <w:t xml:space="preserve"> y </w:t>
      </w:r>
      <w:r w:rsidR="000E1707" w:rsidRPr="00C83518">
        <w:rPr>
          <w:rFonts w:ascii="Verdana" w:hAnsi="Verdana"/>
          <w:i/>
          <w:iCs/>
          <w:lang w:val="es-CR"/>
        </w:rPr>
        <w:t>Caso Hernández Vs. Argentina. Excepción Preliminar, Fondo, Reparaciones y Costas</w:t>
      </w:r>
      <w:r w:rsidR="000E1707" w:rsidRPr="00C83518">
        <w:rPr>
          <w:rFonts w:ascii="Verdana" w:hAnsi="Verdana"/>
          <w:lang w:val="es-CR"/>
        </w:rPr>
        <w:t>. Sentencia de 22 de noviembre de 2019. Serie C No. 395, párr. 104</w:t>
      </w:r>
      <w:r w:rsidRPr="00C83518">
        <w:rPr>
          <w:rFonts w:ascii="Verdana" w:hAnsi="Verdana"/>
          <w:lang w:val="es-CR"/>
        </w:rPr>
        <w:t>.</w:t>
      </w:r>
    </w:p>
  </w:footnote>
  <w:footnote w:id="74">
    <w:p w14:paraId="5BA17C6E" w14:textId="06740FCA" w:rsidR="00D15B00" w:rsidRPr="00C83518" w:rsidRDefault="00D15B00" w:rsidP="00526A50">
      <w:pPr>
        <w:pStyle w:val="Textonotapie"/>
        <w:spacing w:before="60" w:after="60"/>
        <w:jc w:val="both"/>
        <w:rPr>
          <w:rFonts w:ascii="Verdana" w:hAnsi="Verdana"/>
          <w:szCs w:val="16"/>
          <w:lang w:val="es-CR"/>
        </w:rPr>
      </w:pPr>
      <w:r w:rsidRPr="00B156D5">
        <w:rPr>
          <w:rStyle w:val="Refdenotaalpie"/>
          <w:rFonts w:ascii="Verdana" w:hAnsi="Verdana"/>
          <w:szCs w:val="16"/>
        </w:rPr>
        <w:footnoteRef/>
      </w:r>
      <w:r w:rsidRPr="007830FC">
        <w:rPr>
          <w:rFonts w:ascii="Verdana" w:hAnsi="Verdana"/>
          <w:szCs w:val="16"/>
          <w:lang w:val="es-CR"/>
        </w:rPr>
        <w:t xml:space="preserve"> </w:t>
      </w:r>
      <w:r w:rsidRPr="007830FC">
        <w:rPr>
          <w:rFonts w:ascii="Verdana" w:hAnsi="Verdana"/>
          <w:szCs w:val="16"/>
          <w:lang w:val="es-CR"/>
        </w:rPr>
        <w:tab/>
      </w:r>
      <w:r w:rsidRPr="007830FC">
        <w:rPr>
          <w:rFonts w:ascii="Verdana" w:hAnsi="Verdana"/>
          <w:i/>
          <w:szCs w:val="16"/>
          <w:lang w:val="es-CR"/>
        </w:rPr>
        <w:t>Cfr</w:t>
      </w:r>
      <w:r w:rsidRPr="007830FC">
        <w:rPr>
          <w:rFonts w:ascii="Verdana" w:hAnsi="Verdana"/>
          <w:szCs w:val="16"/>
          <w:lang w:val="es-CR"/>
        </w:rPr>
        <w:t xml:space="preserve">. </w:t>
      </w:r>
      <w:r w:rsidR="773FC355" w:rsidRPr="007830FC">
        <w:rPr>
          <w:rFonts w:ascii="Verdana" w:hAnsi="Verdana"/>
          <w:i/>
          <w:iCs/>
          <w:szCs w:val="16"/>
          <w:lang w:val="es-CR"/>
        </w:rPr>
        <w:t xml:space="preserve"> </w:t>
      </w:r>
      <w:r w:rsidR="001C2617" w:rsidRPr="007830FC">
        <w:rPr>
          <w:rFonts w:ascii="Verdana" w:hAnsi="Verdana"/>
          <w:i/>
          <w:iCs/>
          <w:szCs w:val="16"/>
          <w:lang w:val="es-CR"/>
        </w:rPr>
        <w:t xml:space="preserve">Caso Romero </w:t>
      </w:r>
      <w:proofErr w:type="spellStart"/>
      <w:r w:rsidR="001C2617" w:rsidRPr="007830FC">
        <w:rPr>
          <w:rFonts w:ascii="Verdana" w:hAnsi="Verdana"/>
          <w:i/>
          <w:iCs/>
          <w:szCs w:val="16"/>
          <w:lang w:val="es-CR"/>
        </w:rPr>
        <w:t>Feris</w:t>
      </w:r>
      <w:proofErr w:type="spellEnd"/>
      <w:r w:rsidR="001C2617" w:rsidRPr="007830FC">
        <w:rPr>
          <w:rFonts w:ascii="Verdana" w:hAnsi="Verdana"/>
          <w:i/>
          <w:iCs/>
          <w:szCs w:val="16"/>
          <w:lang w:val="es-CR"/>
        </w:rPr>
        <w:t xml:space="preserve"> Vs. </w:t>
      </w:r>
      <w:r w:rsidR="001C2617" w:rsidRPr="00C83518">
        <w:rPr>
          <w:rFonts w:ascii="Verdana" w:hAnsi="Verdana"/>
          <w:i/>
          <w:iCs/>
          <w:szCs w:val="16"/>
          <w:lang w:val="es-CR"/>
        </w:rPr>
        <w:t xml:space="preserve">Argentina. Fondo, Reparaciones y Costas. </w:t>
      </w:r>
      <w:r w:rsidR="001C2617" w:rsidRPr="00C83518">
        <w:rPr>
          <w:rFonts w:ascii="Verdana" w:hAnsi="Verdana"/>
          <w:szCs w:val="16"/>
          <w:lang w:val="es-CR"/>
        </w:rPr>
        <w:t>Sentencia de 15 de octubre de 2019. Serie C No. 391</w:t>
      </w:r>
      <w:r w:rsidR="773FC355" w:rsidRPr="00C83518">
        <w:rPr>
          <w:rFonts w:ascii="Verdana" w:hAnsi="Verdana"/>
          <w:szCs w:val="16"/>
          <w:lang w:val="es-CR"/>
        </w:rPr>
        <w:t>,</w:t>
      </w:r>
      <w:r w:rsidR="773FC355" w:rsidRPr="00C83518">
        <w:rPr>
          <w:rFonts w:ascii="Verdana" w:hAnsi="Verdana"/>
          <w:i/>
          <w:szCs w:val="16"/>
          <w:lang w:val="es-CR"/>
        </w:rPr>
        <w:t xml:space="preserve"> </w:t>
      </w:r>
      <w:r w:rsidR="773FC355" w:rsidRPr="00C83518">
        <w:rPr>
          <w:rFonts w:ascii="Verdana" w:hAnsi="Verdana"/>
          <w:szCs w:val="16"/>
          <w:lang w:val="es-CR"/>
        </w:rPr>
        <w:t>párr. 93</w:t>
      </w:r>
      <w:r w:rsidR="001C2617" w:rsidRPr="00C83518">
        <w:rPr>
          <w:rFonts w:ascii="Verdana" w:hAnsi="Verdana"/>
          <w:szCs w:val="16"/>
          <w:lang w:val="es-CR"/>
        </w:rPr>
        <w:t>.</w:t>
      </w:r>
    </w:p>
  </w:footnote>
  <w:footnote w:id="75">
    <w:p w14:paraId="03CCDC9C" w14:textId="38A4F7AC"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es-CR"/>
        </w:rPr>
        <w:t xml:space="preserve"> </w:t>
      </w:r>
      <w:r w:rsidRPr="00C83518">
        <w:rPr>
          <w:rFonts w:ascii="Verdana" w:hAnsi="Verdana"/>
          <w:szCs w:val="16"/>
          <w:lang w:val="es-CR"/>
        </w:rPr>
        <w:tab/>
      </w:r>
      <w:r w:rsidR="007970AE" w:rsidRPr="00C83518">
        <w:rPr>
          <w:rFonts w:ascii="Verdana" w:hAnsi="Verdana"/>
          <w:i/>
          <w:iCs/>
          <w:szCs w:val="16"/>
          <w:lang w:val="es-CR"/>
        </w:rPr>
        <w:t>Cfr</w:t>
      </w:r>
      <w:r w:rsidR="007970AE" w:rsidRPr="00C83518">
        <w:rPr>
          <w:rFonts w:ascii="Verdana" w:hAnsi="Verdana"/>
          <w:szCs w:val="16"/>
          <w:lang w:val="es-CR"/>
        </w:rPr>
        <w:t xml:space="preserve">., </w:t>
      </w:r>
      <w:r w:rsidR="007970AE" w:rsidRPr="00B156D5">
        <w:rPr>
          <w:rFonts w:ascii="Verdana" w:hAnsi="Verdana"/>
          <w:i/>
          <w:lang w:val="es-CR"/>
        </w:rPr>
        <w:t>m</w:t>
      </w:r>
      <w:r w:rsidRPr="00B156D5">
        <w:rPr>
          <w:rFonts w:ascii="Verdana" w:hAnsi="Verdana"/>
          <w:i/>
          <w:lang w:val="es-CR"/>
        </w:rPr>
        <w:t>utatis mutandis</w:t>
      </w:r>
      <w:r w:rsidR="00023E34" w:rsidRPr="00B156D5">
        <w:rPr>
          <w:rFonts w:ascii="Verdana" w:hAnsi="Verdana"/>
          <w:i/>
          <w:lang w:val="es-CR"/>
        </w:rPr>
        <w:t xml:space="preserve"> </w:t>
      </w:r>
      <w:r w:rsidRPr="00B156D5">
        <w:rPr>
          <w:rFonts w:ascii="Verdana" w:hAnsi="Verdana"/>
          <w:i/>
          <w:lang w:val="es-CR"/>
        </w:rPr>
        <w:t xml:space="preserve">Caso Herrera Ulloa Vs. </w:t>
      </w:r>
      <w:r w:rsidRPr="00B156D5">
        <w:rPr>
          <w:rFonts w:ascii="Verdana" w:hAnsi="Verdana"/>
          <w:i/>
        </w:rPr>
        <w:t>Costa Rica. Excepciones Preliminares, Fondo, Reparaciones y Costas</w:t>
      </w:r>
      <w:r w:rsidRPr="00B156D5">
        <w:rPr>
          <w:rFonts w:ascii="Verdana" w:hAnsi="Verdana"/>
        </w:rPr>
        <w:t>. Sentencia de 2 de julio de 2004. Serie C No. 107, párr. 174</w:t>
      </w:r>
      <w:r w:rsidR="00270B0C" w:rsidRPr="00B156D5">
        <w:rPr>
          <w:rFonts w:ascii="Verdana" w:hAnsi="Verdana"/>
        </w:rPr>
        <w:t>,</w:t>
      </w:r>
      <w:r w:rsidRPr="00B156D5">
        <w:rPr>
          <w:rFonts w:ascii="Verdana" w:hAnsi="Verdana"/>
        </w:rPr>
        <w:t xml:space="preserve"> y </w:t>
      </w:r>
      <w:r w:rsidRPr="00B156D5">
        <w:rPr>
          <w:rFonts w:ascii="Verdana" w:hAnsi="Verdana"/>
          <w:i/>
        </w:rPr>
        <w:t xml:space="preserve">Caso Romero Feris </w:t>
      </w:r>
      <w:r w:rsidR="1EA761A5" w:rsidRPr="00B156D5">
        <w:rPr>
          <w:rFonts w:ascii="Verdana" w:hAnsi="Verdana"/>
          <w:i/>
          <w:iCs/>
        </w:rPr>
        <w:t>Vs</w:t>
      </w:r>
      <w:r w:rsidRPr="00B156D5">
        <w:rPr>
          <w:rFonts w:ascii="Verdana" w:hAnsi="Verdana"/>
          <w:i/>
        </w:rPr>
        <w:t xml:space="preserve">. Argentina, supra, </w:t>
      </w:r>
      <w:r w:rsidRPr="00B156D5">
        <w:rPr>
          <w:rFonts w:ascii="Verdana" w:hAnsi="Verdana"/>
        </w:rPr>
        <w:t>párr. 95.</w:t>
      </w:r>
    </w:p>
  </w:footnote>
  <w:footnote w:id="76">
    <w:p w14:paraId="65380C82" w14:textId="07DDB40D"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Pr="00B156D5">
        <w:rPr>
          <w:rFonts w:ascii="Verdana" w:hAnsi="Verdana"/>
          <w:i/>
        </w:rPr>
        <w:t>Caso Norín Catrimán y otros (Dirigentes, Miembros y Activista del Pueblo Indígena Mapuche) Vs. Chile. Fondo, Reparaciones y Costas</w:t>
      </w:r>
      <w:r w:rsidRPr="00B156D5">
        <w:rPr>
          <w:rFonts w:ascii="Verdana" w:hAnsi="Verdana"/>
        </w:rPr>
        <w:t>. Sentencia de 29 de mayo de 2014. Serie C No. 279, párr. 311</w:t>
      </w:r>
      <w:r w:rsidR="00A31074" w:rsidRPr="00B156D5">
        <w:rPr>
          <w:rFonts w:ascii="Verdana" w:hAnsi="Verdana"/>
        </w:rPr>
        <w:t>;</w:t>
      </w:r>
      <w:r w:rsidRPr="00B156D5">
        <w:rPr>
          <w:rFonts w:ascii="Verdana" w:hAnsi="Verdana"/>
          <w:b/>
        </w:rPr>
        <w:t xml:space="preserve"> </w:t>
      </w:r>
      <w:r w:rsidRPr="00B156D5">
        <w:rPr>
          <w:rFonts w:ascii="Verdana" w:hAnsi="Verdana"/>
          <w:i/>
        </w:rPr>
        <w:t>Caso Chaparro Álvarez y Lapo Íñiguez Vs. Ecuador</w:t>
      </w:r>
      <w:r w:rsidRPr="00B156D5">
        <w:rPr>
          <w:rFonts w:ascii="Verdana" w:hAnsi="Verdana"/>
        </w:rPr>
        <w:t>, párr. 103</w:t>
      </w:r>
      <w:r w:rsidR="00A31074" w:rsidRPr="00B156D5">
        <w:rPr>
          <w:rFonts w:ascii="Verdana" w:hAnsi="Verdana"/>
        </w:rPr>
        <w:t>,</w:t>
      </w:r>
      <w:r w:rsidR="00023E34" w:rsidRPr="00B156D5">
        <w:rPr>
          <w:rFonts w:ascii="Verdana" w:hAnsi="Verdana"/>
        </w:rPr>
        <w:t xml:space="preserve"> </w:t>
      </w:r>
      <w:r w:rsidRPr="00B156D5">
        <w:rPr>
          <w:rFonts w:ascii="Verdana" w:hAnsi="Verdana"/>
        </w:rPr>
        <w:t xml:space="preserve">y </w:t>
      </w:r>
      <w:r w:rsidR="00F75DD2" w:rsidRPr="00B156D5">
        <w:rPr>
          <w:rFonts w:ascii="Verdana" w:hAnsi="Verdana"/>
          <w:i/>
          <w:iCs/>
        </w:rPr>
        <w:t>Caso González y otros Vs. Venezuela. Fondo y Reparaciones</w:t>
      </w:r>
      <w:r w:rsidR="00F75DD2" w:rsidRPr="00B156D5">
        <w:rPr>
          <w:rFonts w:ascii="Verdana" w:hAnsi="Verdana"/>
        </w:rPr>
        <w:t>. Sentencia de 20 de septiembre de 2021. Serie C No. 436, nota 110</w:t>
      </w:r>
      <w:r w:rsidR="00A31074" w:rsidRPr="00B156D5">
        <w:rPr>
          <w:rFonts w:ascii="Verdana" w:hAnsi="Verdana"/>
        </w:rPr>
        <w:t xml:space="preserve">. </w:t>
      </w:r>
      <w:r w:rsidR="00023E34" w:rsidRPr="00B156D5">
        <w:rPr>
          <w:rFonts w:ascii="Verdana" w:hAnsi="Verdana"/>
        </w:rPr>
        <w:t xml:space="preserve"> </w:t>
      </w:r>
    </w:p>
  </w:footnote>
  <w:footnote w:id="77">
    <w:p w14:paraId="14A4F8AC" w14:textId="25E41665" w:rsidR="00D15B00" w:rsidRPr="00B156D5"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 Caso López Álvarez Vs. Honduras. Fondo, Reparaciones y Costas</w:t>
      </w:r>
      <w:r w:rsidRPr="00B156D5">
        <w:rPr>
          <w:rFonts w:ascii="Verdana" w:hAnsi="Verdana"/>
        </w:rPr>
        <w:t xml:space="preserve">. Sentencia de 1 de febrero de 2006. </w:t>
      </w:r>
      <w:r w:rsidRPr="00B156D5">
        <w:rPr>
          <w:rFonts w:ascii="Verdana" w:hAnsi="Verdana"/>
          <w:lang w:val="es-CR"/>
        </w:rPr>
        <w:t>Serie C No. 141, párr. 69</w:t>
      </w:r>
      <w:r w:rsidR="00A31074" w:rsidRPr="00B156D5">
        <w:rPr>
          <w:rFonts w:ascii="Verdana" w:hAnsi="Verdana"/>
          <w:lang w:val="es-CR"/>
        </w:rPr>
        <w:t>,</w:t>
      </w:r>
      <w:r w:rsidR="00023E34" w:rsidRPr="00B156D5">
        <w:rPr>
          <w:rFonts w:ascii="Verdana" w:hAnsi="Verdana"/>
          <w:lang w:val="es-CR"/>
        </w:rPr>
        <w:t xml:space="preserve"> </w:t>
      </w:r>
      <w:r w:rsidRPr="00B156D5">
        <w:rPr>
          <w:rFonts w:ascii="Verdana" w:hAnsi="Verdana"/>
          <w:lang w:val="es-CR"/>
        </w:rPr>
        <w:t xml:space="preserve">y </w:t>
      </w:r>
      <w:r w:rsidRPr="00B156D5">
        <w:rPr>
          <w:rFonts w:ascii="Verdana" w:hAnsi="Verdana"/>
          <w:i/>
          <w:lang w:val="es-CR"/>
        </w:rPr>
        <w:t xml:space="preserve">Caso Romero Feris </w:t>
      </w:r>
      <w:r w:rsidR="1EA761A5" w:rsidRPr="00B156D5">
        <w:rPr>
          <w:rFonts w:ascii="Verdana" w:hAnsi="Verdana"/>
          <w:i/>
          <w:iCs/>
          <w:lang w:val="es-CR"/>
        </w:rPr>
        <w:t>Vs</w:t>
      </w:r>
      <w:r w:rsidRPr="00B156D5">
        <w:rPr>
          <w:rFonts w:ascii="Verdana" w:hAnsi="Verdana"/>
          <w:i/>
          <w:lang w:val="es-CR"/>
        </w:rPr>
        <w:t xml:space="preserve">. Argentina, supra, </w:t>
      </w:r>
      <w:r w:rsidRPr="00B156D5">
        <w:rPr>
          <w:rFonts w:ascii="Verdana" w:hAnsi="Verdana"/>
          <w:lang w:val="es-CR"/>
        </w:rPr>
        <w:t xml:space="preserve">párr. 97. </w:t>
      </w:r>
    </w:p>
  </w:footnote>
  <w:footnote w:id="78">
    <w:p w14:paraId="17E49DCD" w14:textId="4A71FDE2"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lang w:val="es-CR"/>
        </w:rPr>
        <w:t xml:space="preserve"> </w:t>
      </w:r>
      <w:r w:rsidRPr="00B156D5">
        <w:rPr>
          <w:rFonts w:ascii="Verdana" w:hAnsi="Verdana"/>
          <w:szCs w:val="16"/>
          <w:lang w:val="es-CR"/>
        </w:rPr>
        <w:tab/>
      </w:r>
      <w:r w:rsidRPr="00B156D5">
        <w:rPr>
          <w:rFonts w:ascii="Verdana" w:hAnsi="Verdana"/>
          <w:i/>
          <w:lang w:val="es-CR"/>
        </w:rPr>
        <w:t xml:space="preserve">Cfr. Caso Tibi Vs. </w:t>
      </w:r>
      <w:r w:rsidRPr="00B156D5">
        <w:rPr>
          <w:rFonts w:ascii="Verdana" w:hAnsi="Verdana"/>
          <w:i/>
        </w:rPr>
        <w:t>Ecuador, Excepciones Preliminares, Fondo, Reparaciones y Costas.</w:t>
      </w:r>
      <w:r w:rsidRPr="00B156D5">
        <w:rPr>
          <w:rFonts w:ascii="Verdana" w:hAnsi="Verdana"/>
        </w:rPr>
        <w:t xml:space="preserve"> Sentencia de 7 de septiembre de 2004. Serie C No. 114, párr. 106, </w:t>
      </w:r>
      <w:r w:rsidR="00661B9E" w:rsidRPr="00C83518">
        <w:rPr>
          <w:rFonts w:ascii="Verdana" w:hAnsi="Verdana"/>
          <w:lang w:val="es-CR"/>
        </w:rPr>
        <w:t xml:space="preserve">y </w:t>
      </w:r>
      <w:r w:rsidR="00661B9E" w:rsidRPr="00C83518">
        <w:rPr>
          <w:rFonts w:ascii="Verdana" w:hAnsi="Verdana"/>
          <w:i/>
          <w:iCs/>
          <w:lang w:val="es-CR"/>
        </w:rPr>
        <w:t>Caso Hernández Vs. Argentina, supra</w:t>
      </w:r>
      <w:r w:rsidR="00661B9E" w:rsidRPr="00C83518">
        <w:rPr>
          <w:rFonts w:ascii="Verdana" w:hAnsi="Verdana"/>
          <w:lang w:val="es-CR"/>
        </w:rPr>
        <w:t>, párr. 106.</w:t>
      </w:r>
    </w:p>
  </w:footnote>
  <w:footnote w:id="79">
    <w:p w14:paraId="3886879B" w14:textId="2419F309" w:rsidR="00D15B00" w:rsidRPr="00C83518" w:rsidRDefault="00D15B00" w:rsidP="00526A50">
      <w:pPr>
        <w:pStyle w:val="Textonotapie"/>
        <w:spacing w:before="60" w:after="60"/>
        <w:jc w:val="both"/>
        <w:rPr>
          <w:rFonts w:ascii="Verdana" w:hAnsi="Verdana"/>
          <w:szCs w:val="16"/>
          <w:lang w:val="es-CR"/>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Pr="00B156D5">
        <w:rPr>
          <w:rFonts w:ascii="Verdana" w:hAnsi="Verdana"/>
          <w:i/>
          <w:szCs w:val="16"/>
        </w:rPr>
        <w:t xml:space="preserve">Caso Chaparro Álvarez y Lapo Íñiguez Vs. </w:t>
      </w:r>
      <w:r w:rsidRPr="00C83518">
        <w:rPr>
          <w:rFonts w:ascii="Verdana" w:hAnsi="Verdana"/>
          <w:i/>
          <w:szCs w:val="16"/>
          <w:lang w:val="es-CR"/>
        </w:rPr>
        <w:t>Ecuador</w:t>
      </w:r>
      <w:r w:rsidRPr="00C83518">
        <w:rPr>
          <w:rFonts w:ascii="Verdana" w:hAnsi="Verdana"/>
          <w:szCs w:val="16"/>
          <w:lang w:val="es-CR"/>
        </w:rPr>
        <w:t xml:space="preserve">, </w:t>
      </w:r>
      <w:r w:rsidRPr="00C83518">
        <w:rPr>
          <w:rFonts w:ascii="Verdana" w:hAnsi="Verdana"/>
          <w:i/>
          <w:iCs/>
          <w:szCs w:val="16"/>
          <w:lang w:val="es-CR"/>
        </w:rPr>
        <w:t>supra,</w:t>
      </w:r>
      <w:r w:rsidRPr="00C83518">
        <w:rPr>
          <w:rFonts w:ascii="Verdana" w:hAnsi="Verdana"/>
          <w:szCs w:val="16"/>
          <w:lang w:val="es-CR"/>
        </w:rPr>
        <w:t xml:space="preserve"> párr. 103</w:t>
      </w:r>
      <w:r w:rsidR="00BF3694" w:rsidRPr="00C83518">
        <w:rPr>
          <w:rFonts w:ascii="Verdana" w:hAnsi="Verdana"/>
          <w:szCs w:val="16"/>
          <w:lang w:val="es-CR"/>
        </w:rPr>
        <w:t>,</w:t>
      </w:r>
      <w:r w:rsidRPr="00C83518">
        <w:rPr>
          <w:rFonts w:ascii="Verdana" w:hAnsi="Verdana"/>
          <w:szCs w:val="16"/>
          <w:lang w:val="es-CR"/>
        </w:rPr>
        <w:t xml:space="preserve"> y </w:t>
      </w:r>
      <w:r w:rsidR="003B1E04" w:rsidRPr="00B156D5">
        <w:rPr>
          <w:rFonts w:ascii="Verdana" w:hAnsi="Verdana"/>
          <w:i/>
          <w:iCs/>
        </w:rPr>
        <w:t>Caso Villarroel Merino y otros Vs. Ecuador. Excepciones preliminares, Fondo, Reparaciones y Costas</w:t>
      </w:r>
      <w:r w:rsidR="003B1E04" w:rsidRPr="00B156D5">
        <w:rPr>
          <w:rFonts w:ascii="Verdana" w:hAnsi="Verdana"/>
        </w:rPr>
        <w:t>. Sentencia de 24 de agosto de 2021. Serie C No. 430</w:t>
      </w:r>
      <w:r w:rsidR="003B1E04" w:rsidRPr="00B156D5">
        <w:rPr>
          <w:rFonts w:ascii="Verdana" w:hAnsi="Verdana"/>
          <w:i/>
        </w:rPr>
        <w:t xml:space="preserve">, </w:t>
      </w:r>
      <w:r w:rsidR="003B1E04" w:rsidRPr="00B156D5">
        <w:rPr>
          <w:rFonts w:ascii="Verdana" w:hAnsi="Verdana"/>
        </w:rPr>
        <w:t xml:space="preserve">párr. </w:t>
      </w:r>
      <w:r w:rsidR="00F93223" w:rsidRPr="00B156D5">
        <w:rPr>
          <w:rFonts w:ascii="Verdana" w:hAnsi="Verdana"/>
        </w:rPr>
        <w:t>83</w:t>
      </w:r>
      <w:r w:rsidR="5F57C339" w:rsidRPr="00B156D5">
        <w:rPr>
          <w:rFonts w:ascii="Verdana" w:hAnsi="Verdana"/>
          <w:szCs w:val="16"/>
        </w:rPr>
        <w:t>.</w:t>
      </w:r>
    </w:p>
  </w:footnote>
  <w:footnote w:id="80">
    <w:p w14:paraId="1C0D1FC0" w14:textId="408F2911"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es-CR"/>
        </w:rPr>
        <w:t xml:space="preserve"> </w:t>
      </w:r>
      <w:r w:rsidRPr="00C83518">
        <w:rPr>
          <w:rFonts w:ascii="Verdana" w:hAnsi="Verdana"/>
          <w:szCs w:val="16"/>
          <w:lang w:val="es-CR"/>
        </w:rPr>
        <w:tab/>
      </w:r>
      <w:r w:rsidRPr="00C83518">
        <w:rPr>
          <w:rFonts w:ascii="Verdana" w:hAnsi="Verdana"/>
          <w:i/>
          <w:lang w:val="es-CR"/>
        </w:rPr>
        <w:t xml:space="preserve">Cfr. Caso López Álvarez Vs. </w:t>
      </w:r>
      <w:r w:rsidRPr="00B156D5">
        <w:rPr>
          <w:rFonts w:ascii="Verdana" w:hAnsi="Verdana"/>
          <w:i/>
        </w:rPr>
        <w:t>Honduras</w:t>
      </w:r>
      <w:r w:rsidRPr="00B156D5">
        <w:rPr>
          <w:rFonts w:ascii="Verdana" w:hAnsi="Verdana"/>
        </w:rPr>
        <w:t xml:space="preserve">, </w:t>
      </w:r>
      <w:r w:rsidR="5DAE1105" w:rsidRPr="00B156D5">
        <w:rPr>
          <w:rFonts w:ascii="Verdana" w:hAnsi="Verdana"/>
          <w:i/>
        </w:rPr>
        <w:t xml:space="preserve">supra, </w:t>
      </w:r>
      <w:r w:rsidRPr="00B156D5">
        <w:rPr>
          <w:rFonts w:ascii="Verdana" w:hAnsi="Verdana"/>
        </w:rPr>
        <w:t>párr. 67</w:t>
      </w:r>
      <w:r w:rsidR="00F9382C" w:rsidRPr="00B156D5">
        <w:rPr>
          <w:rFonts w:ascii="Verdana" w:hAnsi="Verdana"/>
        </w:rPr>
        <w:t>, y</w:t>
      </w:r>
      <w:r w:rsidR="00023E34" w:rsidRPr="00B156D5">
        <w:rPr>
          <w:rFonts w:ascii="Verdana" w:hAnsi="Verdana"/>
        </w:rPr>
        <w:t xml:space="preserve"> </w:t>
      </w:r>
      <w:r w:rsidR="00F9382C" w:rsidRPr="00B156D5">
        <w:rPr>
          <w:rFonts w:ascii="Verdana" w:hAnsi="Verdana"/>
          <w:i/>
          <w:iCs/>
        </w:rPr>
        <w:t>Caso Villarroel Merino y otros Vs. Ecuador</w:t>
      </w:r>
      <w:r w:rsidR="00F93223" w:rsidRPr="00B156D5">
        <w:rPr>
          <w:rFonts w:ascii="Verdana" w:hAnsi="Verdana"/>
          <w:i/>
          <w:iCs/>
        </w:rPr>
        <w:t xml:space="preserve">, </w:t>
      </w:r>
      <w:proofErr w:type="gramStart"/>
      <w:r w:rsidR="00F93223" w:rsidRPr="00B156D5">
        <w:rPr>
          <w:rFonts w:ascii="Verdana" w:hAnsi="Verdana"/>
          <w:i/>
          <w:iCs/>
        </w:rPr>
        <w:t>supra</w:t>
      </w:r>
      <w:r w:rsidR="00023E34" w:rsidRPr="00B156D5">
        <w:rPr>
          <w:rFonts w:ascii="Verdana" w:hAnsi="Verdana"/>
        </w:rPr>
        <w:t xml:space="preserve"> </w:t>
      </w:r>
      <w:r w:rsidRPr="00B156D5">
        <w:rPr>
          <w:rFonts w:ascii="Verdana" w:hAnsi="Verdana"/>
          <w:i/>
        </w:rPr>
        <w:t>,</w:t>
      </w:r>
      <w:proofErr w:type="gramEnd"/>
      <w:r w:rsidRPr="00B156D5">
        <w:rPr>
          <w:rFonts w:ascii="Verdana" w:hAnsi="Verdana"/>
          <w:i/>
        </w:rPr>
        <w:t xml:space="preserve"> </w:t>
      </w:r>
      <w:r w:rsidRPr="00B156D5">
        <w:rPr>
          <w:rFonts w:ascii="Verdana" w:hAnsi="Verdana"/>
        </w:rPr>
        <w:t>párr.</w:t>
      </w:r>
      <w:r w:rsidR="00985625" w:rsidRPr="00B156D5">
        <w:rPr>
          <w:rFonts w:ascii="Verdana" w:hAnsi="Verdana"/>
        </w:rPr>
        <w:t xml:space="preserve"> </w:t>
      </w:r>
      <w:r w:rsidR="008C317B" w:rsidRPr="00B156D5">
        <w:rPr>
          <w:rFonts w:ascii="Verdana" w:hAnsi="Verdana"/>
        </w:rPr>
        <w:t>89</w:t>
      </w:r>
      <w:r w:rsidRPr="00B156D5">
        <w:rPr>
          <w:rFonts w:ascii="Verdana" w:hAnsi="Verdana"/>
        </w:rPr>
        <w:t>.</w:t>
      </w:r>
    </w:p>
  </w:footnote>
  <w:footnote w:id="81">
    <w:p w14:paraId="3E87C571" w14:textId="62285359"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 Caso Chaparro Álvarez y Lapo Íñiguez Vs. Ecuador</w:t>
      </w:r>
      <w:r w:rsidRPr="00B156D5">
        <w:rPr>
          <w:rFonts w:ascii="Verdana" w:hAnsi="Verdana"/>
        </w:rPr>
        <w:t xml:space="preserve">, </w:t>
      </w:r>
      <w:r w:rsidRPr="00B156D5">
        <w:rPr>
          <w:rFonts w:ascii="Verdana" w:hAnsi="Verdana"/>
          <w:i/>
        </w:rPr>
        <w:t xml:space="preserve">supra, </w:t>
      </w:r>
      <w:r w:rsidRPr="00B156D5">
        <w:rPr>
          <w:rFonts w:ascii="Verdana" w:hAnsi="Verdana"/>
        </w:rPr>
        <w:t>párr. 93</w:t>
      </w:r>
      <w:r w:rsidR="00BD4169" w:rsidRPr="00B156D5">
        <w:rPr>
          <w:rFonts w:ascii="Verdana" w:hAnsi="Verdana"/>
        </w:rPr>
        <w:t>,</w:t>
      </w:r>
      <w:r w:rsidR="00C275AA" w:rsidRPr="00C83518">
        <w:rPr>
          <w:rFonts w:ascii="Verdana" w:hAnsi="Verdana"/>
          <w:lang w:val="es-CR"/>
        </w:rPr>
        <w:t xml:space="preserve"> y</w:t>
      </w:r>
      <w:r w:rsidRPr="00C83518">
        <w:rPr>
          <w:rFonts w:ascii="Verdana" w:hAnsi="Verdana"/>
          <w:lang w:val="es-CR"/>
        </w:rPr>
        <w:t xml:space="preserve"> </w:t>
      </w:r>
      <w:r w:rsidR="00C275AA" w:rsidRPr="00C83518">
        <w:rPr>
          <w:rFonts w:ascii="Verdana" w:hAnsi="Verdana"/>
          <w:i/>
          <w:iCs/>
          <w:lang w:val="es-CR"/>
        </w:rPr>
        <w:t>Caso González y otros Vs. Venezuela</w:t>
      </w:r>
      <w:r w:rsidR="00C275AA" w:rsidRPr="00C83518">
        <w:rPr>
          <w:rFonts w:ascii="Verdana" w:hAnsi="Verdana"/>
          <w:lang w:val="es-CR"/>
        </w:rPr>
        <w:t xml:space="preserve">, </w:t>
      </w:r>
      <w:r w:rsidR="00C275AA" w:rsidRPr="00C83518">
        <w:rPr>
          <w:rFonts w:ascii="Verdana" w:hAnsi="Verdana"/>
          <w:i/>
          <w:iCs/>
          <w:lang w:val="es-CR"/>
        </w:rPr>
        <w:t>supra</w:t>
      </w:r>
      <w:r w:rsidR="00C275AA" w:rsidRPr="00C83518">
        <w:rPr>
          <w:rFonts w:ascii="Verdana" w:hAnsi="Verdana"/>
          <w:lang w:val="es-CR"/>
        </w:rPr>
        <w:t xml:space="preserve">, nota </w:t>
      </w:r>
      <w:r w:rsidR="00D2546E" w:rsidRPr="00C83518">
        <w:rPr>
          <w:rFonts w:ascii="Verdana" w:hAnsi="Verdana"/>
          <w:lang w:val="es-CR"/>
        </w:rPr>
        <w:t>113</w:t>
      </w:r>
      <w:r w:rsidRPr="00C83518">
        <w:rPr>
          <w:rFonts w:ascii="Verdana" w:hAnsi="Verdana"/>
          <w:lang w:val="es-CR"/>
        </w:rPr>
        <w:t>.</w:t>
      </w:r>
    </w:p>
  </w:footnote>
  <w:footnote w:id="82">
    <w:p w14:paraId="79AE5ED5" w14:textId="2BDD2ABE"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es-CR"/>
        </w:rPr>
        <w:t xml:space="preserve"> </w:t>
      </w:r>
      <w:r w:rsidRPr="00C83518">
        <w:rPr>
          <w:rFonts w:ascii="Verdana" w:hAnsi="Verdana"/>
          <w:szCs w:val="16"/>
          <w:lang w:val="es-CR"/>
        </w:rPr>
        <w:tab/>
      </w:r>
      <w:r w:rsidRPr="00C83518">
        <w:rPr>
          <w:rFonts w:ascii="Verdana" w:hAnsi="Verdana"/>
          <w:i/>
          <w:lang w:val="es-CR"/>
        </w:rPr>
        <w:t>Cfr</w:t>
      </w:r>
      <w:r w:rsidRPr="00C83518">
        <w:rPr>
          <w:rFonts w:ascii="Verdana" w:hAnsi="Verdana"/>
          <w:lang w:val="es-CR"/>
        </w:rPr>
        <w:t xml:space="preserve">. </w:t>
      </w:r>
      <w:r w:rsidRPr="00C83518">
        <w:rPr>
          <w:rFonts w:ascii="Verdana" w:hAnsi="Verdana"/>
          <w:i/>
          <w:lang w:val="es-CR"/>
        </w:rPr>
        <w:t xml:space="preserve">Caso Suárez Rosero Vs. </w:t>
      </w:r>
      <w:r w:rsidRPr="00B156D5">
        <w:rPr>
          <w:rFonts w:ascii="Verdana" w:hAnsi="Verdana"/>
          <w:i/>
        </w:rPr>
        <w:t xml:space="preserve">Ecuador. Fondo. </w:t>
      </w:r>
      <w:r w:rsidRPr="00B156D5">
        <w:rPr>
          <w:rFonts w:ascii="Verdana" w:hAnsi="Verdana"/>
        </w:rPr>
        <w:t>Sentencia de 12 de noviembre de 1997. Serie C No. 35, párr. 77</w:t>
      </w:r>
      <w:r w:rsidR="00610FC6" w:rsidRPr="00B156D5">
        <w:rPr>
          <w:rFonts w:ascii="Verdana" w:hAnsi="Verdana"/>
        </w:rPr>
        <w:t>;</w:t>
      </w:r>
      <w:r w:rsidRPr="00B156D5">
        <w:rPr>
          <w:rFonts w:ascii="Verdana" w:hAnsi="Verdana"/>
          <w:i/>
        </w:rPr>
        <w:t xml:space="preserve"> Caso Amrhein y otros Vs. Costa Rica</w:t>
      </w:r>
      <w:r w:rsidRPr="00B156D5">
        <w:rPr>
          <w:rFonts w:ascii="Verdana" w:hAnsi="Verdana"/>
        </w:rPr>
        <w:t xml:space="preserve">, </w:t>
      </w:r>
      <w:r w:rsidRPr="00B156D5">
        <w:rPr>
          <w:rFonts w:ascii="Verdana" w:hAnsi="Verdana"/>
          <w:i/>
        </w:rPr>
        <w:t>supra,</w:t>
      </w:r>
      <w:r w:rsidRPr="00B156D5">
        <w:rPr>
          <w:rFonts w:ascii="Verdana" w:hAnsi="Verdana"/>
        </w:rPr>
        <w:t xml:space="preserve"> párr. 356 </w:t>
      </w:r>
      <w:r w:rsidR="006C0164" w:rsidRPr="00C83518">
        <w:rPr>
          <w:rFonts w:ascii="Verdana" w:hAnsi="Verdana"/>
          <w:lang w:val="es-CR"/>
        </w:rPr>
        <w:t xml:space="preserve">y </w:t>
      </w:r>
      <w:r w:rsidR="006C0164" w:rsidRPr="00C83518">
        <w:rPr>
          <w:rFonts w:ascii="Verdana" w:hAnsi="Verdana"/>
          <w:i/>
          <w:iCs/>
          <w:lang w:val="es-CR"/>
        </w:rPr>
        <w:t>Caso González y otros Vs. Venezuela</w:t>
      </w:r>
      <w:r w:rsidR="006C0164" w:rsidRPr="00C83518">
        <w:rPr>
          <w:rFonts w:ascii="Verdana" w:hAnsi="Verdana"/>
          <w:lang w:val="es-CR"/>
        </w:rPr>
        <w:t xml:space="preserve">, </w:t>
      </w:r>
      <w:r w:rsidR="006C0164" w:rsidRPr="00C83518">
        <w:rPr>
          <w:rFonts w:ascii="Verdana" w:hAnsi="Verdana"/>
          <w:i/>
          <w:iCs/>
          <w:lang w:val="es-CR"/>
        </w:rPr>
        <w:t>supra</w:t>
      </w:r>
      <w:r w:rsidR="006C0164" w:rsidRPr="00C83518">
        <w:rPr>
          <w:rFonts w:ascii="Verdana" w:hAnsi="Verdana"/>
          <w:lang w:val="es-CR"/>
        </w:rPr>
        <w:t>, párr. 98</w:t>
      </w:r>
      <w:r w:rsidRPr="00B156D5">
        <w:rPr>
          <w:rFonts w:ascii="Verdana" w:hAnsi="Verdana"/>
        </w:rPr>
        <w:t xml:space="preserve">. </w:t>
      </w:r>
    </w:p>
  </w:footnote>
  <w:footnote w:id="83">
    <w:p w14:paraId="317908F7" w14:textId="66BC719A"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 xml:space="preserve">Cfr. </w:t>
      </w:r>
      <w:r w:rsidR="00F40028" w:rsidRPr="00B156D5">
        <w:rPr>
          <w:rFonts w:ascii="Verdana" w:hAnsi="Verdana"/>
          <w:i/>
        </w:rPr>
        <w:t>Caso Amrhein y otros Vs. Costa Rica. Excepciones Preliminares, Fondo, Reparaciones y Costas</w:t>
      </w:r>
      <w:r w:rsidR="00F40028" w:rsidRPr="00B156D5">
        <w:rPr>
          <w:rFonts w:ascii="Verdana" w:hAnsi="Verdana"/>
          <w:iCs/>
        </w:rPr>
        <w:t>. Sentencia de 25 de abril de 2018. Serie C No. 354</w:t>
      </w:r>
      <w:r w:rsidRPr="00B156D5">
        <w:rPr>
          <w:rFonts w:ascii="Verdana" w:hAnsi="Verdana"/>
        </w:rPr>
        <w:t>, párr. 357</w:t>
      </w:r>
      <w:r w:rsidR="00ED3CAF" w:rsidRPr="00B156D5">
        <w:rPr>
          <w:rFonts w:ascii="Verdana" w:hAnsi="Verdana"/>
        </w:rPr>
        <w:t>;</w:t>
      </w:r>
      <w:r w:rsidRPr="00B156D5">
        <w:rPr>
          <w:rFonts w:ascii="Verdana" w:hAnsi="Verdana"/>
        </w:rPr>
        <w:t xml:space="preserve"> </w:t>
      </w:r>
      <w:r w:rsidRPr="00B156D5">
        <w:rPr>
          <w:rFonts w:ascii="Verdana" w:hAnsi="Verdana"/>
          <w:i/>
          <w:spacing w:val="-4"/>
        </w:rPr>
        <w:t>Caso Barreto Leiva Vs. Venezuela</w:t>
      </w:r>
      <w:r w:rsidRPr="00B156D5">
        <w:rPr>
          <w:rFonts w:ascii="Verdana" w:hAnsi="Verdana"/>
          <w:i/>
        </w:rPr>
        <w:t>, supra</w:t>
      </w:r>
      <w:r w:rsidRPr="00B156D5">
        <w:rPr>
          <w:rFonts w:ascii="Verdana" w:hAnsi="Verdana"/>
          <w:spacing w:val="-4"/>
        </w:rPr>
        <w:t xml:space="preserve">, párr. </w:t>
      </w:r>
      <w:r w:rsidRPr="00C83518">
        <w:rPr>
          <w:rFonts w:ascii="Verdana" w:hAnsi="Verdana"/>
          <w:spacing w:val="-4"/>
          <w:lang w:val="es-CR"/>
        </w:rPr>
        <w:t>115</w:t>
      </w:r>
      <w:r w:rsidR="00ED3CAF" w:rsidRPr="00C83518">
        <w:rPr>
          <w:rFonts w:ascii="Verdana" w:hAnsi="Verdana"/>
          <w:spacing w:val="-4"/>
          <w:lang w:val="es-CR"/>
        </w:rPr>
        <w:t>,</w:t>
      </w:r>
      <w:r w:rsidRPr="00C83518">
        <w:rPr>
          <w:rFonts w:ascii="Verdana" w:hAnsi="Verdana"/>
          <w:lang w:val="es-CR"/>
        </w:rPr>
        <w:t xml:space="preserve"> </w:t>
      </w:r>
      <w:r w:rsidR="00CD6567" w:rsidRPr="00C83518">
        <w:rPr>
          <w:rFonts w:ascii="Verdana" w:hAnsi="Verdana"/>
          <w:lang w:val="es-CR"/>
        </w:rPr>
        <w:t xml:space="preserve">y </w:t>
      </w:r>
      <w:r w:rsidR="00CD6567" w:rsidRPr="00C83518">
        <w:rPr>
          <w:rFonts w:ascii="Verdana" w:hAnsi="Verdana"/>
          <w:i/>
          <w:iCs/>
          <w:lang w:val="es-CR"/>
        </w:rPr>
        <w:t>Caso González y otros Vs. Venezuela</w:t>
      </w:r>
      <w:r w:rsidR="00CD6567" w:rsidRPr="00C83518">
        <w:rPr>
          <w:rFonts w:ascii="Verdana" w:hAnsi="Verdana"/>
          <w:lang w:val="es-CR"/>
        </w:rPr>
        <w:t xml:space="preserve">, </w:t>
      </w:r>
      <w:r w:rsidR="00CD6567" w:rsidRPr="00C83518">
        <w:rPr>
          <w:rFonts w:ascii="Verdana" w:hAnsi="Verdana"/>
          <w:i/>
          <w:iCs/>
          <w:lang w:val="es-CR"/>
        </w:rPr>
        <w:t>supra</w:t>
      </w:r>
      <w:r w:rsidR="00CD6567" w:rsidRPr="00C83518">
        <w:rPr>
          <w:rFonts w:ascii="Verdana" w:hAnsi="Verdana"/>
          <w:lang w:val="es-CR"/>
        </w:rPr>
        <w:t>, párr. 102</w:t>
      </w:r>
      <w:r w:rsidR="00CD6567" w:rsidRPr="00B156D5">
        <w:rPr>
          <w:rFonts w:ascii="Verdana" w:hAnsi="Verdana"/>
        </w:rPr>
        <w:t xml:space="preserve">. </w:t>
      </w:r>
      <w:r w:rsidR="00023E34" w:rsidRPr="00C83518">
        <w:rPr>
          <w:rFonts w:ascii="Verdana" w:hAnsi="Verdana"/>
          <w:lang w:val="es-CR"/>
        </w:rPr>
        <w:t xml:space="preserve"> </w:t>
      </w:r>
    </w:p>
  </w:footnote>
  <w:footnote w:id="84">
    <w:p w14:paraId="0B5AD5DA" w14:textId="4F548A71"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C83518">
        <w:rPr>
          <w:rFonts w:ascii="Verdana" w:hAnsi="Verdana"/>
          <w:vertAlign w:val="superscript"/>
          <w:lang w:val="es-CR"/>
        </w:rPr>
        <w:t xml:space="preserve"> </w:t>
      </w:r>
      <w:r w:rsidRPr="00C83518">
        <w:rPr>
          <w:rFonts w:ascii="Verdana" w:hAnsi="Verdana"/>
          <w:szCs w:val="16"/>
          <w:lang w:val="es-CR"/>
        </w:rPr>
        <w:tab/>
      </w:r>
      <w:r w:rsidRPr="00C83518">
        <w:rPr>
          <w:rFonts w:ascii="Verdana" w:hAnsi="Verdana"/>
          <w:i/>
          <w:lang w:val="es-CR"/>
        </w:rPr>
        <w:t>Cfr.</w:t>
      </w:r>
      <w:r w:rsidRPr="00C83518">
        <w:rPr>
          <w:rFonts w:ascii="Verdana" w:hAnsi="Verdana"/>
          <w:lang w:val="es-CR"/>
        </w:rPr>
        <w:t xml:space="preserve"> </w:t>
      </w:r>
      <w:r w:rsidRPr="00C83518">
        <w:rPr>
          <w:rFonts w:ascii="Verdana" w:hAnsi="Verdana"/>
          <w:i/>
          <w:lang w:val="es-CR"/>
        </w:rPr>
        <w:t xml:space="preserve">Caso </w:t>
      </w:r>
      <w:proofErr w:type="spellStart"/>
      <w:r w:rsidRPr="00C83518">
        <w:rPr>
          <w:rFonts w:ascii="Verdana" w:hAnsi="Verdana"/>
          <w:i/>
          <w:lang w:val="es-CR"/>
        </w:rPr>
        <w:t>Amrhein</w:t>
      </w:r>
      <w:proofErr w:type="spellEnd"/>
      <w:r w:rsidRPr="00C83518">
        <w:rPr>
          <w:rFonts w:ascii="Verdana" w:hAnsi="Verdana"/>
          <w:i/>
          <w:lang w:val="es-CR"/>
        </w:rPr>
        <w:t xml:space="preserve"> y otros Vs. Costa Rica, </w:t>
      </w:r>
      <w:r w:rsidRPr="00C83518">
        <w:rPr>
          <w:rFonts w:ascii="Verdana" w:hAnsi="Verdana"/>
          <w:i/>
          <w:iCs/>
          <w:lang w:val="es-CR"/>
        </w:rPr>
        <w:t>supra</w:t>
      </w:r>
      <w:r w:rsidRPr="00C83518">
        <w:rPr>
          <w:rFonts w:ascii="Verdana" w:hAnsi="Verdana"/>
          <w:lang w:val="es-CR"/>
        </w:rPr>
        <w:t>, párr. 357</w:t>
      </w:r>
      <w:r w:rsidR="004F6E3F" w:rsidRPr="00C83518">
        <w:rPr>
          <w:rFonts w:ascii="Verdana" w:hAnsi="Verdana"/>
          <w:spacing w:val="-4"/>
          <w:lang w:val="es-CR"/>
        </w:rPr>
        <w:t>,</w:t>
      </w:r>
      <w:r w:rsidR="004F6E3F" w:rsidRPr="00C83518">
        <w:rPr>
          <w:rFonts w:ascii="Verdana" w:hAnsi="Verdana"/>
          <w:lang w:val="es-CR"/>
        </w:rPr>
        <w:t xml:space="preserve"> y </w:t>
      </w:r>
      <w:r w:rsidR="004F6E3F" w:rsidRPr="00C83518">
        <w:rPr>
          <w:rFonts w:ascii="Verdana" w:hAnsi="Verdana"/>
          <w:i/>
          <w:iCs/>
          <w:lang w:val="es-CR"/>
        </w:rPr>
        <w:t>Caso González y otros Vs. Venezuela</w:t>
      </w:r>
      <w:r w:rsidR="004F6E3F" w:rsidRPr="00C83518">
        <w:rPr>
          <w:rFonts w:ascii="Verdana" w:hAnsi="Verdana"/>
          <w:lang w:val="es-CR"/>
        </w:rPr>
        <w:t xml:space="preserve">, </w:t>
      </w:r>
      <w:r w:rsidR="004F6E3F" w:rsidRPr="00C83518">
        <w:rPr>
          <w:rFonts w:ascii="Verdana" w:hAnsi="Verdana"/>
          <w:i/>
          <w:iCs/>
          <w:lang w:val="es-CR"/>
        </w:rPr>
        <w:t>supra</w:t>
      </w:r>
      <w:r w:rsidR="004F6E3F" w:rsidRPr="00C83518">
        <w:rPr>
          <w:rFonts w:ascii="Verdana" w:hAnsi="Verdana"/>
          <w:lang w:val="es-CR"/>
        </w:rPr>
        <w:t>, párr. 100</w:t>
      </w:r>
      <w:r w:rsidR="004F6E3F" w:rsidRPr="00B156D5">
        <w:rPr>
          <w:rFonts w:ascii="Verdana" w:hAnsi="Verdana"/>
        </w:rPr>
        <w:t>.</w:t>
      </w:r>
      <w:r w:rsidR="00023E34" w:rsidRPr="00B156D5">
        <w:rPr>
          <w:rFonts w:ascii="Verdana" w:hAnsi="Verdana"/>
        </w:rPr>
        <w:t xml:space="preserve"> </w:t>
      </w:r>
      <w:r w:rsidR="00023E34" w:rsidRPr="00C83518">
        <w:rPr>
          <w:rFonts w:ascii="Verdana" w:hAnsi="Verdana"/>
          <w:i/>
          <w:iCs/>
          <w:lang w:val="es-CR"/>
        </w:rPr>
        <w:t xml:space="preserve"> </w:t>
      </w:r>
    </w:p>
  </w:footnote>
  <w:footnote w:id="85">
    <w:p w14:paraId="0B59C1AD" w14:textId="0E4DC8FE"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vertAlign w:val="superscript"/>
        </w:rPr>
        <w:t xml:space="preserve"> </w:t>
      </w:r>
      <w:r w:rsidRPr="00B156D5">
        <w:rPr>
          <w:rFonts w:ascii="Verdana" w:hAnsi="Verdana"/>
          <w:szCs w:val="16"/>
        </w:rPr>
        <w:tab/>
      </w:r>
      <w:r w:rsidRPr="00B156D5">
        <w:rPr>
          <w:rFonts w:ascii="Verdana" w:hAnsi="Verdana"/>
          <w:i/>
          <w:lang w:val="es-PR"/>
        </w:rPr>
        <w:t>Cfr.</w:t>
      </w:r>
      <w:r w:rsidRPr="00B156D5">
        <w:rPr>
          <w:rFonts w:ascii="Verdana" w:hAnsi="Verdana"/>
        </w:rPr>
        <w:t xml:space="preserve"> </w:t>
      </w:r>
      <w:r w:rsidRPr="00B156D5">
        <w:rPr>
          <w:rFonts w:ascii="Verdana" w:hAnsi="Verdana"/>
          <w:i/>
        </w:rPr>
        <w:t xml:space="preserve">Caso Amrhein y otros Vs. </w:t>
      </w:r>
      <w:r w:rsidRPr="00C83518">
        <w:rPr>
          <w:rFonts w:ascii="Verdana" w:hAnsi="Verdana"/>
          <w:i/>
          <w:lang w:val="es-CR"/>
        </w:rPr>
        <w:t xml:space="preserve">Costa Rica, </w:t>
      </w:r>
      <w:r w:rsidRPr="00C83518">
        <w:rPr>
          <w:rFonts w:ascii="Verdana" w:hAnsi="Verdana"/>
          <w:i/>
          <w:iCs/>
          <w:lang w:val="es-CR"/>
        </w:rPr>
        <w:t>supra</w:t>
      </w:r>
      <w:r w:rsidRPr="00C83518">
        <w:rPr>
          <w:rFonts w:ascii="Verdana" w:hAnsi="Verdana"/>
          <w:lang w:val="es-CR"/>
        </w:rPr>
        <w:t>, párr. 357</w:t>
      </w:r>
      <w:r w:rsidR="0038120D" w:rsidRPr="00C83518">
        <w:rPr>
          <w:rFonts w:ascii="Verdana" w:hAnsi="Verdana"/>
          <w:lang w:val="es-CR"/>
        </w:rPr>
        <w:t>,</w:t>
      </w:r>
      <w:r w:rsidRPr="00C83518">
        <w:rPr>
          <w:rFonts w:ascii="Verdana" w:hAnsi="Verdana"/>
          <w:lang w:val="es-CR"/>
        </w:rPr>
        <w:t xml:space="preserve"> </w:t>
      </w:r>
      <w:r w:rsidR="0038120D" w:rsidRPr="00C83518">
        <w:rPr>
          <w:rFonts w:ascii="Verdana" w:hAnsi="Verdana"/>
          <w:lang w:val="es-CR"/>
        </w:rPr>
        <w:t xml:space="preserve">y </w:t>
      </w:r>
      <w:r w:rsidR="0038120D" w:rsidRPr="00C83518">
        <w:rPr>
          <w:rFonts w:ascii="Verdana" w:hAnsi="Verdana"/>
          <w:i/>
          <w:iCs/>
          <w:lang w:val="es-CR"/>
        </w:rPr>
        <w:t>Caso Hernández Vs. Argentina, supra</w:t>
      </w:r>
      <w:r w:rsidR="0038120D" w:rsidRPr="00C83518">
        <w:rPr>
          <w:rFonts w:ascii="Verdana" w:hAnsi="Verdana"/>
          <w:lang w:val="es-CR"/>
        </w:rPr>
        <w:t>, párr. 109</w:t>
      </w:r>
      <w:r w:rsidRPr="00C83518">
        <w:rPr>
          <w:rFonts w:ascii="Verdana" w:hAnsi="Verdana"/>
          <w:lang w:val="es-CR"/>
        </w:rPr>
        <w:t>.</w:t>
      </w:r>
    </w:p>
  </w:footnote>
  <w:footnote w:id="86">
    <w:p w14:paraId="0D67CA70" w14:textId="69CEB273"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7830FC">
        <w:rPr>
          <w:rFonts w:ascii="Verdana" w:hAnsi="Verdana"/>
          <w:lang w:val="es-CR"/>
        </w:rPr>
        <w:t xml:space="preserve"> </w:t>
      </w:r>
      <w:r w:rsidRPr="007830FC">
        <w:rPr>
          <w:rFonts w:ascii="Verdana" w:hAnsi="Verdana"/>
          <w:szCs w:val="16"/>
          <w:lang w:val="es-CR"/>
        </w:rPr>
        <w:tab/>
      </w:r>
      <w:r w:rsidRPr="007830FC">
        <w:rPr>
          <w:rFonts w:ascii="Verdana" w:hAnsi="Verdana"/>
          <w:i/>
          <w:lang w:val="es-CR"/>
        </w:rPr>
        <w:t>Cfr</w:t>
      </w:r>
      <w:r w:rsidRPr="007830FC">
        <w:rPr>
          <w:rFonts w:ascii="Verdana" w:hAnsi="Verdana"/>
          <w:lang w:val="es-CR"/>
        </w:rPr>
        <w:t xml:space="preserve">. </w:t>
      </w:r>
      <w:r w:rsidR="335618CF" w:rsidRPr="007830FC">
        <w:rPr>
          <w:rFonts w:ascii="Verdana" w:hAnsi="Verdana"/>
          <w:i/>
          <w:iCs/>
          <w:lang w:val="es-CR"/>
        </w:rPr>
        <w:t xml:space="preserve"> Caso Romero </w:t>
      </w:r>
      <w:proofErr w:type="spellStart"/>
      <w:r w:rsidR="335618CF" w:rsidRPr="007830FC">
        <w:rPr>
          <w:rFonts w:ascii="Verdana" w:hAnsi="Verdana"/>
          <w:i/>
          <w:iCs/>
          <w:lang w:val="es-CR"/>
        </w:rPr>
        <w:t>Feris</w:t>
      </w:r>
      <w:proofErr w:type="spellEnd"/>
      <w:r w:rsidR="1EA761A5" w:rsidRPr="007830FC">
        <w:rPr>
          <w:rFonts w:ascii="Verdana" w:hAnsi="Verdana"/>
          <w:i/>
          <w:iCs/>
          <w:lang w:val="es-CR"/>
        </w:rPr>
        <w:t xml:space="preserve"> Vs. </w:t>
      </w:r>
      <w:r w:rsidR="1EA761A5" w:rsidRPr="00C83518">
        <w:rPr>
          <w:rFonts w:ascii="Verdana" w:hAnsi="Verdana"/>
          <w:i/>
          <w:iCs/>
          <w:lang w:val="es-CR"/>
        </w:rPr>
        <w:t>Argentina</w:t>
      </w:r>
      <w:r w:rsidR="335618CF" w:rsidRPr="00C83518">
        <w:rPr>
          <w:rFonts w:ascii="Verdana" w:hAnsi="Verdana"/>
          <w:i/>
          <w:iCs/>
          <w:lang w:val="es-CR"/>
        </w:rPr>
        <w:t>, supra,</w:t>
      </w:r>
      <w:r w:rsidR="335618CF" w:rsidRPr="00C83518">
        <w:rPr>
          <w:rFonts w:ascii="Verdana" w:hAnsi="Verdana"/>
          <w:lang w:val="es-CR"/>
        </w:rPr>
        <w:t xml:space="preserve"> párr. 101</w:t>
      </w:r>
      <w:r w:rsidR="009947EE" w:rsidRPr="00C83518">
        <w:rPr>
          <w:rFonts w:ascii="Verdana" w:hAnsi="Verdana"/>
          <w:lang w:val="es-CR"/>
        </w:rPr>
        <w:t xml:space="preserve">, y </w:t>
      </w:r>
      <w:r w:rsidR="009947EE" w:rsidRPr="00B156D5">
        <w:rPr>
          <w:rFonts w:ascii="Verdana" w:hAnsi="Verdana"/>
          <w:i/>
          <w:iCs/>
        </w:rPr>
        <w:t>Caso Villarroel Merino y otros Vs. Ecuador, supra</w:t>
      </w:r>
      <w:r w:rsidR="009947EE" w:rsidRPr="00B156D5">
        <w:rPr>
          <w:rFonts w:ascii="Verdana" w:hAnsi="Verdana"/>
          <w:i/>
        </w:rPr>
        <w:t xml:space="preserve">, </w:t>
      </w:r>
      <w:r w:rsidR="009947EE" w:rsidRPr="00B156D5">
        <w:rPr>
          <w:rFonts w:ascii="Verdana" w:hAnsi="Verdana"/>
        </w:rPr>
        <w:t xml:space="preserve">párr. </w:t>
      </w:r>
      <w:r w:rsidR="00D92F92" w:rsidRPr="00B156D5">
        <w:rPr>
          <w:rFonts w:ascii="Verdana" w:hAnsi="Verdana"/>
        </w:rPr>
        <w:t>93.</w:t>
      </w:r>
      <w:r w:rsidR="00D20381" w:rsidRPr="00C83518">
        <w:rPr>
          <w:rFonts w:ascii="Verdana" w:hAnsi="Verdana"/>
          <w:lang w:val="es-CR"/>
        </w:rPr>
        <w:t xml:space="preserve"> </w:t>
      </w:r>
      <w:r w:rsidRPr="00B156D5">
        <w:rPr>
          <w:rFonts w:ascii="Verdana" w:hAnsi="Verdana"/>
        </w:rPr>
        <w:t xml:space="preserve"> </w:t>
      </w:r>
    </w:p>
  </w:footnote>
  <w:footnote w:id="87">
    <w:p w14:paraId="61CDF431" w14:textId="6025FF6B"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 xml:space="preserve">Cfr. Caso Bayarri Vs. Argentina. Excepción Preliminar, Fondo, Reparaciones y Costas. </w:t>
      </w:r>
      <w:r w:rsidRPr="00B156D5">
        <w:rPr>
          <w:rFonts w:ascii="Verdana" w:hAnsi="Verdana"/>
        </w:rPr>
        <w:t>Sentencia de 30 de octubre de 2008. Serie C No. 187</w:t>
      </w:r>
      <w:r w:rsidRPr="00B156D5">
        <w:rPr>
          <w:rFonts w:ascii="Verdana" w:hAnsi="Verdana" w:cs="Calibri"/>
        </w:rPr>
        <w:t>, párr. 74</w:t>
      </w:r>
      <w:r w:rsidR="007D1F60" w:rsidRPr="00B156D5">
        <w:rPr>
          <w:rFonts w:ascii="Verdana" w:hAnsi="Verdana" w:cs="Calibri"/>
        </w:rPr>
        <w:t>,</w:t>
      </w:r>
      <w:r w:rsidRPr="00B156D5">
        <w:rPr>
          <w:rFonts w:ascii="Verdana" w:hAnsi="Verdana" w:cs="Calibri"/>
        </w:rPr>
        <w:t xml:space="preserve"> </w:t>
      </w:r>
      <w:r w:rsidR="007D1F60" w:rsidRPr="00C83518">
        <w:rPr>
          <w:rFonts w:ascii="Verdana" w:hAnsi="Verdana"/>
          <w:lang w:val="es-CR"/>
        </w:rPr>
        <w:t xml:space="preserve">y </w:t>
      </w:r>
      <w:r w:rsidR="007D1F60" w:rsidRPr="00B156D5">
        <w:rPr>
          <w:rFonts w:ascii="Verdana" w:hAnsi="Verdana"/>
          <w:i/>
          <w:iCs/>
        </w:rPr>
        <w:t>Caso Villarroel Merino y otros Vs. Ecuador, supra</w:t>
      </w:r>
      <w:r w:rsidR="007D1F60" w:rsidRPr="00B156D5">
        <w:rPr>
          <w:rFonts w:ascii="Verdana" w:hAnsi="Verdana"/>
          <w:i/>
        </w:rPr>
        <w:t xml:space="preserve">, </w:t>
      </w:r>
      <w:r w:rsidR="007D1F60" w:rsidRPr="00B156D5">
        <w:rPr>
          <w:rFonts w:ascii="Verdana" w:hAnsi="Verdana"/>
        </w:rPr>
        <w:t>párr. 91</w:t>
      </w:r>
      <w:r w:rsidRPr="00B156D5">
        <w:rPr>
          <w:rFonts w:ascii="Verdana" w:hAnsi="Verdana"/>
        </w:rPr>
        <w:t>.</w:t>
      </w:r>
    </w:p>
  </w:footnote>
  <w:footnote w:id="88">
    <w:p w14:paraId="34C0EB79" w14:textId="50007CA7"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7830FC">
        <w:rPr>
          <w:rFonts w:ascii="Verdana" w:hAnsi="Verdana"/>
          <w:lang w:val="es-CR"/>
        </w:rPr>
        <w:t xml:space="preserve"> </w:t>
      </w:r>
      <w:r w:rsidRPr="007830FC">
        <w:rPr>
          <w:rFonts w:ascii="Verdana" w:hAnsi="Verdana"/>
          <w:szCs w:val="16"/>
          <w:lang w:val="es-CR"/>
        </w:rPr>
        <w:tab/>
      </w:r>
      <w:r w:rsidRPr="007830FC">
        <w:rPr>
          <w:rFonts w:ascii="Verdana" w:hAnsi="Verdana"/>
          <w:i/>
          <w:lang w:val="es-CR"/>
        </w:rPr>
        <w:t>Cfr.</w:t>
      </w:r>
      <w:r w:rsidRPr="007830FC">
        <w:rPr>
          <w:rFonts w:ascii="Verdana" w:hAnsi="Verdana"/>
          <w:lang w:val="es-CR"/>
        </w:rPr>
        <w:t xml:space="preserve"> </w:t>
      </w:r>
      <w:r w:rsidRPr="007830FC">
        <w:rPr>
          <w:rFonts w:ascii="Verdana" w:hAnsi="Verdana"/>
          <w:i/>
          <w:iCs/>
          <w:lang w:val="es-CR"/>
        </w:rPr>
        <w:t xml:space="preserve">Caso Romero </w:t>
      </w:r>
      <w:proofErr w:type="spellStart"/>
      <w:r w:rsidRPr="007830FC">
        <w:rPr>
          <w:rFonts w:ascii="Verdana" w:hAnsi="Verdana"/>
          <w:i/>
          <w:iCs/>
          <w:lang w:val="es-CR"/>
        </w:rPr>
        <w:t>Feris</w:t>
      </w:r>
      <w:proofErr w:type="spellEnd"/>
      <w:r w:rsidR="1EA761A5" w:rsidRPr="007830FC">
        <w:rPr>
          <w:rFonts w:ascii="Verdana" w:hAnsi="Verdana"/>
          <w:i/>
          <w:iCs/>
          <w:lang w:val="es-CR"/>
        </w:rPr>
        <w:t xml:space="preserve"> Vs. </w:t>
      </w:r>
      <w:r w:rsidR="1EA761A5" w:rsidRPr="00B156D5">
        <w:rPr>
          <w:rFonts w:ascii="Verdana" w:hAnsi="Verdana"/>
          <w:i/>
          <w:iCs/>
        </w:rPr>
        <w:t>Argentina</w:t>
      </w:r>
      <w:r w:rsidRPr="00B156D5">
        <w:rPr>
          <w:rFonts w:ascii="Verdana" w:hAnsi="Verdana"/>
          <w:i/>
          <w:iCs/>
        </w:rPr>
        <w:t xml:space="preserve">, supra, </w:t>
      </w:r>
      <w:r w:rsidRPr="00B156D5">
        <w:rPr>
          <w:rFonts w:ascii="Verdana" w:hAnsi="Verdana"/>
        </w:rPr>
        <w:t>párr.105</w:t>
      </w:r>
      <w:r w:rsidR="00C10D82" w:rsidRPr="00B156D5">
        <w:rPr>
          <w:rFonts w:ascii="Verdana" w:hAnsi="Verdana"/>
        </w:rPr>
        <w:t>.</w:t>
      </w:r>
      <w:r w:rsidRPr="00B156D5">
        <w:rPr>
          <w:rFonts w:ascii="Verdana" w:hAnsi="Verdana"/>
        </w:rPr>
        <w:t xml:space="preserve"> </w:t>
      </w:r>
      <w:r w:rsidR="00C10D82" w:rsidRPr="00B156D5">
        <w:rPr>
          <w:rFonts w:ascii="Verdana" w:hAnsi="Verdana"/>
        </w:rPr>
        <w:t>E</w:t>
      </w:r>
      <w:r w:rsidRPr="00B156D5">
        <w:rPr>
          <w:rFonts w:ascii="Verdana" w:hAnsi="Verdana"/>
        </w:rPr>
        <w:t xml:space="preserve">n el mismo sentido, TEDH. </w:t>
      </w:r>
      <w:r w:rsidRPr="00B156D5">
        <w:rPr>
          <w:rFonts w:ascii="Verdana" w:hAnsi="Verdana"/>
          <w:i/>
          <w:lang w:val="es-PE"/>
        </w:rPr>
        <w:t>Caso Idalov Vs. Rusia</w:t>
      </w:r>
      <w:r w:rsidRPr="00B156D5">
        <w:rPr>
          <w:rFonts w:ascii="Verdana" w:hAnsi="Verdana"/>
          <w:lang w:val="es-PE"/>
        </w:rPr>
        <w:t>, Sentencia de 22 de mayo de 2012, aplicación N</w:t>
      </w:r>
      <w:r w:rsidR="00C10D82" w:rsidRPr="00B156D5">
        <w:rPr>
          <w:rFonts w:ascii="Verdana" w:hAnsi="Verdana"/>
          <w:lang w:val="es-PE"/>
        </w:rPr>
        <w:t>o.</w:t>
      </w:r>
      <w:r w:rsidRPr="00B156D5">
        <w:rPr>
          <w:rFonts w:ascii="Verdana" w:hAnsi="Verdana"/>
          <w:lang w:val="es-PE"/>
        </w:rPr>
        <w:t xml:space="preserve"> 5826/03, párr.145</w:t>
      </w:r>
      <w:r w:rsidR="00D20381" w:rsidRPr="00B156D5">
        <w:rPr>
          <w:rFonts w:ascii="Verdana" w:hAnsi="Verdana"/>
          <w:lang w:val="es-PE"/>
        </w:rPr>
        <w:t>;</w:t>
      </w:r>
      <w:r w:rsidRPr="00B156D5">
        <w:rPr>
          <w:rFonts w:ascii="Verdana" w:hAnsi="Verdana"/>
          <w:lang w:val="es-PE"/>
        </w:rPr>
        <w:t xml:space="preserve"> </w:t>
      </w:r>
      <w:r w:rsidRPr="00B156D5">
        <w:rPr>
          <w:rFonts w:ascii="Verdana" w:hAnsi="Verdana"/>
          <w:i/>
          <w:lang w:val="es-PE"/>
        </w:rPr>
        <w:t>Caso</w:t>
      </w:r>
      <w:r w:rsidRPr="00B156D5">
        <w:rPr>
          <w:rFonts w:ascii="Verdana" w:hAnsi="Verdana"/>
          <w:lang w:val="es-PE"/>
        </w:rPr>
        <w:t xml:space="preserve"> </w:t>
      </w:r>
      <w:r w:rsidRPr="00B156D5">
        <w:rPr>
          <w:rFonts w:ascii="Verdana" w:hAnsi="Verdana"/>
          <w:i/>
          <w:lang w:val="es-PE"/>
        </w:rPr>
        <w:t>Panchenko Vs. Rusia</w:t>
      </w:r>
      <w:r w:rsidRPr="00B156D5">
        <w:rPr>
          <w:rFonts w:ascii="Verdana" w:hAnsi="Verdana"/>
          <w:lang w:val="es-PE"/>
        </w:rPr>
        <w:t xml:space="preserve">, </w:t>
      </w:r>
      <w:r w:rsidRPr="00B156D5">
        <w:rPr>
          <w:rFonts w:ascii="Verdana" w:hAnsi="Verdana"/>
        </w:rPr>
        <w:t xml:space="preserve">Sentencia de 11 de junio de 2005, </w:t>
      </w:r>
      <w:r w:rsidRPr="00B156D5">
        <w:rPr>
          <w:rFonts w:ascii="Verdana" w:hAnsi="Verdana"/>
          <w:lang w:val="es-PE"/>
        </w:rPr>
        <w:t>aplicación N</w:t>
      </w:r>
      <w:r w:rsidR="00C10D82" w:rsidRPr="00B156D5">
        <w:rPr>
          <w:rFonts w:ascii="Verdana" w:hAnsi="Verdana"/>
          <w:lang w:val="es-PE"/>
        </w:rPr>
        <w:t>o.</w:t>
      </w:r>
      <w:r w:rsidRPr="00B156D5">
        <w:rPr>
          <w:rFonts w:ascii="Verdana" w:hAnsi="Verdana"/>
          <w:lang w:val="es-PE"/>
        </w:rPr>
        <w:t xml:space="preserve"> </w:t>
      </w:r>
      <w:r w:rsidRPr="00B156D5">
        <w:rPr>
          <w:rFonts w:ascii="Verdana" w:hAnsi="Verdana"/>
        </w:rPr>
        <w:t>11496/05, párrs. 102 y 106</w:t>
      </w:r>
      <w:r w:rsidR="00D20381" w:rsidRPr="00B156D5">
        <w:rPr>
          <w:rFonts w:ascii="Verdana" w:hAnsi="Verdana"/>
        </w:rPr>
        <w:t xml:space="preserve">; </w:t>
      </w:r>
      <w:r w:rsidRPr="00B156D5">
        <w:rPr>
          <w:rFonts w:ascii="Verdana" w:hAnsi="Verdana"/>
          <w:i/>
          <w:lang w:val="es-PE"/>
        </w:rPr>
        <w:t xml:space="preserve">Caso </w:t>
      </w:r>
      <w:r w:rsidRPr="00B156D5">
        <w:rPr>
          <w:rFonts w:ascii="Verdana" w:hAnsi="Verdana"/>
          <w:i/>
        </w:rPr>
        <w:t>Becciev Vs. Moldavia</w:t>
      </w:r>
      <w:r w:rsidRPr="00B156D5">
        <w:rPr>
          <w:rFonts w:ascii="Verdana" w:hAnsi="Verdana"/>
        </w:rPr>
        <w:t>, Sentencia de 4 de octubre de 2005, aplicación N</w:t>
      </w:r>
      <w:r w:rsidR="00C10D82" w:rsidRPr="00B156D5">
        <w:rPr>
          <w:rFonts w:ascii="Verdana" w:hAnsi="Verdana"/>
        </w:rPr>
        <w:t>o.</w:t>
      </w:r>
      <w:r w:rsidRPr="00B156D5">
        <w:rPr>
          <w:rFonts w:ascii="Verdana" w:hAnsi="Verdana"/>
        </w:rPr>
        <w:t xml:space="preserve"> 9190/03, párr. 58, y </w:t>
      </w:r>
      <w:r w:rsidRPr="00B156D5">
        <w:rPr>
          <w:rFonts w:ascii="Verdana" w:hAnsi="Verdana"/>
          <w:i/>
        </w:rPr>
        <w:t>Caso Sulaoja Vs. Estonia</w:t>
      </w:r>
      <w:r w:rsidRPr="00B156D5">
        <w:rPr>
          <w:rFonts w:ascii="Verdana" w:hAnsi="Verdana"/>
        </w:rPr>
        <w:t>, Sentencia de 15 de mayo de 2005, aplicación N</w:t>
      </w:r>
      <w:r w:rsidR="00C10D82" w:rsidRPr="00B156D5">
        <w:rPr>
          <w:rFonts w:ascii="Verdana" w:hAnsi="Verdana"/>
        </w:rPr>
        <w:t>o.</w:t>
      </w:r>
      <w:r w:rsidRPr="00B156D5">
        <w:rPr>
          <w:rFonts w:ascii="Verdana" w:hAnsi="Verdana"/>
        </w:rPr>
        <w:t xml:space="preserve"> 55939/00, párr. 64. </w:t>
      </w:r>
    </w:p>
  </w:footnote>
  <w:footnote w:id="89">
    <w:p w14:paraId="3B1967A1" w14:textId="3CD1D7DB"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7830FC">
        <w:rPr>
          <w:rFonts w:ascii="Verdana" w:hAnsi="Verdana"/>
          <w:lang w:val="es-CR"/>
        </w:rPr>
        <w:t xml:space="preserve"> </w:t>
      </w:r>
      <w:r w:rsidRPr="007830FC">
        <w:rPr>
          <w:rFonts w:ascii="Verdana" w:hAnsi="Verdana"/>
          <w:szCs w:val="16"/>
          <w:lang w:val="es-CR"/>
        </w:rPr>
        <w:tab/>
      </w:r>
      <w:r w:rsidRPr="007830FC">
        <w:rPr>
          <w:rFonts w:ascii="Verdana" w:hAnsi="Verdana"/>
          <w:i/>
          <w:lang w:val="es-CR"/>
        </w:rPr>
        <w:t>Cfr.</w:t>
      </w:r>
      <w:r w:rsidRPr="007830FC">
        <w:rPr>
          <w:rFonts w:ascii="Verdana" w:hAnsi="Verdana"/>
          <w:lang w:val="es-CR"/>
        </w:rPr>
        <w:t xml:space="preserve"> </w:t>
      </w:r>
      <w:r w:rsidRPr="007830FC">
        <w:rPr>
          <w:rFonts w:ascii="Verdana" w:hAnsi="Verdana"/>
          <w:i/>
          <w:lang w:val="es-CR"/>
        </w:rPr>
        <w:t xml:space="preserve"> </w:t>
      </w:r>
      <w:r w:rsidR="50DC4599" w:rsidRPr="007830FC">
        <w:rPr>
          <w:rFonts w:ascii="Verdana" w:hAnsi="Verdana"/>
          <w:i/>
          <w:iCs/>
          <w:lang w:val="es-CR"/>
        </w:rPr>
        <w:t xml:space="preserve">Caso Romero </w:t>
      </w:r>
      <w:proofErr w:type="spellStart"/>
      <w:r w:rsidR="50DC4599" w:rsidRPr="007830FC">
        <w:rPr>
          <w:rFonts w:ascii="Verdana" w:hAnsi="Verdana"/>
          <w:i/>
          <w:iCs/>
          <w:lang w:val="es-CR"/>
        </w:rPr>
        <w:t>Feris</w:t>
      </w:r>
      <w:proofErr w:type="spellEnd"/>
      <w:r w:rsidR="1EA761A5" w:rsidRPr="007830FC">
        <w:rPr>
          <w:rFonts w:ascii="Verdana" w:hAnsi="Verdana"/>
          <w:i/>
          <w:iCs/>
          <w:lang w:val="es-CR"/>
        </w:rPr>
        <w:t xml:space="preserve"> Vs. </w:t>
      </w:r>
      <w:r w:rsidR="1EA761A5" w:rsidRPr="00B156D5">
        <w:rPr>
          <w:rFonts w:ascii="Verdana" w:hAnsi="Verdana"/>
          <w:i/>
          <w:iCs/>
        </w:rPr>
        <w:t>Argentina</w:t>
      </w:r>
      <w:r w:rsidR="50DC4599" w:rsidRPr="00B156D5">
        <w:rPr>
          <w:rFonts w:ascii="Verdana" w:hAnsi="Verdana"/>
          <w:i/>
          <w:iCs/>
        </w:rPr>
        <w:t xml:space="preserve">, supra, </w:t>
      </w:r>
      <w:r w:rsidR="50DC4599" w:rsidRPr="00B156D5">
        <w:rPr>
          <w:rFonts w:ascii="Verdana" w:hAnsi="Verdana"/>
        </w:rPr>
        <w:t>párr.105</w:t>
      </w:r>
      <w:r w:rsidR="001152F6" w:rsidRPr="00B156D5">
        <w:rPr>
          <w:rFonts w:ascii="Verdana" w:hAnsi="Verdana"/>
        </w:rPr>
        <w:t>.</w:t>
      </w:r>
      <w:r w:rsidR="00023E34" w:rsidRPr="00B156D5">
        <w:rPr>
          <w:rFonts w:ascii="Verdana" w:hAnsi="Verdana"/>
        </w:rPr>
        <w:t xml:space="preserve"> </w:t>
      </w:r>
      <w:r w:rsidRPr="00B156D5">
        <w:rPr>
          <w:rFonts w:ascii="Verdana" w:hAnsi="Verdana"/>
        </w:rPr>
        <w:t xml:space="preserve">En el mismo sentido, </w:t>
      </w:r>
      <w:r w:rsidRPr="00B156D5">
        <w:rPr>
          <w:rFonts w:ascii="Verdana" w:hAnsi="Verdana"/>
          <w:lang w:val="es-PE"/>
        </w:rPr>
        <w:t xml:space="preserve">TEDH. </w:t>
      </w:r>
      <w:r w:rsidRPr="00B156D5">
        <w:rPr>
          <w:rFonts w:ascii="Verdana" w:hAnsi="Verdana"/>
          <w:i/>
          <w:lang w:val="es-PE"/>
        </w:rPr>
        <w:t xml:space="preserve">Caso </w:t>
      </w:r>
      <w:r w:rsidRPr="00B156D5">
        <w:rPr>
          <w:rFonts w:ascii="Verdana" w:hAnsi="Verdana"/>
          <w:i/>
        </w:rPr>
        <w:t>Jarzyński Vs Polonia</w:t>
      </w:r>
      <w:r w:rsidRPr="00B156D5">
        <w:rPr>
          <w:rFonts w:ascii="Verdana" w:hAnsi="Verdana"/>
        </w:rPr>
        <w:t>, Sentencia de 4 octubre de 2005, aplicación N</w:t>
      </w:r>
      <w:r w:rsidR="006D2F09" w:rsidRPr="00B156D5">
        <w:rPr>
          <w:rFonts w:ascii="Verdana" w:hAnsi="Verdana"/>
        </w:rPr>
        <w:t xml:space="preserve">o. </w:t>
      </w:r>
      <w:r w:rsidRPr="00B156D5">
        <w:rPr>
          <w:rFonts w:ascii="Verdana" w:hAnsi="Verdana" w:cs="Arial"/>
        </w:rPr>
        <w:t>15479/02, párr.</w:t>
      </w:r>
      <w:r w:rsidRPr="00B156D5">
        <w:rPr>
          <w:rFonts w:ascii="Verdana" w:hAnsi="Verdana"/>
        </w:rPr>
        <w:t xml:space="preserve"> 43, </w:t>
      </w:r>
      <w:r w:rsidRPr="00B156D5">
        <w:rPr>
          <w:rFonts w:ascii="Verdana" w:hAnsi="Verdana"/>
          <w:i/>
          <w:lang w:val="es-PE"/>
        </w:rPr>
        <w:t xml:space="preserve">Caso </w:t>
      </w:r>
      <w:r w:rsidRPr="00B156D5">
        <w:rPr>
          <w:rFonts w:ascii="Verdana" w:hAnsi="Verdana"/>
          <w:i/>
        </w:rPr>
        <w:t>Podeschi Vs. San Marino</w:t>
      </w:r>
      <w:r w:rsidRPr="00B156D5">
        <w:rPr>
          <w:rFonts w:ascii="Verdana" w:hAnsi="Verdana"/>
        </w:rPr>
        <w:t xml:space="preserve">, </w:t>
      </w:r>
      <w:r w:rsidRPr="00B156D5">
        <w:rPr>
          <w:rFonts w:ascii="Verdana" w:hAnsi="Verdana"/>
          <w:lang w:val="es-PE"/>
        </w:rPr>
        <w:t xml:space="preserve">Sentencia </w:t>
      </w:r>
      <w:r w:rsidRPr="00B156D5">
        <w:rPr>
          <w:rFonts w:ascii="Verdana" w:hAnsi="Verdana"/>
        </w:rPr>
        <w:t>de 13 de abrilde 2017, aplicación N</w:t>
      </w:r>
      <w:r w:rsidR="006D2F09" w:rsidRPr="00B156D5">
        <w:rPr>
          <w:rFonts w:ascii="Verdana" w:hAnsi="Verdana"/>
        </w:rPr>
        <w:t xml:space="preserve">o. </w:t>
      </w:r>
      <w:r w:rsidRPr="00B156D5">
        <w:rPr>
          <w:rFonts w:ascii="Verdana" w:hAnsi="Verdana"/>
        </w:rPr>
        <w:t xml:space="preserve">66357/14, párr. 149 y </w:t>
      </w:r>
      <w:r w:rsidR="71434449" w:rsidRPr="00B156D5">
        <w:rPr>
          <w:rFonts w:ascii="Verdana" w:hAnsi="Verdana"/>
          <w:i/>
          <w:iCs/>
          <w:lang w:val="es-PE"/>
        </w:rPr>
        <w:t>Caso Štvrtecký Vs. Eslovaquia</w:t>
      </w:r>
      <w:r w:rsidR="71434449" w:rsidRPr="00B156D5">
        <w:rPr>
          <w:rFonts w:ascii="Verdana" w:hAnsi="Verdana"/>
          <w:lang w:val="es-PE"/>
        </w:rPr>
        <w:t xml:space="preserve">, Sentencia de 5 de </w:t>
      </w:r>
      <w:r w:rsidR="5B486451" w:rsidRPr="00B156D5">
        <w:rPr>
          <w:rFonts w:ascii="Verdana" w:hAnsi="Verdana"/>
          <w:lang w:val="es-PE"/>
        </w:rPr>
        <w:t>junio</w:t>
      </w:r>
      <w:r w:rsidR="71434449" w:rsidRPr="00B156D5">
        <w:rPr>
          <w:rFonts w:ascii="Verdana" w:hAnsi="Verdana"/>
          <w:lang w:val="es-PE"/>
        </w:rPr>
        <w:t xml:space="preserve"> de 2018, </w:t>
      </w:r>
      <w:r w:rsidR="71434449" w:rsidRPr="00B156D5">
        <w:rPr>
          <w:rFonts w:ascii="Verdana" w:hAnsi="Verdana"/>
        </w:rPr>
        <w:t xml:space="preserve">aplicación </w:t>
      </w:r>
      <w:r w:rsidR="71434449" w:rsidRPr="00B156D5">
        <w:rPr>
          <w:rFonts w:ascii="Verdana" w:hAnsi="Verdana"/>
          <w:lang w:val="es-PE"/>
        </w:rPr>
        <w:t>N</w:t>
      </w:r>
      <w:r w:rsidR="006D2F09" w:rsidRPr="00B156D5">
        <w:rPr>
          <w:rFonts w:ascii="Verdana" w:hAnsi="Verdana"/>
          <w:lang w:val="es-PE"/>
        </w:rPr>
        <w:t>o.</w:t>
      </w:r>
      <w:r w:rsidR="71434449" w:rsidRPr="00B156D5">
        <w:rPr>
          <w:rFonts w:ascii="Verdana" w:hAnsi="Verdana"/>
          <w:lang w:val="es-PE"/>
        </w:rPr>
        <w:t xml:space="preserve"> 55844/12, párr. 61</w:t>
      </w:r>
    </w:p>
  </w:footnote>
  <w:footnote w:id="90">
    <w:p w14:paraId="58A95E22" w14:textId="4405EC72" w:rsidR="00D15B00" w:rsidRPr="00C83518" w:rsidRDefault="00D15B00" w:rsidP="00526A50">
      <w:pPr>
        <w:pStyle w:val="Textonotapie"/>
        <w:spacing w:before="60" w:after="60"/>
        <w:jc w:val="both"/>
        <w:rPr>
          <w:rFonts w:ascii="Verdana" w:hAnsi="Verdana"/>
          <w:lang w:val="pt-B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 xml:space="preserve">Cfr. Caso Chaparro Álvarez y Lapo Íñiguez Vs. Ecuador, </w:t>
      </w:r>
      <w:r w:rsidRPr="00B156D5">
        <w:rPr>
          <w:rFonts w:ascii="Verdana" w:hAnsi="Verdana"/>
          <w:i/>
          <w:iCs/>
        </w:rPr>
        <w:t>supra</w:t>
      </w:r>
      <w:r w:rsidRPr="00B156D5">
        <w:rPr>
          <w:rFonts w:ascii="Verdana" w:hAnsi="Verdana"/>
        </w:rPr>
        <w:t>, párr. 93</w:t>
      </w:r>
      <w:r w:rsidR="001152F6" w:rsidRPr="00B156D5">
        <w:rPr>
          <w:rFonts w:ascii="Verdana" w:hAnsi="Verdana"/>
        </w:rPr>
        <w:t xml:space="preserve">; </w:t>
      </w:r>
      <w:r w:rsidRPr="00B156D5">
        <w:rPr>
          <w:rFonts w:ascii="Verdana" w:hAnsi="Verdana"/>
          <w:i/>
        </w:rPr>
        <w:t xml:space="preserve">Caso Amrhein y otros Vs. </w:t>
      </w:r>
      <w:r w:rsidRPr="00B156D5">
        <w:rPr>
          <w:rFonts w:ascii="Verdana" w:hAnsi="Verdana"/>
          <w:i/>
          <w:lang w:val="es-CR"/>
        </w:rPr>
        <w:t xml:space="preserve">Costa Rica, </w:t>
      </w:r>
      <w:r w:rsidRPr="00B156D5">
        <w:rPr>
          <w:rFonts w:ascii="Verdana" w:hAnsi="Verdana"/>
          <w:i/>
          <w:iCs/>
          <w:lang w:val="es-CR"/>
        </w:rPr>
        <w:t>supra</w:t>
      </w:r>
      <w:r w:rsidRPr="00B156D5">
        <w:rPr>
          <w:rFonts w:ascii="Verdana" w:hAnsi="Verdana"/>
          <w:lang w:val="es-CR"/>
        </w:rPr>
        <w:t>, párr. 356</w:t>
      </w:r>
      <w:r w:rsidR="00511E3A" w:rsidRPr="00B156D5">
        <w:rPr>
          <w:rFonts w:ascii="Verdana" w:hAnsi="Verdana"/>
          <w:lang w:val="es-CR"/>
        </w:rPr>
        <w:t>,</w:t>
      </w:r>
      <w:r w:rsidRPr="00B156D5">
        <w:rPr>
          <w:rFonts w:ascii="Verdana" w:hAnsi="Verdana"/>
          <w:lang w:val="es-CR"/>
        </w:rPr>
        <w:t xml:space="preserve"> y </w:t>
      </w:r>
      <w:r w:rsidRPr="00B156D5">
        <w:rPr>
          <w:rFonts w:ascii="Verdana" w:hAnsi="Verdana"/>
          <w:i/>
          <w:iCs/>
          <w:lang w:val="es-CR"/>
        </w:rPr>
        <w:t xml:space="preserve">Caso Romero Feris </w:t>
      </w:r>
      <w:r w:rsidR="1EA761A5" w:rsidRPr="00B156D5">
        <w:rPr>
          <w:rFonts w:ascii="Verdana" w:hAnsi="Verdana"/>
          <w:i/>
          <w:iCs/>
          <w:lang w:val="es-CR"/>
        </w:rPr>
        <w:t>Vs</w:t>
      </w:r>
      <w:r w:rsidRPr="00B156D5">
        <w:rPr>
          <w:rFonts w:ascii="Verdana" w:hAnsi="Verdana"/>
          <w:i/>
          <w:iCs/>
          <w:lang w:val="es-CR"/>
        </w:rPr>
        <w:t xml:space="preserve">. </w:t>
      </w:r>
      <w:r w:rsidRPr="00C83518">
        <w:rPr>
          <w:rFonts w:ascii="Verdana" w:hAnsi="Verdana"/>
          <w:i/>
          <w:iCs/>
          <w:lang w:val="pt-BR"/>
        </w:rPr>
        <w:t xml:space="preserve">Argentina, supra, </w:t>
      </w:r>
      <w:r w:rsidRPr="00C83518">
        <w:rPr>
          <w:rFonts w:ascii="Verdana" w:hAnsi="Verdana"/>
          <w:lang w:val="pt-BR"/>
        </w:rPr>
        <w:t>párr.106.</w:t>
      </w:r>
    </w:p>
  </w:footnote>
  <w:footnote w:id="91">
    <w:p w14:paraId="65E86A52" w14:textId="08DE4585"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pt-BR"/>
        </w:rPr>
        <w:t xml:space="preserve"> </w:t>
      </w:r>
      <w:r w:rsidRPr="00C83518">
        <w:rPr>
          <w:rFonts w:ascii="Verdana" w:hAnsi="Verdana"/>
          <w:szCs w:val="16"/>
          <w:lang w:val="pt-BR"/>
        </w:rPr>
        <w:tab/>
      </w:r>
      <w:r w:rsidRPr="00C83518">
        <w:rPr>
          <w:rFonts w:ascii="Verdana" w:hAnsi="Verdana"/>
          <w:i/>
          <w:lang w:val="pt-BR"/>
        </w:rPr>
        <w:t>Cfr</w:t>
      </w:r>
      <w:r w:rsidRPr="00C83518">
        <w:rPr>
          <w:rFonts w:ascii="Verdana" w:hAnsi="Verdana"/>
          <w:lang w:val="pt-BR"/>
        </w:rPr>
        <w:t xml:space="preserve">. </w:t>
      </w:r>
      <w:r w:rsidRPr="00C83518">
        <w:rPr>
          <w:rFonts w:ascii="Verdana" w:hAnsi="Verdana"/>
          <w:i/>
          <w:iCs/>
          <w:lang w:val="pt-BR"/>
        </w:rPr>
        <w:t xml:space="preserve">Caso Romero Feris Vs. Argentina, supra, </w:t>
      </w:r>
      <w:r w:rsidRPr="00C83518">
        <w:rPr>
          <w:rFonts w:ascii="Verdana" w:hAnsi="Verdana"/>
          <w:lang w:val="pt-BR"/>
        </w:rPr>
        <w:t>párr</w:t>
      </w:r>
      <w:r w:rsidRPr="00C83518">
        <w:rPr>
          <w:rFonts w:ascii="Verdana" w:hAnsi="Verdana"/>
          <w:i/>
          <w:iCs/>
          <w:lang w:val="pt-BR"/>
        </w:rPr>
        <w:t>.</w:t>
      </w:r>
      <w:r w:rsidRPr="00C83518">
        <w:rPr>
          <w:rFonts w:ascii="Verdana" w:hAnsi="Verdana"/>
          <w:lang w:val="pt-BR"/>
        </w:rPr>
        <w:t xml:space="preserve">107. </w:t>
      </w:r>
      <w:r w:rsidRPr="00B156D5">
        <w:rPr>
          <w:rFonts w:ascii="Verdana" w:hAnsi="Verdana"/>
        </w:rPr>
        <w:t xml:space="preserve">En el mismo sentido, </w:t>
      </w:r>
      <w:r w:rsidRPr="00B156D5">
        <w:rPr>
          <w:rFonts w:ascii="Verdana" w:hAnsi="Verdana"/>
          <w:lang w:val="es-CR"/>
        </w:rPr>
        <w:t xml:space="preserve">Consejo de Europa, Comité de </w:t>
      </w:r>
      <w:proofErr w:type="gramStart"/>
      <w:r w:rsidRPr="00B156D5">
        <w:rPr>
          <w:rFonts w:ascii="Verdana" w:hAnsi="Verdana"/>
          <w:lang w:val="es-CR"/>
        </w:rPr>
        <w:t>Ministros</w:t>
      </w:r>
      <w:proofErr w:type="gramEnd"/>
      <w:r w:rsidRPr="00B156D5">
        <w:rPr>
          <w:rFonts w:ascii="Verdana" w:hAnsi="Verdana"/>
          <w:lang w:val="es-CR"/>
        </w:rPr>
        <w:t xml:space="preserve">, Recomendación CM/Rec (2006) 13 sobre la figura de la prisión preventiva, las condiciones en que tiene lugar y las garantías contra el abuso de la misma, 27 de septiembre de 2006, párr. </w:t>
      </w:r>
      <w:r w:rsidRPr="00B156D5">
        <w:rPr>
          <w:rFonts w:ascii="Verdana" w:hAnsi="Verdana"/>
        </w:rPr>
        <w:t>3</w:t>
      </w:r>
      <w:r w:rsidR="00F0749E" w:rsidRPr="00B156D5">
        <w:rPr>
          <w:rFonts w:ascii="Verdana" w:hAnsi="Verdana"/>
        </w:rPr>
        <w:t>;</w:t>
      </w:r>
      <w:r w:rsidRPr="00B156D5">
        <w:rPr>
          <w:rFonts w:ascii="Verdana" w:hAnsi="Verdana"/>
        </w:rPr>
        <w:t xml:space="preserve"> TEDH. </w:t>
      </w:r>
      <w:r w:rsidRPr="00B156D5">
        <w:rPr>
          <w:rFonts w:ascii="Verdana" w:hAnsi="Verdana"/>
          <w:i/>
        </w:rPr>
        <w:t xml:space="preserve">Caso Idalov Vs. </w:t>
      </w:r>
      <w:r w:rsidRPr="00B156D5">
        <w:rPr>
          <w:rFonts w:ascii="Verdana" w:hAnsi="Verdana"/>
          <w:i/>
          <w:iCs/>
        </w:rPr>
        <w:t>Rusia</w:t>
      </w:r>
      <w:r w:rsidRPr="00B156D5">
        <w:rPr>
          <w:rFonts w:ascii="Verdana" w:hAnsi="Verdana"/>
        </w:rPr>
        <w:t>, Sentencia del 22 de mayo de 2012, aplicación N</w:t>
      </w:r>
      <w:r w:rsidR="00B87D26" w:rsidRPr="00B156D5">
        <w:rPr>
          <w:rFonts w:ascii="Verdana" w:hAnsi="Verdana"/>
        </w:rPr>
        <w:t>o</w:t>
      </w:r>
      <w:r w:rsidR="00673F0A" w:rsidRPr="00B156D5">
        <w:rPr>
          <w:rFonts w:ascii="Verdana" w:hAnsi="Verdana"/>
        </w:rPr>
        <w:t xml:space="preserve">. </w:t>
      </w:r>
      <w:r w:rsidRPr="00B156D5">
        <w:rPr>
          <w:rFonts w:ascii="Verdana" w:hAnsi="Verdana"/>
        </w:rPr>
        <w:t xml:space="preserve">5826/03, párr.140, y </w:t>
      </w:r>
      <w:r w:rsidRPr="00B156D5">
        <w:rPr>
          <w:rFonts w:ascii="Verdana" w:hAnsi="Verdana"/>
          <w:i/>
        </w:rPr>
        <w:t>Caso Aleksandr Makarov Vs. Rusia</w:t>
      </w:r>
      <w:r w:rsidRPr="00B156D5">
        <w:rPr>
          <w:rFonts w:ascii="Verdana" w:hAnsi="Verdana"/>
        </w:rPr>
        <w:t>, Sentencia de 12 de marzo de 2009, aplicación N</w:t>
      </w:r>
      <w:r w:rsidR="00673F0A" w:rsidRPr="00B156D5">
        <w:rPr>
          <w:rFonts w:ascii="Verdana" w:hAnsi="Verdana"/>
        </w:rPr>
        <w:t xml:space="preserve">o. </w:t>
      </w:r>
      <w:r w:rsidRPr="00B156D5">
        <w:rPr>
          <w:rFonts w:ascii="Verdana" w:hAnsi="Verdana"/>
        </w:rPr>
        <w:t xml:space="preserve">15217/07, párr.139. </w:t>
      </w:r>
    </w:p>
  </w:footnote>
  <w:footnote w:id="92">
    <w:p w14:paraId="2043C2DA" w14:textId="33B7BA95"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00023E34" w:rsidRPr="00B156D5">
        <w:rPr>
          <w:rFonts w:ascii="Verdana" w:hAnsi="Verdana"/>
        </w:rPr>
        <w:t xml:space="preserve"> </w:t>
      </w:r>
      <w:r w:rsidR="00BC3C62" w:rsidRPr="00B156D5">
        <w:rPr>
          <w:rFonts w:ascii="Verdana" w:hAnsi="Verdana"/>
        </w:rPr>
        <w:tab/>
      </w:r>
      <w:r w:rsidRPr="00B156D5">
        <w:rPr>
          <w:rFonts w:ascii="Verdana" w:hAnsi="Verdana"/>
          <w:i/>
          <w:iCs/>
        </w:rPr>
        <w:t xml:space="preserve">Caso Romero Feris Vs. Argentina, supra, </w:t>
      </w:r>
      <w:r w:rsidRPr="00B156D5">
        <w:rPr>
          <w:rFonts w:ascii="Verdana" w:hAnsi="Verdana"/>
        </w:rPr>
        <w:t xml:space="preserve">párr. 108. </w:t>
      </w:r>
      <w:r w:rsidR="001152F6" w:rsidRPr="00B156D5">
        <w:rPr>
          <w:rFonts w:ascii="Verdana" w:hAnsi="Verdana"/>
        </w:rPr>
        <w:t xml:space="preserve">En el mismo sentido: </w:t>
      </w:r>
      <w:r w:rsidRPr="00B156D5">
        <w:rPr>
          <w:rFonts w:ascii="Verdana" w:hAnsi="Verdana"/>
        </w:rPr>
        <w:t>Naciones Unidas, Asamblea General, Reglas mínimas de las Naciones Unidas sobre las medidas no privativas de la libertad (Reglas de Tokio), Resolución 45/110, 14 de diciembre de 1990, reglas 6.1 y 6.2.</w:t>
      </w:r>
    </w:p>
  </w:footnote>
  <w:footnote w:id="93">
    <w:p w14:paraId="6DD31D98" w14:textId="103F0DCD"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w:t>
      </w:r>
      <w:r w:rsidRPr="00B156D5">
        <w:rPr>
          <w:rFonts w:ascii="Verdana" w:hAnsi="Verdana" w:cs="Calibri"/>
        </w:rPr>
        <w:t xml:space="preserve"> </w:t>
      </w:r>
      <w:r w:rsidRPr="00B156D5">
        <w:rPr>
          <w:rFonts w:ascii="Verdana" w:hAnsi="Verdana"/>
          <w:i/>
        </w:rPr>
        <w:t xml:space="preserve">Caso Bayarri Vs. Argentina, </w:t>
      </w:r>
      <w:r w:rsidRPr="00B156D5">
        <w:rPr>
          <w:rFonts w:ascii="Verdana" w:hAnsi="Verdana"/>
          <w:i/>
          <w:iCs/>
        </w:rPr>
        <w:t>supra</w:t>
      </w:r>
      <w:r w:rsidRPr="00B156D5">
        <w:rPr>
          <w:rFonts w:ascii="Verdana" w:hAnsi="Verdana" w:cs="Calibri"/>
        </w:rPr>
        <w:t xml:space="preserve">, párr. </w:t>
      </w:r>
      <w:r w:rsidRPr="00B156D5">
        <w:rPr>
          <w:rFonts w:ascii="Verdana" w:hAnsi="Verdana" w:cs="Calibri"/>
          <w:lang w:val="es-CR"/>
        </w:rPr>
        <w:t xml:space="preserve">70, </w:t>
      </w:r>
      <w:r w:rsidRPr="00B156D5">
        <w:rPr>
          <w:rFonts w:ascii="Verdana" w:hAnsi="Verdana"/>
          <w:i/>
        </w:rPr>
        <w:t xml:space="preserve">Caso Amrhein y otros Vs. Costa Rica, </w:t>
      </w:r>
      <w:r w:rsidRPr="00B156D5">
        <w:rPr>
          <w:rFonts w:ascii="Verdana" w:hAnsi="Verdana"/>
          <w:i/>
          <w:iCs/>
        </w:rPr>
        <w:t>supra</w:t>
      </w:r>
      <w:r w:rsidRPr="00B156D5">
        <w:rPr>
          <w:rFonts w:ascii="Verdana" w:hAnsi="Verdana"/>
        </w:rPr>
        <w:t>, párr. 361</w:t>
      </w:r>
      <w:r w:rsidR="005D41B5" w:rsidRPr="00B156D5">
        <w:rPr>
          <w:rFonts w:ascii="Verdana" w:hAnsi="Verdana"/>
        </w:rPr>
        <w:t>,</w:t>
      </w:r>
      <w:r w:rsidRPr="00B156D5">
        <w:rPr>
          <w:rFonts w:ascii="Verdana" w:hAnsi="Verdana"/>
        </w:rPr>
        <w:t xml:space="preserve"> y </w:t>
      </w:r>
      <w:r w:rsidR="004F2AD6" w:rsidRPr="00B156D5">
        <w:rPr>
          <w:rFonts w:ascii="Verdana" w:hAnsi="Verdana"/>
          <w:i/>
          <w:iCs/>
        </w:rPr>
        <w:t>Caso Montesinos Mejía Vs. Ecuador. Excepciones Preliminares, Fondo, Reparaciones y Costas</w:t>
      </w:r>
      <w:r w:rsidR="004F2AD6" w:rsidRPr="00B156D5">
        <w:rPr>
          <w:rFonts w:ascii="Verdana" w:hAnsi="Verdana"/>
        </w:rPr>
        <w:t>. Sentencia de 27 de enero de 2020. Serie C No. 398</w:t>
      </w:r>
      <w:r w:rsidR="00FB3301" w:rsidRPr="00B156D5">
        <w:rPr>
          <w:rFonts w:ascii="Verdana" w:hAnsi="Verdana"/>
        </w:rPr>
        <w:t>, párr. 112</w:t>
      </w:r>
      <w:r w:rsidRPr="00B156D5">
        <w:rPr>
          <w:rFonts w:ascii="Verdana" w:hAnsi="Verdana"/>
        </w:rPr>
        <w:t>.</w:t>
      </w:r>
    </w:p>
  </w:footnote>
  <w:footnote w:id="94">
    <w:p w14:paraId="539DC6A4" w14:textId="58998F6F" w:rsidR="00D15B00" w:rsidRPr="00B156D5" w:rsidRDefault="00D15B00" w:rsidP="00526A50">
      <w:pPr>
        <w:spacing w:before="60" w:after="60"/>
        <w:jc w:val="both"/>
        <w:rPr>
          <w:rFonts w:ascii="Verdana" w:hAnsi="Verdana" w:cs="Calibri"/>
          <w:sz w:val="16"/>
          <w:szCs w:val="16"/>
        </w:rPr>
      </w:pPr>
      <w:r w:rsidRPr="00B156D5">
        <w:rPr>
          <w:rStyle w:val="Refdenotaalpie"/>
          <w:rFonts w:ascii="Verdana" w:hAnsi="Verdana" w:cs="Calibri"/>
          <w:sz w:val="16"/>
          <w:szCs w:val="16"/>
        </w:rPr>
        <w:footnoteRef/>
      </w:r>
      <w:r w:rsidRPr="00B156D5">
        <w:rPr>
          <w:rFonts w:ascii="Verdana" w:hAnsi="Verdana" w:cs="Calibri"/>
          <w:bCs/>
          <w:sz w:val="16"/>
          <w:szCs w:val="16"/>
        </w:rPr>
        <w:t xml:space="preserve"> </w:t>
      </w:r>
      <w:r w:rsidRPr="00B156D5">
        <w:rPr>
          <w:rFonts w:ascii="Verdana" w:hAnsi="Verdana" w:cs="Calibri"/>
          <w:bCs/>
          <w:sz w:val="16"/>
          <w:szCs w:val="16"/>
        </w:rPr>
        <w:tab/>
      </w:r>
      <w:r w:rsidRPr="00B156D5">
        <w:rPr>
          <w:rFonts w:ascii="Verdana" w:hAnsi="Verdana"/>
          <w:i/>
          <w:sz w:val="16"/>
          <w:szCs w:val="16"/>
        </w:rPr>
        <w:t>Cfr</w:t>
      </w:r>
      <w:r w:rsidRPr="00B156D5">
        <w:rPr>
          <w:rFonts w:ascii="Verdana" w:hAnsi="Verdana"/>
          <w:sz w:val="16"/>
          <w:szCs w:val="16"/>
        </w:rPr>
        <w:t xml:space="preserve">. </w:t>
      </w:r>
      <w:r w:rsidRPr="00B156D5">
        <w:rPr>
          <w:rFonts w:ascii="Verdana" w:hAnsi="Verdana"/>
          <w:i/>
          <w:sz w:val="16"/>
          <w:szCs w:val="16"/>
        </w:rPr>
        <w:t>Caso Argüelles y otros Vs. Argentina</w:t>
      </w:r>
      <w:r w:rsidRPr="00B156D5">
        <w:rPr>
          <w:rFonts w:ascii="Verdana" w:hAnsi="Verdana"/>
          <w:i/>
          <w:iCs/>
          <w:sz w:val="16"/>
          <w:szCs w:val="16"/>
        </w:rPr>
        <w:t xml:space="preserve">. Excepciones preliminares, Fondo, Reparaciones y Costas. </w:t>
      </w:r>
      <w:r w:rsidRPr="00B156D5">
        <w:rPr>
          <w:rFonts w:ascii="Verdana" w:hAnsi="Verdana"/>
          <w:sz w:val="16"/>
          <w:szCs w:val="16"/>
        </w:rPr>
        <w:t>Sentencia de 20 de noviembre de 2014. Serie C No. 288</w:t>
      </w:r>
      <w:r w:rsidRPr="00B156D5">
        <w:rPr>
          <w:rFonts w:ascii="Verdana" w:hAnsi="Verdana"/>
          <w:i/>
          <w:sz w:val="16"/>
          <w:szCs w:val="16"/>
        </w:rPr>
        <w:t xml:space="preserve">, </w:t>
      </w:r>
      <w:r w:rsidRPr="00B156D5">
        <w:rPr>
          <w:rFonts w:ascii="Verdana" w:hAnsi="Verdana"/>
          <w:sz w:val="16"/>
          <w:szCs w:val="16"/>
        </w:rPr>
        <w:t>párr. 120</w:t>
      </w:r>
      <w:r w:rsidR="001152F6" w:rsidRPr="00B156D5">
        <w:rPr>
          <w:rFonts w:ascii="Verdana" w:hAnsi="Verdana"/>
          <w:sz w:val="16"/>
          <w:szCs w:val="16"/>
        </w:rPr>
        <w:t>;</w:t>
      </w:r>
      <w:r w:rsidR="00023E34" w:rsidRPr="00B156D5">
        <w:rPr>
          <w:rFonts w:ascii="Verdana" w:hAnsi="Verdana"/>
          <w:sz w:val="16"/>
          <w:szCs w:val="16"/>
        </w:rPr>
        <w:t xml:space="preserve"> </w:t>
      </w:r>
      <w:r w:rsidRPr="00B156D5">
        <w:rPr>
          <w:rFonts w:ascii="Verdana" w:hAnsi="Verdana"/>
          <w:i/>
          <w:sz w:val="16"/>
          <w:szCs w:val="16"/>
        </w:rPr>
        <w:t xml:space="preserve">Caso Mujeres Víctimas de Tortura Sexual en Atenco Vs. México, </w:t>
      </w:r>
      <w:r w:rsidRPr="00B156D5">
        <w:rPr>
          <w:rFonts w:ascii="Verdana" w:hAnsi="Verdana"/>
          <w:i/>
          <w:iCs/>
          <w:sz w:val="16"/>
          <w:szCs w:val="16"/>
        </w:rPr>
        <w:t>supra</w:t>
      </w:r>
      <w:r w:rsidRPr="00B156D5">
        <w:rPr>
          <w:rFonts w:ascii="Verdana" w:hAnsi="Verdana"/>
          <w:sz w:val="16"/>
          <w:szCs w:val="16"/>
        </w:rPr>
        <w:t>, párr. 251</w:t>
      </w:r>
      <w:r w:rsidR="00A7745F" w:rsidRPr="00B156D5">
        <w:rPr>
          <w:rFonts w:ascii="Verdana" w:hAnsi="Verdana"/>
          <w:sz w:val="16"/>
          <w:szCs w:val="16"/>
        </w:rPr>
        <w:t xml:space="preserve">, y </w:t>
      </w:r>
      <w:r w:rsidR="00A7745F" w:rsidRPr="00B156D5">
        <w:rPr>
          <w:rFonts w:ascii="Verdana" w:hAnsi="Verdana"/>
          <w:i/>
          <w:iCs/>
          <w:sz w:val="16"/>
          <w:szCs w:val="16"/>
        </w:rPr>
        <w:t>Caso González y otros Vs. Venezuela</w:t>
      </w:r>
      <w:r w:rsidR="00A7745F" w:rsidRPr="00B156D5">
        <w:rPr>
          <w:rFonts w:ascii="Verdana" w:hAnsi="Verdana"/>
          <w:sz w:val="16"/>
          <w:szCs w:val="16"/>
        </w:rPr>
        <w:t>, supra, nota 114.</w:t>
      </w:r>
    </w:p>
  </w:footnote>
  <w:footnote w:id="95">
    <w:p w14:paraId="66DA6ED2" w14:textId="5A649AE8" w:rsidR="00D15B00" w:rsidRPr="00C83518" w:rsidRDefault="00D15B00" w:rsidP="00526A50">
      <w:pPr>
        <w:pStyle w:val="Textonotapie"/>
        <w:tabs>
          <w:tab w:val="left" w:pos="426"/>
        </w:tabs>
        <w:spacing w:before="60" w:after="60"/>
        <w:jc w:val="both"/>
        <w:rPr>
          <w:rFonts w:ascii="Verdana" w:hAnsi="Verdana"/>
          <w:spacing w:val="-4"/>
          <w:lang w:val="es-CR"/>
        </w:rPr>
      </w:pPr>
      <w:r w:rsidRPr="00B156D5">
        <w:rPr>
          <w:rStyle w:val="Refdenotaalpie"/>
          <w:rFonts w:ascii="Verdana" w:hAnsi="Verdana"/>
          <w:spacing w:val="-4"/>
        </w:rPr>
        <w:footnoteRef/>
      </w:r>
      <w:r w:rsidRPr="00B156D5">
        <w:rPr>
          <w:rFonts w:ascii="Verdana" w:hAnsi="Verdana"/>
          <w:spacing w:val="-4"/>
        </w:rPr>
        <w:t xml:space="preserve"> </w:t>
      </w:r>
      <w:r w:rsidRPr="00B156D5">
        <w:rPr>
          <w:rFonts w:ascii="Verdana" w:hAnsi="Verdana"/>
          <w:spacing w:val="-4"/>
          <w:szCs w:val="16"/>
        </w:rPr>
        <w:tab/>
      </w:r>
      <w:r w:rsidRPr="00B156D5">
        <w:rPr>
          <w:rFonts w:ascii="Verdana" w:hAnsi="Verdana"/>
          <w:spacing w:val="-4"/>
          <w:szCs w:val="16"/>
        </w:rPr>
        <w:tab/>
      </w:r>
      <w:r w:rsidRPr="00B156D5">
        <w:rPr>
          <w:rFonts w:ascii="Verdana" w:hAnsi="Verdana"/>
          <w:i/>
          <w:spacing w:val="-4"/>
          <w:lang w:val="es-PR"/>
        </w:rPr>
        <w:t>Cfr.</w:t>
      </w:r>
      <w:r w:rsidRPr="00B156D5">
        <w:rPr>
          <w:rFonts w:ascii="Verdana" w:hAnsi="Verdana"/>
          <w:spacing w:val="-4"/>
          <w:lang w:val="es-PR"/>
        </w:rPr>
        <w:t xml:space="preserve"> </w:t>
      </w:r>
      <w:r w:rsidR="00502D34" w:rsidRPr="00B156D5">
        <w:rPr>
          <w:rFonts w:ascii="Verdana" w:hAnsi="Verdana"/>
          <w:i/>
          <w:iCs/>
          <w:spacing w:val="-4"/>
          <w:lang w:val="es-PR"/>
        </w:rPr>
        <w:t>Caso Suárez Rosero Vs. Ecuador. Reparaciones y Costas</w:t>
      </w:r>
      <w:r w:rsidR="00502D34" w:rsidRPr="00B156D5">
        <w:rPr>
          <w:rFonts w:ascii="Verdana" w:hAnsi="Verdana"/>
          <w:spacing w:val="-4"/>
          <w:lang w:val="es-PR"/>
        </w:rPr>
        <w:t>. Sentencia de 20 de enero de 1999. Serie C No. 44</w:t>
      </w:r>
      <w:r w:rsidRPr="00B156D5">
        <w:rPr>
          <w:rFonts w:ascii="Verdana" w:hAnsi="Verdana"/>
          <w:i/>
          <w:iCs/>
        </w:rPr>
        <w:t>,</w:t>
      </w:r>
      <w:r w:rsidR="00023E34" w:rsidRPr="00B156D5">
        <w:rPr>
          <w:rFonts w:ascii="Verdana" w:hAnsi="Verdana"/>
          <w:i/>
          <w:lang w:val="es-MX"/>
        </w:rPr>
        <w:t xml:space="preserve"> </w:t>
      </w:r>
      <w:r w:rsidRPr="00B156D5">
        <w:rPr>
          <w:rFonts w:ascii="Verdana" w:hAnsi="Verdana"/>
          <w:spacing w:val="-4"/>
          <w:lang w:val="es-MX"/>
        </w:rPr>
        <w:t>párr. 77</w:t>
      </w:r>
      <w:r w:rsidR="005D41B5" w:rsidRPr="00B156D5">
        <w:rPr>
          <w:rFonts w:ascii="Verdana" w:hAnsi="Verdana"/>
          <w:spacing w:val="-4"/>
          <w:lang w:val="es-MX"/>
        </w:rPr>
        <w:t>;</w:t>
      </w:r>
      <w:r w:rsidR="00023E34" w:rsidRPr="00B156D5">
        <w:rPr>
          <w:rFonts w:ascii="Verdana" w:hAnsi="Verdana"/>
          <w:lang w:val="es-MX"/>
        </w:rPr>
        <w:t xml:space="preserve"> </w:t>
      </w:r>
      <w:r w:rsidRPr="00B156D5">
        <w:rPr>
          <w:rFonts w:ascii="Verdana" w:hAnsi="Verdana"/>
          <w:i/>
          <w:spacing w:val="-4"/>
          <w:lang w:val="es-MX"/>
        </w:rPr>
        <w:t xml:space="preserve">Caso Argüelles y Otros Vs. </w:t>
      </w:r>
      <w:r w:rsidRPr="00C83518">
        <w:rPr>
          <w:rFonts w:ascii="Verdana" w:hAnsi="Verdana"/>
          <w:i/>
          <w:spacing w:val="-4"/>
          <w:lang w:val="es-CR"/>
        </w:rPr>
        <w:t xml:space="preserve">Argentina, </w:t>
      </w:r>
      <w:r w:rsidRPr="00C83518">
        <w:rPr>
          <w:rFonts w:ascii="Verdana" w:hAnsi="Verdana"/>
          <w:i/>
          <w:iCs/>
          <w:spacing w:val="-4"/>
          <w:lang w:val="es-CR"/>
        </w:rPr>
        <w:t>supra</w:t>
      </w:r>
      <w:r w:rsidRPr="00C83518">
        <w:rPr>
          <w:rFonts w:ascii="Verdana" w:hAnsi="Verdana"/>
          <w:spacing w:val="-4"/>
          <w:lang w:val="es-CR"/>
        </w:rPr>
        <w:t>, párr. 131</w:t>
      </w:r>
      <w:r w:rsidR="00AC65B1" w:rsidRPr="00C83518">
        <w:rPr>
          <w:rFonts w:ascii="Verdana" w:hAnsi="Verdana"/>
          <w:spacing w:val="-4"/>
          <w:lang w:val="es-CR"/>
        </w:rPr>
        <w:t>,</w:t>
      </w:r>
      <w:r w:rsidRPr="00C83518">
        <w:rPr>
          <w:rFonts w:ascii="Verdana" w:hAnsi="Verdana"/>
          <w:spacing w:val="-4"/>
          <w:lang w:val="es-CR"/>
        </w:rPr>
        <w:t xml:space="preserve"> y </w:t>
      </w:r>
      <w:r w:rsidRPr="00C83518">
        <w:rPr>
          <w:rFonts w:ascii="Verdana" w:hAnsi="Verdana"/>
          <w:i/>
          <w:iCs/>
          <w:spacing w:val="-4"/>
          <w:lang w:val="es-CR"/>
        </w:rPr>
        <w:t xml:space="preserve">Caso Romero </w:t>
      </w:r>
      <w:proofErr w:type="spellStart"/>
      <w:r w:rsidRPr="00C83518">
        <w:rPr>
          <w:rFonts w:ascii="Verdana" w:hAnsi="Verdana"/>
          <w:i/>
          <w:iCs/>
          <w:spacing w:val="-4"/>
          <w:lang w:val="es-CR"/>
        </w:rPr>
        <w:t>Feris</w:t>
      </w:r>
      <w:proofErr w:type="spellEnd"/>
      <w:r w:rsidRPr="00C83518">
        <w:rPr>
          <w:rFonts w:ascii="Verdana" w:hAnsi="Verdana"/>
          <w:i/>
          <w:iCs/>
          <w:spacing w:val="-4"/>
          <w:lang w:val="es-CR"/>
        </w:rPr>
        <w:t xml:space="preserve"> Vs. Argentina, supra, </w:t>
      </w:r>
      <w:r w:rsidRPr="00C83518">
        <w:rPr>
          <w:rFonts w:ascii="Verdana" w:hAnsi="Verdana"/>
          <w:spacing w:val="-4"/>
          <w:lang w:val="es-CR"/>
        </w:rPr>
        <w:t>párr. 110.</w:t>
      </w:r>
      <w:r w:rsidR="00023E34" w:rsidRPr="00C83518">
        <w:rPr>
          <w:rFonts w:ascii="Verdana" w:hAnsi="Verdana"/>
          <w:lang w:val="es-CR"/>
        </w:rPr>
        <w:t xml:space="preserve"> </w:t>
      </w:r>
    </w:p>
  </w:footnote>
  <w:footnote w:id="96">
    <w:p w14:paraId="64DA680C" w14:textId="682D03AC" w:rsidR="00D15B00" w:rsidRPr="00B156D5" w:rsidRDefault="00D15B00" w:rsidP="00526A50">
      <w:pPr>
        <w:pStyle w:val="Textonotapie"/>
        <w:spacing w:before="60" w:after="60"/>
        <w:jc w:val="both"/>
        <w:rPr>
          <w:rFonts w:ascii="Verdana" w:hAnsi="Verdana"/>
        </w:rPr>
      </w:pPr>
      <w:r w:rsidRPr="00B156D5">
        <w:rPr>
          <w:rStyle w:val="Refdenotaalpie"/>
          <w:rFonts w:ascii="Verdana" w:hAnsi="Verdana"/>
        </w:rPr>
        <w:footnoteRef/>
      </w:r>
      <w:r w:rsidRPr="00C83518">
        <w:rPr>
          <w:rFonts w:ascii="Verdana" w:hAnsi="Verdana"/>
          <w:lang w:val="es-CR"/>
        </w:rPr>
        <w:t xml:space="preserve"> </w:t>
      </w:r>
      <w:r w:rsidRPr="00C83518">
        <w:rPr>
          <w:rFonts w:ascii="Verdana" w:hAnsi="Verdana"/>
          <w:szCs w:val="16"/>
          <w:lang w:val="es-CR"/>
        </w:rPr>
        <w:tab/>
      </w:r>
      <w:r w:rsidRPr="00C83518">
        <w:rPr>
          <w:rFonts w:ascii="Verdana" w:hAnsi="Verdana"/>
          <w:i/>
          <w:lang w:val="es-CR"/>
        </w:rPr>
        <w:t>Cfr</w:t>
      </w:r>
      <w:r w:rsidRPr="00C83518">
        <w:rPr>
          <w:rFonts w:ascii="Verdana" w:hAnsi="Verdana"/>
          <w:lang w:val="es-CR"/>
        </w:rPr>
        <w:t xml:space="preserve">. </w:t>
      </w:r>
      <w:r w:rsidRPr="00C83518">
        <w:rPr>
          <w:rFonts w:ascii="Verdana" w:hAnsi="Verdana"/>
          <w:i/>
          <w:lang w:val="es-CR"/>
        </w:rPr>
        <w:t xml:space="preserve">Caso Bayarri Vs. Argentina, </w:t>
      </w:r>
      <w:r w:rsidRPr="00C83518">
        <w:rPr>
          <w:rFonts w:ascii="Verdana" w:hAnsi="Verdana"/>
          <w:i/>
          <w:iCs/>
          <w:lang w:val="es-CR"/>
        </w:rPr>
        <w:t>supra</w:t>
      </w:r>
      <w:r w:rsidRPr="00C83518">
        <w:rPr>
          <w:rFonts w:ascii="Verdana" w:hAnsi="Verdana"/>
          <w:lang w:val="es-CR"/>
        </w:rPr>
        <w:t xml:space="preserve">, párr. </w:t>
      </w:r>
      <w:r w:rsidRPr="00B156D5">
        <w:rPr>
          <w:rFonts w:ascii="Verdana" w:hAnsi="Verdana"/>
        </w:rPr>
        <w:t>74</w:t>
      </w:r>
      <w:r w:rsidR="00BB6740" w:rsidRPr="00B156D5">
        <w:rPr>
          <w:rFonts w:ascii="Verdana" w:hAnsi="Verdana"/>
        </w:rPr>
        <w:t>;</w:t>
      </w:r>
      <w:r w:rsidR="00023E34" w:rsidRPr="00B156D5">
        <w:rPr>
          <w:rFonts w:ascii="Verdana" w:hAnsi="Verdana"/>
        </w:rPr>
        <w:t xml:space="preserve"> </w:t>
      </w:r>
      <w:r w:rsidRPr="00B156D5">
        <w:rPr>
          <w:rFonts w:ascii="Verdana" w:hAnsi="Verdana"/>
          <w:i/>
        </w:rPr>
        <w:t xml:space="preserve">Caso Mujeres Víctimas de Tortura Sexual en Atenco Vs. México, </w:t>
      </w:r>
      <w:r w:rsidRPr="00B156D5">
        <w:rPr>
          <w:rFonts w:ascii="Verdana" w:hAnsi="Verdana"/>
          <w:i/>
          <w:iCs/>
        </w:rPr>
        <w:t>supra</w:t>
      </w:r>
      <w:r w:rsidRPr="00B156D5">
        <w:rPr>
          <w:rFonts w:ascii="Verdana" w:hAnsi="Verdana"/>
        </w:rPr>
        <w:t>, párr. 255</w:t>
      </w:r>
      <w:r w:rsidR="005D41B5" w:rsidRPr="00B156D5">
        <w:rPr>
          <w:rFonts w:ascii="Verdana" w:hAnsi="Verdana"/>
        </w:rPr>
        <w:t>,</w:t>
      </w:r>
      <w:r w:rsidR="00023E34" w:rsidRPr="00B156D5">
        <w:rPr>
          <w:rFonts w:ascii="Verdana" w:hAnsi="Verdana"/>
        </w:rPr>
        <w:t xml:space="preserve"> </w:t>
      </w:r>
      <w:r w:rsidR="00F12D1C" w:rsidRPr="00B156D5">
        <w:rPr>
          <w:rFonts w:ascii="Verdana" w:hAnsi="Verdana"/>
          <w:szCs w:val="16"/>
        </w:rPr>
        <w:t xml:space="preserve">y </w:t>
      </w:r>
      <w:r w:rsidR="00F12D1C" w:rsidRPr="00B156D5">
        <w:rPr>
          <w:rFonts w:ascii="Verdana" w:hAnsi="Verdana"/>
          <w:i/>
          <w:iCs/>
          <w:szCs w:val="16"/>
        </w:rPr>
        <w:t>Caso González y otros Vs. Venezuela</w:t>
      </w:r>
      <w:r w:rsidR="00F12D1C" w:rsidRPr="00B156D5">
        <w:rPr>
          <w:rFonts w:ascii="Verdana" w:hAnsi="Verdana"/>
          <w:szCs w:val="16"/>
        </w:rPr>
        <w:t>, supra, párr. 99.</w:t>
      </w:r>
      <w:r w:rsidRPr="00B156D5">
        <w:rPr>
          <w:rFonts w:ascii="Verdana" w:hAnsi="Verdana" w:cs="Calibri"/>
          <w:bCs/>
          <w:szCs w:val="16"/>
        </w:rPr>
        <w:tab/>
      </w:r>
    </w:p>
  </w:footnote>
  <w:footnote w:id="97">
    <w:p w14:paraId="29D67492" w14:textId="4C6E7A45" w:rsidR="00D15B00" w:rsidRPr="00C83518" w:rsidRDefault="00D15B00" w:rsidP="00526A50">
      <w:pPr>
        <w:pStyle w:val="Textonotapie"/>
        <w:spacing w:before="60" w:after="60"/>
        <w:jc w:val="both"/>
        <w:rPr>
          <w:rFonts w:ascii="Verdana" w:hAnsi="Verdana"/>
          <w:lang w:val="es-CR"/>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Pr="00B156D5">
        <w:rPr>
          <w:rFonts w:ascii="Verdana" w:hAnsi="Verdana" w:cs="Calibri"/>
          <w:i/>
        </w:rPr>
        <w:t xml:space="preserve">Caso Argüelles y otros Vs. </w:t>
      </w:r>
      <w:r w:rsidRPr="00C83518">
        <w:rPr>
          <w:rFonts w:ascii="Verdana" w:hAnsi="Verdana" w:cs="Calibri"/>
          <w:i/>
          <w:lang w:val="es-CR"/>
        </w:rPr>
        <w:t xml:space="preserve">Argentina, </w:t>
      </w:r>
      <w:r w:rsidRPr="00C83518">
        <w:rPr>
          <w:rFonts w:ascii="Verdana" w:hAnsi="Verdana" w:cs="Calibri"/>
          <w:i/>
          <w:iCs/>
          <w:lang w:val="es-CR"/>
        </w:rPr>
        <w:t>supra</w:t>
      </w:r>
      <w:r w:rsidRPr="00C83518">
        <w:rPr>
          <w:rFonts w:ascii="Verdana" w:hAnsi="Verdana" w:cs="Calibri"/>
          <w:lang w:val="es-CR"/>
        </w:rPr>
        <w:t xml:space="preserve">, </w:t>
      </w:r>
      <w:proofErr w:type="spellStart"/>
      <w:r w:rsidRPr="00C83518">
        <w:rPr>
          <w:rFonts w:ascii="Verdana" w:hAnsi="Verdana" w:cs="Calibri"/>
          <w:lang w:val="es-CR"/>
        </w:rPr>
        <w:t>párrs</w:t>
      </w:r>
      <w:proofErr w:type="spellEnd"/>
      <w:r w:rsidRPr="00C83518">
        <w:rPr>
          <w:rFonts w:ascii="Verdana" w:hAnsi="Verdana" w:cs="Calibri"/>
          <w:lang w:val="es-CR"/>
        </w:rPr>
        <w:t>. 121 y 122</w:t>
      </w:r>
      <w:r w:rsidR="001152F6" w:rsidRPr="00C83518">
        <w:rPr>
          <w:rFonts w:ascii="Verdana" w:hAnsi="Verdana" w:cs="Calibri"/>
          <w:lang w:val="es-CR"/>
        </w:rPr>
        <w:t>,</w:t>
      </w:r>
      <w:r w:rsidR="00023E34" w:rsidRPr="00C83518">
        <w:rPr>
          <w:rFonts w:ascii="Verdana" w:hAnsi="Verdana" w:cs="Calibri"/>
          <w:lang w:val="es-CR"/>
        </w:rPr>
        <w:t xml:space="preserve"> </w:t>
      </w:r>
      <w:r w:rsidRPr="00C83518">
        <w:rPr>
          <w:rFonts w:ascii="Verdana" w:hAnsi="Verdana" w:cs="Calibri"/>
          <w:lang w:val="es-CR"/>
        </w:rPr>
        <w:t xml:space="preserve">y </w:t>
      </w:r>
      <w:r w:rsidRPr="00C83518">
        <w:rPr>
          <w:rFonts w:ascii="Verdana" w:hAnsi="Verdana" w:cs="Calibri"/>
          <w:i/>
          <w:iCs/>
          <w:lang w:val="es-CR"/>
        </w:rPr>
        <w:t xml:space="preserve">Caso Romero </w:t>
      </w:r>
      <w:proofErr w:type="spellStart"/>
      <w:r w:rsidRPr="00C83518">
        <w:rPr>
          <w:rFonts w:ascii="Verdana" w:hAnsi="Verdana" w:cs="Calibri"/>
          <w:i/>
          <w:iCs/>
          <w:lang w:val="es-CR"/>
        </w:rPr>
        <w:t>Feris</w:t>
      </w:r>
      <w:proofErr w:type="spellEnd"/>
      <w:r w:rsidRPr="00C83518">
        <w:rPr>
          <w:rFonts w:ascii="Verdana" w:hAnsi="Verdana" w:cs="Calibri"/>
          <w:i/>
          <w:iCs/>
          <w:lang w:val="es-CR"/>
        </w:rPr>
        <w:t xml:space="preserve"> Vs. Argentina, supra,</w:t>
      </w:r>
      <w:r w:rsidRPr="00C83518">
        <w:rPr>
          <w:rFonts w:ascii="Verdana" w:hAnsi="Verdana" w:cs="Calibri"/>
          <w:lang w:val="es-CR"/>
        </w:rPr>
        <w:t xml:space="preserve"> párr.111.</w:t>
      </w:r>
    </w:p>
  </w:footnote>
  <w:footnote w:id="98">
    <w:p w14:paraId="1DB7D059" w14:textId="7D742594" w:rsidR="00D15B00" w:rsidRPr="00B156D5" w:rsidRDefault="00D15B00" w:rsidP="00526A50">
      <w:pPr>
        <w:tabs>
          <w:tab w:val="left" w:pos="567"/>
          <w:tab w:val="left" w:pos="720"/>
        </w:tabs>
        <w:autoSpaceDE w:val="0"/>
        <w:autoSpaceDN w:val="0"/>
        <w:adjustRightInd w:val="0"/>
        <w:spacing w:before="120" w:after="120"/>
        <w:jc w:val="both"/>
        <w:rPr>
          <w:rFonts w:ascii="Verdana" w:hAnsi="Verdana" w:cs="Verdana"/>
          <w:i/>
          <w:spacing w:val="-4"/>
          <w:sz w:val="16"/>
          <w:szCs w:val="16"/>
          <w:lang w:val="es-CO"/>
        </w:rPr>
      </w:pPr>
      <w:r w:rsidRPr="00B156D5">
        <w:rPr>
          <w:rStyle w:val="Refdenotaalpie"/>
          <w:rFonts w:ascii="Verdana" w:hAnsi="Verdana"/>
          <w:spacing w:val="-4"/>
          <w:sz w:val="16"/>
          <w:szCs w:val="16"/>
        </w:rPr>
        <w:footnoteRef/>
      </w:r>
      <w:r w:rsidRPr="00C83518">
        <w:rPr>
          <w:rFonts w:ascii="Verdana" w:hAnsi="Verdana"/>
          <w:spacing w:val="-4"/>
          <w:sz w:val="16"/>
          <w:szCs w:val="16"/>
        </w:rPr>
        <w:t xml:space="preserve"> </w:t>
      </w:r>
      <w:r w:rsidRPr="00C83518">
        <w:rPr>
          <w:rFonts w:ascii="Verdana" w:hAnsi="Verdana"/>
          <w:spacing w:val="-4"/>
          <w:sz w:val="16"/>
          <w:szCs w:val="16"/>
        </w:rPr>
        <w:tab/>
      </w:r>
      <w:r w:rsidRPr="00C83518">
        <w:rPr>
          <w:rFonts w:ascii="Verdana" w:hAnsi="Verdana"/>
          <w:spacing w:val="-4"/>
          <w:sz w:val="16"/>
          <w:szCs w:val="16"/>
        </w:rPr>
        <w:tab/>
      </w:r>
      <w:r w:rsidRPr="00C83518">
        <w:rPr>
          <w:rFonts w:ascii="Verdana" w:hAnsi="Verdana"/>
          <w:i/>
          <w:spacing w:val="-4"/>
          <w:sz w:val="16"/>
          <w:szCs w:val="16"/>
        </w:rPr>
        <w:t xml:space="preserve">Cfr. </w:t>
      </w:r>
      <w:r w:rsidR="00023E34" w:rsidRPr="00B156D5">
        <w:rPr>
          <w:rFonts w:ascii="Verdana" w:hAnsi="Verdana"/>
          <w:i/>
          <w:sz w:val="16"/>
          <w:szCs w:val="16"/>
          <w:lang w:val="es-CO"/>
        </w:rPr>
        <w:t xml:space="preserve"> </w:t>
      </w:r>
      <w:r w:rsidR="000F18AB" w:rsidRPr="00B156D5">
        <w:rPr>
          <w:rFonts w:ascii="Verdana" w:hAnsi="Verdana"/>
          <w:i/>
          <w:sz w:val="16"/>
          <w:szCs w:val="16"/>
        </w:rPr>
        <w:t>Caso Castillo Petruzzi y otros Vs. Perú. Fondo, Reparaciones y Costas.</w:t>
      </w:r>
      <w:r w:rsidR="000F18AB" w:rsidRPr="00B156D5">
        <w:rPr>
          <w:rFonts w:ascii="Verdana" w:hAnsi="Verdana"/>
          <w:sz w:val="16"/>
          <w:szCs w:val="16"/>
        </w:rPr>
        <w:t xml:space="preserve"> Sentencia de 30 de mayo de 1999. Serie C No. 52, párr. 207, </w:t>
      </w:r>
      <w:r w:rsidR="000F18AB" w:rsidRPr="00B156D5">
        <w:rPr>
          <w:rFonts w:ascii="Verdana" w:hAnsi="Verdana"/>
          <w:i/>
          <w:sz w:val="16"/>
          <w:szCs w:val="16"/>
        </w:rPr>
        <w:t>Caso González y otros Vs. Venezuela, supra</w:t>
      </w:r>
      <w:r w:rsidR="000F18AB" w:rsidRPr="00B156D5">
        <w:rPr>
          <w:rFonts w:ascii="Verdana" w:hAnsi="Verdana"/>
          <w:sz w:val="16"/>
          <w:szCs w:val="16"/>
        </w:rPr>
        <w:t xml:space="preserve">, párr. </w:t>
      </w:r>
      <w:proofErr w:type="gramStart"/>
      <w:r w:rsidR="000F18AB" w:rsidRPr="00B156D5">
        <w:rPr>
          <w:rFonts w:ascii="Verdana" w:hAnsi="Verdana"/>
          <w:sz w:val="16"/>
          <w:szCs w:val="16"/>
        </w:rPr>
        <w:t xml:space="preserve">103 </w:t>
      </w:r>
      <w:r w:rsidR="00023E34" w:rsidRPr="00B156D5">
        <w:rPr>
          <w:rFonts w:ascii="Verdana" w:hAnsi="Verdana"/>
          <w:sz w:val="16"/>
          <w:szCs w:val="16"/>
        </w:rPr>
        <w:t xml:space="preserve"> </w:t>
      </w:r>
      <w:r w:rsidRPr="00B156D5">
        <w:rPr>
          <w:rFonts w:ascii="Verdana" w:hAnsi="Verdana"/>
          <w:spacing w:val="-4"/>
          <w:sz w:val="16"/>
          <w:szCs w:val="16"/>
        </w:rPr>
        <w:t>y</w:t>
      </w:r>
      <w:proofErr w:type="gramEnd"/>
      <w:r w:rsidRPr="00B156D5">
        <w:rPr>
          <w:rFonts w:ascii="Verdana" w:hAnsi="Verdana"/>
          <w:spacing w:val="-4"/>
          <w:sz w:val="16"/>
          <w:szCs w:val="16"/>
        </w:rPr>
        <w:t xml:space="preserve"> </w:t>
      </w:r>
      <w:r w:rsidR="0041599A" w:rsidRPr="00B156D5">
        <w:rPr>
          <w:rFonts w:ascii="Verdana" w:hAnsi="Verdana"/>
          <w:i/>
          <w:iCs/>
          <w:spacing w:val="-4"/>
          <w:sz w:val="16"/>
          <w:szCs w:val="16"/>
        </w:rPr>
        <w:t>Caso Profesores de Chañaral y otras municipalidades Vs. Chile. Excepción preliminar, Fondo, Reparaciones y Costas</w:t>
      </w:r>
      <w:r w:rsidR="0041599A" w:rsidRPr="00B156D5">
        <w:rPr>
          <w:rFonts w:ascii="Verdana" w:hAnsi="Verdana"/>
          <w:spacing w:val="-4"/>
          <w:sz w:val="16"/>
          <w:szCs w:val="16"/>
        </w:rPr>
        <w:t>. Sentencia de 10 de noviembre de 2021. Serie C No. 443,</w:t>
      </w:r>
      <w:r w:rsidR="0041599A" w:rsidRPr="00B156D5" w:rsidDel="0041599A">
        <w:rPr>
          <w:rFonts w:ascii="Verdana" w:hAnsi="Verdana"/>
          <w:spacing w:val="-4"/>
          <w:sz w:val="16"/>
          <w:szCs w:val="16"/>
        </w:rPr>
        <w:t xml:space="preserve"> </w:t>
      </w:r>
      <w:r w:rsidRPr="00B156D5">
        <w:rPr>
          <w:rFonts w:ascii="Verdana" w:hAnsi="Verdana"/>
          <w:spacing w:val="-4"/>
          <w:sz w:val="16"/>
          <w:szCs w:val="16"/>
        </w:rPr>
        <w:t>párr.</w:t>
      </w:r>
      <w:r w:rsidR="00023E34" w:rsidRPr="00B156D5">
        <w:rPr>
          <w:rFonts w:ascii="Verdana" w:hAnsi="Verdana"/>
          <w:spacing w:val="-4"/>
          <w:sz w:val="16"/>
          <w:szCs w:val="16"/>
        </w:rPr>
        <w:t xml:space="preserve"> </w:t>
      </w:r>
      <w:r w:rsidRPr="00B156D5">
        <w:rPr>
          <w:rFonts w:ascii="Verdana" w:hAnsi="Verdana"/>
          <w:spacing w:val="-4"/>
          <w:sz w:val="16"/>
          <w:szCs w:val="16"/>
        </w:rPr>
        <w:t>213.</w:t>
      </w:r>
    </w:p>
  </w:footnote>
  <w:footnote w:id="99">
    <w:p w14:paraId="2FC0B2FC" w14:textId="449F626F" w:rsidR="00D15B00" w:rsidRPr="00B156D5" w:rsidRDefault="00D15B00" w:rsidP="00526A50">
      <w:pPr>
        <w:tabs>
          <w:tab w:val="left" w:pos="567"/>
        </w:tabs>
        <w:spacing w:before="120" w:after="120"/>
        <w:ind w:right="1"/>
        <w:jc w:val="both"/>
        <w:rPr>
          <w:rFonts w:ascii="Verdana" w:hAnsi="Verdana"/>
          <w:spacing w:val="-4"/>
          <w:sz w:val="16"/>
          <w:szCs w:val="16"/>
        </w:rPr>
      </w:pPr>
      <w:r w:rsidRPr="00B156D5">
        <w:rPr>
          <w:rStyle w:val="Refdenotaalpie"/>
          <w:rFonts w:ascii="Verdana" w:hAnsi="Verdana"/>
          <w:spacing w:val="-4"/>
          <w:sz w:val="16"/>
          <w:szCs w:val="16"/>
        </w:rPr>
        <w:footnoteRef/>
      </w:r>
      <w:r w:rsidRPr="00B156D5">
        <w:rPr>
          <w:rFonts w:ascii="Verdana" w:hAnsi="Verdana"/>
          <w:spacing w:val="-4"/>
          <w:sz w:val="16"/>
          <w:szCs w:val="16"/>
        </w:rPr>
        <w:t xml:space="preserve"> </w:t>
      </w:r>
      <w:r w:rsidRPr="00B156D5">
        <w:rPr>
          <w:rFonts w:ascii="Verdana" w:hAnsi="Verdana"/>
          <w:spacing w:val="-4"/>
          <w:sz w:val="16"/>
          <w:szCs w:val="16"/>
        </w:rPr>
        <w:tab/>
      </w:r>
      <w:r w:rsidRPr="00B156D5">
        <w:rPr>
          <w:rFonts w:ascii="Verdana" w:hAnsi="Verdana"/>
          <w:spacing w:val="-4"/>
          <w:sz w:val="16"/>
          <w:szCs w:val="16"/>
        </w:rPr>
        <w:tab/>
      </w:r>
      <w:r w:rsidRPr="00B156D5">
        <w:rPr>
          <w:rFonts w:ascii="Verdana" w:hAnsi="Verdana"/>
          <w:i/>
          <w:spacing w:val="-4"/>
          <w:sz w:val="16"/>
          <w:szCs w:val="16"/>
          <w:lang w:val="es-ES"/>
        </w:rPr>
        <w:t xml:space="preserve">Cfr. </w:t>
      </w:r>
      <w:r w:rsidRPr="00B156D5">
        <w:rPr>
          <w:rFonts w:ascii="Verdana" w:hAnsi="Verdana"/>
          <w:i/>
          <w:spacing w:val="-4"/>
          <w:sz w:val="16"/>
          <w:szCs w:val="16"/>
        </w:rPr>
        <w:t xml:space="preserve">Caso Castillo Petruzzi y otros Vs. </w:t>
      </w:r>
      <w:r w:rsidRPr="00B156D5">
        <w:rPr>
          <w:rStyle w:val="Textoennegrita"/>
          <w:rFonts w:ascii="Verdana" w:eastAsiaTheme="majorEastAsia" w:hAnsi="Verdana"/>
          <w:b w:val="0"/>
          <w:spacing w:val="-4"/>
          <w:sz w:val="16"/>
          <w:szCs w:val="16"/>
        </w:rPr>
        <w:t xml:space="preserve">Perú. </w:t>
      </w:r>
      <w:r w:rsidRPr="00B156D5">
        <w:rPr>
          <w:rStyle w:val="Textoennegrita"/>
          <w:rFonts w:ascii="Verdana" w:eastAsiaTheme="majorEastAsia" w:hAnsi="Verdana"/>
          <w:b w:val="0"/>
          <w:i/>
          <w:spacing w:val="-4"/>
          <w:sz w:val="16"/>
          <w:szCs w:val="16"/>
        </w:rPr>
        <w:t xml:space="preserve">Fondo, Reparaciones y Costas. </w:t>
      </w:r>
      <w:r w:rsidRPr="00B156D5">
        <w:rPr>
          <w:rStyle w:val="Textoennegrita"/>
          <w:rFonts w:ascii="Verdana" w:eastAsiaTheme="majorEastAsia" w:hAnsi="Verdana"/>
          <w:b w:val="0"/>
          <w:spacing w:val="-4"/>
          <w:sz w:val="16"/>
          <w:szCs w:val="16"/>
        </w:rPr>
        <w:t>Sentencia de 30 de mayo de 1999. Serie C No. 52,</w:t>
      </w:r>
      <w:r w:rsidRPr="00B156D5">
        <w:rPr>
          <w:rFonts w:ascii="Verdana" w:hAnsi="Verdana"/>
          <w:b/>
          <w:i/>
          <w:spacing w:val="-4"/>
          <w:sz w:val="16"/>
          <w:szCs w:val="16"/>
        </w:rPr>
        <w:t xml:space="preserve"> </w:t>
      </w:r>
      <w:r w:rsidRPr="00B156D5">
        <w:rPr>
          <w:rFonts w:ascii="Verdana" w:hAnsi="Verdana"/>
          <w:spacing w:val="-4"/>
          <w:sz w:val="16"/>
          <w:szCs w:val="16"/>
        </w:rPr>
        <w:t>párr. 207</w:t>
      </w:r>
      <w:r w:rsidR="00925704" w:rsidRPr="00B156D5">
        <w:rPr>
          <w:rFonts w:ascii="Verdana" w:hAnsi="Verdana"/>
          <w:spacing w:val="-4"/>
          <w:sz w:val="16"/>
          <w:szCs w:val="16"/>
        </w:rPr>
        <w:t xml:space="preserve">; </w:t>
      </w:r>
      <w:r w:rsidRPr="00B156D5">
        <w:rPr>
          <w:rFonts w:ascii="Verdana" w:hAnsi="Verdana"/>
          <w:bCs/>
          <w:i/>
          <w:spacing w:val="-4"/>
          <w:sz w:val="16"/>
          <w:szCs w:val="16"/>
        </w:rPr>
        <w:t>Caso de personas dominicanas y haitianas expulsadas Vs. República Dominicana</w:t>
      </w:r>
      <w:r w:rsidRPr="00B156D5">
        <w:rPr>
          <w:rFonts w:ascii="Verdana" w:hAnsi="Verdana"/>
          <w:i/>
          <w:iCs/>
          <w:spacing w:val="-4"/>
          <w:sz w:val="16"/>
          <w:szCs w:val="16"/>
        </w:rPr>
        <w:t xml:space="preserve">. Excepciones preliminares, Fondo, Reparaciones y Costas. </w:t>
      </w:r>
      <w:r w:rsidRPr="00B156D5">
        <w:rPr>
          <w:rFonts w:ascii="Verdana" w:hAnsi="Verdana"/>
          <w:spacing w:val="-4"/>
          <w:sz w:val="16"/>
          <w:szCs w:val="16"/>
        </w:rPr>
        <w:t>Sentencia de 28 de agosto de 2014. Serie C No. 282</w:t>
      </w:r>
      <w:r w:rsidRPr="00B156D5">
        <w:rPr>
          <w:rFonts w:ascii="Verdana" w:hAnsi="Verdana"/>
          <w:bCs/>
          <w:spacing w:val="-4"/>
          <w:sz w:val="16"/>
          <w:szCs w:val="16"/>
        </w:rPr>
        <w:t xml:space="preserve"> párr. 270</w:t>
      </w:r>
      <w:r w:rsidR="00925704" w:rsidRPr="00B156D5">
        <w:rPr>
          <w:rFonts w:ascii="Verdana" w:hAnsi="Verdana"/>
          <w:spacing w:val="-4"/>
          <w:sz w:val="16"/>
          <w:szCs w:val="16"/>
        </w:rPr>
        <w:t>,</w:t>
      </w:r>
      <w:r w:rsidR="00023E34" w:rsidRPr="00B156D5">
        <w:rPr>
          <w:rFonts w:ascii="Verdana" w:hAnsi="Verdana"/>
          <w:spacing w:val="-4"/>
          <w:sz w:val="16"/>
          <w:szCs w:val="16"/>
        </w:rPr>
        <w:t xml:space="preserve"> </w:t>
      </w:r>
      <w:r w:rsidRPr="00B156D5">
        <w:rPr>
          <w:rFonts w:ascii="Verdana" w:hAnsi="Verdana"/>
          <w:spacing w:val="-4"/>
          <w:sz w:val="16"/>
          <w:szCs w:val="16"/>
        </w:rPr>
        <w:t xml:space="preserve">y </w:t>
      </w:r>
      <w:r w:rsidR="00444098" w:rsidRPr="00B156D5">
        <w:rPr>
          <w:rFonts w:ascii="Verdana" w:hAnsi="Verdana"/>
          <w:i/>
          <w:iCs/>
          <w:spacing w:val="-4"/>
          <w:sz w:val="16"/>
          <w:szCs w:val="16"/>
        </w:rPr>
        <w:t>Caso Movilla Galarcio y otros Vs. Colombia. Fondo, Reparaciones y Costas</w:t>
      </w:r>
      <w:r w:rsidR="00444098" w:rsidRPr="00B156D5">
        <w:rPr>
          <w:rFonts w:ascii="Verdana" w:hAnsi="Verdana"/>
          <w:spacing w:val="-4"/>
          <w:sz w:val="16"/>
          <w:szCs w:val="16"/>
        </w:rPr>
        <w:t>. Sentencia de 22 de junio de 2022. Serie C No. 452</w:t>
      </w:r>
      <w:r w:rsidRPr="00B156D5">
        <w:rPr>
          <w:rFonts w:ascii="Verdana" w:hAnsi="Verdana"/>
          <w:i/>
          <w:iCs/>
          <w:spacing w:val="-4"/>
          <w:sz w:val="16"/>
          <w:szCs w:val="16"/>
        </w:rPr>
        <w:t xml:space="preserve">, </w:t>
      </w:r>
      <w:r w:rsidR="006D66EB" w:rsidRPr="00B156D5">
        <w:rPr>
          <w:rFonts w:ascii="Verdana" w:hAnsi="Verdana"/>
          <w:spacing w:val="-4"/>
          <w:sz w:val="16"/>
          <w:szCs w:val="16"/>
        </w:rPr>
        <w:t>nota</w:t>
      </w:r>
      <w:r w:rsidR="00925704" w:rsidRPr="00B156D5">
        <w:rPr>
          <w:rFonts w:ascii="Verdana" w:hAnsi="Verdana"/>
          <w:spacing w:val="-4"/>
          <w:sz w:val="16"/>
          <w:szCs w:val="16"/>
        </w:rPr>
        <w:t xml:space="preserve"> </w:t>
      </w:r>
      <w:r w:rsidR="006D66EB" w:rsidRPr="00B156D5">
        <w:rPr>
          <w:rFonts w:ascii="Verdana" w:hAnsi="Verdana"/>
          <w:sz w:val="16"/>
          <w:szCs w:val="16"/>
        </w:rPr>
        <w:t>159</w:t>
      </w:r>
      <w:r w:rsidRPr="00B156D5">
        <w:rPr>
          <w:rFonts w:ascii="Verdana" w:hAnsi="Verdana"/>
          <w:spacing w:val="-4"/>
          <w:sz w:val="16"/>
          <w:szCs w:val="16"/>
        </w:rPr>
        <w:t>.</w:t>
      </w:r>
    </w:p>
  </w:footnote>
  <w:footnote w:id="100">
    <w:p w14:paraId="0E9F406C" w14:textId="3D4EFE75" w:rsidR="00D15B00" w:rsidRPr="00B156D5" w:rsidRDefault="00D15B00" w:rsidP="00526A50">
      <w:pPr>
        <w:pStyle w:val="Textonotapie"/>
        <w:ind w:right="1"/>
        <w:jc w:val="both"/>
        <w:rPr>
          <w:rFonts w:ascii="Verdana" w:hAnsi="Verdana"/>
          <w:spacing w:val="-4"/>
        </w:rPr>
      </w:pPr>
      <w:r w:rsidRPr="00B156D5">
        <w:rPr>
          <w:rStyle w:val="Refdenotaalpie"/>
          <w:rFonts w:ascii="Verdana" w:hAnsi="Verdana"/>
          <w:spacing w:val="-4"/>
        </w:rPr>
        <w:footnoteRef/>
      </w:r>
      <w:r w:rsidRPr="00B156D5">
        <w:rPr>
          <w:rFonts w:ascii="Verdana" w:hAnsi="Verdana"/>
          <w:spacing w:val="-4"/>
        </w:rPr>
        <w:t xml:space="preserve"> </w:t>
      </w:r>
      <w:r w:rsidRPr="00B156D5">
        <w:rPr>
          <w:rFonts w:ascii="Verdana" w:hAnsi="Verdana"/>
          <w:spacing w:val="-4"/>
          <w:szCs w:val="16"/>
        </w:rPr>
        <w:tab/>
      </w:r>
      <w:r w:rsidRPr="00B156D5">
        <w:rPr>
          <w:rFonts w:ascii="Verdana" w:hAnsi="Verdana"/>
          <w:i/>
          <w:spacing w:val="-4"/>
        </w:rPr>
        <w:t>Cfr.</w:t>
      </w:r>
      <w:r w:rsidRPr="00B156D5">
        <w:rPr>
          <w:rFonts w:ascii="Verdana" w:hAnsi="Verdana"/>
          <w:spacing w:val="-4"/>
        </w:rPr>
        <w:t xml:space="preserve"> </w:t>
      </w:r>
      <w:r w:rsidRPr="00B156D5">
        <w:rPr>
          <w:rFonts w:ascii="Verdana" w:hAnsi="Verdana"/>
          <w:i/>
          <w:iCs/>
          <w:spacing w:val="-4"/>
        </w:rPr>
        <w:t>Caso</w:t>
      </w:r>
      <w:r w:rsidRPr="00B156D5">
        <w:rPr>
          <w:rFonts w:ascii="Verdana" w:hAnsi="Verdana"/>
          <w:i/>
          <w:spacing w:val="-4"/>
        </w:rPr>
        <w:t xml:space="preserve"> </w:t>
      </w:r>
      <w:r w:rsidRPr="00B156D5">
        <w:rPr>
          <w:rFonts w:ascii="Verdana" w:hAnsi="Verdana"/>
          <w:i/>
          <w:spacing w:val="-4"/>
          <w:lang w:val="es-MX"/>
        </w:rPr>
        <w:t xml:space="preserve">Hilaire, Constantine y Benjamin y otros Vs. Trinidad y Tobago. Fondo, Reparaciones y Costas. </w:t>
      </w:r>
      <w:r w:rsidRPr="00B156D5">
        <w:rPr>
          <w:rFonts w:ascii="Verdana" w:hAnsi="Verdana"/>
          <w:spacing w:val="-4"/>
          <w:lang w:val="es-MX"/>
        </w:rPr>
        <w:t>Sentencia de 21 de junio de 2002. Serie C No. 94,</w:t>
      </w:r>
      <w:r w:rsidRPr="00B156D5">
        <w:rPr>
          <w:rFonts w:ascii="Verdana" w:hAnsi="Verdana"/>
          <w:i/>
          <w:spacing w:val="-4"/>
          <w:lang w:val="es-MX"/>
        </w:rPr>
        <w:t xml:space="preserve"> </w:t>
      </w:r>
      <w:r w:rsidRPr="00B156D5">
        <w:rPr>
          <w:rFonts w:ascii="Verdana" w:hAnsi="Verdana"/>
          <w:spacing w:val="-4"/>
        </w:rPr>
        <w:t>párr. 113,</w:t>
      </w:r>
      <w:r w:rsidR="00247816" w:rsidRPr="00B156D5">
        <w:rPr>
          <w:rFonts w:ascii="Verdana" w:hAnsi="Verdana"/>
          <w:spacing w:val="-4"/>
        </w:rPr>
        <w:t xml:space="preserve"> </w:t>
      </w:r>
      <w:r w:rsidR="006F18C9" w:rsidRPr="00B156D5">
        <w:rPr>
          <w:rFonts w:ascii="Verdana" w:hAnsi="Verdana"/>
          <w:spacing w:val="-4"/>
        </w:rPr>
        <w:t xml:space="preserve">y </w:t>
      </w:r>
      <w:r w:rsidR="006F18C9" w:rsidRPr="00B156D5">
        <w:rPr>
          <w:rFonts w:ascii="Verdana" w:hAnsi="Verdana"/>
          <w:i/>
          <w:iCs/>
          <w:spacing w:val="-4"/>
        </w:rPr>
        <w:t>Caso Profesores de Chañaral y otras municipalidades Vs. Chile</w:t>
      </w:r>
      <w:r w:rsidR="006F18C9" w:rsidRPr="00B156D5">
        <w:rPr>
          <w:rFonts w:ascii="Verdana" w:hAnsi="Verdana"/>
          <w:spacing w:val="-4"/>
        </w:rPr>
        <w:t xml:space="preserve">, </w:t>
      </w:r>
      <w:r w:rsidR="006F18C9" w:rsidRPr="00B156D5">
        <w:rPr>
          <w:rFonts w:ascii="Verdana" w:hAnsi="Verdana"/>
          <w:i/>
          <w:iCs/>
          <w:spacing w:val="-4"/>
        </w:rPr>
        <w:t>supra</w:t>
      </w:r>
      <w:r w:rsidR="006F18C9" w:rsidRPr="00B156D5">
        <w:rPr>
          <w:rFonts w:ascii="Verdana" w:hAnsi="Verdana"/>
          <w:spacing w:val="-4"/>
        </w:rPr>
        <w:t xml:space="preserve">, párr. </w:t>
      </w:r>
      <w:proofErr w:type="gramStart"/>
      <w:r w:rsidR="006F18C9" w:rsidRPr="00B156D5">
        <w:rPr>
          <w:rFonts w:ascii="Verdana" w:hAnsi="Verdana"/>
          <w:spacing w:val="-4"/>
        </w:rPr>
        <w:t>185</w:t>
      </w:r>
      <w:r w:rsidR="00023E34" w:rsidRPr="00B156D5">
        <w:rPr>
          <w:rFonts w:ascii="Verdana" w:hAnsi="Verdana"/>
          <w:spacing w:val="-4"/>
        </w:rPr>
        <w:t xml:space="preserve"> </w:t>
      </w:r>
      <w:r w:rsidRPr="00B156D5">
        <w:rPr>
          <w:rFonts w:ascii="Verdana" w:hAnsi="Verdana"/>
          <w:spacing w:val="-4"/>
        </w:rPr>
        <w:t>.</w:t>
      </w:r>
      <w:proofErr w:type="gramEnd"/>
      <w:r w:rsidRPr="00B156D5">
        <w:rPr>
          <w:rFonts w:ascii="Verdana" w:hAnsi="Verdana"/>
          <w:spacing w:val="-4"/>
        </w:rPr>
        <w:t xml:space="preserve"> </w:t>
      </w:r>
    </w:p>
  </w:footnote>
  <w:footnote w:id="101">
    <w:p w14:paraId="0E771EAB" w14:textId="52FBCFA0" w:rsidR="00D15B00" w:rsidRPr="00B156D5" w:rsidRDefault="00D15B00" w:rsidP="00526A50">
      <w:pPr>
        <w:pStyle w:val="Textonotapie"/>
        <w:ind w:right="1"/>
        <w:jc w:val="both"/>
        <w:rPr>
          <w:rFonts w:ascii="Verdana" w:hAnsi="Verdana"/>
          <w:spacing w:val="-4"/>
        </w:rPr>
      </w:pPr>
      <w:r w:rsidRPr="00B156D5">
        <w:rPr>
          <w:rStyle w:val="Refdenotaalpie"/>
          <w:rFonts w:ascii="Verdana" w:hAnsi="Verdana"/>
          <w:spacing w:val="-4"/>
        </w:rPr>
        <w:footnoteRef/>
      </w:r>
      <w:r w:rsidRPr="00B156D5">
        <w:rPr>
          <w:rFonts w:ascii="Verdana" w:hAnsi="Verdana"/>
          <w:spacing w:val="-4"/>
        </w:rPr>
        <w:t xml:space="preserve"> </w:t>
      </w:r>
      <w:r w:rsidRPr="00B156D5">
        <w:rPr>
          <w:rFonts w:ascii="Verdana" w:hAnsi="Verdana"/>
          <w:spacing w:val="-4"/>
          <w:szCs w:val="16"/>
        </w:rPr>
        <w:tab/>
      </w:r>
      <w:r w:rsidRPr="00B156D5">
        <w:rPr>
          <w:rFonts w:ascii="Verdana" w:hAnsi="Verdana"/>
          <w:i/>
          <w:spacing w:val="-4"/>
        </w:rPr>
        <w:t>Cfr.</w:t>
      </w:r>
      <w:r w:rsidRPr="00B156D5">
        <w:rPr>
          <w:rFonts w:ascii="Verdana" w:hAnsi="Verdana"/>
          <w:spacing w:val="-4"/>
        </w:rPr>
        <w:t xml:space="preserve"> </w:t>
      </w:r>
      <w:r w:rsidRPr="00B156D5">
        <w:rPr>
          <w:rFonts w:ascii="Verdana" w:hAnsi="Verdana"/>
          <w:i/>
          <w:spacing w:val="-4"/>
          <w:lang w:val="es-MX"/>
        </w:rPr>
        <w:t>Caso Castillo Petruzzi y otros Vs. Perú, supra</w:t>
      </w:r>
      <w:r w:rsidRPr="00B156D5">
        <w:rPr>
          <w:rFonts w:ascii="Verdana" w:hAnsi="Verdana"/>
          <w:spacing w:val="-4"/>
        </w:rPr>
        <w:t>, párr. 207</w:t>
      </w:r>
      <w:r w:rsidRPr="00B156D5">
        <w:rPr>
          <w:rFonts w:ascii="Verdana" w:hAnsi="Verdana"/>
          <w:spacing w:val="-4"/>
          <w:lang w:val="es-MX"/>
        </w:rPr>
        <w:t>,</w:t>
      </w:r>
      <w:r w:rsidR="00023E34" w:rsidRPr="00B156D5">
        <w:rPr>
          <w:rFonts w:ascii="Verdana" w:hAnsi="Verdana"/>
          <w:spacing w:val="-4"/>
          <w:lang w:val="es-MX"/>
        </w:rPr>
        <w:t xml:space="preserve"> </w:t>
      </w:r>
      <w:r w:rsidRPr="00B156D5">
        <w:rPr>
          <w:rFonts w:ascii="Verdana" w:hAnsi="Verdana"/>
          <w:i/>
          <w:spacing w:val="-4"/>
        </w:rPr>
        <w:t>Caso de personas dominicanas y haitianas expulsadas Vs. República Dominicana, supra</w:t>
      </w:r>
      <w:r w:rsidRPr="00B156D5">
        <w:rPr>
          <w:rFonts w:ascii="Verdana" w:hAnsi="Verdana"/>
          <w:spacing w:val="-4"/>
        </w:rPr>
        <w:t>, párr. 270</w:t>
      </w:r>
      <w:r w:rsidR="00247816" w:rsidRPr="00B156D5">
        <w:rPr>
          <w:rFonts w:ascii="Verdana" w:hAnsi="Verdana"/>
          <w:spacing w:val="-4"/>
        </w:rPr>
        <w:t>,</w:t>
      </w:r>
      <w:r w:rsidR="00023E34" w:rsidRPr="00B156D5">
        <w:rPr>
          <w:rFonts w:ascii="Verdana" w:hAnsi="Verdana"/>
          <w:spacing w:val="-4"/>
        </w:rPr>
        <w:t xml:space="preserve"> </w:t>
      </w:r>
      <w:r w:rsidR="00490D5A" w:rsidRPr="00B156D5">
        <w:rPr>
          <w:rFonts w:ascii="Verdana" w:hAnsi="Verdana"/>
          <w:spacing w:val="-4"/>
          <w:szCs w:val="16"/>
        </w:rPr>
        <w:t xml:space="preserve">y </w:t>
      </w:r>
      <w:r w:rsidR="00490D5A" w:rsidRPr="00B156D5">
        <w:rPr>
          <w:rFonts w:ascii="Verdana" w:hAnsi="Verdana"/>
          <w:i/>
          <w:iCs/>
          <w:spacing w:val="-4"/>
          <w:szCs w:val="16"/>
        </w:rPr>
        <w:t xml:space="preserve">Caso Movilla Galarcio y otros Vs. Colombia, supra, </w:t>
      </w:r>
      <w:r w:rsidR="00490D5A" w:rsidRPr="00B156D5">
        <w:rPr>
          <w:rFonts w:ascii="Verdana" w:hAnsi="Verdana"/>
          <w:spacing w:val="-4"/>
          <w:szCs w:val="16"/>
        </w:rPr>
        <w:t xml:space="preserve">nota </w:t>
      </w:r>
      <w:r w:rsidR="00490D5A" w:rsidRPr="00B156D5">
        <w:rPr>
          <w:rFonts w:ascii="Verdana" w:hAnsi="Verdana"/>
          <w:szCs w:val="16"/>
        </w:rPr>
        <w:t>159</w:t>
      </w:r>
      <w:r w:rsidR="00490D5A" w:rsidRPr="00B156D5">
        <w:rPr>
          <w:rFonts w:ascii="Verdana" w:hAnsi="Verdana"/>
          <w:spacing w:val="-4"/>
          <w:szCs w:val="16"/>
        </w:rPr>
        <w:t>.</w:t>
      </w:r>
    </w:p>
  </w:footnote>
  <w:footnote w:id="102">
    <w:p w14:paraId="5C8B5C5F" w14:textId="1ED7C856" w:rsidR="00794010" w:rsidRPr="00B156D5" w:rsidRDefault="00794010" w:rsidP="00794010">
      <w:pPr>
        <w:pStyle w:val="Textonotapie"/>
        <w:ind w:right="1"/>
        <w:jc w:val="both"/>
        <w:rPr>
          <w:rFonts w:ascii="Verdana" w:hAnsi="Verdana"/>
          <w:spacing w:val="-4"/>
        </w:rPr>
      </w:pPr>
      <w:r w:rsidRPr="00B156D5">
        <w:rPr>
          <w:rStyle w:val="Refdenotaalpie"/>
          <w:rFonts w:ascii="Verdana" w:hAnsi="Verdana"/>
          <w:spacing w:val="-4"/>
          <w:lang w:val="en-US"/>
        </w:rPr>
        <w:footnoteRef/>
      </w:r>
      <w:r w:rsidRPr="00B156D5">
        <w:rPr>
          <w:rStyle w:val="Refdenotaalpie"/>
          <w:rFonts w:ascii="Verdana" w:hAnsi="Verdana"/>
          <w:spacing w:val="-4"/>
        </w:rPr>
        <w:t xml:space="preserve"> </w:t>
      </w:r>
      <w:r w:rsidRPr="00B156D5">
        <w:rPr>
          <w:rFonts w:ascii="Verdana" w:hAnsi="Verdana"/>
          <w:spacing w:val="-4"/>
          <w:szCs w:val="16"/>
        </w:rPr>
        <w:tab/>
      </w:r>
      <w:r w:rsidRPr="00B156D5">
        <w:rPr>
          <w:rFonts w:ascii="Verdana" w:hAnsi="Verdana"/>
          <w:i/>
          <w:iCs/>
          <w:spacing w:val="-4"/>
        </w:rPr>
        <w:t xml:space="preserve">Cfr. Caso “La Última Tentación de Cristo” (Olmedo Bustos y otros) Vs. Chile. Fondo, Reparaciones y Costas. </w:t>
      </w:r>
      <w:r w:rsidRPr="00B156D5">
        <w:rPr>
          <w:rFonts w:ascii="Verdana" w:hAnsi="Verdana"/>
          <w:spacing w:val="-4"/>
        </w:rPr>
        <w:t>Sentencia de 5 de febrero de 2001. Serie C N° 73,</w:t>
      </w:r>
      <w:r w:rsidR="00023E34" w:rsidRPr="00B156D5">
        <w:rPr>
          <w:rFonts w:ascii="Verdana" w:hAnsi="Verdana"/>
        </w:rPr>
        <w:t xml:space="preserve"> </w:t>
      </w:r>
      <w:r w:rsidRPr="00B156D5">
        <w:rPr>
          <w:rFonts w:ascii="Verdana" w:hAnsi="Verdana"/>
          <w:spacing w:val="-4"/>
        </w:rPr>
        <w:t>párr. 87</w:t>
      </w:r>
      <w:r w:rsidR="007D6295" w:rsidRPr="00B156D5">
        <w:rPr>
          <w:rFonts w:ascii="Verdana" w:hAnsi="Verdana"/>
          <w:spacing w:val="-4"/>
        </w:rPr>
        <w:t>,</w:t>
      </w:r>
      <w:r w:rsidR="00117E9D" w:rsidRPr="00B156D5">
        <w:rPr>
          <w:rFonts w:ascii="Verdana" w:hAnsi="Verdana"/>
          <w:spacing w:val="-4"/>
        </w:rPr>
        <w:t xml:space="preserve"> </w:t>
      </w:r>
      <w:r w:rsidRPr="00B156D5">
        <w:rPr>
          <w:rFonts w:ascii="Verdana" w:hAnsi="Verdana"/>
          <w:spacing w:val="-4"/>
        </w:rPr>
        <w:t xml:space="preserve">y </w:t>
      </w:r>
      <w:r w:rsidR="007D6295" w:rsidRPr="00B156D5">
        <w:rPr>
          <w:rFonts w:ascii="Verdana" w:hAnsi="Verdana"/>
          <w:i/>
          <w:iCs/>
          <w:spacing w:val="-4"/>
        </w:rPr>
        <w:t>Caso Vereda La Esperanza Vs. Colombia. Excepciones Preliminares, Fondo, Reparaciones y Costas</w:t>
      </w:r>
      <w:r w:rsidR="007D6295" w:rsidRPr="00B156D5">
        <w:rPr>
          <w:rFonts w:ascii="Verdana" w:hAnsi="Verdana"/>
          <w:spacing w:val="-4"/>
        </w:rPr>
        <w:t xml:space="preserve">. Sentencia de 31 de agosto de 2017. Serie C No. </w:t>
      </w:r>
      <w:proofErr w:type="gramStart"/>
      <w:r w:rsidR="007D6295" w:rsidRPr="00B156D5">
        <w:rPr>
          <w:rFonts w:ascii="Verdana" w:hAnsi="Verdana"/>
          <w:spacing w:val="-4"/>
        </w:rPr>
        <w:t>341</w:t>
      </w:r>
      <w:r w:rsidR="007D6295" w:rsidRPr="00B156D5" w:rsidDel="007D6295">
        <w:rPr>
          <w:rFonts w:ascii="Verdana" w:hAnsi="Verdana"/>
          <w:spacing w:val="-4"/>
        </w:rPr>
        <w:t xml:space="preserve"> </w:t>
      </w:r>
      <w:r w:rsidRPr="00B156D5">
        <w:rPr>
          <w:rFonts w:ascii="Verdana" w:hAnsi="Verdana"/>
          <w:i/>
          <w:iCs/>
          <w:spacing w:val="-4"/>
        </w:rPr>
        <w:t>,</w:t>
      </w:r>
      <w:proofErr w:type="gramEnd"/>
      <w:r w:rsidRPr="00B156D5">
        <w:rPr>
          <w:rFonts w:ascii="Verdana" w:hAnsi="Verdana"/>
          <w:i/>
          <w:iCs/>
          <w:spacing w:val="-4"/>
        </w:rPr>
        <w:t xml:space="preserve"> </w:t>
      </w:r>
      <w:r w:rsidRPr="00B156D5">
        <w:rPr>
          <w:rFonts w:ascii="Verdana" w:hAnsi="Verdana"/>
          <w:spacing w:val="-4"/>
        </w:rPr>
        <w:t xml:space="preserve">párr. </w:t>
      </w:r>
      <w:r w:rsidR="00DD5205" w:rsidRPr="00B156D5">
        <w:rPr>
          <w:rFonts w:ascii="Verdana" w:hAnsi="Verdana"/>
        </w:rPr>
        <w:t>84</w:t>
      </w:r>
      <w:r w:rsidRPr="00B156D5">
        <w:rPr>
          <w:rFonts w:ascii="Verdana" w:hAnsi="Verdana"/>
          <w:spacing w:val="-4"/>
        </w:rPr>
        <w:t>.</w:t>
      </w:r>
    </w:p>
  </w:footnote>
  <w:footnote w:id="103">
    <w:p w14:paraId="2631700C" w14:textId="5622F256" w:rsidR="00AF0E43" w:rsidRPr="00B156D5" w:rsidRDefault="00AF0E43" w:rsidP="00AF0E43">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iCs/>
        </w:rPr>
        <w:t>Cfr</w:t>
      </w:r>
      <w:r w:rsidRPr="00B156D5">
        <w:rPr>
          <w:rFonts w:ascii="Verdana" w:hAnsi="Verdana"/>
        </w:rPr>
        <w:t xml:space="preserve">. </w:t>
      </w:r>
      <w:r w:rsidRPr="00B156D5">
        <w:rPr>
          <w:rFonts w:ascii="Verdana" w:hAnsi="Verdana" w:cs="Calibri"/>
          <w:i/>
          <w:iCs/>
        </w:rPr>
        <w:t>Caso Castillo Petruzzi</w:t>
      </w:r>
      <w:r w:rsidRPr="00B156D5" w:rsidDel="1EA761A5">
        <w:rPr>
          <w:rFonts w:ascii="Verdana" w:hAnsi="Verdana" w:cs="Calibri"/>
          <w:i/>
          <w:iCs/>
        </w:rPr>
        <w:t xml:space="preserve"> y otros vs. Perú</w:t>
      </w:r>
      <w:r w:rsidRPr="00B156D5">
        <w:rPr>
          <w:rFonts w:ascii="Verdana" w:hAnsi="Verdana" w:cs="Calibri"/>
          <w:i/>
          <w:iCs/>
        </w:rPr>
        <w:t xml:space="preserve">, supra, </w:t>
      </w:r>
      <w:r w:rsidRPr="00B156D5" w:rsidDel="1EA761A5">
        <w:rPr>
          <w:rFonts w:ascii="Verdana" w:hAnsi="Verdana" w:cs="Calibri"/>
        </w:rPr>
        <w:t>párr. 207</w:t>
      </w:r>
      <w:r w:rsidR="00117E9D" w:rsidRPr="00B156D5">
        <w:rPr>
          <w:rFonts w:ascii="Verdana" w:hAnsi="Verdana" w:cs="Calibri"/>
        </w:rPr>
        <w:t xml:space="preserve">, </w:t>
      </w:r>
      <w:r w:rsidRPr="00B156D5">
        <w:rPr>
          <w:rFonts w:ascii="Verdana" w:hAnsi="Verdana" w:cs="Calibri"/>
        </w:rPr>
        <w:t xml:space="preserve">y </w:t>
      </w:r>
      <w:r w:rsidRPr="00B156D5">
        <w:rPr>
          <w:rFonts w:ascii="Verdana" w:hAnsi="Verdana" w:cs="Calibri"/>
          <w:i/>
          <w:iCs/>
        </w:rPr>
        <w:t>Caso Comunidad Garífuna Triunfo de la Cruz y sus miembros vs. Honduras. Fondo, Reparaciones y Costas. párr. 187</w:t>
      </w:r>
      <w:r w:rsidRPr="00B156D5">
        <w:rPr>
          <w:rFonts w:ascii="Verdana" w:hAnsi="Verdana" w:cs="Calibri"/>
        </w:rPr>
        <w:t>.</w:t>
      </w:r>
    </w:p>
  </w:footnote>
  <w:footnote w:id="104">
    <w:p w14:paraId="77D3BB3C" w14:textId="01807FD8" w:rsidR="00D15B00" w:rsidRPr="00B156D5" w:rsidRDefault="00D15B00" w:rsidP="00752730">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Cs/>
          <w:szCs w:val="16"/>
        </w:rPr>
        <w:t>Véase</w:t>
      </w:r>
      <w:r w:rsidR="00247816" w:rsidRPr="00B156D5">
        <w:rPr>
          <w:rFonts w:ascii="Verdana" w:hAnsi="Verdana"/>
          <w:iCs/>
          <w:szCs w:val="16"/>
        </w:rPr>
        <w:t>,</w:t>
      </w:r>
      <w:r w:rsidRPr="00B156D5">
        <w:rPr>
          <w:rFonts w:ascii="Verdana" w:hAnsi="Verdana"/>
          <w:iCs/>
          <w:szCs w:val="16"/>
        </w:rPr>
        <w:t xml:space="preserve"> por ejemplo, </w:t>
      </w:r>
      <w:r w:rsidR="008A7824" w:rsidRPr="00B156D5">
        <w:rPr>
          <w:rFonts w:ascii="Verdana" w:hAnsi="Verdana"/>
          <w:iCs/>
          <w:szCs w:val="16"/>
        </w:rPr>
        <w:t xml:space="preserve">declaración pericial </w:t>
      </w:r>
      <w:r w:rsidR="00701FBA" w:rsidRPr="00B156D5">
        <w:rPr>
          <w:rFonts w:ascii="Verdana" w:hAnsi="Verdana"/>
          <w:iCs/>
          <w:szCs w:val="16"/>
        </w:rPr>
        <w:t xml:space="preserve">de Luis Raúl González Pérez rendida </w:t>
      </w:r>
      <w:r w:rsidRPr="00B156D5">
        <w:rPr>
          <w:rFonts w:ascii="Verdana" w:hAnsi="Verdana"/>
          <w:iCs/>
          <w:szCs w:val="16"/>
        </w:rPr>
        <w:t>durante la audiencia pública del presente caso</w:t>
      </w:r>
      <w:r w:rsidRPr="00B156D5">
        <w:rPr>
          <w:rFonts w:ascii="Verdana" w:hAnsi="Verdana" w:cs="Calibri"/>
          <w:bCs/>
          <w:szCs w:val="16"/>
        </w:rPr>
        <w:t>.</w:t>
      </w:r>
    </w:p>
  </w:footnote>
  <w:footnote w:id="105">
    <w:p w14:paraId="79205FED" w14:textId="7457C9BD" w:rsidR="00D15B00" w:rsidRPr="00B156D5" w:rsidRDefault="00D15B00" w:rsidP="0068110E">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Pr="00B156D5">
        <w:rPr>
          <w:rFonts w:ascii="Verdana" w:hAnsi="Verdana" w:cs="Calibri"/>
          <w:bCs/>
          <w:iCs/>
          <w:szCs w:val="16"/>
        </w:rPr>
        <w:t>Resolución de Arraigo 03/2006, dictada por el Juzgado Decimocuarto de Distrito de Procesos Penales Federales, 18 de enero de 2006 (expediente de prueba, folios 382 y siguientes)</w:t>
      </w:r>
      <w:r w:rsidRPr="00B156D5">
        <w:rPr>
          <w:rFonts w:ascii="Verdana" w:hAnsi="Verdana" w:cs="Calibri"/>
          <w:bCs/>
          <w:szCs w:val="16"/>
        </w:rPr>
        <w:t>.</w:t>
      </w:r>
    </w:p>
  </w:footnote>
  <w:footnote w:id="106">
    <w:p w14:paraId="5B16B465" w14:textId="77777777" w:rsidR="00D15B00" w:rsidRPr="00B156D5" w:rsidRDefault="00D15B00" w:rsidP="00971108">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Resolución de Arraigo 03/2006, dictada por el Juzgado Decimocuarto de Distrito de Procesos Penales Federales, 18 de enero de 2006 (expediente de prueba, folios 383 y 386)</w:t>
      </w:r>
      <w:r w:rsidRPr="00B156D5">
        <w:rPr>
          <w:rFonts w:ascii="Verdana" w:hAnsi="Verdana" w:cs="Calibri"/>
          <w:bCs/>
          <w:szCs w:val="16"/>
        </w:rPr>
        <w:t>.</w:t>
      </w:r>
    </w:p>
  </w:footnote>
  <w:footnote w:id="107">
    <w:p w14:paraId="74109C9D" w14:textId="5725510C" w:rsidR="00D15B00" w:rsidRPr="00B156D5" w:rsidRDefault="00D15B00" w:rsidP="00A778BE">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003C7853" w:rsidRPr="00B156D5">
        <w:rPr>
          <w:rFonts w:ascii="Verdana" w:hAnsi="Verdana"/>
          <w:szCs w:val="16"/>
        </w:rPr>
        <w:t xml:space="preserve">Declaración pericial </w:t>
      </w:r>
      <w:r w:rsidR="00562E1D" w:rsidRPr="00B156D5">
        <w:rPr>
          <w:rFonts w:ascii="Verdana" w:hAnsi="Verdana"/>
          <w:szCs w:val="16"/>
        </w:rPr>
        <w:t>de Esteban Gilberto Arcos Cortés</w:t>
      </w:r>
      <w:r w:rsidR="00562E1D" w:rsidRPr="00B156D5" w:rsidDel="00524FA0">
        <w:rPr>
          <w:rFonts w:ascii="Verdana" w:hAnsi="Verdana"/>
          <w:szCs w:val="16"/>
        </w:rPr>
        <w:t xml:space="preserve"> </w:t>
      </w:r>
      <w:r w:rsidR="00524FA0" w:rsidRPr="00B156D5">
        <w:rPr>
          <w:rFonts w:ascii="Verdana" w:hAnsi="Verdana"/>
          <w:szCs w:val="16"/>
        </w:rPr>
        <w:t>rendid</w:t>
      </w:r>
      <w:r w:rsidR="003C7853" w:rsidRPr="00B156D5">
        <w:rPr>
          <w:rFonts w:ascii="Verdana" w:hAnsi="Verdana"/>
          <w:szCs w:val="16"/>
        </w:rPr>
        <w:t>a</w:t>
      </w:r>
      <w:r w:rsidR="00524FA0" w:rsidRPr="00B156D5">
        <w:rPr>
          <w:rFonts w:ascii="Verdana" w:hAnsi="Verdana"/>
          <w:szCs w:val="16"/>
        </w:rPr>
        <w:t xml:space="preserve"> </w:t>
      </w:r>
      <w:r w:rsidR="00837CF1" w:rsidRPr="00B156D5">
        <w:rPr>
          <w:rFonts w:ascii="Verdana" w:hAnsi="Verdana"/>
          <w:szCs w:val="16"/>
        </w:rPr>
        <w:t>durante</w:t>
      </w:r>
      <w:r w:rsidR="00524FA0" w:rsidRPr="00B156D5">
        <w:rPr>
          <w:rFonts w:ascii="Verdana" w:hAnsi="Verdana"/>
          <w:szCs w:val="16"/>
        </w:rPr>
        <w:t xml:space="preserve"> </w:t>
      </w:r>
      <w:r w:rsidRPr="00B156D5">
        <w:rPr>
          <w:rFonts w:ascii="Verdana" w:hAnsi="Verdana"/>
          <w:szCs w:val="16"/>
        </w:rPr>
        <w:t>la audiencia pública del presente caso</w:t>
      </w:r>
      <w:r w:rsidRPr="00B156D5">
        <w:rPr>
          <w:rFonts w:ascii="Verdana" w:hAnsi="Verdana" w:cs="Calibri"/>
          <w:bCs/>
          <w:szCs w:val="16"/>
        </w:rPr>
        <w:t>.</w:t>
      </w:r>
    </w:p>
  </w:footnote>
  <w:footnote w:id="108">
    <w:p w14:paraId="440183C0" w14:textId="41D61160" w:rsidR="00D15B00" w:rsidRPr="00B156D5" w:rsidRDefault="00D15B00" w:rsidP="00720FCE">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w:t>
      </w:r>
      <w:r w:rsidR="003C7853" w:rsidRPr="00B156D5">
        <w:rPr>
          <w:rFonts w:ascii="Verdana" w:hAnsi="Verdana"/>
          <w:szCs w:val="16"/>
        </w:rPr>
        <w:t>Declaración pericial de</w:t>
      </w:r>
      <w:r w:rsidR="00562E1D" w:rsidRPr="00B156D5">
        <w:rPr>
          <w:rFonts w:ascii="Verdana" w:hAnsi="Verdana"/>
          <w:szCs w:val="16"/>
        </w:rPr>
        <w:t xml:space="preserve"> Luis Raúl González Pérez</w:t>
      </w:r>
      <w:r w:rsidR="00562E1D" w:rsidRPr="00B156D5" w:rsidDel="00524FA0">
        <w:rPr>
          <w:rFonts w:ascii="Verdana" w:hAnsi="Verdana"/>
          <w:szCs w:val="16"/>
        </w:rPr>
        <w:t xml:space="preserve"> </w:t>
      </w:r>
      <w:r w:rsidR="00524FA0" w:rsidRPr="00B156D5">
        <w:rPr>
          <w:rFonts w:ascii="Verdana" w:hAnsi="Verdana"/>
          <w:szCs w:val="16"/>
        </w:rPr>
        <w:t>rendid</w:t>
      </w:r>
      <w:r w:rsidR="003C7853" w:rsidRPr="00B156D5">
        <w:rPr>
          <w:rFonts w:ascii="Verdana" w:hAnsi="Verdana"/>
          <w:szCs w:val="16"/>
        </w:rPr>
        <w:t>a</w:t>
      </w:r>
      <w:r w:rsidR="00524FA0" w:rsidRPr="00B156D5">
        <w:rPr>
          <w:rFonts w:ascii="Verdana" w:hAnsi="Verdana"/>
          <w:szCs w:val="16"/>
        </w:rPr>
        <w:t xml:space="preserve"> </w:t>
      </w:r>
      <w:r w:rsidR="00837CF1" w:rsidRPr="00B156D5">
        <w:rPr>
          <w:rFonts w:ascii="Verdana" w:hAnsi="Verdana"/>
          <w:szCs w:val="16"/>
        </w:rPr>
        <w:t>durante</w:t>
      </w:r>
      <w:r w:rsidR="00524FA0" w:rsidRPr="00B156D5">
        <w:rPr>
          <w:rFonts w:ascii="Verdana" w:hAnsi="Verdana"/>
          <w:szCs w:val="16"/>
        </w:rPr>
        <w:t xml:space="preserve"> </w:t>
      </w:r>
      <w:r w:rsidRPr="00B156D5">
        <w:rPr>
          <w:rFonts w:ascii="Verdana" w:hAnsi="Verdana"/>
          <w:szCs w:val="16"/>
        </w:rPr>
        <w:t>la audiencia pública del presente caso</w:t>
      </w:r>
      <w:r w:rsidRPr="00B156D5">
        <w:rPr>
          <w:rFonts w:ascii="Verdana" w:hAnsi="Verdana" w:cs="Calibri"/>
          <w:bCs/>
          <w:szCs w:val="16"/>
        </w:rPr>
        <w:t>.</w:t>
      </w:r>
    </w:p>
  </w:footnote>
  <w:footnote w:id="109">
    <w:p w14:paraId="2A984981" w14:textId="01DD88A7" w:rsidR="00D15B00" w:rsidRPr="00B156D5" w:rsidRDefault="00D15B00" w:rsidP="00642A60">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Pr="00B156D5">
        <w:rPr>
          <w:rFonts w:ascii="Verdana" w:hAnsi="Verdana"/>
          <w:i/>
        </w:rPr>
        <w:t>Caso Apitz Barbera y otros (“Corte Primera de lo Contencioso Administrativo”) Vs. Venezuela. Excepción Preliminar, Fondo, Reparaciones y Costas</w:t>
      </w:r>
      <w:r w:rsidRPr="00B156D5">
        <w:rPr>
          <w:rFonts w:ascii="Verdana" w:hAnsi="Verdana"/>
          <w:i/>
          <w:iCs/>
        </w:rPr>
        <w:t xml:space="preserve">. </w:t>
      </w:r>
      <w:r w:rsidRPr="00B156D5">
        <w:rPr>
          <w:rFonts w:ascii="Verdana" w:hAnsi="Verdana"/>
        </w:rPr>
        <w:t>Sentencia de 5 de agosto de 2008. Serie C N</w:t>
      </w:r>
      <w:r w:rsidR="006D5BBD" w:rsidRPr="00B156D5">
        <w:rPr>
          <w:rFonts w:ascii="Verdana" w:hAnsi="Verdana"/>
        </w:rPr>
        <w:t>o.</w:t>
      </w:r>
      <w:r w:rsidRPr="00B156D5">
        <w:rPr>
          <w:rFonts w:ascii="Verdana" w:hAnsi="Verdana"/>
        </w:rPr>
        <w:t xml:space="preserve"> 182 párr. 72, y </w:t>
      </w:r>
      <w:r w:rsidR="00C61125" w:rsidRPr="00B156D5">
        <w:rPr>
          <w:rFonts w:ascii="Verdana" w:hAnsi="Verdana"/>
          <w:i/>
          <w:iCs/>
        </w:rPr>
        <w:t>Caso Roche Azaña y otros Vs. Nicaragua. Fondo y Reparaciones. Sentencia de 3 de junio de 2020</w:t>
      </w:r>
      <w:r w:rsidR="00C61125" w:rsidRPr="00B156D5">
        <w:rPr>
          <w:rFonts w:ascii="Verdana" w:hAnsi="Verdana"/>
        </w:rPr>
        <w:t xml:space="preserve">. Serie C No. 403, </w:t>
      </w:r>
      <w:r w:rsidRPr="00B156D5">
        <w:rPr>
          <w:rFonts w:ascii="Verdana" w:hAnsi="Verdana"/>
        </w:rPr>
        <w:t xml:space="preserve">párr. </w:t>
      </w:r>
      <w:r w:rsidR="006D5BBD" w:rsidRPr="00B156D5">
        <w:rPr>
          <w:rFonts w:ascii="Verdana" w:hAnsi="Verdana"/>
        </w:rPr>
        <w:t>85</w:t>
      </w:r>
      <w:r w:rsidRPr="00B156D5">
        <w:rPr>
          <w:rFonts w:ascii="Verdana" w:hAnsi="Verdana" w:cs="Calibri"/>
        </w:rPr>
        <w:t>.</w:t>
      </w:r>
    </w:p>
  </w:footnote>
  <w:footnote w:id="110">
    <w:p w14:paraId="43458390" w14:textId="7D4641D7" w:rsidR="00D15B00" w:rsidRPr="00B156D5" w:rsidRDefault="00D15B00" w:rsidP="00007062">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Peritaje </w:t>
      </w:r>
      <w:r w:rsidR="00712EBB" w:rsidRPr="00B156D5">
        <w:rPr>
          <w:rFonts w:ascii="Verdana" w:hAnsi="Verdana"/>
          <w:szCs w:val="16"/>
        </w:rPr>
        <w:t xml:space="preserve">de Carlos María Pelayo </w:t>
      </w:r>
      <w:proofErr w:type="spellStart"/>
      <w:r w:rsidR="00712EBB" w:rsidRPr="00B156D5">
        <w:rPr>
          <w:rFonts w:ascii="Verdana" w:hAnsi="Verdana"/>
          <w:szCs w:val="16"/>
        </w:rPr>
        <w:t>Moller</w:t>
      </w:r>
      <w:proofErr w:type="spellEnd"/>
      <w:r w:rsidR="00712EBB" w:rsidRPr="00B156D5">
        <w:rPr>
          <w:rFonts w:ascii="Verdana" w:hAnsi="Verdana"/>
          <w:szCs w:val="16"/>
        </w:rPr>
        <w:t xml:space="preserve"> </w:t>
      </w:r>
      <w:r w:rsidR="00052BC2" w:rsidRPr="00B156D5">
        <w:rPr>
          <w:rFonts w:ascii="Verdana" w:hAnsi="Verdana"/>
          <w:szCs w:val="16"/>
        </w:rPr>
        <w:t xml:space="preserve">rendido en </w:t>
      </w:r>
      <w:r w:rsidRPr="00B156D5">
        <w:rPr>
          <w:rFonts w:ascii="Verdana" w:hAnsi="Verdana"/>
          <w:szCs w:val="16"/>
        </w:rPr>
        <w:t>la audiencia pública del presente caso</w:t>
      </w:r>
      <w:r w:rsidRPr="00B156D5">
        <w:rPr>
          <w:rFonts w:ascii="Verdana" w:hAnsi="Verdana" w:cs="Calibri"/>
          <w:bCs/>
          <w:szCs w:val="16"/>
        </w:rPr>
        <w:t>.</w:t>
      </w:r>
    </w:p>
  </w:footnote>
  <w:footnote w:id="111">
    <w:p w14:paraId="267198AA" w14:textId="77777777" w:rsidR="000150E6" w:rsidRPr="00B156D5" w:rsidRDefault="000150E6" w:rsidP="000150E6">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Peritaje de Luis Raúl González Pérez</w:t>
      </w:r>
      <w:r w:rsidRPr="00B156D5" w:rsidDel="00052BC2">
        <w:rPr>
          <w:rFonts w:ascii="Verdana" w:hAnsi="Verdana"/>
          <w:szCs w:val="16"/>
        </w:rPr>
        <w:t xml:space="preserve"> </w:t>
      </w:r>
      <w:r w:rsidRPr="00B156D5">
        <w:rPr>
          <w:rFonts w:ascii="Verdana" w:hAnsi="Verdana"/>
          <w:szCs w:val="16"/>
        </w:rPr>
        <w:t>rendido en la audiencia pública del presente caso</w:t>
      </w:r>
      <w:r w:rsidRPr="00B156D5">
        <w:rPr>
          <w:rFonts w:ascii="Verdana" w:hAnsi="Verdana" w:cs="Calibri"/>
          <w:bCs/>
          <w:szCs w:val="16"/>
        </w:rPr>
        <w:t>.</w:t>
      </w:r>
    </w:p>
  </w:footnote>
  <w:footnote w:id="112">
    <w:p w14:paraId="1AC7CB47" w14:textId="7F30E0E1" w:rsidR="00D15B00" w:rsidRPr="00B156D5" w:rsidRDefault="00D15B00" w:rsidP="002A2F87">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003763B2" w:rsidRPr="00B156D5">
        <w:rPr>
          <w:rFonts w:ascii="Verdana" w:hAnsi="Verdana"/>
          <w:i/>
          <w:iCs/>
        </w:rPr>
        <w:t>Caso Pollo Rivera y otros Vs. Perú. Fondo, Reparaciones y Costas</w:t>
      </w:r>
      <w:r w:rsidR="003763B2" w:rsidRPr="00B156D5">
        <w:rPr>
          <w:rFonts w:ascii="Verdana" w:hAnsi="Verdana"/>
        </w:rPr>
        <w:t>. Sentencia de 21 de octubre de 2016. Serie C No. 319</w:t>
      </w:r>
      <w:r w:rsidRPr="00B156D5">
        <w:rPr>
          <w:rFonts w:ascii="Verdana" w:hAnsi="Verdana"/>
        </w:rPr>
        <w:t>, párr. 176</w:t>
      </w:r>
      <w:r w:rsidRPr="00B156D5">
        <w:rPr>
          <w:rFonts w:ascii="Verdana" w:hAnsi="Verdana" w:cs="Calibri"/>
        </w:rPr>
        <w:t>.</w:t>
      </w:r>
    </w:p>
  </w:footnote>
  <w:footnote w:id="113">
    <w:p w14:paraId="7DCE11FA" w14:textId="7B24E08A" w:rsidR="00D15B00" w:rsidRPr="00B156D5" w:rsidRDefault="00D15B00" w:rsidP="002A2F87">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w:t>
      </w:r>
      <w:r w:rsidRPr="00B156D5">
        <w:rPr>
          <w:rFonts w:ascii="Verdana" w:hAnsi="Verdana" w:cs="Calibri"/>
          <w:bCs/>
          <w:szCs w:val="16"/>
        </w:rPr>
        <w:t xml:space="preserve">Antigua y Barbuda, artículo 15.7; Argentina, artículo 18; Bahamas, artículo 20.7; Barbados, artículo 18.7; Belice, artículo 6.6; Bolivia, artículo 121; Brasil, artículo 5.LXIII; Canadá, </w:t>
      </w:r>
      <w:r w:rsidR="002872AD" w:rsidRPr="00B156D5">
        <w:rPr>
          <w:rFonts w:ascii="Verdana" w:hAnsi="Verdana" w:cs="Calibri"/>
          <w:bCs/>
          <w:szCs w:val="16"/>
        </w:rPr>
        <w:t>Acto Constitucional de</w:t>
      </w:r>
      <w:r w:rsidRPr="00B156D5">
        <w:rPr>
          <w:rFonts w:ascii="Verdana" w:hAnsi="Verdana" w:cs="Calibri"/>
          <w:bCs/>
          <w:szCs w:val="16"/>
        </w:rPr>
        <w:t xml:space="preserve"> 1982, artículo 11.c; Chile, artículo 19.7.f; Colombia, artículo 33; Costa Rica, artículo 36; Cuba, artículo 95.e; Dominica, artículo 8.7; Ecuador, artículo 77.7 b y c; El Salvador, artículo 12; Estados Unidos, Enmienda V; Granada, artículo 8.7; Guatemala, artículo 8; Guyana, artículo 144.7; Haití, artículo 46; Honduras, artículo 88; Jamaica, artículo 16.6; </w:t>
      </w:r>
      <w:r w:rsidRPr="00B156D5">
        <w:rPr>
          <w:rFonts w:ascii="Verdana" w:hAnsi="Verdana"/>
          <w:szCs w:val="16"/>
        </w:rPr>
        <w:t>México, Artículo 20.B.II</w:t>
      </w:r>
      <w:r w:rsidRPr="00B156D5">
        <w:rPr>
          <w:rFonts w:ascii="Verdana" w:hAnsi="Verdana" w:cs="Calibri"/>
          <w:bCs/>
          <w:szCs w:val="16"/>
        </w:rPr>
        <w:t xml:space="preserve">; Nicaragua, artículo 34.7; Panamá, artículo 25; Paraguay, artículo 18; República Dominicana, artículo 69.6; San Cristóbal y Nieves, artículo 10.7; Santa Lucía, artículo 8.7; San Vicente y las Granadinas, artículo 8.7; Trinidad y Tobago, artículo 5.2.d; Uruguay, artículo 20; Venezuela, artículo 49.5. </w:t>
      </w:r>
    </w:p>
  </w:footnote>
  <w:footnote w:id="114">
    <w:p w14:paraId="693F6DEA" w14:textId="4DBDD283" w:rsidR="00D15B00" w:rsidRPr="00B156D5" w:rsidRDefault="00D15B00" w:rsidP="000450BC">
      <w:pPr>
        <w:pStyle w:val="Textonotapie"/>
        <w:spacing w:before="60" w:after="60"/>
        <w:jc w:val="both"/>
        <w:rPr>
          <w:rFonts w:ascii="Verdana" w:hAnsi="Verdana" w:cs="Calibri"/>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i/>
        </w:rPr>
        <w:t>Cfr</w:t>
      </w:r>
      <w:r w:rsidRPr="00B156D5">
        <w:rPr>
          <w:rFonts w:ascii="Verdana" w:hAnsi="Verdana"/>
        </w:rPr>
        <w:t xml:space="preserve">. </w:t>
      </w:r>
      <w:r w:rsidRPr="00B156D5">
        <w:rPr>
          <w:rFonts w:ascii="Verdana" w:hAnsi="Verdana" w:cs="Calibri"/>
        </w:rPr>
        <w:t>Corte Suprema de Justicia de Chile, - Rol: 2560-2019 de 2 de abril de 2019, Corte Constitucional de Colombia, Sentencia C-102/05 y Sentencia C-776 de 2001, TJDFT- Tribunal de Justiç</w:t>
      </w:r>
      <w:r w:rsidR="00ED076E" w:rsidRPr="00B156D5">
        <w:rPr>
          <w:rFonts w:ascii="Verdana" w:hAnsi="Verdana" w:cs="Calibri"/>
        </w:rPr>
        <w:t>i</w:t>
      </w:r>
      <w:r w:rsidRPr="00B156D5">
        <w:rPr>
          <w:rFonts w:ascii="Verdana" w:hAnsi="Verdana" w:cs="Calibri"/>
        </w:rPr>
        <w:t>a do Distrito Federal e dos Territórios de Brasil, Tribunal Constitucional del Perú. El derecho a guardar silencio forma parte del derecho a no autoincriminarse, Sentencia 418/2021 EXP. N</w:t>
      </w:r>
      <w:r w:rsidR="00E35ECC" w:rsidRPr="00B156D5">
        <w:rPr>
          <w:rFonts w:ascii="Verdana" w:hAnsi="Verdana" w:cs="Calibri"/>
        </w:rPr>
        <w:t xml:space="preserve">o. </w:t>
      </w:r>
      <w:r w:rsidRPr="00B156D5">
        <w:rPr>
          <w:rFonts w:ascii="Verdana" w:hAnsi="Verdana" w:cs="Calibri"/>
        </w:rPr>
        <w:t xml:space="preserve">01198-2019-PHC/TC (30 de marzo de 2021), Corte Suprema de Justicia de Costa Rica, Sala Constitucional, Resolución Nº 06359 – 1993, Corte Suprema de Justicia de Costa Rica, Sala Constitucional, Resolución </w:t>
      </w:r>
      <w:r w:rsidR="00E35ECC" w:rsidRPr="00B156D5">
        <w:rPr>
          <w:rFonts w:ascii="Verdana" w:hAnsi="Verdana" w:cs="Calibri"/>
        </w:rPr>
        <w:t xml:space="preserve">No. </w:t>
      </w:r>
      <w:r w:rsidRPr="00B156D5">
        <w:rPr>
          <w:rFonts w:ascii="Verdana" w:hAnsi="Verdana" w:cs="Calibri"/>
        </w:rPr>
        <w:t xml:space="preserve">12244 - 2006. Considerando III, y Corte Suprema de Justicia de Costa Rica, Sala Tercera de la Corte, Resolución </w:t>
      </w:r>
      <w:r w:rsidR="00E35ECC" w:rsidRPr="00B156D5">
        <w:rPr>
          <w:rFonts w:ascii="Verdana" w:hAnsi="Verdana" w:cs="Calibri"/>
        </w:rPr>
        <w:t xml:space="preserve">No. </w:t>
      </w:r>
      <w:r w:rsidRPr="00B156D5">
        <w:rPr>
          <w:rFonts w:ascii="Verdana" w:hAnsi="Verdana" w:cs="Calibri"/>
        </w:rPr>
        <w:t>01301 – 2004, y Sala Constitucional, 556-91, de 20 de marzo de 1991, y Suprema Corte de Justicia de la Nación de México, Amparo en revisión 624/2012.</w:t>
      </w:r>
    </w:p>
  </w:footnote>
  <w:footnote w:id="115">
    <w:p w14:paraId="441A2C4E" w14:textId="65C30245" w:rsidR="00EF2859" w:rsidRPr="00B156D5" w:rsidRDefault="009E64A2" w:rsidP="00955888">
      <w:pPr>
        <w:jc w:val="both"/>
        <w:rPr>
          <w:rFonts w:ascii="Verdana Bold" w:eastAsia="Verdana Bold" w:hAnsi="Verdana Bold" w:cs="Verdana Bold"/>
          <w:sz w:val="16"/>
          <w:szCs w:val="16"/>
        </w:rPr>
      </w:pPr>
      <w:r w:rsidRPr="00B156D5">
        <w:rPr>
          <w:rStyle w:val="Refdenotaalpie"/>
          <w:rFonts w:ascii="Verdana" w:hAnsi="Verdana"/>
          <w:szCs w:val="16"/>
          <w:lang w:val="en-US"/>
        </w:rPr>
        <w:t>112</w:t>
      </w:r>
      <w:r w:rsidR="00EF2859" w:rsidRPr="00B156D5">
        <w:rPr>
          <w:sz w:val="16"/>
          <w:szCs w:val="16"/>
          <w:lang w:val="en-US"/>
        </w:rPr>
        <w:tab/>
      </w:r>
      <w:r w:rsidRPr="00B156D5">
        <w:rPr>
          <w:rFonts w:ascii="Verdana" w:hAnsi="Verdana" w:cs="Calibri"/>
          <w:bCs/>
          <w:i/>
          <w:iCs/>
          <w:sz w:val="16"/>
          <w:szCs w:val="16"/>
          <w:lang w:val="en-US"/>
        </w:rPr>
        <w:t>Cfr</w:t>
      </w:r>
      <w:r w:rsidRPr="00B156D5">
        <w:rPr>
          <w:rFonts w:ascii="Verdana" w:hAnsi="Verdana" w:cs="Calibri"/>
          <w:bCs/>
          <w:sz w:val="16"/>
          <w:szCs w:val="16"/>
          <w:lang w:val="en-US"/>
        </w:rPr>
        <w:t xml:space="preserve">. </w:t>
      </w:r>
      <w:r w:rsidR="00FEF568" w:rsidRPr="00B156D5">
        <w:rPr>
          <w:rFonts w:ascii="Verdana" w:hAnsi="Verdana" w:cs="Calibri"/>
          <w:bCs/>
          <w:sz w:val="16"/>
          <w:szCs w:val="16"/>
          <w:lang w:val="en-US"/>
        </w:rPr>
        <w:t>TEDH.</w:t>
      </w:r>
      <w:r w:rsidR="00023E34" w:rsidRPr="00B156D5">
        <w:rPr>
          <w:rFonts w:ascii="Verdana" w:hAnsi="Verdana" w:cs="Calibri"/>
          <w:bCs/>
          <w:sz w:val="16"/>
          <w:szCs w:val="16"/>
          <w:lang w:val="en-US"/>
        </w:rPr>
        <w:t xml:space="preserve"> </w:t>
      </w:r>
      <w:r w:rsidR="00FEF568" w:rsidRPr="00B156D5">
        <w:rPr>
          <w:rFonts w:ascii="Verdana" w:hAnsi="Verdana" w:cs="Calibri"/>
          <w:bCs/>
          <w:i/>
          <w:iCs/>
          <w:sz w:val="16"/>
          <w:szCs w:val="16"/>
          <w:lang w:val="en-US"/>
        </w:rPr>
        <w:t xml:space="preserve">Caso John Murray </w:t>
      </w:r>
      <w:r w:rsidRPr="00B156D5">
        <w:rPr>
          <w:rFonts w:ascii="Verdana" w:hAnsi="Verdana" w:cs="Calibri"/>
          <w:bCs/>
          <w:i/>
          <w:iCs/>
          <w:sz w:val="16"/>
          <w:szCs w:val="16"/>
          <w:lang w:val="en-US"/>
        </w:rPr>
        <w:t>Vs</w:t>
      </w:r>
      <w:r w:rsidR="00FEF568" w:rsidRPr="00B156D5">
        <w:rPr>
          <w:rFonts w:ascii="Verdana" w:hAnsi="Verdana" w:cs="Calibri"/>
          <w:bCs/>
          <w:i/>
          <w:iCs/>
          <w:sz w:val="16"/>
          <w:szCs w:val="16"/>
          <w:lang w:val="en-US"/>
        </w:rPr>
        <w:t xml:space="preserve">. </w:t>
      </w:r>
      <w:r w:rsidRPr="00B156D5">
        <w:rPr>
          <w:rFonts w:ascii="Verdana" w:hAnsi="Verdana" w:cs="Calibri"/>
          <w:bCs/>
          <w:i/>
          <w:iCs/>
          <w:sz w:val="16"/>
          <w:szCs w:val="16"/>
          <w:lang w:val="es-CO"/>
        </w:rPr>
        <w:t>Reino Unido</w:t>
      </w:r>
      <w:r w:rsidR="00FEF568" w:rsidRPr="00B156D5">
        <w:rPr>
          <w:rFonts w:ascii="Verdana" w:hAnsi="Verdana" w:cs="Calibri"/>
          <w:bCs/>
          <w:sz w:val="16"/>
          <w:szCs w:val="16"/>
          <w:lang w:val="es-CO"/>
        </w:rPr>
        <w:t>, Sentencia de 8 de febrero de 1996,</w:t>
      </w:r>
      <w:r w:rsidR="00A637FD" w:rsidRPr="00B156D5">
        <w:rPr>
          <w:rFonts w:ascii="Verdana" w:hAnsi="Verdana" w:cs="Calibri"/>
          <w:bCs/>
          <w:sz w:val="16"/>
          <w:szCs w:val="16"/>
          <w:lang w:val="es-CO"/>
        </w:rPr>
        <w:t xml:space="preserve"> </w:t>
      </w:r>
      <w:r w:rsidR="00FEF568" w:rsidRPr="00B156D5">
        <w:rPr>
          <w:rFonts w:ascii="Verdana" w:hAnsi="Verdana" w:cs="Calibri"/>
          <w:bCs/>
          <w:sz w:val="16"/>
          <w:szCs w:val="16"/>
          <w:lang w:val="es-CO"/>
        </w:rPr>
        <w:t>aplicación N</w:t>
      </w:r>
      <w:r w:rsidR="00A637FD" w:rsidRPr="00B156D5">
        <w:rPr>
          <w:rFonts w:ascii="Verdana" w:hAnsi="Verdana" w:cs="Calibri"/>
          <w:bCs/>
          <w:sz w:val="16"/>
          <w:szCs w:val="16"/>
          <w:lang w:val="es-CO"/>
        </w:rPr>
        <w:t>o.</w:t>
      </w:r>
      <w:r w:rsidR="00FEF568" w:rsidRPr="00B156D5">
        <w:rPr>
          <w:rFonts w:ascii="Verdana" w:hAnsi="Verdana" w:cs="Calibri"/>
          <w:bCs/>
          <w:sz w:val="16"/>
          <w:szCs w:val="16"/>
          <w:lang w:val="es-CO"/>
        </w:rPr>
        <w:t xml:space="preserve"> 18731/91, párr. 45, </w:t>
      </w:r>
      <w:r w:rsidR="006C14F9" w:rsidRPr="00B156D5">
        <w:rPr>
          <w:rFonts w:ascii="Verdana" w:hAnsi="Verdana" w:cs="Calibri"/>
          <w:bCs/>
          <w:sz w:val="16"/>
          <w:szCs w:val="16"/>
          <w:lang w:val="es-CO"/>
        </w:rPr>
        <w:t xml:space="preserve">y </w:t>
      </w:r>
      <w:r w:rsidRPr="00B156D5">
        <w:rPr>
          <w:rFonts w:ascii="Verdana" w:hAnsi="Verdana" w:cs="Calibri"/>
          <w:bCs/>
          <w:i/>
          <w:iCs/>
          <w:sz w:val="16"/>
          <w:szCs w:val="16"/>
          <w:lang w:val="es-CO"/>
        </w:rPr>
        <w:t xml:space="preserve">Caso </w:t>
      </w:r>
      <w:r w:rsidR="00FEF568" w:rsidRPr="00B156D5">
        <w:rPr>
          <w:rFonts w:ascii="Verdana" w:hAnsi="Verdana" w:cs="Calibri"/>
          <w:bCs/>
          <w:i/>
          <w:iCs/>
          <w:sz w:val="16"/>
          <w:szCs w:val="16"/>
          <w:lang w:val="es-CO"/>
        </w:rPr>
        <w:t xml:space="preserve">Heaney and McGuinness </w:t>
      </w:r>
      <w:r w:rsidRPr="00B156D5">
        <w:rPr>
          <w:rFonts w:ascii="Verdana" w:hAnsi="Verdana" w:cs="Calibri"/>
          <w:bCs/>
          <w:i/>
          <w:iCs/>
          <w:sz w:val="16"/>
          <w:szCs w:val="16"/>
          <w:lang w:val="es-CO"/>
        </w:rPr>
        <w:t>Vs</w:t>
      </w:r>
      <w:r w:rsidR="00FEF568" w:rsidRPr="00B156D5">
        <w:rPr>
          <w:rFonts w:ascii="Verdana" w:hAnsi="Verdana" w:cs="Calibri"/>
          <w:bCs/>
          <w:i/>
          <w:iCs/>
          <w:sz w:val="16"/>
          <w:szCs w:val="16"/>
          <w:lang w:val="es-CO"/>
        </w:rPr>
        <w:t xml:space="preserve">. </w:t>
      </w:r>
      <w:r w:rsidRPr="00B156D5">
        <w:rPr>
          <w:rFonts w:ascii="Verdana" w:hAnsi="Verdana" w:cs="Calibri"/>
          <w:bCs/>
          <w:i/>
          <w:iCs/>
          <w:sz w:val="16"/>
          <w:szCs w:val="16"/>
          <w:lang w:val="es-CO"/>
        </w:rPr>
        <w:t>Irlanda</w:t>
      </w:r>
      <w:r w:rsidR="00FEF568" w:rsidRPr="00B156D5">
        <w:rPr>
          <w:rFonts w:ascii="Verdana" w:hAnsi="Verdana" w:cs="Calibri"/>
          <w:bCs/>
          <w:sz w:val="16"/>
          <w:szCs w:val="16"/>
          <w:lang w:val="es-CO"/>
        </w:rPr>
        <w:t xml:space="preserve">, </w:t>
      </w:r>
      <w:r w:rsidR="006C14F9" w:rsidRPr="00B156D5">
        <w:rPr>
          <w:rFonts w:ascii="Verdana" w:hAnsi="Verdana" w:cs="Calibri"/>
          <w:bCs/>
          <w:sz w:val="16"/>
          <w:szCs w:val="16"/>
          <w:lang w:val="es-CO"/>
        </w:rPr>
        <w:t>aplicación N</w:t>
      </w:r>
      <w:r w:rsidR="00FEF568" w:rsidRPr="00B156D5">
        <w:rPr>
          <w:rFonts w:ascii="Verdana" w:hAnsi="Verdana" w:cs="Calibri"/>
          <w:bCs/>
          <w:sz w:val="16"/>
          <w:szCs w:val="16"/>
          <w:lang w:val="es-CO"/>
        </w:rPr>
        <w:t xml:space="preserve">o. 34720/97, </w:t>
      </w:r>
      <w:r w:rsidR="006C14F9" w:rsidRPr="00B156D5">
        <w:rPr>
          <w:rFonts w:ascii="Verdana" w:hAnsi="Verdana" w:cs="Calibri"/>
          <w:bCs/>
          <w:sz w:val="16"/>
          <w:szCs w:val="16"/>
          <w:lang w:val="es-CO"/>
        </w:rPr>
        <w:t>párr.</w:t>
      </w:r>
      <w:r w:rsidR="00FEF568" w:rsidRPr="00B156D5">
        <w:rPr>
          <w:rFonts w:ascii="Verdana" w:hAnsi="Verdana" w:cs="Calibri"/>
          <w:bCs/>
          <w:sz w:val="16"/>
          <w:szCs w:val="16"/>
          <w:lang w:val="es-CO"/>
        </w:rPr>
        <w:t xml:space="preserve"> 40. </w:t>
      </w:r>
      <w:r w:rsidR="00023E34" w:rsidRPr="00B156D5">
        <w:rPr>
          <w:rFonts w:ascii="Verdana" w:hAnsi="Verdana" w:cs="Calibri"/>
          <w:bCs/>
          <w:sz w:val="16"/>
          <w:szCs w:val="16"/>
        </w:rPr>
        <w:t xml:space="preserve"> </w:t>
      </w:r>
      <w:r w:rsidR="00FEF568" w:rsidRPr="00B156D5">
        <w:rPr>
          <w:rFonts w:ascii="Verdana" w:hAnsi="Verdana" w:cs="Calibri"/>
          <w:bCs/>
          <w:sz w:val="16"/>
          <w:szCs w:val="16"/>
        </w:rPr>
        <w:t>Asimismo</w:t>
      </w:r>
      <w:r w:rsidR="00007455" w:rsidRPr="00B156D5">
        <w:rPr>
          <w:rFonts w:ascii="Verdana" w:hAnsi="Verdana" w:cs="Calibri"/>
          <w:bCs/>
          <w:sz w:val="16"/>
          <w:szCs w:val="16"/>
        </w:rPr>
        <w:t>,</w:t>
      </w:r>
      <w:r w:rsidR="006C14F9" w:rsidRPr="00B156D5">
        <w:rPr>
          <w:rFonts w:ascii="Verdana" w:hAnsi="Verdana" w:cs="Calibri"/>
          <w:bCs/>
          <w:sz w:val="16"/>
          <w:szCs w:val="16"/>
        </w:rPr>
        <w:t xml:space="preserve"> véase </w:t>
      </w:r>
      <w:r w:rsidR="00053352" w:rsidRPr="00B156D5">
        <w:rPr>
          <w:rFonts w:ascii="Verdana" w:hAnsi="Verdana" w:cs="Calibri"/>
          <w:bCs/>
          <w:sz w:val="16"/>
          <w:szCs w:val="16"/>
        </w:rPr>
        <w:t xml:space="preserve">Directiva (UE) 2016/343 del Parlamento Europeo y del Consejo, de 9 de marzo de 2016, por la que se refuerzan en el proceso penal determinados aspectos de la presunción de inocencia y el derecho a estar presente en el </w:t>
      </w:r>
      <w:proofErr w:type="gramStart"/>
      <w:r w:rsidR="00053352" w:rsidRPr="00B156D5">
        <w:rPr>
          <w:rFonts w:ascii="Verdana" w:hAnsi="Verdana" w:cs="Calibri"/>
          <w:bCs/>
          <w:sz w:val="16"/>
          <w:szCs w:val="16"/>
        </w:rPr>
        <w:t>juicio</w:t>
      </w:r>
      <w:r w:rsidR="00023E34" w:rsidRPr="00B156D5">
        <w:rPr>
          <w:rFonts w:ascii="Verdana" w:hAnsi="Verdana" w:cs="Calibri"/>
          <w:bCs/>
          <w:sz w:val="16"/>
          <w:szCs w:val="16"/>
        </w:rPr>
        <w:t xml:space="preserve"> </w:t>
      </w:r>
      <w:r w:rsidR="00FEF568" w:rsidRPr="00B156D5">
        <w:rPr>
          <w:rFonts w:ascii="Verdana" w:hAnsi="Verdana" w:cs="Calibri"/>
          <w:bCs/>
          <w:sz w:val="16"/>
          <w:szCs w:val="16"/>
        </w:rPr>
        <w:t>.</w:t>
      </w:r>
      <w:proofErr w:type="gramEnd"/>
    </w:p>
  </w:footnote>
  <w:footnote w:id="116">
    <w:p w14:paraId="105183EE" w14:textId="1D22F06B" w:rsidR="00D15B00" w:rsidRPr="00B156D5" w:rsidRDefault="00D15B00" w:rsidP="00E74D0D">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Naciones Unidas, Comité de Derechos Humanos, Comunicación Nº 330/1988, Berry c. Jamaica, dictamen aprobado el 4 de julio de 1994, párr. 11.7, comunicación Nº 1033/2001, Singarasa c. Sri Lanka, dictamen aprobado el 21 de julio de 2004, párr. 7.4, y comunicación Nº 912/2000, Deolall c. Guyana, dictamen aprobado el 1º de noviembre de 2004, párr. 5.1. y Nallaratnam Singarasa v. Sri Lanka, Communication No. 1033/2001, U.N. Doc. CCPR/C/81/D/1033/2001 (2004).</w:t>
      </w:r>
    </w:p>
  </w:footnote>
  <w:footnote w:id="117">
    <w:p w14:paraId="6ED95648" w14:textId="1415A6BE" w:rsidR="00D15B00" w:rsidRPr="00B156D5" w:rsidRDefault="00D15B00" w:rsidP="00E74D0D">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Adicionalmente a lo anterior, durante la audiencia pública, el señor Jorge Tzompaxtle afirmó que fue interrogado por alguien que se habría hecho pasar por un defensor público, lo cual no fue refutado por el Estado.</w:t>
      </w:r>
    </w:p>
  </w:footnote>
  <w:footnote w:id="118">
    <w:p w14:paraId="49B1295B" w14:textId="053AFF37" w:rsidR="00D15B00" w:rsidRPr="00B156D5" w:rsidRDefault="00D15B00" w:rsidP="00E3428C">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Peritaje </w:t>
      </w:r>
      <w:r w:rsidR="00106CE1" w:rsidRPr="00B156D5">
        <w:rPr>
          <w:rFonts w:ascii="Verdana" w:hAnsi="Verdana"/>
          <w:szCs w:val="16"/>
        </w:rPr>
        <w:t>de Luis Raúl González Pérez</w:t>
      </w:r>
      <w:r w:rsidR="00106CE1" w:rsidRPr="00B156D5" w:rsidDel="00D05486">
        <w:rPr>
          <w:rFonts w:ascii="Verdana" w:hAnsi="Verdana"/>
          <w:szCs w:val="16"/>
        </w:rPr>
        <w:t xml:space="preserve"> </w:t>
      </w:r>
      <w:r w:rsidR="00D05486" w:rsidRPr="00B156D5">
        <w:rPr>
          <w:rFonts w:ascii="Verdana" w:hAnsi="Verdana"/>
          <w:szCs w:val="16"/>
        </w:rPr>
        <w:t xml:space="preserve">rendido en </w:t>
      </w:r>
      <w:r w:rsidRPr="00B156D5">
        <w:rPr>
          <w:rFonts w:ascii="Verdana" w:hAnsi="Verdana"/>
          <w:szCs w:val="16"/>
        </w:rPr>
        <w:t>la audiencia pública del presente caso</w:t>
      </w:r>
      <w:r w:rsidRPr="00B156D5">
        <w:rPr>
          <w:rFonts w:ascii="Verdana" w:hAnsi="Verdana" w:cs="Calibri"/>
          <w:bCs/>
          <w:szCs w:val="16"/>
        </w:rPr>
        <w:t>.</w:t>
      </w:r>
    </w:p>
  </w:footnote>
  <w:footnote w:id="119">
    <w:p w14:paraId="2C8C67BE" w14:textId="78265D66" w:rsidR="00D15B00" w:rsidRPr="00B156D5" w:rsidRDefault="00D15B00" w:rsidP="00E3428C">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Peritaje </w:t>
      </w:r>
      <w:r w:rsidR="00633137" w:rsidRPr="00B156D5">
        <w:rPr>
          <w:rFonts w:ascii="Verdana" w:hAnsi="Verdana"/>
          <w:szCs w:val="16"/>
        </w:rPr>
        <w:t>de Luis Raúl González Pérez</w:t>
      </w:r>
      <w:r w:rsidR="00633137" w:rsidRPr="00B156D5" w:rsidDel="00D05486">
        <w:rPr>
          <w:rFonts w:ascii="Verdana" w:hAnsi="Verdana"/>
          <w:szCs w:val="16"/>
        </w:rPr>
        <w:t xml:space="preserve"> </w:t>
      </w:r>
      <w:r w:rsidR="00D05486" w:rsidRPr="00B156D5">
        <w:rPr>
          <w:rFonts w:ascii="Verdana" w:hAnsi="Verdana"/>
          <w:szCs w:val="16"/>
        </w:rPr>
        <w:t xml:space="preserve">rendido en </w:t>
      </w:r>
      <w:r w:rsidRPr="00B156D5">
        <w:rPr>
          <w:rFonts w:ascii="Verdana" w:hAnsi="Verdana"/>
          <w:szCs w:val="16"/>
        </w:rPr>
        <w:t>la audiencia pública del presente caso</w:t>
      </w:r>
      <w:r w:rsidRPr="00B156D5">
        <w:rPr>
          <w:rFonts w:ascii="Verdana" w:hAnsi="Verdana" w:cs="Calibri"/>
          <w:bCs/>
          <w:szCs w:val="16"/>
        </w:rPr>
        <w:t>.</w:t>
      </w:r>
    </w:p>
  </w:footnote>
  <w:footnote w:id="120">
    <w:p w14:paraId="2174BC24" w14:textId="2F356B2E" w:rsidR="00D15B00" w:rsidRPr="00B156D5" w:rsidRDefault="00D15B00" w:rsidP="00E3428C">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Peritaje </w:t>
      </w:r>
      <w:r w:rsidR="00633137" w:rsidRPr="00B156D5">
        <w:rPr>
          <w:rFonts w:ascii="Verdana" w:hAnsi="Verdana"/>
          <w:szCs w:val="16"/>
        </w:rPr>
        <w:t>de Luis Raúl González Pérez</w:t>
      </w:r>
      <w:r w:rsidR="00633137" w:rsidRPr="00B156D5" w:rsidDel="00633137">
        <w:rPr>
          <w:rFonts w:ascii="Verdana" w:hAnsi="Verdana"/>
          <w:szCs w:val="16"/>
        </w:rPr>
        <w:t xml:space="preserve"> </w:t>
      </w:r>
      <w:r w:rsidR="00633137" w:rsidRPr="00B156D5">
        <w:rPr>
          <w:rFonts w:ascii="Verdana" w:hAnsi="Verdana"/>
          <w:szCs w:val="16"/>
        </w:rPr>
        <w:t xml:space="preserve">rendido en </w:t>
      </w:r>
      <w:r w:rsidRPr="00B156D5">
        <w:rPr>
          <w:rFonts w:ascii="Verdana" w:hAnsi="Verdana"/>
          <w:szCs w:val="16"/>
        </w:rPr>
        <w:t>la audiencia pública del presente caso</w:t>
      </w:r>
      <w:r w:rsidRPr="00B156D5">
        <w:rPr>
          <w:rFonts w:ascii="Verdana" w:hAnsi="Verdana" w:cs="Calibri"/>
          <w:bCs/>
          <w:szCs w:val="16"/>
        </w:rPr>
        <w:t>.</w:t>
      </w:r>
    </w:p>
  </w:footnote>
  <w:footnote w:id="121">
    <w:p w14:paraId="34CD1090" w14:textId="77777777" w:rsidR="00D15B00" w:rsidRPr="00B156D5" w:rsidRDefault="00D15B00" w:rsidP="00971108">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Resolución de Arraigo 03/2006, dictada por el Juzgado Decimocuarto de Distrito de Procesos Penales Federales, 18 de enero de 2006 (expediente de prueba, folios 383 y 386)</w:t>
      </w:r>
      <w:r w:rsidRPr="00B156D5">
        <w:rPr>
          <w:rFonts w:ascii="Verdana" w:hAnsi="Verdana" w:cs="Calibri"/>
          <w:bCs/>
          <w:szCs w:val="16"/>
        </w:rPr>
        <w:t>.</w:t>
      </w:r>
    </w:p>
  </w:footnote>
  <w:footnote w:id="122">
    <w:p w14:paraId="5A8CCAAB" w14:textId="456D4E1E" w:rsidR="00D15B00" w:rsidRPr="00B156D5" w:rsidRDefault="00D15B00" w:rsidP="0087245C">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w:t>
      </w:r>
      <w:r w:rsidR="005A3E28" w:rsidRPr="00B156D5">
        <w:rPr>
          <w:rFonts w:ascii="Verdana" w:hAnsi="Verdana"/>
          <w:szCs w:val="16"/>
        </w:rPr>
        <w:t xml:space="preserve">Versión </w:t>
      </w:r>
      <w:r w:rsidR="0035395D" w:rsidRPr="00B156D5">
        <w:rPr>
          <w:rFonts w:ascii="Verdana" w:hAnsi="Verdana"/>
          <w:szCs w:val="16"/>
        </w:rPr>
        <w:t xml:space="preserve">remitida por </w:t>
      </w:r>
      <w:r w:rsidR="00962C59" w:rsidRPr="00B156D5">
        <w:rPr>
          <w:rFonts w:ascii="Verdana" w:hAnsi="Verdana"/>
          <w:szCs w:val="16"/>
        </w:rPr>
        <w:t>escrit</w:t>
      </w:r>
      <w:r w:rsidR="0062640E" w:rsidRPr="00B156D5">
        <w:rPr>
          <w:rFonts w:ascii="Verdana" w:hAnsi="Verdana"/>
          <w:szCs w:val="16"/>
        </w:rPr>
        <w:t>o</w:t>
      </w:r>
      <w:r w:rsidR="00023E34" w:rsidRPr="00B156D5">
        <w:rPr>
          <w:rFonts w:ascii="Verdana" w:hAnsi="Verdana"/>
          <w:szCs w:val="16"/>
        </w:rPr>
        <w:t xml:space="preserve"> </w:t>
      </w:r>
      <w:r w:rsidR="005A3E28" w:rsidRPr="00B156D5">
        <w:rPr>
          <w:rFonts w:ascii="Verdana" w:hAnsi="Verdana"/>
          <w:szCs w:val="16"/>
        </w:rPr>
        <w:t>de</w:t>
      </w:r>
      <w:r w:rsidR="00C33579" w:rsidRPr="00B156D5">
        <w:rPr>
          <w:rFonts w:ascii="Verdana" w:hAnsi="Verdana"/>
          <w:szCs w:val="16"/>
        </w:rPr>
        <w:t xml:space="preserve"> </w:t>
      </w:r>
      <w:r w:rsidR="00FB4167" w:rsidRPr="00B156D5">
        <w:rPr>
          <w:rFonts w:ascii="Verdana" w:hAnsi="Verdana"/>
          <w:szCs w:val="16"/>
        </w:rPr>
        <w:t>la declaración pericial de Esteban Gilberto Arcos Cortés rendida</w:t>
      </w:r>
      <w:r w:rsidR="00C33579" w:rsidRPr="00B156D5">
        <w:rPr>
          <w:rFonts w:ascii="Verdana" w:hAnsi="Verdana"/>
          <w:szCs w:val="16"/>
        </w:rPr>
        <w:t xml:space="preserve"> durante la audiencia pública</w:t>
      </w:r>
      <w:r w:rsidR="003A2DBA" w:rsidRPr="00B156D5">
        <w:rPr>
          <w:rFonts w:ascii="Verdana" w:hAnsi="Verdana"/>
          <w:szCs w:val="16"/>
        </w:rPr>
        <w:t xml:space="preserve"> </w:t>
      </w:r>
      <w:r w:rsidRPr="00B156D5">
        <w:rPr>
          <w:rFonts w:ascii="Verdana" w:hAnsi="Verdana" w:cs="Calibri"/>
          <w:bCs/>
          <w:szCs w:val="16"/>
        </w:rPr>
        <w:t>(expediente de prueba, folio</w:t>
      </w:r>
      <w:r w:rsidR="0003171C" w:rsidRPr="00B156D5">
        <w:rPr>
          <w:rFonts w:ascii="Verdana" w:hAnsi="Verdana" w:cs="Calibri"/>
          <w:bCs/>
          <w:szCs w:val="16"/>
        </w:rPr>
        <w:t>s</w:t>
      </w:r>
      <w:r w:rsidRPr="00B156D5">
        <w:rPr>
          <w:rFonts w:ascii="Verdana" w:hAnsi="Verdana" w:cs="Calibri"/>
          <w:bCs/>
          <w:szCs w:val="16"/>
        </w:rPr>
        <w:t xml:space="preserve"> </w:t>
      </w:r>
      <w:r w:rsidR="006C1F1B" w:rsidRPr="00B156D5">
        <w:rPr>
          <w:rFonts w:ascii="Verdana" w:hAnsi="Verdana" w:cs="Calibri"/>
          <w:bCs/>
          <w:szCs w:val="16"/>
        </w:rPr>
        <w:t>31266 y siguientes).</w:t>
      </w:r>
    </w:p>
  </w:footnote>
  <w:footnote w:id="123">
    <w:p w14:paraId="7CF6E708" w14:textId="0B58CC8B" w:rsidR="00D15B00" w:rsidRPr="00B156D5" w:rsidRDefault="00D15B00" w:rsidP="0026005F">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 xml:space="preserve">Adicionalmente, cabe recordar que durante la audiencia pública del caso dicho perito indicó que el arraigo era “tendiente al debido proceso” y que desde que la persona arraigada es ingresado al Centro Federal de Arraigo, “se le informa que está a disposición de un órganos jurisdiccional, se le leen los derechos, pasa por un examen médico y al mismo tiempo se le dice `tu no estás ni eres siquiera un imputado, te encuentras aquí mientras se investiga pero tú puedes pedir cigarros, tú puedes meter una televisión, solo te necesito aquí´”. El perito mencionó que “si no se tuviera esta figura pues coloquialmente en México se dice, se ponen los tenis y se van y nunca más los vuelves a ver y claro, les da miedo”. </w:t>
      </w:r>
      <w:r w:rsidR="00CD538A" w:rsidRPr="00B156D5">
        <w:rPr>
          <w:rFonts w:ascii="Verdana" w:hAnsi="Verdana"/>
          <w:szCs w:val="16"/>
        </w:rPr>
        <w:t>S</w:t>
      </w:r>
      <w:r w:rsidRPr="00B156D5">
        <w:rPr>
          <w:rFonts w:ascii="Verdana" w:hAnsi="Verdana"/>
          <w:szCs w:val="16"/>
        </w:rPr>
        <w:t xml:space="preserve">ostuvo </w:t>
      </w:r>
      <w:r w:rsidR="00CD538A" w:rsidRPr="00B156D5">
        <w:rPr>
          <w:rFonts w:ascii="Verdana" w:hAnsi="Verdana"/>
          <w:szCs w:val="16"/>
        </w:rPr>
        <w:t xml:space="preserve">asimismo </w:t>
      </w:r>
      <w:r w:rsidRPr="00B156D5">
        <w:rPr>
          <w:rFonts w:ascii="Verdana" w:hAnsi="Verdana"/>
          <w:szCs w:val="16"/>
        </w:rPr>
        <w:t xml:space="preserve">que “eso hace que esta persona pues la tienen allí” aunque afirmó que la misma no está privada de libertad “porque […] tiene teléfono, tiene la oportunidad de salir a fumar cuantas veces quiera” aunque reconoció frente a una pregunta de la Corte que las personas arraigadas en ese Centro no se pueden retirar de ese lugar. El perito </w:t>
      </w:r>
      <w:r w:rsidR="003C73F1" w:rsidRPr="00B156D5">
        <w:rPr>
          <w:rFonts w:ascii="Verdana" w:hAnsi="Verdana"/>
          <w:szCs w:val="16"/>
        </w:rPr>
        <w:t xml:space="preserve">agregó, </w:t>
      </w:r>
      <w:r w:rsidRPr="00B156D5">
        <w:rPr>
          <w:rFonts w:ascii="Verdana" w:hAnsi="Verdana"/>
          <w:szCs w:val="16"/>
        </w:rPr>
        <w:t>haciendo alusión a una visita que realizó a un centro de arraigo, que “las personas tienen plena libertad de poder salir y fumar un cigarro, las personas están en una habitación que cuenta con una cama, les pueden llevar una televisión, les pueden llevar un DVD, pueden tener visitas de su familia, de sus hijos, cuenta con un centro de ludoteca por si son niños menores de edad, cuenta con un centro de recreación que son canchas de básquetbol, canchas de fútbol, […] y al mismo tiempo tienen derecho a una llamada todos los días de 9 minutos a quien gusten, pueden ser y recibir visitas incluso de su defensa”</w:t>
      </w:r>
      <w:r w:rsidR="00CD538A" w:rsidRPr="00B156D5">
        <w:rPr>
          <w:rFonts w:ascii="Verdana" w:hAnsi="Verdana"/>
          <w:szCs w:val="16"/>
        </w:rPr>
        <w:t>.</w:t>
      </w:r>
    </w:p>
  </w:footnote>
  <w:footnote w:id="124">
    <w:p w14:paraId="6647E613" w14:textId="084307CA" w:rsidR="00D15B00" w:rsidRPr="00B156D5" w:rsidRDefault="00D15B00" w:rsidP="0087245C">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w:t>
      </w:r>
      <w:r w:rsidR="005A3E28" w:rsidRPr="00B156D5">
        <w:rPr>
          <w:rFonts w:ascii="Verdana" w:hAnsi="Verdana"/>
          <w:szCs w:val="16"/>
        </w:rPr>
        <w:t>Versión remit</w:t>
      </w:r>
      <w:r w:rsidR="004451D6" w:rsidRPr="00B156D5">
        <w:rPr>
          <w:rFonts w:ascii="Verdana" w:hAnsi="Verdana"/>
          <w:szCs w:val="16"/>
        </w:rPr>
        <w:t>i</w:t>
      </w:r>
      <w:r w:rsidR="005A3E28" w:rsidRPr="00B156D5">
        <w:rPr>
          <w:rFonts w:ascii="Verdana" w:hAnsi="Verdana"/>
          <w:szCs w:val="16"/>
        </w:rPr>
        <w:t xml:space="preserve">da por escrito de la declaración pericial de </w:t>
      </w:r>
      <w:r w:rsidRPr="00B156D5">
        <w:rPr>
          <w:rFonts w:ascii="Verdana" w:hAnsi="Verdana"/>
          <w:szCs w:val="16"/>
        </w:rPr>
        <w:t>Luis Raúl González Pérez</w:t>
      </w:r>
      <w:r w:rsidR="005A3E28" w:rsidRPr="00B156D5">
        <w:rPr>
          <w:rFonts w:ascii="Verdana" w:hAnsi="Verdana"/>
          <w:szCs w:val="16"/>
        </w:rPr>
        <w:t xml:space="preserve"> rendida durante la audiencia pública</w:t>
      </w:r>
      <w:r w:rsidRPr="00B156D5">
        <w:rPr>
          <w:rFonts w:ascii="Verdana" w:hAnsi="Verdana"/>
          <w:szCs w:val="16"/>
        </w:rPr>
        <w:t xml:space="preserve"> </w:t>
      </w:r>
      <w:r w:rsidRPr="00B156D5">
        <w:rPr>
          <w:rFonts w:ascii="Verdana" w:hAnsi="Verdana" w:cs="Calibri"/>
          <w:bCs/>
          <w:szCs w:val="16"/>
        </w:rPr>
        <w:t xml:space="preserve">(expediente de </w:t>
      </w:r>
      <w:r w:rsidR="00D7427F" w:rsidRPr="00B156D5">
        <w:rPr>
          <w:rFonts w:ascii="Verdana" w:hAnsi="Verdana" w:cs="Calibri"/>
          <w:bCs/>
          <w:szCs w:val="16"/>
        </w:rPr>
        <w:t>fondo</w:t>
      </w:r>
      <w:r w:rsidRPr="00B156D5">
        <w:rPr>
          <w:rFonts w:ascii="Verdana" w:hAnsi="Verdana" w:cs="Calibri"/>
          <w:bCs/>
          <w:szCs w:val="16"/>
        </w:rPr>
        <w:t xml:space="preserve">, folio </w:t>
      </w:r>
      <w:r w:rsidR="00322100" w:rsidRPr="00B156D5">
        <w:rPr>
          <w:rFonts w:ascii="Verdana" w:hAnsi="Verdana" w:cs="Calibri"/>
          <w:bCs/>
          <w:szCs w:val="16"/>
        </w:rPr>
        <w:t xml:space="preserve">675 y </w:t>
      </w:r>
      <w:r w:rsidR="00CD538A" w:rsidRPr="00B156D5">
        <w:rPr>
          <w:rFonts w:ascii="Verdana" w:hAnsi="Verdana" w:cs="Calibri"/>
          <w:bCs/>
          <w:szCs w:val="16"/>
        </w:rPr>
        <w:t>siguientes</w:t>
      </w:r>
      <w:r w:rsidR="00322100" w:rsidRPr="00B156D5">
        <w:rPr>
          <w:rFonts w:ascii="Verdana" w:hAnsi="Verdana" w:cs="Calibri"/>
          <w:bCs/>
          <w:szCs w:val="16"/>
        </w:rPr>
        <w:t>).</w:t>
      </w:r>
    </w:p>
  </w:footnote>
  <w:footnote w:id="125">
    <w:p w14:paraId="46E51C58" w14:textId="0BFDE541" w:rsidR="00D15B00" w:rsidRPr="00B156D5" w:rsidRDefault="00D15B00" w:rsidP="008E647A">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iCs/>
          <w:szCs w:val="16"/>
        </w:rPr>
        <w:t xml:space="preserve">Peritaje </w:t>
      </w:r>
      <w:r w:rsidR="00771DD5" w:rsidRPr="00B156D5">
        <w:rPr>
          <w:rFonts w:ascii="Verdana" w:hAnsi="Verdana"/>
          <w:iCs/>
          <w:szCs w:val="16"/>
        </w:rPr>
        <w:t xml:space="preserve">de Luis Raúl González Pérez rendido en </w:t>
      </w:r>
      <w:r w:rsidRPr="00B156D5">
        <w:rPr>
          <w:rFonts w:ascii="Verdana" w:hAnsi="Verdana"/>
          <w:iCs/>
          <w:szCs w:val="16"/>
        </w:rPr>
        <w:t>la audiencia pública del presente caso.</w:t>
      </w:r>
    </w:p>
  </w:footnote>
  <w:footnote w:id="126">
    <w:p w14:paraId="61CC2F34" w14:textId="7D926798" w:rsidR="00D15B00" w:rsidRPr="00B156D5" w:rsidRDefault="00D15B00" w:rsidP="00083F48">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iCs/>
          <w:szCs w:val="16"/>
        </w:rPr>
        <w:t xml:space="preserve">Peritaje </w:t>
      </w:r>
      <w:r w:rsidR="00771DD5" w:rsidRPr="00B156D5">
        <w:rPr>
          <w:rFonts w:ascii="Verdana" w:hAnsi="Verdana"/>
          <w:iCs/>
          <w:szCs w:val="16"/>
        </w:rPr>
        <w:t xml:space="preserve">Luis Raúl González Pérez rendido en </w:t>
      </w:r>
      <w:r w:rsidRPr="00B156D5">
        <w:rPr>
          <w:rFonts w:ascii="Verdana" w:hAnsi="Verdana"/>
          <w:iCs/>
          <w:szCs w:val="16"/>
        </w:rPr>
        <w:t>la audiencia pública del presente caso de.</w:t>
      </w:r>
    </w:p>
  </w:footnote>
  <w:footnote w:id="127">
    <w:p w14:paraId="2ECA793B" w14:textId="03D2F296" w:rsidR="00D15B00" w:rsidRPr="00B156D5" w:rsidRDefault="00D15B00" w:rsidP="002052ED">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szCs w:val="16"/>
        </w:rPr>
        <w:t xml:space="preserve">Comisión de derechos humanos del Distrito Federal, recomendación 02/2011, citada en el </w:t>
      </w:r>
      <w:r w:rsidRPr="00B156D5">
        <w:rPr>
          <w:rFonts w:ascii="Verdana" w:hAnsi="Verdana"/>
          <w:iCs/>
          <w:szCs w:val="16"/>
        </w:rPr>
        <w:t>Peritaje durante la audiencia pública del presente caso de Luis Raúl González Pérez.</w:t>
      </w:r>
    </w:p>
  </w:footnote>
  <w:footnote w:id="128">
    <w:p w14:paraId="54A51247" w14:textId="289A78BD" w:rsidR="00D15B00" w:rsidRPr="00B156D5" w:rsidRDefault="00D15B00" w:rsidP="005D3E95">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szCs w:val="16"/>
        </w:rPr>
        <w:t>Naciones Unidas, Informe del Grupo de Trabajo sobre la Detención Arbitraria acerca de su visita a México (27 de octubre a 10 de noviembre de 2002), E/CN.4/2003/8/Add.3 de 17 de diciembre de 2002, párrs. 49 y 50</w:t>
      </w:r>
      <w:r w:rsidRPr="00B156D5">
        <w:rPr>
          <w:rFonts w:ascii="Verdana" w:hAnsi="Verdana"/>
          <w:iCs/>
          <w:szCs w:val="16"/>
        </w:rPr>
        <w:t>.</w:t>
      </w:r>
    </w:p>
  </w:footnote>
  <w:footnote w:id="129">
    <w:p w14:paraId="21739201" w14:textId="749D3005" w:rsidR="00D15B00" w:rsidRPr="00B156D5" w:rsidRDefault="00D15B00" w:rsidP="0071267D">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rPr>
        <w:t>Naciones Unidas, Conclusiones y recomendaciones del Comité contra la Tortura (6 de febrero de 2007), CAT/C/MEX/CO/4, párr. 15.</w:t>
      </w:r>
    </w:p>
  </w:footnote>
  <w:footnote w:id="130">
    <w:p w14:paraId="5B9D88BE" w14:textId="50EA09DC" w:rsidR="00D15B00" w:rsidRPr="00B156D5" w:rsidRDefault="00D15B00" w:rsidP="002F76C1">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rPr>
        <w:t>Naciones Unidas, Observaciones finales del Comité de Derechos Humanos</w:t>
      </w:r>
      <w:r w:rsidR="00117E9D" w:rsidRPr="00B156D5">
        <w:rPr>
          <w:rFonts w:ascii="Verdana" w:hAnsi="Verdana"/>
        </w:rPr>
        <w:t xml:space="preserve"> </w:t>
      </w:r>
      <w:r w:rsidRPr="00B156D5">
        <w:rPr>
          <w:rFonts w:ascii="Verdana" w:hAnsi="Verdana"/>
        </w:rPr>
        <w:t>de</w:t>
      </w:r>
      <w:r w:rsidR="00023E34" w:rsidRPr="00B156D5">
        <w:rPr>
          <w:rFonts w:ascii="Verdana" w:hAnsi="Verdana"/>
        </w:rPr>
        <w:t xml:space="preserve"> </w:t>
      </w:r>
      <w:r w:rsidRPr="00B156D5">
        <w:rPr>
          <w:rFonts w:ascii="Verdana" w:hAnsi="Verdana"/>
        </w:rPr>
        <w:t>7 de abril de 2010, CCPR/C/MEX/CO/5, párr. 15.</w:t>
      </w:r>
    </w:p>
  </w:footnote>
  <w:footnote w:id="131">
    <w:p w14:paraId="37E3C633" w14:textId="3D892DD7" w:rsidR="00D15B00" w:rsidRPr="00B156D5" w:rsidRDefault="00D15B00" w:rsidP="0089042F">
      <w:pPr>
        <w:pStyle w:val="Textonotapie"/>
        <w:spacing w:before="60" w:after="60"/>
        <w:jc w:val="both"/>
        <w:rPr>
          <w:rFonts w:ascii="Verdana" w:hAnsi="Verdana"/>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rPr>
        <w:tab/>
      </w:r>
      <w:r w:rsidRPr="00B156D5">
        <w:rPr>
          <w:rFonts w:ascii="Verdana" w:hAnsi="Verdana"/>
        </w:rPr>
        <w:t>Naciones Unidas, Informe sobre la visita a México del Subcomité para la Prevención de la Tortura y Otros Tratos o Penas Crueles, Inhumanos o Degradantes (31 de mayo de 2010), CAT/OP/MEX/1, párr. 215.</w:t>
      </w:r>
    </w:p>
  </w:footnote>
  <w:footnote w:id="132">
    <w:p w14:paraId="03120DC4" w14:textId="77777777" w:rsidR="00D15B00" w:rsidRPr="00B156D5" w:rsidRDefault="00D15B00" w:rsidP="005B7E6D">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szCs w:val="16"/>
        </w:rPr>
        <w:t>Naciones Unidas, Informe sobre la visita a México del Subcomité para la Prevención de la Tortura y Otros Tratos o Penas Crueles, Inhumanos o Degradantes (31 de mayo de 2010), CAT/OP/MEX/1, párr. 214</w:t>
      </w:r>
      <w:r w:rsidRPr="00B156D5">
        <w:rPr>
          <w:rFonts w:ascii="Verdana" w:hAnsi="Verdana"/>
          <w:iCs/>
          <w:szCs w:val="16"/>
        </w:rPr>
        <w:t>.</w:t>
      </w:r>
    </w:p>
  </w:footnote>
  <w:footnote w:id="133">
    <w:p w14:paraId="344F2188" w14:textId="77777777" w:rsidR="00D15B00" w:rsidRPr="00B156D5" w:rsidRDefault="00D15B00" w:rsidP="00120C4E">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 xml:space="preserve">Cfr. </w:t>
      </w:r>
      <w:r w:rsidRPr="00B156D5">
        <w:rPr>
          <w:rFonts w:ascii="Verdana" w:hAnsi="Verdana"/>
          <w:szCs w:val="16"/>
        </w:rPr>
        <w:t>Naciones Unidas, Informe sobre la visita a México del Subcomité para la Prevención de la Tortura y Otros Tratos o Penas Crueles, Inhumanos o Degradantes (31 de mayo de 2010), CAT/OP/MEX/1, párr. 212</w:t>
      </w:r>
      <w:r w:rsidRPr="00B156D5">
        <w:rPr>
          <w:rFonts w:ascii="Verdana" w:hAnsi="Verdana"/>
          <w:iCs/>
          <w:szCs w:val="16"/>
        </w:rPr>
        <w:t>.</w:t>
      </w:r>
    </w:p>
  </w:footnote>
  <w:footnote w:id="134">
    <w:p w14:paraId="4E6BBF97" w14:textId="52B060AE" w:rsidR="00D15B00" w:rsidRPr="00B156D5" w:rsidRDefault="00D15B00" w:rsidP="006D20F9">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009C690B" w:rsidRPr="00B156D5">
        <w:rPr>
          <w:rFonts w:ascii="Verdana" w:hAnsi="Verdana"/>
          <w:iCs/>
          <w:szCs w:val="16"/>
        </w:rPr>
        <w:t>Véase,</w:t>
      </w:r>
      <w:r w:rsidRPr="00B156D5">
        <w:rPr>
          <w:rFonts w:ascii="Verdana" w:hAnsi="Verdana"/>
          <w:iCs/>
          <w:szCs w:val="16"/>
        </w:rPr>
        <w:t xml:space="preserve"> por ejemplo, </w:t>
      </w:r>
      <w:bookmarkStart w:id="105" w:name="_Hlk110949732"/>
      <w:r w:rsidRPr="00B156D5">
        <w:rPr>
          <w:rFonts w:ascii="Verdana" w:hAnsi="Verdana"/>
          <w:iCs/>
          <w:szCs w:val="16"/>
        </w:rPr>
        <w:t>peritaje durante la audiencia pública del presente caso de Luis Raúl González Pérez</w:t>
      </w:r>
      <w:bookmarkEnd w:id="105"/>
      <w:r w:rsidRPr="00B156D5">
        <w:rPr>
          <w:rFonts w:ascii="Verdana" w:hAnsi="Verdana" w:cs="Calibri"/>
          <w:bCs/>
          <w:szCs w:val="16"/>
        </w:rPr>
        <w:t>.</w:t>
      </w:r>
    </w:p>
  </w:footnote>
  <w:footnote w:id="135">
    <w:p w14:paraId="16A1DF59" w14:textId="267A43B3" w:rsidR="00D15B00" w:rsidRPr="00B156D5" w:rsidRDefault="00D15B00" w:rsidP="006D20F9">
      <w:pPr>
        <w:pStyle w:val="Textonotapie"/>
        <w:spacing w:before="60" w:after="60"/>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0046642F" w:rsidRPr="00B156D5">
        <w:rPr>
          <w:rFonts w:ascii="Verdana" w:hAnsi="Verdana"/>
          <w:szCs w:val="16"/>
        </w:rPr>
        <w:t xml:space="preserve">Poder Judicial de la Federación. </w:t>
      </w:r>
      <w:r w:rsidRPr="00B156D5">
        <w:rPr>
          <w:rFonts w:ascii="Verdana" w:hAnsi="Verdana" w:cs="Calibri"/>
          <w:bCs/>
          <w:iCs/>
          <w:szCs w:val="16"/>
        </w:rPr>
        <w:t>Resolución del Juez Tercero de Distrito de Procesos Penales Federales en el Distrito Federal de 22 de abril de 2006 (expediente de prueba, folios 14821 y siguientes)</w:t>
      </w:r>
      <w:r w:rsidRPr="00B156D5">
        <w:rPr>
          <w:rFonts w:ascii="Verdana" w:hAnsi="Verdana" w:cs="Calibri"/>
          <w:bCs/>
          <w:szCs w:val="16"/>
        </w:rPr>
        <w:t>.</w:t>
      </w:r>
    </w:p>
  </w:footnote>
  <w:footnote w:id="136">
    <w:p w14:paraId="6D78A376" w14:textId="470A8891"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5 de la Convención Americana.</w:t>
      </w:r>
    </w:p>
  </w:footnote>
  <w:footnote w:id="137">
    <w:p w14:paraId="45D84605" w14:textId="3FC37C89"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11.2 de la Convención Americana.</w:t>
      </w:r>
    </w:p>
  </w:footnote>
  <w:footnote w:id="138">
    <w:p w14:paraId="34D6F583" w14:textId="2BC7EE07"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Artículo 1.1 de la Convención Americana.</w:t>
      </w:r>
    </w:p>
  </w:footnote>
  <w:footnote w:id="139">
    <w:p w14:paraId="0808337F" w14:textId="58D99E78" w:rsidR="00D15B00" w:rsidRPr="00B156D5" w:rsidRDefault="00D15B00" w:rsidP="008C4C22">
      <w:pPr>
        <w:pStyle w:val="Textonotapie"/>
        <w:jc w:val="both"/>
        <w:rPr>
          <w:rFonts w:ascii="Verdana" w:hAnsi="Verdana"/>
          <w:lang w:val="es-ES"/>
        </w:rPr>
      </w:pPr>
      <w:r w:rsidRPr="00B156D5">
        <w:rPr>
          <w:rStyle w:val="Refdenotaalpie"/>
          <w:rFonts w:ascii="Verdana" w:hAnsi="Verdana"/>
        </w:rPr>
        <w:footnoteRef/>
      </w:r>
      <w:r w:rsidRPr="00B156D5">
        <w:rPr>
          <w:rFonts w:ascii="Verdana" w:hAnsi="Verdana"/>
        </w:rPr>
        <w:t xml:space="preserve"> </w:t>
      </w:r>
      <w:r w:rsidRPr="00B156D5">
        <w:rPr>
          <w:rFonts w:ascii="Verdana" w:hAnsi="Verdana"/>
          <w:szCs w:val="16"/>
          <w:lang w:val="es-ES"/>
        </w:rPr>
        <w:tab/>
      </w:r>
      <w:r w:rsidRPr="00B156D5">
        <w:rPr>
          <w:rFonts w:ascii="Verdana" w:hAnsi="Verdana"/>
          <w:i/>
          <w:lang w:val="es-ES"/>
        </w:rPr>
        <w:t>Cfr</w:t>
      </w:r>
      <w:r w:rsidRPr="00B156D5">
        <w:rPr>
          <w:rFonts w:ascii="Verdana" w:hAnsi="Verdana"/>
          <w:lang w:val="es-ES"/>
        </w:rPr>
        <w:t xml:space="preserve">. </w:t>
      </w:r>
      <w:r w:rsidRPr="00B156D5">
        <w:rPr>
          <w:rFonts w:ascii="Verdana" w:hAnsi="Verdana"/>
          <w:i/>
          <w:lang w:val="es-ES"/>
        </w:rPr>
        <w:t>Caso Tibi Vs. Ecuador</w:t>
      </w:r>
      <w:r w:rsidRPr="00B156D5">
        <w:rPr>
          <w:rFonts w:ascii="Verdana" w:hAnsi="Verdana"/>
          <w:i/>
          <w:iCs/>
          <w:lang w:val="es-ES"/>
        </w:rPr>
        <w:t xml:space="preserve">, supra, </w:t>
      </w:r>
      <w:r w:rsidRPr="00B156D5">
        <w:rPr>
          <w:rFonts w:ascii="Verdana" w:hAnsi="Verdana"/>
          <w:lang w:val="es-ES"/>
        </w:rPr>
        <w:t>párr. 150</w:t>
      </w:r>
      <w:r w:rsidR="008E1A55" w:rsidRPr="00B156D5">
        <w:rPr>
          <w:rFonts w:ascii="Verdana" w:hAnsi="Verdana"/>
          <w:lang w:val="es-ES"/>
        </w:rPr>
        <w:t>;</w:t>
      </w:r>
      <w:r w:rsidRPr="00B156D5">
        <w:rPr>
          <w:rFonts w:ascii="Verdana" w:hAnsi="Verdana"/>
          <w:lang w:val="es-ES"/>
        </w:rPr>
        <w:t xml:space="preserve"> </w:t>
      </w:r>
      <w:r w:rsidRPr="00B156D5">
        <w:rPr>
          <w:rFonts w:ascii="Verdana" w:hAnsi="Verdana"/>
          <w:i/>
          <w:lang w:val="es-ES"/>
        </w:rPr>
        <w:t>Caso del Penal Miguel Castro Vs. Perú. Fondo, Reparaciones y Costas</w:t>
      </w:r>
      <w:r w:rsidRPr="00B156D5">
        <w:rPr>
          <w:rFonts w:ascii="Verdana" w:hAnsi="Verdana"/>
          <w:lang w:val="es-ES"/>
        </w:rPr>
        <w:t xml:space="preserve">. </w:t>
      </w:r>
      <w:r w:rsidR="00FD141D" w:rsidRPr="00B156D5">
        <w:rPr>
          <w:rFonts w:ascii="Verdana" w:hAnsi="Verdana"/>
          <w:lang w:val="es-ES"/>
        </w:rPr>
        <w:t>entencia de 25 de noviembre de 2006. Serie C No. 160</w:t>
      </w:r>
      <w:r w:rsidRPr="00B156D5">
        <w:rPr>
          <w:rFonts w:ascii="Verdana" w:hAnsi="Verdana"/>
          <w:lang w:val="es-ES"/>
        </w:rPr>
        <w:t xml:space="preserve">, párr. 315, y </w:t>
      </w:r>
      <w:r w:rsidR="00F76AFF" w:rsidRPr="00B156D5">
        <w:rPr>
          <w:rFonts w:ascii="Verdana" w:hAnsi="Verdana"/>
          <w:i/>
          <w:iCs/>
          <w:lang w:val="es-ES"/>
        </w:rPr>
        <w:t>Caso Hernández Vs. Argentina</w:t>
      </w:r>
      <w:r w:rsidR="00F76AFF" w:rsidRPr="00B156D5">
        <w:rPr>
          <w:rFonts w:ascii="Verdana" w:hAnsi="Verdana"/>
          <w:lang w:val="es-ES"/>
        </w:rPr>
        <w:t xml:space="preserve">, </w:t>
      </w:r>
      <w:r w:rsidR="00F76AFF" w:rsidRPr="00B156D5">
        <w:rPr>
          <w:rFonts w:ascii="Verdana" w:hAnsi="Verdana"/>
          <w:i/>
          <w:iCs/>
          <w:lang w:val="es-ES"/>
        </w:rPr>
        <w:t>supra</w:t>
      </w:r>
      <w:r w:rsidR="00F76AFF" w:rsidRPr="00B156D5">
        <w:rPr>
          <w:rFonts w:ascii="Verdana" w:hAnsi="Verdana"/>
          <w:lang w:val="es-ES"/>
        </w:rPr>
        <w:t>, párr.</w:t>
      </w:r>
      <w:r w:rsidRPr="00B156D5">
        <w:rPr>
          <w:rFonts w:ascii="Verdana" w:hAnsi="Verdana"/>
          <w:lang w:val="es-ES"/>
        </w:rPr>
        <w:t xml:space="preserve"> 60.</w:t>
      </w:r>
    </w:p>
  </w:footnote>
  <w:footnote w:id="140">
    <w:p w14:paraId="4C75535F" w14:textId="38FAF928" w:rsidR="00D15B00" w:rsidRPr="00B156D5" w:rsidRDefault="00D15B00" w:rsidP="00882D2D">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B41C05" w:rsidRPr="00B156D5">
        <w:rPr>
          <w:rFonts w:ascii="Verdana" w:hAnsi="Verdana"/>
          <w:szCs w:val="16"/>
          <w:lang w:val="es-ES"/>
        </w:rPr>
        <w:t xml:space="preserve">Declaración pericial </w:t>
      </w:r>
      <w:r w:rsidRPr="00B156D5">
        <w:rPr>
          <w:rFonts w:ascii="Verdana" w:hAnsi="Verdana"/>
          <w:szCs w:val="16"/>
          <w:lang w:val="es-ES"/>
        </w:rPr>
        <w:t>de Carlos María Pelayo Moller</w:t>
      </w:r>
      <w:r w:rsidR="00B41C05" w:rsidRPr="00B156D5">
        <w:rPr>
          <w:rFonts w:ascii="Verdana" w:hAnsi="Verdana"/>
          <w:szCs w:val="16"/>
          <w:lang w:val="es-ES"/>
        </w:rPr>
        <w:t xml:space="preserve"> durante la audiencia pública del presente caso</w:t>
      </w:r>
      <w:r w:rsidRPr="00B156D5">
        <w:rPr>
          <w:rFonts w:ascii="Verdana" w:hAnsi="Verdana"/>
          <w:szCs w:val="16"/>
          <w:lang w:val="es-ES"/>
        </w:rPr>
        <w:t xml:space="preserve">. Asimismo, </w:t>
      </w:r>
      <w:r w:rsidR="00B41C05" w:rsidRPr="00B156D5">
        <w:rPr>
          <w:rFonts w:ascii="Verdana" w:hAnsi="Verdana"/>
          <w:szCs w:val="16"/>
          <w:lang w:val="es-ES"/>
        </w:rPr>
        <w:t xml:space="preserve">Declaración pericial de Luis Raúl González Pérez </w:t>
      </w:r>
      <w:r w:rsidRPr="00B156D5">
        <w:rPr>
          <w:rFonts w:ascii="Verdana" w:hAnsi="Verdana"/>
          <w:szCs w:val="16"/>
          <w:lang w:val="es-ES"/>
        </w:rPr>
        <w:t>durante la audiencia pública del presente caso.</w:t>
      </w:r>
    </w:p>
  </w:footnote>
  <w:footnote w:id="141">
    <w:p w14:paraId="6F10744A" w14:textId="09A415AC" w:rsidR="00D15B00" w:rsidRPr="00B156D5" w:rsidRDefault="00D15B00" w:rsidP="0082179D">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B41C05" w:rsidRPr="00B156D5">
        <w:rPr>
          <w:rFonts w:ascii="Verdana" w:hAnsi="Verdana"/>
          <w:szCs w:val="16"/>
          <w:lang w:val="es-ES"/>
        </w:rPr>
        <w:t xml:space="preserve">Declaración pericial </w:t>
      </w:r>
      <w:r w:rsidRPr="00B156D5">
        <w:rPr>
          <w:rFonts w:ascii="Verdana" w:hAnsi="Verdana"/>
          <w:szCs w:val="16"/>
          <w:lang w:val="es-ES"/>
        </w:rPr>
        <w:t xml:space="preserve">por </w:t>
      </w:r>
      <w:r w:rsidRPr="00B156D5">
        <w:rPr>
          <w:rFonts w:ascii="Verdana" w:hAnsi="Verdana"/>
          <w:i/>
          <w:iCs/>
          <w:szCs w:val="16"/>
          <w:lang w:val="es-ES"/>
        </w:rPr>
        <w:t>affidavit</w:t>
      </w:r>
      <w:r w:rsidRPr="00B156D5">
        <w:rPr>
          <w:rFonts w:ascii="Verdana" w:hAnsi="Verdana"/>
          <w:szCs w:val="16"/>
          <w:lang w:val="es-ES"/>
        </w:rPr>
        <w:t xml:space="preserve"> de Stephanie Erin Brewer (expediente de prueba, folios 31096 y siguientes).</w:t>
      </w:r>
    </w:p>
  </w:footnote>
  <w:footnote w:id="142">
    <w:p w14:paraId="41D8E2C2" w14:textId="7CD055D6" w:rsidR="00D15B00" w:rsidRPr="00B156D5" w:rsidRDefault="00D15B00" w:rsidP="00BF788E">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Cfr. Naciones Unidas, Observaciones finales del Comité de Derechos Humanos (7 de abril de 2010), CCPR/C/MEX/CO/5, párr. 15.</w:t>
      </w:r>
    </w:p>
  </w:footnote>
  <w:footnote w:id="143">
    <w:p w14:paraId="0556FC16" w14:textId="28E2E1AE" w:rsidR="00D15B00" w:rsidRPr="00B156D5" w:rsidRDefault="00D15B00" w:rsidP="009308A8">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Pr="00B156D5">
        <w:rPr>
          <w:rFonts w:ascii="Verdana" w:hAnsi="Verdana"/>
          <w:i/>
          <w:iCs/>
          <w:szCs w:val="16"/>
        </w:rPr>
        <w:t xml:space="preserve">Cfr. </w:t>
      </w:r>
      <w:r w:rsidRPr="00B156D5">
        <w:rPr>
          <w:rFonts w:ascii="Verdana" w:hAnsi="Verdana"/>
          <w:szCs w:val="16"/>
        </w:rPr>
        <w:t>Naciones Unidas, Informe sobre la visita a México del Subcomité para la Prevención de la Tortura y Otros Tratos o Penas Crueles, Inhumanos o Degradantes (31 de mayo de 2010), CAT/OP/MEX/1, párrs. 142, 217 y 238</w:t>
      </w:r>
      <w:r w:rsidRPr="00B156D5">
        <w:rPr>
          <w:rFonts w:ascii="Verdana" w:hAnsi="Verdana"/>
          <w:szCs w:val="16"/>
          <w:lang w:val="es-ES"/>
        </w:rPr>
        <w:t>.</w:t>
      </w:r>
    </w:p>
  </w:footnote>
  <w:footnote w:id="144">
    <w:p w14:paraId="50C591C5" w14:textId="59FB78ED" w:rsidR="00D15B00" w:rsidRPr="00B156D5" w:rsidRDefault="00D15B00" w:rsidP="00266D2F">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r>
      <w:r w:rsidR="002E1C8F" w:rsidRPr="00B156D5">
        <w:rPr>
          <w:rFonts w:ascii="Verdana" w:hAnsi="Verdana"/>
          <w:szCs w:val="16"/>
          <w:lang w:val="es-ES"/>
        </w:rPr>
        <w:t xml:space="preserve">Declaración </w:t>
      </w:r>
      <w:r w:rsidR="00EE4824" w:rsidRPr="00B156D5">
        <w:rPr>
          <w:rFonts w:ascii="Verdana" w:hAnsi="Verdana"/>
          <w:szCs w:val="16"/>
          <w:lang w:val="es-ES"/>
        </w:rPr>
        <w:t xml:space="preserve">por </w:t>
      </w:r>
      <w:r w:rsidR="00EE4824" w:rsidRPr="00B156D5">
        <w:rPr>
          <w:rFonts w:ascii="Verdana" w:hAnsi="Verdana"/>
          <w:i/>
          <w:iCs/>
          <w:szCs w:val="16"/>
          <w:lang w:val="es-ES"/>
        </w:rPr>
        <w:t>affidavit</w:t>
      </w:r>
      <w:r w:rsidR="00EE4824" w:rsidRPr="00B156D5">
        <w:rPr>
          <w:rFonts w:ascii="Verdana" w:hAnsi="Verdana"/>
          <w:szCs w:val="16"/>
          <w:lang w:val="es-ES"/>
        </w:rPr>
        <w:t xml:space="preserve"> </w:t>
      </w:r>
      <w:r w:rsidRPr="00B156D5">
        <w:rPr>
          <w:rFonts w:ascii="Verdana" w:hAnsi="Verdana"/>
          <w:szCs w:val="16"/>
          <w:lang w:val="es-ES"/>
        </w:rPr>
        <w:t xml:space="preserve">de Gerardo </w:t>
      </w:r>
      <w:r w:rsidR="001B26E9" w:rsidRPr="00B156D5">
        <w:rPr>
          <w:rFonts w:ascii="Verdana" w:hAnsi="Verdana"/>
          <w:szCs w:val="16"/>
          <w:lang w:val="es-ES"/>
        </w:rPr>
        <w:t>Tzompaxtle</w:t>
      </w:r>
      <w:r w:rsidRPr="00B156D5">
        <w:rPr>
          <w:rFonts w:ascii="Verdana" w:hAnsi="Verdana"/>
          <w:szCs w:val="16"/>
          <w:lang w:val="es-ES"/>
        </w:rPr>
        <w:t xml:space="preserve"> (expediente de prueba, folio 31093).</w:t>
      </w:r>
    </w:p>
  </w:footnote>
  <w:footnote w:id="145">
    <w:p w14:paraId="1080C6F4" w14:textId="79877BC5" w:rsidR="00D15B00" w:rsidRPr="00B156D5" w:rsidRDefault="00D15B00" w:rsidP="00193C37">
      <w:pPr>
        <w:pStyle w:val="Textonotapie"/>
        <w:tabs>
          <w:tab w:val="left" w:pos="709"/>
        </w:tabs>
        <w:jc w:val="both"/>
        <w:rPr>
          <w:rFonts w:ascii="Verdana" w:hAnsi="Verdana"/>
          <w:i/>
          <w:iCs/>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00A73924" w:rsidRPr="00B156D5">
        <w:rPr>
          <w:rFonts w:ascii="Verdana" w:hAnsi="Verdana"/>
          <w:i/>
          <w:szCs w:val="16"/>
          <w:lang w:val="es-MX"/>
        </w:rPr>
        <w:t xml:space="preserve">Caso de las Masacres de Ituango Vs. Colombia. Excepción Preliminar, Fondo, Reparaciones y Costas. </w:t>
      </w:r>
      <w:r w:rsidR="00A73924" w:rsidRPr="00B156D5">
        <w:rPr>
          <w:rFonts w:ascii="Verdana" w:hAnsi="Verdana"/>
          <w:szCs w:val="16"/>
          <w:lang w:val="es-MX"/>
        </w:rPr>
        <w:t>Sentencia de 1 de julio de 2006 Serie C No. 148</w:t>
      </w:r>
      <w:r w:rsidRPr="00B156D5">
        <w:rPr>
          <w:rFonts w:ascii="Verdana" w:hAnsi="Verdana"/>
          <w:szCs w:val="16"/>
        </w:rPr>
        <w:t>, párr</w:t>
      </w:r>
      <w:r w:rsidR="00A73924" w:rsidRPr="00B156D5">
        <w:rPr>
          <w:rFonts w:ascii="Verdana" w:hAnsi="Verdana"/>
          <w:szCs w:val="16"/>
        </w:rPr>
        <w:t>s</w:t>
      </w:r>
      <w:r w:rsidRPr="00B156D5">
        <w:rPr>
          <w:rFonts w:ascii="Verdana" w:hAnsi="Verdana"/>
          <w:szCs w:val="16"/>
        </w:rPr>
        <w:t xml:space="preserve">. </w:t>
      </w:r>
      <w:r w:rsidR="00A73924" w:rsidRPr="00B156D5">
        <w:rPr>
          <w:rFonts w:ascii="Verdana" w:hAnsi="Verdana"/>
          <w:szCs w:val="16"/>
        </w:rPr>
        <w:t xml:space="preserve">192 y </w:t>
      </w:r>
      <w:r w:rsidRPr="00B156D5">
        <w:rPr>
          <w:rFonts w:ascii="Verdana" w:hAnsi="Verdana"/>
          <w:szCs w:val="16"/>
        </w:rPr>
        <w:t>193</w:t>
      </w:r>
      <w:r w:rsidRPr="00B156D5">
        <w:rPr>
          <w:rStyle w:val="Textoennegrita"/>
          <w:rFonts w:ascii="Verdana" w:hAnsi="Verdana"/>
          <w:b w:val="0"/>
          <w:bCs w:val="0"/>
          <w:color w:val="000000"/>
          <w:szCs w:val="16"/>
        </w:rPr>
        <w:t xml:space="preserve">, y </w:t>
      </w:r>
      <w:r w:rsidRPr="00B156D5">
        <w:rPr>
          <w:rStyle w:val="Textoennegrita"/>
          <w:rFonts w:ascii="Verdana" w:hAnsi="Verdana"/>
          <w:b w:val="0"/>
          <w:bCs w:val="0"/>
          <w:i/>
          <w:iCs/>
          <w:color w:val="000000"/>
          <w:szCs w:val="16"/>
        </w:rPr>
        <w:t xml:space="preserve">Caso Fernández Prieto y Tumbeiro Vs. Argentina, </w:t>
      </w:r>
      <w:r w:rsidR="00385E9F" w:rsidRPr="00B156D5">
        <w:rPr>
          <w:rStyle w:val="Textoennegrita"/>
          <w:rFonts w:ascii="Verdana" w:hAnsi="Verdana"/>
          <w:b w:val="0"/>
          <w:bCs w:val="0"/>
          <w:i/>
          <w:iCs/>
          <w:color w:val="000000"/>
          <w:szCs w:val="16"/>
        </w:rPr>
        <w:t xml:space="preserve">Fondo y Reparaciones. </w:t>
      </w:r>
      <w:r w:rsidR="00385E9F" w:rsidRPr="00B156D5">
        <w:rPr>
          <w:rStyle w:val="Textoennegrita"/>
          <w:rFonts w:ascii="Verdana" w:hAnsi="Verdana"/>
          <w:b w:val="0"/>
          <w:bCs w:val="0"/>
          <w:color w:val="000000"/>
          <w:szCs w:val="16"/>
        </w:rPr>
        <w:t xml:space="preserve">Sentencia de 1 de septiembre de 2020. Serie C No. 411 </w:t>
      </w:r>
      <w:r w:rsidRPr="00B156D5">
        <w:rPr>
          <w:rStyle w:val="Textoennegrita"/>
          <w:rFonts w:ascii="Verdana" w:hAnsi="Verdana"/>
          <w:b w:val="0"/>
          <w:bCs w:val="0"/>
          <w:color w:val="000000"/>
          <w:szCs w:val="16"/>
        </w:rPr>
        <w:t>párr.102</w:t>
      </w:r>
      <w:r w:rsidRPr="00B156D5">
        <w:rPr>
          <w:rStyle w:val="Textoennegrita"/>
          <w:rFonts w:ascii="Verdana" w:hAnsi="Verdana"/>
          <w:b w:val="0"/>
          <w:bCs w:val="0"/>
          <w:i/>
          <w:iCs/>
          <w:color w:val="000000"/>
          <w:szCs w:val="16"/>
        </w:rPr>
        <w:t xml:space="preserve">. </w:t>
      </w:r>
    </w:p>
  </w:footnote>
  <w:footnote w:id="146">
    <w:p w14:paraId="1080363C" w14:textId="3FD0E252" w:rsidR="00D15B00" w:rsidRPr="00B156D5" w:rsidRDefault="00D15B00" w:rsidP="00193C37">
      <w:pPr>
        <w:pStyle w:val="Textonotapie"/>
        <w:tabs>
          <w:tab w:val="left" w:pos="709"/>
        </w:tabs>
        <w:jc w:val="both"/>
        <w:rPr>
          <w:rFonts w:ascii="Verdana" w:hAnsi="Verdana"/>
          <w:iCs/>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Pr="00B156D5">
        <w:rPr>
          <w:rStyle w:val="Textoennegrita"/>
          <w:rFonts w:ascii="Verdana" w:hAnsi="Verdana"/>
          <w:b w:val="0"/>
          <w:bCs w:val="0"/>
          <w:i/>
          <w:iCs/>
          <w:color w:val="000000"/>
          <w:szCs w:val="16"/>
        </w:rPr>
        <w:t xml:space="preserve">Caso Fernández Prieto y Tumbeiro Vs. Argentina, </w:t>
      </w:r>
      <w:r w:rsidR="00A42A98" w:rsidRPr="00B156D5">
        <w:rPr>
          <w:rStyle w:val="Textoennegrita"/>
          <w:rFonts w:ascii="Verdana" w:hAnsi="Verdana"/>
          <w:b w:val="0"/>
          <w:bCs w:val="0"/>
          <w:i/>
          <w:iCs/>
          <w:color w:val="000000"/>
          <w:szCs w:val="16"/>
        </w:rPr>
        <w:t xml:space="preserve">supra, </w:t>
      </w:r>
      <w:r w:rsidRPr="00B156D5">
        <w:rPr>
          <w:rStyle w:val="Textoennegrita"/>
          <w:rFonts w:ascii="Verdana" w:hAnsi="Verdana"/>
          <w:b w:val="0"/>
          <w:bCs w:val="0"/>
          <w:color w:val="000000"/>
          <w:szCs w:val="16"/>
        </w:rPr>
        <w:t>párr.102.</w:t>
      </w:r>
    </w:p>
  </w:footnote>
  <w:footnote w:id="147">
    <w:p w14:paraId="616C1C79" w14:textId="77FD8389" w:rsidR="00D15B00" w:rsidRPr="00B156D5" w:rsidRDefault="00D15B00" w:rsidP="00FE4D0D">
      <w:pPr>
        <w:pStyle w:val="Textonotapie"/>
        <w:tabs>
          <w:tab w:val="left" w:pos="709"/>
        </w:tabs>
        <w:jc w:val="both"/>
        <w:rPr>
          <w:rFonts w:ascii="Verdana" w:hAnsi="Verdana"/>
          <w:iCs/>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TEDH</w:t>
      </w:r>
      <w:r w:rsidR="00A42A98" w:rsidRPr="00B156D5">
        <w:rPr>
          <w:rFonts w:ascii="Verdana" w:hAnsi="Verdana"/>
          <w:szCs w:val="16"/>
        </w:rPr>
        <w:t>.</w:t>
      </w:r>
      <w:r w:rsidR="00023E34" w:rsidRPr="00B156D5">
        <w:rPr>
          <w:rFonts w:ascii="Verdana" w:hAnsi="Verdana"/>
          <w:szCs w:val="16"/>
        </w:rPr>
        <w:t xml:space="preserve"> </w:t>
      </w:r>
      <w:r w:rsidRPr="00B156D5">
        <w:rPr>
          <w:rFonts w:ascii="Verdana" w:hAnsi="Verdana"/>
          <w:i/>
          <w:iCs/>
          <w:szCs w:val="16"/>
        </w:rPr>
        <w:t xml:space="preserve">Caso Gillan y Quinton </w:t>
      </w:r>
      <w:r w:rsidR="00A42A98" w:rsidRPr="00B156D5">
        <w:rPr>
          <w:rFonts w:ascii="Verdana" w:hAnsi="Verdana"/>
          <w:i/>
          <w:iCs/>
          <w:szCs w:val="16"/>
        </w:rPr>
        <w:t>Vs</w:t>
      </w:r>
      <w:r w:rsidRPr="00B156D5">
        <w:rPr>
          <w:rFonts w:ascii="Verdana" w:hAnsi="Verdana"/>
          <w:i/>
          <w:iCs/>
          <w:szCs w:val="16"/>
        </w:rPr>
        <w:t>. Reino Unido</w:t>
      </w:r>
      <w:r w:rsidRPr="00B156D5">
        <w:rPr>
          <w:rFonts w:ascii="Verdana" w:hAnsi="Verdana"/>
          <w:szCs w:val="16"/>
        </w:rPr>
        <w:t xml:space="preserve">, Sentencia de 28 de junio de 2010, </w:t>
      </w:r>
      <w:r w:rsidR="00E35ECC" w:rsidRPr="00B156D5">
        <w:rPr>
          <w:rFonts w:ascii="Verdana" w:hAnsi="Verdana"/>
          <w:szCs w:val="16"/>
        </w:rPr>
        <w:t>a</w:t>
      </w:r>
      <w:r w:rsidR="003E2A34" w:rsidRPr="00B156D5">
        <w:rPr>
          <w:rFonts w:ascii="Verdana" w:hAnsi="Verdana"/>
          <w:szCs w:val="16"/>
        </w:rPr>
        <w:t>plicación N</w:t>
      </w:r>
      <w:r w:rsidR="00D84FC7" w:rsidRPr="00B156D5">
        <w:rPr>
          <w:rFonts w:ascii="Verdana" w:hAnsi="Verdana"/>
          <w:szCs w:val="16"/>
        </w:rPr>
        <w:t xml:space="preserve">o. 4158/05, </w:t>
      </w:r>
      <w:r w:rsidRPr="00B156D5">
        <w:rPr>
          <w:rFonts w:ascii="Verdana" w:hAnsi="Verdana"/>
          <w:szCs w:val="16"/>
        </w:rPr>
        <w:t>párrs. 62</w:t>
      </w:r>
      <w:r w:rsidR="00A42A98" w:rsidRPr="00B156D5">
        <w:rPr>
          <w:rFonts w:ascii="Verdana" w:hAnsi="Verdana"/>
          <w:szCs w:val="16"/>
        </w:rPr>
        <w:t xml:space="preserve"> a </w:t>
      </w:r>
      <w:r w:rsidRPr="00B156D5">
        <w:rPr>
          <w:rFonts w:ascii="Verdana" w:hAnsi="Verdana"/>
          <w:szCs w:val="16"/>
        </w:rPr>
        <w:t>65</w:t>
      </w:r>
      <w:r w:rsidRPr="00B156D5">
        <w:rPr>
          <w:rStyle w:val="Textoennegrita"/>
          <w:rFonts w:ascii="Verdana" w:hAnsi="Verdana"/>
          <w:b w:val="0"/>
          <w:bCs w:val="0"/>
          <w:color w:val="000000"/>
          <w:szCs w:val="16"/>
        </w:rPr>
        <w:t>.</w:t>
      </w:r>
    </w:p>
  </w:footnote>
  <w:footnote w:id="148">
    <w:p w14:paraId="3F426893" w14:textId="6864A2FA" w:rsidR="00D15B00" w:rsidRPr="00B156D5" w:rsidRDefault="00D15B00" w:rsidP="00EE52A4">
      <w:pPr>
        <w:pStyle w:val="Textonotapie"/>
        <w:tabs>
          <w:tab w:val="left" w:pos="709"/>
        </w:tabs>
        <w:jc w:val="both"/>
        <w:rPr>
          <w:rFonts w:ascii="Verdana" w:hAnsi="Verdana"/>
          <w:iCs/>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w:t>
      </w:r>
      <w:r w:rsidRPr="00B156D5">
        <w:rPr>
          <w:rFonts w:ascii="Verdana" w:hAnsi="Verdana"/>
          <w:szCs w:val="16"/>
        </w:rPr>
        <w:t xml:space="preserve"> </w:t>
      </w:r>
      <w:r w:rsidRPr="00B156D5">
        <w:rPr>
          <w:rStyle w:val="Textoennegrita"/>
          <w:rFonts w:ascii="Verdana" w:hAnsi="Verdana"/>
          <w:b w:val="0"/>
          <w:bCs w:val="0"/>
          <w:i/>
          <w:iCs/>
          <w:color w:val="000000"/>
          <w:szCs w:val="16"/>
        </w:rPr>
        <w:t xml:space="preserve">Caso Fernández Prieto y Tumbeiro Vs. Argentina, </w:t>
      </w:r>
      <w:r w:rsidR="00A42A98" w:rsidRPr="00B156D5">
        <w:rPr>
          <w:rStyle w:val="Textoennegrita"/>
          <w:rFonts w:ascii="Verdana" w:hAnsi="Verdana"/>
          <w:b w:val="0"/>
          <w:bCs w:val="0"/>
          <w:i/>
          <w:iCs/>
          <w:color w:val="000000"/>
          <w:szCs w:val="16"/>
        </w:rPr>
        <w:t xml:space="preserve">supra, </w:t>
      </w:r>
      <w:r w:rsidRPr="00B156D5">
        <w:rPr>
          <w:rStyle w:val="Textoennegrita"/>
          <w:rFonts w:ascii="Verdana" w:hAnsi="Verdana"/>
          <w:b w:val="0"/>
          <w:bCs w:val="0"/>
          <w:color w:val="000000"/>
          <w:szCs w:val="16"/>
        </w:rPr>
        <w:t>párrs. 68 y ss.</w:t>
      </w:r>
    </w:p>
  </w:footnote>
  <w:footnote w:id="149">
    <w:p w14:paraId="430197BF" w14:textId="53AC27D0" w:rsidR="00D15B00" w:rsidRPr="00B156D5" w:rsidRDefault="00D15B00" w:rsidP="00FE4D0D">
      <w:pPr>
        <w:pStyle w:val="Textonotapie"/>
        <w:tabs>
          <w:tab w:val="left" w:pos="709"/>
        </w:tabs>
        <w:jc w:val="both"/>
        <w:rPr>
          <w:rFonts w:ascii="Verdana" w:hAnsi="Verdana"/>
          <w:iCs/>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 xml:space="preserve">TEDH. </w:t>
      </w:r>
      <w:r w:rsidRPr="00B156D5">
        <w:rPr>
          <w:rStyle w:val="Textoennegrita"/>
          <w:rFonts w:ascii="Verdana" w:hAnsi="Verdana"/>
          <w:b w:val="0"/>
          <w:bCs w:val="0"/>
          <w:i/>
          <w:iCs/>
          <w:color w:val="000000"/>
          <w:szCs w:val="16"/>
        </w:rPr>
        <w:t xml:space="preserve">Caso Ilgar Mammadov </w:t>
      </w:r>
      <w:r w:rsidR="00A42A98" w:rsidRPr="00B156D5">
        <w:rPr>
          <w:rStyle w:val="Textoennegrita"/>
          <w:rFonts w:ascii="Verdana" w:hAnsi="Verdana"/>
          <w:b w:val="0"/>
          <w:bCs w:val="0"/>
          <w:i/>
          <w:iCs/>
          <w:color w:val="000000"/>
          <w:szCs w:val="16"/>
        </w:rPr>
        <w:t>Vs</w:t>
      </w:r>
      <w:r w:rsidRPr="00B156D5">
        <w:rPr>
          <w:rStyle w:val="Textoennegrita"/>
          <w:rFonts w:ascii="Verdana" w:hAnsi="Verdana"/>
          <w:b w:val="0"/>
          <w:bCs w:val="0"/>
          <w:i/>
          <w:iCs/>
          <w:color w:val="000000"/>
          <w:szCs w:val="16"/>
        </w:rPr>
        <w:t>. Azerbaijan</w:t>
      </w:r>
      <w:r w:rsidRPr="00B156D5">
        <w:rPr>
          <w:rStyle w:val="Textoennegrita"/>
          <w:rFonts w:ascii="Verdana" w:hAnsi="Verdana"/>
          <w:b w:val="0"/>
          <w:bCs w:val="0"/>
          <w:color w:val="000000"/>
          <w:szCs w:val="16"/>
        </w:rPr>
        <w:t xml:space="preserve">, Sentencia de 13 de octubre de 2014, </w:t>
      </w:r>
      <w:r w:rsidR="00E35ECC" w:rsidRPr="00B156D5">
        <w:rPr>
          <w:rStyle w:val="Textoennegrita"/>
          <w:rFonts w:ascii="Verdana" w:hAnsi="Verdana"/>
          <w:b w:val="0"/>
          <w:bCs w:val="0"/>
          <w:color w:val="000000"/>
          <w:szCs w:val="16"/>
        </w:rPr>
        <w:t>a</w:t>
      </w:r>
      <w:r w:rsidR="00A04FA0" w:rsidRPr="00B156D5">
        <w:rPr>
          <w:rStyle w:val="Textoennegrita"/>
          <w:rFonts w:ascii="Verdana" w:hAnsi="Verdana"/>
          <w:b w:val="0"/>
          <w:bCs w:val="0"/>
          <w:color w:val="000000"/>
          <w:szCs w:val="16"/>
        </w:rPr>
        <w:t>pli</w:t>
      </w:r>
      <w:r w:rsidR="00E35ECC" w:rsidRPr="00B156D5">
        <w:rPr>
          <w:rStyle w:val="Textoennegrita"/>
          <w:rFonts w:ascii="Verdana" w:hAnsi="Verdana"/>
          <w:b w:val="0"/>
          <w:bCs w:val="0"/>
          <w:color w:val="000000"/>
          <w:szCs w:val="16"/>
        </w:rPr>
        <w:t>c</w:t>
      </w:r>
      <w:r w:rsidR="00A04FA0" w:rsidRPr="00B156D5">
        <w:rPr>
          <w:rStyle w:val="Textoennegrita"/>
          <w:rFonts w:ascii="Verdana" w:hAnsi="Verdana"/>
          <w:b w:val="0"/>
          <w:bCs w:val="0"/>
          <w:color w:val="000000"/>
          <w:szCs w:val="16"/>
        </w:rPr>
        <w:t xml:space="preserve">ación No. 15172/13, </w:t>
      </w:r>
      <w:r w:rsidRPr="00B156D5">
        <w:rPr>
          <w:rStyle w:val="Textoennegrita"/>
          <w:rFonts w:ascii="Verdana" w:hAnsi="Verdana"/>
          <w:b w:val="0"/>
          <w:bCs w:val="0"/>
          <w:color w:val="000000"/>
          <w:szCs w:val="16"/>
        </w:rPr>
        <w:t>párr. 88.</w:t>
      </w:r>
    </w:p>
  </w:footnote>
  <w:footnote w:id="150">
    <w:p w14:paraId="5DE6042B" w14:textId="51A28095" w:rsidR="00DB7CBD" w:rsidRPr="00B156D5" w:rsidRDefault="00DB7CBD" w:rsidP="00DB7CBD">
      <w:pPr>
        <w:pStyle w:val="Textonotapie"/>
        <w:tabs>
          <w:tab w:val="left" w:pos="567"/>
        </w:tabs>
        <w:jc w:val="both"/>
        <w:rPr>
          <w:rFonts w:ascii="Verdana" w:hAnsi="Verdana"/>
          <w:szCs w:val="16"/>
        </w:rPr>
      </w:pPr>
      <w:r w:rsidRPr="00B156D5">
        <w:rPr>
          <w:rStyle w:val="Refdenotaalpie"/>
          <w:rFonts w:ascii="Verdana" w:eastAsia="MS Mincho" w:hAnsi="Verdana"/>
          <w:szCs w:val="16"/>
        </w:rPr>
        <w:footnoteRef/>
      </w:r>
      <w:r w:rsidRPr="007830FC">
        <w:rPr>
          <w:rFonts w:ascii="Verdana" w:hAnsi="Verdana"/>
          <w:szCs w:val="16"/>
          <w:lang w:val="es-CR"/>
        </w:rPr>
        <w:t xml:space="preserve"> </w:t>
      </w:r>
      <w:r w:rsidRPr="007830FC">
        <w:rPr>
          <w:rFonts w:ascii="Verdana" w:hAnsi="Verdana"/>
          <w:szCs w:val="16"/>
          <w:lang w:val="es-CR"/>
        </w:rPr>
        <w:tab/>
      </w:r>
      <w:r w:rsidRPr="007830FC">
        <w:rPr>
          <w:rFonts w:ascii="Verdana" w:hAnsi="Verdana"/>
          <w:szCs w:val="16"/>
          <w:lang w:val="es-CR"/>
        </w:rPr>
        <w:tab/>
      </w:r>
      <w:r w:rsidRPr="007830FC">
        <w:rPr>
          <w:rFonts w:ascii="Verdana" w:hAnsi="Verdana"/>
          <w:i/>
          <w:szCs w:val="16"/>
          <w:lang w:val="es-CR"/>
        </w:rPr>
        <w:t xml:space="preserve">Cfr. Caso Masacre de Santo Domingo Vs. </w:t>
      </w:r>
      <w:r w:rsidRPr="00B156D5">
        <w:rPr>
          <w:rFonts w:ascii="Verdana" w:hAnsi="Verdana"/>
          <w:i/>
          <w:szCs w:val="16"/>
        </w:rPr>
        <w:t>Colombia. Excepciones Preliminares, Fondo y Reparaciones</w:t>
      </w:r>
      <w:r w:rsidRPr="00B156D5">
        <w:rPr>
          <w:rFonts w:ascii="Verdana" w:hAnsi="Verdana"/>
          <w:szCs w:val="16"/>
        </w:rPr>
        <w:t xml:space="preserve">. Sentencia de 30 de noviembre de 2012. Serie C No. 259, párr. 143, y </w:t>
      </w:r>
      <w:r w:rsidRPr="00B156D5">
        <w:rPr>
          <w:rFonts w:ascii="Verdana" w:hAnsi="Verdana"/>
          <w:i/>
          <w:szCs w:val="16"/>
          <w:lang w:val="es-CR"/>
        </w:rPr>
        <w:t>Caso Habbal y otros Vs. Argentina, supra</w:t>
      </w:r>
      <w:r w:rsidRPr="00B156D5">
        <w:rPr>
          <w:rFonts w:ascii="Verdana" w:hAnsi="Verdana"/>
          <w:szCs w:val="16"/>
        </w:rPr>
        <w:t>, párr. 82</w:t>
      </w:r>
      <w:r w:rsidRPr="00B156D5">
        <w:rPr>
          <w:rFonts w:ascii="Verdana" w:hAnsi="Verdana" w:cs="Arial"/>
          <w:szCs w:val="16"/>
        </w:rPr>
        <w:t>.</w:t>
      </w:r>
    </w:p>
  </w:footnote>
  <w:footnote w:id="151">
    <w:p w14:paraId="2E735B63" w14:textId="751C24B8" w:rsidR="00D15B00" w:rsidRPr="00B156D5" w:rsidRDefault="00D15B00" w:rsidP="00526A50">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Aplicación del artículo 63.1 de la Convención Americana.</w:t>
      </w:r>
    </w:p>
  </w:footnote>
  <w:footnote w:id="152">
    <w:p w14:paraId="054164AD" w14:textId="755F5CB9"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Velásquez Rodríguez Vs. Honduras. Reparaciones y Costas.</w:t>
      </w:r>
      <w:r w:rsidRPr="00B156D5">
        <w:rPr>
          <w:rFonts w:ascii="Verdana" w:hAnsi="Verdana"/>
          <w:szCs w:val="16"/>
        </w:rPr>
        <w:t xml:space="preserve"> Sentencia de 21 de julio de 1989. Serie C No. 7, párrs. 24 y 25, y </w:t>
      </w:r>
      <w:r w:rsidR="0047475C" w:rsidRPr="00B156D5">
        <w:rPr>
          <w:rFonts w:ascii="Verdana" w:hAnsi="Verdana" w:cs="Arial"/>
          <w:i/>
          <w:szCs w:val="16"/>
        </w:rPr>
        <w:t>Caso Deras García y otros Vs. Honduras, supra</w:t>
      </w:r>
      <w:r w:rsidRPr="00B156D5">
        <w:rPr>
          <w:rFonts w:ascii="Verdana" w:hAnsi="Verdana" w:cs="Arial"/>
          <w:szCs w:val="16"/>
        </w:rPr>
        <w:t xml:space="preserve">, párr. </w:t>
      </w:r>
      <w:r w:rsidR="0047475C" w:rsidRPr="00B156D5">
        <w:rPr>
          <w:rFonts w:ascii="Verdana" w:hAnsi="Verdana" w:cs="Arial"/>
          <w:szCs w:val="16"/>
        </w:rPr>
        <w:t>90</w:t>
      </w:r>
      <w:r w:rsidRPr="00B156D5">
        <w:rPr>
          <w:rFonts w:ascii="Verdana" w:hAnsi="Verdana" w:cs="Arial"/>
          <w:szCs w:val="16"/>
        </w:rPr>
        <w:t>.</w:t>
      </w:r>
    </w:p>
  </w:footnote>
  <w:footnote w:id="153">
    <w:p w14:paraId="38BFED5B" w14:textId="5EF9C25B"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Velásquez Rodríguez Vs. Honduras. Reparaciones y Costas, supra</w:t>
      </w:r>
      <w:r w:rsidRPr="00B156D5">
        <w:rPr>
          <w:rFonts w:ascii="Verdana" w:hAnsi="Verdana"/>
          <w:szCs w:val="16"/>
        </w:rPr>
        <w:t xml:space="preserve">, párr. 24, </w:t>
      </w:r>
      <w:r w:rsidR="00F47A24" w:rsidRPr="00B156D5">
        <w:rPr>
          <w:rFonts w:ascii="Verdana" w:hAnsi="Verdana"/>
          <w:szCs w:val="16"/>
        </w:rPr>
        <w:t xml:space="preserve">y </w:t>
      </w:r>
      <w:r w:rsidR="00F47A24" w:rsidRPr="00B156D5">
        <w:rPr>
          <w:rFonts w:ascii="Verdana" w:hAnsi="Verdana" w:cs="Arial"/>
          <w:i/>
          <w:szCs w:val="16"/>
        </w:rPr>
        <w:t>Caso Deras García y otros Vs. Honduras, supra</w:t>
      </w:r>
      <w:r w:rsidR="00F47A24" w:rsidRPr="00B156D5">
        <w:rPr>
          <w:rFonts w:ascii="Verdana" w:hAnsi="Verdana" w:cs="Arial"/>
          <w:szCs w:val="16"/>
        </w:rPr>
        <w:t>, párr. 91</w:t>
      </w:r>
      <w:r w:rsidRPr="00B156D5">
        <w:rPr>
          <w:rFonts w:ascii="Verdana" w:hAnsi="Verdana" w:cs="Arial"/>
          <w:szCs w:val="16"/>
        </w:rPr>
        <w:t>.</w:t>
      </w:r>
    </w:p>
  </w:footnote>
  <w:footnote w:id="154">
    <w:p w14:paraId="360191DA" w14:textId="72FE87A0"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de la Masacre de Las Dos Erres Vs. Guatemala. Excepción Preliminar, Fondo, Reparaciones y Costas.</w:t>
      </w:r>
      <w:r w:rsidRPr="00B156D5">
        <w:rPr>
          <w:rFonts w:ascii="Verdana" w:hAnsi="Verdana"/>
          <w:szCs w:val="16"/>
        </w:rPr>
        <w:t xml:space="preserve"> Sentencia de 24 de noviembre de 2009. Serie C No. 211, párr. 226, </w:t>
      </w:r>
      <w:r w:rsidR="00F47A24" w:rsidRPr="00B156D5">
        <w:rPr>
          <w:rFonts w:ascii="Verdana" w:hAnsi="Verdana"/>
          <w:szCs w:val="16"/>
        </w:rPr>
        <w:t xml:space="preserve">y </w:t>
      </w:r>
      <w:r w:rsidR="00F47A24" w:rsidRPr="00B156D5">
        <w:rPr>
          <w:rFonts w:ascii="Verdana" w:hAnsi="Verdana" w:cs="Arial"/>
          <w:i/>
          <w:szCs w:val="16"/>
        </w:rPr>
        <w:t>Caso Deras García y otros Vs. Honduras, supra</w:t>
      </w:r>
      <w:r w:rsidR="00F47A24" w:rsidRPr="00B156D5">
        <w:rPr>
          <w:rFonts w:ascii="Verdana" w:hAnsi="Verdana" w:cs="Arial"/>
          <w:szCs w:val="16"/>
        </w:rPr>
        <w:t>, párr. 91</w:t>
      </w:r>
      <w:r w:rsidRPr="00B156D5">
        <w:rPr>
          <w:rFonts w:ascii="Verdana" w:hAnsi="Verdana"/>
          <w:szCs w:val="16"/>
        </w:rPr>
        <w:t>.</w:t>
      </w:r>
    </w:p>
  </w:footnote>
  <w:footnote w:id="155">
    <w:p w14:paraId="75453135" w14:textId="1A71D182"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 xml:space="preserve">Cfr. Caso Ticona Estrada y otros Vs. Bolivia. Fondo, Reparaciones y Costas. </w:t>
      </w:r>
      <w:r w:rsidRPr="00B156D5">
        <w:rPr>
          <w:rFonts w:ascii="Verdana" w:hAnsi="Verdana"/>
          <w:szCs w:val="16"/>
        </w:rPr>
        <w:t>Sentencia de 27 de noviembre</w:t>
      </w:r>
      <w:r w:rsidRPr="00B156D5">
        <w:rPr>
          <w:rFonts w:ascii="Verdana" w:hAnsi="Verdana"/>
          <w:spacing w:val="1"/>
          <w:szCs w:val="16"/>
        </w:rPr>
        <w:t xml:space="preserve"> </w:t>
      </w:r>
      <w:r w:rsidRPr="00B156D5">
        <w:rPr>
          <w:rFonts w:ascii="Verdana" w:hAnsi="Verdana"/>
          <w:szCs w:val="16"/>
        </w:rPr>
        <w:t>de</w:t>
      </w:r>
      <w:r w:rsidRPr="00B156D5">
        <w:rPr>
          <w:rFonts w:ascii="Verdana" w:hAnsi="Verdana"/>
          <w:spacing w:val="-2"/>
          <w:szCs w:val="16"/>
        </w:rPr>
        <w:t xml:space="preserve"> </w:t>
      </w:r>
      <w:r w:rsidRPr="00B156D5">
        <w:rPr>
          <w:rFonts w:ascii="Verdana" w:hAnsi="Verdana"/>
          <w:szCs w:val="16"/>
        </w:rPr>
        <w:t>2008. Serie</w:t>
      </w:r>
      <w:r w:rsidRPr="00B156D5">
        <w:rPr>
          <w:rFonts w:ascii="Verdana" w:hAnsi="Verdana"/>
          <w:spacing w:val="-2"/>
          <w:szCs w:val="16"/>
        </w:rPr>
        <w:t xml:space="preserve"> </w:t>
      </w:r>
      <w:r w:rsidRPr="00B156D5">
        <w:rPr>
          <w:rFonts w:ascii="Verdana" w:hAnsi="Verdana"/>
          <w:szCs w:val="16"/>
        </w:rPr>
        <w:t>C</w:t>
      </w:r>
      <w:r w:rsidRPr="00B156D5">
        <w:rPr>
          <w:rFonts w:ascii="Verdana" w:hAnsi="Verdana"/>
          <w:spacing w:val="-2"/>
          <w:szCs w:val="16"/>
        </w:rPr>
        <w:t xml:space="preserve"> </w:t>
      </w:r>
      <w:r w:rsidRPr="00B156D5">
        <w:rPr>
          <w:rFonts w:ascii="Verdana" w:hAnsi="Verdana"/>
          <w:szCs w:val="16"/>
        </w:rPr>
        <w:t>No. 191, párr. 110,</w:t>
      </w:r>
      <w:r w:rsidRPr="00B156D5">
        <w:rPr>
          <w:rFonts w:ascii="Verdana" w:hAnsi="Verdana"/>
          <w:spacing w:val="-4"/>
          <w:szCs w:val="16"/>
        </w:rPr>
        <w:t xml:space="preserve"> </w:t>
      </w:r>
      <w:r w:rsidR="00D9425D" w:rsidRPr="00B156D5">
        <w:rPr>
          <w:rFonts w:ascii="Verdana" w:hAnsi="Verdana"/>
          <w:szCs w:val="16"/>
        </w:rPr>
        <w:t xml:space="preserve">y </w:t>
      </w:r>
      <w:r w:rsidR="00D9425D" w:rsidRPr="00B156D5">
        <w:rPr>
          <w:rFonts w:ascii="Verdana" w:hAnsi="Verdana" w:cs="Arial"/>
          <w:i/>
          <w:szCs w:val="16"/>
        </w:rPr>
        <w:t>Caso Deras García y otros Vs. Honduras, supra</w:t>
      </w:r>
      <w:r w:rsidR="00D9425D" w:rsidRPr="00B156D5">
        <w:rPr>
          <w:rFonts w:ascii="Verdana" w:hAnsi="Verdana" w:cs="Arial"/>
          <w:szCs w:val="16"/>
        </w:rPr>
        <w:t>, párr. 92</w:t>
      </w:r>
      <w:r w:rsidRPr="00B156D5">
        <w:rPr>
          <w:rFonts w:ascii="Verdana" w:hAnsi="Verdana" w:cs="Arial"/>
          <w:szCs w:val="16"/>
        </w:rPr>
        <w:t>.</w:t>
      </w:r>
    </w:p>
  </w:footnote>
  <w:footnote w:id="156">
    <w:p w14:paraId="7A7DB65C" w14:textId="5196AED5"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 xml:space="preserve">Cfr. Caso Velásquez Rodríguez Vs. Honduras. Reparaciones y Costas, supra, </w:t>
      </w:r>
      <w:r w:rsidRPr="00B156D5">
        <w:rPr>
          <w:rFonts w:ascii="Verdana" w:hAnsi="Verdana"/>
          <w:szCs w:val="16"/>
        </w:rPr>
        <w:t xml:space="preserve">párrs. 25 y 26, </w:t>
      </w:r>
      <w:r w:rsidR="004B3BBA" w:rsidRPr="00B156D5">
        <w:rPr>
          <w:rFonts w:ascii="Verdana" w:hAnsi="Verdana"/>
          <w:szCs w:val="16"/>
        </w:rPr>
        <w:t xml:space="preserve">y </w:t>
      </w:r>
      <w:r w:rsidR="004B3BBA" w:rsidRPr="00B156D5">
        <w:rPr>
          <w:rFonts w:ascii="Verdana" w:hAnsi="Verdana" w:cs="Arial"/>
          <w:i/>
          <w:szCs w:val="16"/>
        </w:rPr>
        <w:t>Caso Deras García y otros Vs. Honduras, supra</w:t>
      </w:r>
      <w:r w:rsidR="004B3BBA" w:rsidRPr="00B156D5">
        <w:rPr>
          <w:rFonts w:ascii="Verdana" w:hAnsi="Verdana" w:cs="Arial"/>
          <w:szCs w:val="16"/>
        </w:rPr>
        <w:t xml:space="preserve">, párr. </w:t>
      </w:r>
      <w:r w:rsidR="002D6910" w:rsidRPr="00B156D5">
        <w:rPr>
          <w:rFonts w:ascii="Verdana" w:hAnsi="Verdana" w:cs="Arial"/>
          <w:szCs w:val="16"/>
        </w:rPr>
        <w:t>93</w:t>
      </w:r>
      <w:r w:rsidRPr="00B156D5">
        <w:rPr>
          <w:rFonts w:ascii="Verdana" w:hAnsi="Verdana"/>
          <w:szCs w:val="16"/>
        </w:rPr>
        <w:t>.</w:t>
      </w:r>
    </w:p>
  </w:footnote>
  <w:footnote w:id="157">
    <w:p w14:paraId="01FF0DB4" w14:textId="77777777" w:rsidR="00D15B00" w:rsidRPr="00B156D5" w:rsidRDefault="00D15B00" w:rsidP="00460F08">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 xml:space="preserve">Cfr. </w:t>
      </w:r>
      <w:r w:rsidRPr="00B156D5">
        <w:rPr>
          <w:rFonts w:ascii="Verdana" w:hAnsi="Verdana"/>
          <w:iCs/>
          <w:szCs w:val="16"/>
        </w:rPr>
        <w:t>Acta de Entendimiento para la eventual celebración de un Acuerdo de Cumplimiento de Informe de Fondo para el Caso 13.016 de 20 de febrero de 2020, Tercero (expediente de prueba, folio 6044).</w:t>
      </w:r>
    </w:p>
  </w:footnote>
  <w:footnote w:id="158">
    <w:p w14:paraId="14E7B05A" w14:textId="77777777" w:rsidR="00D15B00" w:rsidRPr="00B156D5" w:rsidRDefault="00D15B00" w:rsidP="006449EC">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Corresponde recordar que el artículo 12 de la Ley Federal contra la Delincuencia Organizada de 1996 establecía que:</w:t>
      </w:r>
    </w:p>
    <w:p w14:paraId="17651EC0" w14:textId="152E8C7C"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El juez podrá dictar, a solicitud del Ministerio Público de la Federación y tomando en cuenta las características del hecho imputado y las circunstancias personales del inculpado, el arraigo de éste en el lugar, forma y medios de realización señalados en la solicitud, con vigilancia de la autoridad, la que ejercerá el Ministerio Público de la Federación y sus auxiliares, mismo que se prolongará por el tiempo estrictamente indispensable para la debida integración de la averiguación de que se trate, sin que exceda de noventa días, con el objeto de que el afectado participe en la aclaración de los hechos que se le imputan y pueda abreviarse el tiempo de arraigo.</w:t>
      </w:r>
    </w:p>
    <w:p w14:paraId="1D596C1E" w14:textId="77777777" w:rsidR="00D15B00" w:rsidRPr="00B156D5" w:rsidRDefault="00D15B00" w:rsidP="006449EC">
      <w:pPr>
        <w:pStyle w:val="Textonotapie"/>
        <w:jc w:val="both"/>
        <w:rPr>
          <w:rFonts w:ascii="Verdana" w:hAnsi="Verdana"/>
          <w:szCs w:val="16"/>
          <w:lang w:val="es-ES"/>
        </w:rPr>
      </w:pPr>
      <w:r w:rsidRPr="00B156D5">
        <w:rPr>
          <w:rFonts w:ascii="Verdana" w:hAnsi="Verdana"/>
          <w:szCs w:val="16"/>
          <w:lang w:val="es-ES"/>
        </w:rPr>
        <w:t>Por otra parte, la redacción actual del artículo 12 de la Ley Federal contra la Delincuencia Organizada establece que:</w:t>
      </w:r>
    </w:p>
    <w:p w14:paraId="0A956F80"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El Juez de control podrá decretar el arraigo, a solicitud del Ministerio Público de la Federación, tratándose de los delitos previstos en esta Ley, siempre que sea necesario para el éxito de la investigación, para la protección de personas, de bienes jurídicos o cuando exista riesgo fundado de que el imputado se sustraiga de la acción de la justicia.</w:t>
      </w:r>
    </w:p>
    <w:p w14:paraId="21E3489C"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El arraigo no podrá exceder de cuarenta días, y se realizará con la vigilancia de la autoridad del agente del Ministerio Público de la Federación y la Policía que se encuentre bajo su conducción y mando inmediato en la investigación.</w:t>
      </w:r>
    </w:p>
    <w:p w14:paraId="27654A9C"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La duración del arraigo podrá prolongarse siempre y cuando el Ministerio Público acredite que subsisten las causas que le dieron origen, sin que su duración total exceda de ochenta días.</w:t>
      </w:r>
    </w:p>
  </w:footnote>
  <w:footnote w:id="159">
    <w:p w14:paraId="73EC1684" w14:textId="77777777" w:rsidR="00D15B00" w:rsidRPr="00B156D5" w:rsidRDefault="00D15B00" w:rsidP="006449EC">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Corresponde recordar que en el artículo 133 bis al Código Federal Procesal Penal de 1999 se establecía que:</w:t>
      </w:r>
    </w:p>
    <w:p w14:paraId="4328A99C"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 xml:space="preserve">La autoridad judicial podrá, a petición del Ministerio Público, decretar el arraigo domiciliario o imponer la prohibición de abandonar una demarcación geográfica sin su autorización, a la persona en contra de quien se prepare el ejercicio de la acción penal, siempre y cuando exista el riesgo fundado de que se sustraiga a la acción de la justicia. Corresponderá al Ministerio Público y a sus auxiliares vigilar que el mandato de la autoridad judicial sea debidamente cumplido. </w:t>
      </w:r>
    </w:p>
    <w:p w14:paraId="09FF8FA1"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 xml:space="preserve">El arraigo domiciliario o la prohibición de abandonar una demarcación geográfica se prolongarán por el tiempo estrictamente indispensable, no debiendo exceder de treinta días naturales, en el caso del arraigo, y de sesenta días naturales, en el de la prohibición de abandonar una demarcación geográfica. </w:t>
      </w:r>
    </w:p>
    <w:p w14:paraId="2C35D1AE" w14:textId="77777777" w:rsidR="00D15B00" w:rsidRPr="00B156D5" w:rsidRDefault="00D15B00" w:rsidP="006449EC">
      <w:pPr>
        <w:pStyle w:val="Textonotapie"/>
        <w:ind w:left="567" w:right="561"/>
        <w:jc w:val="both"/>
        <w:rPr>
          <w:rFonts w:ascii="Verdana" w:hAnsi="Verdana"/>
          <w:szCs w:val="16"/>
          <w:lang w:val="es-ES"/>
        </w:rPr>
      </w:pPr>
      <w:r w:rsidRPr="00B156D5">
        <w:rPr>
          <w:rFonts w:ascii="Verdana" w:hAnsi="Verdana"/>
          <w:szCs w:val="16"/>
          <w:lang w:val="es-ES"/>
        </w:rPr>
        <w:t>Cuando el afectado pida que el arraigo o la prohibición de abandonar una demarcación geográfica queden sin efecto, la autoridad judicial decidirá, escuchando al Ministerio Público y al afectado, si deben o no mantenerse.</w:t>
      </w:r>
    </w:p>
    <w:p w14:paraId="27B9D0E9" w14:textId="77777777" w:rsidR="00D15B00" w:rsidRPr="00B156D5" w:rsidRDefault="00D15B00" w:rsidP="006449EC">
      <w:pPr>
        <w:pStyle w:val="Textonotapie"/>
        <w:jc w:val="both"/>
        <w:rPr>
          <w:rFonts w:ascii="Verdana" w:hAnsi="Verdana"/>
          <w:szCs w:val="16"/>
          <w:lang w:val="es-ES"/>
        </w:rPr>
      </w:pPr>
      <w:r w:rsidRPr="00B156D5">
        <w:rPr>
          <w:rFonts w:ascii="Verdana" w:hAnsi="Verdana"/>
          <w:szCs w:val="16"/>
          <w:lang w:val="es-ES"/>
        </w:rPr>
        <w:t>En la redacción actual del artículo 133 bis al Código Federal Procesal Penal establece que:</w:t>
      </w:r>
    </w:p>
    <w:p w14:paraId="1E90462D" w14:textId="77777777" w:rsidR="00D15B00" w:rsidRPr="00B156D5" w:rsidRDefault="00D15B00" w:rsidP="006449EC">
      <w:pPr>
        <w:pStyle w:val="Textonotapie"/>
        <w:ind w:left="709" w:right="561"/>
        <w:jc w:val="both"/>
        <w:rPr>
          <w:rFonts w:ascii="Verdana" w:hAnsi="Verdana"/>
          <w:szCs w:val="16"/>
          <w:lang w:val="es-ES"/>
        </w:rPr>
      </w:pPr>
      <w:r w:rsidRPr="00B156D5">
        <w:rPr>
          <w:rFonts w:ascii="Verdana" w:hAnsi="Verdana"/>
          <w:szCs w:val="16"/>
          <w:lang w:val="es-ES"/>
        </w:rPr>
        <w:t>La autoridad judicial podrá, a petición del Ministerio Público, decretar el arraigo domiciliario del indiciado tratándose de delitos graves, siempre que sea necesario para el éxito de la investigación, la protección de personas o bienes jurídicos o cuando exista riesgo fundado de que el inculpado se sustraiga a la acción de la justicia. Corresponderá al Ministerio Público y a sus auxiliares vigilar que el mandato de la autoridad judicial sea debidamente cumplido.</w:t>
      </w:r>
    </w:p>
    <w:p w14:paraId="1FE0E36C" w14:textId="77777777" w:rsidR="00D15B00" w:rsidRPr="00B156D5" w:rsidRDefault="00D15B00" w:rsidP="006449EC">
      <w:pPr>
        <w:pStyle w:val="Textonotapie"/>
        <w:ind w:left="709" w:right="561"/>
        <w:jc w:val="both"/>
        <w:rPr>
          <w:rFonts w:ascii="Verdana" w:hAnsi="Verdana"/>
          <w:szCs w:val="16"/>
          <w:lang w:val="es-ES"/>
        </w:rPr>
      </w:pPr>
      <w:r w:rsidRPr="00B156D5">
        <w:rPr>
          <w:rFonts w:ascii="Verdana" w:hAnsi="Verdana"/>
          <w:szCs w:val="16"/>
          <w:lang w:val="es-ES"/>
        </w:rPr>
        <w:t xml:space="preserve">El arraigo domiciliario se prolongará por el tiempo estrictamente indispensable, no debiendo exceder de cuarenta días. </w:t>
      </w:r>
    </w:p>
    <w:p w14:paraId="11816D1F" w14:textId="77777777" w:rsidR="00D15B00" w:rsidRPr="00B156D5" w:rsidRDefault="00D15B00" w:rsidP="006449EC">
      <w:pPr>
        <w:pStyle w:val="Textonotapie"/>
        <w:ind w:left="709" w:right="561"/>
        <w:jc w:val="both"/>
        <w:rPr>
          <w:rFonts w:ascii="Verdana" w:hAnsi="Verdana"/>
          <w:szCs w:val="16"/>
          <w:lang w:val="es-ES"/>
        </w:rPr>
      </w:pPr>
      <w:r w:rsidRPr="00B156D5">
        <w:rPr>
          <w:rFonts w:ascii="Verdana" w:hAnsi="Verdana"/>
          <w:szCs w:val="16"/>
          <w:lang w:val="es-ES"/>
        </w:rPr>
        <w:t>El afectado podrá solicitar que el arraigo quede sin efecto, cuando considere que las causas que le dieron origen han desaparecido. En este supuesto, la autoridad judicial escuchará al Ministerio Público y al afectado, y resolverá si debe o no mantenerse.</w:t>
      </w:r>
    </w:p>
  </w:footnote>
  <w:footnote w:id="160">
    <w:p w14:paraId="3224B146" w14:textId="3F2D66FA" w:rsidR="00D15B00" w:rsidRPr="00B156D5" w:rsidRDefault="00D15B00" w:rsidP="0076768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En efecto, la sobre arraigo ha sido complementada con posterioridad a los hechos del caso por el artículo 16 de la Constitución Federal de México el cual establece lo siguiente (</w:t>
      </w:r>
      <w:r w:rsidRPr="00B156D5">
        <w:rPr>
          <w:rFonts w:ascii="Verdana" w:hAnsi="Verdana"/>
          <w:i/>
          <w:iCs/>
          <w:szCs w:val="16"/>
          <w:lang w:val="es-ES"/>
        </w:rPr>
        <w:t>supra</w:t>
      </w:r>
      <w:r w:rsidRPr="00B156D5">
        <w:rPr>
          <w:rFonts w:ascii="Verdana" w:hAnsi="Verdana"/>
          <w:szCs w:val="16"/>
          <w:lang w:val="es-ES"/>
        </w:rPr>
        <w:t xml:space="preserve"> párrs. </w:t>
      </w:r>
      <w:r w:rsidR="00B8480C" w:rsidRPr="00B156D5">
        <w:rPr>
          <w:rFonts w:ascii="Verdana" w:hAnsi="Verdana"/>
          <w:szCs w:val="16"/>
          <w:lang w:val="es-ES"/>
        </w:rPr>
        <w:t>38</w:t>
      </w:r>
      <w:r w:rsidRPr="00B156D5">
        <w:rPr>
          <w:rFonts w:ascii="Verdana" w:hAnsi="Verdana"/>
          <w:szCs w:val="16"/>
          <w:lang w:val="es-ES"/>
        </w:rPr>
        <w:t>):</w:t>
      </w:r>
      <w:r w:rsidR="00D03A7B" w:rsidRPr="00B156D5">
        <w:rPr>
          <w:rFonts w:ascii="Verdana" w:hAnsi="Verdana"/>
          <w:szCs w:val="16"/>
          <w:lang w:val="es-ES"/>
        </w:rPr>
        <w:t xml:space="preserve"> “</w:t>
      </w:r>
      <w:r w:rsidRPr="00B156D5">
        <w:rPr>
          <w:rFonts w:ascii="Verdana" w:hAnsi="Verdana"/>
          <w:szCs w:val="16"/>
          <w:lang w:val="es-ES"/>
        </w:rP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 […]</w:t>
      </w:r>
      <w:r w:rsidR="00D03A7B" w:rsidRPr="00B156D5">
        <w:rPr>
          <w:rFonts w:ascii="Verdana" w:hAnsi="Verdana"/>
          <w:szCs w:val="16"/>
          <w:lang w:val="es-ES"/>
        </w:rPr>
        <w:t>”.</w:t>
      </w:r>
    </w:p>
  </w:footnote>
  <w:footnote w:id="161">
    <w:p w14:paraId="79FF87CD" w14:textId="0EC6F0D6" w:rsidR="00D15B00" w:rsidRPr="00B156D5" w:rsidRDefault="00D15B00" w:rsidP="00F177AF">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 xml:space="preserve">El artículo establece que: </w:t>
      </w:r>
    </w:p>
    <w:p w14:paraId="2396B431" w14:textId="6F72A509" w:rsidR="00D15B00" w:rsidRPr="00B156D5" w:rsidRDefault="00D15B00" w:rsidP="00F177AF">
      <w:pPr>
        <w:pStyle w:val="Textonotapie"/>
        <w:jc w:val="both"/>
        <w:rPr>
          <w:rFonts w:ascii="Verdana" w:hAnsi="Verdana"/>
          <w:szCs w:val="16"/>
          <w:lang w:val="es-ES"/>
        </w:rPr>
      </w:pPr>
      <w:r w:rsidRPr="00B156D5">
        <w:rPr>
          <w:rFonts w:ascii="Verdana" w:hAnsi="Verdana"/>
          <w:szCs w:val="16"/>
          <w:lang w:val="es-ES"/>
        </w:rPr>
        <w:t>[…] 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14:paraId="2D184433" w14:textId="7D85D1A6" w:rsidR="00D15B00" w:rsidRPr="00B156D5" w:rsidRDefault="00D15B00" w:rsidP="00F177AF">
      <w:pPr>
        <w:pStyle w:val="Textonotapie"/>
        <w:jc w:val="both"/>
        <w:rPr>
          <w:rFonts w:ascii="Verdana" w:hAnsi="Verdana"/>
          <w:szCs w:val="16"/>
          <w:lang w:val="es-ES"/>
        </w:rPr>
      </w:pPr>
      <w:r w:rsidRPr="00B156D5">
        <w:rPr>
          <w:rFonts w:ascii="Verdana" w:hAnsi="Verdana"/>
          <w:szCs w:val="16"/>
          <w:lang w:val="es-ES"/>
        </w:rPr>
        <w:t>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abuso o violencia sexual contra menores, delincuencia organizada,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así como los delitos graves que determine la ley en contra de la seguridad de la nación, el libre desarrollo de la personalidad, y de la salud. […]</w:t>
      </w:r>
    </w:p>
  </w:footnote>
  <w:footnote w:id="162">
    <w:p w14:paraId="35706E86" w14:textId="522EDBD2" w:rsidR="00D15B00" w:rsidRPr="00B156D5" w:rsidRDefault="00D15B00" w:rsidP="000429E2">
      <w:pPr>
        <w:pStyle w:val="Textonotapie"/>
        <w:jc w:val="both"/>
        <w:rPr>
          <w:rFonts w:ascii="Verdana" w:hAnsi="Verdana"/>
          <w:szCs w:val="16"/>
          <w:lang w:val="es-CR"/>
        </w:rPr>
      </w:pPr>
      <w:r w:rsidRPr="00B156D5">
        <w:rPr>
          <w:rStyle w:val="Refdenotaalpie"/>
          <w:rFonts w:ascii="Verdana" w:hAnsi="Verdana"/>
          <w:szCs w:val="16"/>
          <w:lang w:val="es-ES_tradnl"/>
        </w:rPr>
        <w:footnoteRef/>
      </w:r>
      <w:r w:rsidRPr="00B156D5">
        <w:rPr>
          <w:rFonts w:ascii="Verdana" w:hAnsi="Verdana"/>
          <w:szCs w:val="16"/>
          <w:lang w:val="es-ES_tradnl"/>
        </w:rPr>
        <w:t xml:space="preserve"> </w:t>
      </w:r>
      <w:r w:rsidRPr="00B156D5">
        <w:rPr>
          <w:rFonts w:ascii="Verdana" w:hAnsi="Verdana"/>
          <w:szCs w:val="16"/>
          <w:lang w:val="es-ES_tradnl"/>
        </w:rPr>
        <w:tab/>
      </w:r>
      <w:r w:rsidRPr="00B156D5">
        <w:rPr>
          <w:rFonts w:ascii="Verdana" w:hAnsi="Verdana"/>
          <w:i/>
          <w:szCs w:val="16"/>
          <w:lang w:val="es-ES_tradnl"/>
        </w:rPr>
        <w:t>Cfr</w:t>
      </w:r>
      <w:r w:rsidRPr="00B156D5">
        <w:rPr>
          <w:rFonts w:ascii="Verdana" w:hAnsi="Verdana"/>
          <w:szCs w:val="16"/>
          <w:lang w:val="es-ES_tradnl"/>
        </w:rPr>
        <w:t xml:space="preserve">. </w:t>
      </w:r>
      <w:r w:rsidRPr="00B156D5">
        <w:rPr>
          <w:rFonts w:ascii="Verdana" w:hAnsi="Verdana"/>
          <w:i/>
          <w:szCs w:val="16"/>
          <w:lang w:val="es-ES_tradnl"/>
        </w:rPr>
        <w:t>Caso Durand y Ugarte</w:t>
      </w:r>
      <w:r w:rsidRPr="00B156D5">
        <w:rPr>
          <w:rFonts w:ascii="Verdana" w:hAnsi="Verdana"/>
          <w:szCs w:val="16"/>
          <w:lang w:val="es-ES_tradnl"/>
        </w:rPr>
        <w:t xml:space="preserve">. </w:t>
      </w:r>
      <w:r w:rsidR="00E24C38" w:rsidRPr="00B156D5">
        <w:rPr>
          <w:rFonts w:ascii="Verdana" w:hAnsi="Verdana"/>
          <w:i/>
          <w:iCs/>
          <w:szCs w:val="16"/>
          <w:lang w:val="es-ES_tradnl"/>
        </w:rPr>
        <w:t xml:space="preserve">Fondo. </w:t>
      </w:r>
      <w:r w:rsidRPr="00B156D5">
        <w:rPr>
          <w:rFonts w:ascii="Verdana" w:hAnsi="Verdana"/>
          <w:szCs w:val="16"/>
          <w:lang w:val="es-ES_tradnl"/>
        </w:rPr>
        <w:t>Sentencia de 16 de agosto de 2000.</w:t>
      </w:r>
      <w:r w:rsidR="00023E34" w:rsidRPr="00B156D5">
        <w:rPr>
          <w:rFonts w:ascii="Verdana" w:hAnsi="Verdana"/>
          <w:szCs w:val="16"/>
          <w:lang w:val="es-ES_tradnl"/>
        </w:rPr>
        <w:t xml:space="preserve"> </w:t>
      </w:r>
      <w:r w:rsidRPr="00B156D5">
        <w:rPr>
          <w:rFonts w:ascii="Verdana" w:hAnsi="Verdana"/>
          <w:szCs w:val="16"/>
          <w:lang w:val="es-ES_tradnl"/>
        </w:rPr>
        <w:t xml:space="preserve">Serie C. No. 68, párr. </w:t>
      </w:r>
      <w:r w:rsidRPr="00B156D5">
        <w:rPr>
          <w:rFonts w:ascii="Verdana" w:hAnsi="Verdana"/>
          <w:szCs w:val="16"/>
          <w:lang w:val="es-CR"/>
        </w:rPr>
        <w:t>137</w:t>
      </w:r>
      <w:r w:rsidR="00B45517" w:rsidRPr="00B156D5">
        <w:rPr>
          <w:rFonts w:ascii="Verdana" w:hAnsi="Verdana"/>
          <w:szCs w:val="16"/>
          <w:lang w:val="es-CR"/>
        </w:rPr>
        <w:t>;</w:t>
      </w:r>
      <w:r w:rsidRPr="00B156D5">
        <w:rPr>
          <w:rFonts w:ascii="Verdana" w:hAnsi="Verdana"/>
          <w:szCs w:val="16"/>
          <w:lang w:val="es-CR"/>
        </w:rPr>
        <w:t xml:space="preserve"> </w:t>
      </w:r>
      <w:r w:rsidR="000429E2" w:rsidRPr="00B156D5">
        <w:rPr>
          <w:rFonts w:ascii="Verdana" w:hAnsi="Verdana"/>
          <w:i/>
          <w:iCs/>
          <w:szCs w:val="16"/>
          <w:lang w:val="es-CR"/>
        </w:rPr>
        <w:t>Caso “Instituto de Reeducación del Menor” Vs. Paraguay</w:t>
      </w:r>
      <w:r w:rsidR="000429E2" w:rsidRPr="00B156D5">
        <w:rPr>
          <w:rFonts w:ascii="Verdana" w:hAnsi="Verdana"/>
          <w:szCs w:val="16"/>
          <w:lang w:val="es-CR"/>
        </w:rPr>
        <w:t>.</w:t>
      </w:r>
      <w:r w:rsidR="000429E2" w:rsidRPr="00B156D5">
        <w:rPr>
          <w:rFonts w:ascii="Verdana" w:hAnsi="Verdana"/>
          <w:i/>
          <w:iCs/>
          <w:szCs w:val="16"/>
          <w:lang w:val="es-CR"/>
        </w:rPr>
        <w:t xml:space="preserve"> </w:t>
      </w:r>
      <w:r w:rsidR="00B45517" w:rsidRPr="00B156D5">
        <w:rPr>
          <w:rFonts w:ascii="Verdana" w:hAnsi="Verdana"/>
          <w:i/>
          <w:iCs/>
          <w:szCs w:val="16"/>
          <w:lang w:val="es-CR"/>
        </w:rPr>
        <w:t>Excepciones Preliminares, Fondo, Reparaciones y Costas</w:t>
      </w:r>
      <w:r w:rsidR="00B45517" w:rsidRPr="00B156D5">
        <w:rPr>
          <w:rFonts w:ascii="Verdana" w:hAnsi="Verdana"/>
          <w:szCs w:val="16"/>
          <w:lang w:val="es-CR"/>
        </w:rPr>
        <w:t xml:space="preserve">. </w:t>
      </w:r>
      <w:r w:rsidR="000429E2" w:rsidRPr="00B156D5">
        <w:rPr>
          <w:rFonts w:ascii="Verdana" w:hAnsi="Verdana"/>
          <w:szCs w:val="16"/>
          <w:lang w:val="es-CR"/>
        </w:rPr>
        <w:t>Sentencia de 2 de septiembre de 2004</w:t>
      </w:r>
      <w:r w:rsidR="00B45517" w:rsidRPr="00B156D5">
        <w:rPr>
          <w:rFonts w:ascii="Verdana" w:hAnsi="Verdana"/>
          <w:szCs w:val="16"/>
          <w:lang w:val="es-CR"/>
        </w:rPr>
        <w:t>. Serie No. 112, párr. 112,</w:t>
      </w:r>
      <w:r w:rsidRPr="00B156D5">
        <w:rPr>
          <w:rFonts w:ascii="Verdana" w:hAnsi="Verdana"/>
          <w:szCs w:val="16"/>
          <w:lang w:val="es-CR"/>
        </w:rPr>
        <w:t xml:space="preserve"> </w:t>
      </w:r>
      <w:r w:rsidR="00B45517" w:rsidRPr="00B156D5">
        <w:rPr>
          <w:rFonts w:ascii="Verdana" w:hAnsi="Verdana"/>
          <w:szCs w:val="16"/>
          <w:lang w:val="es-CR"/>
        </w:rPr>
        <w:t xml:space="preserve">y </w:t>
      </w:r>
      <w:r w:rsidR="00B45517" w:rsidRPr="00B156D5">
        <w:rPr>
          <w:rFonts w:ascii="Verdana" w:hAnsi="Verdana"/>
          <w:i/>
          <w:iCs/>
          <w:spacing w:val="-4"/>
        </w:rPr>
        <w:t>Caso “La Última Tentación de Cristo” (Olmedo Bustos y otros) Vs. Chile</w:t>
      </w:r>
      <w:r w:rsidR="008B1BE7" w:rsidRPr="00B156D5">
        <w:rPr>
          <w:rFonts w:ascii="Verdana" w:hAnsi="Verdana"/>
          <w:szCs w:val="16"/>
          <w:lang w:val="es-CR"/>
        </w:rPr>
        <w:t>.</w:t>
      </w:r>
      <w:r w:rsidR="00B45517" w:rsidRPr="00B156D5">
        <w:rPr>
          <w:rFonts w:ascii="Verdana" w:hAnsi="Verdana"/>
          <w:szCs w:val="16"/>
          <w:lang w:val="es-CR"/>
        </w:rPr>
        <w:t xml:space="preserve"> </w:t>
      </w:r>
      <w:r w:rsidR="008B1BE7" w:rsidRPr="00B156D5">
        <w:rPr>
          <w:rFonts w:ascii="Verdana" w:hAnsi="Verdana"/>
          <w:i/>
          <w:iCs/>
          <w:szCs w:val="16"/>
          <w:lang w:val="es-CR"/>
        </w:rPr>
        <w:t>Fondo, Reparaciones y Costas</w:t>
      </w:r>
      <w:r w:rsidR="008B1BE7" w:rsidRPr="00B156D5">
        <w:rPr>
          <w:rFonts w:ascii="Verdana" w:hAnsi="Verdana"/>
          <w:szCs w:val="16"/>
          <w:lang w:val="es-CR"/>
        </w:rPr>
        <w:t>. Sentencia de 5 de febrero de 2001. Serie C No. 73</w:t>
      </w:r>
      <w:r w:rsidR="00B45517" w:rsidRPr="00B156D5">
        <w:rPr>
          <w:rFonts w:ascii="Verdana" w:hAnsi="Verdana"/>
          <w:szCs w:val="16"/>
          <w:lang w:val="es-CR"/>
        </w:rPr>
        <w:t xml:space="preserve">, párr. </w:t>
      </w:r>
      <w:r w:rsidRPr="00B156D5">
        <w:rPr>
          <w:rFonts w:ascii="Verdana" w:hAnsi="Verdana"/>
          <w:szCs w:val="16"/>
          <w:lang w:val="es-CR"/>
        </w:rPr>
        <w:t>85.</w:t>
      </w:r>
    </w:p>
  </w:footnote>
  <w:footnote w:id="163">
    <w:p w14:paraId="79AF2F60" w14:textId="2890120C" w:rsidR="00D15B00" w:rsidRPr="00B156D5" w:rsidRDefault="00D15B00" w:rsidP="00955888">
      <w:pPr>
        <w:pStyle w:val="Textonotapie"/>
        <w:jc w:val="both"/>
        <w:rPr>
          <w:rFonts w:ascii="Verdana" w:hAnsi="Verdana"/>
          <w:szCs w:val="16"/>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iCs/>
          <w:szCs w:val="16"/>
        </w:rPr>
        <w:t>Cfr</w:t>
      </w:r>
      <w:r w:rsidRPr="00B156D5">
        <w:rPr>
          <w:rFonts w:ascii="Verdana" w:hAnsi="Verdana"/>
          <w:szCs w:val="16"/>
        </w:rPr>
        <w:t xml:space="preserve">. </w:t>
      </w:r>
      <w:r w:rsidRPr="00B156D5">
        <w:rPr>
          <w:rFonts w:ascii="Verdana" w:hAnsi="Verdana"/>
          <w:i/>
          <w:iCs/>
          <w:szCs w:val="16"/>
        </w:rPr>
        <w:t>Caso Ex trabajadores Organismo Judicial Vs. Guatemala</w:t>
      </w:r>
      <w:r w:rsidR="00356F5F" w:rsidRPr="00B156D5">
        <w:rPr>
          <w:rFonts w:ascii="Verdana" w:hAnsi="Verdana"/>
          <w:i/>
          <w:iCs/>
          <w:szCs w:val="16"/>
        </w:rPr>
        <w:t>.</w:t>
      </w:r>
      <w:r w:rsidRPr="00B156D5">
        <w:rPr>
          <w:rFonts w:ascii="Verdana" w:hAnsi="Verdana"/>
          <w:i/>
          <w:iCs/>
          <w:szCs w:val="16"/>
        </w:rPr>
        <w:t xml:space="preserve"> </w:t>
      </w:r>
      <w:r w:rsidR="00356F5F" w:rsidRPr="00B156D5">
        <w:rPr>
          <w:rFonts w:ascii="Verdana" w:hAnsi="Verdana"/>
          <w:i/>
          <w:iCs/>
          <w:szCs w:val="16"/>
        </w:rPr>
        <w:t>Excepciones Preliminares, Fondo y Reparaciones</w:t>
      </w:r>
      <w:r w:rsidR="00356F5F" w:rsidRPr="00B156D5">
        <w:rPr>
          <w:rFonts w:ascii="Verdana" w:hAnsi="Verdana"/>
          <w:szCs w:val="16"/>
        </w:rPr>
        <w:t xml:space="preserve">. Sentencia de 17 de noviembre de 2021. Serie C No. 445, </w:t>
      </w:r>
      <w:r w:rsidRPr="00B156D5">
        <w:rPr>
          <w:rFonts w:ascii="Verdana" w:hAnsi="Verdana"/>
          <w:szCs w:val="16"/>
        </w:rPr>
        <w:t>párr.</w:t>
      </w:r>
      <w:r w:rsidR="00E24C38" w:rsidRPr="00B156D5">
        <w:rPr>
          <w:rFonts w:ascii="Verdana" w:hAnsi="Verdana"/>
          <w:szCs w:val="16"/>
        </w:rPr>
        <w:t xml:space="preserve"> </w:t>
      </w:r>
      <w:r w:rsidRPr="00B156D5">
        <w:rPr>
          <w:rFonts w:ascii="Verdana" w:hAnsi="Verdana"/>
          <w:szCs w:val="16"/>
        </w:rPr>
        <w:t>14</w:t>
      </w:r>
      <w:r w:rsidR="00FF3EAE" w:rsidRPr="00B156D5">
        <w:rPr>
          <w:rFonts w:ascii="Verdana" w:hAnsi="Verdana"/>
          <w:szCs w:val="16"/>
        </w:rPr>
        <w:t>4</w:t>
      </w:r>
      <w:r w:rsidR="00EE651B" w:rsidRPr="00B156D5">
        <w:rPr>
          <w:rFonts w:ascii="Verdana" w:hAnsi="Verdana"/>
          <w:szCs w:val="16"/>
        </w:rPr>
        <w:t>,</w:t>
      </w:r>
      <w:r w:rsidR="00980C7D" w:rsidRPr="00B156D5">
        <w:rPr>
          <w:rFonts w:ascii="Verdana" w:hAnsi="Verdana"/>
          <w:szCs w:val="16"/>
        </w:rPr>
        <w:t xml:space="preserve"> </w:t>
      </w:r>
      <w:r w:rsidR="009128D1" w:rsidRPr="00B156D5">
        <w:rPr>
          <w:rFonts w:ascii="Verdana" w:hAnsi="Verdana"/>
          <w:szCs w:val="16"/>
        </w:rPr>
        <w:t xml:space="preserve">y </w:t>
      </w:r>
      <w:r w:rsidR="00EE651B" w:rsidRPr="00B156D5">
        <w:rPr>
          <w:rFonts w:ascii="Verdana" w:hAnsi="Verdana"/>
          <w:i/>
          <w:iCs/>
          <w:szCs w:val="16"/>
        </w:rPr>
        <w:t>Caso de los “Niños de la Calle” (Villagrán Morales y otros) Vs. Guatemala. Reparaciones y Costas</w:t>
      </w:r>
      <w:r w:rsidR="00EE651B" w:rsidRPr="00B156D5">
        <w:rPr>
          <w:rFonts w:ascii="Verdana" w:hAnsi="Verdana"/>
          <w:szCs w:val="16"/>
        </w:rPr>
        <w:t>. Sentencia de 26 de mayo de 2001. Serie C No. 77</w:t>
      </w:r>
      <w:r w:rsidR="009128D1" w:rsidRPr="00B156D5">
        <w:rPr>
          <w:rFonts w:ascii="Verdana" w:hAnsi="Verdana"/>
          <w:szCs w:val="16"/>
        </w:rPr>
        <w:t xml:space="preserve">, párr. </w:t>
      </w:r>
      <w:r w:rsidR="00A91B2E" w:rsidRPr="00B156D5">
        <w:rPr>
          <w:rFonts w:ascii="Verdana" w:hAnsi="Verdana"/>
          <w:szCs w:val="16"/>
        </w:rPr>
        <w:t>98</w:t>
      </w:r>
      <w:r w:rsidR="00980C7D" w:rsidRPr="00B156D5">
        <w:rPr>
          <w:rFonts w:ascii="Verdana" w:hAnsi="Verdana"/>
          <w:szCs w:val="16"/>
        </w:rPr>
        <w:t>.</w:t>
      </w:r>
    </w:p>
  </w:footnote>
  <w:footnote w:id="164">
    <w:p w14:paraId="6B6E1AC6" w14:textId="4E2166DE" w:rsidR="00D15B00" w:rsidRPr="00B156D5" w:rsidRDefault="00D15B00" w:rsidP="000A52F2">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La Comisión recomendó al Estado de forma genérica reparar “integralmente a los señores Jorge Marcial Tzompaxtle Tecpile, Gerardo Tzompaxtle Tecpile y a los derechohabientes del fallecido señor Gustavo Robles López, a través de medidas de compensación pecuniaria y de satisfacción, que incluyan el resarcimiento del daño material e inmaterial ocasionado”.</w:t>
      </w:r>
    </w:p>
  </w:footnote>
  <w:footnote w:id="165">
    <w:p w14:paraId="5AC7B745" w14:textId="4988AD55"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Cantoral Benavides Vs. Perú. Reparaciones y Costas</w:t>
      </w:r>
      <w:r w:rsidRPr="00B156D5">
        <w:rPr>
          <w:rFonts w:ascii="Verdana" w:hAnsi="Verdana"/>
          <w:szCs w:val="16"/>
        </w:rPr>
        <w:t>. Sentencia de 3 de diciembre de 2001. Serie C</w:t>
      </w:r>
      <w:r w:rsidRPr="00B156D5">
        <w:rPr>
          <w:rFonts w:ascii="Verdana" w:hAnsi="Verdana"/>
          <w:spacing w:val="1"/>
          <w:szCs w:val="16"/>
        </w:rPr>
        <w:t xml:space="preserve"> </w:t>
      </w:r>
      <w:r w:rsidRPr="00B156D5">
        <w:rPr>
          <w:rFonts w:ascii="Verdana" w:hAnsi="Verdana"/>
          <w:szCs w:val="16"/>
        </w:rPr>
        <w:t>No.</w:t>
      </w:r>
      <w:r w:rsidRPr="00B156D5">
        <w:rPr>
          <w:rFonts w:ascii="Verdana" w:hAnsi="Verdana"/>
          <w:spacing w:val="-4"/>
          <w:szCs w:val="16"/>
        </w:rPr>
        <w:t xml:space="preserve"> </w:t>
      </w:r>
      <w:r w:rsidRPr="00B156D5">
        <w:rPr>
          <w:rFonts w:ascii="Verdana" w:hAnsi="Verdana"/>
          <w:szCs w:val="16"/>
        </w:rPr>
        <w:t>88</w:t>
      </w:r>
      <w:r w:rsidRPr="00B156D5">
        <w:rPr>
          <w:rFonts w:ascii="Verdana" w:hAnsi="Verdana"/>
          <w:i/>
          <w:szCs w:val="16"/>
        </w:rPr>
        <w:t>,</w:t>
      </w:r>
      <w:r w:rsidRPr="00B156D5">
        <w:rPr>
          <w:rFonts w:ascii="Verdana" w:hAnsi="Verdana"/>
          <w:i/>
          <w:spacing w:val="-3"/>
          <w:szCs w:val="16"/>
        </w:rPr>
        <w:t xml:space="preserve"> </w:t>
      </w:r>
      <w:r w:rsidRPr="00B156D5">
        <w:rPr>
          <w:rFonts w:ascii="Verdana" w:hAnsi="Verdana"/>
          <w:szCs w:val="16"/>
        </w:rPr>
        <w:t>párr.</w:t>
      </w:r>
      <w:r w:rsidRPr="00B156D5">
        <w:rPr>
          <w:rFonts w:ascii="Verdana" w:hAnsi="Verdana"/>
          <w:spacing w:val="-3"/>
          <w:szCs w:val="16"/>
        </w:rPr>
        <w:t xml:space="preserve"> </w:t>
      </w:r>
      <w:r w:rsidRPr="00B156D5">
        <w:rPr>
          <w:rFonts w:ascii="Verdana" w:hAnsi="Verdana"/>
          <w:szCs w:val="16"/>
        </w:rPr>
        <w:t xml:space="preserve">79, y </w:t>
      </w:r>
      <w:r w:rsidRPr="00B156D5">
        <w:rPr>
          <w:rFonts w:ascii="Verdana" w:hAnsi="Verdana" w:cs="Arial"/>
          <w:i/>
          <w:szCs w:val="16"/>
        </w:rPr>
        <w:t>Caso Digna Ochoa y familiares Vs. México</w:t>
      </w:r>
      <w:r w:rsidRPr="00B156D5">
        <w:rPr>
          <w:rFonts w:ascii="Verdana" w:hAnsi="Verdana" w:cs="Arial"/>
          <w:szCs w:val="16"/>
        </w:rPr>
        <w:t xml:space="preserve">, </w:t>
      </w:r>
      <w:r w:rsidRPr="00B156D5">
        <w:rPr>
          <w:rFonts w:ascii="Verdana" w:hAnsi="Verdana" w:cs="Arial"/>
          <w:i/>
          <w:iCs/>
          <w:szCs w:val="16"/>
        </w:rPr>
        <w:t>supra</w:t>
      </w:r>
      <w:r w:rsidRPr="00B156D5">
        <w:rPr>
          <w:rFonts w:ascii="Verdana" w:hAnsi="Verdana" w:cs="Arial"/>
          <w:szCs w:val="16"/>
        </w:rPr>
        <w:t>, párr. 167</w:t>
      </w:r>
      <w:r w:rsidRPr="00B156D5">
        <w:rPr>
          <w:rFonts w:ascii="Verdana" w:hAnsi="Verdana"/>
          <w:szCs w:val="16"/>
        </w:rPr>
        <w:t>.</w:t>
      </w:r>
    </w:p>
  </w:footnote>
  <w:footnote w:id="166">
    <w:p w14:paraId="3ACEA949" w14:textId="3EACBAA2"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 xml:space="preserve">Cfr. Caso Cantoral Benavides Vs. Perú. Reparaciones y Costas, </w:t>
      </w:r>
      <w:r w:rsidRPr="00B156D5">
        <w:rPr>
          <w:rFonts w:ascii="Verdana" w:hAnsi="Verdana"/>
          <w:i/>
          <w:iCs/>
          <w:szCs w:val="16"/>
        </w:rPr>
        <w:t>supra</w:t>
      </w:r>
      <w:r w:rsidRPr="00B156D5">
        <w:rPr>
          <w:rFonts w:ascii="Verdana" w:hAnsi="Verdana"/>
          <w:i/>
          <w:szCs w:val="16"/>
        </w:rPr>
        <w:t xml:space="preserve">, </w:t>
      </w:r>
      <w:r w:rsidRPr="00B156D5">
        <w:rPr>
          <w:rFonts w:ascii="Verdana" w:hAnsi="Verdana"/>
          <w:szCs w:val="16"/>
        </w:rPr>
        <w:t xml:space="preserve">párr. 81, y </w:t>
      </w:r>
      <w:r w:rsidRPr="00B156D5">
        <w:rPr>
          <w:rFonts w:ascii="Verdana" w:hAnsi="Verdana"/>
          <w:i/>
          <w:iCs/>
          <w:szCs w:val="16"/>
          <w:lang w:val="es-CR"/>
        </w:rPr>
        <w:t>C</w:t>
      </w:r>
      <w:r w:rsidRPr="00B156D5">
        <w:rPr>
          <w:rFonts w:ascii="Verdana" w:hAnsi="Verdana"/>
          <w:i/>
          <w:szCs w:val="16"/>
          <w:lang w:val="es-ES"/>
        </w:rPr>
        <w:t>aso Manuela y otros Vs. El Salvador</w:t>
      </w:r>
      <w:r w:rsidR="003E596F" w:rsidRPr="00B156D5">
        <w:rPr>
          <w:rFonts w:ascii="Verdana" w:hAnsi="Verdana"/>
          <w:iCs/>
          <w:szCs w:val="16"/>
          <w:lang w:val="es-ES"/>
        </w:rPr>
        <w:t>.</w:t>
      </w:r>
      <w:r w:rsidRPr="00B156D5">
        <w:rPr>
          <w:rFonts w:ascii="Verdana" w:hAnsi="Verdana"/>
          <w:i/>
          <w:szCs w:val="16"/>
          <w:lang w:val="es-ES"/>
        </w:rPr>
        <w:t xml:space="preserve"> </w:t>
      </w:r>
      <w:r w:rsidR="003E596F" w:rsidRPr="00B156D5">
        <w:rPr>
          <w:rFonts w:ascii="Verdana" w:hAnsi="Verdana"/>
          <w:iCs/>
          <w:szCs w:val="16"/>
          <w:lang w:val="es-ES"/>
        </w:rPr>
        <w:t>Excepciones preliminares, Fondo, Reparaciones y Costas. Sentencia de 2 de noviembre de 2021. Serie C No. 441</w:t>
      </w:r>
      <w:r w:rsidRPr="00B156D5">
        <w:rPr>
          <w:rFonts w:ascii="Verdana" w:hAnsi="Verdana"/>
          <w:iCs/>
          <w:szCs w:val="16"/>
          <w:lang w:val="es-ES"/>
        </w:rPr>
        <w:t>,</w:t>
      </w:r>
      <w:r w:rsidRPr="00B156D5">
        <w:rPr>
          <w:rFonts w:ascii="Verdana" w:hAnsi="Verdana"/>
          <w:i/>
          <w:szCs w:val="16"/>
          <w:lang w:val="es-ES"/>
        </w:rPr>
        <w:t xml:space="preserve"> </w:t>
      </w:r>
      <w:r w:rsidRPr="00B156D5">
        <w:rPr>
          <w:rFonts w:ascii="Verdana" w:hAnsi="Verdana"/>
          <w:szCs w:val="16"/>
          <w:lang w:val="es-ES"/>
        </w:rPr>
        <w:t>párr.</w:t>
      </w:r>
      <w:r w:rsidRPr="00B156D5">
        <w:rPr>
          <w:rFonts w:ascii="Verdana" w:hAnsi="Verdana"/>
          <w:szCs w:val="16"/>
          <w:lang w:val="es-CR"/>
        </w:rPr>
        <w:t xml:space="preserve"> </w:t>
      </w:r>
      <w:r w:rsidRPr="00B156D5">
        <w:rPr>
          <w:rFonts w:ascii="Verdana" w:hAnsi="Verdana"/>
          <w:szCs w:val="16"/>
          <w:lang w:val="es-ES"/>
        </w:rPr>
        <w:t>276</w:t>
      </w:r>
      <w:r w:rsidRPr="00B156D5">
        <w:rPr>
          <w:rFonts w:ascii="Verdana" w:hAnsi="Verdana"/>
          <w:szCs w:val="16"/>
        </w:rPr>
        <w:t>.</w:t>
      </w:r>
    </w:p>
  </w:footnote>
  <w:footnote w:id="167">
    <w:p w14:paraId="2541197B" w14:textId="34CA87BF"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Radilla Pacheco Vs. México. Excepciones Preliminares, Fondo, Reparaciones y Costas.</w:t>
      </w:r>
      <w:r w:rsidRPr="00B156D5">
        <w:rPr>
          <w:rFonts w:ascii="Verdana" w:hAnsi="Verdana"/>
          <w:szCs w:val="16"/>
        </w:rPr>
        <w:t xml:space="preserve"> Sentencia de 23 de noviembre de 2009. Serie C No. 209, párr. 353, y </w:t>
      </w:r>
      <w:r w:rsidRPr="00B156D5">
        <w:rPr>
          <w:rFonts w:ascii="Verdana" w:hAnsi="Verdana"/>
          <w:i/>
          <w:iCs/>
          <w:szCs w:val="16"/>
          <w:lang w:val="es-CR"/>
        </w:rPr>
        <w:t>C</w:t>
      </w:r>
      <w:r w:rsidRPr="00B156D5">
        <w:rPr>
          <w:rFonts w:ascii="Verdana" w:hAnsi="Verdana"/>
          <w:i/>
          <w:szCs w:val="16"/>
          <w:lang w:val="es-ES"/>
        </w:rPr>
        <w:t>aso Manuela y otros Vs. El Salvador</w:t>
      </w:r>
      <w:r w:rsidRPr="00B156D5">
        <w:rPr>
          <w:rFonts w:ascii="Verdana" w:hAnsi="Verdana"/>
          <w:iCs/>
          <w:szCs w:val="16"/>
          <w:lang w:val="es-ES"/>
        </w:rPr>
        <w:t>,</w:t>
      </w:r>
      <w:r w:rsidRPr="00B156D5">
        <w:rPr>
          <w:rFonts w:ascii="Verdana" w:hAnsi="Verdana"/>
          <w:i/>
          <w:szCs w:val="16"/>
          <w:lang w:val="es-ES"/>
        </w:rPr>
        <w:t xml:space="preserve"> supra</w:t>
      </w:r>
      <w:r w:rsidRPr="00B156D5">
        <w:rPr>
          <w:rFonts w:ascii="Verdana" w:hAnsi="Verdana"/>
          <w:iCs/>
          <w:szCs w:val="16"/>
          <w:lang w:val="es-ES"/>
        </w:rPr>
        <w:t>,</w:t>
      </w:r>
      <w:r w:rsidRPr="00B156D5">
        <w:rPr>
          <w:rFonts w:ascii="Verdana" w:hAnsi="Verdana"/>
          <w:i/>
          <w:szCs w:val="16"/>
          <w:lang w:val="es-ES"/>
        </w:rPr>
        <w:t xml:space="preserve"> </w:t>
      </w:r>
      <w:r w:rsidRPr="00B156D5">
        <w:rPr>
          <w:rFonts w:ascii="Verdana" w:hAnsi="Verdana"/>
          <w:szCs w:val="16"/>
          <w:lang w:val="es-ES"/>
        </w:rPr>
        <w:t>párr.</w:t>
      </w:r>
      <w:r w:rsidRPr="00B156D5">
        <w:rPr>
          <w:rFonts w:ascii="Verdana" w:hAnsi="Verdana"/>
          <w:szCs w:val="16"/>
          <w:lang w:val="es-CR"/>
        </w:rPr>
        <w:t xml:space="preserve"> </w:t>
      </w:r>
      <w:r w:rsidRPr="00B156D5">
        <w:rPr>
          <w:rFonts w:ascii="Verdana" w:hAnsi="Verdana"/>
          <w:szCs w:val="16"/>
          <w:lang w:val="es-ES"/>
        </w:rPr>
        <w:t>277</w:t>
      </w:r>
      <w:r w:rsidRPr="00B156D5">
        <w:rPr>
          <w:rFonts w:ascii="Verdana" w:hAnsi="Verdana"/>
          <w:szCs w:val="16"/>
        </w:rPr>
        <w:t>.</w:t>
      </w:r>
    </w:p>
  </w:footnote>
  <w:footnote w:id="168">
    <w:p w14:paraId="4D7B53DB" w14:textId="7B1A848E"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t xml:space="preserve">Véase, por ejemplo, </w:t>
      </w:r>
      <w:r w:rsidRPr="00B156D5">
        <w:rPr>
          <w:rFonts w:ascii="Verdana" w:hAnsi="Verdana"/>
          <w:i/>
          <w:szCs w:val="16"/>
        </w:rPr>
        <w:t>Caso del Penal Miguel Castro Castro Vs. Perú</w:t>
      </w:r>
      <w:r w:rsidR="00DE7F21" w:rsidRPr="00B156D5">
        <w:rPr>
          <w:rFonts w:ascii="Verdana" w:hAnsi="Verdana" w:cs="Arial"/>
          <w:i/>
          <w:szCs w:val="16"/>
        </w:rPr>
        <w:t>, supra</w:t>
      </w:r>
      <w:r w:rsidRPr="00B156D5">
        <w:rPr>
          <w:rFonts w:ascii="Verdana" w:hAnsi="Verdana"/>
          <w:szCs w:val="16"/>
        </w:rPr>
        <w:t xml:space="preserve">, párr. 445, y </w:t>
      </w:r>
      <w:r w:rsidRPr="00B156D5">
        <w:rPr>
          <w:rFonts w:ascii="Verdana" w:hAnsi="Verdana"/>
          <w:i/>
          <w:iCs/>
          <w:szCs w:val="16"/>
          <w:lang w:val="es-CR"/>
        </w:rPr>
        <w:t>C</w:t>
      </w:r>
      <w:r w:rsidRPr="00B156D5">
        <w:rPr>
          <w:rFonts w:ascii="Verdana" w:hAnsi="Verdana"/>
          <w:i/>
          <w:szCs w:val="16"/>
          <w:lang w:val="es-ES"/>
        </w:rPr>
        <w:t>aso Manuela y otros Vs. El Salvador</w:t>
      </w:r>
      <w:r w:rsidRPr="00B156D5">
        <w:rPr>
          <w:rFonts w:ascii="Verdana" w:hAnsi="Verdana"/>
          <w:iCs/>
          <w:szCs w:val="16"/>
          <w:lang w:val="es-ES"/>
        </w:rPr>
        <w:t>,</w:t>
      </w:r>
      <w:r w:rsidRPr="00B156D5">
        <w:rPr>
          <w:rFonts w:ascii="Verdana" w:hAnsi="Verdana"/>
          <w:i/>
          <w:szCs w:val="16"/>
          <w:lang w:val="es-ES"/>
        </w:rPr>
        <w:t xml:space="preserve"> supra</w:t>
      </w:r>
      <w:r w:rsidRPr="00B156D5">
        <w:rPr>
          <w:rFonts w:ascii="Verdana" w:hAnsi="Verdana"/>
          <w:iCs/>
          <w:szCs w:val="16"/>
          <w:lang w:val="es-ES"/>
        </w:rPr>
        <w:t>,</w:t>
      </w:r>
      <w:r w:rsidRPr="00B156D5">
        <w:rPr>
          <w:rFonts w:ascii="Verdana" w:hAnsi="Verdana"/>
          <w:i/>
          <w:szCs w:val="16"/>
          <w:lang w:val="es-ES"/>
        </w:rPr>
        <w:t xml:space="preserve"> </w:t>
      </w:r>
      <w:r w:rsidRPr="00B156D5">
        <w:rPr>
          <w:rFonts w:ascii="Verdana" w:hAnsi="Verdana"/>
          <w:szCs w:val="16"/>
          <w:lang w:val="es-ES"/>
        </w:rPr>
        <w:t>párr.</w:t>
      </w:r>
      <w:r w:rsidRPr="00B156D5">
        <w:rPr>
          <w:rFonts w:ascii="Verdana" w:hAnsi="Verdana"/>
          <w:szCs w:val="16"/>
          <w:lang w:val="es-CR"/>
        </w:rPr>
        <w:t xml:space="preserve"> </w:t>
      </w:r>
      <w:r w:rsidRPr="00B156D5">
        <w:rPr>
          <w:rFonts w:ascii="Verdana" w:hAnsi="Verdana"/>
          <w:szCs w:val="16"/>
          <w:lang w:val="es-ES"/>
        </w:rPr>
        <w:t>276</w:t>
      </w:r>
      <w:r w:rsidRPr="00B156D5">
        <w:rPr>
          <w:rFonts w:ascii="Verdana" w:hAnsi="Verdana"/>
          <w:szCs w:val="16"/>
        </w:rPr>
        <w:t>.</w:t>
      </w:r>
    </w:p>
  </w:footnote>
  <w:footnote w:id="169">
    <w:p w14:paraId="6AEC133B" w14:textId="77777777" w:rsidR="00D15B00" w:rsidRPr="00B156D5" w:rsidRDefault="00D15B00" w:rsidP="000A52F2">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lang w:val="es-ES"/>
        </w:rPr>
        <w:tab/>
        <w:t>La Comisión recomendó al Estado de forma genérica reparar “integralmente a los señores Jorge Marcial Tzompaxtle Tecpile, Gerardo Tzompaxtle Tecpile y a los derechohabientes del fallecido señor Gustavo Robles López, a través de medidas de compensación pecuniaria y de satisfacción, que incluyan el resarcimiento del daño material e inmaterial ocasionado”.</w:t>
      </w:r>
    </w:p>
  </w:footnote>
  <w:footnote w:id="170">
    <w:p w14:paraId="6EA4550F" w14:textId="794543AF"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Garrido y Baigorria Vs. Argentina. Reparaciones y Costas.</w:t>
      </w:r>
      <w:r w:rsidRPr="00B156D5">
        <w:rPr>
          <w:rFonts w:ascii="Verdana" w:hAnsi="Verdana"/>
          <w:szCs w:val="16"/>
        </w:rPr>
        <w:t xml:space="preserve"> Sentencia de 27 de agosto de 1998. Serie C No. 39, párrs. 82, y 244, y </w:t>
      </w:r>
      <w:r w:rsidRPr="00B156D5">
        <w:rPr>
          <w:rFonts w:ascii="Verdana" w:hAnsi="Verdana"/>
          <w:i/>
          <w:iCs/>
          <w:szCs w:val="16"/>
          <w:lang w:val="es-CR"/>
        </w:rPr>
        <w:t>C</w:t>
      </w:r>
      <w:r w:rsidRPr="00B156D5">
        <w:rPr>
          <w:rFonts w:ascii="Verdana" w:hAnsi="Verdana"/>
          <w:i/>
          <w:szCs w:val="16"/>
          <w:lang w:val="es-ES"/>
        </w:rPr>
        <w:t>aso Manuela y otros Vs. El Salvador</w:t>
      </w:r>
      <w:r w:rsidRPr="00B156D5">
        <w:rPr>
          <w:rFonts w:ascii="Verdana" w:hAnsi="Verdana"/>
          <w:iCs/>
          <w:szCs w:val="16"/>
          <w:lang w:val="es-ES"/>
        </w:rPr>
        <w:t>,</w:t>
      </w:r>
      <w:r w:rsidRPr="00B156D5">
        <w:rPr>
          <w:rFonts w:ascii="Verdana" w:hAnsi="Verdana"/>
          <w:i/>
          <w:szCs w:val="16"/>
          <w:lang w:val="es-ES"/>
        </w:rPr>
        <w:t xml:space="preserve"> supra</w:t>
      </w:r>
      <w:r w:rsidRPr="00B156D5">
        <w:rPr>
          <w:rFonts w:ascii="Verdana" w:hAnsi="Verdana"/>
          <w:iCs/>
          <w:szCs w:val="16"/>
          <w:lang w:val="es-ES"/>
        </w:rPr>
        <w:t>,</w:t>
      </w:r>
      <w:r w:rsidRPr="00B156D5">
        <w:rPr>
          <w:rFonts w:ascii="Verdana" w:hAnsi="Verdana"/>
          <w:i/>
          <w:szCs w:val="16"/>
          <w:lang w:val="es-ES"/>
        </w:rPr>
        <w:t xml:space="preserve"> </w:t>
      </w:r>
      <w:r w:rsidRPr="00B156D5">
        <w:rPr>
          <w:rFonts w:ascii="Verdana" w:hAnsi="Verdana"/>
          <w:szCs w:val="16"/>
          <w:lang w:val="es-ES"/>
        </w:rPr>
        <w:t>párr.</w:t>
      </w:r>
      <w:r w:rsidRPr="00B156D5">
        <w:rPr>
          <w:rFonts w:ascii="Verdana" w:hAnsi="Verdana"/>
          <w:szCs w:val="16"/>
          <w:lang w:val="es-CR"/>
        </w:rPr>
        <w:t xml:space="preserve"> </w:t>
      </w:r>
      <w:r w:rsidRPr="00B156D5">
        <w:rPr>
          <w:rFonts w:ascii="Verdana" w:hAnsi="Verdana"/>
          <w:szCs w:val="16"/>
          <w:lang w:val="es-ES"/>
        </w:rPr>
        <w:t>317</w:t>
      </w:r>
      <w:r w:rsidRPr="00B156D5">
        <w:rPr>
          <w:rFonts w:ascii="Verdana" w:hAnsi="Verdana"/>
          <w:szCs w:val="16"/>
        </w:rPr>
        <w:t>.</w:t>
      </w:r>
    </w:p>
  </w:footnote>
  <w:footnote w:id="171">
    <w:p w14:paraId="31600C7F" w14:textId="121B835B"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Garrido y Baigorria Vs. Argentina. Reparaciones y Costas</w:t>
      </w:r>
      <w:r w:rsidRPr="00B156D5">
        <w:rPr>
          <w:rFonts w:ascii="Verdana" w:hAnsi="Verdana"/>
          <w:szCs w:val="16"/>
        </w:rPr>
        <w:t xml:space="preserve">, supra, párr. 79, y </w:t>
      </w:r>
      <w:r w:rsidRPr="00B156D5">
        <w:rPr>
          <w:rFonts w:ascii="Verdana" w:hAnsi="Verdana"/>
          <w:i/>
          <w:iCs/>
          <w:szCs w:val="16"/>
        </w:rPr>
        <w:t>Caso Extrabajadores del Organismo Judicial Vs. Guatemala</w:t>
      </w:r>
      <w:r w:rsidRPr="00B156D5">
        <w:rPr>
          <w:rFonts w:ascii="Verdana" w:hAnsi="Verdana"/>
          <w:szCs w:val="16"/>
        </w:rPr>
        <w:t xml:space="preserve">, </w:t>
      </w:r>
      <w:r w:rsidRPr="00B156D5">
        <w:rPr>
          <w:rFonts w:ascii="Verdana" w:hAnsi="Verdana"/>
          <w:i/>
          <w:iCs/>
          <w:szCs w:val="16"/>
        </w:rPr>
        <w:t>supra</w:t>
      </w:r>
      <w:r w:rsidRPr="00B156D5">
        <w:rPr>
          <w:rFonts w:ascii="Verdana" w:hAnsi="Verdana"/>
          <w:szCs w:val="16"/>
        </w:rPr>
        <w:t>, párr. 160.</w:t>
      </w:r>
    </w:p>
  </w:footnote>
  <w:footnote w:id="172">
    <w:p w14:paraId="4CCC3B47" w14:textId="69737AA0" w:rsidR="00D15B00" w:rsidRPr="00B156D5"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Cfr. Caso Chaparro Álvarez y Lapo Íñiguez Vs. Ecuador. Excepciones Preliminares, Fondo, Reparaciones y Costas</w:t>
      </w:r>
      <w:r w:rsidRPr="00B156D5">
        <w:rPr>
          <w:rFonts w:ascii="Verdana" w:hAnsi="Verdana"/>
          <w:szCs w:val="16"/>
        </w:rPr>
        <w:t xml:space="preserve">. </w:t>
      </w:r>
      <w:r w:rsidRPr="00B156D5">
        <w:rPr>
          <w:rFonts w:ascii="Verdana" w:hAnsi="Verdana" w:cs="Arial"/>
          <w:szCs w:val="16"/>
        </w:rPr>
        <w:t xml:space="preserve">Sentencia de 21 de noviembre de 2007. Serie C No. 170, </w:t>
      </w:r>
      <w:r w:rsidRPr="00B156D5">
        <w:rPr>
          <w:rFonts w:ascii="Verdana" w:hAnsi="Verdana"/>
          <w:szCs w:val="16"/>
        </w:rPr>
        <w:t xml:space="preserve">párr. 277, y </w:t>
      </w:r>
      <w:r w:rsidRPr="00B156D5">
        <w:rPr>
          <w:rFonts w:ascii="Verdana" w:hAnsi="Verdana"/>
          <w:i/>
          <w:iCs/>
          <w:szCs w:val="16"/>
          <w:lang w:val="es-CR"/>
        </w:rPr>
        <w:t>C</w:t>
      </w:r>
      <w:r w:rsidRPr="00B156D5">
        <w:rPr>
          <w:rFonts w:ascii="Verdana" w:hAnsi="Verdana"/>
          <w:i/>
          <w:szCs w:val="16"/>
          <w:lang w:val="es-ES"/>
        </w:rPr>
        <w:t>aso Manuela y otros Vs. El Salvador</w:t>
      </w:r>
      <w:r w:rsidRPr="00B156D5">
        <w:rPr>
          <w:rFonts w:ascii="Verdana" w:hAnsi="Verdana"/>
          <w:iCs/>
          <w:szCs w:val="16"/>
          <w:lang w:val="es-ES"/>
        </w:rPr>
        <w:t>,</w:t>
      </w:r>
      <w:r w:rsidRPr="00B156D5">
        <w:rPr>
          <w:rFonts w:ascii="Verdana" w:hAnsi="Verdana"/>
          <w:i/>
          <w:szCs w:val="16"/>
          <w:lang w:val="es-ES"/>
        </w:rPr>
        <w:t xml:space="preserve"> supra</w:t>
      </w:r>
      <w:r w:rsidRPr="00B156D5">
        <w:rPr>
          <w:rFonts w:ascii="Verdana" w:hAnsi="Verdana"/>
          <w:iCs/>
          <w:szCs w:val="16"/>
          <w:lang w:val="es-ES"/>
        </w:rPr>
        <w:t>,</w:t>
      </w:r>
      <w:r w:rsidRPr="00B156D5">
        <w:rPr>
          <w:rFonts w:ascii="Verdana" w:hAnsi="Verdana"/>
          <w:i/>
          <w:szCs w:val="16"/>
          <w:lang w:val="es-ES"/>
        </w:rPr>
        <w:t xml:space="preserve"> </w:t>
      </w:r>
      <w:r w:rsidRPr="00B156D5">
        <w:rPr>
          <w:rFonts w:ascii="Verdana" w:hAnsi="Verdana"/>
          <w:szCs w:val="16"/>
          <w:lang w:val="es-ES"/>
        </w:rPr>
        <w:t>párr.</w:t>
      </w:r>
      <w:r w:rsidRPr="00B156D5">
        <w:rPr>
          <w:rFonts w:ascii="Verdana" w:hAnsi="Verdana"/>
          <w:szCs w:val="16"/>
          <w:lang w:val="es-CR"/>
        </w:rPr>
        <w:t xml:space="preserve"> </w:t>
      </w:r>
      <w:r w:rsidRPr="00B156D5">
        <w:rPr>
          <w:rFonts w:ascii="Verdana" w:hAnsi="Verdana"/>
          <w:szCs w:val="16"/>
          <w:lang w:val="es-ES"/>
        </w:rPr>
        <w:t>318</w:t>
      </w:r>
      <w:r w:rsidRPr="00B156D5">
        <w:rPr>
          <w:rFonts w:ascii="Verdana" w:hAnsi="Verdana"/>
          <w:szCs w:val="16"/>
        </w:rPr>
        <w:t>.</w:t>
      </w:r>
    </w:p>
  </w:footnote>
  <w:footnote w:id="173">
    <w:p w14:paraId="520AF626" w14:textId="56EAAF00" w:rsidR="00D15B00" w:rsidRPr="00E15781" w:rsidRDefault="00D15B00" w:rsidP="00526A50">
      <w:pPr>
        <w:pStyle w:val="Textonotapie"/>
        <w:jc w:val="both"/>
        <w:rPr>
          <w:rFonts w:ascii="Verdana" w:hAnsi="Verdana"/>
          <w:szCs w:val="16"/>
          <w:lang w:val="es-ES"/>
        </w:rPr>
      </w:pPr>
      <w:r w:rsidRPr="00B156D5">
        <w:rPr>
          <w:rStyle w:val="Refdenotaalpie"/>
          <w:rFonts w:ascii="Verdana" w:hAnsi="Verdana"/>
          <w:szCs w:val="16"/>
        </w:rPr>
        <w:footnoteRef/>
      </w:r>
      <w:r w:rsidRPr="00B156D5">
        <w:rPr>
          <w:rFonts w:ascii="Verdana" w:hAnsi="Verdana"/>
          <w:szCs w:val="16"/>
        </w:rPr>
        <w:t xml:space="preserve"> </w:t>
      </w:r>
      <w:r w:rsidRPr="00B156D5">
        <w:rPr>
          <w:rFonts w:ascii="Verdana" w:hAnsi="Verdana"/>
          <w:szCs w:val="16"/>
        </w:rPr>
        <w:tab/>
      </w:r>
      <w:r w:rsidRPr="00B156D5">
        <w:rPr>
          <w:rFonts w:ascii="Verdana" w:hAnsi="Verdana"/>
          <w:i/>
          <w:szCs w:val="16"/>
        </w:rPr>
        <w:t xml:space="preserve">Cfr. Caso Ibsen Cárdenas e Ibsen Peña Vs. Bolivia. Fondo, Reparaciones y Costas. </w:t>
      </w:r>
      <w:r w:rsidRPr="00B156D5">
        <w:rPr>
          <w:rFonts w:ascii="Verdana" w:hAnsi="Verdana"/>
          <w:szCs w:val="16"/>
        </w:rPr>
        <w:t xml:space="preserve">Sentencia de 1 de septiembre de 2010. Serie C No. 217, párr. 29, y </w:t>
      </w:r>
      <w:r w:rsidRPr="00B156D5">
        <w:rPr>
          <w:rFonts w:ascii="Verdana" w:hAnsi="Verdana" w:cs="Arial"/>
          <w:i/>
          <w:szCs w:val="16"/>
        </w:rPr>
        <w:t>Caso Digna Ochoa y familiares Vs. México</w:t>
      </w:r>
      <w:r w:rsidRPr="00B156D5">
        <w:rPr>
          <w:rFonts w:ascii="Verdana" w:hAnsi="Verdana" w:cs="Arial"/>
          <w:szCs w:val="16"/>
        </w:rPr>
        <w:t xml:space="preserve">, </w:t>
      </w:r>
      <w:r w:rsidRPr="00B156D5">
        <w:rPr>
          <w:rFonts w:ascii="Verdana" w:hAnsi="Verdana" w:cs="Arial"/>
          <w:i/>
          <w:iCs/>
          <w:szCs w:val="16"/>
        </w:rPr>
        <w:t>supra</w:t>
      </w:r>
      <w:r w:rsidRPr="00B156D5">
        <w:rPr>
          <w:rFonts w:ascii="Verdana" w:hAnsi="Verdana" w:cs="Arial"/>
          <w:szCs w:val="16"/>
        </w:rPr>
        <w:t>, párr. 193</w:t>
      </w:r>
      <w:r w:rsidRPr="00B156D5">
        <w:rPr>
          <w:rFonts w:ascii="Verdana" w:hAnsi="Verdana"/>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59236" w14:textId="527E660A" w:rsidR="00D15B00" w:rsidRPr="00A05AED" w:rsidRDefault="00D15B00" w:rsidP="00BC2833">
    <w:pPr>
      <w:pStyle w:val="Encabezado"/>
      <w:jc w:val="right"/>
      <w:rPr>
        <w:rFonts w:ascii="Verdana" w:hAnsi="Verdana"/>
        <w:i/>
        <w:sz w:val="13"/>
        <w:szCs w:val="13"/>
      </w:rPr>
    </w:pPr>
  </w:p>
  <w:p w14:paraId="118899F9" w14:textId="2D768370" w:rsidR="00D15B00" w:rsidRDefault="00D15B00" w:rsidP="00D41E90">
    <w:pPr>
      <w:pStyle w:val="Encabezado"/>
      <w:tabs>
        <w:tab w:val="clear" w:pos="8504"/>
        <w:tab w:val="left" w:pos="425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616B6" w14:textId="43F79098" w:rsidR="00D15B00" w:rsidRDefault="00D15B0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88C4" w14:textId="0B72F675" w:rsidR="00D15B00" w:rsidRDefault="00D15B0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3C941" w14:textId="57ADDCAC" w:rsidR="00D15B00" w:rsidRPr="00142661" w:rsidRDefault="00D15B00" w:rsidP="00142661">
    <w:pPr>
      <w:pStyle w:val="Encabezado"/>
      <w:jc w:val="right"/>
      <w:rPr>
        <w:i/>
        <w:sz w:val="16"/>
        <w:szCs w:val="16"/>
      </w:rPr>
    </w:pPr>
    <w:r w:rsidRPr="00142661">
      <w:rPr>
        <w:i/>
        <w:sz w:val="16"/>
        <w:szCs w:val="16"/>
      </w:rPr>
      <w:t xml:space="preserve">Caso </w:t>
    </w:r>
    <w:r>
      <w:rPr>
        <w:i/>
        <w:sz w:val="16"/>
        <w:szCs w:val="16"/>
      </w:rPr>
      <w:t>Pavez Pavez</w:t>
    </w:r>
    <w:r w:rsidRPr="00142661">
      <w:rPr>
        <w:i/>
        <w:sz w:val="16"/>
        <w:szCs w:val="16"/>
      </w:rPr>
      <w:t xml:space="preserve"> Vs. </w:t>
    </w:r>
    <w:r>
      <w:rPr>
        <w:i/>
        <w:sz w:val="16"/>
        <w:szCs w:val="16"/>
      </w:rPr>
      <w:t>Chile</w:t>
    </w:r>
    <w:r w:rsidRPr="00142661">
      <w:rPr>
        <w:i/>
        <w:sz w:val="16"/>
        <w:szCs w:val="16"/>
      </w:rPr>
      <w:t xml:space="preserve"> – Proy.Sent_01_Envio</w:t>
    </w:r>
    <w:r>
      <w:rPr>
        <w:i/>
        <w:sz w:val="16"/>
        <w:szCs w:val="16"/>
      </w:rPr>
      <w:t>DirJur</w:t>
    </w:r>
  </w:p>
  <w:p w14:paraId="505C760E" w14:textId="77777777" w:rsidR="00D15B00" w:rsidRPr="000C5EDD" w:rsidRDefault="00D15B00" w:rsidP="00142661">
    <w:pPr>
      <w:pStyle w:val="Encabezado"/>
      <w:jc w:val="right"/>
      <w:rPr>
        <w:i/>
        <w:sz w:val="16"/>
        <w:szCs w:val="16"/>
        <w:lang w:val="pt-BR"/>
      </w:rPr>
    </w:pPr>
    <w:r w:rsidRPr="000C5EDD">
      <w:rPr>
        <w:i/>
        <w:sz w:val="16"/>
        <w:szCs w:val="16"/>
        <w:lang w:val="pt-BR"/>
      </w:rPr>
      <w:t>CONFIDENCIAL</w:t>
    </w:r>
  </w:p>
  <w:p w14:paraId="0FED06FE" w14:textId="1CF87DC0" w:rsidR="00D15B00" w:rsidRPr="000C5EDD" w:rsidRDefault="00D15B00" w:rsidP="00142661">
    <w:pPr>
      <w:pStyle w:val="Encabezado"/>
      <w:jc w:val="right"/>
      <w:rPr>
        <w:i/>
        <w:sz w:val="16"/>
        <w:szCs w:val="16"/>
        <w:lang w:val="pt-BR"/>
      </w:rPr>
    </w:pPr>
    <w:r w:rsidRPr="000C5EDD">
      <w:rPr>
        <w:i/>
        <w:sz w:val="16"/>
        <w:szCs w:val="16"/>
        <w:lang w:val="pt-BR"/>
      </w:rPr>
      <w:t>Juez Relator: Eduardo Ferrer Mac-Gregor Poisot</w:t>
    </w:r>
  </w:p>
  <w:p w14:paraId="0DC26A37" w14:textId="1B503BBD" w:rsidR="00D15B00" w:rsidRPr="004F6877" w:rsidRDefault="00D15B00" w:rsidP="00142661">
    <w:pPr>
      <w:pStyle w:val="Encabezado"/>
      <w:jc w:val="right"/>
      <w:rPr>
        <w:i/>
        <w:sz w:val="16"/>
        <w:szCs w:val="16"/>
      </w:rPr>
    </w:pPr>
    <w:r w:rsidRPr="00142661">
      <w:rPr>
        <w:i/>
        <w:sz w:val="16"/>
        <w:szCs w:val="16"/>
      </w:rPr>
      <w:t xml:space="preserve">Equipo a cargo: </w:t>
    </w:r>
    <w:r>
      <w:rPr>
        <w:i/>
        <w:sz w:val="16"/>
        <w:szCs w:val="16"/>
      </w:rPr>
      <w:t>Jorge Errandonea</w:t>
    </w:r>
    <w:r w:rsidRPr="00142661">
      <w:rPr>
        <w:i/>
        <w:sz w:val="16"/>
        <w:szCs w:val="16"/>
      </w:rPr>
      <w:t xml:space="preserve">, abogado y </w:t>
    </w:r>
    <w:r>
      <w:rPr>
        <w:i/>
        <w:sz w:val="16"/>
        <w:szCs w:val="16"/>
      </w:rPr>
      <w:t>Cristhian Molina</w:t>
    </w:r>
    <w:r w:rsidRPr="00142661">
      <w:rPr>
        <w:i/>
        <w:sz w:val="16"/>
        <w:szCs w:val="16"/>
      </w:rPr>
      <w:t>, asistente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F6B66"/>
    <w:multiLevelType w:val="hybridMultilevel"/>
    <w:tmpl w:val="01567B82"/>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9A2ACDCA">
      <w:start w:val="1"/>
      <w:numFmt w:val="decimal"/>
      <w:lvlText w:val="%4."/>
      <w:lvlJc w:val="left"/>
      <w:pPr>
        <w:ind w:left="360" w:hanging="360"/>
      </w:pPr>
      <w:rPr>
        <w:b w:val="0"/>
        <w:bCs/>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194525"/>
    <w:multiLevelType w:val="hybridMultilevel"/>
    <w:tmpl w:val="B23AC8CC"/>
    <w:lvl w:ilvl="0" w:tplc="140A0017">
      <w:start w:val="1"/>
      <w:numFmt w:val="lowerLetter"/>
      <w:lvlText w:val="%1)"/>
      <w:lvlJc w:val="left"/>
      <w:pPr>
        <w:ind w:left="720" w:hanging="360"/>
      </w:pPr>
      <w:rPr>
        <w:rFont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27E3035"/>
    <w:multiLevelType w:val="hybridMultilevel"/>
    <w:tmpl w:val="E85C9C10"/>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16322F81"/>
    <w:multiLevelType w:val="hybridMultilevel"/>
    <w:tmpl w:val="46A0E484"/>
    <w:lvl w:ilvl="0" w:tplc="61B61ECE">
      <w:start w:val="91"/>
      <w:numFmt w:val="decimal"/>
      <w:lvlText w:val="%1."/>
      <w:lvlJc w:val="left"/>
      <w:pPr>
        <w:ind w:left="6172" w:hanging="360"/>
      </w:pPr>
      <w:rPr>
        <w:rFonts w:ascii="Verdana" w:hAnsi="Verdana" w:hint="default"/>
        <w:b w:val="0"/>
        <w:i w:val="0"/>
        <w:strike w:val="0"/>
        <w:sz w:val="20"/>
        <w:szCs w:val="20"/>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A252FC2"/>
    <w:multiLevelType w:val="hybridMultilevel"/>
    <w:tmpl w:val="E85C9C10"/>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C201EDC"/>
    <w:multiLevelType w:val="hybridMultilevel"/>
    <w:tmpl w:val="4DDC63B0"/>
    <w:lvl w:ilvl="0" w:tplc="BFEA1C64">
      <w:start w:val="110"/>
      <w:numFmt w:val="decimal"/>
      <w:lvlText w:val="%1."/>
      <w:lvlJc w:val="left"/>
      <w:pPr>
        <w:ind w:left="127" w:hanging="720"/>
      </w:pPr>
      <w:rPr>
        <w:rFonts w:ascii="Verdana" w:eastAsia="Verdana" w:hAnsi="Verdana" w:cs="Verdana" w:hint="default"/>
        <w:b w:val="0"/>
        <w:bCs w:val="0"/>
        <w:i w:val="0"/>
        <w:iCs w:val="0"/>
        <w:w w:val="99"/>
        <w:sz w:val="20"/>
        <w:szCs w:val="20"/>
      </w:rPr>
    </w:lvl>
    <w:lvl w:ilvl="1" w:tplc="A07089AE">
      <w:start w:val="1"/>
      <w:numFmt w:val="lowerLetter"/>
      <w:lvlText w:val="%2)"/>
      <w:lvlJc w:val="left"/>
      <w:pPr>
        <w:ind w:left="847" w:hanging="720"/>
      </w:pPr>
      <w:rPr>
        <w:rFonts w:hint="default"/>
        <w:spacing w:val="-1"/>
        <w:w w:val="99"/>
      </w:rPr>
    </w:lvl>
    <w:lvl w:ilvl="2" w:tplc="83362158">
      <w:numFmt w:val="bullet"/>
      <w:lvlText w:val="•"/>
      <w:lvlJc w:val="left"/>
      <w:pPr>
        <w:ind w:left="1873" w:hanging="720"/>
      </w:pPr>
      <w:rPr>
        <w:rFonts w:hint="default"/>
      </w:rPr>
    </w:lvl>
    <w:lvl w:ilvl="3" w:tplc="70F61FA8">
      <w:numFmt w:val="bullet"/>
      <w:lvlText w:val="•"/>
      <w:lvlJc w:val="left"/>
      <w:pPr>
        <w:ind w:left="2906" w:hanging="720"/>
      </w:pPr>
      <w:rPr>
        <w:rFonts w:hint="default"/>
      </w:rPr>
    </w:lvl>
    <w:lvl w:ilvl="4" w:tplc="CA221E68">
      <w:numFmt w:val="bullet"/>
      <w:lvlText w:val="•"/>
      <w:lvlJc w:val="left"/>
      <w:pPr>
        <w:ind w:left="3940" w:hanging="720"/>
      </w:pPr>
      <w:rPr>
        <w:rFonts w:hint="default"/>
      </w:rPr>
    </w:lvl>
    <w:lvl w:ilvl="5" w:tplc="C5480F54">
      <w:numFmt w:val="bullet"/>
      <w:lvlText w:val="•"/>
      <w:lvlJc w:val="left"/>
      <w:pPr>
        <w:ind w:left="4973" w:hanging="720"/>
      </w:pPr>
      <w:rPr>
        <w:rFonts w:hint="default"/>
      </w:rPr>
    </w:lvl>
    <w:lvl w:ilvl="6" w:tplc="5CCEA30E">
      <w:numFmt w:val="bullet"/>
      <w:lvlText w:val="•"/>
      <w:lvlJc w:val="left"/>
      <w:pPr>
        <w:ind w:left="6006" w:hanging="720"/>
      </w:pPr>
      <w:rPr>
        <w:rFonts w:hint="default"/>
      </w:rPr>
    </w:lvl>
    <w:lvl w:ilvl="7" w:tplc="FB50BCCC">
      <w:numFmt w:val="bullet"/>
      <w:lvlText w:val="•"/>
      <w:lvlJc w:val="left"/>
      <w:pPr>
        <w:ind w:left="7040" w:hanging="720"/>
      </w:pPr>
      <w:rPr>
        <w:rFonts w:hint="default"/>
      </w:rPr>
    </w:lvl>
    <w:lvl w:ilvl="8" w:tplc="7070DFFE">
      <w:numFmt w:val="bullet"/>
      <w:lvlText w:val="•"/>
      <w:lvlJc w:val="left"/>
      <w:pPr>
        <w:ind w:left="8073" w:hanging="720"/>
      </w:pPr>
      <w:rPr>
        <w:rFonts w:hint="default"/>
      </w:rPr>
    </w:lvl>
  </w:abstractNum>
  <w:abstractNum w:abstractNumId="9" w15:restartNumberingAfterBreak="0">
    <w:nsid w:val="20EA6CC5"/>
    <w:multiLevelType w:val="hybridMultilevel"/>
    <w:tmpl w:val="94D0634C"/>
    <w:lvl w:ilvl="0" w:tplc="04F8F384">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0F18B4"/>
    <w:multiLevelType w:val="hybridMultilevel"/>
    <w:tmpl w:val="E85C9C10"/>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292523D0"/>
    <w:multiLevelType w:val="hybridMultilevel"/>
    <w:tmpl w:val="45E48F92"/>
    <w:lvl w:ilvl="0" w:tplc="426E05D8">
      <w:start w:val="1"/>
      <w:numFmt w:val="decimal"/>
      <w:lvlText w:val="%1."/>
      <w:lvlJc w:val="left"/>
      <w:pPr>
        <w:ind w:left="398" w:hanging="708"/>
      </w:pPr>
      <w:rPr>
        <w:rFonts w:ascii="Verdana" w:eastAsia="Verdana" w:hAnsi="Verdana" w:cs="Verdana" w:hint="default"/>
        <w:b w:val="0"/>
        <w:bCs w:val="0"/>
        <w:i w:val="0"/>
        <w:iCs w:val="0"/>
        <w:w w:val="99"/>
        <w:sz w:val="20"/>
        <w:szCs w:val="20"/>
      </w:rPr>
    </w:lvl>
    <w:lvl w:ilvl="1" w:tplc="991C622C">
      <w:start w:val="1"/>
      <w:numFmt w:val="lowerLetter"/>
      <w:lvlText w:val="%2."/>
      <w:lvlJc w:val="left"/>
      <w:pPr>
        <w:ind w:left="682" w:hanging="425"/>
      </w:pPr>
      <w:rPr>
        <w:rFonts w:ascii="Verdana" w:eastAsia="Verdana" w:hAnsi="Verdana" w:cs="Verdana" w:hint="default"/>
        <w:b w:val="0"/>
        <w:bCs w:val="0"/>
        <w:i/>
        <w:iCs/>
        <w:w w:val="99"/>
        <w:sz w:val="20"/>
        <w:szCs w:val="20"/>
      </w:rPr>
    </w:lvl>
    <w:lvl w:ilvl="2" w:tplc="9458883E">
      <w:numFmt w:val="bullet"/>
      <w:lvlText w:val="•"/>
      <w:lvlJc w:val="left"/>
      <w:pPr>
        <w:ind w:left="1737" w:hanging="425"/>
      </w:pPr>
      <w:rPr>
        <w:rFonts w:hint="default"/>
      </w:rPr>
    </w:lvl>
    <w:lvl w:ilvl="3" w:tplc="20B2C25A">
      <w:numFmt w:val="bullet"/>
      <w:lvlText w:val="•"/>
      <w:lvlJc w:val="left"/>
      <w:pPr>
        <w:ind w:left="2795" w:hanging="425"/>
      </w:pPr>
      <w:rPr>
        <w:rFonts w:hint="default"/>
      </w:rPr>
    </w:lvl>
    <w:lvl w:ilvl="4" w:tplc="9D1A9E2E">
      <w:numFmt w:val="bullet"/>
      <w:lvlText w:val="•"/>
      <w:lvlJc w:val="left"/>
      <w:pPr>
        <w:ind w:left="3853" w:hanging="425"/>
      </w:pPr>
      <w:rPr>
        <w:rFonts w:hint="default"/>
      </w:rPr>
    </w:lvl>
    <w:lvl w:ilvl="5" w:tplc="DC66EA3A">
      <w:numFmt w:val="bullet"/>
      <w:lvlText w:val="•"/>
      <w:lvlJc w:val="left"/>
      <w:pPr>
        <w:ind w:left="4911" w:hanging="425"/>
      </w:pPr>
      <w:rPr>
        <w:rFonts w:hint="default"/>
      </w:rPr>
    </w:lvl>
    <w:lvl w:ilvl="6" w:tplc="4240211E">
      <w:numFmt w:val="bullet"/>
      <w:lvlText w:val="•"/>
      <w:lvlJc w:val="left"/>
      <w:pPr>
        <w:ind w:left="5968" w:hanging="425"/>
      </w:pPr>
      <w:rPr>
        <w:rFonts w:hint="default"/>
      </w:rPr>
    </w:lvl>
    <w:lvl w:ilvl="7" w:tplc="EF0059FC">
      <w:numFmt w:val="bullet"/>
      <w:lvlText w:val="•"/>
      <w:lvlJc w:val="left"/>
      <w:pPr>
        <w:ind w:left="7026" w:hanging="425"/>
      </w:pPr>
      <w:rPr>
        <w:rFonts w:hint="default"/>
      </w:rPr>
    </w:lvl>
    <w:lvl w:ilvl="8" w:tplc="B5F885A4">
      <w:numFmt w:val="bullet"/>
      <w:lvlText w:val="•"/>
      <w:lvlJc w:val="left"/>
      <w:pPr>
        <w:ind w:left="8084" w:hanging="425"/>
      </w:pPr>
      <w:rPr>
        <w:rFonts w:hint="default"/>
      </w:rPr>
    </w:lvl>
  </w:abstractNum>
  <w:abstractNum w:abstractNumId="12" w15:restartNumberingAfterBreak="0">
    <w:nsid w:val="29BC45D0"/>
    <w:multiLevelType w:val="hybridMultilevel"/>
    <w:tmpl w:val="30102F92"/>
    <w:lvl w:ilvl="0" w:tplc="FFFFFFFF">
      <w:start w:val="1"/>
      <w:numFmt w:val="decimal"/>
      <w:lvlText w:val="%1."/>
      <w:lvlJc w:val="left"/>
      <w:pPr>
        <w:ind w:left="1495" w:hanging="360"/>
      </w:pPr>
      <w:rPr>
        <w:rFonts w:ascii="Verdana" w:eastAsia="Batang" w:hAnsi="Verdana" w:cs="Times"/>
        <w:b w:val="0"/>
        <w:i w:val="0"/>
        <w:color w:val="auto"/>
        <w:sz w:val="20"/>
        <w:szCs w:val="20"/>
        <w:lang w:val="es-ES_tradnl"/>
      </w:rPr>
    </w:lvl>
    <w:lvl w:ilvl="1" w:tplc="FFFFFFFF">
      <w:start w:val="1"/>
      <w:numFmt w:val="decimal"/>
      <w:lvlText w:val="%2)"/>
      <w:lvlJc w:val="left"/>
      <w:pPr>
        <w:ind w:left="1637" w:hanging="360"/>
      </w:pPr>
      <w:rPr>
        <w:rFonts w:hint="default"/>
      </w:rPr>
    </w:lvl>
    <w:lvl w:ilvl="2" w:tplc="FFFFFFFF">
      <w:start w:val="1"/>
      <w:numFmt w:val="lowerRoman"/>
      <w:lvlText w:val="%3."/>
      <w:lvlJc w:val="right"/>
      <w:pPr>
        <w:ind w:left="2547" w:hanging="360"/>
      </w:pPr>
      <w:rPr>
        <w:rFonts w:hint="default"/>
      </w:rPr>
    </w:lvl>
    <w:lvl w:ilvl="3" w:tplc="FFFFFFFF">
      <w:start w:val="1"/>
      <w:numFmt w:val="lowerLetter"/>
      <w:lvlText w:val="%4)"/>
      <w:lvlJc w:val="left"/>
      <w:pPr>
        <w:ind w:left="3087" w:hanging="360"/>
      </w:pPr>
      <w:rPr>
        <w:rFonts w:hint="default"/>
      </w:rPr>
    </w:lvl>
    <w:lvl w:ilvl="4" w:tplc="FFFFFFFF">
      <w:start w:val="7"/>
      <w:numFmt w:val="decimal"/>
      <w:lvlText w:val="%5"/>
      <w:lvlJc w:val="left"/>
      <w:pPr>
        <w:ind w:left="3807" w:hanging="360"/>
      </w:pPr>
      <w:rPr>
        <w:rFonts w:hint="default"/>
        <w:i/>
      </w:r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085221F"/>
    <w:multiLevelType w:val="hybridMultilevel"/>
    <w:tmpl w:val="A176B6D2"/>
    <w:lvl w:ilvl="0" w:tplc="49EC7904">
      <w:start w:val="1"/>
      <w:numFmt w:val="decimal"/>
      <w:lvlText w:val="%1."/>
      <w:lvlJc w:val="left"/>
      <w:pPr>
        <w:ind w:left="1495" w:hanging="360"/>
      </w:pPr>
      <w:rPr>
        <w:rFonts w:ascii="Verdana" w:eastAsia="Batang" w:hAnsi="Verdana" w:cs="Times"/>
        <w:b w:val="0"/>
        <w:i w:val="0"/>
        <w:color w:val="auto"/>
        <w:sz w:val="20"/>
        <w:szCs w:val="20"/>
        <w:lang w:val="es-CO"/>
      </w:rPr>
    </w:lvl>
    <w:lvl w:ilvl="1" w:tplc="60BEF894">
      <w:start w:val="1"/>
      <w:numFmt w:val="decimal"/>
      <w:lvlText w:val="%2)"/>
      <w:lvlJc w:val="left"/>
      <w:pPr>
        <w:ind w:left="1637" w:hanging="360"/>
      </w:pPr>
      <w:rPr>
        <w:rFonts w:hint="default"/>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4" w15:restartNumberingAfterBreak="0">
    <w:nsid w:val="34BD6372"/>
    <w:multiLevelType w:val="hybridMultilevel"/>
    <w:tmpl w:val="C9101B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5A826F0"/>
    <w:multiLevelType w:val="hybridMultilevel"/>
    <w:tmpl w:val="F52C34B0"/>
    <w:lvl w:ilvl="0" w:tplc="A3C8BA86">
      <w:start w:val="1"/>
      <w:numFmt w:val="decimal"/>
      <w:lvlText w:val="%1."/>
      <w:lvlJc w:val="left"/>
      <w:pPr>
        <w:ind w:left="1080" w:hanging="720"/>
      </w:pPr>
      <w:rPr>
        <w:rFonts w:ascii="Verdana" w:hAnsi="Verdana"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5C34"/>
    <w:multiLevelType w:val="hybridMultilevel"/>
    <w:tmpl w:val="91F87C02"/>
    <w:lvl w:ilvl="0" w:tplc="BBDA3684">
      <w:start w:val="1"/>
      <w:numFmt w:val="decimal"/>
      <w:lvlText w:val="%1."/>
      <w:lvlJc w:val="left"/>
      <w:pPr>
        <w:ind w:left="3479" w:hanging="360"/>
      </w:pPr>
      <w:rPr>
        <w:rFonts w:ascii="Verdana" w:hAnsi="Verdana" w:hint="default"/>
        <w:b w:val="0"/>
        <w:i w:val="0"/>
        <w:color w:val="auto"/>
        <w:sz w:val="20"/>
        <w:szCs w:val="20"/>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5E048D"/>
    <w:multiLevelType w:val="hybridMultilevel"/>
    <w:tmpl w:val="1E142FCE"/>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6E95859"/>
    <w:multiLevelType w:val="hybridMultilevel"/>
    <w:tmpl w:val="C9101B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8554412"/>
    <w:multiLevelType w:val="hybridMultilevel"/>
    <w:tmpl w:val="C4708BBC"/>
    <w:lvl w:ilvl="0" w:tplc="14987A0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8FE2243"/>
    <w:multiLevelType w:val="hybridMultilevel"/>
    <w:tmpl w:val="4C1E70A4"/>
    <w:lvl w:ilvl="0" w:tplc="967C973C">
      <w:start w:val="9"/>
      <w:numFmt w:val="lowerLetter"/>
      <w:lvlText w:val="%1)"/>
      <w:lvlJc w:val="left"/>
      <w:pPr>
        <w:ind w:left="2198" w:hanging="360"/>
      </w:pPr>
      <w:rPr>
        <w:rFonts w:hint="default"/>
      </w:rPr>
    </w:lvl>
    <w:lvl w:ilvl="1" w:tplc="080A0019" w:tentative="1">
      <w:start w:val="1"/>
      <w:numFmt w:val="lowerLetter"/>
      <w:lvlText w:val="%2."/>
      <w:lvlJc w:val="left"/>
      <w:pPr>
        <w:ind w:left="2918" w:hanging="360"/>
      </w:pPr>
    </w:lvl>
    <w:lvl w:ilvl="2" w:tplc="080A001B" w:tentative="1">
      <w:start w:val="1"/>
      <w:numFmt w:val="lowerRoman"/>
      <w:lvlText w:val="%3."/>
      <w:lvlJc w:val="right"/>
      <w:pPr>
        <w:ind w:left="3638" w:hanging="180"/>
      </w:pPr>
    </w:lvl>
    <w:lvl w:ilvl="3" w:tplc="080A000F" w:tentative="1">
      <w:start w:val="1"/>
      <w:numFmt w:val="decimal"/>
      <w:lvlText w:val="%4."/>
      <w:lvlJc w:val="left"/>
      <w:pPr>
        <w:ind w:left="4358" w:hanging="360"/>
      </w:pPr>
    </w:lvl>
    <w:lvl w:ilvl="4" w:tplc="080A0019" w:tentative="1">
      <w:start w:val="1"/>
      <w:numFmt w:val="lowerLetter"/>
      <w:lvlText w:val="%5."/>
      <w:lvlJc w:val="left"/>
      <w:pPr>
        <w:ind w:left="5078" w:hanging="360"/>
      </w:pPr>
    </w:lvl>
    <w:lvl w:ilvl="5" w:tplc="080A001B" w:tentative="1">
      <w:start w:val="1"/>
      <w:numFmt w:val="lowerRoman"/>
      <w:lvlText w:val="%6."/>
      <w:lvlJc w:val="right"/>
      <w:pPr>
        <w:ind w:left="5798" w:hanging="180"/>
      </w:pPr>
    </w:lvl>
    <w:lvl w:ilvl="6" w:tplc="080A000F" w:tentative="1">
      <w:start w:val="1"/>
      <w:numFmt w:val="decimal"/>
      <w:lvlText w:val="%7."/>
      <w:lvlJc w:val="left"/>
      <w:pPr>
        <w:ind w:left="6518" w:hanging="360"/>
      </w:pPr>
    </w:lvl>
    <w:lvl w:ilvl="7" w:tplc="080A0019" w:tentative="1">
      <w:start w:val="1"/>
      <w:numFmt w:val="lowerLetter"/>
      <w:lvlText w:val="%8."/>
      <w:lvlJc w:val="left"/>
      <w:pPr>
        <w:ind w:left="7238" w:hanging="360"/>
      </w:pPr>
    </w:lvl>
    <w:lvl w:ilvl="8" w:tplc="080A001B" w:tentative="1">
      <w:start w:val="1"/>
      <w:numFmt w:val="lowerRoman"/>
      <w:lvlText w:val="%9."/>
      <w:lvlJc w:val="right"/>
      <w:pPr>
        <w:ind w:left="7958" w:hanging="180"/>
      </w:pPr>
    </w:lvl>
  </w:abstractNum>
  <w:abstractNum w:abstractNumId="21" w15:restartNumberingAfterBreak="0">
    <w:nsid w:val="3C816E49"/>
    <w:multiLevelType w:val="hybridMultilevel"/>
    <w:tmpl w:val="4A54E288"/>
    <w:lvl w:ilvl="0" w:tplc="140A0017">
      <w:start w:val="1"/>
      <w:numFmt w:val="lowerLetter"/>
      <w:lvlText w:val="%1)"/>
      <w:lvlJc w:val="left"/>
      <w:pPr>
        <w:ind w:left="720" w:hanging="360"/>
      </w:pPr>
      <w:rPr>
        <w:rFont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3D371595"/>
    <w:multiLevelType w:val="hybridMultilevel"/>
    <w:tmpl w:val="931C1422"/>
    <w:lvl w:ilvl="0" w:tplc="00540880">
      <w:start w:val="10"/>
      <w:numFmt w:val="upperRoman"/>
      <w:lvlText w:val="%1."/>
      <w:lvlJc w:val="left"/>
      <w:pPr>
        <w:ind w:left="1287" w:hanging="72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3" w15:restartNumberingAfterBreak="0">
    <w:nsid w:val="3F876695"/>
    <w:multiLevelType w:val="hybridMultilevel"/>
    <w:tmpl w:val="1E142FCE"/>
    <w:lvl w:ilvl="0" w:tplc="FFFFFFFF">
      <w:start w:val="1"/>
      <w:numFmt w:val="upperLetter"/>
      <w:lvlText w:val="%1."/>
      <w:lvlJc w:val="left"/>
      <w:pPr>
        <w:ind w:left="720" w:hanging="360"/>
      </w:pPr>
      <w:rPr>
        <w:rFonts w:ascii="Verdana" w:hAnsi="Verdana" w:hint="default"/>
        <w:b/>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2F4C26"/>
    <w:multiLevelType w:val="hybridMultilevel"/>
    <w:tmpl w:val="62E69C14"/>
    <w:lvl w:ilvl="0" w:tplc="5590D330">
      <w:start w:val="1"/>
      <w:numFmt w:val="decimal"/>
      <w:lvlText w:val="%1."/>
      <w:lvlJc w:val="left"/>
      <w:pPr>
        <w:ind w:left="397" w:hanging="567"/>
      </w:pPr>
      <w:rPr>
        <w:rFonts w:ascii="Verdana" w:eastAsia="Verdana" w:hAnsi="Verdana" w:cs="Verdana" w:hint="default"/>
        <w:b w:val="0"/>
        <w:i w:val="0"/>
        <w:w w:val="100"/>
        <w:sz w:val="20"/>
        <w:szCs w:val="20"/>
      </w:rPr>
    </w:lvl>
    <w:lvl w:ilvl="1" w:tplc="0E449F0A">
      <w:start w:val="1"/>
      <w:numFmt w:val="lowerLetter"/>
      <w:lvlText w:val="%2)"/>
      <w:lvlJc w:val="left"/>
      <w:pPr>
        <w:ind w:left="1475" w:hanging="358"/>
      </w:pPr>
      <w:rPr>
        <w:rFonts w:ascii="Verdana" w:eastAsia="Verdana" w:hAnsi="Verdana" w:cs="Verdana" w:hint="default"/>
        <w:i w:val="0"/>
        <w:w w:val="99"/>
        <w:sz w:val="20"/>
        <w:szCs w:val="20"/>
      </w:rPr>
    </w:lvl>
    <w:lvl w:ilvl="2" w:tplc="CF6038C2">
      <w:numFmt w:val="bullet"/>
      <w:lvlText w:val="•"/>
      <w:lvlJc w:val="left"/>
      <w:pPr>
        <w:ind w:left="2448" w:hanging="358"/>
      </w:pPr>
      <w:rPr>
        <w:rFonts w:hint="default"/>
      </w:rPr>
    </w:lvl>
    <w:lvl w:ilvl="3" w:tplc="D8A23F38">
      <w:numFmt w:val="bullet"/>
      <w:lvlText w:val="•"/>
      <w:lvlJc w:val="left"/>
      <w:pPr>
        <w:ind w:left="3417" w:hanging="358"/>
      </w:pPr>
      <w:rPr>
        <w:rFonts w:hint="default"/>
      </w:rPr>
    </w:lvl>
    <w:lvl w:ilvl="4" w:tplc="9E1C0360">
      <w:numFmt w:val="bullet"/>
      <w:lvlText w:val="•"/>
      <w:lvlJc w:val="left"/>
      <w:pPr>
        <w:ind w:left="4386" w:hanging="358"/>
      </w:pPr>
      <w:rPr>
        <w:rFonts w:hint="default"/>
      </w:rPr>
    </w:lvl>
    <w:lvl w:ilvl="5" w:tplc="B26A3CCC">
      <w:numFmt w:val="bullet"/>
      <w:lvlText w:val="•"/>
      <w:lvlJc w:val="left"/>
      <w:pPr>
        <w:ind w:left="5355" w:hanging="358"/>
      </w:pPr>
      <w:rPr>
        <w:rFonts w:hint="default"/>
      </w:rPr>
    </w:lvl>
    <w:lvl w:ilvl="6" w:tplc="E8DE3DFE">
      <w:numFmt w:val="bullet"/>
      <w:lvlText w:val="•"/>
      <w:lvlJc w:val="left"/>
      <w:pPr>
        <w:ind w:left="6324" w:hanging="358"/>
      </w:pPr>
      <w:rPr>
        <w:rFonts w:hint="default"/>
      </w:rPr>
    </w:lvl>
    <w:lvl w:ilvl="7" w:tplc="C23C1B10">
      <w:numFmt w:val="bullet"/>
      <w:lvlText w:val="•"/>
      <w:lvlJc w:val="left"/>
      <w:pPr>
        <w:ind w:left="7293" w:hanging="358"/>
      </w:pPr>
      <w:rPr>
        <w:rFonts w:hint="default"/>
      </w:rPr>
    </w:lvl>
    <w:lvl w:ilvl="8" w:tplc="B7B0583E">
      <w:numFmt w:val="bullet"/>
      <w:lvlText w:val="•"/>
      <w:lvlJc w:val="left"/>
      <w:pPr>
        <w:ind w:left="8262" w:hanging="358"/>
      </w:pPr>
      <w:rPr>
        <w:rFonts w:hint="default"/>
      </w:rPr>
    </w:lvl>
  </w:abstractNum>
  <w:abstractNum w:abstractNumId="25" w15:restartNumberingAfterBreak="0">
    <w:nsid w:val="45B86124"/>
    <w:multiLevelType w:val="hybridMultilevel"/>
    <w:tmpl w:val="6A8E63AE"/>
    <w:lvl w:ilvl="0" w:tplc="7CC299C8">
      <w:start w:val="1"/>
      <w:numFmt w:val="decimal"/>
      <w:lvlText w:val="%1."/>
      <w:lvlJc w:val="left"/>
      <w:pPr>
        <w:ind w:left="928" w:hanging="360"/>
      </w:pPr>
      <w:rPr>
        <w:rFonts w:ascii="Verdana" w:hAnsi="Verdana" w:hint="default"/>
        <w:b w:val="0"/>
        <w:i w:val="0"/>
        <w:sz w:val="20"/>
        <w:szCs w:val="20"/>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26" w15:restartNumberingAfterBreak="0">
    <w:nsid w:val="46A5789F"/>
    <w:multiLevelType w:val="hybridMultilevel"/>
    <w:tmpl w:val="E312EF28"/>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4AE31E6A"/>
    <w:multiLevelType w:val="hybridMultilevel"/>
    <w:tmpl w:val="EE1A1666"/>
    <w:lvl w:ilvl="0" w:tplc="950A123A">
      <w:start w:val="1"/>
      <w:numFmt w:val="upperLetter"/>
      <w:lvlText w:val="%1."/>
      <w:lvlJc w:val="left"/>
      <w:pPr>
        <w:ind w:left="1068" w:hanging="360"/>
      </w:pPr>
      <w:rPr>
        <w:rFonts w:ascii="Verdana" w:hAnsi="Verdana" w:hint="default"/>
        <w:b/>
        <w:i/>
        <w:color w:val="auto"/>
      </w:rPr>
    </w:lvl>
    <w:lvl w:ilvl="1" w:tplc="8A068718">
      <w:start w:val="1"/>
      <w:numFmt w:val="lowerLetter"/>
      <w:lvlText w:val="%2."/>
      <w:lvlJc w:val="left"/>
      <w:pPr>
        <w:ind w:left="1353" w:hanging="360"/>
      </w:pPr>
      <w:rPr>
        <w:rFonts w:hint="default"/>
        <w:i w:val="0"/>
      </w:r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8" w15:restartNumberingAfterBreak="0">
    <w:nsid w:val="4B9E3D18"/>
    <w:multiLevelType w:val="hybridMultilevel"/>
    <w:tmpl w:val="2042CA10"/>
    <w:lvl w:ilvl="0" w:tplc="705ACE5A">
      <w:start w:val="161"/>
      <w:numFmt w:val="decimal"/>
      <w:lvlText w:val="%1."/>
      <w:lvlJc w:val="left"/>
      <w:pPr>
        <w:ind w:left="140" w:hanging="708"/>
      </w:pPr>
      <w:rPr>
        <w:rFonts w:ascii="Verdana" w:eastAsia="Verdana" w:hAnsi="Verdana" w:cs="Verdana" w:hint="default"/>
        <w:b w:val="0"/>
        <w:bCs w:val="0"/>
        <w:i w:val="0"/>
        <w:iCs w:val="0"/>
        <w:w w:val="99"/>
        <w:sz w:val="20"/>
        <w:szCs w:val="20"/>
      </w:rPr>
    </w:lvl>
    <w:lvl w:ilvl="1" w:tplc="E4006C92">
      <w:numFmt w:val="bullet"/>
      <w:lvlText w:val="•"/>
      <w:lvlJc w:val="left"/>
      <w:pPr>
        <w:ind w:left="860" w:hanging="708"/>
      </w:pPr>
      <w:rPr>
        <w:rFonts w:hint="default"/>
      </w:rPr>
    </w:lvl>
    <w:lvl w:ilvl="2" w:tplc="B34AB446">
      <w:numFmt w:val="bullet"/>
      <w:lvlText w:val="•"/>
      <w:lvlJc w:val="left"/>
      <w:pPr>
        <w:ind w:left="1944" w:hanging="708"/>
      </w:pPr>
      <w:rPr>
        <w:rFonts w:hint="default"/>
      </w:rPr>
    </w:lvl>
    <w:lvl w:ilvl="3" w:tplc="80D01974">
      <w:numFmt w:val="bullet"/>
      <w:lvlText w:val="•"/>
      <w:lvlJc w:val="left"/>
      <w:pPr>
        <w:ind w:left="3028" w:hanging="708"/>
      </w:pPr>
      <w:rPr>
        <w:rFonts w:hint="default"/>
      </w:rPr>
    </w:lvl>
    <w:lvl w:ilvl="4" w:tplc="C7B4B8A0">
      <w:numFmt w:val="bullet"/>
      <w:lvlText w:val="•"/>
      <w:lvlJc w:val="left"/>
      <w:pPr>
        <w:ind w:left="4113" w:hanging="708"/>
      </w:pPr>
      <w:rPr>
        <w:rFonts w:hint="default"/>
      </w:rPr>
    </w:lvl>
    <w:lvl w:ilvl="5" w:tplc="7CC0568C">
      <w:numFmt w:val="bullet"/>
      <w:lvlText w:val="•"/>
      <w:lvlJc w:val="left"/>
      <w:pPr>
        <w:ind w:left="5197" w:hanging="708"/>
      </w:pPr>
      <w:rPr>
        <w:rFonts w:hint="default"/>
      </w:rPr>
    </w:lvl>
    <w:lvl w:ilvl="6" w:tplc="9EB4F28A">
      <w:numFmt w:val="bullet"/>
      <w:lvlText w:val="•"/>
      <w:lvlJc w:val="left"/>
      <w:pPr>
        <w:ind w:left="6282" w:hanging="708"/>
      </w:pPr>
      <w:rPr>
        <w:rFonts w:hint="default"/>
      </w:rPr>
    </w:lvl>
    <w:lvl w:ilvl="7" w:tplc="51988B32">
      <w:numFmt w:val="bullet"/>
      <w:lvlText w:val="•"/>
      <w:lvlJc w:val="left"/>
      <w:pPr>
        <w:ind w:left="7366" w:hanging="708"/>
      </w:pPr>
      <w:rPr>
        <w:rFonts w:hint="default"/>
      </w:rPr>
    </w:lvl>
    <w:lvl w:ilvl="8" w:tplc="A57040D0">
      <w:numFmt w:val="bullet"/>
      <w:lvlText w:val="•"/>
      <w:lvlJc w:val="left"/>
      <w:pPr>
        <w:ind w:left="8451" w:hanging="708"/>
      </w:pPr>
      <w:rPr>
        <w:rFonts w:hint="default"/>
      </w:rPr>
    </w:lvl>
  </w:abstractNum>
  <w:abstractNum w:abstractNumId="29" w15:restartNumberingAfterBreak="0">
    <w:nsid w:val="4BB51CBC"/>
    <w:multiLevelType w:val="hybridMultilevel"/>
    <w:tmpl w:val="1A546326"/>
    <w:lvl w:ilvl="0" w:tplc="A96C2D40">
      <w:start w:val="2"/>
      <w:numFmt w:val="decimal"/>
      <w:lvlText w:val="%1)"/>
      <w:lvlJc w:val="left"/>
      <w:pPr>
        <w:ind w:left="6518"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C7D246C"/>
    <w:multiLevelType w:val="hybridMultilevel"/>
    <w:tmpl w:val="FB325DEC"/>
    <w:lvl w:ilvl="0" w:tplc="BEA8AF0C">
      <w:start w:val="1"/>
      <w:numFmt w:val="decimal"/>
      <w:lvlText w:val="%1."/>
      <w:lvlJc w:val="left"/>
      <w:pPr>
        <w:ind w:left="117" w:hanging="568"/>
      </w:pPr>
      <w:rPr>
        <w:rFonts w:ascii="Verdana" w:eastAsia="Verdana" w:hAnsi="Verdana" w:cs="Verdana" w:hint="default"/>
        <w:b w:val="0"/>
        <w:bCs w:val="0"/>
        <w:i w:val="0"/>
        <w:iCs w:val="0"/>
        <w:spacing w:val="-1"/>
        <w:w w:val="100"/>
        <w:sz w:val="20"/>
        <w:szCs w:val="20"/>
      </w:rPr>
    </w:lvl>
    <w:lvl w:ilvl="1" w:tplc="FD3A410E">
      <w:numFmt w:val="bullet"/>
      <w:lvlText w:val="•"/>
      <w:lvlJc w:val="left"/>
      <w:pPr>
        <w:ind w:left="1072" w:hanging="568"/>
      </w:pPr>
      <w:rPr>
        <w:rFonts w:hint="default"/>
      </w:rPr>
    </w:lvl>
    <w:lvl w:ilvl="2" w:tplc="1E562220">
      <w:numFmt w:val="bullet"/>
      <w:lvlText w:val="•"/>
      <w:lvlJc w:val="left"/>
      <w:pPr>
        <w:ind w:left="2024" w:hanging="568"/>
      </w:pPr>
      <w:rPr>
        <w:rFonts w:hint="default"/>
      </w:rPr>
    </w:lvl>
    <w:lvl w:ilvl="3" w:tplc="8EDAC0AE">
      <w:numFmt w:val="bullet"/>
      <w:lvlText w:val="•"/>
      <w:lvlJc w:val="left"/>
      <w:pPr>
        <w:ind w:left="2976" w:hanging="568"/>
      </w:pPr>
      <w:rPr>
        <w:rFonts w:hint="default"/>
      </w:rPr>
    </w:lvl>
    <w:lvl w:ilvl="4" w:tplc="46963854">
      <w:numFmt w:val="bullet"/>
      <w:lvlText w:val="•"/>
      <w:lvlJc w:val="left"/>
      <w:pPr>
        <w:ind w:left="3928" w:hanging="568"/>
      </w:pPr>
      <w:rPr>
        <w:rFonts w:hint="default"/>
      </w:rPr>
    </w:lvl>
    <w:lvl w:ilvl="5" w:tplc="4F049DD2">
      <w:numFmt w:val="bullet"/>
      <w:lvlText w:val="•"/>
      <w:lvlJc w:val="left"/>
      <w:pPr>
        <w:ind w:left="4880" w:hanging="568"/>
      </w:pPr>
      <w:rPr>
        <w:rFonts w:hint="default"/>
      </w:rPr>
    </w:lvl>
    <w:lvl w:ilvl="6" w:tplc="190AF644">
      <w:numFmt w:val="bullet"/>
      <w:lvlText w:val="•"/>
      <w:lvlJc w:val="left"/>
      <w:pPr>
        <w:ind w:left="5832" w:hanging="568"/>
      </w:pPr>
      <w:rPr>
        <w:rFonts w:hint="default"/>
      </w:rPr>
    </w:lvl>
    <w:lvl w:ilvl="7" w:tplc="3198F418">
      <w:numFmt w:val="bullet"/>
      <w:lvlText w:val="•"/>
      <w:lvlJc w:val="left"/>
      <w:pPr>
        <w:ind w:left="6784" w:hanging="568"/>
      </w:pPr>
      <w:rPr>
        <w:rFonts w:hint="default"/>
      </w:rPr>
    </w:lvl>
    <w:lvl w:ilvl="8" w:tplc="078A9ED2">
      <w:numFmt w:val="bullet"/>
      <w:lvlText w:val="•"/>
      <w:lvlJc w:val="left"/>
      <w:pPr>
        <w:ind w:left="7736" w:hanging="568"/>
      </w:pPr>
      <w:rPr>
        <w:rFonts w:hint="default"/>
      </w:rPr>
    </w:lvl>
  </w:abstractNum>
  <w:abstractNum w:abstractNumId="31" w15:restartNumberingAfterBreak="0">
    <w:nsid w:val="4CCD1B5F"/>
    <w:multiLevelType w:val="hybridMultilevel"/>
    <w:tmpl w:val="30102F92"/>
    <w:lvl w:ilvl="0" w:tplc="B3E6F204">
      <w:start w:val="1"/>
      <w:numFmt w:val="decimal"/>
      <w:lvlText w:val="%1."/>
      <w:lvlJc w:val="left"/>
      <w:pPr>
        <w:ind w:left="7732" w:hanging="360"/>
      </w:pPr>
      <w:rPr>
        <w:rFonts w:ascii="Verdana" w:eastAsia="Batang" w:hAnsi="Verdana" w:cs="Times"/>
        <w:b w:val="0"/>
        <w:i w:val="0"/>
        <w:color w:val="auto"/>
        <w:sz w:val="20"/>
        <w:szCs w:val="20"/>
        <w:lang w:val="es-ES_tradnl"/>
      </w:rPr>
    </w:lvl>
    <w:lvl w:ilvl="1" w:tplc="60BEF894">
      <w:start w:val="1"/>
      <w:numFmt w:val="decimal"/>
      <w:lvlText w:val="%2)"/>
      <w:lvlJc w:val="left"/>
      <w:pPr>
        <w:ind w:left="1637" w:hanging="360"/>
      </w:pPr>
      <w:rPr>
        <w:rFonts w:hint="default"/>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32" w15:restartNumberingAfterBreak="0">
    <w:nsid w:val="4E0E43D8"/>
    <w:multiLevelType w:val="hybridMultilevel"/>
    <w:tmpl w:val="E85C9C10"/>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4EBD5D3D"/>
    <w:multiLevelType w:val="hybridMultilevel"/>
    <w:tmpl w:val="EAEE7392"/>
    <w:lvl w:ilvl="0" w:tplc="1AA6BC6E">
      <w:start w:val="1"/>
      <w:numFmt w:val="decimal"/>
      <w:lvlText w:val="%1."/>
      <w:lvlJc w:val="left"/>
      <w:pPr>
        <w:ind w:left="720" w:hanging="360"/>
      </w:pPr>
      <w:rPr>
        <w:rFonts w:ascii="Verdana" w:hAnsi="Verdana" w:hint="default"/>
        <w:b w:val="0"/>
        <w:strike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547D101D"/>
    <w:multiLevelType w:val="hybridMultilevel"/>
    <w:tmpl w:val="742411B4"/>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57994EEE"/>
    <w:multiLevelType w:val="hybridMultilevel"/>
    <w:tmpl w:val="8AFED5A8"/>
    <w:lvl w:ilvl="0" w:tplc="1E0631B4">
      <w:start w:val="1"/>
      <w:numFmt w:val="decimal"/>
      <w:lvlText w:val="%1."/>
      <w:lvlJc w:val="left"/>
      <w:pPr>
        <w:ind w:left="397" w:hanging="708"/>
      </w:pPr>
      <w:rPr>
        <w:rFonts w:ascii="Verdana" w:eastAsia="Verdana" w:hAnsi="Verdana" w:cs="Verdana" w:hint="default"/>
        <w:i w:val="0"/>
        <w:w w:val="99"/>
        <w:sz w:val="20"/>
        <w:szCs w:val="20"/>
      </w:rPr>
    </w:lvl>
    <w:lvl w:ilvl="1" w:tplc="EF80919E">
      <w:start w:val="1"/>
      <w:numFmt w:val="lowerLetter"/>
      <w:lvlText w:val="%2)"/>
      <w:lvlJc w:val="left"/>
      <w:pPr>
        <w:ind w:left="1105" w:hanging="708"/>
      </w:pPr>
      <w:rPr>
        <w:rFonts w:ascii="Verdana" w:eastAsia="Verdana" w:hAnsi="Verdana" w:cs="Verdana" w:hint="default"/>
        <w:w w:val="99"/>
        <w:sz w:val="20"/>
        <w:szCs w:val="20"/>
      </w:rPr>
    </w:lvl>
    <w:lvl w:ilvl="2" w:tplc="C58C0534">
      <w:numFmt w:val="bullet"/>
      <w:lvlText w:val="•"/>
      <w:lvlJc w:val="left"/>
      <w:pPr>
        <w:ind w:left="2117" w:hanging="708"/>
      </w:pPr>
      <w:rPr>
        <w:rFonts w:hint="default"/>
      </w:rPr>
    </w:lvl>
    <w:lvl w:ilvl="3" w:tplc="D90C1F60">
      <w:numFmt w:val="bullet"/>
      <w:lvlText w:val="•"/>
      <w:lvlJc w:val="left"/>
      <w:pPr>
        <w:ind w:left="3135" w:hanging="708"/>
      </w:pPr>
      <w:rPr>
        <w:rFonts w:hint="default"/>
      </w:rPr>
    </w:lvl>
    <w:lvl w:ilvl="4" w:tplc="0F7A21F4">
      <w:numFmt w:val="bullet"/>
      <w:lvlText w:val="•"/>
      <w:lvlJc w:val="left"/>
      <w:pPr>
        <w:ind w:left="4153" w:hanging="708"/>
      </w:pPr>
      <w:rPr>
        <w:rFonts w:hint="default"/>
      </w:rPr>
    </w:lvl>
    <w:lvl w:ilvl="5" w:tplc="D7AED032">
      <w:numFmt w:val="bullet"/>
      <w:lvlText w:val="•"/>
      <w:lvlJc w:val="left"/>
      <w:pPr>
        <w:ind w:left="5171" w:hanging="708"/>
      </w:pPr>
      <w:rPr>
        <w:rFonts w:hint="default"/>
      </w:rPr>
    </w:lvl>
    <w:lvl w:ilvl="6" w:tplc="C65C50A2">
      <w:numFmt w:val="bullet"/>
      <w:lvlText w:val="•"/>
      <w:lvlJc w:val="left"/>
      <w:pPr>
        <w:ind w:left="6188" w:hanging="708"/>
      </w:pPr>
      <w:rPr>
        <w:rFonts w:hint="default"/>
      </w:rPr>
    </w:lvl>
    <w:lvl w:ilvl="7" w:tplc="E20C83CA">
      <w:numFmt w:val="bullet"/>
      <w:lvlText w:val="•"/>
      <w:lvlJc w:val="left"/>
      <w:pPr>
        <w:ind w:left="7206" w:hanging="708"/>
      </w:pPr>
      <w:rPr>
        <w:rFonts w:hint="default"/>
      </w:rPr>
    </w:lvl>
    <w:lvl w:ilvl="8" w:tplc="855A6E68">
      <w:numFmt w:val="bullet"/>
      <w:lvlText w:val="•"/>
      <w:lvlJc w:val="left"/>
      <w:pPr>
        <w:ind w:left="8224" w:hanging="708"/>
      </w:pPr>
      <w:rPr>
        <w:rFonts w:hint="default"/>
      </w:rPr>
    </w:lvl>
  </w:abstractNum>
  <w:abstractNum w:abstractNumId="36" w15:restartNumberingAfterBreak="0">
    <w:nsid w:val="5C0A3727"/>
    <w:multiLevelType w:val="hybridMultilevel"/>
    <w:tmpl w:val="30102F92"/>
    <w:lvl w:ilvl="0" w:tplc="FFFFFFFF">
      <w:start w:val="1"/>
      <w:numFmt w:val="decimal"/>
      <w:lvlText w:val="%1."/>
      <w:lvlJc w:val="left"/>
      <w:pPr>
        <w:ind w:left="1495" w:hanging="360"/>
      </w:pPr>
      <w:rPr>
        <w:rFonts w:ascii="Verdana" w:eastAsia="Batang" w:hAnsi="Verdana" w:cs="Times"/>
        <w:b w:val="0"/>
        <w:i w:val="0"/>
        <w:color w:val="auto"/>
        <w:sz w:val="20"/>
        <w:szCs w:val="20"/>
        <w:lang w:val="es-ES_tradnl"/>
      </w:rPr>
    </w:lvl>
    <w:lvl w:ilvl="1" w:tplc="FFFFFFFF">
      <w:start w:val="1"/>
      <w:numFmt w:val="decimal"/>
      <w:lvlText w:val="%2)"/>
      <w:lvlJc w:val="left"/>
      <w:pPr>
        <w:ind w:left="1637" w:hanging="360"/>
      </w:pPr>
      <w:rPr>
        <w:rFonts w:hint="default"/>
      </w:rPr>
    </w:lvl>
    <w:lvl w:ilvl="2" w:tplc="FFFFFFFF">
      <w:start w:val="1"/>
      <w:numFmt w:val="lowerRoman"/>
      <w:lvlText w:val="%3."/>
      <w:lvlJc w:val="right"/>
      <w:pPr>
        <w:ind w:left="2547" w:hanging="360"/>
      </w:pPr>
      <w:rPr>
        <w:rFonts w:hint="default"/>
      </w:rPr>
    </w:lvl>
    <w:lvl w:ilvl="3" w:tplc="FFFFFFFF">
      <w:start w:val="1"/>
      <w:numFmt w:val="lowerLetter"/>
      <w:lvlText w:val="%4)"/>
      <w:lvlJc w:val="left"/>
      <w:pPr>
        <w:ind w:left="3087" w:hanging="360"/>
      </w:pPr>
      <w:rPr>
        <w:rFonts w:hint="default"/>
      </w:rPr>
    </w:lvl>
    <w:lvl w:ilvl="4" w:tplc="FFFFFFFF">
      <w:start w:val="7"/>
      <w:numFmt w:val="decimal"/>
      <w:lvlText w:val="%5"/>
      <w:lvlJc w:val="left"/>
      <w:pPr>
        <w:ind w:left="3807" w:hanging="360"/>
      </w:pPr>
      <w:rPr>
        <w:rFonts w:hint="default"/>
        <w:i/>
      </w:r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5D7D4B9D"/>
    <w:multiLevelType w:val="hybridMultilevel"/>
    <w:tmpl w:val="34DA16E4"/>
    <w:lvl w:ilvl="0" w:tplc="AA143AAA">
      <w:start w:val="1"/>
      <w:numFmt w:val="decimal"/>
      <w:lvlText w:val="%1."/>
      <w:lvlJc w:val="left"/>
      <w:pPr>
        <w:ind w:left="1440" w:hanging="360"/>
      </w:pPr>
      <w:rPr>
        <w:rFonts w:ascii="Cambria" w:hAnsi="Cambria" w:hint="default"/>
        <w:b w:val="0"/>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DB54265"/>
    <w:multiLevelType w:val="hybridMultilevel"/>
    <w:tmpl w:val="1E142FCE"/>
    <w:lvl w:ilvl="0" w:tplc="FFFFFFFF">
      <w:start w:val="1"/>
      <w:numFmt w:val="upperLetter"/>
      <w:lvlText w:val="%1."/>
      <w:lvlJc w:val="left"/>
      <w:pPr>
        <w:ind w:left="720" w:hanging="360"/>
      </w:pPr>
      <w:rPr>
        <w:rFonts w:ascii="Verdana" w:hAnsi="Verdana" w:hint="default"/>
        <w:b/>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EB45830"/>
    <w:multiLevelType w:val="hybridMultilevel"/>
    <w:tmpl w:val="BF860DBC"/>
    <w:lvl w:ilvl="0" w:tplc="64C41292">
      <w:start w:val="1"/>
      <w:numFmt w:val="lowerRoman"/>
      <w:lvlText w:val="%1."/>
      <w:lvlJc w:val="right"/>
      <w:pPr>
        <w:ind w:left="720" w:hanging="360"/>
      </w:pPr>
      <w:rPr>
        <w:i/>
        <w:i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8E60C5A"/>
    <w:multiLevelType w:val="hybridMultilevel"/>
    <w:tmpl w:val="17B6E8B0"/>
    <w:lvl w:ilvl="0" w:tplc="3E107862">
      <w:start w:val="1"/>
      <w:numFmt w:val="decimal"/>
      <w:lvlText w:val="%1."/>
      <w:lvlJc w:val="left"/>
      <w:pPr>
        <w:ind w:left="117" w:hanging="684"/>
      </w:pPr>
      <w:rPr>
        <w:rFonts w:ascii="Verdana" w:eastAsia="Verdana" w:hAnsi="Verdana" w:cs="Verdana" w:hint="default"/>
        <w:b w:val="0"/>
        <w:bCs w:val="0"/>
        <w:i w:val="0"/>
        <w:iCs w:val="0"/>
        <w:spacing w:val="-1"/>
        <w:w w:val="98"/>
        <w:sz w:val="20"/>
        <w:szCs w:val="20"/>
      </w:rPr>
    </w:lvl>
    <w:lvl w:ilvl="1" w:tplc="D0EC6AC4">
      <w:start w:val="1"/>
      <w:numFmt w:val="lowerLetter"/>
      <w:lvlText w:val="%2."/>
      <w:lvlJc w:val="left"/>
      <w:pPr>
        <w:ind w:left="1112" w:hanging="358"/>
      </w:pPr>
      <w:rPr>
        <w:rFonts w:ascii="Verdana" w:eastAsia="Verdana" w:hAnsi="Verdana" w:cs="Verdana" w:hint="default"/>
        <w:b w:val="0"/>
        <w:bCs w:val="0"/>
        <w:i/>
        <w:iCs/>
        <w:spacing w:val="-1"/>
        <w:w w:val="98"/>
        <w:sz w:val="20"/>
        <w:szCs w:val="20"/>
      </w:rPr>
    </w:lvl>
    <w:lvl w:ilvl="2" w:tplc="57C0EB5A">
      <w:numFmt w:val="bullet"/>
      <w:lvlText w:val="•"/>
      <w:lvlJc w:val="left"/>
      <w:pPr>
        <w:ind w:left="2078" w:hanging="358"/>
      </w:pPr>
      <w:rPr>
        <w:rFonts w:hint="default"/>
      </w:rPr>
    </w:lvl>
    <w:lvl w:ilvl="3" w:tplc="9FD65B90">
      <w:numFmt w:val="bullet"/>
      <w:lvlText w:val="•"/>
      <w:lvlJc w:val="left"/>
      <w:pPr>
        <w:ind w:left="3036" w:hanging="358"/>
      </w:pPr>
      <w:rPr>
        <w:rFonts w:hint="default"/>
      </w:rPr>
    </w:lvl>
    <w:lvl w:ilvl="4" w:tplc="2DF097C4">
      <w:numFmt w:val="bullet"/>
      <w:lvlText w:val="•"/>
      <w:lvlJc w:val="left"/>
      <w:pPr>
        <w:ind w:left="3994" w:hanging="358"/>
      </w:pPr>
      <w:rPr>
        <w:rFonts w:hint="default"/>
      </w:rPr>
    </w:lvl>
    <w:lvl w:ilvl="5" w:tplc="ADC6289E">
      <w:numFmt w:val="bullet"/>
      <w:lvlText w:val="•"/>
      <w:lvlJc w:val="left"/>
      <w:pPr>
        <w:ind w:left="4952" w:hanging="358"/>
      </w:pPr>
      <w:rPr>
        <w:rFonts w:hint="default"/>
      </w:rPr>
    </w:lvl>
    <w:lvl w:ilvl="6" w:tplc="AFE21D34">
      <w:numFmt w:val="bullet"/>
      <w:lvlText w:val="•"/>
      <w:lvlJc w:val="left"/>
      <w:pPr>
        <w:ind w:left="5910" w:hanging="358"/>
      </w:pPr>
      <w:rPr>
        <w:rFonts w:hint="default"/>
      </w:rPr>
    </w:lvl>
    <w:lvl w:ilvl="7" w:tplc="D2965E0E">
      <w:numFmt w:val="bullet"/>
      <w:lvlText w:val="•"/>
      <w:lvlJc w:val="left"/>
      <w:pPr>
        <w:ind w:left="6868" w:hanging="358"/>
      </w:pPr>
      <w:rPr>
        <w:rFonts w:hint="default"/>
      </w:rPr>
    </w:lvl>
    <w:lvl w:ilvl="8" w:tplc="B2B42C8C">
      <w:numFmt w:val="bullet"/>
      <w:lvlText w:val="•"/>
      <w:lvlJc w:val="left"/>
      <w:pPr>
        <w:ind w:left="7826" w:hanging="358"/>
      </w:pPr>
      <w:rPr>
        <w:rFonts w:hint="default"/>
      </w:rPr>
    </w:lvl>
  </w:abstractNum>
  <w:abstractNum w:abstractNumId="41" w15:restartNumberingAfterBreak="0">
    <w:nsid w:val="68FD7D50"/>
    <w:multiLevelType w:val="multilevel"/>
    <w:tmpl w:val="D6BCAB88"/>
    <w:lvl w:ilvl="0">
      <w:start w:val="1"/>
      <w:numFmt w:val="decimal"/>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A965D1F"/>
    <w:multiLevelType w:val="hybridMultilevel"/>
    <w:tmpl w:val="E312EF28"/>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3" w15:restartNumberingAfterBreak="0">
    <w:nsid w:val="6A9D48F4"/>
    <w:multiLevelType w:val="hybridMultilevel"/>
    <w:tmpl w:val="7AFE0404"/>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5A18DE34">
      <w:start w:val="1"/>
      <w:numFmt w:val="decimal"/>
      <w:lvlText w:val="%4."/>
      <w:lvlJc w:val="left"/>
      <w:pPr>
        <w:ind w:left="2880" w:hanging="360"/>
      </w:pPr>
      <w:rPr>
        <w:color w:val="auto"/>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6BF55E8C"/>
    <w:multiLevelType w:val="hybridMultilevel"/>
    <w:tmpl w:val="652817C6"/>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6BFE34E8"/>
    <w:multiLevelType w:val="hybridMultilevel"/>
    <w:tmpl w:val="E312EF28"/>
    <w:lvl w:ilvl="0" w:tplc="865CDBC8">
      <w:start w:val="1"/>
      <w:numFmt w:val="lowerLetter"/>
      <w:lvlText w:val="%1)"/>
      <w:lvlJc w:val="left"/>
      <w:pPr>
        <w:ind w:left="1069" w:hanging="360"/>
      </w:pPr>
      <w:rPr>
        <w:rFonts w:hint="default"/>
        <w:b w:val="0"/>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46" w15:restartNumberingAfterBreak="0">
    <w:nsid w:val="6E155876"/>
    <w:multiLevelType w:val="hybridMultilevel"/>
    <w:tmpl w:val="1666ACE6"/>
    <w:lvl w:ilvl="0" w:tplc="4AA61878">
      <w:start w:val="9"/>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07F13BB"/>
    <w:multiLevelType w:val="hybridMultilevel"/>
    <w:tmpl w:val="C9101B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1C96AF6"/>
    <w:multiLevelType w:val="hybridMultilevel"/>
    <w:tmpl w:val="30102F92"/>
    <w:lvl w:ilvl="0" w:tplc="FFFFFFFF">
      <w:start w:val="1"/>
      <w:numFmt w:val="decimal"/>
      <w:lvlText w:val="%1."/>
      <w:lvlJc w:val="left"/>
      <w:pPr>
        <w:ind w:left="1495" w:hanging="360"/>
      </w:pPr>
      <w:rPr>
        <w:rFonts w:ascii="Verdana" w:eastAsia="Batang" w:hAnsi="Verdana" w:cs="Times"/>
        <w:b w:val="0"/>
        <w:i w:val="0"/>
        <w:color w:val="auto"/>
        <w:sz w:val="20"/>
        <w:szCs w:val="20"/>
        <w:lang w:val="es-ES_tradnl"/>
      </w:rPr>
    </w:lvl>
    <w:lvl w:ilvl="1" w:tplc="FFFFFFFF">
      <w:start w:val="1"/>
      <w:numFmt w:val="decimal"/>
      <w:lvlText w:val="%2)"/>
      <w:lvlJc w:val="left"/>
      <w:pPr>
        <w:ind w:left="1637" w:hanging="360"/>
      </w:pPr>
      <w:rPr>
        <w:rFonts w:hint="default"/>
      </w:rPr>
    </w:lvl>
    <w:lvl w:ilvl="2" w:tplc="FFFFFFFF">
      <w:start w:val="1"/>
      <w:numFmt w:val="lowerRoman"/>
      <w:lvlText w:val="%3."/>
      <w:lvlJc w:val="right"/>
      <w:pPr>
        <w:ind w:left="2547" w:hanging="360"/>
      </w:pPr>
      <w:rPr>
        <w:rFonts w:hint="default"/>
      </w:rPr>
    </w:lvl>
    <w:lvl w:ilvl="3" w:tplc="FFFFFFFF">
      <w:start w:val="1"/>
      <w:numFmt w:val="lowerLetter"/>
      <w:lvlText w:val="%4)"/>
      <w:lvlJc w:val="left"/>
      <w:pPr>
        <w:ind w:left="3087" w:hanging="360"/>
      </w:pPr>
      <w:rPr>
        <w:rFonts w:hint="default"/>
      </w:rPr>
    </w:lvl>
    <w:lvl w:ilvl="4" w:tplc="FFFFFFFF">
      <w:start w:val="7"/>
      <w:numFmt w:val="decimal"/>
      <w:lvlText w:val="%5"/>
      <w:lvlJc w:val="left"/>
      <w:pPr>
        <w:ind w:left="3807" w:hanging="360"/>
      </w:pPr>
      <w:rPr>
        <w:rFonts w:hint="default"/>
        <w:i/>
      </w:r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0" w15:restartNumberingAfterBreak="0">
    <w:nsid w:val="73E31B0E"/>
    <w:multiLevelType w:val="hybridMultilevel"/>
    <w:tmpl w:val="30102F92"/>
    <w:lvl w:ilvl="0" w:tplc="FFFFFFFF">
      <w:start w:val="1"/>
      <w:numFmt w:val="decimal"/>
      <w:lvlText w:val="%1."/>
      <w:lvlJc w:val="left"/>
      <w:pPr>
        <w:ind w:left="1495" w:hanging="360"/>
      </w:pPr>
      <w:rPr>
        <w:rFonts w:ascii="Verdana" w:eastAsia="Batang" w:hAnsi="Verdana" w:cs="Times"/>
        <w:b w:val="0"/>
        <w:i w:val="0"/>
        <w:color w:val="auto"/>
        <w:sz w:val="20"/>
        <w:szCs w:val="20"/>
        <w:lang w:val="es-ES_tradnl"/>
      </w:rPr>
    </w:lvl>
    <w:lvl w:ilvl="1" w:tplc="FFFFFFFF">
      <w:start w:val="1"/>
      <w:numFmt w:val="decimal"/>
      <w:lvlText w:val="%2)"/>
      <w:lvlJc w:val="left"/>
      <w:pPr>
        <w:ind w:left="1637" w:hanging="360"/>
      </w:pPr>
      <w:rPr>
        <w:rFonts w:hint="default"/>
      </w:rPr>
    </w:lvl>
    <w:lvl w:ilvl="2" w:tplc="FFFFFFFF">
      <w:start w:val="1"/>
      <w:numFmt w:val="lowerRoman"/>
      <w:lvlText w:val="%3."/>
      <w:lvlJc w:val="right"/>
      <w:pPr>
        <w:ind w:left="2547" w:hanging="360"/>
      </w:pPr>
      <w:rPr>
        <w:rFonts w:hint="default"/>
      </w:rPr>
    </w:lvl>
    <w:lvl w:ilvl="3" w:tplc="FFFFFFFF">
      <w:start w:val="1"/>
      <w:numFmt w:val="lowerLetter"/>
      <w:lvlText w:val="%4)"/>
      <w:lvlJc w:val="left"/>
      <w:pPr>
        <w:ind w:left="3087" w:hanging="360"/>
      </w:pPr>
      <w:rPr>
        <w:rFonts w:hint="default"/>
      </w:rPr>
    </w:lvl>
    <w:lvl w:ilvl="4" w:tplc="FFFFFFFF">
      <w:start w:val="7"/>
      <w:numFmt w:val="decimal"/>
      <w:lvlText w:val="%5"/>
      <w:lvlJc w:val="left"/>
      <w:pPr>
        <w:ind w:left="3807" w:hanging="360"/>
      </w:pPr>
      <w:rPr>
        <w:rFonts w:hint="default"/>
        <w:i/>
      </w:r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1" w15:restartNumberingAfterBreak="0">
    <w:nsid w:val="76753A80"/>
    <w:multiLevelType w:val="hybridMultilevel"/>
    <w:tmpl w:val="1B1087D0"/>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A89E6920">
      <w:start w:val="2"/>
      <w:numFmt w:val="lowerLetter"/>
      <w:lvlText w:val="%6)"/>
      <w:lvlJc w:val="left"/>
      <w:pPr>
        <w:ind w:left="4358" w:hanging="360"/>
      </w:pPr>
      <w:rPr>
        <w:rFonts w:hint="default"/>
      </w:rPr>
    </w:lvl>
    <w:lvl w:ilvl="6" w:tplc="3CE21120">
      <w:start w:val="30"/>
      <w:numFmt w:val="upperRoman"/>
      <w:lvlText w:val="%7."/>
      <w:lvlJc w:val="left"/>
      <w:pPr>
        <w:ind w:left="5258" w:hanging="720"/>
      </w:pPr>
      <w:rPr>
        <w:rFonts w:hint="default"/>
      </w:rPr>
    </w:lvl>
    <w:lvl w:ilvl="7" w:tplc="3578C304">
      <w:start w:val="2"/>
      <w:numFmt w:val="lowerRoman"/>
      <w:lvlText w:val="%8)"/>
      <w:lvlJc w:val="left"/>
      <w:pPr>
        <w:ind w:left="5978" w:hanging="720"/>
      </w:pPr>
      <w:rPr>
        <w:rFonts w:hint="default"/>
      </w:rPr>
    </w:lvl>
    <w:lvl w:ilvl="8" w:tplc="A96C2D40">
      <w:start w:val="2"/>
      <w:numFmt w:val="decimal"/>
      <w:lvlText w:val="%9)"/>
      <w:lvlJc w:val="left"/>
      <w:pPr>
        <w:ind w:left="6518" w:hanging="360"/>
      </w:pPr>
      <w:rPr>
        <w:rFonts w:hint="default"/>
      </w:rPr>
    </w:lvl>
  </w:abstractNum>
  <w:abstractNum w:abstractNumId="52" w15:restartNumberingAfterBreak="0">
    <w:nsid w:val="778A4935"/>
    <w:multiLevelType w:val="hybridMultilevel"/>
    <w:tmpl w:val="E4C4BA14"/>
    <w:lvl w:ilvl="0" w:tplc="43B2901A">
      <w:start w:val="1"/>
      <w:numFmt w:val="upperLetter"/>
      <w:lvlText w:val="%1."/>
      <w:lvlJc w:val="left"/>
      <w:pPr>
        <w:ind w:left="720" w:hanging="360"/>
      </w:pPr>
      <w:rPr>
        <w:rFonts w:ascii="Verdana" w:hAnsi="Verdana" w:hint="default"/>
        <w:b/>
        <w:i/>
        <w:color w:val="auto"/>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3" w15:restartNumberingAfterBreak="0">
    <w:nsid w:val="786F094D"/>
    <w:multiLevelType w:val="hybridMultilevel"/>
    <w:tmpl w:val="1E142FCE"/>
    <w:lvl w:ilvl="0" w:tplc="FFFFFFFF">
      <w:start w:val="1"/>
      <w:numFmt w:val="upperLetter"/>
      <w:lvlText w:val="%1."/>
      <w:lvlJc w:val="left"/>
      <w:pPr>
        <w:ind w:left="720" w:hanging="360"/>
      </w:pPr>
      <w:rPr>
        <w:rFonts w:ascii="Verdana" w:hAnsi="Verdana" w:hint="default"/>
        <w:b/>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9354707"/>
    <w:multiLevelType w:val="hybridMultilevel"/>
    <w:tmpl w:val="0BECDDBA"/>
    <w:lvl w:ilvl="0" w:tplc="DCB0C614">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55"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629170867">
    <w:abstractNumId w:val="51"/>
  </w:num>
  <w:num w:numId="2" w16cid:durableId="396392647">
    <w:abstractNumId w:val="31"/>
  </w:num>
  <w:num w:numId="3" w16cid:durableId="1986466066">
    <w:abstractNumId w:val="55"/>
  </w:num>
  <w:num w:numId="4" w16cid:durableId="1204055337">
    <w:abstractNumId w:val="0"/>
  </w:num>
  <w:num w:numId="5" w16cid:durableId="635070221">
    <w:abstractNumId w:val="2"/>
  </w:num>
  <w:num w:numId="6" w16cid:durableId="1730810898">
    <w:abstractNumId w:val="5"/>
  </w:num>
  <w:num w:numId="7" w16cid:durableId="132675007">
    <w:abstractNumId w:val="47"/>
  </w:num>
  <w:num w:numId="8" w16cid:durableId="1576622130">
    <w:abstractNumId w:val="52"/>
  </w:num>
  <w:num w:numId="9" w16cid:durableId="1594629894">
    <w:abstractNumId w:val="44"/>
  </w:num>
  <w:num w:numId="10" w16cid:durableId="1316108873">
    <w:abstractNumId w:val="34"/>
  </w:num>
  <w:num w:numId="11" w16cid:durableId="844058495">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4562848">
    <w:abstractNumId w:val="35"/>
  </w:num>
  <w:num w:numId="13" w16cid:durableId="1164858270">
    <w:abstractNumId w:val="17"/>
  </w:num>
  <w:num w:numId="14" w16cid:durableId="972255014">
    <w:abstractNumId w:val="14"/>
  </w:num>
  <w:num w:numId="15" w16cid:durableId="487943822">
    <w:abstractNumId w:val="48"/>
  </w:num>
  <w:num w:numId="16" w16cid:durableId="1891259904">
    <w:abstractNumId w:val="18"/>
  </w:num>
  <w:num w:numId="17" w16cid:durableId="443967300">
    <w:abstractNumId w:val="6"/>
  </w:num>
  <w:num w:numId="18" w16cid:durableId="1426340141">
    <w:abstractNumId w:val="49"/>
  </w:num>
  <w:num w:numId="19" w16cid:durableId="1135831411">
    <w:abstractNumId w:val="50"/>
  </w:num>
  <w:num w:numId="20" w16cid:durableId="1388454872">
    <w:abstractNumId w:val="8"/>
  </w:num>
  <w:num w:numId="21" w16cid:durableId="492912516">
    <w:abstractNumId w:val="16"/>
  </w:num>
  <w:num w:numId="22" w16cid:durableId="1949969658">
    <w:abstractNumId w:val="33"/>
  </w:num>
  <w:num w:numId="23" w16cid:durableId="1610694438">
    <w:abstractNumId w:val="30"/>
  </w:num>
  <w:num w:numId="24" w16cid:durableId="1509708001">
    <w:abstractNumId w:val="13"/>
  </w:num>
  <w:num w:numId="25" w16cid:durableId="1652174008">
    <w:abstractNumId w:val="37"/>
  </w:num>
  <w:num w:numId="26" w16cid:durableId="664552594">
    <w:abstractNumId w:val="27"/>
  </w:num>
  <w:num w:numId="27" w16cid:durableId="964115650">
    <w:abstractNumId w:val="54"/>
  </w:num>
  <w:num w:numId="28" w16cid:durableId="256984648">
    <w:abstractNumId w:val="3"/>
  </w:num>
  <w:num w:numId="29" w16cid:durableId="124660601">
    <w:abstractNumId w:val="21"/>
  </w:num>
  <w:num w:numId="30" w16cid:durableId="773474126">
    <w:abstractNumId w:val="40"/>
  </w:num>
  <w:num w:numId="31" w16cid:durableId="2075003282">
    <w:abstractNumId w:val="1"/>
  </w:num>
  <w:num w:numId="32" w16cid:durableId="134682178">
    <w:abstractNumId w:val="36"/>
  </w:num>
  <w:num w:numId="33" w16cid:durableId="184561438">
    <w:abstractNumId w:val="23"/>
  </w:num>
  <w:num w:numId="34" w16cid:durableId="616765671">
    <w:abstractNumId w:val="41"/>
  </w:num>
  <w:num w:numId="35" w16cid:durableId="1974284949">
    <w:abstractNumId w:val="11"/>
  </w:num>
  <w:num w:numId="36" w16cid:durableId="617487171">
    <w:abstractNumId w:val="45"/>
  </w:num>
  <w:num w:numId="37" w16cid:durableId="1938825421">
    <w:abstractNumId w:val="26"/>
  </w:num>
  <w:num w:numId="38" w16cid:durableId="483745467">
    <w:abstractNumId w:val="10"/>
  </w:num>
  <w:num w:numId="39" w16cid:durableId="1190098594">
    <w:abstractNumId w:val="42"/>
  </w:num>
  <w:num w:numId="40" w16cid:durableId="1140341098">
    <w:abstractNumId w:val="53"/>
  </w:num>
  <w:num w:numId="41" w16cid:durableId="693074280">
    <w:abstractNumId w:val="38"/>
  </w:num>
  <w:num w:numId="42" w16cid:durableId="35739503">
    <w:abstractNumId w:val="7"/>
  </w:num>
  <w:num w:numId="43" w16cid:durableId="1090195142">
    <w:abstractNumId w:val="4"/>
  </w:num>
  <w:num w:numId="44" w16cid:durableId="826095306">
    <w:abstractNumId w:val="25"/>
  </w:num>
  <w:num w:numId="45" w16cid:durableId="919560080">
    <w:abstractNumId w:val="43"/>
  </w:num>
  <w:num w:numId="46" w16cid:durableId="395864020">
    <w:abstractNumId w:val="15"/>
  </w:num>
  <w:num w:numId="47" w16cid:durableId="768702637">
    <w:abstractNumId w:val="19"/>
  </w:num>
  <w:num w:numId="48" w16cid:durableId="104349479">
    <w:abstractNumId w:val="28"/>
  </w:num>
  <w:num w:numId="49" w16cid:durableId="1776557494">
    <w:abstractNumId w:val="12"/>
  </w:num>
  <w:num w:numId="50" w16cid:durableId="54666321">
    <w:abstractNumId w:val="24"/>
  </w:num>
  <w:num w:numId="51" w16cid:durableId="79836620">
    <w:abstractNumId w:val="9"/>
  </w:num>
  <w:num w:numId="52" w16cid:durableId="163742">
    <w:abstractNumId w:val="46"/>
  </w:num>
  <w:num w:numId="53" w16cid:durableId="60254033">
    <w:abstractNumId w:val="20"/>
  </w:num>
  <w:num w:numId="54" w16cid:durableId="1479298767">
    <w:abstractNumId w:val="29"/>
  </w:num>
  <w:num w:numId="55" w16cid:durableId="587733987">
    <w:abstractNumId w:val="39"/>
  </w:num>
  <w:num w:numId="56" w16cid:durableId="2000184172">
    <w:abstractNumId w:val="22"/>
  </w:num>
  <w:num w:numId="57" w16cid:durableId="1783652367">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activeWritingStyle w:appName="MSWord" w:lang="es-PR"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s-ES" w:vendorID="64" w:dllVersion="0" w:nlCheck="1" w:checkStyle="0"/>
  <w:activeWritingStyle w:appName="MSWord" w:lang="es-CR" w:vendorID="64" w:dllVersion="0" w:nlCheck="1" w:checkStyle="0"/>
  <w:activeWritingStyle w:appName="MSWord" w:lang="es-MX" w:vendorID="64" w:dllVersion="0" w:nlCheck="1" w:checkStyle="0"/>
  <w:activeWritingStyle w:appName="MSWord" w:lang="es-PE" w:vendorID="64" w:dllVersion="0" w:nlCheck="1" w:checkStyle="0"/>
  <w:activeWritingStyle w:appName="MSWord" w:lang="pt-BR" w:vendorID="64" w:dllVersion="0" w:nlCheck="1" w:checkStyle="0"/>
  <w:activeWritingStyle w:appName="MSWord" w:lang="en-US" w:vendorID="64" w:dllVersion="0" w:nlCheck="1" w:checkStyle="0"/>
  <w:activeWritingStyle w:appName="MSWord" w:lang="es-ES" w:vendorID="64" w:dllVersion="4096" w:nlCheck="1" w:checkStyle="0"/>
  <w:activeWritingStyle w:appName="MSWord" w:lang="es-ES_tradnl" w:vendorID="64" w:dllVersion="4096"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BF"/>
    <w:rsid w:val="000004C8"/>
    <w:rsid w:val="00000A4A"/>
    <w:rsid w:val="00000C5B"/>
    <w:rsid w:val="00000CA3"/>
    <w:rsid w:val="00000F55"/>
    <w:rsid w:val="0000150A"/>
    <w:rsid w:val="00001CAC"/>
    <w:rsid w:val="00001CEE"/>
    <w:rsid w:val="00002549"/>
    <w:rsid w:val="000029BF"/>
    <w:rsid w:val="00002A6C"/>
    <w:rsid w:val="00002B7F"/>
    <w:rsid w:val="00002C37"/>
    <w:rsid w:val="00002CF6"/>
    <w:rsid w:val="00002D1A"/>
    <w:rsid w:val="000030C9"/>
    <w:rsid w:val="00003400"/>
    <w:rsid w:val="00003416"/>
    <w:rsid w:val="00004111"/>
    <w:rsid w:val="000042BE"/>
    <w:rsid w:val="00005409"/>
    <w:rsid w:val="00005558"/>
    <w:rsid w:val="000055D9"/>
    <w:rsid w:val="000058DC"/>
    <w:rsid w:val="00005BD2"/>
    <w:rsid w:val="00005E79"/>
    <w:rsid w:val="0000613A"/>
    <w:rsid w:val="00006275"/>
    <w:rsid w:val="00006467"/>
    <w:rsid w:val="000065F7"/>
    <w:rsid w:val="00006902"/>
    <w:rsid w:val="00006CFF"/>
    <w:rsid w:val="00006D17"/>
    <w:rsid w:val="00006E7D"/>
    <w:rsid w:val="00006F21"/>
    <w:rsid w:val="00007062"/>
    <w:rsid w:val="00007455"/>
    <w:rsid w:val="00007A09"/>
    <w:rsid w:val="00010070"/>
    <w:rsid w:val="00010AFB"/>
    <w:rsid w:val="00010B48"/>
    <w:rsid w:val="00011404"/>
    <w:rsid w:val="00011691"/>
    <w:rsid w:val="000119DA"/>
    <w:rsid w:val="00011B21"/>
    <w:rsid w:val="00012965"/>
    <w:rsid w:val="00013453"/>
    <w:rsid w:val="00014317"/>
    <w:rsid w:val="0001494F"/>
    <w:rsid w:val="00014A31"/>
    <w:rsid w:val="00014C1A"/>
    <w:rsid w:val="00014E64"/>
    <w:rsid w:val="00015025"/>
    <w:rsid w:val="000150E6"/>
    <w:rsid w:val="00015301"/>
    <w:rsid w:val="00015551"/>
    <w:rsid w:val="00015AF3"/>
    <w:rsid w:val="00015DC0"/>
    <w:rsid w:val="00015F81"/>
    <w:rsid w:val="000162EC"/>
    <w:rsid w:val="000163C7"/>
    <w:rsid w:val="0001645C"/>
    <w:rsid w:val="000165F5"/>
    <w:rsid w:val="00016626"/>
    <w:rsid w:val="000166D3"/>
    <w:rsid w:val="00016EAA"/>
    <w:rsid w:val="00016F3D"/>
    <w:rsid w:val="000174DC"/>
    <w:rsid w:val="000175CB"/>
    <w:rsid w:val="0001767E"/>
    <w:rsid w:val="00017706"/>
    <w:rsid w:val="00020808"/>
    <w:rsid w:val="00020840"/>
    <w:rsid w:val="00020DCA"/>
    <w:rsid w:val="00020DFC"/>
    <w:rsid w:val="00021238"/>
    <w:rsid w:val="000214B1"/>
    <w:rsid w:val="000216D2"/>
    <w:rsid w:val="00021A9D"/>
    <w:rsid w:val="00021F80"/>
    <w:rsid w:val="000226D9"/>
    <w:rsid w:val="0002275F"/>
    <w:rsid w:val="00022957"/>
    <w:rsid w:val="00022AEF"/>
    <w:rsid w:val="00022EA1"/>
    <w:rsid w:val="00022F63"/>
    <w:rsid w:val="000230D1"/>
    <w:rsid w:val="0002335A"/>
    <w:rsid w:val="00023BA0"/>
    <w:rsid w:val="00023DAD"/>
    <w:rsid w:val="00023E34"/>
    <w:rsid w:val="00024184"/>
    <w:rsid w:val="0002422A"/>
    <w:rsid w:val="00024A22"/>
    <w:rsid w:val="00024A60"/>
    <w:rsid w:val="00024C25"/>
    <w:rsid w:val="0002535F"/>
    <w:rsid w:val="000253C9"/>
    <w:rsid w:val="00025534"/>
    <w:rsid w:val="00025A60"/>
    <w:rsid w:val="00025AA4"/>
    <w:rsid w:val="00025ABA"/>
    <w:rsid w:val="00025CBD"/>
    <w:rsid w:val="00025DBA"/>
    <w:rsid w:val="00025E94"/>
    <w:rsid w:val="00025F9B"/>
    <w:rsid w:val="000262FA"/>
    <w:rsid w:val="00026362"/>
    <w:rsid w:val="00026703"/>
    <w:rsid w:val="00026815"/>
    <w:rsid w:val="000268F1"/>
    <w:rsid w:val="00026AD5"/>
    <w:rsid w:val="00027A6E"/>
    <w:rsid w:val="00027BF2"/>
    <w:rsid w:val="0003029E"/>
    <w:rsid w:val="0003048A"/>
    <w:rsid w:val="00030707"/>
    <w:rsid w:val="00030839"/>
    <w:rsid w:val="000308B4"/>
    <w:rsid w:val="00030FEA"/>
    <w:rsid w:val="0003171C"/>
    <w:rsid w:val="0003229B"/>
    <w:rsid w:val="00032585"/>
    <w:rsid w:val="00032A66"/>
    <w:rsid w:val="00032BBF"/>
    <w:rsid w:val="00032E12"/>
    <w:rsid w:val="000334D5"/>
    <w:rsid w:val="000338EA"/>
    <w:rsid w:val="0003404A"/>
    <w:rsid w:val="0003407D"/>
    <w:rsid w:val="00034284"/>
    <w:rsid w:val="00034536"/>
    <w:rsid w:val="000345DA"/>
    <w:rsid w:val="00034808"/>
    <w:rsid w:val="00034A2C"/>
    <w:rsid w:val="000354B8"/>
    <w:rsid w:val="00035A91"/>
    <w:rsid w:val="00035C05"/>
    <w:rsid w:val="00036161"/>
    <w:rsid w:val="0003617C"/>
    <w:rsid w:val="00036DB9"/>
    <w:rsid w:val="00037198"/>
    <w:rsid w:val="000372B2"/>
    <w:rsid w:val="000374C7"/>
    <w:rsid w:val="0003773F"/>
    <w:rsid w:val="00037863"/>
    <w:rsid w:val="0003786A"/>
    <w:rsid w:val="00037A5B"/>
    <w:rsid w:val="00037B85"/>
    <w:rsid w:val="00037C0D"/>
    <w:rsid w:val="00037EE5"/>
    <w:rsid w:val="0004037E"/>
    <w:rsid w:val="00040748"/>
    <w:rsid w:val="00040AF1"/>
    <w:rsid w:val="00041153"/>
    <w:rsid w:val="00041228"/>
    <w:rsid w:val="0004135A"/>
    <w:rsid w:val="000414F8"/>
    <w:rsid w:val="00041AD3"/>
    <w:rsid w:val="00042333"/>
    <w:rsid w:val="000429E2"/>
    <w:rsid w:val="00042B75"/>
    <w:rsid w:val="00042FD0"/>
    <w:rsid w:val="00043095"/>
    <w:rsid w:val="000432AA"/>
    <w:rsid w:val="0004332F"/>
    <w:rsid w:val="0004333F"/>
    <w:rsid w:val="00043C2C"/>
    <w:rsid w:val="00044066"/>
    <w:rsid w:val="000440F8"/>
    <w:rsid w:val="00044145"/>
    <w:rsid w:val="000442E3"/>
    <w:rsid w:val="00044347"/>
    <w:rsid w:val="000446D2"/>
    <w:rsid w:val="0004473F"/>
    <w:rsid w:val="00044959"/>
    <w:rsid w:val="00044989"/>
    <w:rsid w:val="000449E3"/>
    <w:rsid w:val="00044C32"/>
    <w:rsid w:val="000450BC"/>
    <w:rsid w:val="000451EC"/>
    <w:rsid w:val="00045309"/>
    <w:rsid w:val="0004571C"/>
    <w:rsid w:val="00045CC8"/>
    <w:rsid w:val="000460A5"/>
    <w:rsid w:val="000461EC"/>
    <w:rsid w:val="0004634F"/>
    <w:rsid w:val="000465BB"/>
    <w:rsid w:val="000468A0"/>
    <w:rsid w:val="00046BD2"/>
    <w:rsid w:val="00046C7E"/>
    <w:rsid w:val="0004710A"/>
    <w:rsid w:val="000474C0"/>
    <w:rsid w:val="00047561"/>
    <w:rsid w:val="00047726"/>
    <w:rsid w:val="00047DDC"/>
    <w:rsid w:val="00050216"/>
    <w:rsid w:val="000506A9"/>
    <w:rsid w:val="0005099A"/>
    <w:rsid w:val="00050F96"/>
    <w:rsid w:val="00051000"/>
    <w:rsid w:val="0005101B"/>
    <w:rsid w:val="00051259"/>
    <w:rsid w:val="00051498"/>
    <w:rsid w:val="00051875"/>
    <w:rsid w:val="000528F3"/>
    <w:rsid w:val="00052927"/>
    <w:rsid w:val="00052BC2"/>
    <w:rsid w:val="00052C80"/>
    <w:rsid w:val="00052CCA"/>
    <w:rsid w:val="00052F90"/>
    <w:rsid w:val="00053352"/>
    <w:rsid w:val="0005367E"/>
    <w:rsid w:val="000538FF"/>
    <w:rsid w:val="00053C9B"/>
    <w:rsid w:val="00053D7B"/>
    <w:rsid w:val="00054029"/>
    <w:rsid w:val="00054110"/>
    <w:rsid w:val="0005430C"/>
    <w:rsid w:val="00054512"/>
    <w:rsid w:val="00054797"/>
    <w:rsid w:val="0005488A"/>
    <w:rsid w:val="00055116"/>
    <w:rsid w:val="000557DA"/>
    <w:rsid w:val="00055981"/>
    <w:rsid w:val="000559E2"/>
    <w:rsid w:val="00055FC4"/>
    <w:rsid w:val="000566F6"/>
    <w:rsid w:val="000569F0"/>
    <w:rsid w:val="00056B63"/>
    <w:rsid w:val="00056BAE"/>
    <w:rsid w:val="00057525"/>
    <w:rsid w:val="00057E98"/>
    <w:rsid w:val="0006037D"/>
    <w:rsid w:val="00060529"/>
    <w:rsid w:val="000609F8"/>
    <w:rsid w:val="00061525"/>
    <w:rsid w:val="00061656"/>
    <w:rsid w:val="000616D3"/>
    <w:rsid w:val="000617E3"/>
    <w:rsid w:val="00061B29"/>
    <w:rsid w:val="00061C89"/>
    <w:rsid w:val="00061FBD"/>
    <w:rsid w:val="00062951"/>
    <w:rsid w:val="00062B79"/>
    <w:rsid w:val="00062D6C"/>
    <w:rsid w:val="000638FA"/>
    <w:rsid w:val="00063E02"/>
    <w:rsid w:val="00063E30"/>
    <w:rsid w:val="00064038"/>
    <w:rsid w:val="000646E2"/>
    <w:rsid w:val="00064859"/>
    <w:rsid w:val="00064D21"/>
    <w:rsid w:val="000654F1"/>
    <w:rsid w:val="000655BB"/>
    <w:rsid w:val="000658F4"/>
    <w:rsid w:val="00065B84"/>
    <w:rsid w:val="00065E1E"/>
    <w:rsid w:val="00065E60"/>
    <w:rsid w:val="0006604D"/>
    <w:rsid w:val="00066120"/>
    <w:rsid w:val="00066738"/>
    <w:rsid w:val="00066814"/>
    <w:rsid w:val="000669AD"/>
    <w:rsid w:val="00066D30"/>
    <w:rsid w:val="0006785A"/>
    <w:rsid w:val="00067960"/>
    <w:rsid w:val="00067A0C"/>
    <w:rsid w:val="00067AE7"/>
    <w:rsid w:val="0007057F"/>
    <w:rsid w:val="000707C0"/>
    <w:rsid w:val="00070CFE"/>
    <w:rsid w:val="00071054"/>
    <w:rsid w:val="000717F4"/>
    <w:rsid w:val="00071C64"/>
    <w:rsid w:val="00072009"/>
    <w:rsid w:val="00072094"/>
    <w:rsid w:val="000723FB"/>
    <w:rsid w:val="00072B6B"/>
    <w:rsid w:val="00072CC1"/>
    <w:rsid w:val="00072D0A"/>
    <w:rsid w:val="00072E63"/>
    <w:rsid w:val="00073120"/>
    <w:rsid w:val="00073C32"/>
    <w:rsid w:val="0007404E"/>
    <w:rsid w:val="000743B3"/>
    <w:rsid w:val="000743F8"/>
    <w:rsid w:val="00074414"/>
    <w:rsid w:val="0007465C"/>
    <w:rsid w:val="000746F5"/>
    <w:rsid w:val="000746F6"/>
    <w:rsid w:val="0007484B"/>
    <w:rsid w:val="0007508D"/>
    <w:rsid w:val="00075271"/>
    <w:rsid w:val="00075C26"/>
    <w:rsid w:val="00075D8A"/>
    <w:rsid w:val="00076548"/>
    <w:rsid w:val="00076599"/>
    <w:rsid w:val="0007668B"/>
    <w:rsid w:val="00076871"/>
    <w:rsid w:val="00076D5E"/>
    <w:rsid w:val="0007704F"/>
    <w:rsid w:val="000775BF"/>
    <w:rsid w:val="0008098B"/>
    <w:rsid w:val="00080AA2"/>
    <w:rsid w:val="00081990"/>
    <w:rsid w:val="00081A61"/>
    <w:rsid w:val="000822C6"/>
    <w:rsid w:val="0008257F"/>
    <w:rsid w:val="00083779"/>
    <w:rsid w:val="00083800"/>
    <w:rsid w:val="00083829"/>
    <w:rsid w:val="00083BB2"/>
    <w:rsid w:val="00083F3D"/>
    <w:rsid w:val="00083F48"/>
    <w:rsid w:val="00084491"/>
    <w:rsid w:val="00084636"/>
    <w:rsid w:val="0008466E"/>
    <w:rsid w:val="000849EC"/>
    <w:rsid w:val="00084A5A"/>
    <w:rsid w:val="00084A90"/>
    <w:rsid w:val="00084D95"/>
    <w:rsid w:val="00084DC8"/>
    <w:rsid w:val="000850B1"/>
    <w:rsid w:val="000851FD"/>
    <w:rsid w:val="000852DC"/>
    <w:rsid w:val="00085881"/>
    <w:rsid w:val="00085A03"/>
    <w:rsid w:val="00085C54"/>
    <w:rsid w:val="00085CA8"/>
    <w:rsid w:val="00085CC1"/>
    <w:rsid w:val="00085DD2"/>
    <w:rsid w:val="00085E71"/>
    <w:rsid w:val="00086215"/>
    <w:rsid w:val="00086C97"/>
    <w:rsid w:val="00086CBA"/>
    <w:rsid w:val="00086D33"/>
    <w:rsid w:val="0008746E"/>
    <w:rsid w:val="000875AB"/>
    <w:rsid w:val="000876E2"/>
    <w:rsid w:val="00087BE2"/>
    <w:rsid w:val="00087E06"/>
    <w:rsid w:val="000900E2"/>
    <w:rsid w:val="000900FE"/>
    <w:rsid w:val="0009075E"/>
    <w:rsid w:val="000908A2"/>
    <w:rsid w:val="00090968"/>
    <w:rsid w:val="00090BF4"/>
    <w:rsid w:val="00091007"/>
    <w:rsid w:val="000911E2"/>
    <w:rsid w:val="000914DC"/>
    <w:rsid w:val="00091692"/>
    <w:rsid w:val="00092439"/>
    <w:rsid w:val="00092583"/>
    <w:rsid w:val="00092624"/>
    <w:rsid w:val="00092737"/>
    <w:rsid w:val="000928C0"/>
    <w:rsid w:val="00092B77"/>
    <w:rsid w:val="00092CDC"/>
    <w:rsid w:val="00092E37"/>
    <w:rsid w:val="000934F5"/>
    <w:rsid w:val="00093ED8"/>
    <w:rsid w:val="0009460D"/>
    <w:rsid w:val="00094BFA"/>
    <w:rsid w:val="00094EE7"/>
    <w:rsid w:val="00094FC0"/>
    <w:rsid w:val="00095035"/>
    <w:rsid w:val="00095470"/>
    <w:rsid w:val="000959CA"/>
    <w:rsid w:val="00095DAD"/>
    <w:rsid w:val="00095E06"/>
    <w:rsid w:val="0009633C"/>
    <w:rsid w:val="00096441"/>
    <w:rsid w:val="000968EE"/>
    <w:rsid w:val="00096C96"/>
    <w:rsid w:val="000973C3"/>
    <w:rsid w:val="00097991"/>
    <w:rsid w:val="00097A6E"/>
    <w:rsid w:val="000A031C"/>
    <w:rsid w:val="000A0339"/>
    <w:rsid w:val="000A0424"/>
    <w:rsid w:val="000A05CF"/>
    <w:rsid w:val="000A05DB"/>
    <w:rsid w:val="000A0649"/>
    <w:rsid w:val="000A064F"/>
    <w:rsid w:val="000A08E2"/>
    <w:rsid w:val="000A090C"/>
    <w:rsid w:val="000A0D20"/>
    <w:rsid w:val="000A1063"/>
    <w:rsid w:val="000A1144"/>
    <w:rsid w:val="000A144D"/>
    <w:rsid w:val="000A14AC"/>
    <w:rsid w:val="000A1942"/>
    <w:rsid w:val="000A237A"/>
    <w:rsid w:val="000A2C7D"/>
    <w:rsid w:val="000A2E6F"/>
    <w:rsid w:val="000A3025"/>
    <w:rsid w:val="000A3232"/>
    <w:rsid w:val="000A33A8"/>
    <w:rsid w:val="000A371C"/>
    <w:rsid w:val="000A37A6"/>
    <w:rsid w:val="000A381B"/>
    <w:rsid w:val="000A3900"/>
    <w:rsid w:val="000A3A05"/>
    <w:rsid w:val="000A3C38"/>
    <w:rsid w:val="000A3CE0"/>
    <w:rsid w:val="000A4098"/>
    <w:rsid w:val="000A40E3"/>
    <w:rsid w:val="000A4290"/>
    <w:rsid w:val="000A452B"/>
    <w:rsid w:val="000A4687"/>
    <w:rsid w:val="000A4E41"/>
    <w:rsid w:val="000A5171"/>
    <w:rsid w:val="000A52F2"/>
    <w:rsid w:val="000A54E6"/>
    <w:rsid w:val="000A5A9C"/>
    <w:rsid w:val="000A5E9A"/>
    <w:rsid w:val="000A62D7"/>
    <w:rsid w:val="000A65F1"/>
    <w:rsid w:val="000A708F"/>
    <w:rsid w:val="000A70BC"/>
    <w:rsid w:val="000A728D"/>
    <w:rsid w:val="000A73B1"/>
    <w:rsid w:val="000A7597"/>
    <w:rsid w:val="000A778B"/>
    <w:rsid w:val="000B0083"/>
    <w:rsid w:val="000B02A0"/>
    <w:rsid w:val="000B0323"/>
    <w:rsid w:val="000B04CF"/>
    <w:rsid w:val="000B0607"/>
    <w:rsid w:val="000B123B"/>
    <w:rsid w:val="000B1404"/>
    <w:rsid w:val="000B163F"/>
    <w:rsid w:val="000B1A32"/>
    <w:rsid w:val="000B203D"/>
    <w:rsid w:val="000B232E"/>
    <w:rsid w:val="000B26D2"/>
    <w:rsid w:val="000B294E"/>
    <w:rsid w:val="000B29C5"/>
    <w:rsid w:val="000B2B10"/>
    <w:rsid w:val="000B2B30"/>
    <w:rsid w:val="000B2ED9"/>
    <w:rsid w:val="000B2FB4"/>
    <w:rsid w:val="000B3131"/>
    <w:rsid w:val="000B32E1"/>
    <w:rsid w:val="000B3391"/>
    <w:rsid w:val="000B365D"/>
    <w:rsid w:val="000B3E3D"/>
    <w:rsid w:val="000B40A1"/>
    <w:rsid w:val="000B426C"/>
    <w:rsid w:val="000B452D"/>
    <w:rsid w:val="000B45D3"/>
    <w:rsid w:val="000B486F"/>
    <w:rsid w:val="000B48B7"/>
    <w:rsid w:val="000B4908"/>
    <w:rsid w:val="000B4CEE"/>
    <w:rsid w:val="000B4F3D"/>
    <w:rsid w:val="000B5099"/>
    <w:rsid w:val="000B534A"/>
    <w:rsid w:val="000B5384"/>
    <w:rsid w:val="000B5C3A"/>
    <w:rsid w:val="000B5E84"/>
    <w:rsid w:val="000B5FEF"/>
    <w:rsid w:val="000B5FF3"/>
    <w:rsid w:val="000B60DB"/>
    <w:rsid w:val="000B61D8"/>
    <w:rsid w:val="000B621A"/>
    <w:rsid w:val="000B6390"/>
    <w:rsid w:val="000B677A"/>
    <w:rsid w:val="000B68D1"/>
    <w:rsid w:val="000B6B45"/>
    <w:rsid w:val="000B6D6F"/>
    <w:rsid w:val="000B6F0C"/>
    <w:rsid w:val="000B706B"/>
    <w:rsid w:val="000B7870"/>
    <w:rsid w:val="000B7AD5"/>
    <w:rsid w:val="000B7C04"/>
    <w:rsid w:val="000B7D75"/>
    <w:rsid w:val="000B7E4F"/>
    <w:rsid w:val="000C02D3"/>
    <w:rsid w:val="000C0568"/>
    <w:rsid w:val="000C077B"/>
    <w:rsid w:val="000C140A"/>
    <w:rsid w:val="000C150C"/>
    <w:rsid w:val="000C18D7"/>
    <w:rsid w:val="000C1E8F"/>
    <w:rsid w:val="000C2134"/>
    <w:rsid w:val="000C262D"/>
    <w:rsid w:val="000C2875"/>
    <w:rsid w:val="000C2C04"/>
    <w:rsid w:val="000C2DA4"/>
    <w:rsid w:val="000C2F58"/>
    <w:rsid w:val="000C300B"/>
    <w:rsid w:val="000C3112"/>
    <w:rsid w:val="000C36C3"/>
    <w:rsid w:val="000C3D65"/>
    <w:rsid w:val="000C41D9"/>
    <w:rsid w:val="000C4365"/>
    <w:rsid w:val="000C4923"/>
    <w:rsid w:val="000C5C80"/>
    <w:rsid w:val="000C5CCB"/>
    <w:rsid w:val="000C5E2B"/>
    <w:rsid w:val="000C5EDD"/>
    <w:rsid w:val="000C6100"/>
    <w:rsid w:val="000C611D"/>
    <w:rsid w:val="000C63D8"/>
    <w:rsid w:val="000C6470"/>
    <w:rsid w:val="000C6BBA"/>
    <w:rsid w:val="000C6D1E"/>
    <w:rsid w:val="000C6D9E"/>
    <w:rsid w:val="000C706D"/>
    <w:rsid w:val="000C746D"/>
    <w:rsid w:val="000C759A"/>
    <w:rsid w:val="000C76AC"/>
    <w:rsid w:val="000C770E"/>
    <w:rsid w:val="000C77A3"/>
    <w:rsid w:val="000C78A6"/>
    <w:rsid w:val="000C7E5C"/>
    <w:rsid w:val="000C7ED0"/>
    <w:rsid w:val="000D0377"/>
    <w:rsid w:val="000D0A32"/>
    <w:rsid w:val="000D0C64"/>
    <w:rsid w:val="000D0F45"/>
    <w:rsid w:val="000D0F74"/>
    <w:rsid w:val="000D1356"/>
    <w:rsid w:val="000D17B0"/>
    <w:rsid w:val="000D17E1"/>
    <w:rsid w:val="000D1B55"/>
    <w:rsid w:val="000D1C3D"/>
    <w:rsid w:val="000D1F68"/>
    <w:rsid w:val="000D2082"/>
    <w:rsid w:val="000D21B3"/>
    <w:rsid w:val="000D2519"/>
    <w:rsid w:val="000D2608"/>
    <w:rsid w:val="000D269A"/>
    <w:rsid w:val="000D26DE"/>
    <w:rsid w:val="000D27DA"/>
    <w:rsid w:val="000D2C40"/>
    <w:rsid w:val="000D32A0"/>
    <w:rsid w:val="000D32B6"/>
    <w:rsid w:val="000D3317"/>
    <w:rsid w:val="000D3451"/>
    <w:rsid w:val="000D3594"/>
    <w:rsid w:val="000D3D18"/>
    <w:rsid w:val="000D3DC5"/>
    <w:rsid w:val="000D3F09"/>
    <w:rsid w:val="000D3F21"/>
    <w:rsid w:val="000D4429"/>
    <w:rsid w:val="000D44BA"/>
    <w:rsid w:val="000D464C"/>
    <w:rsid w:val="000D4699"/>
    <w:rsid w:val="000D4BD1"/>
    <w:rsid w:val="000D4F43"/>
    <w:rsid w:val="000D564E"/>
    <w:rsid w:val="000D57F7"/>
    <w:rsid w:val="000D5A1F"/>
    <w:rsid w:val="000D5EB7"/>
    <w:rsid w:val="000D61A7"/>
    <w:rsid w:val="000D6358"/>
    <w:rsid w:val="000D67D1"/>
    <w:rsid w:val="000D6BB7"/>
    <w:rsid w:val="000D7098"/>
    <w:rsid w:val="000D7253"/>
    <w:rsid w:val="000D72B8"/>
    <w:rsid w:val="000D7533"/>
    <w:rsid w:val="000D7AA2"/>
    <w:rsid w:val="000D7AE0"/>
    <w:rsid w:val="000D7CA9"/>
    <w:rsid w:val="000E074A"/>
    <w:rsid w:val="000E0768"/>
    <w:rsid w:val="000E080E"/>
    <w:rsid w:val="000E089B"/>
    <w:rsid w:val="000E0A10"/>
    <w:rsid w:val="000E0D82"/>
    <w:rsid w:val="000E0E59"/>
    <w:rsid w:val="000E1091"/>
    <w:rsid w:val="000E13F7"/>
    <w:rsid w:val="000E1472"/>
    <w:rsid w:val="000E168E"/>
    <w:rsid w:val="000E1707"/>
    <w:rsid w:val="000E1979"/>
    <w:rsid w:val="000E1B19"/>
    <w:rsid w:val="000E1B8B"/>
    <w:rsid w:val="000E1C44"/>
    <w:rsid w:val="000E225D"/>
    <w:rsid w:val="000E28CF"/>
    <w:rsid w:val="000E2969"/>
    <w:rsid w:val="000E2C86"/>
    <w:rsid w:val="000E2E3D"/>
    <w:rsid w:val="000E3117"/>
    <w:rsid w:val="000E39D0"/>
    <w:rsid w:val="000E3CA2"/>
    <w:rsid w:val="000E3F85"/>
    <w:rsid w:val="000E40F5"/>
    <w:rsid w:val="000E41F2"/>
    <w:rsid w:val="000E41F4"/>
    <w:rsid w:val="000E44C5"/>
    <w:rsid w:val="000E455E"/>
    <w:rsid w:val="000E492B"/>
    <w:rsid w:val="000E4B1B"/>
    <w:rsid w:val="000E4BE3"/>
    <w:rsid w:val="000E4D71"/>
    <w:rsid w:val="000E5340"/>
    <w:rsid w:val="000E543B"/>
    <w:rsid w:val="000E576A"/>
    <w:rsid w:val="000E59ED"/>
    <w:rsid w:val="000E5BA2"/>
    <w:rsid w:val="000E5C3A"/>
    <w:rsid w:val="000E6250"/>
    <w:rsid w:val="000E6359"/>
    <w:rsid w:val="000E64FB"/>
    <w:rsid w:val="000E6CA5"/>
    <w:rsid w:val="000E76A0"/>
    <w:rsid w:val="000E777B"/>
    <w:rsid w:val="000E7C11"/>
    <w:rsid w:val="000E7F52"/>
    <w:rsid w:val="000F01E2"/>
    <w:rsid w:val="000F02F6"/>
    <w:rsid w:val="000F0389"/>
    <w:rsid w:val="000F0461"/>
    <w:rsid w:val="000F0785"/>
    <w:rsid w:val="000F0B7A"/>
    <w:rsid w:val="000F0BA6"/>
    <w:rsid w:val="000F0C6E"/>
    <w:rsid w:val="000F0CB8"/>
    <w:rsid w:val="000F0E13"/>
    <w:rsid w:val="000F0ED4"/>
    <w:rsid w:val="000F0F2A"/>
    <w:rsid w:val="000F12AC"/>
    <w:rsid w:val="000F148C"/>
    <w:rsid w:val="000F15B9"/>
    <w:rsid w:val="000F16AA"/>
    <w:rsid w:val="000F18AB"/>
    <w:rsid w:val="000F18DB"/>
    <w:rsid w:val="000F1A14"/>
    <w:rsid w:val="000F1B02"/>
    <w:rsid w:val="000F1B53"/>
    <w:rsid w:val="000F1F6A"/>
    <w:rsid w:val="000F2033"/>
    <w:rsid w:val="000F220A"/>
    <w:rsid w:val="000F2396"/>
    <w:rsid w:val="000F255C"/>
    <w:rsid w:val="000F28ED"/>
    <w:rsid w:val="000F2E21"/>
    <w:rsid w:val="000F30CA"/>
    <w:rsid w:val="000F3365"/>
    <w:rsid w:val="000F3909"/>
    <w:rsid w:val="000F3ADF"/>
    <w:rsid w:val="000F4103"/>
    <w:rsid w:val="000F4BE4"/>
    <w:rsid w:val="000F508F"/>
    <w:rsid w:val="000F5175"/>
    <w:rsid w:val="000F5849"/>
    <w:rsid w:val="000F5CC6"/>
    <w:rsid w:val="000F5E0B"/>
    <w:rsid w:val="000F5FC2"/>
    <w:rsid w:val="000F5FD1"/>
    <w:rsid w:val="000F6030"/>
    <w:rsid w:val="000F61E3"/>
    <w:rsid w:val="000F6214"/>
    <w:rsid w:val="000F6368"/>
    <w:rsid w:val="000F6554"/>
    <w:rsid w:val="000F698E"/>
    <w:rsid w:val="000F6CDD"/>
    <w:rsid w:val="000F6E09"/>
    <w:rsid w:val="000F6EDA"/>
    <w:rsid w:val="000F71DE"/>
    <w:rsid w:val="000F7562"/>
    <w:rsid w:val="000F79C5"/>
    <w:rsid w:val="000F7A09"/>
    <w:rsid w:val="000F7F8E"/>
    <w:rsid w:val="00100947"/>
    <w:rsid w:val="00100CB5"/>
    <w:rsid w:val="00101134"/>
    <w:rsid w:val="001012B8"/>
    <w:rsid w:val="00101402"/>
    <w:rsid w:val="001014CC"/>
    <w:rsid w:val="00101966"/>
    <w:rsid w:val="001019D6"/>
    <w:rsid w:val="00101CA3"/>
    <w:rsid w:val="00101F63"/>
    <w:rsid w:val="00101FF8"/>
    <w:rsid w:val="001021B7"/>
    <w:rsid w:val="001021EC"/>
    <w:rsid w:val="001022A6"/>
    <w:rsid w:val="001022A8"/>
    <w:rsid w:val="00102398"/>
    <w:rsid w:val="0010239D"/>
    <w:rsid w:val="00102528"/>
    <w:rsid w:val="00102673"/>
    <w:rsid w:val="00102750"/>
    <w:rsid w:val="00102782"/>
    <w:rsid w:val="0010278A"/>
    <w:rsid w:val="00102A96"/>
    <w:rsid w:val="00102BA2"/>
    <w:rsid w:val="001032C0"/>
    <w:rsid w:val="0010331E"/>
    <w:rsid w:val="001036A8"/>
    <w:rsid w:val="001038C4"/>
    <w:rsid w:val="001039BC"/>
    <w:rsid w:val="0010414D"/>
    <w:rsid w:val="001041A4"/>
    <w:rsid w:val="001042E8"/>
    <w:rsid w:val="00104328"/>
    <w:rsid w:val="00104598"/>
    <w:rsid w:val="00104766"/>
    <w:rsid w:val="001047C4"/>
    <w:rsid w:val="00104840"/>
    <w:rsid w:val="00104C18"/>
    <w:rsid w:val="00104FFF"/>
    <w:rsid w:val="0010518A"/>
    <w:rsid w:val="00105271"/>
    <w:rsid w:val="001060B1"/>
    <w:rsid w:val="00106A95"/>
    <w:rsid w:val="00106AB8"/>
    <w:rsid w:val="00106BB1"/>
    <w:rsid w:val="00106C0D"/>
    <w:rsid w:val="00106CE1"/>
    <w:rsid w:val="00106D64"/>
    <w:rsid w:val="00106D6C"/>
    <w:rsid w:val="001070A9"/>
    <w:rsid w:val="0010744C"/>
    <w:rsid w:val="001077FA"/>
    <w:rsid w:val="001078E8"/>
    <w:rsid w:val="001079BE"/>
    <w:rsid w:val="001103E1"/>
    <w:rsid w:val="001106A2"/>
    <w:rsid w:val="00110842"/>
    <w:rsid w:val="00110D5F"/>
    <w:rsid w:val="001112AD"/>
    <w:rsid w:val="00111C7A"/>
    <w:rsid w:val="00111CF6"/>
    <w:rsid w:val="0011203E"/>
    <w:rsid w:val="00112489"/>
    <w:rsid w:val="00112581"/>
    <w:rsid w:val="001129EA"/>
    <w:rsid w:val="00112CF3"/>
    <w:rsid w:val="00112FF6"/>
    <w:rsid w:val="00113399"/>
    <w:rsid w:val="00113739"/>
    <w:rsid w:val="00113CF0"/>
    <w:rsid w:val="0011413F"/>
    <w:rsid w:val="001142AC"/>
    <w:rsid w:val="001142EB"/>
    <w:rsid w:val="001144ED"/>
    <w:rsid w:val="00114541"/>
    <w:rsid w:val="001147A1"/>
    <w:rsid w:val="00114A4C"/>
    <w:rsid w:val="00114AA9"/>
    <w:rsid w:val="00114B44"/>
    <w:rsid w:val="00114C59"/>
    <w:rsid w:val="00114EAE"/>
    <w:rsid w:val="001152F6"/>
    <w:rsid w:val="00115324"/>
    <w:rsid w:val="001154A3"/>
    <w:rsid w:val="001160D7"/>
    <w:rsid w:val="0011614A"/>
    <w:rsid w:val="0011693E"/>
    <w:rsid w:val="00116BC1"/>
    <w:rsid w:val="001175CE"/>
    <w:rsid w:val="00117954"/>
    <w:rsid w:val="00117BA9"/>
    <w:rsid w:val="00117E20"/>
    <w:rsid w:val="00117E9D"/>
    <w:rsid w:val="00120759"/>
    <w:rsid w:val="00120B6A"/>
    <w:rsid w:val="00120C4E"/>
    <w:rsid w:val="001217F5"/>
    <w:rsid w:val="00121A52"/>
    <w:rsid w:val="00121AA8"/>
    <w:rsid w:val="0012260B"/>
    <w:rsid w:val="00122677"/>
    <w:rsid w:val="00122A41"/>
    <w:rsid w:val="00122AD8"/>
    <w:rsid w:val="00122B1A"/>
    <w:rsid w:val="00122F91"/>
    <w:rsid w:val="0012337A"/>
    <w:rsid w:val="0012355A"/>
    <w:rsid w:val="001235D8"/>
    <w:rsid w:val="00123AA2"/>
    <w:rsid w:val="00123D88"/>
    <w:rsid w:val="0012431B"/>
    <w:rsid w:val="00124619"/>
    <w:rsid w:val="001246F9"/>
    <w:rsid w:val="00124A5B"/>
    <w:rsid w:val="00124CE3"/>
    <w:rsid w:val="00124D86"/>
    <w:rsid w:val="00125B43"/>
    <w:rsid w:val="001261FC"/>
    <w:rsid w:val="00126804"/>
    <w:rsid w:val="001277DC"/>
    <w:rsid w:val="0012790A"/>
    <w:rsid w:val="00127928"/>
    <w:rsid w:val="00127A88"/>
    <w:rsid w:val="00127ABD"/>
    <w:rsid w:val="00127BAC"/>
    <w:rsid w:val="00127EB1"/>
    <w:rsid w:val="00127FD6"/>
    <w:rsid w:val="001303B4"/>
    <w:rsid w:val="00130417"/>
    <w:rsid w:val="001305F6"/>
    <w:rsid w:val="00130891"/>
    <w:rsid w:val="00130B09"/>
    <w:rsid w:val="00130D14"/>
    <w:rsid w:val="00130D70"/>
    <w:rsid w:val="00131033"/>
    <w:rsid w:val="0013120E"/>
    <w:rsid w:val="001315F8"/>
    <w:rsid w:val="001318BE"/>
    <w:rsid w:val="001320AC"/>
    <w:rsid w:val="0013237A"/>
    <w:rsid w:val="00132C59"/>
    <w:rsid w:val="00133470"/>
    <w:rsid w:val="001336AB"/>
    <w:rsid w:val="0013371D"/>
    <w:rsid w:val="0013395A"/>
    <w:rsid w:val="00133997"/>
    <w:rsid w:val="00133A75"/>
    <w:rsid w:val="00133B9B"/>
    <w:rsid w:val="00133DED"/>
    <w:rsid w:val="00133E80"/>
    <w:rsid w:val="0013453D"/>
    <w:rsid w:val="00134AC2"/>
    <w:rsid w:val="00134B2D"/>
    <w:rsid w:val="00134B3E"/>
    <w:rsid w:val="00134C41"/>
    <w:rsid w:val="0013527C"/>
    <w:rsid w:val="001354BC"/>
    <w:rsid w:val="00135524"/>
    <w:rsid w:val="001355AC"/>
    <w:rsid w:val="00135BE0"/>
    <w:rsid w:val="00135DEC"/>
    <w:rsid w:val="00135F70"/>
    <w:rsid w:val="00136181"/>
    <w:rsid w:val="00136196"/>
    <w:rsid w:val="0013655E"/>
    <w:rsid w:val="001367C9"/>
    <w:rsid w:val="0013722C"/>
    <w:rsid w:val="00137261"/>
    <w:rsid w:val="00137802"/>
    <w:rsid w:val="00137EC8"/>
    <w:rsid w:val="001402C0"/>
    <w:rsid w:val="00140779"/>
    <w:rsid w:val="00140A25"/>
    <w:rsid w:val="00140A52"/>
    <w:rsid w:val="00140CFE"/>
    <w:rsid w:val="00141075"/>
    <w:rsid w:val="00141868"/>
    <w:rsid w:val="00141F18"/>
    <w:rsid w:val="0014247D"/>
    <w:rsid w:val="00142661"/>
    <w:rsid w:val="00142843"/>
    <w:rsid w:val="00142875"/>
    <w:rsid w:val="00142C72"/>
    <w:rsid w:val="00142D5B"/>
    <w:rsid w:val="00142E76"/>
    <w:rsid w:val="00143324"/>
    <w:rsid w:val="00143929"/>
    <w:rsid w:val="00143ECA"/>
    <w:rsid w:val="00143FD8"/>
    <w:rsid w:val="0014438A"/>
    <w:rsid w:val="001447C0"/>
    <w:rsid w:val="0014491B"/>
    <w:rsid w:val="00144998"/>
    <w:rsid w:val="00144BE8"/>
    <w:rsid w:val="00144BEA"/>
    <w:rsid w:val="00144F28"/>
    <w:rsid w:val="00144FCB"/>
    <w:rsid w:val="00145571"/>
    <w:rsid w:val="0014567B"/>
    <w:rsid w:val="0014574E"/>
    <w:rsid w:val="0014687B"/>
    <w:rsid w:val="00146E35"/>
    <w:rsid w:val="00147060"/>
    <w:rsid w:val="001471F8"/>
    <w:rsid w:val="00147EB0"/>
    <w:rsid w:val="001503A1"/>
    <w:rsid w:val="00150712"/>
    <w:rsid w:val="00151597"/>
    <w:rsid w:val="00151686"/>
    <w:rsid w:val="00151D9E"/>
    <w:rsid w:val="00152313"/>
    <w:rsid w:val="00152AEB"/>
    <w:rsid w:val="001531C7"/>
    <w:rsid w:val="00153266"/>
    <w:rsid w:val="0015348B"/>
    <w:rsid w:val="00153739"/>
    <w:rsid w:val="00153944"/>
    <w:rsid w:val="00153A92"/>
    <w:rsid w:val="00153BDA"/>
    <w:rsid w:val="00153C12"/>
    <w:rsid w:val="00153C94"/>
    <w:rsid w:val="00153E57"/>
    <w:rsid w:val="00153F41"/>
    <w:rsid w:val="001540B3"/>
    <w:rsid w:val="001545E6"/>
    <w:rsid w:val="001547AD"/>
    <w:rsid w:val="00154D42"/>
    <w:rsid w:val="00155098"/>
    <w:rsid w:val="001551D7"/>
    <w:rsid w:val="00155207"/>
    <w:rsid w:val="00155888"/>
    <w:rsid w:val="00155C71"/>
    <w:rsid w:val="00155E1A"/>
    <w:rsid w:val="001563B4"/>
    <w:rsid w:val="001567D9"/>
    <w:rsid w:val="00156993"/>
    <w:rsid w:val="001569DC"/>
    <w:rsid w:val="00156A5C"/>
    <w:rsid w:val="00157A1D"/>
    <w:rsid w:val="00157D14"/>
    <w:rsid w:val="00157E64"/>
    <w:rsid w:val="00157E65"/>
    <w:rsid w:val="00160563"/>
    <w:rsid w:val="00160575"/>
    <w:rsid w:val="00160EE2"/>
    <w:rsid w:val="0016121C"/>
    <w:rsid w:val="0016141E"/>
    <w:rsid w:val="0016143F"/>
    <w:rsid w:val="00161452"/>
    <w:rsid w:val="001614BF"/>
    <w:rsid w:val="00161F4F"/>
    <w:rsid w:val="00162DA1"/>
    <w:rsid w:val="001630FB"/>
    <w:rsid w:val="00163573"/>
    <w:rsid w:val="0016357B"/>
    <w:rsid w:val="001638BB"/>
    <w:rsid w:val="001638EA"/>
    <w:rsid w:val="0016393C"/>
    <w:rsid w:val="00163BAE"/>
    <w:rsid w:val="00163F0E"/>
    <w:rsid w:val="00163FAB"/>
    <w:rsid w:val="00164302"/>
    <w:rsid w:val="00164580"/>
    <w:rsid w:val="0016480B"/>
    <w:rsid w:val="00164D99"/>
    <w:rsid w:val="00165275"/>
    <w:rsid w:val="00166035"/>
    <w:rsid w:val="00166218"/>
    <w:rsid w:val="001664A9"/>
    <w:rsid w:val="0016654B"/>
    <w:rsid w:val="0016669F"/>
    <w:rsid w:val="00166746"/>
    <w:rsid w:val="00166874"/>
    <w:rsid w:val="00166B52"/>
    <w:rsid w:val="00166BB2"/>
    <w:rsid w:val="00166BD2"/>
    <w:rsid w:val="00166FD6"/>
    <w:rsid w:val="00167414"/>
    <w:rsid w:val="0016776B"/>
    <w:rsid w:val="00167BCB"/>
    <w:rsid w:val="00167D05"/>
    <w:rsid w:val="00167D25"/>
    <w:rsid w:val="00167DD4"/>
    <w:rsid w:val="00167E05"/>
    <w:rsid w:val="001701AD"/>
    <w:rsid w:val="001702CA"/>
    <w:rsid w:val="001703B2"/>
    <w:rsid w:val="001708B9"/>
    <w:rsid w:val="00170947"/>
    <w:rsid w:val="00170CAF"/>
    <w:rsid w:val="00171189"/>
    <w:rsid w:val="001713C0"/>
    <w:rsid w:val="001714D7"/>
    <w:rsid w:val="00171A6A"/>
    <w:rsid w:val="00171D28"/>
    <w:rsid w:val="0017218C"/>
    <w:rsid w:val="00172211"/>
    <w:rsid w:val="00172806"/>
    <w:rsid w:val="001729BD"/>
    <w:rsid w:val="00172ABB"/>
    <w:rsid w:val="00173702"/>
    <w:rsid w:val="00173B32"/>
    <w:rsid w:val="00173D17"/>
    <w:rsid w:val="00173E5C"/>
    <w:rsid w:val="001742C6"/>
    <w:rsid w:val="00174406"/>
    <w:rsid w:val="001748BB"/>
    <w:rsid w:val="00174B87"/>
    <w:rsid w:val="0017500C"/>
    <w:rsid w:val="0017502E"/>
    <w:rsid w:val="00175553"/>
    <w:rsid w:val="00175FFB"/>
    <w:rsid w:val="00176A43"/>
    <w:rsid w:val="00176EAF"/>
    <w:rsid w:val="00176F2E"/>
    <w:rsid w:val="00176F56"/>
    <w:rsid w:val="00177421"/>
    <w:rsid w:val="00177E3F"/>
    <w:rsid w:val="00177F40"/>
    <w:rsid w:val="00180003"/>
    <w:rsid w:val="00180119"/>
    <w:rsid w:val="0018020D"/>
    <w:rsid w:val="0018070C"/>
    <w:rsid w:val="00180998"/>
    <w:rsid w:val="00180CCB"/>
    <w:rsid w:val="001811E7"/>
    <w:rsid w:val="00181902"/>
    <w:rsid w:val="00181BA1"/>
    <w:rsid w:val="00181CFE"/>
    <w:rsid w:val="00181D23"/>
    <w:rsid w:val="00181D98"/>
    <w:rsid w:val="001823F6"/>
    <w:rsid w:val="0018292E"/>
    <w:rsid w:val="001829AB"/>
    <w:rsid w:val="00182A9E"/>
    <w:rsid w:val="00182CFF"/>
    <w:rsid w:val="00182EC6"/>
    <w:rsid w:val="00182F4A"/>
    <w:rsid w:val="0018341E"/>
    <w:rsid w:val="001838FD"/>
    <w:rsid w:val="00183A24"/>
    <w:rsid w:val="00183F1C"/>
    <w:rsid w:val="00184953"/>
    <w:rsid w:val="00184997"/>
    <w:rsid w:val="00184D79"/>
    <w:rsid w:val="00184DC3"/>
    <w:rsid w:val="00184DCD"/>
    <w:rsid w:val="00184EF0"/>
    <w:rsid w:val="001850FE"/>
    <w:rsid w:val="00185438"/>
    <w:rsid w:val="00185538"/>
    <w:rsid w:val="001856BB"/>
    <w:rsid w:val="0018598C"/>
    <w:rsid w:val="00185C92"/>
    <w:rsid w:val="00186590"/>
    <w:rsid w:val="001866BE"/>
    <w:rsid w:val="001867CB"/>
    <w:rsid w:val="00186A85"/>
    <w:rsid w:val="00186C06"/>
    <w:rsid w:val="00186C0B"/>
    <w:rsid w:val="00186D1C"/>
    <w:rsid w:val="00187095"/>
    <w:rsid w:val="0018736E"/>
    <w:rsid w:val="00187623"/>
    <w:rsid w:val="00187663"/>
    <w:rsid w:val="00187704"/>
    <w:rsid w:val="0018791D"/>
    <w:rsid w:val="00187B57"/>
    <w:rsid w:val="00187BA5"/>
    <w:rsid w:val="00187CF3"/>
    <w:rsid w:val="00187E00"/>
    <w:rsid w:val="00187EC4"/>
    <w:rsid w:val="0019017D"/>
    <w:rsid w:val="00190386"/>
    <w:rsid w:val="001908EF"/>
    <w:rsid w:val="00190A7B"/>
    <w:rsid w:val="00190C0F"/>
    <w:rsid w:val="00190E21"/>
    <w:rsid w:val="00190E96"/>
    <w:rsid w:val="001912EF"/>
    <w:rsid w:val="0019142C"/>
    <w:rsid w:val="001915D5"/>
    <w:rsid w:val="00191827"/>
    <w:rsid w:val="00191AB6"/>
    <w:rsid w:val="001927C2"/>
    <w:rsid w:val="001929E8"/>
    <w:rsid w:val="00192BB1"/>
    <w:rsid w:val="00192F7A"/>
    <w:rsid w:val="00192FE7"/>
    <w:rsid w:val="00193103"/>
    <w:rsid w:val="00193242"/>
    <w:rsid w:val="0019345F"/>
    <w:rsid w:val="001934AA"/>
    <w:rsid w:val="0019355C"/>
    <w:rsid w:val="00193C37"/>
    <w:rsid w:val="00193EBA"/>
    <w:rsid w:val="001942E5"/>
    <w:rsid w:val="00194FFB"/>
    <w:rsid w:val="001952FD"/>
    <w:rsid w:val="001954C0"/>
    <w:rsid w:val="00195585"/>
    <w:rsid w:val="00195A15"/>
    <w:rsid w:val="00195DD6"/>
    <w:rsid w:val="00196013"/>
    <w:rsid w:val="001964D4"/>
    <w:rsid w:val="001965DF"/>
    <w:rsid w:val="001967EC"/>
    <w:rsid w:val="00197627"/>
    <w:rsid w:val="001A0032"/>
    <w:rsid w:val="001A0578"/>
    <w:rsid w:val="001A0817"/>
    <w:rsid w:val="001A09F1"/>
    <w:rsid w:val="001A0BA7"/>
    <w:rsid w:val="001A11C1"/>
    <w:rsid w:val="001A16B0"/>
    <w:rsid w:val="001A17DB"/>
    <w:rsid w:val="001A184F"/>
    <w:rsid w:val="001A1CB3"/>
    <w:rsid w:val="001A1E2E"/>
    <w:rsid w:val="001A2B24"/>
    <w:rsid w:val="001A3428"/>
    <w:rsid w:val="001A343B"/>
    <w:rsid w:val="001A3790"/>
    <w:rsid w:val="001A383F"/>
    <w:rsid w:val="001A38DA"/>
    <w:rsid w:val="001A39DD"/>
    <w:rsid w:val="001A3C68"/>
    <w:rsid w:val="001A3CE8"/>
    <w:rsid w:val="001A3E56"/>
    <w:rsid w:val="001A3EEA"/>
    <w:rsid w:val="001A3F50"/>
    <w:rsid w:val="001A4646"/>
    <w:rsid w:val="001A495B"/>
    <w:rsid w:val="001A5084"/>
    <w:rsid w:val="001A51BC"/>
    <w:rsid w:val="001A5AF5"/>
    <w:rsid w:val="001A5BA3"/>
    <w:rsid w:val="001A5CF5"/>
    <w:rsid w:val="001A5DEB"/>
    <w:rsid w:val="001A5E21"/>
    <w:rsid w:val="001A6054"/>
    <w:rsid w:val="001A60CE"/>
    <w:rsid w:val="001A653D"/>
    <w:rsid w:val="001A674B"/>
    <w:rsid w:val="001A67BA"/>
    <w:rsid w:val="001A67D1"/>
    <w:rsid w:val="001A6A1E"/>
    <w:rsid w:val="001A6AB6"/>
    <w:rsid w:val="001A6DBB"/>
    <w:rsid w:val="001A6E0E"/>
    <w:rsid w:val="001A7428"/>
    <w:rsid w:val="001A7495"/>
    <w:rsid w:val="001A76E1"/>
    <w:rsid w:val="001A7822"/>
    <w:rsid w:val="001A7A7E"/>
    <w:rsid w:val="001A7B39"/>
    <w:rsid w:val="001A7F60"/>
    <w:rsid w:val="001A7FBD"/>
    <w:rsid w:val="001B03C9"/>
    <w:rsid w:val="001B099F"/>
    <w:rsid w:val="001B0B0A"/>
    <w:rsid w:val="001B0BCD"/>
    <w:rsid w:val="001B0C71"/>
    <w:rsid w:val="001B147A"/>
    <w:rsid w:val="001B1795"/>
    <w:rsid w:val="001B1CAD"/>
    <w:rsid w:val="001B1CB2"/>
    <w:rsid w:val="001B1E9B"/>
    <w:rsid w:val="001B20BA"/>
    <w:rsid w:val="001B2174"/>
    <w:rsid w:val="001B25DE"/>
    <w:rsid w:val="001B26E9"/>
    <w:rsid w:val="001B2E6A"/>
    <w:rsid w:val="001B3AEB"/>
    <w:rsid w:val="001B3E02"/>
    <w:rsid w:val="001B41D9"/>
    <w:rsid w:val="001B447B"/>
    <w:rsid w:val="001B45CE"/>
    <w:rsid w:val="001B5055"/>
    <w:rsid w:val="001B5434"/>
    <w:rsid w:val="001B54E4"/>
    <w:rsid w:val="001B555D"/>
    <w:rsid w:val="001B589C"/>
    <w:rsid w:val="001B5D04"/>
    <w:rsid w:val="001B5FF1"/>
    <w:rsid w:val="001B620A"/>
    <w:rsid w:val="001B6AF2"/>
    <w:rsid w:val="001B7247"/>
    <w:rsid w:val="001B7A43"/>
    <w:rsid w:val="001B7AFE"/>
    <w:rsid w:val="001B7C7B"/>
    <w:rsid w:val="001C0797"/>
    <w:rsid w:val="001C0C1D"/>
    <w:rsid w:val="001C0CA8"/>
    <w:rsid w:val="001C1104"/>
    <w:rsid w:val="001C115E"/>
    <w:rsid w:val="001C124C"/>
    <w:rsid w:val="001C12AD"/>
    <w:rsid w:val="001C1346"/>
    <w:rsid w:val="001C202B"/>
    <w:rsid w:val="001C23BC"/>
    <w:rsid w:val="001C246B"/>
    <w:rsid w:val="001C2617"/>
    <w:rsid w:val="001C277E"/>
    <w:rsid w:val="001C27DE"/>
    <w:rsid w:val="001C2FD5"/>
    <w:rsid w:val="001C375F"/>
    <w:rsid w:val="001C3B62"/>
    <w:rsid w:val="001C4236"/>
    <w:rsid w:val="001C42D6"/>
    <w:rsid w:val="001C430B"/>
    <w:rsid w:val="001C4456"/>
    <w:rsid w:val="001C4470"/>
    <w:rsid w:val="001C44E8"/>
    <w:rsid w:val="001C45DC"/>
    <w:rsid w:val="001C48F0"/>
    <w:rsid w:val="001C4D65"/>
    <w:rsid w:val="001C4FD5"/>
    <w:rsid w:val="001C5A7B"/>
    <w:rsid w:val="001C5C2C"/>
    <w:rsid w:val="001C5DBC"/>
    <w:rsid w:val="001C5FD8"/>
    <w:rsid w:val="001C60B8"/>
    <w:rsid w:val="001C6434"/>
    <w:rsid w:val="001C672D"/>
    <w:rsid w:val="001C6899"/>
    <w:rsid w:val="001C7324"/>
    <w:rsid w:val="001C75AC"/>
    <w:rsid w:val="001C7635"/>
    <w:rsid w:val="001C7881"/>
    <w:rsid w:val="001C7ADB"/>
    <w:rsid w:val="001C7E72"/>
    <w:rsid w:val="001D0028"/>
    <w:rsid w:val="001D01A9"/>
    <w:rsid w:val="001D02F5"/>
    <w:rsid w:val="001D079E"/>
    <w:rsid w:val="001D08E2"/>
    <w:rsid w:val="001D0A0A"/>
    <w:rsid w:val="001D1175"/>
    <w:rsid w:val="001D14A8"/>
    <w:rsid w:val="001D168D"/>
    <w:rsid w:val="001D1A4F"/>
    <w:rsid w:val="001D1A62"/>
    <w:rsid w:val="001D1CB3"/>
    <w:rsid w:val="001D1ED2"/>
    <w:rsid w:val="001D1FCC"/>
    <w:rsid w:val="001D2648"/>
    <w:rsid w:val="001D26EA"/>
    <w:rsid w:val="001D2782"/>
    <w:rsid w:val="001D27FC"/>
    <w:rsid w:val="001D2CBF"/>
    <w:rsid w:val="001D2FD4"/>
    <w:rsid w:val="001D3400"/>
    <w:rsid w:val="001D3630"/>
    <w:rsid w:val="001D38CD"/>
    <w:rsid w:val="001D3C55"/>
    <w:rsid w:val="001D3D91"/>
    <w:rsid w:val="001D4042"/>
    <w:rsid w:val="001D42D2"/>
    <w:rsid w:val="001D448C"/>
    <w:rsid w:val="001D457A"/>
    <w:rsid w:val="001D4727"/>
    <w:rsid w:val="001D48D6"/>
    <w:rsid w:val="001D4A2F"/>
    <w:rsid w:val="001D53FE"/>
    <w:rsid w:val="001D55FF"/>
    <w:rsid w:val="001D5608"/>
    <w:rsid w:val="001D5743"/>
    <w:rsid w:val="001D5795"/>
    <w:rsid w:val="001D57BA"/>
    <w:rsid w:val="001D5AD2"/>
    <w:rsid w:val="001D5B20"/>
    <w:rsid w:val="001D5CBF"/>
    <w:rsid w:val="001D5DA9"/>
    <w:rsid w:val="001D5FDF"/>
    <w:rsid w:val="001D635F"/>
    <w:rsid w:val="001D6485"/>
    <w:rsid w:val="001D660D"/>
    <w:rsid w:val="001D678C"/>
    <w:rsid w:val="001D699E"/>
    <w:rsid w:val="001D69AE"/>
    <w:rsid w:val="001D6A5A"/>
    <w:rsid w:val="001D6B05"/>
    <w:rsid w:val="001D6BAA"/>
    <w:rsid w:val="001D6ED0"/>
    <w:rsid w:val="001D6F05"/>
    <w:rsid w:val="001D7215"/>
    <w:rsid w:val="001D76AC"/>
    <w:rsid w:val="001E0093"/>
    <w:rsid w:val="001E0114"/>
    <w:rsid w:val="001E02F0"/>
    <w:rsid w:val="001E03AC"/>
    <w:rsid w:val="001E0667"/>
    <w:rsid w:val="001E0749"/>
    <w:rsid w:val="001E1B63"/>
    <w:rsid w:val="001E242E"/>
    <w:rsid w:val="001E2A83"/>
    <w:rsid w:val="001E333C"/>
    <w:rsid w:val="001E35BD"/>
    <w:rsid w:val="001E3977"/>
    <w:rsid w:val="001E3BFD"/>
    <w:rsid w:val="001E3FDF"/>
    <w:rsid w:val="001E40D7"/>
    <w:rsid w:val="001E41DC"/>
    <w:rsid w:val="001E44D6"/>
    <w:rsid w:val="001E47BB"/>
    <w:rsid w:val="001E49D1"/>
    <w:rsid w:val="001E4CEC"/>
    <w:rsid w:val="001E4ED8"/>
    <w:rsid w:val="001E50A1"/>
    <w:rsid w:val="001E52CB"/>
    <w:rsid w:val="001E52D9"/>
    <w:rsid w:val="001E564A"/>
    <w:rsid w:val="001E5F2A"/>
    <w:rsid w:val="001E5F86"/>
    <w:rsid w:val="001E6134"/>
    <w:rsid w:val="001E61E2"/>
    <w:rsid w:val="001E657E"/>
    <w:rsid w:val="001E6AFD"/>
    <w:rsid w:val="001E6B31"/>
    <w:rsid w:val="001E7187"/>
    <w:rsid w:val="001E7313"/>
    <w:rsid w:val="001E7A2C"/>
    <w:rsid w:val="001E7DDA"/>
    <w:rsid w:val="001F0058"/>
    <w:rsid w:val="001F0396"/>
    <w:rsid w:val="001F03EE"/>
    <w:rsid w:val="001F05C9"/>
    <w:rsid w:val="001F08C6"/>
    <w:rsid w:val="001F091C"/>
    <w:rsid w:val="001F0C8F"/>
    <w:rsid w:val="001F0D9B"/>
    <w:rsid w:val="001F0F73"/>
    <w:rsid w:val="001F10A7"/>
    <w:rsid w:val="001F17F4"/>
    <w:rsid w:val="001F1D39"/>
    <w:rsid w:val="001F1E81"/>
    <w:rsid w:val="001F20B9"/>
    <w:rsid w:val="001F2252"/>
    <w:rsid w:val="001F25C6"/>
    <w:rsid w:val="001F278B"/>
    <w:rsid w:val="001F2A03"/>
    <w:rsid w:val="001F2CB5"/>
    <w:rsid w:val="001F2E1A"/>
    <w:rsid w:val="001F2F8B"/>
    <w:rsid w:val="001F33E0"/>
    <w:rsid w:val="001F3543"/>
    <w:rsid w:val="001F3811"/>
    <w:rsid w:val="001F3822"/>
    <w:rsid w:val="001F3F30"/>
    <w:rsid w:val="001F3F38"/>
    <w:rsid w:val="001F3F82"/>
    <w:rsid w:val="001F481A"/>
    <w:rsid w:val="001F510A"/>
    <w:rsid w:val="001F51EE"/>
    <w:rsid w:val="001F563E"/>
    <w:rsid w:val="001F5A61"/>
    <w:rsid w:val="001F60C5"/>
    <w:rsid w:val="001F6395"/>
    <w:rsid w:val="001F68EB"/>
    <w:rsid w:val="001F6B1C"/>
    <w:rsid w:val="001F6BFC"/>
    <w:rsid w:val="001F6CF8"/>
    <w:rsid w:val="001F72B3"/>
    <w:rsid w:val="001F746C"/>
    <w:rsid w:val="001F75EB"/>
    <w:rsid w:val="001F7992"/>
    <w:rsid w:val="001F7C90"/>
    <w:rsid w:val="001F7E5F"/>
    <w:rsid w:val="002001DE"/>
    <w:rsid w:val="002004A3"/>
    <w:rsid w:val="00200527"/>
    <w:rsid w:val="0020068C"/>
    <w:rsid w:val="002006AA"/>
    <w:rsid w:val="00200D82"/>
    <w:rsid w:val="00200F33"/>
    <w:rsid w:val="00201033"/>
    <w:rsid w:val="00201038"/>
    <w:rsid w:val="0020112A"/>
    <w:rsid w:val="00201533"/>
    <w:rsid w:val="002015E0"/>
    <w:rsid w:val="00201A31"/>
    <w:rsid w:val="00201AD1"/>
    <w:rsid w:val="00202608"/>
    <w:rsid w:val="002026DA"/>
    <w:rsid w:val="002026DD"/>
    <w:rsid w:val="00202728"/>
    <w:rsid w:val="002028B7"/>
    <w:rsid w:val="002029A0"/>
    <w:rsid w:val="00202C52"/>
    <w:rsid w:val="00202D88"/>
    <w:rsid w:val="00202EE8"/>
    <w:rsid w:val="00203106"/>
    <w:rsid w:val="002031B6"/>
    <w:rsid w:val="00203B72"/>
    <w:rsid w:val="00203D67"/>
    <w:rsid w:val="00203EDD"/>
    <w:rsid w:val="002040C8"/>
    <w:rsid w:val="002041E9"/>
    <w:rsid w:val="00204257"/>
    <w:rsid w:val="00204838"/>
    <w:rsid w:val="00205184"/>
    <w:rsid w:val="002052ED"/>
    <w:rsid w:val="0020538D"/>
    <w:rsid w:val="002056FE"/>
    <w:rsid w:val="00205B2A"/>
    <w:rsid w:val="00205FA1"/>
    <w:rsid w:val="002065A6"/>
    <w:rsid w:val="00206883"/>
    <w:rsid w:val="00206B83"/>
    <w:rsid w:val="00206CEA"/>
    <w:rsid w:val="00206ED9"/>
    <w:rsid w:val="00206EDC"/>
    <w:rsid w:val="002070C6"/>
    <w:rsid w:val="002072FE"/>
    <w:rsid w:val="00207DF7"/>
    <w:rsid w:val="0021041C"/>
    <w:rsid w:val="00210421"/>
    <w:rsid w:val="00211063"/>
    <w:rsid w:val="00211098"/>
    <w:rsid w:val="0021129D"/>
    <w:rsid w:val="00211534"/>
    <w:rsid w:val="002124CA"/>
    <w:rsid w:val="00212945"/>
    <w:rsid w:val="00212A57"/>
    <w:rsid w:val="00212BE3"/>
    <w:rsid w:val="00213183"/>
    <w:rsid w:val="002134C8"/>
    <w:rsid w:val="00213908"/>
    <w:rsid w:val="00213BB1"/>
    <w:rsid w:val="00213E33"/>
    <w:rsid w:val="00214B32"/>
    <w:rsid w:val="00214B7C"/>
    <w:rsid w:val="00214F90"/>
    <w:rsid w:val="00215137"/>
    <w:rsid w:val="0021526B"/>
    <w:rsid w:val="0021535D"/>
    <w:rsid w:val="002153F2"/>
    <w:rsid w:val="0021541A"/>
    <w:rsid w:val="0021548D"/>
    <w:rsid w:val="0021562A"/>
    <w:rsid w:val="00215942"/>
    <w:rsid w:val="0021594D"/>
    <w:rsid w:val="00215A18"/>
    <w:rsid w:val="00215F57"/>
    <w:rsid w:val="0021697B"/>
    <w:rsid w:val="002169B4"/>
    <w:rsid w:val="00216D85"/>
    <w:rsid w:val="002171D3"/>
    <w:rsid w:val="002172EA"/>
    <w:rsid w:val="0021731F"/>
    <w:rsid w:val="00217488"/>
    <w:rsid w:val="002175B1"/>
    <w:rsid w:val="0021773A"/>
    <w:rsid w:val="002177D7"/>
    <w:rsid w:val="002178AD"/>
    <w:rsid w:val="002179BD"/>
    <w:rsid w:val="002179C2"/>
    <w:rsid w:val="00217A5B"/>
    <w:rsid w:val="00217B26"/>
    <w:rsid w:val="00217CA1"/>
    <w:rsid w:val="00217EC9"/>
    <w:rsid w:val="0022009B"/>
    <w:rsid w:val="0022039E"/>
    <w:rsid w:val="00220900"/>
    <w:rsid w:val="00220AD9"/>
    <w:rsid w:val="00220AEF"/>
    <w:rsid w:val="00220B04"/>
    <w:rsid w:val="00220C79"/>
    <w:rsid w:val="00220DA8"/>
    <w:rsid w:val="00220FBD"/>
    <w:rsid w:val="0022114F"/>
    <w:rsid w:val="00221395"/>
    <w:rsid w:val="002213CC"/>
    <w:rsid w:val="002218F8"/>
    <w:rsid w:val="00221B2B"/>
    <w:rsid w:val="00221F9E"/>
    <w:rsid w:val="0022238F"/>
    <w:rsid w:val="002226C5"/>
    <w:rsid w:val="002227A3"/>
    <w:rsid w:val="00222804"/>
    <w:rsid w:val="002229F9"/>
    <w:rsid w:val="00222AC1"/>
    <w:rsid w:val="00222B2F"/>
    <w:rsid w:val="00222C0C"/>
    <w:rsid w:val="00222D78"/>
    <w:rsid w:val="002231B3"/>
    <w:rsid w:val="0022337F"/>
    <w:rsid w:val="002236C6"/>
    <w:rsid w:val="002236DE"/>
    <w:rsid w:val="0022384A"/>
    <w:rsid w:val="00223989"/>
    <w:rsid w:val="00223B2B"/>
    <w:rsid w:val="0022444E"/>
    <w:rsid w:val="00224606"/>
    <w:rsid w:val="0022482D"/>
    <w:rsid w:val="00224AD8"/>
    <w:rsid w:val="00224FA0"/>
    <w:rsid w:val="002250FB"/>
    <w:rsid w:val="0022514F"/>
    <w:rsid w:val="002252EC"/>
    <w:rsid w:val="00225C46"/>
    <w:rsid w:val="00225D81"/>
    <w:rsid w:val="0022656C"/>
    <w:rsid w:val="00226843"/>
    <w:rsid w:val="00226884"/>
    <w:rsid w:val="00226A17"/>
    <w:rsid w:val="00226CAC"/>
    <w:rsid w:val="00226F76"/>
    <w:rsid w:val="0022712C"/>
    <w:rsid w:val="00227588"/>
    <w:rsid w:val="002275B4"/>
    <w:rsid w:val="00227718"/>
    <w:rsid w:val="0022773E"/>
    <w:rsid w:val="00227D6B"/>
    <w:rsid w:val="00230011"/>
    <w:rsid w:val="00230CD2"/>
    <w:rsid w:val="00230E08"/>
    <w:rsid w:val="0023107E"/>
    <w:rsid w:val="002314B3"/>
    <w:rsid w:val="002317CB"/>
    <w:rsid w:val="00231842"/>
    <w:rsid w:val="00231BD1"/>
    <w:rsid w:val="00231F21"/>
    <w:rsid w:val="00232229"/>
    <w:rsid w:val="0023267B"/>
    <w:rsid w:val="00232F75"/>
    <w:rsid w:val="002333EE"/>
    <w:rsid w:val="002334E2"/>
    <w:rsid w:val="00233800"/>
    <w:rsid w:val="0023388E"/>
    <w:rsid w:val="00233AA1"/>
    <w:rsid w:val="00233C86"/>
    <w:rsid w:val="00233DE9"/>
    <w:rsid w:val="0023421E"/>
    <w:rsid w:val="002349D4"/>
    <w:rsid w:val="00234A22"/>
    <w:rsid w:val="00234AD4"/>
    <w:rsid w:val="00234CA8"/>
    <w:rsid w:val="002351C0"/>
    <w:rsid w:val="0023522F"/>
    <w:rsid w:val="00235895"/>
    <w:rsid w:val="00235BC1"/>
    <w:rsid w:val="00235F99"/>
    <w:rsid w:val="0023621E"/>
    <w:rsid w:val="00236602"/>
    <w:rsid w:val="0023691A"/>
    <w:rsid w:val="00236BD0"/>
    <w:rsid w:val="00236D16"/>
    <w:rsid w:val="00236EED"/>
    <w:rsid w:val="00237041"/>
    <w:rsid w:val="0023730C"/>
    <w:rsid w:val="002379F2"/>
    <w:rsid w:val="00237CBC"/>
    <w:rsid w:val="00237F8C"/>
    <w:rsid w:val="002400C8"/>
    <w:rsid w:val="00240236"/>
    <w:rsid w:val="00240F26"/>
    <w:rsid w:val="00241072"/>
    <w:rsid w:val="002412CD"/>
    <w:rsid w:val="002416E0"/>
    <w:rsid w:val="002418B2"/>
    <w:rsid w:val="0024196E"/>
    <w:rsid w:val="002419BA"/>
    <w:rsid w:val="00241B6E"/>
    <w:rsid w:val="00242C7C"/>
    <w:rsid w:val="00242E2A"/>
    <w:rsid w:val="00243764"/>
    <w:rsid w:val="00243AB0"/>
    <w:rsid w:val="00243F3D"/>
    <w:rsid w:val="00244290"/>
    <w:rsid w:val="00244BF2"/>
    <w:rsid w:val="00244EA8"/>
    <w:rsid w:val="002450A9"/>
    <w:rsid w:val="00245410"/>
    <w:rsid w:val="00245417"/>
    <w:rsid w:val="002456F1"/>
    <w:rsid w:val="00245ADE"/>
    <w:rsid w:val="00245BFC"/>
    <w:rsid w:val="00245DA9"/>
    <w:rsid w:val="00245EA3"/>
    <w:rsid w:val="00245ED6"/>
    <w:rsid w:val="00245F22"/>
    <w:rsid w:val="0024600C"/>
    <w:rsid w:val="0024608A"/>
    <w:rsid w:val="0024715B"/>
    <w:rsid w:val="00247763"/>
    <w:rsid w:val="00247816"/>
    <w:rsid w:val="002478D5"/>
    <w:rsid w:val="00247B8C"/>
    <w:rsid w:val="002503FB"/>
    <w:rsid w:val="00250469"/>
    <w:rsid w:val="00250639"/>
    <w:rsid w:val="0025076D"/>
    <w:rsid w:val="0025121B"/>
    <w:rsid w:val="0025138E"/>
    <w:rsid w:val="0025161B"/>
    <w:rsid w:val="00251BB8"/>
    <w:rsid w:val="002520BC"/>
    <w:rsid w:val="002521B5"/>
    <w:rsid w:val="002522C9"/>
    <w:rsid w:val="00252582"/>
    <w:rsid w:val="00252782"/>
    <w:rsid w:val="00252889"/>
    <w:rsid w:val="00252E5D"/>
    <w:rsid w:val="00252E7A"/>
    <w:rsid w:val="00253189"/>
    <w:rsid w:val="0025379B"/>
    <w:rsid w:val="002539B7"/>
    <w:rsid w:val="00253FA0"/>
    <w:rsid w:val="0025481A"/>
    <w:rsid w:val="00254D25"/>
    <w:rsid w:val="00254D5B"/>
    <w:rsid w:val="00255612"/>
    <w:rsid w:val="00255683"/>
    <w:rsid w:val="0025585C"/>
    <w:rsid w:val="0025585D"/>
    <w:rsid w:val="00255865"/>
    <w:rsid w:val="00255B0E"/>
    <w:rsid w:val="00255BC5"/>
    <w:rsid w:val="00255BCB"/>
    <w:rsid w:val="002561DE"/>
    <w:rsid w:val="0025642A"/>
    <w:rsid w:val="00256F5A"/>
    <w:rsid w:val="002570F2"/>
    <w:rsid w:val="002576E2"/>
    <w:rsid w:val="002577BB"/>
    <w:rsid w:val="002578AC"/>
    <w:rsid w:val="00257AC8"/>
    <w:rsid w:val="0026005F"/>
    <w:rsid w:val="00260081"/>
    <w:rsid w:val="00260584"/>
    <w:rsid w:val="00260624"/>
    <w:rsid w:val="00260714"/>
    <w:rsid w:val="00260E6D"/>
    <w:rsid w:val="002618FF"/>
    <w:rsid w:val="00261B6F"/>
    <w:rsid w:val="00261CDD"/>
    <w:rsid w:val="00261F7F"/>
    <w:rsid w:val="00262148"/>
    <w:rsid w:val="002621CE"/>
    <w:rsid w:val="00262575"/>
    <w:rsid w:val="002626FF"/>
    <w:rsid w:val="00262A14"/>
    <w:rsid w:val="00262BA1"/>
    <w:rsid w:val="00262EE4"/>
    <w:rsid w:val="002632BE"/>
    <w:rsid w:val="002632F6"/>
    <w:rsid w:val="00263343"/>
    <w:rsid w:val="002634C9"/>
    <w:rsid w:val="002635B8"/>
    <w:rsid w:val="00263858"/>
    <w:rsid w:val="002638AB"/>
    <w:rsid w:val="00263D99"/>
    <w:rsid w:val="00263F0A"/>
    <w:rsid w:val="00263FC9"/>
    <w:rsid w:val="0026426A"/>
    <w:rsid w:val="002645B0"/>
    <w:rsid w:val="002649E1"/>
    <w:rsid w:val="00264B0E"/>
    <w:rsid w:val="00264ED1"/>
    <w:rsid w:val="00264F68"/>
    <w:rsid w:val="00265507"/>
    <w:rsid w:val="00265547"/>
    <w:rsid w:val="00265764"/>
    <w:rsid w:val="00265783"/>
    <w:rsid w:val="002658E8"/>
    <w:rsid w:val="00265AEB"/>
    <w:rsid w:val="00265B9A"/>
    <w:rsid w:val="002662B5"/>
    <w:rsid w:val="00266599"/>
    <w:rsid w:val="002666DF"/>
    <w:rsid w:val="002669F4"/>
    <w:rsid w:val="00266A6C"/>
    <w:rsid w:val="00266D2F"/>
    <w:rsid w:val="00266E7E"/>
    <w:rsid w:val="00266F4B"/>
    <w:rsid w:val="00267324"/>
    <w:rsid w:val="00267B76"/>
    <w:rsid w:val="00267FC0"/>
    <w:rsid w:val="0027025C"/>
    <w:rsid w:val="002702FB"/>
    <w:rsid w:val="002704B0"/>
    <w:rsid w:val="0027051B"/>
    <w:rsid w:val="00270B0C"/>
    <w:rsid w:val="0027106F"/>
    <w:rsid w:val="002711BC"/>
    <w:rsid w:val="00271662"/>
    <w:rsid w:val="00271DF6"/>
    <w:rsid w:val="00271EDD"/>
    <w:rsid w:val="00272654"/>
    <w:rsid w:val="002727DD"/>
    <w:rsid w:val="00272D52"/>
    <w:rsid w:val="00272D79"/>
    <w:rsid w:val="00272F54"/>
    <w:rsid w:val="00272FA4"/>
    <w:rsid w:val="0027316F"/>
    <w:rsid w:val="00273207"/>
    <w:rsid w:val="00273437"/>
    <w:rsid w:val="00273B33"/>
    <w:rsid w:val="00273BB9"/>
    <w:rsid w:val="00273ED1"/>
    <w:rsid w:val="00273FC1"/>
    <w:rsid w:val="002745A6"/>
    <w:rsid w:val="00274A55"/>
    <w:rsid w:val="00274AD6"/>
    <w:rsid w:val="00274CB2"/>
    <w:rsid w:val="002750D1"/>
    <w:rsid w:val="0027569C"/>
    <w:rsid w:val="002756C2"/>
    <w:rsid w:val="002756CF"/>
    <w:rsid w:val="00275AA9"/>
    <w:rsid w:val="00275F35"/>
    <w:rsid w:val="00275FE3"/>
    <w:rsid w:val="00276025"/>
    <w:rsid w:val="0027637B"/>
    <w:rsid w:val="002768C9"/>
    <w:rsid w:val="00276B82"/>
    <w:rsid w:val="00276D0D"/>
    <w:rsid w:val="00276D92"/>
    <w:rsid w:val="00276D9E"/>
    <w:rsid w:val="0027779E"/>
    <w:rsid w:val="00277B89"/>
    <w:rsid w:val="00277D1E"/>
    <w:rsid w:val="00280524"/>
    <w:rsid w:val="0028057C"/>
    <w:rsid w:val="00280782"/>
    <w:rsid w:val="00280AD5"/>
    <w:rsid w:val="00280CFD"/>
    <w:rsid w:val="0028106C"/>
    <w:rsid w:val="00281561"/>
    <w:rsid w:val="002815F0"/>
    <w:rsid w:val="00281731"/>
    <w:rsid w:val="00282945"/>
    <w:rsid w:val="00282C5C"/>
    <w:rsid w:val="00282C8F"/>
    <w:rsid w:val="00282D8C"/>
    <w:rsid w:val="002836D5"/>
    <w:rsid w:val="00284705"/>
    <w:rsid w:val="002852AB"/>
    <w:rsid w:val="00285750"/>
    <w:rsid w:val="002859C3"/>
    <w:rsid w:val="002859F7"/>
    <w:rsid w:val="00285D52"/>
    <w:rsid w:val="00285D7C"/>
    <w:rsid w:val="002862A2"/>
    <w:rsid w:val="00286449"/>
    <w:rsid w:val="0028686F"/>
    <w:rsid w:val="00286B2D"/>
    <w:rsid w:val="00286DC5"/>
    <w:rsid w:val="002872AD"/>
    <w:rsid w:val="002875DF"/>
    <w:rsid w:val="00287603"/>
    <w:rsid w:val="00287626"/>
    <w:rsid w:val="002876D1"/>
    <w:rsid w:val="00287A59"/>
    <w:rsid w:val="00287B55"/>
    <w:rsid w:val="00287F92"/>
    <w:rsid w:val="00290061"/>
    <w:rsid w:val="002902BF"/>
    <w:rsid w:val="002903EB"/>
    <w:rsid w:val="00290595"/>
    <w:rsid w:val="00290814"/>
    <w:rsid w:val="0029096B"/>
    <w:rsid w:val="00290B06"/>
    <w:rsid w:val="00290B08"/>
    <w:rsid w:val="00290C8A"/>
    <w:rsid w:val="00290E65"/>
    <w:rsid w:val="00291205"/>
    <w:rsid w:val="0029127A"/>
    <w:rsid w:val="00291563"/>
    <w:rsid w:val="00291961"/>
    <w:rsid w:val="00291B9E"/>
    <w:rsid w:val="00291BE1"/>
    <w:rsid w:val="002921B3"/>
    <w:rsid w:val="00292D63"/>
    <w:rsid w:val="00293128"/>
    <w:rsid w:val="0029366E"/>
    <w:rsid w:val="00293957"/>
    <w:rsid w:val="002939F8"/>
    <w:rsid w:val="00293EC1"/>
    <w:rsid w:val="00293FA3"/>
    <w:rsid w:val="002942B0"/>
    <w:rsid w:val="002945FA"/>
    <w:rsid w:val="00294FCC"/>
    <w:rsid w:val="002951B8"/>
    <w:rsid w:val="00295348"/>
    <w:rsid w:val="002959A4"/>
    <w:rsid w:val="00295EB2"/>
    <w:rsid w:val="00295FB2"/>
    <w:rsid w:val="002965AD"/>
    <w:rsid w:val="002969C5"/>
    <w:rsid w:val="00296A1F"/>
    <w:rsid w:val="002971E2"/>
    <w:rsid w:val="002974BB"/>
    <w:rsid w:val="00297812"/>
    <w:rsid w:val="00297EAA"/>
    <w:rsid w:val="002A01B7"/>
    <w:rsid w:val="002A0236"/>
    <w:rsid w:val="002A0B0D"/>
    <w:rsid w:val="002A0BE3"/>
    <w:rsid w:val="002A1356"/>
    <w:rsid w:val="002A147F"/>
    <w:rsid w:val="002A193D"/>
    <w:rsid w:val="002A1A9B"/>
    <w:rsid w:val="002A1DCA"/>
    <w:rsid w:val="002A224A"/>
    <w:rsid w:val="002A2F87"/>
    <w:rsid w:val="002A31DA"/>
    <w:rsid w:val="002A3320"/>
    <w:rsid w:val="002A37C4"/>
    <w:rsid w:val="002A3A9C"/>
    <w:rsid w:val="002A3B4A"/>
    <w:rsid w:val="002A3B88"/>
    <w:rsid w:val="002A3CD2"/>
    <w:rsid w:val="002A3DDA"/>
    <w:rsid w:val="002A4115"/>
    <w:rsid w:val="002A4119"/>
    <w:rsid w:val="002A4269"/>
    <w:rsid w:val="002A43A1"/>
    <w:rsid w:val="002A4BA6"/>
    <w:rsid w:val="002A4BCD"/>
    <w:rsid w:val="002A4E9D"/>
    <w:rsid w:val="002A4FEF"/>
    <w:rsid w:val="002A509F"/>
    <w:rsid w:val="002A52B6"/>
    <w:rsid w:val="002A548F"/>
    <w:rsid w:val="002A57E8"/>
    <w:rsid w:val="002A5A90"/>
    <w:rsid w:val="002A5C82"/>
    <w:rsid w:val="002A5EDA"/>
    <w:rsid w:val="002A657B"/>
    <w:rsid w:val="002A68F8"/>
    <w:rsid w:val="002A6DD3"/>
    <w:rsid w:val="002A707B"/>
    <w:rsid w:val="002A72E4"/>
    <w:rsid w:val="002A73E7"/>
    <w:rsid w:val="002A77DE"/>
    <w:rsid w:val="002B0420"/>
    <w:rsid w:val="002B0C76"/>
    <w:rsid w:val="002B0DF3"/>
    <w:rsid w:val="002B1448"/>
    <w:rsid w:val="002B190D"/>
    <w:rsid w:val="002B1A80"/>
    <w:rsid w:val="002B1F06"/>
    <w:rsid w:val="002B2192"/>
    <w:rsid w:val="002B250E"/>
    <w:rsid w:val="002B275E"/>
    <w:rsid w:val="002B29B0"/>
    <w:rsid w:val="002B2C66"/>
    <w:rsid w:val="002B3088"/>
    <w:rsid w:val="002B367B"/>
    <w:rsid w:val="002B368C"/>
    <w:rsid w:val="002B3F02"/>
    <w:rsid w:val="002B40DB"/>
    <w:rsid w:val="002B42BB"/>
    <w:rsid w:val="002B4346"/>
    <w:rsid w:val="002B4732"/>
    <w:rsid w:val="002B4BAC"/>
    <w:rsid w:val="002B4D5A"/>
    <w:rsid w:val="002B51B9"/>
    <w:rsid w:val="002B56A3"/>
    <w:rsid w:val="002B59EE"/>
    <w:rsid w:val="002B5C62"/>
    <w:rsid w:val="002B5D1C"/>
    <w:rsid w:val="002B5F4D"/>
    <w:rsid w:val="002B6AB0"/>
    <w:rsid w:val="002B70FC"/>
    <w:rsid w:val="002B7396"/>
    <w:rsid w:val="002B7548"/>
    <w:rsid w:val="002B76E6"/>
    <w:rsid w:val="002B781F"/>
    <w:rsid w:val="002C006D"/>
    <w:rsid w:val="002C0165"/>
    <w:rsid w:val="002C04BB"/>
    <w:rsid w:val="002C0547"/>
    <w:rsid w:val="002C0C15"/>
    <w:rsid w:val="002C0DF3"/>
    <w:rsid w:val="002C0F99"/>
    <w:rsid w:val="002C1577"/>
    <w:rsid w:val="002C16EC"/>
    <w:rsid w:val="002C18C5"/>
    <w:rsid w:val="002C1909"/>
    <w:rsid w:val="002C1B60"/>
    <w:rsid w:val="002C2096"/>
    <w:rsid w:val="002C2207"/>
    <w:rsid w:val="002C248A"/>
    <w:rsid w:val="002C249E"/>
    <w:rsid w:val="002C2D52"/>
    <w:rsid w:val="002C359F"/>
    <w:rsid w:val="002C3901"/>
    <w:rsid w:val="002C3D1D"/>
    <w:rsid w:val="002C3FFF"/>
    <w:rsid w:val="002C40FE"/>
    <w:rsid w:val="002C4351"/>
    <w:rsid w:val="002C43BF"/>
    <w:rsid w:val="002C44DF"/>
    <w:rsid w:val="002C475B"/>
    <w:rsid w:val="002C4A4B"/>
    <w:rsid w:val="002C4BE8"/>
    <w:rsid w:val="002C4D5C"/>
    <w:rsid w:val="002C4FB7"/>
    <w:rsid w:val="002C5314"/>
    <w:rsid w:val="002C55E4"/>
    <w:rsid w:val="002C55EC"/>
    <w:rsid w:val="002C589E"/>
    <w:rsid w:val="002C5EA6"/>
    <w:rsid w:val="002C6507"/>
    <w:rsid w:val="002C6508"/>
    <w:rsid w:val="002C6822"/>
    <w:rsid w:val="002C68FB"/>
    <w:rsid w:val="002C6AF6"/>
    <w:rsid w:val="002C7037"/>
    <w:rsid w:val="002C72A7"/>
    <w:rsid w:val="002C7366"/>
    <w:rsid w:val="002C79AB"/>
    <w:rsid w:val="002C7A89"/>
    <w:rsid w:val="002C7EF8"/>
    <w:rsid w:val="002C7F22"/>
    <w:rsid w:val="002D0341"/>
    <w:rsid w:val="002D0C3F"/>
    <w:rsid w:val="002D0EB8"/>
    <w:rsid w:val="002D1733"/>
    <w:rsid w:val="002D1FB8"/>
    <w:rsid w:val="002D2052"/>
    <w:rsid w:val="002D2274"/>
    <w:rsid w:val="002D28D5"/>
    <w:rsid w:val="002D2DC7"/>
    <w:rsid w:val="002D2E34"/>
    <w:rsid w:val="002D2FFD"/>
    <w:rsid w:val="002D3424"/>
    <w:rsid w:val="002D3A7D"/>
    <w:rsid w:val="002D3C8F"/>
    <w:rsid w:val="002D42F9"/>
    <w:rsid w:val="002D49C8"/>
    <w:rsid w:val="002D4BC5"/>
    <w:rsid w:val="002D4DCF"/>
    <w:rsid w:val="002D4E80"/>
    <w:rsid w:val="002D5450"/>
    <w:rsid w:val="002D5AEB"/>
    <w:rsid w:val="002D5F9B"/>
    <w:rsid w:val="002D61D9"/>
    <w:rsid w:val="002D637B"/>
    <w:rsid w:val="002D63C9"/>
    <w:rsid w:val="002D63FB"/>
    <w:rsid w:val="002D66B7"/>
    <w:rsid w:val="002D67B0"/>
    <w:rsid w:val="002D6910"/>
    <w:rsid w:val="002D6AEE"/>
    <w:rsid w:val="002D6E2F"/>
    <w:rsid w:val="002D74F4"/>
    <w:rsid w:val="002D7687"/>
    <w:rsid w:val="002D7DB3"/>
    <w:rsid w:val="002E024F"/>
    <w:rsid w:val="002E02CD"/>
    <w:rsid w:val="002E0D20"/>
    <w:rsid w:val="002E0E26"/>
    <w:rsid w:val="002E13EB"/>
    <w:rsid w:val="002E17B2"/>
    <w:rsid w:val="002E17F3"/>
    <w:rsid w:val="002E190A"/>
    <w:rsid w:val="002E1C8F"/>
    <w:rsid w:val="002E2208"/>
    <w:rsid w:val="002E256A"/>
    <w:rsid w:val="002E2571"/>
    <w:rsid w:val="002E25E3"/>
    <w:rsid w:val="002E28B6"/>
    <w:rsid w:val="002E295B"/>
    <w:rsid w:val="002E2F69"/>
    <w:rsid w:val="002E3288"/>
    <w:rsid w:val="002E3371"/>
    <w:rsid w:val="002E3628"/>
    <w:rsid w:val="002E3740"/>
    <w:rsid w:val="002E3827"/>
    <w:rsid w:val="002E3C28"/>
    <w:rsid w:val="002E3D7F"/>
    <w:rsid w:val="002E4149"/>
    <w:rsid w:val="002E41E9"/>
    <w:rsid w:val="002E4488"/>
    <w:rsid w:val="002E4764"/>
    <w:rsid w:val="002E4C84"/>
    <w:rsid w:val="002E583C"/>
    <w:rsid w:val="002E58E5"/>
    <w:rsid w:val="002E5DDE"/>
    <w:rsid w:val="002E5E3D"/>
    <w:rsid w:val="002E6020"/>
    <w:rsid w:val="002E638E"/>
    <w:rsid w:val="002E6A76"/>
    <w:rsid w:val="002E6E39"/>
    <w:rsid w:val="002E71FA"/>
    <w:rsid w:val="002E7320"/>
    <w:rsid w:val="002F00D5"/>
    <w:rsid w:val="002F030F"/>
    <w:rsid w:val="002F06CA"/>
    <w:rsid w:val="002F07C5"/>
    <w:rsid w:val="002F0E8D"/>
    <w:rsid w:val="002F0EF4"/>
    <w:rsid w:val="002F12B4"/>
    <w:rsid w:val="002F16BB"/>
    <w:rsid w:val="002F17D8"/>
    <w:rsid w:val="002F181D"/>
    <w:rsid w:val="002F1891"/>
    <w:rsid w:val="002F19D8"/>
    <w:rsid w:val="002F1BAB"/>
    <w:rsid w:val="002F1DB5"/>
    <w:rsid w:val="002F2056"/>
    <w:rsid w:val="002F2659"/>
    <w:rsid w:val="002F2A9F"/>
    <w:rsid w:val="002F3024"/>
    <w:rsid w:val="002F3158"/>
    <w:rsid w:val="002F3353"/>
    <w:rsid w:val="002F335D"/>
    <w:rsid w:val="002F35F5"/>
    <w:rsid w:val="002F3DAA"/>
    <w:rsid w:val="002F47C9"/>
    <w:rsid w:val="002F4887"/>
    <w:rsid w:val="002F4AED"/>
    <w:rsid w:val="002F4C50"/>
    <w:rsid w:val="002F4F23"/>
    <w:rsid w:val="002F508D"/>
    <w:rsid w:val="002F50C0"/>
    <w:rsid w:val="002F50F0"/>
    <w:rsid w:val="002F54A6"/>
    <w:rsid w:val="002F662C"/>
    <w:rsid w:val="002F68FF"/>
    <w:rsid w:val="002F6CC1"/>
    <w:rsid w:val="002F6EE9"/>
    <w:rsid w:val="002F6F21"/>
    <w:rsid w:val="002F7463"/>
    <w:rsid w:val="002F76C1"/>
    <w:rsid w:val="002F7703"/>
    <w:rsid w:val="002F78D5"/>
    <w:rsid w:val="00300143"/>
    <w:rsid w:val="003002C3"/>
    <w:rsid w:val="003003C1"/>
    <w:rsid w:val="00300935"/>
    <w:rsid w:val="003009DD"/>
    <w:rsid w:val="00300A40"/>
    <w:rsid w:val="00300C08"/>
    <w:rsid w:val="0030117B"/>
    <w:rsid w:val="003012D1"/>
    <w:rsid w:val="0030187C"/>
    <w:rsid w:val="003018DE"/>
    <w:rsid w:val="0030203E"/>
    <w:rsid w:val="00302533"/>
    <w:rsid w:val="003026B7"/>
    <w:rsid w:val="0030297A"/>
    <w:rsid w:val="00302CBA"/>
    <w:rsid w:val="00302E0E"/>
    <w:rsid w:val="00302E84"/>
    <w:rsid w:val="0030335C"/>
    <w:rsid w:val="003038FE"/>
    <w:rsid w:val="00303A2B"/>
    <w:rsid w:val="00303CAA"/>
    <w:rsid w:val="00303DB4"/>
    <w:rsid w:val="00303FDE"/>
    <w:rsid w:val="0030400D"/>
    <w:rsid w:val="003040BB"/>
    <w:rsid w:val="003040C8"/>
    <w:rsid w:val="00304365"/>
    <w:rsid w:val="003043B6"/>
    <w:rsid w:val="00304B38"/>
    <w:rsid w:val="003051F9"/>
    <w:rsid w:val="00305BBC"/>
    <w:rsid w:val="00305C91"/>
    <w:rsid w:val="00306751"/>
    <w:rsid w:val="00306F9D"/>
    <w:rsid w:val="00307251"/>
    <w:rsid w:val="00307675"/>
    <w:rsid w:val="0030781B"/>
    <w:rsid w:val="00307A02"/>
    <w:rsid w:val="00307A77"/>
    <w:rsid w:val="00307E46"/>
    <w:rsid w:val="00310B16"/>
    <w:rsid w:val="00311437"/>
    <w:rsid w:val="003114F4"/>
    <w:rsid w:val="00311800"/>
    <w:rsid w:val="0031209C"/>
    <w:rsid w:val="003122EA"/>
    <w:rsid w:val="0031259F"/>
    <w:rsid w:val="00312B61"/>
    <w:rsid w:val="0031385D"/>
    <w:rsid w:val="00313876"/>
    <w:rsid w:val="00314009"/>
    <w:rsid w:val="0031449B"/>
    <w:rsid w:val="003149DF"/>
    <w:rsid w:val="00314B39"/>
    <w:rsid w:val="00314F37"/>
    <w:rsid w:val="00315011"/>
    <w:rsid w:val="00315365"/>
    <w:rsid w:val="00315667"/>
    <w:rsid w:val="00315D70"/>
    <w:rsid w:val="00315E3F"/>
    <w:rsid w:val="00316125"/>
    <w:rsid w:val="0031650D"/>
    <w:rsid w:val="00316789"/>
    <w:rsid w:val="0031685B"/>
    <w:rsid w:val="00316B61"/>
    <w:rsid w:val="00316C73"/>
    <w:rsid w:val="00316FB6"/>
    <w:rsid w:val="00317095"/>
    <w:rsid w:val="00317696"/>
    <w:rsid w:val="003178DD"/>
    <w:rsid w:val="00317D05"/>
    <w:rsid w:val="0032022A"/>
    <w:rsid w:val="00320324"/>
    <w:rsid w:val="00320936"/>
    <w:rsid w:val="00320F05"/>
    <w:rsid w:val="00321391"/>
    <w:rsid w:val="003216F6"/>
    <w:rsid w:val="00321CB6"/>
    <w:rsid w:val="00321FD7"/>
    <w:rsid w:val="00322100"/>
    <w:rsid w:val="00322CC6"/>
    <w:rsid w:val="00322E57"/>
    <w:rsid w:val="00322E93"/>
    <w:rsid w:val="00322F55"/>
    <w:rsid w:val="003232C2"/>
    <w:rsid w:val="0032348D"/>
    <w:rsid w:val="003235F9"/>
    <w:rsid w:val="00323AB5"/>
    <w:rsid w:val="00323D42"/>
    <w:rsid w:val="0032421F"/>
    <w:rsid w:val="00324557"/>
    <w:rsid w:val="00324559"/>
    <w:rsid w:val="00324570"/>
    <w:rsid w:val="00324883"/>
    <w:rsid w:val="0032493B"/>
    <w:rsid w:val="00324DE7"/>
    <w:rsid w:val="00325063"/>
    <w:rsid w:val="00325165"/>
    <w:rsid w:val="003256B6"/>
    <w:rsid w:val="00325817"/>
    <w:rsid w:val="003259DC"/>
    <w:rsid w:val="00325A54"/>
    <w:rsid w:val="00325C01"/>
    <w:rsid w:val="00325C7F"/>
    <w:rsid w:val="00325E3D"/>
    <w:rsid w:val="00326248"/>
    <w:rsid w:val="003264FD"/>
    <w:rsid w:val="003269CA"/>
    <w:rsid w:val="00326C2F"/>
    <w:rsid w:val="003277DB"/>
    <w:rsid w:val="003279F3"/>
    <w:rsid w:val="003279F7"/>
    <w:rsid w:val="00327A97"/>
    <w:rsid w:val="003302E9"/>
    <w:rsid w:val="00330307"/>
    <w:rsid w:val="00330382"/>
    <w:rsid w:val="003304AA"/>
    <w:rsid w:val="003308F3"/>
    <w:rsid w:val="0033094D"/>
    <w:rsid w:val="00330A2D"/>
    <w:rsid w:val="00330E7F"/>
    <w:rsid w:val="003311E3"/>
    <w:rsid w:val="00331281"/>
    <w:rsid w:val="003312C0"/>
    <w:rsid w:val="003313FA"/>
    <w:rsid w:val="003316E7"/>
    <w:rsid w:val="003319D4"/>
    <w:rsid w:val="00331AC0"/>
    <w:rsid w:val="00331B90"/>
    <w:rsid w:val="00331D8D"/>
    <w:rsid w:val="003324E4"/>
    <w:rsid w:val="00332A17"/>
    <w:rsid w:val="00332D87"/>
    <w:rsid w:val="0033315E"/>
    <w:rsid w:val="00333369"/>
    <w:rsid w:val="003343E3"/>
    <w:rsid w:val="003344BA"/>
    <w:rsid w:val="00334851"/>
    <w:rsid w:val="00334B2B"/>
    <w:rsid w:val="00334CFD"/>
    <w:rsid w:val="00334DEC"/>
    <w:rsid w:val="003353CD"/>
    <w:rsid w:val="003356E6"/>
    <w:rsid w:val="00335761"/>
    <w:rsid w:val="00335923"/>
    <w:rsid w:val="0033592E"/>
    <w:rsid w:val="00335AA8"/>
    <w:rsid w:val="00335CC8"/>
    <w:rsid w:val="00335E3E"/>
    <w:rsid w:val="00336067"/>
    <w:rsid w:val="0033657E"/>
    <w:rsid w:val="00336791"/>
    <w:rsid w:val="00336C77"/>
    <w:rsid w:val="00336E0E"/>
    <w:rsid w:val="00337010"/>
    <w:rsid w:val="00337078"/>
    <w:rsid w:val="00337975"/>
    <w:rsid w:val="00337F0A"/>
    <w:rsid w:val="003403EB"/>
    <w:rsid w:val="00340740"/>
    <w:rsid w:val="00340810"/>
    <w:rsid w:val="00340B95"/>
    <w:rsid w:val="00340BEA"/>
    <w:rsid w:val="00340C08"/>
    <w:rsid w:val="00340D50"/>
    <w:rsid w:val="003410F4"/>
    <w:rsid w:val="003415F6"/>
    <w:rsid w:val="003419F0"/>
    <w:rsid w:val="00341B3E"/>
    <w:rsid w:val="00341BB0"/>
    <w:rsid w:val="00341D58"/>
    <w:rsid w:val="00342019"/>
    <w:rsid w:val="003423BE"/>
    <w:rsid w:val="003425D2"/>
    <w:rsid w:val="003427BB"/>
    <w:rsid w:val="003429AD"/>
    <w:rsid w:val="00342C65"/>
    <w:rsid w:val="00343039"/>
    <w:rsid w:val="0034320E"/>
    <w:rsid w:val="0034340E"/>
    <w:rsid w:val="003438A3"/>
    <w:rsid w:val="00343B30"/>
    <w:rsid w:val="00344004"/>
    <w:rsid w:val="0034463D"/>
    <w:rsid w:val="00344A3A"/>
    <w:rsid w:val="00344B03"/>
    <w:rsid w:val="00344CCC"/>
    <w:rsid w:val="00344D60"/>
    <w:rsid w:val="00344F32"/>
    <w:rsid w:val="00345132"/>
    <w:rsid w:val="003455EF"/>
    <w:rsid w:val="00345625"/>
    <w:rsid w:val="003457DA"/>
    <w:rsid w:val="00345A24"/>
    <w:rsid w:val="00345AC2"/>
    <w:rsid w:val="00345B0C"/>
    <w:rsid w:val="00345B0F"/>
    <w:rsid w:val="00345C40"/>
    <w:rsid w:val="003461CA"/>
    <w:rsid w:val="003462C0"/>
    <w:rsid w:val="00346396"/>
    <w:rsid w:val="00346596"/>
    <w:rsid w:val="003468CF"/>
    <w:rsid w:val="00346A45"/>
    <w:rsid w:val="00346AAE"/>
    <w:rsid w:val="00346B91"/>
    <w:rsid w:val="00346E4E"/>
    <w:rsid w:val="00347278"/>
    <w:rsid w:val="00347350"/>
    <w:rsid w:val="0035053C"/>
    <w:rsid w:val="00350541"/>
    <w:rsid w:val="00350625"/>
    <w:rsid w:val="0035066F"/>
    <w:rsid w:val="003508E4"/>
    <w:rsid w:val="00350B6B"/>
    <w:rsid w:val="00350BB6"/>
    <w:rsid w:val="00350C61"/>
    <w:rsid w:val="00350D1A"/>
    <w:rsid w:val="00350D82"/>
    <w:rsid w:val="00350D9E"/>
    <w:rsid w:val="00350F25"/>
    <w:rsid w:val="00351230"/>
    <w:rsid w:val="00351515"/>
    <w:rsid w:val="0035178B"/>
    <w:rsid w:val="00351850"/>
    <w:rsid w:val="00351911"/>
    <w:rsid w:val="00351990"/>
    <w:rsid w:val="00351A7E"/>
    <w:rsid w:val="00351CA6"/>
    <w:rsid w:val="00351F4D"/>
    <w:rsid w:val="00351FD4"/>
    <w:rsid w:val="00352146"/>
    <w:rsid w:val="003523FB"/>
    <w:rsid w:val="0035242D"/>
    <w:rsid w:val="003525FC"/>
    <w:rsid w:val="00352906"/>
    <w:rsid w:val="00352908"/>
    <w:rsid w:val="00352ADE"/>
    <w:rsid w:val="00352DDF"/>
    <w:rsid w:val="00352FB8"/>
    <w:rsid w:val="00353168"/>
    <w:rsid w:val="0035327B"/>
    <w:rsid w:val="00353287"/>
    <w:rsid w:val="00353368"/>
    <w:rsid w:val="003534A5"/>
    <w:rsid w:val="00353628"/>
    <w:rsid w:val="0035395D"/>
    <w:rsid w:val="00353989"/>
    <w:rsid w:val="00353CD2"/>
    <w:rsid w:val="0035402D"/>
    <w:rsid w:val="003540B9"/>
    <w:rsid w:val="00355008"/>
    <w:rsid w:val="003551FE"/>
    <w:rsid w:val="00356086"/>
    <w:rsid w:val="00356151"/>
    <w:rsid w:val="00356312"/>
    <w:rsid w:val="0035660B"/>
    <w:rsid w:val="003566FD"/>
    <w:rsid w:val="003567F7"/>
    <w:rsid w:val="00356F5F"/>
    <w:rsid w:val="003575AF"/>
    <w:rsid w:val="003578F5"/>
    <w:rsid w:val="00357AB3"/>
    <w:rsid w:val="00357AD0"/>
    <w:rsid w:val="00357D4E"/>
    <w:rsid w:val="00357D5E"/>
    <w:rsid w:val="00357DC4"/>
    <w:rsid w:val="003604BF"/>
    <w:rsid w:val="00360534"/>
    <w:rsid w:val="00360D66"/>
    <w:rsid w:val="0036127D"/>
    <w:rsid w:val="003614DA"/>
    <w:rsid w:val="00361B49"/>
    <w:rsid w:val="00361B7B"/>
    <w:rsid w:val="00361C41"/>
    <w:rsid w:val="0036201D"/>
    <w:rsid w:val="003621C1"/>
    <w:rsid w:val="003621D0"/>
    <w:rsid w:val="00362215"/>
    <w:rsid w:val="00362275"/>
    <w:rsid w:val="003622ED"/>
    <w:rsid w:val="003624F6"/>
    <w:rsid w:val="00362525"/>
    <w:rsid w:val="00362B0A"/>
    <w:rsid w:val="00362D14"/>
    <w:rsid w:val="00363128"/>
    <w:rsid w:val="003639DB"/>
    <w:rsid w:val="00363C80"/>
    <w:rsid w:val="00363D1E"/>
    <w:rsid w:val="00363D99"/>
    <w:rsid w:val="0036406A"/>
    <w:rsid w:val="00364399"/>
    <w:rsid w:val="00364495"/>
    <w:rsid w:val="003645B4"/>
    <w:rsid w:val="00364730"/>
    <w:rsid w:val="00364DDB"/>
    <w:rsid w:val="00364F2A"/>
    <w:rsid w:val="00364F37"/>
    <w:rsid w:val="003650F4"/>
    <w:rsid w:val="00365131"/>
    <w:rsid w:val="003659DF"/>
    <w:rsid w:val="00365B84"/>
    <w:rsid w:val="00365E4B"/>
    <w:rsid w:val="00366AC7"/>
    <w:rsid w:val="003670CE"/>
    <w:rsid w:val="003674FB"/>
    <w:rsid w:val="0036753C"/>
    <w:rsid w:val="0036773B"/>
    <w:rsid w:val="00367D1A"/>
    <w:rsid w:val="00370169"/>
    <w:rsid w:val="0037036C"/>
    <w:rsid w:val="003705A9"/>
    <w:rsid w:val="00370BEB"/>
    <w:rsid w:val="00370FD2"/>
    <w:rsid w:val="00371405"/>
    <w:rsid w:val="00371437"/>
    <w:rsid w:val="003717BF"/>
    <w:rsid w:val="003721FE"/>
    <w:rsid w:val="003723D1"/>
    <w:rsid w:val="00372DED"/>
    <w:rsid w:val="003731FA"/>
    <w:rsid w:val="0037340B"/>
    <w:rsid w:val="00373544"/>
    <w:rsid w:val="00373589"/>
    <w:rsid w:val="00373AA6"/>
    <w:rsid w:val="00374051"/>
    <w:rsid w:val="0037434F"/>
    <w:rsid w:val="0037441F"/>
    <w:rsid w:val="00374C4A"/>
    <w:rsid w:val="003750F8"/>
    <w:rsid w:val="00375147"/>
    <w:rsid w:val="003753E8"/>
    <w:rsid w:val="00375DA4"/>
    <w:rsid w:val="00375E8F"/>
    <w:rsid w:val="00375FF1"/>
    <w:rsid w:val="0037614C"/>
    <w:rsid w:val="003763B2"/>
    <w:rsid w:val="003764A9"/>
    <w:rsid w:val="00376877"/>
    <w:rsid w:val="00376EE1"/>
    <w:rsid w:val="0037772C"/>
    <w:rsid w:val="0037775C"/>
    <w:rsid w:val="00380814"/>
    <w:rsid w:val="00380ABE"/>
    <w:rsid w:val="0038120D"/>
    <w:rsid w:val="00381706"/>
    <w:rsid w:val="003817A9"/>
    <w:rsid w:val="00381AC0"/>
    <w:rsid w:val="00381C88"/>
    <w:rsid w:val="00381E22"/>
    <w:rsid w:val="00381F22"/>
    <w:rsid w:val="00381F87"/>
    <w:rsid w:val="00381FFD"/>
    <w:rsid w:val="00382402"/>
    <w:rsid w:val="0038252A"/>
    <w:rsid w:val="00382563"/>
    <w:rsid w:val="0038272B"/>
    <w:rsid w:val="00382DE0"/>
    <w:rsid w:val="00382EC7"/>
    <w:rsid w:val="00383028"/>
    <w:rsid w:val="00383073"/>
    <w:rsid w:val="003834B0"/>
    <w:rsid w:val="0038357E"/>
    <w:rsid w:val="0038358A"/>
    <w:rsid w:val="00383DC8"/>
    <w:rsid w:val="00383FBE"/>
    <w:rsid w:val="00384BD7"/>
    <w:rsid w:val="003853B8"/>
    <w:rsid w:val="00385E6A"/>
    <w:rsid w:val="00385E9E"/>
    <w:rsid w:val="00385E9F"/>
    <w:rsid w:val="0038600E"/>
    <w:rsid w:val="003861A4"/>
    <w:rsid w:val="00386733"/>
    <w:rsid w:val="00386808"/>
    <w:rsid w:val="00386891"/>
    <w:rsid w:val="00386A8D"/>
    <w:rsid w:val="00386A9C"/>
    <w:rsid w:val="00386D03"/>
    <w:rsid w:val="00386F9C"/>
    <w:rsid w:val="00387162"/>
    <w:rsid w:val="00387553"/>
    <w:rsid w:val="003876A2"/>
    <w:rsid w:val="003877AE"/>
    <w:rsid w:val="00390BB0"/>
    <w:rsid w:val="00391918"/>
    <w:rsid w:val="00392074"/>
    <w:rsid w:val="00392182"/>
    <w:rsid w:val="0039222B"/>
    <w:rsid w:val="0039250A"/>
    <w:rsid w:val="003927AA"/>
    <w:rsid w:val="0039288A"/>
    <w:rsid w:val="00392BFE"/>
    <w:rsid w:val="00393203"/>
    <w:rsid w:val="00393700"/>
    <w:rsid w:val="003939C3"/>
    <w:rsid w:val="00393DA6"/>
    <w:rsid w:val="00394247"/>
    <w:rsid w:val="00394266"/>
    <w:rsid w:val="0039497C"/>
    <w:rsid w:val="00394C62"/>
    <w:rsid w:val="00394C9E"/>
    <w:rsid w:val="00394F45"/>
    <w:rsid w:val="00395232"/>
    <w:rsid w:val="003955B5"/>
    <w:rsid w:val="0039571A"/>
    <w:rsid w:val="0039586A"/>
    <w:rsid w:val="00395885"/>
    <w:rsid w:val="00395979"/>
    <w:rsid w:val="00395B8A"/>
    <w:rsid w:val="00395CC2"/>
    <w:rsid w:val="0039616F"/>
    <w:rsid w:val="00396A4E"/>
    <w:rsid w:val="00396D35"/>
    <w:rsid w:val="00396F2A"/>
    <w:rsid w:val="003970AB"/>
    <w:rsid w:val="003974A6"/>
    <w:rsid w:val="00397FD6"/>
    <w:rsid w:val="003A01B5"/>
    <w:rsid w:val="003A020A"/>
    <w:rsid w:val="003A07A4"/>
    <w:rsid w:val="003A07A8"/>
    <w:rsid w:val="003A07E3"/>
    <w:rsid w:val="003A0AE2"/>
    <w:rsid w:val="003A0E3F"/>
    <w:rsid w:val="003A12F3"/>
    <w:rsid w:val="003A17FF"/>
    <w:rsid w:val="003A1A30"/>
    <w:rsid w:val="003A1BDA"/>
    <w:rsid w:val="003A1BDF"/>
    <w:rsid w:val="003A20CC"/>
    <w:rsid w:val="003A2DBA"/>
    <w:rsid w:val="003A2E3A"/>
    <w:rsid w:val="003A2E43"/>
    <w:rsid w:val="003A3069"/>
    <w:rsid w:val="003A31D3"/>
    <w:rsid w:val="003A379E"/>
    <w:rsid w:val="003A390E"/>
    <w:rsid w:val="003A39F7"/>
    <w:rsid w:val="003A3A42"/>
    <w:rsid w:val="003A3B54"/>
    <w:rsid w:val="003A3F1B"/>
    <w:rsid w:val="003A40F6"/>
    <w:rsid w:val="003A4CA6"/>
    <w:rsid w:val="003A4D0E"/>
    <w:rsid w:val="003A4D40"/>
    <w:rsid w:val="003A5163"/>
    <w:rsid w:val="003A54C3"/>
    <w:rsid w:val="003A5596"/>
    <w:rsid w:val="003A5704"/>
    <w:rsid w:val="003A5A26"/>
    <w:rsid w:val="003A5C4A"/>
    <w:rsid w:val="003A5F48"/>
    <w:rsid w:val="003A5F74"/>
    <w:rsid w:val="003A63E1"/>
    <w:rsid w:val="003A63E5"/>
    <w:rsid w:val="003A64E7"/>
    <w:rsid w:val="003A6B9A"/>
    <w:rsid w:val="003A7144"/>
    <w:rsid w:val="003A72C7"/>
    <w:rsid w:val="003A7701"/>
    <w:rsid w:val="003A7765"/>
    <w:rsid w:val="003A792E"/>
    <w:rsid w:val="003A79F6"/>
    <w:rsid w:val="003A7E90"/>
    <w:rsid w:val="003B00AF"/>
    <w:rsid w:val="003B02CB"/>
    <w:rsid w:val="003B06C9"/>
    <w:rsid w:val="003B079F"/>
    <w:rsid w:val="003B0F0C"/>
    <w:rsid w:val="003B0F15"/>
    <w:rsid w:val="003B0FA3"/>
    <w:rsid w:val="003B0FC0"/>
    <w:rsid w:val="003B104A"/>
    <w:rsid w:val="003B104F"/>
    <w:rsid w:val="003B1093"/>
    <w:rsid w:val="003B12A3"/>
    <w:rsid w:val="003B12CD"/>
    <w:rsid w:val="003B15FF"/>
    <w:rsid w:val="003B1A33"/>
    <w:rsid w:val="003B1B97"/>
    <w:rsid w:val="003B1E04"/>
    <w:rsid w:val="003B2197"/>
    <w:rsid w:val="003B22BC"/>
    <w:rsid w:val="003B2727"/>
    <w:rsid w:val="003B2C02"/>
    <w:rsid w:val="003B2FF4"/>
    <w:rsid w:val="003B3512"/>
    <w:rsid w:val="003B376F"/>
    <w:rsid w:val="003B3AC1"/>
    <w:rsid w:val="003B4478"/>
    <w:rsid w:val="003B4488"/>
    <w:rsid w:val="003B462F"/>
    <w:rsid w:val="003B49F0"/>
    <w:rsid w:val="003B4CB4"/>
    <w:rsid w:val="003B4DE8"/>
    <w:rsid w:val="003B52E4"/>
    <w:rsid w:val="003B54FF"/>
    <w:rsid w:val="003B5C05"/>
    <w:rsid w:val="003B5F72"/>
    <w:rsid w:val="003B701D"/>
    <w:rsid w:val="003B758D"/>
    <w:rsid w:val="003B76CC"/>
    <w:rsid w:val="003B7DDB"/>
    <w:rsid w:val="003B7F91"/>
    <w:rsid w:val="003C01A5"/>
    <w:rsid w:val="003C05EC"/>
    <w:rsid w:val="003C06D3"/>
    <w:rsid w:val="003C0A9E"/>
    <w:rsid w:val="003C0DB4"/>
    <w:rsid w:val="003C0DF9"/>
    <w:rsid w:val="003C108D"/>
    <w:rsid w:val="003C165B"/>
    <w:rsid w:val="003C1A7B"/>
    <w:rsid w:val="003C1EA1"/>
    <w:rsid w:val="003C21EA"/>
    <w:rsid w:val="003C272E"/>
    <w:rsid w:val="003C2788"/>
    <w:rsid w:val="003C2902"/>
    <w:rsid w:val="003C2EC6"/>
    <w:rsid w:val="003C30A5"/>
    <w:rsid w:val="003C3273"/>
    <w:rsid w:val="003C33A2"/>
    <w:rsid w:val="003C375C"/>
    <w:rsid w:val="003C3A0A"/>
    <w:rsid w:val="003C42EC"/>
    <w:rsid w:val="003C4813"/>
    <w:rsid w:val="003C487E"/>
    <w:rsid w:val="003C4913"/>
    <w:rsid w:val="003C5145"/>
    <w:rsid w:val="003C5216"/>
    <w:rsid w:val="003C5339"/>
    <w:rsid w:val="003C5834"/>
    <w:rsid w:val="003C5DCB"/>
    <w:rsid w:val="003C5E77"/>
    <w:rsid w:val="003C5F6A"/>
    <w:rsid w:val="003C614A"/>
    <w:rsid w:val="003C61A7"/>
    <w:rsid w:val="003C6652"/>
    <w:rsid w:val="003C677C"/>
    <w:rsid w:val="003C69B8"/>
    <w:rsid w:val="003C6BC9"/>
    <w:rsid w:val="003C7060"/>
    <w:rsid w:val="003C707B"/>
    <w:rsid w:val="003C73F1"/>
    <w:rsid w:val="003C7853"/>
    <w:rsid w:val="003C7E48"/>
    <w:rsid w:val="003C7EF0"/>
    <w:rsid w:val="003D00FA"/>
    <w:rsid w:val="003D02C0"/>
    <w:rsid w:val="003D039C"/>
    <w:rsid w:val="003D04D8"/>
    <w:rsid w:val="003D064A"/>
    <w:rsid w:val="003D06BC"/>
    <w:rsid w:val="003D081D"/>
    <w:rsid w:val="003D0928"/>
    <w:rsid w:val="003D12CF"/>
    <w:rsid w:val="003D1402"/>
    <w:rsid w:val="003D148D"/>
    <w:rsid w:val="003D17A9"/>
    <w:rsid w:val="003D1898"/>
    <w:rsid w:val="003D1B3F"/>
    <w:rsid w:val="003D238C"/>
    <w:rsid w:val="003D245A"/>
    <w:rsid w:val="003D2A7C"/>
    <w:rsid w:val="003D2E08"/>
    <w:rsid w:val="003D2FC1"/>
    <w:rsid w:val="003D3E68"/>
    <w:rsid w:val="003D440A"/>
    <w:rsid w:val="003D452B"/>
    <w:rsid w:val="003D48ED"/>
    <w:rsid w:val="003D499A"/>
    <w:rsid w:val="003D49A8"/>
    <w:rsid w:val="003D4ACA"/>
    <w:rsid w:val="003D4F54"/>
    <w:rsid w:val="003D5118"/>
    <w:rsid w:val="003D5288"/>
    <w:rsid w:val="003D5558"/>
    <w:rsid w:val="003D5967"/>
    <w:rsid w:val="003D5E5C"/>
    <w:rsid w:val="003D61A1"/>
    <w:rsid w:val="003D6B70"/>
    <w:rsid w:val="003D6E6A"/>
    <w:rsid w:val="003D706A"/>
    <w:rsid w:val="003D7AA7"/>
    <w:rsid w:val="003E046D"/>
    <w:rsid w:val="003E0964"/>
    <w:rsid w:val="003E0A56"/>
    <w:rsid w:val="003E1168"/>
    <w:rsid w:val="003E1296"/>
    <w:rsid w:val="003E14EC"/>
    <w:rsid w:val="003E164A"/>
    <w:rsid w:val="003E19C9"/>
    <w:rsid w:val="003E2314"/>
    <w:rsid w:val="003E260B"/>
    <w:rsid w:val="003E2698"/>
    <w:rsid w:val="003E26D1"/>
    <w:rsid w:val="003E2A34"/>
    <w:rsid w:val="003E2F95"/>
    <w:rsid w:val="003E2FBF"/>
    <w:rsid w:val="003E36F6"/>
    <w:rsid w:val="003E37E7"/>
    <w:rsid w:val="003E3B52"/>
    <w:rsid w:val="003E40B7"/>
    <w:rsid w:val="003E40CC"/>
    <w:rsid w:val="003E41B2"/>
    <w:rsid w:val="003E46DA"/>
    <w:rsid w:val="003E4733"/>
    <w:rsid w:val="003E4B49"/>
    <w:rsid w:val="003E4C00"/>
    <w:rsid w:val="003E508F"/>
    <w:rsid w:val="003E50D9"/>
    <w:rsid w:val="003E54D0"/>
    <w:rsid w:val="003E596F"/>
    <w:rsid w:val="003E5B1D"/>
    <w:rsid w:val="003E5D90"/>
    <w:rsid w:val="003E5DF0"/>
    <w:rsid w:val="003E60F3"/>
    <w:rsid w:val="003E6273"/>
    <w:rsid w:val="003E6431"/>
    <w:rsid w:val="003E6437"/>
    <w:rsid w:val="003E6473"/>
    <w:rsid w:val="003E658B"/>
    <w:rsid w:val="003E65E0"/>
    <w:rsid w:val="003E67ED"/>
    <w:rsid w:val="003E6BC7"/>
    <w:rsid w:val="003E6C75"/>
    <w:rsid w:val="003E6E3E"/>
    <w:rsid w:val="003E6E6D"/>
    <w:rsid w:val="003E703D"/>
    <w:rsid w:val="003E71B0"/>
    <w:rsid w:val="003E7287"/>
    <w:rsid w:val="003E7BBB"/>
    <w:rsid w:val="003E7D1D"/>
    <w:rsid w:val="003E7FCC"/>
    <w:rsid w:val="003F01F4"/>
    <w:rsid w:val="003F031B"/>
    <w:rsid w:val="003F0598"/>
    <w:rsid w:val="003F0BD3"/>
    <w:rsid w:val="003F0D33"/>
    <w:rsid w:val="003F1170"/>
    <w:rsid w:val="003F13FA"/>
    <w:rsid w:val="003F17C8"/>
    <w:rsid w:val="003F1A22"/>
    <w:rsid w:val="003F1ABF"/>
    <w:rsid w:val="003F1BD8"/>
    <w:rsid w:val="003F2179"/>
    <w:rsid w:val="003F2188"/>
    <w:rsid w:val="003F23F1"/>
    <w:rsid w:val="003F264C"/>
    <w:rsid w:val="003F2E6A"/>
    <w:rsid w:val="003F3380"/>
    <w:rsid w:val="003F3553"/>
    <w:rsid w:val="003F395B"/>
    <w:rsid w:val="003F483A"/>
    <w:rsid w:val="003F4BE9"/>
    <w:rsid w:val="003F4BEA"/>
    <w:rsid w:val="003F4CC7"/>
    <w:rsid w:val="003F4E99"/>
    <w:rsid w:val="003F4F9D"/>
    <w:rsid w:val="003F5265"/>
    <w:rsid w:val="003F5628"/>
    <w:rsid w:val="003F57CE"/>
    <w:rsid w:val="003F58CA"/>
    <w:rsid w:val="003F5A84"/>
    <w:rsid w:val="003F5BB3"/>
    <w:rsid w:val="003F5C12"/>
    <w:rsid w:val="003F5C64"/>
    <w:rsid w:val="003F6B4E"/>
    <w:rsid w:val="003F6BBE"/>
    <w:rsid w:val="003F726C"/>
    <w:rsid w:val="003F730B"/>
    <w:rsid w:val="003F73C2"/>
    <w:rsid w:val="003F7D85"/>
    <w:rsid w:val="004003A0"/>
    <w:rsid w:val="00400409"/>
    <w:rsid w:val="00400413"/>
    <w:rsid w:val="004005C0"/>
    <w:rsid w:val="004006A6"/>
    <w:rsid w:val="004008EC"/>
    <w:rsid w:val="00400E1F"/>
    <w:rsid w:val="00400E9D"/>
    <w:rsid w:val="00400EEB"/>
    <w:rsid w:val="00400EF0"/>
    <w:rsid w:val="0040127C"/>
    <w:rsid w:val="0040140A"/>
    <w:rsid w:val="0040183C"/>
    <w:rsid w:val="00401DAA"/>
    <w:rsid w:val="004020B6"/>
    <w:rsid w:val="004020C7"/>
    <w:rsid w:val="004021FB"/>
    <w:rsid w:val="00402213"/>
    <w:rsid w:val="00402C3A"/>
    <w:rsid w:val="00402FB4"/>
    <w:rsid w:val="00402FDC"/>
    <w:rsid w:val="0040358D"/>
    <w:rsid w:val="004039D6"/>
    <w:rsid w:val="00403A81"/>
    <w:rsid w:val="00403B0D"/>
    <w:rsid w:val="00403CFD"/>
    <w:rsid w:val="00404651"/>
    <w:rsid w:val="00404A0A"/>
    <w:rsid w:val="00404B12"/>
    <w:rsid w:val="00404C23"/>
    <w:rsid w:val="00404C93"/>
    <w:rsid w:val="00404E65"/>
    <w:rsid w:val="004058CF"/>
    <w:rsid w:val="00405F94"/>
    <w:rsid w:val="0040607E"/>
    <w:rsid w:val="00406393"/>
    <w:rsid w:val="0040685C"/>
    <w:rsid w:val="00406A26"/>
    <w:rsid w:val="00406C23"/>
    <w:rsid w:val="004072AE"/>
    <w:rsid w:val="0040776A"/>
    <w:rsid w:val="00407B3C"/>
    <w:rsid w:val="00407B5B"/>
    <w:rsid w:val="0041030A"/>
    <w:rsid w:val="0041038F"/>
    <w:rsid w:val="00410A54"/>
    <w:rsid w:val="00410CAB"/>
    <w:rsid w:val="00410CED"/>
    <w:rsid w:val="00410D5F"/>
    <w:rsid w:val="0041146E"/>
    <w:rsid w:val="00411766"/>
    <w:rsid w:val="00411982"/>
    <w:rsid w:val="004119AE"/>
    <w:rsid w:val="00411B29"/>
    <w:rsid w:val="00411B4F"/>
    <w:rsid w:val="00412221"/>
    <w:rsid w:val="00412665"/>
    <w:rsid w:val="0041294A"/>
    <w:rsid w:val="004131DF"/>
    <w:rsid w:val="0041323E"/>
    <w:rsid w:val="00413EEF"/>
    <w:rsid w:val="0041412D"/>
    <w:rsid w:val="004142EB"/>
    <w:rsid w:val="004145FD"/>
    <w:rsid w:val="004148A8"/>
    <w:rsid w:val="00414B13"/>
    <w:rsid w:val="00414BEB"/>
    <w:rsid w:val="00414D8E"/>
    <w:rsid w:val="0041502E"/>
    <w:rsid w:val="0041599A"/>
    <w:rsid w:val="004161BE"/>
    <w:rsid w:val="00416467"/>
    <w:rsid w:val="004168D1"/>
    <w:rsid w:val="00416996"/>
    <w:rsid w:val="00416CC3"/>
    <w:rsid w:val="00416CCB"/>
    <w:rsid w:val="0041724F"/>
    <w:rsid w:val="00417AA0"/>
    <w:rsid w:val="00417ACC"/>
    <w:rsid w:val="00417D3F"/>
    <w:rsid w:val="00417E24"/>
    <w:rsid w:val="0042023C"/>
    <w:rsid w:val="00420896"/>
    <w:rsid w:val="0042122B"/>
    <w:rsid w:val="00421308"/>
    <w:rsid w:val="004216BB"/>
    <w:rsid w:val="00422251"/>
    <w:rsid w:val="00422325"/>
    <w:rsid w:val="00422368"/>
    <w:rsid w:val="00422510"/>
    <w:rsid w:val="0042292C"/>
    <w:rsid w:val="00422A5F"/>
    <w:rsid w:val="00422E86"/>
    <w:rsid w:val="00423435"/>
    <w:rsid w:val="0042347D"/>
    <w:rsid w:val="0042372C"/>
    <w:rsid w:val="00423944"/>
    <w:rsid w:val="004243F9"/>
    <w:rsid w:val="00424C57"/>
    <w:rsid w:val="00424CA3"/>
    <w:rsid w:val="00425550"/>
    <w:rsid w:val="00425590"/>
    <w:rsid w:val="00425633"/>
    <w:rsid w:val="0042579A"/>
    <w:rsid w:val="00425F5A"/>
    <w:rsid w:val="00426036"/>
    <w:rsid w:val="00426282"/>
    <w:rsid w:val="004264B9"/>
    <w:rsid w:val="0042666D"/>
    <w:rsid w:val="00426782"/>
    <w:rsid w:val="00426BDF"/>
    <w:rsid w:val="00426F84"/>
    <w:rsid w:val="004275AF"/>
    <w:rsid w:val="0042762F"/>
    <w:rsid w:val="00427AAE"/>
    <w:rsid w:val="00427D77"/>
    <w:rsid w:val="004303B4"/>
    <w:rsid w:val="0043066C"/>
    <w:rsid w:val="0043083F"/>
    <w:rsid w:val="004309E7"/>
    <w:rsid w:val="00430DFC"/>
    <w:rsid w:val="00431049"/>
    <w:rsid w:val="004315F7"/>
    <w:rsid w:val="00431710"/>
    <w:rsid w:val="0043189F"/>
    <w:rsid w:val="004318EC"/>
    <w:rsid w:val="00431C9F"/>
    <w:rsid w:val="004321CC"/>
    <w:rsid w:val="0043311D"/>
    <w:rsid w:val="00433423"/>
    <w:rsid w:val="00433534"/>
    <w:rsid w:val="0043366D"/>
    <w:rsid w:val="00433904"/>
    <w:rsid w:val="0043415C"/>
    <w:rsid w:val="00434308"/>
    <w:rsid w:val="00434377"/>
    <w:rsid w:val="004343AD"/>
    <w:rsid w:val="004345AD"/>
    <w:rsid w:val="004349FC"/>
    <w:rsid w:val="00434C27"/>
    <w:rsid w:val="004353CC"/>
    <w:rsid w:val="0043576A"/>
    <w:rsid w:val="004357E5"/>
    <w:rsid w:val="00435827"/>
    <w:rsid w:val="00435896"/>
    <w:rsid w:val="00435DFC"/>
    <w:rsid w:val="0043604E"/>
    <w:rsid w:val="004360AA"/>
    <w:rsid w:val="0043610A"/>
    <w:rsid w:val="00436262"/>
    <w:rsid w:val="00436BA0"/>
    <w:rsid w:val="00436BBC"/>
    <w:rsid w:val="00436F52"/>
    <w:rsid w:val="004370B5"/>
    <w:rsid w:val="0043724F"/>
    <w:rsid w:val="00437683"/>
    <w:rsid w:val="004379D2"/>
    <w:rsid w:val="00440701"/>
    <w:rsid w:val="00440BC1"/>
    <w:rsid w:val="00440C74"/>
    <w:rsid w:val="004410E9"/>
    <w:rsid w:val="00441501"/>
    <w:rsid w:val="0044154F"/>
    <w:rsid w:val="00441B2D"/>
    <w:rsid w:val="00441C7D"/>
    <w:rsid w:val="004426D3"/>
    <w:rsid w:val="00442FD8"/>
    <w:rsid w:val="0044304A"/>
    <w:rsid w:val="00443295"/>
    <w:rsid w:val="00443504"/>
    <w:rsid w:val="0044359F"/>
    <w:rsid w:val="00443A0A"/>
    <w:rsid w:val="00443B19"/>
    <w:rsid w:val="00443B22"/>
    <w:rsid w:val="00443B8F"/>
    <w:rsid w:val="00443BF5"/>
    <w:rsid w:val="00443E0A"/>
    <w:rsid w:val="00444098"/>
    <w:rsid w:val="00444346"/>
    <w:rsid w:val="00444905"/>
    <w:rsid w:val="004451D6"/>
    <w:rsid w:val="0044536F"/>
    <w:rsid w:val="004454B4"/>
    <w:rsid w:val="00445935"/>
    <w:rsid w:val="00445952"/>
    <w:rsid w:val="00446004"/>
    <w:rsid w:val="0044698E"/>
    <w:rsid w:val="00446C40"/>
    <w:rsid w:val="00446E92"/>
    <w:rsid w:val="00446ED0"/>
    <w:rsid w:val="0044708A"/>
    <w:rsid w:val="004470F5"/>
    <w:rsid w:val="0044754C"/>
    <w:rsid w:val="0044759D"/>
    <w:rsid w:val="00447720"/>
    <w:rsid w:val="00447923"/>
    <w:rsid w:val="0045002C"/>
    <w:rsid w:val="004501E2"/>
    <w:rsid w:val="004506A2"/>
    <w:rsid w:val="0045076C"/>
    <w:rsid w:val="0045082E"/>
    <w:rsid w:val="00450C44"/>
    <w:rsid w:val="00450F04"/>
    <w:rsid w:val="00451427"/>
    <w:rsid w:val="00451AA2"/>
    <w:rsid w:val="00451B28"/>
    <w:rsid w:val="00451ED0"/>
    <w:rsid w:val="004520E9"/>
    <w:rsid w:val="0045271A"/>
    <w:rsid w:val="00452CF3"/>
    <w:rsid w:val="00452E4C"/>
    <w:rsid w:val="0045321A"/>
    <w:rsid w:val="00453270"/>
    <w:rsid w:val="00453465"/>
    <w:rsid w:val="00454670"/>
    <w:rsid w:val="004549EF"/>
    <w:rsid w:val="00454CC1"/>
    <w:rsid w:val="00454D14"/>
    <w:rsid w:val="00455251"/>
    <w:rsid w:val="00455736"/>
    <w:rsid w:val="0045577A"/>
    <w:rsid w:val="00455886"/>
    <w:rsid w:val="00455ACE"/>
    <w:rsid w:val="00455E9E"/>
    <w:rsid w:val="00456234"/>
    <w:rsid w:val="00456627"/>
    <w:rsid w:val="00456907"/>
    <w:rsid w:val="00457174"/>
    <w:rsid w:val="00457592"/>
    <w:rsid w:val="004575EA"/>
    <w:rsid w:val="004576FA"/>
    <w:rsid w:val="00457B52"/>
    <w:rsid w:val="004601FC"/>
    <w:rsid w:val="004608B0"/>
    <w:rsid w:val="00460927"/>
    <w:rsid w:val="00460933"/>
    <w:rsid w:val="00460D4D"/>
    <w:rsid w:val="00460F08"/>
    <w:rsid w:val="00460FC9"/>
    <w:rsid w:val="00461110"/>
    <w:rsid w:val="00461118"/>
    <w:rsid w:val="00461256"/>
    <w:rsid w:val="00461480"/>
    <w:rsid w:val="00461694"/>
    <w:rsid w:val="00461904"/>
    <w:rsid w:val="00461B01"/>
    <w:rsid w:val="00461D44"/>
    <w:rsid w:val="00462422"/>
    <w:rsid w:val="00462716"/>
    <w:rsid w:val="00462876"/>
    <w:rsid w:val="00462F08"/>
    <w:rsid w:val="00463650"/>
    <w:rsid w:val="004636D4"/>
    <w:rsid w:val="00463963"/>
    <w:rsid w:val="00463A3B"/>
    <w:rsid w:val="00463A49"/>
    <w:rsid w:val="00463CD2"/>
    <w:rsid w:val="004642A2"/>
    <w:rsid w:val="004644CB"/>
    <w:rsid w:val="00464D5A"/>
    <w:rsid w:val="00465071"/>
    <w:rsid w:val="004654E9"/>
    <w:rsid w:val="0046594A"/>
    <w:rsid w:val="00465C30"/>
    <w:rsid w:val="00465F04"/>
    <w:rsid w:val="00465F6A"/>
    <w:rsid w:val="00465FFB"/>
    <w:rsid w:val="00466044"/>
    <w:rsid w:val="0046616B"/>
    <w:rsid w:val="004662A3"/>
    <w:rsid w:val="0046634D"/>
    <w:rsid w:val="00466370"/>
    <w:rsid w:val="0046642F"/>
    <w:rsid w:val="00466531"/>
    <w:rsid w:val="00466787"/>
    <w:rsid w:val="0046679E"/>
    <w:rsid w:val="00466966"/>
    <w:rsid w:val="0046696A"/>
    <w:rsid w:val="00466A75"/>
    <w:rsid w:val="00466D0A"/>
    <w:rsid w:val="00467896"/>
    <w:rsid w:val="004678B5"/>
    <w:rsid w:val="00467DDD"/>
    <w:rsid w:val="00467E31"/>
    <w:rsid w:val="00467FAC"/>
    <w:rsid w:val="00470058"/>
    <w:rsid w:val="0047024B"/>
    <w:rsid w:val="0047025E"/>
    <w:rsid w:val="004702BC"/>
    <w:rsid w:val="00470312"/>
    <w:rsid w:val="00470440"/>
    <w:rsid w:val="004708B5"/>
    <w:rsid w:val="0047098D"/>
    <w:rsid w:val="00470D0F"/>
    <w:rsid w:val="00470F7D"/>
    <w:rsid w:val="004710A0"/>
    <w:rsid w:val="004711A5"/>
    <w:rsid w:val="0047133D"/>
    <w:rsid w:val="0047150A"/>
    <w:rsid w:val="0047150F"/>
    <w:rsid w:val="004715BE"/>
    <w:rsid w:val="00471906"/>
    <w:rsid w:val="0047198D"/>
    <w:rsid w:val="00471B7B"/>
    <w:rsid w:val="0047239E"/>
    <w:rsid w:val="004727CB"/>
    <w:rsid w:val="004729B5"/>
    <w:rsid w:val="00472A3F"/>
    <w:rsid w:val="00472CC8"/>
    <w:rsid w:val="00472D7D"/>
    <w:rsid w:val="00472EFC"/>
    <w:rsid w:val="0047303A"/>
    <w:rsid w:val="00473067"/>
    <w:rsid w:val="004734E5"/>
    <w:rsid w:val="0047365C"/>
    <w:rsid w:val="00473692"/>
    <w:rsid w:val="004736EA"/>
    <w:rsid w:val="00473A82"/>
    <w:rsid w:val="00473CAE"/>
    <w:rsid w:val="00473CEF"/>
    <w:rsid w:val="00474539"/>
    <w:rsid w:val="004746F7"/>
    <w:rsid w:val="00474734"/>
    <w:rsid w:val="0047475C"/>
    <w:rsid w:val="0047486E"/>
    <w:rsid w:val="004749E6"/>
    <w:rsid w:val="00474A32"/>
    <w:rsid w:val="004751A6"/>
    <w:rsid w:val="004753C8"/>
    <w:rsid w:val="00475826"/>
    <w:rsid w:val="004759E0"/>
    <w:rsid w:val="00475B3F"/>
    <w:rsid w:val="004761AA"/>
    <w:rsid w:val="00476C00"/>
    <w:rsid w:val="0047724E"/>
    <w:rsid w:val="00477589"/>
    <w:rsid w:val="00477E28"/>
    <w:rsid w:val="00477F7A"/>
    <w:rsid w:val="00477FE3"/>
    <w:rsid w:val="00480289"/>
    <w:rsid w:val="00480FE9"/>
    <w:rsid w:val="0048121C"/>
    <w:rsid w:val="00481611"/>
    <w:rsid w:val="00481719"/>
    <w:rsid w:val="00481D4F"/>
    <w:rsid w:val="004822D9"/>
    <w:rsid w:val="004825A9"/>
    <w:rsid w:val="00482613"/>
    <w:rsid w:val="0048278E"/>
    <w:rsid w:val="00482AA1"/>
    <w:rsid w:val="004830E4"/>
    <w:rsid w:val="0048321F"/>
    <w:rsid w:val="00483A94"/>
    <w:rsid w:val="00483E21"/>
    <w:rsid w:val="00483E4E"/>
    <w:rsid w:val="0048477A"/>
    <w:rsid w:val="004848DA"/>
    <w:rsid w:val="00484B2F"/>
    <w:rsid w:val="00484B35"/>
    <w:rsid w:val="00485650"/>
    <w:rsid w:val="004856A3"/>
    <w:rsid w:val="004858DE"/>
    <w:rsid w:val="004859CB"/>
    <w:rsid w:val="00486166"/>
    <w:rsid w:val="004861F6"/>
    <w:rsid w:val="004871ED"/>
    <w:rsid w:val="00487204"/>
    <w:rsid w:val="004873E1"/>
    <w:rsid w:val="00487876"/>
    <w:rsid w:val="00490068"/>
    <w:rsid w:val="00490261"/>
    <w:rsid w:val="00490265"/>
    <w:rsid w:val="004904C9"/>
    <w:rsid w:val="004907C1"/>
    <w:rsid w:val="00490975"/>
    <w:rsid w:val="00490C4F"/>
    <w:rsid w:val="00490D5A"/>
    <w:rsid w:val="004914ED"/>
    <w:rsid w:val="004916C8"/>
    <w:rsid w:val="004918B3"/>
    <w:rsid w:val="00491AED"/>
    <w:rsid w:val="00491B00"/>
    <w:rsid w:val="00492F24"/>
    <w:rsid w:val="00492F67"/>
    <w:rsid w:val="004937AE"/>
    <w:rsid w:val="00493865"/>
    <w:rsid w:val="0049429A"/>
    <w:rsid w:val="0049462C"/>
    <w:rsid w:val="004946F2"/>
    <w:rsid w:val="004947E5"/>
    <w:rsid w:val="00494BD6"/>
    <w:rsid w:val="00494DC2"/>
    <w:rsid w:val="00494E47"/>
    <w:rsid w:val="00494F12"/>
    <w:rsid w:val="00495109"/>
    <w:rsid w:val="00495608"/>
    <w:rsid w:val="00495749"/>
    <w:rsid w:val="00495DE8"/>
    <w:rsid w:val="00495E67"/>
    <w:rsid w:val="004961D6"/>
    <w:rsid w:val="00496272"/>
    <w:rsid w:val="00496C02"/>
    <w:rsid w:val="00497006"/>
    <w:rsid w:val="00497175"/>
    <w:rsid w:val="0049717E"/>
    <w:rsid w:val="0049723E"/>
    <w:rsid w:val="00497462"/>
    <w:rsid w:val="00497906"/>
    <w:rsid w:val="00497B5F"/>
    <w:rsid w:val="004A00A3"/>
    <w:rsid w:val="004A00AB"/>
    <w:rsid w:val="004A03DF"/>
    <w:rsid w:val="004A06FA"/>
    <w:rsid w:val="004A0745"/>
    <w:rsid w:val="004A0D26"/>
    <w:rsid w:val="004A0EE0"/>
    <w:rsid w:val="004A10E5"/>
    <w:rsid w:val="004A1234"/>
    <w:rsid w:val="004A12B3"/>
    <w:rsid w:val="004A1382"/>
    <w:rsid w:val="004A1550"/>
    <w:rsid w:val="004A1557"/>
    <w:rsid w:val="004A1729"/>
    <w:rsid w:val="004A2066"/>
    <w:rsid w:val="004A20EA"/>
    <w:rsid w:val="004A220A"/>
    <w:rsid w:val="004A223E"/>
    <w:rsid w:val="004A22B5"/>
    <w:rsid w:val="004A290A"/>
    <w:rsid w:val="004A31FD"/>
    <w:rsid w:val="004A345B"/>
    <w:rsid w:val="004A34B2"/>
    <w:rsid w:val="004A369E"/>
    <w:rsid w:val="004A397C"/>
    <w:rsid w:val="004A3DA9"/>
    <w:rsid w:val="004A3E53"/>
    <w:rsid w:val="004A4344"/>
    <w:rsid w:val="004A46ED"/>
    <w:rsid w:val="004A4793"/>
    <w:rsid w:val="004A4A04"/>
    <w:rsid w:val="004A4AEE"/>
    <w:rsid w:val="004A50C1"/>
    <w:rsid w:val="004A5392"/>
    <w:rsid w:val="004A5AA0"/>
    <w:rsid w:val="004A5CAE"/>
    <w:rsid w:val="004A5CF4"/>
    <w:rsid w:val="004A60F1"/>
    <w:rsid w:val="004A62A2"/>
    <w:rsid w:val="004A6996"/>
    <w:rsid w:val="004A6FCF"/>
    <w:rsid w:val="004A799D"/>
    <w:rsid w:val="004A7D77"/>
    <w:rsid w:val="004A7F08"/>
    <w:rsid w:val="004A7FF5"/>
    <w:rsid w:val="004B0114"/>
    <w:rsid w:val="004B0401"/>
    <w:rsid w:val="004B0905"/>
    <w:rsid w:val="004B0E70"/>
    <w:rsid w:val="004B15AA"/>
    <w:rsid w:val="004B1714"/>
    <w:rsid w:val="004B1E75"/>
    <w:rsid w:val="004B2040"/>
    <w:rsid w:val="004B2290"/>
    <w:rsid w:val="004B2623"/>
    <w:rsid w:val="004B2880"/>
    <w:rsid w:val="004B2955"/>
    <w:rsid w:val="004B29AA"/>
    <w:rsid w:val="004B2B2E"/>
    <w:rsid w:val="004B2F84"/>
    <w:rsid w:val="004B341E"/>
    <w:rsid w:val="004B351C"/>
    <w:rsid w:val="004B3BBA"/>
    <w:rsid w:val="004B49B5"/>
    <w:rsid w:val="004B4A16"/>
    <w:rsid w:val="004B4CE4"/>
    <w:rsid w:val="004B4E4F"/>
    <w:rsid w:val="004B4EDB"/>
    <w:rsid w:val="004B50D0"/>
    <w:rsid w:val="004B5127"/>
    <w:rsid w:val="004B54F9"/>
    <w:rsid w:val="004B57AE"/>
    <w:rsid w:val="004B5B22"/>
    <w:rsid w:val="004B5C34"/>
    <w:rsid w:val="004B5E52"/>
    <w:rsid w:val="004B605F"/>
    <w:rsid w:val="004B6127"/>
    <w:rsid w:val="004B6C9E"/>
    <w:rsid w:val="004B7735"/>
    <w:rsid w:val="004B77A7"/>
    <w:rsid w:val="004B7BD9"/>
    <w:rsid w:val="004B7F16"/>
    <w:rsid w:val="004C09D5"/>
    <w:rsid w:val="004C0D25"/>
    <w:rsid w:val="004C1483"/>
    <w:rsid w:val="004C14B0"/>
    <w:rsid w:val="004C154C"/>
    <w:rsid w:val="004C1750"/>
    <w:rsid w:val="004C18B2"/>
    <w:rsid w:val="004C1C13"/>
    <w:rsid w:val="004C1C25"/>
    <w:rsid w:val="004C2111"/>
    <w:rsid w:val="004C2115"/>
    <w:rsid w:val="004C23A8"/>
    <w:rsid w:val="004C2A82"/>
    <w:rsid w:val="004C2C23"/>
    <w:rsid w:val="004C3571"/>
    <w:rsid w:val="004C3668"/>
    <w:rsid w:val="004C3CC9"/>
    <w:rsid w:val="004C3FEE"/>
    <w:rsid w:val="004C460D"/>
    <w:rsid w:val="004C4C36"/>
    <w:rsid w:val="004C51DF"/>
    <w:rsid w:val="004C527B"/>
    <w:rsid w:val="004C5649"/>
    <w:rsid w:val="004C5700"/>
    <w:rsid w:val="004C5A17"/>
    <w:rsid w:val="004C5C59"/>
    <w:rsid w:val="004C5FE7"/>
    <w:rsid w:val="004C6305"/>
    <w:rsid w:val="004C682E"/>
    <w:rsid w:val="004C6958"/>
    <w:rsid w:val="004C6A5C"/>
    <w:rsid w:val="004C6BE7"/>
    <w:rsid w:val="004C6D00"/>
    <w:rsid w:val="004C6F25"/>
    <w:rsid w:val="004C7108"/>
    <w:rsid w:val="004C7FED"/>
    <w:rsid w:val="004D043E"/>
    <w:rsid w:val="004D051D"/>
    <w:rsid w:val="004D05A8"/>
    <w:rsid w:val="004D05E1"/>
    <w:rsid w:val="004D0DD8"/>
    <w:rsid w:val="004D0E32"/>
    <w:rsid w:val="004D10B4"/>
    <w:rsid w:val="004D1158"/>
    <w:rsid w:val="004D12CD"/>
    <w:rsid w:val="004D1713"/>
    <w:rsid w:val="004D18EC"/>
    <w:rsid w:val="004D198D"/>
    <w:rsid w:val="004D1D7D"/>
    <w:rsid w:val="004D1FB6"/>
    <w:rsid w:val="004D26A7"/>
    <w:rsid w:val="004D26C2"/>
    <w:rsid w:val="004D2C8B"/>
    <w:rsid w:val="004D3088"/>
    <w:rsid w:val="004D3097"/>
    <w:rsid w:val="004D312D"/>
    <w:rsid w:val="004D33AA"/>
    <w:rsid w:val="004D3638"/>
    <w:rsid w:val="004D3E27"/>
    <w:rsid w:val="004D3EE7"/>
    <w:rsid w:val="004D44B3"/>
    <w:rsid w:val="004D46C2"/>
    <w:rsid w:val="004D4720"/>
    <w:rsid w:val="004D4C07"/>
    <w:rsid w:val="004D4F97"/>
    <w:rsid w:val="004D50A4"/>
    <w:rsid w:val="004D556B"/>
    <w:rsid w:val="004D56EA"/>
    <w:rsid w:val="004D5B37"/>
    <w:rsid w:val="004D5C5B"/>
    <w:rsid w:val="004D5D27"/>
    <w:rsid w:val="004D5E86"/>
    <w:rsid w:val="004D644E"/>
    <w:rsid w:val="004D66CA"/>
    <w:rsid w:val="004D6867"/>
    <w:rsid w:val="004D6C40"/>
    <w:rsid w:val="004D6D21"/>
    <w:rsid w:val="004D6E0B"/>
    <w:rsid w:val="004D7663"/>
    <w:rsid w:val="004D78AD"/>
    <w:rsid w:val="004D7D6C"/>
    <w:rsid w:val="004D7D88"/>
    <w:rsid w:val="004D7F9B"/>
    <w:rsid w:val="004E0161"/>
    <w:rsid w:val="004E04F7"/>
    <w:rsid w:val="004E0634"/>
    <w:rsid w:val="004E0C42"/>
    <w:rsid w:val="004E0C71"/>
    <w:rsid w:val="004E0E64"/>
    <w:rsid w:val="004E108F"/>
    <w:rsid w:val="004E160A"/>
    <w:rsid w:val="004E1C17"/>
    <w:rsid w:val="004E1F38"/>
    <w:rsid w:val="004E21C9"/>
    <w:rsid w:val="004E21FA"/>
    <w:rsid w:val="004E2707"/>
    <w:rsid w:val="004E2945"/>
    <w:rsid w:val="004E2B29"/>
    <w:rsid w:val="004E2C8C"/>
    <w:rsid w:val="004E2D09"/>
    <w:rsid w:val="004E2FA1"/>
    <w:rsid w:val="004E301D"/>
    <w:rsid w:val="004E313E"/>
    <w:rsid w:val="004E316B"/>
    <w:rsid w:val="004E3977"/>
    <w:rsid w:val="004E39F4"/>
    <w:rsid w:val="004E3AC3"/>
    <w:rsid w:val="004E3C59"/>
    <w:rsid w:val="004E3F82"/>
    <w:rsid w:val="004E406A"/>
    <w:rsid w:val="004E4619"/>
    <w:rsid w:val="004E465A"/>
    <w:rsid w:val="004E4942"/>
    <w:rsid w:val="004E4F0A"/>
    <w:rsid w:val="004E5118"/>
    <w:rsid w:val="004E5383"/>
    <w:rsid w:val="004E5774"/>
    <w:rsid w:val="004E59BA"/>
    <w:rsid w:val="004E5BB0"/>
    <w:rsid w:val="004E5BCF"/>
    <w:rsid w:val="004E5C83"/>
    <w:rsid w:val="004E5CE9"/>
    <w:rsid w:val="004E5E53"/>
    <w:rsid w:val="004E6679"/>
    <w:rsid w:val="004E6B99"/>
    <w:rsid w:val="004E71AC"/>
    <w:rsid w:val="004E71F3"/>
    <w:rsid w:val="004E792D"/>
    <w:rsid w:val="004E7B22"/>
    <w:rsid w:val="004E7E1F"/>
    <w:rsid w:val="004F0554"/>
    <w:rsid w:val="004F1100"/>
    <w:rsid w:val="004F1523"/>
    <w:rsid w:val="004F177C"/>
    <w:rsid w:val="004F17D2"/>
    <w:rsid w:val="004F2898"/>
    <w:rsid w:val="004F29A3"/>
    <w:rsid w:val="004F29AC"/>
    <w:rsid w:val="004F2AD6"/>
    <w:rsid w:val="004F2B10"/>
    <w:rsid w:val="004F2D81"/>
    <w:rsid w:val="004F2F44"/>
    <w:rsid w:val="004F3505"/>
    <w:rsid w:val="004F3570"/>
    <w:rsid w:val="004F3632"/>
    <w:rsid w:val="004F3C29"/>
    <w:rsid w:val="004F407A"/>
    <w:rsid w:val="004F412A"/>
    <w:rsid w:val="004F4259"/>
    <w:rsid w:val="004F43B9"/>
    <w:rsid w:val="004F4BE9"/>
    <w:rsid w:val="004F4D75"/>
    <w:rsid w:val="004F4DC9"/>
    <w:rsid w:val="004F542D"/>
    <w:rsid w:val="004F5C66"/>
    <w:rsid w:val="004F61DA"/>
    <w:rsid w:val="004F625E"/>
    <w:rsid w:val="004F6700"/>
    <w:rsid w:val="004F6877"/>
    <w:rsid w:val="004F6D4D"/>
    <w:rsid w:val="004F6E3F"/>
    <w:rsid w:val="004F708D"/>
    <w:rsid w:val="004F7680"/>
    <w:rsid w:val="004F7800"/>
    <w:rsid w:val="004F7813"/>
    <w:rsid w:val="004F78EF"/>
    <w:rsid w:val="004F79CE"/>
    <w:rsid w:val="004F7E19"/>
    <w:rsid w:val="004F7FE5"/>
    <w:rsid w:val="0050005B"/>
    <w:rsid w:val="005001B4"/>
    <w:rsid w:val="00500209"/>
    <w:rsid w:val="00500369"/>
    <w:rsid w:val="005005DA"/>
    <w:rsid w:val="00500859"/>
    <w:rsid w:val="00500C8A"/>
    <w:rsid w:val="00500EF7"/>
    <w:rsid w:val="005010A7"/>
    <w:rsid w:val="00501231"/>
    <w:rsid w:val="005018F2"/>
    <w:rsid w:val="00501B31"/>
    <w:rsid w:val="00501C06"/>
    <w:rsid w:val="00502BC5"/>
    <w:rsid w:val="00502C83"/>
    <w:rsid w:val="00502D34"/>
    <w:rsid w:val="00502EFE"/>
    <w:rsid w:val="00503005"/>
    <w:rsid w:val="00503467"/>
    <w:rsid w:val="005034E8"/>
    <w:rsid w:val="00503520"/>
    <w:rsid w:val="0050360E"/>
    <w:rsid w:val="005038C3"/>
    <w:rsid w:val="0050394C"/>
    <w:rsid w:val="00503F25"/>
    <w:rsid w:val="0050438A"/>
    <w:rsid w:val="0050475E"/>
    <w:rsid w:val="00504832"/>
    <w:rsid w:val="00504AF0"/>
    <w:rsid w:val="00504B48"/>
    <w:rsid w:val="00504B85"/>
    <w:rsid w:val="00505289"/>
    <w:rsid w:val="005055AB"/>
    <w:rsid w:val="00505758"/>
    <w:rsid w:val="0050575D"/>
    <w:rsid w:val="00505B0E"/>
    <w:rsid w:val="00505CC2"/>
    <w:rsid w:val="00505DF4"/>
    <w:rsid w:val="00505EE7"/>
    <w:rsid w:val="00505F1B"/>
    <w:rsid w:val="005060A7"/>
    <w:rsid w:val="00506108"/>
    <w:rsid w:val="00506221"/>
    <w:rsid w:val="005063ED"/>
    <w:rsid w:val="0050686C"/>
    <w:rsid w:val="00506A17"/>
    <w:rsid w:val="00506BC6"/>
    <w:rsid w:val="00506DD8"/>
    <w:rsid w:val="00506FBF"/>
    <w:rsid w:val="00507014"/>
    <w:rsid w:val="00507128"/>
    <w:rsid w:val="00507348"/>
    <w:rsid w:val="005075CF"/>
    <w:rsid w:val="00507A07"/>
    <w:rsid w:val="00511093"/>
    <w:rsid w:val="00511193"/>
    <w:rsid w:val="00511415"/>
    <w:rsid w:val="005117D3"/>
    <w:rsid w:val="00511B7B"/>
    <w:rsid w:val="00511BBE"/>
    <w:rsid w:val="00511E3A"/>
    <w:rsid w:val="005128D3"/>
    <w:rsid w:val="00512928"/>
    <w:rsid w:val="0051297D"/>
    <w:rsid w:val="0051297F"/>
    <w:rsid w:val="005129B9"/>
    <w:rsid w:val="00512AE2"/>
    <w:rsid w:val="00512C6A"/>
    <w:rsid w:val="0051307D"/>
    <w:rsid w:val="005132CA"/>
    <w:rsid w:val="00513552"/>
    <w:rsid w:val="0051357F"/>
    <w:rsid w:val="00513796"/>
    <w:rsid w:val="00513E7A"/>
    <w:rsid w:val="00513F63"/>
    <w:rsid w:val="005141F7"/>
    <w:rsid w:val="00514BE4"/>
    <w:rsid w:val="00514F68"/>
    <w:rsid w:val="00515015"/>
    <w:rsid w:val="005155D1"/>
    <w:rsid w:val="005160CB"/>
    <w:rsid w:val="005161F1"/>
    <w:rsid w:val="00516771"/>
    <w:rsid w:val="00516832"/>
    <w:rsid w:val="005168A5"/>
    <w:rsid w:val="00516B75"/>
    <w:rsid w:val="00516DC6"/>
    <w:rsid w:val="0051714B"/>
    <w:rsid w:val="0051759F"/>
    <w:rsid w:val="00517667"/>
    <w:rsid w:val="005177CC"/>
    <w:rsid w:val="00517D8D"/>
    <w:rsid w:val="0052001A"/>
    <w:rsid w:val="005200AE"/>
    <w:rsid w:val="00520A4C"/>
    <w:rsid w:val="005211A1"/>
    <w:rsid w:val="005211E4"/>
    <w:rsid w:val="005212D7"/>
    <w:rsid w:val="005217A1"/>
    <w:rsid w:val="00521932"/>
    <w:rsid w:val="005225BA"/>
    <w:rsid w:val="005226A0"/>
    <w:rsid w:val="00522FC6"/>
    <w:rsid w:val="005231E2"/>
    <w:rsid w:val="005237DB"/>
    <w:rsid w:val="00523852"/>
    <w:rsid w:val="00523BA5"/>
    <w:rsid w:val="00523F28"/>
    <w:rsid w:val="00524394"/>
    <w:rsid w:val="005244A0"/>
    <w:rsid w:val="00524995"/>
    <w:rsid w:val="00524CF9"/>
    <w:rsid w:val="00524DC9"/>
    <w:rsid w:val="00524FA0"/>
    <w:rsid w:val="00524FC1"/>
    <w:rsid w:val="00525144"/>
    <w:rsid w:val="0052552A"/>
    <w:rsid w:val="005256CC"/>
    <w:rsid w:val="005259EE"/>
    <w:rsid w:val="00525E20"/>
    <w:rsid w:val="00526641"/>
    <w:rsid w:val="00526A50"/>
    <w:rsid w:val="00526FDD"/>
    <w:rsid w:val="0052705D"/>
    <w:rsid w:val="005273C2"/>
    <w:rsid w:val="0052740D"/>
    <w:rsid w:val="005274FF"/>
    <w:rsid w:val="005277D5"/>
    <w:rsid w:val="00530022"/>
    <w:rsid w:val="0053025F"/>
    <w:rsid w:val="00530356"/>
    <w:rsid w:val="00530722"/>
    <w:rsid w:val="00530811"/>
    <w:rsid w:val="005309D5"/>
    <w:rsid w:val="00530BFF"/>
    <w:rsid w:val="00530CB6"/>
    <w:rsid w:val="00531007"/>
    <w:rsid w:val="0053105F"/>
    <w:rsid w:val="005315BF"/>
    <w:rsid w:val="0053197B"/>
    <w:rsid w:val="00531986"/>
    <w:rsid w:val="00531A4E"/>
    <w:rsid w:val="00531C22"/>
    <w:rsid w:val="00532796"/>
    <w:rsid w:val="0053292C"/>
    <w:rsid w:val="00532FE7"/>
    <w:rsid w:val="0053305C"/>
    <w:rsid w:val="005336D8"/>
    <w:rsid w:val="005341D1"/>
    <w:rsid w:val="00534827"/>
    <w:rsid w:val="00534934"/>
    <w:rsid w:val="0053557D"/>
    <w:rsid w:val="0053568D"/>
    <w:rsid w:val="00535E5E"/>
    <w:rsid w:val="00535F70"/>
    <w:rsid w:val="00536041"/>
    <w:rsid w:val="00536198"/>
    <w:rsid w:val="00536292"/>
    <w:rsid w:val="0053692C"/>
    <w:rsid w:val="0053694C"/>
    <w:rsid w:val="00536AE6"/>
    <w:rsid w:val="00536CA7"/>
    <w:rsid w:val="00536D5A"/>
    <w:rsid w:val="00536D98"/>
    <w:rsid w:val="0053722B"/>
    <w:rsid w:val="0053757D"/>
    <w:rsid w:val="005377C1"/>
    <w:rsid w:val="00540117"/>
    <w:rsid w:val="00540588"/>
    <w:rsid w:val="005405D0"/>
    <w:rsid w:val="00540780"/>
    <w:rsid w:val="00540DC4"/>
    <w:rsid w:val="00540E34"/>
    <w:rsid w:val="00540E85"/>
    <w:rsid w:val="0054124A"/>
    <w:rsid w:val="0054139C"/>
    <w:rsid w:val="005414D3"/>
    <w:rsid w:val="00541AF2"/>
    <w:rsid w:val="00542578"/>
    <w:rsid w:val="00542714"/>
    <w:rsid w:val="005427F3"/>
    <w:rsid w:val="0054296F"/>
    <w:rsid w:val="00542BCA"/>
    <w:rsid w:val="00542BCE"/>
    <w:rsid w:val="00543446"/>
    <w:rsid w:val="00543C30"/>
    <w:rsid w:val="00543E36"/>
    <w:rsid w:val="00544174"/>
    <w:rsid w:val="005441C9"/>
    <w:rsid w:val="00544695"/>
    <w:rsid w:val="00544882"/>
    <w:rsid w:val="00544B78"/>
    <w:rsid w:val="00544D85"/>
    <w:rsid w:val="00544DAC"/>
    <w:rsid w:val="005452B9"/>
    <w:rsid w:val="005453EA"/>
    <w:rsid w:val="00545746"/>
    <w:rsid w:val="00545865"/>
    <w:rsid w:val="00545A4F"/>
    <w:rsid w:val="005461D2"/>
    <w:rsid w:val="005463A8"/>
    <w:rsid w:val="0054657D"/>
    <w:rsid w:val="005465BE"/>
    <w:rsid w:val="00546873"/>
    <w:rsid w:val="00546AB9"/>
    <w:rsid w:val="00546BA2"/>
    <w:rsid w:val="00546C5C"/>
    <w:rsid w:val="00546D34"/>
    <w:rsid w:val="00546FE3"/>
    <w:rsid w:val="00547324"/>
    <w:rsid w:val="005474D7"/>
    <w:rsid w:val="005474E8"/>
    <w:rsid w:val="00547802"/>
    <w:rsid w:val="00547EEE"/>
    <w:rsid w:val="00550592"/>
    <w:rsid w:val="005517DB"/>
    <w:rsid w:val="0055195A"/>
    <w:rsid w:val="0055208C"/>
    <w:rsid w:val="0055272A"/>
    <w:rsid w:val="00552851"/>
    <w:rsid w:val="00552A74"/>
    <w:rsid w:val="00552C79"/>
    <w:rsid w:val="00552D02"/>
    <w:rsid w:val="00552E44"/>
    <w:rsid w:val="005532A8"/>
    <w:rsid w:val="005535D1"/>
    <w:rsid w:val="005537B2"/>
    <w:rsid w:val="00553A5E"/>
    <w:rsid w:val="00553BCA"/>
    <w:rsid w:val="00553EAC"/>
    <w:rsid w:val="00553FA2"/>
    <w:rsid w:val="00553FAA"/>
    <w:rsid w:val="005547F2"/>
    <w:rsid w:val="00554A78"/>
    <w:rsid w:val="00554D62"/>
    <w:rsid w:val="0055507B"/>
    <w:rsid w:val="005550E2"/>
    <w:rsid w:val="0055596D"/>
    <w:rsid w:val="00555B55"/>
    <w:rsid w:val="00555D51"/>
    <w:rsid w:val="00555E2F"/>
    <w:rsid w:val="00555F3E"/>
    <w:rsid w:val="0055644A"/>
    <w:rsid w:val="00556552"/>
    <w:rsid w:val="00556D91"/>
    <w:rsid w:val="00556E59"/>
    <w:rsid w:val="00556F89"/>
    <w:rsid w:val="0055713D"/>
    <w:rsid w:val="0055753E"/>
    <w:rsid w:val="0055774A"/>
    <w:rsid w:val="0055790F"/>
    <w:rsid w:val="00557DCA"/>
    <w:rsid w:val="00557ED3"/>
    <w:rsid w:val="005601AF"/>
    <w:rsid w:val="00560655"/>
    <w:rsid w:val="00560896"/>
    <w:rsid w:val="005608C8"/>
    <w:rsid w:val="00560938"/>
    <w:rsid w:val="00560EAA"/>
    <w:rsid w:val="00560FA7"/>
    <w:rsid w:val="00561033"/>
    <w:rsid w:val="0056125E"/>
    <w:rsid w:val="005613F8"/>
    <w:rsid w:val="00561A5C"/>
    <w:rsid w:val="00561B5D"/>
    <w:rsid w:val="00561E55"/>
    <w:rsid w:val="00561E5B"/>
    <w:rsid w:val="00561EA2"/>
    <w:rsid w:val="005621D1"/>
    <w:rsid w:val="00562479"/>
    <w:rsid w:val="00562551"/>
    <w:rsid w:val="00562790"/>
    <w:rsid w:val="0056293E"/>
    <w:rsid w:val="00562A32"/>
    <w:rsid w:val="00562E1D"/>
    <w:rsid w:val="00563253"/>
    <w:rsid w:val="005634BF"/>
    <w:rsid w:val="005635B6"/>
    <w:rsid w:val="00563C01"/>
    <w:rsid w:val="00563DCD"/>
    <w:rsid w:val="00563DDF"/>
    <w:rsid w:val="00564950"/>
    <w:rsid w:val="00564CC1"/>
    <w:rsid w:val="00565039"/>
    <w:rsid w:val="0056527F"/>
    <w:rsid w:val="005653EA"/>
    <w:rsid w:val="00565708"/>
    <w:rsid w:val="00565BE2"/>
    <w:rsid w:val="00565E76"/>
    <w:rsid w:val="005662A1"/>
    <w:rsid w:val="00566754"/>
    <w:rsid w:val="0056675E"/>
    <w:rsid w:val="005667CE"/>
    <w:rsid w:val="00566C61"/>
    <w:rsid w:val="00566DEF"/>
    <w:rsid w:val="005671AB"/>
    <w:rsid w:val="00567417"/>
    <w:rsid w:val="00567984"/>
    <w:rsid w:val="00567BF9"/>
    <w:rsid w:val="00567D3F"/>
    <w:rsid w:val="00567D7E"/>
    <w:rsid w:val="00567F43"/>
    <w:rsid w:val="005701B9"/>
    <w:rsid w:val="0057032F"/>
    <w:rsid w:val="00570409"/>
    <w:rsid w:val="00570B28"/>
    <w:rsid w:val="0057158D"/>
    <w:rsid w:val="0057194C"/>
    <w:rsid w:val="00571CE2"/>
    <w:rsid w:val="00571E69"/>
    <w:rsid w:val="00572069"/>
    <w:rsid w:val="00572450"/>
    <w:rsid w:val="005728DC"/>
    <w:rsid w:val="0057294A"/>
    <w:rsid w:val="00572BB3"/>
    <w:rsid w:val="00572BC0"/>
    <w:rsid w:val="005731EF"/>
    <w:rsid w:val="00573276"/>
    <w:rsid w:val="005732BF"/>
    <w:rsid w:val="005733BA"/>
    <w:rsid w:val="00573498"/>
    <w:rsid w:val="00573D3A"/>
    <w:rsid w:val="00573E06"/>
    <w:rsid w:val="00573E2C"/>
    <w:rsid w:val="00573E38"/>
    <w:rsid w:val="00573F1E"/>
    <w:rsid w:val="005741A5"/>
    <w:rsid w:val="00574D34"/>
    <w:rsid w:val="00574EE3"/>
    <w:rsid w:val="005750C0"/>
    <w:rsid w:val="005751DA"/>
    <w:rsid w:val="005755F5"/>
    <w:rsid w:val="0057565C"/>
    <w:rsid w:val="0057582B"/>
    <w:rsid w:val="00575B48"/>
    <w:rsid w:val="00575CD7"/>
    <w:rsid w:val="00575E68"/>
    <w:rsid w:val="00575EB6"/>
    <w:rsid w:val="00576090"/>
    <w:rsid w:val="0057629C"/>
    <w:rsid w:val="00576420"/>
    <w:rsid w:val="0057654A"/>
    <w:rsid w:val="005765FC"/>
    <w:rsid w:val="00576A07"/>
    <w:rsid w:val="00576EF3"/>
    <w:rsid w:val="0057707E"/>
    <w:rsid w:val="00577169"/>
    <w:rsid w:val="00577335"/>
    <w:rsid w:val="00577749"/>
    <w:rsid w:val="005778A0"/>
    <w:rsid w:val="0058030B"/>
    <w:rsid w:val="005805B9"/>
    <w:rsid w:val="00580702"/>
    <w:rsid w:val="00580897"/>
    <w:rsid w:val="005816CB"/>
    <w:rsid w:val="00581EA9"/>
    <w:rsid w:val="0058221D"/>
    <w:rsid w:val="00582642"/>
    <w:rsid w:val="00582B39"/>
    <w:rsid w:val="00583134"/>
    <w:rsid w:val="005833E3"/>
    <w:rsid w:val="005834CB"/>
    <w:rsid w:val="0058386B"/>
    <w:rsid w:val="00583C89"/>
    <w:rsid w:val="00583E3D"/>
    <w:rsid w:val="00583FD3"/>
    <w:rsid w:val="00584035"/>
    <w:rsid w:val="005840AC"/>
    <w:rsid w:val="00584363"/>
    <w:rsid w:val="0058460F"/>
    <w:rsid w:val="0058495E"/>
    <w:rsid w:val="00584BF5"/>
    <w:rsid w:val="00585356"/>
    <w:rsid w:val="00585372"/>
    <w:rsid w:val="00585498"/>
    <w:rsid w:val="00585B42"/>
    <w:rsid w:val="00586256"/>
    <w:rsid w:val="00586406"/>
    <w:rsid w:val="005866AF"/>
    <w:rsid w:val="00586822"/>
    <w:rsid w:val="00586C44"/>
    <w:rsid w:val="00586FE5"/>
    <w:rsid w:val="00587200"/>
    <w:rsid w:val="0058779F"/>
    <w:rsid w:val="0058787A"/>
    <w:rsid w:val="00587921"/>
    <w:rsid w:val="00587997"/>
    <w:rsid w:val="005907C9"/>
    <w:rsid w:val="00590931"/>
    <w:rsid w:val="00590D9A"/>
    <w:rsid w:val="0059103A"/>
    <w:rsid w:val="00591040"/>
    <w:rsid w:val="005916E7"/>
    <w:rsid w:val="0059187E"/>
    <w:rsid w:val="00591FE6"/>
    <w:rsid w:val="0059248A"/>
    <w:rsid w:val="00592636"/>
    <w:rsid w:val="00592820"/>
    <w:rsid w:val="0059285C"/>
    <w:rsid w:val="00592D96"/>
    <w:rsid w:val="00593125"/>
    <w:rsid w:val="005932E4"/>
    <w:rsid w:val="005933CA"/>
    <w:rsid w:val="005935A4"/>
    <w:rsid w:val="0059366D"/>
    <w:rsid w:val="00593683"/>
    <w:rsid w:val="005936DA"/>
    <w:rsid w:val="00593862"/>
    <w:rsid w:val="00593A2F"/>
    <w:rsid w:val="00594088"/>
    <w:rsid w:val="005949E2"/>
    <w:rsid w:val="00594DE8"/>
    <w:rsid w:val="005951D9"/>
    <w:rsid w:val="005952E6"/>
    <w:rsid w:val="00595353"/>
    <w:rsid w:val="005959A2"/>
    <w:rsid w:val="005961F1"/>
    <w:rsid w:val="005962F6"/>
    <w:rsid w:val="00596571"/>
    <w:rsid w:val="00596670"/>
    <w:rsid w:val="00596696"/>
    <w:rsid w:val="0059699F"/>
    <w:rsid w:val="00596D92"/>
    <w:rsid w:val="00596E3D"/>
    <w:rsid w:val="00596EA6"/>
    <w:rsid w:val="005975D2"/>
    <w:rsid w:val="005977F6"/>
    <w:rsid w:val="00597C54"/>
    <w:rsid w:val="00597D92"/>
    <w:rsid w:val="005A0077"/>
    <w:rsid w:val="005A022A"/>
    <w:rsid w:val="005A031D"/>
    <w:rsid w:val="005A0BBA"/>
    <w:rsid w:val="005A0D46"/>
    <w:rsid w:val="005A0DF4"/>
    <w:rsid w:val="005A0F0B"/>
    <w:rsid w:val="005A0FF2"/>
    <w:rsid w:val="005A124E"/>
    <w:rsid w:val="005A172F"/>
    <w:rsid w:val="005A1CA0"/>
    <w:rsid w:val="005A1DF2"/>
    <w:rsid w:val="005A2414"/>
    <w:rsid w:val="005A281A"/>
    <w:rsid w:val="005A286C"/>
    <w:rsid w:val="005A28CC"/>
    <w:rsid w:val="005A29C1"/>
    <w:rsid w:val="005A2C67"/>
    <w:rsid w:val="005A2CEC"/>
    <w:rsid w:val="005A2ED7"/>
    <w:rsid w:val="005A2F4C"/>
    <w:rsid w:val="005A3225"/>
    <w:rsid w:val="005A3912"/>
    <w:rsid w:val="005A3E28"/>
    <w:rsid w:val="005A3EDA"/>
    <w:rsid w:val="005A47BA"/>
    <w:rsid w:val="005A4AC8"/>
    <w:rsid w:val="005A4C4E"/>
    <w:rsid w:val="005A4F7A"/>
    <w:rsid w:val="005A5129"/>
    <w:rsid w:val="005A5F27"/>
    <w:rsid w:val="005A6198"/>
    <w:rsid w:val="005A62BB"/>
    <w:rsid w:val="005A66C7"/>
    <w:rsid w:val="005A6B67"/>
    <w:rsid w:val="005A6D2D"/>
    <w:rsid w:val="005A6F4E"/>
    <w:rsid w:val="005A70CB"/>
    <w:rsid w:val="005A7208"/>
    <w:rsid w:val="005A7331"/>
    <w:rsid w:val="005A79B4"/>
    <w:rsid w:val="005A7A72"/>
    <w:rsid w:val="005A7DB8"/>
    <w:rsid w:val="005B0561"/>
    <w:rsid w:val="005B0584"/>
    <w:rsid w:val="005B1092"/>
    <w:rsid w:val="005B1711"/>
    <w:rsid w:val="005B1812"/>
    <w:rsid w:val="005B1A35"/>
    <w:rsid w:val="005B1EA7"/>
    <w:rsid w:val="005B22BD"/>
    <w:rsid w:val="005B2426"/>
    <w:rsid w:val="005B28E9"/>
    <w:rsid w:val="005B2A82"/>
    <w:rsid w:val="005B31F1"/>
    <w:rsid w:val="005B3679"/>
    <w:rsid w:val="005B3850"/>
    <w:rsid w:val="005B3E4D"/>
    <w:rsid w:val="005B43FA"/>
    <w:rsid w:val="005B45D3"/>
    <w:rsid w:val="005B49F2"/>
    <w:rsid w:val="005B4B1F"/>
    <w:rsid w:val="005B4E96"/>
    <w:rsid w:val="005B4EA6"/>
    <w:rsid w:val="005B50B4"/>
    <w:rsid w:val="005B54F9"/>
    <w:rsid w:val="005B55E9"/>
    <w:rsid w:val="005B56AE"/>
    <w:rsid w:val="005B5766"/>
    <w:rsid w:val="005B5EAD"/>
    <w:rsid w:val="005B62F8"/>
    <w:rsid w:val="005B6347"/>
    <w:rsid w:val="005B635B"/>
    <w:rsid w:val="005B635D"/>
    <w:rsid w:val="005B63B4"/>
    <w:rsid w:val="005B63D7"/>
    <w:rsid w:val="005B652F"/>
    <w:rsid w:val="005B6AE8"/>
    <w:rsid w:val="005B6D12"/>
    <w:rsid w:val="005B7208"/>
    <w:rsid w:val="005B72A1"/>
    <w:rsid w:val="005B739D"/>
    <w:rsid w:val="005B747A"/>
    <w:rsid w:val="005B7DDE"/>
    <w:rsid w:val="005B7E6D"/>
    <w:rsid w:val="005C0217"/>
    <w:rsid w:val="005C022D"/>
    <w:rsid w:val="005C0436"/>
    <w:rsid w:val="005C0744"/>
    <w:rsid w:val="005C07F8"/>
    <w:rsid w:val="005C0935"/>
    <w:rsid w:val="005C09C0"/>
    <w:rsid w:val="005C0CAB"/>
    <w:rsid w:val="005C0E2B"/>
    <w:rsid w:val="005C107F"/>
    <w:rsid w:val="005C1789"/>
    <w:rsid w:val="005C18B8"/>
    <w:rsid w:val="005C1AAA"/>
    <w:rsid w:val="005C1FAB"/>
    <w:rsid w:val="005C25CD"/>
    <w:rsid w:val="005C2B75"/>
    <w:rsid w:val="005C2CAF"/>
    <w:rsid w:val="005C3465"/>
    <w:rsid w:val="005C34F3"/>
    <w:rsid w:val="005C36BC"/>
    <w:rsid w:val="005C39D3"/>
    <w:rsid w:val="005C3D74"/>
    <w:rsid w:val="005C41A8"/>
    <w:rsid w:val="005C4287"/>
    <w:rsid w:val="005C4365"/>
    <w:rsid w:val="005C4A0E"/>
    <w:rsid w:val="005C4DDB"/>
    <w:rsid w:val="005C50C8"/>
    <w:rsid w:val="005C5105"/>
    <w:rsid w:val="005C51E6"/>
    <w:rsid w:val="005C5415"/>
    <w:rsid w:val="005C5C4D"/>
    <w:rsid w:val="005C5C63"/>
    <w:rsid w:val="005C5D34"/>
    <w:rsid w:val="005C618E"/>
    <w:rsid w:val="005C64C1"/>
    <w:rsid w:val="005C653E"/>
    <w:rsid w:val="005C6895"/>
    <w:rsid w:val="005C6D78"/>
    <w:rsid w:val="005C720F"/>
    <w:rsid w:val="005C726C"/>
    <w:rsid w:val="005C747E"/>
    <w:rsid w:val="005C7C83"/>
    <w:rsid w:val="005C7EEA"/>
    <w:rsid w:val="005D048D"/>
    <w:rsid w:val="005D04D6"/>
    <w:rsid w:val="005D0615"/>
    <w:rsid w:val="005D0922"/>
    <w:rsid w:val="005D1D2B"/>
    <w:rsid w:val="005D1D68"/>
    <w:rsid w:val="005D1FA1"/>
    <w:rsid w:val="005D20AF"/>
    <w:rsid w:val="005D2712"/>
    <w:rsid w:val="005D2971"/>
    <w:rsid w:val="005D2A00"/>
    <w:rsid w:val="005D34AD"/>
    <w:rsid w:val="005D3941"/>
    <w:rsid w:val="005D3C19"/>
    <w:rsid w:val="005D3DA6"/>
    <w:rsid w:val="005D3E95"/>
    <w:rsid w:val="005D3F30"/>
    <w:rsid w:val="005D41B5"/>
    <w:rsid w:val="005D4498"/>
    <w:rsid w:val="005D476D"/>
    <w:rsid w:val="005D48FB"/>
    <w:rsid w:val="005D491B"/>
    <w:rsid w:val="005D4921"/>
    <w:rsid w:val="005D4B0A"/>
    <w:rsid w:val="005D4C1E"/>
    <w:rsid w:val="005D4EB0"/>
    <w:rsid w:val="005D4F0B"/>
    <w:rsid w:val="005D5132"/>
    <w:rsid w:val="005D5346"/>
    <w:rsid w:val="005D565E"/>
    <w:rsid w:val="005D5A95"/>
    <w:rsid w:val="005D5DFE"/>
    <w:rsid w:val="005D5F99"/>
    <w:rsid w:val="005D6332"/>
    <w:rsid w:val="005D646C"/>
    <w:rsid w:val="005D6540"/>
    <w:rsid w:val="005D6882"/>
    <w:rsid w:val="005D6894"/>
    <w:rsid w:val="005D6CDD"/>
    <w:rsid w:val="005D6D34"/>
    <w:rsid w:val="005D7582"/>
    <w:rsid w:val="005D75BC"/>
    <w:rsid w:val="005D785B"/>
    <w:rsid w:val="005D7A49"/>
    <w:rsid w:val="005E01D1"/>
    <w:rsid w:val="005E03DF"/>
    <w:rsid w:val="005E044E"/>
    <w:rsid w:val="005E077D"/>
    <w:rsid w:val="005E08B1"/>
    <w:rsid w:val="005E0949"/>
    <w:rsid w:val="005E0989"/>
    <w:rsid w:val="005E0A08"/>
    <w:rsid w:val="005E1154"/>
    <w:rsid w:val="005E123A"/>
    <w:rsid w:val="005E12BB"/>
    <w:rsid w:val="005E137D"/>
    <w:rsid w:val="005E1826"/>
    <w:rsid w:val="005E1846"/>
    <w:rsid w:val="005E1A5C"/>
    <w:rsid w:val="005E1AD3"/>
    <w:rsid w:val="005E262E"/>
    <w:rsid w:val="005E2FC3"/>
    <w:rsid w:val="005E2FEF"/>
    <w:rsid w:val="005E3097"/>
    <w:rsid w:val="005E33A8"/>
    <w:rsid w:val="005E3770"/>
    <w:rsid w:val="005E39C9"/>
    <w:rsid w:val="005E3A94"/>
    <w:rsid w:val="005E3B31"/>
    <w:rsid w:val="005E410E"/>
    <w:rsid w:val="005E41DA"/>
    <w:rsid w:val="005E46F2"/>
    <w:rsid w:val="005E4C01"/>
    <w:rsid w:val="005E4CC2"/>
    <w:rsid w:val="005E4ED6"/>
    <w:rsid w:val="005E4FA7"/>
    <w:rsid w:val="005E5022"/>
    <w:rsid w:val="005E5065"/>
    <w:rsid w:val="005E5158"/>
    <w:rsid w:val="005E52AD"/>
    <w:rsid w:val="005E52DB"/>
    <w:rsid w:val="005E5409"/>
    <w:rsid w:val="005E5728"/>
    <w:rsid w:val="005E57D7"/>
    <w:rsid w:val="005E5AC2"/>
    <w:rsid w:val="005E68D8"/>
    <w:rsid w:val="005E7104"/>
    <w:rsid w:val="005E7184"/>
    <w:rsid w:val="005E778B"/>
    <w:rsid w:val="005E785C"/>
    <w:rsid w:val="005E78D9"/>
    <w:rsid w:val="005F00BA"/>
    <w:rsid w:val="005F00D2"/>
    <w:rsid w:val="005F04F5"/>
    <w:rsid w:val="005F08E2"/>
    <w:rsid w:val="005F09D5"/>
    <w:rsid w:val="005F09FE"/>
    <w:rsid w:val="005F0BF4"/>
    <w:rsid w:val="005F11C2"/>
    <w:rsid w:val="005F14D0"/>
    <w:rsid w:val="005F156C"/>
    <w:rsid w:val="005F1640"/>
    <w:rsid w:val="005F1A10"/>
    <w:rsid w:val="005F1F8D"/>
    <w:rsid w:val="005F1FEE"/>
    <w:rsid w:val="005F23EA"/>
    <w:rsid w:val="005F2760"/>
    <w:rsid w:val="005F292B"/>
    <w:rsid w:val="005F2B13"/>
    <w:rsid w:val="005F2E22"/>
    <w:rsid w:val="005F2FDE"/>
    <w:rsid w:val="005F30A1"/>
    <w:rsid w:val="005F30E1"/>
    <w:rsid w:val="005F349F"/>
    <w:rsid w:val="005F3586"/>
    <w:rsid w:val="005F3747"/>
    <w:rsid w:val="005F3B5C"/>
    <w:rsid w:val="005F40E6"/>
    <w:rsid w:val="005F4AE3"/>
    <w:rsid w:val="005F4FB2"/>
    <w:rsid w:val="005F5265"/>
    <w:rsid w:val="005F558E"/>
    <w:rsid w:val="005F5748"/>
    <w:rsid w:val="005F587B"/>
    <w:rsid w:val="005F62B2"/>
    <w:rsid w:val="005F6454"/>
    <w:rsid w:val="005F6D05"/>
    <w:rsid w:val="005F6E92"/>
    <w:rsid w:val="005F7748"/>
    <w:rsid w:val="005F79DF"/>
    <w:rsid w:val="005F7A26"/>
    <w:rsid w:val="005F7FBB"/>
    <w:rsid w:val="006002CE"/>
    <w:rsid w:val="00600C4D"/>
    <w:rsid w:val="00600D4D"/>
    <w:rsid w:val="00600DAE"/>
    <w:rsid w:val="00600E04"/>
    <w:rsid w:val="00600EA7"/>
    <w:rsid w:val="00601111"/>
    <w:rsid w:val="006011A3"/>
    <w:rsid w:val="006012DC"/>
    <w:rsid w:val="00601427"/>
    <w:rsid w:val="006015F7"/>
    <w:rsid w:val="006018E2"/>
    <w:rsid w:val="00601E1A"/>
    <w:rsid w:val="00601E5F"/>
    <w:rsid w:val="0060215F"/>
    <w:rsid w:val="006023E3"/>
    <w:rsid w:val="00602550"/>
    <w:rsid w:val="00602910"/>
    <w:rsid w:val="00602C4A"/>
    <w:rsid w:val="00603147"/>
    <w:rsid w:val="006033E1"/>
    <w:rsid w:val="00603435"/>
    <w:rsid w:val="00603920"/>
    <w:rsid w:val="00603D62"/>
    <w:rsid w:val="00603F2C"/>
    <w:rsid w:val="00603FB3"/>
    <w:rsid w:val="006041A0"/>
    <w:rsid w:val="006041CD"/>
    <w:rsid w:val="00604295"/>
    <w:rsid w:val="006048A6"/>
    <w:rsid w:val="00604C85"/>
    <w:rsid w:val="00604D73"/>
    <w:rsid w:val="00604EBA"/>
    <w:rsid w:val="00605AD7"/>
    <w:rsid w:val="00605C59"/>
    <w:rsid w:val="00605C9F"/>
    <w:rsid w:val="00605D7F"/>
    <w:rsid w:val="00605E3C"/>
    <w:rsid w:val="006061B5"/>
    <w:rsid w:val="006064F9"/>
    <w:rsid w:val="006065EA"/>
    <w:rsid w:val="006069AF"/>
    <w:rsid w:val="00606C63"/>
    <w:rsid w:val="00606E2A"/>
    <w:rsid w:val="006070AD"/>
    <w:rsid w:val="0060720C"/>
    <w:rsid w:val="0060794D"/>
    <w:rsid w:val="00607ADE"/>
    <w:rsid w:val="00607C44"/>
    <w:rsid w:val="00607C6A"/>
    <w:rsid w:val="006100E1"/>
    <w:rsid w:val="00610169"/>
    <w:rsid w:val="00610572"/>
    <w:rsid w:val="00610878"/>
    <w:rsid w:val="0061088A"/>
    <w:rsid w:val="00610AFA"/>
    <w:rsid w:val="00610FC6"/>
    <w:rsid w:val="006112D9"/>
    <w:rsid w:val="006114D9"/>
    <w:rsid w:val="00611815"/>
    <w:rsid w:val="006118B1"/>
    <w:rsid w:val="00611F62"/>
    <w:rsid w:val="006121DC"/>
    <w:rsid w:val="00612478"/>
    <w:rsid w:val="00612595"/>
    <w:rsid w:val="006125B3"/>
    <w:rsid w:val="00612746"/>
    <w:rsid w:val="0061310A"/>
    <w:rsid w:val="00613488"/>
    <w:rsid w:val="006138A6"/>
    <w:rsid w:val="00613AEF"/>
    <w:rsid w:val="00614146"/>
    <w:rsid w:val="0061422B"/>
    <w:rsid w:val="006142B0"/>
    <w:rsid w:val="006143E7"/>
    <w:rsid w:val="0061493C"/>
    <w:rsid w:val="00614B19"/>
    <w:rsid w:val="00614D19"/>
    <w:rsid w:val="00615354"/>
    <w:rsid w:val="0061553A"/>
    <w:rsid w:val="00615655"/>
    <w:rsid w:val="006156C9"/>
    <w:rsid w:val="00615773"/>
    <w:rsid w:val="00615AA2"/>
    <w:rsid w:val="00615B1D"/>
    <w:rsid w:val="00615D48"/>
    <w:rsid w:val="00616959"/>
    <w:rsid w:val="00616996"/>
    <w:rsid w:val="00616B72"/>
    <w:rsid w:val="00617126"/>
    <w:rsid w:val="00617391"/>
    <w:rsid w:val="0061756E"/>
    <w:rsid w:val="00617B0D"/>
    <w:rsid w:val="00617D44"/>
    <w:rsid w:val="0062004A"/>
    <w:rsid w:val="006204FB"/>
    <w:rsid w:val="00620601"/>
    <w:rsid w:val="006206E5"/>
    <w:rsid w:val="00620778"/>
    <w:rsid w:val="00620B33"/>
    <w:rsid w:val="00621010"/>
    <w:rsid w:val="006215A5"/>
    <w:rsid w:val="00621830"/>
    <w:rsid w:val="0062186C"/>
    <w:rsid w:val="00621A4A"/>
    <w:rsid w:val="00621B7E"/>
    <w:rsid w:val="00621C08"/>
    <w:rsid w:val="00621E2C"/>
    <w:rsid w:val="006224FD"/>
    <w:rsid w:val="0062252F"/>
    <w:rsid w:val="0062269C"/>
    <w:rsid w:val="0062269D"/>
    <w:rsid w:val="0062270F"/>
    <w:rsid w:val="00622756"/>
    <w:rsid w:val="00622807"/>
    <w:rsid w:val="00622A02"/>
    <w:rsid w:val="00622A43"/>
    <w:rsid w:val="00622F6D"/>
    <w:rsid w:val="00622F70"/>
    <w:rsid w:val="00622FBC"/>
    <w:rsid w:val="00623134"/>
    <w:rsid w:val="006232C9"/>
    <w:rsid w:val="00623854"/>
    <w:rsid w:val="00624021"/>
    <w:rsid w:val="006243DD"/>
    <w:rsid w:val="006243ED"/>
    <w:rsid w:val="00624448"/>
    <w:rsid w:val="00624987"/>
    <w:rsid w:val="006250F2"/>
    <w:rsid w:val="006251D6"/>
    <w:rsid w:val="00625250"/>
    <w:rsid w:val="00625DC3"/>
    <w:rsid w:val="00625EFA"/>
    <w:rsid w:val="00626019"/>
    <w:rsid w:val="0062640E"/>
    <w:rsid w:val="00626539"/>
    <w:rsid w:val="006266CF"/>
    <w:rsid w:val="00626A09"/>
    <w:rsid w:val="00626FA9"/>
    <w:rsid w:val="00627C38"/>
    <w:rsid w:val="00627FD1"/>
    <w:rsid w:val="00627FFC"/>
    <w:rsid w:val="0063040A"/>
    <w:rsid w:val="00630600"/>
    <w:rsid w:val="00630942"/>
    <w:rsid w:val="00631188"/>
    <w:rsid w:val="006314C4"/>
    <w:rsid w:val="006315E4"/>
    <w:rsid w:val="0063210A"/>
    <w:rsid w:val="0063274F"/>
    <w:rsid w:val="00632A23"/>
    <w:rsid w:val="00632FC6"/>
    <w:rsid w:val="0063312B"/>
    <w:rsid w:val="00633137"/>
    <w:rsid w:val="0063375F"/>
    <w:rsid w:val="006337A0"/>
    <w:rsid w:val="00633BB0"/>
    <w:rsid w:val="00633BBF"/>
    <w:rsid w:val="00633E30"/>
    <w:rsid w:val="0063400D"/>
    <w:rsid w:val="0063401F"/>
    <w:rsid w:val="00634092"/>
    <w:rsid w:val="00634381"/>
    <w:rsid w:val="0063497F"/>
    <w:rsid w:val="00634A1D"/>
    <w:rsid w:val="00634DA8"/>
    <w:rsid w:val="00635148"/>
    <w:rsid w:val="0063575B"/>
    <w:rsid w:val="006358C8"/>
    <w:rsid w:val="00635AA1"/>
    <w:rsid w:val="006362C5"/>
    <w:rsid w:val="006362FF"/>
    <w:rsid w:val="00636421"/>
    <w:rsid w:val="0063698B"/>
    <w:rsid w:val="00636A81"/>
    <w:rsid w:val="00636B2C"/>
    <w:rsid w:val="00636B43"/>
    <w:rsid w:val="00637BED"/>
    <w:rsid w:val="00637E45"/>
    <w:rsid w:val="006404DD"/>
    <w:rsid w:val="00640B10"/>
    <w:rsid w:val="00640B2B"/>
    <w:rsid w:val="00640CD5"/>
    <w:rsid w:val="00640EB7"/>
    <w:rsid w:val="006410DA"/>
    <w:rsid w:val="00641205"/>
    <w:rsid w:val="006414F7"/>
    <w:rsid w:val="00641C92"/>
    <w:rsid w:val="00641DBD"/>
    <w:rsid w:val="00641F7C"/>
    <w:rsid w:val="00642048"/>
    <w:rsid w:val="006420AF"/>
    <w:rsid w:val="006428E3"/>
    <w:rsid w:val="00642A60"/>
    <w:rsid w:val="00642B49"/>
    <w:rsid w:val="00642D7C"/>
    <w:rsid w:val="00642EA7"/>
    <w:rsid w:val="00642EB7"/>
    <w:rsid w:val="0064347D"/>
    <w:rsid w:val="00643836"/>
    <w:rsid w:val="00643CB5"/>
    <w:rsid w:val="00644118"/>
    <w:rsid w:val="006445BC"/>
    <w:rsid w:val="006449EC"/>
    <w:rsid w:val="00644D3B"/>
    <w:rsid w:val="00644E4B"/>
    <w:rsid w:val="006450B9"/>
    <w:rsid w:val="006450F6"/>
    <w:rsid w:val="006455FC"/>
    <w:rsid w:val="006457C9"/>
    <w:rsid w:val="00645862"/>
    <w:rsid w:val="00645EEA"/>
    <w:rsid w:val="00646298"/>
    <w:rsid w:val="0064673E"/>
    <w:rsid w:val="00646B5B"/>
    <w:rsid w:val="0064718F"/>
    <w:rsid w:val="00647E17"/>
    <w:rsid w:val="00650157"/>
    <w:rsid w:val="006501A3"/>
    <w:rsid w:val="006503F2"/>
    <w:rsid w:val="006505DF"/>
    <w:rsid w:val="00650B0B"/>
    <w:rsid w:val="00651220"/>
    <w:rsid w:val="006512CD"/>
    <w:rsid w:val="0065139A"/>
    <w:rsid w:val="006517DB"/>
    <w:rsid w:val="0065182C"/>
    <w:rsid w:val="0065192A"/>
    <w:rsid w:val="00651E10"/>
    <w:rsid w:val="00652AE0"/>
    <w:rsid w:val="00652C7B"/>
    <w:rsid w:val="00652EFF"/>
    <w:rsid w:val="00653516"/>
    <w:rsid w:val="0065389D"/>
    <w:rsid w:val="00653DF8"/>
    <w:rsid w:val="006545F9"/>
    <w:rsid w:val="00654CB2"/>
    <w:rsid w:val="006554A5"/>
    <w:rsid w:val="006554AD"/>
    <w:rsid w:val="006555F4"/>
    <w:rsid w:val="0065583B"/>
    <w:rsid w:val="006558F5"/>
    <w:rsid w:val="00655B06"/>
    <w:rsid w:val="00655B3B"/>
    <w:rsid w:val="00655E1F"/>
    <w:rsid w:val="00655E67"/>
    <w:rsid w:val="00655F09"/>
    <w:rsid w:val="006561CC"/>
    <w:rsid w:val="00656AD3"/>
    <w:rsid w:val="00656E1F"/>
    <w:rsid w:val="00656F2B"/>
    <w:rsid w:val="006571F9"/>
    <w:rsid w:val="00657250"/>
    <w:rsid w:val="00657871"/>
    <w:rsid w:val="00657FC6"/>
    <w:rsid w:val="0066013B"/>
    <w:rsid w:val="0066024F"/>
    <w:rsid w:val="0066054D"/>
    <w:rsid w:val="0066071A"/>
    <w:rsid w:val="0066114A"/>
    <w:rsid w:val="0066148F"/>
    <w:rsid w:val="006619F6"/>
    <w:rsid w:val="00661A40"/>
    <w:rsid w:val="00661B9E"/>
    <w:rsid w:val="00661FC4"/>
    <w:rsid w:val="00662284"/>
    <w:rsid w:val="00662819"/>
    <w:rsid w:val="00663263"/>
    <w:rsid w:val="006636F0"/>
    <w:rsid w:val="00663913"/>
    <w:rsid w:val="00663D31"/>
    <w:rsid w:val="006641A7"/>
    <w:rsid w:val="006641F8"/>
    <w:rsid w:val="00664574"/>
    <w:rsid w:val="0066465A"/>
    <w:rsid w:val="006649B2"/>
    <w:rsid w:val="00664B98"/>
    <w:rsid w:val="0066506E"/>
    <w:rsid w:val="0066563E"/>
    <w:rsid w:val="0066570A"/>
    <w:rsid w:val="006657AE"/>
    <w:rsid w:val="006657FB"/>
    <w:rsid w:val="00665CAF"/>
    <w:rsid w:val="00665E3F"/>
    <w:rsid w:val="00665E81"/>
    <w:rsid w:val="00666258"/>
    <w:rsid w:val="006663D0"/>
    <w:rsid w:val="00666570"/>
    <w:rsid w:val="00667179"/>
    <w:rsid w:val="0066717F"/>
    <w:rsid w:val="00667609"/>
    <w:rsid w:val="00667658"/>
    <w:rsid w:val="006679E9"/>
    <w:rsid w:val="00670086"/>
    <w:rsid w:val="0067031F"/>
    <w:rsid w:val="00670F5C"/>
    <w:rsid w:val="00671330"/>
    <w:rsid w:val="00671337"/>
    <w:rsid w:val="006718B1"/>
    <w:rsid w:val="006718F5"/>
    <w:rsid w:val="00671ADF"/>
    <w:rsid w:val="00671E51"/>
    <w:rsid w:val="0067232B"/>
    <w:rsid w:val="00672872"/>
    <w:rsid w:val="00672A21"/>
    <w:rsid w:val="00672CBF"/>
    <w:rsid w:val="00672D9C"/>
    <w:rsid w:val="00672F8E"/>
    <w:rsid w:val="0067394B"/>
    <w:rsid w:val="00673AE4"/>
    <w:rsid w:val="00673F0A"/>
    <w:rsid w:val="00674746"/>
    <w:rsid w:val="00674748"/>
    <w:rsid w:val="006749AB"/>
    <w:rsid w:val="00674E2D"/>
    <w:rsid w:val="00675726"/>
    <w:rsid w:val="00675765"/>
    <w:rsid w:val="006757CD"/>
    <w:rsid w:val="00675DCB"/>
    <w:rsid w:val="00675F79"/>
    <w:rsid w:val="00675FDC"/>
    <w:rsid w:val="006764EB"/>
    <w:rsid w:val="0067684A"/>
    <w:rsid w:val="006768FC"/>
    <w:rsid w:val="00676CDB"/>
    <w:rsid w:val="006773AA"/>
    <w:rsid w:val="0067746F"/>
    <w:rsid w:val="006779C6"/>
    <w:rsid w:val="00677D89"/>
    <w:rsid w:val="00677E2A"/>
    <w:rsid w:val="0068019F"/>
    <w:rsid w:val="00680370"/>
    <w:rsid w:val="00680E64"/>
    <w:rsid w:val="00680E72"/>
    <w:rsid w:val="00680EDA"/>
    <w:rsid w:val="0068110E"/>
    <w:rsid w:val="0068147E"/>
    <w:rsid w:val="006816AC"/>
    <w:rsid w:val="00681800"/>
    <w:rsid w:val="00681BC7"/>
    <w:rsid w:val="00681D83"/>
    <w:rsid w:val="006822D2"/>
    <w:rsid w:val="00682557"/>
    <w:rsid w:val="006828D0"/>
    <w:rsid w:val="006828FF"/>
    <w:rsid w:val="00682E6D"/>
    <w:rsid w:val="006834D8"/>
    <w:rsid w:val="00683775"/>
    <w:rsid w:val="0068382D"/>
    <w:rsid w:val="006838DD"/>
    <w:rsid w:val="00684079"/>
    <w:rsid w:val="00684435"/>
    <w:rsid w:val="0068486A"/>
    <w:rsid w:val="006848A8"/>
    <w:rsid w:val="00685139"/>
    <w:rsid w:val="00685385"/>
    <w:rsid w:val="00685490"/>
    <w:rsid w:val="00685501"/>
    <w:rsid w:val="006855A6"/>
    <w:rsid w:val="0068565E"/>
    <w:rsid w:val="006857F5"/>
    <w:rsid w:val="0068581F"/>
    <w:rsid w:val="00685EFD"/>
    <w:rsid w:val="00686507"/>
    <w:rsid w:val="00686693"/>
    <w:rsid w:val="006868C4"/>
    <w:rsid w:val="00686ADA"/>
    <w:rsid w:val="00686B5B"/>
    <w:rsid w:val="00686EA4"/>
    <w:rsid w:val="00687A38"/>
    <w:rsid w:val="00687BEB"/>
    <w:rsid w:val="00687EE1"/>
    <w:rsid w:val="00687F41"/>
    <w:rsid w:val="0069043B"/>
    <w:rsid w:val="00690495"/>
    <w:rsid w:val="0069060B"/>
    <w:rsid w:val="0069068B"/>
    <w:rsid w:val="00690739"/>
    <w:rsid w:val="006913B7"/>
    <w:rsid w:val="00691600"/>
    <w:rsid w:val="006918BB"/>
    <w:rsid w:val="0069210D"/>
    <w:rsid w:val="0069223F"/>
    <w:rsid w:val="006928B1"/>
    <w:rsid w:val="00692B13"/>
    <w:rsid w:val="0069301A"/>
    <w:rsid w:val="0069339E"/>
    <w:rsid w:val="006935BF"/>
    <w:rsid w:val="00693752"/>
    <w:rsid w:val="0069389B"/>
    <w:rsid w:val="006938E3"/>
    <w:rsid w:val="00693AB5"/>
    <w:rsid w:val="00693CF4"/>
    <w:rsid w:val="00693D70"/>
    <w:rsid w:val="00693F80"/>
    <w:rsid w:val="006941B4"/>
    <w:rsid w:val="006941D4"/>
    <w:rsid w:val="006943BF"/>
    <w:rsid w:val="0069461A"/>
    <w:rsid w:val="00694AFC"/>
    <w:rsid w:val="00694D32"/>
    <w:rsid w:val="006951E9"/>
    <w:rsid w:val="00695834"/>
    <w:rsid w:val="00695909"/>
    <w:rsid w:val="00695BC6"/>
    <w:rsid w:val="00695DD3"/>
    <w:rsid w:val="00695E0E"/>
    <w:rsid w:val="00695EC6"/>
    <w:rsid w:val="00695EE3"/>
    <w:rsid w:val="006963D4"/>
    <w:rsid w:val="006965B1"/>
    <w:rsid w:val="006968AF"/>
    <w:rsid w:val="00696B4C"/>
    <w:rsid w:val="00696D0B"/>
    <w:rsid w:val="00696FB6"/>
    <w:rsid w:val="00696FB9"/>
    <w:rsid w:val="00697165"/>
    <w:rsid w:val="00697334"/>
    <w:rsid w:val="0069747D"/>
    <w:rsid w:val="00697527"/>
    <w:rsid w:val="006978C0"/>
    <w:rsid w:val="00697919"/>
    <w:rsid w:val="00697C03"/>
    <w:rsid w:val="00697ED4"/>
    <w:rsid w:val="006A02F6"/>
    <w:rsid w:val="006A041E"/>
    <w:rsid w:val="006A0555"/>
    <w:rsid w:val="006A0881"/>
    <w:rsid w:val="006A101D"/>
    <w:rsid w:val="006A1364"/>
    <w:rsid w:val="006A180E"/>
    <w:rsid w:val="006A1A08"/>
    <w:rsid w:val="006A1A2A"/>
    <w:rsid w:val="006A1A8A"/>
    <w:rsid w:val="006A1D3B"/>
    <w:rsid w:val="006A1DE3"/>
    <w:rsid w:val="006A1E6B"/>
    <w:rsid w:val="006A2384"/>
    <w:rsid w:val="006A23A1"/>
    <w:rsid w:val="006A25CB"/>
    <w:rsid w:val="006A2B05"/>
    <w:rsid w:val="006A2E72"/>
    <w:rsid w:val="006A30B5"/>
    <w:rsid w:val="006A3135"/>
    <w:rsid w:val="006A3542"/>
    <w:rsid w:val="006A3D0D"/>
    <w:rsid w:val="006A3EC7"/>
    <w:rsid w:val="006A40ED"/>
    <w:rsid w:val="006A41A2"/>
    <w:rsid w:val="006A421F"/>
    <w:rsid w:val="006A4553"/>
    <w:rsid w:val="006A56FA"/>
    <w:rsid w:val="006A5778"/>
    <w:rsid w:val="006A5A66"/>
    <w:rsid w:val="006A62AC"/>
    <w:rsid w:val="006A6BC2"/>
    <w:rsid w:val="006A6F6A"/>
    <w:rsid w:val="006A6FEA"/>
    <w:rsid w:val="006A7104"/>
    <w:rsid w:val="006A78E3"/>
    <w:rsid w:val="006A7EA3"/>
    <w:rsid w:val="006B0343"/>
    <w:rsid w:val="006B07DE"/>
    <w:rsid w:val="006B094D"/>
    <w:rsid w:val="006B0BE4"/>
    <w:rsid w:val="006B0D02"/>
    <w:rsid w:val="006B0FA2"/>
    <w:rsid w:val="006B0FB0"/>
    <w:rsid w:val="006B1380"/>
    <w:rsid w:val="006B14AD"/>
    <w:rsid w:val="006B1801"/>
    <w:rsid w:val="006B202F"/>
    <w:rsid w:val="006B286F"/>
    <w:rsid w:val="006B295B"/>
    <w:rsid w:val="006B2974"/>
    <w:rsid w:val="006B309F"/>
    <w:rsid w:val="006B3B46"/>
    <w:rsid w:val="006B3CC1"/>
    <w:rsid w:val="006B3ED1"/>
    <w:rsid w:val="006B4433"/>
    <w:rsid w:val="006B44E7"/>
    <w:rsid w:val="006B45C3"/>
    <w:rsid w:val="006B4AFF"/>
    <w:rsid w:val="006B4FC0"/>
    <w:rsid w:val="006B52AD"/>
    <w:rsid w:val="006B5501"/>
    <w:rsid w:val="006B5554"/>
    <w:rsid w:val="006B564A"/>
    <w:rsid w:val="006B5AEC"/>
    <w:rsid w:val="006B60F8"/>
    <w:rsid w:val="006B637B"/>
    <w:rsid w:val="006B63B2"/>
    <w:rsid w:val="006B6574"/>
    <w:rsid w:val="006B68A1"/>
    <w:rsid w:val="006B6F07"/>
    <w:rsid w:val="006B7AB3"/>
    <w:rsid w:val="006B7ACA"/>
    <w:rsid w:val="006B7D6C"/>
    <w:rsid w:val="006C0164"/>
    <w:rsid w:val="006C04A5"/>
    <w:rsid w:val="006C0E0D"/>
    <w:rsid w:val="006C10D4"/>
    <w:rsid w:val="006C14F9"/>
    <w:rsid w:val="006C188B"/>
    <w:rsid w:val="006C1AD9"/>
    <w:rsid w:val="006C1D2B"/>
    <w:rsid w:val="006C1F1B"/>
    <w:rsid w:val="006C1F61"/>
    <w:rsid w:val="006C1FB9"/>
    <w:rsid w:val="006C205D"/>
    <w:rsid w:val="006C2325"/>
    <w:rsid w:val="006C23AD"/>
    <w:rsid w:val="006C254D"/>
    <w:rsid w:val="006C293D"/>
    <w:rsid w:val="006C2FAE"/>
    <w:rsid w:val="006C3AB4"/>
    <w:rsid w:val="006C40DE"/>
    <w:rsid w:val="006C41B5"/>
    <w:rsid w:val="006C42E2"/>
    <w:rsid w:val="006C4472"/>
    <w:rsid w:val="006C4D54"/>
    <w:rsid w:val="006C4DA6"/>
    <w:rsid w:val="006C4F65"/>
    <w:rsid w:val="006C5042"/>
    <w:rsid w:val="006C5541"/>
    <w:rsid w:val="006C577D"/>
    <w:rsid w:val="006C5A96"/>
    <w:rsid w:val="006C5E59"/>
    <w:rsid w:val="006C6FEF"/>
    <w:rsid w:val="006C7D40"/>
    <w:rsid w:val="006C7E93"/>
    <w:rsid w:val="006D0154"/>
    <w:rsid w:val="006D041C"/>
    <w:rsid w:val="006D043E"/>
    <w:rsid w:val="006D081F"/>
    <w:rsid w:val="006D08F4"/>
    <w:rsid w:val="006D0A20"/>
    <w:rsid w:val="006D0DF1"/>
    <w:rsid w:val="006D115D"/>
    <w:rsid w:val="006D11A0"/>
    <w:rsid w:val="006D122D"/>
    <w:rsid w:val="006D12C3"/>
    <w:rsid w:val="006D1538"/>
    <w:rsid w:val="006D15CF"/>
    <w:rsid w:val="006D1E78"/>
    <w:rsid w:val="006D20F9"/>
    <w:rsid w:val="006D25FB"/>
    <w:rsid w:val="006D2759"/>
    <w:rsid w:val="006D27D3"/>
    <w:rsid w:val="006D2981"/>
    <w:rsid w:val="006D2AA3"/>
    <w:rsid w:val="006D2D4B"/>
    <w:rsid w:val="006D2F09"/>
    <w:rsid w:val="006D343E"/>
    <w:rsid w:val="006D3476"/>
    <w:rsid w:val="006D382F"/>
    <w:rsid w:val="006D3896"/>
    <w:rsid w:val="006D3F98"/>
    <w:rsid w:val="006D456A"/>
    <w:rsid w:val="006D5324"/>
    <w:rsid w:val="006D555C"/>
    <w:rsid w:val="006D5BBD"/>
    <w:rsid w:val="006D5BEF"/>
    <w:rsid w:val="006D5C82"/>
    <w:rsid w:val="006D5D02"/>
    <w:rsid w:val="006D5ED5"/>
    <w:rsid w:val="006D5F73"/>
    <w:rsid w:val="006D6303"/>
    <w:rsid w:val="006D66EB"/>
    <w:rsid w:val="006D6794"/>
    <w:rsid w:val="006D703E"/>
    <w:rsid w:val="006D708A"/>
    <w:rsid w:val="006D71B1"/>
    <w:rsid w:val="006E038C"/>
    <w:rsid w:val="006E04D2"/>
    <w:rsid w:val="006E053C"/>
    <w:rsid w:val="006E087F"/>
    <w:rsid w:val="006E0975"/>
    <w:rsid w:val="006E0A46"/>
    <w:rsid w:val="006E0F9A"/>
    <w:rsid w:val="006E186E"/>
    <w:rsid w:val="006E1907"/>
    <w:rsid w:val="006E1BD9"/>
    <w:rsid w:val="006E1D3E"/>
    <w:rsid w:val="006E1E15"/>
    <w:rsid w:val="006E1F1E"/>
    <w:rsid w:val="006E2382"/>
    <w:rsid w:val="006E2475"/>
    <w:rsid w:val="006E2637"/>
    <w:rsid w:val="006E2745"/>
    <w:rsid w:val="006E2D0E"/>
    <w:rsid w:val="006E305F"/>
    <w:rsid w:val="006E30B7"/>
    <w:rsid w:val="006E3903"/>
    <w:rsid w:val="006E3A0F"/>
    <w:rsid w:val="006E3D10"/>
    <w:rsid w:val="006E3E02"/>
    <w:rsid w:val="006E3FA3"/>
    <w:rsid w:val="006E4D75"/>
    <w:rsid w:val="006E4E79"/>
    <w:rsid w:val="006E510A"/>
    <w:rsid w:val="006E5124"/>
    <w:rsid w:val="006E534A"/>
    <w:rsid w:val="006E5712"/>
    <w:rsid w:val="006E5A27"/>
    <w:rsid w:val="006E5A3F"/>
    <w:rsid w:val="006E5AE0"/>
    <w:rsid w:val="006E67E0"/>
    <w:rsid w:val="006E6A7A"/>
    <w:rsid w:val="006E6C3A"/>
    <w:rsid w:val="006E7309"/>
    <w:rsid w:val="006E73DC"/>
    <w:rsid w:val="006E76BE"/>
    <w:rsid w:val="006E7B9F"/>
    <w:rsid w:val="006E7BB9"/>
    <w:rsid w:val="006E7C62"/>
    <w:rsid w:val="006E7DF4"/>
    <w:rsid w:val="006F0575"/>
    <w:rsid w:val="006F0637"/>
    <w:rsid w:val="006F0655"/>
    <w:rsid w:val="006F113C"/>
    <w:rsid w:val="006F11DA"/>
    <w:rsid w:val="006F132E"/>
    <w:rsid w:val="006F1363"/>
    <w:rsid w:val="006F1408"/>
    <w:rsid w:val="006F158A"/>
    <w:rsid w:val="006F17D0"/>
    <w:rsid w:val="006F18C9"/>
    <w:rsid w:val="006F1BCF"/>
    <w:rsid w:val="006F2462"/>
    <w:rsid w:val="006F249E"/>
    <w:rsid w:val="006F2B6F"/>
    <w:rsid w:val="006F2E2F"/>
    <w:rsid w:val="006F2E54"/>
    <w:rsid w:val="006F3076"/>
    <w:rsid w:val="006F31B7"/>
    <w:rsid w:val="006F31E9"/>
    <w:rsid w:val="006F3433"/>
    <w:rsid w:val="006F3A4C"/>
    <w:rsid w:val="006F3CCF"/>
    <w:rsid w:val="006F3EB1"/>
    <w:rsid w:val="006F45B9"/>
    <w:rsid w:val="006F4696"/>
    <w:rsid w:val="006F52BC"/>
    <w:rsid w:val="006F5817"/>
    <w:rsid w:val="006F583F"/>
    <w:rsid w:val="006F5C6B"/>
    <w:rsid w:val="006F678F"/>
    <w:rsid w:val="006F6836"/>
    <w:rsid w:val="006F6A4F"/>
    <w:rsid w:val="006F6F6F"/>
    <w:rsid w:val="006F77B1"/>
    <w:rsid w:val="006F7BF8"/>
    <w:rsid w:val="00700250"/>
    <w:rsid w:val="00700798"/>
    <w:rsid w:val="007007BA"/>
    <w:rsid w:val="0070129F"/>
    <w:rsid w:val="00701667"/>
    <w:rsid w:val="00701962"/>
    <w:rsid w:val="00701B14"/>
    <w:rsid w:val="00701CCD"/>
    <w:rsid w:val="00701DEB"/>
    <w:rsid w:val="00701EFB"/>
    <w:rsid w:val="00701FBA"/>
    <w:rsid w:val="007021A8"/>
    <w:rsid w:val="0070270E"/>
    <w:rsid w:val="00702775"/>
    <w:rsid w:val="00702776"/>
    <w:rsid w:val="00702F0F"/>
    <w:rsid w:val="0070302D"/>
    <w:rsid w:val="00703061"/>
    <w:rsid w:val="00703D6F"/>
    <w:rsid w:val="00703DE5"/>
    <w:rsid w:val="00703E49"/>
    <w:rsid w:val="0070451B"/>
    <w:rsid w:val="00704B67"/>
    <w:rsid w:val="0070500D"/>
    <w:rsid w:val="007052B9"/>
    <w:rsid w:val="007052FE"/>
    <w:rsid w:val="0070593F"/>
    <w:rsid w:val="007059EA"/>
    <w:rsid w:val="00705E53"/>
    <w:rsid w:val="00705EB9"/>
    <w:rsid w:val="007063F5"/>
    <w:rsid w:val="00706638"/>
    <w:rsid w:val="00706A19"/>
    <w:rsid w:val="00707790"/>
    <w:rsid w:val="007078AE"/>
    <w:rsid w:val="00707B00"/>
    <w:rsid w:val="00707B13"/>
    <w:rsid w:val="00707D08"/>
    <w:rsid w:val="007100F9"/>
    <w:rsid w:val="0071013F"/>
    <w:rsid w:val="00710422"/>
    <w:rsid w:val="007108A3"/>
    <w:rsid w:val="00710C92"/>
    <w:rsid w:val="00710D61"/>
    <w:rsid w:val="00710F0A"/>
    <w:rsid w:val="00710FD7"/>
    <w:rsid w:val="0071109B"/>
    <w:rsid w:val="00711491"/>
    <w:rsid w:val="00711849"/>
    <w:rsid w:val="0071196B"/>
    <w:rsid w:val="00711C80"/>
    <w:rsid w:val="00711D34"/>
    <w:rsid w:val="00711DD2"/>
    <w:rsid w:val="00711E8F"/>
    <w:rsid w:val="00711F1A"/>
    <w:rsid w:val="007120A1"/>
    <w:rsid w:val="0071267D"/>
    <w:rsid w:val="00712BBD"/>
    <w:rsid w:val="00712E98"/>
    <w:rsid w:val="00712EBB"/>
    <w:rsid w:val="0071308C"/>
    <w:rsid w:val="00713782"/>
    <w:rsid w:val="007137C8"/>
    <w:rsid w:val="0071380A"/>
    <w:rsid w:val="00713D38"/>
    <w:rsid w:val="007141A3"/>
    <w:rsid w:val="00714300"/>
    <w:rsid w:val="007146FA"/>
    <w:rsid w:val="007147A5"/>
    <w:rsid w:val="00714C25"/>
    <w:rsid w:val="00714C62"/>
    <w:rsid w:val="007152BB"/>
    <w:rsid w:val="007153E9"/>
    <w:rsid w:val="00715614"/>
    <w:rsid w:val="007156A0"/>
    <w:rsid w:val="00715CEF"/>
    <w:rsid w:val="00715E67"/>
    <w:rsid w:val="00715F8D"/>
    <w:rsid w:val="007162FD"/>
    <w:rsid w:val="00716352"/>
    <w:rsid w:val="0071648F"/>
    <w:rsid w:val="007164A1"/>
    <w:rsid w:val="007166B1"/>
    <w:rsid w:val="0071675B"/>
    <w:rsid w:val="00716774"/>
    <w:rsid w:val="0071731C"/>
    <w:rsid w:val="0071773B"/>
    <w:rsid w:val="0072020C"/>
    <w:rsid w:val="0072025E"/>
    <w:rsid w:val="00720A55"/>
    <w:rsid w:val="00720AC8"/>
    <w:rsid w:val="00720FCE"/>
    <w:rsid w:val="0072135B"/>
    <w:rsid w:val="007213BC"/>
    <w:rsid w:val="00721403"/>
    <w:rsid w:val="0072143C"/>
    <w:rsid w:val="00721799"/>
    <w:rsid w:val="00721C9D"/>
    <w:rsid w:val="00721F21"/>
    <w:rsid w:val="0072215C"/>
    <w:rsid w:val="00722B6E"/>
    <w:rsid w:val="00723710"/>
    <w:rsid w:val="00723890"/>
    <w:rsid w:val="00723B27"/>
    <w:rsid w:val="007247CA"/>
    <w:rsid w:val="00724EFB"/>
    <w:rsid w:val="0072531A"/>
    <w:rsid w:val="0072553D"/>
    <w:rsid w:val="00725AA3"/>
    <w:rsid w:val="00725B71"/>
    <w:rsid w:val="00725BEC"/>
    <w:rsid w:val="00725E5D"/>
    <w:rsid w:val="00725ECF"/>
    <w:rsid w:val="00725F02"/>
    <w:rsid w:val="00725FF3"/>
    <w:rsid w:val="007264F1"/>
    <w:rsid w:val="00726950"/>
    <w:rsid w:val="00726B7A"/>
    <w:rsid w:val="00726C5A"/>
    <w:rsid w:val="00726C77"/>
    <w:rsid w:val="00726E60"/>
    <w:rsid w:val="00727031"/>
    <w:rsid w:val="007274A9"/>
    <w:rsid w:val="00727991"/>
    <w:rsid w:val="00727A2A"/>
    <w:rsid w:val="00727BB1"/>
    <w:rsid w:val="00727ECF"/>
    <w:rsid w:val="00727FF6"/>
    <w:rsid w:val="00730170"/>
    <w:rsid w:val="00730B2B"/>
    <w:rsid w:val="00730FFE"/>
    <w:rsid w:val="0073114A"/>
    <w:rsid w:val="00731B2E"/>
    <w:rsid w:val="00731B4E"/>
    <w:rsid w:val="007323D5"/>
    <w:rsid w:val="00732420"/>
    <w:rsid w:val="0073242E"/>
    <w:rsid w:val="007325A9"/>
    <w:rsid w:val="00732814"/>
    <w:rsid w:val="007334C2"/>
    <w:rsid w:val="00733938"/>
    <w:rsid w:val="00733A1C"/>
    <w:rsid w:val="00733DD5"/>
    <w:rsid w:val="00733FD0"/>
    <w:rsid w:val="00734442"/>
    <w:rsid w:val="007344C8"/>
    <w:rsid w:val="00734600"/>
    <w:rsid w:val="007346BF"/>
    <w:rsid w:val="0073473D"/>
    <w:rsid w:val="00734CC8"/>
    <w:rsid w:val="00734CFC"/>
    <w:rsid w:val="00735155"/>
    <w:rsid w:val="007351A5"/>
    <w:rsid w:val="0073568C"/>
    <w:rsid w:val="00735935"/>
    <w:rsid w:val="00735BC0"/>
    <w:rsid w:val="00736271"/>
    <w:rsid w:val="0073628D"/>
    <w:rsid w:val="007363F8"/>
    <w:rsid w:val="00736468"/>
    <w:rsid w:val="00736475"/>
    <w:rsid w:val="00736908"/>
    <w:rsid w:val="007369F6"/>
    <w:rsid w:val="00736B13"/>
    <w:rsid w:val="0073737C"/>
    <w:rsid w:val="007375B3"/>
    <w:rsid w:val="00737A77"/>
    <w:rsid w:val="00737B20"/>
    <w:rsid w:val="007401A7"/>
    <w:rsid w:val="007405EF"/>
    <w:rsid w:val="007408C7"/>
    <w:rsid w:val="007409C6"/>
    <w:rsid w:val="00740D7B"/>
    <w:rsid w:val="00740E32"/>
    <w:rsid w:val="00741208"/>
    <w:rsid w:val="0074178C"/>
    <w:rsid w:val="00741B97"/>
    <w:rsid w:val="007420F4"/>
    <w:rsid w:val="007423B6"/>
    <w:rsid w:val="007427DB"/>
    <w:rsid w:val="007429F1"/>
    <w:rsid w:val="00742CFF"/>
    <w:rsid w:val="00742F2E"/>
    <w:rsid w:val="0074314B"/>
    <w:rsid w:val="007435AD"/>
    <w:rsid w:val="007438AD"/>
    <w:rsid w:val="00743C44"/>
    <w:rsid w:val="00743D54"/>
    <w:rsid w:val="00743D5F"/>
    <w:rsid w:val="00743E8C"/>
    <w:rsid w:val="00744153"/>
    <w:rsid w:val="00744681"/>
    <w:rsid w:val="00744934"/>
    <w:rsid w:val="00744D89"/>
    <w:rsid w:val="00744EF8"/>
    <w:rsid w:val="007453B3"/>
    <w:rsid w:val="00745626"/>
    <w:rsid w:val="00745EE7"/>
    <w:rsid w:val="007460F0"/>
    <w:rsid w:val="00746341"/>
    <w:rsid w:val="0074695F"/>
    <w:rsid w:val="00746ACC"/>
    <w:rsid w:val="00746C44"/>
    <w:rsid w:val="00746E5F"/>
    <w:rsid w:val="00746F87"/>
    <w:rsid w:val="007470A7"/>
    <w:rsid w:val="0074775A"/>
    <w:rsid w:val="00747B8C"/>
    <w:rsid w:val="00747DF4"/>
    <w:rsid w:val="00750115"/>
    <w:rsid w:val="007501D5"/>
    <w:rsid w:val="00750243"/>
    <w:rsid w:val="00750680"/>
    <w:rsid w:val="0075080A"/>
    <w:rsid w:val="0075091C"/>
    <w:rsid w:val="00750A0B"/>
    <w:rsid w:val="00750CB4"/>
    <w:rsid w:val="0075119B"/>
    <w:rsid w:val="0075135F"/>
    <w:rsid w:val="0075197F"/>
    <w:rsid w:val="00752174"/>
    <w:rsid w:val="00752730"/>
    <w:rsid w:val="00752734"/>
    <w:rsid w:val="007528A2"/>
    <w:rsid w:val="00752978"/>
    <w:rsid w:val="00752D8A"/>
    <w:rsid w:val="00752E1A"/>
    <w:rsid w:val="00753329"/>
    <w:rsid w:val="0075338F"/>
    <w:rsid w:val="00753414"/>
    <w:rsid w:val="0075345F"/>
    <w:rsid w:val="007536FC"/>
    <w:rsid w:val="0075399D"/>
    <w:rsid w:val="00753C4D"/>
    <w:rsid w:val="00753CC3"/>
    <w:rsid w:val="00753FC9"/>
    <w:rsid w:val="00754040"/>
    <w:rsid w:val="00754066"/>
    <w:rsid w:val="00754076"/>
    <w:rsid w:val="00754338"/>
    <w:rsid w:val="0075478E"/>
    <w:rsid w:val="00754E6B"/>
    <w:rsid w:val="00754F01"/>
    <w:rsid w:val="0075526D"/>
    <w:rsid w:val="00755F20"/>
    <w:rsid w:val="0075672C"/>
    <w:rsid w:val="0075678F"/>
    <w:rsid w:val="00756B47"/>
    <w:rsid w:val="00756D69"/>
    <w:rsid w:val="00757149"/>
    <w:rsid w:val="007571A7"/>
    <w:rsid w:val="007571B1"/>
    <w:rsid w:val="007572E5"/>
    <w:rsid w:val="00757530"/>
    <w:rsid w:val="00757789"/>
    <w:rsid w:val="00757B13"/>
    <w:rsid w:val="00757E79"/>
    <w:rsid w:val="00757F98"/>
    <w:rsid w:val="00757F99"/>
    <w:rsid w:val="0076005D"/>
    <w:rsid w:val="00760094"/>
    <w:rsid w:val="00760D91"/>
    <w:rsid w:val="00760EA1"/>
    <w:rsid w:val="0076124A"/>
    <w:rsid w:val="00761A07"/>
    <w:rsid w:val="00761A31"/>
    <w:rsid w:val="00761A50"/>
    <w:rsid w:val="00761D99"/>
    <w:rsid w:val="00761EC1"/>
    <w:rsid w:val="007620FA"/>
    <w:rsid w:val="0076223C"/>
    <w:rsid w:val="00762275"/>
    <w:rsid w:val="007622D5"/>
    <w:rsid w:val="00762458"/>
    <w:rsid w:val="00762615"/>
    <w:rsid w:val="00762742"/>
    <w:rsid w:val="00763033"/>
    <w:rsid w:val="0076303F"/>
    <w:rsid w:val="007631D4"/>
    <w:rsid w:val="00763956"/>
    <w:rsid w:val="00763EB5"/>
    <w:rsid w:val="00764244"/>
    <w:rsid w:val="00764408"/>
    <w:rsid w:val="0076442C"/>
    <w:rsid w:val="00764E49"/>
    <w:rsid w:val="007650CB"/>
    <w:rsid w:val="00765136"/>
    <w:rsid w:val="00765788"/>
    <w:rsid w:val="00765825"/>
    <w:rsid w:val="00765AFE"/>
    <w:rsid w:val="00765C2A"/>
    <w:rsid w:val="00765CCF"/>
    <w:rsid w:val="00765D50"/>
    <w:rsid w:val="007662AC"/>
    <w:rsid w:val="00766517"/>
    <w:rsid w:val="00766755"/>
    <w:rsid w:val="00766AA5"/>
    <w:rsid w:val="00766BF5"/>
    <w:rsid w:val="0076710C"/>
    <w:rsid w:val="007671E6"/>
    <w:rsid w:val="0076722E"/>
    <w:rsid w:val="007673C6"/>
    <w:rsid w:val="00767680"/>
    <w:rsid w:val="007676BD"/>
    <w:rsid w:val="00767AB7"/>
    <w:rsid w:val="00767DD2"/>
    <w:rsid w:val="00767E5D"/>
    <w:rsid w:val="00767E9B"/>
    <w:rsid w:val="00770108"/>
    <w:rsid w:val="007701AD"/>
    <w:rsid w:val="00770291"/>
    <w:rsid w:val="00770308"/>
    <w:rsid w:val="00770468"/>
    <w:rsid w:val="00770822"/>
    <w:rsid w:val="00770832"/>
    <w:rsid w:val="007709A8"/>
    <w:rsid w:val="00771218"/>
    <w:rsid w:val="0077164F"/>
    <w:rsid w:val="007717E7"/>
    <w:rsid w:val="00771A80"/>
    <w:rsid w:val="00771D2F"/>
    <w:rsid w:val="00771DC5"/>
    <w:rsid w:val="00771DD5"/>
    <w:rsid w:val="00771F61"/>
    <w:rsid w:val="007720CB"/>
    <w:rsid w:val="007721B7"/>
    <w:rsid w:val="00772269"/>
    <w:rsid w:val="007722EF"/>
    <w:rsid w:val="00772329"/>
    <w:rsid w:val="0077243D"/>
    <w:rsid w:val="00772754"/>
    <w:rsid w:val="00772940"/>
    <w:rsid w:val="00773012"/>
    <w:rsid w:val="0077355E"/>
    <w:rsid w:val="00773822"/>
    <w:rsid w:val="007738BB"/>
    <w:rsid w:val="00773A3F"/>
    <w:rsid w:val="00773C78"/>
    <w:rsid w:val="00773CAF"/>
    <w:rsid w:val="00774543"/>
    <w:rsid w:val="007745EE"/>
    <w:rsid w:val="0077486D"/>
    <w:rsid w:val="00774B5E"/>
    <w:rsid w:val="00774EDB"/>
    <w:rsid w:val="00774F69"/>
    <w:rsid w:val="00774FAD"/>
    <w:rsid w:val="00775A1F"/>
    <w:rsid w:val="00775B91"/>
    <w:rsid w:val="00775E2C"/>
    <w:rsid w:val="00776423"/>
    <w:rsid w:val="0077667F"/>
    <w:rsid w:val="00776913"/>
    <w:rsid w:val="00776DAE"/>
    <w:rsid w:val="00776E93"/>
    <w:rsid w:val="00776FCE"/>
    <w:rsid w:val="007772F9"/>
    <w:rsid w:val="0077746C"/>
    <w:rsid w:val="007776C5"/>
    <w:rsid w:val="00777942"/>
    <w:rsid w:val="00780026"/>
    <w:rsid w:val="0078010D"/>
    <w:rsid w:val="00780280"/>
    <w:rsid w:val="007803D2"/>
    <w:rsid w:val="00780A1B"/>
    <w:rsid w:val="00780A2F"/>
    <w:rsid w:val="00780B4E"/>
    <w:rsid w:val="00780CCF"/>
    <w:rsid w:val="00780F6C"/>
    <w:rsid w:val="00781101"/>
    <w:rsid w:val="00781440"/>
    <w:rsid w:val="007815C0"/>
    <w:rsid w:val="007815E2"/>
    <w:rsid w:val="00781844"/>
    <w:rsid w:val="00781D26"/>
    <w:rsid w:val="0078200C"/>
    <w:rsid w:val="0078211F"/>
    <w:rsid w:val="007822CD"/>
    <w:rsid w:val="00782533"/>
    <w:rsid w:val="0078269F"/>
    <w:rsid w:val="00782A7C"/>
    <w:rsid w:val="00782ABC"/>
    <w:rsid w:val="00782B27"/>
    <w:rsid w:val="007830FC"/>
    <w:rsid w:val="007834A0"/>
    <w:rsid w:val="0078353A"/>
    <w:rsid w:val="0078392A"/>
    <w:rsid w:val="00783A62"/>
    <w:rsid w:val="00783BC4"/>
    <w:rsid w:val="00783C11"/>
    <w:rsid w:val="00783CC9"/>
    <w:rsid w:val="00783E91"/>
    <w:rsid w:val="00784160"/>
    <w:rsid w:val="00784581"/>
    <w:rsid w:val="00784CCE"/>
    <w:rsid w:val="00784D85"/>
    <w:rsid w:val="00784F55"/>
    <w:rsid w:val="007850C3"/>
    <w:rsid w:val="00785526"/>
    <w:rsid w:val="00785A0D"/>
    <w:rsid w:val="00785A29"/>
    <w:rsid w:val="00785AE5"/>
    <w:rsid w:val="00785DAC"/>
    <w:rsid w:val="007862A2"/>
    <w:rsid w:val="007863E1"/>
    <w:rsid w:val="0078652A"/>
    <w:rsid w:val="00786A21"/>
    <w:rsid w:val="00786FC2"/>
    <w:rsid w:val="00787187"/>
    <w:rsid w:val="00787205"/>
    <w:rsid w:val="0078746F"/>
    <w:rsid w:val="0078750B"/>
    <w:rsid w:val="007875DB"/>
    <w:rsid w:val="00787682"/>
    <w:rsid w:val="00787796"/>
    <w:rsid w:val="0078799E"/>
    <w:rsid w:val="007904DA"/>
    <w:rsid w:val="00790785"/>
    <w:rsid w:val="007909AA"/>
    <w:rsid w:val="00790BC2"/>
    <w:rsid w:val="00790FA1"/>
    <w:rsid w:val="00790FA9"/>
    <w:rsid w:val="00790FCC"/>
    <w:rsid w:val="0079107D"/>
    <w:rsid w:val="007910ED"/>
    <w:rsid w:val="007914C4"/>
    <w:rsid w:val="00791A15"/>
    <w:rsid w:val="00791AA4"/>
    <w:rsid w:val="00791B3D"/>
    <w:rsid w:val="00791BC0"/>
    <w:rsid w:val="00792033"/>
    <w:rsid w:val="007920D8"/>
    <w:rsid w:val="007922DF"/>
    <w:rsid w:val="007922FA"/>
    <w:rsid w:val="00792418"/>
    <w:rsid w:val="00792516"/>
    <w:rsid w:val="007926BC"/>
    <w:rsid w:val="00792C55"/>
    <w:rsid w:val="00792D43"/>
    <w:rsid w:val="007933CB"/>
    <w:rsid w:val="007935EC"/>
    <w:rsid w:val="00794010"/>
    <w:rsid w:val="00794456"/>
    <w:rsid w:val="007946E1"/>
    <w:rsid w:val="00794711"/>
    <w:rsid w:val="0079497F"/>
    <w:rsid w:val="00794D5B"/>
    <w:rsid w:val="00794D8D"/>
    <w:rsid w:val="00794E52"/>
    <w:rsid w:val="00794EB1"/>
    <w:rsid w:val="0079535B"/>
    <w:rsid w:val="007955B7"/>
    <w:rsid w:val="0079575D"/>
    <w:rsid w:val="00795A4A"/>
    <w:rsid w:val="00795E42"/>
    <w:rsid w:val="00795E7D"/>
    <w:rsid w:val="007965E0"/>
    <w:rsid w:val="00796752"/>
    <w:rsid w:val="00796841"/>
    <w:rsid w:val="0079687E"/>
    <w:rsid w:val="00796C82"/>
    <w:rsid w:val="0079700D"/>
    <w:rsid w:val="007970AE"/>
    <w:rsid w:val="00797202"/>
    <w:rsid w:val="007978F9"/>
    <w:rsid w:val="00797D93"/>
    <w:rsid w:val="00797EDA"/>
    <w:rsid w:val="007A0995"/>
    <w:rsid w:val="007A0A19"/>
    <w:rsid w:val="007A0D94"/>
    <w:rsid w:val="007A0DDB"/>
    <w:rsid w:val="007A14C2"/>
    <w:rsid w:val="007A15C2"/>
    <w:rsid w:val="007A171C"/>
    <w:rsid w:val="007A1F06"/>
    <w:rsid w:val="007A20FE"/>
    <w:rsid w:val="007A2C1B"/>
    <w:rsid w:val="007A2D0F"/>
    <w:rsid w:val="007A3425"/>
    <w:rsid w:val="007A357D"/>
    <w:rsid w:val="007A39C4"/>
    <w:rsid w:val="007A3DBA"/>
    <w:rsid w:val="007A3EB4"/>
    <w:rsid w:val="007A40F0"/>
    <w:rsid w:val="007A4269"/>
    <w:rsid w:val="007A4AD0"/>
    <w:rsid w:val="007A4AD3"/>
    <w:rsid w:val="007A4EF2"/>
    <w:rsid w:val="007A4F23"/>
    <w:rsid w:val="007A58B6"/>
    <w:rsid w:val="007A598D"/>
    <w:rsid w:val="007A5990"/>
    <w:rsid w:val="007A5B5A"/>
    <w:rsid w:val="007A5EE2"/>
    <w:rsid w:val="007A6306"/>
    <w:rsid w:val="007A6433"/>
    <w:rsid w:val="007A64AB"/>
    <w:rsid w:val="007A666F"/>
    <w:rsid w:val="007A6F13"/>
    <w:rsid w:val="007A7057"/>
    <w:rsid w:val="007A7584"/>
    <w:rsid w:val="007A7708"/>
    <w:rsid w:val="007A7824"/>
    <w:rsid w:val="007A7B1D"/>
    <w:rsid w:val="007A7FC9"/>
    <w:rsid w:val="007B005A"/>
    <w:rsid w:val="007B06E2"/>
    <w:rsid w:val="007B0914"/>
    <w:rsid w:val="007B0E08"/>
    <w:rsid w:val="007B0F0C"/>
    <w:rsid w:val="007B0F38"/>
    <w:rsid w:val="007B12BC"/>
    <w:rsid w:val="007B151D"/>
    <w:rsid w:val="007B1A7D"/>
    <w:rsid w:val="007B22E5"/>
    <w:rsid w:val="007B2315"/>
    <w:rsid w:val="007B2338"/>
    <w:rsid w:val="007B311E"/>
    <w:rsid w:val="007B3344"/>
    <w:rsid w:val="007B342C"/>
    <w:rsid w:val="007B35F2"/>
    <w:rsid w:val="007B3D99"/>
    <w:rsid w:val="007B3F79"/>
    <w:rsid w:val="007B3F8E"/>
    <w:rsid w:val="007B3FAA"/>
    <w:rsid w:val="007B417A"/>
    <w:rsid w:val="007B4446"/>
    <w:rsid w:val="007B48E1"/>
    <w:rsid w:val="007B4E5C"/>
    <w:rsid w:val="007B5382"/>
    <w:rsid w:val="007B5866"/>
    <w:rsid w:val="007B5EAA"/>
    <w:rsid w:val="007B6BE2"/>
    <w:rsid w:val="007B6C30"/>
    <w:rsid w:val="007B6E25"/>
    <w:rsid w:val="007B6F7A"/>
    <w:rsid w:val="007B7360"/>
    <w:rsid w:val="007B74CC"/>
    <w:rsid w:val="007B7A59"/>
    <w:rsid w:val="007C01D2"/>
    <w:rsid w:val="007C024F"/>
    <w:rsid w:val="007C0EF0"/>
    <w:rsid w:val="007C1400"/>
    <w:rsid w:val="007C15DB"/>
    <w:rsid w:val="007C16DF"/>
    <w:rsid w:val="007C1D65"/>
    <w:rsid w:val="007C1EE6"/>
    <w:rsid w:val="007C1FBC"/>
    <w:rsid w:val="007C2360"/>
    <w:rsid w:val="007C256D"/>
    <w:rsid w:val="007C2598"/>
    <w:rsid w:val="007C2983"/>
    <w:rsid w:val="007C2A3F"/>
    <w:rsid w:val="007C3361"/>
    <w:rsid w:val="007C338C"/>
    <w:rsid w:val="007C3A71"/>
    <w:rsid w:val="007C4AC8"/>
    <w:rsid w:val="007C52EE"/>
    <w:rsid w:val="007C53A2"/>
    <w:rsid w:val="007C54E8"/>
    <w:rsid w:val="007C55A7"/>
    <w:rsid w:val="007C56CC"/>
    <w:rsid w:val="007C657B"/>
    <w:rsid w:val="007C7656"/>
    <w:rsid w:val="007D016B"/>
    <w:rsid w:val="007D05AB"/>
    <w:rsid w:val="007D05E6"/>
    <w:rsid w:val="007D072B"/>
    <w:rsid w:val="007D1432"/>
    <w:rsid w:val="007D14F8"/>
    <w:rsid w:val="007D19F9"/>
    <w:rsid w:val="007D1DD2"/>
    <w:rsid w:val="007D1E48"/>
    <w:rsid w:val="007D1F27"/>
    <w:rsid w:val="007D1F60"/>
    <w:rsid w:val="007D21ED"/>
    <w:rsid w:val="007D2481"/>
    <w:rsid w:val="007D275B"/>
    <w:rsid w:val="007D27E5"/>
    <w:rsid w:val="007D29EB"/>
    <w:rsid w:val="007D2A19"/>
    <w:rsid w:val="007D2ABA"/>
    <w:rsid w:val="007D2B47"/>
    <w:rsid w:val="007D30F1"/>
    <w:rsid w:val="007D3AE6"/>
    <w:rsid w:val="007D4880"/>
    <w:rsid w:val="007D4E21"/>
    <w:rsid w:val="007D4F18"/>
    <w:rsid w:val="007D50CF"/>
    <w:rsid w:val="007D5919"/>
    <w:rsid w:val="007D6295"/>
    <w:rsid w:val="007D6440"/>
    <w:rsid w:val="007D669C"/>
    <w:rsid w:val="007D6921"/>
    <w:rsid w:val="007D69EE"/>
    <w:rsid w:val="007D6CEF"/>
    <w:rsid w:val="007D74D0"/>
    <w:rsid w:val="007D74F9"/>
    <w:rsid w:val="007D76C6"/>
    <w:rsid w:val="007D776E"/>
    <w:rsid w:val="007D77D8"/>
    <w:rsid w:val="007D7C61"/>
    <w:rsid w:val="007D7DD3"/>
    <w:rsid w:val="007D7E37"/>
    <w:rsid w:val="007D7EC8"/>
    <w:rsid w:val="007D7FD9"/>
    <w:rsid w:val="007E0243"/>
    <w:rsid w:val="007E0311"/>
    <w:rsid w:val="007E032B"/>
    <w:rsid w:val="007E036F"/>
    <w:rsid w:val="007E0423"/>
    <w:rsid w:val="007E0501"/>
    <w:rsid w:val="007E0545"/>
    <w:rsid w:val="007E072C"/>
    <w:rsid w:val="007E08BF"/>
    <w:rsid w:val="007E093E"/>
    <w:rsid w:val="007E0971"/>
    <w:rsid w:val="007E0EAB"/>
    <w:rsid w:val="007E106D"/>
    <w:rsid w:val="007E1115"/>
    <w:rsid w:val="007E118F"/>
    <w:rsid w:val="007E12F7"/>
    <w:rsid w:val="007E1469"/>
    <w:rsid w:val="007E18B0"/>
    <w:rsid w:val="007E2327"/>
    <w:rsid w:val="007E2364"/>
    <w:rsid w:val="007E2633"/>
    <w:rsid w:val="007E2738"/>
    <w:rsid w:val="007E2873"/>
    <w:rsid w:val="007E29FA"/>
    <w:rsid w:val="007E2B61"/>
    <w:rsid w:val="007E2F26"/>
    <w:rsid w:val="007E2FB3"/>
    <w:rsid w:val="007E35BD"/>
    <w:rsid w:val="007E36E5"/>
    <w:rsid w:val="007E3BAE"/>
    <w:rsid w:val="007E3CEA"/>
    <w:rsid w:val="007E3E5B"/>
    <w:rsid w:val="007E408A"/>
    <w:rsid w:val="007E4145"/>
    <w:rsid w:val="007E4334"/>
    <w:rsid w:val="007E499C"/>
    <w:rsid w:val="007E4DDD"/>
    <w:rsid w:val="007E5027"/>
    <w:rsid w:val="007E5186"/>
    <w:rsid w:val="007E5196"/>
    <w:rsid w:val="007E5271"/>
    <w:rsid w:val="007E5363"/>
    <w:rsid w:val="007E5367"/>
    <w:rsid w:val="007E5481"/>
    <w:rsid w:val="007E55CF"/>
    <w:rsid w:val="007E59A7"/>
    <w:rsid w:val="007E6164"/>
    <w:rsid w:val="007E6173"/>
    <w:rsid w:val="007E61B0"/>
    <w:rsid w:val="007E62E1"/>
    <w:rsid w:val="007E65C6"/>
    <w:rsid w:val="007E6650"/>
    <w:rsid w:val="007E6736"/>
    <w:rsid w:val="007E6CB0"/>
    <w:rsid w:val="007E6DC3"/>
    <w:rsid w:val="007E702A"/>
    <w:rsid w:val="007E7562"/>
    <w:rsid w:val="007E769D"/>
    <w:rsid w:val="007E7727"/>
    <w:rsid w:val="007E7B6E"/>
    <w:rsid w:val="007E7F4B"/>
    <w:rsid w:val="007F0524"/>
    <w:rsid w:val="007F0610"/>
    <w:rsid w:val="007F17D6"/>
    <w:rsid w:val="007F1FB1"/>
    <w:rsid w:val="007F23E0"/>
    <w:rsid w:val="007F2490"/>
    <w:rsid w:val="007F25D3"/>
    <w:rsid w:val="007F2668"/>
    <w:rsid w:val="007F29E4"/>
    <w:rsid w:val="007F30C3"/>
    <w:rsid w:val="007F31CA"/>
    <w:rsid w:val="007F31E2"/>
    <w:rsid w:val="007F34E5"/>
    <w:rsid w:val="007F3AC9"/>
    <w:rsid w:val="007F3CE4"/>
    <w:rsid w:val="007F415F"/>
    <w:rsid w:val="007F48FC"/>
    <w:rsid w:val="007F494A"/>
    <w:rsid w:val="007F4B77"/>
    <w:rsid w:val="007F4FD7"/>
    <w:rsid w:val="007F52B3"/>
    <w:rsid w:val="007F564D"/>
    <w:rsid w:val="007F56D8"/>
    <w:rsid w:val="007F58C1"/>
    <w:rsid w:val="007F5B47"/>
    <w:rsid w:val="007F5BC4"/>
    <w:rsid w:val="007F670C"/>
    <w:rsid w:val="007F6BBC"/>
    <w:rsid w:val="007F76C3"/>
    <w:rsid w:val="007F7AF9"/>
    <w:rsid w:val="007F7C14"/>
    <w:rsid w:val="007F7CBD"/>
    <w:rsid w:val="007F7EB6"/>
    <w:rsid w:val="007F7F08"/>
    <w:rsid w:val="00800135"/>
    <w:rsid w:val="008003BA"/>
    <w:rsid w:val="0080061F"/>
    <w:rsid w:val="00800656"/>
    <w:rsid w:val="00800664"/>
    <w:rsid w:val="00800754"/>
    <w:rsid w:val="00800B26"/>
    <w:rsid w:val="00800C51"/>
    <w:rsid w:val="00801797"/>
    <w:rsid w:val="008019FD"/>
    <w:rsid w:val="00801B45"/>
    <w:rsid w:val="00802063"/>
    <w:rsid w:val="00802191"/>
    <w:rsid w:val="00802262"/>
    <w:rsid w:val="00802333"/>
    <w:rsid w:val="00802399"/>
    <w:rsid w:val="008023D1"/>
    <w:rsid w:val="008029A0"/>
    <w:rsid w:val="00802D3A"/>
    <w:rsid w:val="00802FF9"/>
    <w:rsid w:val="0080328E"/>
    <w:rsid w:val="0080361E"/>
    <w:rsid w:val="008036B2"/>
    <w:rsid w:val="008041C5"/>
    <w:rsid w:val="00804EB3"/>
    <w:rsid w:val="00804F97"/>
    <w:rsid w:val="00804FB1"/>
    <w:rsid w:val="0080512D"/>
    <w:rsid w:val="00805333"/>
    <w:rsid w:val="00805912"/>
    <w:rsid w:val="00805988"/>
    <w:rsid w:val="00805AA0"/>
    <w:rsid w:val="008063A7"/>
    <w:rsid w:val="008065F2"/>
    <w:rsid w:val="00806675"/>
    <w:rsid w:val="008067A8"/>
    <w:rsid w:val="008070ED"/>
    <w:rsid w:val="00807606"/>
    <w:rsid w:val="008076D7"/>
    <w:rsid w:val="008076EE"/>
    <w:rsid w:val="008077F0"/>
    <w:rsid w:val="00807A5A"/>
    <w:rsid w:val="00807EC8"/>
    <w:rsid w:val="008101B2"/>
    <w:rsid w:val="008103A2"/>
    <w:rsid w:val="008106CF"/>
    <w:rsid w:val="008107B5"/>
    <w:rsid w:val="008107E0"/>
    <w:rsid w:val="00810A26"/>
    <w:rsid w:val="00810BAA"/>
    <w:rsid w:val="00810C10"/>
    <w:rsid w:val="00811088"/>
    <w:rsid w:val="008111AD"/>
    <w:rsid w:val="0081153E"/>
    <w:rsid w:val="00811B13"/>
    <w:rsid w:val="00811B8B"/>
    <w:rsid w:val="00811D05"/>
    <w:rsid w:val="00811D8C"/>
    <w:rsid w:val="00811F5D"/>
    <w:rsid w:val="00812273"/>
    <w:rsid w:val="008124F0"/>
    <w:rsid w:val="0081287C"/>
    <w:rsid w:val="00812E14"/>
    <w:rsid w:val="008131D4"/>
    <w:rsid w:val="00813659"/>
    <w:rsid w:val="00813D79"/>
    <w:rsid w:val="00813E8A"/>
    <w:rsid w:val="00814537"/>
    <w:rsid w:val="00814625"/>
    <w:rsid w:val="0081484D"/>
    <w:rsid w:val="00814935"/>
    <w:rsid w:val="00814950"/>
    <w:rsid w:val="00814DEB"/>
    <w:rsid w:val="00814EE3"/>
    <w:rsid w:val="00814FF0"/>
    <w:rsid w:val="008151D3"/>
    <w:rsid w:val="00815419"/>
    <w:rsid w:val="00815484"/>
    <w:rsid w:val="00815ABE"/>
    <w:rsid w:val="008160C6"/>
    <w:rsid w:val="008162CC"/>
    <w:rsid w:val="008163E0"/>
    <w:rsid w:val="008164F2"/>
    <w:rsid w:val="008167C0"/>
    <w:rsid w:val="0081682F"/>
    <w:rsid w:val="00816FAA"/>
    <w:rsid w:val="00817089"/>
    <w:rsid w:val="008170A0"/>
    <w:rsid w:val="008170AB"/>
    <w:rsid w:val="0081721B"/>
    <w:rsid w:val="00817A9C"/>
    <w:rsid w:val="00817D67"/>
    <w:rsid w:val="00817E8E"/>
    <w:rsid w:val="00817F42"/>
    <w:rsid w:val="0082026F"/>
    <w:rsid w:val="0082058E"/>
    <w:rsid w:val="008205A3"/>
    <w:rsid w:val="008205AB"/>
    <w:rsid w:val="00820630"/>
    <w:rsid w:val="008206B2"/>
    <w:rsid w:val="008206D3"/>
    <w:rsid w:val="008207E4"/>
    <w:rsid w:val="00820B0C"/>
    <w:rsid w:val="00820B11"/>
    <w:rsid w:val="00820C75"/>
    <w:rsid w:val="00820DAC"/>
    <w:rsid w:val="008211BD"/>
    <w:rsid w:val="008214F8"/>
    <w:rsid w:val="008215F2"/>
    <w:rsid w:val="0082179D"/>
    <w:rsid w:val="008217ED"/>
    <w:rsid w:val="00821922"/>
    <w:rsid w:val="00821BC5"/>
    <w:rsid w:val="00821C0B"/>
    <w:rsid w:val="00821C98"/>
    <w:rsid w:val="00821CB8"/>
    <w:rsid w:val="00821D0E"/>
    <w:rsid w:val="00821FAD"/>
    <w:rsid w:val="0082216B"/>
    <w:rsid w:val="008225CE"/>
    <w:rsid w:val="0082264A"/>
    <w:rsid w:val="008230C9"/>
    <w:rsid w:val="00823242"/>
    <w:rsid w:val="0082343E"/>
    <w:rsid w:val="00823756"/>
    <w:rsid w:val="008238CB"/>
    <w:rsid w:val="00823A79"/>
    <w:rsid w:val="00823E50"/>
    <w:rsid w:val="00823FCA"/>
    <w:rsid w:val="00824276"/>
    <w:rsid w:val="0082443A"/>
    <w:rsid w:val="008247C2"/>
    <w:rsid w:val="0082480C"/>
    <w:rsid w:val="00824882"/>
    <w:rsid w:val="0082494A"/>
    <w:rsid w:val="00824CEF"/>
    <w:rsid w:val="00824D11"/>
    <w:rsid w:val="00824DD4"/>
    <w:rsid w:val="00824E1F"/>
    <w:rsid w:val="00824E88"/>
    <w:rsid w:val="00825A9B"/>
    <w:rsid w:val="00825D18"/>
    <w:rsid w:val="00825F39"/>
    <w:rsid w:val="00826491"/>
    <w:rsid w:val="00826977"/>
    <w:rsid w:val="00826B4E"/>
    <w:rsid w:val="00826F02"/>
    <w:rsid w:val="00826FD3"/>
    <w:rsid w:val="008270B1"/>
    <w:rsid w:val="0082750E"/>
    <w:rsid w:val="00827850"/>
    <w:rsid w:val="00827AB1"/>
    <w:rsid w:val="00827CB9"/>
    <w:rsid w:val="00827ECB"/>
    <w:rsid w:val="00827FBC"/>
    <w:rsid w:val="00830193"/>
    <w:rsid w:val="00830314"/>
    <w:rsid w:val="00830837"/>
    <w:rsid w:val="00830CB1"/>
    <w:rsid w:val="00830D7C"/>
    <w:rsid w:val="00830E39"/>
    <w:rsid w:val="00830F89"/>
    <w:rsid w:val="00830FBD"/>
    <w:rsid w:val="008312FD"/>
    <w:rsid w:val="00831AB6"/>
    <w:rsid w:val="00831AF5"/>
    <w:rsid w:val="00831C09"/>
    <w:rsid w:val="00831C29"/>
    <w:rsid w:val="00831C6F"/>
    <w:rsid w:val="00831D13"/>
    <w:rsid w:val="00831F22"/>
    <w:rsid w:val="00831FA1"/>
    <w:rsid w:val="00831FD1"/>
    <w:rsid w:val="00832267"/>
    <w:rsid w:val="00832CD7"/>
    <w:rsid w:val="00833110"/>
    <w:rsid w:val="0083339F"/>
    <w:rsid w:val="008334A5"/>
    <w:rsid w:val="0083399C"/>
    <w:rsid w:val="008340B5"/>
    <w:rsid w:val="0083410A"/>
    <w:rsid w:val="008346D4"/>
    <w:rsid w:val="00834813"/>
    <w:rsid w:val="00834995"/>
    <w:rsid w:val="00834B2E"/>
    <w:rsid w:val="00834B63"/>
    <w:rsid w:val="00834D49"/>
    <w:rsid w:val="00835362"/>
    <w:rsid w:val="00835377"/>
    <w:rsid w:val="00835701"/>
    <w:rsid w:val="0083573A"/>
    <w:rsid w:val="00835B48"/>
    <w:rsid w:val="00835BFF"/>
    <w:rsid w:val="00835E91"/>
    <w:rsid w:val="00835F05"/>
    <w:rsid w:val="0083618F"/>
    <w:rsid w:val="0083625D"/>
    <w:rsid w:val="008363C0"/>
    <w:rsid w:val="00836AD4"/>
    <w:rsid w:val="00836AE3"/>
    <w:rsid w:val="00836C25"/>
    <w:rsid w:val="008372D6"/>
    <w:rsid w:val="008374E4"/>
    <w:rsid w:val="00837ACE"/>
    <w:rsid w:val="00837B9E"/>
    <w:rsid w:val="00837CF1"/>
    <w:rsid w:val="00837D64"/>
    <w:rsid w:val="00840DC3"/>
    <w:rsid w:val="008411DC"/>
    <w:rsid w:val="008412C2"/>
    <w:rsid w:val="0084136A"/>
    <w:rsid w:val="0084148F"/>
    <w:rsid w:val="008414AB"/>
    <w:rsid w:val="0084191F"/>
    <w:rsid w:val="008419DB"/>
    <w:rsid w:val="00841EEA"/>
    <w:rsid w:val="008426FC"/>
    <w:rsid w:val="0084288C"/>
    <w:rsid w:val="008428E6"/>
    <w:rsid w:val="00842EBE"/>
    <w:rsid w:val="0084310D"/>
    <w:rsid w:val="00843197"/>
    <w:rsid w:val="0084366E"/>
    <w:rsid w:val="0084377E"/>
    <w:rsid w:val="00843DA7"/>
    <w:rsid w:val="0084415F"/>
    <w:rsid w:val="0084476E"/>
    <w:rsid w:val="0084498C"/>
    <w:rsid w:val="00844C6E"/>
    <w:rsid w:val="00844C8D"/>
    <w:rsid w:val="00844D23"/>
    <w:rsid w:val="00844DDB"/>
    <w:rsid w:val="008450B4"/>
    <w:rsid w:val="00845176"/>
    <w:rsid w:val="008452C3"/>
    <w:rsid w:val="0084567B"/>
    <w:rsid w:val="00845AA0"/>
    <w:rsid w:val="00845C9C"/>
    <w:rsid w:val="008462E8"/>
    <w:rsid w:val="008465ED"/>
    <w:rsid w:val="008467B2"/>
    <w:rsid w:val="00846841"/>
    <w:rsid w:val="008468A3"/>
    <w:rsid w:val="00846975"/>
    <w:rsid w:val="0084697E"/>
    <w:rsid w:val="00846BCB"/>
    <w:rsid w:val="00846BD5"/>
    <w:rsid w:val="008475F3"/>
    <w:rsid w:val="00847977"/>
    <w:rsid w:val="008479C0"/>
    <w:rsid w:val="00850027"/>
    <w:rsid w:val="008501AC"/>
    <w:rsid w:val="00850590"/>
    <w:rsid w:val="0085085B"/>
    <w:rsid w:val="0085094F"/>
    <w:rsid w:val="00850E9A"/>
    <w:rsid w:val="00850FEE"/>
    <w:rsid w:val="00851006"/>
    <w:rsid w:val="0085104D"/>
    <w:rsid w:val="00851260"/>
    <w:rsid w:val="00851480"/>
    <w:rsid w:val="008518E4"/>
    <w:rsid w:val="00851ADF"/>
    <w:rsid w:val="00851CA8"/>
    <w:rsid w:val="00851CFE"/>
    <w:rsid w:val="00851D53"/>
    <w:rsid w:val="00852089"/>
    <w:rsid w:val="00852136"/>
    <w:rsid w:val="0085220E"/>
    <w:rsid w:val="008529DF"/>
    <w:rsid w:val="00852F41"/>
    <w:rsid w:val="0085314D"/>
    <w:rsid w:val="008537AF"/>
    <w:rsid w:val="0085399E"/>
    <w:rsid w:val="008540AF"/>
    <w:rsid w:val="008540C8"/>
    <w:rsid w:val="00854291"/>
    <w:rsid w:val="00854AE6"/>
    <w:rsid w:val="00854BF8"/>
    <w:rsid w:val="00854C76"/>
    <w:rsid w:val="00854E07"/>
    <w:rsid w:val="008552C5"/>
    <w:rsid w:val="00855466"/>
    <w:rsid w:val="008557C6"/>
    <w:rsid w:val="00855B9C"/>
    <w:rsid w:val="00855DBD"/>
    <w:rsid w:val="00855EA1"/>
    <w:rsid w:val="0085608E"/>
    <w:rsid w:val="00856327"/>
    <w:rsid w:val="008563C2"/>
    <w:rsid w:val="00856590"/>
    <w:rsid w:val="008565D8"/>
    <w:rsid w:val="00856820"/>
    <w:rsid w:val="00856855"/>
    <w:rsid w:val="00856B30"/>
    <w:rsid w:val="00856B7B"/>
    <w:rsid w:val="00856CF0"/>
    <w:rsid w:val="008573A7"/>
    <w:rsid w:val="008573DD"/>
    <w:rsid w:val="00857B7A"/>
    <w:rsid w:val="00857C2F"/>
    <w:rsid w:val="00857E5D"/>
    <w:rsid w:val="008606A2"/>
    <w:rsid w:val="00860897"/>
    <w:rsid w:val="00860D46"/>
    <w:rsid w:val="008611F8"/>
    <w:rsid w:val="00861B60"/>
    <w:rsid w:val="00861DC1"/>
    <w:rsid w:val="00861E5D"/>
    <w:rsid w:val="008621D3"/>
    <w:rsid w:val="00862616"/>
    <w:rsid w:val="00862705"/>
    <w:rsid w:val="00862B9D"/>
    <w:rsid w:val="00863664"/>
    <w:rsid w:val="00863C24"/>
    <w:rsid w:val="00863C4E"/>
    <w:rsid w:val="00863C93"/>
    <w:rsid w:val="00863CDF"/>
    <w:rsid w:val="008645E5"/>
    <w:rsid w:val="008646A2"/>
    <w:rsid w:val="008647FA"/>
    <w:rsid w:val="008648EA"/>
    <w:rsid w:val="00864984"/>
    <w:rsid w:val="00864A5B"/>
    <w:rsid w:val="00864A82"/>
    <w:rsid w:val="00864EE7"/>
    <w:rsid w:val="00865156"/>
    <w:rsid w:val="00865275"/>
    <w:rsid w:val="00865571"/>
    <w:rsid w:val="00865726"/>
    <w:rsid w:val="00865B52"/>
    <w:rsid w:val="00866555"/>
    <w:rsid w:val="008666E9"/>
    <w:rsid w:val="0086684D"/>
    <w:rsid w:val="00866E85"/>
    <w:rsid w:val="00866EAA"/>
    <w:rsid w:val="00866F2E"/>
    <w:rsid w:val="00866F3B"/>
    <w:rsid w:val="00866FE5"/>
    <w:rsid w:val="00867041"/>
    <w:rsid w:val="00867177"/>
    <w:rsid w:val="008671F8"/>
    <w:rsid w:val="008672B0"/>
    <w:rsid w:val="008672DC"/>
    <w:rsid w:val="00867A0D"/>
    <w:rsid w:val="00867E59"/>
    <w:rsid w:val="008701A1"/>
    <w:rsid w:val="00870216"/>
    <w:rsid w:val="00870486"/>
    <w:rsid w:val="008705CE"/>
    <w:rsid w:val="00870CDB"/>
    <w:rsid w:val="00870CEA"/>
    <w:rsid w:val="00871210"/>
    <w:rsid w:val="008714A7"/>
    <w:rsid w:val="0087165A"/>
    <w:rsid w:val="00871A1F"/>
    <w:rsid w:val="00871A71"/>
    <w:rsid w:val="00871AC2"/>
    <w:rsid w:val="00871B8F"/>
    <w:rsid w:val="00871BEF"/>
    <w:rsid w:val="00871C70"/>
    <w:rsid w:val="00871C8A"/>
    <w:rsid w:val="00871DAF"/>
    <w:rsid w:val="0087245C"/>
    <w:rsid w:val="0087269F"/>
    <w:rsid w:val="00872B8B"/>
    <w:rsid w:val="00872C45"/>
    <w:rsid w:val="008730AD"/>
    <w:rsid w:val="00873CA3"/>
    <w:rsid w:val="00873F3C"/>
    <w:rsid w:val="00873FAA"/>
    <w:rsid w:val="00874013"/>
    <w:rsid w:val="0087408F"/>
    <w:rsid w:val="0087428D"/>
    <w:rsid w:val="008748F6"/>
    <w:rsid w:val="00875194"/>
    <w:rsid w:val="008754E7"/>
    <w:rsid w:val="0087569C"/>
    <w:rsid w:val="00875F81"/>
    <w:rsid w:val="00875FE2"/>
    <w:rsid w:val="008760F7"/>
    <w:rsid w:val="00876722"/>
    <w:rsid w:val="0087693E"/>
    <w:rsid w:val="00876B6D"/>
    <w:rsid w:val="00876C24"/>
    <w:rsid w:val="00876C34"/>
    <w:rsid w:val="008770C8"/>
    <w:rsid w:val="00877370"/>
    <w:rsid w:val="00877590"/>
    <w:rsid w:val="00877895"/>
    <w:rsid w:val="00877AA5"/>
    <w:rsid w:val="00877DF8"/>
    <w:rsid w:val="00880241"/>
    <w:rsid w:val="00880592"/>
    <w:rsid w:val="0088077B"/>
    <w:rsid w:val="0088077E"/>
    <w:rsid w:val="008807EA"/>
    <w:rsid w:val="008809FB"/>
    <w:rsid w:val="00880C45"/>
    <w:rsid w:val="00881324"/>
    <w:rsid w:val="0088159A"/>
    <w:rsid w:val="00881616"/>
    <w:rsid w:val="008819E8"/>
    <w:rsid w:val="00881C98"/>
    <w:rsid w:val="00881E12"/>
    <w:rsid w:val="00881FFE"/>
    <w:rsid w:val="008822D3"/>
    <w:rsid w:val="00882764"/>
    <w:rsid w:val="008827EF"/>
    <w:rsid w:val="00882AB2"/>
    <w:rsid w:val="00882ABF"/>
    <w:rsid w:val="00882C38"/>
    <w:rsid w:val="00882D2D"/>
    <w:rsid w:val="00882E74"/>
    <w:rsid w:val="008837F6"/>
    <w:rsid w:val="008839C8"/>
    <w:rsid w:val="008839EF"/>
    <w:rsid w:val="00883D3D"/>
    <w:rsid w:val="00883EF7"/>
    <w:rsid w:val="00884038"/>
    <w:rsid w:val="00884045"/>
    <w:rsid w:val="00884ADF"/>
    <w:rsid w:val="00884C3E"/>
    <w:rsid w:val="00885118"/>
    <w:rsid w:val="00885212"/>
    <w:rsid w:val="008852FE"/>
    <w:rsid w:val="008856AA"/>
    <w:rsid w:val="00885740"/>
    <w:rsid w:val="00885D2E"/>
    <w:rsid w:val="00885FCA"/>
    <w:rsid w:val="00886391"/>
    <w:rsid w:val="00886421"/>
    <w:rsid w:val="00886A46"/>
    <w:rsid w:val="00886E96"/>
    <w:rsid w:val="00887845"/>
    <w:rsid w:val="00887E9F"/>
    <w:rsid w:val="008900CE"/>
    <w:rsid w:val="008903C9"/>
    <w:rsid w:val="0089042F"/>
    <w:rsid w:val="00890D76"/>
    <w:rsid w:val="0089131A"/>
    <w:rsid w:val="00891325"/>
    <w:rsid w:val="008916F6"/>
    <w:rsid w:val="0089174E"/>
    <w:rsid w:val="00891880"/>
    <w:rsid w:val="008918BB"/>
    <w:rsid w:val="00891A39"/>
    <w:rsid w:val="00891C2F"/>
    <w:rsid w:val="00891EF0"/>
    <w:rsid w:val="00891FAA"/>
    <w:rsid w:val="0089209C"/>
    <w:rsid w:val="008928CC"/>
    <w:rsid w:val="00892A56"/>
    <w:rsid w:val="008932D8"/>
    <w:rsid w:val="00893532"/>
    <w:rsid w:val="00893BCD"/>
    <w:rsid w:val="008943B9"/>
    <w:rsid w:val="00894619"/>
    <w:rsid w:val="00894823"/>
    <w:rsid w:val="00894D2D"/>
    <w:rsid w:val="00894D3D"/>
    <w:rsid w:val="00894EBD"/>
    <w:rsid w:val="00894F12"/>
    <w:rsid w:val="0089525B"/>
    <w:rsid w:val="00895540"/>
    <w:rsid w:val="0089558F"/>
    <w:rsid w:val="008955F0"/>
    <w:rsid w:val="0089653A"/>
    <w:rsid w:val="0089696C"/>
    <w:rsid w:val="00896974"/>
    <w:rsid w:val="00896E6E"/>
    <w:rsid w:val="008970B9"/>
    <w:rsid w:val="00897372"/>
    <w:rsid w:val="0089757B"/>
    <w:rsid w:val="008975B2"/>
    <w:rsid w:val="00897694"/>
    <w:rsid w:val="0089777F"/>
    <w:rsid w:val="00897B40"/>
    <w:rsid w:val="00897CB7"/>
    <w:rsid w:val="00897E7A"/>
    <w:rsid w:val="008A00D3"/>
    <w:rsid w:val="008A036A"/>
    <w:rsid w:val="008A0760"/>
    <w:rsid w:val="008A07FB"/>
    <w:rsid w:val="008A087E"/>
    <w:rsid w:val="008A138E"/>
    <w:rsid w:val="008A1B2B"/>
    <w:rsid w:val="008A1E47"/>
    <w:rsid w:val="008A1FA8"/>
    <w:rsid w:val="008A2FF8"/>
    <w:rsid w:val="008A30A8"/>
    <w:rsid w:val="008A3427"/>
    <w:rsid w:val="008A391B"/>
    <w:rsid w:val="008A3F36"/>
    <w:rsid w:val="008A3FDA"/>
    <w:rsid w:val="008A474B"/>
    <w:rsid w:val="008A484E"/>
    <w:rsid w:val="008A4F7A"/>
    <w:rsid w:val="008A5223"/>
    <w:rsid w:val="008A542A"/>
    <w:rsid w:val="008A6374"/>
    <w:rsid w:val="008A6A52"/>
    <w:rsid w:val="008A6BDA"/>
    <w:rsid w:val="008A75F0"/>
    <w:rsid w:val="008A7675"/>
    <w:rsid w:val="008A77B9"/>
    <w:rsid w:val="008A7824"/>
    <w:rsid w:val="008A7984"/>
    <w:rsid w:val="008A7D5C"/>
    <w:rsid w:val="008A7EBC"/>
    <w:rsid w:val="008B027D"/>
    <w:rsid w:val="008B0374"/>
    <w:rsid w:val="008B042C"/>
    <w:rsid w:val="008B04F1"/>
    <w:rsid w:val="008B0763"/>
    <w:rsid w:val="008B09F5"/>
    <w:rsid w:val="008B0AC8"/>
    <w:rsid w:val="008B0BCC"/>
    <w:rsid w:val="008B1090"/>
    <w:rsid w:val="008B1448"/>
    <w:rsid w:val="008B1A19"/>
    <w:rsid w:val="008B1BE7"/>
    <w:rsid w:val="008B1BEF"/>
    <w:rsid w:val="008B1C7C"/>
    <w:rsid w:val="008B20A9"/>
    <w:rsid w:val="008B21C1"/>
    <w:rsid w:val="008B24FC"/>
    <w:rsid w:val="008B25ED"/>
    <w:rsid w:val="008B2678"/>
    <w:rsid w:val="008B2D17"/>
    <w:rsid w:val="008B2DA5"/>
    <w:rsid w:val="008B2F41"/>
    <w:rsid w:val="008B2F5D"/>
    <w:rsid w:val="008B3313"/>
    <w:rsid w:val="008B332E"/>
    <w:rsid w:val="008B34DF"/>
    <w:rsid w:val="008B3B95"/>
    <w:rsid w:val="008B3E9C"/>
    <w:rsid w:val="008B402A"/>
    <w:rsid w:val="008B4204"/>
    <w:rsid w:val="008B442C"/>
    <w:rsid w:val="008B45F7"/>
    <w:rsid w:val="008B4AD0"/>
    <w:rsid w:val="008B4FC5"/>
    <w:rsid w:val="008B58EB"/>
    <w:rsid w:val="008B59DE"/>
    <w:rsid w:val="008B5B60"/>
    <w:rsid w:val="008B5F67"/>
    <w:rsid w:val="008B5F6D"/>
    <w:rsid w:val="008B5F93"/>
    <w:rsid w:val="008B610E"/>
    <w:rsid w:val="008B6210"/>
    <w:rsid w:val="008B640A"/>
    <w:rsid w:val="008B6681"/>
    <w:rsid w:val="008B6691"/>
    <w:rsid w:val="008B6793"/>
    <w:rsid w:val="008B68A5"/>
    <w:rsid w:val="008B6AC5"/>
    <w:rsid w:val="008B6E5B"/>
    <w:rsid w:val="008B74D2"/>
    <w:rsid w:val="008B75C4"/>
    <w:rsid w:val="008B7C6C"/>
    <w:rsid w:val="008C02AD"/>
    <w:rsid w:val="008C0368"/>
    <w:rsid w:val="008C0A65"/>
    <w:rsid w:val="008C0BCA"/>
    <w:rsid w:val="008C0BCF"/>
    <w:rsid w:val="008C0D0C"/>
    <w:rsid w:val="008C0FBB"/>
    <w:rsid w:val="008C114B"/>
    <w:rsid w:val="008C11BD"/>
    <w:rsid w:val="008C150B"/>
    <w:rsid w:val="008C1536"/>
    <w:rsid w:val="008C1787"/>
    <w:rsid w:val="008C1B6E"/>
    <w:rsid w:val="008C1E40"/>
    <w:rsid w:val="008C2BE8"/>
    <w:rsid w:val="008C317B"/>
    <w:rsid w:val="008C3462"/>
    <w:rsid w:val="008C34AC"/>
    <w:rsid w:val="008C3595"/>
    <w:rsid w:val="008C3C94"/>
    <w:rsid w:val="008C3DBD"/>
    <w:rsid w:val="008C3E17"/>
    <w:rsid w:val="008C4033"/>
    <w:rsid w:val="008C4344"/>
    <w:rsid w:val="008C44F3"/>
    <w:rsid w:val="008C4C22"/>
    <w:rsid w:val="008C4E13"/>
    <w:rsid w:val="008C4EA1"/>
    <w:rsid w:val="008C5106"/>
    <w:rsid w:val="008C53D1"/>
    <w:rsid w:val="008C5482"/>
    <w:rsid w:val="008C5762"/>
    <w:rsid w:val="008C5906"/>
    <w:rsid w:val="008C5C6A"/>
    <w:rsid w:val="008C60E6"/>
    <w:rsid w:val="008C66A5"/>
    <w:rsid w:val="008C68F3"/>
    <w:rsid w:val="008C71D8"/>
    <w:rsid w:val="008C7662"/>
    <w:rsid w:val="008C7911"/>
    <w:rsid w:val="008C7EA2"/>
    <w:rsid w:val="008D10BB"/>
    <w:rsid w:val="008D13FC"/>
    <w:rsid w:val="008D17F2"/>
    <w:rsid w:val="008D18D1"/>
    <w:rsid w:val="008D1B90"/>
    <w:rsid w:val="008D1DD0"/>
    <w:rsid w:val="008D2119"/>
    <w:rsid w:val="008D2123"/>
    <w:rsid w:val="008D21BE"/>
    <w:rsid w:val="008D2524"/>
    <w:rsid w:val="008D253D"/>
    <w:rsid w:val="008D259E"/>
    <w:rsid w:val="008D2857"/>
    <w:rsid w:val="008D28D8"/>
    <w:rsid w:val="008D2F20"/>
    <w:rsid w:val="008D3924"/>
    <w:rsid w:val="008D39AE"/>
    <w:rsid w:val="008D3B42"/>
    <w:rsid w:val="008D3CDB"/>
    <w:rsid w:val="008D4299"/>
    <w:rsid w:val="008D42D1"/>
    <w:rsid w:val="008D42D7"/>
    <w:rsid w:val="008D45D6"/>
    <w:rsid w:val="008D4809"/>
    <w:rsid w:val="008D4D12"/>
    <w:rsid w:val="008D4DF5"/>
    <w:rsid w:val="008D4F7C"/>
    <w:rsid w:val="008D5008"/>
    <w:rsid w:val="008D505D"/>
    <w:rsid w:val="008D510F"/>
    <w:rsid w:val="008D5316"/>
    <w:rsid w:val="008D5386"/>
    <w:rsid w:val="008D55C9"/>
    <w:rsid w:val="008D574A"/>
    <w:rsid w:val="008D5D17"/>
    <w:rsid w:val="008D5E65"/>
    <w:rsid w:val="008D6394"/>
    <w:rsid w:val="008D6424"/>
    <w:rsid w:val="008D65DA"/>
    <w:rsid w:val="008D70F5"/>
    <w:rsid w:val="008D7111"/>
    <w:rsid w:val="008D73D4"/>
    <w:rsid w:val="008D78FB"/>
    <w:rsid w:val="008D7BB8"/>
    <w:rsid w:val="008D7CE1"/>
    <w:rsid w:val="008D7D39"/>
    <w:rsid w:val="008E0115"/>
    <w:rsid w:val="008E0233"/>
    <w:rsid w:val="008E0492"/>
    <w:rsid w:val="008E053D"/>
    <w:rsid w:val="008E0719"/>
    <w:rsid w:val="008E0C5E"/>
    <w:rsid w:val="008E0D1E"/>
    <w:rsid w:val="008E0F04"/>
    <w:rsid w:val="008E16B9"/>
    <w:rsid w:val="008E1A55"/>
    <w:rsid w:val="008E21F1"/>
    <w:rsid w:val="008E2318"/>
    <w:rsid w:val="008E257F"/>
    <w:rsid w:val="008E28E3"/>
    <w:rsid w:val="008E2A4C"/>
    <w:rsid w:val="008E322E"/>
    <w:rsid w:val="008E340A"/>
    <w:rsid w:val="008E34DD"/>
    <w:rsid w:val="008E3A56"/>
    <w:rsid w:val="008E41C0"/>
    <w:rsid w:val="008E45A0"/>
    <w:rsid w:val="008E47D7"/>
    <w:rsid w:val="008E4831"/>
    <w:rsid w:val="008E4AB6"/>
    <w:rsid w:val="008E4AE5"/>
    <w:rsid w:val="008E4FC4"/>
    <w:rsid w:val="008E559B"/>
    <w:rsid w:val="008E5606"/>
    <w:rsid w:val="008E568F"/>
    <w:rsid w:val="008E5BBB"/>
    <w:rsid w:val="008E6184"/>
    <w:rsid w:val="008E647A"/>
    <w:rsid w:val="008E697E"/>
    <w:rsid w:val="008E69C2"/>
    <w:rsid w:val="008E6A9F"/>
    <w:rsid w:val="008E6CA7"/>
    <w:rsid w:val="008E6CFF"/>
    <w:rsid w:val="008E6DE4"/>
    <w:rsid w:val="008E70E1"/>
    <w:rsid w:val="008E7315"/>
    <w:rsid w:val="008E742F"/>
    <w:rsid w:val="008F000A"/>
    <w:rsid w:val="008F0438"/>
    <w:rsid w:val="008F05AF"/>
    <w:rsid w:val="008F0B64"/>
    <w:rsid w:val="008F1392"/>
    <w:rsid w:val="008F1678"/>
    <w:rsid w:val="008F1981"/>
    <w:rsid w:val="008F1EC1"/>
    <w:rsid w:val="008F2076"/>
    <w:rsid w:val="008F2240"/>
    <w:rsid w:val="008F2C81"/>
    <w:rsid w:val="008F36FA"/>
    <w:rsid w:val="008F3740"/>
    <w:rsid w:val="008F3B79"/>
    <w:rsid w:val="008F3CBA"/>
    <w:rsid w:val="008F3FD0"/>
    <w:rsid w:val="008F4812"/>
    <w:rsid w:val="008F489D"/>
    <w:rsid w:val="008F49A9"/>
    <w:rsid w:val="008F4F64"/>
    <w:rsid w:val="008F567F"/>
    <w:rsid w:val="008F5824"/>
    <w:rsid w:val="008F5D56"/>
    <w:rsid w:val="008F623E"/>
    <w:rsid w:val="008F6417"/>
    <w:rsid w:val="008F6464"/>
    <w:rsid w:val="008F649D"/>
    <w:rsid w:val="008F69AB"/>
    <w:rsid w:val="008F6AB3"/>
    <w:rsid w:val="008F6E7D"/>
    <w:rsid w:val="008F6F14"/>
    <w:rsid w:val="008F74BF"/>
    <w:rsid w:val="008F761E"/>
    <w:rsid w:val="008F76D0"/>
    <w:rsid w:val="008F7AA2"/>
    <w:rsid w:val="008F7B79"/>
    <w:rsid w:val="008F7F25"/>
    <w:rsid w:val="008F7FCC"/>
    <w:rsid w:val="00900174"/>
    <w:rsid w:val="0090045E"/>
    <w:rsid w:val="009006BB"/>
    <w:rsid w:val="009008A1"/>
    <w:rsid w:val="00900C73"/>
    <w:rsid w:val="00900C81"/>
    <w:rsid w:val="00900CF5"/>
    <w:rsid w:val="00900CF6"/>
    <w:rsid w:val="0090101F"/>
    <w:rsid w:val="00901271"/>
    <w:rsid w:val="00901290"/>
    <w:rsid w:val="009017A5"/>
    <w:rsid w:val="0090202A"/>
    <w:rsid w:val="0090282B"/>
    <w:rsid w:val="00902ADE"/>
    <w:rsid w:val="00902CC0"/>
    <w:rsid w:val="00902F88"/>
    <w:rsid w:val="0090314F"/>
    <w:rsid w:val="00903755"/>
    <w:rsid w:val="00903798"/>
    <w:rsid w:val="00903B40"/>
    <w:rsid w:val="00903E1A"/>
    <w:rsid w:val="00904269"/>
    <w:rsid w:val="00904409"/>
    <w:rsid w:val="00904482"/>
    <w:rsid w:val="00904612"/>
    <w:rsid w:val="0090464D"/>
    <w:rsid w:val="00904655"/>
    <w:rsid w:val="00904707"/>
    <w:rsid w:val="009047C8"/>
    <w:rsid w:val="009047EF"/>
    <w:rsid w:val="0090486A"/>
    <w:rsid w:val="00904EF0"/>
    <w:rsid w:val="00905B7D"/>
    <w:rsid w:val="009068F5"/>
    <w:rsid w:val="00906D80"/>
    <w:rsid w:val="00907074"/>
    <w:rsid w:val="00907543"/>
    <w:rsid w:val="009075AE"/>
    <w:rsid w:val="00907B63"/>
    <w:rsid w:val="00907CEC"/>
    <w:rsid w:val="00907D9A"/>
    <w:rsid w:val="0091023B"/>
    <w:rsid w:val="00910281"/>
    <w:rsid w:val="0091040E"/>
    <w:rsid w:val="00910672"/>
    <w:rsid w:val="00910823"/>
    <w:rsid w:val="00910EE4"/>
    <w:rsid w:val="00910FB8"/>
    <w:rsid w:val="00910FEE"/>
    <w:rsid w:val="00911181"/>
    <w:rsid w:val="009112B3"/>
    <w:rsid w:val="0091152E"/>
    <w:rsid w:val="00911675"/>
    <w:rsid w:val="0091190C"/>
    <w:rsid w:val="00911ACE"/>
    <w:rsid w:val="00911B4C"/>
    <w:rsid w:val="00911B98"/>
    <w:rsid w:val="00911DDC"/>
    <w:rsid w:val="00912346"/>
    <w:rsid w:val="00912585"/>
    <w:rsid w:val="00912635"/>
    <w:rsid w:val="00912666"/>
    <w:rsid w:val="0091271B"/>
    <w:rsid w:val="009128D1"/>
    <w:rsid w:val="00912959"/>
    <w:rsid w:val="0091308E"/>
    <w:rsid w:val="009131A4"/>
    <w:rsid w:val="00913F86"/>
    <w:rsid w:val="00914427"/>
    <w:rsid w:val="00914441"/>
    <w:rsid w:val="00914615"/>
    <w:rsid w:val="00914618"/>
    <w:rsid w:val="00914795"/>
    <w:rsid w:val="0091486F"/>
    <w:rsid w:val="009149C8"/>
    <w:rsid w:val="00914D30"/>
    <w:rsid w:val="00914E86"/>
    <w:rsid w:val="009154FF"/>
    <w:rsid w:val="009159E3"/>
    <w:rsid w:val="00915E10"/>
    <w:rsid w:val="00915E29"/>
    <w:rsid w:val="00915E4B"/>
    <w:rsid w:val="00916582"/>
    <w:rsid w:val="009169A4"/>
    <w:rsid w:val="00916D19"/>
    <w:rsid w:val="009175ED"/>
    <w:rsid w:val="009176B8"/>
    <w:rsid w:val="0092001B"/>
    <w:rsid w:val="0092012E"/>
    <w:rsid w:val="009202EE"/>
    <w:rsid w:val="00920C0F"/>
    <w:rsid w:val="00920D7C"/>
    <w:rsid w:val="00920DEA"/>
    <w:rsid w:val="00921229"/>
    <w:rsid w:val="00921D75"/>
    <w:rsid w:val="00921DC5"/>
    <w:rsid w:val="009220B0"/>
    <w:rsid w:val="00922C93"/>
    <w:rsid w:val="0092300F"/>
    <w:rsid w:val="00923049"/>
    <w:rsid w:val="00923491"/>
    <w:rsid w:val="009236AF"/>
    <w:rsid w:val="00923AA1"/>
    <w:rsid w:val="00923BEB"/>
    <w:rsid w:val="00923CE9"/>
    <w:rsid w:val="00924104"/>
    <w:rsid w:val="009241D7"/>
    <w:rsid w:val="00924239"/>
    <w:rsid w:val="009242BB"/>
    <w:rsid w:val="00924AA1"/>
    <w:rsid w:val="00924BE3"/>
    <w:rsid w:val="00924D7C"/>
    <w:rsid w:val="00924E4F"/>
    <w:rsid w:val="00925062"/>
    <w:rsid w:val="009254FC"/>
    <w:rsid w:val="0092567B"/>
    <w:rsid w:val="00925704"/>
    <w:rsid w:val="009258EE"/>
    <w:rsid w:val="00925E44"/>
    <w:rsid w:val="00925E9D"/>
    <w:rsid w:val="009262A5"/>
    <w:rsid w:val="00926B19"/>
    <w:rsid w:val="00927033"/>
    <w:rsid w:val="0092718D"/>
    <w:rsid w:val="009273F1"/>
    <w:rsid w:val="00927567"/>
    <w:rsid w:val="00927A70"/>
    <w:rsid w:val="00927B11"/>
    <w:rsid w:val="00927F62"/>
    <w:rsid w:val="009308A8"/>
    <w:rsid w:val="00930C30"/>
    <w:rsid w:val="00930C4F"/>
    <w:rsid w:val="0093107F"/>
    <w:rsid w:val="009313B8"/>
    <w:rsid w:val="00931833"/>
    <w:rsid w:val="00931936"/>
    <w:rsid w:val="00931CA2"/>
    <w:rsid w:val="00931D58"/>
    <w:rsid w:val="00932446"/>
    <w:rsid w:val="0093247F"/>
    <w:rsid w:val="00932630"/>
    <w:rsid w:val="00932698"/>
    <w:rsid w:val="009326B1"/>
    <w:rsid w:val="00932890"/>
    <w:rsid w:val="00932A35"/>
    <w:rsid w:val="00932B98"/>
    <w:rsid w:val="00932DBC"/>
    <w:rsid w:val="00932E45"/>
    <w:rsid w:val="00933036"/>
    <w:rsid w:val="00933597"/>
    <w:rsid w:val="00933659"/>
    <w:rsid w:val="00933983"/>
    <w:rsid w:val="00933B41"/>
    <w:rsid w:val="009344E0"/>
    <w:rsid w:val="00934771"/>
    <w:rsid w:val="009348D2"/>
    <w:rsid w:val="00934C7C"/>
    <w:rsid w:val="00934CC9"/>
    <w:rsid w:val="0093511A"/>
    <w:rsid w:val="0093550A"/>
    <w:rsid w:val="00935D2A"/>
    <w:rsid w:val="00935FD2"/>
    <w:rsid w:val="00936231"/>
    <w:rsid w:val="009370F0"/>
    <w:rsid w:val="009376E5"/>
    <w:rsid w:val="009377BC"/>
    <w:rsid w:val="00937ABD"/>
    <w:rsid w:val="0094010A"/>
    <w:rsid w:val="009403BF"/>
    <w:rsid w:val="00940B5C"/>
    <w:rsid w:val="00940C24"/>
    <w:rsid w:val="00941087"/>
    <w:rsid w:val="00941517"/>
    <w:rsid w:val="00941859"/>
    <w:rsid w:val="00941E2D"/>
    <w:rsid w:val="00941F04"/>
    <w:rsid w:val="00942184"/>
    <w:rsid w:val="009427E0"/>
    <w:rsid w:val="00942A69"/>
    <w:rsid w:val="0094305B"/>
    <w:rsid w:val="00943065"/>
    <w:rsid w:val="009430EF"/>
    <w:rsid w:val="00943669"/>
    <w:rsid w:val="00943747"/>
    <w:rsid w:val="009437BE"/>
    <w:rsid w:val="00943820"/>
    <w:rsid w:val="0094395F"/>
    <w:rsid w:val="009439A4"/>
    <w:rsid w:val="00943C51"/>
    <w:rsid w:val="00943CA3"/>
    <w:rsid w:val="00944274"/>
    <w:rsid w:val="009446B4"/>
    <w:rsid w:val="009447B6"/>
    <w:rsid w:val="009449C5"/>
    <w:rsid w:val="00944CC3"/>
    <w:rsid w:val="00944FF0"/>
    <w:rsid w:val="0094501D"/>
    <w:rsid w:val="009458AE"/>
    <w:rsid w:val="00945B5E"/>
    <w:rsid w:val="00945CE2"/>
    <w:rsid w:val="00945D79"/>
    <w:rsid w:val="00946120"/>
    <w:rsid w:val="00946FB2"/>
    <w:rsid w:val="009471E0"/>
    <w:rsid w:val="009474DC"/>
    <w:rsid w:val="00947917"/>
    <w:rsid w:val="00947D50"/>
    <w:rsid w:val="00947D78"/>
    <w:rsid w:val="009508C7"/>
    <w:rsid w:val="00950A1B"/>
    <w:rsid w:val="009514E4"/>
    <w:rsid w:val="0095171B"/>
    <w:rsid w:val="00951A86"/>
    <w:rsid w:val="00951AC3"/>
    <w:rsid w:val="00951D0A"/>
    <w:rsid w:val="00951F12"/>
    <w:rsid w:val="009525FB"/>
    <w:rsid w:val="0095261D"/>
    <w:rsid w:val="00952768"/>
    <w:rsid w:val="00952A3E"/>
    <w:rsid w:val="00952AFE"/>
    <w:rsid w:val="00952BFA"/>
    <w:rsid w:val="00952F99"/>
    <w:rsid w:val="00953110"/>
    <w:rsid w:val="009531BA"/>
    <w:rsid w:val="009533B7"/>
    <w:rsid w:val="009539B0"/>
    <w:rsid w:val="00953EBA"/>
    <w:rsid w:val="00953ED6"/>
    <w:rsid w:val="0095424C"/>
    <w:rsid w:val="009545CC"/>
    <w:rsid w:val="00954750"/>
    <w:rsid w:val="0095494B"/>
    <w:rsid w:val="00954C62"/>
    <w:rsid w:val="00954D0D"/>
    <w:rsid w:val="00955888"/>
    <w:rsid w:val="00955979"/>
    <w:rsid w:val="00955A46"/>
    <w:rsid w:val="00956037"/>
    <w:rsid w:val="009561CF"/>
    <w:rsid w:val="009561FB"/>
    <w:rsid w:val="00956316"/>
    <w:rsid w:val="00956565"/>
    <w:rsid w:val="009567D5"/>
    <w:rsid w:val="009568E6"/>
    <w:rsid w:val="009569E6"/>
    <w:rsid w:val="00956B11"/>
    <w:rsid w:val="00956B3E"/>
    <w:rsid w:val="00956EF5"/>
    <w:rsid w:val="00957006"/>
    <w:rsid w:val="00957115"/>
    <w:rsid w:val="009576C5"/>
    <w:rsid w:val="009577CE"/>
    <w:rsid w:val="0095790B"/>
    <w:rsid w:val="00957DF6"/>
    <w:rsid w:val="00957E1D"/>
    <w:rsid w:val="00960249"/>
    <w:rsid w:val="009603C6"/>
    <w:rsid w:val="00960764"/>
    <w:rsid w:val="00960E7D"/>
    <w:rsid w:val="009614C0"/>
    <w:rsid w:val="009618FC"/>
    <w:rsid w:val="00961CFA"/>
    <w:rsid w:val="00961D89"/>
    <w:rsid w:val="00961E9D"/>
    <w:rsid w:val="00961ED2"/>
    <w:rsid w:val="00961F31"/>
    <w:rsid w:val="009621D2"/>
    <w:rsid w:val="00962267"/>
    <w:rsid w:val="009623B8"/>
    <w:rsid w:val="009623D6"/>
    <w:rsid w:val="0096267E"/>
    <w:rsid w:val="0096297A"/>
    <w:rsid w:val="00962C59"/>
    <w:rsid w:val="00962DDD"/>
    <w:rsid w:val="00962FD0"/>
    <w:rsid w:val="00963180"/>
    <w:rsid w:val="009634C7"/>
    <w:rsid w:val="00963761"/>
    <w:rsid w:val="00963991"/>
    <w:rsid w:val="009640D7"/>
    <w:rsid w:val="00964931"/>
    <w:rsid w:val="0096498B"/>
    <w:rsid w:val="00964D8B"/>
    <w:rsid w:val="00964E18"/>
    <w:rsid w:val="00964F1F"/>
    <w:rsid w:val="00965393"/>
    <w:rsid w:val="00965751"/>
    <w:rsid w:val="0096596C"/>
    <w:rsid w:val="00965AEF"/>
    <w:rsid w:val="0096616A"/>
    <w:rsid w:val="009664B2"/>
    <w:rsid w:val="00966B0D"/>
    <w:rsid w:val="00966BF2"/>
    <w:rsid w:val="00967256"/>
    <w:rsid w:val="0096740E"/>
    <w:rsid w:val="00967674"/>
    <w:rsid w:val="00967862"/>
    <w:rsid w:val="00970399"/>
    <w:rsid w:val="00970551"/>
    <w:rsid w:val="00970BD6"/>
    <w:rsid w:val="00970BF3"/>
    <w:rsid w:val="00970C49"/>
    <w:rsid w:val="00970D4B"/>
    <w:rsid w:val="00970D7B"/>
    <w:rsid w:val="00970DDD"/>
    <w:rsid w:val="00970F35"/>
    <w:rsid w:val="009710EF"/>
    <w:rsid w:val="00971108"/>
    <w:rsid w:val="00971598"/>
    <w:rsid w:val="009718FE"/>
    <w:rsid w:val="00971F0C"/>
    <w:rsid w:val="009724B3"/>
    <w:rsid w:val="0097250A"/>
    <w:rsid w:val="00972924"/>
    <w:rsid w:val="00972B0A"/>
    <w:rsid w:val="00972E9E"/>
    <w:rsid w:val="00973235"/>
    <w:rsid w:val="0097352E"/>
    <w:rsid w:val="00973854"/>
    <w:rsid w:val="0097390F"/>
    <w:rsid w:val="00973C4B"/>
    <w:rsid w:val="00973C97"/>
    <w:rsid w:val="00973E7D"/>
    <w:rsid w:val="00974489"/>
    <w:rsid w:val="00974A9A"/>
    <w:rsid w:val="00975001"/>
    <w:rsid w:val="009752F1"/>
    <w:rsid w:val="009756E4"/>
    <w:rsid w:val="00975863"/>
    <w:rsid w:val="0097609E"/>
    <w:rsid w:val="009761AF"/>
    <w:rsid w:val="00976230"/>
    <w:rsid w:val="00976659"/>
    <w:rsid w:val="00977168"/>
    <w:rsid w:val="0097729C"/>
    <w:rsid w:val="00977687"/>
    <w:rsid w:val="009777A8"/>
    <w:rsid w:val="009779A1"/>
    <w:rsid w:val="00977ABC"/>
    <w:rsid w:val="00977EDE"/>
    <w:rsid w:val="00980095"/>
    <w:rsid w:val="0098027E"/>
    <w:rsid w:val="00980885"/>
    <w:rsid w:val="00980C7D"/>
    <w:rsid w:val="00980E45"/>
    <w:rsid w:val="00980F43"/>
    <w:rsid w:val="00981671"/>
    <w:rsid w:val="009816B0"/>
    <w:rsid w:val="0098196A"/>
    <w:rsid w:val="00981A1B"/>
    <w:rsid w:val="00981E9B"/>
    <w:rsid w:val="009821CE"/>
    <w:rsid w:val="0098240D"/>
    <w:rsid w:val="0098282A"/>
    <w:rsid w:val="00982A23"/>
    <w:rsid w:val="00982AC0"/>
    <w:rsid w:val="00982F3B"/>
    <w:rsid w:val="00983C94"/>
    <w:rsid w:val="009843CD"/>
    <w:rsid w:val="00984416"/>
    <w:rsid w:val="00984879"/>
    <w:rsid w:val="00984A5F"/>
    <w:rsid w:val="00984A8B"/>
    <w:rsid w:val="00984F93"/>
    <w:rsid w:val="0098508C"/>
    <w:rsid w:val="0098514F"/>
    <w:rsid w:val="009851EE"/>
    <w:rsid w:val="0098533B"/>
    <w:rsid w:val="00985625"/>
    <w:rsid w:val="00985FC1"/>
    <w:rsid w:val="00986480"/>
    <w:rsid w:val="0098649A"/>
    <w:rsid w:val="0098664F"/>
    <w:rsid w:val="00986854"/>
    <w:rsid w:val="00987117"/>
    <w:rsid w:val="0098794D"/>
    <w:rsid w:val="00987D83"/>
    <w:rsid w:val="009901E9"/>
    <w:rsid w:val="00990454"/>
    <w:rsid w:val="00990565"/>
    <w:rsid w:val="009908D9"/>
    <w:rsid w:val="00990913"/>
    <w:rsid w:val="00990D15"/>
    <w:rsid w:val="00990D1B"/>
    <w:rsid w:val="009914A3"/>
    <w:rsid w:val="0099161B"/>
    <w:rsid w:val="00991912"/>
    <w:rsid w:val="00991BAB"/>
    <w:rsid w:val="00991CC4"/>
    <w:rsid w:val="009928FE"/>
    <w:rsid w:val="00992B4A"/>
    <w:rsid w:val="00992DBF"/>
    <w:rsid w:val="00992E0B"/>
    <w:rsid w:val="0099312D"/>
    <w:rsid w:val="00993191"/>
    <w:rsid w:val="009947EE"/>
    <w:rsid w:val="009948DF"/>
    <w:rsid w:val="00994E4C"/>
    <w:rsid w:val="00995B18"/>
    <w:rsid w:val="0099649E"/>
    <w:rsid w:val="00996647"/>
    <w:rsid w:val="009966EA"/>
    <w:rsid w:val="00996809"/>
    <w:rsid w:val="009969B2"/>
    <w:rsid w:val="00996E61"/>
    <w:rsid w:val="00996E97"/>
    <w:rsid w:val="009970B7"/>
    <w:rsid w:val="00997A10"/>
    <w:rsid w:val="00997CD8"/>
    <w:rsid w:val="00997EAE"/>
    <w:rsid w:val="00997ED7"/>
    <w:rsid w:val="009A046D"/>
    <w:rsid w:val="009A07A8"/>
    <w:rsid w:val="009A0A0A"/>
    <w:rsid w:val="009A0B07"/>
    <w:rsid w:val="009A0B84"/>
    <w:rsid w:val="009A0C75"/>
    <w:rsid w:val="009A0CF3"/>
    <w:rsid w:val="009A10A4"/>
    <w:rsid w:val="009A1158"/>
    <w:rsid w:val="009A1228"/>
    <w:rsid w:val="009A15ED"/>
    <w:rsid w:val="009A1641"/>
    <w:rsid w:val="009A181E"/>
    <w:rsid w:val="009A1CCC"/>
    <w:rsid w:val="009A25F8"/>
    <w:rsid w:val="009A2A41"/>
    <w:rsid w:val="009A2F04"/>
    <w:rsid w:val="009A3115"/>
    <w:rsid w:val="009A330A"/>
    <w:rsid w:val="009A36EE"/>
    <w:rsid w:val="009A385E"/>
    <w:rsid w:val="009A39D0"/>
    <w:rsid w:val="009A3A5E"/>
    <w:rsid w:val="009A3F74"/>
    <w:rsid w:val="009A41B9"/>
    <w:rsid w:val="009A41EF"/>
    <w:rsid w:val="009A4331"/>
    <w:rsid w:val="009A438B"/>
    <w:rsid w:val="009A4981"/>
    <w:rsid w:val="009A520C"/>
    <w:rsid w:val="009A55E0"/>
    <w:rsid w:val="009A55E3"/>
    <w:rsid w:val="009A567E"/>
    <w:rsid w:val="009A5C01"/>
    <w:rsid w:val="009A5C71"/>
    <w:rsid w:val="009A66A9"/>
    <w:rsid w:val="009A6B1A"/>
    <w:rsid w:val="009A6E2F"/>
    <w:rsid w:val="009A75C1"/>
    <w:rsid w:val="009A775F"/>
    <w:rsid w:val="009A77DF"/>
    <w:rsid w:val="009A79CA"/>
    <w:rsid w:val="009A79F0"/>
    <w:rsid w:val="009A7B2F"/>
    <w:rsid w:val="009A7C01"/>
    <w:rsid w:val="009B0207"/>
    <w:rsid w:val="009B0CD8"/>
    <w:rsid w:val="009B0E6D"/>
    <w:rsid w:val="009B0FBA"/>
    <w:rsid w:val="009B1623"/>
    <w:rsid w:val="009B177A"/>
    <w:rsid w:val="009B187B"/>
    <w:rsid w:val="009B1AA4"/>
    <w:rsid w:val="009B1C32"/>
    <w:rsid w:val="009B2166"/>
    <w:rsid w:val="009B2217"/>
    <w:rsid w:val="009B2596"/>
    <w:rsid w:val="009B292B"/>
    <w:rsid w:val="009B2AEB"/>
    <w:rsid w:val="009B2EB3"/>
    <w:rsid w:val="009B2F9F"/>
    <w:rsid w:val="009B3074"/>
    <w:rsid w:val="009B31C0"/>
    <w:rsid w:val="009B3415"/>
    <w:rsid w:val="009B36F3"/>
    <w:rsid w:val="009B370E"/>
    <w:rsid w:val="009B3A39"/>
    <w:rsid w:val="009B3B05"/>
    <w:rsid w:val="009B3C6E"/>
    <w:rsid w:val="009B3E2D"/>
    <w:rsid w:val="009B4064"/>
    <w:rsid w:val="009B4098"/>
    <w:rsid w:val="009B47F4"/>
    <w:rsid w:val="009B4A33"/>
    <w:rsid w:val="009B4AD1"/>
    <w:rsid w:val="009B4BC5"/>
    <w:rsid w:val="009B4BE4"/>
    <w:rsid w:val="009B4C3A"/>
    <w:rsid w:val="009B4D05"/>
    <w:rsid w:val="009B52DC"/>
    <w:rsid w:val="009B54F7"/>
    <w:rsid w:val="009B5709"/>
    <w:rsid w:val="009B57D2"/>
    <w:rsid w:val="009B5A96"/>
    <w:rsid w:val="009B5EEC"/>
    <w:rsid w:val="009B5F14"/>
    <w:rsid w:val="009B69FA"/>
    <w:rsid w:val="009B6D47"/>
    <w:rsid w:val="009B6F07"/>
    <w:rsid w:val="009B6FC9"/>
    <w:rsid w:val="009B7163"/>
    <w:rsid w:val="009B73AC"/>
    <w:rsid w:val="009B73CB"/>
    <w:rsid w:val="009B7543"/>
    <w:rsid w:val="009B785D"/>
    <w:rsid w:val="009B7E01"/>
    <w:rsid w:val="009C0071"/>
    <w:rsid w:val="009C00D9"/>
    <w:rsid w:val="009C0157"/>
    <w:rsid w:val="009C0322"/>
    <w:rsid w:val="009C0406"/>
    <w:rsid w:val="009C0562"/>
    <w:rsid w:val="009C07B4"/>
    <w:rsid w:val="009C0AF1"/>
    <w:rsid w:val="009C0B5C"/>
    <w:rsid w:val="009C0B5E"/>
    <w:rsid w:val="009C0D27"/>
    <w:rsid w:val="009C0D61"/>
    <w:rsid w:val="009C0FB2"/>
    <w:rsid w:val="009C1A95"/>
    <w:rsid w:val="009C1BFC"/>
    <w:rsid w:val="009C2322"/>
    <w:rsid w:val="009C27A1"/>
    <w:rsid w:val="009C2D81"/>
    <w:rsid w:val="009C3222"/>
    <w:rsid w:val="009C3267"/>
    <w:rsid w:val="009C38DF"/>
    <w:rsid w:val="009C3A2F"/>
    <w:rsid w:val="009C3B0D"/>
    <w:rsid w:val="009C3B43"/>
    <w:rsid w:val="009C3B4E"/>
    <w:rsid w:val="009C472B"/>
    <w:rsid w:val="009C498F"/>
    <w:rsid w:val="009C49C5"/>
    <w:rsid w:val="009C502C"/>
    <w:rsid w:val="009C50CD"/>
    <w:rsid w:val="009C574F"/>
    <w:rsid w:val="009C5F07"/>
    <w:rsid w:val="009C5FF1"/>
    <w:rsid w:val="009C64AF"/>
    <w:rsid w:val="009C6632"/>
    <w:rsid w:val="009C685A"/>
    <w:rsid w:val="009C690B"/>
    <w:rsid w:val="009C6A1E"/>
    <w:rsid w:val="009C6B02"/>
    <w:rsid w:val="009C6B83"/>
    <w:rsid w:val="009C71FF"/>
    <w:rsid w:val="009C727C"/>
    <w:rsid w:val="009C76FD"/>
    <w:rsid w:val="009C7D66"/>
    <w:rsid w:val="009C7DC5"/>
    <w:rsid w:val="009D0245"/>
    <w:rsid w:val="009D034D"/>
    <w:rsid w:val="009D04E6"/>
    <w:rsid w:val="009D06C5"/>
    <w:rsid w:val="009D07A7"/>
    <w:rsid w:val="009D0B9B"/>
    <w:rsid w:val="009D0E51"/>
    <w:rsid w:val="009D0F35"/>
    <w:rsid w:val="009D1197"/>
    <w:rsid w:val="009D1311"/>
    <w:rsid w:val="009D1367"/>
    <w:rsid w:val="009D15E2"/>
    <w:rsid w:val="009D18A6"/>
    <w:rsid w:val="009D18B6"/>
    <w:rsid w:val="009D2094"/>
    <w:rsid w:val="009D2396"/>
    <w:rsid w:val="009D23FE"/>
    <w:rsid w:val="009D2418"/>
    <w:rsid w:val="009D2749"/>
    <w:rsid w:val="009D2785"/>
    <w:rsid w:val="009D280A"/>
    <w:rsid w:val="009D2C06"/>
    <w:rsid w:val="009D3118"/>
    <w:rsid w:val="009D3598"/>
    <w:rsid w:val="009D3A47"/>
    <w:rsid w:val="009D3B31"/>
    <w:rsid w:val="009D4020"/>
    <w:rsid w:val="009D41FA"/>
    <w:rsid w:val="009D4363"/>
    <w:rsid w:val="009D4509"/>
    <w:rsid w:val="009D4681"/>
    <w:rsid w:val="009D4895"/>
    <w:rsid w:val="009D4D4F"/>
    <w:rsid w:val="009D5193"/>
    <w:rsid w:val="009D6003"/>
    <w:rsid w:val="009D6772"/>
    <w:rsid w:val="009D6D6E"/>
    <w:rsid w:val="009D70EC"/>
    <w:rsid w:val="009D77A8"/>
    <w:rsid w:val="009D7D13"/>
    <w:rsid w:val="009D7DC8"/>
    <w:rsid w:val="009E034C"/>
    <w:rsid w:val="009E0714"/>
    <w:rsid w:val="009E0EC0"/>
    <w:rsid w:val="009E11DF"/>
    <w:rsid w:val="009E12B5"/>
    <w:rsid w:val="009E1454"/>
    <w:rsid w:val="009E1B82"/>
    <w:rsid w:val="009E21F3"/>
    <w:rsid w:val="009E2329"/>
    <w:rsid w:val="009E2351"/>
    <w:rsid w:val="009E2378"/>
    <w:rsid w:val="009E24B8"/>
    <w:rsid w:val="009E2599"/>
    <w:rsid w:val="009E2717"/>
    <w:rsid w:val="009E292D"/>
    <w:rsid w:val="009E301B"/>
    <w:rsid w:val="009E31CA"/>
    <w:rsid w:val="009E33A3"/>
    <w:rsid w:val="009E33C9"/>
    <w:rsid w:val="009E3647"/>
    <w:rsid w:val="009E37CF"/>
    <w:rsid w:val="009E39E6"/>
    <w:rsid w:val="009E3A32"/>
    <w:rsid w:val="009E3A41"/>
    <w:rsid w:val="009E3B65"/>
    <w:rsid w:val="009E43E8"/>
    <w:rsid w:val="009E4505"/>
    <w:rsid w:val="009E4A62"/>
    <w:rsid w:val="009E4B49"/>
    <w:rsid w:val="009E4E11"/>
    <w:rsid w:val="009E5140"/>
    <w:rsid w:val="009E52AE"/>
    <w:rsid w:val="009E54E9"/>
    <w:rsid w:val="009E58C6"/>
    <w:rsid w:val="009E64A2"/>
    <w:rsid w:val="009E669B"/>
    <w:rsid w:val="009E67AE"/>
    <w:rsid w:val="009E6AF4"/>
    <w:rsid w:val="009E6EA5"/>
    <w:rsid w:val="009E71BE"/>
    <w:rsid w:val="009E74A7"/>
    <w:rsid w:val="009E784B"/>
    <w:rsid w:val="009E785C"/>
    <w:rsid w:val="009E7C8A"/>
    <w:rsid w:val="009E7E89"/>
    <w:rsid w:val="009E7EE6"/>
    <w:rsid w:val="009E7F59"/>
    <w:rsid w:val="009F0191"/>
    <w:rsid w:val="009F0381"/>
    <w:rsid w:val="009F0F77"/>
    <w:rsid w:val="009F102A"/>
    <w:rsid w:val="009F1188"/>
    <w:rsid w:val="009F16D4"/>
    <w:rsid w:val="009F184F"/>
    <w:rsid w:val="009F1B4A"/>
    <w:rsid w:val="009F1B7F"/>
    <w:rsid w:val="009F1BFB"/>
    <w:rsid w:val="009F21BF"/>
    <w:rsid w:val="009F23A1"/>
    <w:rsid w:val="009F27C0"/>
    <w:rsid w:val="009F2800"/>
    <w:rsid w:val="009F2E15"/>
    <w:rsid w:val="009F2EB7"/>
    <w:rsid w:val="009F3478"/>
    <w:rsid w:val="009F3A51"/>
    <w:rsid w:val="009F3AC8"/>
    <w:rsid w:val="009F3F97"/>
    <w:rsid w:val="009F3F9F"/>
    <w:rsid w:val="009F49D8"/>
    <w:rsid w:val="009F4E6C"/>
    <w:rsid w:val="009F565C"/>
    <w:rsid w:val="009F59AA"/>
    <w:rsid w:val="009F6046"/>
    <w:rsid w:val="009F62BF"/>
    <w:rsid w:val="009F6376"/>
    <w:rsid w:val="009F6447"/>
    <w:rsid w:val="009F652B"/>
    <w:rsid w:val="009F6599"/>
    <w:rsid w:val="009F66D6"/>
    <w:rsid w:val="009F6797"/>
    <w:rsid w:val="009F71DC"/>
    <w:rsid w:val="009F753B"/>
    <w:rsid w:val="009F76EA"/>
    <w:rsid w:val="009F79C8"/>
    <w:rsid w:val="009F79D7"/>
    <w:rsid w:val="009F7D8F"/>
    <w:rsid w:val="009F7FFC"/>
    <w:rsid w:val="00A0009C"/>
    <w:rsid w:val="00A00166"/>
    <w:rsid w:val="00A008F9"/>
    <w:rsid w:val="00A00AC0"/>
    <w:rsid w:val="00A00AEB"/>
    <w:rsid w:val="00A00EC3"/>
    <w:rsid w:val="00A01161"/>
    <w:rsid w:val="00A018DC"/>
    <w:rsid w:val="00A01D67"/>
    <w:rsid w:val="00A01E26"/>
    <w:rsid w:val="00A0229D"/>
    <w:rsid w:val="00A0260B"/>
    <w:rsid w:val="00A02989"/>
    <w:rsid w:val="00A02C7E"/>
    <w:rsid w:val="00A030DF"/>
    <w:rsid w:val="00A03433"/>
    <w:rsid w:val="00A0383B"/>
    <w:rsid w:val="00A0395D"/>
    <w:rsid w:val="00A03E73"/>
    <w:rsid w:val="00A040C4"/>
    <w:rsid w:val="00A04391"/>
    <w:rsid w:val="00A0468C"/>
    <w:rsid w:val="00A04DBD"/>
    <w:rsid w:val="00A04DD8"/>
    <w:rsid w:val="00A04EEE"/>
    <w:rsid w:val="00A04FA0"/>
    <w:rsid w:val="00A05179"/>
    <w:rsid w:val="00A054D7"/>
    <w:rsid w:val="00A05744"/>
    <w:rsid w:val="00A059D9"/>
    <w:rsid w:val="00A05A28"/>
    <w:rsid w:val="00A05AED"/>
    <w:rsid w:val="00A05C3B"/>
    <w:rsid w:val="00A061F4"/>
    <w:rsid w:val="00A0656D"/>
    <w:rsid w:val="00A069ED"/>
    <w:rsid w:val="00A069F5"/>
    <w:rsid w:val="00A06B0C"/>
    <w:rsid w:val="00A07550"/>
    <w:rsid w:val="00A076A3"/>
    <w:rsid w:val="00A07902"/>
    <w:rsid w:val="00A1023D"/>
    <w:rsid w:val="00A10315"/>
    <w:rsid w:val="00A105DA"/>
    <w:rsid w:val="00A106E0"/>
    <w:rsid w:val="00A10989"/>
    <w:rsid w:val="00A10B6E"/>
    <w:rsid w:val="00A10D08"/>
    <w:rsid w:val="00A110E7"/>
    <w:rsid w:val="00A11254"/>
    <w:rsid w:val="00A11ADD"/>
    <w:rsid w:val="00A11D73"/>
    <w:rsid w:val="00A11E34"/>
    <w:rsid w:val="00A12084"/>
    <w:rsid w:val="00A120F4"/>
    <w:rsid w:val="00A12581"/>
    <w:rsid w:val="00A128C7"/>
    <w:rsid w:val="00A12991"/>
    <w:rsid w:val="00A12DD8"/>
    <w:rsid w:val="00A1322B"/>
    <w:rsid w:val="00A1328D"/>
    <w:rsid w:val="00A1343E"/>
    <w:rsid w:val="00A134B4"/>
    <w:rsid w:val="00A134CA"/>
    <w:rsid w:val="00A13ED0"/>
    <w:rsid w:val="00A1411C"/>
    <w:rsid w:val="00A14488"/>
    <w:rsid w:val="00A14CAF"/>
    <w:rsid w:val="00A15145"/>
    <w:rsid w:val="00A1534C"/>
    <w:rsid w:val="00A15A61"/>
    <w:rsid w:val="00A15B09"/>
    <w:rsid w:val="00A15BE8"/>
    <w:rsid w:val="00A15D9E"/>
    <w:rsid w:val="00A15E02"/>
    <w:rsid w:val="00A15F0F"/>
    <w:rsid w:val="00A1634F"/>
    <w:rsid w:val="00A16466"/>
    <w:rsid w:val="00A165FE"/>
    <w:rsid w:val="00A16835"/>
    <w:rsid w:val="00A16914"/>
    <w:rsid w:val="00A1694B"/>
    <w:rsid w:val="00A16CEB"/>
    <w:rsid w:val="00A16D0C"/>
    <w:rsid w:val="00A16DD9"/>
    <w:rsid w:val="00A17244"/>
    <w:rsid w:val="00A1728A"/>
    <w:rsid w:val="00A17454"/>
    <w:rsid w:val="00A17473"/>
    <w:rsid w:val="00A17C4C"/>
    <w:rsid w:val="00A20189"/>
    <w:rsid w:val="00A2051D"/>
    <w:rsid w:val="00A20822"/>
    <w:rsid w:val="00A20886"/>
    <w:rsid w:val="00A20948"/>
    <w:rsid w:val="00A20A90"/>
    <w:rsid w:val="00A20C8A"/>
    <w:rsid w:val="00A20FEF"/>
    <w:rsid w:val="00A21C57"/>
    <w:rsid w:val="00A2203C"/>
    <w:rsid w:val="00A22402"/>
    <w:rsid w:val="00A225AC"/>
    <w:rsid w:val="00A227CA"/>
    <w:rsid w:val="00A22B44"/>
    <w:rsid w:val="00A22C2B"/>
    <w:rsid w:val="00A22D19"/>
    <w:rsid w:val="00A22E92"/>
    <w:rsid w:val="00A23A23"/>
    <w:rsid w:val="00A23AD4"/>
    <w:rsid w:val="00A23E11"/>
    <w:rsid w:val="00A23EAE"/>
    <w:rsid w:val="00A23EDF"/>
    <w:rsid w:val="00A24018"/>
    <w:rsid w:val="00A241E1"/>
    <w:rsid w:val="00A241F5"/>
    <w:rsid w:val="00A248F0"/>
    <w:rsid w:val="00A24BD7"/>
    <w:rsid w:val="00A24EFE"/>
    <w:rsid w:val="00A24F80"/>
    <w:rsid w:val="00A24FC0"/>
    <w:rsid w:val="00A25473"/>
    <w:rsid w:val="00A25495"/>
    <w:rsid w:val="00A256C6"/>
    <w:rsid w:val="00A2586F"/>
    <w:rsid w:val="00A25AC5"/>
    <w:rsid w:val="00A25F45"/>
    <w:rsid w:val="00A2655D"/>
    <w:rsid w:val="00A26C25"/>
    <w:rsid w:val="00A26E29"/>
    <w:rsid w:val="00A2709F"/>
    <w:rsid w:val="00A270B1"/>
    <w:rsid w:val="00A27158"/>
    <w:rsid w:val="00A274C6"/>
    <w:rsid w:val="00A274E7"/>
    <w:rsid w:val="00A27841"/>
    <w:rsid w:val="00A27997"/>
    <w:rsid w:val="00A304EE"/>
    <w:rsid w:val="00A306A6"/>
    <w:rsid w:val="00A30748"/>
    <w:rsid w:val="00A3093B"/>
    <w:rsid w:val="00A30C9B"/>
    <w:rsid w:val="00A30E65"/>
    <w:rsid w:val="00A30E7A"/>
    <w:rsid w:val="00A30F82"/>
    <w:rsid w:val="00A31074"/>
    <w:rsid w:val="00A31193"/>
    <w:rsid w:val="00A315A7"/>
    <w:rsid w:val="00A31A91"/>
    <w:rsid w:val="00A31AF5"/>
    <w:rsid w:val="00A31B83"/>
    <w:rsid w:val="00A31CC7"/>
    <w:rsid w:val="00A31CC9"/>
    <w:rsid w:val="00A320B9"/>
    <w:rsid w:val="00A320D8"/>
    <w:rsid w:val="00A323B8"/>
    <w:rsid w:val="00A32460"/>
    <w:rsid w:val="00A32F02"/>
    <w:rsid w:val="00A3327D"/>
    <w:rsid w:val="00A33295"/>
    <w:rsid w:val="00A33426"/>
    <w:rsid w:val="00A33AE4"/>
    <w:rsid w:val="00A33D1B"/>
    <w:rsid w:val="00A33F28"/>
    <w:rsid w:val="00A340C5"/>
    <w:rsid w:val="00A3436A"/>
    <w:rsid w:val="00A346F9"/>
    <w:rsid w:val="00A34938"/>
    <w:rsid w:val="00A34E0E"/>
    <w:rsid w:val="00A35235"/>
    <w:rsid w:val="00A35534"/>
    <w:rsid w:val="00A355DA"/>
    <w:rsid w:val="00A35985"/>
    <w:rsid w:val="00A36DD6"/>
    <w:rsid w:val="00A372C8"/>
    <w:rsid w:val="00A3734A"/>
    <w:rsid w:val="00A3746D"/>
    <w:rsid w:val="00A377F5"/>
    <w:rsid w:val="00A3785F"/>
    <w:rsid w:val="00A37A26"/>
    <w:rsid w:val="00A4017F"/>
    <w:rsid w:val="00A402DA"/>
    <w:rsid w:val="00A40868"/>
    <w:rsid w:val="00A419D9"/>
    <w:rsid w:val="00A41AE7"/>
    <w:rsid w:val="00A41B1F"/>
    <w:rsid w:val="00A41B92"/>
    <w:rsid w:val="00A41CAA"/>
    <w:rsid w:val="00A41CD2"/>
    <w:rsid w:val="00A41DF3"/>
    <w:rsid w:val="00A41E3A"/>
    <w:rsid w:val="00A42023"/>
    <w:rsid w:val="00A42A98"/>
    <w:rsid w:val="00A42BE9"/>
    <w:rsid w:val="00A42E43"/>
    <w:rsid w:val="00A431BD"/>
    <w:rsid w:val="00A43290"/>
    <w:rsid w:val="00A4343F"/>
    <w:rsid w:val="00A4352A"/>
    <w:rsid w:val="00A435BA"/>
    <w:rsid w:val="00A43EA0"/>
    <w:rsid w:val="00A44123"/>
    <w:rsid w:val="00A4429C"/>
    <w:rsid w:val="00A4468D"/>
    <w:rsid w:val="00A44FF1"/>
    <w:rsid w:val="00A45415"/>
    <w:rsid w:val="00A45962"/>
    <w:rsid w:val="00A469B0"/>
    <w:rsid w:val="00A46DC2"/>
    <w:rsid w:val="00A46EBF"/>
    <w:rsid w:val="00A47549"/>
    <w:rsid w:val="00A47B7E"/>
    <w:rsid w:val="00A47E86"/>
    <w:rsid w:val="00A47EA1"/>
    <w:rsid w:val="00A500B9"/>
    <w:rsid w:val="00A502C5"/>
    <w:rsid w:val="00A5052A"/>
    <w:rsid w:val="00A507E0"/>
    <w:rsid w:val="00A50900"/>
    <w:rsid w:val="00A509A8"/>
    <w:rsid w:val="00A50DB2"/>
    <w:rsid w:val="00A50F55"/>
    <w:rsid w:val="00A51254"/>
    <w:rsid w:val="00A51479"/>
    <w:rsid w:val="00A5192E"/>
    <w:rsid w:val="00A51A31"/>
    <w:rsid w:val="00A51E55"/>
    <w:rsid w:val="00A51F53"/>
    <w:rsid w:val="00A521A2"/>
    <w:rsid w:val="00A52515"/>
    <w:rsid w:val="00A525FB"/>
    <w:rsid w:val="00A5320D"/>
    <w:rsid w:val="00A53512"/>
    <w:rsid w:val="00A537E0"/>
    <w:rsid w:val="00A53DE2"/>
    <w:rsid w:val="00A53FF7"/>
    <w:rsid w:val="00A54436"/>
    <w:rsid w:val="00A54677"/>
    <w:rsid w:val="00A546F4"/>
    <w:rsid w:val="00A54ADF"/>
    <w:rsid w:val="00A54AF8"/>
    <w:rsid w:val="00A54BAD"/>
    <w:rsid w:val="00A54D7E"/>
    <w:rsid w:val="00A55148"/>
    <w:rsid w:val="00A5523A"/>
    <w:rsid w:val="00A552CE"/>
    <w:rsid w:val="00A55507"/>
    <w:rsid w:val="00A555F4"/>
    <w:rsid w:val="00A55915"/>
    <w:rsid w:val="00A55DCE"/>
    <w:rsid w:val="00A55E99"/>
    <w:rsid w:val="00A55FFD"/>
    <w:rsid w:val="00A56307"/>
    <w:rsid w:val="00A56592"/>
    <w:rsid w:val="00A56793"/>
    <w:rsid w:val="00A56D9C"/>
    <w:rsid w:val="00A56FFB"/>
    <w:rsid w:val="00A57013"/>
    <w:rsid w:val="00A570B2"/>
    <w:rsid w:val="00A5715F"/>
    <w:rsid w:val="00A575D8"/>
    <w:rsid w:val="00A5767C"/>
    <w:rsid w:val="00A57B8C"/>
    <w:rsid w:val="00A60BFD"/>
    <w:rsid w:val="00A61C60"/>
    <w:rsid w:val="00A620F6"/>
    <w:rsid w:val="00A626B4"/>
    <w:rsid w:val="00A62821"/>
    <w:rsid w:val="00A6283B"/>
    <w:rsid w:val="00A62F7D"/>
    <w:rsid w:val="00A637FD"/>
    <w:rsid w:val="00A63862"/>
    <w:rsid w:val="00A63F00"/>
    <w:rsid w:val="00A63F8D"/>
    <w:rsid w:val="00A64038"/>
    <w:rsid w:val="00A6473D"/>
    <w:rsid w:val="00A6482A"/>
    <w:rsid w:val="00A649BE"/>
    <w:rsid w:val="00A649C3"/>
    <w:rsid w:val="00A64FAF"/>
    <w:rsid w:val="00A650CB"/>
    <w:rsid w:val="00A6521C"/>
    <w:rsid w:val="00A65AB3"/>
    <w:rsid w:val="00A65B94"/>
    <w:rsid w:val="00A65F83"/>
    <w:rsid w:val="00A6603E"/>
    <w:rsid w:val="00A6685A"/>
    <w:rsid w:val="00A669B0"/>
    <w:rsid w:val="00A66E7A"/>
    <w:rsid w:val="00A66FF4"/>
    <w:rsid w:val="00A6724F"/>
    <w:rsid w:val="00A67656"/>
    <w:rsid w:val="00A676CD"/>
    <w:rsid w:val="00A67730"/>
    <w:rsid w:val="00A678EE"/>
    <w:rsid w:val="00A679CD"/>
    <w:rsid w:val="00A67C9A"/>
    <w:rsid w:val="00A67D5B"/>
    <w:rsid w:val="00A67EBE"/>
    <w:rsid w:val="00A67FAD"/>
    <w:rsid w:val="00A7013C"/>
    <w:rsid w:val="00A7032F"/>
    <w:rsid w:val="00A706F5"/>
    <w:rsid w:val="00A70ABE"/>
    <w:rsid w:val="00A70C17"/>
    <w:rsid w:val="00A710C7"/>
    <w:rsid w:val="00A713E1"/>
    <w:rsid w:val="00A714CE"/>
    <w:rsid w:val="00A716CA"/>
    <w:rsid w:val="00A716F3"/>
    <w:rsid w:val="00A71778"/>
    <w:rsid w:val="00A71794"/>
    <w:rsid w:val="00A71A00"/>
    <w:rsid w:val="00A71CFA"/>
    <w:rsid w:val="00A71FA7"/>
    <w:rsid w:val="00A72474"/>
    <w:rsid w:val="00A7265F"/>
    <w:rsid w:val="00A7270F"/>
    <w:rsid w:val="00A728F7"/>
    <w:rsid w:val="00A729D4"/>
    <w:rsid w:val="00A72A16"/>
    <w:rsid w:val="00A72ACB"/>
    <w:rsid w:val="00A72D0A"/>
    <w:rsid w:val="00A72DFE"/>
    <w:rsid w:val="00A72F52"/>
    <w:rsid w:val="00A73058"/>
    <w:rsid w:val="00A7325F"/>
    <w:rsid w:val="00A73328"/>
    <w:rsid w:val="00A734C1"/>
    <w:rsid w:val="00A734EC"/>
    <w:rsid w:val="00A73924"/>
    <w:rsid w:val="00A74C23"/>
    <w:rsid w:val="00A74D35"/>
    <w:rsid w:val="00A74D38"/>
    <w:rsid w:val="00A752A2"/>
    <w:rsid w:val="00A7547E"/>
    <w:rsid w:val="00A75A95"/>
    <w:rsid w:val="00A75B20"/>
    <w:rsid w:val="00A75DB7"/>
    <w:rsid w:val="00A76155"/>
    <w:rsid w:val="00A76386"/>
    <w:rsid w:val="00A76B45"/>
    <w:rsid w:val="00A76D98"/>
    <w:rsid w:val="00A7745F"/>
    <w:rsid w:val="00A77582"/>
    <w:rsid w:val="00A776A4"/>
    <w:rsid w:val="00A778BE"/>
    <w:rsid w:val="00A77A47"/>
    <w:rsid w:val="00A77A7B"/>
    <w:rsid w:val="00A80121"/>
    <w:rsid w:val="00A8020A"/>
    <w:rsid w:val="00A80243"/>
    <w:rsid w:val="00A804CA"/>
    <w:rsid w:val="00A8053B"/>
    <w:rsid w:val="00A80777"/>
    <w:rsid w:val="00A808D4"/>
    <w:rsid w:val="00A8096C"/>
    <w:rsid w:val="00A80BC2"/>
    <w:rsid w:val="00A80BF6"/>
    <w:rsid w:val="00A80D02"/>
    <w:rsid w:val="00A80D56"/>
    <w:rsid w:val="00A816A5"/>
    <w:rsid w:val="00A81964"/>
    <w:rsid w:val="00A81C52"/>
    <w:rsid w:val="00A81DB2"/>
    <w:rsid w:val="00A82B73"/>
    <w:rsid w:val="00A82CF2"/>
    <w:rsid w:val="00A82EBF"/>
    <w:rsid w:val="00A82F56"/>
    <w:rsid w:val="00A83413"/>
    <w:rsid w:val="00A83440"/>
    <w:rsid w:val="00A8347B"/>
    <w:rsid w:val="00A8382B"/>
    <w:rsid w:val="00A83A24"/>
    <w:rsid w:val="00A83A31"/>
    <w:rsid w:val="00A8433A"/>
    <w:rsid w:val="00A84770"/>
    <w:rsid w:val="00A84D2A"/>
    <w:rsid w:val="00A84DEE"/>
    <w:rsid w:val="00A8500A"/>
    <w:rsid w:val="00A85262"/>
    <w:rsid w:val="00A85466"/>
    <w:rsid w:val="00A85758"/>
    <w:rsid w:val="00A85A38"/>
    <w:rsid w:val="00A85D21"/>
    <w:rsid w:val="00A86830"/>
    <w:rsid w:val="00A86843"/>
    <w:rsid w:val="00A8693D"/>
    <w:rsid w:val="00A86DF9"/>
    <w:rsid w:val="00A86F7A"/>
    <w:rsid w:val="00A871F5"/>
    <w:rsid w:val="00A8721F"/>
    <w:rsid w:val="00A8733F"/>
    <w:rsid w:val="00A874B2"/>
    <w:rsid w:val="00A87599"/>
    <w:rsid w:val="00A87D02"/>
    <w:rsid w:val="00A87D20"/>
    <w:rsid w:val="00A87E04"/>
    <w:rsid w:val="00A87F00"/>
    <w:rsid w:val="00A87FE8"/>
    <w:rsid w:val="00A9010D"/>
    <w:rsid w:val="00A901B2"/>
    <w:rsid w:val="00A90B70"/>
    <w:rsid w:val="00A9101C"/>
    <w:rsid w:val="00A913F7"/>
    <w:rsid w:val="00A91426"/>
    <w:rsid w:val="00A9169D"/>
    <w:rsid w:val="00A91A11"/>
    <w:rsid w:val="00A91B2E"/>
    <w:rsid w:val="00A92441"/>
    <w:rsid w:val="00A926E9"/>
    <w:rsid w:val="00A927AA"/>
    <w:rsid w:val="00A92A2A"/>
    <w:rsid w:val="00A92D4C"/>
    <w:rsid w:val="00A92EA3"/>
    <w:rsid w:val="00A92F96"/>
    <w:rsid w:val="00A932C6"/>
    <w:rsid w:val="00A93357"/>
    <w:rsid w:val="00A93752"/>
    <w:rsid w:val="00A939EF"/>
    <w:rsid w:val="00A93C47"/>
    <w:rsid w:val="00A93E51"/>
    <w:rsid w:val="00A93EE6"/>
    <w:rsid w:val="00A93F2B"/>
    <w:rsid w:val="00A93F44"/>
    <w:rsid w:val="00A93F7D"/>
    <w:rsid w:val="00A94135"/>
    <w:rsid w:val="00A9465A"/>
    <w:rsid w:val="00A94711"/>
    <w:rsid w:val="00A947B4"/>
    <w:rsid w:val="00A948D3"/>
    <w:rsid w:val="00A94B10"/>
    <w:rsid w:val="00A94CB7"/>
    <w:rsid w:val="00A94D0C"/>
    <w:rsid w:val="00A94E6D"/>
    <w:rsid w:val="00A94FA3"/>
    <w:rsid w:val="00A957B7"/>
    <w:rsid w:val="00A95960"/>
    <w:rsid w:val="00A960C0"/>
    <w:rsid w:val="00A96205"/>
    <w:rsid w:val="00A967CE"/>
    <w:rsid w:val="00A97315"/>
    <w:rsid w:val="00A9736A"/>
    <w:rsid w:val="00A97558"/>
    <w:rsid w:val="00A97644"/>
    <w:rsid w:val="00A97B47"/>
    <w:rsid w:val="00A97CCF"/>
    <w:rsid w:val="00A97F43"/>
    <w:rsid w:val="00AA0365"/>
    <w:rsid w:val="00AA0608"/>
    <w:rsid w:val="00AA08DF"/>
    <w:rsid w:val="00AA08FD"/>
    <w:rsid w:val="00AA0921"/>
    <w:rsid w:val="00AA0F20"/>
    <w:rsid w:val="00AA1228"/>
    <w:rsid w:val="00AA1414"/>
    <w:rsid w:val="00AA1763"/>
    <w:rsid w:val="00AA189C"/>
    <w:rsid w:val="00AA1C21"/>
    <w:rsid w:val="00AA1DE7"/>
    <w:rsid w:val="00AA1E05"/>
    <w:rsid w:val="00AA1E21"/>
    <w:rsid w:val="00AA1F04"/>
    <w:rsid w:val="00AA2037"/>
    <w:rsid w:val="00AA2085"/>
    <w:rsid w:val="00AA2307"/>
    <w:rsid w:val="00AA259A"/>
    <w:rsid w:val="00AA2F16"/>
    <w:rsid w:val="00AA3254"/>
    <w:rsid w:val="00AA332A"/>
    <w:rsid w:val="00AA36C6"/>
    <w:rsid w:val="00AA372D"/>
    <w:rsid w:val="00AA41CA"/>
    <w:rsid w:val="00AA42C0"/>
    <w:rsid w:val="00AA42C9"/>
    <w:rsid w:val="00AA4495"/>
    <w:rsid w:val="00AA4593"/>
    <w:rsid w:val="00AA4805"/>
    <w:rsid w:val="00AA4AA6"/>
    <w:rsid w:val="00AA4CCF"/>
    <w:rsid w:val="00AA4D4D"/>
    <w:rsid w:val="00AA526F"/>
    <w:rsid w:val="00AA580C"/>
    <w:rsid w:val="00AA5844"/>
    <w:rsid w:val="00AA589B"/>
    <w:rsid w:val="00AA598F"/>
    <w:rsid w:val="00AA5B96"/>
    <w:rsid w:val="00AA5E61"/>
    <w:rsid w:val="00AA61AD"/>
    <w:rsid w:val="00AA6411"/>
    <w:rsid w:val="00AA66B6"/>
    <w:rsid w:val="00AA6FFC"/>
    <w:rsid w:val="00AA70D3"/>
    <w:rsid w:val="00AA712B"/>
    <w:rsid w:val="00AA72D1"/>
    <w:rsid w:val="00AA73E6"/>
    <w:rsid w:val="00AA7D35"/>
    <w:rsid w:val="00AA7E51"/>
    <w:rsid w:val="00AB03A6"/>
    <w:rsid w:val="00AB04FC"/>
    <w:rsid w:val="00AB08A6"/>
    <w:rsid w:val="00AB0D6B"/>
    <w:rsid w:val="00AB0E97"/>
    <w:rsid w:val="00AB0F69"/>
    <w:rsid w:val="00AB1313"/>
    <w:rsid w:val="00AB1FBB"/>
    <w:rsid w:val="00AB21FD"/>
    <w:rsid w:val="00AB23E6"/>
    <w:rsid w:val="00AB24E1"/>
    <w:rsid w:val="00AB28A9"/>
    <w:rsid w:val="00AB2AAA"/>
    <w:rsid w:val="00AB388D"/>
    <w:rsid w:val="00AB3B6D"/>
    <w:rsid w:val="00AB3CCB"/>
    <w:rsid w:val="00AB3EF2"/>
    <w:rsid w:val="00AB43C3"/>
    <w:rsid w:val="00AB470D"/>
    <w:rsid w:val="00AB47ED"/>
    <w:rsid w:val="00AB4873"/>
    <w:rsid w:val="00AB4C46"/>
    <w:rsid w:val="00AB57D6"/>
    <w:rsid w:val="00AB5DB0"/>
    <w:rsid w:val="00AB66AF"/>
    <w:rsid w:val="00AB6CCB"/>
    <w:rsid w:val="00AB703F"/>
    <w:rsid w:val="00AB70BB"/>
    <w:rsid w:val="00AB725E"/>
    <w:rsid w:val="00AB7964"/>
    <w:rsid w:val="00AB797F"/>
    <w:rsid w:val="00AB7C91"/>
    <w:rsid w:val="00AB7ECA"/>
    <w:rsid w:val="00AC00C8"/>
    <w:rsid w:val="00AC025D"/>
    <w:rsid w:val="00AC0649"/>
    <w:rsid w:val="00AC07DD"/>
    <w:rsid w:val="00AC0F7D"/>
    <w:rsid w:val="00AC11B0"/>
    <w:rsid w:val="00AC2516"/>
    <w:rsid w:val="00AC2A7C"/>
    <w:rsid w:val="00AC2BCB"/>
    <w:rsid w:val="00AC3689"/>
    <w:rsid w:val="00AC3731"/>
    <w:rsid w:val="00AC396E"/>
    <w:rsid w:val="00AC3AB7"/>
    <w:rsid w:val="00AC3ADE"/>
    <w:rsid w:val="00AC3DB3"/>
    <w:rsid w:val="00AC3F4C"/>
    <w:rsid w:val="00AC3F70"/>
    <w:rsid w:val="00AC4260"/>
    <w:rsid w:val="00AC447A"/>
    <w:rsid w:val="00AC4713"/>
    <w:rsid w:val="00AC4845"/>
    <w:rsid w:val="00AC4994"/>
    <w:rsid w:val="00AC49A5"/>
    <w:rsid w:val="00AC4B64"/>
    <w:rsid w:val="00AC4CD9"/>
    <w:rsid w:val="00AC4E4D"/>
    <w:rsid w:val="00AC55AA"/>
    <w:rsid w:val="00AC6544"/>
    <w:rsid w:val="00AC65B1"/>
    <w:rsid w:val="00AC65B5"/>
    <w:rsid w:val="00AC68FB"/>
    <w:rsid w:val="00AC6F0B"/>
    <w:rsid w:val="00AC7447"/>
    <w:rsid w:val="00AC7619"/>
    <w:rsid w:val="00AD0221"/>
    <w:rsid w:val="00AD06F1"/>
    <w:rsid w:val="00AD0A04"/>
    <w:rsid w:val="00AD0F5A"/>
    <w:rsid w:val="00AD12A6"/>
    <w:rsid w:val="00AD151E"/>
    <w:rsid w:val="00AD180F"/>
    <w:rsid w:val="00AD189F"/>
    <w:rsid w:val="00AD1C15"/>
    <w:rsid w:val="00AD1F3E"/>
    <w:rsid w:val="00AD1F41"/>
    <w:rsid w:val="00AD1F75"/>
    <w:rsid w:val="00AD214D"/>
    <w:rsid w:val="00AD217B"/>
    <w:rsid w:val="00AD21BB"/>
    <w:rsid w:val="00AD240D"/>
    <w:rsid w:val="00AD2574"/>
    <w:rsid w:val="00AD2616"/>
    <w:rsid w:val="00AD267A"/>
    <w:rsid w:val="00AD26FD"/>
    <w:rsid w:val="00AD2743"/>
    <w:rsid w:val="00AD2D21"/>
    <w:rsid w:val="00AD3728"/>
    <w:rsid w:val="00AD3759"/>
    <w:rsid w:val="00AD3959"/>
    <w:rsid w:val="00AD3A71"/>
    <w:rsid w:val="00AD3C68"/>
    <w:rsid w:val="00AD3D79"/>
    <w:rsid w:val="00AD3F94"/>
    <w:rsid w:val="00AD48C8"/>
    <w:rsid w:val="00AD49F7"/>
    <w:rsid w:val="00AD4D41"/>
    <w:rsid w:val="00AD4E0C"/>
    <w:rsid w:val="00AD50B4"/>
    <w:rsid w:val="00AD516C"/>
    <w:rsid w:val="00AD52FB"/>
    <w:rsid w:val="00AD53FF"/>
    <w:rsid w:val="00AD55D9"/>
    <w:rsid w:val="00AD5650"/>
    <w:rsid w:val="00AD59A2"/>
    <w:rsid w:val="00AD6339"/>
    <w:rsid w:val="00AD6ABF"/>
    <w:rsid w:val="00AD7380"/>
    <w:rsid w:val="00AD76B8"/>
    <w:rsid w:val="00AE02B1"/>
    <w:rsid w:val="00AE05BC"/>
    <w:rsid w:val="00AE09E5"/>
    <w:rsid w:val="00AE0CF9"/>
    <w:rsid w:val="00AE0D74"/>
    <w:rsid w:val="00AE14B2"/>
    <w:rsid w:val="00AE152B"/>
    <w:rsid w:val="00AE161C"/>
    <w:rsid w:val="00AE1983"/>
    <w:rsid w:val="00AE1BB9"/>
    <w:rsid w:val="00AE1DA8"/>
    <w:rsid w:val="00AE1F77"/>
    <w:rsid w:val="00AE1FDA"/>
    <w:rsid w:val="00AE2099"/>
    <w:rsid w:val="00AE229C"/>
    <w:rsid w:val="00AE22EB"/>
    <w:rsid w:val="00AE2363"/>
    <w:rsid w:val="00AE2464"/>
    <w:rsid w:val="00AE25F9"/>
    <w:rsid w:val="00AE2806"/>
    <w:rsid w:val="00AE2B8F"/>
    <w:rsid w:val="00AE2CF9"/>
    <w:rsid w:val="00AE2D06"/>
    <w:rsid w:val="00AE3051"/>
    <w:rsid w:val="00AE305E"/>
    <w:rsid w:val="00AE31F5"/>
    <w:rsid w:val="00AE33FF"/>
    <w:rsid w:val="00AE3626"/>
    <w:rsid w:val="00AE3817"/>
    <w:rsid w:val="00AE3AE7"/>
    <w:rsid w:val="00AE4428"/>
    <w:rsid w:val="00AE4A32"/>
    <w:rsid w:val="00AE4C7C"/>
    <w:rsid w:val="00AE53C1"/>
    <w:rsid w:val="00AE5D1E"/>
    <w:rsid w:val="00AE613F"/>
    <w:rsid w:val="00AE6368"/>
    <w:rsid w:val="00AE66B0"/>
    <w:rsid w:val="00AE6891"/>
    <w:rsid w:val="00AE6AA7"/>
    <w:rsid w:val="00AE6AEA"/>
    <w:rsid w:val="00AE6BB6"/>
    <w:rsid w:val="00AE7442"/>
    <w:rsid w:val="00AE75CC"/>
    <w:rsid w:val="00AE7650"/>
    <w:rsid w:val="00AE7A38"/>
    <w:rsid w:val="00AE7AB9"/>
    <w:rsid w:val="00AE7D59"/>
    <w:rsid w:val="00AF033D"/>
    <w:rsid w:val="00AF038F"/>
    <w:rsid w:val="00AF0671"/>
    <w:rsid w:val="00AF0E43"/>
    <w:rsid w:val="00AF15A0"/>
    <w:rsid w:val="00AF18ED"/>
    <w:rsid w:val="00AF1A28"/>
    <w:rsid w:val="00AF26B8"/>
    <w:rsid w:val="00AF27D4"/>
    <w:rsid w:val="00AF2B1B"/>
    <w:rsid w:val="00AF3308"/>
    <w:rsid w:val="00AF3629"/>
    <w:rsid w:val="00AF36A1"/>
    <w:rsid w:val="00AF3740"/>
    <w:rsid w:val="00AF397D"/>
    <w:rsid w:val="00AF39AC"/>
    <w:rsid w:val="00AF3CD1"/>
    <w:rsid w:val="00AF40D5"/>
    <w:rsid w:val="00AF41D1"/>
    <w:rsid w:val="00AF4870"/>
    <w:rsid w:val="00AF48A8"/>
    <w:rsid w:val="00AF4902"/>
    <w:rsid w:val="00AF4969"/>
    <w:rsid w:val="00AF4D41"/>
    <w:rsid w:val="00AF519D"/>
    <w:rsid w:val="00AF569F"/>
    <w:rsid w:val="00AF5893"/>
    <w:rsid w:val="00AF5A26"/>
    <w:rsid w:val="00AF6018"/>
    <w:rsid w:val="00AF69FE"/>
    <w:rsid w:val="00AF6F14"/>
    <w:rsid w:val="00AF7040"/>
    <w:rsid w:val="00AF7123"/>
    <w:rsid w:val="00AF744E"/>
    <w:rsid w:val="00AF7D79"/>
    <w:rsid w:val="00AF7E44"/>
    <w:rsid w:val="00B00099"/>
    <w:rsid w:val="00B0017D"/>
    <w:rsid w:val="00B004B7"/>
    <w:rsid w:val="00B004D1"/>
    <w:rsid w:val="00B006C6"/>
    <w:rsid w:val="00B00B48"/>
    <w:rsid w:val="00B00C66"/>
    <w:rsid w:val="00B00F49"/>
    <w:rsid w:val="00B015F6"/>
    <w:rsid w:val="00B01830"/>
    <w:rsid w:val="00B01BA1"/>
    <w:rsid w:val="00B02237"/>
    <w:rsid w:val="00B026C6"/>
    <w:rsid w:val="00B028D1"/>
    <w:rsid w:val="00B02E7C"/>
    <w:rsid w:val="00B0304E"/>
    <w:rsid w:val="00B03315"/>
    <w:rsid w:val="00B03442"/>
    <w:rsid w:val="00B034AC"/>
    <w:rsid w:val="00B03516"/>
    <w:rsid w:val="00B038C6"/>
    <w:rsid w:val="00B03DA1"/>
    <w:rsid w:val="00B03F75"/>
    <w:rsid w:val="00B03FE1"/>
    <w:rsid w:val="00B0412F"/>
    <w:rsid w:val="00B0434F"/>
    <w:rsid w:val="00B043B8"/>
    <w:rsid w:val="00B04489"/>
    <w:rsid w:val="00B04737"/>
    <w:rsid w:val="00B04B13"/>
    <w:rsid w:val="00B04CB4"/>
    <w:rsid w:val="00B04FFA"/>
    <w:rsid w:val="00B050E5"/>
    <w:rsid w:val="00B05462"/>
    <w:rsid w:val="00B05687"/>
    <w:rsid w:val="00B056D2"/>
    <w:rsid w:val="00B05B03"/>
    <w:rsid w:val="00B05F14"/>
    <w:rsid w:val="00B063E0"/>
    <w:rsid w:val="00B068C2"/>
    <w:rsid w:val="00B068D9"/>
    <w:rsid w:val="00B068FD"/>
    <w:rsid w:val="00B06E9B"/>
    <w:rsid w:val="00B0735D"/>
    <w:rsid w:val="00B07617"/>
    <w:rsid w:val="00B079DE"/>
    <w:rsid w:val="00B07BA2"/>
    <w:rsid w:val="00B07BD5"/>
    <w:rsid w:val="00B07C3C"/>
    <w:rsid w:val="00B07D19"/>
    <w:rsid w:val="00B10047"/>
    <w:rsid w:val="00B10214"/>
    <w:rsid w:val="00B1023D"/>
    <w:rsid w:val="00B104B5"/>
    <w:rsid w:val="00B10695"/>
    <w:rsid w:val="00B10905"/>
    <w:rsid w:val="00B109AD"/>
    <w:rsid w:val="00B10A7F"/>
    <w:rsid w:val="00B10CFC"/>
    <w:rsid w:val="00B10D57"/>
    <w:rsid w:val="00B10EA3"/>
    <w:rsid w:val="00B10F46"/>
    <w:rsid w:val="00B11645"/>
    <w:rsid w:val="00B11A31"/>
    <w:rsid w:val="00B11B0A"/>
    <w:rsid w:val="00B11B1A"/>
    <w:rsid w:val="00B11DB3"/>
    <w:rsid w:val="00B120AE"/>
    <w:rsid w:val="00B127F0"/>
    <w:rsid w:val="00B1286D"/>
    <w:rsid w:val="00B1288F"/>
    <w:rsid w:val="00B12D50"/>
    <w:rsid w:val="00B12D8A"/>
    <w:rsid w:val="00B1305D"/>
    <w:rsid w:val="00B131B2"/>
    <w:rsid w:val="00B1337E"/>
    <w:rsid w:val="00B1388A"/>
    <w:rsid w:val="00B13B82"/>
    <w:rsid w:val="00B13E5D"/>
    <w:rsid w:val="00B13FE2"/>
    <w:rsid w:val="00B14048"/>
    <w:rsid w:val="00B143E2"/>
    <w:rsid w:val="00B144E1"/>
    <w:rsid w:val="00B14851"/>
    <w:rsid w:val="00B1491E"/>
    <w:rsid w:val="00B14A42"/>
    <w:rsid w:val="00B14B78"/>
    <w:rsid w:val="00B14C81"/>
    <w:rsid w:val="00B156D5"/>
    <w:rsid w:val="00B15FD2"/>
    <w:rsid w:val="00B1601D"/>
    <w:rsid w:val="00B164A1"/>
    <w:rsid w:val="00B16E46"/>
    <w:rsid w:val="00B16F66"/>
    <w:rsid w:val="00B176AF"/>
    <w:rsid w:val="00B201B1"/>
    <w:rsid w:val="00B2026F"/>
    <w:rsid w:val="00B20FA6"/>
    <w:rsid w:val="00B2100D"/>
    <w:rsid w:val="00B21068"/>
    <w:rsid w:val="00B21278"/>
    <w:rsid w:val="00B213C1"/>
    <w:rsid w:val="00B2142E"/>
    <w:rsid w:val="00B2149C"/>
    <w:rsid w:val="00B214E0"/>
    <w:rsid w:val="00B217E2"/>
    <w:rsid w:val="00B21D07"/>
    <w:rsid w:val="00B2223F"/>
    <w:rsid w:val="00B226B8"/>
    <w:rsid w:val="00B22B89"/>
    <w:rsid w:val="00B22DCB"/>
    <w:rsid w:val="00B22F6F"/>
    <w:rsid w:val="00B23180"/>
    <w:rsid w:val="00B2344C"/>
    <w:rsid w:val="00B2346A"/>
    <w:rsid w:val="00B23548"/>
    <w:rsid w:val="00B23936"/>
    <w:rsid w:val="00B23E2E"/>
    <w:rsid w:val="00B241F5"/>
    <w:rsid w:val="00B24359"/>
    <w:rsid w:val="00B244D3"/>
    <w:rsid w:val="00B24849"/>
    <w:rsid w:val="00B2492D"/>
    <w:rsid w:val="00B25384"/>
    <w:rsid w:val="00B25839"/>
    <w:rsid w:val="00B25B2F"/>
    <w:rsid w:val="00B25B8A"/>
    <w:rsid w:val="00B25F39"/>
    <w:rsid w:val="00B26270"/>
    <w:rsid w:val="00B26350"/>
    <w:rsid w:val="00B263DA"/>
    <w:rsid w:val="00B264E2"/>
    <w:rsid w:val="00B266F0"/>
    <w:rsid w:val="00B26797"/>
    <w:rsid w:val="00B26F0B"/>
    <w:rsid w:val="00B271C0"/>
    <w:rsid w:val="00B273D1"/>
    <w:rsid w:val="00B302A6"/>
    <w:rsid w:val="00B30589"/>
    <w:rsid w:val="00B305D0"/>
    <w:rsid w:val="00B307F9"/>
    <w:rsid w:val="00B30BA4"/>
    <w:rsid w:val="00B30FDF"/>
    <w:rsid w:val="00B311DC"/>
    <w:rsid w:val="00B311F4"/>
    <w:rsid w:val="00B31404"/>
    <w:rsid w:val="00B3193B"/>
    <w:rsid w:val="00B31F59"/>
    <w:rsid w:val="00B32205"/>
    <w:rsid w:val="00B32679"/>
    <w:rsid w:val="00B32BC9"/>
    <w:rsid w:val="00B32EE2"/>
    <w:rsid w:val="00B33012"/>
    <w:rsid w:val="00B3332D"/>
    <w:rsid w:val="00B333C4"/>
    <w:rsid w:val="00B338D3"/>
    <w:rsid w:val="00B339EE"/>
    <w:rsid w:val="00B33BA4"/>
    <w:rsid w:val="00B33C8E"/>
    <w:rsid w:val="00B33F0D"/>
    <w:rsid w:val="00B34315"/>
    <w:rsid w:val="00B343EF"/>
    <w:rsid w:val="00B34434"/>
    <w:rsid w:val="00B34634"/>
    <w:rsid w:val="00B34A80"/>
    <w:rsid w:val="00B34D41"/>
    <w:rsid w:val="00B3511C"/>
    <w:rsid w:val="00B354CA"/>
    <w:rsid w:val="00B3559B"/>
    <w:rsid w:val="00B35A9F"/>
    <w:rsid w:val="00B35B29"/>
    <w:rsid w:val="00B35D82"/>
    <w:rsid w:val="00B35EB2"/>
    <w:rsid w:val="00B361A7"/>
    <w:rsid w:val="00B36295"/>
    <w:rsid w:val="00B36568"/>
    <w:rsid w:val="00B367D1"/>
    <w:rsid w:val="00B36CFF"/>
    <w:rsid w:val="00B3736E"/>
    <w:rsid w:val="00B37399"/>
    <w:rsid w:val="00B375A2"/>
    <w:rsid w:val="00B37D1D"/>
    <w:rsid w:val="00B37D8C"/>
    <w:rsid w:val="00B404E8"/>
    <w:rsid w:val="00B405E3"/>
    <w:rsid w:val="00B40951"/>
    <w:rsid w:val="00B40BCE"/>
    <w:rsid w:val="00B411BE"/>
    <w:rsid w:val="00B41317"/>
    <w:rsid w:val="00B4186A"/>
    <w:rsid w:val="00B418B7"/>
    <w:rsid w:val="00B41C05"/>
    <w:rsid w:val="00B41C7F"/>
    <w:rsid w:val="00B42190"/>
    <w:rsid w:val="00B42396"/>
    <w:rsid w:val="00B42595"/>
    <w:rsid w:val="00B42616"/>
    <w:rsid w:val="00B428E2"/>
    <w:rsid w:val="00B42DA5"/>
    <w:rsid w:val="00B43077"/>
    <w:rsid w:val="00B431FE"/>
    <w:rsid w:val="00B43479"/>
    <w:rsid w:val="00B434D3"/>
    <w:rsid w:val="00B434D7"/>
    <w:rsid w:val="00B43572"/>
    <w:rsid w:val="00B43762"/>
    <w:rsid w:val="00B4377B"/>
    <w:rsid w:val="00B43864"/>
    <w:rsid w:val="00B438B2"/>
    <w:rsid w:val="00B43A5C"/>
    <w:rsid w:val="00B43A9D"/>
    <w:rsid w:val="00B43DC3"/>
    <w:rsid w:val="00B44066"/>
    <w:rsid w:val="00B4415F"/>
    <w:rsid w:val="00B4443E"/>
    <w:rsid w:val="00B44783"/>
    <w:rsid w:val="00B447A4"/>
    <w:rsid w:val="00B44BB0"/>
    <w:rsid w:val="00B44BBC"/>
    <w:rsid w:val="00B44BEA"/>
    <w:rsid w:val="00B44D26"/>
    <w:rsid w:val="00B44D91"/>
    <w:rsid w:val="00B44DC3"/>
    <w:rsid w:val="00B44FA1"/>
    <w:rsid w:val="00B45182"/>
    <w:rsid w:val="00B45517"/>
    <w:rsid w:val="00B456F4"/>
    <w:rsid w:val="00B4593A"/>
    <w:rsid w:val="00B4597D"/>
    <w:rsid w:val="00B45C5C"/>
    <w:rsid w:val="00B45DCC"/>
    <w:rsid w:val="00B45F6A"/>
    <w:rsid w:val="00B45FD3"/>
    <w:rsid w:val="00B4616E"/>
    <w:rsid w:val="00B4622E"/>
    <w:rsid w:val="00B46A9C"/>
    <w:rsid w:val="00B46C7E"/>
    <w:rsid w:val="00B46E4F"/>
    <w:rsid w:val="00B47145"/>
    <w:rsid w:val="00B4716E"/>
    <w:rsid w:val="00B47600"/>
    <w:rsid w:val="00B479F4"/>
    <w:rsid w:val="00B47BDD"/>
    <w:rsid w:val="00B50163"/>
    <w:rsid w:val="00B506F8"/>
    <w:rsid w:val="00B507A4"/>
    <w:rsid w:val="00B50F03"/>
    <w:rsid w:val="00B5103F"/>
    <w:rsid w:val="00B511DC"/>
    <w:rsid w:val="00B5129A"/>
    <w:rsid w:val="00B5186F"/>
    <w:rsid w:val="00B5187C"/>
    <w:rsid w:val="00B518EF"/>
    <w:rsid w:val="00B51D6B"/>
    <w:rsid w:val="00B51E48"/>
    <w:rsid w:val="00B51EF5"/>
    <w:rsid w:val="00B52049"/>
    <w:rsid w:val="00B52999"/>
    <w:rsid w:val="00B52C7D"/>
    <w:rsid w:val="00B53168"/>
    <w:rsid w:val="00B531D1"/>
    <w:rsid w:val="00B53987"/>
    <w:rsid w:val="00B53E3E"/>
    <w:rsid w:val="00B5423F"/>
    <w:rsid w:val="00B548B8"/>
    <w:rsid w:val="00B54951"/>
    <w:rsid w:val="00B54970"/>
    <w:rsid w:val="00B54AF8"/>
    <w:rsid w:val="00B54BB6"/>
    <w:rsid w:val="00B54DBD"/>
    <w:rsid w:val="00B54EAF"/>
    <w:rsid w:val="00B55393"/>
    <w:rsid w:val="00B5567B"/>
    <w:rsid w:val="00B559AE"/>
    <w:rsid w:val="00B55A42"/>
    <w:rsid w:val="00B569E4"/>
    <w:rsid w:val="00B56A8B"/>
    <w:rsid w:val="00B56AB0"/>
    <w:rsid w:val="00B56C0E"/>
    <w:rsid w:val="00B56CA5"/>
    <w:rsid w:val="00B56DF4"/>
    <w:rsid w:val="00B5712D"/>
    <w:rsid w:val="00B5714A"/>
    <w:rsid w:val="00B572B4"/>
    <w:rsid w:val="00B57958"/>
    <w:rsid w:val="00B57B88"/>
    <w:rsid w:val="00B57D72"/>
    <w:rsid w:val="00B57FF1"/>
    <w:rsid w:val="00B60065"/>
    <w:rsid w:val="00B60491"/>
    <w:rsid w:val="00B60779"/>
    <w:rsid w:val="00B60961"/>
    <w:rsid w:val="00B60ACE"/>
    <w:rsid w:val="00B60F38"/>
    <w:rsid w:val="00B612A4"/>
    <w:rsid w:val="00B6130F"/>
    <w:rsid w:val="00B61595"/>
    <w:rsid w:val="00B618AB"/>
    <w:rsid w:val="00B62662"/>
    <w:rsid w:val="00B62A55"/>
    <w:rsid w:val="00B63DA4"/>
    <w:rsid w:val="00B63F10"/>
    <w:rsid w:val="00B642C2"/>
    <w:rsid w:val="00B643A1"/>
    <w:rsid w:val="00B644AF"/>
    <w:rsid w:val="00B64912"/>
    <w:rsid w:val="00B64936"/>
    <w:rsid w:val="00B653FF"/>
    <w:rsid w:val="00B6551F"/>
    <w:rsid w:val="00B6566D"/>
    <w:rsid w:val="00B6574C"/>
    <w:rsid w:val="00B65C9A"/>
    <w:rsid w:val="00B65D3D"/>
    <w:rsid w:val="00B66264"/>
    <w:rsid w:val="00B665A4"/>
    <w:rsid w:val="00B668B4"/>
    <w:rsid w:val="00B66B39"/>
    <w:rsid w:val="00B66BC7"/>
    <w:rsid w:val="00B66F6E"/>
    <w:rsid w:val="00B6733D"/>
    <w:rsid w:val="00B67880"/>
    <w:rsid w:val="00B70948"/>
    <w:rsid w:val="00B70FE3"/>
    <w:rsid w:val="00B71059"/>
    <w:rsid w:val="00B711CB"/>
    <w:rsid w:val="00B714F9"/>
    <w:rsid w:val="00B71B64"/>
    <w:rsid w:val="00B71DDA"/>
    <w:rsid w:val="00B71E46"/>
    <w:rsid w:val="00B720E2"/>
    <w:rsid w:val="00B7224B"/>
    <w:rsid w:val="00B722DD"/>
    <w:rsid w:val="00B72320"/>
    <w:rsid w:val="00B725C0"/>
    <w:rsid w:val="00B72A63"/>
    <w:rsid w:val="00B72AEC"/>
    <w:rsid w:val="00B72C1C"/>
    <w:rsid w:val="00B72D5C"/>
    <w:rsid w:val="00B72D8B"/>
    <w:rsid w:val="00B73142"/>
    <w:rsid w:val="00B7333F"/>
    <w:rsid w:val="00B73443"/>
    <w:rsid w:val="00B73803"/>
    <w:rsid w:val="00B7389F"/>
    <w:rsid w:val="00B73978"/>
    <w:rsid w:val="00B739B8"/>
    <w:rsid w:val="00B73A27"/>
    <w:rsid w:val="00B7432F"/>
    <w:rsid w:val="00B746DF"/>
    <w:rsid w:val="00B74725"/>
    <w:rsid w:val="00B7480A"/>
    <w:rsid w:val="00B74946"/>
    <w:rsid w:val="00B74F3C"/>
    <w:rsid w:val="00B75154"/>
    <w:rsid w:val="00B752E1"/>
    <w:rsid w:val="00B7568E"/>
    <w:rsid w:val="00B75762"/>
    <w:rsid w:val="00B7591D"/>
    <w:rsid w:val="00B7595A"/>
    <w:rsid w:val="00B75CB1"/>
    <w:rsid w:val="00B76C94"/>
    <w:rsid w:val="00B76E13"/>
    <w:rsid w:val="00B76E47"/>
    <w:rsid w:val="00B7742D"/>
    <w:rsid w:val="00B77917"/>
    <w:rsid w:val="00B77A39"/>
    <w:rsid w:val="00B77AF2"/>
    <w:rsid w:val="00B800DD"/>
    <w:rsid w:val="00B804F0"/>
    <w:rsid w:val="00B80C85"/>
    <w:rsid w:val="00B80CB0"/>
    <w:rsid w:val="00B80D45"/>
    <w:rsid w:val="00B812A8"/>
    <w:rsid w:val="00B816DF"/>
    <w:rsid w:val="00B81DA1"/>
    <w:rsid w:val="00B82697"/>
    <w:rsid w:val="00B828DF"/>
    <w:rsid w:val="00B82F5A"/>
    <w:rsid w:val="00B83051"/>
    <w:rsid w:val="00B83091"/>
    <w:rsid w:val="00B8323A"/>
    <w:rsid w:val="00B83360"/>
    <w:rsid w:val="00B83588"/>
    <w:rsid w:val="00B836F3"/>
    <w:rsid w:val="00B83A6E"/>
    <w:rsid w:val="00B83D20"/>
    <w:rsid w:val="00B83DE7"/>
    <w:rsid w:val="00B8415A"/>
    <w:rsid w:val="00B846AD"/>
    <w:rsid w:val="00B8480C"/>
    <w:rsid w:val="00B84B02"/>
    <w:rsid w:val="00B84E86"/>
    <w:rsid w:val="00B84FFD"/>
    <w:rsid w:val="00B85060"/>
    <w:rsid w:val="00B850AF"/>
    <w:rsid w:val="00B8554B"/>
    <w:rsid w:val="00B85A51"/>
    <w:rsid w:val="00B85AAD"/>
    <w:rsid w:val="00B85B80"/>
    <w:rsid w:val="00B85C82"/>
    <w:rsid w:val="00B85F45"/>
    <w:rsid w:val="00B85F66"/>
    <w:rsid w:val="00B8605D"/>
    <w:rsid w:val="00B862A1"/>
    <w:rsid w:val="00B86810"/>
    <w:rsid w:val="00B86865"/>
    <w:rsid w:val="00B8719A"/>
    <w:rsid w:val="00B872FB"/>
    <w:rsid w:val="00B87305"/>
    <w:rsid w:val="00B8748E"/>
    <w:rsid w:val="00B8775E"/>
    <w:rsid w:val="00B878BA"/>
    <w:rsid w:val="00B87B80"/>
    <w:rsid w:val="00B87CD5"/>
    <w:rsid w:val="00B87D26"/>
    <w:rsid w:val="00B87E40"/>
    <w:rsid w:val="00B90062"/>
    <w:rsid w:val="00B90486"/>
    <w:rsid w:val="00B9125F"/>
    <w:rsid w:val="00B91432"/>
    <w:rsid w:val="00B91A13"/>
    <w:rsid w:val="00B920A7"/>
    <w:rsid w:val="00B923C0"/>
    <w:rsid w:val="00B92685"/>
    <w:rsid w:val="00B92880"/>
    <w:rsid w:val="00B931EA"/>
    <w:rsid w:val="00B93302"/>
    <w:rsid w:val="00B93C07"/>
    <w:rsid w:val="00B9411F"/>
    <w:rsid w:val="00B94247"/>
    <w:rsid w:val="00B94328"/>
    <w:rsid w:val="00B9438F"/>
    <w:rsid w:val="00B94E61"/>
    <w:rsid w:val="00B9508B"/>
    <w:rsid w:val="00B95694"/>
    <w:rsid w:val="00B95B36"/>
    <w:rsid w:val="00B95C6D"/>
    <w:rsid w:val="00B96063"/>
    <w:rsid w:val="00B9628B"/>
    <w:rsid w:val="00B96431"/>
    <w:rsid w:val="00B96480"/>
    <w:rsid w:val="00B96667"/>
    <w:rsid w:val="00B96741"/>
    <w:rsid w:val="00B967D5"/>
    <w:rsid w:val="00B969BD"/>
    <w:rsid w:val="00B96A80"/>
    <w:rsid w:val="00B96BC2"/>
    <w:rsid w:val="00B96D59"/>
    <w:rsid w:val="00B96D5A"/>
    <w:rsid w:val="00BA0979"/>
    <w:rsid w:val="00BA0B2E"/>
    <w:rsid w:val="00BA0CA0"/>
    <w:rsid w:val="00BA1386"/>
    <w:rsid w:val="00BA1596"/>
    <w:rsid w:val="00BA1965"/>
    <w:rsid w:val="00BA1A08"/>
    <w:rsid w:val="00BA2006"/>
    <w:rsid w:val="00BA2114"/>
    <w:rsid w:val="00BA2150"/>
    <w:rsid w:val="00BA32F1"/>
    <w:rsid w:val="00BA3BF0"/>
    <w:rsid w:val="00BA427C"/>
    <w:rsid w:val="00BA444D"/>
    <w:rsid w:val="00BA4BBD"/>
    <w:rsid w:val="00BA4BD4"/>
    <w:rsid w:val="00BA50D1"/>
    <w:rsid w:val="00BA5224"/>
    <w:rsid w:val="00BA59B6"/>
    <w:rsid w:val="00BA5CAE"/>
    <w:rsid w:val="00BA5E32"/>
    <w:rsid w:val="00BA607D"/>
    <w:rsid w:val="00BA6103"/>
    <w:rsid w:val="00BA634C"/>
    <w:rsid w:val="00BA6443"/>
    <w:rsid w:val="00BA6D04"/>
    <w:rsid w:val="00BA6F3B"/>
    <w:rsid w:val="00BA6F62"/>
    <w:rsid w:val="00BA7155"/>
    <w:rsid w:val="00BA7218"/>
    <w:rsid w:val="00BA7358"/>
    <w:rsid w:val="00BA7DB6"/>
    <w:rsid w:val="00BB0035"/>
    <w:rsid w:val="00BB05CB"/>
    <w:rsid w:val="00BB083C"/>
    <w:rsid w:val="00BB08EE"/>
    <w:rsid w:val="00BB11E6"/>
    <w:rsid w:val="00BB1284"/>
    <w:rsid w:val="00BB134C"/>
    <w:rsid w:val="00BB144E"/>
    <w:rsid w:val="00BB15CC"/>
    <w:rsid w:val="00BB1953"/>
    <w:rsid w:val="00BB1E1A"/>
    <w:rsid w:val="00BB206B"/>
    <w:rsid w:val="00BB20DE"/>
    <w:rsid w:val="00BB2176"/>
    <w:rsid w:val="00BB26F0"/>
    <w:rsid w:val="00BB2E57"/>
    <w:rsid w:val="00BB3113"/>
    <w:rsid w:val="00BB3B3F"/>
    <w:rsid w:val="00BB3F05"/>
    <w:rsid w:val="00BB43B6"/>
    <w:rsid w:val="00BB47D2"/>
    <w:rsid w:val="00BB50D2"/>
    <w:rsid w:val="00BB5125"/>
    <w:rsid w:val="00BB5276"/>
    <w:rsid w:val="00BB54E3"/>
    <w:rsid w:val="00BB5C75"/>
    <w:rsid w:val="00BB5D68"/>
    <w:rsid w:val="00BB5D82"/>
    <w:rsid w:val="00BB5FBD"/>
    <w:rsid w:val="00BB60C7"/>
    <w:rsid w:val="00BB60E3"/>
    <w:rsid w:val="00BB61CC"/>
    <w:rsid w:val="00BB62EB"/>
    <w:rsid w:val="00BB6740"/>
    <w:rsid w:val="00BB67EA"/>
    <w:rsid w:val="00BB6AC0"/>
    <w:rsid w:val="00BB70A3"/>
    <w:rsid w:val="00BB7700"/>
    <w:rsid w:val="00BB78E1"/>
    <w:rsid w:val="00BB7E9F"/>
    <w:rsid w:val="00BC0078"/>
    <w:rsid w:val="00BC0B85"/>
    <w:rsid w:val="00BC0D0D"/>
    <w:rsid w:val="00BC120B"/>
    <w:rsid w:val="00BC1502"/>
    <w:rsid w:val="00BC193E"/>
    <w:rsid w:val="00BC1BB4"/>
    <w:rsid w:val="00BC214A"/>
    <w:rsid w:val="00BC2517"/>
    <w:rsid w:val="00BC25C8"/>
    <w:rsid w:val="00BC271D"/>
    <w:rsid w:val="00BC2833"/>
    <w:rsid w:val="00BC2877"/>
    <w:rsid w:val="00BC2A5A"/>
    <w:rsid w:val="00BC2BF6"/>
    <w:rsid w:val="00BC3236"/>
    <w:rsid w:val="00BC35D4"/>
    <w:rsid w:val="00BC3A48"/>
    <w:rsid w:val="00BC3C62"/>
    <w:rsid w:val="00BC4052"/>
    <w:rsid w:val="00BC47C2"/>
    <w:rsid w:val="00BC4855"/>
    <w:rsid w:val="00BC4BBC"/>
    <w:rsid w:val="00BC4C75"/>
    <w:rsid w:val="00BC5542"/>
    <w:rsid w:val="00BC56BD"/>
    <w:rsid w:val="00BC575D"/>
    <w:rsid w:val="00BC59BA"/>
    <w:rsid w:val="00BC5A74"/>
    <w:rsid w:val="00BC5C0E"/>
    <w:rsid w:val="00BC6415"/>
    <w:rsid w:val="00BC64AE"/>
    <w:rsid w:val="00BC6538"/>
    <w:rsid w:val="00BC66C1"/>
    <w:rsid w:val="00BC6853"/>
    <w:rsid w:val="00BC6AD6"/>
    <w:rsid w:val="00BC6C12"/>
    <w:rsid w:val="00BC6C9D"/>
    <w:rsid w:val="00BC6F27"/>
    <w:rsid w:val="00BC6FC8"/>
    <w:rsid w:val="00BC7613"/>
    <w:rsid w:val="00BC7682"/>
    <w:rsid w:val="00BC788E"/>
    <w:rsid w:val="00BC7947"/>
    <w:rsid w:val="00BC7E5B"/>
    <w:rsid w:val="00BD031C"/>
    <w:rsid w:val="00BD0493"/>
    <w:rsid w:val="00BD04AF"/>
    <w:rsid w:val="00BD0635"/>
    <w:rsid w:val="00BD078E"/>
    <w:rsid w:val="00BD0C81"/>
    <w:rsid w:val="00BD17BC"/>
    <w:rsid w:val="00BD17DA"/>
    <w:rsid w:val="00BD1E3C"/>
    <w:rsid w:val="00BD1EEA"/>
    <w:rsid w:val="00BD23D3"/>
    <w:rsid w:val="00BD2A3C"/>
    <w:rsid w:val="00BD2CAD"/>
    <w:rsid w:val="00BD310A"/>
    <w:rsid w:val="00BD3462"/>
    <w:rsid w:val="00BD35FC"/>
    <w:rsid w:val="00BD3628"/>
    <w:rsid w:val="00BD3A54"/>
    <w:rsid w:val="00BD3A93"/>
    <w:rsid w:val="00BD3E22"/>
    <w:rsid w:val="00BD3EDB"/>
    <w:rsid w:val="00BD3F16"/>
    <w:rsid w:val="00BD4169"/>
    <w:rsid w:val="00BD4DA8"/>
    <w:rsid w:val="00BD4F69"/>
    <w:rsid w:val="00BD52D6"/>
    <w:rsid w:val="00BD53D7"/>
    <w:rsid w:val="00BD558E"/>
    <w:rsid w:val="00BD5780"/>
    <w:rsid w:val="00BD585E"/>
    <w:rsid w:val="00BD5917"/>
    <w:rsid w:val="00BD5AB7"/>
    <w:rsid w:val="00BD617C"/>
    <w:rsid w:val="00BD6252"/>
    <w:rsid w:val="00BD63BA"/>
    <w:rsid w:val="00BD65D3"/>
    <w:rsid w:val="00BD678F"/>
    <w:rsid w:val="00BD6C92"/>
    <w:rsid w:val="00BD6E46"/>
    <w:rsid w:val="00BD742D"/>
    <w:rsid w:val="00BD7675"/>
    <w:rsid w:val="00BD7A36"/>
    <w:rsid w:val="00BD7C1B"/>
    <w:rsid w:val="00BD7C1E"/>
    <w:rsid w:val="00BD7C71"/>
    <w:rsid w:val="00BD7D0E"/>
    <w:rsid w:val="00BE028B"/>
    <w:rsid w:val="00BE04EB"/>
    <w:rsid w:val="00BE0F53"/>
    <w:rsid w:val="00BE13D7"/>
    <w:rsid w:val="00BE17C5"/>
    <w:rsid w:val="00BE17DE"/>
    <w:rsid w:val="00BE1AF5"/>
    <w:rsid w:val="00BE1FDD"/>
    <w:rsid w:val="00BE280A"/>
    <w:rsid w:val="00BE2B44"/>
    <w:rsid w:val="00BE2C47"/>
    <w:rsid w:val="00BE2EA1"/>
    <w:rsid w:val="00BE3D4B"/>
    <w:rsid w:val="00BE4D12"/>
    <w:rsid w:val="00BE55B8"/>
    <w:rsid w:val="00BE5B10"/>
    <w:rsid w:val="00BE6594"/>
    <w:rsid w:val="00BE6FA2"/>
    <w:rsid w:val="00BE6FE2"/>
    <w:rsid w:val="00BE7044"/>
    <w:rsid w:val="00BE7726"/>
    <w:rsid w:val="00BE77E4"/>
    <w:rsid w:val="00BE78DC"/>
    <w:rsid w:val="00BE7B49"/>
    <w:rsid w:val="00BF00C5"/>
    <w:rsid w:val="00BF0135"/>
    <w:rsid w:val="00BF0642"/>
    <w:rsid w:val="00BF08F9"/>
    <w:rsid w:val="00BF0D0E"/>
    <w:rsid w:val="00BF103F"/>
    <w:rsid w:val="00BF11A6"/>
    <w:rsid w:val="00BF12DF"/>
    <w:rsid w:val="00BF16DC"/>
    <w:rsid w:val="00BF1750"/>
    <w:rsid w:val="00BF17A3"/>
    <w:rsid w:val="00BF1B8C"/>
    <w:rsid w:val="00BF2060"/>
    <w:rsid w:val="00BF2232"/>
    <w:rsid w:val="00BF2939"/>
    <w:rsid w:val="00BF2D82"/>
    <w:rsid w:val="00BF2EBA"/>
    <w:rsid w:val="00BF2FAA"/>
    <w:rsid w:val="00BF3694"/>
    <w:rsid w:val="00BF392A"/>
    <w:rsid w:val="00BF3A3D"/>
    <w:rsid w:val="00BF3C0A"/>
    <w:rsid w:val="00BF435E"/>
    <w:rsid w:val="00BF458F"/>
    <w:rsid w:val="00BF4763"/>
    <w:rsid w:val="00BF484E"/>
    <w:rsid w:val="00BF48F9"/>
    <w:rsid w:val="00BF5158"/>
    <w:rsid w:val="00BF516D"/>
    <w:rsid w:val="00BF5782"/>
    <w:rsid w:val="00BF5790"/>
    <w:rsid w:val="00BF5E49"/>
    <w:rsid w:val="00BF5F54"/>
    <w:rsid w:val="00BF6360"/>
    <w:rsid w:val="00BF64E5"/>
    <w:rsid w:val="00BF67D4"/>
    <w:rsid w:val="00BF6B41"/>
    <w:rsid w:val="00BF709C"/>
    <w:rsid w:val="00BF74B9"/>
    <w:rsid w:val="00BF7586"/>
    <w:rsid w:val="00BF76C2"/>
    <w:rsid w:val="00BF788E"/>
    <w:rsid w:val="00BF7996"/>
    <w:rsid w:val="00BF7BE6"/>
    <w:rsid w:val="00BF7EBC"/>
    <w:rsid w:val="00C0010B"/>
    <w:rsid w:val="00C0018C"/>
    <w:rsid w:val="00C00695"/>
    <w:rsid w:val="00C007BE"/>
    <w:rsid w:val="00C00AAE"/>
    <w:rsid w:val="00C00E42"/>
    <w:rsid w:val="00C01203"/>
    <w:rsid w:val="00C01361"/>
    <w:rsid w:val="00C015F7"/>
    <w:rsid w:val="00C01804"/>
    <w:rsid w:val="00C01870"/>
    <w:rsid w:val="00C01EE5"/>
    <w:rsid w:val="00C02388"/>
    <w:rsid w:val="00C0294A"/>
    <w:rsid w:val="00C02BC8"/>
    <w:rsid w:val="00C03084"/>
    <w:rsid w:val="00C03302"/>
    <w:rsid w:val="00C0331F"/>
    <w:rsid w:val="00C03342"/>
    <w:rsid w:val="00C042A2"/>
    <w:rsid w:val="00C0444E"/>
    <w:rsid w:val="00C04649"/>
    <w:rsid w:val="00C04986"/>
    <w:rsid w:val="00C04B38"/>
    <w:rsid w:val="00C04DD2"/>
    <w:rsid w:val="00C04EBD"/>
    <w:rsid w:val="00C05465"/>
    <w:rsid w:val="00C0570C"/>
    <w:rsid w:val="00C0571A"/>
    <w:rsid w:val="00C05787"/>
    <w:rsid w:val="00C06101"/>
    <w:rsid w:val="00C065F7"/>
    <w:rsid w:val="00C06D7B"/>
    <w:rsid w:val="00C06DF0"/>
    <w:rsid w:val="00C075E0"/>
    <w:rsid w:val="00C07820"/>
    <w:rsid w:val="00C07CE0"/>
    <w:rsid w:val="00C07DC9"/>
    <w:rsid w:val="00C07F03"/>
    <w:rsid w:val="00C10562"/>
    <w:rsid w:val="00C1084D"/>
    <w:rsid w:val="00C10B7B"/>
    <w:rsid w:val="00C10D82"/>
    <w:rsid w:val="00C11048"/>
    <w:rsid w:val="00C111AD"/>
    <w:rsid w:val="00C11A67"/>
    <w:rsid w:val="00C1207C"/>
    <w:rsid w:val="00C1247E"/>
    <w:rsid w:val="00C12566"/>
    <w:rsid w:val="00C12827"/>
    <w:rsid w:val="00C12889"/>
    <w:rsid w:val="00C12AF0"/>
    <w:rsid w:val="00C12E6A"/>
    <w:rsid w:val="00C13342"/>
    <w:rsid w:val="00C13C5C"/>
    <w:rsid w:val="00C13F2F"/>
    <w:rsid w:val="00C13FCF"/>
    <w:rsid w:val="00C140EE"/>
    <w:rsid w:val="00C145E0"/>
    <w:rsid w:val="00C146D9"/>
    <w:rsid w:val="00C147D4"/>
    <w:rsid w:val="00C14EE6"/>
    <w:rsid w:val="00C15606"/>
    <w:rsid w:val="00C158DC"/>
    <w:rsid w:val="00C15A89"/>
    <w:rsid w:val="00C15B93"/>
    <w:rsid w:val="00C15DAB"/>
    <w:rsid w:val="00C15E3F"/>
    <w:rsid w:val="00C16461"/>
    <w:rsid w:val="00C165BF"/>
    <w:rsid w:val="00C16635"/>
    <w:rsid w:val="00C16EC3"/>
    <w:rsid w:val="00C17109"/>
    <w:rsid w:val="00C17377"/>
    <w:rsid w:val="00C17EED"/>
    <w:rsid w:val="00C2003E"/>
    <w:rsid w:val="00C20042"/>
    <w:rsid w:val="00C203E6"/>
    <w:rsid w:val="00C20626"/>
    <w:rsid w:val="00C20785"/>
    <w:rsid w:val="00C209A5"/>
    <w:rsid w:val="00C20E6C"/>
    <w:rsid w:val="00C213AE"/>
    <w:rsid w:val="00C21899"/>
    <w:rsid w:val="00C21C0F"/>
    <w:rsid w:val="00C2244E"/>
    <w:rsid w:val="00C22553"/>
    <w:rsid w:val="00C227E0"/>
    <w:rsid w:val="00C22AD9"/>
    <w:rsid w:val="00C22BB7"/>
    <w:rsid w:val="00C22C2D"/>
    <w:rsid w:val="00C22E9B"/>
    <w:rsid w:val="00C22EDA"/>
    <w:rsid w:val="00C23226"/>
    <w:rsid w:val="00C232E2"/>
    <w:rsid w:val="00C236F2"/>
    <w:rsid w:val="00C23B76"/>
    <w:rsid w:val="00C23E7A"/>
    <w:rsid w:val="00C23FF0"/>
    <w:rsid w:val="00C2400D"/>
    <w:rsid w:val="00C2463F"/>
    <w:rsid w:val="00C248F2"/>
    <w:rsid w:val="00C24C43"/>
    <w:rsid w:val="00C24F23"/>
    <w:rsid w:val="00C24F50"/>
    <w:rsid w:val="00C25218"/>
    <w:rsid w:val="00C252A5"/>
    <w:rsid w:val="00C25436"/>
    <w:rsid w:val="00C255D6"/>
    <w:rsid w:val="00C25D34"/>
    <w:rsid w:val="00C25E8C"/>
    <w:rsid w:val="00C2614A"/>
    <w:rsid w:val="00C2616F"/>
    <w:rsid w:val="00C265B0"/>
    <w:rsid w:val="00C266A7"/>
    <w:rsid w:val="00C26E92"/>
    <w:rsid w:val="00C26FAA"/>
    <w:rsid w:val="00C27256"/>
    <w:rsid w:val="00C274B2"/>
    <w:rsid w:val="00C275AA"/>
    <w:rsid w:val="00C277B5"/>
    <w:rsid w:val="00C27849"/>
    <w:rsid w:val="00C27D7E"/>
    <w:rsid w:val="00C301A5"/>
    <w:rsid w:val="00C30500"/>
    <w:rsid w:val="00C3073B"/>
    <w:rsid w:val="00C30793"/>
    <w:rsid w:val="00C3081E"/>
    <w:rsid w:val="00C30AED"/>
    <w:rsid w:val="00C30C46"/>
    <w:rsid w:val="00C31495"/>
    <w:rsid w:val="00C31B4F"/>
    <w:rsid w:val="00C31BDC"/>
    <w:rsid w:val="00C31FD0"/>
    <w:rsid w:val="00C320CF"/>
    <w:rsid w:val="00C322DA"/>
    <w:rsid w:val="00C325AD"/>
    <w:rsid w:val="00C328E7"/>
    <w:rsid w:val="00C32ABD"/>
    <w:rsid w:val="00C32C50"/>
    <w:rsid w:val="00C32DA9"/>
    <w:rsid w:val="00C32E29"/>
    <w:rsid w:val="00C33040"/>
    <w:rsid w:val="00C33253"/>
    <w:rsid w:val="00C333C7"/>
    <w:rsid w:val="00C33579"/>
    <w:rsid w:val="00C3377F"/>
    <w:rsid w:val="00C33D7C"/>
    <w:rsid w:val="00C33F61"/>
    <w:rsid w:val="00C34102"/>
    <w:rsid w:val="00C341FE"/>
    <w:rsid w:val="00C3422A"/>
    <w:rsid w:val="00C34295"/>
    <w:rsid w:val="00C3453E"/>
    <w:rsid w:val="00C34659"/>
    <w:rsid w:val="00C34877"/>
    <w:rsid w:val="00C3491F"/>
    <w:rsid w:val="00C3587A"/>
    <w:rsid w:val="00C358E7"/>
    <w:rsid w:val="00C35BE0"/>
    <w:rsid w:val="00C35DE9"/>
    <w:rsid w:val="00C35E9E"/>
    <w:rsid w:val="00C3603B"/>
    <w:rsid w:val="00C36643"/>
    <w:rsid w:val="00C369EE"/>
    <w:rsid w:val="00C36A6C"/>
    <w:rsid w:val="00C36ADD"/>
    <w:rsid w:val="00C36C12"/>
    <w:rsid w:val="00C36E29"/>
    <w:rsid w:val="00C373F2"/>
    <w:rsid w:val="00C37628"/>
    <w:rsid w:val="00C37778"/>
    <w:rsid w:val="00C37855"/>
    <w:rsid w:val="00C378BA"/>
    <w:rsid w:val="00C3793F"/>
    <w:rsid w:val="00C37DCD"/>
    <w:rsid w:val="00C37DE4"/>
    <w:rsid w:val="00C401C4"/>
    <w:rsid w:val="00C402A0"/>
    <w:rsid w:val="00C404BA"/>
    <w:rsid w:val="00C405DF"/>
    <w:rsid w:val="00C405E3"/>
    <w:rsid w:val="00C406B4"/>
    <w:rsid w:val="00C40BBB"/>
    <w:rsid w:val="00C410F0"/>
    <w:rsid w:val="00C41485"/>
    <w:rsid w:val="00C41609"/>
    <w:rsid w:val="00C41D14"/>
    <w:rsid w:val="00C41D5C"/>
    <w:rsid w:val="00C41FB7"/>
    <w:rsid w:val="00C4255A"/>
    <w:rsid w:val="00C4287C"/>
    <w:rsid w:val="00C42B45"/>
    <w:rsid w:val="00C42DC1"/>
    <w:rsid w:val="00C42F48"/>
    <w:rsid w:val="00C42FD8"/>
    <w:rsid w:val="00C42FF8"/>
    <w:rsid w:val="00C43299"/>
    <w:rsid w:val="00C43CDD"/>
    <w:rsid w:val="00C43F48"/>
    <w:rsid w:val="00C44038"/>
    <w:rsid w:val="00C44229"/>
    <w:rsid w:val="00C44234"/>
    <w:rsid w:val="00C4452E"/>
    <w:rsid w:val="00C447F8"/>
    <w:rsid w:val="00C44AF5"/>
    <w:rsid w:val="00C44ED7"/>
    <w:rsid w:val="00C450FB"/>
    <w:rsid w:val="00C4524C"/>
    <w:rsid w:val="00C4553F"/>
    <w:rsid w:val="00C4563B"/>
    <w:rsid w:val="00C45711"/>
    <w:rsid w:val="00C45945"/>
    <w:rsid w:val="00C46001"/>
    <w:rsid w:val="00C46E08"/>
    <w:rsid w:val="00C477D3"/>
    <w:rsid w:val="00C4780D"/>
    <w:rsid w:val="00C479E5"/>
    <w:rsid w:val="00C47ACC"/>
    <w:rsid w:val="00C47B49"/>
    <w:rsid w:val="00C47DA9"/>
    <w:rsid w:val="00C50BF9"/>
    <w:rsid w:val="00C50D7B"/>
    <w:rsid w:val="00C50FC2"/>
    <w:rsid w:val="00C5120A"/>
    <w:rsid w:val="00C51291"/>
    <w:rsid w:val="00C51338"/>
    <w:rsid w:val="00C5150A"/>
    <w:rsid w:val="00C515DA"/>
    <w:rsid w:val="00C51D88"/>
    <w:rsid w:val="00C5225B"/>
    <w:rsid w:val="00C52342"/>
    <w:rsid w:val="00C52667"/>
    <w:rsid w:val="00C52780"/>
    <w:rsid w:val="00C52BCF"/>
    <w:rsid w:val="00C53C8F"/>
    <w:rsid w:val="00C5491F"/>
    <w:rsid w:val="00C54C0B"/>
    <w:rsid w:val="00C54CB2"/>
    <w:rsid w:val="00C55390"/>
    <w:rsid w:val="00C55447"/>
    <w:rsid w:val="00C55585"/>
    <w:rsid w:val="00C55829"/>
    <w:rsid w:val="00C55C9A"/>
    <w:rsid w:val="00C5605B"/>
    <w:rsid w:val="00C5612B"/>
    <w:rsid w:val="00C56136"/>
    <w:rsid w:val="00C56247"/>
    <w:rsid w:val="00C5627C"/>
    <w:rsid w:val="00C56302"/>
    <w:rsid w:val="00C5660B"/>
    <w:rsid w:val="00C56A86"/>
    <w:rsid w:val="00C56E15"/>
    <w:rsid w:val="00C571E0"/>
    <w:rsid w:val="00C5779D"/>
    <w:rsid w:val="00C578A5"/>
    <w:rsid w:val="00C579CE"/>
    <w:rsid w:val="00C60068"/>
    <w:rsid w:val="00C603C3"/>
    <w:rsid w:val="00C604CE"/>
    <w:rsid w:val="00C60616"/>
    <w:rsid w:val="00C606BB"/>
    <w:rsid w:val="00C6077C"/>
    <w:rsid w:val="00C61125"/>
    <w:rsid w:val="00C61290"/>
    <w:rsid w:val="00C612AF"/>
    <w:rsid w:val="00C61317"/>
    <w:rsid w:val="00C6148D"/>
    <w:rsid w:val="00C617D9"/>
    <w:rsid w:val="00C61C69"/>
    <w:rsid w:val="00C6203C"/>
    <w:rsid w:val="00C6212F"/>
    <w:rsid w:val="00C6223E"/>
    <w:rsid w:val="00C62323"/>
    <w:rsid w:val="00C62506"/>
    <w:rsid w:val="00C625F2"/>
    <w:rsid w:val="00C6269F"/>
    <w:rsid w:val="00C62828"/>
    <w:rsid w:val="00C62AE0"/>
    <w:rsid w:val="00C62D24"/>
    <w:rsid w:val="00C62D49"/>
    <w:rsid w:val="00C62F6B"/>
    <w:rsid w:val="00C62FD5"/>
    <w:rsid w:val="00C6344C"/>
    <w:rsid w:val="00C63506"/>
    <w:rsid w:val="00C63891"/>
    <w:rsid w:val="00C63B7C"/>
    <w:rsid w:val="00C63BD1"/>
    <w:rsid w:val="00C64260"/>
    <w:rsid w:val="00C6458A"/>
    <w:rsid w:val="00C64681"/>
    <w:rsid w:val="00C6470E"/>
    <w:rsid w:val="00C64AD4"/>
    <w:rsid w:val="00C64AD6"/>
    <w:rsid w:val="00C65371"/>
    <w:rsid w:val="00C653B9"/>
    <w:rsid w:val="00C6541E"/>
    <w:rsid w:val="00C65474"/>
    <w:rsid w:val="00C6575B"/>
    <w:rsid w:val="00C65B1F"/>
    <w:rsid w:val="00C65BD3"/>
    <w:rsid w:val="00C65DF1"/>
    <w:rsid w:val="00C6652C"/>
    <w:rsid w:val="00C66705"/>
    <w:rsid w:val="00C6683F"/>
    <w:rsid w:val="00C6692C"/>
    <w:rsid w:val="00C67040"/>
    <w:rsid w:val="00C675C8"/>
    <w:rsid w:val="00C67B0F"/>
    <w:rsid w:val="00C67B9B"/>
    <w:rsid w:val="00C67BBA"/>
    <w:rsid w:val="00C67C7B"/>
    <w:rsid w:val="00C67CCB"/>
    <w:rsid w:val="00C70148"/>
    <w:rsid w:val="00C702AC"/>
    <w:rsid w:val="00C703C3"/>
    <w:rsid w:val="00C70459"/>
    <w:rsid w:val="00C7051E"/>
    <w:rsid w:val="00C7059F"/>
    <w:rsid w:val="00C70698"/>
    <w:rsid w:val="00C7085D"/>
    <w:rsid w:val="00C70FBD"/>
    <w:rsid w:val="00C71082"/>
    <w:rsid w:val="00C71225"/>
    <w:rsid w:val="00C71465"/>
    <w:rsid w:val="00C71C37"/>
    <w:rsid w:val="00C71FA9"/>
    <w:rsid w:val="00C72180"/>
    <w:rsid w:val="00C721CF"/>
    <w:rsid w:val="00C7292C"/>
    <w:rsid w:val="00C72963"/>
    <w:rsid w:val="00C729B5"/>
    <w:rsid w:val="00C72B63"/>
    <w:rsid w:val="00C72CEC"/>
    <w:rsid w:val="00C72F2C"/>
    <w:rsid w:val="00C72FEC"/>
    <w:rsid w:val="00C73423"/>
    <w:rsid w:val="00C735B7"/>
    <w:rsid w:val="00C73627"/>
    <w:rsid w:val="00C73C33"/>
    <w:rsid w:val="00C73E5D"/>
    <w:rsid w:val="00C742E7"/>
    <w:rsid w:val="00C74338"/>
    <w:rsid w:val="00C75058"/>
    <w:rsid w:val="00C75410"/>
    <w:rsid w:val="00C7554F"/>
    <w:rsid w:val="00C75A7C"/>
    <w:rsid w:val="00C75BCA"/>
    <w:rsid w:val="00C75CE3"/>
    <w:rsid w:val="00C76329"/>
    <w:rsid w:val="00C763C8"/>
    <w:rsid w:val="00C76777"/>
    <w:rsid w:val="00C76901"/>
    <w:rsid w:val="00C76969"/>
    <w:rsid w:val="00C76E6F"/>
    <w:rsid w:val="00C77401"/>
    <w:rsid w:val="00C7744E"/>
    <w:rsid w:val="00C777E0"/>
    <w:rsid w:val="00C77836"/>
    <w:rsid w:val="00C77C30"/>
    <w:rsid w:val="00C801B8"/>
    <w:rsid w:val="00C80478"/>
    <w:rsid w:val="00C804D6"/>
    <w:rsid w:val="00C80675"/>
    <w:rsid w:val="00C80696"/>
    <w:rsid w:val="00C8090D"/>
    <w:rsid w:val="00C80C63"/>
    <w:rsid w:val="00C80C78"/>
    <w:rsid w:val="00C80DAF"/>
    <w:rsid w:val="00C81115"/>
    <w:rsid w:val="00C816A1"/>
    <w:rsid w:val="00C8171C"/>
    <w:rsid w:val="00C819A7"/>
    <w:rsid w:val="00C81DF9"/>
    <w:rsid w:val="00C81EC8"/>
    <w:rsid w:val="00C821D2"/>
    <w:rsid w:val="00C82958"/>
    <w:rsid w:val="00C82A6B"/>
    <w:rsid w:val="00C82C08"/>
    <w:rsid w:val="00C82D8D"/>
    <w:rsid w:val="00C82DDC"/>
    <w:rsid w:val="00C83518"/>
    <w:rsid w:val="00C83547"/>
    <w:rsid w:val="00C83837"/>
    <w:rsid w:val="00C83BC6"/>
    <w:rsid w:val="00C84154"/>
    <w:rsid w:val="00C84705"/>
    <w:rsid w:val="00C84837"/>
    <w:rsid w:val="00C84B15"/>
    <w:rsid w:val="00C85253"/>
    <w:rsid w:val="00C857AA"/>
    <w:rsid w:val="00C8599B"/>
    <w:rsid w:val="00C85F07"/>
    <w:rsid w:val="00C86117"/>
    <w:rsid w:val="00C86182"/>
    <w:rsid w:val="00C862F5"/>
    <w:rsid w:val="00C86B4E"/>
    <w:rsid w:val="00C87088"/>
    <w:rsid w:val="00C875F1"/>
    <w:rsid w:val="00C8761F"/>
    <w:rsid w:val="00C878DB"/>
    <w:rsid w:val="00C87E3A"/>
    <w:rsid w:val="00C87EA0"/>
    <w:rsid w:val="00C90075"/>
    <w:rsid w:val="00C900EE"/>
    <w:rsid w:val="00C908D5"/>
    <w:rsid w:val="00C909B0"/>
    <w:rsid w:val="00C913B7"/>
    <w:rsid w:val="00C9147A"/>
    <w:rsid w:val="00C9148D"/>
    <w:rsid w:val="00C917B8"/>
    <w:rsid w:val="00C91910"/>
    <w:rsid w:val="00C91999"/>
    <w:rsid w:val="00C9249E"/>
    <w:rsid w:val="00C92545"/>
    <w:rsid w:val="00C92851"/>
    <w:rsid w:val="00C92CD9"/>
    <w:rsid w:val="00C92D6F"/>
    <w:rsid w:val="00C92E0C"/>
    <w:rsid w:val="00C93017"/>
    <w:rsid w:val="00C93052"/>
    <w:rsid w:val="00C930F1"/>
    <w:rsid w:val="00C93327"/>
    <w:rsid w:val="00C93562"/>
    <w:rsid w:val="00C9383B"/>
    <w:rsid w:val="00C93911"/>
    <w:rsid w:val="00C939B8"/>
    <w:rsid w:val="00C93CC8"/>
    <w:rsid w:val="00C93F1B"/>
    <w:rsid w:val="00C94429"/>
    <w:rsid w:val="00C944D4"/>
    <w:rsid w:val="00C948C5"/>
    <w:rsid w:val="00C94A80"/>
    <w:rsid w:val="00C94DD4"/>
    <w:rsid w:val="00C94EB3"/>
    <w:rsid w:val="00C94F4B"/>
    <w:rsid w:val="00C95477"/>
    <w:rsid w:val="00C95518"/>
    <w:rsid w:val="00C95610"/>
    <w:rsid w:val="00C95E61"/>
    <w:rsid w:val="00C95E83"/>
    <w:rsid w:val="00C9685A"/>
    <w:rsid w:val="00C96A2A"/>
    <w:rsid w:val="00C96CC3"/>
    <w:rsid w:val="00C96E7F"/>
    <w:rsid w:val="00C97192"/>
    <w:rsid w:val="00CA0058"/>
    <w:rsid w:val="00CA012B"/>
    <w:rsid w:val="00CA023F"/>
    <w:rsid w:val="00CA03A7"/>
    <w:rsid w:val="00CA0426"/>
    <w:rsid w:val="00CA0456"/>
    <w:rsid w:val="00CA0489"/>
    <w:rsid w:val="00CA070B"/>
    <w:rsid w:val="00CA0943"/>
    <w:rsid w:val="00CA0C64"/>
    <w:rsid w:val="00CA124E"/>
    <w:rsid w:val="00CA12CC"/>
    <w:rsid w:val="00CA12DE"/>
    <w:rsid w:val="00CA23B7"/>
    <w:rsid w:val="00CA2671"/>
    <w:rsid w:val="00CA2898"/>
    <w:rsid w:val="00CA2987"/>
    <w:rsid w:val="00CA2EC6"/>
    <w:rsid w:val="00CA2F50"/>
    <w:rsid w:val="00CA2FDE"/>
    <w:rsid w:val="00CA303A"/>
    <w:rsid w:val="00CA328B"/>
    <w:rsid w:val="00CA3318"/>
    <w:rsid w:val="00CA363A"/>
    <w:rsid w:val="00CA385D"/>
    <w:rsid w:val="00CA3A2F"/>
    <w:rsid w:val="00CA3EC4"/>
    <w:rsid w:val="00CA4351"/>
    <w:rsid w:val="00CA4574"/>
    <w:rsid w:val="00CA4854"/>
    <w:rsid w:val="00CA48A8"/>
    <w:rsid w:val="00CA4D7A"/>
    <w:rsid w:val="00CA500F"/>
    <w:rsid w:val="00CA54B9"/>
    <w:rsid w:val="00CA55D0"/>
    <w:rsid w:val="00CA56E1"/>
    <w:rsid w:val="00CA56E4"/>
    <w:rsid w:val="00CA57C8"/>
    <w:rsid w:val="00CA57F3"/>
    <w:rsid w:val="00CA5A3E"/>
    <w:rsid w:val="00CA5DB2"/>
    <w:rsid w:val="00CA5E61"/>
    <w:rsid w:val="00CA663D"/>
    <w:rsid w:val="00CA6B0A"/>
    <w:rsid w:val="00CA716C"/>
    <w:rsid w:val="00CA7A56"/>
    <w:rsid w:val="00CB0029"/>
    <w:rsid w:val="00CB0686"/>
    <w:rsid w:val="00CB069C"/>
    <w:rsid w:val="00CB0BD6"/>
    <w:rsid w:val="00CB1133"/>
    <w:rsid w:val="00CB116B"/>
    <w:rsid w:val="00CB13AF"/>
    <w:rsid w:val="00CB1BBC"/>
    <w:rsid w:val="00CB2209"/>
    <w:rsid w:val="00CB2396"/>
    <w:rsid w:val="00CB29F7"/>
    <w:rsid w:val="00CB34A2"/>
    <w:rsid w:val="00CB38D9"/>
    <w:rsid w:val="00CB3C0B"/>
    <w:rsid w:val="00CB3DF5"/>
    <w:rsid w:val="00CB3E6F"/>
    <w:rsid w:val="00CB3FE0"/>
    <w:rsid w:val="00CB42F6"/>
    <w:rsid w:val="00CB45E4"/>
    <w:rsid w:val="00CB4844"/>
    <w:rsid w:val="00CB493C"/>
    <w:rsid w:val="00CB49CE"/>
    <w:rsid w:val="00CB4A13"/>
    <w:rsid w:val="00CB4E4D"/>
    <w:rsid w:val="00CB4F84"/>
    <w:rsid w:val="00CB5147"/>
    <w:rsid w:val="00CB546C"/>
    <w:rsid w:val="00CB5768"/>
    <w:rsid w:val="00CB5B13"/>
    <w:rsid w:val="00CB5CC1"/>
    <w:rsid w:val="00CB60E2"/>
    <w:rsid w:val="00CB64F9"/>
    <w:rsid w:val="00CB6600"/>
    <w:rsid w:val="00CB66E0"/>
    <w:rsid w:val="00CB672E"/>
    <w:rsid w:val="00CB6858"/>
    <w:rsid w:val="00CB6876"/>
    <w:rsid w:val="00CB6C61"/>
    <w:rsid w:val="00CB6E08"/>
    <w:rsid w:val="00CB6F96"/>
    <w:rsid w:val="00CB711D"/>
    <w:rsid w:val="00CB71D6"/>
    <w:rsid w:val="00CB741D"/>
    <w:rsid w:val="00CB75D2"/>
    <w:rsid w:val="00CB7986"/>
    <w:rsid w:val="00CB7E4A"/>
    <w:rsid w:val="00CB7F9A"/>
    <w:rsid w:val="00CC03CA"/>
    <w:rsid w:val="00CC0CAF"/>
    <w:rsid w:val="00CC0D43"/>
    <w:rsid w:val="00CC1461"/>
    <w:rsid w:val="00CC1657"/>
    <w:rsid w:val="00CC1836"/>
    <w:rsid w:val="00CC1A01"/>
    <w:rsid w:val="00CC1BDE"/>
    <w:rsid w:val="00CC1ED2"/>
    <w:rsid w:val="00CC209F"/>
    <w:rsid w:val="00CC2164"/>
    <w:rsid w:val="00CC2519"/>
    <w:rsid w:val="00CC30C8"/>
    <w:rsid w:val="00CC329B"/>
    <w:rsid w:val="00CC355B"/>
    <w:rsid w:val="00CC357D"/>
    <w:rsid w:val="00CC39DB"/>
    <w:rsid w:val="00CC3FA6"/>
    <w:rsid w:val="00CC4055"/>
    <w:rsid w:val="00CC41CE"/>
    <w:rsid w:val="00CC43BA"/>
    <w:rsid w:val="00CC46CB"/>
    <w:rsid w:val="00CC47E9"/>
    <w:rsid w:val="00CC4927"/>
    <w:rsid w:val="00CC4A73"/>
    <w:rsid w:val="00CC52A3"/>
    <w:rsid w:val="00CC5302"/>
    <w:rsid w:val="00CC5477"/>
    <w:rsid w:val="00CC5478"/>
    <w:rsid w:val="00CC54BD"/>
    <w:rsid w:val="00CC5806"/>
    <w:rsid w:val="00CC582B"/>
    <w:rsid w:val="00CC5901"/>
    <w:rsid w:val="00CC5BA1"/>
    <w:rsid w:val="00CC5ED8"/>
    <w:rsid w:val="00CC5F38"/>
    <w:rsid w:val="00CC6083"/>
    <w:rsid w:val="00CC6491"/>
    <w:rsid w:val="00CC6608"/>
    <w:rsid w:val="00CC667E"/>
    <w:rsid w:val="00CC68CE"/>
    <w:rsid w:val="00CC6ABD"/>
    <w:rsid w:val="00CC76A3"/>
    <w:rsid w:val="00CC7CD2"/>
    <w:rsid w:val="00CC7CF1"/>
    <w:rsid w:val="00CC7DE7"/>
    <w:rsid w:val="00CD0170"/>
    <w:rsid w:val="00CD05F7"/>
    <w:rsid w:val="00CD08C9"/>
    <w:rsid w:val="00CD0BE0"/>
    <w:rsid w:val="00CD1314"/>
    <w:rsid w:val="00CD1486"/>
    <w:rsid w:val="00CD16FA"/>
    <w:rsid w:val="00CD191D"/>
    <w:rsid w:val="00CD1CC2"/>
    <w:rsid w:val="00CD2189"/>
    <w:rsid w:val="00CD218F"/>
    <w:rsid w:val="00CD235E"/>
    <w:rsid w:val="00CD2D42"/>
    <w:rsid w:val="00CD326F"/>
    <w:rsid w:val="00CD3440"/>
    <w:rsid w:val="00CD351B"/>
    <w:rsid w:val="00CD3621"/>
    <w:rsid w:val="00CD3695"/>
    <w:rsid w:val="00CD3998"/>
    <w:rsid w:val="00CD3D4C"/>
    <w:rsid w:val="00CD412D"/>
    <w:rsid w:val="00CD4619"/>
    <w:rsid w:val="00CD47B2"/>
    <w:rsid w:val="00CD4A4B"/>
    <w:rsid w:val="00CD538A"/>
    <w:rsid w:val="00CD5612"/>
    <w:rsid w:val="00CD57FF"/>
    <w:rsid w:val="00CD596D"/>
    <w:rsid w:val="00CD5D6C"/>
    <w:rsid w:val="00CD63BD"/>
    <w:rsid w:val="00CD6479"/>
    <w:rsid w:val="00CD6567"/>
    <w:rsid w:val="00CD65F6"/>
    <w:rsid w:val="00CD69BA"/>
    <w:rsid w:val="00CD701A"/>
    <w:rsid w:val="00CD71E5"/>
    <w:rsid w:val="00CD75F5"/>
    <w:rsid w:val="00CD767C"/>
    <w:rsid w:val="00CD7740"/>
    <w:rsid w:val="00CD7A26"/>
    <w:rsid w:val="00CD7A77"/>
    <w:rsid w:val="00CD7AE9"/>
    <w:rsid w:val="00CE010B"/>
    <w:rsid w:val="00CE04C5"/>
    <w:rsid w:val="00CE0A8C"/>
    <w:rsid w:val="00CE0BA1"/>
    <w:rsid w:val="00CE0EEC"/>
    <w:rsid w:val="00CE15D1"/>
    <w:rsid w:val="00CE16DD"/>
    <w:rsid w:val="00CE19E3"/>
    <w:rsid w:val="00CE1A3E"/>
    <w:rsid w:val="00CE1FD6"/>
    <w:rsid w:val="00CE24B9"/>
    <w:rsid w:val="00CE2AEC"/>
    <w:rsid w:val="00CE2D03"/>
    <w:rsid w:val="00CE3004"/>
    <w:rsid w:val="00CE326C"/>
    <w:rsid w:val="00CE36D4"/>
    <w:rsid w:val="00CE3833"/>
    <w:rsid w:val="00CE383D"/>
    <w:rsid w:val="00CE3B34"/>
    <w:rsid w:val="00CE449A"/>
    <w:rsid w:val="00CE48CE"/>
    <w:rsid w:val="00CE4BAA"/>
    <w:rsid w:val="00CE4D25"/>
    <w:rsid w:val="00CE4FCD"/>
    <w:rsid w:val="00CE51B5"/>
    <w:rsid w:val="00CE591A"/>
    <w:rsid w:val="00CE595B"/>
    <w:rsid w:val="00CE5C39"/>
    <w:rsid w:val="00CE63B0"/>
    <w:rsid w:val="00CE69A7"/>
    <w:rsid w:val="00CE7269"/>
    <w:rsid w:val="00CE73AB"/>
    <w:rsid w:val="00CE7415"/>
    <w:rsid w:val="00CE77D5"/>
    <w:rsid w:val="00CE7FC4"/>
    <w:rsid w:val="00CF00EC"/>
    <w:rsid w:val="00CF0283"/>
    <w:rsid w:val="00CF0720"/>
    <w:rsid w:val="00CF0764"/>
    <w:rsid w:val="00CF0A5C"/>
    <w:rsid w:val="00CF0AC7"/>
    <w:rsid w:val="00CF0B0F"/>
    <w:rsid w:val="00CF0CF6"/>
    <w:rsid w:val="00CF0D72"/>
    <w:rsid w:val="00CF0E8B"/>
    <w:rsid w:val="00CF11AB"/>
    <w:rsid w:val="00CF1880"/>
    <w:rsid w:val="00CF1A56"/>
    <w:rsid w:val="00CF24B5"/>
    <w:rsid w:val="00CF2589"/>
    <w:rsid w:val="00CF2BE9"/>
    <w:rsid w:val="00CF3034"/>
    <w:rsid w:val="00CF31FA"/>
    <w:rsid w:val="00CF3425"/>
    <w:rsid w:val="00CF3711"/>
    <w:rsid w:val="00CF3BBE"/>
    <w:rsid w:val="00CF3DA0"/>
    <w:rsid w:val="00CF3F20"/>
    <w:rsid w:val="00CF431B"/>
    <w:rsid w:val="00CF4750"/>
    <w:rsid w:val="00CF4780"/>
    <w:rsid w:val="00CF4796"/>
    <w:rsid w:val="00CF4B78"/>
    <w:rsid w:val="00CF4CAB"/>
    <w:rsid w:val="00CF4D1E"/>
    <w:rsid w:val="00CF5143"/>
    <w:rsid w:val="00CF54DB"/>
    <w:rsid w:val="00CF55BD"/>
    <w:rsid w:val="00CF5622"/>
    <w:rsid w:val="00CF5635"/>
    <w:rsid w:val="00CF5B44"/>
    <w:rsid w:val="00CF5BAB"/>
    <w:rsid w:val="00CF5D7A"/>
    <w:rsid w:val="00CF6AFD"/>
    <w:rsid w:val="00CF6B44"/>
    <w:rsid w:val="00CF6BC4"/>
    <w:rsid w:val="00CF6CF3"/>
    <w:rsid w:val="00CF73CB"/>
    <w:rsid w:val="00CF7504"/>
    <w:rsid w:val="00CF78F8"/>
    <w:rsid w:val="00CF7C2F"/>
    <w:rsid w:val="00CF7C48"/>
    <w:rsid w:val="00D00167"/>
    <w:rsid w:val="00D00292"/>
    <w:rsid w:val="00D005D2"/>
    <w:rsid w:val="00D007B4"/>
    <w:rsid w:val="00D009CF"/>
    <w:rsid w:val="00D01077"/>
    <w:rsid w:val="00D011F5"/>
    <w:rsid w:val="00D0130A"/>
    <w:rsid w:val="00D014C4"/>
    <w:rsid w:val="00D01638"/>
    <w:rsid w:val="00D01828"/>
    <w:rsid w:val="00D01A4E"/>
    <w:rsid w:val="00D01BC8"/>
    <w:rsid w:val="00D01CBD"/>
    <w:rsid w:val="00D01E69"/>
    <w:rsid w:val="00D02259"/>
    <w:rsid w:val="00D022B7"/>
    <w:rsid w:val="00D025E4"/>
    <w:rsid w:val="00D027BD"/>
    <w:rsid w:val="00D028AA"/>
    <w:rsid w:val="00D03308"/>
    <w:rsid w:val="00D03483"/>
    <w:rsid w:val="00D035F2"/>
    <w:rsid w:val="00D03671"/>
    <w:rsid w:val="00D03723"/>
    <w:rsid w:val="00D03A7B"/>
    <w:rsid w:val="00D0434D"/>
    <w:rsid w:val="00D04599"/>
    <w:rsid w:val="00D04E4F"/>
    <w:rsid w:val="00D05486"/>
    <w:rsid w:val="00D0592D"/>
    <w:rsid w:val="00D05F26"/>
    <w:rsid w:val="00D060DD"/>
    <w:rsid w:val="00D06214"/>
    <w:rsid w:val="00D066C5"/>
    <w:rsid w:val="00D06A55"/>
    <w:rsid w:val="00D06F3D"/>
    <w:rsid w:val="00D07041"/>
    <w:rsid w:val="00D071B2"/>
    <w:rsid w:val="00D07598"/>
    <w:rsid w:val="00D077E9"/>
    <w:rsid w:val="00D07950"/>
    <w:rsid w:val="00D10259"/>
    <w:rsid w:val="00D10457"/>
    <w:rsid w:val="00D10592"/>
    <w:rsid w:val="00D10659"/>
    <w:rsid w:val="00D109D6"/>
    <w:rsid w:val="00D10DDC"/>
    <w:rsid w:val="00D10DFA"/>
    <w:rsid w:val="00D10E6A"/>
    <w:rsid w:val="00D10F92"/>
    <w:rsid w:val="00D112BC"/>
    <w:rsid w:val="00D11D71"/>
    <w:rsid w:val="00D11EF6"/>
    <w:rsid w:val="00D12447"/>
    <w:rsid w:val="00D12DEA"/>
    <w:rsid w:val="00D12EF8"/>
    <w:rsid w:val="00D134B2"/>
    <w:rsid w:val="00D13656"/>
    <w:rsid w:val="00D136CA"/>
    <w:rsid w:val="00D13882"/>
    <w:rsid w:val="00D14A0E"/>
    <w:rsid w:val="00D14CBD"/>
    <w:rsid w:val="00D14EEB"/>
    <w:rsid w:val="00D14FEB"/>
    <w:rsid w:val="00D153A1"/>
    <w:rsid w:val="00D156C6"/>
    <w:rsid w:val="00D15B00"/>
    <w:rsid w:val="00D15BFF"/>
    <w:rsid w:val="00D15C7C"/>
    <w:rsid w:val="00D1610B"/>
    <w:rsid w:val="00D16208"/>
    <w:rsid w:val="00D16294"/>
    <w:rsid w:val="00D164B4"/>
    <w:rsid w:val="00D166A0"/>
    <w:rsid w:val="00D169A5"/>
    <w:rsid w:val="00D16BDE"/>
    <w:rsid w:val="00D16C06"/>
    <w:rsid w:val="00D16CC7"/>
    <w:rsid w:val="00D17224"/>
    <w:rsid w:val="00D1735B"/>
    <w:rsid w:val="00D175E1"/>
    <w:rsid w:val="00D1768D"/>
    <w:rsid w:val="00D17748"/>
    <w:rsid w:val="00D17766"/>
    <w:rsid w:val="00D17847"/>
    <w:rsid w:val="00D17890"/>
    <w:rsid w:val="00D17895"/>
    <w:rsid w:val="00D179EF"/>
    <w:rsid w:val="00D17C10"/>
    <w:rsid w:val="00D20381"/>
    <w:rsid w:val="00D2052C"/>
    <w:rsid w:val="00D2064C"/>
    <w:rsid w:val="00D2077E"/>
    <w:rsid w:val="00D20BCE"/>
    <w:rsid w:val="00D20C4E"/>
    <w:rsid w:val="00D2103E"/>
    <w:rsid w:val="00D21132"/>
    <w:rsid w:val="00D211D0"/>
    <w:rsid w:val="00D21305"/>
    <w:rsid w:val="00D213AF"/>
    <w:rsid w:val="00D217D3"/>
    <w:rsid w:val="00D21BC6"/>
    <w:rsid w:val="00D21BEF"/>
    <w:rsid w:val="00D21D1C"/>
    <w:rsid w:val="00D21ECB"/>
    <w:rsid w:val="00D2269C"/>
    <w:rsid w:val="00D22973"/>
    <w:rsid w:val="00D22DEB"/>
    <w:rsid w:val="00D2309D"/>
    <w:rsid w:val="00D23E53"/>
    <w:rsid w:val="00D2484A"/>
    <w:rsid w:val="00D24CEB"/>
    <w:rsid w:val="00D2514F"/>
    <w:rsid w:val="00D2546E"/>
    <w:rsid w:val="00D25615"/>
    <w:rsid w:val="00D2577D"/>
    <w:rsid w:val="00D2607A"/>
    <w:rsid w:val="00D26129"/>
    <w:rsid w:val="00D26410"/>
    <w:rsid w:val="00D26645"/>
    <w:rsid w:val="00D26742"/>
    <w:rsid w:val="00D267B5"/>
    <w:rsid w:val="00D26947"/>
    <w:rsid w:val="00D26C05"/>
    <w:rsid w:val="00D26CD5"/>
    <w:rsid w:val="00D2702A"/>
    <w:rsid w:val="00D2717C"/>
    <w:rsid w:val="00D2775F"/>
    <w:rsid w:val="00D27914"/>
    <w:rsid w:val="00D27A34"/>
    <w:rsid w:val="00D27B62"/>
    <w:rsid w:val="00D27DC1"/>
    <w:rsid w:val="00D27FF5"/>
    <w:rsid w:val="00D3017F"/>
    <w:rsid w:val="00D30D6E"/>
    <w:rsid w:val="00D310B3"/>
    <w:rsid w:val="00D3119F"/>
    <w:rsid w:val="00D31299"/>
    <w:rsid w:val="00D3192D"/>
    <w:rsid w:val="00D3206F"/>
    <w:rsid w:val="00D320D6"/>
    <w:rsid w:val="00D32268"/>
    <w:rsid w:val="00D326D7"/>
    <w:rsid w:val="00D32961"/>
    <w:rsid w:val="00D32B5E"/>
    <w:rsid w:val="00D32DD0"/>
    <w:rsid w:val="00D32DE9"/>
    <w:rsid w:val="00D32F2B"/>
    <w:rsid w:val="00D32FED"/>
    <w:rsid w:val="00D3329D"/>
    <w:rsid w:val="00D3353A"/>
    <w:rsid w:val="00D338E6"/>
    <w:rsid w:val="00D33BE7"/>
    <w:rsid w:val="00D33C20"/>
    <w:rsid w:val="00D33CCF"/>
    <w:rsid w:val="00D33D56"/>
    <w:rsid w:val="00D33DFE"/>
    <w:rsid w:val="00D34019"/>
    <w:rsid w:val="00D342F1"/>
    <w:rsid w:val="00D345C7"/>
    <w:rsid w:val="00D34BAC"/>
    <w:rsid w:val="00D34C91"/>
    <w:rsid w:val="00D3525A"/>
    <w:rsid w:val="00D353CD"/>
    <w:rsid w:val="00D3555D"/>
    <w:rsid w:val="00D35997"/>
    <w:rsid w:val="00D35BD9"/>
    <w:rsid w:val="00D35F72"/>
    <w:rsid w:val="00D35FAB"/>
    <w:rsid w:val="00D36483"/>
    <w:rsid w:val="00D364F3"/>
    <w:rsid w:val="00D36A44"/>
    <w:rsid w:val="00D36DDA"/>
    <w:rsid w:val="00D36E7B"/>
    <w:rsid w:val="00D3785F"/>
    <w:rsid w:val="00D378A0"/>
    <w:rsid w:val="00D3791F"/>
    <w:rsid w:val="00D401BC"/>
    <w:rsid w:val="00D40303"/>
    <w:rsid w:val="00D404E7"/>
    <w:rsid w:val="00D40844"/>
    <w:rsid w:val="00D40860"/>
    <w:rsid w:val="00D409D1"/>
    <w:rsid w:val="00D40C97"/>
    <w:rsid w:val="00D40D4E"/>
    <w:rsid w:val="00D41162"/>
    <w:rsid w:val="00D41E90"/>
    <w:rsid w:val="00D41EFB"/>
    <w:rsid w:val="00D41F14"/>
    <w:rsid w:val="00D42080"/>
    <w:rsid w:val="00D429C2"/>
    <w:rsid w:val="00D42AA1"/>
    <w:rsid w:val="00D42BF2"/>
    <w:rsid w:val="00D42D44"/>
    <w:rsid w:val="00D42E90"/>
    <w:rsid w:val="00D42FB3"/>
    <w:rsid w:val="00D4307C"/>
    <w:rsid w:val="00D433FE"/>
    <w:rsid w:val="00D4347E"/>
    <w:rsid w:val="00D43B06"/>
    <w:rsid w:val="00D43BA4"/>
    <w:rsid w:val="00D43CED"/>
    <w:rsid w:val="00D44006"/>
    <w:rsid w:val="00D4416C"/>
    <w:rsid w:val="00D44256"/>
    <w:rsid w:val="00D44657"/>
    <w:rsid w:val="00D44BDA"/>
    <w:rsid w:val="00D44C15"/>
    <w:rsid w:val="00D44E7C"/>
    <w:rsid w:val="00D453C4"/>
    <w:rsid w:val="00D45809"/>
    <w:rsid w:val="00D461A2"/>
    <w:rsid w:val="00D46766"/>
    <w:rsid w:val="00D46B94"/>
    <w:rsid w:val="00D46FCD"/>
    <w:rsid w:val="00D4706D"/>
    <w:rsid w:val="00D47315"/>
    <w:rsid w:val="00D47D1E"/>
    <w:rsid w:val="00D47E6D"/>
    <w:rsid w:val="00D5000D"/>
    <w:rsid w:val="00D50040"/>
    <w:rsid w:val="00D50159"/>
    <w:rsid w:val="00D503AA"/>
    <w:rsid w:val="00D505A3"/>
    <w:rsid w:val="00D512A1"/>
    <w:rsid w:val="00D512B4"/>
    <w:rsid w:val="00D5141E"/>
    <w:rsid w:val="00D51595"/>
    <w:rsid w:val="00D51647"/>
    <w:rsid w:val="00D5184F"/>
    <w:rsid w:val="00D51DA0"/>
    <w:rsid w:val="00D51EC1"/>
    <w:rsid w:val="00D525EB"/>
    <w:rsid w:val="00D52B8B"/>
    <w:rsid w:val="00D52D24"/>
    <w:rsid w:val="00D5329E"/>
    <w:rsid w:val="00D53393"/>
    <w:rsid w:val="00D53445"/>
    <w:rsid w:val="00D53579"/>
    <w:rsid w:val="00D53828"/>
    <w:rsid w:val="00D54795"/>
    <w:rsid w:val="00D54E25"/>
    <w:rsid w:val="00D554FA"/>
    <w:rsid w:val="00D555F2"/>
    <w:rsid w:val="00D556AC"/>
    <w:rsid w:val="00D556E7"/>
    <w:rsid w:val="00D55AC6"/>
    <w:rsid w:val="00D55B2E"/>
    <w:rsid w:val="00D55FEE"/>
    <w:rsid w:val="00D56107"/>
    <w:rsid w:val="00D56284"/>
    <w:rsid w:val="00D56C3F"/>
    <w:rsid w:val="00D56CEF"/>
    <w:rsid w:val="00D57C21"/>
    <w:rsid w:val="00D57D6A"/>
    <w:rsid w:val="00D600B6"/>
    <w:rsid w:val="00D601BF"/>
    <w:rsid w:val="00D60230"/>
    <w:rsid w:val="00D6147B"/>
    <w:rsid w:val="00D6168C"/>
    <w:rsid w:val="00D61855"/>
    <w:rsid w:val="00D61AE5"/>
    <w:rsid w:val="00D62034"/>
    <w:rsid w:val="00D62195"/>
    <w:rsid w:val="00D62301"/>
    <w:rsid w:val="00D6234E"/>
    <w:rsid w:val="00D6246B"/>
    <w:rsid w:val="00D628FE"/>
    <w:rsid w:val="00D6300F"/>
    <w:rsid w:val="00D63451"/>
    <w:rsid w:val="00D63692"/>
    <w:rsid w:val="00D636B0"/>
    <w:rsid w:val="00D637C1"/>
    <w:rsid w:val="00D63DED"/>
    <w:rsid w:val="00D63DF6"/>
    <w:rsid w:val="00D64052"/>
    <w:rsid w:val="00D64101"/>
    <w:rsid w:val="00D64212"/>
    <w:rsid w:val="00D6424E"/>
    <w:rsid w:val="00D64401"/>
    <w:rsid w:val="00D6443F"/>
    <w:rsid w:val="00D64BC5"/>
    <w:rsid w:val="00D655E8"/>
    <w:rsid w:val="00D656EF"/>
    <w:rsid w:val="00D65936"/>
    <w:rsid w:val="00D65F98"/>
    <w:rsid w:val="00D6607A"/>
    <w:rsid w:val="00D662DA"/>
    <w:rsid w:val="00D66610"/>
    <w:rsid w:val="00D66827"/>
    <w:rsid w:val="00D669E0"/>
    <w:rsid w:val="00D66A0B"/>
    <w:rsid w:val="00D66A60"/>
    <w:rsid w:val="00D66FD3"/>
    <w:rsid w:val="00D672D7"/>
    <w:rsid w:val="00D67552"/>
    <w:rsid w:val="00D6756F"/>
    <w:rsid w:val="00D675AD"/>
    <w:rsid w:val="00D675D2"/>
    <w:rsid w:val="00D67A2B"/>
    <w:rsid w:val="00D70628"/>
    <w:rsid w:val="00D708DF"/>
    <w:rsid w:val="00D70BCC"/>
    <w:rsid w:val="00D70EAB"/>
    <w:rsid w:val="00D70EF9"/>
    <w:rsid w:val="00D7153C"/>
    <w:rsid w:val="00D71834"/>
    <w:rsid w:val="00D71C50"/>
    <w:rsid w:val="00D726C3"/>
    <w:rsid w:val="00D728DB"/>
    <w:rsid w:val="00D72A52"/>
    <w:rsid w:val="00D7359A"/>
    <w:rsid w:val="00D73713"/>
    <w:rsid w:val="00D73A5C"/>
    <w:rsid w:val="00D73B3D"/>
    <w:rsid w:val="00D73D6D"/>
    <w:rsid w:val="00D73DCD"/>
    <w:rsid w:val="00D73E42"/>
    <w:rsid w:val="00D73EEF"/>
    <w:rsid w:val="00D73F6D"/>
    <w:rsid w:val="00D7427F"/>
    <w:rsid w:val="00D74320"/>
    <w:rsid w:val="00D74398"/>
    <w:rsid w:val="00D7462C"/>
    <w:rsid w:val="00D74768"/>
    <w:rsid w:val="00D747F2"/>
    <w:rsid w:val="00D748E6"/>
    <w:rsid w:val="00D74CF7"/>
    <w:rsid w:val="00D751D2"/>
    <w:rsid w:val="00D75626"/>
    <w:rsid w:val="00D75932"/>
    <w:rsid w:val="00D75999"/>
    <w:rsid w:val="00D75AF0"/>
    <w:rsid w:val="00D75C6A"/>
    <w:rsid w:val="00D75D7C"/>
    <w:rsid w:val="00D75EE5"/>
    <w:rsid w:val="00D7602E"/>
    <w:rsid w:val="00D7610E"/>
    <w:rsid w:val="00D766AA"/>
    <w:rsid w:val="00D766D3"/>
    <w:rsid w:val="00D76702"/>
    <w:rsid w:val="00D767A4"/>
    <w:rsid w:val="00D767DD"/>
    <w:rsid w:val="00D768E4"/>
    <w:rsid w:val="00D76997"/>
    <w:rsid w:val="00D76B6B"/>
    <w:rsid w:val="00D76CA7"/>
    <w:rsid w:val="00D76DE8"/>
    <w:rsid w:val="00D77002"/>
    <w:rsid w:val="00D77015"/>
    <w:rsid w:val="00D775AD"/>
    <w:rsid w:val="00D775D0"/>
    <w:rsid w:val="00D8031B"/>
    <w:rsid w:val="00D8041B"/>
    <w:rsid w:val="00D807DF"/>
    <w:rsid w:val="00D80EF9"/>
    <w:rsid w:val="00D8106B"/>
    <w:rsid w:val="00D8109E"/>
    <w:rsid w:val="00D812A8"/>
    <w:rsid w:val="00D812D1"/>
    <w:rsid w:val="00D81333"/>
    <w:rsid w:val="00D81B0F"/>
    <w:rsid w:val="00D8220A"/>
    <w:rsid w:val="00D82351"/>
    <w:rsid w:val="00D82653"/>
    <w:rsid w:val="00D827C4"/>
    <w:rsid w:val="00D82E8A"/>
    <w:rsid w:val="00D82F93"/>
    <w:rsid w:val="00D838BC"/>
    <w:rsid w:val="00D83EE1"/>
    <w:rsid w:val="00D83F42"/>
    <w:rsid w:val="00D84238"/>
    <w:rsid w:val="00D844FA"/>
    <w:rsid w:val="00D84845"/>
    <w:rsid w:val="00D84A30"/>
    <w:rsid w:val="00D84BD6"/>
    <w:rsid w:val="00D84FC7"/>
    <w:rsid w:val="00D85155"/>
    <w:rsid w:val="00D853B4"/>
    <w:rsid w:val="00D85551"/>
    <w:rsid w:val="00D8577D"/>
    <w:rsid w:val="00D8587E"/>
    <w:rsid w:val="00D85A41"/>
    <w:rsid w:val="00D86014"/>
    <w:rsid w:val="00D865A2"/>
    <w:rsid w:val="00D866DB"/>
    <w:rsid w:val="00D8685E"/>
    <w:rsid w:val="00D86BA6"/>
    <w:rsid w:val="00D8715E"/>
    <w:rsid w:val="00D87433"/>
    <w:rsid w:val="00D878EA"/>
    <w:rsid w:val="00D87F5B"/>
    <w:rsid w:val="00D902C1"/>
    <w:rsid w:val="00D90526"/>
    <w:rsid w:val="00D90672"/>
    <w:rsid w:val="00D909C3"/>
    <w:rsid w:val="00D90CB6"/>
    <w:rsid w:val="00D90DD4"/>
    <w:rsid w:val="00D91027"/>
    <w:rsid w:val="00D9103C"/>
    <w:rsid w:val="00D910D0"/>
    <w:rsid w:val="00D9114D"/>
    <w:rsid w:val="00D91495"/>
    <w:rsid w:val="00D91513"/>
    <w:rsid w:val="00D9172D"/>
    <w:rsid w:val="00D91841"/>
    <w:rsid w:val="00D91910"/>
    <w:rsid w:val="00D92075"/>
    <w:rsid w:val="00D92159"/>
    <w:rsid w:val="00D92542"/>
    <w:rsid w:val="00D92807"/>
    <w:rsid w:val="00D928F8"/>
    <w:rsid w:val="00D92961"/>
    <w:rsid w:val="00D92C2A"/>
    <w:rsid w:val="00D92F92"/>
    <w:rsid w:val="00D9374C"/>
    <w:rsid w:val="00D9389E"/>
    <w:rsid w:val="00D93A06"/>
    <w:rsid w:val="00D940A8"/>
    <w:rsid w:val="00D9416F"/>
    <w:rsid w:val="00D94253"/>
    <w:rsid w:val="00D9425D"/>
    <w:rsid w:val="00D9461B"/>
    <w:rsid w:val="00D9462F"/>
    <w:rsid w:val="00D9490B"/>
    <w:rsid w:val="00D94B96"/>
    <w:rsid w:val="00D95881"/>
    <w:rsid w:val="00D95B54"/>
    <w:rsid w:val="00D95DB9"/>
    <w:rsid w:val="00D95E1E"/>
    <w:rsid w:val="00D95F5B"/>
    <w:rsid w:val="00D961B8"/>
    <w:rsid w:val="00D96293"/>
    <w:rsid w:val="00D96B4A"/>
    <w:rsid w:val="00D96D4E"/>
    <w:rsid w:val="00D97049"/>
    <w:rsid w:val="00D9747A"/>
    <w:rsid w:val="00D975F9"/>
    <w:rsid w:val="00D97751"/>
    <w:rsid w:val="00D97945"/>
    <w:rsid w:val="00D97DF0"/>
    <w:rsid w:val="00DA08ED"/>
    <w:rsid w:val="00DA0E1A"/>
    <w:rsid w:val="00DA0E3B"/>
    <w:rsid w:val="00DA12DA"/>
    <w:rsid w:val="00DA13F7"/>
    <w:rsid w:val="00DA1409"/>
    <w:rsid w:val="00DA1715"/>
    <w:rsid w:val="00DA185B"/>
    <w:rsid w:val="00DA19E7"/>
    <w:rsid w:val="00DA1A0C"/>
    <w:rsid w:val="00DA1B75"/>
    <w:rsid w:val="00DA1FC8"/>
    <w:rsid w:val="00DA2727"/>
    <w:rsid w:val="00DA2888"/>
    <w:rsid w:val="00DA2FA5"/>
    <w:rsid w:val="00DA317E"/>
    <w:rsid w:val="00DA333E"/>
    <w:rsid w:val="00DA34D4"/>
    <w:rsid w:val="00DA3550"/>
    <w:rsid w:val="00DA35E4"/>
    <w:rsid w:val="00DA3692"/>
    <w:rsid w:val="00DA3A6C"/>
    <w:rsid w:val="00DA4243"/>
    <w:rsid w:val="00DA4646"/>
    <w:rsid w:val="00DA46DC"/>
    <w:rsid w:val="00DA481B"/>
    <w:rsid w:val="00DA4996"/>
    <w:rsid w:val="00DA4C64"/>
    <w:rsid w:val="00DA4E06"/>
    <w:rsid w:val="00DA4F0B"/>
    <w:rsid w:val="00DA546D"/>
    <w:rsid w:val="00DA55C5"/>
    <w:rsid w:val="00DA5775"/>
    <w:rsid w:val="00DA57A5"/>
    <w:rsid w:val="00DA58FE"/>
    <w:rsid w:val="00DA5B17"/>
    <w:rsid w:val="00DA5B6A"/>
    <w:rsid w:val="00DA5B7B"/>
    <w:rsid w:val="00DA6180"/>
    <w:rsid w:val="00DA6262"/>
    <w:rsid w:val="00DA6385"/>
    <w:rsid w:val="00DA63E3"/>
    <w:rsid w:val="00DA654D"/>
    <w:rsid w:val="00DA68C1"/>
    <w:rsid w:val="00DA6F9B"/>
    <w:rsid w:val="00DA7270"/>
    <w:rsid w:val="00DA7366"/>
    <w:rsid w:val="00DA74AF"/>
    <w:rsid w:val="00DA75A6"/>
    <w:rsid w:val="00DA7ED6"/>
    <w:rsid w:val="00DB002C"/>
    <w:rsid w:val="00DB00C3"/>
    <w:rsid w:val="00DB0114"/>
    <w:rsid w:val="00DB063D"/>
    <w:rsid w:val="00DB086A"/>
    <w:rsid w:val="00DB0873"/>
    <w:rsid w:val="00DB0A16"/>
    <w:rsid w:val="00DB0B6C"/>
    <w:rsid w:val="00DB0C2F"/>
    <w:rsid w:val="00DB0D38"/>
    <w:rsid w:val="00DB10E4"/>
    <w:rsid w:val="00DB13E0"/>
    <w:rsid w:val="00DB1C4C"/>
    <w:rsid w:val="00DB1E7B"/>
    <w:rsid w:val="00DB23AA"/>
    <w:rsid w:val="00DB2463"/>
    <w:rsid w:val="00DB26D1"/>
    <w:rsid w:val="00DB2E4B"/>
    <w:rsid w:val="00DB311F"/>
    <w:rsid w:val="00DB338D"/>
    <w:rsid w:val="00DB378E"/>
    <w:rsid w:val="00DB38BF"/>
    <w:rsid w:val="00DB3B5A"/>
    <w:rsid w:val="00DB3F07"/>
    <w:rsid w:val="00DB3FCC"/>
    <w:rsid w:val="00DB4693"/>
    <w:rsid w:val="00DB4746"/>
    <w:rsid w:val="00DB4A90"/>
    <w:rsid w:val="00DB4D2E"/>
    <w:rsid w:val="00DB52BC"/>
    <w:rsid w:val="00DB53CA"/>
    <w:rsid w:val="00DB5867"/>
    <w:rsid w:val="00DB5C33"/>
    <w:rsid w:val="00DB5C4C"/>
    <w:rsid w:val="00DB5F2B"/>
    <w:rsid w:val="00DB62D7"/>
    <w:rsid w:val="00DB6489"/>
    <w:rsid w:val="00DB672F"/>
    <w:rsid w:val="00DB6992"/>
    <w:rsid w:val="00DB6B28"/>
    <w:rsid w:val="00DB6B48"/>
    <w:rsid w:val="00DB6BA6"/>
    <w:rsid w:val="00DB7493"/>
    <w:rsid w:val="00DB7A86"/>
    <w:rsid w:val="00DB7AC7"/>
    <w:rsid w:val="00DB7CBD"/>
    <w:rsid w:val="00DB7D94"/>
    <w:rsid w:val="00DC0384"/>
    <w:rsid w:val="00DC055C"/>
    <w:rsid w:val="00DC062F"/>
    <w:rsid w:val="00DC079E"/>
    <w:rsid w:val="00DC0962"/>
    <w:rsid w:val="00DC0B42"/>
    <w:rsid w:val="00DC0BE0"/>
    <w:rsid w:val="00DC0D1E"/>
    <w:rsid w:val="00DC0D9E"/>
    <w:rsid w:val="00DC1CC7"/>
    <w:rsid w:val="00DC1E66"/>
    <w:rsid w:val="00DC215B"/>
    <w:rsid w:val="00DC216A"/>
    <w:rsid w:val="00DC24E0"/>
    <w:rsid w:val="00DC25B6"/>
    <w:rsid w:val="00DC2651"/>
    <w:rsid w:val="00DC286A"/>
    <w:rsid w:val="00DC2B8D"/>
    <w:rsid w:val="00DC2DB6"/>
    <w:rsid w:val="00DC30A6"/>
    <w:rsid w:val="00DC3179"/>
    <w:rsid w:val="00DC3651"/>
    <w:rsid w:val="00DC372A"/>
    <w:rsid w:val="00DC4597"/>
    <w:rsid w:val="00DC499C"/>
    <w:rsid w:val="00DC4A4C"/>
    <w:rsid w:val="00DC4B0A"/>
    <w:rsid w:val="00DC512F"/>
    <w:rsid w:val="00DC516D"/>
    <w:rsid w:val="00DC52E0"/>
    <w:rsid w:val="00DC58EE"/>
    <w:rsid w:val="00DC5B0C"/>
    <w:rsid w:val="00DC5D1D"/>
    <w:rsid w:val="00DC5FAA"/>
    <w:rsid w:val="00DC6ABA"/>
    <w:rsid w:val="00DC6D3D"/>
    <w:rsid w:val="00DC6E17"/>
    <w:rsid w:val="00DC75DA"/>
    <w:rsid w:val="00DC7A6C"/>
    <w:rsid w:val="00DC7F6B"/>
    <w:rsid w:val="00DD017B"/>
    <w:rsid w:val="00DD055D"/>
    <w:rsid w:val="00DD07A4"/>
    <w:rsid w:val="00DD0A34"/>
    <w:rsid w:val="00DD1041"/>
    <w:rsid w:val="00DD1158"/>
    <w:rsid w:val="00DD13DA"/>
    <w:rsid w:val="00DD143C"/>
    <w:rsid w:val="00DD15B1"/>
    <w:rsid w:val="00DD162A"/>
    <w:rsid w:val="00DD16C0"/>
    <w:rsid w:val="00DD18B5"/>
    <w:rsid w:val="00DD1B04"/>
    <w:rsid w:val="00DD1EF9"/>
    <w:rsid w:val="00DD2141"/>
    <w:rsid w:val="00DD24CF"/>
    <w:rsid w:val="00DD250A"/>
    <w:rsid w:val="00DD25EB"/>
    <w:rsid w:val="00DD2A71"/>
    <w:rsid w:val="00DD2ACD"/>
    <w:rsid w:val="00DD2F18"/>
    <w:rsid w:val="00DD3005"/>
    <w:rsid w:val="00DD3939"/>
    <w:rsid w:val="00DD4239"/>
    <w:rsid w:val="00DD4799"/>
    <w:rsid w:val="00DD5205"/>
    <w:rsid w:val="00DD52EA"/>
    <w:rsid w:val="00DD56A9"/>
    <w:rsid w:val="00DD5C85"/>
    <w:rsid w:val="00DD5D68"/>
    <w:rsid w:val="00DD6041"/>
    <w:rsid w:val="00DD618D"/>
    <w:rsid w:val="00DD61AE"/>
    <w:rsid w:val="00DD686B"/>
    <w:rsid w:val="00DD6A7C"/>
    <w:rsid w:val="00DD7976"/>
    <w:rsid w:val="00DD7A9E"/>
    <w:rsid w:val="00DD7DAB"/>
    <w:rsid w:val="00DE006A"/>
    <w:rsid w:val="00DE030F"/>
    <w:rsid w:val="00DE03C9"/>
    <w:rsid w:val="00DE04EC"/>
    <w:rsid w:val="00DE0553"/>
    <w:rsid w:val="00DE05C8"/>
    <w:rsid w:val="00DE067D"/>
    <w:rsid w:val="00DE0774"/>
    <w:rsid w:val="00DE0EB0"/>
    <w:rsid w:val="00DE0F12"/>
    <w:rsid w:val="00DE0F6F"/>
    <w:rsid w:val="00DE1184"/>
    <w:rsid w:val="00DE142B"/>
    <w:rsid w:val="00DE153A"/>
    <w:rsid w:val="00DE1A21"/>
    <w:rsid w:val="00DE1B4C"/>
    <w:rsid w:val="00DE1E74"/>
    <w:rsid w:val="00DE23C8"/>
    <w:rsid w:val="00DE352C"/>
    <w:rsid w:val="00DE413D"/>
    <w:rsid w:val="00DE42D2"/>
    <w:rsid w:val="00DE4FE7"/>
    <w:rsid w:val="00DE5442"/>
    <w:rsid w:val="00DE5656"/>
    <w:rsid w:val="00DE574F"/>
    <w:rsid w:val="00DE58AB"/>
    <w:rsid w:val="00DE5A60"/>
    <w:rsid w:val="00DE5AA1"/>
    <w:rsid w:val="00DE5AAD"/>
    <w:rsid w:val="00DE6126"/>
    <w:rsid w:val="00DE61C8"/>
    <w:rsid w:val="00DE64B5"/>
    <w:rsid w:val="00DE673F"/>
    <w:rsid w:val="00DE69F4"/>
    <w:rsid w:val="00DE6ABD"/>
    <w:rsid w:val="00DE6BC8"/>
    <w:rsid w:val="00DE6E15"/>
    <w:rsid w:val="00DE7F21"/>
    <w:rsid w:val="00DF0425"/>
    <w:rsid w:val="00DF065C"/>
    <w:rsid w:val="00DF0CBE"/>
    <w:rsid w:val="00DF0E09"/>
    <w:rsid w:val="00DF122C"/>
    <w:rsid w:val="00DF129F"/>
    <w:rsid w:val="00DF160E"/>
    <w:rsid w:val="00DF16F9"/>
    <w:rsid w:val="00DF1761"/>
    <w:rsid w:val="00DF1818"/>
    <w:rsid w:val="00DF1BB0"/>
    <w:rsid w:val="00DF1CB9"/>
    <w:rsid w:val="00DF2169"/>
    <w:rsid w:val="00DF2210"/>
    <w:rsid w:val="00DF2ACF"/>
    <w:rsid w:val="00DF330A"/>
    <w:rsid w:val="00DF33D2"/>
    <w:rsid w:val="00DF3A7C"/>
    <w:rsid w:val="00DF3AB8"/>
    <w:rsid w:val="00DF3D85"/>
    <w:rsid w:val="00DF4139"/>
    <w:rsid w:val="00DF4792"/>
    <w:rsid w:val="00DF49D3"/>
    <w:rsid w:val="00DF49FA"/>
    <w:rsid w:val="00DF4E8E"/>
    <w:rsid w:val="00DF4EC7"/>
    <w:rsid w:val="00DF5021"/>
    <w:rsid w:val="00DF511B"/>
    <w:rsid w:val="00DF5772"/>
    <w:rsid w:val="00DF5C29"/>
    <w:rsid w:val="00DF5D03"/>
    <w:rsid w:val="00DF5F87"/>
    <w:rsid w:val="00DF637B"/>
    <w:rsid w:val="00DF694B"/>
    <w:rsid w:val="00DF6F28"/>
    <w:rsid w:val="00DF7C47"/>
    <w:rsid w:val="00DF7CEC"/>
    <w:rsid w:val="00E00419"/>
    <w:rsid w:val="00E00843"/>
    <w:rsid w:val="00E00A35"/>
    <w:rsid w:val="00E00C8A"/>
    <w:rsid w:val="00E010CB"/>
    <w:rsid w:val="00E01437"/>
    <w:rsid w:val="00E018FD"/>
    <w:rsid w:val="00E023B2"/>
    <w:rsid w:val="00E02454"/>
    <w:rsid w:val="00E024BF"/>
    <w:rsid w:val="00E0264F"/>
    <w:rsid w:val="00E02A73"/>
    <w:rsid w:val="00E02A8E"/>
    <w:rsid w:val="00E02BD4"/>
    <w:rsid w:val="00E03526"/>
    <w:rsid w:val="00E038D2"/>
    <w:rsid w:val="00E03D9A"/>
    <w:rsid w:val="00E03F3D"/>
    <w:rsid w:val="00E03F80"/>
    <w:rsid w:val="00E0404E"/>
    <w:rsid w:val="00E040C1"/>
    <w:rsid w:val="00E042D4"/>
    <w:rsid w:val="00E0439E"/>
    <w:rsid w:val="00E043CA"/>
    <w:rsid w:val="00E043D2"/>
    <w:rsid w:val="00E0450D"/>
    <w:rsid w:val="00E047C4"/>
    <w:rsid w:val="00E0490B"/>
    <w:rsid w:val="00E05177"/>
    <w:rsid w:val="00E05355"/>
    <w:rsid w:val="00E058C6"/>
    <w:rsid w:val="00E05EA8"/>
    <w:rsid w:val="00E05F1D"/>
    <w:rsid w:val="00E064D2"/>
    <w:rsid w:val="00E06507"/>
    <w:rsid w:val="00E065F5"/>
    <w:rsid w:val="00E06758"/>
    <w:rsid w:val="00E069ED"/>
    <w:rsid w:val="00E06A55"/>
    <w:rsid w:val="00E06DD3"/>
    <w:rsid w:val="00E078E5"/>
    <w:rsid w:val="00E07AC5"/>
    <w:rsid w:val="00E07DDB"/>
    <w:rsid w:val="00E07E63"/>
    <w:rsid w:val="00E07F47"/>
    <w:rsid w:val="00E100F1"/>
    <w:rsid w:val="00E1010D"/>
    <w:rsid w:val="00E101AE"/>
    <w:rsid w:val="00E10485"/>
    <w:rsid w:val="00E1062D"/>
    <w:rsid w:val="00E10969"/>
    <w:rsid w:val="00E109B9"/>
    <w:rsid w:val="00E10A32"/>
    <w:rsid w:val="00E110FA"/>
    <w:rsid w:val="00E113F4"/>
    <w:rsid w:val="00E11420"/>
    <w:rsid w:val="00E11961"/>
    <w:rsid w:val="00E11A22"/>
    <w:rsid w:val="00E11BD5"/>
    <w:rsid w:val="00E11C71"/>
    <w:rsid w:val="00E12115"/>
    <w:rsid w:val="00E12528"/>
    <w:rsid w:val="00E1277A"/>
    <w:rsid w:val="00E12E64"/>
    <w:rsid w:val="00E131A9"/>
    <w:rsid w:val="00E13409"/>
    <w:rsid w:val="00E13521"/>
    <w:rsid w:val="00E135A1"/>
    <w:rsid w:val="00E13657"/>
    <w:rsid w:val="00E13775"/>
    <w:rsid w:val="00E137CB"/>
    <w:rsid w:val="00E13858"/>
    <w:rsid w:val="00E138A6"/>
    <w:rsid w:val="00E13A38"/>
    <w:rsid w:val="00E13C93"/>
    <w:rsid w:val="00E13D53"/>
    <w:rsid w:val="00E14192"/>
    <w:rsid w:val="00E142B6"/>
    <w:rsid w:val="00E14834"/>
    <w:rsid w:val="00E14C1A"/>
    <w:rsid w:val="00E150E2"/>
    <w:rsid w:val="00E152C1"/>
    <w:rsid w:val="00E153A8"/>
    <w:rsid w:val="00E15402"/>
    <w:rsid w:val="00E15575"/>
    <w:rsid w:val="00E15781"/>
    <w:rsid w:val="00E158CE"/>
    <w:rsid w:val="00E163E3"/>
    <w:rsid w:val="00E16786"/>
    <w:rsid w:val="00E169B1"/>
    <w:rsid w:val="00E16FA7"/>
    <w:rsid w:val="00E17541"/>
    <w:rsid w:val="00E17ACA"/>
    <w:rsid w:val="00E17D45"/>
    <w:rsid w:val="00E17D6C"/>
    <w:rsid w:val="00E20A6B"/>
    <w:rsid w:val="00E20E8D"/>
    <w:rsid w:val="00E20FC7"/>
    <w:rsid w:val="00E213E1"/>
    <w:rsid w:val="00E2173F"/>
    <w:rsid w:val="00E2189C"/>
    <w:rsid w:val="00E21A89"/>
    <w:rsid w:val="00E21EF2"/>
    <w:rsid w:val="00E2206D"/>
    <w:rsid w:val="00E22090"/>
    <w:rsid w:val="00E22298"/>
    <w:rsid w:val="00E22888"/>
    <w:rsid w:val="00E22BC8"/>
    <w:rsid w:val="00E22C11"/>
    <w:rsid w:val="00E23022"/>
    <w:rsid w:val="00E236E5"/>
    <w:rsid w:val="00E23947"/>
    <w:rsid w:val="00E23B00"/>
    <w:rsid w:val="00E23BF4"/>
    <w:rsid w:val="00E23FE8"/>
    <w:rsid w:val="00E2411E"/>
    <w:rsid w:val="00E2413B"/>
    <w:rsid w:val="00E24484"/>
    <w:rsid w:val="00E24AD0"/>
    <w:rsid w:val="00E24C0F"/>
    <w:rsid w:val="00E24C38"/>
    <w:rsid w:val="00E24ECD"/>
    <w:rsid w:val="00E2580D"/>
    <w:rsid w:val="00E259C0"/>
    <w:rsid w:val="00E25B6E"/>
    <w:rsid w:val="00E25BF6"/>
    <w:rsid w:val="00E25C17"/>
    <w:rsid w:val="00E25DAE"/>
    <w:rsid w:val="00E267AF"/>
    <w:rsid w:val="00E26891"/>
    <w:rsid w:val="00E26C28"/>
    <w:rsid w:val="00E27178"/>
    <w:rsid w:val="00E27184"/>
    <w:rsid w:val="00E276CE"/>
    <w:rsid w:val="00E27C16"/>
    <w:rsid w:val="00E27F27"/>
    <w:rsid w:val="00E30309"/>
    <w:rsid w:val="00E30666"/>
    <w:rsid w:val="00E308F1"/>
    <w:rsid w:val="00E30BDF"/>
    <w:rsid w:val="00E30D38"/>
    <w:rsid w:val="00E30D78"/>
    <w:rsid w:val="00E31014"/>
    <w:rsid w:val="00E3112B"/>
    <w:rsid w:val="00E316E4"/>
    <w:rsid w:val="00E31A1E"/>
    <w:rsid w:val="00E31A34"/>
    <w:rsid w:val="00E32831"/>
    <w:rsid w:val="00E32964"/>
    <w:rsid w:val="00E32AC0"/>
    <w:rsid w:val="00E330B2"/>
    <w:rsid w:val="00E33325"/>
    <w:rsid w:val="00E33444"/>
    <w:rsid w:val="00E336B7"/>
    <w:rsid w:val="00E3390E"/>
    <w:rsid w:val="00E33A4F"/>
    <w:rsid w:val="00E33B0A"/>
    <w:rsid w:val="00E33CDF"/>
    <w:rsid w:val="00E33CED"/>
    <w:rsid w:val="00E33EAB"/>
    <w:rsid w:val="00E33F6D"/>
    <w:rsid w:val="00E3407B"/>
    <w:rsid w:val="00E3409C"/>
    <w:rsid w:val="00E34247"/>
    <w:rsid w:val="00E3428C"/>
    <w:rsid w:val="00E3434A"/>
    <w:rsid w:val="00E3448B"/>
    <w:rsid w:val="00E34661"/>
    <w:rsid w:val="00E34962"/>
    <w:rsid w:val="00E34E03"/>
    <w:rsid w:val="00E35019"/>
    <w:rsid w:val="00E350A6"/>
    <w:rsid w:val="00E352C8"/>
    <w:rsid w:val="00E35413"/>
    <w:rsid w:val="00E35B26"/>
    <w:rsid w:val="00E35ECC"/>
    <w:rsid w:val="00E35EFC"/>
    <w:rsid w:val="00E35F78"/>
    <w:rsid w:val="00E361E1"/>
    <w:rsid w:val="00E3642C"/>
    <w:rsid w:val="00E36776"/>
    <w:rsid w:val="00E36AC3"/>
    <w:rsid w:val="00E36E05"/>
    <w:rsid w:val="00E376ED"/>
    <w:rsid w:val="00E3778E"/>
    <w:rsid w:val="00E37899"/>
    <w:rsid w:val="00E37B85"/>
    <w:rsid w:val="00E37C5A"/>
    <w:rsid w:val="00E40098"/>
    <w:rsid w:val="00E4047F"/>
    <w:rsid w:val="00E40ADE"/>
    <w:rsid w:val="00E40FAB"/>
    <w:rsid w:val="00E41DF0"/>
    <w:rsid w:val="00E41E36"/>
    <w:rsid w:val="00E41EA1"/>
    <w:rsid w:val="00E41EB5"/>
    <w:rsid w:val="00E4267A"/>
    <w:rsid w:val="00E433A6"/>
    <w:rsid w:val="00E434A6"/>
    <w:rsid w:val="00E438E2"/>
    <w:rsid w:val="00E440D4"/>
    <w:rsid w:val="00E44115"/>
    <w:rsid w:val="00E444BC"/>
    <w:rsid w:val="00E44929"/>
    <w:rsid w:val="00E44B76"/>
    <w:rsid w:val="00E44ED8"/>
    <w:rsid w:val="00E45458"/>
    <w:rsid w:val="00E4595C"/>
    <w:rsid w:val="00E45B6C"/>
    <w:rsid w:val="00E45FE1"/>
    <w:rsid w:val="00E46027"/>
    <w:rsid w:val="00E46413"/>
    <w:rsid w:val="00E4693C"/>
    <w:rsid w:val="00E47CA2"/>
    <w:rsid w:val="00E47DFB"/>
    <w:rsid w:val="00E47F39"/>
    <w:rsid w:val="00E5018C"/>
    <w:rsid w:val="00E50421"/>
    <w:rsid w:val="00E50472"/>
    <w:rsid w:val="00E5089E"/>
    <w:rsid w:val="00E513FE"/>
    <w:rsid w:val="00E51A0D"/>
    <w:rsid w:val="00E52335"/>
    <w:rsid w:val="00E52422"/>
    <w:rsid w:val="00E525DE"/>
    <w:rsid w:val="00E52B51"/>
    <w:rsid w:val="00E52EB6"/>
    <w:rsid w:val="00E53179"/>
    <w:rsid w:val="00E531DD"/>
    <w:rsid w:val="00E532A9"/>
    <w:rsid w:val="00E5332D"/>
    <w:rsid w:val="00E53495"/>
    <w:rsid w:val="00E53521"/>
    <w:rsid w:val="00E53DA2"/>
    <w:rsid w:val="00E53EC5"/>
    <w:rsid w:val="00E5418C"/>
    <w:rsid w:val="00E54311"/>
    <w:rsid w:val="00E546CE"/>
    <w:rsid w:val="00E54734"/>
    <w:rsid w:val="00E54802"/>
    <w:rsid w:val="00E54D32"/>
    <w:rsid w:val="00E54E0E"/>
    <w:rsid w:val="00E551A7"/>
    <w:rsid w:val="00E5540F"/>
    <w:rsid w:val="00E5544E"/>
    <w:rsid w:val="00E556C7"/>
    <w:rsid w:val="00E55BDC"/>
    <w:rsid w:val="00E55DD0"/>
    <w:rsid w:val="00E55E3B"/>
    <w:rsid w:val="00E55EBF"/>
    <w:rsid w:val="00E5616C"/>
    <w:rsid w:val="00E56354"/>
    <w:rsid w:val="00E5654D"/>
    <w:rsid w:val="00E56570"/>
    <w:rsid w:val="00E57078"/>
    <w:rsid w:val="00E5734E"/>
    <w:rsid w:val="00E5788A"/>
    <w:rsid w:val="00E5795C"/>
    <w:rsid w:val="00E57BBF"/>
    <w:rsid w:val="00E57EEF"/>
    <w:rsid w:val="00E6011F"/>
    <w:rsid w:val="00E60C10"/>
    <w:rsid w:val="00E60DA3"/>
    <w:rsid w:val="00E613B5"/>
    <w:rsid w:val="00E61495"/>
    <w:rsid w:val="00E6155D"/>
    <w:rsid w:val="00E615B8"/>
    <w:rsid w:val="00E616E9"/>
    <w:rsid w:val="00E61BC6"/>
    <w:rsid w:val="00E61D89"/>
    <w:rsid w:val="00E61DCA"/>
    <w:rsid w:val="00E61F7E"/>
    <w:rsid w:val="00E61F8A"/>
    <w:rsid w:val="00E62534"/>
    <w:rsid w:val="00E625B6"/>
    <w:rsid w:val="00E627C5"/>
    <w:rsid w:val="00E629AD"/>
    <w:rsid w:val="00E62AF5"/>
    <w:rsid w:val="00E632BE"/>
    <w:rsid w:val="00E634E8"/>
    <w:rsid w:val="00E63AFB"/>
    <w:rsid w:val="00E64209"/>
    <w:rsid w:val="00E648CB"/>
    <w:rsid w:val="00E649A3"/>
    <w:rsid w:val="00E64A4A"/>
    <w:rsid w:val="00E64E6A"/>
    <w:rsid w:val="00E65224"/>
    <w:rsid w:val="00E656E0"/>
    <w:rsid w:val="00E65850"/>
    <w:rsid w:val="00E65A38"/>
    <w:rsid w:val="00E65B58"/>
    <w:rsid w:val="00E65BBF"/>
    <w:rsid w:val="00E66163"/>
    <w:rsid w:val="00E662D9"/>
    <w:rsid w:val="00E66B55"/>
    <w:rsid w:val="00E66C1F"/>
    <w:rsid w:val="00E66FB2"/>
    <w:rsid w:val="00E66FD1"/>
    <w:rsid w:val="00E67571"/>
    <w:rsid w:val="00E67576"/>
    <w:rsid w:val="00E67880"/>
    <w:rsid w:val="00E679BA"/>
    <w:rsid w:val="00E67B6C"/>
    <w:rsid w:val="00E67BFD"/>
    <w:rsid w:val="00E67EDA"/>
    <w:rsid w:val="00E70510"/>
    <w:rsid w:val="00E70A32"/>
    <w:rsid w:val="00E70A6C"/>
    <w:rsid w:val="00E70C11"/>
    <w:rsid w:val="00E70D8D"/>
    <w:rsid w:val="00E710D1"/>
    <w:rsid w:val="00E71848"/>
    <w:rsid w:val="00E718C1"/>
    <w:rsid w:val="00E729B2"/>
    <w:rsid w:val="00E72ACF"/>
    <w:rsid w:val="00E72C9F"/>
    <w:rsid w:val="00E73024"/>
    <w:rsid w:val="00E73148"/>
    <w:rsid w:val="00E73377"/>
    <w:rsid w:val="00E735B6"/>
    <w:rsid w:val="00E737D7"/>
    <w:rsid w:val="00E73C17"/>
    <w:rsid w:val="00E73C71"/>
    <w:rsid w:val="00E7469B"/>
    <w:rsid w:val="00E74D0D"/>
    <w:rsid w:val="00E74D1E"/>
    <w:rsid w:val="00E74F04"/>
    <w:rsid w:val="00E75718"/>
    <w:rsid w:val="00E75B82"/>
    <w:rsid w:val="00E75D3F"/>
    <w:rsid w:val="00E7617C"/>
    <w:rsid w:val="00E76416"/>
    <w:rsid w:val="00E76A76"/>
    <w:rsid w:val="00E76D0E"/>
    <w:rsid w:val="00E76DBA"/>
    <w:rsid w:val="00E801DF"/>
    <w:rsid w:val="00E80301"/>
    <w:rsid w:val="00E80987"/>
    <w:rsid w:val="00E80A9E"/>
    <w:rsid w:val="00E81015"/>
    <w:rsid w:val="00E81029"/>
    <w:rsid w:val="00E81236"/>
    <w:rsid w:val="00E812EB"/>
    <w:rsid w:val="00E81419"/>
    <w:rsid w:val="00E814F8"/>
    <w:rsid w:val="00E81AF3"/>
    <w:rsid w:val="00E81E90"/>
    <w:rsid w:val="00E822C7"/>
    <w:rsid w:val="00E822D5"/>
    <w:rsid w:val="00E82561"/>
    <w:rsid w:val="00E828F5"/>
    <w:rsid w:val="00E829F8"/>
    <w:rsid w:val="00E8317D"/>
    <w:rsid w:val="00E836C2"/>
    <w:rsid w:val="00E838A7"/>
    <w:rsid w:val="00E839EB"/>
    <w:rsid w:val="00E83A89"/>
    <w:rsid w:val="00E83CC9"/>
    <w:rsid w:val="00E843D5"/>
    <w:rsid w:val="00E8498D"/>
    <w:rsid w:val="00E84B6B"/>
    <w:rsid w:val="00E84F43"/>
    <w:rsid w:val="00E8500A"/>
    <w:rsid w:val="00E8589B"/>
    <w:rsid w:val="00E85D50"/>
    <w:rsid w:val="00E861C7"/>
    <w:rsid w:val="00E86C96"/>
    <w:rsid w:val="00E86F2B"/>
    <w:rsid w:val="00E87412"/>
    <w:rsid w:val="00E8755A"/>
    <w:rsid w:val="00E87655"/>
    <w:rsid w:val="00E87AD1"/>
    <w:rsid w:val="00E87C99"/>
    <w:rsid w:val="00E87E39"/>
    <w:rsid w:val="00E90436"/>
    <w:rsid w:val="00E90783"/>
    <w:rsid w:val="00E90A66"/>
    <w:rsid w:val="00E90B98"/>
    <w:rsid w:val="00E91049"/>
    <w:rsid w:val="00E91117"/>
    <w:rsid w:val="00E915F8"/>
    <w:rsid w:val="00E919DD"/>
    <w:rsid w:val="00E91C46"/>
    <w:rsid w:val="00E92027"/>
    <w:rsid w:val="00E922A6"/>
    <w:rsid w:val="00E927DF"/>
    <w:rsid w:val="00E92C83"/>
    <w:rsid w:val="00E92FED"/>
    <w:rsid w:val="00E9393F"/>
    <w:rsid w:val="00E94485"/>
    <w:rsid w:val="00E94626"/>
    <w:rsid w:val="00E94D9D"/>
    <w:rsid w:val="00E9500B"/>
    <w:rsid w:val="00E95D28"/>
    <w:rsid w:val="00E95FCD"/>
    <w:rsid w:val="00E96181"/>
    <w:rsid w:val="00E961FF"/>
    <w:rsid w:val="00E96245"/>
    <w:rsid w:val="00E96455"/>
    <w:rsid w:val="00E966EB"/>
    <w:rsid w:val="00E96745"/>
    <w:rsid w:val="00E96912"/>
    <w:rsid w:val="00E96951"/>
    <w:rsid w:val="00E96D96"/>
    <w:rsid w:val="00E96DAF"/>
    <w:rsid w:val="00E96FBE"/>
    <w:rsid w:val="00E974F3"/>
    <w:rsid w:val="00EA0414"/>
    <w:rsid w:val="00EA054C"/>
    <w:rsid w:val="00EA0564"/>
    <w:rsid w:val="00EA05DE"/>
    <w:rsid w:val="00EA0B69"/>
    <w:rsid w:val="00EA0BCC"/>
    <w:rsid w:val="00EA11E4"/>
    <w:rsid w:val="00EA139F"/>
    <w:rsid w:val="00EA184A"/>
    <w:rsid w:val="00EA1B6D"/>
    <w:rsid w:val="00EA1B91"/>
    <w:rsid w:val="00EA20D0"/>
    <w:rsid w:val="00EA2277"/>
    <w:rsid w:val="00EA256F"/>
    <w:rsid w:val="00EA26E5"/>
    <w:rsid w:val="00EA2951"/>
    <w:rsid w:val="00EA29B3"/>
    <w:rsid w:val="00EA2F14"/>
    <w:rsid w:val="00EA3246"/>
    <w:rsid w:val="00EA33A6"/>
    <w:rsid w:val="00EA3567"/>
    <w:rsid w:val="00EA38DF"/>
    <w:rsid w:val="00EA3AC6"/>
    <w:rsid w:val="00EA3EA6"/>
    <w:rsid w:val="00EA4173"/>
    <w:rsid w:val="00EA4699"/>
    <w:rsid w:val="00EA4803"/>
    <w:rsid w:val="00EA55BC"/>
    <w:rsid w:val="00EA5608"/>
    <w:rsid w:val="00EA56B0"/>
    <w:rsid w:val="00EA58AD"/>
    <w:rsid w:val="00EA67BB"/>
    <w:rsid w:val="00EA67FB"/>
    <w:rsid w:val="00EA74A1"/>
    <w:rsid w:val="00EA7860"/>
    <w:rsid w:val="00EA7AB8"/>
    <w:rsid w:val="00EA7BDA"/>
    <w:rsid w:val="00EA7C16"/>
    <w:rsid w:val="00EA7D61"/>
    <w:rsid w:val="00EA7E02"/>
    <w:rsid w:val="00EB0168"/>
    <w:rsid w:val="00EB0270"/>
    <w:rsid w:val="00EB0404"/>
    <w:rsid w:val="00EB06DD"/>
    <w:rsid w:val="00EB1850"/>
    <w:rsid w:val="00EB1A05"/>
    <w:rsid w:val="00EB1BC4"/>
    <w:rsid w:val="00EB2539"/>
    <w:rsid w:val="00EB28AF"/>
    <w:rsid w:val="00EB2915"/>
    <w:rsid w:val="00EB2A2A"/>
    <w:rsid w:val="00EB2D39"/>
    <w:rsid w:val="00EB2DBF"/>
    <w:rsid w:val="00EB30D0"/>
    <w:rsid w:val="00EB32A8"/>
    <w:rsid w:val="00EB32AA"/>
    <w:rsid w:val="00EB38FA"/>
    <w:rsid w:val="00EB3AEC"/>
    <w:rsid w:val="00EB3B6A"/>
    <w:rsid w:val="00EB3CF3"/>
    <w:rsid w:val="00EB3F25"/>
    <w:rsid w:val="00EB4220"/>
    <w:rsid w:val="00EB434B"/>
    <w:rsid w:val="00EB4506"/>
    <w:rsid w:val="00EB4787"/>
    <w:rsid w:val="00EB479B"/>
    <w:rsid w:val="00EB4B21"/>
    <w:rsid w:val="00EB4EE2"/>
    <w:rsid w:val="00EB56A4"/>
    <w:rsid w:val="00EB5A8E"/>
    <w:rsid w:val="00EB5C90"/>
    <w:rsid w:val="00EB5F99"/>
    <w:rsid w:val="00EB655F"/>
    <w:rsid w:val="00EB660F"/>
    <w:rsid w:val="00EB6B1F"/>
    <w:rsid w:val="00EB6B8C"/>
    <w:rsid w:val="00EB6C9A"/>
    <w:rsid w:val="00EB732D"/>
    <w:rsid w:val="00EB7513"/>
    <w:rsid w:val="00EB76C3"/>
    <w:rsid w:val="00EB775D"/>
    <w:rsid w:val="00EB7906"/>
    <w:rsid w:val="00EC0005"/>
    <w:rsid w:val="00EC03B8"/>
    <w:rsid w:val="00EC0647"/>
    <w:rsid w:val="00EC0A51"/>
    <w:rsid w:val="00EC0B26"/>
    <w:rsid w:val="00EC0D1E"/>
    <w:rsid w:val="00EC0D89"/>
    <w:rsid w:val="00EC0FBD"/>
    <w:rsid w:val="00EC102C"/>
    <w:rsid w:val="00EC12E5"/>
    <w:rsid w:val="00EC1656"/>
    <w:rsid w:val="00EC1B7A"/>
    <w:rsid w:val="00EC1B98"/>
    <w:rsid w:val="00EC1BCF"/>
    <w:rsid w:val="00EC1F3C"/>
    <w:rsid w:val="00EC1F44"/>
    <w:rsid w:val="00EC1F6B"/>
    <w:rsid w:val="00EC2393"/>
    <w:rsid w:val="00EC2CDF"/>
    <w:rsid w:val="00EC3122"/>
    <w:rsid w:val="00EC31FE"/>
    <w:rsid w:val="00EC3376"/>
    <w:rsid w:val="00EC340D"/>
    <w:rsid w:val="00EC395C"/>
    <w:rsid w:val="00EC3ACC"/>
    <w:rsid w:val="00EC4235"/>
    <w:rsid w:val="00EC47CE"/>
    <w:rsid w:val="00EC47F6"/>
    <w:rsid w:val="00EC4881"/>
    <w:rsid w:val="00EC4972"/>
    <w:rsid w:val="00EC4B23"/>
    <w:rsid w:val="00EC4C4F"/>
    <w:rsid w:val="00EC4CE0"/>
    <w:rsid w:val="00EC4D46"/>
    <w:rsid w:val="00EC4DE6"/>
    <w:rsid w:val="00EC5586"/>
    <w:rsid w:val="00EC564C"/>
    <w:rsid w:val="00EC5D53"/>
    <w:rsid w:val="00EC6104"/>
    <w:rsid w:val="00EC612C"/>
    <w:rsid w:val="00EC66D2"/>
    <w:rsid w:val="00EC6923"/>
    <w:rsid w:val="00EC6AED"/>
    <w:rsid w:val="00EC6D69"/>
    <w:rsid w:val="00EC6FEB"/>
    <w:rsid w:val="00EC70C5"/>
    <w:rsid w:val="00EC7351"/>
    <w:rsid w:val="00EC7A6A"/>
    <w:rsid w:val="00EC7B39"/>
    <w:rsid w:val="00EC7B55"/>
    <w:rsid w:val="00EC7BA9"/>
    <w:rsid w:val="00EC7BAC"/>
    <w:rsid w:val="00EC7E5F"/>
    <w:rsid w:val="00EC7F72"/>
    <w:rsid w:val="00ED012A"/>
    <w:rsid w:val="00ED046F"/>
    <w:rsid w:val="00ED076E"/>
    <w:rsid w:val="00ED07E8"/>
    <w:rsid w:val="00ED0B57"/>
    <w:rsid w:val="00ED0D6E"/>
    <w:rsid w:val="00ED0FD8"/>
    <w:rsid w:val="00ED140C"/>
    <w:rsid w:val="00ED1828"/>
    <w:rsid w:val="00ED19E3"/>
    <w:rsid w:val="00ED1AC5"/>
    <w:rsid w:val="00ED1E95"/>
    <w:rsid w:val="00ED1EBF"/>
    <w:rsid w:val="00ED2382"/>
    <w:rsid w:val="00ED24B0"/>
    <w:rsid w:val="00ED2A69"/>
    <w:rsid w:val="00ED2A88"/>
    <w:rsid w:val="00ED2C08"/>
    <w:rsid w:val="00ED2C9E"/>
    <w:rsid w:val="00ED2CD5"/>
    <w:rsid w:val="00ED2F96"/>
    <w:rsid w:val="00ED3319"/>
    <w:rsid w:val="00ED3387"/>
    <w:rsid w:val="00ED343D"/>
    <w:rsid w:val="00ED374E"/>
    <w:rsid w:val="00ED386F"/>
    <w:rsid w:val="00ED3CAF"/>
    <w:rsid w:val="00ED40D2"/>
    <w:rsid w:val="00ED417F"/>
    <w:rsid w:val="00ED440B"/>
    <w:rsid w:val="00ED4498"/>
    <w:rsid w:val="00ED44A1"/>
    <w:rsid w:val="00ED466E"/>
    <w:rsid w:val="00ED4AC3"/>
    <w:rsid w:val="00ED4F98"/>
    <w:rsid w:val="00ED53F7"/>
    <w:rsid w:val="00ED5A6B"/>
    <w:rsid w:val="00ED5FEB"/>
    <w:rsid w:val="00ED61BF"/>
    <w:rsid w:val="00ED6382"/>
    <w:rsid w:val="00ED6906"/>
    <w:rsid w:val="00ED6B90"/>
    <w:rsid w:val="00ED6C18"/>
    <w:rsid w:val="00ED6C84"/>
    <w:rsid w:val="00ED6C90"/>
    <w:rsid w:val="00ED7445"/>
    <w:rsid w:val="00ED75C2"/>
    <w:rsid w:val="00ED7C91"/>
    <w:rsid w:val="00EE0220"/>
    <w:rsid w:val="00EE0555"/>
    <w:rsid w:val="00EE0D44"/>
    <w:rsid w:val="00EE13E0"/>
    <w:rsid w:val="00EE165D"/>
    <w:rsid w:val="00EE1A2F"/>
    <w:rsid w:val="00EE1F1C"/>
    <w:rsid w:val="00EE216C"/>
    <w:rsid w:val="00EE26A0"/>
    <w:rsid w:val="00EE2B21"/>
    <w:rsid w:val="00EE2B97"/>
    <w:rsid w:val="00EE2BC2"/>
    <w:rsid w:val="00EE3B9E"/>
    <w:rsid w:val="00EE3D14"/>
    <w:rsid w:val="00EE3F0D"/>
    <w:rsid w:val="00EE40BF"/>
    <w:rsid w:val="00EE4184"/>
    <w:rsid w:val="00EE42B8"/>
    <w:rsid w:val="00EE45F4"/>
    <w:rsid w:val="00EE472E"/>
    <w:rsid w:val="00EE4824"/>
    <w:rsid w:val="00EE5149"/>
    <w:rsid w:val="00EE52A4"/>
    <w:rsid w:val="00EE54EF"/>
    <w:rsid w:val="00EE5513"/>
    <w:rsid w:val="00EE5694"/>
    <w:rsid w:val="00EE5750"/>
    <w:rsid w:val="00EE5841"/>
    <w:rsid w:val="00EE64CA"/>
    <w:rsid w:val="00EE651B"/>
    <w:rsid w:val="00EE655B"/>
    <w:rsid w:val="00EE6E69"/>
    <w:rsid w:val="00EE7054"/>
    <w:rsid w:val="00EE719C"/>
    <w:rsid w:val="00EE739C"/>
    <w:rsid w:val="00EE78F5"/>
    <w:rsid w:val="00EE79AD"/>
    <w:rsid w:val="00EF060D"/>
    <w:rsid w:val="00EF0D18"/>
    <w:rsid w:val="00EF173E"/>
    <w:rsid w:val="00EF1FA2"/>
    <w:rsid w:val="00EF2000"/>
    <w:rsid w:val="00EF260A"/>
    <w:rsid w:val="00EF2619"/>
    <w:rsid w:val="00EF2859"/>
    <w:rsid w:val="00EF2880"/>
    <w:rsid w:val="00EF28A8"/>
    <w:rsid w:val="00EF2912"/>
    <w:rsid w:val="00EF343B"/>
    <w:rsid w:val="00EF380B"/>
    <w:rsid w:val="00EF38BE"/>
    <w:rsid w:val="00EF3985"/>
    <w:rsid w:val="00EF3CCB"/>
    <w:rsid w:val="00EF3E76"/>
    <w:rsid w:val="00EF3F18"/>
    <w:rsid w:val="00EF4278"/>
    <w:rsid w:val="00EF4918"/>
    <w:rsid w:val="00EF4A8F"/>
    <w:rsid w:val="00EF4CCC"/>
    <w:rsid w:val="00EF4FEF"/>
    <w:rsid w:val="00EF4FF6"/>
    <w:rsid w:val="00EF502A"/>
    <w:rsid w:val="00EF5430"/>
    <w:rsid w:val="00EF55BB"/>
    <w:rsid w:val="00EF57A0"/>
    <w:rsid w:val="00EF63C4"/>
    <w:rsid w:val="00EF63E7"/>
    <w:rsid w:val="00EF6804"/>
    <w:rsid w:val="00EF6B55"/>
    <w:rsid w:val="00EF6D4F"/>
    <w:rsid w:val="00EF6F69"/>
    <w:rsid w:val="00EF71D1"/>
    <w:rsid w:val="00EF725E"/>
    <w:rsid w:val="00EF726C"/>
    <w:rsid w:val="00EF75F7"/>
    <w:rsid w:val="00EF7955"/>
    <w:rsid w:val="00EF7E05"/>
    <w:rsid w:val="00F004EC"/>
    <w:rsid w:val="00F00694"/>
    <w:rsid w:val="00F006A8"/>
    <w:rsid w:val="00F00E22"/>
    <w:rsid w:val="00F01095"/>
    <w:rsid w:val="00F012FB"/>
    <w:rsid w:val="00F015BC"/>
    <w:rsid w:val="00F020F8"/>
    <w:rsid w:val="00F027C8"/>
    <w:rsid w:val="00F02975"/>
    <w:rsid w:val="00F029C2"/>
    <w:rsid w:val="00F02C40"/>
    <w:rsid w:val="00F02F0D"/>
    <w:rsid w:val="00F033F7"/>
    <w:rsid w:val="00F03632"/>
    <w:rsid w:val="00F036DE"/>
    <w:rsid w:val="00F0374C"/>
    <w:rsid w:val="00F0375D"/>
    <w:rsid w:val="00F03928"/>
    <w:rsid w:val="00F039FD"/>
    <w:rsid w:val="00F03A3F"/>
    <w:rsid w:val="00F03A48"/>
    <w:rsid w:val="00F03A94"/>
    <w:rsid w:val="00F042E9"/>
    <w:rsid w:val="00F04461"/>
    <w:rsid w:val="00F047B0"/>
    <w:rsid w:val="00F04808"/>
    <w:rsid w:val="00F04847"/>
    <w:rsid w:val="00F049D3"/>
    <w:rsid w:val="00F04DAA"/>
    <w:rsid w:val="00F055D3"/>
    <w:rsid w:val="00F05806"/>
    <w:rsid w:val="00F05A11"/>
    <w:rsid w:val="00F05D83"/>
    <w:rsid w:val="00F05E6B"/>
    <w:rsid w:val="00F05E87"/>
    <w:rsid w:val="00F067E8"/>
    <w:rsid w:val="00F068EF"/>
    <w:rsid w:val="00F07101"/>
    <w:rsid w:val="00F071B6"/>
    <w:rsid w:val="00F0740A"/>
    <w:rsid w:val="00F0749E"/>
    <w:rsid w:val="00F076A8"/>
    <w:rsid w:val="00F078C4"/>
    <w:rsid w:val="00F07956"/>
    <w:rsid w:val="00F07DF6"/>
    <w:rsid w:val="00F07F89"/>
    <w:rsid w:val="00F07FA7"/>
    <w:rsid w:val="00F10103"/>
    <w:rsid w:val="00F1025F"/>
    <w:rsid w:val="00F105DC"/>
    <w:rsid w:val="00F10EF0"/>
    <w:rsid w:val="00F10FCD"/>
    <w:rsid w:val="00F11244"/>
    <w:rsid w:val="00F1137F"/>
    <w:rsid w:val="00F114FC"/>
    <w:rsid w:val="00F11821"/>
    <w:rsid w:val="00F120CB"/>
    <w:rsid w:val="00F120DB"/>
    <w:rsid w:val="00F12537"/>
    <w:rsid w:val="00F12A92"/>
    <w:rsid w:val="00F12D1C"/>
    <w:rsid w:val="00F12E1A"/>
    <w:rsid w:val="00F12E61"/>
    <w:rsid w:val="00F132FC"/>
    <w:rsid w:val="00F13434"/>
    <w:rsid w:val="00F1349D"/>
    <w:rsid w:val="00F14309"/>
    <w:rsid w:val="00F14977"/>
    <w:rsid w:val="00F14F4E"/>
    <w:rsid w:val="00F15040"/>
    <w:rsid w:val="00F15462"/>
    <w:rsid w:val="00F15A38"/>
    <w:rsid w:val="00F160CD"/>
    <w:rsid w:val="00F161FB"/>
    <w:rsid w:val="00F1636A"/>
    <w:rsid w:val="00F16850"/>
    <w:rsid w:val="00F169EF"/>
    <w:rsid w:val="00F17063"/>
    <w:rsid w:val="00F1726F"/>
    <w:rsid w:val="00F17353"/>
    <w:rsid w:val="00F1747B"/>
    <w:rsid w:val="00F17521"/>
    <w:rsid w:val="00F177AF"/>
    <w:rsid w:val="00F17CF9"/>
    <w:rsid w:val="00F200E2"/>
    <w:rsid w:val="00F20599"/>
    <w:rsid w:val="00F2075E"/>
    <w:rsid w:val="00F20B0A"/>
    <w:rsid w:val="00F20B40"/>
    <w:rsid w:val="00F20BE9"/>
    <w:rsid w:val="00F20D93"/>
    <w:rsid w:val="00F20E07"/>
    <w:rsid w:val="00F20EAB"/>
    <w:rsid w:val="00F21AD3"/>
    <w:rsid w:val="00F21BDA"/>
    <w:rsid w:val="00F21CCD"/>
    <w:rsid w:val="00F21D0F"/>
    <w:rsid w:val="00F22388"/>
    <w:rsid w:val="00F22482"/>
    <w:rsid w:val="00F22649"/>
    <w:rsid w:val="00F22A55"/>
    <w:rsid w:val="00F22D88"/>
    <w:rsid w:val="00F22F6A"/>
    <w:rsid w:val="00F2323E"/>
    <w:rsid w:val="00F23596"/>
    <w:rsid w:val="00F237D1"/>
    <w:rsid w:val="00F237EB"/>
    <w:rsid w:val="00F238C1"/>
    <w:rsid w:val="00F23AE8"/>
    <w:rsid w:val="00F23F52"/>
    <w:rsid w:val="00F23FA0"/>
    <w:rsid w:val="00F243D7"/>
    <w:rsid w:val="00F24587"/>
    <w:rsid w:val="00F245AC"/>
    <w:rsid w:val="00F2467F"/>
    <w:rsid w:val="00F24EE7"/>
    <w:rsid w:val="00F250C4"/>
    <w:rsid w:val="00F252FD"/>
    <w:rsid w:val="00F2607A"/>
    <w:rsid w:val="00F26334"/>
    <w:rsid w:val="00F265B3"/>
    <w:rsid w:val="00F26BB9"/>
    <w:rsid w:val="00F26BC6"/>
    <w:rsid w:val="00F26C1B"/>
    <w:rsid w:val="00F26D02"/>
    <w:rsid w:val="00F26F52"/>
    <w:rsid w:val="00F27177"/>
    <w:rsid w:val="00F27671"/>
    <w:rsid w:val="00F277A5"/>
    <w:rsid w:val="00F30633"/>
    <w:rsid w:val="00F308E8"/>
    <w:rsid w:val="00F30A01"/>
    <w:rsid w:val="00F311E7"/>
    <w:rsid w:val="00F312D1"/>
    <w:rsid w:val="00F31348"/>
    <w:rsid w:val="00F315C2"/>
    <w:rsid w:val="00F315D5"/>
    <w:rsid w:val="00F31683"/>
    <w:rsid w:val="00F316FF"/>
    <w:rsid w:val="00F317D3"/>
    <w:rsid w:val="00F318EF"/>
    <w:rsid w:val="00F31B94"/>
    <w:rsid w:val="00F31D97"/>
    <w:rsid w:val="00F31FDA"/>
    <w:rsid w:val="00F32505"/>
    <w:rsid w:val="00F32D4C"/>
    <w:rsid w:val="00F32D8A"/>
    <w:rsid w:val="00F33104"/>
    <w:rsid w:val="00F33293"/>
    <w:rsid w:val="00F334F6"/>
    <w:rsid w:val="00F33999"/>
    <w:rsid w:val="00F33D6C"/>
    <w:rsid w:val="00F340D6"/>
    <w:rsid w:val="00F3410F"/>
    <w:rsid w:val="00F34B03"/>
    <w:rsid w:val="00F34DE4"/>
    <w:rsid w:val="00F35306"/>
    <w:rsid w:val="00F35439"/>
    <w:rsid w:val="00F3565C"/>
    <w:rsid w:val="00F36017"/>
    <w:rsid w:val="00F361C5"/>
    <w:rsid w:val="00F3626F"/>
    <w:rsid w:val="00F36424"/>
    <w:rsid w:val="00F36E00"/>
    <w:rsid w:val="00F371AC"/>
    <w:rsid w:val="00F37416"/>
    <w:rsid w:val="00F37D23"/>
    <w:rsid w:val="00F40028"/>
    <w:rsid w:val="00F400C1"/>
    <w:rsid w:val="00F403C1"/>
    <w:rsid w:val="00F405C3"/>
    <w:rsid w:val="00F4067A"/>
    <w:rsid w:val="00F4094A"/>
    <w:rsid w:val="00F40A17"/>
    <w:rsid w:val="00F40B10"/>
    <w:rsid w:val="00F40D57"/>
    <w:rsid w:val="00F40F86"/>
    <w:rsid w:val="00F41596"/>
    <w:rsid w:val="00F41754"/>
    <w:rsid w:val="00F41F50"/>
    <w:rsid w:val="00F4208A"/>
    <w:rsid w:val="00F4249C"/>
    <w:rsid w:val="00F42D9F"/>
    <w:rsid w:val="00F4307E"/>
    <w:rsid w:val="00F4333E"/>
    <w:rsid w:val="00F433B3"/>
    <w:rsid w:val="00F43695"/>
    <w:rsid w:val="00F4379B"/>
    <w:rsid w:val="00F4410A"/>
    <w:rsid w:val="00F44405"/>
    <w:rsid w:val="00F44443"/>
    <w:rsid w:val="00F4447D"/>
    <w:rsid w:val="00F4459F"/>
    <w:rsid w:val="00F446A6"/>
    <w:rsid w:val="00F4485C"/>
    <w:rsid w:val="00F44AD7"/>
    <w:rsid w:val="00F44D5D"/>
    <w:rsid w:val="00F4501E"/>
    <w:rsid w:val="00F45909"/>
    <w:rsid w:val="00F45A02"/>
    <w:rsid w:val="00F45E81"/>
    <w:rsid w:val="00F4631A"/>
    <w:rsid w:val="00F467E7"/>
    <w:rsid w:val="00F46A7F"/>
    <w:rsid w:val="00F46B34"/>
    <w:rsid w:val="00F474AF"/>
    <w:rsid w:val="00F4760C"/>
    <w:rsid w:val="00F478F4"/>
    <w:rsid w:val="00F47A24"/>
    <w:rsid w:val="00F47F71"/>
    <w:rsid w:val="00F50283"/>
    <w:rsid w:val="00F5082B"/>
    <w:rsid w:val="00F508C6"/>
    <w:rsid w:val="00F50963"/>
    <w:rsid w:val="00F5097D"/>
    <w:rsid w:val="00F50A15"/>
    <w:rsid w:val="00F50C6F"/>
    <w:rsid w:val="00F51126"/>
    <w:rsid w:val="00F51A7A"/>
    <w:rsid w:val="00F51CB0"/>
    <w:rsid w:val="00F52488"/>
    <w:rsid w:val="00F5251A"/>
    <w:rsid w:val="00F5267B"/>
    <w:rsid w:val="00F526EF"/>
    <w:rsid w:val="00F5305A"/>
    <w:rsid w:val="00F5354B"/>
    <w:rsid w:val="00F53D75"/>
    <w:rsid w:val="00F53F67"/>
    <w:rsid w:val="00F54023"/>
    <w:rsid w:val="00F54095"/>
    <w:rsid w:val="00F5433A"/>
    <w:rsid w:val="00F54C3B"/>
    <w:rsid w:val="00F54EAF"/>
    <w:rsid w:val="00F55091"/>
    <w:rsid w:val="00F555F9"/>
    <w:rsid w:val="00F557B2"/>
    <w:rsid w:val="00F55836"/>
    <w:rsid w:val="00F55C79"/>
    <w:rsid w:val="00F560AB"/>
    <w:rsid w:val="00F562B8"/>
    <w:rsid w:val="00F5639D"/>
    <w:rsid w:val="00F5665D"/>
    <w:rsid w:val="00F56716"/>
    <w:rsid w:val="00F56D9E"/>
    <w:rsid w:val="00F571A2"/>
    <w:rsid w:val="00F578C0"/>
    <w:rsid w:val="00F579EC"/>
    <w:rsid w:val="00F57D4C"/>
    <w:rsid w:val="00F57EDF"/>
    <w:rsid w:val="00F57F63"/>
    <w:rsid w:val="00F60157"/>
    <w:rsid w:val="00F6051B"/>
    <w:rsid w:val="00F60D06"/>
    <w:rsid w:val="00F60D9F"/>
    <w:rsid w:val="00F610A4"/>
    <w:rsid w:val="00F610C8"/>
    <w:rsid w:val="00F612F1"/>
    <w:rsid w:val="00F61576"/>
    <w:rsid w:val="00F6168A"/>
    <w:rsid w:val="00F61951"/>
    <w:rsid w:val="00F621F3"/>
    <w:rsid w:val="00F628BC"/>
    <w:rsid w:val="00F62ADB"/>
    <w:rsid w:val="00F631E4"/>
    <w:rsid w:val="00F6342C"/>
    <w:rsid w:val="00F635FA"/>
    <w:rsid w:val="00F636A8"/>
    <w:rsid w:val="00F6386F"/>
    <w:rsid w:val="00F63BF1"/>
    <w:rsid w:val="00F63D4A"/>
    <w:rsid w:val="00F63FDE"/>
    <w:rsid w:val="00F64036"/>
    <w:rsid w:val="00F643A3"/>
    <w:rsid w:val="00F6456D"/>
    <w:rsid w:val="00F64645"/>
    <w:rsid w:val="00F64A55"/>
    <w:rsid w:val="00F64A8B"/>
    <w:rsid w:val="00F654D8"/>
    <w:rsid w:val="00F6556A"/>
    <w:rsid w:val="00F6595E"/>
    <w:rsid w:val="00F65982"/>
    <w:rsid w:val="00F65D2C"/>
    <w:rsid w:val="00F65FC2"/>
    <w:rsid w:val="00F663F7"/>
    <w:rsid w:val="00F66481"/>
    <w:rsid w:val="00F665FF"/>
    <w:rsid w:val="00F666B1"/>
    <w:rsid w:val="00F666E3"/>
    <w:rsid w:val="00F6671F"/>
    <w:rsid w:val="00F66E7C"/>
    <w:rsid w:val="00F67286"/>
    <w:rsid w:val="00F67BB1"/>
    <w:rsid w:val="00F70079"/>
    <w:rsid w:val="00F7062D"/>
    <w:rsid w:val="00F70639"/>
    <w:rsid w:val="00F709C9"/>
    <w:rsid w:val="00F70AF9"/>
    <w:rsid w:val="00F70B56"/>
    <w:rsid w:val="00F70CB0"/>
    <w:rsid w:val="00F71043"/>
    <w:rsid w:val="00F71117"/>
    <w:rsid w:val="00F71309"/>
    <w:rsid w:val="00F71440"/>
    <w:rsid w:val="00F71472"/>
    <w:rsid w:val="00F71478"/>
    <w:rsid w:val="00F717BA"/>
    <w:rsid w:val="00F71867"/>
    <w:rsid w:val="00F718D0"/>
    <w:rsid w:val="00F71A5E"/>
    <w:rsid w:val="00F71EE0"/>
    <w:rsid w:val="00F71FE0"/>
    <w:rsid w:val="00F7206E"/>
    <w:rsid w:val="00F7226C"/>
    <w:rsid w:val="00F72347"/>
    <w:rsid w:val="00F72D88"/>
    <w:rsid w:val="00F72F96"/>
    <w:rsid w:val="00F7307F"/>
    <w:rsid w:val="00F73707"/>
    <w:rsid w:val="00F73A14"/>
    <w:rsid w:val="00F73C8B"/>
    <w:rsid w:val="00F73DC5"/>
    <w:rsid w:val="00F73FF6"/>
    <w:rsid w:val="00F7461D"/>
    <w:rsid w:val="00F74C6B"/>
    <w:rsid w:val="00F74F33"/>
    <w:rsid w:val="00F7508F"/>
    <w:rsid w:val="00F755F5"/>
    <w:rsid w:val="00F75DD2"/>
    <w:rsid w:val="00F7629C"/>
    <w:rsid w:val="00F76375"/>
    <w:rsid w:val="00F76940"/>
    <w:rsid w:val="00F76AFF"/>
    <w:rsid w:val="00F77538"/>
    <w:rsid w:val="00F77552"/>
    <w:rsid w:val="00F77AD6"/>
    <w:rsid w:val="00F77AFC"/>
    <w:rsid w:val="00F77E63"/>
    <w:rsid w:val="00F77FE4"/>
    <w:rsid w:val="00F80703"/>
    <w:rsid w:val="00F80752"/>
    <w:rsid w:val="00F808B9"/>
    <w:rsid w:val="00F80973"/>
    <w:rsid w:val="00F80C49"/>
    <w:rsid w:val="00F80DDB"/>
    <w:rsid w:val="00F810F8"/>
    <w:rsid w:val="00F81503"/>
    <w:rsid w:val="00F8191C"/>
    <w:rsid w:val="00F8267C"/>
    <w:rsid w:val="00F826D9"/>
    <w:rsid w:val="00F827F7"/>
    <w:rsid w:val="00F8286E"/>
    <w:rsid w:val="00F82A54"/>
    <w:rsid w:val="00F82B51"/>
    <w:rsid w:val="00F83517"/>
    <w:rsid w:val="00F83CD0"/>
    <w:rsid w:val="00F8413C"/>
    <w:rsid w:val="00F843F9"/>
    <w:rsid w:val="00F84979"/>
    <w:rsid w:val="00F8499D"/>
    <w:rsid w:val="00F84B91"/>
    <w:rsid w:val="00F84ED5"/>
    <w:rsid w:val="00F85013"/>
    <w:rsid w:val="00F8503A"/>
    <w:rsid w:val="00F852BF"/>
    <w:rsid w:val="00F85929"/>
    <w:rsid w:val="00F85BAC"/>
    <w:rsid w:val="00F85D79"/>
    <w:rsid w:val="00F85E38"/>
    <w:rsid w:val="00F85E69"/>
    <w:rsid w:val="00F867AB"/>
    <w:rsid w:val="00F87575"/>
    <w:rsid w:val="00F87A2D"/>
    <w:rsid w:val="00F87A80"/>
    <w:rsid w:val="00F87F2B"/>
    <w:rsid w:val="00F902D2"/>
    <w:rsid w:val="00F90377"/>
    <w:rsid w:val="00F904BD"/>
    <w:rsid w:val="00F906BE"/>
    <w:rsid w:val="00F91213"/>
    <w:rsid w:val="00F913D0"/>
    <w:rsid w:val="00F91A12"/>
    <w:rsid w:val="00F91A65"/>
    <w:rsid w:val="00F91ACB"/>
    <w:rsid w:val="00F91EAA"/>
    <w:rsid w:val="00F91FF5"/>
    <w:rsid w:val="00F922CE"/>
    <w:rsid w:val="00F927C6"/>
    <w:rsid w:val="00F927EE"/>
    <w:rsid w:val="00F928E0"/>
    <w:rsid w:val="00F9315D"/>
    <w:rsid w:val="00F93223"/>
    <w:rsid w:val="00F936AC"/>
    <w:rsid w:val="00F9382C"/>
    <w:rsid w:val="00F93F8F"/>
    <w:rsid w:val="00F9464E"/>
    <w:rsid w:val="00F94BC7"/>
    <w:rsid w:val="00F94F5F"/>
    <w:rsid w:val="00F958FB"/>
    <w:rsid w:val="00F95932"/>
    <w:rsid w:val="00F960E1"/>
    <w:rsid w:val="00F96F18"/>
    <w:rsid w:val="00F97156"/>
    <w:rsid w:val="00F971A5"/>
    <w:rsid w:val="00F9772B"/>
    <w:rsid w:val="00F978F8"/>
    <w:rsid w:val="00F9799D"/>
    <w:rsid w:val="00F97E89"/>
    <w:rsid w:val="00FA00FC"/>
    <w:rsid w:val="00FA0156"/>
    <w:rsid w:val="00FA062F"/>
    <w:rsid w:val="00FA1094"/>
    <w:rsid w:val="00FA156A"/>
    <w:rsid w:val="00FA18CC"/>
    <w:rsid w:val="00FA1EAF"/>
    <w:rsid w:val="00FA26E6"/>
    <w:rsid w:val="00FA274D"/>
    <w:rsid w:val="00FA27F9"/>
    <w:rsid w:val="00FA290E"/>
    <w:rsid w:val="00FA2F3A"/>
    <w:rsid w:val="00FA3029"/>
    <w:rsid w:val="00FA48AD"/>
    <w:rsid w:val="00FA497A"/>
    <w:rsid w:val="00FA4E85"/>
    <w:rsid w:val="00FA5397"/>
    <w:rsid w:val="00FA5740"/>
    <w:rsid w:val="00FA62C4"/>
    <w:rsid w:val="00FA6484"/>
    <w:rsid w:val="00FA67D6"/>
    <w:rsid w:val="00FA6849"/>
    <w:rsid w:val="00FA6998"/>
    <w:rsid w:val="00FA7194"/>
    <w:rsid w:val="00FA7227"/>
    <w:rsid w:val="00FA75AC"/>
    <w:rsid w:val="00FA75B7"/>
    <w:rsid w:val="00FA7865"/>
    <w:rsid w:val="00FA7876"/>
    <w:rsid w:val="00FA79DA"/>
    <w:rsid w:val="00FA7A1C"/>
    <w:rsid w:val="00FA7FDB"/>
    <w:rsid w:val="00FB04A0"/>
    <w:rsid w:val="00FB0A87"/>
    <w:rsid w:val="00FB0E6E"/>
    <w:rsid w:val="00FB0E85"/>
    <w:rsid w:val="00FB113C"/>
    <w:rsid w:val="00FB1309"/>
    <w:rsid w:val="00FB139C"/>
    <w:rsid w:val="00FB1648"/>
    <w:rsid w:val="00FB1661"/>
    <w:rsid w:val="00FB1CDC"/>
    <w:rsid w:val="00FB1D80"/>
    <w:rsid w:val="00FB1E4D"/>
    <w:rsid w:val="00FB1F1B"/>
    <w:rsid w:val="00FB20A8"/>
    <w:rsid w:val="00FB211C"/>
    <w:rsid w:val="00FB2134"/>
    <w:rsid w:val="00FB2625"/>
    <w:rsid w:val="00FB2715"/>
    <w:rsid w:val="00FB29CC"/>
    <w:rsid w:val="00FB2A3C"/>
    <w:rsid w:val="00FB2FEE"/>
    <w:rsid w:val="00FB3184"/>
    <w:rsid w:val="00FB3301"/>
    <w:rsid w:val="00FB384B"/>
    <w:rsid w:val="00FB3A4C"/>
    <w:rsid w:val="00FB4167"/>
    <w:rsid w:val="00FB46B8"/>
    <w:rsid w:val="00FB479B"/>
    <w:rsid w:val="00FB4DE2"/>
    <w:rsid w:val="00FB4F80"/>
    <w:rsid w:val="00FB56AF"/>
    <w:rsid w:val="00FB5872"/>
    <w:rsid w:val="00FB58DA"/>
    <w:rsid w:val="00FB5E17"/>
    <w:rsid w:val="00FB64A7"/>
    <w:rsid w:val="00FB64CC"/>
    <w:rsid w:val="00FB650B"/>
    <w:rsid w:val="00FB659B"/>
    <w:rsid w:val="00FB65F3"/>
    <w:rsid w:val="00FB6957"/>
    <w:rsid w:val="00FB6DBF"/>
    <w:rsid w:val="00FB72AD"/>
    <w:rsid w:val="00FB744A"/>
    <w:rsid w:val="00FB76BE"/>
    <w:rsid w:val="00FB7AE0"/>
    <w:rsid w:val="00FC0D82"/>
    <w:rsid w:val="00FC0E41"/>
    <w:rsid w:val="00FC0ED9"/>
    <w:rsid w:val="00FC0EFA"/>
    <w:rsid w:val="00FC1067"/>
    <w:rsid w:val="00FC13DA"/>
    <w:rsid w:val="00FC1402"/>
    <w:rsid w:val="00FC15EE"/>
    <w:rsid w:val="00FC18D6"/>
    <w:rsid w:val="00FC196B"/>
    <w:rsid w:val="00FC1AD5"/>
    <w:rsid w:val="00FC242C"/>
    <w:rsid w:val="00FC2B45"/>
    <w:rsid w:val="00FC2B7D"/>
    <w:rsid w:val="00FC2BD9"/>
    <w:rsid w:val="00FC2DA5"/>
    <w:rsid w:val="00FC2EB5"/>
    <w:rsid w:val="00FC321D"/>
    <w:rsid w:val="00FC3791"/>
    <w:rsid w:val="00FC3B32"/>
    <w:rsid w:val="00FC3FA2"/>
    <w:rsid w:val="00FC3FFC"/>
    <w:rsid w:val="00FC4727"/>
    <w:rsid w:val="00FC4C13"/>
    <w:rsid w:val="00FC5D50"/>
    <w:rsid w:val="00FC60B4"/>
    <w:rsid w:val="00FC61C7"/>
    <w:rsid w:val="00FC62F4"/>
    <w:rsid w:val="00FC63DD"/>
    <w:rsid w:val="00FC68D8"/>
    <w:rsid w:val="00FC6CED"/>
    <w:rsid w:val="00FC6FE4"/>
    <w:rsid w:val="00FC70AA"/>
    <w:rsid w:val="00FC715B"/>
    <w:rsid w:val="00FC72BE"/>
    <w:rsid w:val="00FC77B4"/>
    <w:rsid w:val="00FC7833"/>
    <w:rsid w:val="00FD017C"/>
    <w:rsid w:val="00FD048C"/>
    <w:rsid w:val="00FD06F3"/>
    <w:rsid w:val="00FD0A89"/>
    <w:rsid w:val="00FD13AA"/>
    <w:rsid w:val="00FD141D"/>
    <w:rsid w:val="00FD1752"/>
    <w:rsid w:val="00FD17D0"/>
    <w:rsid w:val="00FD1869"/>
    <w:rsid w:val="00FD199D"/>
    <w:rsid w:val="00FD1A44"/>
    <w:rsid w:val="00FD1B00"/>
    <w:rsid w:val="00FD21C2"/>
    <w:rsid w:val="00FD2729"/>
    <w:rsid w:val="00FD2AF2"/>
    <w:rsid w:val="00FD2E05"/>
    <w:rsid w:val="00FD2FCE"/>
    <w:rsid w:val="00FD30DD"/>
    <w:rsid w:val="00FD32DB"/>
    <w:rsid w:val="00FD37E2"/>
    <w:rsid w:val="00FD3F5A"/>
    <w:rsid w:val="00FD4A24"/>
    <w:rsid w:val="00FD4B92"/>
    <w:rsid w:val="00FD4C2C"/>
    <w:rsid w:val="00FD4E32"/>
    <w:rsid w:val="00FD4ED7"/>
    <w:rsid w:val="00FD57A5"/>
    <w:rsid w:val="00FD60EF"/>
    <w:rsid w:val="00FD6590"/>
    <w:rsid w:val="00FD6859"/>
    <w:rsid w:val="00FD6FBC"/>
    <w:rsid w:val="00FD6FC7"/>
    <w:rsid w:val="00FD701F"/>
    <w:rsid w:val="00FD7185"/>
    <w:rsid w:val="00FD71F7"/>
    <w:rsid w:val="00FD77B5"/>
    <w:rsid w:val="00FD7C00"/>
    <w:rsid w:val="00FD7E9B"/>
    <w:rsid w:val="00FE0025"/>
    <w:rsid w:val="00FE0648"/>
    <w:rsid w:val="00FE0B20"/>
    <w:rsid w:val="00FE0B77"/>
    <w:rsid w:val="00FE0C9C"/>
    <w:rsid w:val="00FE0D45"/>
    <w:rsid w:val="00FE0F77"/>
    <w:rsid w:val="00FE109F"/>
    <w:rsid w:val="00FE10A5"/>
    <w:rsid w:val="00FE10EE"/>
    <w:rsid w:val="00FE1142"/>
    <w:rsid w:val="00FE12C6"/>
    <w:rsid w:val="00FE139F"/>
    <w:rsid w:val="00FE1558"/>
    <w:rsid w:val="00FE1865"/>
    <w:rsid w:val="00FE1F0E"/>
    <w:rsid w:val="00FE219F"/>
    <w:rsid w:val="00FE23C9"/>
    <w:rsid w:val="00FE2461"/>
    <w:rsid w:val="00FE289B"/>
    <w:rsid w:val="00FE2AA5"/>
    <w:rsid w:val="00FE2B30"/>
    <w:rsid w:val="00FE2C86"/>
    <w:rsid w:val="00FE2C99"/>
    <w:rsid w:val="00FE2D98"/>
    <w:rsid w:val="00FE2E6B"/>
    <w:rsid w:val="00FE2F24"/>
    <w:rsid w:val="00FE322F"/>
    <w:rsid w:val="00FE32C6"/>
    <w:rsid w:val="00FE348F"/>
    <w:rsid w:val="00FE37D0"/>
    <w:rsid w:val="00FE3D15"/>
    <w:rsid w:val="00FE3EDE"/>
    <w:rsid w:val="00FE4212"/>
    <w:rsid w:val="00FE46ED"/>
    <w:rsid w:val="00FE4879"/>
    <w:rsid w:val="00FE4B00"/>
    <w:rsid w:val="00FE4D0D"/>
    <w:rsid w:val="00FE4D56"/>
    <w:rsid w:val="00FE4EDB"/>
    <w:rsid w:val="00FE4F8E"/>
    <w:rsid w:val="00FE4FCD"/>
    <w:rsid w:val="00FE5193"/>
    <w:rsid w:val="00FE5370"/>
    <w:rsid w:val="00FE5682"/>
    <w:rsid w:val="00FE56F8"/>
    <w:rsid w:val="00FE58CF"/>
    <w:rsid w:val="00FE5AF5"/>
    <w:rsid w:val="00FE5EA7"/>
    <w:rsid w:val="00FE63D5"/>
    <w:rsid w:val="00FE65C4"/>
    <w:rsid w:val="00FE69BB"/>
    <w:rsid w:val="00FE6FF5"/>
    <w:rsid w:val="00FE708F"/>
    <w:rsid w:val="00FE70BF"/>
    <w:rsid w:val="00FE71EA"/>
    <w:rsid w:val="00FE72B1"/>
    <w:rsid w:val="00FE768B"/>
    <w:rsid w:val="00FE7F60"/>
    <w:rsid w:val="00FEF568"/>
    <w:rsid w:val="00FF01CC"/>
    <w:rsid w:val="00FF0370"/>
    <w:rsid w:val="00FF08AB"/>
    <w:rsid w:val="00FF0AE9"/>
    <w:rsid w:val="00FF0D5F"/>
    <w:rsid w:val="00FF0FA3"/>
    <w:rsid w:val="00FF0FBB"/>
    <w:rsid w:val="00FF1756"/>
    <w:rsid w:val="00FF1B88"/>
    <w:rsid w:val="00FF1D1B"/>
    <w:rsid w:val="00FF1ECB"/>
    <w:rsid w:val="00FF21A9"/>
    <w:rsid w:val="00FF245E"/>
    <w:rsid w:val="00FF269D"/>
    <w:rsid w:val="00FF2BDF"/>
    <w:rsid w:val="00FF3213"/>
    <w:rsid w:val="00FF33C0"/>
    <w:rsid w:val="00FF35CA"/>
    <w:rsid w:val="00FF396F"/>
    <w:rsid w:val="00FF3D1D"/>
    <w:rsid w:val="00FF3EAE"/>
    <w:rsid w:val="00FF44D7"/>
    <w:rsid w:val="00FF451D"/>
    <w:rsid w:val="00FF4707"/>
    <w:rsid w:val="00FF4B7A"/>
    <w:rsid w:val="00FF4E63"/>
    <w:rsid w:val="00FF4EDC"/>
    <w:rsid w:val="00FF4EDF"/>
    <w:rsid w:val="00FF5690"/>
    <w:rsid w:val="00FF61DA"/>
    <w:rsid w:val="00FF61DD"/>
    <w:rsid w:val="00FF7183"/>
    <w:rsid w:val="00FF73C6"/>
    <w:rsid w:val="00FF74CA"/>
    <w:rsid w:val="00FF7AC2"/>
    <w:rsid w:val="00FF7B70"/>
    <w:rsid w:val="00FF7BB5"/>
    <w:rsid w:val="00FF7EA4"/>
    <w:rsid w:val="00FF7ECF"/>
    <w:rsid w:val="01535090"/>
    <w:rsid w:val="02E9E29A"/>
    <w:rsid w:val="079E053D"/>
    <w:rsid w:val="097B187F"/>
    <w:rsid w:val="0BA1140E"/>
    <w:rsid w:val="0CE4CB97"/>
    <w:rsid w:val="0D823E46"/>
    <w:rsid w:val="0E7E5525"/>
    <w:rsid w:val="1004E14E"/>
    <w:rsid w:val="1073B069"/>
    <w:rsid w:val="1114A614"/>
    <w:rsid w:val="114E4067"/>
    <w:rsid w:val="1158DE4D"/>
    <w:rsid w:val="11BA6E44"/>
    <w:rsid w:val="12783FE5"/>
    <w:rsid w:val="1288B16E"/>
    <w:rsid w:val="19708629"/>
    <w:rsid w:val="1B6A1ACF"/>
    <w:rsid w:val="1BCCDEF8"/>
    <w:rsid w:val="1BF58CF0"/>
    <w:rsid w:val="1CA1C93E"/>
    <w:rsid w:val="1D49855D"/>
    <w:rsid w:val="1EA761A5"/>
    <w:rsid w:val="20332107"/>
    <w:rsid w:val="2093B8FC"/>
    <w:rsid w:val="21254B64"/>
    <w:rsid w:val="219D22F6"/>
    <w:rsid w:val="230317C3"/>
    <w:rsid w:val="239D060E"/>
    <w:rsid w:val="265252E4"/>
    <w:rsid w:val="282E0560"/>
    <w:rsid w:val="28B3815C"/>
    <w:rsid w:val="2967A536"/>
    <w:rsid w:val="298DC877"/>
    <w:rsid w:val="2AA154A3"/>
    <w:rsid w:val="2AF9B191"/>
    <w:rsid w:val="2B582819"/>
    <w:rsid w:val="2C77C02F"/>
    <w:rsid w:val="2CA801CB"/>
    <w:rsid w:val="2E26F1BD"/>
    <w:rsid w:val="2E39EF4C"/>
    <w:rsid w:val="2E3D3915"/>
    <w:rsid w:val="2E842A1A"/>
    <w:rsid w:val="2E933AC4"/>
    <w:rsid w:val="2F1BBB67"/>
    <w:rsid w:val="31C596C5"/>
    <w:rsid w:val="335618CF"/>
    <w:rsid w:val="33D8D8C2"/>
    <w:rsid w:val="34779169"/>
    <w:rsid w:val="3507B778"/>
    <w:rsid w:val="363B3548"/>
    <w:rsid w:val="3647C0D4"/>
    <w:rsid w:val="378CCADB"/>
    <w:rsid w:val="38249991"/>
    <w:rsid w:val="390B77CB"/>
    <w:rsid w:val="391A22EC"/>
    <w:rsid w:val="3A6EDF97"/>
    <w:rsid w:val="3B112B89"/>
    <w:rsid w:val="3C76560D"/>
    <w:rsid w:val="3C857BE7"/>
    <w:rsid w:val="3C9061E7"/>
    <w:rsid w:val="3D8E90A7"/>
    <w:rsid w:val="3DE74868"/>
    <w:rsid w:val="3E176104"/>
    <w:rsid w:val="3E6F2FC0"/>
    <w:rsid w:val="3ECF0E6E"/>
    <w:rsid w:val="3EEBE18B"/>
    <w:rsid w:val="40097F8B"/>
    <w:rsid w:val="401741BE"/>
    <w:rsid w:val="4286D635"/>
    <w:rsid w:val="42C78299"/>
    <w:rsid w:val="42DCD625"/>
    <w:rsid w:val="465C8971"/>
    <w:rsid w:val="475A6F91"/>
    <w:rsid w:val="4777A914"/>
    <w:rsid w:val="48058787"/>
    <w:rsid w:val="49B48925"/>
    <w:rsid w:val="4A32C217"/>
    <w:rsid w:val="4ADE0DC0"/>
    <w:rsid w:val="4B01F2AB"/>
    <w:rsid w:val="4CE9C9D8"/>
    <w:rsid w:val="4D30FB70"/>
    <w:rsid w:val="4D48F4DD"/>
    <w:rsid w:val="4F1532D1"/>
    <w:rsid w:val="4F6531FF"/>
    <w:rsid w:val="4FE2B5DD"/>
    <w:rsid w:val="5031542C"/>
    <w:rsid w:val="50B322AE"/>
    <w:rsid w:val="50DC4599"/>
    <w:rsid w:val="516CFBAA"/>
    <w:rsid w:val="537DD2C0"/>
    <w:rsid w:val="538C022D"/>
    <w:rsid w:val="54ADF553"/>
    <w:rsid w:val="56D9D5F4"/>
    <w:rsid w:val="57036447"/>
    <w:rsid w:val="570EA721"/>
    <w:rsid w:val="575B58C5"/>
    <w:rsid w:val="591A27EE"/>
    <w:rsid w:val="591D0087"/>
    <w:rsid w:val="5ACF4CA3"/>
    <w:rsid w:val="5B486451"/>
    <w:rsid w:val="5B9A9FE7"/>
    <w:rsid w:val="5C9BD473"/>
    <w:rsid w:val="5CB0FA2D"/>
    <w:rsid w:val="5D5C7D5E"/>
    <w:rsid w:val="5DAE1105"/>
    <w:rsid w:val="5E09DD09"/>
    <w:rsid w:val="5E86E62E"/>
    <w:rsid w:val="5F57C339"/>
    <w:rsid w:val="5F65182C"/>
    <w:rsid w:val="5F7FEE0C"/>
    <w:rsid w:val="5F9E472B"/>
    <w:rsid w:val="5FC2C0AA"/>
    <w:rsid w:val="5FDB116C"/>
    <w:rsid w:val="61C9B994"/>
    <w:rsid w:val="630CDC5F"/>
    <w:rsid w:val="63A5589F"/>
    <w:rsid w:val="64087D95"/>
    <w:rsid w:val="663A648C"/>
    <w:rsid w:val="66668794"/>
    <w:rsid w:val="673C1CAA"/>
    <w:rsid w:val="678B6E3A"/>
    <w:rsid w:val="68081971"/>
    <w:rsid w:val="69410BBD"/>
    <w:rsid w:val="695E1383"/>
    <w:rsid w:val="6989B026"/>
    <w:rsid w:val="6A06482F"/>
    <w:rsid w:val="6A805BFC"/>
    <w:rsid w:val="6B0BF383"/>
    <w:rsid w:val="6B6CC9DC"/>
    <w:rsid w:val="6BBA6578"/>
    <w:rsid w:val="6BD5A1D7"/>
    <w:rsid w:val="6BF334A5"/>
    <w:rsid w:val="6D72D3F9"/>
    <w:rsid w:val="6F173E6F"/>
    <w:rsid w:val="71434449"/>
    <w:rsid w:val="71FF3FC4"/>
    <w:rsid w:val="73D26E3D"/>
    <w:rsid w:val="74B0CC32"/>
    <w:rsid w:val="762AF6F4"/>
    <w:rsid w:val="7721CA08"/>
    <w:rsid w:val="773FC355"/>
    <w:rsid w:val="775963B1"/>
    <w:rsid w:val="777E84DE"/>
    <w:rsid w:val="7A09BA31"/>
    <w:rsid w:val="7CD11ADC"/>
    <w:rsid w:val="7D092D12"/>
    <w:rsid w:val="7EF7CF5B"/>
    <w:rsid w:val="7FC11EC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F6106"/>
  <w15:docId w15:val="{39B91898-935E-F449-B0FA-3B6AAF7C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62"/>
    <w:pPr>
      <w:spacing w:after="0" w:line="240" w:lineRule="auto"/>
    </w:pPr>
    <w:rPr>
      <w:rFonts w:ascii="Times New Roman" w:eastAsia="Times New Roman" w:hAnsi="Times New Roman" w:cs="Times New Roman"/>
      <w:sz w:val="24"/>
      <w:szCs w:val="24"/>
      <w:lang w:val="es-CR" w:eastAsia="es-MX"/>
    </w:rPr>
  </w:style>
  <w:style w:type="paragraph" w:styleId="Ttulo1">
    <w:name w:val="heading 1"/>
    <w:basedOn w:val="Normal"/>
    <w:next w:val="Normal"/>
    <w:link w:val="Ttulo1Car"/>
    <w:uiPriority w:val="9"/>
    <w:qFormat/>
    <w:rsid w:val="009569E6"/>
    <w:pPr>
      <w:keepNext/>
      <w:keepLines/>
      <w:spacing w:before="360" w:after="360"/>
      <w:jc w:val="center"/>
      <w:outlineLvl w:val="0"/>
    </w:pPr>
    <w:rPr>
      <w:rFonts w:cs="Verdana"/>
      <w:b/>
      <w:bCs/>
      <w:caps/>
      <w:snapToGrid w:val="0"/>
      <w:szCs w:val="20"/>
      <w:lang w:eastAsia="es-ES"/>
    </w:rPr>
  </w:style>
  <w:style w:type="paragraph" w:styleId="Ttulo2">
    <w:name w:val="heading 2"/>
    <w:basedOn w:val="Normal"/>
    <w:next w:val="Normal"/>
    <w:link w:val="Ttulo2C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lang w:val="es-CO"/>
    </w:rPr>
  </w:style>
  <w:style w:type="paragraph" w:styleId="Ttulo3">
    <w:name w:val="heading 3"/>
    <w:basedOn w:val="Normal"/>
    <w:next w:val="Normal"/>
    <w:link w:val="Ttulo3Car"/>
    <w:uiPriority w:val="9"/>
    <w:unhideWhenUsed/>
    <w:qFormat/>
    <w:rsid w:val="00F80DDB"/>
    <w:pPr>
      <w:keepNext/>
      <w:keepLines/>
      <w:spacing w:before="200"/>
      <w:outlineLvl w:val="2"/>
    </w:pPr>
    <w:rPr>
      <w:rFonts w:eastAsiaTheme="majorEastAsia" w:cstheme="majorBidi"/>
      <w:b/>
      <w:bCs/>
      <w:i/>
      <w:lang w:val="es-CO"/>
    </w:rPr>
  </w:style>
  <w:style w:type="paragraph" w:styleId="Ttulo4">
    <w:name w:val="heading 4"/>
    <w:basedOn w:val="Normal"/>
    <w:next w:val="Normal"/>
    <w:link w:val="Ttulo4C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lang w:val="es-CO"/>
    </w:rPr>
  </w:style>
  <w:style w:type="paragraph" w:styleId="Ttulo5">
    <w:name w:val="heading 5"/>
    <w:basedOn w:val="Normal"/>
    <w:next w:val="Normal"/>
    <w:link w:val="Ttulo5Car"/>
    <w:uiPriority w:val="9"/>
    <w:unhideWhenUsed/>
    <w:qFormat/>
    <w:rsid w:val="009A2F04"/>
    <w:pPr>
      <w:keepNext/>
      <w:keepLines/>
      <w:spacing w:before="200"/>
      <w:outlineLvl w:val="4"/>
    </w:pPr>
    <w:rPr>
      <w:rFonts w:asciiTheme="majorHAnsi" w:eastAsiaTheme="majorEastAsia" w:hAnsiTheme="majorHAnsi" w:cstheme="majorBidi"/>
      <w:color w:val="243F60" w:themeColor="accent1" w:themeShade="7F"/>
      <w:lang w:val="es-CO"/>
    </w:rPr>
  </w:style>
  <w:style w:type="paragraph" w:styleId="Ttulo6">
    <w:name w:val="heading 6"/>
    <w:basedOn w:val="Ttulo5"/>
    <w:next w:val="Normal"/>
    <w:link w:val="Ttulo6C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Ttulo7">
    <w:name w:val="heading 7"/>
    <w:basedOn w:val="Normal"/>
    <w:next w:val="Normal"/>
    <w:link w:val="Ttulo7Car"/>
    <w:uiPriority w:val="99"/>
    <w:qFormat/>
    <w:rsid w:val="00BD53D7"/>
    <w:pPr>
      <w:tabs>
        <w:tab w:val="num" w:pos="1296"/>
      </w:tabs>
      <w:spacing w:before="240" w:after="60" w:line="276" w:lineRule="auto"/>
      <w:ind w:left="1296" w:hanging="1296"/>
      <w:outlineLvl w:val="6"/>
    </w:pPr>
    <w:rPr>
      <w:lang w:val="es-CO" w:eastAsia="es-ES"/>
    </w:rPr>
  </w:style>
  <w:style w:type="paragraph" w:styleId="Ttulo8">
    <w:name w:val="heading 8"/>
    <w:basedOn w:val="Normal"/>
    <w:next w:val="Normal"/>
    <w:link w:val="Ttulo8Car"/>
    <w:uiPriority w:val="99"/>
    <w:qFormat/>
    <w:rsid w:val="00BD53D7"/>
    <w:pPr>
      <w:tabs>
        <w:tab w:val="num" w:pos="1440"/>
      </w:tabs>
      <w:spacing w:before="240" w:after="60" w:line="276" w:lineRule="auto"/>
      <w:ind w:left="1440" w:hanging="1440"/>
      <w:outlineLvl w:val="7"/>
    </w:pPr>
    <w:rPr>
      <w:i/>
      <w:iCs/>
      <w:lang w:val="es-CO" w:eastAsia="es-ES"/>
    </w:rPr>
  </w:style>
  <w:style w:type="paragraph" w:styleId="Ttulo9">
    <w:name w:val="heading 9"/>
    <w:basedOn w:val="Normal"/>
    <w:next w:val="Normal"/>
    <w:link w:val="Ttulo9Car"/>
    <w:uiPriority w:val="99"/>
    <w:qFormat/>
    <w:rsid w:val="00BD53D7"/>
    <w:pPr>
      <w:spacing w:before="240" w:after="60" w:line="276" w:lineRule="auto"/>
      <w:outlineLvl w:val="8"/>
    </w:pPr>
    <w:rPr>
      <w:rFonts w:ascii="Arial" w:hAnsi="Arial"/>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9403BF"/>
    <w:pPr>
      <w:jc w:val="center"/>
    </w:pPr>
    <w:rPr>
      <w:b/>
      <w:szCs w:val="20"/>
      <w:lang w:val="es-CO"/>
    </w:rPr>
  </w:style>
  <w:style w:type="character" w:customStyle="1" w:styleId="TtuloCar">
    <w:name w:val="Título Car"/>
    <w:basedOn w:val="Fuentedeprrafopredeter"/>
    <w:link w:val="Ttulo"/>
    <w:rsid w:val="009403BF"/>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9403BF"/>
    <w:pPr>
      <w:numPr>
        <w:ilvl w:val="1"/>
      </w:numPr>
      <w:jc w:val="center"/>
    </w:pPr>
    <w:rPr>
      <w:b/>
      <w:i/>
      <w:iCs/>
      <w:spacing w:val="15"/>
      <w:lang w:val="es-CO"/>
    </w:rPr>
  </w:style>
  <w:style w:type="character" w:customStyle="1" w:styleId="SubttuloCar">
    <w:name w:val="Subtítulo Car"/>
    <w:basedOn w:val="Fuentedeprrafopredeter"/>
    <w:link w:val="Subttulo"/>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szCs w:val="20"/>
      <w:lang w:val="es-CO"/>
    </w:rPr>
  </w:style>
  <w:style w:type="paragraph" w:styleId="Encabezado">
    <w:name w:val="header"/>
    <w:aliases w:val="encabezado"/>
    <w:basedOn w:val="Normal"/>
    <w:link w:val="EncabezadoCar"/>
    <w:uiPriority w:val="99"/>
    <w:unhideWhenUsed/>
    <w:rsid w:val="009403BF"/>
    <w:pPr>
      <w:tabs>
        <w:tab w:val="center" w:pos="4252"/>
        <w:tab w:val="right" w:pos="8504"/>
      </w:tabs>
    </w:pPr>
    <w:rPr>
      <w:lang w:val="es-CO"/>
    </w:rPr>
  </w:style>
  <w:style w:type="character" w:customStyle="1" w:styleId="EncabezadoCar">
    <w:name w:val="Encabezado Car"/>
    <w:aliases w:val="encabezado Car"/>
    <w:basedOn w:val="Fuentedeprrafopredeter"/>
    <w:link w:val="Encabezado"/>
    <w:uiPriority w:val="99"/>
    <w:rsid w:val="009403BF"/>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9403BF"/>
    <w:pPr>
      <w:tabs>
        <w:tab w:val="center" w:pos="4252"/>
        <w:tab w:val="right" w:pos="8504"/>
      </w:tabs>
    </w:pPr>
    <w:rPr>
      <w:lang w:val="es-CO"/>
    </w:rPr>
  </w:style>
  <w:style w:type="character" w:customStyle="1" w:styleId="PiedepginaCar">
    <w:name w:val="Pie de página Car"/>
    <w:basedOn w:val="Fuentedeprrafopredeter"/>
    <w:link w:val="Piedepgina"/>
    <w:uiPriority w:val="99"/>
    <w:rsid w:val="009403BF"/>
    <w:rPr>
      <w:rFonts w:ascii="Verdana" w:eastAsia="Batang" w:hAnsi="Verdana" w:cs="Times"/>
      <w:noProof/>
      <w:sz w:val="20"/>
      <w:szCs w:val="24"/>
      <w:lang w:val="es-ES_tradnl"/>
    </w:rPr>
  </w:style>
  <w:style w:type="character" w:styleId="Hipervnculo">
    <w:name w:val="Hyperlink"/>
    <w:aliases w:val="Heading 3 caso"/>
    <w:basedOn w:val="Fuentedeprrafopredeter"/>
    <w:uiPriority w:val="99"/>
    <w:unhideWhenUsed/>
    <w:rsid w:val="009403BF"/>
    <w:rPr>
      <w:color w:val="0000FF"/>
      <w:u w:val="single"/>
    </w:rPr>
  </w:style>
  <w:style w:type="paragraph" w:styleId="TDC1">
    <w:name w:val="toc 1"/>
    <w:basedOn w:val="Normal"/>
    <w:next w:val="Normal"/>
    <w:autoRedefine/>
    <w:uiPriority w:val="39"/>
    <w:unhideWhenUsed/>
    <w:rsid w:val="00D54795"/>
    <w:pPr>
      <w:tabs>
        <w:tab w:val="left" w:pos="709"/>
        <w:tab w:val="right" w:leader="dot" w:pos="10200"/>
      </w:tabs>
      <w:spacing w:before="60" w:after="60"/>
      <w:ind w:right="-6"/>
    </w:pPr>
    <w:rPr>
      <w:b/>
      <w:sz w:val="18"/>
      <w:lang w:val="es-CO"/>
    </w:rPr>
  </w:style>
  <w:style w:type="character" w:customStyle="1" w:styleId="Ttulo1Car">
    <w:name w:val="Título 1 Car"/>
    <w:basedOn w:val="Fuentedeprrafopredeter"/>
    <w:link w:val="Ttulo1"/>
    <w:uiPriority w:val="9"/>
    <w:rsid w:val="009569E6"/>
    <w:rPr>
      <w:rFonts w:ascii="Verdana" w:eastAsia="Times New Roman" w:hAnsi="Verdana" w:cs="Verdana"/>
      <w:b/>
      <w:bCs/>
      <w:caps/>
      <w:noProof/>
      <w:snapToGrid w:val="0"/>
      <w:sz w:val="20"/>
      <w:szCs w:val="20"/>
      <w:lang w:val="es-CR" w:eastAsia="es-ES"/>
    </w:rPr>
  </w:style>
  <w:style w:type="paragraph" w:styleId="Prrafodelista">
    <w:name w:val="List Paragraph"/>
    <w:aliases w:val="Footnote,List Paragraph1,Colorful List - Accent 11,Párrafo de lista1,List Paragraph2,Lista vistosa - Énfasis 11,Subtle Emphasis1,Footnote1,List Paragraph11,Parrafos,Medium Grid 1 - Accent 21,Colorful List - Accent 12"/>
    <w:basedOn w:val="Normal"/>
    <w:link w:val="PrrafodelistaCar"/>
    <w:uiPriority w:val="34"/>
    <w:qFormat/>
    <w:rsid w:val="00CA3EC4"/>
    <w:pPr>
      <w:ind w:left="720"/>
      <w:contextualSpacing/>
    </w:pPr>
    <w:rPr>
      <w:lang w:val="es-CO"/>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qFormat/>
    <w:rsid w:val="006F5C6B"/>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6F5C6B"/>
    <w:pPr>
      <w:spacing w:before="120" w:after="120"/>
    </w:pPr>
    <w:rPr>
      <w:sz w:val="16"/>
      <w:szCs w:val="20"/>
      <w:lang w:val="es-CO"/>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qFormat/>
    <w:rsid w:val="006F5C6B"/>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link w:val="Textonotapie"/>
    <w:qFormat/>
    <w:rsid w:val="006F5C6B"/>
    <w:rPr>
      <w:rFonts w:ascii="Verdana" w:eastAsia="Batang" w:hAnsi="Verdana" w:cs="Times"/>
      <w:noProof/>
      <w:sz w:val="16"/>
      <w:szCs w:val="20"/>
      <w:lang w:val="es-ES_tradnl"/>
    </w:rPr>
  </w:style>
  <w:style w:type="character" w:styleId="Textoennegrita">
    <w:name w:val="Strong"/>
    <w:aliases w:val="Heading 2.1"/>
    <w:basedOn w:val="Fuentedeprrafopredeter"/>
    <w:uiPriority w:val="22"/>
    <w:qFormat/>
    <w:rsid w:val="0003786A"/>
    <w:rPr>
      <w:b/>
      <w:bCs/>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List Paragraph11 Car1,Parrafos Car"/>
    <w:basedOn w:val="Fuentedeprrafopredeter"/>
    <w:link w:val="Prrafodelista"/>
    <w:uiPriority w:val="34"/>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lang w:val="es-CO"/>
    </w:rPr>
  </w:style>
  <w:style w:type="character" w:customStyle="1" w:styleId="Estilo1Car">
    <w:name w:val="Estilo1 Car"/>
    <w:basedOn w:val="Fuentedeprrafopredeter"/>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Fuentedeprrafopredeter"/>
    <w:rsid w:val="003C30A5"/>
  </w:style>
  <w:style w:type="paragraph" w:styleId="TtuloTDC">
    <w:name w:val="TOC Heading"/>
    <w:basedOn w:val="Ttulo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Textodeglobo">
    <w:name w:val="Balloon Text"/>
    <w:basedOn w:val="Normal"/>
    <w:link w:val="TextodegloboCar"/>
    <w:uiPriority w:val="99"/>
    <w:unhideWhenUsed/>
    <w:rsid w:val="00206CEA"/>
    <w:rPr>
      <w:rFonts w:ascii="Tahoma" w:hAnsi="Tahoma" w:cs="Tahoma"/>
      <w:sz w:val="16"/>
      <w:szCs w:val="16"/>
      <w:lang w:val="es-CO"/>
    </w:rPr>
  </w:style>
  <w:style w:type="character" w:customStyle="1" w:styleId="TextodegloboCar">
    <w:name w:val="Texto de globo Car"/>
    <w:basedOn w:val="Fuentedeprrafopredeter"/>
    <w:link w:val="Textodeglobo"/>
    <w:uiPriority w:val="99"/>
    <w:rsid w:val="00206CEA"/>
    <w:rPr>
      <w:rFonts w:ascii="Tahoma" w:eastAsia="Batang" w:hAnsi="Tahoma" w:cs="Tahoma"/>
      <w:noProof/>
      <w:sz w:val="16"/>
      <w:szCs w:val="16"/>
      <w:lang w:val="es-ES_tradnl"/>
    </w:rPr>
  </w:style>
  <w:style w:type="table" w:styleId="Tablaconcuadrcula">
    <w:name w:val="Table Grid"/>
    <w:basedOn w:val="Tablanormal"/>
    <w:uiPriority w:val="3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2">
    <w:name w:val="toc 2"/>
    <w:basedOn w:val="Normal"/>
    <w:next w:val="Normal"/>
    <w:autoRedefine/>
    <w:uiPriority w:val="39"/>
    <w:unhideWhenUsed/>
    <w:rsid w:val="00F132FC"/>
    <w:pPr>
      <w:tabs>
        <w:tab w:val="left" w:pos="660"/>
        <w:tab w:val="right" w:leader="dot" w:pos="10065"/>
      </w:tabs>
      <w:spacing w:after="60"/>
      <w:ind w:left="198" w:right="237"/>
    </w:pPr>
    <w:rPr>
      <w:lang w:val="es-CO"/>
    </w:rPr>
  </w:style>
  <w:style w:type="character" w:styleId="Refdecomentario">
    <w:name w:val="annotation reference"/>
    <w:basedOn w:val="Fuentedeprrafopredeter"/>
    <w:uiPriority w:val="99"/>
    <w:semiHidden/>
    <w:unhideWhenUsed/>
    <w:rsid w:val="00500859"/>
    <w:rPr>
      <w:sz w:val="16"/>
      <w:szCs w:val="16"/>
    </w:rPr>
  </w:style>
  <w:style w:type="paragraph" w:styleId="Textocomentario">
    <w:name w:val="annotation text"/>
    <w:basedOn w:val="Normal"/>
    <w:link w:val="TextocomentarioCar"/>
    <w:uiPriority w:val="99"/>
    <w:unhideWhenUsed/>
    <w:rsid w:val="00500859"/>
    <w:rPr>
      <w:szCs w:val="20"/>
      <w:lang w:val="es-CO"/>
    </w:rPr>
  </w:style>
  <w:style w:type="character" w:customStyle="1" w:styleId="TextocomentarioCar">
    <w:name w:val="Texto comentario Car"/>
    <w:basedOn w:val="Fuentedeprrafopredeter"/>
    <w:link w:val="Textocomentario"/>
    <w:uiPriority w:val="99"/>
    <w:rsid w:val="00500859"/>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00859"/>
    <w:rPr>
      <w:b/>
      <w:bCs/>
    </w:rPr>
  </w:style>
  <w:style w:type="character" w:customStyle="1" w:styleId="AsuntodelcomentarioCar">
    <w:name w:val="Asunto del comentario Car"/>
    <w:basedOn w:val="TextocomentarioCar"/>
    <w:link w:val="Asuntodelcomentario"/>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Textonotapie"/>
    <w:link w:val="FootnotesChar"/>
    <w:autoRedefine/>
    <w:qFormat/>
    <w:rsid w:val="00B74725"/>
    <w:pPr>
      <w:spacing w:before="60" w:after="60"/>
      <w:ind w:left="2124" w:hanging="2124"/>
    </w:pPr>
    <w:rPr>
      <w:rFonts w:cs="Palatino-Italic"/>
      <w:iCs/>
      <w:spacing w:val="-4"/>
      <w:szCs w:val="16"/>
      <w:lang w:val="es-ES" w:bidi="en-US"/>
    </w:rPr>
  </w:style>
  <w:style w:type="character" w:customStyle="1" w:styleId="FootnotesChar">
    <w:name w:val="**. Footnotes Char"/>
    <w:basedOn w:val="Fuentedeprrafopredeter"/>
    <w:link w:val="Footnotes"/>
    <w:rsid w:val="00B74725"/>
    <w:rPr>
      <w:rFonts w:ascii="Verdana" w:eastAsia="Times New Roman" w:hAnsi="Verdana" w:cs="Palatino-Italic"/>
      <w:iCs/>
      <w:spacing w:val="-4"/>
      <w:sz w:val="16"/>
      <w:szCs w:val="16"/>
      <w:lang w:bidi="en-US"/>
    </w:rPr>
  </w:style>
  <w:style w:type="character" w:customStyle="1" w:styleId="Ttulo6Car">
    <w:name w:val="Título 6 Car"/>
    <w:basedOn w:val="Fuentedeprrafopredeter"/>
    <w:link w:val="Ttulo6"/>
    <w:uiPriority w:val="9"/>
    <w:rsid w:val="009A2F04"/>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Ttulo2Car">
    <w:name w:val="Título 2 Car"/>
    <w:basedOn w:val="Fuentedeprrafopredeter"/>
    <w:link w:val="Ttulo2"/>
    <w:uiPriority w:val="9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Ttulo3Car">
    <w:name w:val="Título 3 Car"/>
    <w:basedOn w:val="Fuentedeprrafopredeter"/>
    <w:link w:val="Ttulo3"/>
    <w:uiPriority w:val="9"/>
    <w:rsid w:val="00F80DDB"/>
    <w:rPr>
      <w:rFonts w:ascii="Verdana" w:eastAsiaTheme="majorEastAsia" w:hAnsi="Verdana" w:cstheme="majorBidi"/>
      <w:b/>
      <w:bCs/>
      <w:i/>
      <w:sz w:val="20"/>
      <w:szCs w:val="24"/>
      <w:lang w:val="es-ES_tradnl"/>
    </w:rPr>
  </w:style>
  <w:style w:type="character" w:customStyle="1" w:styleId="Ttulo4Car">
    <w:name w:val="Título 4 Car"/>
    <w:basedOn w:val="Fuentedeprrafopredeter"/>
    <w:link w:val="Ttulo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Textonotapie"/>
    <w:link w:val="2FootnotesChar"/>
    <w:autoRedefine/>
    <w:qFormat/>
    <w:rsid w:val="00F80DDB"/>
    <w:rPr>
      <w:rFonts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F80DDB"/>
    <w:rPr>
      <w:rFonts w:asciiTheme="minorHAnsi" w:eastAsiaTheme="minorHAnsi" w:hAnsiTheme="minorHAnsi"/>
      <w:sz w:val="22"/>
      <w:szCs w:val="20"/>
      <w:vertAlign w:val="superscript"/>
      <w:lang w:val="es-ES"/>
    </w:rPr>
  </w:style>
  <w:style w:type="character" w:customStyle="1" w:styleId="PrrafodeSentenciaChar">
    <w:name w:val="*. Párrafo de Sentencia Char"/>
    <w:link w:val="PrrafodeSentencia"/>
    <w:locked/>
    <w:rsid w:val="00AD12A6"/>
    <w:rPr>
      <w:rFonts w:ascii="Verdana" w:eastAsia="Batang" w:hAnsi="Verdana" w:cs="Arial"/>
      <w:sz w:val="20"/>
      <w:szCs w:val="20"/>
      <w:lang w:val="es-ES_tradnl" w:eastAsia="es-ES"/>
    </w:rPr>
  </w:style>
  <w:style w:type="paragraph" w:customStyle="1" w:styleId="PrrafodeSentencia">
    <w:name w:val="*. Párrafo de Sentencia"/>
    <w:basedOn w:val="Textonotapie"/>
    <w:link w:val="PrrafodeSentenciaChar"/>
    <w:autoRedefine/>
    <w:qFormat/>
    <w:rsid w:val="00AD12A6"/>
    <w:pPr>
      <w:tabs>
        <w:tab w:val="left" w:pos="720"/>
        <w:tab w:val="left" w:pos="2268"/>
      </w:tabs>
      <w:spacing w:before="240" w:after="240"/>
      <w:ind w:left="567" w:right="899"/>
    </w:pPr>
    <w:rPr>
      <w:rFonts w:cs="Arial"/>
      <w:sz w:val="20"/>
      <w:lang w:eastAsia="es-ES"/>
    </w:rPr>
  </w:style>
  <w:style w:type="character" w:customStyle="1" w:styleId="Smbolodenotaalpie">
    <w:name w:val="Símbolo de nota al pie"/>
    <w:rsid w:val="00577335"/>
    <w:rPr>
      <w:rFonts w:cs="Times New Roman"/>
      <w:szCs w:val="20"/>
      <w:vertAlign w:val="superscript"/>
    </w:rPr>
  </w:style>
  <w:style w:type="character" w:customStyle="1" w:styleId="Ttulo7Car">
    <w:name w:val="Título 7 Car"/>
    <w:basedOn w:val="Fuentedeprrafopredeter"/>
    <w:link w:val="Ttulo7"/>
    <w:uiPriority w:val="99"/>
    <w:rsid w:val="00BD53D7"/>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uiPriority w:val="99"/>
    <w:rsid w:val="00BD53D7"/>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uiPriority w:val="99"/>
    <w:rsid w:val="00BD53D7"/>
    <w:rPr>
      <w:rFonts w:ascii="Arial" w:eastAsia="Times New Roman" w:hAnsi="Arial" w:cs="Times New Roman"/>
      <w:lang w:val="es-ES_tradnl"/>
    </w:rPr>
  </w:style>
  <w:style w:type="character" w:styleId="Nmerodelnea">
    <w:name w:val="line number"/>
    <w:basedOn w:val="Fuentedeprrafopredeter"/>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pPr>
    <w:rPr>
      <w:rFonts w:ascii="Arial Unicode MS" w:hAnsi="Arial Unicode MS" w:cs="Arial Unicode MS"/>
      <w:sz w:val="16"/>
      <w:szCs w:val="16"/>
      <w:lang w:val="en-US"/>
    </w:rPr>
  </w:style>
  <w:style w:type="paragraph" w:styleId="Textonotaalfinal">
    <w:name w:val="endnote text"/>
    <w:basedOn w:val="Normal"/>
    <w:link w:val="TextonotaalfinalC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hAnsi="CG Times"/>
      <w:sz w:val="22"/>
      <w:szCs w:val="20"/>
      <w:lang w:val="es-ES"/>
    </w:rPr>
  </w:style>
  <w:style w:type="character" w:customStyle="1" w:styleId="TextonotaalfinalCar">
    <w:name w:val="Texto nota al final Car"/>
    <w:basedOn w:val="Fuentedeprrafopredeter"/>
    <w:link w:val="Textonotaalfinal"/>
    <w:uiPriority w:val="99"/>
    <w:semiHidden/>
    <w:rsid w:val="00BD53D7"/>
    <w:rPr>
      <w:rFonts w:ascii="CG Times" w:eastAsia="Times New Roman" w:hAnsi="CG Times" w:cs="Times New Roman"/>
      <w:szCs w:val="20"/>
    </w:rPr>
  </w:style>
  <w:style w:type="character" w:styleId="Nmerodepgina">
    <w:name w:val="page number"/>
    <w:basedOn w:val="Fuentedeprrafopredeter"/>
    <w:uiPriority w:val="99"/>
    <w:rsid w:val="00BD53D7"/>
    <w:rPr>
      <w:rFonts w:cs="Times New Roman"/>
    </w:rPr>
  </w:style>
  <w:style w:type="paragraph" w:styleId="Sangradetextonormal">
    <w:name w:val="Body Text Indent"/>
    <w:basedOn w:val="Normal"/>
    <w:link w:val="SangradetextonormalCar"/>
    <w:uiPriority w:val="99"/>
    <w:rsid w:val="00BD53D7"/>
    <w:pPr>
      <w:spacing w:before="60" w:after="60" w:line="276" w:lineRule="auto"/>
      <w:ind w:left="720"/>
    </w:pPr>
    <w:rPr>
      <w:rFonts w:ascii="Univers" w:hAnsi="Univers"/>
      <w:szCs w:val="20"/>
      <w:lang w:val="es-CL"/>
    </w:rPr>
  </w:style>
  <w:style w:type="character" w:customStyle="1" w:styleId="SangradetextonormalCar">
    <w:name w:val="Sangría de texto normal Car"/>
    <w:basedOn w:val="Fuentedeprrafopredeter"/>
    <w:link w:val="Sangradetextonormal"/>
    <w:rsid w:val="00BD53D7"/>
    <w:rPr>
      <w:rFonts w:ascii="Univers" w:eastAsia="Times New Roman" w:hAnsi="Univers" w:cs="Times New Roman"/>
      <w:sz w:val="20"/>
      <w:szCs w:val="20"/>
      <w:lang w:val="es-CL"/>
    </w:rPr>
  </w:style>
  <w:style w:type="paragraph" w:styleId="Textoindependiente">
    <w:name w:val="Body Text"/>
    <w:basedOn w:val="Normal"/>
    <w:link w:val="TextoindependienteCar"/>
    <w:uiPriority w:val="99"/>
    <w:rsid w:val="00BD53D7"/>
    <w:pPr>
      <w:spacing w:before="60" w:after="60" w:line="276" w:lineRule="auto"/>
    </w:pPr>
    <w:rPr>
      <w:rFonts w:ascii="Univers" w:hAnsi="Univers"/>
      <w:sz w:val="22"/>
      <w:szCs w:val="20"/>
      <w:lang w:val="es-CL"/>
    </w:rPr>
  </w:style>
  <w:style w:type="character" w:customStyle="1" w:styleId="TextoindependienteCar">
    <w:name w:val="Texto independiente Car"/>
    <w:basedOn w:val="Fuentedeprrafopredeter"/>
    <w:link w:val="Textoindependiente"/>
    <w:uiPriority w:val="99"/>
    <w:rsid w:val="00BD53D7"/>
    <w:rPr>
      <w:rFonts w:ascii="Univers" w:eastAsia="Times New Roman" w:hAnsi="Univers" w:cs="Times New Roman"/>
      <w:szCs w:val="20"/>
      <w:lang w:val="es-CL"/>
    </w:rPr>
  </w:style>
  <w:style w:type="paragraph" w:styleId="Textoindependiente2">
    <w:name w:val="Body Text 2"/>
    <w:basedOn w:val="Normal"/>
    <w:link w:val="Textoindependiente2Car"/>
    <w:uiPriority w:val="99"/>
    <w:rsid w:val="00BD53D7"/>
    <w:pPr>
      <w:spacing w:before="60" w:after="120" w:line="480" w:lineRule="auto"/>
    </w:pPr>
    <w:rPr>
      <w:lang w:val="es-CO"/>
    </w:rPr>
  </w:style>
  <w:style w:type="character" w:customStyle="1" w:styleId="Textoindependiente2Car">
    <w:name w:val="Texto independiente 2 Car"/>
    <w:basedOn w:val="Fuentedeprrafopredeter"/>
    <w:link w:val="Textoindependiente2"/>
    <w:uiPriority w:val="99"/>
    <w:rsid w:val="00BD53D7"/>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rsid w:val="00BD53D7"/>
    <w:pPr>
      <w:spacing w:before="60" w:after="120" w:line="480" w:lineRule="auto"/>
      <w:ind w:left="283"/>
    </w:pPr>
    <w:rPr>
      <w:szCs w:val="20"/>
      <w:lang w:val="es-CO"/>
    </w:rPr>
  </w:style>
  <w:style w:type="character" w:customStyle="1" w:styleId="Sangra2detindependienteCar">
    <w:name w:val="Sangría 2 de t. independiente Car"/>
    <w:basedOn w:val="Fuentedeprrafopredeter"/>
    <w:link w:val="Sangra2detindependiente"/>
    <w:uiPriority w:val="99"/>
    <w:rsid w:val="00BD53D7"/>
    <w:rPr>
      <w:rFonts w:ascii="Times New Roman" w:eastAsia="Times New Roman" w:hAnsi="Times New Roman" w:cs="Times New Roman"/>
      <w:sz w:val="24"/>
      <w:szCs w:val="20"/>
      <w:lang w:val="es-ES_tradnl"/>
    </w:rPr>
  </w:style>
  <w:style w:type="character" w:styleId="nfasis">
    <w:name w:val="Emphasis"/>
    <w:basedOn w:val="Fuentedeprrafopredeter"/>
    <w:qFormat/>
    <w:rsid w:val="00BD53D7"/>
    <w:rPr>
      <w:rFonts w:cs="Times New Roman"/>
      <w:i/>
      <w:iCs/>
    </w:rPr>
  </w:style>
  <w:style w:type="paragraph" w:styleId="Sangra3detindependiente">
    <w:name w:val="Body Text Indent 3"/>
    <w:basedOn w:val="Normal"/>
    <w:link w:val="Sangra3detindependienteCar"/>
    <w:uiPriority w:val="99"/>
    <w:rsid w:val="00BD53D7"/>
    <w:pPr>
      <w:spacing w:before="60" w:after="120" w:line="276" w:lineRule="auto"/>
      <w:ind w:left="283"/>
    </w:pPr>
    <w:rPr>
      <w:sz w:val="16"/>
      <w:szCs w:val="16"/>
      <w:lang w:val="es-ES"/>
    </w:rPr>
  </w:style>
  <w:style w:type="character" w:customStyle="1" w:styleId="Sangra3detindependienteCar">
    <w:name w:val="Sangría 3 de t. independiente Car"/>
    <w:basedOn w:val="Fuentedeprrafopredeter"/>
    <w:link w:val="Sangra3detindependiente"/>
    <w:uiPriority w:val="99"/>
    <w:rsid w:val="00BD53D7"/>
    <w:rPr>
      <w:rFonts w:ascii="Times New Roman" w:eastAsia="Times New Roman" w:hAnsi="Times New Roman" w:cs="Times New Roman"/>
      <w:sz w:val="16"/>
      <w:szCs w:val="16"/>
    </w:rPr>
  </w:style>
  <w:style w:type="paragraph" w:styleId="Textoindependiente3">
    <w:name w:val="Body Text 3"/>
    <w:basedOn w:val="Normal"/>
    <w:link w:val="Textoindependiente3Car"/>
    <w:uiPriority w:val="99"/>
    <w:rsid w:val="00BD53D7"/>
    <w:pPr>
      <w:spacing w:before="60" w:after="120" w:line="276" w:lineRule="auto"/>
    </w:pPr>
    <w:rPr>
      <w:sz w:val="16"/>
      <w:szCs w:val="16"/>
      <w:lang w:val="es-ES"/>
    </w:rPr>
  </w:style>
  <w:style w:type="character" w:customStyle="1" w:styleId="Textoindependiente3Car">
    <w:name w:val="Texto independiente 3 Car"/>
    <w:basedOn w:val="Fuentedeprrafopredeter"/>
    <w:link w:val="Textoindependiente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Fuentedeprrafopredeter"/>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hAnsi="Garamond"/>
      <w:szCs w:val="20"/>
      <w:lang w:val="es-CO"/>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pPr>
    <w:rPr>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jc w:val="center"/>
    </w:pPr>
    <w:rPr>
      <w:b/>
      <w:caps/>
      <w:szCs w:val="20"/>
      <w:lang w:val="es-ES" w:eastAsia="es-ES"/>
    </w:rPr>
  </w:style>
  <w:style w:type="paragraph" w:styleId="Listaconvietas">
    <w:name w:val="List Bullet"/>
    <w:basedOn w:val="Normal"/>
    <w:uiPriority w:val="99"/>
    <w:rsid w:val="00BD53D7"/>
    <w:pPr>
      <w:numPr>
        <w:numId w:val="4"/>
      </w:numPr>
      <w:tabs>
        <w:tab w:val="clear" w:pos="360"/>
        <w:tab w:val="num" w:pos="780"/>
      </w:tabs>
      <w:spacing w:before="60" w:after="60" w:line="276" w:lineRule="auto"/>
    </w:pPr>
    <w:rPr>
      <w:lang w:val="es-ES"/>
    </w:rPr>
  </w:style>
  <w:style w:type="character" w:customStyle="1" w:styleId="CarCar">
    <w:name w:val="Car Car"/>
    <w:basedOn w:val="Fuentedeprrafopredeter"/>
    <w:uiPriority w:val="99"/>
    <w:rsid w:val="00BD53D7"/>
    <w:rPr>
      <w:rFonts w:cs="Times New Roman"/>
      <w:sz w:val="24"/>
      <w:lang w:val="es-ES" w:eastAsia="en-US"/>
    </w:rPr>
  </w:style>
  <w:style w:type="paragraph" w:styleId="Lista2">
    <w:name w:val="List 2"/>
    <w:basedOn w:val="Normal"/>
    <w:uiPriority w:val="99"/>
    <w:rsid w:val="00BD53D7"/>
    <w:pPr>
      <w:spacing w:before="60" w:after="60" w:line="276" w:lineRule="auto"/>
      <w:ind w:left="566" w:hanging="283"/>
    </w:pPr>
    <w:rPr>
      <w:sz w:val="28"/>
      <w:szCs w:val="28"/>
      <w:lang w:val="es-ES" w:eastAsia="es-ES"/>
    </w:rPr>
  </w:style>
  <w:style w:type="paragraph" w:styleId="Textodebloque">
    <w:name w:val="Block Text"/>
    <w:basedOn w:val="Normal"/>
    <w:uiPriority w:val="99"/>
    <w:rsid w:val="00BD53D7"/>
    <w:pPr>
      <w:spacing w:before="60" w:after="60" w:line="360" w:lineRule="auto"/>
      <w:ind w:left="1259" w:right="919"/>
    </w:pPr>
    <w:rPr>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pPr>
    <w:rPr>
      <w:lang w:val="es-ES" w:eastAsia="es-ES"/>
    </w:rPr>
  </w:style>
  <w:style w:type="paragraph" w:customStyle="1" w:styleId="Prrafodelista1">
    <w:name w:val="P∑rrafo de lista1"/>
    <w:basedOn w:val="Normal"/>
    <w:uiPriority w:val="99"/>
    <w:rsid w:val="00BD53D7"/>
    <w:pPr>
      <w:spacing w:before="60" w:after="60" w:line="276" w:lineRule="auto"/>
      <w:ind w:left="720"/>
      <w:contextualSpacing/>
    </w:pPr>
    <w:rPr>
      <w:lang w:val="es-CO"/>
    </w:rPr>
  </w:style>
  <w:style w:type="paragraph" w:customStyle="1" w:styleId="StyleHeading2LatinTimesNewRomanAsianBatang12ptN">
    <w:name w:val="Style Heading 2 + (Latin) Times New Roman (Asian) Batang 12 pt N..."/>
    <w:basedOn w:val="Ttulo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Fuentedeprrafopredeter"/>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hAnsi="Apple Chancery"/>
      <w:b/>
      <w:szCs w:val="20"/>
      <w:lang w:val="es-CO" w:eastAsia="es-ES"/>
    </w:rPr>
  </w:style>
  <w:style w:type="paragraph" w:customStyle="1" w:styleId="Textoindependiente21">
    <w:name w:val="Texto independiente 21"/>
    <w:basedOn w:val="Normal"/>
    <w:uiPriority w:val="99"/>
    <w:rsid w:val="00BD53D7"/>
    <w:pPr>
      <w:spacing w:before="60" w:after="60" w:line="360" w:lineRule="atLeast"/>
    </w:pPr>
    <w:rPr>
      <w:szCs w:val="20"/>
      <w:lang w:val="es-CO" w:eastAsia="es-ES"/>
    </w:rPr>
  </w:style>
  <w:style w:type="character" w:customStyle="1" w:styleId="Refdenotaalpie7">
    <w:name w:val="Ref. de nota al pie7"/>
    <w:uiPriority w:val="99"/>
    <w:rsid w:val="00BD53D7"/>
    <w:rPr>
      <w:vertAlign w:val="superscript"/>
    </w:rPr>
  </w:style>
  <w:style w:type="paragraph" w:styleId="Sinespaciado">
    <w:name w:val="No Spacing"/>
    <w:link w:val="SinespaciadoCar"/>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pPr>
    <w:rPr>
      <w:lang w:val="es-ES" w:eastAsia="es-ES"/>
    </w:rPr>
  </w:style>
  <w:style w:type="character" w:customStyle="1" w:styleId="googqs-tidbit1">
    <w:name w:val="goog_qs-tidbit1"/>
    <w:basedOn w:val="Fuentedeprrafopredeter"/>
    <w:uiPriority w:val="99"/>
    <w:rsid w:val="00BD53D7"/>
    <w:rPr>
      <w:rFonts w:cs="Times New Roman"/>
    </w:rPr>
  </w:style>
  <w:style w:type="character" w:customStyle="1" w:styleId="apple-style-span">
    <w:name w:val="apple-style-span"/>
    <w:basedOn w:val="Fuentedeprrafopredeter"/>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pPr>
    <w:rPr>
      <w:szCs w:val="20"/>
      <w:lang w:val="es-CO"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pPr>
    <w:rPr>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pPr>
    <w:rPr>
      <w:lang w:val="en-US"/>
    </w:rPr>
  </w:style>
  <w:style w:type="character" w:customStyle="1" w:styleId="ju-005fpara-0020char-0020char-0020char--char">
    <w:name w:val="ju-005fpara-0020char-0020char-0020char--char"/>
    <w:basedOn w:val="Fuentedeprrafopredeter"/>
    <w:uiPriority w:val="99"/>
    <w:rsid w:val="00BD53D7"/>
    <w:rPr>
      <w:rFonts w:cs="Times New Roman"/>
    </w:rPr>
  </w:style>
  <w:style w:type="character" w:styleId="Hipervnculovisitado">
    <w:name w:val="FollowedHyperlink"/>
    <w:basedOn w:val="Fuentedeprrafopredeter"/>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Refdenotaalfinal">
    <w:name w:val="endnote reference"/>
    <w:basedOn w:val="Fuentedeprrafopredeter"/>
    <w:uiPriority w:val="99"/>
    <w:semiHidden/>
    <w:unhideWhenUsed/>
    <w:rsid w:val="00BD53D7"/>
    <w:rPr>
      <w:vertAlign w:val="superscript"/>
    </w:rPr>
  </w:style>
  <w:style w:type="paragraph" w:styleId="Revisi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Textodelmarcadordeposicin">
    <w:name w:val="Placeholder Text"/>
    <w:basedOn w:val="Fuentedeprrafopredeter"/>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DC3">
    <w:name w:val="toc 3"/>
    <w:basedOn w:val="Normal"/>
    <w:next w:val="Normal"/>
    <w:autoRedefine/>
    <w:uiPriority w:val="39"/>
    <w:unhideWhenUsed/>
    <w:rsid w:val="0031209C"/>
    <w:pPr>
      <w:tabs>
        <w:tab w:val="right" w:leader="dot" w:pos="10200"/>
      </w:tabs>
      <w:spacing w:after="40"/>
      <w:ind w:left="403" w:right="237"/>
    </w:pPr>
    <w:rPr>
      <w:lang w:val="es-CO"/>
    </w:rPr>
  </w:style>
  <w:style w:type="paragraph" w:customStyle="1" w:styleId="Prrafodelista2">
    <w:name w:val="Párrafo de lista2"/>
    <w:basedOn w:val="Normal"/>
    <w:uiPriority w:val="99"/>
    <w:rsid w:val="006D122D"/>
    <w:pPr>
      <w:ind w:left="720"/>
    </w:pPr>
    <w:rPr>
      <w:rFonts w:eastAsia="MS Mincho"/>
      <w:szCs w:val="20"/>
      <w:lang w:val="es-CO"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qFormat/>
    <w:locked/>
    <w:rsid w:val="000C140A"/>
    <w:rPr>
      <w:rFonts w:ascii="Verdana" w:hAnsi="Verdana"/>
    </w:rPr>
  </w:style>
  <w:style w:type="paragraph" w:styleId="TDC4">
    <w:name w:val="toc 4"/>
    <w:basedOn w:val="Normal"/>
    <w:next w:val="Normal"/>
    <w:autoRedefine/>
    <w:uiPriority w:val="39"/>
    <w:unhideWhenUsed/>
    <w:rsid w:val="00693752"/>
    <w:pPr>
      <w:tabs>
        <w:tab w:val="left" w:pos="1200"/>
        <w:tab w:val="right" w:leader="dot" w:pos="10200"/>
      </w:tabs>
      <w:spacing w:after="60"/>
      <w:ind w:left="601"/>
    </w:pPr>
    <w:rPr>
      <w:lang w:val="es-CO"/>
    </w:rPr>
  </w:style>
  <w:style w:type="paragraph" w:customStyle="1" w:styleId="Estilo4">
    <w:name w:val="Estilo4"/>
    <w:basedOn w:val="Normal"/>
    <w:link w:val="Estilo4Car"/>
    <w:qFormat/>
    <w:rsid w:val="00817F42"/>
    <w:pPr>
      <w:numPr>
        <w:numId w:val="6"/>
      </w:numPr>
      <w:spacing w:after="160" w:line="259" w:lineRule="auto"/>
    </w:pPr>
    <w:rPr>
      <w:rFonts w:eastAsiaTheme="minorHAnsi"/>
      <w:lang w:val="es-UY"/>
    </w:rPr>
  </w:style>
  <w:style w:type="character" w:customStyle="1" w:styleId="Estilo4Car">
    <w:name w:val="Estilo4 Car"/>
    <w:basedOn w:val="Fuentedeprrafopredeter"/>
    <w:link w:val="Estilo4"/>
    <w:rsid w:val="00817F42"/>
    <w:rPr>
      <w:rFonts w:ascii="Times New Roman" w:hAnsi="Times New Roman" w:cs="Times New Roman"/>
      <w:sz w:val="24"/>
      <w:szCs w:val="24"/>
      <w:lang w:val="es-UY" w:eastAsia="es-MX"/>
    </w:rPr>
  </w:style>
  <w:style w:type="paragraph" w:customStyle="1" w:styleId="style11">
    <w:name w:val="style11"/>
    <w:basedOn w:val="Normal"/>
    <w:rsid w:val="00817F42"/>
    <w:pPr>
      <w:spacing w:before="192" w:after="192"/>
      <w:ind w:left="120" w:right="144"/>
    </w:pPr>
    <w:rPr>
      <w:lang w:eastAsia="es-CR"/>
    </w:rPr>
  </w:style>
  <w:style w:type="character" w:styleId="Ttulodellibro">
    <w:name w:val="Book Title"/>
    <w:basedOn w:val="Fuentedeprrafopredeter"/>
    <w:uiPriority w:val="33"/>
    <w:qFormat/>
    <w:rsid w:val="00817F42"/>
    <w:rPr>
      <w:b/>
      <w:bCs/>
      <w:smallCaps/>
      <w:spacing w:val="5"/>
    </w:rPr>
  </w:style>
  <w:style w:type="character" w:customStyle="1" w:styleId="Mencinsinresolver1">
    <w:name w:val="Mención sin resolver1"/>
    <w:basedOn w:val="Fuentedeprrafopredeter"/>
    <w:uiPriority w:val="99"/>
    <w:semiHidden/>
    <w:unhideWhenUsed/>
    <w:rsid w:val="00817F42"/>
    <w:rPr>
      <w:color w:val="808080"/>
      <w:shd w:val="clear" w:color="auto" w:fill="E6E6E6"/>
    </w:rPr>
  </w:style>
  <w:style w:type="paragraph" w:customStyle="1" w:styleId="Normal1">
    <w:name w:val="Normal1"/>
    <w:rsid w:val="00B367D1"/>
    <w:pPr>
      <w:pBdr>
        <w:top w:val="nil"/>
        <w:left w:val="nil"/>
        <w:bottom w:val="nil"/>
        <w:right w:val="nil"/>
        <w:between w:val="nil"/>
      </w:pBdr>
      <w:spacing w:after="0" w:line="240" w:lineRule="auto"/>
    </w:pPr>
    <w:rPr>
      <w:rFonts w:ascii="Cambria" w:eastAsia="Cambria" w:hAnsi="Cambria" w:cs="Cambria"/>
      <w:color w:val="000000"/>
      <w:sz w:val="24"/>
      <w:szCs w:val="24"/>
      <w:lang w:val="en-AU"/>
    </w:rPr>
  </w:style>
  <w:style w:type="character" w:customStyle="1" w:styleId="Estilo1Char">
    <w:name w:val="Estilo1 Char"/>
    <w:rsid w:val="000A708F"/>
    <w:rPr>
      <w:rFonts w:ascii="Verdana" w:eastAsia="Calibri" w:hAnsi="Verdana" w:cs="Times New Roman"/>
      <w:sz w:val="20"/>
      <w:szCs w:val="20"/>
      <w:lang w:val="es-ES"/>
    </w:rPr>
  </w:style>
  <w:style w:type="paragraph" w:customStyle="1" w:styleId="Estilo2">
    <w:name w:val="Estilo2"/>
    <w:basedOn w:val="Normal"/>
    <w:qFormat/>
    <w:rsid w:val="000A708F"/>
    <w:pPr>
      <w:tabs>
        <w:tab w:val="left" w:pos="567"/>
        <w:tab w:val="left" w:pos="1134"/>
        <w:tab w:val="num" w:pos="4767"/>
      </w:tabs>
      <w:spacing w:after="120"/>
      <w:ind w:left="4767" w:hanging="360"/>
    </w:pPr>
    <w:rPr>
      <w:rFonts w:eastAsia="Calibri"/>
      <w:szCs w:val="20"/>
      <w:lang w:val="es-ES"/>
    </w:rPr>
  </w:style>
  <w:style w:type="paragraph" w:styleId="Mapadeldocumento">
    <w:name w:val="Document Map"/>
    <w:basedOn w:val="Normal"/>
    <w:link w:val="MapadeldocumentoCar"/>
    <w:uiPriority w:val="99"/>
    <w:semiHidden/>
    <w:unhideWhenUsed/>
    <w:rsid w:val="009236AF"/>
    <w:rPr>
      <w:rFonts w:ascii="Lucida Grande" w:hAnsi="Lucida Grande" w:cs="Lucida Grande"/>
    </w:rPr>
  </w:style>
  <w:style w:type="character" w:customStyle="1" w:styleId="MapadeldocumentoCar">
    <w:name w:val="Mapa del documento Car"/>
    <w:basedOn w:val="Fuentedeprrafopredeter"/>
    <w:link w:val="Mapadeldocumento"/>
    <w:uiPriority w:val="99"/>
    <w:semiHidden/>
    <w:rsid w:val="009236AF"/>
    <w:rPr>
      <w:rFonts w:ascii="Lucida Grande" w:eastAsia="Batang" w:hAnsi="Lucida Grande" w:cs="Lucida Grande"/>
      <w:sz w:val="24"/>
      <w:szCs w:val="24"/>
      <w:lang w:val="es-ES_tradnl"/>
    </w:rPr>
  </w:style>
  <w:style w:type="character" w:customStyle="1" w:styleId="ListParagraphChar1">
    <w:name w:val="List Paragraph Char1"/>
    <w:aliases w:val="Footnote Char1,List Paragraph2 Char1,Lista vistosa - Énfasis 11 Char1"/>
    <w:basedOn w:val="Fuentedeprrafopredeter"/>
    <w:uiPriority w:val="34"/>
    <w:rsid w:val="006E0A46"/>
  </w:style>
  <w:style w:type="paragraph" w:customStyle="1" w:styleId="Numberedparagraphs">
    <w:name w:val="Numbered paragraphs"/>
    <w:basedOn w:val="Normal"/>
    <w:link w:val="NumberedparagraphsCar"/>
    <w:qFormat/>
    <w:rsid w:val="002B4D5A"/>
    <w:pPr>
      <w:numPr>
        <w:numId w:val="7"/>
      </w:numPr>
    </w:pPr>
    <w:rPr>
      <w:rFonts w:eastAsia="MS Mincho"/>
      <w:color w:val="000000"/>
      <w:szCs w:val="20"/>
      <w:lang w:val="es-CO"/>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B53987"/>
    <w:pPr>
      <w:spacing w:after="160" w:line="240" w:lineRule="exact"/>
    </w:pPr>
    <w:rPr>
      <w:rFonts w:asciiTheme="minorHAnsi" w:eastAsiaTheme="minorHAnsi" w:hAnsiTheme="minorHAnsi" w:cstheme="minorBidi"/>
      <w:sz w:val="22"/>
      <w:szCs w:val="22"/>
      <w:vertAlign w:val="superscript"/>
      <w:lang w:val="es-GT"/>
    </w:rPr>
  </w:style>
  <w:style w:type="character" w:customStyle="1" w:styleId="NumberedparagraphsCar">
    <w:name w:val="Numbered paragraphs Car"/>
    <w:basedOn w:val="Fuentedeprrafopredeter"/>
    <w:link w:val="Numberedparagraphs"/>
    <w:rsid w:val="00142E76"/>
    <w:rPr>
      <w:rFonts w:ascii="Times New Roman" w:eastAsia="MS Mincho" w:hAnsi="Times New Roman" w:cs="Times New Roman"/>
      <w:color w:val="000000"/>
      <w:sz w:val="24"/>
      <w:szCs w:val="20"/>
      <w:lang w:val="es-CO" w:eastAsia="es-MX"/>
    </w:rPr>
  </w:style>
  <w:style w:type="character" w:customStyle="1" w:styleId="PrrafodelistaCar1">
    <w:name w:val="Párrafo de lista Car1"/>
    <w:aliases w:val="List Paragraph1 Car1,Colorful List - Accent 11 Car1,Párrafo de lista1 Car1,List Paragraph2 Car1,Lista vistosa - Énfasis 11 Car1,Subtle Emphasis1 Car1,Footnote1 Car1,List Paragraph11 Car"/>
    <w:basedOn w:val="Fuentedeprrafopredeter"/>
    <w:locked/>
    <w:rsid w:val="00B00F49"/>
    <w:rPr>
      <w:rFonts w:ascii="Verdana" w:eastAsia="MS Mincho" w:hAnsi="Verdana" w:cs="Times New Roman"/>
      <w:sz w:val="20"/>
      <w:szCs w:val="24"/>
    </w:rPr>
  </w:style>
  <w:style w:type="character" w:customStyle="1" w:styleId="sb8d990e2">
    <w:name w:val="sb8d990e2"/>
    <w:basedOn w:val="Fuentedeprrafopredeter"/>
    <w:rsid w:val="00CF4B78"/>
  </w:style>
  <w:style w:type="paragraph" w:customStyle="1" w:styleId="Textonotapie1">
    <w:name w:val="Texto nota pie1"/>
    <w:basedOn w:val="Normal"/>
    <w:qFormat/>
    <w:rsid w:val="00D82351"/>
    <w:rPr>
      <w:szCs w:val="20"/>
      <w:lang w:val="en-US" w:eastAsia="es-ES"/>
    </w:rPr>
  </w:style>
  <w:style w:type="character" w:customStyle="1" w:styleId="SinespaciadoCar">
    <w:name w:val="Sin espaciado Car"/>
    <w:basedOn w:val="Fuentedeprrafopredeter"/>
    <w:link w:val="Sinespaciado"/>
    <w:uiPriority w:val="1"/>
    <w:rsid w:val="002A68F8"/>
    <w:rPr>
      <w:rFonts w:ascii="Calibri" w:eastAsia="Times New Roman" w:hAnsi="Calibri" w:cs="Times New Roman"/>
    </w:rPr>
  </w:style>
  <w:style w:type="paragraph" w:customStyle="1" w:styleId="xmsonormal">
    <w:name w:val="x_msonormal"/>
    <w:basedOn w:val="Normal"/>
    <w:rsid w:val="00472D7D"/>
    <w:pPr>
      <w:spacing w:before="100" w:beforeAutospacing="1" w:after="100" w:afterAutospacing="1"/>
    </w:pPr>
  </w:style>
  <w:style w:type="paragraph" w:customStyle="1" w:styleId="Estilo7">
    <w:name w:val="Estilo7"/>
    <w:basedOn w:val="Normal"/>
    <w:qFormat/>
    <w:rsid w:val="00690495"/>
    <w:pPr>
      <w:tabs>
        <w:tab w:val="left" w:pos="567"/>
        <w:tab w:val="left" w:pos="851"/>
        <w:tab w:val="num" w:pos="2160"/>
      </w:tabs>
      <w:spacing w:before="120" w:after="120"/>
      <w:ind w:left="2160" w:hanging="180"/>
      <w:jc w:val="both"/>
    </w:pPr>
    <w:rPr>
      <w:rFonts w:ascii="Verdana" w:eastAsia="Batang" w:hAnsi="Verdana"/>
      <w:b/>
      <w:i/>
      <w:sz w:val="20"/>
      <w:szCs w:val="20"/>
      <w:lang w:val="es-ES_tradnl"/>
    </w:rPr>
  </w:style>
  <w:style w:type="character" w:customStyle="1" w:styleId="Mencinsinresolver2">
    <w:name w:val="Mención sin resolver2"/>
    <w:basedOn w:val="Fuentedeprrafopredeter"/>
    <w:uiPriority w:val="99"/>
    <w:semiHidden/>
    <w:unhideWhenUsed/>
    <w:rsid w:val="00F91A65"/>
    <w:rPr>
      <w:color w:val="605E5C"/>
      <w:shd w:val="clear" w:color="auto" w:fill="E1DFDD"/>
    </w:rPr>
  </w:style>
  <w:style w:type="paragraph" w:customStyle="1" w:styleId="parrafos">
    <w:name w:val="parrafos"/>
    <w:basedOn w:val="Normal"/>
    <w:link w:val="parrafosChar"/>
    <w:qFormat/>
    <w:rsid w:val="002D5AEB"/>
    <w:pPr>
      <w:tabs>
        <w:tab w:val="left" w:pos="360"/>
      </w:tabs>
      <w:jc w:val="both"/>
    </w:pPr>
    <w:rPr>
      <w:rFonts w:ascii="Cambria" w:eastAsia="Arial Unicode MS" w:hAnsi="Cambria"/>
      <w:color w:val="000000"/>
      <w:sz w:val="20"/>
      <w:szCs w:val="20"/>
      <w:bdr w:val="nil"/>
      <w:lang w:val="es-VE" w:eastAsia="en-US"/>
    </w:rPr>
  </w:style>
  <w:style w:type="character" w:customStyle="1" w:styleId="parrafosChar">
    <w:name w:val="parrafos Char"/>
    <w:link w:val="parrafos"/>
    <w:rsid w:val="002D5AEB"/>
    <w:rPr>
      <w:rFonts w:ascii="Cambria" w:eastAsia="Arial Unicode MS" w:hAnsi="Cambria" w:cs="Times New Roman"/>
      <w:color w:val="000000"/>
      <w:sz w:val="20"/>
      <w:szCs w:val="20"/>
      <w:bdr w:val="nil"/>
      <w:lang w:val="es-VE"/>
    </w:rPr>
  </w:style>
  <w:style w:type="paragraph" w:styleId="TDC5">
    <w:name w:val="toc 5"/>
    <w:basedOn w:val="Normal"/>
    <w:next w:val="Normal"/>
    <w:autoRedefine/>
    <w:uiPriority w:val="39"/>
    <w:unhideWhenUsed/>
    <w:rsid w:val="00E52EB6"/>
    <w:pPr>
      <w:tabs>
        <w:tab w:val="left" w:pos="1440"/>
      </w:tabs>
      <w:spacing w:after="100"/>
      <w:ind w:left="960"/>
    </w:pPr>
  </w:style>
  <w:style w:type="paragraph" w:customStyle="1" w:styleId="551considerando">
    <w:name w:val="551considerando"/>
    <w:basedOn w:val="Normal"/>
    <w:rsid w:val="003256B6"/>
    <w:pPr>
      <w:spacing w:before="100" w:beforeAutospacing="1" w:after="100" w:afterAutospacing="1"/>
    </w:pPr>
  </w:style>
  <w:style w:type="paragraph" w:customStyle="1" w:styleId="xp1">
    <w:name w:val="x_p1"/>
    <w:basedOn w:val="Normal"/>
    <w:rsid w:val="004345AD"/>
    <w:pPr>
      <w:spacing w:before="100" w:beforeAutospacing="1" w:after="100" w:afterAutospacing="1"/>
    </w:pPr>
  </w:style>
  <w:style w:type="character" w:customStyle="1" w:styleId="xs1">
    <w:name w:val="x_s1"/>
    <w:basedOn w:val="Fuentedeprrafopredeter"/>
    <w:rsid w:val="004345AD"/>
  </w:style>
  <w:style w:type="character" w:customStyle="1" w:styleId="xapple-converted-space">
    <w:name w:val="x_apple-converted-space"/>
    <w:basedOn w:val="Fuentedeprrafopredeter"/>
    <w:rsid w:val="004345AD"/>
  </w:style>
  <w:style w:type="paragraph" w:customStyle="1" w:styleId="xp2">
    <w:name w:val="x_p2"/>
    <w:basedOn w:val="Normal"/>
    <w:rsid w:val="00D15B00"/>
    <w:pPr>
      <w:spacing w:before="100" w:beforeAutospacing="1" w:after="100" w:afterAutospacing="1"/>
    </w:pPr>
    <w:rPr>
      <w:lang w:val="en-US" w:eastAsia="en-US"/>
    </w:rPr>
  </w:style>
  <w:style w:type="character" w:customStyle="1" w:styleId="xs2">
    <w:name w:val="x_s2"/>
    <w:basedOn w:val="Fuentedeprrafopredeter"/>
    <w:rsid w:val="00D15B00"/>
  </w:style>
  <w:style w:type="paragraph" w:customStyle="1" w:styleId="xp3">
    <w:name w:val="x_p3"/>
    <w:basedOn w:val="Normal"/>
    <w:rsid w:val="00D15B00"/>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022">
      <w:bodyDiv w:val="1"/>
      <w:marLeft w:val="0"/>
      <w:marRight w:val="0"/>
      <w:marTop w:val="0"/>
      <w:marBottom w:val="0"/>
      <w:divBdr>
        <w:top w:val="none" w:sz="0" w:space="0" w:color="auto"/>
        <w:left w:val="none" w:sz="0" w:space="0" w:color="auto"/>
        <w:bottom w:val="none" w:sz="0" w:space="0" w:color="auto"/>
        <w:right w:val="none" w:sz="0" w:space="0" w:color="auto"/>
      </w:divBdr>
    </w:div>
    <w:div w:id="14622606">
      <w:bodyDiv w:val="1"/>
      <w:marLeft w:val="0"/>
      <w:marRight w:val="0"/>
      <w:marTop w:val="0"/>
      <w:marBottom w:val="0"/>
      <w:divBdr>
        <w:top w:val="none" w:sz="0" w:space="0" w:color="auto"/>
        <w:left w:val="none" w:sz="0" w:space="0" w:color="auto"/>
        <w:bottom w:val="none" w:sz="0" w:space="0" w:color="auto"/>
        <w:right w:val="none" w:sz="0" w:space="0" w:color="auto"/>
      </w:divBdr>
      <w:divsChild>
        <w:div w:id="1930842922">
          <w:marLeft w:val="0"/>
          <w:marRight w:val="0"/>
          <w:marTop w:val="0"/>
          <w:marBottom w:val="0"/>
          <w:divBdr>
            <w:top w:val="none" w:sz="0" w:space="0" w:color="auto"/>
            <w:left w:val="none" w:sz="0" w:space="0" w:color="auto"/>
            <w:bottom w:val="none" w:sz="0" w:space="0" w:color="auto"/>
            <w:right w:val="none" w:sz="0" w:space="0" w:color="auto"/>
          </w:divBdr>
          <w:divsChild>
            <w:div w:id="2102874341">
              <w:marLeft w:val="0"/>
              <w:marRight w:val="0"/>
              <w:marTop w:val="0"/>
              <w:marBottom w:val="0"/>
              <w:divBdr>
                <w:top w:val="none" w:sz="0" w:space="0" w:color="auto"/>
                <w:left w:val="none" w:sz="0" w:space="0" w:color="auto"/>
                <w:bottom w:val="none" w:sz="0" w:space="0" w:color="auto"/>
                <w:right w:val="none" w:sz="0" w:space="0" w:color="auto"/>
              </w:divBdr>
              <w:divsChild>
                <w:div w:id="1341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41373278">
      <w:bodyDiv w:val="1"/>
      <w:marLeft w:val="0"/>
      <w:marRight w:val="0"/>
      <w:marTop w:val="0"/>
      <w:marBottom w:val="0"/>
      <w:divBdr>
        <w:top w:val="none" w:sz="0" w:space="0" w:color="auto"/>
        <w:left w:val="none" w:sz="0" w:space="0" w:color="auto"/>
        <w:bottom w:val="none" w:sz="0" w:space="0" w:color="auto"/>
        <w:right w:val="none" w:sz="0" w:space="0" w:color="auto"/>
      </w:divBdr>
    </w:div>
    <w:div w:id="69623545">
      <w:bodyDiv w:val="1"/>
      <w:marLeft w:val="0"/>
      <w:marRight w:val="0"/>
      <w:marTop w:val="0"/>
      <w:marBottom w:val="0"/>
      <w:divBdr>
        <w:top w:val="none" w:sz="0" w:space="0" w:color="auto"/>
        <w:left w:val="none" w:sz="0" w:space="0" w:color="auto"/>
        <w:bottom w:val="none" w:sz="0" w:space="0" w:color="auto"/>
        <w:right w:val="none" w:sz="0" w:space="0" w:color="auto"/>
      </w:divBdr>
    </w:div>
    <w:div w:id="76681056">
      <w:bodyDiv w:val="1"/>
      <w:marLeft w:val="0"/>
      <w:marRight w:val="0"/>
      <w:marTop w:val="0"/>
      <w:marBottom w:val="0"/>
      <w:divBdr>
        <w:top w:val="none" w:sz="0" w:space="0" w:color="auto"/>
        <w:left w:val="none" w:sz="0" w:space="0" w:color="auto"/>
        <w:bottom w:val="none" w:sz="0" w:space="0" w:color="auto"/>
        <w:right w:val="none" w:sz="0" w:space="0" w:color="auto"/>
      </w:divBdr>
    </w:div>
    <w:div w:id="104228844">
      <w:bodyDiv w:val="1"/>
      <w:marLeft w:val="0"/>
      <w:marRight w:val="0"/>
      <w:marTop w:val="0"/>
      <w:marBottom w:val="0"/>
      <w:divBdr>
        <w:top w:val="none" w:sz="0" w:space="0" w:color="auto"/>
        <w:left w:val="none" w:sz="0" w:space="0" w:color="auto"/>
        <w:bottom w:val="none" w:sz="0" w:space="0" w:color="auto"/>
        <w:right w:val="none" w:sz="0" w:space="0" w:color="auto"/>
      </w:divBdr>
    </w:div>
    <w:div w:id="115417736">
      <w:bodyDiv w:val="1"/>
      <w:marLeft w:val="0"/>
      <w:marRight w:val="0"/>
      <w:marTop w:val="0"/>
      <w:marBottom w:val="0"/>
      <w:divBdr>
        <w:top w:val="none" w:sz="0" w:space="0" w:color="auto"/>
        <w:left w:val="none" w:sz="0" w:space="0" w:color="auto"/>
        <w:bottom w:val="none" w:sz="0" w:space="0" w:color="auto"/>
        <w:right w:val="none" w:sz="0" w:space="0" w:color="auto"/>
      </w:divBdr>
      <w:divsChild>
        <w:div w:id="2082868438">
          <w:marLeft w:val="0"/>
          <w:marRight w:val="0"/>
          <w:marTop w:val="0"/>
          <w:marBottom w:val="0"/>
          <w:divBdr>
            <w:top w:val="none" w:sz="0" w:space="0" w:color="auto"/>
            <w:left w:val="none" w:sz="0" w:space="0" w:color="auto"/>
            <w:bottom w:val="none" w:sz="0" w:space="0" w:color="auto"/>
            <w:right w:val="none" w:sz="0" w:space="0" w:color="auto"/>
          </w:divBdr>
          <w:divsChild>
            <w:div w:id="1233858760">
              <w:marLeft w:val="0"/>
              <w:marRight w:val="0"/>
              <w:marTop w:val="0"/>
              <w:marBottom w:val="0"/>
              <w:divBdr>
                <w:top w:val="none" w:sz="0" w:space="0" w:color="auto"/>
                <w:left w:val="none" w:sz="0" w:space="0" w:color="auto"/>
                <w:bottom w:val="none" w:sz="0" w:space="0" w:color="auto"/>
                <w:right w:val="none" w:sz="0" w:space="0" w:color="auto"/>
              </w:divBdr>
              <w:divsChild>
                <w:div w:id="9987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2604">
      <w:bodyDiv w:val="1"/>
      <w:marLeft w:val="0"/>
      <w:marRight w:val="0"/>
      <w:marTop w:val="0"/>
      <w:marBottom w:val="0"/>
      <w:divBdr>
        <w:top w:val="none" w:sz="0" w:space="0" w:color="auto"/>
        <w:left w:val="none" w:sz="0" w:space="0" w:color="auto"/>
        <w:bottom w:val="none" w:sz="0" w:space="0" w:color="auto"/>
        <w:right w:val="none" w:sz="0" w:space="0" w:color="auto"/>
      </w:divBdr>
      <w:divsChild>
        <w:div w:id="340669177">
          <w:marLeft w:val="0"/>
          <w:marRight w:val="0"/>
          <w:marTop w:val="0"/>
          <w:marBottom w:val="0"/>
          <w:divBdr>
            <w:top w:val="none" w:sz="0" w:space="0" w:color="auto"/>
            <w:left w:val="none" w:sz="0" w:space="0" w:color="auto"/>
            <w:bottom w:val="none" w:sz="0" w:space="0" w:color="auto"/>
            <w:right w:val="none" w:sz="0" w:space="0" w:color="auto"/>
          </w:divBdr>
          <w:divsChild>
            <w:div w:id="101652198">
              <w:marLeft w:val="0"/>
              <w:marRight w:val="0"/>
              <w:marTop w:val="0"/>
              <w:marBottom w:val="0"/>
              <w:divBdr>
                <w:top w:val="none" w:sz="0" w:space="0" w:color="auto"/>
                <w:left w:val="none" w:sz="0" w:space="0" w:color="auto"/>
                <w:bottom w:val="none" w:sz="0" w:space="0" w:color="auto"/>
                <w:right w:val="none" w:sz="0" w:space="0" w:color="auto"/>
              </w:divBdr>
              <w:divsChild>
                <w:div w:id="2125952168">
                  <w:marLeft w:val="0"/>
                  <w:marRight w:val="0"/>
                  <w:marTop w:val="0"/>
                  <w:marBottom w:val="0"/>
                  <w:divBdr>
                    <w:top w:val="none" w:sz="0" w:space="0" w:color="auto"/>
                    <w:left w:val="none" w:sz="0" w:space="0" w:color="auto"/>
                    <w:bottom w:val="none" w:sz="0" w:space="0" w:color="auto"/>
                    <w:right w:val="none" w:sz="0" w:space="0" w:color="auto"/>
                  </w:divBdr>
                  <w:divsChild>
                    <w:div w:id="2247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25200965">
      <w:bodyDiv w:val="1"/>
      <w:marLeft w:val="0"/>
      <w:marRight w:val="0"/>
      <w:marTop w:val="0"/>
      <w:marBottom w:val="0"/>
      <w:divBdr>
        <w:top w:val="none" w:sz="0" w:space="0" w:color="auto"/>
        <w:left w:val="none" w:sz="0" w:space="0" w:color="auto"/>
        <w:bottom w:val="none" w:sz="0" w:space="0" w:color="auto"/>
        <w:right w:val="none" w:sz="0" w:space="0" w:color="auto"/>
      </w:divBdr>
    </w:div>
    <w:div w:id="139659215">
      <w:bodyDiv w:val="1"/>
      <w:marLeft w:val="0"/>
      <w:marRight w:val="0"/>
      <w:marTop w:val="0"/>
      <w:marBottom w:val="0"/>
      <w:divBdr>
        <w:top w:val="none" w:sz="0" w:space="0" w:color="auto"/>
        <w:left w:val="none" w:sz="0" w:space="0" w:color="auto"/>
        <w:bottom w:val="none" w:sz="0" w:space="0" w:color="auto"/>
        <w:right w:val="none" w:sz="0" w:space="0" w:color="auto"/>
      </w:divBdr>
    </w:div>
    <w:div w:id="148332107">
      <w:bodyDiv w:val="1"/>
      <w:marLeft w:val="0"/>
      <w:marRight w:val="0"/>
      <w:marTop w:val="0"/>
      <w:marBottom w:val="0"/>
      <w:divBdr>
        <w:top w:val="none" w:sz="0" w:space="0" w:color="auto"/>
        <w:left w:val="none" w:sz="0" w:space="0" w:color="auto"/>
        <w:bottom w:val="none" w:sz="0" w:space="0" w:color="auto"/>
        <w:right w:val="none" w:sz="0" w:space="0" w:color="auto"/>
      </w:divBdr>
    </w:div>
    <w:div w:id="154222322">
      <w:bodyDiv w:val="1"/>
      <w:marLeft w:val="0"/>
      <w:marRight w:val="0"/>
      <w:marTop w:val="0"/>
      <w:marBottom w:val="0"/>
      <w:divBdr>
        <w:top w:val="none" w:sz="0" w:space="0" w:color="auto"/>
        <w:left w:val="none" w:sz="0" w:space="0" w:color="auto"/>
        <w:bottom w:val="none" w:sz="0" w:space="0" w:color="auto"/>
        <w:right w:val="none" w:sz="0" w:space="0" w:color="auto"/>
      </w:divBdr>
      <w:divsChild>
        <w:div w:id="2023898850">
          <w:marLeft w:val="0"/>
          <w:marRight w:val="0"/>
          <w:marTop w:val="0"/>
          <w:marBottom w:val="0"/>
          <w:divBdr>
            <w:top w:val="none" w:sz="0" w:space="0" w:color="auto"/>
            <w:left w:val="none" w:sz="0" w:space="0" w:color="auto"/>
            <w:bottom w:val="none" w:sz="0" w:space="0" w:color="auto"/>
            <w:right w:val="none" w:sz="0" w:space="0" w:color="auto"/>
          </w:divBdr>
          <w:divsChild>
            <w:div w:id="533464865">
              <w:marLeft w:val="0"/>
              <w:marRight w:val="0"/>
              <w:marTop w:val="0"/>
              <w:marBottom w:val="0"/>
              <w:divBdr>
                <w:top w:val="none" w:sz="0" w:space="0" w:color="auto"/>
                <w:left w:val="none" w:sz="0" w:space="0" w:color="auto"/>
                <w:bottom w:val="none" w:sz="0" w:space="0" w:color="auto"/>
                <w:right w:val="none" w:sz="0" w:space="0" w:color="auto"/>
              </w:divBdr>
              <w:divsChild>
                <w:div w:id="21157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27963299">
      <w:bodyDiv w:val="1"/>
      <w:marLeft w:val="0"/>
      <w:marRight w:val="0"/>
      <w:marTop w:val="0"/>
      <w:marBottom w:val="0"/>
      <w:divBdr>
        <w:top w:val="none" w:sz="0" w:space="0" w:color="auto"/>
        <w:left w:val="none" w:sz="0" w:space="0" w:color="auto"/>
        <w:bottom w:val="none" w:sz="0" w:space="0" w:color="auto"/>
        <w:right w:val="none" w:sz="0" w:space="0" w:color="auto"/>
      </w:divBdr>
      <w:divsChild>
        <w:div w:id="171533503">
          <w:marLeft w:val="0"/>
          <w:marRight w:val="0"/>
          <w:marTop w:val="0"/>
          <w:marBottom w:val="0"/>
          <w:divBdr>
            <w:top w:val="none" w:sz="0" w:space="0" w:color="auto"/>
            <w:left w:val="none" w:sz="0" w:space="0" w:color="auto"/>
            <w:bottom w:val="none" w:sz="0" w:space="0" w:color="auto"/>
            <w:right w:val="none" w:sz="0" w:space="0" w:color="auto"/>
          </w:divBdr>
          <w:divsChild>
            <w:div w:id="1685397209">
              <w:marLeft w:val="0"/>
              <w:marRight w:val="0"/>
              <w:marTop w:val="0"/>
              <w:marBottom w:val="0"/>
              <w:divBdr>
                <w:top w:val="none" w:sz="0" w:space="0" w:color="auto"/>
                <w:left w:val="none" w:sz="0" w:space="0" w:color="auto"/>
                <w:bottom w:val="none" w:sz="0" w:space="0" w:color="auto"/>
                <w:right w:val="none" w:sz="0" w:space="0" w:color="auto"/>
              </w:divBdr>
              <w:divsChild>
                <w:div w:id="1865435624">
                  <w:marLeft w:val="0"/>
                  <w:marRight w:val="0"/>
                  <w:marTop w:val="0"/>
                  <w:marBottom w:val="0"/>
                  <w:divBdr>
                    <w:top w:val="none" w:sz="0" w:space="0" w:color="auto"/>
                    <w:left w:val="none" w:sz="0" w:space="0" w:color="auto"/>
                    <w:bottom w:val="none" w:sz="0" w:space="0" w:color="auto"/>
                    <w:right w:val="none" w:sz="0" w:space="0" w:color="auto"/>
                  </w:divBdr>
                  <w:divsChild>
                    <w:div w:id="12988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262493291">
      <w:bodyDiv w:val="1"/>
      <w:marLeft w:val="0"/>
      <w:marRight w:val="0"/>
      <w:marTop w:val="0"/>
      <w:marBottom w:val="0"/>
      <w:divBdr>
        <w:top w:val="none" w:sz="0" w:space="0" w:color="auto"/>
        <w:left w:val="none" w:sz="0" w:space="0" w:color="auto"/>
        <w:bottom w:val="none" w:sz="0" w:space="0" w:color="auto"/>
        <w:right w:val="none" w:sz="0" w:space="0" w:color="auto"/>
      </w:divBdr>
    </w:div>
    <w:div w:id="268898767">
      <w:bodyDiv w:val="1"/>
      <w:marLeft w:val="0"/>
      <w:marRight w:val="0"/>
      <w:marTop w:val="0"/>
      <w:marBottom w:val="0"/>
      <w:divBdr>
        <w:top w:val="none" w:sz="0" w:space="0" w:color="auto"/>
        <w:left w:val="none" w:sz="0" w:space="0" w:color="auto"/>
        <w:bottom w:val="none" w:sz="0" w:space="0" w:color="auto"/>
        <w:right w:val="none" w:sz="0" w:space="0" w:color="auto"/>
      </w:divBdr>
      <w:divsChild>
        <w:div w:id="931819318">
          <w:marLeft w:val="0"/>
          <w:marRight w:val="0"/>
          <w:marTop w:val="0"/>
          <w:marBottom w:val="0"/>
          <w:divBdr>
            <w:top w:val="none" w:sz="0" w:space="0" w:color="auto"/>
            <w:left w:val="none" w:sz="0" w:space="0" w:color="auto"/>
            <w:bottom w:val="none" w:sz="0" w:space="0" w:color="auto"/>
            <w:right w:val="none" w:sz="0" w:space="0" w:color="auto"/>
          </w:divBdr>
          <w:divsChild>
            <w:div w:id="904804694">
              <w:marLeft w:val="0"/>
              <w:marRight w:val="0"/>
              <w:marTop w:val="0"/>
              <w:marBottom w:val="0"/>
              <w:divBdr>
                <w:top w:val="none" w:sz="0" w:space="0" w:color="auto"/>
                <w:left w:val="none" w:sz="0" w:space="0" w:color="auto"/>
                <w:bottom w:val="none" w:sz="0" w:space="0" w:color="auto"/>
                <w:right w:val="none" w:sz="0" w:space="0" w:color="auto"/>
              </w:divBdr>
              <w:divsChild>
                <w:div w:id="15019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5936">
      <w:bodyDiv w:val="1"/>
      <w:marLeft w:val="0"/>
      <w:marRight w:val="0"/>
      <w:marTop w:val="0"/>
      <w:marBottom w:val="0"/>
      <w:divBdr>
        <w:top w:val="none" w:sz="0" w:space="0" w:color="auto"/>
        <w:left w:val="none" w:sz="0" w:space="0" w:color="auto"/>
        <w:bottom w:val="none" w:sz="0" w:space="0" w:color="auto"/>
        <w:right w:val="none" w:sz="0" w:space="0" w:color="auto"/>
      </w:divBdr>
    </w:div>
    <w:div w:id="285697747">
      <w:bodyDiv w:val="1"/>
      <w:marLeft w:val="0"/>
      <w:marRight w:val="0"/>
      <w:marTop w:val="0"/>
      <w:marBottom w:val="0"/>
      <w:divBdr>
        <w:top w:val="none" w:sz="0" w:space="0" w:color="auto"/>
        <w:left w:val="none" w:sz="0" w:space="0" w:color="auto"/>
        <w:bottom w:val="none" w:sz="0" w:space="0" w:color="auto"/>
        <w:right w:val="none" w:sz="0" w:space="0" w:color="auto"/>
      </w:divBdr>
    </w:div>
    <w:div w:id="288124113">
      <w:bodyDiv w:val="1"/>
      <w:marLeft w:val="0"/>
      <w:marRight w:val="0"/>
      <w:marTop w:val="0"/>
      <w:marBottom w:val="0"/>
      <w:divBdr>
        <w:top w:val="none" w:sz="0" w:space="0" w:color="auto"/>
        <w:left w:val="none" w:sz="0" w:space="0" w:color="auto"/>
        <w:bottom w:val="none" w:sz="0" w:space="0" w:color="auto"/>
        <w:right w:val="none" w:sz="0" w:space="0" w:color="auto"/>
      </w:divBdr>
      <w:divsChild>
        <w:div w:id="232011500">
          <w:marLeft w:val="0"/>
          <w:marRight w:val="0"/>
          <w:marTop w:val="0"/>
          <w:marBottom w:val="0"/>
          <w:divBdr>
            <w:top w:val="none" w:sz="0" w:space="0" w:color="auto"/>
            <w:left w:val="none" w:sz="0" w:space="0" w:color="auto"/>
            <w:bottom w:val="none" w:sz="0" w:space="0" w:color="auto"/>
            <w:right w:val="none" w:sz="0" w:space="0" w:color="auto"/>
          </w:divBdr>
          <w:divsChild>
            <w:div w:id="1030499148">
              <w:marLeft w:val="0"/>
              <w:marRight w:val="0"/>
              <w:marTop w:val="0"/>
              <w:marBottom w:val="0"/>
              <w:divBdr>
                <w:top w:val="none" w:sz="0" w:space="0" w:color="auto"/>
                <w:left w:val="none" w:sz="0" w:space="0" w:color="auto"/>
                <w:bottom w:val="none" w:sz="0" w:space="0" w:color="auto"/>
                <w:right w:val="none" w:sz="0" w:space="0" w:color="auto"/>
              </w:divBdr>
              <w:divsChild>
                <w:div w:id="1932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7283">
      <w:bodyDiv w:val="1"/>
      <w:marLeft w:val="0"/>
      <w:marRight w:val="0"/>
      <w:marTop w:val="0"/>
      <w:marBottom w:val="0"/>
      <w:divBdr>
        <w:top w:val="none" w:sz="0" w:space="0" w:color="auto"/>
        <w:left w:val="none" w:sz="0" w:space="0" w:color="auto"/>
        <w:bottom w:val="none" w:sz="0" w:space="0" w:color="auto"/>
        <w:right w:val="none" w:sz="0" w:space="0" w:color="auto"/>
      </w:divBdr>
      <w:divsChild>
        <w:div w:id="1802647646">
          <w:marLeft w:val="0"/>
          <w:marRight w:val="0"/>
          <w:marTop w:val="0"/>
          <w:marBottom w:val="0"/>
          <w:divBdr>
            <w:top w:val="none" w:sz="0" w:space="0" w:color="auto"/>
            <w:left w:val="none" w:sz="0" w:space="0" w:color="auto"/>
            <w:bottom w:val="none" w:sz="0" w:space="0" w:color="auto"/>
            <w:right w:val="none" w:sz="0" w:space="0" w:color="auto"/>
          </w:divBdr>
          <w:divsChild>
            <w:div w:id="1822038634">
              <w:marLeft w:val="0"/>
              <w:marRight w:val="0"/>
              <w:marTop w:val="0"/>
              <w:marBottom w:val="0"/>
              <w:divBdr>
                <w:top w:val="none" w:sz="0" w:space="0" w:color="auto"/>
                <w:left w:val="none" w:sz="0" w:space="0" w:color="auto"/>
                <w:bottom w:val="none" w:sz="0" w:space="0" w:color="auto"/>
                <w:right w:val="none" w:sz="0" w:space="0" w:color="auto"/>
              </w:divBdr>
              <w:divsChild>
                <w:div w:id="18717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968052">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353463586">
      <w:bodyDiv w:val="1"/>
      <w:marLeft w:val="0"/>
      <w:marRight w:val="0"/>
      <w:marTop w:val="0"/>
      <w:marBottom w:val="0"/>
      <w:divBdr>
        <w:top w:val="none" w:sz="0" w:space="0" w:color="auto"/>
        <w:left w:val="none" w:sz="0" w:space="0" w:color="auto"/>
        <w:bottom w:val="none" w:sz="0" w:space="0" w:color="auto"/>
        <w:right w:val="none" w:sz="0" w:space="0" w:color="auto"/>
      </w:divBdr>
      <w:divsChild>
        <w:div w:id="2028409628">
          <w:marLeft w:val="0"/>
          <w:marRight w:val="0"/>
          <w:marTop w:val="0"/>
          <w:marBottom w:val="0"/>
          <w:divBdr>
            <w:top w:val="none" w:sz="0" w:space="0" w:color="auto"/>
            <w:left w:val="none" w:sz="0" w:space="0" w:color="auto"/>
            <w:bottom w:val="none" w:sz="0" w:space="0" w:color="auto"/>
            <w:right w:val="none" w:sz="0" w:space="0" w:color="auto"/>
          </w:divBdr>
          <w:divsChild>
            <w:div w:id="298152831">
              <w:marLeft w:val="0"/>
              <w:marRight w:val="0"/>
              <w:marTop w:val="0"/>
              <w:marBottom w:val="0"/>
              <w:divBdr>
                <w:top w:val="none" w:sz="0" w:space="0" w:color="auto"/>
                <w:left w:val="none" w:sz="0" w:space="0" w:color="auto"/>
                <w:bottom w:val="none" w:sz="0" w:space="0" w:color="auto"/>
                <w:right w:val="none" w:sz="0" w:space="0" w:color="auto"/>
              </w:divBdr>
              <w:divsChild>
                <w:div w:id="6301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04349">
      <w:bodyDiv w:val="1"/>
      <w:marLeft w:val="0"/>
      <w:marRight w:val="0"/>
      <w:marTop w:val="0"/>
      <w:marBottom w:val="0"/>
      <w:divBdr>
        <w:top w:val="none" w:sz="0" w:space="0" w:color="auto"/>
        <w:left w:val="none" w:sz="0" w:space="0" w:color="auto"/>
        <w:bottom w:val="none" w:sz="0" w:space="0" w:color="auto"/>
        <w:right w:val="none" w:sz="0" w:space="0" w:color="auto"/>
      </w:divBdr>
    </w:div>
    <w:div w:id="393621004">
      <w:bodyDiv w:val="1"/>
      <w:marLeft w:val="0"/>
      <w:marRight w:val="0"/>
      <w:marTop w:val="0"/>
      <w:marBottom w:val="0"/>
      <w:divBdr>
        <w:top w:val="none" w:sz="0" w:space="0" w:color="auto"/>
        <w:left w:val="none" w:sz="0" w:space="0" w:color="auto"/>
        <w:bottom w:val="none" w:sz="0" w:space="0" w:color="auto"/>
        <w:right w:val="none" w:sz="0" w:space="0" w:color="auto"/>
      </w:divBdr>
    </w:div>
    <w:div w:id="413741411">
      <w:bodyDiv w:val="1"/>
      <w:marLeft w:val="0"/>
      <w:marRight w:val="0"/>
      <w:marTop w:val="0"/>
      <w:marBottom w:val="0"/>
      <w:divBdr>
        <w:top w:val="none" w:sz="0" w:space="0" w:color="auto"/>
        <w:left w:val="none" w:sz="0" w:space="0" w:color="auto"/>
        <w:bottom w:val="none" w:sz="0" w:space="0" w:color="auto"/>
        <w:right w:val="none" w:sz="0" w:space="0" w:color="auto"/>
      </w:divBdr>
      <w:divsChild>
        <w:div w:id="1103956016">
          <w:marLeft w:val="0"/>
          <w:marRight w:val="0"/>
          <w:marTop w:val="0"/>
          <w:marBottom w:val="0"/>
          <w:divBdr>
            <w:top w:val="none" w:sz="0" w:space="0" w:color="auto"/>
            <w:left w:val="none" w:sz="0" w:space="0" w:color="auto"/>
            <w:bottom w:val="none" w:sz="0" w:space="0" w:color="auto"/>
            <w:right w:val="none" w:sz="0" w:space="0" w:color="auto"/>
          </w:divBdr>
          <w:divsChild>
            <w:div w:id="1158960863">
              <w:marLeft w:val="0"/>
              <w:marRight w:val="0"/>
              <w:marTop w:val="0"/>
              <w:marBottom w:val="0"/>
              <w:divBdr>
                <w:top w:val="none" w:sz="0" w:space="0" w:color="auto"/>
                <w:left w:val="none" w:sz="0" w:space="0" w:color="auto"/>
                <w:bottom w:val="none" w:sz="0" w:space="0" w:color="auto"/>
                <w:right w:val="none" w:sz="0" w:space="0" w:color="auto"/>
              </w:divBdr>
              <w:divsChild>
                <w:div w:id="10269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666982">
      <w:bodyDiv w:val="1"/>
      <w:marLeft w:val="0"/>
      <w:marRight w:val="0"/>
      <w:marTop w:val="0"/>
      <w:marBottom w:val="0"/>
      <w:divBdr>
        <w:top w:val="none" w:sz="0" w:space="0" w:color="auto"/>
        <w:left w:val="none" w:sz="0" w:space="0" w:color="auto"/>
        <w:bottom w:val="none" w:sz="0" w:space="0" w:color="auto"/>
        <w:right w:val="none" w:sz="0" w:space="0" w:color="auto"/>
      </w:divBdr>
    </w:div>
    <w:div w:id="428278705">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sChild>
        <w:div w:id="270943951">
          <w:marLeft w:val="0"/>
          <w:marRight w:val="0"/>
          <w:marTop w:val="0"/>
          <w:marBottom w:val="0"/>
          <w:divBdr>
            <w:top w:val="none" w:sz="0" w:space="0" w:color="auto"/>
            <w:left w:val="none" w:sz="0" w:space="0" w:color="auto"/>
            <w:bottom w:val="none" w:sz="0" w:space="0" w:color="auto"/>
            <w:right w:val="none" w:sz="0" w:space="0" w:color="auto"/>
          </w:divBdr>
          <w:divsChild>
            <w:div w:id="267667231">
              <w:marLeft w:val="0"/>
              <w:marRight w:val="0"/>
              <w:marTop w:val="0"/>
              <w:marBottom w:val="0"/>
              <w:divBdr>
                <w:top w:val="none" w:sz="0" w:space="0" w:color="auto"/>
                <w:left w:val="none" w:sz="0" w:space="0" w:color="auto"/>
                <w:bottom w:val="none" w:sz="0" w:space="0" w:color="auto"/>
                <w:right w:val="none" w:sz="0" w:space="0" w:color="auto"/>
              </w:divBdr>
              <w:divsChild>
                <w:div w:id="14821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2672">
      <w:bodyDiv w:val="1"/>
      <w:marLeft w:val="0"/>
      <w:marRight w:val="0"/>
      <w:marTop w:val="0"/>
      <w:marBottom w:val="0"/>
      <w:divBdr>
        <w:top w:val="none" w:sz="0" w:space="0" w:color="auto"/>
        <w:left w:val="none" w:sz="0" w:space="0" w:color="auto"/>
        <w:bottom w:val="none" w:sz="0" w:space="0" w:color="auto"/>
        <w:right w:val="none" w:sz="0" w:space="0" w:color="auto"/>
      </w:divBdr>
    </w:div>
    <w:div w:id="446855079">
      <w:bodyDiv w:val="1"/>
      <w:marLeft w:val="0"/>
      <w:marRight w:val="0"/>
      <w:marTop w:val="0"/>
      <w:marBottom w:val="0"/>
      <w:divBdr>
        <w:top w:val="none" w:sz="0" w:space="0" w:color="auto"/>
        <w:left w:val="none" w:sz="0" w:space="0" w:color="auto"/>
        <w:bottom w:val="none" w:sz="0" w:space="0" w:color="auto"/>
        <w:right w:val="none" w:sz="0" w:space="0" w:color="auto"/>
      </w:divBdr>
    </w:div>
    <w:div w:id="450636189">
      <w:bodyDiv w:val="1"/>
      <w:marLeft w:val="0"/>
      <w:marRight w:val="0"/>
      <w:marTop w:val="0"/>
      <w:marBottom w:val="0"/>
      <w:divBdr>
        <w:top w:val="none" w:sz="0" w:space="0" w:color="auto"/>
        <w:left w:val="none" w:sz="0" w:space="0" w:color="auto"/>
        <w:bottom w:val="none" w:sz="0" w:space="0" w:color="auto"/>
        <w:right w:val="none" w:sz="0" w:space="0" w:color="auto"/>
      </w:divBdr>
      <w:divsChild>
        <w:div w:id="1979800323">
          <w:marLeft w:val="0"/>
          <w:marRight w:val="0"/>
          <w:marTop w:val="0"/>
          <w:marBottom w:val="0"/>
          <w:divBdr>
            <w:top w:val="none" w:sz="0" w:space="0" w:color="auto"/>
            <w:left w:val="none" w:sz="0" w:space="0" w:color="auto"/>
            <w:bottom w:val="none" w:sz="0" w:space="0" w:color="auto"/>
            <w:right w:val="none" w:sz="0" w:space="0" w:color="auto"/>
          </w:divBdr>
          <w:divsChild>
            <w:div w:id="1710954637">
              <w:marLeft w:val="0"/>
              <w:marRight w:val="0"/>
              <w:marTop w:val="0"/>
              <w:marBottom w:val="0"/>
              <w:divBdr>
                <w:top w:val="none" w:sz="0" w:space="0" w:color="auto"/>
                <w:left w:val="none" w:sz="0" w:space="0" w:color="auto"/>
                <w:bottom w:val="none" w:sz="0" w:space="0" w:color="auto"/>
                <w:right w:val="none" w:sz="0" w:space="0" w:color="auto"/>
              </w:divBdr>
              <w:divsChild>
                <w:div w:id="3133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29948">
      <w:bodyDiv w:val="1"/>
      <w:marLeft w:val="0"/>
      <w:marRight w:val="0"/>
      <w:marTop w:val="0"/>
      <w:marBottom w:val="0"/>
      <w:divBdr>
        <w:top w:val="none" w:sz="0" w:space="0" w:color="auto"/>
        <w:left w:val="none" w:sz="0" w:space="0" w:color="auto"/>
        <w:bottom w:val="none" w:sz="0" w:space="0" w:color="auto"/>
        <w:right w:val="none" w:sz="0" w:space="0" w:color="auto"/>
      </w:divBdr>
    </w:div>
    <w:div w:id="499197587">
      <w:bodyDiv w:val="1"/>
      <w:marLeft w:val="0"/>
      <w:marRight w:val="0"/>
      <w:marTop w:val="0"/>
      <w:marBottom w:val="0"/>
      <w:divBdr>
        <w:top w:val="none" w:sz="0" w:space="0" w:color="auto"/>
        <w:left w:val="none" w:sz="0" w:space="0" w:color="auto"/>
        <w:bottom w:val="none" w:sz="0" w:space="0" w:color="auto"/>
        <w:right w:val="none" w:sz="0" w:space="0" w:color="auto"/>
      </w:divBdr>
    </w:div>
    <w:div w:id="515460134">
      <w:bodyDiv w:val="1"/>
      <w:marLeft w:val="0"/>
      <w:marRight w:val="0"/>
      <w:marTop w:val="0"/>
      <w:marBottom w:val="0"/>
      <w:divBdr>
        <w:top w:val="none" w:sz="0" w:space="0" w:color="auto"/>
        <w:left w:val="none" w:sz="0" w:space="0" w:color="auto"/>
        <w:bottom w:val="none" w:sz="0" w:space="0" w:color="auto"/>
        <w:right w:val="none" w:sz="0" w:space="0" w:color="auto"/>
      </w:divBdr>
      <w:divsChild>
        <w:div w:id="356079693">
          <w:marLeft w:val="0"/>
          <w:marRight w:val="0"/>
          <w:marTop w:val="0"/>
          <w:marBottom w:val="0"/>
          <w:divBdr>
            <w:top w:val="none" w:sz="0" w:space="0" w:color="auto"/>
            <w:left w:val="none" w:sz="0" w:space="0" w:color="auto"/>
            <w:bottom w:val="none" w:sz="0" w:space="0" w:color="auto"/>
            <w:right w:val="none" w:sz="0" w:space="0" w:color="auto"/>
          </w:divBdr>
          <w:divsChild>
            <w:div w:id="563757565">
              <w:marLeft w:val="0"/>
              <w:marRight w:val="0"/>
              <w:marTop w:val="0"/>
              <w:marBottom w:val="0"/>
              <w:divBdr>
                <w:top w:val="none" w:sz="0" w:space="0" w:color="auto"/>
                <w:left w:val="none" w:sz="0" w:space="0" w:color="auto"/>
                <w:bottom w:val="none" w:sz="0" w:space="0" w:color="auto"/>
                <w:right w:val="none" w:sz="0" w:space="0" w:color="auto"/>
              </w:divBdr>
              <w:divsChild>
                <w:div w:id="7118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58608">
      <w:bodyDiv w:val="1"/>
      <w:marLeft w:val="0"/>
      <w:marRight w:val="0"/>
      <w:marTop w:val="0"/>
      <w:marBottom w:val="0"/>
      <w:divBdr>
        <w:top w:val="none" w:sz="0" w:space="0" w:color="auto"/>
        <w:left w:val="none" w:sz="0" w:space="0" w:color="auto"/>
        <w:bottom w:val="none" w:sz="0" w:space="0" w:color="auto"/>
        <w:right w:val="none" w:sz="0" w:space="0" w:color="auto"/>
      </w:divBdr>
      <w:divsChild>
        <w:div w:id="861209080">
          <w:marLeft w:val="0"/>
          <w:marRight w:val="0"/>
          <w:marTop w:val="0"/>
          <w:marBottom w:val="0"/>
          <w:divBdr>
            <w:top w:val="none" w:sz="0" w:space="0" w:color="auto"/>
            <w:left w:val="none" w:sz="0" w:space="0" w:color="auto"/>
            <w:bottom w:val="none" w:sz="0" w:space="0" w:color="auto"/>
            <w:right w:val="none" w:sz="0" w:space="0" w:color="auto"/>
          </w:divBdr>
          <w:divsChild>
            <w:div w:id="139155847">
              <w:marLeft w:val="0"/>
              <w:marRight w:val="0"/>
              <w:marTop w:val="0"/>
              <w:marBottom w:val="0"/>
              <w:divBdr>
                <w:top w:val="none" w:sz="0" w:space="0" w:color="auto"/>
                <w:left w:val="none" w:sz="0" w:space="0" w:color="auto"/>
                <w:bottom w:val="none" w:sz="0" w:space="0" w:color="auto"/>
                <w:right w:val="none" w:sz="0" w:space="0" w:color="auto"/>
              </w:divBdr>
              <w:divsChild>
                <w:div w:id="12038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79908">
      <w:bodyDiv w:val="1"/>
      <w:marLeft w:val="0"/>
      <w:marRight w:val="0"/>
      <w:marTop w:val="0"/>
      <w:marBottom w:val="0"/>
      <w:divBdr>
        <w:top w:val="none" w:sz="0" w:space="0" w:color="auto"/>
        <w:left w:val="none" w:sz="0" w:space="0" w:color="auto"/>
        <w:bottom w:val="none" w:sz="0" w:space="0" w:color="auto"/>
        <w:right w:val="none" w:sz="0" w:space="0" w:color="auto"/>
      </w:divBdr>
    </w:div>
    <w:div w:id="552041154">
      <w:bodyDiv w:val="1"/>
      <w:marLeft w:val="0"/>
      <w:marRight w:val="0"/>
      <w:marTop w:val="0"/>
      <w:marBottom w:val="0"/>
      <w:divBdr>
        <w:top w:val="none" w:sz="0" w:space="0" w:color="auto"/>
        <w:left w:val="none" w:sz="0" w:space="0" w:color="auto"/>
        <w:bottom w:val="none" w:sz="0" w:space="0" w:color="auto"/>
        <w:right w:val="none" w:sz="0" w:space="0" w:color="auto"/>
      </w:divBdr>
      <w:divsChild>
        <w:div w:id="306281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8492481">
              <w:marLeft w:val="0"/>
              <w:marRight w:val="0"/>
              <w:marTop w:val="0"/>
              <w:marBottom w:val="0"/>
              <w:divBdr>
                <w:top w:val="none" w:sz="0" w:space="0" w:color="auto"/>
                <w:left w:val="none" w:sz="0" w:space="0" w:color="auto"/>
                <w:bottom w:val="none" w:sz="0" w:space="0" w:color="auto"/>
                <w:right w:val="none" w:sz="0" w:space="0" w:color="auto"/>
              </w:divBdr>
              <w:divsChild>
                <w:div w:id="17570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2499">
      <w:bodyDiv w:val="1"/>
      <w:marLeft w:val="0"/>
      <w:marRight w:val="0"/>
      <w:marTop w:val="0"/>
      <w:marBottom w:val="0"/>
      <w:divBdr>
        <w:top w:val="none" w:sz="0" w:space="0" w:color="auto"/>
        <w:left w:val="none" w:sz="0" w:space="0" w:color="auto"/>
        <w:bottom w:val="none" w:sz="0" w:space="0" w:color="auto"/>
        <w:right w:val="none" w:sz="0" w:space="0" w:color="auto"/>
      </w:divBdr>
      <w:divsChild>
        <w:div w:id="997419987">
          <w:marLeft w:val="0"/>
          <w:marRight w:val="0"/>
          <w:marTop w:val="0"/>
          <w:marBottom w:val="0"/>
          <w:divBdr>
            <w:top w:val="none" w:sz="0" w:space="0" w:color="auto"/>
            <w:left w:val="none" w:sz="0" w:space="0" w:color="auto"/>
            <w:bottom w:val="none" w:sz="0" w:space="0" w:color="auto"/>
            <w:right w:val="none" w:sz="0" w:space="0" w:color="auto"/>
          </w:divBdr>
          <w:divsChild>
            <w:div w:id="2090736957">
              <w:marLeft w:val="0"/>
              <w:marRight w:val="0"/>
              <w:marTop w:val="0"/>
              <w:marBottom w:val="0"/>
              <w:divBdr>
                <w:top w:val="none" w:sz="0" w:space="0" w:color="auto"/>
                <w:left w:val="none" w:sz="0" w:space="0" w:color="auto"/>
                <w:bottom w:val="none" w:sz="0" w:space="0" w:color="auto"/>
                <w:right w:val="none" w:sz="0" w:space="0" w:color="auto"/>
              </w:divBdr>
              <w:divsChild>
                <w:div w:id="11185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47984">
      <w:bodyDiv w:val="1"/>
      <w:marLeft w:val="0"/>
      <w:marRight w:val="0"/>
      <w:marTop w:val="0"/>
      <w:marBottom w:val="0"/>
      <w:divBdr>
        <w:top w:val="none" w:sz="0" w:space="0" w:color="auto"/>
        <w:left w:val="none" w:sz="0" w:space="0" w:color="auto"/>
        <w:bottom w:val="none" w:sz="0" w:space="0" w:color="auto"/>
        <w:right w:val="none" w:sz="0" w:space="0" w:color="auto"/>
      </w:divBdr>
      <w:divsChild>
        <w:div w:id="532110703">
          <w:marLeft w:val="0"/>
          <w:marRight w:val="0"/>
          <w:marTop w:val="0"/>
          <w:marBottom w:val="0"/>
          <w:divBdr>
            <w:top w:val="none" w:sz="0" w:space="0" w:color="auto"/>
            <w:left w:val="none" w:sz="0" w:space="0" w:color="auto"/>
            <w:bottom w:val="none" w:sz="0" w:space="0" w:color="auto"/>
            <w:right w:val="none" w:sz="0" w:space="0" w:color="auto"/>
          </w:divBdr>
          <w:divsChild>
            <w:div w:id="1050424364">
              <w:marLeft w:val="0"/>
              <w:marRight w:val="0"/>
              <w:marTop w:val="0"/>
              <w:marBottom w:val="0"/>
              <w:divBdr>
                <w:top w:val="none" w:sz="0" w:space="0" w:color="auto"/>
                <w:left w:val="none" w:sz="0" w:space="0" w:color="auto"/>
                <w:bottom w:val="none" w:sz="0" w:space="0" w:color="auto"/>
                <w:right w:val="none" w:sz="0" w:space="0" w:color="auto"/>
              </w:divBdr>
              <w:divsChild>
                <w:div w:id="13414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9196">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609241001">
      <w:bodyDiv w:val="1"/>
      <w:marLeft w:val="0"/>
      <w:marRight w:val="0"/>
      <w:marTop w:val="0"/>
      <w:marBottom w:val="0"/>
      <w:divBdr>
        <w:top w:val="none" w:sz="0" w:space="0" w:color="auto"/>
        <w:left w:val="none" w:sz="0" w:space="0" w:color="auto"/>
        <w:bottom w:val="none" w:sz="0" w:space="0" w:color="auto"/>
        <w:right w:val="none" w:sz="0" w:space="0" w:color="auto"/>
      </w:divBdr>
      <w:divsChild>
        <w:div w:id="411051462">
          <w:marLeft w:val="0"/>
          <w:marRight w:val="0"/>
          <w:marTop w:val="0"/>
          <w:marBottom w:val="0"/>
          <w:divBdr>
            <w:top w:val="none" w:sz="0" w:space="0" w:color="auto"/>
            <w:left w:val="none" w:sz="0" w:space="0" w:color="auto"/>
            <w:bottom w:val="none" w:sz="0" w:space="0" w:color="auto"/>
            <w:right w:val="none" w:sz="0" w:space="0" w:color="auto"/>
          </w:divBdr>
          <w:divsChild>
            <w:div w:id="174536505">
              <w:marLeft w:val="0"/>
              <w:marRight w:val="0"/>
              <w:marTop w:val="0"/>
              <w:marBottom w:val="0"/>
              <w:divBdr>
                <w:top w:val="none" w:sz="0" w:space="0" w:color="auto"/>
                <w:left w:val="none" w:sz="0" w:space="0" w:color="auto"/>
                <w:bottom w:val="none" w:sz="0" w:space="0" w:color="auto"/>
                <w:right w:val="none" w:sz="0" w:space="0" w:color="auto"/>
              </w:divBdr>
              <w:divsChild>
                <w:div w:id="18496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79021">
      <w:bodyDiv w:val="1"/>
      <w:marLeft w:val="0"/>
      <w:marRight w:val="0"/>
      <w:marTop w:val="0"/>
      <w:marBottom w:val="0"/>
      <w:divBdr>
        <w:top w:val="none" w:sz="0" w:space="0" w:color="auto"/>
        <w:left w:val="none" w:sz="0" w:space="0" w:color="auto"/>
        <w:bottom w:val="none" w:sz="0" w:space="0" w:color="auto"/>
        <w:right w:val="none" w:sz="0" w:space="0" w:color="auto"/>
      </w:divBdr>
    </w:div>
    <w:div w:id="620958396">
      <w:bodyDiv w:val="1"/>
      <w:marLeft w:val="0"/>
      <w:marRight w:val="0"/>
      <w:marTop w:val="0"/>
      <w:marBottom w:val="0"/>
      <w:divBdr>
        <w:top w:val="none" w:sz="0" w:space="0" w:color="auto"/>
        <w:left w:val="none" w:sz="0" w:space="0" w:color="auto"/>
        <w:bottom w:val="none" w:sz="0" w:space="0" w:color="auto"/>
        <w:right w:val="none" w:sz="0" w:space="0" w:color="auto"/>
      </w:divBdr>
      <w:divsChild>
        <w:div w:id="1235776107">
          <w:marLeft w:val="0"/>
          <w:marRight w:val="0"/>
          <w:marTop w:val="0"/>
          <w:marBottom w:val="0"/>
          <w:divBdr>
            <w:top w:val="none" w:sz="0" w:space="0" w:color="auto"/>
            <w:left w:val="none" w:sz="0" w:space="0" w:color="auto"/>
            <w:bottom w:val="none" w:sz="0" w:space="0" w:color="auto"/>
            <w:right w:val="none" w:sz="0" w:space="0" w:color="auto"/>
          </w:divBdr>
          <w:divsChild>
            <w:div w:id="1560628291">
              <w:marLeft w:val="0"/>
              <w:marRight w:val="0"/>
              <w:marTop w:val="0"/>
              <w:marBottom w:val="0"/>
              <w:divBdr>
                <w:top w:val="none" w:sz="0" w:space="0" w:color="auto"/>
                <w:left w:val="none" w:sz="0" w:space="0" w:color="auto"/>
                <w:bottom w:val="none" w:sz="0" w:space="0" w:color="auto"/>
                <w:right w:val="none" w:sz="0" w:space="0" w:color="auto"/>
              </w:divBdr>
              <w:divsChild>
                <w:div w:id="3086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7546">
      <w:bodyDiv w:val="1"/>
      <w:marLeft w:val="0"/>
      <w:marRight w:val="0"/>
      <w:marTop w:val="0"/>
      <w:marBottom w:val="0"/>
      <w:divBdr>
        <w:top w:val="none" w:sz="0" w:space="0" w:color="auto"/>
        <w:left w:val="none" w:sz="0" w:space="0" w:color="auto"/>
        <w:bottom w:val="none" w:sz="0" w:space="0" w:color="auto"/>
        <w:right w:val="none" w:sz="0" w:space="0" w:color="auto"/>
      </w:divBdr>
      <w:divsChild>
        <w:div w:id="1165558688">
          <w:marLeft w:val="0"/>
          <w:marRight w:val="0"/>
          <w:marTop w:val="0"/>
          <w:marBottom w:val="0"/>
          <w:divBdr>
            <w:top w:val="none" w:sz="0" w:space="0" w:color="auto"/>
            <w:left w:val="none" w:sz="0" w:space="0" w:color="auto"/>
            <w:bottom w:val="none" w:sz="0" w:space="0" w:color="auto"/>
            <w:right w:val="none" w:sz="0" w:space="0" w:color="auto"/>
          </w:divBdr>
          <w:divsChild>
            <w:div w:id="499582544">
              <w:marLeft w:val="0"/>
              <w:marRight w:val="0"/>
              <w:marTop w:val="0"/>
              <w:marBottom w:val="0"/>
              <w:divBdr>
                <w:top w:val="none" w:sz="0" w:space="0" w:color="auto"/>
                <w:left w:val="none" w:sz="0" w:space="0" w:color="auto"/>
                <w:bottom w:val="none" w:sz="0" w:space="0" w:color="auto"/>
                <w:right w:val="none" w:sz="0" w:space="0" w:color="auto"/>
              </w:divBdr>
              <w:divsChild>
                <w:div w:id="20846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416">
      <w:bodyDiv w:val="1"/>
      <w:marLeft w:val="0"/>
      <w:marRight w:val="0"/>
      <w:marTop w:val="0"/>
      <w:marBottom w:val="0"/>
      <w:divBdr>
        <w:top w:val="none" w:sz="0" w:space="0" w:color="auto"/>
        <w:left w:val="none" w:sz="0" w:space="0" w:color="auto"/>
        <w:bottom w:val="none" w:sz="0" w:space="0" w:color="auto"/>
        <w:right w:val="none" w:sz="0" w:space="0" w:color="auto"/>
      </w:divBdr>
      <w:divsChild>
        <w:div w:id="1030302464">
          <w:marLeft w:val="0"/>
          <w:marRight w:val="0"/>
          <w:marTop w:val="0"/>
          <w:marBottom w:val="0"/>
          <w:divBdr>
            <w:top w:val="none" w:sz="0" w:space="0" w:color="auto"/>
            <w:left w:val="none" w:sz="0" w:space="0" w:color="auto"/>
            <w:bottom w:val="none" w:sz="0" w:space="0" w:color="auto"/>
            <w:right w:val="none" w:sz="0" w:space="0" w:color="auto"/>
          </w:divBdr>
          <w:divsChild>
            <w:div w:id="691758699">
              <w:marLeft w:val="0"/>
              <w:marRight w:val="0"/>
              <w:marTop w:val="0"/>
              <w:marBottom w:val="0"/>
              <w:divBdr>
                <w:top w:val="none" w:sz="0" w:space="0" w:color="auto"/>
                <w:left w:val="none" w:sz="0" w:space="0" w:color="auto"/>
                <w:bottom w:val="none" w:sz="0" w:space="0" w:color="auto"/>
                <w:right w:val="none" w:sz="0" w:space="0" w:color="auto"/>
              </w:divBdr>
              <w:divsChild>
                <w:div w:id="1726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90868">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03353090">
      <w:bodyDiv w:val="1"/>
      <w:marLeft w:val="0"/>
      <w:marRight w:val="0"/>
      <w:marTop w:val="0"/>
      <w:marBottom w:val="0"/>
      <w:divBdr>
        <w:top w:val="none" w:sz="0" w:space="0" w:color="auto"/>
        <w:left w:val="none" w:sz="0" w:space="0" w:color="auto"/>
        <w:bottom w:val="none" w:sz="0" w:space="0" w:color="auto"/>
        <w:right w:val="none" w:sz="0" w:space="0" w:color="auto"/>
      </w:divBdr>
      <w:divsChild>
        <w:div w:id="357658203">
          <w:marLeft w:val="0"/>
          <w:marRight w:val="0"/>
          <w:marTop w:val="0"/>
          <w:marBottom w:val="0"/>
          <w:divBdr>
            <w:top w:val="none" w:sz="0" w:space="0" w:color="auto"/>
            <w:left w:val="none" w:sz="0" w:space="0" w:color="auto"/>
            <w:bottom w:val="none" w:sz="0" w:space="0" w:color="auto"/>
            <w:right w:val="none" w:sz="0" w:space="0" w:color="auto"/>
          </w:divBdr>
          <w:divsChild>
            <w:div w:id="343677354">
              <w:marLeft w:val="60"/>
              <w:marRight w:val="0"/>
              <w:marTop w:val="0"/>
              <w:marBottom w:val="0"/>
              <w:divBdr>
                <w:top w:val="none" w:sz="0" w:space="0" w:color="auto"/>
                <w:left w:val="none" w:sz="0" w:space="0" w:color="auto"/>
                <w:bottom w:val="none" w:sz="0" w:space="0" w:color="auto"/>
                <w:right w:val="none" w:sz="0" w:space="0" w:color="auto"/>
              </w:divBdr>
              <w:divsChild>
                <w:div w:id="729577608">
                  <w:marLeft w:val="0"/>
                  <w:marRight w:val="0"/>
                  <w:marTop w:val="0"/>
                  <w:marBottom w:val="0"/>
                  <w:divBdr>
                    <w:top w:val="none" w:sz="0" w:space="0" w:color="auto"/>
                    <w:left w:val="none" w:sz="0" w:space="0" w:color="auto"/>
                    <w:bottom w:val="none" w:sz="0" w:space="0" w:color="auto"/>
                    <w:right w:val="none" w:sz="0" w:space="0" w:color="auto"/>
                  </w:divBdr>
                  <w:divsChild>
                    <w:div w:id="390352999">
                      <w:marLeft w:val="0"/>
                      <w:marRight w:val="0"/>
                      <w:marTop w:val="0"/>
                      <w:marBottom w:val="120"/>
                      <w:divBdr>
                        <w:top w:val="single" w:sz="6" w:space="0" w:color="F5F5F5"/>
                        <w:left w:val="single" w:sz="6" w:space="0" w:color="F5F5F5"/>
                        <w:bottom w:val="single" w:sz="6" w:space="0" w:color="F5F5F5"/>
                        <w:right w:val="single" w:sz="6" w:space="0" w:color="F5F5F5"/>
                      </w:divBdr>
                      <w:divsChild>
                        <w:div w:id="974913677">
                          <w:marLeft w:val="0"/>
                          <w:marRight w:val="0"/>
                          <w:marTop w:val="0"/>
                          <w:marBottom w:val="0"/>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247213">
          <w:marLeft w:val="0"/>
          <w:marRight w:val="0"/>
          <w:marTop w:val="0"/>
          <w:marBottom w:val="0"/>
          <w:divBdr>
            <w:top w:val="none" w:sz="0" w:space="0" w:color="auto"/>
            <w:left w:val="none" w:sz="0" w:space="0" w:color="auto"/>
            <w:bottom w:val="none" w:sz="0" w:space="0" w:color="auto"/>
            <w:right w:val="none" w:sz="0" w:space="0" w:color="auto"/>
          </w:divBdr>
          <w:divsChild>
            <w:div w:id="1739551413">
              <w:marLeft w:val="0"/>
              <w:marRight w:val="60"/>
              <w:marTop w:val="0"/>
              <w:marBottom w:val="0"/>
              <w:divBdr>
                <w:top w:val="none" w:sz="0" w:space="0" w:color="auto"/>
                <w:left w:val="none" w:sz="0" w:space="0" w:color="auto"/>
                <w:bottom w:val="none" w:sz="0" w:space="0" w:color="auto"/>
                <w:right w:val="none" w:sz="0" w:space="0" w:color="auto"/>
              </w:divBdr>
              <w:divsChild>
                <w:div w:id="1582984909">
                  <w:marLeft w:val="0"/>
                  <w:marRight w:val="0"/>
                  <w:marTop w:val="0"/>
                  <w:marBottom w:val="120"/>
                  <w:divBdr>
                    <w:top w:val="single" w:sz="6" w:space="0" w:color="C0C0C0"/>
                    <w:left w:val="single" w:sz="6" w:space="0" w:color="D9D9D9"/>
                    <w:bottom w:val="single" w:sz="6" w:space="0" w:color="D9D9D9"/>
                    <w:right w:val="single" w:sz="6" w:space="0" w:color="D9D9D9"/>
                  </w:divBdr>
                  <w:divsChild>
                    <w:div w:id="1869639330">
                      <w:marLeft w:val="0"/>
                      <w:marRight w:val="0"/>
                      <w:marTop w:val="0"/>
                      <w:marBottom w:val="0"/>
                      <w:divBdr>
                        <w:top w:val="none" w:sz="0" w:space="0" w:color="auto"/>
                        <w:left w:val="none" w:sz="0" w:space="0" w:color="auto"/>
                        <w:bottom w:val="none" w:sz="0" w:space="0" w:color="auto"/>
                        <w:right w:val="none" w:sz="0" w:space="0" w:color="auto"/>
                      </w:divBdr>
                    </w:div>
                    <w:div w:id="1908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8789">
      <w:bodyDiv w:val="1"/>
      <w:marLeft w:val="0"/>
      <w:marRight w:val="0"/>
      <w:marTop w:val="0"/>
      <w:marBottom w:val="0"/>
      <w:divBdr>
        <w:top w:val="none" w:sz="0" w:space="0" w:color="auto"/>
        <w:left w:val="none" w:sz="0" w:space="0" w:color="auto"/>
        <w:bottom w:val="none" w:sz="0" w:space="0" w:color="auto"/>
        <w:right w:val="none" w:sz="0" w:space="0" w:color="auto"/>
      </w:divBdr>
      <w:divsChild>
        <w:div w:id="608392576">
          <w:marLeft w:val="0"/>
          <w:marRight w:val="0"/>
          <w:marTop w:val="0"/>
          <w:marBottom w:val="0"/>
          <w:divBdr>
            <w:top w:val="none" w:sz="0" w:space="0" w:color="auto"/>
            <w:left w:val="none" w:sz="0" w:space="0" w:color="auto"/>
            <w:bottom w:val="none" w:sz="0" w:space="0" w:color="auto"/>
            <w:right w:val="none" w:sz="0" w:space="0" w:color="auto"/>
          </w:divBdr>
          <w:divsChild>
            <w:div w:id="1316761220">
              <w:marLeft w:val="0"/>
              <w:marRight w:val="0"/>
              <w:marTop w:val="0"/>
              <w:marBottom w:val="0"/>
              <w:divBdr>
                <w:top w:val="none" w:sz="0" w:space="0" w:color="auto"/>
                <w:left w:val="none" w:sz="0" w:space="0" w:color="auto"/>
                <w:bottom w:val="none" w:sz="0" w:space="0" w:color="auto"/>
                <w:right w:val="none" w:sz="0" w:space="0" w:color="auto"/>
              </w:divBdr>
              <w:divsChild>
                <w:div w:id="1125271986">
                  <w:marLeft w:val="0"/>
                  <w:marRight w:val="0"/>
                  <w:marTop w:val="0"/>
                  <w:marBottom w:val="0"/>
                  <w:divBdr>
                    <w:top w:val="none" w:sz="0" w:space="0" w:color="auto"/>
                    <w:left w:val="none" w:sz="0" w:space="0" w:color="auto"/>
                    <w:bottom w:val="none" w:sz="0" w:space="0" w:color="auto"/>
                    <w:right w:val="none" w:sz="0" w:space="0" w:color="auto"/>
                  </w:divBdr>
                  <w:divsChild>
                    <w:div w:id="13446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67051">
      <w:bodyDiv w:val="1"/>
      <w:marLeft w:val="0"/>
      <w:marRight w:val="0"/>
      <w:marTop w:val="0"/>
      <w:marBottom w:val="0"/>
      <w:divBdr>
        <w:top w:val="none" w:sz="0" w:space="0" w:color="auto"/>
        <w:left w:val="none" w:sz="0" w:space="0" w:color="auto"/>
        <w:bottom w:val="none" w:sz="0" w:space="0" w:color="auto"/>
        <w:right w:val="none" w:sz="0" w:space="0" w:color="auto"/>
      </w:divBdr>
    </w:div>
    <w:div w:id="834421480">
      <w:bodyDiv w:val="1"/>
      <w:marLeft w:val="0"/>
      <w:marRight w:val="0"/>
      <w:marTop w:val="0"/>
      <w:marBottom w:val="0"/>
      <w:divBdr>
        <w:top w:val="none" w:sz="0" w:space="0" w:color="auto"/>
        <w:left w:val="none" w:sz="0" w:space="0" w:color="auto"/>
        <w:bottom w:val="none" w:sz="0" w:space="0" w:color="auto"/>
        <w:right w:val="none" w:sz="0" w:space="0" w:color="auto"/>
      </w:divBdr>
    </w:div>
    <w:div w:id="890774514">
      <w:bodyDiv w:val="1"/>
      <w:marLeft w:val="0"/>
      <w:marRight w:val="0"/>
      <w:marTop w:val="0"/>
      <w:marBottom w:val="0"/>
      <w:divBdr>
        <w:top w:val="none" w:sz="0" w:space="0" w:color="auto"/>
        <w:left w:val="none" w:sz="0" w:space="0" w:color="auto"/>
        <w:bottom w:val="none" w:sz="0" w:space="0" w:color="auto"/>
        <w:right w:val="none" w:sz="0" w:space="0" w:color="auto"/>
      </w:divBdr>
    </w:div>
    <w:div w:id="902376195">
      <w:bodyDiv w:val="1"/>
      <w:marLeft w:val="0"/>
      <w:marRight w:val="0"/>
      <w:marTop w:val="0"/>
      <w:marBottom w:val="0"/>
      <w:divBdr>
        <w:top w:val="none" w:sz="0" w:space="0" w:color="auto"/>
        <w:left w:val="none" w:sz="0" w:space="0" w:color="auto"/>
        <w:bottom w:val="none" w:sz="0" w:space="0" w:color="auto"/>
        <w:right w:val="none" w:sz="0" w:space="0" w:color="auto"/>
      </w:divBdr>
    </w:div>
    <w:div w:id="934095499">
      <w:bodyDiv w:val="1"/>
      <w:marLeft w:val="0"/>
      <w:marRight w:val="0"/>
      <w:marTop w:val="0"/>
      <w:marBottom w:val="0"/>
      <w:divBdr>
        <w:top w:val="none" w:sz="0" w:space="0" w:color="auto"/>
        <w:left w:val="none" w:sz="0" w:space="0" w:color="auto"/>
        <w:bottom w:val="none" w:sz="0" w:space="0" w:color="auto"/>
        <w:right w:val="none" w:sz="0" w:space="0" w:color="auto"/>
      </w:divBdr>
    </w:div>
    <w:div w:id="952983900">
      <w:bodyDiv w:val="1"/>
      <w:marLeft w:val="0"/>
      <w:marRight w:val="0"/>
      <w:marTop w:val="0"/>
      <w:marBottom w:val="0"/>
      <w:divBdr>
        <w:top w:val="none" w:sz="0" w:space="0" w:color="auto"/>
        <w:left w:val="none" w:sz="0" w:space="0" w:color="auto"/>
        <w:bottom w:val="none" w:sz="0" w:space="0" w:color="auto"/>
        <w:right w:val="none" w:sz="0" w:space="0" w:color="auto"/>
      </w:divBdr>
      <w:divsChild>
        <w:div w:id="248276187">
          <w:marLeft w:val="0"/>
          <w:marRight w:val="0"/>
          <w:marTop w:val="0"/>
          <w:marBottom w:val="0"/>
          <w:divBdr>
            <w:top w:val="none" w:sz="0" w:space="0" w:color="auto"/>
            <w:left w:val="none" w:sz="0" w:space="0" w:color="auto"/>
            <w:bottom w:val="none" w:sz="0" w:space="0" w:color="auto"/>
            <w:right w:val="none" w:sz="0" w:space="0" w:color="auto"/>
          </w:divBdr>
          <w:divsChild>
            <w:div w:id="1862476913">
              <w:marLeft w:val="0"/>
              <w:marRight w:val="0"/>
              <w:marTop w:val="0"/>
              <w:marBottom w:val="0"/>
              <w:divBdr>
                <w:top w:val="none" w:sz="0" w:space="0" w:color="auto"/>
                <w:left w:val="none" w:sz="0" w:space="0" w:color="auto"/>
                <w:bottom w:val="none" w:sz="0" w:space="0" w:color="auto"/>
                <w:right w:val="none" w:sz="0" w:space="0" w:color="auto"/>
              </w:divBdr>
              <w:divsChild>
                <w:div w:id="395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6635443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73409796">
      <w:bodyDiv w:val="1"/>
      <w:marLeft w:val="0"/>
      <w:marRight w:val="0"/>
      <w:marTop w:val="0"/>
      <w:marBottom w:val="0"/>
      <w:divBdr>
        <w:top w:val="none" w:sz="0" w:space="0" w:color="auto"/>
        <w:left w:val="none" w:sz="0" w:space="0" w:color="auto"/>
        <w:bottom w:val="none" w:sz="0" w:space="0" w:color="auto"/>
        <w:right w:val="none" w:sz="0" w:space="0" w:color="auto"/>
      </w:divBdr>
      <w:divsChild>
        <w:div w:id="1197042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5973637">
              <w:marLeft w:val="0"/>
              <w:marRight w:val="0"/>
              <w:marTop w:val="0"/>
              <w:marBottom w:val="0"/>
              <w:divBdr>
                <w:top w:val="none" w:sz="0" w:space="0" w:color="auto"/>
                <w:left w:val="none" w:sz="0" w:space="0" w:color="auto"/>
                <w:bottom w:val="none" w:sz="0" w:space="0" w:color="auto"/>
                <w:right w:val="none" w:sz="0" w:space="0" w:color="auto"/>
              </w:divBdr>
              <w:divsChild>
                <w:div w:id="18267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6057">
      <w:bodyDiv w:val="1"/>
      <w:marLeft w:val="0"/>
      <w:marRight w:val="0"/>
      <w:marTop w:val="0"/>
      <w:marBottom w:val="0"/>
      <w:divBdr>
        <w:top w:val="none" w:sz="0" w:space="0" w:color="auto"/>
        <w:left w:val="none" w:sz="0" w:space="0" w:color="auto"/>
        <w:bottom w:val="none" w:sz="0" w:space="0" w:color="auto"/>
        <w:right w:val="none" w:sz="0" w:space="0" w:color="auto"/>
      </w:divBdr>
    </w:div>
    <w:div w:id="984507294">
      <w:bodyDiv w:val="1"/>
      <w:marLeft w:val="0"/>
      <w:marRight w:val="0"/>
      <w:marTop w:val="0"/>
      <w:marBottom w:val="0"/>
      <w:divBdr>
        <w:top w:val="none" w:sz="0" w:space="0" w:color="auto"/>
        <w:left w:val="none" w:sz="0" w:space="0" w:color="auto"/>
        <w:bottom w:val="none" w:sz="0" w:space="0" w:color="auto"/>
        <w:right w:val="none" w:sz="0" w:space="0" w:color="auto"/>
      </w:divBdr>
      <w:divsChild>
        <w:div w:id="495270544">
          <w:marLeft w:val="0"/>
          <w:marRight w:val="0"/>
          <w:marTop w:val="0"/>
          <w:marBottom w:val="0"/>
          <w:divBdr>
            <w:top w:val="none" w:sz="0" w:space="0" w:color="auto"/>
            <w:left w:val="none" w:sz="0" w:space="0" w:color="auto"/>
            <w:bottom w:val="none" w:sz="0" w:space="0" w:color="auto"/>
            <w:right w:val="none" w:sz="0" w:space="0" w:color="auto"/>
          </w:divBdr>
          <w:divsChild>
            <w:div w:id="1754931907">
              <w:marLeft w:val="0"/>
              <w:marRight w:val="0"/>
              <w:marTop w:val="0"/>
              <w:marBottom w:val="0"/>
              <w:divBdr>
                <w:top w:val="none" w:sz="0" w:space="0" w:color="auto"/>
                <w:left w:val="none" w:sz="0" w:space="0" w:color="auto"/>
                <w:bottom w:val="none" w:sz="0" w:space="0" w:color="auto"/>
                <w:right w:val="none" w:sz="0" w:space="0" w:color="auto"/>
              </w:divBdr>
              <w:divsChild>
                <w:div w:id="6948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998657682">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12606982">
      <w:bodyDiv w:val="1"/>
      <w:marLeft w:val="0"/>
      <w:marRight w:val="0"/>
      <w:marTop w:val="0"/>
      <w:marBottom w:val="0"/>
      <w:divBdr>
        <w:top w:val="none" w:sz="0" w:space="0" w:color="auto"/>
        <w:left w:val="none" w:sz="0" w:space="0" w:color="auto"/>
        <w:bottom w:val="none" w:sz="0" w:space="0" w:color="auto"/>
        <w:right w:val="none" w:sz="0" w:space="0" w:color="auto"/>
      </w:divBdr>
    </w:div>
    <w:div w:id="1027947583">
      <w:bodyDiv w:val="1"/>
      <w:marLeft w:val="0"/>
      <w:marRight w:val="0"/>
      <w:marTop w:val="0"/>
      <w:marBottom w:val="0"/>
      <w:divBdr>
        <w:top w:val="none" w:sz="0" w:space="0" w:color="auto"/>
        <w:left w:val="none" w:sz="0" w:space="0" w:color="auto"/>
        <w:bottom w:val="none" w:sz="0" w:space="0" w:color="auto"/>
        <w:right w:val="none" w:sz="0" w:space="0" w:color="auto"/>
      </w:divBdr>
    </w:div>
    <w:div w:id="1030186987">
      <w:bodyDiv w:val="1"/>
      <w:marLeft w:val="0"/>
      <w:marRight w:val="0"/>
      <w:marTop w:val="0"/>
      <w:marBottom w:val="0"/>
      <w:divBdr>
        <w:top w:val="none" w:sz="0" w:space="0" w:color="auto"/>
        <w:left w:val="none" w:sz="0" w:space="0" w:color="auto"/>
        <w:bottom w:val="none" w:sz="0" w:space="0" w:color="auto"/>
        <w:right w:val="none" w:sz="0" w:space="0" w:color="auto"/>
      </w:divBdr>
      <w:divsChild>
        <w:div w:id="2111194108">
          <w:marLeft w:val="0"/>
          <w:marRight w:val="0"/>
          <w:marTop w:val="0"/>
          <w:marBottom w:val="0"/>
          <w:divBdr>
            <w:top w:val="none" w:sz="0" w:space="0" w:color="auto"/>
            <w:left w:val="none" w:sz="0" w:space="0" w:color="auto"/>
            <w:bottom w:val="none" w:sz="0" w:space="0" w:color="auto"/>
            <w:right w:val="none" w:sz="0" w:space="0" w:color="auto"/>
          </w:divBdr>
          <w:divsChild>
            <w:div w:id="598835055">
              <w:marLeft w:val="0"/>
              <w:marRight w:val="0"/>
              <w:marTop w:val="0"/>
              <w:marBottom w:val="0"/>
              <w:divBdr>
                <w:top w:val="none" w:sz="0" w:space="0" w:color="auto"/>
                <w:left w:val="none" w:sz="0" w:space="0" w:color="auto"/>
                <w:bottom w:val="none" w:sz="0" w:space="0" w:color="auto"/>
                <w:right w:val="none" w:sz="0" w:space="0" w:color="auto"/>
              </w:divBdr>
              <w:divsChild>
                <w:div w:id="5591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2651">
      <w:bodyDiv w:val="1"/>
      <w:marLeft w:val="0"/>
      <w:marRight w:val="0"/>
      <w:marTop w:val="0"/>
      <w:marBottom w:val="0"/>
      <w:divBdr>
        <w:top w:val="none" w:sz="0" w:space="0" w:color="auto"/>
        <w:left w:val="none" w:sz="0" w:space="0" w:color="auto"/>
        <w:bottom w:val="none" w:sz="0" w:space="0" w:color="auto"/>
        <w:right w:val="none" w:sz="0" w:space="0" w:color="auto"/>
      </w:divBdr>
      <w:divsChild>
        <w:div w:id="1576351886">
          <w:marLeft w:val="0"/>
          <w:marRight w:val="0"/>
          <w:marTop w:val="0"/>
          <w:marBottom w:val="0"/>
          <w:divBdr>
            <w:top w:val="none" w:sz="0" w:space="0" w:color="auto"/>
            <w:left w:val="none" w:sz="0" w:space="0" w:color="auto"/>
            <w:bottom w:val="none" w:sz="0" w:space="0" w:color="auto"/>
            <w:right w:val="none" w:sz="0" w:space="0" w:color="auto"/>
          </w:divBdr>
          <w:divsChild>
            <w:div w:id="2013488648">
              <w:marLeft w:val="0"/>
              <w:marRight w:val="0"/>
              <w:marTop w:val="0"/>
              <w:marBottom w:val="0"/>
              <w:divBdr>
                <w:top w:val="none" w:sz="0" w:space="0" w:color="auto"/>
                <w:left w:val="none" w:sz="0" w:space="0" w:color="auto"/>
                <w:bottom w:val="none" w:sz="0" w:space="0" w:color="auto"/>
                <w:right w:val="none" w:sz="0" w:space="0" w:color="auto"/>
              </w:divBdr>
              <w:divsChild>
                <w:div w:id="17890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8459">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11700458">
      <w:bodyDiv w:val="1"/>
      <w:marLeft w:val="0"/>
      <w:marRight w:val="0"/>
      <w:marTop w:val="0"/>
      <w:marBottom w:val="0"/>
      <w:divBdr>
        <w:top w:val="none" w:sz="0" w:space="0" w:color="auto"/>
        <w:left w:val="none" w:sz="0" w:space="0" w:color="auto"/>
        <w:bottom w:val="none" w:sz="0" w:space="0" w:color="auto"/>
        <w:right w:val="none" w:sz="0" w:space="0" w:color="auto"/>
      </w:divBdr>
      <w:divsChild>
        <w:div w:id="946348600">
          <w:marLeft w:val="0"/>
          <w:marRight w:val="0"/>
          <w:marTop w:val="0"/>
          <w:marBottom w:val="0"/>
          <w:divBdr>
            <w:top w:val="none" w:sz="0" w:space="0" w:color="auto"/>
            <w:left w:val="none" w:sz="0" w:space="0" w:color="auto"/>
            <w:bottom w:val="none" w:sz="0" w:space="0" w:color="auto"/>
            <w:right w:val="none" w:sz="0" w:space="0" w:color="auto"/>
          </w:divBdr>
          <w:divsChild>
            <w:div w:id="1819760567">
              <w:marLeft w:val="0"/>
              <w:marRight w:val="0"/>
              <w:marTop w:val="0"/>
              <w:marBottom w:val="0"/>
              <w:divBdr>
                <w:top w:val="none" w:sz="0" w:space="0" w:color="auto"/>
                <w:left w:val="none" w:sz="0" w:space="0" w:color="auto"/>
                <w:bottom w:val="none" w:sz="0" w:space="0" w:color="auto"/>
                <w:right w:val="none" w:sz="0" w:space="0" w:color="auto"/>
              </w:divBdr>
              <w:divsChild>
                <w:div w:id="1199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07618">
      <w:bodyDiv w:val="1"/>
      <w:marLeft w:val="0"/>
      <w:marRight w:val="0"/>
      <w:marTop w:val="0"/>
      <w:marBottom w:val="0"/>
      <w:divBdr>
        <w:top w:val="none" w:sz="0" w:space="0" w:color="auto"/>
        <w:left w:val="none" w:sz="0" w:space="0" w:color="auto"/>
        <w:bottom w:val="none" w:sz="0" w:space="0" w:color="auto"/>
        <w:right w:val="none" w:sz="0" w:space="0" w:color="auto"/>
      </w:divBdr>
    </w:div>
    <w:div w:id="114886374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20945572">
      <w:bodyDiv w:val="1"/>
      <w:marLeft w:val="0"/>
      <w:marRight w:val="0"/>
      <w:marTop w:val="0"/>
      <w:marBottom w:val="0"/>
      <w:divBdr>
        <w:top w:val="none" w:sz="0" w:space="0" w:color="auto"/>
        <w:left w:val="none" w:sz="0" w:space="0" w:color="auto"/>
        <w:bottom w:val="none" w:sz="0" w:space="0" w:color="auto"/>
        <w:right w:val="none" w:sz="0" w:space="0" w:color="auto"/>
      </w:divBdr>
    </w:div>
    <w:div w:id="1255821617">
      <w:bodyDiv w:val="1"/>
      <w:marLeft w:val="0"/>
      <w:marRight w:val="0"/>
      <w:marTop w:val="0"/>
      <w:marBottom w:val="0"/>
      <w:divBdr>
        <w:top w:val="none" w:sz="0" w:space="0" w:color="auto"/>
        <w:left w:val="none" w:sz="0" w:space="0" w:color="auto"/>
        <w:bottom w:val="none" w:sz="0" w:space="0" w:color="auto"/>
        <w:right w:val="none" w:sz="0" w:space="0" w:color="auto"/>
      </w:divBdr>
      <w:divsChild>
        <w:div w:id="1712728829">
          <w:marLeft w:val="0"/>
          <w:marRight w:val="0"/>
          <w:marTop w:val="0"/>
          <w:marBottom w:val="0"/>
          <w:divBdr>
            <w:top w:val="none" w:sz="0" w:space="0" w:color="auto"/>
            <w:left w:val="none" w:sz="0" w:space="0" w:color="auto"/>
            <w:bottom w:val="none" w:sz="0" w:space="0" w:color="auto"/>
            <w:right w:val="none" w:sz="0" w:space="0" w:color="auto"/>
          </w:divBdr>
          <w:divsChild>
            <w:div w:id="2115443633">
              <w:marLeft w:val="0"/>
              <w:marRight w:val="0"/>
              <w:marTop w:val="0"/>
              <w:marBottom w:val="0"/>
              <w:divBdr>
                <w:top w:val="none" w:sz="0" w:space="0" w:color="auto"/>
                <w:left w:val="none" w:sz="0" w:space="0" w:color="auto"/>
                <w:bottom w:val="none" w:sz="0" w:space="0" w:color="auto"/>
                <w:right w:val="none" w:sz="0" w:space="0" w:color="auto"/>
              </w:divBdr>
              <w:divsChild>
                <w:div w:id="569121410">
                  <w:marLeft w:val="0"/>
                  <w:marRight w:val="0"/>
                  <w:marTop w:val="0"/>
                  <w:marBottom w:val="0"/>
                  <w:divBdr>
                    <w:top w:val="none" w:sz="0" w:space="0" w:color="auto"/>
                    <w:left w:val="none" w:sz="0" w:space="0" w:color="auto"/>
                    <w:bottom w:val="none" w:sz="0" w:space="0" w:color="auto"/>
                    <w:right w:val="none" w:sz="0" w:space="0" w:color="auto"/>
                  </w:divBdr>
                  <w:divsChild>
                    <w:div w:id="875040106">
                      <w:marLeft w:val="0"/>
                      <w:marRight w:val="0"/>
                      <w:marTop w:val="0"/>
                      <w:marBottom w:val="0"/>
                      <w:divBdr>
                        <w:top w:val="none" w:sz="0" w:space="0" w:color="auto"/>
                        <w:left w:val="none" w:sz="0" w:space="0" w:color="auto"/>
                        <w:bottom w:val="none" w:sz="0" w:space="0" w:color="auto"/>
                        <w:right w:val="none" w:sz="0" w:space="0" w:color="auto"/>
                      </w:divBdr>
                    </w:div>
                  </w:divsChild>
                </w:div>
                <w:div w:id="755440091">
                  <w:marLeft w:val="0"/>
                  <w:marRight w:val="0"/>
                  <w:marTop w:val="0"/>
                  <w:marBottom w:val="0"/>
                  <w:divBdr>
                    <w:top w:val="none" w:sz="0" w:space="0" w:color="auto"/>
                    <w:left w:val="none" w:sz="0" w:space="0" w:color="auto"/>
                    <w:bottom w:val="none" w:sz="0" w:space="0" w:color="auto"/>
                    <w:right w:val="none" w:sz="0" w:space="0" w:color="auto"/>
                  </w:divBdr>
                  <w:divsChild>
                    <w:div w:id="1817255199">
                      <w:marLeft w:val="0"/>
                      <w:marRight w:val="0"/>
                      <w:marTop w:val="0"/>
                      <w:marBottom w:val="0"/>
                      <w:divBdr>
                        <w:top w:val="none" w:sz="0" w:space="0" w:color="auto"/>
                        <w:left w:val="none" w:sz="0" w:space="0" w:color="auto"/>
                        <w:bottom w:val="none" w:sz="0" w:space="0" w:color="auto"/>
                        <w:right w:val="none" w:sz="0" w:space="0" w:color="auto"/>
                      </w:divBdr>
                    </w:div>
                  </w:divsChild>
                </w:div>
                <w:div w:id="931275549">
                  <w:marLeft w:val="0"/>
                  <w:marRight w:val="0"/>
                  <w:marTop w:val="0"/>
                  <w:marBottom w:val="0"/>
                  <w:divBdr>
                    <w:top w:val="none" w:sz="0" w:space="0" w:color="auto"/>
                    <w:left w:val="none" w:sz="0" w:space="0" w:color="auto"/>
                    <w:bottom w:val="none" w:sz="0" w:space="0" w:color="auto"/>
                    <w:right w:val="none" w:sz="0" w:space="0" w:color="auto"/>
                  </w:divBdr>
                  <w:divsChild>
                    <w:div w:id="2137480443">
                      <w:marLeft w:val="0"/>
                      <w:marRight w:val="0"/>
                      <w:marTop w:val="0"/>
                      <w:marBottom w:val="0"/>
                      <w:divBdr>
                        <w:top w:val="none" w:sz="0" w:space="0" w:color="auto"/>
                        <w:left w:val="none" w:sz="0" w:space="0" w:color="auto"/>
                        <w:bottom w:val="none" w:sz="0" w:space="0" w:color="auto"/>
                        <w:right w:val="none" w:sz="0" w:space="0" w:color="auto"/>
                      </w:divBdr>
                    </w:div>
                  </w:divsChild>
                </w:div>
                <w:div w:id="1905019979">
                  <w:marLeft w:val="0"/>
                  <w:marRight w:val="0"/>
                  <w:marTop w:val="0"/>
                  <w:marBottom w:val="0"/>
                  <w:divBdr>
                    <w:top w:val="none" w:sz="0" w:space="0" w:color="auto"/>
                    <w:left w:val="none" w:sz="0" w:space="0" w:color="auto"/>
                    <w:bottom w:val="none" w:sz="0" w:space="0" w:color="auto"/>
                    <w:right w:val="none" w:sz="0" w:space="0" w:color="auto"/>
                  </w:divBdr>
                  <w:divsChild>
                    <w:div w:id="18963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77057">
      <w:bodyDiv w:val="1"/>
      <w:marLeft w:val="0"/>
      <w:marRight w:val="0"/>
      <w:marTop w:val="0"/>
      <w:marBottom w:val="0"/>
      <w:divBdr>
        <w:top w:val="none" w:sz="0" w:space="0" w:color="auto"/>
        <w:left w:val="none" w:sz="0" w:space="0" w:color="auto"/>
        <w:bottom w:val="none" w:sz="0" w:space="0" w:color="auto"/>
        <w:right w:val="none" w:sz="0" w:space="0" w:color="auto"/>
      </w:divBdr>
      <w:divsChild>
        <w:div w:id="2042002996">
          <w:marLeft w:val="0"/>
          <w:marRight w:val="0"/>
          <w:marTop w:val="0"/>
          <w:marBottom w:val="0"/>
          <w:divBdr>
            <w:top w:val="none" w:sz="0" w:space="0" w:color="auto"/>
            <w:left w:val="none" w:sz="0" w:space="0" w:color="auto"/>
            <w:bottom w:val="none" w:sz="0" w:space="0" w:color="auto"/>
            <w:right w:val="none" w:sz="0" w:space="0" w:color="auto"/>
          </w:divBdr>
          <w:divsChild>
            <w:div w:id="999429318">
              <w:marLeft w:val="0"/>
              <w:marRight w:val="0"/>
              <w:marTop w:val="0"/>
              <w:marBottom w:val="0"/>
              <w:divBdr>
                <w:top w:val="none" w:sz="0" w:space="0" w:color="auto"/>
                <w:left w:val="none" w:sz="0" w:space="0" w:color="auto"/>
                <w:bottom w:val="none" w:sz="0" w:space="0" w:color="auto"/>
                <w:right w:val="none" w:sz="0" w:space="0" w:color="auto"/>
              </w:divBdr>
              <w:divsChild>
                <w:div w:id="15656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9554">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76449029">
      <w:bodyDiv w:val="1"/>
      <w:marLeft w:val="0"/>
      <w:marRight w:val="0"/>
      <w:marTop w:val="0"/>
      <w:marBottom w:val="0"/>
      <w:divBdr>
        <w:top w:val="none" w:sz="0" w:space="0" w:color="auto"/>
        <w:left w:val="none" w:sz="0" w:space="0" w:color="auto"/>
        <w:bottom w:val="none" w:sz="0" w:space="0" w:color="auto"/>
        <w:right w:val="none" w:sz="0" w:space="0" w:color="auto"/>
      </w:divBdr>
    </w:div>
    <w:div w:id="1278174518">
      <w:bodyDiv w:val="1"/>
      <w:marLeft w:val="0"/>
      <w:marRight w:val="0"/>
      <w:marTop w:val="0"/>
      <w:marBottom w:val="0"/>
      <w:divBdr>
        <w:top w:val="none" w:sz="0" w:space="0" w:color="auto"/>
        <w:left w:val="none" w:sz="0" w:space="0" w:color="auto"/>
        <w:bottom w:val="none" w:sz="0" w:space="0" w:color="auto"/>
        <w:right w:val="none" w:sz="0" w:space="0" w:color="auto"/>
      </w:divBdr>
      <w:divsChild>
        <w:div w:id="270280545">
          <w:marLeft w:val="0"/>
          <w:marRight w:val="0"/>
          <w:marTop w:val="0"/>
          <w:marBottom w:val="0"/>
          <w:divBdr>
            <w:top w:val="none" w:sz="0" w:space="0" w:color="auto"/>
            <w:left w:val="none" w:sz="0" w:space="0" w:color="auto"/>
            <w:bottom w:val="none" w:sz="0" w:space="0" w:color="auto"/>
            <w:right w:val="none" w:sz="0" w:space="0" w:color="auto"/>
          </w:divBdr>
          <w:divsChild>
            <w:div w:id="1167330535">
              <w:marLeft w:val="0"/>
              <w:marRight w:val="0"/>
              <w:marTop w:val="0"/>
              <w:marBottom w:val="0"/>
              <w:divBdr>
                <w:top w:val="none" w:sz="0" w:space="0" w:color="auto"/>
                <w:left w:val="none" w:sz="0" w:space="0" w:color="auto"/>
                <w:bottom w:val="none" w:sz="0" w:space="0" w:color="auto"/>
                <w:right w:val="none" w:sz="0" w:space="0" w:color="auto"/>
              </w:divBdr>
              <w:divsChild>
                <w:div w:id="10449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01308242">
      <w:bodyDiv w:val="1"/>
      <w:marLeft w:val="0"/>
      <w:marRight w:val="0"/>
      <w:marTop w:val="0"/>
      <w:marBottom w:val="0"/>
      <w:divBdr>
        <w:top w:val="none" w:sz="0" w:space="0" w:color="auto"/>
        <w:left w:val="none" w:sz="0" w:space="0" w:color="auto"/>
        <w:bottom w:val="none" w:sz="0" w:space="0" w:color="auto"/>
        <w:right w:val="none" w:sz="0" w:space="0" w:color="auto"/>
      </w:divBdr>
    </w:div>
    <w:div w:id="1303971814">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38194961">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5057816">
      <w:bodyDiv w:val="1"/>
      <w:marLeft w:val="0"/>
      <w:marRight w:val="0"/>
      <w:marTop w:val="0"/>
      <w:marBottom w:val="0"/>
      <w:divBdr>
        <w:top w:val="none" w:sz="0" w:space="0" w:color="auto"/>
        <w:left w:val="none" w:sz="0" w:space="0" w:color="auto"/>
        <w:bottom w:val="none" w:sz="0" w:space="0" w:color="auto"/>
        <w:right w:val="none" w:sz="0" w:space="0" w:color="auto"/>
      </w:divBdr>
      <w:divsChild>
        <w:div w:id="1781027264">
          <w:marLeft w:val="0"/>
          <w:marRight w:val="0"/>
          <w:marTop w:val="0"/>
          <w:marBottom w:val="0"/>
          <w:divBdr>
            <w:top w:val="none" w:sz="0" w:space="0" w:color="auto"/>
            <w:left w:val="none" w:sz="0" w:space="0" w:color="auto"/>
            <w:bottom w:val="none" w:sz="0" w:space="0" w:color="auto"/>
            <w:right w:val="none" w:sz="0" w:space="0" w:color="auto"/>
          </w:divBdr>
          <w:divsChild>
            <w:div w:id="1799060415">
              <w:marLeft w:val="0"/>
              <w:marRight w:val="0"/>
              <w:marTop w:val="0"/>
              <w:marBottom w:val="0"/>
              <w:divBdr>
                <w:top w:val="none" w:sz="0" w:space="0" w:color="auto"/>
                <w:left w:val="none" w:sz="0" w:space="0" w:color="auto"/>
                <w:bottom w:val="none" w:sz="0" w:space="0" w:color="auto"/>
                <w:right w:val="none" w:sz="0" w:space="0" w:color="auto"/>
              </w:divBdr>
              <w:divsChild>
                <w:div w:id="1169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379165788">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27650699">
      <w:bodyDiv w:val="1"/>
      <w:marLeft w:val="0"/>
      <w:marRight w:val="0"/>
      <w:marTop w:val="0"/>
      <w:marBottom w:val="0"/>
      <w:divBdr>
        <w:top w:val="none" w:sz="0" w:space="0" w:color="auto"/>
        <w:left w:val="none" w:sz="0" w:space="0" w:color="auto"/>
        <w:bottom w:val="none" w:sz="0" w:space="0" w:color="auto"/>
        <w:right w:val="none" w:sz="0" w:space="0" w:color="auto"/>
      </w:divBdr>
    </w:div>
    <w:div w:id="1456019571">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495418713">
      <w:bodyDiv w:val="1"/>
      <w:marLeft w:val="0"/>
      <w:marRight w:val="0"/>
      <w:marTop w:val="0"/>
      <w:marBottom w:val="0"/>
      <w:divBdr>
        <w:top w:val="none" w:sz="0" w:space="0" w:color="auto"/>
        <w:left w:val="none" w:sz="0" w:space="0" w:color="auto"/>
        <w:bottom w:val="none" w:sz="0" w:space="0" w:color="auto"/>
        <w:right w:val="none" w:sz="0" w:space="0" w:color="auto"/>
      </w:divBdr>
      <w:divsChild>
        <w:div w:id="1962030366">
          <w:marLeft w:val="0"/>
          <w:marRight w:val="0"/>
          <w:marTop w:val="0"/>
          <w:marBottom w:val="0"/>
          <w:divBdr>
            <w:top w:val="none" w:sz="0" w:space="0" w:color="auto"/>
            <w:left w:val="none" w:sz="0" w:space="0" w:color="auto"/>
            <w:bottom w:val="none" w:sz="0" w:space="0" w:color="auto"/>
            <w:right w:val="none" w:sz="0" w:space="0" w:color="auto"/>
          </w:divBdr>
          <w:divsChild>
            <w:div w:id="180244028">
              <w:marLeft w:val="0"/>
              <w:marRight w:val="0"/>
              <w:marTop w:val="0"/>
              <w:marBottom w:val="0"/>
              <w:divBdr>
                <w:top w:val="none" w:sz="0" w:space="0" w:color="auto"/>
                <w:left w:val="none" w:sz="0" w:space="0" w:color="auto"/>
                <w:bottom w:val="none" w:sz="0" w:space="0" w:color="auto"/>
                <w:right w:val="none" w:sz="0" w:space="0" w:color="auto"/>
              </w:divBdr>
              <w:divsChild>
                <w:div w:id="13948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3679">
      <w:bodyDiv w:val="1"/>
      <w:marLeft w:val="0"/>
      <w:marRight w:val="0"/>
      <w:marTop w:val="0"/>
      <w:marBottom w:val="0"/>
      <w:divBdr>
        <w:top w:val="none" w:sz="0" w:space="0" w:color="auto"/>
        <w:left w:val="none" w:sz="0" w:space="0" w:color="auto"/>
        <w:bottom w:val="none" w:sz="0" w:space="0" w:color="auto"/>
        <w:right w:val="none" w:sz="0" w:space="0" w:color="auto"/>
      </w:divBdr>
    </w:div>
    <w:div w:id="1504976276">
      <w:bodyDiv w:val="1"/>
      <w:marLeft w:val="0"/>
      <w:marRight w:val="0"/>
      <w:marTop w:val="0"/>
      <w:marBottom w:val="0"/>
      <w:divBdr>
        <w:top w:val="none" w:sz="0" w:space="0" w:color="auto"/>
        <w:left w:val="none" w:sz="0" w:space="0" w:color="auto"/>
        <w:bottom w:val="none" w:sz="0" w:space="0" w:color="auto"/>
        <w:right w:val="none" w:sz="0" w:space="0" w:color="auto"/>
      </w:divBdr>
      <w:divsChild>
        <w:div w:id="1493447662">
          <w:marLeft w:val="0"/>
          <w:marRight w:val="0"/>
          <w:marTop w:val="0"/>
          <w:marBottom w:val="0"/>
          <w:divBdr>
            <w:top w:val="none" w:sz="0" w:space="0" w:color="auto"/>
            <w:left w:val="none" w:sz="0" w:space="0" w:color="auto"/>
            <w:bottom w:val="none" w:sz="0" w:space="0" w:color="auto"/>
            <w:right w:val="none" w:sz="0" w:space="0" w:color="auto"/>
          </w:divBdr>
          <w:divsChild>
            <w:div w:id="2102334688">
              <w:marLeft w:val="0"/>
              <w:marRight w:val="0"/>
              <w:marTop w:val="0"/>
              <w:marBottom w:val="0"/>
              <w:divBdr>
                <w:top w:val="none" w:sz="0" w:space="0" w:color="auto"/>
                <w:left w:val="none" w:sz="0" w:space="0" w:color="auto"/>
                <w:bottom w:val="none" w:sz="0" w:space="0" w:color="auto"/>
                <w:right w:val="none" w:sz="0" w:space="0" w:color="auto"/>
              </w:divBdr>
              <w:divsChild>
                <w:div w:id="17025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46">
      <w:bodyDiv w:val="1"/>
      <w:marLeft w:val="0"/>
      <w:marRight w:val="0"/>
      <w:marTop w:val="0"/>
      <w:marBottom w:val="0"/>
      <w:divBdr>
        <w:top w:val="none" w:sz="0" w:space="0" w:color="auto"/>
        <w:left w:val="none" w:sz="0" w:space="0" w:color="auto"/>
        <w:bottom w:val="none" w:sz="0" w:space="0" w:color="auto"/>
        <w:right w:val="none" w:sz="0" w:space="0" w:color="auto"/>
      </w:divBdr>
    </w:div>
    <w:div w:id="1518277642">
      <w:bodyDiv w:val="1"/>
      <w:marLeft w:val="0"/>
      <w:marRight w:val="0"/>
      <w:marTop w:val="0"/>
      <w:marBottom w:val="0"/>
      <w:divBdr>
        <w:top w:val="none" w:sz="0" w:space="0" w:color="auto"/>
        <w:left w:val="none" w:sz="0" w:space="0" w:color="auto"/>
        <w:bottom w:val="none" w:sz="0" w:space="0" w:color="auto"/>
        <w:right w:val="none" w:sz="0" w:space="0" w:color="auto"/>
      </w:divBdr>
      <w:divsChild>
        <w:div w:id="1839692357">
          <w:marLeft w:val="0"/>
          <w:marRight w:val="0"/>
          <w:marTop w:val="0"/>
          <w:marBottom w:val="0"/>
          <w:divBdr>
            <w:top w:val="none" w:sz="0" w:space="0" w:color="auto"/>
            <w:left w:val="none" w:sz="0" w:space="0" w:color="auto"/>
            <w:bottom w:val="none" w:sz="0" w:space="0" w:color="auto"/>
            <w:right w:val="none" w:sz="0" w:space="0" w:color="auto"/>
          </w:divBdr>
          <w:divsChild>
            <w:div w:id="1596091556">
              <w:marLeft w:val="0"/>
              <w:marRight w:val="0"/>
              <w:marTop w:val="0"/>
              <w:marBottom w:val="0"/>
              <w:divBdr>
                <w:top w:val="none" w:sz="0" w:space="0" w:color="auto"/>
                <w:left w:val="none" w:sz="0" w:space="0" w:color="auto"/>
                <w:bottom w:val="none" w:sz="0" w:space="0" w:color="auto"/>
                <w:right w:val="none" w:sz="0" w:space="0" w:color="auto"/>
              </w:divBdr>
              <w:divsChild>
                <w:div w:id="6490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0867">
      <w:bodyDiv w:val="1"/>
      <w:marLeft w:val="0"/>
      <w:marRight w:val="0"/>
      <w:marTop w:val="0"/>
      <w:marBottom w:val="0"/>
      <w:divBdr>
        <w:top w:val="none" w:sz="0" w:space="0" w:color="auto"/>
        <w:left w:val="none" w:sz="0" w:space="0" w:color="auto"/>
        <w:bottom w:val="none" w:sz="0" w:space="0" w:color="auto"/>
        <w:right w:val="none" w:sz="0" w:space="0" w:color="auto"/>
      </w:divBdr>
      <w:divsChild>
        <w:div w:id="1360004739">
          <w:marLeft w:val="0"/>
          <w:marRight w:val="0"/>
          <w:marTop w:val="0"/>
          <w:marBottom w:val="0"/>
          <w:divBdr>
            <w:top w:val="none" w:sz="0" w:space="0" w:color="auto"/>
            <w:left w:val="none" w:sz="0" w:space="0" w:color="auto"/>
            <w:bottom w:val="none" w:sz="0" w:space="0" w:color="auto"/>
            <w:right w:val="none" w:sz="0" w:space="0" w:color="auto"/>
          </w:divBdr>
          <w:divsChild>
            <w:div w:id="638849781">
              <w:marLeft w:val="0"/>
              <w:marRight w:val="0"/>
              <w:marTop w:val="0"/>
              <w:marBottom w:val="0"/>
              <w:divBdr>
                <w:top w:val="none" w:sz="0" w:space="0" w:color="auto"/>
                <w:left w:val="none" w:sz="0" w:space="0" w:color="auto"/>
                <w:bottom w:val="none" w:sz="0" w:space="0" w:color="auto"/>
                <w:right w:val="none" w:sz="0" w:space="0" w:color="auto"/>
              </w:divBdr>
              <w:divsChild>
                <w:div w:id="8341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69084">
      <w:bodyDiv w:val="1"/>
      <w:marLeft w:val="0"/>
      <w:marRight w:val="0"/>
      <w:marTop w:val="0"/>
      <w:marBottom w:val="0"/>
      <w:divBdr>
        <w:top w:val="none" w:sz="0" w:space="0" w:color="auto"/>
        <w:left w:val="none" w:sz="0" w:space="0" w:color="auto"/>
        <w:bottom w:val="none" w:sz="0" w:space="0" w:color="auto"/>
        <w:right w:val="none" w:sz="0" w:space="0" w:color="auto"/>
      </w:divBdr>
      <w:divsChild>
        <w:div w:id="952053375">
          <w:marLeft w:val="0"/>
          <w:marRight w:val="0"/>
          <w:marTop w:val="0"/>
          <w:marBottom w:val="0"/>
          <w:divBdr>
            <w:top w:val="none" w:sz="0" w:space="0" w:color="auto"/>
            <w:left w:val="none" w:sz="0" w:space="0" w:color="auto"/>
            <w:bottom w:val="none" w:sz="0" w:space="0" w:color="auto"/>
            <w:right w:val="none" w:sz="0" w:space="0" w:color="auto"/>
          </w:divBdr>
          <w:divsChild>
            <w:div w:id="1921057276">
              <w:marLeft w:val="0"/>
              <w:marRight w:val="0"/>
              <w:marTop w:val="0"/>
              <w:marBottom w:val="0"/>
              <w:divBdr>
                <w:top w:val="none" w:sz="0" w:space="0" w:color="auto"/>
                <w:left w:val="none" w:sz="0" w:space="0" w:color="auto"/>
                <w:bottom w:val="none" w:sz="0" w:space="0" w:color="auto"/>
                <w:right w:val="none" w:sz="0" w:space="0" w:color="auto"/>
              </w:divBdr>
              <w:divsChild>
                <w:div w:id="667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5609">
      <w:bodyDiv w:val="1"/>
      <w:marLeft w:val="0"/>
      <w:marRight w:val="0"/>
      <w:marTop w:val="0"/>
      <w:marBottom w:val="0"/>
      <w:divBdr>
        <w:top w:val="none" w:sz="0" w:space="0" w:color="auto"/>
        <w:left w:val="none" w:sz="0" w:space="0" w:color="auto"/>
        <w:bottom w:val="none" w:sz="0" w:space="0" w:color="auto"/>
        <w:right w:val="none" w:sz="0" w:space="0" w:color="auto"/>
      </w:divBdr>
    </w:div>
    <w:div w:id="1590696489">
      <w:bodyDiv w:val="1"/>
      <w:marLeft w:val="0"/>
      <w:marRight w:val="0"/>
      <w:marTop w:val="0"/>
      <w:marBottom w:val="0"/>
      <w:divBdr>
        <w:top w:val="none" w:sz="0" w:space="0" w:color="auto"/>
        <w:left w:val="none" w:sz="0" w:space="0" w:color="auto"/>
        <w:bottom w:val="none" w:sz="0" w:space="0" w:color="auto"/>
        <w:right w:val="none" w:sz="0" w:space="0" w:color="auto"/>
      </w:divBdr>
      <w:divsChild>
        <w:div w:id="1105075468">
          <w:marLeft w:val="0"/>
          <w:marRight w:val="0"/>
          <w:marTop w:val="0"/>
          <w:marBottom w:val="0"/>
          <w:divBdr>
            <w:top w:val="none" w:sz="0" w:space="0" w:color="auto"/>
            <w:left w:val="none" w:sz="0" w:space="0" w:color="auto"/>
            <w:bottom w:val="none" w:sz="0" w:space="0" w:color="auto"/>
            <w:right w:val="none" w:sz="0" w:space="0" w:color="auto"/>
          </w:divBdr>
          <w:divsChild>
            <w:div w:id="107895012">
              <w:marLeft w:val="0"/>
              <w:marRight w:val="0"/>
              <w:marTop w:val="0"/>
              <w:marBottom w:val="0"/>
              <w:divBdr>
                <w:top w:val="none" w:sz="0" w:space="0" w:color="auto"/>
                <w:left w:val="none" w:sz="0" w:space="0" w:color="auto"/>
                <w:bottom w:val="none" w:sz="0" w:space="0" w:color="auto"/>
                <w:right w:val="none" w:sz="0" w:space="0" w:color="auto"/>
              </w:divBdr>
              <w:divsChild>
                <w:div w:id="8836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886540">
      <w:bodyDiv w:val="1"/>
      <w:marLeft w:val="0"/>
      <w:marRight w:val="0"/>
      <w:marTop w:val="0"/>
      <w:marBottom w:val="0"/>
      <w:divBdr>
        <w:top w:val="none" w:sz="0" w:space="0" w:color="auto"/>
        <w:left w:val="none" w:sz="0" w:space="0" w:color="auto"/>
        <w:bottom w:val="none" w:sz="0" w:space="0" w:color="auto"/>
        <w:right w:val="none" w:sz="0" w:space="0" w:color="auto"/>
      </w:divBdr>
    </w:div>
    <w:div w:id="1625964556">
      <w:bodyDiv w:val="1"/>
      <w:marLeft w:val="0"/>
      <w:marRight w:val="0"/>
      <w:marTop w:val="0"/>
      <w:marBottom w:val="0"/>
      <w:divBdr>
        <w:top w:val="none" w:sz="0" w:space="0" w:color="auto"/>
        <w:left w:val="none" w:sz="0" w:space="0" w:color="auto"/>
        <w:bottom w:val="none" w:sz="0" w:space="0" w:color="auto"/>
        <w:right w:val="none" w:sz="0" w:space="0" w:color="auto"/>
      </w:divBdr>
      <w:divsChild>
        <w:div w:id="387732695">
          <w:marLeft w:val="0"/>
          <w:marRight w:val="0"/>
          <w:marTop w:val="0"/>
          <w:marBottom w:val="0"/>
          <w:divBdr>
            <w:top w:val="none" w:sz="0" w:space="0" w:color="auto"/>
            <w:left w:val="none" w:sz="0" w:space="0" w:color="auto"/>
            <w:bottom w:val="none" w:sz="0" w:space="0" w:color="auto"/>
            <w:right w:val="none" w:sz="0" w:space="0" w:color="auto"/>
          </w:divBdr>
          <w:divsChild>
            <w:div w:id="169607287">
              <w:marLeft w:val="0"/>
              <w:marRight w:val="0"/>
              <w:marTop w:val="0"/>
              <w:marBottom w:val="0"/>
              <w:divBdr>
                <w:top w:val="none" w:sz="0" w:space="0" w:color="auto"/>
                <w:left w:val="none" w:sz="0" w:space="0" w:color="auto"/>
                <w:bottom w:val="none" w:sz="0" w:space="0" w:color="auto"/>
                <w:right w:val="none" w:sz="0" w:space="0" w:color="auto"/>
              </w:divBdr>
              <w:divsChild>
                <w:div w:id="1233736977">
                  <w:marLeft w:val="0"/>
                  <w:marRight w:val="0"/>
                  <w:marTop w:val="0"/>
                  <w:marBottom w:val="0"/>
                  <w:divBdr>
                    <w:top w:val="none" w:sz="0" w:space="0" w:color="auto"/>
                    <w:left w:val="none" w:sz="0" w:space="0" w:color="auto"/>
                    <w:bottom w:val="none" w:sz="0" w:space="0" w:color="auto"/>
                    <w:right w:val="none" w:sz="0" w:space="0" w:color="auto"/>
                  </w:divBdr>
                </w:div>
              </w:divsChild>
            </w:div>
            <w:div w:id="1626960074">
              <w:marLeft w:val="0"/>
              <w:marRight w:val="0"/>
              <w:marTop w:val="0"/>
              <w:marBottom w:val="0"/>
              <w:divBdr>
                <w:top w:val="none" w:sz="0" w:space="0" w:color="auto"/>
                <w:left w:val="none" w:sz="0" w:space="0" w:color="auto"/>
                <w:bottom w:val="none" w:sz="0" w:space="0" w:color="auto"/>
                <w:right w:val="none" w:sz="0" w:space="0" w:color="auto"/>
              </w:divBdr>
              <w:divsChild>
                <w:div w:id="27873367">
                  <w:marLeft w:val="0"/>
                  <w:marRight w:val="0"/>
                  <w:marTop w:val="0"/>
                  <w:marBottom w:val="0"/>
                  <w:divBdr>
                    <w:top w:val="none" w:sz="0" w:space="0" w:color="auto"/>
                    <w:left w:val="none" w:sz="0" w:space="0" w:color="auto"/>
                    <w:bottom w:val="none" w:sz="0" w:space="0" w:color="auto"/>
                    <w:right w:val="none" w:sz="0" w:space="0" w:color="auto"/>
                  </w:divBdr>
                  <w:divsChild>
                    <w:div w:id="921719267">
                      <w:marLeft w:val="0"/>
                      <w:marRight w:val="0"/>
                      <w:marTop w:val="0"/>
                      <w:marBottom w:val="0"/>
                      <w:divBdr>
                        <w:top w:val="none" w:sz="0" w:space="0" w:color="auto"/>
                        <w:left w:val="none" w:sz="0" w:space="0" w:color="auto"/>
                        <w:bottom w:val="none" w:sz="0" w:space="0" w:color="auto"/>
                        <w:right w:val="none" w:sz="0" w:space="0" w:color="auto"/>
                      </w:divBdr>
                    </w:div>
                  </w:divsChild>
                </w:div>
                <w:div w:id="45107595">
                  <w:marLeft w:val="0"/>
                  <w:marRight w:val="0"/>
                  <w:marTop w:val="0"/>
                  <w:marBottom w:val="0"/>
                  <w:divBdr>
                    <w:top w:val="none" w:sz="0" w:space="0" w:color="auto"/>
                    <w:left w:val="none" w:sz="0" w:space="0" w:color="auto"/>
                    <w:bottom w:val="none" w:sz="0" w:space="0" w:color="auto"/>
                    <w:right w:val="none" w:sz="0" w:space="0" w:color="auto"/>
                  </w:divBdr>
                  <w:divsChild>
                    <w:div w:id="1082023849">
                      <w:marLeft w:val="0"/>
                      <w:marRight w:val="0"/>
                      <w:marTop w:val="0"/>
                      <w:marBottom w:val="0"/>
                      <w:divBdr>
                        <w:top w:val="none" w:sz="0" w:space="0" w:color="auto"/>
                        <w:left w:val="none" w:sz="0" w:space="0" w:color="auto"/>
                        <w:bottom w:val="none" w:sz="0" w:space="0" w:color="auto"/>
                        <w:right w:val="none" w:sz="0" w:space="0" w:color="auto"/>
                      </w:divBdr>
                    </w:div>
                  </w:divsChild>
                </w:div>
                <w:div w:id="318927363">
                  <w:marLeft w:val="0"/>
                  <w:marRight w:val="0"/>
                  <w:marTop w:val="0"/>
                  <w:marBottom w:val="0"/>
                  <w:divBdr>
                    <w:top w:val="none" w:sz="0" w:space="0" w:color="auto"/>
                    <w:left w:val="none" w:sz="0" w:space="0" w:color="auto"/>
                    <w:bottom w:val="none" w:sz="0" w:space="0" w:color="auto"/>
                    <w:right w:val="none" w:sz="0" w:space="0" w:color="auto"/>
                  </w:divBdr>
                  <w:divsChild>
                    <w:div w:id="61876671">
                      <w:marLeft w:val="0"/>
                      <w:marRight w:val="0"/>
                      <w:marTop w:val="0"/>
                      <w:marBottom w:val="0"/>
                      <w:divBdr>
                        <w:top w:val="none" w:sz="0" w:space="0" w:color="auto"/>
                        <w:left w:val="none" w:sz="0" w:space="0" w:color="auto"/>
                        <w:bottom w:val="none" w:sz="0" w:space="0" w:color="auto"/>
                        <w:right w:val="none" w:sz="0" w:space="0" w:color="auto"/>
                      </w:divBdr>
                    </w:div>
                  </w:divsChild>
                </w:div>
                <w:div w:id="586816337">
                  <w:marLeft w:val="0"/>
                  <w:marRight w:val="0"/>
                  <w:marTop w:val="0"/>
                  <w:marBottom w:val="0"/>
                  <w:divBdr>
                    <w:top w:val="none" w:sz="0" w:space="0" w:color="auto"/>
                    <w:left w:val="none" w:sz="0" w:space="0" w:color="auto"/>
                    <w:bottom w:val="none" w:sz="0" w:space="0" w:color="auto"/>
                    <w:right w:val="none" w:sz="0" w:space="0" w:color="auto"/>
                  </w:divBdr>
                  <w:divsChild>
                    <w:div w:id="1876193469">
                      <w:marLeft w:val="0"/>
                      <w:marRight w:val="0"/>
                      <w:marTop w:val="0"/>
                      <w:marBottom w:val="0"/>
                      <w:divBdr>
                        <w:top w:val="none" w:sz="0" w:space="0" w:color="auto"/>
                        <w:left w:val="none" w:sz="0" w:space="0" w:color="auto"/>
                        <w:bottom w:val="none" w:sz="0" w:space="0" w:color="auto"/>
                        <w:right w:val="none" w:sz="0" w:space="0" w:color="auto"/>
                      </w:divBdr>
                    </w:div>
                  </w:divsChild>
                </w:div>
                <w:div w:id="1211461517">
                  <w:marLeft w:val="0"/>
                  <w:marRight w:val="0"/>
                  <w:marTop w:val="0"/>
                  <w:marBottom w:val="0"/>
                  <w:divBdr>
                    <w:top w:val="none" w:sz="0" w:space="0" w:color="auto"/>
                    <w:left w:val="none" w:sz="0" w:space="0" w:color="auto"/>
                    <w:bottom w:val="none" w:sz="0" w:space="0" w:color="auto"/>
                    <w:right w:val="none" w:sz="0" w:space="0" w:color="auto"/>
                  </w:divBdr>
                  <w:divsChild>
                    <w:div w:id="2028285563">
                      <w:marLeft w:val="0"/>
                      <w:marRight w:val="0"/>
                      <w:marTop w:val="0"/>
                      <w:marBottom w:val="0"/>
                      <w:divBdr>
                        <w:top w:val="none" w:sz="0" w:space="0" w:color="auto"/>
                        <w:left w:val="none" w:sz="0" w:space="0" w:color="auto"/>
                        <w:bottom w:val="none" w:sz="0" w:space="0" w:color="auto"/>
                        <w:right w:val="none" w:sz="0" w:space="0" w:color="auto"/>
                      </w:divBdr>
                    </w:div>
                  </w:divsChild>
                </w:div>
                <w:div w:id="1560089554">
                  <w:marLeft w:val="0"/>
                  <w:marRight w:val="0"/>
                  <w:marTop w:val="0"/>
                  <w:marBottom w:val="0"/>
                  <w:divBdr>
                    <w:top w:val="none" w:sz="0" w:space="0" w:color="auto"/>
                    <w:left w:val="none" w:sz="0" w:space="0" w:color="auto"/>
                    <w:bottom w:val="none" w:sz="0" w:space="0" w:color="auto"/>
                    <w:right w:val="none" w:sz="0" w:space="0" w:color="auto"/>
                  </w:divBdr>
                  <w:divsChild>
                    <w:div w:id="425808070">
                      <w:marLeft w:val="0"/>
                      <w:marRight w:val="0"/>
                      <w:marTop w:val="0"/>
                      <w:marBottom w:val="0"/>
                      <w:divBdr>
                        <w:top w:val="none" w:sz="0" w:space="0" w:color="auto"/>
                        <w:left w:val="none" w:sz="0" w:space="0" w:color="auto"/>
                        <w:bottom w:val="none" w:sz="0" w:space="0" w:color="auto"/>
                        <w:right w:val="none" w:sz="0" w:space="0" w:color="auto"/>
                      </w:divBdr>
                    </w:div>
                  </w:divsChild>
                </w:div>
                <w:div w:id="1641493596">
                  <w:marLeft w:val="0"/>
                  <w:marRight w:val="0"/>
                  <w:marTop w:val="0"/>
                  <w:marBottom w:val="0"/>
                  <w:divBdr>
                    <w:top w:val="none" w:sz="0" w:space="0" w:color="auto"/>
                    <w:left w:val="none" w:sz="0" w:space="0" w:color="auto"/>
                    <w:bottom w:val="none" w:sz="0" w:space="0" w:color="auto"/>
                    <w:right w:val="none" w:sz="0" w:space="0" w:color="auto"/>
                  </w:divBdr>
                  <w:divsChild>
                    <w:div w:id="121117660">
                      <w:marLeft w:val="0"/>
                      <w:marRight w:val="0"/>
                      <w:marTop w:val="0"/>
                      <w:marBottom w:val="0"/>
                      <w:divBdr>
                        <w:top w:val="none" w:sz="0" w:space="0" w:color="auto"/>
                        <w:left w:val="none" w:sz="0" w:space="0" w:color="auto"/>
                        <w:bottom w:val="none" w:sz="0" w:space="0" w:color="auto"/>
                        <w:right w:val="none" w:sz="0" w:space="0" w:color="auto"/>
                      </w:divBdr>
                    </w:div>
                  </w:divsChild>
                </w:div>
                <w:div w:id="1809933605">
                  <w:marLeft w:val="0"/>
                  <w:marRight w:val="0"/>
                  <w:marTop w:val="0"/>
                  <w:marBottom w:val="0"/>
                  <w:divBdr>
                    <w:top w:val="none" w:sz="0" w:space="0" w:color="auto"/>
                    <w:left w:val="none" w:sz="0" w:space="0" w:color="auto"/>
                    <w:bottom w:val="none" w:sz="0" w:space="0" w:color="auto"/>
                    <w:right w:val="none" w:sz="0" w:space="0" w:color="auto"/>
                  </w:divBdr>
                  <w:divsChild>
                    <w:div w:id="13414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970">
      <w:bodyDiv w:val="1"/>
      <w:marLeft w:val="0"/>
      <w:marRight w:val="0"/>
      <w:marTop w:val="0"/>
      <w:marBottom w:val="0"/>
      <w:divBdr>
        <w:top w:val="none" w:sz="0" w:space="0" w:color="auto"/>
        <w:left w:val="none" w:sz="0" w:space="0" w:color="auto"/>
        <w:bottom w:val="none" w:sz="0" w:space="0" w:color="auto"/>
        <w:right w:val="none" w:sz="0" w:space="0" w:color="auto"/>
      </w:divBdr>
      <w:divsChild>
        <w:div w:id="466440167">
          <w:marLeft w:val="0"/>
          <w:marRight w:val="0"/>
          <w:marTop w:val="0"/>
          <w:marBottom w:val="0"/>
          <w:divBdr>
            <w:top w:val="none" w:sz="0" w:space="0" w:color="auto"/>
            <w:left w:val="none" w:sz="0" w:space="0" w:color="auto"/>
            <w:bottom w:val="none" w:sz="0" w:space="0" w:color="auto"/>
            <w:right w:val="none" w:sz="0" w:space="0" w:color="auto"/>
          </w:divBdr>
          <w:divsChild>
            <w:div w:id="189077356">
              <w:marLeft w:val="0"/>
              <w:marRight w:val="0"/>
              <w:marTop w:val="0"/>
              <w:marBottom w:val="0"/>
              <w:divBdr>
                <w:top w:val="none" w:sz="0" w:space="0" w:color="auto"/>
                <w:left w:val="none" w:sz="0" w:space="0" w:color="auto"/>
                <w:bottom w:val="none" w:sz="0" w:space="0" w:color="auto"/>
                <w:right w:val="none" w:sz="0" w:space="0" w:color="auto"/>
              </w:divBdr>
              <w:divsChild>
                <w:div w:id="667908955">
                  <w:marLeft w:val="0"/>
                  <w:marRight w:val="0"/>
                  <w:marTop w:val="0"/>
                  <w:marBottom w:val="0"/>
                  <w:divBdr>
                    <w:top w:val="none" w:sz="0" w:space="0" w:color="auto"/>
                    <w:left w:val="none" w:sz="0" w:space="0" w:color="auto"/>
                    <w:bottom w:val="none" w:sz="0" w:space="0" w:color="auto"/>
                    <w:right w:val="none" w:sz="0" w:space="0" w:color="auto"/>
                  </w:divBdr>
                </w:div>
              </w:divsChild>
            </w:div>
            <w:div w:id="380058597">
              <w:marLeft w:val="0"/>
              <w:marRight w:val="0"/>
              <w:marTop w:val="0"/>
              <w:marBottom w:val="0"/>
              <w:divBdr>
                <w:top w:val="none" w:sz="0" w:space="0" w:color="auto"/>
                <w:left w:val="none" w:sz="0" w:space="0" w:color="auto"/>
                <w:bottom w:val="none" w:sz="0" w:space="0" w:color="auto"/>
                <w:right w:val="none" w:sz="0" w:space="0" w:color="auto"/>
              </w:divBdr>
              <w:divsChild>
                <w:div w:id="1376194521">
                  <w:marLeft w:val="0"/>
                  <w:marRight w:val="0"/>
                  <w:marTop w:val="0"/>
                  <w:marBottom w:val="0"/>
                  <w:divBdr>
                    <w:top w:val="none" w:sz="0" w:space="0" w:color="auto"/>
                    <w:left w:val="none" w:sz="0" w:space="0" w:color="auto"/>
                    <w:bottom w:val="none" w:sz="0" w:space="0" w:color="auto"/>
                    <w:right w:val="none" w:sz="0" w:space="0" w:color="auto"/>
                  </w:divBdr>
                </w:div>
              </w:divsChild>
            </w:div>
            <w:div w:id="702170006">
              <w:marLeft w:val="0"/>
              <w:marRight w:val="0"/>
              <w:marTop w:val="0"/>
              <w:marBottom w:val="0"/>
              <w:divBdr>
                <w:top w:val="none" w:sz="0" w:space="0" w:color="auto"/>
                <w:left w:val="none" w:sz="0" w:space="0" w:color="auto"/>
                <w:bottom w:val="none" w:sz="0" w:space="0" w:color="auto"/>
                <w:right w:val="none" w:sz="0" w:space="0" w:color="auto"/>
              </w:divBdr>
              <w:divsChild>
                <w:div w:id="560143927">
                  <w:marLeft w:val="0"/>
                  <w:marRight w:val="0"/>
                  <w:marTop w:val="0"/>
                  <w:marBottom w:val="0"/>
                  <w:divBdr>
                    <w:top w:val="none" w:sz="0" w:space="0" w:color="auto"/>
                    <w:left w:val="none" w:sz="0" w:space="0" w:color="auto"/>
                    <w:bottom w:val="none" w:sz="0" w:space="0" w:color="auto"/>
                    <w:right w:val="none" w:sz="0" w:space="0" w:color="auto"/>
                  </w:divBdr>
                </w:div>
              </w:divsChild>
            </w:div>
            <w:div w:id="1000692117">
              <w:marLeft w:val="0"/>
              <w:marRight w:val="0"/>
              <w:marTop w:val="0"/>
              <w:marBottom w:val="0"/>
              <w:divBdr>
                <w:top w:val="none" w:sz="0" w:space="0" w:color="auto"/>
                <w:left w:val="none" w:sz="0" w:space="0" w:color="auto"/>
                <w:bottom w:val="none" w:sz="0" w:space="0" w:color="auto"/>
                <w:right w:val="none" w:sz="0" w:space="0" w:color="auto"/>
              </w:divBdr>
              <w:divsChild>
                <w:div w:id="1904413228">
                  <w:marLeft w:val="0"/>
                  <w:marRight w:val="0"/>
                  <w:marTop w:val="0"/>
                  <w:marBottom w:val="0"/>
                  <w:divBdr>
                    <w:top w:val="none" w:sz="0" w:space="0" w:color="auto"/>
                    <w:left w:val="none" w:sz="0" w:space="0" w:color="auto"/>
                    <w:bottom w:val="none" w:sz="0" w:space="0" w:color="auto"/>
                    <w:right w:val="none" w:sz="0" w:space="0" w:color="auto"/>
                  </w:divBdr>
                </w:div>
              </w:divsChild>
            </w:div>
            <w:div w:id="1412040110">
              <w:marLeft w:val="0"/>
              <w:marRight w:val="0"/>
              <w:marTop w:val="0"/>
              <w:marBottom w:val="0"/>
              <w:divBdr>
                <w:top w:val="none" w:sz="0" w:space="0" w:color="auto"/>
                <w:left w:val="none" w:sz="0" w:space="0" w:color="auto"/>
                <w:bottom w:val="none" w:sz="0" w:space="0" w:color="auto"/>
                <w:right w:val="none" w:sz="0" w:space="0" w:color="auto"/>
              </w:divBdr>
              <w:divsChild>
                <w:div w:id="612633503">
                  <w:marLeft w:val="0"/>
                  <w:marRight w:val="0"/>
                  <w:marTop w:val="0"/>
                  <w:marBottom w:val="0"/>
                  <w:divBdr>
                    <w:top w:val="none" w:sz="0" w:space="0" w:color="auto"/>
                    <w:left w:val="none" w:sz="0" w:space="0" w:color="auto"/>
                    <w:bottom w:val="none" w:sz="0" w:space="0" w:color="auto"/>
                    <w:right w:val="none" w:sz="0" w:space="0" w:color="auto"/>
                  </w:divBdr>
                </w:div>
              </w:divsChild>
            </w:div>
            <w:div w:id="1452744960">
              <w:marLeft w:val="0"/>
              <w:marRight w:val="0"/>
              <w:marTop w:val="0"/>
              <w:marBottom w:val="0"/>
              <w:divBdr>
                <w:top w:val="none" w:sz="0" w:space="0" w:color="auto"/>
                <w:left w:val="none" w:sz="0" w:space="0" w:color="auto"/>
                <w:bottom w:val="none" w:sz="0" w:space="0" w:color="auto"/>
                <w:right w:val="none" w:sz="0" w:space="0" w:color="auto"/>
              </w:divBdr>
              <w:divsChild>
                <w:div w:id="86511075">
                  <w:marLeft w:val="0"/>
                  <w:marRight w:val="0"/>
                  <w:marTop w:val="0"/>
                  <w:marBottom w:val="0"/>
                  <w:divBdr>
                    <w:top w:val="none" w:sz="0" w:space="0" w:color="auto"/>
                    <w:left w:val="none" w:sz="0" w:space="0" w:color="auto"/>
                    <w:bottom w:val="none" w:sz="0" w:space="0" w:color="auto"/>
                    <w:right w:val="none" w:sz="0" w:space="0" w:color="auto"/>
                  </w:divBdr>
                  <w:divsChild>
                    <w:div w:id="182864451">
                      <w:marLeft w:val="0"/>
                      <w:marRight w:val="0"/>
                      <w:marTop w:val="0"/>
                      <w:marBottom w:val="0"/>
                      <w:divBdr>
                        <w:top w:val="none" w:sz="0" w:space="0" w:color="auto"/>
                        <w:left w:val="none" w:sz="0" w:space="0" w:color="auto"/>
                        <w:bottom w:val="none" w:sz="0" w:space="0" w:color="auto"/>
                        <w:right w:val="none" w:sz="0" w:space="0" w:color="auto"/>
                      </w:divBdr>
                    </w:div>
                  </w:divsChild>
                </w:div>
                <w:div w:id="260071830">
                  <w:marLeft w:val="0"/>
                  <w:marRight w:val="0"/>
                  <w:marTop w:val="0"/>
                  <w:marBottom w:val="0"/>
                  <w:divBdr>
                    <w:top w:val="none" w:sz="0" w:space="0" w:color="auto"/>
                    <w:left w:val="none" w:sz="0" w:space="0" w:color="auto"/>
                    <w:bottom w:val="none" w:sz="0" w:space="0" w:color="auto"/>
                    <w:right w:val="none" w:sz="0" w:space="0" w:color="auto"/>
                  </w:divBdr>
                  <w:divsChild>
                    <w:div w:id="589394996">
                      <w:marLeft w:val="0"/>
                      <w:marRight w:val="0"/>
                      <w:marTop w:val="0"/>
                      <w:marBottom w:val="0"/>
                      <w:divBdr>
                        <w:top w:val="none" w:sz="0" w:space="0" w:color="auto"/>
                        <w:left w:val="none" w:sz="0" w:space="0" w:color="auto"/>
                        <w:bottom w:val="none" w:sz="0" w:space="0" w:color="auto"/>
                        <w:right w:val="none" w:sz="0" w:space="0" w:color="auto"/>
                      </w:divBdr>
                    </w:div>
                  </w:divsChild>
                </w:div>
                <w:div w:id="508059534">
                  <w:marLeft w:val="0"/>
                  <w:marRight w:val="0"/>
                  <w:marTop w:val="0"/>
                  <w:marBottom w:val="0"/>
                  <w:divBdr>
                    <w:top w:val="none" w:sz="0" w:space="0" w:color="auto"/>
                    <w:left w:val="none" w:sz="0" w:space="0" w:color="auto"/>
                    <w:bottom w:val="none" w:sz="0" w:space="0" w:color="auto"/>
                    <w:right w:val="none" w:sz="0" w:space="0" w:color="auto"/>
                  </w:divBdr>
                  <w:divsChild>
                    <w:div w:id="1191451517">
                      <w:marLeft w:val="0"/>
                      <w:marRight w:val="0"/>
                      <w:marTop w:val="0"/>
                      <w:marBottom w:val="0"/>
                      <w:divBdr>
                        <w:top w:val="none" w:sz="0" w:space="0" w:color="auto"/>
                        <w:left w:val="none" w:sz="0" w:space="0" w:color="auto"/>
                        <w:bottom w:val="none" w:sz="0" w:space="0" w:color="auto"/>
                        <w:right w:val="none" w:sz="0" w:space="0" w:color="auto"/>
                      </w:divBdr>
                    </w:div>
                  </w:divsChild>
                </w:div>
                <w:div w:id="627516356">
                  <w:marLeft w:val="0"/>
                  <w:marRight w:val="0"/>
                  <w:marTop w:val="0"/>
                  <w:marBottom w:val="0"/>
                  <w:divBdr>
                    <w:top w:val="none" w:sz="0" w:space="0" w:color="auto"/>
                    <w:left w:val="none" w:sz="0" w:space="0" w:color="auto"/>
                    <w:bottom w:val="none" w:sz="0" w:space="0" w:color="auto"/>
                    <w:right w:val="none" w:sz="0" w:space="0" w:color="auto"/>
                  </w:divBdr>
                  <w:divsChild>
                    <w:div w:id="1096290306">
                      <w:marLeft w:val="0"/>
                      <w:marRight w:val="0"/>
                      <w:marTop w:val="0"/>
                      <w:marBottom w:val="0"/>
                      <w:divBdr>
                        <w:top w:val="none" w:sz="0" w:space="0" w:color="auto"/>
                        <w:left w:val="none" w:sz="0" w:space="0" w:color="auto"/>
                        <w:bottom w:val="none" w:sz="0" w:space="0" w:color="auto"/>
                        <w:right w:val="none" w:sz="0" w:space="0" w:color="auto"/>
                      </w:divBdr>
                    </w:div>
                  </w:divsChild>
                </w:div>
                <w:div w:id="1553803862">
                  <w:marLeft w:val="0"/>
                  <w:marRight w:val="0"/>
                  <w:marTop w:val="0"/>
                  <w:marBottom w:val="0"/>
                  <w:divBdr>
                    <w:top w:val="none" w:sz="0" w:space="0" w:color="auto"/>
                    <w:left w:val="none" w:sz="0" w:space="0" w:color="auto"/>
                    <w:bottom w:val="none" w:sz="0" w:space="0" w:color="auto"/>
                    <w:right w:val="none" w:sz="0" w:space="0" w:color="auto"/>
                  </w:divBdr>
                  <w:divsChild>
                    <w:div w:id="1593665399">
                      <w:marLeft w:val="0"/>
                      <w:marRight w:val="0"/>
                      <w:marTop w:val="0"/>
                      <w:marBottom w:val="0"/>
                      <w:divBdr>
                        <w:top w:val="none" w:sz="0" w:space="0" w:color="auto"/>
                        <w:left w:val="none" w:sz="0" w:space="0" w:color="auto"/>
                        <w:bottom w:val="none" w:sz="0" w:space="0" w:color="auto"/>
                        <w:right w:val="none" w:sz="0" w:space="0" w:color="auto"/>
                      </w:divBdr>
                    </w:div>
                  </w:divsChild>
                </w:div>
                <w:div w:id="1951162238">
                  <w:marLeft w:val="0"/>
                  <w:marRight w:val="0"/>
                  <w:marTop w:val="0"/>
                  <w:marBottom w:val="0"/>
                  <w:divBdr>
                    <w:top w:val="none" w:sz="0" w:space="0" w:color="auto"/>
                    <w:left w:val="none" w:sz="0" w:space="0" w:color="auto"/>
                    <w:bottom w:val="none" w:sz="0" w:space="0" w:color="auto"/>
                    <w:right w:val="none" w:sz="0" w:space="0" w:color="auto"/>
                  </w:divBdr>
                  <w:divsChild>
                    <w:div w:id="1537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2221">
              <w:marLeft w:val="0"/>
              <w:marRight w:val="0"/>
              <w:marTop w:val="0"/>
              <w:marBottom w:val="0"/>
              <w:divBdr>
                <w:top w:val="none" w:sz="0" w:space="0" w:color="auto"/>
                <w:left w:val="none" w:sz="0" w:space="0" w:color="auto"/>
                <w:bottom w:val="none" w:sz="0" w:space="0" w:color="auto"/>
                <w:right w:val="none" w:sz="0" w:space="0" w:color="auto"/>
              </w:divBdr>
              <w:divsChild>
                <w:div w:id="340160656">
                  <w:marLeft w:val="0"/>
                  <w:marRight w:val="0"/>
                  <w:marTop w:val="0"/>
                  <w:marBottom w:val="0"/>
                  <w:divBdr>
                    <w:top w:val="none" w:sz="0" w:space="0" w:color="auto"/>
                    <w:left w:val="none" w:sz="0" w:space="0" w:color="auto"/>
                    <w:bottom w:val="none" w:sz="0" w:space="0" w:color="auto"/>
                    <w:right w:val="none" w:sz="0" w:space="0" w:color="auto"/>
                  </w:divBdr>
                  <w:divsChild>
                    <w:div w:id="1821725289">
                      <w:marLeft w:val="0"/>
                      <w:marRight w:val="0"/>
                      <w:marTop w:val="0"/>
                      <w:marBottom w:val="0"/>
                      <w:divBdr>
                        <w:top w:val="none" w:sz="0" w:space="0" w:color="auto"/>
                        <w:left w:val="none" w:sz="0" w:space="0" w:color="auto"/>
                        <w:bottom w:val="none" w:sz="0" w:space="0" w:color="auto"/>
                        <w:right w:val="none" w:sz="0" w:space="0" w:color="auto"/>
                      </w:divBdr>
                    </w:div>
                  </w:divsChild>
                </w:div>
                <w:div w:id="447092362">
                  <w:marLeft w:val="0"/>
                  <w:marRight w:val="0"/>
                  <w:marTop w:val="0"/>
                  <w:marBottom w:val="0"/>
                  <w:divBdr>
                    <w:top w:val="none" w:sz="0" w:space="0" w:color="auto"/>
                    <w:left w:val="none" w:sz="0" w:space="0" w:color="auto"/>
                    <w:bottom w:val="none" w:sz="0" w:space="0" w:color="auto"/>
                    <w:right w:val="none" w:sz="0" w:space="0" w:color="auto"/>
                  </w:divBdr>
                  <w:divsChild>
                    <w:div w:id="1186481000">
                      <w:marLeft w:val="0"/>
                      <w:marRight w:val="0"/>
                      <w:marTop w:val="0"/>
                      <w:marBottom w:val="0"/>
                      <w:divBdr>
                        <w:top w:val="none" w:sz="0" w:space="0" w:color="auto"/>
                        <w:left w:val="none" w:sz="0" w:space="0" w:color="auto"/>
                        <w:bottom w:val="none" w:sz="0" w:space="0" w:color="auto"/>
                        <w:right w:val="none" w:sz="0" w:space="0" w:color="auto"/>
                      </w:divBdr>
                    </w:div>
                  </w:divsChild>
                </w:div>
                <w:div w:id="1352757585">
                  <w:marLeft w:val="0"/>
                  <w:marRight w:val="0"/>
                  <w:marTop w:val="0"/>
                  <w:marBottom w:val="0"/>
                  <w:divBdr>
                    <w:top w:val="none" w:sz="0" w:space="0" w:color="auto"/>
                    <w:left w:val="none" w:sz="0" w:space="0" w:color="auto"/>
                    <w:bottom w:val="none" w:sz="0" w:space="0" w:color="auto"/>
                    <w:right w:val="none" w:sz="0" w:space="0" w:color="auto"/>
                  </w:divBdr>
                  <w:divsChild>
                    <w:div w:id="1204247434">
                      <w:marLeft w:val="0"/>
                      <w:marRight w:val="0"/>
                      <w:marTop w:val="0"/>
                      <w:marBottom w:val="0"/>
                      <w:divBdr>
                        <w:top w:val="none" w:sz="0" w:space="0" w:color="auto"/>
                        <w:left w:val="none" w:sz="0" w:space="0" w:color="auto"/>
                        <w:bottom w:val="none" w:sz="0" w:space="0" w:color="auto"/>
                        <w:right w:val="none" w:sz="0" w:space="0" w:color="auto"/>
                      </w:divBdr>
                    </w:div>
                  </w:divsChild>
                </w:div>
                <w:div w:id="1355378210">
                  <w:marLeft w:val="0"/>
                  <w:marRight w:val="0"/>
                  <w:marTop w:val="0"/>
                  <w:marBottom w:val="0"/>
                  <w:divBdr>
                    <w:top w:val="none" w:sz="0" w:space="0" w:color="auto"/>
                    <w:left w:val="none" w:sz="0" w:space="0" w:color="auto"/>
                    <w:bottom w:val="none" w:sz="0" w:space="0" w:color="auto"/>
                    <w:right w:val="none" w:sz="0" w:space="0" w:color="auto"/>
                  </w:divBdr>
                  <w:divsChild>
                    <w:div w:id="18945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04050">
      <w:bodyDiv w:val="1"/>
      <w:marLeft w:val="0"/>
      <w:marRight w:val="0"/>
      <w:marTop w:val="0"/>
      <w:marBottom w:val="0"/>
      <w:divBdr>
        <w:top w:val="none" w:sz="0" w:space="0" w:color="auto"/>
        <w:left w:val="none" w:sz="0" w:space="0" w:color="auto"/>
        <w:bottom w:val="none" w:sz="0" w:space="0" w:color="auto"/>
        <w:right w:val="none" w:sz="0" w:space="0" w:color="auto"/>
      </w:divBdr>
    </w:div>
    <w:div w:id="1688798293">
      <w:bodyDiv w:val="1"/>
      <w:marLeft w:val="0"/>
      <w:marRight w:val="0"/>
      <w:marTop w:val="0"/>
      <w:marBottom w:val="0"/>
      <w:divBdr>
        <w:top w:val="none" w:sz="0" w:space="0" w:color="auto"/>
        <w:left w:val="none" w:sz="0" w:space="0" w:color="auto"/>
        <w:bottom w:val="none" w:sz="0" w:space="0" w:color="auto"/>
        <w:right w:val="none" w:sz="0" w:space="0" w:color="auto"/>
      </w:divBdr>
      <w:divsChild>
        <w:div w:id="16204333">
          <w:marLeft w:val="0"/>
          <w:marRight w:val="0"/>
          <w:marTop w:val="0"/>
          <w:marBottom w:val="0"/>
          <w:divBdr>
            <w:top w:val="none" w:sz="0" w:space="0" w:color="auto"/>
            <w:left w:val="none" w:sz="0" w:space="0" w:color="auto"/>
            <w:bottom w:val="none" w:sz="0" w:space="0" w:color="auto"/>
            <w:right w:val="none" w:sz="0" w:space="0" w:color="auto"/>
          </w:divBdr>
          <w:divsChild>
            <w:div w:id="312949624">
              <w:marLeft w:val="0"/>
              <w:marRight w:val="0"/>
              <w:marTop w:val="0"/>
              <w:marBottom w:val="0"/>
              <w:divBdr>
                <w:top w:val="none" w:sz="0" w:space="0" w:color="auto"/>
                <w:left w:val="none" w:sz="0" w:space="0" w:color="auto"/>
                <w:bottom w:val="none" w:sz="0" w:space="0" w:color="auto"/>
                <w:right w:val="none" w:sz="0" w:space="0" w:color="auto"/>
              </w:divBdr>
              <w:divsChild>
                <w:div w:id="3878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99989">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16926538">
      <w:bodyDiv w:val="1"/>
      <w:marLeft w:val="0"/>
      <w:marRight w:val="0"/>
      <w:marTop w:val="0"/>
      <w:marBottom w:val="0"/>
      <w:divBdr>
        <w:top w:val="none" w:sz="0" w:space="0" w:color="auto"/>
        <w:left w:val="none" w:sz="0" w:space="0" w:color="auto"/>
        <w:bottom w:val="none" w:sz="0" w:space="0" w:color="auto"/>
        <w:right w:val="none" w:sz="0" w:space="0" w:color="auto"/>
      </w:divBdr>
    </w:div>
    <w:div w:id="1746682299">
      <w:bodyDiv w:val="1"/>
      <w:marLeft w:val="0"/>
      <w:marRight w:val="0"/>
      <w:marTop w:val="0"/>
      <w:marBottom w:val="0"/>
      <w:divBdr>
        <w:top w:val="none" w:sz="0" w:space="0" w:color="auto"/>
        <w:left w:val="none" w:sz="0" w:space="0" w:color="auto"/>
        <w:bottom w:val="none" w:sz="0" w:space="0" w:color="auto"/>
        <w:right w:val="none" w:sz="0" w:space="0" w:color="auto"/>
      </w:divBdr>
      <w:divsChild>
        <w:div w:id="147600904">
          <w:marLeft w:val="0"/>
          <w:marRight w:val="0"/>
          <w:marTop w:val="0"/>
          <w:marBottom w:val="0"/>
          <w:divBdr>
            <w:top w:val="none" w:sz="0" w:space="0" w:color="auto"/>
            <w:left w:val="none" w:sz="0" w:space="0" w:color="auto"/>
            <w:bottom w:val="none" w:sz="0" w:space="0" w:color="auto"/>
            <w:right w:val="none" w:sz="0" w:space="0" w:color="auto"/>
          </w:divBdr>
          <w:divsChild>
            <w:div w:id="2071728860">
              <w:marLeft w:val="0"/>
              <w:marRight w:val="0"/>
              <w:marTop w:val="0"/>
              <w:marBottom w:val="0"/>
              <w:divBdr>
                <w:top w:val="none" w:sz="0" w:space="0" w:color="auto"/>
                <w:left w:val="none" w:sz="0" w:space="0" w:color="auto"/>
                <w:bottom w:val="none" w:sz="0" w:space="0" w:color="auto"/>
                <w:right w:val="none" w:sz="0" w:space="0" w:color="auto"/>
              </w:divBdr>
              <w:divsChild>
                <w:div w:id="83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86981">
      <w:bodyDiv w:val="1"/>
      <w:marLeft w:val="0"/>
      <w:marRight w:val="0"/>
      <w:marTop w:val="0"/>
      <w:marBottom w:val="0"/>
      <w:divBdr>
        <w:top w:val="none" w:sz="0" w:space="0" w:color="auto"/>
        <w:left w:val="none" w:sz="0" w:space="0" w:color="auto"/>
        <w:bottom w:val="none" w:sz="0" w:space="0" w:color="auto"/>
        <w:right w:val="none" w:sz="0" w:space="0" w:color="auto"/>
      </w:divBdr>
    </w:div>
    <w:div w:id="1791826200">
      <w:bodyDiv w:val="1"/>
      <w:marLeft w:val="0"/>
      <w:marRight w:val="0"/>
      <w:marTop w:val="0"/>
      <w:marBottom w:val="0"/>
      <w:divBdr>
        <w:top w:val="none" w:sz="0" w:space="0" w:color="auto"/>
        <w:left w:val="none" w:sz="0" w:space="0" w:color="auto"/>
        <w:bottom w:val="none" w:sz="0" w:space="0" w:color="auto"/>
        <w:right w:val="none" w:sz="0" w:space="0" w:color="auto"/>
      </w:divBdr>
      <w:divsChild>
        <w:div w:id="1722823756">
          <w:marLeft w:val="0"/>
          <w:marRight w:val="0"/>
          <w:marTop w:val="0"/>
          <w:marBottom w:val="0"/>
          <w:divBdr>
            <w:top w:val="none" w:sz="0" w:space="0" w:color="auto"/>
            <w:left w:val="none" w:sz="0" w:space="0" w:color="auto"/>
            <w:bottom w:val="none" w:sz="0" w:space="0" w:color="auto"/>
            <w:right w:val="none" w:sz="0" w:space="0" w:color="auto"/>
          </w:divBdr>
          <w:divsChild>
            <w:div w:id="2015766126">
              <w:marLeft w:val="0"/>
              <w:marRight w:val="0"/>
              <w:marTop w:val="0"/>
              <w:marBottom w:val="0"/>
              <w:divBdr>
                <w:top w:val="none" w:sz="0" w:space="0" w:color="auto"/>
                <w:left w:val="none" w:sz="0" w:space="0" w:color="auto"/>
                <w:bottom w:val="none" w:sz="0" w:space="0" w:color="auto"/>
                <w:right w:val="none" w:sz="0" w:space="0" w:color="auto"/>
              </w:divBdr>
              <w:divsChild>
                <w:div w:id="17296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85883">
      <w:bodyDiv w:val="1"/>
      <w:marLeft w:val="0"/>
      <w:marRight w:val="0"/>
      <w:marTop w:val="0"/>
      <w:marBottom w:val="0"/>
      <w:divBdr>
        <w:top w:val="none" w:sz="0" w:space="0" w:color="auto"/>
        <w:left w:val="none" w:sz="0" w:space="0" w:color="auto"/>
        <w:bottom w:val="none" w:sz="0" w:space="0" w:color="auto"/>
        <w:right w:val="none" w:sz="0" w:space="0" w:color="auto"/>
      </w:divBdr>
      <w:divsChild>
        <w:div w:id="519516777">
          <w:marLeft w:val="0"/>
          <w:marRight w:val="0"/>
          <w:marTop w:val="0"/>
          <w:marBottom w:val="0"/>
          <w:divBdr>
            <w:top w:val="none" w:sz="0" w:space="0" w:color="auto"/>
            <w:left w:val="none" w:sz="0" w:space="0" w:color="auto"/>
            <w:bottom w:val="none" w:sz="0" w:space="0" w:color="auto"/>
            <w:right w:val="none" w:sz="0" w:space="0" w:color="auto"/>
          </w:divBdr>
          <w:divsChild>
            <w:div w:id="1877695485">
              <w:marLeft w:val="0"/>
              <w:marRight w:val="0"/>
              <w:marTop w:val="0"/>
              <w:marBottom w:val="0"/>
              <w:divBdr>
                <w:top w:val="none" w:sz="0" w:space="0" w:color="auto"/>
                <w:left w:val="none" w:sz="0" w:space="0" w:color="auto"/>
                <w:bottom w:val="none" w:sz="0" w:space="0" w:color="auto"/>
                <w:right w:val="none" w:sz="0" w:space="0" w:color="auto"/>
              </w:divBdr>
              <w:divsChild>
                <w:div w:id="11345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0390197">
      <w:bodyDiv w:val="1"/>
      <w:marLeft w:val="0"/>
      <w:marRight w:val="0"/>
      <w:marTop w:val="0"/>
      <w:marBottom w:val="0"/>
      <w:divBdr>
        <w:top w:val="none" w:sz="0" w:space="0" w:color="auto"/>
        <w:left w:val="none" w:sz="0" w:space="0" w:color="auto"/>
        <w:bottom w:val="none" w:sz="0" w:space="0" w:color="auto"/>
        <w:right w:val="none" w:sz="0" w:space="0" w:color="auto"/>
      </w:divBdr>
    </w:div>
    <w:div w:id="1844130135">
      <w:bodyDiv w:val="1"/>
      <w:marLeft w:val="0"/>
      <w:marRight w:val="0"/>
      <w:marTop w:val="0"/>
      <w:marBottom w:val="0"/>
      <w:divBdr>
        <w:top w:val="none" w:sz="0" w:space="0" w:color="auto"/>
        <w:left w:val="none" w:sz="0" w:space="0" w:color="auto"/>
        <w:bottom w:val="none" w:sz="0" w:space="0" w:color="auto"/>
        <w:right w:val="none" w:sz="0" w:space="0" w:color="auto"/>
      </w:divBdr>
    </w:div>
    <w:div w:id="1870215494">
      <w:bodyDiv w:val="1"/>
      <w:marLeft w:val="0"/>
      <w:marRight w:val="0"/>
      <w:marTop w:val="0"/>
      <w:marBottom w:val="0"/>
      <w:divBdr>
        <w:top w:val="none" w:sz="0" w:space="0" w:color="auto"/>
        <w:left w:val="none" w:sz="0" w:space="0" w:color="auto"/>
        <w:bottom w:val="none" w:sz="0" w:space="0" w:color="auto"/>
        <w:right w:val="none" w:sz="0" w:space="0" w:color="auto"/>
      </w:divBdr>
      <w:divsChild>
        <w:div w:id="581718431">
          <w:marLeft w:val="0"/>
          <w:marRight w:val="0"/>
          <w:marTop w:val="0"/>
          <w:marBottom w:val="0"/>
          <w:divBdr>
            <w:top w:val="none" w:sz="0" w:space="0" w:color="auto"/>
            <w:left w:val="none" w:sz="0" w:space="0" w:color="auto"/>
            <w:bottom w:val="none" w:sz="0" w:space="0" w:color="auto"/>
            <w:right w:val="none" w:sz="0" w:space="0" w:color="auto"/>
          </w:divBdr>
          <w:divsChild>
            <w:div w:id="358900227">
              <w:marLeft w:val="0"/>
              <w:marRight w:val="0"/>
              <w:marTop w:val="0"/>
              <w:marBottom w:val="0"/>
              <w:divBdr>
                <w:top w:val="none" w:sz="0" w:space="0" w:color="auto"/>
                <w:left w:val="none" w:sz="0" w:space="0" w:color="auto"/>
                <w:bottom w:val="none" w:sz="0" w:space="0" w:color="auto"/>
                <w:right w:val="none" w:sz="0" w:space="0" w:color="auto"/>
              </w:divBdr>
              <w:divsChild>
                <w:div w:id="1858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889104472">
      <w:bodyDiv w:val="1"/>
      <w:marLeft w:val="0"/>
      <w:marRight w:val="0"/>
      <w:marTop w:val="0"/>
      <w:marBottom w:val="0"/>
      <w:divBdr>
        <w:top w:val="none" w:sz="0" w:space="0" w:color="auto"/>
        <w:left w:val="none" w:sz="0" w:space="0" w:color="auto"/>
        <w:bottom w:val="none" w:sz="0" w:space="0" w:color="auto"/>
        <w:right w:val="none" w:sz="0" w:space="0" w:color="auto"/>
      </w:divBdr>
    </w:div>
    <w:div w:id="1926374266">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3075793">
      <w:bodyDiv w:val="1"/>
      <w:marLeft w:val="0"/>
      <w:marRight w:val="0"/>
      <w:marTop w:val="0"/>
      <w:marBottom w:val="0"/>
      <w:divBdr>
        <w:top w:val="none" w:sz="0" w:space="0" w:color="auto"/>
        <w:left w:val="none" w:sz="0" w:space="0" w:color="auto"/>
        <w:bottom w:val="none" w:sz="0" w:space="0" w:color="auto"/>
        <w:right w:val="none" w:sz="0" w:space="0" w:color="auto"/>
      </w:divBdr>
    </w:div>
    <w:div w:id="1998610002">
      <w:bodyDiv w:val="1"/>
      <w:marLeft w:val="0"/>
      <w:marRight w:val="0"/>
      <w:marTop w:val="0"/>
      <w:marBottom w:val="0"/>
      <w:divBdr>
        <w:top w:val="none" w:sz="0" w:space="0" w:color="auto"/>
        <w:left w:val="none" w:sz="0" w:space="0" w:color="auto"/>
        <w:bottom w:val="none" w:sz="0" w:space="0" w:color="auto"/>
        <w:right w:val="none" w:sz="0" w:space="0" w:color="auto"/>
      </w:divBdr>
      <w:divsChild>
        <w:div w:id="1070885892">
          <w:marLeft w:val="0"/>
          <w:marRight w:val="0"/>
          <w:marTop w:val="0"/>
          <w:marBottom w:val="0"/>
          <w:divBdr>
            <w:top w:val="none" w:sz="0" w:space="0" w:color="auto"/>
            <w:left w:val="none" w:sz="0" w:space="0" w:color="auto"/>
            <w:bottom w:val="none" w:sz="0" w:space="0" w:color="auto"/>
            <w:right w:val="none" w:sz="0" w:space="0" w:color="auto"/>
          </w:divBdr>
          <w:divsChild>
            <w:div w:id="604001377">
              <w:marLeft w:val="0"/>
              <w:marRight w:val="0"/>
              <w:marTop w:val="0"/>
              <w:marBottom w:val="0"/>
              <w:divBdr>
                <w:top w:val="none" w:sz="0" w:space="0" w:color="auto"/>
                <w:left w:val="none" w:sz="0" w:space="0" w:color="auto"/>
                <w:bottom w:val="none" w:sz="0" w:space="0" w:color="auto"/>
                <w:right w:val="none" w:sz="0" w:space="0" w:color="auto"/>
              </w:divBdr>
              <w:divsChild>
                <w:div w:id="20551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6935">
      <w:bodyDiv w:val="1"/>
      <w:marLeft w:val="0"/>
      <w:marRight w:val="0"/>
      <w:marTop w:val="0"/>
      <w:marBottom w:val="0"/>
      <w:divBdr>
        <w:top w:val="none" w:sz="0" w:space="0" w:color="auto"/>
        <w:left w:val="none" w:sz="0" w:space="0" w:color="auto"/>
        <w:bottom w:val="none" w:sz="0" w:space="0" w:color="auto"/>
        <w:right w:val="none" w:sz="0" w:space="0" w:color="auto"/>
      </w:divBdr>
    </w:div>
    <w:div w:id="2040087678">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45211564">
      <w:bodyDiv w:val="1"/>
      <w:marLeft w:val="0"/>
      <w:marRight w:val="0"/>
      <w:marTop w:val="0"/>
      <w:marBottom w:val="0"/>
      <w:divBdr>
        <w:top w:val="none" w:sz="0" w:space="0" w:color="auto"/>
        <w:left w:val="none" w:sz="0" w:space="0" w:color="auto"/>
        <w:bottom w:val="none" w:sz="0" w:space="0" w:color="auto"/>
        <w:right w:val="none" w:sz="0" w:space="0" w:color="auto"/>
      </w:divBdr>
      <w:divsChild>
        <w:div w:id="1560245593">
          <w:marLeft w:val="0"/>
          <w:marRight w:val="0"/>
          <w:marTop w:val="0"/>
          <w:marBottom w:val="0"/>
          <w:divBdr>
            <w:top w:val="none" w:sz="0" w:space="0" w:color="auto"/>
            <w:left w:val="none" w:sz="0" w:space="0" w:color="auto"/>
            <w:bottom w:val="none" w:sz="0" w:space="0" w:color="auto"/>
            <w:right w:val="none" w:sz="0" w:space="0" w:color="auto"/>
          </w:divBdr>
          <w:divsChild>
            <w:div w:id="741678631">
              <w:marLeft w:val="0"/>
              <w:marRight w:val="0"/>
              <w:marTop w:val="0"/>
              <w:marBottom w:val="0"/>
              <w:divBdr>
                <w:top w:val="none" w:sz="0" w:space="0" w:color="auto"/>
                <w:left w:val="none" w:sz="0" w:space="0" w:color="auto"/>
                <w:bottom w:val="none" w:sz="0" w:space="0" w:color="auto"/>
                <w:right w:val="none" w:sz="0" w:space="0" w:color="auto"/>
              </w:divBdr>
              <w:divsChild>
                <w:div w:id="7619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24663">
      <w:bodyDiv w:val="1"/>
      <w:marLeft w:val="0"/>
      <w:marRight w:val="0"/>
      <w:marTop w:val="0"/>
      <w:marBottom w:val="0"/>
      <w:divBdr>
        <w:top w:val="none" w:sz="0" w:space="0" w:color="auto"/>
        <w:left w:val="none" w:sz="0" w:space="0" w:color="auto"/>
        <w:bottom w:val="none" w:sz="0" w:space="0" w:color="auto"/>
        <w:right w:val="none" w:sz="0" w:space="0" w:color="auto"/>
      </w:divBdr>
      <w:divsChild>
        <w:div w:id="1711567052">
          <w:marLeft w:val="0"/>
          <w:marRight w:val="0"/>
          <w:marTop w:val="0"/>
          <w:marBottom w:val="0"/>
          <w:divBdr>
            <w:top w:val="none" w:sz="0" w:space="0" w:color="auto"/>
            <w:left w:val="none" w:sz="0" w:space="0" w:color="auto"/>
            <w:bottom w:val="none" w:sz="0" w:space="0" w:color="auto"/>
            <w:right w:val="none" w:sz="0" w:space="0" w:color="auto"/>
          </w:divBdr>
          <w:divsChild>
            <w:div w:id="1796949320">
              <w:marLeft w:val="0"/>
              <w:marRight w:val="0"/>
              <w:marTop w:val="0"/>
              <w:marBottom w:val="0"/>
              <w:divBdr>
                <w:top w:val="none" w:sz="0" w:space="0" w:color="auto"/>
                <w:left w:val="none" w:sz="0" w:space="0" w:color="auto"/>
                <w:bottom w:val="none" w:sz="0" w:space="0" w:color="auto"/>
                <w:right w:val="none" w:sz="0" w:space="0" w:color="auto"/>
              </w:divBdr>
              <w:divsChild>
                <w:div w:id="2419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915">
      <w:bodyDiv w:val="1"/>
      <w:marLeft w:val="0"/>
      <w:marRight w:val="0"/>
      <w:marTop w:val="0"/>
      <w:marBottom w:val="0"/>
      <w:divBdr>
        <w:top w:val="none" w:sz="0" w:space="0" w:color="auto"/>
        <w:left w:val="none" w:sz="0" w:space="0" w:color="auto"/>
        <w:bottom w:val="none" w:sz="0" w:space="0" w:color="auto"/>
        <w:right w:val="none" w:sz="0" w:space="0" w:color="auto"/>
      </w:divBdr>
      <w:divsChild>
        <w:div w:id="1919509401">
          <w:marLeft w:val="0"/>
          <w:marRight w:val="0"/>
          <w:marTop w:val="0"/>
          <w:marBottom w:val="0"/>
          <w:divBdr>
            <w:top w:val="none" w:sz="0" w:space="0" w:color="auto"/>
            <w:left w:val="none" w:sz="0" w:space="0" w:color="auto"/>
            <w:bottom w:val="none" w:sz="0" w:space="0" w:color="auto"/>
            <w:right w:val="none" w:sz="0" w:space="0" w:color="auto"/>
          </w:divBdr>
          <w:divsChild>
            <w:div w:id="1838764768">
              <w:marLeft w:val="0"/>
              <w:marRight w:val="0"/>
              <w:marTop w:val="0"/>
              <w:marBottom w:val="0"/>
              <w:divBdr>
                <w:top w:val="none" w:sz="0" w:space="0" w:color="auto"/>
                <w:left w:val="none" w:sz="0" w:space="0" w:color="auto"/>
                <w:bottom w:val="none" w:sz="0" w:space="0" w:color="auto"/>
                <w:right w:val="none" w:sz="0" w:space="0" w:color="auto"/>
              </w:divBdr>
              <w:divsChild>
                <w:div w:id="20323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9298">
      <w:bodyDiv w:val="1"/>
      <w:marLeft w:val="0"/>
      <w:marRight w:val="0"/>
      <w:marTop w:val="0"/>
      <w:marBottom w:val="0"/>
      <w:divBdr>
        <w:top w:val="none" w:sz="0" w:space="0" w:color="auto"/>
        <w:left w:val="none" w:sz="0" w:space="0" w:color="auto"/>
        <w:bottom w:val="none" w:sz="0" w:space="0" w:color="auto"/>
        <w:right w:val="none" w:sz="0" w:space="0" w:color="auto"/>
      </w:divBdr>
      <w:divsChild>
        <w:div w:id="583104250">
          <w:marLeft w:val="0"/>
          <w:marRight w:val="0"/>
          <w:marTop w:val="0"/>
          <w:marBottom w:val="0"/>
          <w:divBdr>
            <w:top w:val="none" w:sz="0" w:space="0" w:color="auto"/>
            <w:left w:val="none" w:sz="0" w:space="0" w:color="auto"/>
            <w:bottom w:val="none" w:sz="0" w:space="0" w:color="auto"/>
            <w:right w:val="none" w:sz="0" w:space="0" w:color="auto"/>
          </w:divBdr>
          <w:divsChild>
            <w:div w:id="1260943396">
              <w:marLeft w:val="0"/>
              <w:marRight w:val="0"/>
              <w:marTop w:val="0"/>
              <w:marBottom w:val="0"/>
              <w:divBdr>
                <w:top w:val="none" w:sz="0" w:space="0" w:color="auto"/>
                <w:left w:val="none" w:sz="0" w:space="0" w:color="auto"/>
                <w:bottom w:val="none" w:sz="0" w:space="0" w:color="auto"/>
                <w:right w:val="none" w:sz="0" w:space="0" w:color="auto"/>
              </w:divBdr>
              <w:divsChild>
                <w:div w:id="1362167380">
                  <w:marLeft w:val="0"/>
                  <w:marRight w:val="0"/>
                  <w:marTop w:val="0"/>
                  <w:marBottom w:val="0"/>
                  <w:divBdr>
                    <w:top w:val="none" w:sz="0" w:space="0" w:color="auto"/>
                    <w:left w:val="none" w:sz="0" w:space="0" w:color="auto"/>
                    <w:bottom w:val="none" w:sz="0" w:space="0" w:color="auto"/>
                    <w:right w:val="none" w:sz="0" w:space="0" w:color="auto"/>
                  </w:divBdr>
                  <w:divsChild>
                    <w:div w:id="1606574115">
                      <w:marLeft w:val="0"/>
                      <w:marRight w:val="0"/>
                      <w:marTop w:val="0"/>
                      <w:marBottom w:val="0"/>
                      <w:divBdr>
                        <w:top w:val="none" w:sz="0" w:space="0" w:color="auto"/>
                        <w:left w:val="none" w:sz="0" w:space="0" w:color="auto"/>
                        <w:bottom w:val="none" w:sz="0" w:space="0" w:color="auto"/>
                        <w:right w:val="none" w:sz="0" w:space="0" w:color="auto"/>
                      </w:divBdr>
                    </w:div>
                  </w:divsChild>
                </w:div>
                <w:div w:id="1389642972">
                  <w:marLeft w:val="0"/>
                  <w:marRight w:val="0"/>
                  <w:marTop w:val="0"/>
                  <w:marBottom w:val="0"/>
                  <w:divBdr>
                    <w:top w:val="none" w:sz="0" w:space="0" w:color="auto"/>
                    <w:left w:val="none" w:sz="0" w:space="0" w:color="auto"/>
                    <w:bottom w:val="none" w:sz="0" w:space="0" w:color="auto"/>
                    <w:right w:val="none" w:sz="0" w:space="0" w:color="auto"/>
                  </w:divBdr>
                  <w:divsChild>
                    <w:div w:id="1767996634">
                      <w:marLeft w:val="0"/>
                      <w:marRight w:val="0"/>
                      <w:marTop w:val="0"/>
                      <w:marBottom w:val="0"/>
                      <w:divBdr>
                        <w:top w:val="none" w:sz="0" w:space="0" w:color="auto"/>
                        <w:left w:val="none" w:sz="0" w:space="0" w:color="auto"/>
                        <w:bottom w:val="none" w:sz="0" w:space="0" w:color="auto"/>
                        <w:right w:val="none" w:sz="0" w:space="0" w:color="auto"/>
                      </w:divBdr>
                    </w:div>
                  </w:divsChild>
                </w:div>
                <w:div w:id="1471707916">
                  <w:marLeft w:val="0"/>
                  <w:marRight w:val="0"/>
                  <w:marTop w:val="0"/>
                  <w:marBottom w:val="0"/>
                  <w:divBdr>
                    <w:top w:val="none" w:sz="0" w:space="0" w:color="auto"/>
                    <w:left w:val="none" w:sz="0" w:space="0" w:color="auto"/>
                    <w:bottom w:val="none" w:sz="0" w:space="0" w:color="auto"/>
                    <w:right w:val="none" w:sz="0" w:space="0" w:color="auto"/>
                  </w:divBdr>
                  <w:divsChild>
                    <w:div w:id="1016345062">
                      <w:marLeft w:val="0"/>
                      <w:marRight w:val="0"/>
                      <w:marTop w:val="0"/>
                      <w:marBottom w:val="0"/>
                      <w:divBdr>
                        <w:top w:val="none" w:sz="0" w:space="0" w:color="auto"/>
                        <w:left w:val="none" w:sz="0" w:space="0" w:color="auto"/>
                        <w:bottom w:val="none" w:sz="0" w:space="0" w:color="auto"/>
                        <w:right w:val="none" w:sz="0" w:space="0" w:color="auto"/>
                      </w:divBdr>
                    </w:div>
                  </w:divsChild>
                </w:div>
                <w:div w:id="1619991129">
                  <w:marLeft w:val="0"/>
                  <w:marRight w:val="0"/>
                  <w:marTop w:val="0"/>
                  <w:marBottom w:val="0"/>
                  <w:divBdr>
                    <w:top w:val="none" w:sz="0" w:space="0" w:color="auto"/>
                    <w:left w:val="none" w:sz="0" w:space="0" w:color="auto"/>
                    <w:bottom w:val="none" w:sz="0" w:space="0" w:color="auto"/>
                    <w:right w:val="none" w:sz="0" w:space="0" w:color="auto"/>
                  </w:divBdr>
                  <w:divsChild>
                    <w:div w:id="7884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543830">
      <w:bodyDiv w:val="1"/>
      <w:marLeft w:val="0"/>
      <w:marRight w:val="0"/>
      <w:marTop w:val="0"/>
      <w:marBottom w:val="0"/>
      <w:divBdr>
        <w:top w:val="none" w:sz="0" w:space="0" w:color="auto"/>
        <w:left w:val="none" w:sz="0" w:space="0" w:color="auto"/>
        <w:bottom w:val="none" w:sz="0" w:space="0" w:color="auto"/>
        <w:right w:val="none" w:sz="0" w:space="0" w:color="auto"/>
      </w:divBdr>
    </w:div>
    <w:div w:id="2085561418">
      <w:bodyDiv w:val="1"/>
      <w:marLeft w:val="0"/>
      <w:marRight w:val="0"/>
      <w:marTop w:val="0"/>
      <w:marBottom w:val="0"/>
      <w:divBdr>
        <w:top w:val="none" w:sz="0" w:space="0" w:color="auto"/>
        <w:left w:val="none" w:sz="0" w:space="0" w:color="auto"/>
        <w:bottom w:val="none" w:sz="0" w:space="0" w:color="auto"/>
        <w:right w:val="none" w:sz="0" w:space="0" w:color="auto"/>
      </w:divBdr>
    </w:div>
    <w:div w:id="2090687017">
      <w:bodyDiv w:val="1"/>
      <w:marLeft w:val="0"/>
      <w:marRight w:val="0"/>
      <w:marTop w:val="0"/>
      <w:marBottom w:val="0"/>
      <w:divBdr>
        <w:top w:val="none" w:sz="0" w:space="0" w:color="auto"/>
        <w:left w:val="none" w:sz="0" w:space="0" w:color="auto"/>
        <w:bottom w:val="none" w:sz="0" w:space="0" w:color="auto"/>
        <w:right w:val="none" w:sz="0" w:space="0" w:color="auto"/>
      </w:divBdr>
      <w:divsChild>
        <w:div w:id="831019468">
          <w:marLeft w:val="0"/>
          <w:marRight w:val="0"/>
          <w:marTop w:val="0"/>
          <w:marBottom w:val="0"/>
          <w:divBdr>
            <w:top w:val="none" w:sz="0" w:space="0" w:color="auto"/>
            <w:left w:val="none" w:sz="0" w:space="0" w:color="auto"/>
            <w:bottom w:val="none" w:sz="0" w:space="0" w:color="auto"/>
            <w:right w:val="none" w:sz="0" w:space="0" w:color="auto"/>
          </w:divBdr>
          <w:divsChild>
            <w:div w:id="125703614">
              <w:marLeft w:val="0"/>
              <w:marRight w:val="0"/>
              <w:marTop w:val="0"/>
              <w:marBottom w:val="0"/>
              <w:divBdr>
                <w:top w:val="none" w:sz="0" w:space="0" w:color="auto"/>
                <w:left w:val="none" w:sz="0" w:space="0" w:color="auto"/>
                <w:bottom w:val="none" w:sz="0" w:space="0" w:color="auto"/>
                <w:right w:val="none" w:sz="0" w:space="0" w:color="auto"/>
              </w:divBdr>
              <w:divsChild>
                <w:div w:id="9787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5602">
      <w:bodyDiv w:val="1"/>
      <w:marLeft w:val="0"/>
      <w:marRight w:val="0"/>
      <w:marTop w:val="0"/>
      <w:marBottom w:val="0"/>
      <w:divBdr>
        <w:top w:val="none" w:sz="0" w:space="0" w:color="auto"/>
        <w:left w:val="none" w:sz="0" w:space="0" w:color="auto"/>
        <w:bottom w:val="none" w:sz="0" w:space="0" w:color="auto"/>
        <w:right w:val="none" w:sz="0" w:space="0" w:color="auto"/>
      </w:divBdr>
      <w:divsChild>
        <w:div w:id="1679694890">
          <w:marLeft w:val="0"/>
          <w:marRight w:val="0"/>
          <w:marTop w:val="0"/>
          <w:marBottom w:val="0"/>
          <w:divBdr>
            <w:top w:val="none" w:sz="0" w:space="0" w:color="auto"/>
            <w:left w:val="none" w:sz="0" w:space="0" w:color="auto"/>
            <w:bottom w:val="none" w:sz="0" w:space="0" w:color="auto"/>
            <w:right w:val="none" w:sz="0" w:space="0" w:color="auto"/>
          </w:divBdr>
          <w:divsChild>
            <w:div w:id="1775857284">
              <w:marLeft w:val="0"/>
              <w:marRight w:val="0"/>
              <w:marTop w:val="0"/>
              <w:marBottom w:val="0"/>
              <w:divBdr>
                <w:top w:val="none" w:sz="0" w:space="0" w:color="auto"/>
                <w:left w:val="none" w:sz="0" w:space="0" w:color="auto"/>
                <w:bottom w:val="none" w:sz="0" w:space="0" w:color="auto"/>
                <w:right w:val="none" w:sz="0" w:space="0" w:color="auto"/>
              </w:divBdr>
              <w:divsChild>
                <w:div w:id="261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3257">
      <w:bodyDiv w:val="1"/>
      <w:marLeft w:val="0"/>
      <w:marRight w:val="0"/>
      <w:marTop w:val="0"/>
      <w:marBottom w:val="0"/>
      <w:divBdr>
        <w:top w:val="none" w:sz="0" w:space="0" w:color="auto"/>
        <w:left w:val="none" w:sz="0" w:space="0" w:color="auto"/>
        <w:bottom w:val="none" w:sz="0" w:space="0" w:color="auto"/>
        <w:right w:val="none" w:sz="0" w:space="0" w:color="auto"/>
      </w:divBdr>
      <w:divsChild>
        <w:div w:id="926579490">
          <w:marLeft w:val="0"/>
          <w:marRight w:val="0"/>
          <w:marTop w:val="0"/>
          <w:marBottom w:val="0"/>
          <w:divBdr>
            <w:top w:val="none" w:sz="0" w:space="0" w:color="auto"/>
            <w:left w:val="none" w:sz="0" w:space="0" w:color="auto"/>
            <w:bottom w:val="none" w:sz="0" w:space="0" w:color="auto"/>
            <w:right w:val="none" w:sz="0" w:space="0" w:color="auto"/>
          </w:divBdr>
          <w:divsChild>
            <w:div w:id="1895580481">
              <w:marLeft w:val="0"/>
              <w:marRight w:val="0"/>
              <w:marTop w:val="0"/>
              <w:marBottom w:val="0"/>
              <w:divBdr>
                <w:top w:val="none" w:sz="0" w:space="0" w:color="auto"/>
                <w:left w:val="none" w:sz="0" w:space="0" w:color="auto"/>
                <w:bottom w:val="none" w:sz="0" w:space="0" w:color="auto"/>
                <w:right w:val="none" w:sz="0" w:space="0" w:color="auto"/>
              </w:divBdr>
              <w:divsChild>
                <w:div w:id="20299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88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www.corteidh.or.cr/docs/asuntos/tzompaxtle_tecpile_y_otros_24_05_22.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0F5C1-C6BE-4C35-9349-C3B7C63C5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63</Pages>
  <Words>32415</Words>
  <Characters>178288</Characters>
  <Application>Microsoft Office Word</Application>
  <DocSecurity>0</DocSecurity>
  <Lines>1485</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210283</CharactersWithSpaces>
  <SharedDoc>false</SharedDoc>
  <HLinks>
    <vt:vector size="438" baseType="variant">
      <vt:variant>
        <vt:i4>1310775</vt:i4>
      </vt:variant>
      <vt:variant>
        <vt:i4>428</vt:i4>
      </vt:variant>
      <vt:variant>
        <vt:i4>0</vt:i4>
      </vt:variant>
      <vt:variant>
        <vt:i4>5</vt:i4>
      </vt:variant>
      <vt:variant>
        <vt:lpwstr/>
      </vt:variant>
      <vt:variant>
        <vt:lpwstr>_Toc123062338</vt:lpwstr>
      </vt:variant>
      <vt:variant>
        <vt:i4>1310775</vt:i4>
      </vt:variant>
      <vt:variant>
        <vt:i4>422</vt:i4>
      </vt:variant>
      <vt:variant>
        <vt:i4>0</vt:i4>
      </vt:variant>
      <vt:variant>
        <vt:i4>5</vt:i4>
      </vt:variant>
      <vt:variant>
        <vt:lpwstr/>
      </vt:variant>
      <vt:variant>
        <vt:lpwstr>_Toc123062337</vt:lpwstr>
      </vt:variant>
      <vt:variant>
        <vt:i4>1310775</vt:i4>
      </vt:variant>
      <vt:variant>
        <vt:i4>416</vt:i4>
      </vt:variant>
      <vt:variant>
        <vt:i4>0</vt:i4>
      </vt:variant>
      <vt:variant>
        <vt:i4>5</vt:i4>
      </vt:variant>
      <vt:variant>
        <vt:lpwstr/>
      </vt:variant>
      <vt:variant>
        <vt:lpwstr>_Toc123062336</vt:lpwstr>
      </vt:variant>
      <vt:variant>
        <vt:i4>1310775</vt:i4>
      </vt:variant>
      <vt:variant>
        <vt:i4>410</vt:i4>
      </vt:variant>
      <vt:variant>
        <vt:i4>0</vt:i4>
      </vt:variant>
      <vt:variant>
        <vt:i4>5</vt:i4>
      </vt:variant>
      <vt:variant>
        <vt:lpwstr/>
      </vt:variant>
      <vt:variant>
        <vt:lpwstr>_Toc123062335</vt:lpwstr>
      </vt:variant>
      <vt:variant>
        <vt:i4>1310775</vt:i4>
      </vt:variant>
      <vt:variant>
        <vt:i4>404</vt:i4>
      </vt:variant>
      <vt:variant>
        <vt:i4>0</vt:i4>
      </vt:variant>
      <vt:variant>
        <vt:i4>5</vt:i4>
      </vt:variant>
      <vt:variant>
        <vt:lpwstr/>
      </vt:variant>
      <vt:variant>
        <vt:lpwstr>_Toc123062334</vt:lpwstr>
      </vt:variant>
      <vt:variant>
        <vt:i4>1310775</vt:i4>
      </vt:variant>
      <vt:variant>
        <vt:i4>398</vt:i4>
      </vt:variant>
      <vt:variant>
        <vt:i4>0</vt:i4>
      </vt:variant>
      <vt:variant>
        <vt:i4>5</vt:i4>
      </vt:variant>
      <vt:variant>
        <vt:lpwstr/>
      </vt:variant>
      <vt:variant>
        <vt:lpwstr>_Toc123062333</vt:lpwstr>
      </vt:variant>
      <vt:variant>
        <vt:i4>1310775</vt:i4>
      </vt:variant>
      <vt:variant>
        <vt:i4>392</vt:i4>
      </vt:variant>
      <vt:variant>
        <vt:i4>0</vt:i4>
      </vt:variant>
      <vt:variant>
        <vt:i4>5</vt:i4>
      </vt:variant>
      <vt:variant>
        <vt:lpwstr/>
      </vt:variant>
      <vt:variant>
        <vt:lpwstr>_Toc123062332</vt:lpwstr>
      </vt:variant>
      <vt:variant>
        <vt:i4>1310775</vt:i4>
      </vt:variant>
      <vt:variant>
        <vt:i4>386</vt:i4>
      </vt:variant>
      <vt:variant>
        <vt:i4>0</vt:i4>
      </vt:variant>
      <vt:variant>
        <vt:i4>5</vt:i4>
      </vt:variant>
      <vt:variant>
        <vt:lpwstr/>
      </vt:variant>
      <vt:variant>
        <vt:lpwstr>_Toc123062331</vt:lpwstr>
      </vt:variant>
      <vt:variant>
        <vt:i4>1310775</vt:i4>
      </vt:variant>
      <vt:variant>
        <vt:i4>380</vt:i4>
      </vt:variant>
      <vt:variant>
        <vt:i4>0</vt:i4>
      </vt:variant>
      <vt:variant>
        <vt:i4>5</vt:i4>
      </vt:variant>
      <vt:variant>
        <vt:lpwstr/>
      </vt:variant>
      <vt:variant>
        <vt:lpwstr>_Toc123062330</vt:lpwstr>
      </vt:variant>
      <vt:variant>
        <vt:i4>1376311</vt:i4>
      </vt:variant>
      <vt:variant>
        <vt:i4>374</vt:i4>
      </vt:variant>
      <vt:variant>
        <vt:i4>0</vt:i4>
      </vt:variant>
      <vt:variant>
        <vt:i4>5</vt:i4>
      </vt:variant>
      <vt:variant>
        <vt:lpwstr/>
      </vt:variant>
      <vt:variant>
        <vt:lpwstr>_Toc123062329</vt:lpwstr>
      </vt:variant>
      <vt:variant>
        <vt:i4>1376311</vt:i4>
      </vt:variant>
      <vt:variant>
        <vt:i4>368</vt:i4>
      </vt:variant>
      <vt:variant>
        <vt:i4>0</vt:i4>
      </vt:variant>
      <vt:variant>
        <vt:i4>5</vt:i4>
      </vt:variant>
      <vt:variant>
        <vt:lpwstr/>
      </vt:variant>
      <vt:variant>
        <vt:lpwstr>_Toc123062328</vt:lpwstr>
      </vt:variant>
      <vt:variant>
        <vt:i4>1376311</vt:i4>
      </vt:variant>
      <vt:variant>
        <vt:i4>362</vt:i4>
      </vt:variant>
      <vt:variant>
        <vt:i4>0</vt:i4>
      </vt:variant>
      <vt:variant>
        <vt:i4>5</vt:i4>
      </vt:variant>
      <vt:variant>
        <vt:lpwstr/>
      </vt:variant>
      <vt:variant>
        <vt:lpwstr>_Toc123062327</vt:lpwstr>
      </vt:variant>
      <vt:variant>
        <vt:i4>1376311</vt:i4>
      </vt:variant>
      <vt:variant>
        <vt:i4>356</vt:i4>
      </vt:variant>
      <vt:variant>
        <vt:i4>0</vt:i4>
      </vt:variant>
      <vt:variant>
        <vt:i4>5</vt:i4>
      </vt:variant>
      <vt:variant>
        <vt:lpwstr/>
      </vt:variant>
      <vt:variant>
        <vt:lpwstr>_Toc123062326</vt:lpwstr>
      </vt:variant>
      <vt:variant>
        <vt:i4>1376311</vt:i4>
      </vt:variant>
      <vt:variant>
        <vt:i4>350</vt:i4>
      </vt:variant>
      <vt:variant>
        <vt:i4>0</vt:i4>
      </vt:variant>
      <vt:variant>
        <vt:i4>5</vt:i4>
      </vt:variant>
      <vt:variant>
        <vt:lpwstr/>
      </vt:variant>
      <vt:variant>
        <vt:lpwstr>_Toc123062325</vt:lpwstr>
      </vt:variant>
      <vt:variant>
        <vt:i4>1376311</vt:i4>
      </vt:variant>
      <vt:variant>
        <vt:i4>344</vt:i4>
      </vt:variant>
      <vt:variant>
        <vt:i4>0</vt:i4>
      </vt:variant>
      <vt:variant>
        <vt:i4>5</vt:i4>
      </vt:variant>
      <vt:variant>
        <vt:lpwstr/>
      </vt:variant>
      <vt:variant>
        <vt:lpwstr>_Toc123062324</vt:lpwstr>
      </vt:variant>
      <vt:variant>
        <vt:i4>1376311</vt:i4>
      </vt:variant>
      <vt:variant>
        <vt:i4>338</vt:i4>
      </vt:variant>
      <vt:variant>
        <vt:i4>0</vt:i4>
      </vt:variant>
      <vt:variant>
        <vt:i4>5</vt:i4>
      </vt:variant>
      <vt:variant>
        <vt:lpwstr/>
      </vt:variant>
      <vt:variant>
        <vt:lpwstr>_Toc123062323</vt:lpwstr>
      </vt:variant>
      <vt:variant>
        <vt:i4>1376311</vt:i4>
      </vt:variant>
      <vt:variant>
        <vt:i4>332</vt:i4>
      </vt:variant>
      <vt:variant>
        <vt:i4>0</vt:i4>
      </vt:variant>
      <vt:variant>
        <vt:i4>5</vt:i4>
      </vt:variant>
      <vt:variant>
        <vt:lpwstr/>
      </vt:variant>
      <vt:variant>
        <vt:lpwstr>_Toc123062322</vt:lpwstr>
      </vt:variant>
      <vt:variant>
        <vt:i4>1376311</vt:i4>
      </vt:variant>
      <vt:variant>
        <vt:i4>326</vt:i4>
      </vt:variant>
      <vt:variant>
        <vt:i4>0</vt:i4>
      </vt:variant>
      <vt:variant>
        <vt:i4>5</vt:i4>
      </vt:variant>
      <vt:variant>
        <vt:lpwstr/>
      </vt:variant>
      <vt:variant>
        <vt:lpwstr>_Toc123062321</vt:lpwstr>
      </vt:variant>
      <vt:variant>
        <vt:i4>1376311</vt:i4>
      </vt:variant>
      <vt:variant>
        <vt:i4>320</vt:i4>
      </vt:variant>
      <vt:variant>
        <vt:i4>0</vt:i4>
      </vt:variant>
      <vt:variant>
        <vt:i4>5</vt:i4>
      </vt:variant>
      <vt:variant>
        <vt:lpwstr/>
      </vt:variant>
      <vt:variant>
        <vt:lpwstr>_Toc123062320</vt:lpwstr>
      </vt:variant>
      <vt:variant>
        <vt:i4>1441847</vt:i4>
      </vt:variant>
      <vt:variant>
        <vt:i4>314</vt:i4>
      </vt:variant>
      <vt:variant>
        <vt:i4>0</vt:i4>
      </vt:variant>
      <vt:variant>
        <vt:i4>5</vt:i4>
      </vt:variant>
      <vt:variant>
        <vt:lpwstr/>
      </vt:variant>
      <vt:variant>
        <vt:lpwstr>_Toc123062319</vt:lpwstr>
      </vt:variant>
      <vt:variant>
        <vt:i4>1441847</vt:i4>
      </vt:variant>
      <vt:variant>
        <vt:i4>308</vt:i4>
      </vt:variant>
      <vt:variant>
        <vt:i4>0</vt:i4>
      </vt:variant>
      <vt:variant>
        <vt:i4>5</vt:i4>
      </vt:variant>
      <vt:variant>
        <vt:lpwstr/>
      </vt:variant>
      <vt:variant>
        <vt:lpwstr>_Toc123062318</vt:lpwstr>
      </vt:variant>
      <vt:variant>
        <vt:i4>1441847</vt:i4>
      </vt:variant>
      <vt:variant>
        <vt:i4>302</vt:i4>
      </vt:variant>
      <vt:variant>
        <vt:i4>0</vt:i4>
      </vt:variant>
      <vt:variant>
        <vt:i4>5</vt:i4>
      </vt:variant>
      <vt:variant>
        <vt:lpwstr/>
      </vt:variant>
      <vt:variant>
        <vt:lpwstr>_Toc123062317</vt:lpwstr>
      </vt:variant>
      <vt:variant>
        <vt:i4>1441847</vt:i4>
      </vt:variant>
      <vt:variant>
        <vt:i4>296</vt:i4>
      </vt:variant>
      <vt:variant>
        <vt:i4>0</vt:i4>
      </vt:variant>
      <vt:variant>
        <vt:i4>5</vt:i4>
      </vt:variant>
      <vt:variant>
        <vt:lpwstr/>
      </vt:variant>
      <vt:variant>
        <vt:lpwstr>_Toc123062316</vt:lpwstr>
      </vt:variant>
      <vt:variant>
        <vt:i4>1441847</vt:i4>
      </vt:variant>
      <vt:variant>
        <vt:i4>290</vt:i4>
      </vt:variant>
      <vt:variant>
        <vt:i4>0</vt:i4>
      </vt:variant>
      <vt:variant>
        <vt:i4>5</vt:i4>
      </vt:variant>
      <vt:variant>
        <vt:lpwstr/>
      </vt:variant>
      <vt:variant>
        <vt:lpwstr>_Toc123062315</vt:lpwstr>
      </vt:variant>
      <vt:variant>
        <vt:i4>1441847</vt:i4>
      </vt:variant>
      <vt:variant>
        <vt:i4>284</vt:i4>
      </vt:variant>
      <vt:variant>
        <vt:i4>0</vt:i4>
      </vt:variant>
      <vt:variant>
        <vt:i4>5</vt:i4>
      </vt:variant>
      <vt:variant>
        <vt:lpwstr/>
      </vt:variant>
      <vt:variant>
        <vt:lpwstr>_Toc123062314</vt:lpwstr>
      </vt:variant>
      <vt:variant>
        <vt:i4>1441847</vt:i4>
      </vt:variant>
      <vt:variant>
        <vt:i4>278</vt:i4>
      </vt:variant>
      <vt:variant>
        <vt:i4>0</vt:i4>
      </vt:variant>
      <vt:variant>
        <vt:i4>5</vt:i4>
      </vt:variant>
      <vt:variant>
        <vt:lpwstr/>
      </vt:variant>
      <vt:variant>
        <vt:lpwstr>_Toc123062313</vt:lpwstr>
      </vt:variant>
      <vt:variant>
        <vt:i4>1441847</vt:i4>
      </vt:variant>
      <vt:variant>
        <vt:i4>272</vt:i4>
      </vt:variant>
      <vt:variant>
        <vt:i4>0</vt:i4>
      </vt:variant>
      <vt:variant>
        <vt:i4>5</vt:i4>
      </vt:variant>
      <vt:variant>
        <vt:lpwstr/>
      </vt:variant>
      <vt:variant>
        <vt:lpwstr>_Toc123062312</vt:lpwstr>
      </vt:variant>
      <vt:variant>
        <vt:i4>1441847</vt:i4>
      </vt:variant>
      <vt:variant>
        <vt:i4>266</vt:i4>
      </vt:variant>
      <vt:variant>
        <vt:i4>0</vt:i4>
      </vt:variant>
      <vt:variant>
        <vt:i4>5</vt:i4>
      </vt:variant>
      <vt:variant>
        <vt:lpwstr/>
      </vt:variant>
      <vt:variant>
        <vt:lpwstr>_Toc123062311</vt:lpwstr>
      </vt:variant>
      <vt:variant>
        <vt:i4>1441847</vt:i4>
      </vt:variant>
      <vt:variant>
        <vt:i4>260</vt:i4>
      </vt:variant>
      <vt:variant>
        <vt:i4>0</vt:i4>
      </vt:variant>
      <vt:variant>
        <vt:i4>5</vt:i4>
      </vt:variant>
      <vt:variant>
        <vt:lpwstr/>
      </vt:variant>
      <vt:variant>
        <vt:lpwstr>_Toc123062310</vt:lpwstr>
      </vt:variant>
      <vt:variant>
        <vt:i4>1507383</vt:i4>
      </vt:variant>
      <vt:variant>
        <vt:i4>254</vt:i4>
      </vt:variant>
      <vt:variant>
        <vt:i4>0</vt:i4>
      </vt:variant>
      <vt:variant>
        <vt:i4>5</vt:i4>
      </vt:variant>
      <vt:variant>
        <vt:lpwstr/>
      </vt:variant>
      <vt:variant>
        <vt:lpwstr>_Toc123062309</vt:lpwstr>
      </vt:variant>
      <vt:variant>
        <vt:i4>1507383</vt:i4>
      </vt:variant>
      <vt:variant>
        <vt:i4>248</vt:i4>
      </vt:variant>
      <vt:variant>
        <vt:i4>0</vt:i4>
      </vt:variant>
      <vt:variant>
        <vt:i4>5</vt:i4>
      </vt:variant>
      <vt:variant>
        <vt:lpwstr/>
      </vt:variant>
      <vt:variant>
        <vt:lpwstr>_Toc123062308</vt:lpwstr>
      </vt:variant>
      <vt:variant>
        <vt:i4>1507383</vt:i4>
      </vt:variant>
      <vt:variant>
        <vt:i4>242</vt:i4>
      </vt:variant>
      <vt:variant>
        <vt:i4>0</vt:i4>
      </vt:variant>
      <vt:variant>
        <vt:i4>5</vt:i4>
      </vt:variant>
      <vt:variant>
        <vt:lpwstr/>
      </vt:variant>
      <vt:variant>
        <vt:lpwstr>_Toc123062307</vt:lpwstr>
      </vt:variant>
      <vt:variant>
        <vt:i4>1507383</vt:i4>
      </vt:variant>
      <vt:variant>
        <vt:i4>236</vt:i4>
      </vt:variant>
      <vt:variant>
        <vt:i4>0</vt:i4>
      </vt:variant>
      <vt:variant>
        <vt:i4>5</vt:i4>
      </vt:variant>
      <vt:variant>
        <vt:lpwstr/>
      </vt:variant>
      <vt:variant>
        <vt:lpwstr>_Toc123062306</vt:lpwstr>
      </vt:variant>
      <vt:variant>
        <vt:i4>1507383</vt:i4>
      </vt:variant>
      <vt:variant>
        <vt:i4>230</vt:i4>
      </vt:variant>
      <vt:variant>
        <vt:i4>0</vt:i4>
      </vt:variant>
      <vt:variant>
        <vt:i4>5</vt:i4>
      </vt:variant>
      <vt:variant>
        <vt:lpwstr/>
      </vt:variant>
      <vt:variant>
        <vt:lpwstr>_Toc123062305</vt:lpwstr>
      </vt:variant>
      <vt:variant>
        <vt:i4>1507383</vt:i4>
      </vt:variant>
      <vt:variant>
        <vt:i4>224</vt:i4>
      </vt:variant>
      <vt:variant>
        <vt:i4>0</vt:i4>
      </vt:variant>
      <vt:variant>
        <vt:i4>5</vt:i4>
      </vt:variant>
      <vt:variant>
        <vt:lpwstr/>
      </vt:variant>
      <vt:variant>
        <vt:lpwstr>_Toc123062304</vt:lpwstr>
      </vt:variant>
      <vt:variant>
        <vt:i4>1507383</vt:i4>
      </vt:variant>
      <vt:variant>
        <vt:i4>218</vt:i4>
      </vt:variant>
      <vt:variant>
        <vt:i4>0</vt:i4>
      </vt:variant>
      <vt:variant>
        <vt:i4>5</vt:i4>
      </vt:variant>
      <vt:variant>
        <vt:lpwstr/>
      </vt:variant>
      <vt:variant>
        <vt:lpwstr>_Toc123062303</vt:lpwstr>
      </vt:variant>
      <vt:variant>
        <vt:i4>1507383</vt:i4>
      </vt:variant>
      <vt:variant>
        <vt:i4>212</vt:i4>
      </vt:variant>
      <vt:variant>
        <vt:i4>0</vt:i4>
      </vt:variant>
      <vt:variant>
        <vt:i4>5</vt:i4>
      </vt:variant>
      <vt:variant>
        <vt:lpwstr/>
      </vt:variant>
      <vt:variant>
        <vt:lpwstr>_Toc123062302</vt:lpwstr>
      </vt:variant>
      <vt:variant>
        <vt:i4>1507383</vt:i4>
      </vt:variant>
      <vt:variant>
        <vt:i4>206</vt:i4>
      </vt:variant>
      <vt:variant>
        <vt:i4>0</vt:i4>
      </vt:variant>
      <vt:variant>
        <vt:i4>5</vt:i4>
      </vt:variant>
      <vt:variant>
        <vt:lpwstr/>
      </vt:variant>
      <vt:variant>
        <vt:lpwstr>_Toc123062301</vt:lpwstr>
      </vt:variant>
      <vt:variant>
        <vt:i4>1507383</vt:i4>
      </vt:variant>
      <vt:variant>
        <vt:i4>200</vt:i4>
      </vt:variant>
      <vt:variant>
        <vt:i4>0</vt:i4>
      </vt:variant>
      <vt:variant>
        <vt:i4>5</vt:i4>
      </vt:variant>
      <vt:variant>
        <vt:lpwstr/>
      </vt:variant>
      <vt:variant>
        <vt:lpwstr>_Toc123062300</vt:lpwstr>
      </vt:variant>
      <vt:variant>
        <vt:i4>1966134</vt:i4>
      </vt:variant>
      <vt:variant>
        <vt:i4>194</vt:i4>
      </vt:variant>
      <vt:variant>
        <vt:i4>0</vt:i4>
      </vt:variant>
      <vt:variant>
        <vt:i4>5</vt:i4>
      </vt:variant>
      <vt:variant>
        <vt:lpwstr/>
      </vt:variant>
      <vt:variant>
        <vt:lpwstr>_Toc123062299</vt:lpwstr>
      </vt:variant>
      <vt:variant>
        <vt:i4>1966134</vt:i4>
      </vt:variant>
      <vt:variant>
        <vt:i4>188</vt:i4>
      </vt:variant>
      <vt:variant>
        <vt:i4>0</vt:i4>
      </vt:variant>
      <vt:variant>
        <vt:i4>5</vt:i4>
      </vt:variant>
      <vt:variant>
        <vt:lpwstr/>
      </vt:variant>
      <vt:variant>
        <vt:lpwstr>_Toc123062298</vt:lpwstr>
      </vt:variant>
      <vt:variant>
        <vt:i4>1966134</vt:i4>
      </vt:variant>
      <vt:variant>
        <vt:i4>182</vt:i4>
      </vt:variant>
      <vt:variant>
        <vt:i4>0</vt:i4>
      </vt:variant>
      <vt:variant>
        <vt:i4>5</vt:i4>
      </vt:variant>
      <vt:variant>
        <vt:lpwstr/>
      </vt:variant>
      <vt:variant>
        <vt:lpwstr>_Toc123062297</vt:lpwstr>
      </vt:variant>
      <vt:variant>
        <vt:i4>1966134</vt:i4>
      </vt:variant>
      <vt:variant>
        <vt:i4>176</vt:i4>
      </vt:variant>
      <vt:variant>
        <vt:i4>0</vt:i4>
      </vt:variant>
      <vt:variant>
        <vt:i4>5</vt:i4>
      </vt:variant>
      <vt:variant>
        <vt:lpwstr/>
      </vt:variant>
      <vt:variant>
        <vt:lpwstr>_Toc123062296</vt:lpwstr>
      </vt:variant>
      <vt:variant>
        <vt:i4>1966134</vt:i4>
      </vt:variant>
      <vt:variant>
        <vt:i4>170</vt:i4>
      </vt:variant>
      <vt:variant>
        <vt:i4>0</vt:i4>
      </vt:variant>
      <vt:variant>
        <vt:i4>5</vt:i4>
      </vt:variant>
      <vt:variant>
        <vt:lpwstr/>
      </vt:variant>
      <vt:variant>
        <vt:lpwstr>_Toc123062295</vt:lpwstr>
      </vt:variant>
      <vt:variant>
        <vt:i4>1966134</vt:i4>
      </vt:variant>
      <vt:variant>
        <vt:i4>164</vt:i4>
      </vt:variant>
      <vt:variant>
        <vt:i4>0</vt:i4>
      </vt:variant>
      <vt:variant>
        <vt:i4>5</vt:i4>
      </vt:variant>
      <vt:variant>
        <vt:lpwstr/>
      </vt:variant>
      <vt:variant>
        <vt:lpwstr>_Toc123062294</vt:lpwstr>
      </vt:variant>
      <vt:variant>
        <vt:i4>1966134</vt:i4>
      </vt:variant>
      <vt:variant>
        <vt:i4>158</vt:i4>
      </vt:variant>
      <vt:variant>
        <vt:i4>0</vt:i4>
      </vt:variant>
      <vt:variant>
        <vt:i4>5</vt:i4>
      </vt:variant>
      <vt:variant>
        <vt:lpwstr/>
      </vt:variant>
      <vt:variant>
        <vt:lpwstr>_Toc123062293</vt:lpwstr>
      </vt:variant>
      <vt:variant>
        <vt:i4>1966134</vt:i4>
      </vt:variant>
      <vt:variant>
        <vt:i4>152</vt:i4>
      </vt:variant>
      <vt:variant>
        <vt:i4>0</vt:i4>
      </vt:variant>
      <vt:variant>
        <vt:i4>5</vt:i4>
      </vt:variant>
      <vt:variant>
        <vt:lpwstr/>
      </vt:variant>
      <vt:variant>
        <vt:lpwstr>_Toc123062292</vt:lpwstr>
      </vt:variant>
      <vt:variant>
        <vt:i4>1966134</vt:i4>
      </vt:variant>
      <vt:variant>
        <vt:i4>146</vt:i4>
      </vt:variant>
      <vt:variant>
        <vt:i4>0</vt:i4>
      </vt:variant>
      <vt:variant>
        <vt:i4>5</vt:i4>
      </vt:variant>
      <vt:variant>
        <vt:lpwstr/>
      </vt:variant>
      <vt:variant>
        <vt:lpwstr>_Toc123062291</vt:lpwstr>
      </vt:variant>
      <vt:variant>
        <vt:i4>1966134</vt:i4>
      </vt:variant>
      <vt:variant>
        <vt:i4>140</vt:i4>
      </vt:variant>
      <vt:variant>
        <vt:i4>0</vt:i4>
      </vt:variant>
      <vt:variant>
        <vt:i4>5</vt:i4>
      </vt:variant>
      <vt:variant>
        <vt:lpwstr/>
      </vt:variant>
      <vt:variant>
        <vt:lpwstr>_Toc123062290</vt:lpwstr>
      </vt:variant>
      <vt:variant>
        <vt:i4>2031670</vt:i4>
      </vt:variant>
      <vt:variant>
        <vt:i4>134</vt:i4>
      </vt:variant>
      <vt:variant>
        <vt:i4>0</vt:i4>
      </vt:variant>
      <vt:variant>
        <vt:i4>5</vt:i4>
      </vt:variant>
      <vt:variant>
        <vt:lpwstr/>
      </vt:variant>
      <vt:variant>
        <vt:lpwstr>_Toc123062289</vt:lpwstr>
      </vt:variant>
      <vt:variant>
        <vt:i4>2031670</vt:i4>
      </vt:variant>
      <vt:variant>
        <vt:i4>128</vt:i4>
      </vt:variant>
      <vt:variant>
        <vt:i4>0</vt:i4>
      </vt:variant>
      <vt:variant>
        <vt:i4>5</vt:i4>
      </vt:variant>
      <vt:variant>
        <vt:lpwstr/>
      </vt:variant>
      <vt:variant>
        <vt:lpwstr>_Toc123062288</vt:lpwstr>
      </vt:variant>
      <vt:variant>
        <vt:i4>2031670</vt:i4>
      </vt:variant>
      <vt:variant>
        <vt:i4>122</vt:i4>
      </vt:variant>
      <vt:variant>
        <vt:i4>0</vt:i4>
      </vt:variant>
      <vt:variant>
        <vt:i4>5</vt:i4>
      </vt:variant>
      <vt:variant>
        <vt:lpwstr/>
      </vt:variant>
      <vt:variant>
        <vt:lpwstr>_Toc123062287</vt:lpwstr>
      </vt:variant>
      <vt:variant>
        <vt:i4>2031670</vt:i4>
      </vt:variant>
      <vt:variant>
        <vt:i4>116</vt:i4>
      </vt:variant>
      <vt:variant>
        <vt:i4>0</vt:i4>
      </vt:variant>
      <vt:variant>
        <vt:i4>5</vt:i4>
      </vt:variant>
      <vt:variant>
        <vt:lpwstr/>
      </vt:variant>
      <vt:variant>
        <vt:lpwstr>_Toc123062286</vt:lpwstr>
      </vt:variant>
      <vt:variant>
        <vt:i4>2031670</vt:i4>
      </vt:variant>
      <vt:variant>
        <vt:i4>110</vt:i4>
      </vt:variant>
      <vt:variant>
        <vt:i4>0</vt:i4>
      </vt:variant>
      <vt:variant>
        <vt:i4>5</vt:i4>
      </vt:variant>
      <vt:variant>
        <vt:lpwstr/>
      </vt:variant>
      <vt:variant>
        <vt:lpwstr>_Toc123062285</vt:lpwstr>
      </vt:variant>
      <vt:variant>
        <vt:i4>2031670</vt:i4>
      </vt:variant>
      <vt:variant>
        <vt:i4>104</vt:i4>
      </vt:variant>
      <vt:variant>
        <vt:i4>0</vt:i4>
      </vt:variant>
      <vt:variant>
        <vt:i4>5</vt:i4>
      </vt:variant>
      <vt:variant>
        <vt:lpwstr/>
      </vt:variant>
      <vt:variant>
        <vt:lpwstr>_Toc123062284</vt:lpwstr>
      </vt:variant>
      <vt:variant>
        <vt:i4>2031670</vt:i4>
      </vt:variant>
      <vt:variant>
        <vt:i4>98</vt:i4>
      </vt:variant>
      <vt:variant>
        <vt:i4>0</vt:i4>
      </vt:variant>
      <vt:variant>
        <vt:i4>5</vt:i4>
      </vt:variant>
      <vt:variant>
        <vt:lpwstr/>
      </vt:variant>
      <vt:variant>
        <vt:lpwstr>_Toc123062283</vt:lpwstr>
      </vt:variant>
      <vt:variant>
        <vt:i4>2031670</vt:i4>
      </vt:variant>
      <vt:variant>
        <vt:i4>92</vt:i4>
      </vt:variant>
      <vt:variant>
        <vt:i4>0</vt:i4>
      </vt:variant>
      <vt:variant>
        <vt:i4>5</vt:i4>
      </vt:variant>
      <vt:variant>
        <vt:lpwstr/>
      </vt:variant>
      <vt:variant>
        <vt:lpwstr>_Toc123062282</vt:lpwstr>
      </vt:variant>
      <vt:variant>
        <vt:i4>2031670</vt:i4>
      </vt:variant>
      <vt:variant>
        <vt:i4>86</vt:i4>
      </vt:variant>
      <vt:variant>
        <vt:i4>0</vt:i4>
      </vt:variant>
      <vt:variant>
        <vt:i4>5</vt:i4>
      </vt:variant>
      <vt:variant>
        <vt:lpwstr/>
      </vt:variant>
      <vt:variant>
        <vt:lpwstr>_Toc123062281</vt:lpwstr>
      </vt:variant>
      <vt:variant>
        <vt:i4>2031670</vt:i4>
      </vt:variant>
      <vt:variant>
        <vt:i4>80</vt:i4>
      </vt:variant>
      <vt:variant>
        <vt:i4>0</vt:i4>
      </vt:variant>
      <vt:variant>
        <vt:i4>5</vt:i4>
      </vt:variant>
      <vt:variant>
        <vt:lpwstr/>
      </vt:variant>
      <vt:variant>
        <vt:lpwstr>_Toc123062280</vt:lpwstr>
      </vt:variant>
      <vt:variant>
        <vt:i4>1048630</vt:i4>
      </vt:variant>
      <vt:variant>
        <vt:i4>74</vt:i4>
      </vt:variant>
      <vt:variant>
        <vt:i4>0</vt:i4>
      </vt:variant>
      <vt:variant>
        <vt:i4>5</vt:i4>
      </vt:variant>
      <vt:variant>
        <vt:lpwstr/>
      </vt:variant>
      <vt:variant>
        <vt:lpwstr>_Toc123062279</vt:lpwstr>
      </vt:variant>
      <vt:variant>
        <vt:i4>1048630</vt:i4>
      </vt:variant>
      <vt:variant>
        <vt:i4>68</vt:i4>
      </vt:variant>
      <vt:variant>
        <vt:i4>0</vt:i4>
      </vt:variant>
      <vt:variant>
        <vt:i4>5</vt:i4>
      </vt:variant>
      <vt:variant>
        <vt:lpwstr/>
      </vt:variant>
      <vt:variant>
        <vt:lpwstr>_Toc123062278</vt:lpwstr>
      </vt:variant>
      <vt:variant>
        <vt:i4>1048630</vt:i4>
      </vt:variant>
      <vt:variant>
        <vt:i4>62</vt:i4>
      </vt:variant>
      <vt:variant>
        <vt:i4>0</vt:i4>
      </vt:variant>
      <vt:variant>
        <vt:i4>5</vt:i4>
      </vt:variant>
      <vt:variant>
        <vt:lpwstr/>
      </vt:variant>
      <vt:variant>
        <vt:lpwstr>_Toc123062277</vt:lpwstr>
      </vt:variant>
      <vt:variant>
        <vt:i4>1048630</vt:i4>
      </vt:variant>
      <vt:variant>
        <vt:i4>56</vt:i4>
      </vt:variant>
      <vt:variant>
        <vt:i4>0</vt:i4>
      </vt:variant>
      <vt:variant>
        <vt:i4>5</vt:i4>
      </vt:variant>
      <vt:variant>
        <vt:lpwstr/>
      </vt:variant>
      <vt:variant>
        <vt:lpwstr>_Toc123062276</vt:lpwstr>
      </vt:variant>
      <vt:variant>
        <vt:i4>1048630</vt:i4>
      </vt:variant>
      <vt:variant>
        <vt:i4>50</vt:i4>
      </vt:variant>
      <vt:variant>
        <vt:i4>0</vt:i4>
      </vt:variant>
      <vt:variant>
        <vt:i4>5</vt:i4>
      </vt:variant>
      <vt:variant>
        <vt:lpwstr/>
      </vt:variant>
      <vt:variant>
        <vt:lpwstr>_Toc123062275</vt:lpwstr>
      </vt:variant>
      <vt:variant>
        <vt:i4>1048630</vt:i4>
      </vt:variant>
      <vt:variant>
        <vt:i4>44</vt:i4>
      </vt:variant>
      <vt:variant>
        <vt:i4>0</vt:i4>
      </vt:variant>
      <vt:variant>
        <vt:i4>5</vt:i4>
      </vt:variant>
      <vt:variant>
        <vt:lpwstr/>
      </vt:variant>
      <vt:variant>
        <vt:lpwstr>_Toc123062274</vt:lpwstr>
      </vt:variant>
      <vt:variant>
        <vt:i4>1048630</vt:i4>
      </vt:variant>
      <vt:variant>
        <vt:i4>38</vt:i4>
      </vt:variant>
      <vt:variant>
        <vt:i4>0</vt:i4>
      </vt:variant>
      <vt:variant>
        <vt:i4>5</vt:i4>
      </vt:variant>
      <vt:variant>
        <vt:lpwstr/>
      </vt:variant>
      <vt:variant>
        <vt:lpwstr>_Toc123062273</vt:lpwstr>
      </vt:variant>
      <vt:variant>
        <vt:i4>1048630</vt:i4>
      </vt:variant>
      <vt:variant>
        <vt:i4>32</vt:i4>
      </vt:variant>
      <vt:variant>
        <vt:i4>0</vt:i4>
      </vt:variant>
      <vt:variant>
        <vt:i4>5</vt:i4>
      </vt:variant>
      <vt:variant>
        <vt:lpwstr/>
      </vt:variant>
      <vt:variant>
        <vt:lpwstr>_Toc123062272</vt:lpwstr>
      </vt:variant>
      <vt:variant>
        <vt:i4>1048630</vt:i4>
      </vt:variant>
      <vt:variant>
        <vt:i4>26</vt:i4>
      </vt:variant>
      <vt:variant>
        <vt:i4>0</vt:i4>
      </vt:variant>
      <vt:variant>
        <vt:i4>5</vt:i4>
      </vt:variant>
      <vt:variant>
        <vt:lpwstr/>
      </vt:variant>
      <vt:variant>
        <vt:lpwstr>_Toc123062271</vt:lpwstr>
      </vt:variant>
      <vt:variant>
        <vt:i4>1048630</vt:i4>
      </vt:variant>
      <vt:variant>
        <vt:i4>20</vt:i4>
      </vt:variant>
      <vt:variant>
        <vt:i4>0</vt:i4>
      </vt:variant>
      <vt:variant>
        <vt:i4>5</vt:i4>
      </vt:variant>
      <vt:variant>
        <vt:lpwstr/>
      </vt:variant>
      <vt:variant>
        <vt:lpwstr>_Toc123062270</vt:lpwstr>
      </vt:variant>
      <vt:variant>
        <vt:i4>1114166</vt:i4>
      </vt:variant>
      <vt:variant>
        <vt:i4>14</vt:i4>
      </vt:variant>
      <vt:variant>
        <vt:i4>0</vt:i4>
      </vt:variant>
      <vt:variant>
        <vt:i4>5</vt:i4>
      </vt:variant>
      <vt:variant>
        <vt:lpwstr/>
      </vt:variant>
      <vt:variant>
        <vt:lpwstr>_Toc123062269</vt:lpwstr>
      </vt:variant>
      <vt:variant>
        <vt:i4>1114166</vt:i4>
      </vt:variant>
      <vt:variant>
        <vt:i4>8</vt:i4>
      </vt:variant>
      <vt:variant>
        <vt:i4>0</vt:i4>
      </vt:variant>
      <vt:variant>
        <vt:i4>5</vt:i4>
      </vt:variant>
      <vt:variant>
        <vt:lpwstr/>
      </vt:variant>
      <vt:variant>
        <vt:lpwstr>_Toc123062268</vt:lpwstr>
      </vt:variant>
      <vt:variant>
        <vt:i4>1114166</vt:i4>
      </vt:variant>
      <vt:variant>
        <vt:i4>2</vt:i4>
      </vt:variant>
      <vt:variant>
        <vt:i4>0</vt:i4>
      </vt:variant>
      <vt:variant>
        <vt:i4>5</vt:i4>
      </vt:variant>
      <vt:variant>
        <vt:lpwstr/>
      </vt:variant>
      <vt:variant>
        <vt:lpwstr>_Toc123062267</vt:lpwstr>
      </vt:variant>
      <vt:variant>
        <vt:i4>6225995</vt:i4>
      </vt:variant>
      <vt:variant>
        <vt:i4>0</vt:i4>
      </vt:variant>
      <vt:variant>
        <vt:i4>0</vt:i4>
      </vt:variant>
      <vt:variant>
        <vt:i4>5</vt:i4>
      </vt:variant>
      <vt:variant>
        <vt:lpwstr>https://www.corteidh.or.cr/docs/asuntos/tzompaxtle_tecpile_y_otros_24_05_22.pdf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Yerlin Urbina</cp:lastModifiedBy>
  <cp:revision>7</cp:revision>
  <cp:lastPrinted>2023-01-27T03:37:00Z</cp:lastPrinted>
  <dcterms:created xsi:type="dcterms:W3CDTF">2023-01-27T03:21:00Z</dcterms:created>
  <dcterms:modified xsi:type="dcterms:W3CDTF">2023-04-25T17:42:00Z</dcterms:modified>
</cp:coreProperties>
</file>