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46EE6" w14:textId="77777777" w:rsidR="00467516" w:rsidRPr="00072229" w:rsidRDefault="00467516" w:rsidP="0066170A">
      <w:pPr>
        <w:pStyle w:val="Estilo1"/>
      </w:pPr>
    </w:p>
    <w:p w14:paraId="578BA3A5" w14:textId="504FD4B7" w:rsidR="00616A72" w:rsidRPr="009E5CA3" w:rsidRDefault="00616A72" w:rsidP="003F4868">
      <w:pPr>
        <w:spacing w:line="240" w:lineRule="auto"/>
        <w:jc w:val="center"/>
        <w:rPr>
          <w:rFonts w:eastAsia="Calibri" w:cs="Verdana"/>
          <w:b/>
          <w:bCs/>
          <w:caps/>
          <w:snapToGrid w:val="0"/>
          <w:lang w:val="es-ES" w:eastAsia="es-ES"/>
        </w:rPr>
      </w:pPr>
      <w:bookmarkStart w:id="0" w:name="_Toc495658661"/>
      <w:bookmarkStart w:id="1" w:name="_Toc498013630"/>
      <w:bookmarkStart w:id="2" w:name="_Toc514172615"/>
      <w:bookmarkStart w:id="3" w:name="_Toc24447077"/>
      <w:r w:rsidRPr="009E5CA3">
        <w:rPr>
          <w:rFonts w:eastAsia="Calibri" w:cs="Calibri"/>
          <w:b/>
          <w:lang w:val="es-ES"/>
        </w:rPr>
        <w:t xml:space="preserve">CASO </w:t>
      </w:r>
      <w:r w:rsidR="003C67E9" w:rsidRPr="009E5CA3">
        <w:rPr>
          <w:rFonts w:eastAsia="Calibri" w:cs="Calibri"/>
          <w:b/>
          <w:lang w:val="es-ES"/>
        </w:rPr>
        <w:t>BISSOON</w:t>
      </w:r>
      <w:r w:rsidR="003F4868" w:rsidRPr="009E5CA3">
        <w:rPr>
          <w:rFonts w:eastAsia="Calibri" w:cs="Calibri"/>
          <w:b/>
          <w:lang w:val="es-ES"/>
        </w:rPr>
        <w:t xml:space="preserve"> Y OTRO</w:t>
      </w:r>
      <w:r w:rsidRPr="009E5CA3">
        <w:rPr>
          <w:rFonts w:eastAsia="Calibri" w:cs="Calibri"/>
          <w:b/>
          <w:i/>
          <w:lang w:val="es-ES"/>
        </w:rPr>
        <w:t xml:space="preserve"> VS</w:t>
      </w:r>
      <w:r w:rsidRPr="009E5CA3">
        <w:rPr>
          <w:rFonts w:eastAsia="Calibri" w:cs="Calibri"/>
          <w:b/>
          <w:lang w:val="es-ES"/>
        </w:rPr>
        <w:t>.</w:t>
      </w:r>
      <w:r w:rsidR="0011753B" w:rsidRPr="009E5CA3">
        <w:rPr>
          <w:rFonts w:eastAsia="Calibri" w:cs="Calibri"/>
          <w:b/>
          <w:lang w:val="es-ES"/>
        </w:rPr>
        <w:t xml:space="preserve"> </w:t>
      </w:r>
      <w:r w:rsidR="003F4868" w:rsidRPr="009E5CA3">
        <w:rPr>
          <w:rFonts w:eastAsia="Calibri" w:cs="Calibri"/>
          <w:b/>
          <w:lang w:val="es-ES"/>
        </w:rPr>
        <w:t>TRINIDAD Y TOBAGO</w:t>
      </w:r>
      <w:r w:rsidR="003F4868" w:rsidRPr="009E5CA3">
        <w:rPr>
          <w:rFonts w:eastAsia="Calibri" w:cs="Calibri"/>
          <w:b/>
          <w:lang w:val="es-ES"/>
        </w:rPr>
        <w:br/>
      </w:r>
    </w:p>
    <w:p w14:paraId="2311E322" w14:textId="2C90DDB0" w:rsidR="00616A72" w:rsidRPr="009E5CA3" w:rsidRDefault="00616A72" w:rsidP="00616A72">
      <w:pPr>
        <w:tabs>
          <w:tab w:val="left" w:pos="720"/>
        </w:tabs>
        <w:spacing w:line="240" w:lineRule="auto"/>
        <w:jc w:val="center"/>
        <w:rPr>
          <w:rFonts w:eastAsia="Calibri" w:cs="Verdana"/>
          <w:b/>
          <w:bCs/>
          <w:snapToGrid w:val="0"/>
          <w:lang w:val="es-ES" w:eastAsia="es-ES"/>
        </w:rPr>
      </w:pPr>
      <w:r w:rsidRPr="009E5CA3">
        <w:rPr>
          <w:rFonts w:eastAsia="Calibri" w:cs="Verdana"/>
          <w:b/>
          <w:bCs/>
          <w:snapToGrid w:val="0"/>
          <w:lang w:val="es-ES" w:eastAsia="es-ES"/>
        </w:rPr>
        <w:t xml:space="preserve">SENTENCIA DE </w:t>
      </w:r>
      <w:r w:rsidR="004D3507">
        <w:rPr>
          <w:rFonts w:eastAsia="Calibri" w:cs="Verdana"/>
          <w:b/>
          <w:bCs/>
          <w:snapToGrid w:val="0"/>
          <w:lang w:val="es-ES" w:eastAsia="es-ES"/>
        </w:rPr>
        <w:t>14</w:t>
      </w:r>
      <w:r w:rsidRPr="009E5CA3">
        <w:rPr>
          <w:rFonts w:eastAsia="Calibri" w:cs="Verdana"/>
          <w:b/>
          <w:bCs/>
          <w:snapToGrid w:val="0"/>
          <w:lang w:val="es-ES" w:eastAsia="es-ES"/>
        </w:rPr>
        <w:t xml:space="preserve"> DE </w:t>
      </w:r>
      <w:r w:rsidR="004D3507">
        <w:rPr>
          <w:rFonts w:eastAsia="Calibri" w:cs="Verdana"/>
          <w:b/>
          <w:bCs/>
          <w:snapToGrid w:val="0"/>
          <w:lang w:val="es-ES" w:eastAsia="es-ES"/>
        </w:rPr>
        <w:t>NOVIEMBRE</w:t>
      </w:r>
      <w:r w:rsidR="004D3507" w:rsidRPr="009E5CA3">
        <w:rPr>
          <w:rFonts w:eastAsia="Calibri" w:cs="Verdana"/>
          <w:b/>
          <w:bCs/>
          <w:snapToGrid w:val="0"/>
          <w:lang w:val="es-ES" w:eastAsia="es-ES"/>
        </w:rPr>
        <w:t xml:space="preserve"> </w:t>
      </w:r>
      <w:r w:rsidRPr="009E5CA3">
        <w:rPr>
          <w:rFonts w:eastAsia="Calibri" w:cs="Verdana"/>
          <w:b/>
          <w:bCs/>
          <w:snapToGrid w:val="0"/>
          <w:lang w:val="es-ES" w:eastAsia="es-ES"/>
        </w:rPr>
        <w:t xml:space="preserve">DE </w:t>
      </w:r>
      <w:r w:rsidR="003F4868" w:rsidRPr="009E5CA3">
        <w:rPr>
          <w:rFonts w:eastAsia="Calibri" w:cs="Verdana"/>
          <w:b/>
          <w:bCs/>
          <w:snapToGrid w:val="0"/>
          <w:lang w:val="es-ES" w:eastAsia="es-ES"/>
        </w:rPr>
        <w:t>2022</w:t>
      </w:r>
    </w:p>
    <w:p w14:paraId="0043624D" w14:textId="77777777" w:rsidR="00616A72" w:rsidRPr="009E5CA3" w:rsidRDefault="00616A72" w:rsidP="00616A72">
      <w:pPr>
        <w:tabs>
          <w:tab w:val="left" w:pos="720"/>
        </w:tabs>
        <w:spacing w:line="240" w:lineRule="auto"/>
        <w:jc w:val="center"/>
        <w:rPr>
          <w:rFonts w:eastAsia="Calibri" w:cs="Verdana"/>
          <w:b/>
          <w:bCs/>
          <w:caps/>
          <w:snapToGrid w:val="0"/>
          <w:lang w:val="es-ES" w:eastAsia="es-ES"/>
        </w:rPr>
      </w:pPr>
    </w:p>
    <w:p w14:paraId="341EDA5F" w14:textId="709E76CF" w:rsidR="00616A72" w:rsidRPr="009E5CA3" w:rsidRDefault="00616A72" w:rsidP="00616A72">
      <w:pPr>
        <w:tabs>
          <w:tab w:val="left" w:pos="720"/>
        </w:tabs>
        <w:spacing w:line="240" w:lineRule="auto"/>
        <w:jc w:val="center"/>
        <w:rPr>
          <w:rFonts w:eastAsia="Calibri" w:cs="Verdana"/>
          <w:b/>
          <w:bCs/>
          <w:i/>
          <w:iCs/>
          <w:snapToGrid w:val="0"/>
          <w:lang w:val="es-ES" w:eastAsia="es-ES"/>
        </w:rPr>
      </w:pPr>
      <w:r w:rsidRPr="009E5CA3">
        <w:rPr>
          <w:rFonts w:eastAsia="Calibri" w:cs="Verdana"/>
          <w:b/>
          <w:bCs/>
          <w:i/>
          <w:iCs/>
          <w:snapToGrid w:val="0"/>
          <w:lang w:val="es-ES" w:eastAsia="es-ES"/>
        </w:rPr>
        <w:t>(</w:t>
      </w:r>
      <w:r w:rsidR="007C2381" w:rsidRPr="009E5CA3">
        <w:rPr>
          <w:rFonts w:eastAsia="Calibri" w:cs="Verdana"/>
          <w:b/>
          <w:bCs/>
          <w:i/>
          <w:iCs/>
          <w:snapToGrid w:val="0"/>
          <w:lang w:val="es-ES" w:eastAsia="es-ES"/>
        </w:rPr>
        <w:t>F</w:t>
      </w:r>
      <w:r w:rsidR="0011753B" w:rsidRPr="009E5CA3">
        <w:rPr>
          <w:rFonts w:eastAsia="Calibri" w:cs="Verdana"/>
          <w:b/>
          <w:bCs/>
          <w:i/>
          <w:iCs/>
          <w:snapToGrid w:val="0"/>
          <w:lang w:val="es-ES" w:eastAsia="es-ES"/>
        </w:rPr>
        <w:t>ondo</w:t>
      </w:r>
      <w:r w:rsidR="00B57F41" w:rsidRPr="009E5CA3">
        <w:rPr>
          <w:rFonts w:eastAsia="Calibri" w:cs="Verdana"/>
          <w:b/>
          <w:bCs/>
          <w:i/>
          <w:iCs/>
          <w:snapToGrid w:val="0"/>
          <w:lang w:val="es-ES" w:eastAsia="es-ES"/>
        </w:rPr>
        <w:t xml:space="preserve"> y </w:t>
      </w:r>
      <w:r w:rsidR="007C2381" w:rsidRPr="009E5CA3">
        <w:rPr>
          <w:rFonts w:eastAsia="Calibri" w:cs="Verdana"/>
          <w:b/>
          <w:bCs/>
          <w:i/>
          <w:iCs/>
          <w:snapToGrid w:val="0"/>
          <w:lang w:val="es-ES" w:eastAsia="es-ES"/>
        </w:rPr>
        <w:t>R</w:t>
      </w:r>
      <w:r w:rsidR="0011753B" w:rsidRPr="009E5CA3">
        <w:rPr>
          <w:rFonts w:eastAsia="Calibri" w:cs="Verdana"/>
          <w:b/>
          <w:bCs/>
          <w:i/>
          <w:iCs/>
          <w:snapToGrid w:val="0"/>
          <w:lang w:val="es-ES" w:eastAsia="es-ES"/>
        </w:rPr>
        <w:t>eparaciones</w:t>
      </w:r>
      <w:r w:rsidRPr="009E5CA3">
        <w:rPr>
          <w:rFonts w:eastAsia="Calibri" w:cs="Verdana"/>
          <w:b/>
          <w:bCs/>
          <w:i/>
          <w:iCs/>
          <w:snapToGrid w:val="0"/>
          <w:lang w:val="es-ES" w:eastAsia="es-ES"/>
        </w:rPr>
        <w:t>)</w:t>
      </w:r>
    </w:p>
    <w:p w14:paraId="627FF98B" w14:textId="77777777" w:rsidR="00A14488" w:rsidRPr="009E5CA3" w:rsidRDefault="00A14488" w:rsidP="00616A72">
      <w:pPr>
        <w:tabs>
          <w:tab w:val="left" w:pos="720"/>
        </w:tabs>
        <w:spacing w:line="240" w:lineRule="auto"/>
        <w:jc w:val="center"/>
        <w:rPr>
          <w:rFonts w:eastAsia="Calibri" w:cs="Verdana"/>
          <w:b/>
          <w:bCs/>
          <w:i/>
          <w:iCs/>
          <w:snapToGrid w:val="0"/>
          <w:lang w:val="es-ES" w:eastAsia="es-ES"/>
        </w:rPr>
      </w:pPr>
    </w:p>
    <w:p w14:paraId="3FF213D3" w14:textId="77777777" w:rsidR="003B2626" w:rsidRPr="009E5CA3" w:rsidRDefault="003B2626" w:rsidP="00616A72">
      <w:pPr>
        <w:tabs>
          <w:tab w:val="left" w:pos="720"/>
        </w:tabs>
        <w:spacing w:line="240" w:lineRule="auto"/>
        <w:rPr>
          <w:rFonts w:eastAsia="Verdana" w:cs="Verdana"/>
          <w:lang w:val="es-ES"/>
        </w:rPr>
      </w:pPr>
    </w:p>
    <w:p w14:paraId="51A2CD4A" w14:textId="511FEAD1" w:rsidR="00616A72" w:rsidRPr="009E5CA3" w:rsidRDefault="00616A72" w:rsidP="00616A72">
      <w:pPr>
        <w:tabs>
          <w:tab w:val="left" w:pos="720"/>
        </w:tabs>
        <w:spacing w:line="240" w:lineRule="auto"/>
        <w:rPr>
          <w:rFonts w:eastAsia="Verdana" w:cs="Verdana"/>
          <w:i/>
          <w:lang w:val="es-ES"/>
        </w:rPr>
      </w:pPr>
      <w:r w:rsidRPr="009E5CA3">
        <w:rPr>
          <w:rFonts w:eastAsia="Verdana" w:cs="Verdana"/>
          <w:lang w:val="es-ES"/>
        </w:rPr>
        <w:t xml:space="preserve">En el caso </w:t>
      </w:r>
      <w:proofErr w:type="spellStart"/>
      <w:r w:rsidR="003D221C" w:rsidRPr="009E5CA3">
        <w:rPr>
          <w:rFonts w:eastAsia="Verdana" w:cs="Verdana"/>
          <w:i/>
          <w:lang w:val="es-ES"/>
        </w:rPr>
        <w:t>Bissoon</w:t>
      </w:r>
      <w:proofErr w:type="spellEnd"/>
      <w:r w:rsidR="003F4868" w:rsidRPr="009E5CA3">
        <w:rPr>
          <w:rFonts w:eastAsia="Verdana" w:cs="Verdana"/>
          <w:i/>
          <w:lang w:val="es-ES"/>
        </w:rPr>
        <w:t xml:space="preserve"> y otro</w:t>
      </w:r>
      <w:r w:rsidR="0011753B" w:rsidRPr="009E5CA3">
        <w:rPr>
          <w:rFonts w:eastAsia="Verdana" w:cs="Verdana"/>
          <w:i/>
          <w:lang w:val="es-ES"/>
        </w:rPr>
        <w:t xml:space="preserve"> Vs. </w:t>
      </w:r>
      <w:r w:rsidR="003F4868" w:rsidRPr="009E5CA3">
        <w:rPr>
          <w:rFonts w:eastAsia="Verdana" w:cs="Verdana"/>
          <w:i/>
          <w:lang w:val="es-ES"/>
        </w:rPr>
        <w:t>Trinidad y Tobago</w:t>
      </w:r>
      <w:r w:rsidRPr="009E5CA3">
        <w:rPr>
          <w:rFonts w:eastAsia="Verdana" w:cs="Verdana"/>
          <w:lang w:val="es-ES"/>
        </w:rPr>
        <w:t>,</w:t>
      </w:r>
    </w:p>
    <w:p w14:paraId="6DAA67EC" w14:textId="77777777" w:rsidR="00616A72" w:rsidRPr="009E5CA3" w:rsidRDefault="00616A72" w:rsidP="00616A72">
      <w:pPr>
        <w:spacing w:before="4" w:line="240" w:lineRule="exact"/>
        <w:rPr>
          <w:rFonts w:eastAsia="Calibri"/>
          <w:lang w:val="es-ES"/>
        </w:rPr>
      </w:pPr>
    </w:p>
    <w:p w14:paraId="3D61B2FC" w14:textId="0CD70216" w:rsidR="00616A72" w:rsidRPr="009E5CA3" w:rsidRDefault="00616A72" w:rsidP="00616A72">
      <w:pPr>
        <w:tabs>
          <w:tab w:val="left" w:pos="720"/>
        </w:tabs>
        <w:spacing w:line="240" w:lineRule="auto"/>
        <w:rPr>
          <w:rFonts w:eastAsia="Calibri" w:cs="Verdana"/>
          <w:lang w:val="es-ES"/>
        </w:rPr>
      </w:pPr>
      <w:r w:rsidRPr="009E5CA3">
        <w:rPr>
          <w:rFonts w:eastAsia="Calibri" w:cs="Verdana"/>
          <w:lang w:val="es-ES"/>
        </w:rPr>
        <w:t>la Corte Interamericana de Derechos Humanos (en adelante “la Corte Interamericana”, “la Corte” o “este Tribunal”), integrada por los siguientes jueces:</w:t>
      </w:r>
      <w:r w:rsidRPr="009E5CA3">
        <w:rPr>
          <w:rFonts w:eastAsia="Calibri" w:cs="Verdana"/>
          <w:lang w:val="es-ES"/>
        </w:rPr>
        <w:tab/>
      </w:r>
    </w:p>
    <w:p w14:paraId="681C36E6" w14:textId="77777777" w:rsidR="00616A72" w:rsidRPr="009E5CA3" w:rsidRDefault="00616A72" w:rsidP="00616A72">
      <w:pPr>
        <w:tabs>
          <w:tab w:val="left" w:pos="720"/>
        </w:tabs>
        <w:spacing w:line="240" w:lineRule="auto"/>
        <w:rPr>
          <w:rFonts w:eastAsia="Calibri" w:cs="Verdana"/>
          <w:lang w:val="es-ES"/>
        </w:rPr>
      </w:pPr>
    </w:p>
    <w:p w14:paraId="1D730F17" w14:textId="67AAD025" w:rsidR="00616A72" w:rsidRPr="009E5CA3" w:rsidRDefault="0011753B" w:rsidP="00616A72">
      <w:pPr>
        <w:tabs>
          <w:tab w:val="left" w:pos="720"/>
        </w:tabs>
        <w:spacing w:line="240" w:lineRule="auto"/>
        <w:rPr>
          <w:rFonts w:eastAsia="Calibri" w:cs="Verdana"/>
          <w:lang w:val="es-ES"/>
        </w:rPr>
      </w:pPr>
      <w:r w:rsidRPr="009E5CA3">
        <w:rPr>
          <w:rFonts w:eastAsia="Calibri" w:cs="Verdana"/>
          <w:lang w:val="es-ES"/>
        </w:rPr>
        <w:t>Ricardo</w:t>
      </w:r>
      <w:r w:rsidR="00E25FD4" w:rsidRPr="009E5CA3">
        <w:rPr>
          <w:rFonts w:eastAsia="Calibri" w:cs="Verdana"/>
          <w:lang w:val="es-ES"/>
        </w:rPr>
        <w:t xml:space="preserve"> C.</w:t>
      </w:r>
      <w:r w:rsidRPr="009E5CA3">
        <w:rPr>
          <w:rFonts w:eastAsia="Calibri" w:cs="Verdana"/>
          <w:lang w:val="es-ES"/>
        </w:rPr>
        <w:t xml:space="preserve"> Pérez Manrique</w:t>
      </w:r>
      <w:r w:rsidR="00616A72" w:rsidRPr="009E5CA3">
        <w:rPr>
          <w:rFonts w:eastAsia="Calibri" w:cs="Verdana"/>
          <w:lang w:val="es-ES"/>
        </w:rPr>
        <w:t>, President</w:t>
      </w:r>
      <w:r w:rsidRPr="009E5CA3">
        <w:rPr>
          <w:rFonts w:eastAsia="Calibri" w:cs="Verdana"/>
          <w:lang w:val="es-ES"/>
        </w:rPr>
        <w:t>e</w:t>
      </w:r>
      <w:r w:rsidR="00616A72" w:rsidRPr="009E5CA3">
        <w:rPr>
          <w:rFonts w:eastAsia="Calibri" w:cs="Verdana"/>
          <w:lang w:val="es-ES"/>
        </w:rPr>
        <w:t>;</w:t>
      </w:r>
    </w:p>
    <w:p w14:paraId="022AA959" w14:textId="14AC11DE" w:rsidR="0011753B" w:rsidRPr="009E5CA3" w:rsidRDefault="0011753B" w:rsidP="0011753B">
      <w:pPr>
        <w:tabs>
          <w:tab w:val="left" w:pos="720"/>
        </w:tabs>
        <w:spacing w:line="240" w:lineRule="auto"/>
        <w:rPr>
          <w:rFonts w:eastAsia="Calibri" w:cs="Verdana"/>
          <w:lang w:val="es-ES"/>
        </w:rPr>
      </w:pPr>
      <w:r w:rsidRPr="009E5CA3">
        <w:rPr>
          <w:rFonts w:eastAsia="Calibri" w:cs="Verdana"/>
          <w:lang w:val="es-ES"/>
        </w:rPr>
        <w:t>Humberto Antonio Sierra Porto, Vicepresidente;</w:t>
      </w:r>
    </w:p>
    <w:p w14:paraId="745F403D" w14:textId="2F77AD55" w:rsidR="00616A72" w:rsidRPr="009E5CA3" w:rsidRDefault="00616A72" w:rsidP="00616A72">
      <w:pPr>
        <w:tabs>
          <w:tab w:val="left" w:pos="720"/>
        </w:tabs>
        <w:spacing w:line="240" w:lineRule="auto"/>
        <w:rPr>
          <w:rFonts w:eastAsia="Calibri" w:cs="Verdana"/>
          <w:lang w:val="es-ES"/>
        </w:rPr>
      </w:pPr>
      <w:r w:rsidRPr="009E5CA3">
        <w:rPr>
          <w:rFonts w:eastAsia="Calibri" w:cs="Verdana"/>
          <w:lang w:val="es-ES"/>
        </w:rPr>
        <w:t>Eduardo Ferrer Mac-Gregor Poisot</w:t>
      </w:r>
      <w:r w:rsidR="00197A72" w:rsidRPr="009E5CA3">
        <w:rPr>
          <w:rFonts w:eastAsia="Calibri" w:cs="Verdana"/>
          <w:lang w:val="es-ES"/>
        </w:rPr>
        <w:t>, Juez;</w:t>
      </w:r>
    </w:p>
    <w:p w14:paraId="1D415738" w14:textId="7DAB7B50" w:rsidR="003F4868" w:rsidRPr="009E5CA3" w:rsidRDefault="003F4868" w:rsidP="00616A72">
      <w:pPr>
        <w:tabs>
          <w:tab w:val="left" w:pos="720"/>
        </w:tabs>
        <w:spacing w:line="240" w:lineRule="auto"/>
        <w:rPr>
          <w:rFonts w:eastAsia="Calibri" w:cs="Verdana"/>
          <w:lang w:val="es-ES"/>
        </w:rPr>
      </w:pPr>
      <w:r w:rsidRPr="009E5CA3">
        <w:rPr>
          <w:rFonts w:eastAsia="Calibri" w:cs="Verdana"/>
          <w:lang w:val="es-ES"/>
        </w:rPr>
        <w:t>Nancy Hernández López, Jueza;</w:t>
      </w:r>
    </w:p>
    <w:p w14:paraId="53F87FE0" w14:textId="7E03B823" w:rsidR="0065157B" w:rsidRPr="009E5CA3" w:rsidRDefault="0011753B" w:rsidP="00616A72">
      <w:pPr>
        <w:tabs>
          <w:tab w:val="left" w:pos="720"/>
        </w:tabs>
        <w:spacing w:line="240" w:lineRule="auto"/>
        <w:rPr>
          <w:rFonts w:eastAsia="Calibri" w:cs="Verdana"/>
          <w:lang w:val="es-ES"/>
        </w:rPr>
      </w:pPr>
      <w:r w:rsidRPr="009E5CA3">
        <w:rPr>
          <w:rFonts w:eastAsia="Calibri" w:cs="Verdana"/>
          <w:lang w:val="es-ES"/>
        </w:rPr>
        <w:t>Verónica Gómez, Jueza;</w:t>
      </w:r>
    </w:p>
    <w:p w14:paraId="69EE5DD9" w14:textId="77777777" w:rsidR="0011753B" w:rsidRPr="009E5CA3" w:rsidRDefault="0011753B" w:rsidP="00616A72">
      <w:pPr>
        <w:tabs>
          <w:tab w:val="left" w:pos="720"/>
        </w:tabs>
        <w:spacing w:line="240" w:lineRule="auto"/>
        <w:rPr>
          <w:rFonts w:eastAsia="Calibri" w:cs="Verdana"/>
          <w:lang w:val="es-ES"/>
        </w:rPr>
      </w:pPr>
      <w:r w:rsidRPr="009E5CA3">
        <w:rPr>
          <w:rFonts w:eastAsia="Calibri" w:cs="Verdana"/>
          <w:lang w:val="es-ES"/>
        </w:rPr>
        <w:t>Patricia Pérez Goldberg, Jueza y</w:t>
      </w:r>
    </w:p>
    <w:p w14:paraId="6FBBFFFD" w14:textId="4DB87763" w:rsidR="0011753B" w:rsidRPr="00862269" w:rsidRDefault="0011753B" w:rsidP="00616A72">
      <w:pPr>
        <w:tabs>
          <w:tab w:val="left" w:pos="720"/>
        </w:tabs>
        <w:spacing w:line="240" w:lineRule="auto"/>
        <w:rPr>
          <w:rFonts w:eastAsia="Calibri" w:cs="Verdana"/>
        </w:rPr>
      </w:pPr>
      <w:r w:rsidRPr="00862269">
        <w:rPr>
          <w:rFonts w:eastAsia="Calibri" w:cs="Verdana"/>
        </w:rPr>
        <w:t>Rodrigo de Bittencourt Mudrovitsch, Juez</w:t>
      </w:r>
      <w:r w:rsidR="00BD3684" w:rsidRPr="00862269">
        <w:rPr>
          <w:rFonts w:eastAsia="Calibri" w:cs="Verdana"/>
        </w:rPr>
        <w:t>;</w:t>
      </w:r>
      <w:r w:rsidRPr="00862269">
        <w:rPr>
          <w:rFonts w:eastAsia="Calibri" w:cs="Verdana"/>
        </w:rPr>
        <w:t xml:space="preserve"> </w:t>
      </w:r>
    </w:p>
    <w:p w14:paraId="18D127A3" w14:textId="2AEA6A0A" w:rsidR="004E08C1" w:rsidRPr="00862269" w:rsidRDefault="004E08C1" w:rsidP="00616A72">
      <w:pPr>
        <w:tabs>
          <w:tab w:val="left" w:pos="720"/>
        </w:tabs>
        <w:spacing w:line="240" w:lineRule="auto"/>
        <w:rPr>
          <w:rFonts w:eastAsia="Calibri" w:cs="Verdana"/>
        </w:rPr>
      </w:pPr>
    </w:p>
    <w:p w14:paraId="22A79609" w14:textId="77777777" w:rsidR="00616A72" w:rsidRPr="00862269" w:rsidRDefault="00616A72" w:rsidP="00616A72">
      <w:pPr>
        <w:tabs>
          <w:tab w:val="left" w:pos="720"/>
        </w:tabs>
        <w:spacing w:line="240" w:lineRule="auto"/>
        <w:rPr>
          <w:rFonts w:eastAsia="Calibri" w:cs="Verdana"/>
        </w:rPr>
      </w:pPr>
    </w:p>
    <w:p w14:paraId="1233A952" w14:textId="3F111A9C" w:rsidR="00616A72" w:rsidRPr="009E5CA3" w:rsidRDefault="00616A72" w:rsidP="00616A72">
      <w:pPr>
        <w:tabs>
          <w:tab w:val="left" w:pos="720"/>
        </w:tabs>
        <w:spacing w:line="240" w:lineRule="auto"/>
        <w:rPr>
          <w:rFonts w:eastAsia="Calibri" w:cs="Verdana"/>
          <w:lang w:val="es-ES"/>
        </w:rPr>
      </w:pPr>
      <w:r w:rsidRPr="009E5CA3">
        <w:rPr>
          <w:rFonts w:eastAsia="Calibri" w:cs="Verdana"/>
          <w:lang w:val="es-ES"/>
        </w:rPr>
        <w:t>presente</w:t>
      </w:r>
      <w:r w:rsidR="009B1A98" w:rsidRPr="009E5CA3">
        <w:rPr>
          <w:rFonts w:eastAsia="Calibri" w:cs="Verdana"/>
          <w:lang w:val="es-ES"/>
        </w:rPr>
        <w:t>s</w:t>
      </w:r>
      <w:r w:rsidR="00BD3684" w:rsidRPr="009E5CA3">
        <w:rPr>
          <w:rFonts w:eastAsia="Calibri" w:cs="Verdana"/>
          <w:lang w:val="es-ES"/>
        </w:rPr>
        <w:t>,</w:t>
      </w:r>
      <w:r w:rsidRPr="009E5CA3">
        <w:rPr>
          <w:rFonts w:eastAsia="Calibri" w:cs="Verdana"/>
          <w:lang w:val="es-ES"/>
        </w:rPr>
        <w:t xml:space="preserve"> además,</w:t>
      </w:r>
    </w:p>
    <w:p w14:paraId="62F35E4B" w14:textId="77777777" w:rsidR="00616A72" w:rsidRPr="009E5CA3" w:rsidRDefault="00616A72" w:rsidP="00616A72">
      <w:pPr>
        <w:tabs>
          <w:tab w:val="left" w:pos="720"/>
        </w:tabs>
        <w:spacing w:line="240" w:lineRule="auto"/>
        <w:rPr>
          <w:rFonts w:eastAsia="Calibri" w:cs="Verdana"/>
          <w:lang w:val="es-ES"/>
        </w:rPr>
      </w:pPr>
    </w:p>
    <w:p w14:paraId="2D75433B" w14:textId="77777777" w:rsidR="00616A72" w:rsidRPr="009E5CA3" w:rsidRDefault="00616A72" w:rsidP="00616A72">
      <w:pPr>
        <w:tabs>
          <w:tab w:val="left" w:pos="720"/>
        </w:tabs>
        <w:spacing w:line="240" w:lineRule="auto"/>
        <w:rPr>
          <w:rFonts w:eastAsia="Calibri" w:cs="Verdana"/>
          <w:lang w:val="es-ES"/>
        </w:rPr>
      </w:pPr>
      <w:r w:rsidRPr="009E5CA3">
        <w:rPr>
          <w:rFonts w:eastAsia="Calibri" w:cs="Verdana"/>
          <w:lang w:val="es-ES"/>
        </w:rPr>
        <w:t xml:space="preserve">Pablo Saavedra Alessandri, Secretario, y </w:t>
      </w:r>
    </w:p>
    <w:p w14:paraId="06A0FC10" w14:textId="0ECB5B00" w:rsidR="00616A72" w:rsidRPr="009E5CA3" w:rsidRDefault="00616A72" w:rsidP="00616A72">
      <w:pPr>
        <w:tabs>
          <w:tab w:val="left" w:pos="720"/>
        </w:tabs>
        <w:spacing w:line="240" w:lineRule="auto"/>
        <w:rPr>
          <w:rFonts w:eastAsia="Calibri" w:cs="Verdana"/>
          <w:lang w:val="es-ES"/>
        </w:rPr>
      </w:pPr>
      <w:r w:rsidRPr="009E5CA3">
        <w:rPr>
          <w:rFonts w:eastAsia="Calibri" w:cs="Verdana"/>
          <w:lang w:val="es-ES"/>
        </w:rPr>
        <w:t>Romina I. Sijniensky, Secretaria Adjunta</w:t>
      </w:r>
      <w:r w:rsidR="009B1A98" w:rsidRPr="009E5CA3">
        <w:rPr>
          <w:rFonts w:eastAsia="Calibri" w:cs="Verdana"/>
          <w:lang w:val="es-ES"/>
        </w:rPr>
        <w:t>,</w:t>
      </w:r>
      <w:r w:rsidR="00B23B67" w:rsidRPr="009E5CA3">
        <w:rPr>
          <w:rFonts w:eastAsia="Calibri" w:cs="Verdana"/>
          <w:lang w:val="es-ES"/>
        </w:rPr>
        <w:t xml:space="preserve"> </w:t>
      </w:r>
    </w:p>
    <w:p w14:paraId="68F2AC2E" w14:textId="77777777" w:rsidR="00616A72" w:rsidRPr="009E5CA3" w:rsidRDefault="00616A72" w:rsidP="00616A72">
      <w:pPr>
        <w:tabs>
          <w:tab w:val="left" w:pos="720"/>
        </w:tabs>
        <w:spacing w:line="240" w:lineRule="auto"/>
        <w:rPr>
          <w:rFonts w:eastAsia="Calibri" w:cs="Verdana"/>
          <w:lang w:val="es-ES"/>
        </w:rPr>
      </w:pPr>
    </w:p>
    <w:p w14:paraId="40C44DA8" w14:textId="411EA984" w:rsidR="00616A72" w:rsidRPr="009E5CA3" w:rsidRDefault="00616A72" w:rsidP="00616A72">
      <w:pPr>
        <w:tabs>
          <w:tab w:val="left" w:pos="720"/>
        </w:tabs>
        <w:spacing w:line="240" w:lineRule="auto"/>
        <w:rPr>
          <w:rFonts w:eastAsia="Calibri" w:cs="Verdana"/>
          <w:lang w:val="es-ES"/>
        </w:rPr>
      </w:pPr>
      <w:r w:rsidRPr="009E5CA3">
        <w:rPr>
          <w:rFonts w:eastAsia="Calibri" w:cs="Verdana"/>
          <w:lang w:val="es-ES"/>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14:paraId="5059F602" w14:textId="77777777" w:rsidR="00835EDE" w:rsidRPr="009E5CA3" w:rsidRDefault="00835EDE" w:rsidP="00616A72">
      <w:pPr>
        <w:tabs>
          <w:tab w:val="left" w:pos="720"/>
        </w:tabs>
        <w:spacing w:line="240" w:lineRule="auto"/>
        <w:rPr>
          <w:rFonts w:eastAsia="Calibri" w:cs="Verdana"/>
          <w:lang w:val="es-ES"/>
        </w:rPr>
      </w:pPr>
    </w:p>
    <w:p w14:paraId="14E54B51" w14:textId="7D513697" w:rsidR="00BB4425" w:rsidRPr="009E5CA3" w:rsidRDefault="00BB4425">
      <w:pPr>
        <w:widowControl/>
        <w:adjustRightInd/>
        <w:spacing w:after="160" w:line="259" w:lineRule="auto"/>
        <w:jc w:val="left"/>
        <w:textAlignment w:val="auto"/>
        <w:rPr>
          <w:rFonts w:eastAsia="Calibri"/>
          <w:lang w:val="es-ES"/>
        </w:rPr>
      </w:pPr>
      <w:r w:rsidRPr="009E5CA3">
        <w:rPr>
          <w:rFonts w:eastAsia="Calibri"/>
          <w:lang w:val="es-ES"/>
        </w:rPr>
        <w:br w:type="page"/>
      </w:r>
    </w:p>
    <w:sdt>
      <w:sdtPr>
        <w:rPr>
          <w:b/>
          <w:bCs/>
          <w:caps/>
          <w:lang w:val="es-ES"/>
        </w:rPr>
        <w:id w:val="1909802414"/>
        <w:docPartObj>
          <w:docPartGallery w:val="Table of Contents"/>
          <w:docPartUnique/>
        </w:docPartObj>
      </w:sdtPr>
      <w:sdtEndPr>
        <w:rPr>
          <w:b w:val="0"/>
          <w:bCs w:val="0"/>
          <w:caps w:val="0"/>
        </w:rPr>
      </w:sdtEndPr>
      <w:sdtContent>
        <w:p w14:paraId="7CE5EB70" w14:textId="03AB8E01" w:rsidR="00D364AD" w:rsidRPr="009E5CA3" w:rsidRDefault="00D364AD" w:rsidP="00D364AD">
          <w:pPr>
            <w:widowControl/>
            <w:adjustRightInd/>
            <w:spacing w:before="240" w:after="480" w:line="240" w:lineRule="auto"/>
            <w:jc w:val="center"/>
            <w:textAlignment w:val="auto"/>
            <w:rPr>
              <w:rFonts w:eastAsia="Calibri"/>
              <w:b/>
              <w:bCs/>
              <w:lang w:val="es-ES"/>
            </w:rPr>
          </w:pPr>
          <w:r w:rsidRPr="009E5CA3">
            <w:rPr>
              <w:rFonts w:eastAsia="Calibri"/>
              <w:b/>
              <w:bCs/>
              <w:lang w:val="es-ES"/>
            </w:rPr>
            <w:t>TABLA DE CONTENIDO</w:t>
          </w:r>
        </w:p>
        <w:p w14:paraId="64B8178E" w14:textId="621BDE3C" w:rsidR="001D1FF1" w:rsidRDefault="00616A72">
          <w:pPr>
            <w:pStyle w:val="TDC1"/>
            <w:rPr>
              <w:rFonts w:asciiTheme="minorHAnsi" w:eastAsiaTheme="minorEastAsia" w:hAnsiTheme="minorHAnsi" w:cstheme="minorBidi"/>
              <w:b w:val="0"/>
              <w:sz w:val="22"/>
              <w:szCs w:val="22"/>
            </w:rPr>
          </w:pPr>
          <w:r w:rsidRPr="009E5CA3">
            <w:rPr>
              <w:rFonts w:cs="Verdana"/>
              <w:caps/>
              <w:noProof w:val="0"/>
              <w:snapToGrid w:val="0"/>
              <w:lang w:val="es-ES" w:eastAsia="ja-JP"/>
            </w:rPr>
            <w:fldChar w:fldCharType="begin"/>
          </w:r>
          <w:r w:rsidRPr="009E5CA3">
            <w:rPr>
              <w:lang w:val="es-ES"/>
            </w:rPr>
            <w:instrText xml:space="preserve"> TOC \o "1-3" \h \z \u </w:instrText>
          </w:r>
          <w:r w:rsidRPr="009E5CA3">
            <w:rPr>
              <w:rFonts w:cs="Verdana"/>
              <w:caps/>
              <w:noProof w:val="0"/>
              <w:snapToGrid w:val="0"/>
              <w:lang w:val="es-ES" w:eastAsia="ja-JP"/>
            </w:rPr>
            <w:fldChar w:fldCharType="separate"/>
          </w:r>
          <w:hyperlink w:anchor="_Toc120891044" w:history="1">
            <w:r w:rsidR="001D1FF1" w:rsidRPr="00844D01">
              <w:rPr>
                <w:rStyle w:val="Hipervnculo"/>
                <w:lang w:val="es-ES"/>
              </w:rPr>
              <w:t>I INTRODUCCIÓN DE LA CAUSA Y OBJETO DE LA CONTROVERSIA</w:t>
            </w:r>
            <w:r w:rsidR="001D1FF1">
              <w:rPr>
                <w:webHidden/>
              </w:rPr>
              <w:tab/>
            </w:r>
            <w:r w:rsidR="001D1FF1">
              <w:rPr>
                <w:webHidden/>
              </w:rPr>
              <w:fldChar w:fldCharType="begin"/>
            </w:r>
            <w:r w:rsidR="001D1FF1">
              <w:rPr>
                <w:webHidden/>
              </w:rPr>
              <w:instrText xml:space="preserve"> PAGEREF _Toc120891044 \h </w:instrText>
            </w:r>
            <w:r w:rsidR="001D1FF1">
              <w:rPr>
                <w:webHidden/>
              </w:rPr>
            </w:r>
            <w:r w:rsidR="001D1FF1">
              <w:rPr>
                <w:webHidden/>
              </w:rPr>
              <w:fldChar w:fldCharType="separate"/>
            </w:r>
            <w:r w:rsidR="00846E0D">
              <w:rPr>
                <w:webHidden/>
              </w:rPr>
              <w:t>3</w:t>
            </w:r>
            <w:r w:rsidR="001D1FF1">
              <w:rPr>
                <w:webHidden/>
              </w:rPr>
              <w:fldChar w:fldCharType="end"/>
            </w:r>
          </w:hyperlink>
        </w:p>
        <w:p w14:paraId="056C9634" w14:textId="6EC5FA96" w:rsidR="001D1FF1" w:rsidRDefault="00000000">
          <w:pPr>
            <w:pStyle w:val="TDC1"/>
            <w:rPr>
              <w:rFonts w:asciiTheme="minorHAnsi" w:eastAsiaTheme="minorEastAsia" w:hAnsiTheme="minorHAnsi" w:cstheme="minorBidi"/>
              <w:b w:val="0"/>
              <w:sz w:val="22"/>
              <w:szCs w:val="22"/>
            </w:rPr>
          </w:pPr>
          <w:hyperlink w:anchor="_Toc120891045" w:history="1">
            <w:r w:rsidR="001D1FF1" w:rsidRPr="00844D01">
              <w:rPr>
                <w:rStyle w:val="Hipervnculo"/>
                <w:lang w:val="es-ES"/>
              </w:rPr>
              <w:t>II PROCEDIMIENTO ANTE LA CORTE</w:t>
            </w:r>
            <w:r w:rsidR="001D1FF1">
              <w:rPr>
                <w:webHidden/>
              </w:rPr>
              <w:tab/>
            </w:r>
            <w:r w:rsidR="001D1FF1">
              <w:rPr>
                <w:webHidden/>
              </w:rPr>
              <w:fldChar w:fldCharType="begin"/>
            </w:r>
            <w:r w:rsidR="001D1FF1">
              <w:rPr>
                <w:webHidden/>
              </w:rPr>
              <w:instrText xml:space="preserve"> PAGEREF _Toc120891045 \h </w:instrText>
            </w:r>
            <w:r w:rsidR="001D1FF1">
              <w:rPr>
                <w:webHidden/>
              </w:rPr>
            </w:r>
            <w:r w:rsidR="001D1FF1">
              <w:rPr>
                <w:webHidden/>
              </w:rPr>
              <w:fldChar w:fldCharType="separate"/>
            </w:r>
            <w:r w:rsidR="00846E0D">
              <w:rPr>
                <w:webHidden/>
              </w:rPr>
              <w:t>4</w:t>
            </w:r>
            <w:r w:rsidR="001D1FF1">
              <w:rPr>
                <w:webHidden/>
              </w:rPr>
              <w:fldChar w:fldCharType="end"/>
            </w:r>
          </w:hyperlink>
        </w:p>
        <w:p w14:paraId="31CB06C8" w14:textId="62F6882C" w:rsidR="001D1FF1" w:rsidRDefault="00000000">
          <w:pPr>
            <w:pStyle w:val="TDC1"/>
            <w:rPr>
              <w:rFonts w:asciiTheme="minorHAnsi" w:eastAsiaTheme="minorEastAsia" w:hAnsiTheme="minorHAnsi" w:cstheme="minorBidi"/>
              <w:b w:val="0"/>
              <w:sz w:val="22"/>
              <w:szCs w:val="22"/>
            </w:rPr>
          </w:pPr>
          <w:hyperlink w:anchor="_Toc120891046" w:history="1">
            <w:r w:rsidR="001D1FF1" w:rsidRPr="00844D01">
              <w:rPr>
                <w:rStyle w:val="Hipervnculo"/>
                <w:lang w:val="es-ES"/>
              </w:rPr>
              <w:t>III COMPETENCIA</w:t>
            </w:r>
            <w:r w:rsidR="001D1FF1">
              <w:rPr>
                <w:webHidden/>
              </w:rPr>
              <w:tab/>
            </w:r>
            <w:r w:rsidR="001D1FF1">
              <w:rPr>
                <w:webHidden/>
              </w:rPr>
              <w:fldChar w:fldCharType="begin"/>
            </w:r>
            <w:r w:rsidR="001D1FF1">
              <w:rPr>
                <w:webHidden/>
              </w:rPr>
              <w:instrText xml:space="preserve"> PAGEREF _Toc120891046 \h </w:instrText>
            </w:r>
            <w:r w:rsidR="001D1FF1">
              <w:rPr>
                <w:webHidden/>
              </w:rPr>
            </w:r>
            <w:r w:rsidR="001D1FF1">
              <w:rPr>
                <w:webHidden/>
              </w:rPr>
              <w:fldChar w:fldCharType="separate"/>
            </w:r>
            <w:r w:rsidR="00846E0D">
              <w:rPr>
                <w:webHidden/>
              </w:rPr>
              <w:t>5</w:t>
            </w:r>
            <w:r w:rsidR="001D1FF1">
              <w:rPr>
                <w:webHidden/>
              </w:rPr>
              <w:fldChar w:fldCharType="end"/>
            </w:r>
          </w:hyperlink>
        </w:p>
        <w:p w14:paraId="54D001D8" w14:textId="04C14562" w:rsidR="001D1FF1" w:rsidRDefault="00000000">
          <w:pPr>
            <w:pStyle w:val="TDC1"/>
            <w:rPr>
              <w:rFonts w:asciiTheme="minorHAnsi" w:eastAsiaTheme="minorEastAsia" w:hAnsiTheme="minorHAnsi" w:cstheme="minorBidi"/>
              <w:b w:val="0"/>
              <w:sz w:val="22"/>
              <w:szCs w:val="22"/>
            </w:rPr>
          </w:pPr>
          <w:hyperlink w:anchor="_Toc120891047" w:history="1">
            <w:r w:rsidR="001D1FF1" w:rsidRPr="00844D01">
              <w:rPr>
                <w:rStyle w:val="Hipervnculo"/>
                <w:lang w:val="es-ES"/>
              </w:rPr>
              <w:t>IV PRUEBA</w:t>
            </w:r>
            <w:r w:rsidR="001D1FF1">
              <w:rPr>
                <w:webHidden/>
              </w:rPr>
              <w:tab/>
            </w:r>
            <w:r w:rsidR="001D1FF1">
              <w:rPr>
                <w:webHidden/>
              </w:rPr>
              <w:fldChar w:fldCharType="begin"/>
            </w:r>
            <w:r w:rsidR="001D1FF1">
              <w:rPr>
                <w:webHidden/>
              </w:rPr>
              <w:instrText xml:space="preserve"> PAGEREF _Toc120891047 \h </w:instrText>
            </w:r>
            <w:r w:rsidR="001D1FF1">
              <w:rPr>
                <w:webHidden/>
              </w:rPr>
            </w:r>
            <w:r w:rsidR="001D1FF1">
              <w:rPr>
                <w:webHidden/>
              </w:rPr>
              <w:fldChar w:fldCharType="separate"/>
            </w:r>
            <w:r w:rsidR="00846E0D">
              <w:rPr>
                <w:webHidden/>
              </w:rPr>
              <w:t>6</w:t>
            </w:r>
            <w:r w:rsidR="001D1FF1">
              <w:rPr>
                <w:webHidden/>
              </w:rPr>
              <w:fldChar w:fldCharType="end"/>
            </w:r>
          </w:hyperlink>
        </w:p>
        <w:p w14:paraId="4AE3977B" w14:textId="6E02B6CD" w:rsidR="001D1FF1" w:rsidRDefault="00000000">
          <w:pPr>
            <w:pStyle w:val="TDC2"/>
            <w:rPr>
              <w:rFonts w:asciiTheme="minorHAnsi" w:eastAsiaTheme="minorEastAsia" w:hAnsiTheme="minorHAnsi" w:cstheme="minorBidi"/>
              <w:noProof/>
              <w:sz w:val="22"/>
              <w:szCs w:val="22"/>
            </w:rPr>
          </w:pPr>
          <w:hyperlink w:anchor="_Toc120891048" w:history="1">
            <w:r w:rsidR="001D1FF1" w:rsidRPr="00844D01">
              <w:rPr>
                <w:rStyle w:val="Hipervnculo"/>
                <w:noProof/>
                <w:lang w:val="es-ES"/>
              </w:rPr>
              <w:t>A.</w:t>
            </w:r>
            <w:r w:rsidR="001D1FF1">
              <w:rPr>
                <w:rFonts w:asciiTheme="minorHAnsi" w:eastAsiaTheme="minorEastAsia" w:hAnsiTheme="minorHAnsi" w:cstheme="minorBidi"/>
                <w:noProof/>
                <w:sz w:val="22"/>
                <w:szCs w:val="22"/>
              </w:rPr>
              <w:tab/>
            </w:r>
            <w:r w:rsidR="001D1FF1" w:rsidRPr="00844D01">
              <w:rPr>
                <w:rStyle w:val="Hipervnculo"/>
                <w:noProof/>
                <w:lang w:val="es-ES"/>
              </w:rPr>
              <w:t>Admisibilidad de la prueba documental</w:t>
            </w:r>
            <w:r w:rsidR="001D1FF1">
              <w:rPr>
                <w:noProof/>
                <w:webHidden/>
              </w:rPr>
              <w:tab/>
            </w:r>
            <w:r w:rsidR="001D1FF1">
              <w:rPr>
                <w:noProof/>
                <w:webHidden/>
              </w:rPr>
              <w:fldChar w:fldCharType="begin"/>
            </w:r>
            <w:r w:rsidR="001D1FF1">
              <w:rPr>
                <w:noProof/>
                <w:webHidden/>
              </w:rPr>
              <w:instrText xml:space="preserve"> PAGEREF _Toc120891048 \h </w:instrText>
            </w:r>
            <w:r w:rsidR="001D1FF1">
              <w:rPr>
                <w:noProof/>
                <w:webHidden/>
              </w:rPr>
            </w:r>
            <w:r w:rsidR="001D1FF1">
              <w:rPr>
                <w:noProof/>
                <w:webHidden/>
              </w:rPr>
              <w:fldChar w:fldCharType="separate"/>
            </w:r>
            <w:r w:rsidR="00846E0D">
              <w:rPr>
                <w:noProof/>
                <w:webHidden/>
              </w:rPr>
              <w:t>6</w:t>
            </w:r>
            <w:r w:rsidR="001D1FF1">
              <w:rPr>
                <w:noProof/>
                <w:webHidden/>
              </w:rPr>
              <w:fldChar w:fldCharType="end"/>
            </w:r>
          </w:hyperlink>
        </w:p>
        <w:p w14:paraId="183725A0" w14:textId="219B1F63" w:rsidR="001D1FF1" w:rsidRDefault="00000000">
          <w:pPr>
            <w:pStyle w:val="TDC2"/>
            <w:rPr>
              <w:rFonts w:asciiTheme="minorHAnsi" w:eastAsiaTheme="minorEastAsia" w:hAnsiTheme="minorHAnsi" w:cstheme="minorBidi"/>
              <w:noProof/>
              <w:sz w:val="22"/>
              <w:szCs w:val="22"/>
            </w:rPr>
          </w:pPr>
          <w:hyperlink w:anchor="_Toc120891049" w:history="1">
            <w:r w:rsidR="001D1FF1" w:rsidRPr="00844D01">
              <w:rPr>
                <w:rStyle w:val="Hipervnculo"/>
                <w:noProof/>
                <w:lang w:val="es-ES"/>
              </w:rPr>
              <w:t>B.</w:t>
            </w:r>
            <w:r w:rsidR="001D1FF1">
              <w:rPr>
                <w:rFonts w:asciiTheme="minorHAnsi" w:eastAsiaTheme="minorEastAsia" w:hAnsiTheme="minorHAnsi" w:cstheme="minorBidi"/>
                <w:noProof/>
                <w:sz w:val="22"/>
                <w:szCs w:val="22"/>
              </w:rPr>
              <w:tab/>
            </w:r>
            <w:r w:rsidR="001D1FF1" w:rsidRPr="00844D01">
              <w:rPr>
                <w:rStyle w:val="Hipervnculo"/>
                <w:noProof/>
                <w:lang w:val="es-ES"/>
              </w:rPr>
              <w:t>Admisibilidad de la prueba testimonial y pericial</w:t>
            </w:r>
            <w:r w:rsidR="001D1FF1">
              <w:rPr>
                <w:noProof/>
                <w:webHidden/>
              </w:rPr>
              <w:tab/>
            </w:r>
            <w:r w:rsidR="001D1FF1">
              <w:rPr>
                <w:noProof/>
                <w:webHidden/>
              </w:rPr>
              <w:fldChar w:fldCharType="begin"/>
            </w:r>
            <w:r w:rsidR="001D1FF1">
              <w:rPr>
                <w:noProof/>
                <w:webHidden/>
              </w:rPr>
              <w:instrText xml:space="preserve"> PAGEREF _Toc120891049 \h </w:instrText>
            </w:r>
            <w:r w:rsidR="001D1FF1">
              <w:rPr>
                <w:noProof/>
                <w:webHidden/>
              </w:rPr>
            </w:r>
            <w:r w:rsidR="001D1FF1">
              <w:rPr>
                <w:noProof/>
                <w:webHidden/>
              </w:rPr>
              <w:fldChar w:fldCharType="separate"/>
            </w:r>
            <w:r w:rsidR="00846E0D">
              <w:rPr>
                <w:noProof/>
                <w:webHidden/>
              </w:rPr>
              <w:t>6</w:t>
            </w:r>
            <w:r w:rsidR="001D1FF1">
              <w:rPr>
                <w:noProof/>
                <w:webHidden/>
              </w:rPr>
              <w:fldChar w:fldCharType="end"/>
            </w:r>
          </w:hyperlink>
        </w:p>
        <w:p w14:paraId="16AB19BC" w14:textId="17A3B460" w:rsidR="001D1FF1" w:rsidRDefault="00000000">
          <w:pPr>
            <w:pStyle w:val="TDC1"/>
            <w:rPr>
              <w:rFonts w:asciiTheme="minorHAnsi" w:eastAsiaTheme="minorEastAsia" w:hAnsiTheme="minorHAnsi" w:cstheme="minorBidi"/>
              <w:b w:val="0"/>
              <w:sz w:val="22"/>
              <w:szCs w:val="22"/>
            </w:rPr>
          </w:pPr>
          <w:hyperlink w:anchor="_Toc120891050" w:history="1">
            <w:r w:rsidR="001D1FF1" w:rsidRPr="00844D01">
              <w:rPr>
                <w:rStyle w:val="Hipervnculo"/>
                <w:lang w:val="es-ES"/>
              </w:rPr>
              <w:t>V HECHOS</w:t>
            </w:r>
            <w:r w:rsidR="001D1FF1">
              <w:rPr>
                <w:webHidden/>
              </w:rPr>
              <w:tab/>
            </w:r>
            <w:r w:rsidR="001D1FF1">
              <w:rPr>
                <w:webHidden/>
              </w:rPr>
              <w:fldChar w:fldCharType="begin"/>
            </w:r>
            <w:r w:rsidR="001D1FF1">
              <w:rPr>
                <w:webHidden/>
              </w:rPr>
              <w:instrText xml:space="preserve"> PAGEREF _Toc120891050 \h </w:instrText>
            </w:r>
            <w:r w:rsidR="001D1FF1">
              <w:rPr>
                <w:webHidden/>
              </w:rPr>
            </w:r>
            <w:r w:rsidR="001D1FF1">
              <w:rPr>
                <w:webHidden/>
              </w:rPr>
              <w:fldChar w:fldCharType="separate"/>
            </w:r>
            <w:r w:rsidR="00846E0D">
              <w:rPr>
                <w:webHidden/>
              </w:rPr>
              <w:t>6</w:t>
            </w:r>
            <w:r w:rsidR="001D1FF1">
              <w:rPr>
                <w:webHidden/>
              </w:rPr>
              <w:fldChar w:fldCharType="end"/>
            </w:r>
          </w:hyperlink>
        </w:p>
        <w:p w14:paraId="3D06F406" w14:textId="33594112" w:rsidR="001D1FF1" w:rsidRDefault="00000000">
          <w:pPr>
            <w:pStyle w:val="TDC2"/>
            <w:rPr>
              <w:rFonts w:asciiTheme="minorHAnsi" w:eastAsiaTheme="minorEastAsia" w:hAnsiTheme="minorHAnsi" w:cstheme="minorBidi"/>
              <w:noProof/>
              <w:sz w:val="22"/>
              <w:szCs w:val="22"/>
            </w:rPr>
          </w:pPr>
          <w:hyperlink w:anchor="_Toc120891051" w:history="1">
            <w:r w:rsidR="001D1FF1" w:rsidRPr="00844D01">
              <w:rPr>
                <w:rStyle w:val="Hipervnculo"/>
                <w:noProof/>
              </w:rPr>
              <w:t>A.</w:t>
            </w:r>
            <w:r w:rsidR="001D1FF1">
              <w:rPr>
                <w:rFonts w:asciiTheme="minorHAnsi" w:eastAsiaTheme="minorEastAsia" w:hAnsiTheme="minorHAnsi" w:cstheme="minorBidi"/>
                <w:noProof/>
                <w:sz w:val="22"/>
                <w:szCs w:val="22"/>
              </w:rPr>
              <w:tab/>
            </w:r>
            <w:r w:rsidR="001D1FF1" w:rsidRPr="00844D01">
              <w:rPr>
                <w:rStyle w:val="Hipervnculo"/>
                <w:noProof/>
              </w:rPr>
              <w:t>Procedimiento penal seguido contra el señor Bissoon</w:t>
            </w:r>
            <w:r w:rsidR="001D1FF1">
              <w:rPr>
                <w:noProof/>
                <w:webHidden/>
              </w:rPr>
              <w:tab/>
            </w:r>
            <w:r w:rsidR="001D1FF1">
              <w:rPr>
                <w:noProof/>
                <w:webHidden/>
              </w:rPr>
              <w:fldChar w:fldCharType="begin"/>
            </w:r>
            <w:r w:rsidR="001D1FF1">
              <w:rPr>
                <w:noProof/>
                <w:webHidden/>
              </w:rPr>
              <w:instrText xml:space="preserve"> PAGEREF _Toc120891051 \h </w:instrText>
            </w:r>
            <w:r w:rsidR="001D1FF1">
              <w:rPr>
                <w:noProof/>
                <w:webHidden/>
              </w:rPr>
            </w:r>
            <w:r w:rsidR="001D1FF1">
              <w:rPr>
                <w:noProof/>
                <w:webHidden/>
              </w:rPr>
              <w:fldChar w:fldCharType="separate"/>
            </w:r>
            <w:r w:rsidR="00846E0D">
              <w:rPr>
                <w:noProof/>
                <w:webHidden/>
              </w:rPr>
              <w:t>7</w:t>
            </w:r>
            <w:r w:rsidR="001D1FF1">
              <w:rPr>
                <w:noProof/>
                <w:webHidden/>
              </w:rPr>
              <w:fldChar w:fldCharType="end"/>
            </w:r>
          </w:hyperlink>
        </w:p>
        <w:p w14:paraId="4ECC62E5" w14:textId="738EC06D" w:rsidR="001D1FF1" w:rsidRDefault="00000000">
          <w:pPr>
            <w:pStyle w:val="TDC2"/>
            <w:rPr>
              <w:rFonts w:asciiTheme="minorHAnsi" w:eastAsiaTheme="minorEastAsia" w:hAnsiTheme="minorHAnsi" w:cstheme="minorBidi"/>
              <w:noProof/>
              <w:sz w:val="22"/>
              <w:szCs w:val="22"/>
            </w:rPr>
          </w:pPr>
          <w:hyperlink w:anchor="_Toc120891052" w:history="1">
            <w:r w:rsidR="001D1FF1" w:rsidRPr="00844D01">
              <w:rPr>
                <w:rStyle w:val="Hipervnculo"/>
                <w:noProof/>
              </w:rPr>
              <w:t>B.</w:t>
            </w:r>
            <w:r w:rsidR="001D1FF1">
              <w:rPr>
                <w:rFonts w:asciiTheme="minorHAnsi" w:eastAsiaTheme="minorEastAsia" w:hAnsiTheme="minorHAnsi" w:cstheme="minorBidi"/>
                <w:noProof/>
                <w:sz w:val="22"/>
                <w:szCs w:val="22"/>
              </w:rPr>
              <w:tab/>
            </w:r>
            <w:r w:rsidR="001D1FF1" w:rsidRPr="00844D01">
              <w:rPr>
                <w:rStyle w:val="Hipervnculo"/>
                <w:noProof/>
              </w:rPr>
              <w:t>Procedimiento penal seguido contra el señor Serrette</w:t>
            </w:r>
            <w:r w:rsidR="001D1FF1">
              <w:rPr>
                <w:noProof/>
                <w:webHidden/>
              </w:rPr>
              <w:tab/>
            </w:r>
            <w:r w:rsidR="001D1FF1">
              <w:rPr>
                <w:noProof/>
                <w:webHidden/>
              </w:rPr>
              <w:fldChar w:fldCharType="begin"/>
            </w:r>
            <w:r w:rsidR="001D1FF1">
              <w:rPr>
                <w:noProof/>
                <w:webHidden/>
              </w:rPr>
              <w:instrText xml:space="preserve"> PAGEREF _Toc120891052 \h </w:instrText>
            </w:r>
            <w:r w:rsidR="001D1FF1">
              <w:rPr>
                <w:noProof/>
                <w:webHidden/>
              </w:rPr>
            </w:r>
            <w:r w:rsidR="001D1FF1">
              <w:rPr>
                <w:noProof/>
                <w:webHidden/>
              </w:rPr>
              <w:fldChar w:fldCharType="separate"/>
            </w:r>
            <w:r w:rsidR="00846E0D">
              <w:rPr>
                <w:noProof/>
                <w:webHidden/>
              </w:rPr>
              <w:t>7</w:t>
            </w:r>
            <w:r w:rsidR="001D1FF1">
              <w:rPr>
                <w:noProof/>
                <w:webHidden/>
              </w:rPr>
              <w:fldChar w:fldCharType="end"/>
            </w:r>
          </w:hyperlink>
        </w:p>
        <w:p w14:paraId="11FAC76E" w14:textId="2AEDA8B0" w:rsidR="001D1FF1" w:rsidRDefault="00000000">
          <w:pPr>
            <w:pStyle w:val="TDC2"/>
            <w:rPr>
              <w:rFonts w:asciiTheme="minorHAnsi" w:eastAsiaTheme="minorEastAsia" w:hAnsiTheme="minorHAnsi" w:cstheme="minorBidi"/>
              <w:noProof/>
              <w:sz w:val="22"/>
              <w:szCs w:val="22"/>
            </w:rPr>
          </w:pPr>
          <w:hyperlink w:anchor="_Toc120891053" w:history="1">
            <w:r w:rsidR="001D1FF1" w:rsidRPr="00844D01">
              <w:rPr>
                <w:rStyle w:val="Hipervnculo"/>
                <w:noProof/>
                <w:lang w:val="es-ES"/>
              </w:rPr>
              <w:t>C.</w:t>
            </w:r>
            <w:r w:rsidR="001D1FF1">
              <w:rPr>
                <w:rFonts w:asciiTheme="minorHAnsi" w:eastAsiaTheme="minorEastAsia" w:hAnsiTheme="minorHAnsi" w:cstheme="minorBidi"/>
                <w:noProof/>
                <w:sz w:val="22"/>
                <w:szCs w:val="22"/>
              </w:rPr>
              <w:tab/>
            </w:r>
            <w:r w:rsidR="001D1FF1" w:rsidRPr="00844D01">
              <w:rPr>
                <w:rStyle w:val="Hipervnculo"/>
                <w:noProof/>
                <w:lang w:val="es-ES"/>
              </w:rPr>
              <w:t xml:space="preserve">Conmutación de </w:t>
            </w:r>
            <w:r w:rsidR="001D1FF1" w:rsidRPr="00844D01">
              <w:rPr>
                <w:rStyle w:val="Hipervnculo"/>
                <w:noProof/>
              </w:rPr>
              <w:t>la</w:t>
            </w:r>
            <w:r w:rsidR="001D1FF1" w:rsidRPr="00844D01">
              <w:rPr>
                <w:rStyle w:val="Hipervnculo"/>
                <w:noProof/>
                <w:lang w:val="es-ES"/>
              </w:rPr>
              <w:t xml:space="preserve"> </w:t>
            </w:r>
            <w:r w:rsidR="001D1FF1" w:rsidRPr="00844D01">
              <w:rPr>
                <w:rStyle w:val="Hipervnculo"/>
                <w:noProof/>
              </w:rPr>
              <w:t>pena</w:t>
            </w:r>
            <w:r w:rsidR="001D1FF1" w:rsidRPr="00844D01">
              <w:rPr>
                <w:rStyle w:val="Hipervnculo"/>
                <w:noProof/>
                <w:lang w:val="es-ES"/>
              </w:rPr>
              <w:t xml:space="preserve"> de muerte por cadena perpetua</w:t>
            </w:r>
            <w:r w:rsidR="001D1FF1">
              <w:rPr>
                <w:noProof/>
                <w:webHidden/>
              </w:rPr>
              <w:tab/>
            </w:r>
            <w:r w:rsidR="001D1FF1">
              <w:rPr>
                <w:noProof/>
                <w:webHidden/>
              </w:rPr>
              <w:fldChar w:fldCharType="begin"/>
            </w:r>
            <w:r w:rsidR="001D1FF1">
              <w:rPr>
                <w:noProof/>
                <w:webHidden/>
              </w:rPr>
              <w:instrText xml:space="preserve"> PAGEREF _Toc120891053 \h </w:instrText>
            </w:r>
            <w:r w:rsidR="001D1FF1">
              <w:rPr>
                <w:noProof/>
                <w:webHidden/>
              </w:rPr>
            </w:r>
            <w:r w:rsidR="001D1FF1">
              <w:rPr>
                <w:noProof/>
                <w:webHidden/>
              </w:rPr>
              <w:fldChar w:fldCharType="separate"/>
            </w:r>
            <w:r w:rsidR="00846E0D">
              <w:rPr>
                <w:noProof/>
                <w:webHidden/>
              </w:rPr>
              <w:t>8</w:t>
            </w:r>
            <w:r w:rsidR="001D1FF1">
              <w:rPr>
                <w:noProof/>
                <w:webHidden/>
              </w:rPr>
              <w:fldChar w:fldCharType="end"/>
            </w:r>
          </w:hyperlink>
        </w:p>
        <w:p w14:paraId="5CC19170" w14:textId="4B25709D" w:rsidR="001D1FF1" w:rsidRDefault="00000000">
          <w:pPr>
            <w:pStyle w:val="TDC2"/>
            <w:rPr>
              <w:rFonts w:asciiTheme="minorHAnsi" w:eastAsiaTheme="minorEastAsia" w:hAnsiTheme="minorHAnsi" w:cstheme="minorBidi"/>
              <w:noProof/>
              <w:sz w:val="22"/>
              <w:szCs w:val="22"/>
            </w:rPr>
          </w:pPr>
          <w:hyperlink w:anchor="_Toc120891054" w:history="1">
            <w:r w:rsidR="001D1FF1" w:rsidRPr="00844D01">
              <w:rPr>
                <w:rStyle w:val="Hipervnculo"/>
                <w:noProof/>
                <w:lang w:val="es-ES"/>
              </w:rPr>
              <w:t>D.</w:t>
            </w:r>
            <w:r w:rsidR="001D1FF1">
              <w:rPr>
                <w:rFonts w:asciiTheme="minorHAnsi" w:eastAsiaTheme="minorEastAsia" w:hAnsiTheme="minorHAnsi" w:cstheme="minorBidi"/>
                <w:noProof/>
                <w:sz w:val="22"/>
                <w:szCs w:val="22"/>
              </w:rPr>
              <w:tab/>
            </w:r>
            <w:r w:rsidR="001D1FF1" w:rsidRPr="00844D01">
              <w:rPr>
                <w:rStyle w:val="Hipervnculo"/>
                <w:noProof/>
              </w:rPr>
              <w:t>Las</w:t>
            </w:r>
            <w:r w:rsidR="001D1FF1" w:rsidRPr="00844D01">
              <w:rPr>
                <w:rStyle w:val="Hipervnculo"/>
                <w:noProof/>
                <w:lang w:val="es-ES"/>
              </w:rPr>
              <w:t xml:space="preserve"> alegadas condiciones de detención durante la prisión preventiva</w:t>
            </w:r>
            <w:r w:rsidR="001D1FF1">
              <w:rPr>
                <w:noProof/>
                <w:webHidden/>
              </w:rPr>
              <w:tab/>
            </w:r>
            <w:r w:rsidR="001D1FF1">
              <w:rPr>
                <w:noProof/>
                <w:webHidden/>
              </w:rPr>
              <w:fldChar w:fldCharType="begin"/>
            </w:r>
            <w:r w:rsidR="001D1FF1">
              <w:rPr>
                <w:noProof/>
                <w:webHidden/>
              </w:rPr>
              <w:instrText xml:space="preserve"> PAGEREF _Toc120891054 \h </w:instrText>
            </w:r>
            <w:r w:rsidR="001D1FF1">
              <w:rPr>
                <w:noProof/>
                <w:webHidden/>
              </w:rPr>
            </w:r>
            <w:r w:rsidR="001D1FF1">
              <w:rPr>
                <w:noProof/>
                <w:webHidden/>
              </w:rPr>
              <w:fldChar w:fldCharType="separate"/>
            </w:r>
            <w:r w:rsidR="00846E0D">
              <w:rPr>
                <w:noProof/>
                <w:webHidden/>
              </w:rPr>
              <w:t>8</w:t>
            </w:r>
            <w:r w:rsidR="001D1FF1">
              <w:rPr>
                <w:noProof/>
                <w:webHidden/>
              </w:rPr>
              <w:fldChar w:fldCharType="end"/>
            </w:r>
          </w:hyperlink>
        </w:p>
        <w:p w14:paraId="08F564A9" w14:textId="11A8F3D3" w:rsidR="001D1FF1" w:rsidRDefault="00000000">
          <w:pPr>
            <w:pStyle w:val="TDC1"/>
            <w:rPr>
              <w:rFonts w:asciiTheme="minorHAnsi" w:eastAsiaTheme="minorEastAsia" w:hAnsiTheme="minorHAnsi" w:cstheme="minorBidi"/>
              <w:b w:val="0"/>
              <w:sz w:val="22"/>
              <w:szCs w:val="22"/>
            </w:rPr>
          </w:pPr>
          <w:hyperlink w:anchor="_Toc120891055" w:history="1">
            <w:r w:rsidR="001D1FF1" w:rsidRPr="00844D01">
              <w:rPr>
                <w:rStyle w:val="Hipervnculo"/>
                <w:lang w:val="es-ES"/>
              </w:rPr>
              <w:t>VI FONDO</w:t>
            </w:r>
            <w:r w:rsidR="001D1FF1">
              <w:rPr>
                <w:webHidden/>
              </w:rPr>
              <w:tab/>
            </w:r>
            <w:r w:rsidR="001D1FF1">
              <w:rPr>
                <w:webHidden/>
              </w:rPr>
              <w:fldChar w:fldCharType="begin"/>
            </w:r>
            <w:r w:rsidR="001D1FF1">
              <w:rPr>
                <w:webHidden/>
              </w:rPr>
              <w:instrText xml:space="preserve"> PAGEREF _Toc120891055 \h </w:instrText>
            </w:r>
            <w:r w:rsidR="001D1FF1">
              <w:rPr>
                <w:webHidden/>
              </w:rPr>
            </w:r>
            <w:r w:rsidR="001D1FF1">
              <w:rPr>
                <w:webHidden/>
              </w:rPr>
              <w:fldChar w:fldCharType="separate"/>
            </w:r>
            <w:r w:rsidR="00846E0D">
              <w:rPr>
                <w:webHidden/>
              </w:rPr>
              <w:t>10</w:t>
            </w:r>
            <w:r w:rsidR="001D1FF1">
              <w:rPr>
                <w:webHidden/>
              </w:rPr>
              <w:fldChar w:fldCharType="end"/>
            </w:r>
          </w:hyperlink>
        </w:p>
        <w:p w14:paraId="49235B3F" w14:textId="7808AEC1" w:rsidR="001D1FF1" w:rsidRDefault="00000000">
          <w:pPr>
            <w:pStyle w:val="TDC1"/>
            <w:rPr>
              <w:rFonts w:asciiTheme="minorHAnsi" w:eastAsiaTheme="minorEastAsia" w:hAnsiTheme="minorHAnsi" w:cstheme="minorBidi"/>
              <w:b w:val="0"/>
              <w:sz w:val="22"/>
              <w:szCs w:val="22"/>
            </w:rPr>
          </w:pPr>
          <w:hyperlink w:anchor="_Toc120891056" w:history="1">
            <w:r w:rsidR="001D1FF1" w:rsidRPr="00844D01">
              <w:rPr>
                <w:rStyle w:val="Hipervnculo"/>
                <w:lang w:val="es-ES"/>
              </w:rPr>
              <w:t>DERECHOS A LA INTEGRIDAD PERSONAL, LIBERTAD PERSONAL, GARANTÍAS JUDICIALES Y PROTECCIÓN JUDICIAL</w:t>
            </w:r>
            <w:r w:rsidR="001D1FF1">
              <w:rPr>
                <w:webHidden/>
              </w:rPr>
              <w:tab/>
            </w:r>
            <w:r w:rsidR="001D1FF1">
              <w:rPr>
                <w:webHidden/>
              </w:rPr>
              <w:fldChar w:fldCharType="begin"/>
            </w:r>
            <w:r w:rsidR="001D1FF1">
              <w:rPr>
                <w:webHidden/>
              </w:rPr>
              <w:instrText xml:space="preserve"> PAGEREF _Toc120891056 \h </w:instrText>
            </w:r>
            <w:r w:rsidR="001D1FF1">
              <w:rPr>
                <w:webHidden/>
              </w:rPr>
            </w:r>
            <w:r w:rsidR="001D1FF1">
              <w:rPr>
                <w:webHidden/>
              </w:rPr>
              <w:fldChar w:fldCharType="separate"/>
            </w:r>
            <w:r w:rsidR="00846E0D">
              <w:rPr>
                <w:webHidden/>
              </w:rPr>
              <w:t>10</w:t>
            </w:r>
            <w:r w:rsidR="001D1FF1">
              <w:rPr>
                <w:webHidden/>
              </w:rPr>
              <w:fldChar w:fldCharType="end"/>
            </w:r>
          </w:hyperlink>
        </w:p>
        <w:p w14:paraId="6C704E09" w14:textId="2CB08304" w:rsidR="001D1FF1" w:rsidRDefault="00000000">
          <w:pPr>
            <w:pStyle w:val="TDC2"/>
            <w:rPr>
              <w:rFonts w:asciiTheme="minorHAnsi" w:eastAsiaTheme="minorEastAsia" w:hAnsiTheme="minorHAnsi" w:cstheme="minorBidi"/>
              <w:noProof/>
              <w:sz w:val="22"/>
              <w:szCs w:val="22"/>
            </w:rPr>
          </w:pPr>
          <w:hyperlink w:anchor="_Toc120891057" w:history="1">
            <w:r w:rsidR="001D1FF1" w:rsidRPr="00844D01">
              <w:rPr>
                <w:rStyle w:val="Hipervnculo"/>
                <w:noProof/>
                <w:lang w:val="es-ES"/>
              </w:rPr>
              <w:t>A.</w:t>
            </w:r>
            <w:r w:rsidR="001D1FF1">
              <w:rPr>
                <w:rFonts w:asciiTheme="minorHAnsi" w:eastAsiaTheme="minorEastAsia" w:hAnsiTheme="minorHAnsi" w:cstheme="minorBidi"/>
                <w:noProof/>
                <w:sz w:val="22"/>
                <w:szCs w:val="22"/>
              </w:rPr>
              <w:tab/>
            </w:r>
            <w:r w:rsidR="001D1FF1" w:rsidRPr="00844D01">
              <w:rPr>
                <w:rStyle w:val="Hipervnculo"/>
                <w:noProof/>
                <w:lang w:val="es-ES"/>
              </w:rPr>
              <w:t>Argumentos de las partes y de la Comisión</w:t>
            </w:r>
            <w:r w:rsidR="001D1FF1">
              <w:rPr>
                <w:noProof/>
                <w:webHidden/>
              </w:rPr>
              <w:tab/>
            </w:r>
            <w:r w:rsidR="001D1FF1">
              <w:rPr>
                <w:noProof/>
                <w:webHidden/>
              </w:rPr>
              <w:fldChar w:fldCharType="begin"/>
            </w:r>
            <w:r w:rsidR="001D1FF1">
              <w:rPr>
                <w:noProof/>
                <w:webHidden/>
              </w:rPr>
              <w:instrText xml:space="preserve"> PAGEREF _Toc120891057 \h </w:instrText>
            </w:r>
            <w:r w:rsidR="001D1FF1">
              <w:rPr>
                <w:noProof/>
                <w:webHidden/>
              </w:rPr>
            </w:r>
            <w:r w:rsidR="001D1FF1">
              <w:rPr>
                <w:noProof/>
                <w:webHidden/>
              </w:rPr>
              <w:fldChar w:fldCharType="separate"/>
            </w:r>
            <w:r w:rsidR="00846E0D">
              <w:rPr>
                <w:noProof/>
                <w:webHidden/>
              </w:rPr>
              <w:t>11</w:t>
            </w:r>
            <w:r w:rsidR="001D1FF1">
              <w:rPr>
                <w:noProof/>
                <w:webHidden/>
              </w:rPr>
              <w:fldChar w:fldCharType="end"/>
            </w:r>
          </w:hyperlink>
        </w:p>
        <w:p w14:paraId="2B6E9A6B" w14:textId="12C51A86" w:rsidR="001D1FF1" w:rsidRDefault="00000000">
          <w:pPr>
            <w:pStyle w:val="TDC2"/>
            <w:rPr>
              <w:rFonts w:asciiTheme="minorHAnsi" w:eastAsiaTheme="minorEastAsia" w:hAnsiTheme="minorHAnsi" w:cstheme="minorBidi"/>
              <w:noProof/>
              <w:sz w:val="22"/>
              <w:szCs w:val="22"/>
            </w:rPr>
          </w:pPr>
          <w:hyperlink w:anchor="_Toc120891058" w:history="1">
            <w:r w:rsidR="001D1FF1" w:rsidRPr="00844D01">
              <w:rPr>
                <w:rStyle w:val="Hipervnculo"/>
                <w:noProof/>
                <w:lang w:val="es-ES"/>
              </w:rPr>
              <w:t>B.</w:t>
            </w:r>
            <w:r w:rsidR="001D1FF1">
              <w:rPr>
                <w:rFonts w:asciiTheme="minorHAnsi" w:eastAsiaTheme="minorEastAsia" w:hAnsiTheme="minorHAnsi" w:cstheme="minorBidi"/>
                <w:noProof/>
                <w:sz w:val="22"/>
                <w:szCs w:val="22"/>
              </w:rPr>
              <w:tab/>
            </w:r>
            <w:r w:rsidR="001D1FF1" w:rsidRPr="00844D01">
              <w:rPr>
                <w:rStyle w:val="Hipervnculo"/>
                <w:noProof/>
                <w:lang w:val="es-ES"/>
              </w:rPr>
              <w:t>Consideraciones de la Corte</w:t>
            </w:r>
            <w:r w:rsidR="001D1FF1">
              <w:rPr>
                <w:noProof/>
                <w:webHidden/>
              </w:rPr>
              <w:tab/>
            </w:r>
            <w:r w:rsidR="001D1FF1">
              <w:rPr>
                <w:noProof/>
                <w:webHidden/>
              </w:rPr>
              <w:fldChar w:fldCharType="begin"/>
            </w:r>
            <w:r w:rsidR="001D1FF1">
              <w:rPr>
                <w:noProof/>
                <w:webHidden/>
              </w:rPr>
              <w:instrText xml:space="preserve"> PAGEREF _Toc120891058 \h </w:instrText>
            </w:r>
            <w:r w:rsidR="001D1FF1">
              <w:rPr>
                <w:noProof/>
                <w:webHidden/>
              </w:rPr>
            </w:r>
            <w:r w:rsidR="001D1FF1">
              <w:rPr>
                <w:noProof/>
                <w:webHidden/>
              </w:rPr>
              <w:fldChar w:fldCharType="separate"/>
            </w:r>
            <w:r w:rsidR="00846E0D">
              <w:rPr>
                <w:noProof/>
                <w:webHidden/>
              </w:rPr>
              <w:t>11</w:t>
            </w:r>
            <w:r w:rsidR="001D1FF1">
              <w:rPr>
                <w:noProof/>
                <w:webHidden/>
              </w:rPr>
              <w:fldChar w:fldCharType="end"/>
            </w:r>
          </w:hyperlink>
        </w:p>
        <w:p w14:paraId="4D26CB1E" w14:textId="79FB0992" w:rsidR="001D1FF1" w:rsidRDefault="00000000">
          <w:pPr>
            <w:pStyle w:val="TDC3"/>
            <w:rPr>
              <w:rFonts w:asciiTheme="minorHAnsi" w:eastAsiaTheme="minorEastAsia" w:hAnsiTheme="minorHAnsi" w:cstheme="minorBidi"/>
              <w:noProof/>
              <w:sz w:val="22"/>
              <w:szCs w:val="22"/>
            </w:rPr>
          </w:pPr>
          <w:hyperlink w:anchor="_Toc120891059" w:history="1">
            <w:r w:rsidR="001D1FF1" w:rsidRPr="00844D01">
              <w:rPr>
                <w:rStyle w:val="Hipervnculo"/>
                <w:noProof/>
              </w:rPr>
              <w:t>B.1 Derecho de una persona en situación de prisión preventiva a ser juzgada en un plazo razonable</w:t>
            </w:r>
            <w:r w:rsidR="001D1FF1">
              <w:rPr>
                <w:noProof/>
                <w:webHidden/>
              </w:rPr>
              <w:tab/>
            </w:r>
            <w:r w:rsidR="001D1FF1">
              <w:rPr>
                <w:noProof/>
                <w:webHidden/>
              </w:rPr>
              <w:fldChar w:fldCharType="begin"/>
            </w:r>
            <w:r w:rsidR="001D1FF1">
              <w:rPr>
                <w:noProof/>
                <w:webHidden/>
              </w:rPr>
              <w:instrText xml:space="preserve"> PAGEREF _Toc120891059 \h </w:instrText>
            </w:r>
            <w:r w:rsidR="001D1FF1">
              <w:rPr>
                <w:noProof/>
                <w:webHidden/>
              </w:rPr>
            </w:r>
            <w:r w:rsidR="001D1FF1">
              <w:rPr>
                <w:noProof/>
                <w:webHidden/>
              </w:rPr>
              <w:fldChar w:fldCharType="separate"/>
            </w:r>
            <w:r w:rsidR="00846E0D">
              <w:rPr>
                <w:noProof/>
                <w:webHidden/>
              </w:rPr>
              <w:t>11</w:t>
            </w:r>
            <w:r w:rsidR="001D1FF1">
              <w:rPr>
                <w:noProof/>
                <w:webHidden/>
              </w:rPr>
              <w:fldChar w:fldCharType="end"/>
            </w:r>
          </w:hyperlink>
        </w:p>
        <w:p w14:paraId="644B2C57" w14:textId="778AC2D2" w:rsidR="001D1FF1" w:rsidRDefault="00000000">
          <w:pPr>
            <w:pStyle w:val="TDC3"/>
            <w:rPr>
              <w:rFonts w:asciiTheme="minorHAnsi" w:eastAsiaTheme="minorEastAsia" w:hAnsiTheme="minorHAnsi" w:cstheme="minorBidi"/>
              <w:noProof/>
              <w:sz w:val="22"/>
              <w:szCs w:val="22"/>
            </w:rPr>
          </w:pPr>
          <w:hyperlink w:anchor="_Toc120891060" w:history="1">
            <w:r w:rsidR="001D1FF1" w:rsidRPr="00844D01">
              <w:rPr>
                <w:rStyle w:val="Hipervnculo"/>
                <w:noProof/>
              </w:rPr>
              <w:t>B.2 Condiciones de detención a las que estuvieron sometidos los señores Bissoon y Serrette entre su detención y la entrada en vigor de la denuncia de la Convención Americana por parte de Trinidad y Tobago</w:t>
            </w:r>
            <w:r w:rsidR="001D1FF1">
              <w:rPr>
                <w:noProof/>
                <w:webHidden/>
              </w:rPr>
              <w:tab/>
            </w:r>
            <w:r w:rsidR="001D1FF1">
              <w:rPr>
                <w:noProof/>
                <w:webHidden/>
              </w:rPr>
              <w:fldChar w:fldCharType="begin"/>
            </w:r>
            <w:r w:rsidR="001D1FF1">
              <w:rPr>
                <w:noProof/>
                <w:webHidden/>
              </w:rPr>
              <w:instrText xml:space="preserve"> PAGEREF _Toc120891060 \h </w:instrText>
            </w:r>
            <w:r w:rsidR="001D1FF1">
              <w:rPr>
                <w:noProof/>
                <w:webHidden/>
              </w:rPr>
            </w:r>
            <w:r w:rsidR="001D1FF1">
              <w:rPr>
                <w:noProof/>
                <w:webHidden/>
              </w:rPr>
              <w:fldChar w:fldCharType="separate"/>
            </w:r>
            <w:r w:rsidR="00846E0D">
              <w:rPr>
                <w:noProof/>
                <w:webHidden/>
              </w:rPr>
              <w:t>13</w:t>
            </w:r>
            <w:r w:rsidR="001D1FF1">
              <w:rPr>
                <w:noProof/>
                <w:webHidden/>
              </w:rPr>
              <w:fldChar w:fldCharType="end"/>
            </w:r>
          </w:hyperlink>
        </w:p>
        <w:p w14:paraId="32F0FBC5" w14:textId="1E7D4685" w:rsidR="001D1FF1" w:rsidRDefault="00000000">
          <w:pPr>
            <w:pStyle w:val="TDC1"/>
            <w:rPr>
              <w:rFonts w:asciiTheme="minorHAnsi" w:eastAsiaTheme="minorEastAsia" w:hAnsiTheme="minorHAnsi" w:cstheme="minorBidi"/>
              <w:b w:val="0"/>
              <w:sz w:val="22"/>
              <w:szCs w:val="22"/>
            </w:rPr>
          </w:pPr>
          <w:hyperlink w:anchor="_Toc120891061" w:history="1">
            <w:r w:rsidR="001D1FF1" w:rsidRPr="00844D01">
              <w:rPr>
                <w:rStyle w:val="Hipervnculo"/>
                <w:lang w:val="es-ES"/>
              </w:rPr>
              <w:t>VII REPARACIONES</w:t>
            </w:r>
            <w:r w:rsidR="001D1FF1">
              <w:rPr>
                <w:webHidden/>
              </w:rPr>
              <w:tab/>
            </w:r>
            <w:r w:rsidR="001D1FF1">
              <w:rPr>
                <w:webHidden/>
              </w:rPr>
              <w:fldChar w:fldCharType="begin"/>
            </w:r>
            <w:r w:rsidR="001D1FF1">
              <w:rPr>
                <w:webHidden/>
              </w:rPr>
              <w:instrText xml:space="preserve"> PAGEREF _Toc120891061 \h </w:instrText>
            </w:r>
            <w:r w:rsidR="001D1FF1">
              <w:rPr>
                <w:webHidden/>
              </w:rPr>
            </w:r>
            <w:r w:rsidR="001D1FF1">
              <w:rPr>
                <w:webHidden/>
              </w:rPr>
              <w:fldChar w:fldCharType="separate"/>
            </w:r>
            <w:r w:rsidR="00846E0D">
              <w:rPr>
                <w:webHidden/>
              </w:rPr>
              <w:t>17</w:t>
            </w:r>
            <w:r w:rsidR="001D1FF1">
              <w:rPr>
                <w:webHidden/>
              </w:rPr>
              <w:fldChar w:fldCharType="end"/>
            </w:r>
          </w:hyperlink>
        </w:p>
        <w:p w14:paraId="61F77933" w14:textId="79599DD9" w:rsidR="001D1FF1" w:rsidRDefault="00000000">
          <w:pPr>
            <w:pStyle w:val="TDC2"/>
            <w:rPr>
              <w:rFonts w:asciiTheme="minorHAnsi" w:eastAsiaTheme="minorEastAsia" w:hAnsiTheme="minorHAnsi" w:cstheme="minorBidi"/>
              <w:noProof/>
              <w:sz w:val="22"/>
              <w:szCs w:val="22"/>
            </w:rPr>
          </w:pPr>
          <w:hyperlink w:anchor="_Toc120891062" w:history="1">
            <w:r w:rsidR="001D1FF1" w:rsidRPr="00844D01">
              <w:rPr>
                <w:rStyle w:val="Hipervnculo"/>
                <w:noProof/>
                <w:lang w:val="es-ES"/>
              </w:rPr>
              <w:t>A. Parte lesionada</w:t>
            </w:r>
            <w:r w:rsidR="001D1FF1">
              <w:rPr>
                <w:noProof/>
                <w:webHidden/>
              </w:rPr>
              <w:tab/>
            </w:r>
            <w:r w:rsidR="001D1FF1">
              <w:rPr>
                <w:noProof/>
                <w:webHidden/>
              </w:rPr>
              <w:fldChar w:fldCharType="begin"/>
            </w:r>
            <w:r w:rsidR="001D1FF1">
              <w:rPr>
                <w:noProof/>
                <w:webHidden/>
              </w:rPr>
              <w:instrText xml:space="preserve"> PAGEREF _Toc120891062 \h </w:instrText>
            </w:r>
            <w:r w:rsidR="001D1FF1">
              <w:rPr>
                <w:noProof/>
                <w:webHidden/>
              </w:rPr>
            </w:r>
            <w:r w:rsidR="001D1FF1">
              <w:rPr>
                <w:noProof/>
                <w:webHidden/>
              </w:rPr>
              <w:fldChar w:fldCharType="separate"/>
            </w:r>
            <w:r w:rsidR="00846E0D">
              <w:rPr>
                <w:noProof/>
                <w:webHidden/>
              </w:rPr>
              <w:t>18</w:t>
            </w:r>
            <w:r w:rsidR="001D1FF1">
              <w:rPr>
                <w:noProof/>
                <w:webHidden/>
              </w:rPr>
              <w:fldChar w:fldCharType="end"/>
            </w:r>
          </w:hyperlink>
        </w:p>
        <w:p w14:paraId="6DF1820D" w14:textId="4F86A1D9" w:rsidR="001D1FF1" w:rsidRDefault="00000000">
          <w:pPr>
            <w:pStyle w:val="TDC2"/>
            <w:rPr>
              <w:rFonts w:asciiTheme="minorHAnsi" w:eastAsiaTheme="minorEastAsia" w:hAnsiTheme="minorHAnsi" w:cstheme="minorBidi"/>
              <w:noProof/>
              <w:sz w:val="22"/>
              <w:szCs w:val="22"/>
            </w:rPr>
          </w:pPr>
          <w:hyperlink w:anchor="_Toc120891063" w:history="1">
            <w:r w:rsidR="001D1FF1" w:rsidRPr="00844D01">
              <w:rPr>
                <w:rStyle w:val="Hipervnculo"/>
                <w:noProof/>
                <w:lang w:val="es-ES"/>
              </w:rPr>
              <w:t>B. Medidas</w:t>
            </w:r>
            <w:r w:rsidR="001D1FF1" w:rsidRPr="00844D01">
              <w:rPr>
                <w:rStyle w:val="Hipervnculo"/>
                <w:noProof/>
              </w:rPr>
              <w:t xml:space="preserve"> de satisfacción</w:t>
            </w:r>
            <w:r w:rsidR="001D1FF1">
              <w:rPr>
                <w:noProof/>
                <w:webHidden/>
              </w:rPr>
              <w:tab/>
            </w:r>
            <w:r w:rsidR="001D1FF1">
              <w:rPr>
                <w:noProof/>
                <w:webHidden/>
              </w:rPr>
              <w:fldChar w:fldCharType="begin"/>
            </w:r>
            <w:r w:rsidR="001D1FF1">
              <w:rPr>
                <w:noProof/>
                <w:webHidden/>
              </w:rPr>
              <w:instrText xml:space="preserve"> PAGEREF _Toc120891063 \h </w:instrText>
            </w:r>
            <w:r w:rsidR="001D1FF1">
              <w:rPr>
                <w:noProof/>
                <w:webHidden/>
              </w:rPr>
            </w:r>
            <w:r w:rsidR="001D1FF1">
              <w:rPr>
                <w:noProof/>
                <w:webHidden/>
              </w:rPr>
              <w:fldChar w:fldCharType="separate"/>
            </w:r>
            <w:r w:rsidR="00846E0D">
              <w:rPr>
                <w:noProof/>
                <w:webHidden/>
              </w:rPr>
              <w:t>18</w:t>
            </w:r>
            <w:r w:rsidR="001D1FF1">
              <w:rPr>
                <w:noProof/>
                <w:webHidden/>
              </w:rPr>
              <w:fldChar w:fldCharType="end"/>
            </w:r>
          </w:hyperlink>
        </w:p>
        <w:p w14:paraId="65171578" w14:textId="29ABB83B" w:rsidR="001D1FF1" w:rsidRDefault="00000000">
          <w:pPr>
            <w:pStyle w:val="TDC2"/>
            <w:rPr>
              <w:rFonts w:asciiTheme="minorHAnsi" w:eastAsiaTheme="minorEastAsia" w:hAnsiTheme="minorHAnsi" w:cstheme="minorBidi"/>
              <w:noProof/>
              <w:sz w:val="22"/>
              <w:szCs w:val="22"/>
            </w:rPr>
          </w:pPr>
          <w:hyperlink w:anchor="_Toc120891064" w:history="1">
            <w:r w:rsidR="001D1FF1" w:rsidRPr="00844D01">
              <w:rPr>
                <w:rStyle w:val="Hipervnculo"/>
                <w:noProof/>
                <w:lang w:val="es-ES"/>
              </w:rPr>
              <w:t>C. Otras medidas solicitadas</w:t>
            </w:r>
            <w:r w:rsidR="001D1FF1">
              <w:rPr>
                <w:noProof/>
                <w:webHidden/>
              </w:rPr>
              <w:tab/>
            </w:r>
            <w:r w:rsidR="001D1FF1">
              <w:rPr>
                <w:noProof/>
                <w:webHidden/>
              </w:rPr>
              <w:fldChar w:fldCharType="begin"/>
            </w:r>
            <w:r w:rsidR="001D1FF1">
              <w:rPr>
                <w:noProof/>
                <w:webHidden/>
              </w:rPr>
              <w:instrText xml:space="preserve"> PAGEREF _Toc120891064 \h </w:instrText>
            </w:r>
            <w:r w:rsidR="001D1FF1">
              <w:rPr>
                <w:noProof/>
                <w:webHidden/>
              </w:rPr>
            </w:r>
            <w:r w:rsidR="001D1FF1">
              <w:rPr>
                <w:noProof/>
                <w:webHidden/>
              </w:rPr>
              <w:fldChar w:fldCharType="separate"/>
            </w:r>
            <w:r w:rsidR="00846E0D">
              <w:rPr>
                <w:noProof/>
                <w:webHidden/>
              </w:rPr>
              <w:t>19</w:t>
            </w:r>
            <w:r w:rsidR="001D1FF1">
              <w:rPr>
                <w:noProof/>
                <w:webHidden/>
              </w:rPr>
              <w:fldChar w:fldCharType="end"/>
            </w:r>
          </w:hyperlink>
        </w:p>
        <w:p w14:paraId="419F9A66" w14:textId="6C274AEF" w:rsidR="001D1FF1" w:rsidRDefault="00000000">
          <w:pPr>
            <w:pStyle w:val="TDC2"/>
            <w:rPr>
              <w:rFonts w:asciiTheme="minorHAnsi" w:eastAsiaTheme="minorEastAsia" w:hAnsiTheme="minorHAnsi" w:cstheme="minorBidi"/>
              <w:noProof/>
              <w:sz w:val="22"/>
              <w:szCs w:val="22"/>
            </w:rPr>
          </w:pPr>
          <w:hyperlink w:anchor="_Toc120891065" w:history="1">
            <w:r w:rsidR="001D1FF1" w:rsidRPr="00844D01">
              <w:rPr>
                <w:rStyle w:val="Hipervnculo"/>
                <w:noProof/>
                <w:lang w:val="es-ES"/>
              </w:rPr>
              <w:t>D. Indemnizaciones compensatorias</w:t>
            </w:r>
            <w:r w:rsidR="001D1FF1">
              <w:rPr>
                <w:noProof/>
                <w:webHidden/>
              </w:rPr>
              <w:tab/>
            </w:r>
            <w:r w:rsidR="001D1FF1">
              <w:rPr>
                <w:noProof/>
                <w:webHidden/>
              </w:rPr>
              <w:fldChar w:fldCharType="begin"/>
            </w:r>
            <w:r w:rsidR="001D1FF1">
              <w:rPr>
                <w:noProof/>
                <w:webHidden/>
              </w:rPr>
              <w:instrText xml:space="preserve"> PAGEREF _Toc120891065 \h </w:instrText>
            </w:r>
            <w:r w:rsidR="001D1FF1">
              <w:rPr>
                <w:noProof/>
                <w:webHidden/>
              </w:rPr>
            </w:r>
            <w:r w:rsidR="001D1FF1">
              <w:rPr>
                <w:noProof/>
                <w:webHidden/>
              </w:rPr>
              <w:fldChar w:fldCharType="separate"/>
            </w:r>
            <w:r w:rsidR="00846E0D">
              <w:rPr>
                <w:noProof/>
                <w:webHidden/>
              </w:rPr>
              <w:t>20</w:t>
            </w:r>
            <w:r w:rsidR="001D1FF1">
              <w:rPr>
                <w:noProof/>
                <w:webHidden/>
              </w:rPr>
              <w:fldChar w:fldCharType="end"/>
            </w:r>
          </w:hyperlink>
        </w:p>
        <w:p w14:paraId="22F313EC" w14:textId="5A9EC411" w:rsidR="001D1FF1" w:rsidRDefault="00000000">
          <w:pPr>
            <w:pStyle w:val="TDC2"/>
            <w:rPr>
              <w:rFonts w:asciiTheme="minorHAnsi" w:eastAsiaTheme="minorEastAsia" w:hAnsiTheme="minorHAnsi" w:cstheme="minorBidi"/>
              <w:noProof/>
              <w:sz w:val="22"/>
              <w:szCs w:val="22"/>
            </w:rPr>
          </w:pPr>
          <w:hyperlink w:anchor="_Toc120891066" w:history="1">
            <w:r w:rsidR="001D1FF1" w:rsidRPr="00844D01">
              <w:rPr>
                <w:rStyle w:val="Hipervnculo"/>
                <w:noProof/>
                <w:lang w:val="es-ES"/>
              </w:rPr>
              <w:t>E. Costas y gastos</w:t>
            </w:r>
            <w:r w:rsidR="001D1FF1">
              <w:rPr>
                <w:noProof/>
                <w:webHidden/>
              </w:rPr>
              <w:tab/>
            </w:r>
            <w:r w:rsidR="001D1FF1">
              <w:rPr>
                <w:noProof/>
                <w:webHidden/>
              </w:rPr>
              <w:fldChar w:fldCharType="begin"/>
            </w:r>
            <w:r w:rsidR="001D1FF1">
              <w:rPr>
                <w:noProof/>
                <w:webHidden/>
              </w:rPr>
              <w:instrText xml:space="preserve"> PAGEREF _Toc120891066 \h </w:instrText>
            </w:r>
            <w:r w:rsidR="001D1FF1">
              <w:rPr>
                <w:noProof/>
                <w:webHidden/>
              </w:rPr>
            </w:r>
            <w:r w:rsidR="001D1FF1">
              <w:rPr>
                <w:noProof/>
                <w:webHidden/>
              </w:rPr>
              <w:fldChar w:fldCharType="separate"/>
            </w:r>
            <w:r w:rsidR="00846E0D">
              <w:rPr>
                <w:noProof/>
                <w:webHidden/>
              </w:rPr>
              <w:t>21</w:t>
            </w:r>
            <w:r w:rsidR="001D1FF1">
              <w:rPr>
                <w:noProof/>
                <w:webHidden/>
              </w:rPr>
              <w:fldChar w:fldCharType="end"/>
            </w:r>
          </w:hyperlink>
        </w:p>
        <w:p w14:paraId="6250088B" w14:textId="56610C5E" w:rsidR="001D1FF1" w:rsidRDefault="00000000">
          <w:pPr>
            <w:pStyle w:val="TDC2"/>
            <w:rPr>
              <w:rFonts w:asciiTheme="minorHAnsi" w:eastAsiaTheme="minorEastAsia" w:hAnsiTheme="minorHAnsi" w:cstheme="minorBidi"/>
              <w:noProof/>
              <w:sz w:val="22"/>
              <w:szCs w:val="22"/>
            </w:rPr>
          </w:pPr>
          <w:hyperlink w:anchor="_Toc120891067" w:history="1">
            <w:r w:rsidR="001D1FF1" w:rsidRPr="00844D01">
              <w:rPr>
                <w:rStyle w:val="Hipervnculo"/>
                <w:noProof/>
                <w:lang w:val="es-ES"/>
              </w:rPr>
              <w:t>F. Reintegro de los gastos al Fondo de Asistencia Legal de Víctimas de la Corte Interamericana</w:t>
            </w:r>
            <w:r w:rsidR="001D1FF1">
              <w:rPr>
                <w:noProof/>
                <w:webHidden/>
              </w:rPr>
              <w:tab/>
            </w:r>
            <w:r w:rsidR="001D1FF1">
              <w:rPr>
                <w:noProof/>
                <w:webHidden/>
              </w:rPr>
              <w:fldChar w:fldCharType="begin"/>
            </w:r>
            <w:r w:rsidR="001D1FF1">
              <w:rPr>
                <w:noProof/>
                <w:webHidden/>
              </w:rPr>
              <w:instrText xml:space="preserve"> PAGEREF _Toc120891067 \h </w:instrText>
            </w:r>
            <w:r w:rsidR="001D1FF1">
              <w:rPr>
                <w:noProof/>
                <w:webHidden/>
              </w:rPr>
            </w:r>
            <w:r w:rsidR="001D1FF1">
              <w:rPr>
                <w:noProof/>
                <w:webHidden/>
              </w:rPr>
              <w:fldChar w:fldCharType="separate"/>
            </w:r>
            <w:r w:rsidR="00846E0D">
              <w:rPr>
                <w:noProof/>
                <w:webHidden/>
              </w:rPr>
              <w:t>21</w:t>
            </w:r>
            <w:r w:rsidR="001D1FF1">
              <w:rPr>
                <w:noProof/>
                <w:webHidden/>
              </w:rPr>
              <w:fldChar w:fldCharType="end"/>
            </w:r>
          </w:hyperlink>
        </w:p>
        <w:p w14:paraId="3364A519" w14:textId="62557A1F" w:rsidR="001D1FF1" w:rsidRDefault="00000000">
          <w:pPr>
            <w:pStyle w:val="TDC2"/>
            <w:rPr>
              <w:rFonts w:asciiTheme="minorHAnsi" w:eastAsiaTheme="minorEastAsia" w:hAnsiTheme="minorHAnsi" w:cstheme="minorBidi"/>
              <w:noProof/>
              <w:sz w:val="22"/>
              <w:szCs w:val="22"/>
            </w:rPr>
          </w:pPr>
          <w:hyperlink w:anchor="_Toc120891068" w:history="1">
            <w:r w:rsidR="001D1FF1" w:rsidRPr="00844D01">
              <w:rPr>
                <w:rStyle w:val="Hipervnculo"/>
                <w:noProof/>
                <w:lang w:val="es-ES"/>
              </w:rPr>
              <w:t>G. Modalidad de cumplimiento de los pagos ordenados</w:t>
            </w:r>
            <w:r w:rsidR="001D1FF1">
              <w:rPr>
                <w:noProof/>
                <w:webHidden/>
              </w:rPr>
              <w:tab/>
            </w:r>
            <w:r w:rsidR="001D1FF1">
              <w:rPr>
                <w:noProof/>
                <w:webHidden/>
              </w:rPr>
              <w:fldChar w:fldCharType="begin"/>
            </w:r>
            <w:r w:rsidR="001D1FF1">
              <w:rPr>
                <w:noProof/>
                <w:webHidden/>
              </w:rPr>
              <w:instrText xml:space="preserve"> PAGEREF _Toc120891068 \h </w:instrText>
            </w:r>
            <w:r w:rsidR="001D1FF1">
              <w:rPr>
                <w:noProof/>
                <w:webHidden/>
              </w:rPr>
            </w:r>
            <w:r w:rsidR="001D1FF1">
              <w:rPr>
                <w:noProof/>
                <w:webHidden/>
              </w:rPr>
              <w:fldChar w:fldCharType="separate"/>
            </w:r>
            <w:r w:rsidR="00846E0D">
              <w:rPr>
                <w:noProof/>
                <w:webHidden/>
              </w:rPr>
              <w:t>22</w:t>
            </w:r>
            <w:r w:rsidR="001D1FF1">
              <w:rPr>
                <w:noProof/>
                <w:webHidden/>
              </w:rPr>
              <w:fldChar w:fldCharType="end"/>
            </w:r>
          </w:hyperlink>
        </w:p>
        <w:p w14:paraId="371E7970" w14:textId="5F9A026F" w:rsidR="001D1FF1" w:rsidRDefault="00000000">
          <w:pPr>
            <w:pStyle w:val="TDC1"/>
            <w:rPr>
              <w:rFonts w:asciiTheme="minorHAnsi" w:eastAsiaTheme="minorEastAsia" w:hAnsiTheme="minorHAnsi" w:cstheme="minorBidi"/>
              <w:b w:val="0"/>
              <w:sz w:val="22"/>
              <w:szCs w:val="22"/>
            </w:rPr>
          </w:pPr>
          <w:hyperlink w:anchor="_Toc120891069" w:history="1">
            <w:r w:rsidR="001D1FF1" w:rsidRPr="00844D01">
              <w:rPr>
                <w:rStyle w:val="Hipervnculo"/>
                <w:lang w:val="es-ES"/>
              </w:rPr>
              <w:t>VIII PUNTOS RESOLUTIVOS</w:t>
            </w:r>
            <w:r w:rsidR="001D1FF1">
              <w:rPr>
                <w:webHidden/>
              </w:rPr>
              <w:tab/>
            </w:r>
            <w:r w:rsidR="001D1FF1">
              <w:rPr>
                <w:webHidden/>
              </w:rPr>
              <w:fldChar w:fldCharType="begin"/>
            </w:r>
            <w:r w:rsidR="001D1FF1">
              <w:rPr>
                <w:webHidden/>
              </w:rPr>
              <w:instrText xml:space="preserve"> PAGEREF _Toc120891069 \h </w:instrText>
            </w:r>
            <w:r w:rsidR="001D1FF1">
              <w:rPr>
                <w:webHidden/>
              </w:rPr>
            </w:r>
            <w:r w:rsidR="001D1FF1">
              <w:rPr>
                <w:webHidden/>
              </w:rPr>
              <w:fldChar w:fldCharType="separate"/>
            </w:r>
            <w:r w:rsidR="00846E0D">
              <w:rPr>
                <w:webHidden/>
              </w:rPr>
              <w:t>23</w:t>
            </w:r>
            <w:r w:rsidR="001D1FF1">
              <w:rPr>
                <w:webHidden/>
              </w:rPr>
              <w:fldChar w:fldCharType="end"/>
            </w:r>
          </w:hyperlink>
        </w:p>
        <w:p w14:paraId="0D479082" w14:textId="272590DC" w:rsidR="00616A72" w:rsidRPr="009E5CA3" w:rsidRDefault="00616A72" w:rsidP="00D213E1">
          <w:pPr>
            <w:tabs>
              <w:tab w:val="left" w:pos="993"/>
            </w:tabs>
            <w:spacing w:line="240" w:lineRule="auto"/>
            <w:rPr>
              <w:lang w:val="es-ES"/>
            </w:rPr>
          </w:pPr>
          <w:r w:rsidRPr="009E5CA3">
            <w:rPr>
              <w:b/>
              <w:bCs/>
              <w:noProof/>
              <w:lang w:val="es-ES"/>
            </w:rPr>
            <w:fldChar w:fldCharType="end"/>
          </w:r>
        </w:p>
      </w:sdtContent>
    </w:sdt>
    <w:p w14:paraId="1A77AF71" w14:textId="77777777" w:rsidR="00381212" w:rsidRPr="009E5CA3" w:rsidRDefault="00381212">
      <w:pPr>
        <w:widowControl/>
        <w:adjustRightInd/>
        <w:spacing w:after="160" w:line="259" w:lineRule="auto"/>
        <w:jc w:val="left"/>
        <w:textAlignment w:val="auto"/>
        <w:rPr>
          <w:rFonts w:cs="Verdana"/>
          <w:b/>
          <w:bCs/>
          <w:caps/>
          <w:snapToGrid w:val="0"/>
          <w:lang w:val="es-ES"/>
        </w:rPr>
      </w:pPr>
      <w:r w:rsidRPr="009E5CA3">
        <w:rPr>
          <w:lang w:val="es-ES"/>
        </w:rPr>
        <w:br w:type="page"/>
      </w:r>
    </w:p>
    <w:p w14:paraId="52DD7457" w14:textId="68B59DE8" w:rsidR="00935AEC" w:rsidRPr="009E5CA3" w:rsidRDefault="00616A72" w:rsidP="008E0797">
      <w:pPr>
        <w:pStyle w:val="Ttulo1"/>
        <w:rPr>
          <w:lang w:val="es-ES"/>
        </w:rPr>
      </w:pPr>
      <w:bookmarkStart w:id="4" w:name="_Toc120891044"/>
      <w:r w:rsidRPr="009E5CA3">
        <w:rPr>
          <w:lang w:val="es-ES"/>
        </w:rPr>
        <w:lastRenderedPageBreak/>
        <w:t>I</w:t>
      </w:r>
      <w:r w:rsidRPr="009E5CA3">
        <w:rPr>
          <w:lang w:val="es-ES"/>
        </w:rPr>
        <w:br/>
        <w:t>INTRODUCCIÓN DE LA CAUSA Y OBJETO DE LA CONTROVERSIA</w:t>
      </w:r>
      <w:bookmarkEnd w:id="4"/>
    </w:p>
    <w:p w14:paraId="6EDC14AE" w14:textId="3C1F1F3A" w:rsidR="00616A72" w:rsidRPr="009E5CA3" w:rsidRDefault="00616A72" w:rsidP="00A129F7">
      <w:pPr>
        <w:numPr>
          <w:ilvl w:val="0"/>
          <w:numId w:val="4"/>
        </w:numPr>
        <w:tabs>
          <w:tab w:val="left" w:pos="567"/>
          <w:tab w:val="num" w:pos="1569"/>
          <w:tab w:val="num" w:pos="12305"/>
        </w:tabs>
        <w:spacing w:line="240" w:lineRule="auto"/>
        <w:ind w:left="0" w:firstLine="0"/>
        <w:rPr>
          <w:lang w:val="es-ES"/>
        </w:rPr>
      </w:pPr>
      <w:r w:rsidRPr="009E5CA3">
        <w:rPr>
          <w:i/>
          <w:lang w:val="es-ES"/>
        </w:rPr>
        <w:t xml:space="preserve">El caso sometido a la Corte. </w:t>
      </w:r>
      <w:r w:rsidRPr="009E5CA3">
        <w:rPr>
          <w:lang w:val="es-ES"/>
        </w:rPr>
        <w:t xml:space="preserve">– El </w:t>
      </w:r>
      <w:r w:rsidR="003D221C" w:rsidRPr="009E5CA3">
        <w:rPr>
          <w:lang w:val="es-ES"/>
        </w:rPr>
        <w:t>29</w:t>
      </w:r>
      <w:r w:rsidRPr="009E5CA3">
        <w:rPr>
          <w:lang w:val="es-ES"/>
        </w:rPr>
        <w:t xml:space="preserve"> de </w:t>
      </w:r>
      <w:r w:rsidR="003F4868" w:rsidRPr="009E5CA3">
        <w:rPr>
          <w:lang w:val="es-ES"/>
        </w:rPr>
        <w:t>junio</w:t>
      </w:r>
      <w:r w:rsidRPr="009E5CA3">
        <w:rPr>
          <w:lang w:val="es-ES"/>
        </w:rPr>
        <w:t xml:space="preserve"> de </w:t>
      </w:r>
      <w:r w:rsidR="00E85A5E" w:rsidRPr="009E5CA3">
        <w:rPr>
          <w:lang w:val="es-ES"/>
        </w:rPr>
        <w:t>202</w:t>
      </w:r>
      <w:r w:rsidR="00E85A5E" w:rsidRPr="00F55C96">
        <w:rPr>
          <w:lang w:val="es-ES"/>
        </w:rPr>
        <w:t>1</w:t>
      </w:r>
      <w:r w:rsidR="00E85A5E" w:rsidRPr="00E85A5E">
        <w:rPr>
          <w:lang w:val="es-ES"/>
        </w:rPr>
        <w:t xml:space="preserve"> </w:t>
      </w:r>
      <w:r w:rsidRPr="009E5CA3">
        <w:rPr>
          <w:lang w:val="es-ES"/>
        </w:rPr>
        <w:t xml:space="preserve">la Comisión Interamericana de </w:t>
      </w:r>
      <w:r w:rsidRPr="009E5CA3">
        <w:rPr>
          <w:iCs/>
          <w:lang w:val="es-ES"/>
        </w:rPr>
        <w:t>Derechos</w:t>
      </w:r>
      <w:r w:rsidRPr="009E5CA3">
        <w:rPr>
          <w:lang w:val="es-ES"/>
        </w:rPr>
        <w:t xml:space="preserve"> Humanos (en adelante “la Comisión Interamericana” o “la Comisión”) sometió a la </w:t>
      </w:r>
      <w:r w:rsidRPr="009E5CA3">
        <w:rPr>
          <w:iCs/>
          <w:lang w:val="es-ES"/>
        </w:rPr>
        <w:t>jurisdicción</w:t>
      </w:r>
      <w:r w:rsidRPr="009E5CA3">
        <w:rPr>
          <w:lang w:val="es-ES"/>
        </w:rPr>
        <w:t xml:space="preserve"> de la Corte </w:t>
      </w:r>
      <w:r w:rsidRPr="009E5CA3">
        <w:rPr>
          <w:iCs/>
          <w:lang w:val="es-ES"/>
        </w:rPr>
        <w:t>Interamericana</w:t>
      </w:r>
      <w:r w:rsidRPr="009E5CA3">
        <w:rPr>
          <w:lang w:val="es-ES"/>
        </w:rPr>
        <w:t xml:space="preserve"> el caso “</w:t>
      </w:r>
      <w:proofErr w:type="spellStart"/>
      <w:r w:rsidR="003D221C" w:rsidRPr="009E5CA3">
        <w:rPr>
          <w:lang w:val="es-ES"/>
        </w:rPr>
        <w:t>Reshi</w:t>
      </w:r>
      <w:proofErr w:type="spellEnd"/>
      <w:r w:rsidR="003D221C" w:rsidRPr="009E5CA3">
        <w:rPr>
          <w:lang w:val="es-ES"/>
        </w:rPr>
        <w:t xml:space="preserve"> </w:t>
      </w:r>
      <w:proofErr w:type="spellStart"/>
      <w:r w:rsidR="003D221C" w:rsidRPr="009E5CA3">
        <w:rPr>
          <w:lang w:val="es-ES"/>
        </w:rPr>
        <w:t>Bissoon</w:t>
      </w:r>
      <w:proofErr w:type="spellEnd"/>
      <w:r w:rsidR="003D221C" w:rsidRPr="009E5CA3">
        <w:rPr>
          <w:lang w:val="es-ES"/>
        </w:rPr>
        <w:t xml:space="preserve"> y Foster </w:t>
      </w:r>
      <w:proofErr w:type="spellStart"/>
      <w:r w:rsidR="003D221C" w:rsidRPr="009E5CA3">
        <w:rPr>
          <w:lang w:val="es-ES"/>
        </w:rPr>
        <w:t>Serrette</w:t>
      </w:r>
      <w:proofErr w:type="spellEnd"/>
      <w:r w:rsidR="000170D2" w:rsidRPr="009E5CA3">
        <w:rPr>
          <w:lang w:val="es-ES"/>
        </w:rPr>
        <w:t>”</w:t>
      </w:r>
      <w:r w:rsidRPr="009E5CA3">
        <w:rPr>
          <w:lang w:val="es-ES"/>
        </w:rPr>
        <w:t xml:space="preserve"> contra la</w:t>
      </w:r>
      <w:r w:rsidR="005B5CF7" w:rsidRPr="009E5CA3">
        <w:rPr>
          <w:lang w:val="es-ES"/>
        </w:rPr>
        <w:t xml:space="preserve"> </w:t>
      </w:r>
      <w:r w:rsidR="003F4868" w:rsidRPr="009E5CA3">
        <w:rPr>
          <w:lang w:val="es-ES"/>
        </w:rPr>
        <w:t>República de Trinidad y Tobago</w:t>
      </w:r>
      <w:r w:rsidR="000170D2" w:rsidRPr="009E5CA3">
        <w:rPr>
          <w:lang w:val="es-ES"/>
        </w:rPr>
        <w:t xml:space="preserve"> (en adelante “el Estado” o “</w:t>
      </w:r>
      <w:r w:rsidR="003D221C" w:rsidRPr="009E5CA3">
        <w:rPr>
          <w:lang w:val="es-ES"/>
        </w:rPr>
        <w:t>Trinidad y Tobago</w:t>
      </w:r>
      <w:r w:rsidR="000170D2" w:rsidRPr="009E5CA3">
        <w:rPr>
          <w:lang w:val="es-ES"/>
        </w:rPr>
        <w:t>”)</w:t>
      </w:r>
      <w:r w:rsidRPr="009E5CA3">
        <w:rPr>
          <w:lang w:val="es-ES"/>
        </w:rPr>
        <w:t xml:space="preserve">. De acuerdo con lo indicado por la Comisión, el caso se relaciona </w:t>
      </w:r>
      <w:r w:rsidR="000170D2" w:rsidRPr="009E5CA3">
        <w:rPr>
          <w:lang w:val="es-ES"/>
        </w:rPr>
        <w:t xml:space="preserve">con </w:t>
      </w:r>
      <w:r w:rsidR="00636257" w:rsidRPr="009E5CA3">
        <w:rPr>
          <w:lang w:val="es-ES"/>
        </w:rPr>
        <w:t xml:space="preserve">la alegada responsabilidad internacional del Estado por las alegadas falencias ocurridas en el marco </w:t>
      </w:r>
      <w:r w:rsidR="002E68A3">
        <w:rPr>
          <w:lang w:val="es-ES"/>
        </w:rPr>
        <w:t xml:space="preserve">de la detención y </w:t>
      </w:r>
      <w:r w:rsidR="00636257" w:rsidRPr="009E5CA3">
        <w:rPr>
          <w:lang w:val="es-ES"/>
        </w:rPr>
        <w:t>del proceso</w:t>
      </w:r>
      <w:r w:rsidR="003D221C" w:rsidRPr="009E5CA3">
        <w:rPr>
          <w:lang w:val="es-ES"/>
        </w:rPr>
        <w:t xml:space="preserve"> penal</w:t>
      </w:r>
      <w:r w:rsidR="00636257" w:rsidRPr="009E5CA3">
        <w:rPr>
          <w:lang w:val="es-ES"/>
        </w:rPr>
        <w:t xml:space="preserve"> que culminó en la condena a pena de muerte</w:t>
      </w:r>
      <w:r w:rsidR="003D221C" w:rsidRPr="009E5CA3">
        <w:rPr>
          <w:lang w:val="es-ES"/>
        </w:rPr>
        <w:t xml:space="preserve"> de las presuntas víctimas, así como las condiciones de detención incompatibles con el derecho a la integridad personal.</w:t>
      </w:r>
      <w:r w:rsidR="00636257" w:rsidRPr="009E5CA3">
        <w:rPr>
          <w:lang w:val="es-ES"/>
        </w:rPr>
        <w:t xml:space="preserve"> </w:t>
      </w:r>
      <w:r w:rsidR="00B06CD0" w:rsidRPr="009E5CA3">
        <w:rPr>
          <w:lang w:val="es-ES"/>
        </w:rPr>
        <w:t>En particular, la Comisión sometió a la jurisdicción de la Corte Interamericana los hechos y violaciones de derechos humanos descritos en el Informe de Fondo que ocurrieron durante la vigencia de la Convención Americana en Trinidad y Tobago, esto es, entre el 28 de mayo de 1991 y el 26 de mayo de 1999</w:t>
      </w:r>
      <w:r w:rsidR="00B06CD0" w:rsidRPr="009E5CA3">
        <w:rPr>
          <w:rStyle w:val="Refdenotaalpie"/>
          <w:lang w:val="es-ES"/>
        </w:rPr>
        <w:footnoteReference w:id="1"/>
      </w:r>
      <w:r w:rsidR="00B06CD0" w:rsidRPr="009E5CA3">
        <w:rPr>
          <w:lang w:val="es-ES"/>
        </w:rPr>
        <w:t>.</w:t>
      </w:r>
      <w:r w:rsidR="00B06CD0">
        <w:rPr>
          <w:lang w:val="es-ES"/>
        </w:rPr>
        <w:t xml:space="preserve"> </w:t>
      </w:r>
      <w:bookmarkStart w:id="5" w:name="_Hlk119313452"/>
      <w:r w:rsidR="000170D2" w:rsidRPr="009E5CA3">
        <w:rPr>
          <w:lang w:val="es-ES"/>
        </w:rPr>
        <w:t xml:space="preserve">La Comisión concluyó que </w:t>
      </w:r>
      <w:r w:rsidR="00636257" w:rsidRPr="009E5CA3">
        <w:rPr>
          <w:lang w:val="es-ES"/>
        </w:rPr>
        <w:t>lo anterior</w:t>
      </w:r>
      <w:r w:rsidR="00B06CD0">
        <w:rPr>
          <w:lang w:val="es-ES"/>
        </w:rPr>
        <w:t>mente señalado</w:t>
      </w:r>
      <w:r w:rsidR="00635E86" w:rsidRPr="009E5CA3">
        <w:rPr>
          <w:lang w:val="es-ES"/>
        </w:rPr>
        <w:t xml:space="preserve"> s</w:t>
      </w:r>
      <w:r w:rsidR="000170D2" w:rsidRPr="009E5CA3">
        <w:rPr>
          <w:lang w:val="es-ES"/>
        </w:rPr>
        <w:t xml:space="preserve">upuso la violación de los derechos reconocidos en los artículos </w:t>
      </w:r>
      <w:r w:rsidR="00636257" w:rsidRPr="009E5CA3">
        <w:rPr>
          <w:lang w:val="es-ES"/>
        </w:rPr>
        <w:t>7</w:t>
      </w:r>
      <w:r w:rsidR="003D221C" w:rsidRPr="009E5CA3">
        <w:rPr>
          <w:lang w:val="es-ES"/>
        </w:rPr>
        <w:t>.5</w:t>
      </w:r>
      <w:r w:rsidR="00636257" w:rsidRPr="009E5CA3">
        <w:rPr>
          <w:lang w:val="es-ES"/>
        </w:rPr>
        <w:t xml:space="preserve"> (derecho a la libertad personal), 8</w:t>
      </w:r>
      <w:r w:rsidR="00BB4425" w:rsidRPr="009E5CA3">
        <w:rPr>
          <w:lang w:val="es-ES"/>
        </w:rPr>
        <w:t>.1</w:t>
      </w:r>
      <w:r w:rsidR="00636257" w:rsidRPr="009E5CA3">
        <w:rPr>
          <w:lang w:val="es-ES"/>
        </w:rPr>
        <w:t xml:space="preserve"> (garantías judiciales) </w:t>
      </w:r>
      <w:r w:rsidR="000170D2" w:rsidRPr="009E5CA3">
        <w:rPr>
          <w:lang w:val="es-ES"/>
        </w:rPr>
        <w:t xml:space="preserve">y </w:t>
      </w:r>
      <w:r w:rsidR="00636257" w:rsidRPr="009E5CA3">
        <w:rPr>
          <w:lang w:val="es-ES"/>
        </w:rPr>
        <w:t>25</w:t>
      </w:r>
      <w:r w:rsidR="003D221C" w:rsidRPr="009E5CA3">
        <w:rPr>
          <w:lang w:val="es-ES"/>
        </w:rPr>
        <w:t>.1</w:t>
      </w:r>
      <w:r w:rsidR="000170D2" w:rsidRPr="009E5CA3">
        <w:rPr>
          <w:lang w:val="es-ES"/>
        </w:rPr>
        <w:t xml:space="preserve"> (</w:t>
      </w:r>
      <w:r w:rsidR="00636257" w:rsidRPr="009E5CA3">
        <w:rPr>
          <w:lang w:val="es-ES"/>
        </w:rPr>
        <w:t>protección judicial</w:t>
      </w:r>
      <w:r w:rsidR="000170D2" w:rsidRPr="009E5CA3">
        <w:rPr>
          <w:lang w:val="es-ES"/>
        </w:rPr>
        <w:t xml:space="preserve">) de la Convención Americana, en relación con </w:t>
      </w:r>
      <w:r w:rsidR="003D221C" w:rsidRPr="009E5CA3">
        <w:rPr>
          <w:lang w:val="es-ES"/>
        </w:rPr>
        <w:t>el</w:t>
      </w:r>
      <w:r w:rsidR="000170D2" w:rsidRPr="009E5CA3">
        <w:rPr>
          <w:lang w:val="es-ES"/>
        </w:rPr>
        <w:t xml:space="preserve"> artículo 1.1, en perjuicio de </w:t>
      </w:r>
      <w:r w:rsidR="00636257" w:rsidRPr="009E5CA3">
        <w:rPr>
          <w:lang w:val="es-ES"/>
        </w:rPr>
        <w:t xml:space="preserve">los señores </w:t>
      </w:r>
      <w:proofErr w:type="spellStart"/>
      <w:r w:rsidR="003D221C" w:rsidRPr="009E5CA3">
        <w:rPr>
          <w:lang w:val="es-ES"/>
        </w:rPr>
        <w:t>Reshi</w:t>
      </w:r>
      <w:proofErr w:type="spellEnd"/>
      <w:r w:rsidR="003D221C" w:rsidRPr="009E5CA3">
        <w:rPr>
          <w:lang w:val="es-ES"/>
        </w:rPr>
        <w:t xml:space="preserve"> </w:t>
      </w:r>
      <w:proofErr w:type="spellStart"/>
      <w:r w:rsidR="003D221C" w:rsidRPr="009E5CA3">
        <w:rPr>
          <w:lang w:val="es-ES"/>
        </w:rPr>
        <w:t>Bissoon</w:t>
      </w:r>
      <w:proofErr w:type="spellEnd"/>
      <w:r w:rsidR="003D221C" w:rsidRPr="009E5CA3">
        <w:rPr>
          <w:lang w:val="es-ES"/>
        </w:rPr>
        <w:t xml:space="preserve"> y Foster </w:t>
      </w:r>
      <w:proofErr w:type="spellStart"/>
      <w:r w:rsidR="003D221C" w:rsidRPr="009E5CA3">
        <w:rPr>
          <w:lang w:val="es-ES"/>
        </w:rPr>
        <w:t>Serrette</w:t>
      </w:r>
      <w:proofErr w:type="spellEnd"/>
      <w:r w:rsidR="00636257" w:rsidRPr="009E5CA3">
        <w:rPr>
          <w:lang w:val="es-ES"/>
        </w:rPr>
        <w:t>.</w:t>
      </w:r>
      <w:r w:rsidR="002B3CFD" w:rsidRPr="009E5CA3">
        <w:rPr>
          <w:lang w:val="es-ES"/>
        </w:rPr>
        <w:t xml:space="preserve"> </w:t>
      </w:r>
    </w:p>
    <w:bookmarkEnd w:id="5"/>
    <w:p w14:paraId="10E403C9" w14:textId="77777777" w:rsidR="00D81D4E" w:rsidRPr="009E5CA3" w:rsidRDefault="00D81D4E" w:rsidP="00616A72">
      <w:pPr>
        <w:pStyle w:val="Prrafodelista"/>
        <w:spacing w:line="240" w:lineRule="auto"/>
        <w:ind w:left="0"/>
        <w:rPr>
          <w:lang w:val="es-ES"/>
        </w:rPr>
      </w:pPr>
    </w:p>
    <w:p w14:paraId="36AA8F84" w14:textId="77777777" w:rsidR="00616A72" w:rsidRPr="009E5CA3" w:rsidRDefault="00616A72" w:rsidP="00A129F7">
      <w:pPr>
        <w:numPr>
          <w:ilvl w:val="0"/>
          <w:numId w:val="4"/>
        </w:numPr>
        <w:tabs>
          <w:tab w:val="left" w:pos="567"/>
          <w:tab w:val="num" w:pos="1569"/>
          <w:tab w:val="num" w:pos="12305"/>
        </w:tabs>
        <w:spacing w:line="240" w:lineRule="auto"/>
        <w:ind w:left="0" w:firstLine="0"/>
        <w:rPr>
          <w:lang w:val="es-ES"/>
        </w:rPr>
      </w:pPr>
      <w:bookmarkStart w:id="6" w:name="_Ref15466599"/>
      <w:r w:rsidRPr="009E5CA3">
        <w:rPr>
          <w:i/>
          <w:lang w:val="es-ES"/>
        </w:rPr>
        <w:t>Trámite ante la Comisión.</w:t>
      </w:r>
      <w:r w:rsidRPr="009E5CA3">
        <w:rPr>
          <w:lang w:val="es-ES"/>
        </w:rPr>
        <w:t xml:space="preserve"> – El </w:t>
      </w:r>
      <w:r w:rsidRPr="009E5CA3">
        <w:rPr>
          <w:iCs/>
          <w:lang w:val="es-ES"/>
        </w:rPr>
        <w:t>trámite</w:t>
      </w:r>
      <w:r w:rsidRPr="009E5CA3">
        <w:rPr>
          <w:lang w:val="es-ES"/>
        </w:rPr>
        <w:t xml:space="preserve"> ante la Comisión fue el siguiente:</w:t>
      </w:r>
      <w:bookmarkEnd w:id="6"/>
    </w:p>
    <w:p w14:paraId="48507D31" w14:textId="77777777" w:rsidR="00616A72" w:rsidRPr="009E5CA3" w:rsidRDefault="00616A72" w:rsidP="00616A72">
      <w:pPr>
        <w:pStyle w:val="Prrafodelista"/>
        <w:spacing w:line="240" w:lineRule="auto"/>
        <w:rPr>
          <w:lang w:val="es-ES"/>
        </w:rPr>
      </w:pPr>
    </w:p>
    <w:p w14:paraId="52DF8A28" w14:textId="468FD3B0" w:rsidR="00616A72" w:rsidRPr="009E5CA3" w:rsidRDefault="00616A72" w:rsidP="00A129F7">
      <w:pPr>
        <w:pStyle w:val="Prrafodelista"/>
        <w:widowControl/>
        <w:numPr>
          <w:ilvl w:val="0"/>
          <w:numId w:val="6"/>
        </w:numPr>
        <w:adjustRightInd/>
        <w:spacing w:line="240" w:lineRule="auto"/>
        <w:textAlignment w:val="auto"/>
        <w:rPr>
          <w:lang w:val="es-ES"/>
        </w:rPr>
      </w:pPr>
      <w:r w:rsidRPr="009E5CA3">
        <w:rPr>
          <w:i/>
          <w:lang w:val="es-ES"/>
        </w:rPr>
        <w:t xml:space="preserve">Petición. </w:t>
      </w:r>
      <w:r w:rsidRPr="009E5CA3">
        <w:rPr>
          <w:lang w:val="es-ES"/>
        </w:rPr>
        <w:t xml:space="preserve">– </w:t>
      </w:r>
      <w:r w:rsidR="00455A7F" w:rsidRPr="009E5CA3">
        <w:rPr>
          <w:lang w:val="es-ES"/>
        </w:rPr>
        <w:t xml:space="preserve">Los días </w:t>
      </w:r>
      <w:r w:rsidR="00A354F3" w:rsidRPr="009E5CA3">
        <w:rPr>
          <w:lang w:val="es-ES"/>
        </w:rPr>
        <w:t xml:space="preserve">2 de junio y </w:t>
      </w:r>
      <w:r w:rsidR="00455A7F" w:rsidRPr="009E5CA3">
        <w:rPr>
          <w:lang w:val="es-ES"/>
        </w:rPr>
        <w:t>29 de agosto de 2005</w:t>
      </w:r>
      <w:r w:rsidRPr="009E5CA3">
        <w:rPr>
          <w:lang w:val="es-ES"/>
        </w:rPr>
        <w:t xml:space="preserve"> </w:t>
      </w:r>
      <w:r w:rsidR="008A7612" w:rsidRPr="009E5CA3">
        <w:rPr>
          <w:lang w:val="es-ES"/>
        </w:rPr>
        <w:t xml:space="preserve">la firma </w:t>
      </w:r>
      <w:r w:rsidR="00455A7F" w:rsidRPr="009E5CA3">
        <w:rPr>
          <w:lang w:val="es-ES"/>
        </w:rPr>
        <w:t>“Herbert-</w:t>
      </w:r>
      <w:proofErr w:type="spellStart"/>
      <w:r w:rsidR="00455A7F" w:rsidRPr="009E5CA3">
        <w:rPr>
          <w:lang w:val="es-ES"/>
        </w:rPr>
        <w:t>Smitth</w:t>
      </w:r>
      <w:proofErr w:type="spellEnd"/>
      <w:r w:rsidR="00455A7F" w:rsidRPr="009E5CA3">
        <w:rPr>
          <w:lang w:val="es-ES"/>
        </w:rPr>
        <w:t xml:space="preserve"> LLP” </w:t>
      </w:r>
      <w:r w:rsidR="00BF618E" w:rsidRPr="009E5CA3">
        <w:rPr>
          <w:lang w:val="es-ES"/>
        </w:rPr>
        <w:t>present</w:t>
      </w:r>
      <w:r w:rsidR="00992CA7" w:rsidRPr="009E5CA3">
        <w:rPr>
          <w:lang w:val="es-ES"/>
        </w:rPr>
        <w:t xml:space="preserve">ó </w:t>
      </w:r>
      <w:r w:rsidRPr="009E5CA3">
        <w:rPr>
          <w:lang w:val="es-ES"/>
        </w:rPr>
        <w:t>la petición inicial ante la Comisión</w:t>
      </w:r>
      <w:r w:rsidR="00455A7F" w:rsidRPr="009E5CA3">
        <w:rPr>
          <w:lang w:val="es-ES"/>
        </w:rPr>
        <w:t>.</w:t>
      </w:r>
      <w:r w:rsidRPr="009E5CA3">
        <w:rPr>
          <w:b/>
          <w:lang w:val="es-ES"/>
        </w:rPr>
        <w:t xml:space="preserve"> </w:t>
      </w:r>
    </w:p>
    <w:p w14:paraId="3693F338" w14:textId="77777777" w:rsidR="00455A7F" w:rsidRPr="009E5CA3" w:rsidRDefault="00455A7F" w:rsidP="00455A7F">
      <w:pPr>
        <w:pStyle w:val="Prrafodelista"/>
        <w:widowControl/>
        <w:adjustRightInd/>
        <w:spacing w:line="240" w:lineRule="auto"/>
        <w:ind w:left="720"/>
        <w:textAlignment w:val="auto"/>
        <w:rPr>
          <w:lang w:val="es-ES"/>
        </w:rPr>
      </w:pPr>
    </w:p>
    <w:p w14:paraId="64C3F3B3" w14:textId="1DE3DDC6" w:rsidR="00616A72" w:rsidRPr="009E5CA3" w:rsidRDefault="00455A7F" w:rsidP="00413D28">
      <w:pPr>
        <w:widowControl/>
        <w:numPr>
          <w:ilvl w:val="0"/>
          <w:numId w:val="6"/>
        </w:numPr>
        <w:tabs>
          <w:tab w:val="left" w:pos="567"/>
          <w:tab w:val="num" w:pos="12305"/>
        </w:tabs>
        <w:adjustRightInd/>
        <w:spacing w:line="240" w:lineRule="auto"/>
        <w:textAlignment w:val="auto"/>
        <w:rPr>
          <w:lang w:val="es-ES"/>
        </w:rPr>
      </w:pPr>
      <w:bookmarkStart w:id="7" w:name="_Hlk107857964"/>
      <w:r w:rsidRPr="009E5CA3">
        <w:rPr>
          <w:i/>
          <w:lang w:val="es-ES"/>
        </w:rPr>
        <w:t>Medidas cautelares.</w:t>
      </w:r>
      <w:r w:rsidRPr="009E5CA3">
        <w:rPr>
          <w:lang w:val="es-ES"/>
        </w:rPr>
        <w:t xml:space="preserve"> – </w:t>
      </w:r>
      <w:bookmarkStart w:id="8" w:name="_Hlk109120277"/>
      <w:bookmarkEnd w:id="7"/>
      <w:r w:rsidRPr="009E5CA3">
        <w:rPr>
          <w:lang w:val="es-ES"/>
        </w:rPr>
        <w:t>Asimismo, junto con la</w:t>
      </w:r>
      <w:r w:rsidR="0035403B" w:rsidRPr="009E5CA3">
        <w:rPr>
          <w:lang w:val="es-ES"/>
        </w:rPr>
        <w:t xml:space="preserve"> </w:t>
      </w:r>
      <w:r w:rsidRPr="009E5CA3">
        <w:rPr>
          <w:lang w:val="es-ES"/>
        </w:rPr>
        <w:t>petición</w:t>
      </w:r>
      <w:r w:rsidR="009E5CA3" w:rsidRPr="009E5CA3">
        <w:rPr>
          <w:lang w:val="es-ES"/>
        </w:rPr>
        <w:t xml:space="preserve"> </w:t>
      </w:r>
      <w:r w:rsidRPr="009E5CA3">
        <w:rPr>
          <w:lang w:val="es-ES"/>
        </w:rPr>
        <w:t xml:space="preserve">inicial los peticionarios </w:t>
      </w:r>
      <w:r w:rsidR="009E5CA3" w:rsidRPr="009E5CA3">
        <w:rPr>
          <w:lang w:val="es-ES"/>
        </w:rPr>
        <w:t>requirieron</w:t>
      </w:r>
      <w:r w:rsidR="0035403B" w:rsidRPr="009E5CA3">
        <w:rPr>
          <w:lang w:val="es-ES"/>
        </w:rPr>
        <w:t xml:space="preserve"> </w:t>
      </w:r>
      <w:r w:rsidRPr="009E5CA3">
        <w:rPr>
          <w:lang w:val="es-ES"/>
        </w:rPr>
        <w:t xml:space="preserve">la adopción de medidas cautelares para evitar daños irreparables a los señores </w:t>
      </w:r>
      <w:proofErr w:type="spellStart"/>
      <w:r w:rsidRPr="009E5CA3">
        <w:rPr>
          <w:lang w:val="es-ES"/>
        </w:rPr>
        <w:t>Reshi</w:t>
      </w:r>
      <w:proofErr w:type="spellEnd"/>
      <w:r w:rsidRPr="009E5CA3">
        <w:rPr>
          <w:lang w:val="es-ES"/>
        </w:rPr>
        <w:t xml:space="preserve"> </w:t>
      </w:r>
      <w:proofErr w:type="spellStart"/>
      <w:r w:rsidRPr="009E5CA3">
        <w:rPr>
          <w:lang w:val="es-ES"/>
        </w:rPr>
        <w:t>Bissoon</w:t>
      </w:r>
      <w:proofErr w:type="spellEnd"/>
      <w:r w:rsidRPr="009E5CA3">
        <w:rPr>
          <w:lang w:val="es-ES"/>
        </w:rPr>
        <w:t xml:space="preserve"> y Foster </w:t>
      </w:r>
      <w:proofErr w:type="spellStart"/>
      <w:r w:rsidRPr="009E5CA3">
        <w:rPr>
          <w:lang w:val="es-ES"/>
        </w:rPr>
        <w:t>Serrette</w:t>
      </w:r>
      <w:proofErr w:type="spellEnd"/>
      <w:r w:rsidRPr="009E5CA3">
        <w:rPr>
          <w:lang w:val="es-ES"/>
        </w:rPr>
        <w:t xml:space="preserve">. Los días 20 de julio y 19 de septiembre </w:t>
      </w:r>
      <w:r w:rsidR="00D4513C" w:rsidRPr="009E5CA3">
        <w:rPr>
          <w:lang w:val="es-ES"/>
        </w:rPr>
        <w:t xml:space="preserve">de 2005 </w:t>
      </w:r>
      <w:r w:rsidRPr="009E5CA3">
        <w:rPr>
          <w:lang w:val="es-ES"/>
        </w:rPr>
        <w:t xml:space="preserve">la Comisión acordó la adopción de las </w:t>
      </w:r>
      <w:r w:rsidR="00D4513C" w:rsidRPr="009E5CA3">
        <w:rPr>
          <w:lang w:val="es-ES"/>
        </w:rPr>
        <w:t>referidas</w:t>
      </w:r>
      <w:r w:rsidRPr="009E5CA3">
        <w:rPr>
          <w:lang w:val="es-ES"/>
        </w:rPr>
        <w:t xml:space="preserve"> medidas cautelares</w:t>
      </w:r>
      <w:r w:rsidR="00D4513C" w:rsidRPr="009E5CA3">
        <w:rPr>
          <w:lang w:val="es-ES"/>
        </w:rPr>
        <w:t xml:space="preserve">. </w:t>
      </w:r>
    </w:p>
    <w:bookmarkEnd w:id="8"/>
    <w:p w14:paraId="6AE11BEC" w14:textId="77777777" w:rsidR="00662303" w:rsidRPr="009E5CA3" w:rsidRDefault="00662303" w:rsidP="00662303">
      <w:pPr>
        <w:widowControl/>
        <w:tabs>
          <w:tab w:val="left" w:pos="567"/>
        </w:tabs>
        <w:adjustRightInd/>
        <w:spacing w:line="240" w:lineRule="auto"/>
        <w:textAlignment w:val="auto"/>
        <w:rPr>
          <w:lang w:val="es-ES"/>
        </w:rPr>
      </w:pPr>
    </w:p>
    <w:p w14:paraId="4C690BB1" w14:textId="710C41F2" w:rsidR="00616A72" w:rsidRPr="009E5CA3" w:rsidRDefault="00616A72" w:rsidP="00A129F7">
      <w:pPr>
        <w:pStyle w:val="Prrafodelista"/>
        <w:widowControl/>
        <w:numPr>
          <w:ilvl w:val="0"/>
          <w:numId w:val="6"/>
        </w:numPr>
        <w:adjustRightInd/>
        <w:spacing w:line="240" w:lineRule="auto"/>
        <w:textAlignment w:val="auto"/>
        <w:rPr>
          <w:lang w:val="es-ES"/>
        </w:rPr>
      </w:pPr>
      <w:r w:rsidRPr="009E5CA3">
        <w:rPr>
          <w:i/>
          <w:lang w:val="es-ES"/>
        </w:rPr>
        <w:t>Informe de admisibilidad.</w:t>
      </w:r>
      <w:r w:rsidRPr="009E5CA3">
        <w:rPr>
          <w:lang w:val="es-ES"/>
        </w:rPr>
        <w:t xml:space="preserve"> </w:t>
      </w:r>
      <w:r w:rsidR="009B1A98" w:rsidRPr="009E5CA3">
        <w:rPr>
          <w:lang w:val="es-ES"/>
        </w:rPr>
        <w:t>–</w:t>
      </w:r>
      <w:r w:rsidRPr="009E5CA3">
        <w:rPr>
          <w:lang w:val="es-ES"/>
        </w:rPr>
        <w:t xml:space="preserve"> El </w:t>
      </w:r>
      <w:r w:rsidR="00816C0D" w:rsidRPr="009E5CA3">
        <w:rPr>
          <w:lang w:val="es-ES"/>
        </w:rPr>
        <w:t>13</w:t>
      </w:r>
      <w:r w:rsidRPr="009E5CA3">
        <w:rPr>
          <w:lang w:val="es-ES"/>
        </w:rPr>
        <w:t xml:space="preserve"> de </w:t>
      </w:r>
      <w:r w:rsidR="00816C0D" w:rsidRPr="009E5CA3">
        <w:rPr>
          <w:lang w:val="es-ES"/>
        </w:rPr>
        <w:t xml:space="preserve">noviembre de 2009 </w:t>
      </w:r>
      <w:r w:rsidRPr="009E5CA3">
        <w:rPr>
          <w:lang w:val="es-ES"/>
        </w:rPr>
        <w:t xml:space="preserve">la Comisión aprobó el Informe de Admisibilidad No. </w:t>
      </w:r>
      <w:r w:rsidR="00816C0D" w:rsidRPr="009E5CA3">
        <w:rPr>
          <w:lang w:val="es-ES"/>
        </w:rPr>
        <w:t>137</w:t>
      </w:r>
      <w:r w:rsidRPr="009E5CA3">
        <w:rPr>
          <w:lang w:val="es-ES"/>
        </w:rPr>
        <w:t>/</w:t>
      </w:r>
      <w:r w:rsidR="00816C0D" w:rsidRPr="009E5CA3">
        <w:rPr>
          <w:lang w:val="es-ES"/>
        </w:rPr>
        <w:t>09</w:t>
      </w:r>
      <w:r w:rsidRPr="009E5CA3">
        <w:rPr>
          <w:lang w:val="es-ES"/>
        </w:rPr>
        <w:t>, en el que concluyó que la petición era admisible</w:t>
      </w:r>
      <w:r w:rsidRPr="009E5CA3">
        <w:rPr>
          <w:rStyle w:val="Refdenotaalpie"/>
          <w:lang w:val="es-ES"/>
        </w:rPr>
        <w:footnoteReference w:id="2"/>
      </w:r>
      <w:r w:rsidRPr="009E5CA3">
        <w:rPr>
          <w:lang w:val="es-ES"/>
        </w:rPr>
        <w:t xml:space="preserve">. </w:t>
      </w:r>
    </w:p>
    <w:p w14:paraId="74F27431" w14:textId="77777777" w:rsidR="00616A72" w:rsidRPr="009E5CA3" w:rsidRDefault="00616A72" w:rsidP="00616A72">
      <w:pPr>
        <w:spacing w:line="240" w:lineRule="auto"/>
        <w:rPr>
          <w:lang w:val="es-ES"/>
        </w:rPr>
      </w:pPr>
    </w:p>
    <w:p w14:paraId="72F81175" w14:textId="2DAAF4B7" w:rsidR="000F25BD" w:rsidRPr="009E5CA3" w:rsidRDefault="00616A72" w:rsidP="00A129F7">
      <w:pPr>
        <w:pStyle w:val="Prrafodelista"/>
        <w:widowControl/>
        <w:numPr>
          <w:ilvl w:val="0"/>
          <w:numId w:val="6"/>
        </w:numPr>
        <w:adjustRightInd/>
        <w:spacing w:line="240" w:lineRule="auto"/>
        <w:textAlignment w:val="auto"/>
        <w:rPr>
          <w:lang w:val="es-ES"/>
        </w:rPr>
      </w:pPr>
      <w:r w:rsidRPr="009E5CA3">
        <w:rPr>
          <w:i/>
          <w:lang w:val="es-ES"/>
        </w:rPr>
        <w:t>Informe de Fondo.</w:t>
      </w:r>
      <w:r w:rsidRPr="009E5CA3">
        <w:rPr>
          <w:lang w:val="es-ES"/>
        </w:rPr>
        <w:t xml:space="preserve"> – El </w:t>
      </w:r>
      <w:r w:rsidR="00816C0D" w:rsidRPr="009E5CA3">
        <w:rPr>
          <w:lang w:val="es-ES"/>
        </w:rPr>
        <w:t>31</w:t>
      </w:r>
      <w:r w:rsidRPr="009E5CA3">
        <w:rPr>
          <w:lang w:val="es-ES"/>
        </w:rPr>
        <w:t xml:space="preserve"> de </w:t>
      </w:r>
      <w:r w:rsidR="00816C0D" w:rsidRPr="009E5CA3">
        <w:rPr>
          <w:lang w:val="es-ES"/>
        </w:rPr>
        <w:t>diciembre</w:t>
      </w:r>
      <w:r w:rsidRPr="009E5CA3">
        <w:rPr>
          <w:lang w:val="es-ES"/>
        </w:rPr>
        <w:t xml:space="preserve"> de </w:t>
      </w:r>
      <w:r w:rsidR="000F25BD" w:rsidRPr="009E5CA3">
        <w:rPr>
          <w:lang w:val="es-ES"/>
        </w:rPr>
        <w:t>20</w:t>
      </w:r>
      <w:r w:rsidR="00992CA7" w:rsidRPr="009E5CA3">
        <w:rPr>
          <w:lang w:val="es-ES"/>
        </w:rPr>
        <w:t>20</w:t>
      </w:r>
      <w:r w:rsidRPr="009E5CA3">
        <w:rPr>
          <w:lang w:val="es-ES"/>
        </w:rPr>
        <w:t xml:space="preserve"> la </w:t>
      </w:r>
      <w:r w:rsidR="000F25BD" w:rsidRPr="009E5CA3">
        <w:rPr>
          <w:lang w:val="es-ES"/>
        </w:rPr>
        <w:t>Comisión</w:t>
      </w:r>
      <w:r w:rsidRPr="009E5CA3">
        <w:rPr>
          <w:lang w:val="es-ES"/>
        </w:rPr>
        <w:t xml:space="preserve"> aprobó el Informe de Fondo No. </w:t>
      </w:r>
      <w:r w:rsidR="00816C0D" w:rsidRPr="009E5CA3">
        <w:rPr>
          <w:lang w:val="es-ES"/>
        </w:rPr>
        <w:t>398</w:t>
      </w:r>
      <w:r w:rsidRPr="009E5CA3">
        <w:rPr>
          <w:lang w:val="es-ES"/>
        </w:rPr>
        <w:t>/</w:t>
      </w:r>
      <w:r w:rsidR="006F41B3" w:rsidRPr="009E5CA3">
        <w:rPr>
          <w:lang w:val="es-ES"/>
        </w:rPr>
        <w:t>20</w:t>
      </w:r>
      <w:r w:rsidRPr="009E5CA3">
        <w:rPr>
          <w:lang w:val="es-ES"/>
        </w:rPr>
        <w:t xml:space="preserve">, de conformidad con el artículo 50 de la Convención (en adelante también “el Informe de Fondo” o “el Informe No. </w:t>
      </w:r>
      <w:r w:rsidR="00816C0D" w:rsidRPr="009E5CA3">
        <w:rPr>
          <w:lang w:val="es-ES"/>
        </w:rPr>
        <w:t>398</w:t>
      </w:r>
      <w:r w:rsidR="006F41B3" w:rsidRPr="009E5CA3">
        <w:rPr>
          <w:lang w:val="es-ES"/>
        </w:rPr>
        <w:t>/20</w:t>
      </w:r>
      <w:r w:rsidRPr="009E5CA3">
        <w:rPr>
          <w:lang w:val="es-ES"/>
        </w:rPr>
        <w:t>”), en el cual llegó a una serie de conclusiones, y formuló varias recomendaciones al Estado</w:t>
      </w:r>
      <w:r w:rsidR="000F25BD" w:rsidRPr="009E5CA3">
        <w:rPr>
          <w:lang w:val="es-ES"/>
        </w:rPr>
        <w:t>.</w:t>
      </w:r>
      <w:r w:rsidRPr="009E5CA3">
        <w:rPr>
          <w:lang w:val="es-ES"/>
        </w:rPr>
        <w:t xml:space="preserve"> </w:t>
      </w:r>
    </w:p>
    <w:p w14:paraId="53850F7D" w14:textId="77777777" w:rsidR="00616A72" w:rsidRPr="009E5CA3" w:rsidRDefault="00616A72" w:rsidP="00616A72">
      <w:pPr>
        <w:pStyle w:val="Prrafodelista"/>
        <w:widowControl/>
        <w:adjustRightInd/>
        <w:spacing w:line="240" w:lineRule="auto"/>
        <w:ind w:left="720"/>
        <w:textAlignment w:val="auto"/>
        <w:rPr>
          <w:lang w:val="es-ES"/>
        </w:rPr>
      </w:pPr>
    </w:p>
    <w:p w14:paraId="32B02027" w14:textId="14177E90" w:rsidR="00616A72" w:rsidRPr="009E5CA3" w:rsidRDefault="00616A72" w:rsidP="00A129F7">
      <w:pPr>
        <w:widowControl/>
        <w:numPr>
          <w:ilvl w:val="0"/>
          <w:numId w:val="6"/>
        </w:numPr>
        <w:tabs>
          <w:tab w:val="left" w:pos="567"/>
          <w:tab w:val="num" w:pos="12305"/>
        </w:tabs>
        <w:adjustRightInd/>
        <w:spacing w:line="240" w:lineRule="auto"/>
        <w:textAlignment w:val="auto"/>
        <w:rPr>
          <w:lang w:val="es-ES"/>
        </w:rPr>
      </w:pPr>
      <w:r w:rsidRPr="009E5CA3">
        <w:rPr>
          <w:i/>
          <w:lang w:val="es-ES"/>
        </w:rPr>
        <w:t>Notificación al Estado.</w:t>
      </w:r>
      <w:r w:rsidRPr="009E5CA3">
        <w:rPr>
          <w:lang w:val="es-ES"/>
        </w:rPr>
        <w:t xml:space="preserve"> – El Informe de Fondo fue notificado al Estado el </w:t>
      </w:r>
      <w:r w:rsidR="00816C0D" w:rsidRPr="009E5CA3">
        <w:rPr>
          <w:lang w:val="es-ES"/>
        </w:rPr>
        <w:t>29</w:t>
      </w:r>
      <w:r w:rsidR="00992CA7" w:rsidRPr="009E5CA3">
        <w:rPr>
          <w:lang w:val="es-ES"/>
        </w:rPr>
        <w:t xml:space="preserve"> de marzo de 2021 y se le otorgó </w:t>
      </w:r>
      <w:r w:rsidR="00241C08" w:rsidRPr="009E5CA3">
        <w:rPr>
          <w:lang w:val="es-ES"/>
        </w:rPr>
        <w:t xml:space="preserve">un plazo de dos meses para informar sobre el cumplimiento de las recomendaciones. </w:t>
      </w:r>
      <w:r w:rsidR="00992CA7" w:rsidRPr="009E5CA3">
        <w:rPr>
          <w:lang w:val="es-ES"/>
        </w:rPr>
        <w:t>Según</w:t>
      </w:r>
      <w:r w:rsidR="00241C08" w:rsidRPr="009E5CA3">
        <w:rPr>
          <w:lang w:val="es-ES"/>
        </w:rPr>
        <w:t xml:space="preserve"> lo indicado por la Comisión,</w:t>
      </w:r>
      <w:r w:rsidR="00992CA7" w:rsidRPr="009E5CA3">
        <w:rPr>
          <w:lang w:val="es-ES"/>
        </w:rPr>
        <w:t xml:space="preserve"> el Estado no remitió ningún informe ni solicitó ningún tipo de suspensión del plazo otorgado.</w:t>
      </w:r>
      <w:r w:rsidR="003C4D9C" w:rsidRPr="009E5CA3">
        <w:rPr>
          <w:lang w:val="es-ES"/>
        </w:rPr>
        <w:t xml:space="preserve"> </w:t>
      </w:r>
    </w:p>
    <w:p w14:paraId="73BC711F" w14:textId="77777777" w:rsidR="003D221C" w:rsidRPr="009E5CA3" w:rsidRDefault="003D221C" w:rsidP="003D221C">
      <w:pPr>
        <w:pStyle w:val="Prrafodelista"/>
        <w:rPr>
          <w:lang w:val="es-ES"/>
        </w:rPr>
      </w:pPr>
    </w:p>
    <w:p w14:paraId="69A03A3E" w14:textId="2A155D90" w:rsidR="00616A72" w:rsidRPr="009E5CA3" w:rsidRDefault="00616A72" w:rsidP="00B56528">
      <w:pPr>
        <w:numPr>
          <w:ilvl w:val="0"/>
          <w:numId w:val="4"/>
        </w:numPr>
        <w:tabs>
          <w:tab w:val="left" w:pos="567"/>
          <w:tab w:val="num" w:pos="1569"/>
          <w:tab w:val="num" w:pos="12305"/>
        </w:tabs>
        <w:spacing w:line="240" w:lineRule="auto"/>
        <w:ind w:left="0" w:firstLine="0"/>
        <w:rPr>
          <w:lang w:val="es-ES"/>
        </w:rPr>
      </w:pPr>
      <w:r w:rsidRPr="009E5CA3">
        <w:rPr>
          <w:i/>
          <w:lang w:val="es-ES"/>
        </w:rPr>
        <w:t>Sometimiento a la Corte.</w:t>
      </w:r>
      <w:r w:rsidRPr="009E5CA3">
        <w:rPr>
          <w:lang w:val="es-ES"/>
        </w:rPr>
        <w:t xml:space="preserve"> – El </w:t>
      </w:r>
      <w:r w:rsidR="00816C0D" w:rsidRPr="009E5CA3">
        <w:rPr>
          <w:lang w:val="es-ES"/>
        </w:rPr>
        <w:t>29</w:t>
      </w:r>
      <w:r w:rsidRPr="009E5CA3">
        <w:rPr>
          <w:lang w:val="es-ES"/>
        </w:rPr>
        <w:t xml:space="preserve"> de </w:t>
      </w:r>
      <w:r w:rsidR="00992CA7" w:rsidRPr="009E5CA3">
        <w:rPr>
          <w:lang w:val="es-ES"/>
        </w:rPr>
        <w:t>junio</w:t>
      </w:r>
      <w:r w:rsidRPr="009E5CA3">
        <w:rPr>
          <w:lang w:val="es-ES"/>
        </w:rPr>
        <w:t xml:space="preserve"> de </w:t>
      </w:r>
      <w:r w:rsidR="00992CA7" w:rsidRPr="009E5CA3">
        <w:rPr>
          <w:lang w:val="es-ES"/>
        </w:rPr>
        <w:t>20</w:t>
      </w:r>
      <w:r w:rsidR="00992CA7" w:rsidRPr="00E85A5E">
        <w:rPr>
          <w:lang w:val="es-ES"/>
        </w:rPr>
        <w:t>2</w:t>
      </w:r>
      <w:r w:rsidR="00E85A5E" w:rsidRPr="00F55C96">
        <w:rPr>
          <w:lang w:val="es-ES"/>
        </w:rPr>
        <w:t>1</w:t>
      </w:r>
      <w:r w:rsidRPr="00E85A5E">
        <w:rPr>
          <w:lang w:val="es-ES"/>
        </w:rPr>
        <w:t xml:space="preserve"> </w:t>
      </w:r>
      <w:r w:rsidRPr="009E5CA3">
        <w:rPr>
          <w:lang w:val="es-ES"/>
        </w:rPr>
        <w:t xml:space="preserve">la Comisión sometió a la jurisdicción de la Corte Interamericana </w:t>
      </w:r>
      <w:r w:rsidR="00B56528" w:rsidRPr="009E5CA3">
        <w:rPr>
          <w:lang w:val="es-ES"/>
        </w:rPr>
        <w:t xml:space="preserve">los hechos y violaciones de derechos humanos descritos en el Informe de Fondo que ocurrieron durante </w:t>
      </w:r>
      <w:r w:rsidR="00DB7FDC" w:rsidRPr="009E5CA3">
        <w:rPr>
          <w:lang w:val="es-ES"/>
        </w:rPr>
        <w:t xml:space="preserve">la vigencia de </w:t>
      </w:r>
      <w:r w:rsidR="00B56528" w:rsidRPr="009E5CA3">
        <w:rPr>
          <w:lang w:val="es-ES"/>
        </w:rPr>
        <w:t xml:space="preserve">la Convención Americana en Trinidad y Tobago, esto es, entre el 28 de mayo de 1991 y el 26 de mayo de 1999, </w:t>
      </w:r>
      <w:r w:rsidRPr="009E5CA3">
        <w:rPr>
          <w:lang w:val="es-ES"/>
        </w:rPr>
        <w:t>“ante la necesidad de obtención de justicia y reparación”</w:t>
      </w:r>
      <w:r w:rsidRPr="009E5CA3">
        <w:rPr>
          <w:rStyle w:val="Refdenotaalpie"/>
          <w:lang w:val="es-ES"/>
        </w:rPr>
        <w:footnoteReference w:id="3"/>
      </w:r>
      <w:r w:rsidRPr="009E5CA3">
        <w:rPr>
          <w:lang w:val="es-ES"/>
        </w:rPr>
        <w:t>.</w:t>
      </w:r>
      <w:r w:rsidR="00B56528" w:rsidRPr="009E5CA3">
        <w:rPr>
          <w:lang w:val="es-ES"/>
        </w:rPr>
        <w:t xml:space="preserve"> </w:t>
      </w:r>
    </w:p>
    <w:p w14:paraId="42E75588" w14:textId="77777777" w:rsidR="00616A72" w:rsidRPr="009E5CA3" w:rsidRDefault="00616A72" w:rsidP="00616A72">
      <w:pPr>
        <w:tabs>
          <w:tab w:val="left" w:pos="567"/>
        </w:tabs>
        <w:spacing w:line="240" w:lineRule="auto"/>
        <w:rPr>
          <w:lang w:val="es-ES"/>
        </w:rPr>
      </w:pPr>
    </w:p>
    <w:p w14:paraId="3FC929A8" w14:textId="4D95C656" w:rsidR="00616A72" w:rsidRPr="009E5CA3" w:rsidRDefault="00616A72" w:rsidP="00A129F7">
      <w:pPr>
        <w:numPr>
          <w:ilvl w:val="0"/>
          <w:numId w:val="4"/>
        </w:numPr>
        <w:tabs>
          <w:tab w:val="left" w:pos="567"/>
          <w:tab w:val="num" w:pos="1569"/>
          <w:tab w:val="num" w:pos="12305"/>
        </w:tabs>
        <w:spacing w:line="240" w:lineRule="auto"/>
        <w:ind w:left="0" w:firstLine="0"/>
        <w:rPr>
          <w:lang w:val="es-ES"/>
        </w:rPr>
      </w:pPr>
      <w:r w:rsidRPr="009E5CA3">
        <w:rPr>
          <w:i/>
          <w:lang w:val="es-ES"/>
        </w:rPr>
        <w:t xml:space="preserve">Solicitudes de la Comisión Interamericana. </w:t>
      </w:r>
      <w:r w:rsidRPr="009E5CA3">
        <w:rPr>
          <w:lang w:val="es-ES"/>
        </w:rPr>
        <w:t>– Con base en lo anterior, la Comisión solicitó a la Corte que declarara la responsabilidad internacional del Estado por las violaciones señaladas en su Informe de Fondo</w:t>
      </w:r>
      <w:r w:rsidR="00DD7336" w:rsidRPr="009E5CA3">
        <w:rPr>
          <w:lang w:val="es-ES"/>
        </w:rPr>
        <w:t xml:space="preserve"> ocurridas entre el 28 de mayo de 1991 y el 26 de mayo de 1999</w:t>
      </w:r>
      <w:r w:rsidRPr="009E5CA3">
        <w:rPr>
          <w:lang w:val="es-ES"/>
        </w:rPr>
        <w:t xml:space="preserve">. Asimismo, la Comisión solicitó a la Corte que ordenara al Estado medidas de reparación, las cuales se detallan y analizan en el Capítulo </w:t>
      </w:r>
      <w:r w:rsidR="00903A3B" w:rsidRPr="009E5CA3">
        <w:rPr>
          <w:lang w:val="es-ES"/>
        </w:rPr>
        <w:t>VII</w:t>
      </w:r>
      <w:r w:rsidRPr="009E5CA3">
        <w:rPr>
          <w:lang w:val="es-ES"/>
        </w:rPr>
        <w:t xml:space="preserve"> de la presente Sentencia.</w:t>
      </w:r>
      <w:r w:rsidR="008E330C" w:rsidRPr="009E5CA3">
        <w:t xml:space="preserve"> </w:t>
      </w:r>
      <w:r w:rsidR="008E330C" w:rsidRPr="009E5CA3">
        <w:rPr>
          <w:lang w:val="es-ES"/>
        </w:rPr>
        <w:t>Este Tribunal nota</w:t>
      </w:r>
      <w:r w:rsidR="00FC7D0E" w:rsidRPr="009E5CA3">
        <w:rPr>
          <w:lang w:val="es-ES"/>
        </w:rPr>
        <w:t xml:space="preserve"> con preocupación</w:t>
      </w:r>
      <w:r w:rsidR="008E330C" w:rsidRPr="009E5CA3">
        <w:rPr>
          <w:lang w:val="es-ES"/>
        </w:rPr>
        <w:t xml:space="preserve"> que, entre la presentación de la petición inicial ante la Comisión y el sometimiento del caso ante la Corte, han transcurrido </w:t>
      </w:r>
      <w:r w:rsidR="00DD7336" w:rsidRPr="009E5CA3">
        <w:rPr>
          <w:lang w:val="es-ES"/>
        </w:rPr>
        <w:t xml:space="preserve">más de </w:t>
      </w:r>
      <w:r w:rsidR="00A354F3" w:rsidRPr="009E5CA3">
        <w:rPr>
          <w:lang w:val="es-ES"/>
        </w:rPr>
        <w:t>16</w:t>
      </w:r>
      <w:r w:rsidR="00DD7336" w:rsidRPr="009E5CA3">
        <w:rPr>
          <w:lang w:val="es-ES"/>
        </w:rPr>
        <w:t xml:space="preserve"> </w:t>
      </w:r>
      <w:r w:rsidR="008E330C" w:rsidRPr="009E5CA3">
        <w:rPr>
          <w:lang w:val="es-ES"/>
        </w:rPr>
        <w:t>años.</w:t>
      </w:r>
    </w:p>
    <w:p w14:paraId="234FF769" w14:textId="2AFBBB46" w:rsidR="00616A72" w:rsidRPr="009E5CA3" w:rsidRDefault="00616A72" w:rsidP="00616A72">
      <w:pPr>
        <w:pStyle w:val="Ttulo1"/>
        <w:rPr>
          <w:lang w:val="es-ES"/>
        </w:rPr>
      </w:pPr>
      <w:bookmarkStart w:id="9" w:name="_Toc120891045"/>
      <w:r w:rsidRPr="009E5CA3">
        <w:rPr>
          <w:lang w:val="es-ES"/>
        </w:rPr>
        <w:t>II</w:t>
      </w:r>
      <w:r w:rsidRPr="009E5CA3">
        <w:rPr>
          <w:lang w:val="es-ES"/>
        </w:rPr>
        <w:br/>
        <w:t>PROCEDIMIENTO ANTE LA CORTE</w:t>
      </w:r>
      <w:bookmarkEnd w:id="9"/>
    </w:p>
    <w:p w14:paraId="4DD347C4" w14:textId="59291618" w:rsidR="00616A72" w:rsidRPr="009E5CA3" w:rsidRDefault="00616A72" w:rsidP="00A129F7">
      <w:pPr>
        <w:numPr>
          <w:ilvl w:val="0"/>
          <w:numId w:val="4"/>
        </w:numPr>
        <w:tabs>
          <w:tab w:val="left" w:pos="567"/>
          <w:tab w:val="num" w:pos="1569"/>
          <w:tab w:val="num" w:pos="12305"/>
        </w:tabs>
        <w:spacing w:line="240" w:lineRule="auto"/>
        <w:ind w:left="0" w:firstLine="0"/>
        <w:rPr>
          <w:lang w:val="es-ES"/>
        </w:rPr>
      </w:pPr>
      <w:r w:rsidRPr="009E5CA3">
        <w:rPr>
          <w:i/>
          <w:lang w:val="es-ES"/>
        </w:rPr>
        <w:t xml:space="preserve">Notificación </w:t>
      </w:r>
      <w:r w:rsidR="00241C08" w:rsidRPr="009E5CA3">
        <w:rPr>
          <w:i/>
          <w:lang w:val="es-ES"/>
        </w:rPr>
        <w:t>a los representantes</w:t>
      </w:r>
      <w:r w:rsidRPr="009E5CA3">
        <w:rPr>
          <w:i/>
          <w:lang w:val="es-ES"/>
        </w:rPr>
        <w:t xml:space="preserve"> y al Estado. </w:t>
      </w:r>
      <w:r w:rsidRPr="009E5CA3">
        <w:rPr>
          <w:lang w:val="es-ES"/>
        </w:rPr>
        <w:t xml:space="preserve">– El sometimiento del caso por parte de la Comisión fue notificado por la Corte </w:t>
      </w:r>
      <w:r w:rsidR="00241C08" w:rsidRPr="009E5CA3">
        <w:rPr>
          <w:lang w:val="es-ES"/>
        </w:rPr>
        <w:t>a los representantes</w:t>
      </w:r>
      <w:r w:rsidRPr="009E5CA3">
        <w:rPr>
          <w:lang w:val="es-ES"/>
        </w:rPr>
        <w:t xml:space="preserve"> de las presuntas víctimas</w:t>
      </w:r>
      <w:r w:rsidRPr="009E5CA3">
        <w:rPr>
          <w:rStyle w:val="Refdenotaalpie"/>
          <w:lang w:val="es-ES"/>
        </w:rPr>
        <w:footnoteReference w:id="4"/>
      </w:r>
      <w:r w:rsidRPr="009E5CA3">
        <w:rPr>
          <w:lang w:val="es-ES"/>
        </w:rPr>
        <w:t xml:space="preserve"> (en adelante “</w:t>
      </w:r>
      <w:r w:rsidR="00241C08" w:rsidRPr="009E5CA3">
        <w:rPr>
          <w:lang w:val="es-ES"/>
        </w:rPr>
        <w:t>los representantes</w:t>
      </w:r>
      <w:r w:rsidRPr="009E5CA3">
        <w:rPr>
          <w:lang w:val="es-ES"/>
        </w:rPr>
        <w:t xml:space="preserve">”) y al Estado el </w:t>
      </w:r>
      <w:r w:rsidR="00F03EC2" w:rsidRPr="009E5CA3">
        <w:rPr>
          <w:lang w:val="es-ES"/>
        </w:rPr>
        <w:t>15 de octubre de 2021</w:t>
      </w:r>
      <w:r w:rsidR="00241C08" w:rsidRPr="009E5CA3">
        <w:rPr>
          <w:lang w:val="es-ES"/>
        </w:rPr>
        <w:t>.</w:t>
      </w:r>
      <w:r w:rsidRPr="009E5CA3">
        <w:rPr>
          <w:b/>
          <w:lang w:val="es-ES"/>
        </w:rPr>
        <w:t xml:space="preserve"> </w:t>
      </w:r>
      <w:bookmarkStart w:id="10" w:name="para7"/>
    </w:p>
    <w:p w14:paraId="3D751520" w14:textId="77777777" w:rsidR="00616A72" w:rsidRPr="009E5CA3" w:rsidRDefault="00616A72" w:rsidP="00616A72">
      <w:pPr>
        <w:tabs>
          <w:tab w:val="left" w:pos="567"/>
        </w:tabs>
        <w:spacing w:line="240" w:lineRule="auto"/>
        <w:rPr>
          <w:lang w:val="es-ES"/>
        </w:rPr>
      </w:pPr>
    </w:p>
    <w:p w14:paraId="4FB84E2E" w14:textId="7B624DED" w:rsidR="00616A72" w:rsidRPr="009E5CA3" w:rsidRDefault="00616A72" w:rsidP="00A129F7">
      <w:pPr>
        <w:numPr>
          <w:ilvl w:val="0"/>
          <w:numId w:val="4"/>
        </w:numPr>
        <w:tabs>
          <w:tab w:val="left" w:pos="567"/>
          <w:tab w:val="num" w:pos="1569"/>
          <w:tab w:val="num" w:pos="12305"/>
        </w:tabs>
        <w:spacing w:line="240" w:lineRule="auto"/>
        <w:ind w:left="0" w:firstLine="0"/>
        <w:rPr>
          <w:lang w:val="es-ES"/>
        </w:rPr>
      </w:pPr>
      <w:r w:rsidRPr="009E5CA3">
        <w:rPr>
          <w:i/>
          <w:lang w:val="es-ES"/>
        </w:rPr>
        <w:t>Escrito de solicitudes, argumentos y pruebas.</w:t>
      </w:r>
      <w:r w:rsidRPr="009E5CA3">
        <w:rPr>
          <w:lang w:val="es-ES"/>
        </w:rPr>
        <w:t xml:space="preserve"> – El </w:t>
      </w:r>
      <w:r w:rsidR="00F03EC2" w:rsidRPr="009E5CA3">
        <w:rPr>
          <w:lang w:val="es-ES"/>
        </w:rPr>
        <w:t>20 de diciembre de 2021</w:t>
      </w:r>
      <w:r w:rsidRPr="009E5CA3">
        <w:rPr>
          <w:lang w:val="es-ES"/>
        </w:rPr>
        <w:t xml:space="preserve"> </w:t>
      </w:r>
      <w:r w:rsidR="00241C08" w:rsidRPr="009E5CA3">
        <w:rPr>
          <w:lang w:val="es-ES"/>
        </w:rPr>
        <w:t>los representantes</w:t>
      </w:r>
      <w:r w:rsidRPr="009E5CA3">
        <w:rPr>
          <w:lang w:val="es-ES"/>
        </w:rPr>
        <w:t xml:space="preserve"> de las presuntas víctimas </w:t>
      </w:r>
      <w:r w:rsidR="00914DA8" w:rsidRPr="009E5CA3">
        <w:rPr>
          <w:lang w:val="es-ES"/>
        </w:rPr>
        <w:t>presentaron</w:t>
      </w:r>
      <w:r w:rsidRPr="009E5CA3">
        <w:rPr>
          <w:lang w:val="es-ES"/>
        </w:rPr>
        <w:t xml:space="preserve"> ante la Corte su escrito de solicitudes, argumentos y pruebas (en adelante “escrito de solicitudes y argumentos”). </w:t>
      </w:r>
      <w:r w:rsidR="00914DA8" w:rsidRPr="009E5CA3">
        <w:rPr>
          <w:lang w:val="es-ES"/>
        </w:rPr>
        <w:t>Los representantes coincidieron</w:t>
      </w:r>
      <w:r w:rsidRPr="009E5CA3">
        <w:rPr>
          <w:lang w:val="es-ES"/>
        </w:rPr>
        <w:t xml:space="preserve"> sustancialmente con los alegatos de la Comisión y </w:t>
      </w:r>
      <w:r w:rsidR="00914DA8" w:rsidRPr="009E5CA3">
        <w:rPr>
          <w:lang w:val="es-ES"/>
        </w:rPr>
        <w:t>solicitaron</w:t>
      </w:r>
      <w:r w:rsidRPr="009E5CA3">
        <w:rPr>
          <w:lang w:val="es-ES"/>
        </w:rPr>
        <w:t xml:space="preserve"> a la Corte que declarara la responsabilidad internacional del Estado por la violación de los mismos artículos </w:t>
      </w:r>
      <w:r w:rsidR="00914DA8" w:rsidRPr="009E5CA3">
        <w:rPr>
          <w:lang w:val="es-ES"/>
        </w:rPr>
        <w:t>indicados</w:t>
      </w:r>
      <w:r w:rsidRPr="009E5CA3">
        <w:rPr>
          <w:lang w:val="es-ES"/>
        </w:rPr>
        <w:t xml:space="preserve"> por la </w:t>
      </w:r>
      <w:r w:rsidR="008677E8" w:rsidRPr="009E5CA3">
        <w:rPr>
          <w:lang w:val="es-ES"/>
        </w:rPr>
        <w:t xml:space="preserve">Comisión </w:t>
      </w:r>
      <w:r w:rsidRPr="009E5CA3">
        <w:rPr>
          <w:lang w:val="es-ES"/>
        </w:rPr>
        <w:t xml:space="preserve">y, adicionalmente, la violación </w:t>
      </w:r>
      <w:r w:rsidR="007141C1" w:rsidRPr="009E5CA3">
        <w:rPr>
          <w:lang w:val="es-ES"/>
        </w:rPr>
        <w:t xml:space="preserve">de los artículos </w:t>
      </w:r>
      <w:r w:rsidR="00816C0D" w:rsidRPr="009E5CA3">
        <w:rPr>
          <w:lang w:val="es-ES"/>
        </w:rPr>
        <w:t>4</w:t>
      </w:r>
      <w:r w:rsidR="00BB4425" w:rsidRPr="009E5CA3">
        <w:rPr>
          <w:lang w:val="es-ES"/>
        </w:rPr>
        <w:t>.1, 4.2, 4.6</w:t>
      </w:r>
      <w:r w:rsidR="00816C0D" w:rsidRPr="009E5CA3">
        <w:rPr>
          <w:lang w:val="es-ES"/>
        </w:rPr>
        <w:t xml:space="preserve"> (derecho a la vida)</w:t>
      </w:r>
      <w:r w:rsidR="00E70BEC" w:rsidRPr="009E5CA3">
        <w:rPr>
          <w:lang w:val="es-ES"/>
        </w:rPr>
        <w:t xml:space="preserve"> y </w:t>
      </w:r>
      <w:r w:rsidR="00816C0D" w:rsidRPr="009E5CA3">
        <w:rPr>
          <w:lang w:val="es-ES"/>
        </w:rPr>
        <w:t>5</w:t>
      </w:r>
      <w:r w:rsidR="00BB4425" w:rsidRPr="009E5CA3">
        <w:rPr>
          <w:lang w:val="es-ES"/>
        </w:rPr>
        <w:t>.1</w:t>
      </w:r>
      <w:r w:rsidR="00816C0D" w:rsidRPr="009E5CA3">
        <w:rPr>
          <w:lang w:val="es-ES"/>
        </w:rPr>
        <w:t xml:space="preserve"> (derecho a la integridad personal)</w:t>
      </w:r>
      <w:r w:rsidR="00914DA8" w:rsidRPr="009E5CA3">
        <w:rPr>
          <w:lang w:val="es-ES"/>
        </w:rPr>
        <w:t xml:space="preserve"> de la Convención Americana</w:t>
      </w:r>
      <w:r w:rsidR="00345558" w:rsidRPr="009E5CA3">
        <w:rPr>
          <w:lang w:val="es-ES"/>
        </w:rPr>
        <w:t>, en relación con los artículos 1.1 y 2 del mismo instrumento</w:t>
      </w:r>
      <w:r w:rsidR="00914DA8" w:rsidRPr="009E5CA3">
        <w:rPr>
          <w:lang w:val="es-ES"/>
        </w:rPr>
        <w:t>.</w:t>
      </w:r>
      <w:r w:rsidRPr="009E5CA3">
        <w:rPr>
          <w:lang w:val="es-ES"/>
        </w:rPr>
        <w:t xml:space="preserve"> </w:t>
      </w:r>
      <w:bookmarkEnd w:id="10"/>
    </w:p>
    <w:p w14:paraId="6C9C2794" w14:textId="77777777" w:rsidR="00616A72" w:rsidRPr="009E5CA3" w:rsidRDefault="00616A72" w:rsidP="00616A72">
      <w:pPr>
        <w:tabs>
          <w:tab w:val="left" w:pos="567"/>
          <w:tab w:val="num" w:pos="12305"/>
        </w:tabs>
        <w:spacing w:line="240" w:lineRule="auto"/>
        <w:rPr>
          <w:lang w:val="es-ES"/>
        </w:rPr>
      </w:pPr>
    </w:p>
    <w:p w14:paraId="1D52AC52" w14:textId="77777777" w:rsidR="005306F5" w:rsidRPr="009E5CA3" w:rsidRDefault="00616A72" w:rsidP="005306F5">
      <w:pPr>
        <w:numPr>
          <w:ilvl w:val="0"/>
          <w:numId w:val="4"/>
        </w:numPr>
        <w:tabs>
          <w:tab w:val="left" w:pos="567"/>
          <w:tab w:val="num" w:pos="1569"/>
          <w:tab w:val="num" w:pos="12305"/>
        </w:tabs>
        <w:spacing w:line="240" w:lineRule="auto"/>
        <w:ind w:left="0" w:firstLine="0"/>
        <w:rPr>
          <w:lang w:val="es-ES"/>
        </w:rPr>
      </w:pPr>
      <w:r w:rsidRPr="009E5CA3">
        <w:rPr>
          <w:i/>
          <w:lang w:val="es-ES"/>
        </w:rPr>
        <w:t>Escrito de contestación.</w:t>
      </w:r>
      <w:r w:rsidRPr="009E5CA3">
        <w:rPr>
          <w:lang w:val="es-ES"/>
        </w:rPr>
        <w:t xml:space="preserve"> </w:t>
      </w:r>
      <w:r w:rsidRPr="009E5CA3">
        <w:rPr>
          <w:i/>
          <w:lang w:val="es-ES"/>
        </w:rPr>
        <w:t xml:space="preserve">– </w:t>
      </w:r>
      <w:r w:rsidR="005306F5" w:rsidRPr="009E5CA3">
        <w:rPr>
          <w:lang w:val="es-ES"/>
        </w:rPr>
        <w:t>El Estado no designó agentes para el presente caso y no presentó escrito de contestación al sometimiento e Informe de Fondo de la Comisión Interamericana y al escrito de solicitudes, argumentos y pruebas de los representantes.</w:t>
      </w:r>
      <w:r w:rsidR="005306F5" w:rsidRPr="009E5CA3">
        <w:rPr>
          <w:b/>
          <w:lang w:val="es-ES"/>
        </w:rPr>
        <w:t xml:space="preserve"> </w:t>
      </w:r>
      <w:r w:rsidR="005306F5" w:rsidRPr="009E5CA3">
        <w:rPr>
          <w:bCs/>
          <w:lang w:val="es-ES"/>
        </w:rPr>
        <w:t>A este respecto, la Corte recuerda que, de conformidad con lo estipulado en el artículo 27 del Reglamento, “[c</w:t>
      </w:r>
      <w:r w:rsidR="005306F5" w:rsidRPr="009E5CA3">
        <w:rPr>
          <w:bCs/>
        </w:rPr>
        <w:t>]uando una parte no compareciere o se abstuviere</w:t>
      </w:r>
      <w:r w:rsidR="005306F5" w:rsidRPr="009E5CA3">
        <w:t xml:space="preserve"> de actuar, la Corte, </w:t>
      </w:r>
      <w:r w:rsidR="005306F5" w:rsidRPr="009E5CA3">
        <w:rPr>
          <w:rStyle w:val="highlight"/>
          <w:rFonts w:eastAsia="MS Mincho"/>
        </w:rPr>
        <w:t>de oficio</w:t>
      </w:r>
      <w:r w:rsidR="005306F5" w:rsidRPr="009E5CA3">
        <w:t>, impulsará el proceso hasta su finalización”.</w:t>
      </w:r>
    </w:p>
    <w:p w14:paraId="3BBB8089" w14:textId="77777777" w:rsidR="00616A72" w:rsidRPr="009E5CA3" w:rsidRDefault="00616A72" w:rsidP="00616A72">
      <w:pPr>
        <w:tabs>
          <w:tab w:val="left" w:pos="567"/>
        </w:tabs>
        <w:spacing w:line="240" w:lineRule="auto"/>
        <w:rPr>
          <w:b/>
          <w:lang w:val="es-ES"/>
        </w:rPr>
      </w:pPr>
    </w:p>
    <w:p w14:paraId="3F9B413F" w14:textId="69C34E3A" w:rsidR="00616A72" w:rsidRPr="009E5CA3" w:rsidRDefault="008677E8" w:rsidP="006A6BD7">
      <w:pPr>
        <w:numPr>
          <w:ilvl w:val="0"/>
          <w:numId w:val="4"/>
        </w:numPr>
        <w:tabs>
          <w:tab w:val="left" w:pos="567"/>
          <w:tab w:val="num" w:pos="1569"/>
          <w:tab w:val="num" w:pos="12305"/>
        </w:tabs>
        <w:spacing w:line="240" w:lineRule="auto"/>
        <w:ind w:left="0" w:firstLine="0"/>
        <w:rPr>
          <w:lang w:val="es-ES"/>
        </w:rPr>
      </w:pPr>
      <w:r w:rsidRPr="009E5CA3">
        <w:rPr>
          <w:i/>
          <w:lang w:val="es-ES"/>
        </w:rPr>
        <w:t>Procedimiento final escrito</w:t>
      </w:r>
      <w:r w:rsidR="00616A72" w:rsidRPr="009E5CA3">
        <w:rPr>
          <w:i/>
          <w:lang w:val="es-ES"/>
        </w:rPr>
        <w:t xml:space="preserve">. </w:t>
      </w:r>
      <w:r w:rsidR="00616A72" w:rsidRPr="009E5CA3">
        <w:rPr>
          <w:lang w:val="es-ES"/>
        </w:rPr>
        <w:t xml:space="preserve">– </w:t>
      </w:r>
      <w:r w:rsidRPr="009E5CA3">
        <w:rPr>
          <w:lang w:val="es-ES"/>
        </w:rPr>
        <w:t xml:space="preserve">Mediante Resolución de </w:t>
      </w:r>
      <w:r w:rsidR="00304C53" w:rsidRPr="009E5CA3">
        <w:rPr>
          <w:lang w:val="es-ES"/>
        </w:rPr>
        <w:t>2</w:t>
      </w:r>
      <w:r w:rsidRPr="009E5CA3">
        <w:rPr>
          <w:lang w:val="es-ES"/>
        </w:rPr>
        <w:t xml:space="preserve"> de </w:t>
      </w:r>
      <w:r w:rsidR="00304C53" w:rsidRPr="009E5CA3">
        <w:rPr>
          <w:lang w:val="es-ES"/>
        </w:rPr>
        <w:t>junio</w:t>
      </w:r>
      <w:r w:rsidRPr="009E5CA3">
        <w:rPr>
          <w:lang w:val="es-ES"/>
        </w:rPr>
        <w:t xml:space="preserve"> de </w:t>
      </w:r>
      <w:r w:rsidR="00304C53" w:rsidRPr="009E5CA3">
        <w:rPr>
          <w:lang w:val="es-ES"/>
        </w:rPr>
        <w:t>2022</w:t>
      </w:r>
      <w:r w:rsidRPr="009E5CA3">
        <w:rPr>
          <w:lang w:val="es-ES"/>
        </w:rPr>
        <w:t>,</w:t>
      </w:r>
      <w:r w:rsidR="00025846" w:rsidRPr="009E5CA3">
        <w:rPr>
          <w:lang w:val="es-ES"/>
        </w:rPr>
        <w:t xml:space="preserve"> </w:t>
      </w:r>
      <w:r w:rsidR="00304C53" w:rsidRPr="009E5CA3">
        <w:rPr>
          <w:lang w:val="es-ES"/>
        </w:rPr>
        <w:t>el Presidente</w:t>
      </w:r>
      <w:r w:rsidRPr="009E5CA3">
        <w:rPr>
          <w:lang w:val="es-ES"/>
        </w:rPr>
        <w:t xml:space="preserve"> de la Corte, de </w:t>
      </w:r>
      <w:r w:rsidRPr="009E5CA3">
        <w:rPr>
          <w:iCs/>
          <w:lang w:val="es-ES"/>
        </w:rPr>
        <w:t>conformidad</w:t>
      </w:r>
      <w:r w:rsidRPr="009E5CA3">
        <w:rPr>
          <w:lang w:val="es-ES"/>
        </w:rPr>
        <w:t xml:space="preserve"> con la facultad que le otorga el</w:t>
      </w:r>
      <w:r w:rsidR="00304C53" w:rsidRPr="009E5CA3">
        <w:rPr>
          <w:lang w:val="es-ES"/>
        </w:rPr>
        <w:t xml:space="preserve"> </w:t>
      </w:r>
      <w:r w:rsidRPr="009E5CA3">
        <w:rPr>
          <w:lang w:val="es-ES"/>
        </w:rPr>
        <w:t xml:space="preserve">artículo 50.1 del </w:t>
      </w:r>
      <w:r w:rsidR="00304C53" w:rsidRPr="009E5CA3">
        <w:rPr>
          <w:lang w:val="es-ES"/>
        </w:rPr>
        <w:t>R</w:t>
      </w:r>
      <w:r w:rsidRPr="009E5CA3">
        <w:rPr>
          <w:lang w:val="es-ES"/>
        </w:rPr>
        <w:t>eglamento, resolvió no convocar a audiencia pública en el presente</w:t>
      </w:r>
      <w:r w:rsidR="00304C53" w:rsidRPr="009E5CA3">
        <w:rPr>
          <w:lang w:val="es-ES"/>
        </w:rPr>
        <w:t xml:space="preserve"> </w:t>
      </w:r>
      <w:r w:rsidRPr="009E5CA3">
        <w:rPr>
          <w:lang w:val="es-ES"/>
        </w:rPr>
        <w:t>caso</w:t>
      </w:r>
      <w:r w:rsidR="00304C53" w:rsidRPr="009E5CA3">
        <w:rPr>
          <w:lang w:val="es-ES"/>
        </w:rPr>
        <w:t xml:space="preserve"> y solicitar que las declaraciones de las dos presuntas víctimas y </w:t>
      </w:r>
      <w:r w:rsidR="00E83F82">
        <w:rPr>
          <w:lang w:val="es-ES"/>
        </w:rPr>
        <w:t>e</w:t>
      </w:r>
      <w:r w:rsidR="00304C53" w:rsidRPr="009E5CA3">
        <w:rPr>
          <w:lang w:val="es-ES"/>
        </w:rPr>
        <w:t>l peritaje del señor Douglas Mendes QC</w:t>
      </w:r>
      <w:r w:rsidR="009E5CA3" w:rsidRPr="009E5CA3">
        <w:rPr>
          <w:rStyle w:val="Refdenotaalpie"/>
          <w:lang w:val="es-ES"/>
        </w:rPr>
        <w:footnoteReference w:id="5"/>
      </w:r>
      <w:r w:rsidR="00304C53" w:rsidRPr="009E5CA3">
        <w:rPr>
          <w:lang w:val="es-ES"/>
        </w:rPr>
        <w:t xml:space="preserve"> fueran remitidos por</w:t>
      </w:r>
      <w:r w:rsidR="009E5CA3" w:rsidRPr="009E5CA3">
        <w:rPr>
          <w:lang w:val="es-ES"/>
        </w:rPr>
        <w:t xml:space="preserve"> </w:t>
      </w:r>
      <w:r w:rsidR="009E5CA3" w:rsidRPr="009E5CA3">
        <w:rPr>
          <w:i/>
          <w:iCs/>
          <w:lang w:val="es-ES"/>
        </w:rPr>
        <w:t>affidavit</w:t>
      </w:r>
      <w:r w:rsidR="00304C53" w:rsidRPr="009E5CA3">
        <w:rPr>
          <w:rStyle w:val="Refdenotaalpie"/>
          <w:lang w:val="es-ES"/>
        </w:rPr>
        <w:footnoteReference w:id="6"/>
      </w:r>
      <w:r w:rsidR="00616A72" w:rsidRPr="009E5CA3">
        <w:rPr>
          <w:lang w:val="es-ES"/>
        </w:rPr>
        <w:t xml:space="preserve">. </w:t>
      </w:r>
      <w:r w:rsidR="00C041CC" w:rsidRPr="009E5CA3">
        <w:rPr>
          <w:lang w:val="es-ES"/>
        </w:rPr>
        <w:t xml:space="preserve">Asimismo, de conformidad con lo solicitado por la Comisión, ordenó como prueba documental el traslado del peritaje rendido por el señor Desmond Allum en el </w:t>
      </w:r>
      <w:r w:rsidR="00C041CC" w:rsidRPr="009E5CA3">
        <w:rPr>
          <w:i/>
          <w:iCs/>
          <w:lang w:val="es-ES"/>
        </w:rPr>
        <w:t xml:space="preserve">Caso </w:t>
      </w:r>
      <w:r w:rsidR="00C041CC" w:rsidRPr="009E5CA3">
        <w:rPr>
          <w:i/>
          <w:iCs/>
        </w:rPr>
        <w:t>Hilaire, Constantine y Benjamin y otros Vs. Trinidad y Tobago</w:t>
      </w:r>
      <w:r w:rsidR="001A66E2" w:rsidRPr="009E5CA3">
        <w:rPr>
          <w:rStyle w:val="Refdenotaalpie"/>
        </w:rPr>
        <w:footnoteReference w:id="7"/>
      </w:r>
      <w:r w:rsidR="003C4D9C" w:rsidRPr="009E5CA3">
        <w:t xml:space="preserve"> </w:t>
      </w:r>
      <w:r w:rsidR="00C041CC" w:rsidRPr="009E5CA3">
        <w:t>al presente caso.</w:t>
      </w:r>
    </w:p>
    <w:p w14:paraId="6B9AD3CF" w14:textId="77777777" w:rsidR="00C041CC" w:rsidRPr="009E5CA3" w:rsidRDefault="00C041CC" w:rsidP="00C041CC">
      <w:pPr>
        <w:tabs>
          <w:tab w:val="left" w:pos="567"/>
        </w:tabs>
        <w:spacing w:line="240" w:lineRule="auto"/>
        <w:rPr>
          <w:lang w:val="es-ES"/>
        </w:rPr>
      </w:pPr>
    </w:p>
    <w:p w14:paraId="76E1A64D" w14:textId="57AA5546" w:rsidR="001A66E2" w:rsidRPr="009E5CA3" w:rsidRDefault="00616A72" w:rsidP="001A66E2">
      <w:pPr>
        <w:numPr>
          <w:ilvl w:val="0"/>
          <w:numId w:val="4"/>
        </w:numPr>
        <w:tabs>
          <w:tab w:val="left" w:pos="567"/>
          <w:tab w:val="num" w:pos="1569"/>
          <w:tab w:val="num" w:pos="12305"/>
        </w:tabs>
        <w:spacing w:line="240" w:lineRule="auto"/>
        <w:ind w:left="0" w:firstLine="0"/>
        <w:rPr>
          <w:b/>
          <w:lang w:val="es-ES"/>
        </w:rPr>
      </w:pPr>
      <w:r w:rsidRPr="009E5CA3">
        <w:rPr>
          <w:i/>
          <w:lang w:val="es-ES"/>
        </w:rPr>
        <w:t xml:space="preserve">Alegatos y observaciones finales escritos. </w:t>
      </w:r>
      <w:r w:rsidRPr="009E5CA3">
        <w:rPr>
          <w:lang w:val="es-ES"/>
        </w:rPr>
        <w:t xml:space="preserve">– </w:t>
      </w:r>
      <w:r w:rsidR="001A66E2" w:rsidRPr="009E5CA3">
        <w:rPr>
          <w:lang w:val="es-ES"/>
        </w:rPr>
        <w:t xml:space="preserve">El 5 de septiembre de 2022 los representantes remitieron sus alegatos finales escritos y la Comisión presentó sus observaciones finales escritas. El </w:t>
      </w:r>
      <w:r w:rsidR="001A66E2" w:rsidRPr="009E5CA3">
        <w:rPr>
          <w:lang w:val="es-ES"/>
        </w:rPr>
        <w:lastRenderedPageBreak/>
        <w:t xml:space="preserve">Estado no presentó alegatos finales escritos. Asimismo, los representantes remitieron dos anexos junto con su escrito de alegatos finales escritos. Ni el Estado ni la Comisión realizaron observaciones al respecto. </w:t>
      </w:r>
    </w:p>
    <w:p w14:paraId="0F446E7E" w14:textId="77777777" w:rsidR="001A66E2" w:rsidRPr="009E5CA3" w:rsidRDefault="001A66E2" w:rsidP="001A66E2">
      <w:pPr>
        <w:pStyle w:val="Prrafodelista"/>
        <w:rPr>
          <w:b/>
          <w:lang w:val="es-ES"/>
        </w:rPr>
      </w:pPr>
    </w:p>
    <w:p w14:paraId="29DC97F0" w14:textId="414D1D74" w:rsidR="001A66E2" w:rsidRPr="009E5CA3" w:rsidRDefault="001A66E2" w:rsidP="001A66E2">
      <w:pPr>
        <w:numPr>
          <w:ilvl w:val="0"/>
          <w:numId w:val="4"/>
        </w:numPr>
        <w:tabs>
          <w:tab w:val="left" w:pos="567"/>
          <w:tab w:val="num" w:pos="1569"/>
          <w:tab w:val="num" w:pos="12305"/>
        </w:tabs>
        <w:spacing w:line="240" w:lineRule="auto"/>
        <w:ind w:left="0" w:firstLine="0"/>
        <w:rPr>
          <w:bCs/>
          <w:lang w:val="es-ES"/>
        </w:rPr>
      </w:pPr>
      <w:r w:rsidRPr="003E142D">
        <w:rPr>
          <w:bCs/>
          <w:i/>
          <w:iCs/>
          <w:lang w:val="es-ES"/>
        </w:rPr>
        <w:t>Diligencias probatorias de oficio</w:t>
      </w:r>
      <w:r w:rsidRPr="009E5CA3">
        <w:rPr>
          <w:bCs/>
          <w:lang w:val="es-ES"/>
        </w:rPr>
        <w:t>.</w:t>
      </w:r>
      <w:r w:rsidR="00A10B3E">
        <w:rPr>
          <w:bCs/>
          <w:lang w:val="es-ES"/>
        </w:rPr>
        <w:t xml:space="preserve"> </w:t>
      </w:r>
      <w:r w:rsidR="0036107B" w:rsidRPr="001E417E">
        <w:rPr>
          <w:lang w:val="es-ES"/>
        </w:rPr>
        <w:t>–</w:t>
      </w:r>
      <w:r w:rsidRPr="009E5CA3">
        <w:rPr>
          <w:bCs/>
          <w:lang w:val="es-ES"/>
        </w:rPr>
        <w:t xml:space="preserve"> Mediante nota de Secretaría de 30 de </w:t>
      </w:r>
      <w:r w:rsidR="00BE74EF" w:rsidRPr="009E5CA3">
        <w:rPr>
          <w:bCs/>
          <w:lang w:val="es-ES"/>
        </w:rPr>
        <w:t>septiembre</w:t>
      </w:r>
      <w:r w:rsidRPr="009E5CA3">
        <w:rPr>
          <w:bCs/>
          <w:lang w:val="es-ES"/>
        </w:rPr>
        <w:t xml:space="preserve"> de 2022, siguiendo instrucciones de la Corte y de conformidad con lo estipulado en el artículo 58 del Reglamento del Tribunal, se solicitó de oficio al Estado y a los representantes ciertos documentos como prueba para mejor resolver</w:t>
      </w:r>
      <w:r w:rsidRPr="009E5CA3">
        <w:rPr>
          <w:rStyle w:val="Refdenotaalpie"/>
          <w:bCs/>
          <w:lang w:val="es-ES"/>
        </w:rPr>
        <w:footnoteReference w:id="8"/>
      </w:r>
      <w:r w:rsidRPr="009E5CA3">
        <w:rPr>
          <w:bCs/>
          <w:lang w:val="es-ES"/>
        </w:rPr>
        <w:t>. El 14 de octubre de 2022 los representantes remitieron una comunicación en la que indicaron que no pudieron obtener ningún documento adicional. El Estado, por su parte, no dio respuesta al referido requerimiento.</w:t>
      </w:r>
    </w:p>
    <w:p w14:paraId="51BBA9BF" w14:textId="77777777" w:rsidR="00616A72" w:rsidRPr="009E5CA3" w:rsidRDefault="00616A72" w:rsidP="00616A72">
      <w:pPr>
        <w:tabs>
          <w:tab w:val="left" w:pos="567"/>
        </w:tabs>
        <w:spacing w:line="240" w:lineRule="auto"/>
        <w:rPr>
          <w:b/>
          <w:lang w:val="es-ES"/>
        </w:rPr>
      </w:pPr>
    </w:p>
    <w:p w14:paraId="10B118C7" w14:textId="365B354E" w:rsidR="00365B5D" w:rsidRPr="001E417E" w:rsidRDefault="00616A72" w:rsidP="004013BE">
      <w:pPr>
        <w:numPr>
          <w:ilvl w:val="0"/>
          <w:numId w:val="4"/>
        </w:numPr>
        <w:tabs>
          <w:tab w:val="left" w:pos="567"/>
          <w:tab w:val="num" w:pos="1569"/>
          <w:tab w:val="num" w:pos="12305"/>
        </w:tabs>
        <w:spacing w:line="240" w:lineRule="auto"/>
        <w:ind w:left="0" w:firstLine="0"/>
        <w:rPr>
          <w:lang w:val="es-ES"/>
        </w:rPr>
      </w:pPr>
      <w:bookmarkStart w:id="11" w:name="_Hlk96955709"/>
      <w:r w:rsidRPr="00365B5D">
        <w:rPr>
          <w:i/>
          <w:lang w:val="es-ES"/>
        </w:rPr>
        <w:t xml:space="preserve">Deliberación del presente </w:t>
      </w:r>
      <w:r w:rsidRPr="001E417E">
        <w:rPr>
          <w:i/>
          <w:lang w:val="es-ES"/>
        </w:rPr>
        <w:t xml:space="preserve">caso. </w:t>
      </w:r>
      <w:r w:rsidRPr="001E417E">
        <w:rPr>
          <w:lang w:val="es-ES"/>
        </w:rPr>
        <w:t xml:space="preserve">– </w:t>
      </w:r>
      <w:r w:rsidR="001E417E" w:rsidRPr="001E417E">
        <w:rPr>
          <w:lang w:val="es-ES"/>
        </w:rPr>
        <w:t>La Corte deliberó la presente Sentencia</w:t>
      </w:r>
      <w:r w:rsidR="00E83F82" w:rsidRPr="00E83F82">
        <w:rPr>
          <w:lang w:val="es-ES"/>
        </w:rPr>
        <w:t xml:space="preserve"> </w:t>
      </w:r>
      <w:r w:rsidR="00E83F82" w:rsidRPr="001E417E">
        <w:rPr>
          <w:lang w:val="es-ES"/>
        </w:rPr>
        <w:t>el 14 de noviembre de 2022</w:t>
      </w:r>
      <w:r w:rsidR="00A7105E">
        <w:rPr>
          <w:lang w:val="es-ES"/>
        </w:rPr>
        <w:t>,</w:t>
      </w:r>
      <w:r w:rsidR="00E83F82">
        <w:rPr>
          <w:lang w:val="es-ES"/>
        </w:rPr>
        <w:t xml:space="preserve"> </w:t>
      </w:r>
      <w:r w:rsidR="001E417E" w:rsidRPr="001E417E">
        <w:rPr>
          <w:lang w:val="es-ES"/>
        </w:rPr>
        <w:t>en el marco del 154° Período Ordinario de Sesiones</w:t>
      </w:r>
      <w:r w:rsidR="00A7105E">
        <w:rPr>
          <w:lang w:val="es-ES"/>
        </w:rPr>
        <w:t>,</w:t>
      </w:r>
      <w:r w:rsidR="00E83F82" w:rsidRPr="00E83F82">
        <w:rPr>
          <w:lang w:val="es-ES"/>
        </w:rPr>
        <w:t xml:space="preserve"> </w:t>
      </w:r>
      <w:r w:rsidR="00E83F82" w:rsidRPr="001E417E">
        <w:rPr>
          <w:lang w:val="es-ES"/>
        </w:rPr>
        <w:t>a través de una sesión virtual</w:t>
      </w:r>
      <w:r w:rsidR="001E417E" w:rsidRPr="001E417E">
        <w:rPr>
          <w:lang w:val="es-ES"/>
        </w:rPr>
        <w:t>.</w:t>
      </w:r>
    </w:p>
    <w:p w14:paraId="47186550" w14:textId="77777777" w:rsidR="00365B5D" w:rsidRPr="001E417E" w:rsidRDefault="00365B5D" w:rsidP="00365B5D">
      <w:pPr>
        <w:tabs>
          <w:tab w:val="left" w:pos="567"/>
        </w:tabs>
        <w:spacing w:line="240" w:lineRule="auto"/>
        <w:rPr>
          <w:lang w:val="es-ES"/>
        </w:rPr>
      </w:pPr>
    </w:p>
    <w:p w14:paraId="73D3DF3A" w14:textId="77777777" w:rsidR="00616A72" w:rsidRPr="009E5CA3" w:rsidRDefault="00616A72" w:rsidP="00616A72">
      <w:pPr>
        <w:pStyle w:val="Ttulo1"/>
        <w:rPr>
          <w:lang w:val="es-ES"/>
        </w:rPr>
      </w:pPr>
      <w:bookmarkStart w:id="12" w:name="_Toc120891046"/>
      <w:bookmarkEnd w:id="11"/>
      <w:r w:rsidRPr="009E5CA3">
        <w:rPr>
          <w:lang w:val="es-ES"/>
        </w:rPr>
        <w:t>III</w:t>
      </w:r>
      <w:r w:rsidRPr="009E5CA3">
        <w:rPr>
          <w:lang w:val="es-ES"/>
        </w:rPr>
        <w:br/>
        <w:t>COMPETENCIA</w:t>
      </w:r>
      <w:bookmarkEnd w:id="12"/>
    </w:p>
    <w:p w14:paraId="72BD2597" w14:textId="2D505BD0" w:rsidR="00224E7A" w:rsidRPr="009E5CA3" w:rsidRDefault="00224E7A" w:rsidP="00224E7A">
      <w:pPr>
        <w:numPr>
          <w:ilvl w:val="0"/>
          <w:numId w:val="4"/>
        </w:numPr>
        <w:tabs>
          <w:tab w:val="left" w:pos="567"/>
          <w:tab w:val="num" w:pos="1569"/>
          <w:tab w:val="num" w:pos="12305"/>
        </w:tabs>
        <w:spacing w:line="240" w:lineRule="auto"/>
        <w:ind w:left="0" w:firstLine="0"/>
        <w:rPr>
          <w:lang w:val="es-ES_tradnl"/>
        </w:rPr>
      </w:pPr>
      <w:r w:rsidRPr="009E5CA3">
        <w:rPr>
          <w:lang w:val="es-ES_tradnl"/>
        </w:rPr>
        <w:t xml:space="preserve">Trinidad y Tobago </w:t>
      </w:r>
      <w:proofErr w:type="gramStart"/>
      <w:r w:rsidRPr="009E5CA3">
        <w:rPr>
          <w:lang w:val="es-ES_tradnl"/>
        </w:rPr>
        <w:t>ratificó</w:t>
      </w:r>
      <w:proofErr w:type="gramEnd"/>
      <w:r w:rsidRPr="009E5CA3">
        <w:rPr>
          <w:lang w:val="es-ES_tradnl"/>
        </w:rPr>
        <w:t xml:space="preserve"> la Convención Americana </w:t>
      </w:r>
      <w:r w:rsidR="005306F5" w:rsidRPr="009E5CA3">
        <w:rPr>
          <w:lang w:val="es-ES_tradnl"/>
        </w:rPr>
        <w:t>sobre</w:t>
      </w:r>
      <w:r w:rsidRPr="009E5CA3">
        <w:rPr>
          <w:lang w:val="es-ES_tradnl"/>
        </w:rPr>
        <w:t xml:space="preserve"> Derechos Humanos (en adelante “la Convención” o “la Convención Americana”) el 28 de mayo de 1991. Ese mismo día el Estado reconoció la competencia contenciosa de la Corte.</w:t>
      </w:r>
      <w:r w:rsidR="003C4D9C" w:rsidRPr="009E5CA3">
        <w:rPr>
          <w:lang w:val="es-ES_tradnl"/>
        </w:rPr>
        <w:t xml:space="preserve"> </w:t>
      </w:r>
    </w:p>
    <w:p w14:paraId="1CB9F24F" w14:textId="77777777" w:rsidR="00224E7A" w:rsidRPr="009E5CA3" w:rsidRDefault="00224E7A" w:rsidP="00224E7A">
      <w:pPr>
        <w:pStyle w:val="Textodebloque"/>
        <w:tabs>
          <w:tab w:val="clear" w:pos="720"/>
        </w:tabs>
        <w:ind w:left="0" w:right="0"/>
        <w:rPr>
          <w:rFonts w:ascii="Verdana" w:hAnsi="Verdana"/>
          <w:sz w:val="20"/>
          <w:lang w:val="es-ES_tradnl"/>
        </w:rPr>
      </w:pPr>
    </w:p>
    <w:p w14:paraId="17A28AC0" w14:textId="121BBAEE" w:rsidR="00132D65" w:rsidRPr="009E5CA3" w:rsidRDefault="00132D65" w:rsidP="00132D65">
      <w:pPr>
        <w:numPr>
          <w:ilvl w:val="0"/>
          <w:numId w:val="4"/>
        </w:numPr>
        <w:tabs>
          <w:tab w:val="left" w:pos="567"/>
          <w:tab w:val="num" w:pos="1569"/>
          <w:tab w:val="num" w:pos="12305"/>
        </w:tabs>
        <w:spacing w:line="240" w:lineRule="auto"/>
        <w:ind w:left="0" w:firstLine="0"/>
        <w:rPr>
          <w:sz w:val="16"/>
          <w:lang w:val="es-ES_tradnl"/>
        </w:rPr>
      </w:pPr>
      <w:r w:rsidRPr="009E5CA3">
        <w:rPr>
          <w:lang w:val="es-ES_tradnl"/>
        </w:rPr>
        <w:t xml:space="preserve">El 26 de mayo de 1998 Trinidad y Tobago denunció la Convención. Dicha denuncia surtió efecto un año después, el 26 de mayo de 1999, de conformidad con lo estipulado en el artículo 78 de la Convención Americana. </w:t>
      </w:r>
      <w:r w:rsidR="00E83F82">
        <w:rPr>
          <w:lang w:val="es-ES_tradnl"/>
        </w:rPr>
        <w:t>En este sentido</w:t>
      </w:r>
      <w:r w:rsidRPr="009E5CA3">
        <w:rPr>
          <w:lang w:val="es-ES_tradnl"/>
        </w:rPr>
        <w:t xml:space="preserve">, el Tribunal recuerda que el segundo apartado de dicho artículo establece que una denuncia “no tendrá por efecto desligar al Estado parte interesado de las obligaciones contenidas en esta Convención en lo que concierne a todo hecho que, pudiendo constituir una violación de esas obligaciones, haya sido cumplido por él </w:t>
      </w:r>
      <w:r w:rsidR="009A2DB7" w:rsidRPr="009E5CA3">
        <w:rPr>
          <w:lang w:val="es-ES_tradnl"/>
        </w:rPr>
        <w:t>con anterioridad a</w:t>
      </w:r>
      <w:r w:rsidRPr="009E5CA3">
        <w:rPr>
          <w:lang w:val="es-ES_tradnl"/>
        </w:rPr>
        <w:t xml:space="preserve"> la fecha en la cual la denuncia produce efecto”</w:t>
      </w:r>
      <w:r w:rsidR="008154C7" w:rsidRPr="009E5CA3">
        <w:rPr>
          <w:rStyle w:val="Refdenotaalpie"/>
          <w:lang w:val="es-ES_tradnl"/>
        </w:rPr>
        <w:footnoteReference w:id="9"/>
      </w:r>
      <w:r w:rsidRPr="009E5CA3">
        <w:rPr>
          <w:lang w:val="es-ES_tradnl"/>
        </w:rPr>
        <w:t xml:space="preserve">. </w:t>
      </w:r>
    </w:p>
    <w:p w14:paraId="49A7E04D" w14:textId="77777777" w:rsidR="00224E7A" w:rsidRPr="009E5CA3" w:rsidRDefault="00224E7A" w:rsidP="00224E7A">
      <w:pPr>
        <w:tabs>
          <w:tab w:val="left" w:pos="567"/>
        </w:tabs>
        <w:spacing w:line="240" w:lineRule="auto"/>
        <w:rPr>
          <w:lang w:val="es-ES_tradnl"/>
        </w:rPr>
      </w:pPr>
    </w:p>
    <w:p w14:paraId="52E9B6B3" w14:textId="69D0C7D6" w:rsidR="00224E7A" w:rsidRPr="00EC3451" w:rsidRDefault="00A12F01" w:rsidP="00224E7A">
      <w:pPr>
        <w:numPr>
          <w:ilvl w:val="0"/>
          <w:numId w:val="4"/>
        </w:numPr>
        <w:tabs>
          <w:tab w:val="left" w:pos="567"/>
          <w:tab w:val="num" w:pos="1569"/>
          <w:tab w:val="num" w:pos="12305"/>
        </w:tabs>
        <w:spacing w:line="240" w:lineRule="auto"/>
        <w:ind w:left="0" w:firstLine="0"/>
      </w:pPr>
      <w:r w:rsidRPr="00EC3451">
        <w:t xml:space="preserve">En razón de lo anterior, </w:t>
      </w:r>
      <w:r w:rsidR="004E202F" w:rsidRPr="00EC3451">
        <w:t>y en concordancia con e</w:t>
      </w:r>
      <w:r w:rsidRPr="00EC3451">
        <w:t>l marco temporal específicamente sometido por la Comisión ante la Corte</w:t>
      </w:r>
      <w:r w:rsidR="004E202F" w:rsidRPr="00EC3451">
        <w:t xml:space="preserve"> (</w:t>
      </w:r>
      <w:r w:rsidR="004E202F" w:rsidRPr="00EC3451">
        <w:rPr>
          <w:i/>
          <w:iCs/>
        </w:rPr>
        <w:t>supra</w:t>
      </w:r>
      <w:r w:rsidR="004E202F" w:rsidRPr="00EC3451">
        <w:t xml:space="preserve"> párr. 4)</w:t>
      </w:r>
      <w:r w:rsidRPr="00EC3451">
        <w:t>, el Tribunal analizará aquellas alegadas violaciones</w:t>
      </w:r>
      <w:r w:rsidR="00132D65" w:rsidRPr="00EC3451">
        <w:t xml:space="preserve"> de la Convención Americana</w:t>
      </w:r>
      <w:r w:rsidRPr="00EC3451">
        <w:t xml:space="preserve"> que se habrían producido entre </w:t>
      </w:r>
      <w:r w:rsidRPr="00EC3451">
        <w:rPr>
          <w:lang w:val="es-ES"/>
        </w:rPr>
        <w:t>el 28 de mayo de 1991 y el 26 de mayo de 1999</w:t>
      </w:r>
      <w:r w:rsidR="00365B5D" w:rsidRPr="00EC3451">
        <w:rPr>
          <w:lang w:val="es-ES"/>
        </w:rPr>
        <w:t xml:space="preserve"> </w:t>
      </w:r>
      <w:r w:rsidR="00EC3451" w:rsidRPr="00EC3451">
        <w:rPr>
          <w:lang w:val="es-ES"/>
        </w:rPr>
        <w:t>y sus efectos posteriores</w:t>
      </w:r>
      <w:r w:rsidR="00EC3451" w:rsidRPr="00EC3451">
        <w:rPr>
          <w:rStyle w:val="Refdenotaalpie"/>
          <w:lang w:val="es-ES"/>
        </w:rPr>
        <w:footnoteReference w:id="10"/>
      </w:r>
      <w:r w:rsidR="00EC3451" w:rsidRPr="00EC3451">
        <w:rPr>
          <w:lang w:val="es-ES"/>
        </w:rPr>
        <w:t>.</w:t>
      </w:r>
    </w:p>
    <w:p w14:paraId="656473F8" w14:textId="07AF7375" w:rsidR="00616A72" w:rsidRPr="009E5CA3" w:rsidRDefault="00403D28" w:rsidP="00616A72">
      <w:pPr>
        <w:pStyle w:val="Ttulo1"/>
        <w:rPr>
          <w:lang w:val="es-ES"/>
        </w:rPr>
      </w:pPr>
      <w:bookmarkStart w:id="13" w:name="_Toc375517114"/>
      <w:bookmarkStart w:id="14" w:name="_Toc459158102"/>
      <w:bookmarkStart w:id="15" w:name="_Toc470180046"/>
      <w:bookmarkStart w:id="16" w:name="_Toc514172609"/>
      <w:bookmarkStart w:id="17" w:name="_Toc120891047"/>
      <w:r w:rsidRPr="009E5CA3">
        <w:rPr>
          <w:lang w:val="es-ES"/>
        </w:rPr>
        <w:lastRenderedPageBreak/>
        <w:t>I</w:t>
      </w:r>
      <w:r w:rsidR="00616A72" w:rsidRPr="009E5CA3">
        <w:rPr>
          <w:lang w:val="es-ES"/>
        </w:rPr>
        <w:t>V</w:t>
      </w:r>
      <w:r w:rsidR="00616A72" w:rsidRPr="009E5CA3">
        <w:rPr>
          <w:lang w:val="es-ES"/>
        </w:rPr>
        <w:br/>
        <w:t>PRUEBA</w:t>
      </w:r>
      <w:bookmarkEnd w:id="13"/>
      <w:bookmarkEnd w:id="14"/>
      <w:bookmarkEnd w:id="15"/>
      <w:bookmarkEnd w:id="16"/>
      <w:bookmarkEnd w:id="17"/>
    </w:p>
    <w:p w14:paraId="59C1DF3D" w14:textId="77777777" w:rsidR="00616A72" w:rsidRPr="009E5CA3" w:rsidRDefault="00616A72" w:rsidP="00616A72">
      <w:pPr>
        <w:pStyle w:val="Ttulo2"/>
        <w:rPr>
          <w:lang w:val="es-ES"/>
        </w:rPr>
      </w:pPr>
      <w:bookmarkStart w:id="18" w:name="_Toc375517115"/>
      <w:bookmarkStart w:id="19" w:name="_Toc459158103"/>
      <w:bookmarkStart w:id="20" w:name="_Toc470180047"/>
      <w:bookmarkStart w:id="21" w:name="_Toc514172610"/>
      <w:bookmarkStart w:id="22" w:name="_Toc120891048"/>
      <w:r w:rsidRPr="009E5CA3">
        <w:rPr>
          <w:lang w:val="es-ES"/>
        </w:rPr>
        <w:t>A.</w:t>
      </w:r>
      <w:r w:rsidRPr="009E5CA3">
        <w:rPr>
          <w:lang w:val="es-ES"/>
        </w:rPr>
        <w:tab/>
      </w:r>
      <w:bookmarkStart w:id="23" w:name="_Toc375517116"/>
      <w:bookmarkStart w:id="24" w:name="_Toc459158104"/>
      <w:bookmarkStart w:id="25" w:name="_Toc470180048"/>
      <w:bookmarkStart w:id="26" w:name="_Toc514172611"/>
      <w:bookmarkEnd w:id="18"/>
      <w:bookmarkEnd w:id="19"/>
      <w:bookmarkEnd w:id="20"/>
      <w:bookmarkEnd w:id="21"/>
      <w:r w:rsidRPr="009E5CA3">
        <w:rPr>
          <w:lang w:val="es-ES"/>
        </w:rPr>
        <w:t>Admisibilidad de la prueba</w:t>
      </w:r>
      <w:bookmarkEnd w:id="23"/>
      <w:bookmarkEnd w:id="24"/>
      <w:bookmarkEnd w:id="25"/>
      <w:bookmarkEnd w:id="26"/>
      <w:r w:rsidRPr="009E5CA3">
        <w:rPr>
          <w:lang w:val="es-ES"/>
        </w:rPr>
        <w:t xml:space="preserve"> documental</w:t>
      </w:r>
      <w:bookmarkEnd w:id="22"/>
    </w:p>
    <w:p w14:paraId="7D9E0172" w14:textId="708BDAAB" w:rsidR="00616A72" w:rsidRPr="009E5CA3" w:rsidRDefault="00616A72" w:rsidP="00A129F7">
      <w:pPr>
        <w:numPr>
          <w:ilvl w:val="0"/>
          <w:numId w:val="4"/>
        </w:numPr>
        <w:tabs>
          <w:tab w:val="left" w:pos="567"/>
          <w:tab w:val="num" w:pos="1569"/>
          <w:tab w:val="num" w:pos="12305"/>
        </w:tabs>
        <w:spacing w:line="240" w:lineRule="auto"/>
        <w:ind w:left="0" w:firstLine="0"/>
        <w:rPr>
          <w:rFonts w:eastAsia="Calibri"/>
          <w:lang w:val="es-ES"/>
        </w:rPr>
      </w:pPr>
      <w:r w:rsidRPr="009E5CA3">
        <w:rPr>
          <w:rFonts w:eastAsia="Calibri"/>
          <w:lang w:val="es-ES"/>
        </w:rPr>
        <w:t>El Tribunal recibió diversos documentos presentados como prueba por la Comisión</w:t>
      </w:r>
      <w:r w:rsidR="004E202F" w:rsidRPr="009E5CA3">
        <w:rPr>
          <w:rFonts w:eastAsia="Calibri"/>
          <w:lang w:val="es-ES"/>
        </w:rPr>
        <w:t xml:space="preserve"> y por</w:t>
      </w:r>
      <w:r w:rsidRPr="009E5CA3">
        <w:rPr>
          <w:rFonts w:eastAsia="Calibri"/>
          <w:lang w:val="es-ES"/>
        </w:rPr>
        <w:t xml:space="preserve"> </w:t>
      </w:r>
      <w:r w:rsidR="003A069B" w:rsidRPr="009E5CA3">
        <w:rPr>
          <w:rFonts w:eastAsia="Calibri"/>
          <w:lang w:val="es-ES"/>
        </w:rPr>
        <w:t>los representantes</w:t>
      </w:r>
      <w:r w:rsidRPr="009E5CA3">
        <w:rPr>
          <w:rFonts w:eastAsia="Calibri"/>
          <w:lang w:val="es-ES"/>
        </w:rPr>
        <w:t xml:space="preserve">, los cuales, como en otros casos, </w:t>
      </w:r>
      <w:r w:rsidR="00CA349D" w:rsidRPr="009E5CA3">
        <w:rPr>
          <w:rFonts w:eastAsia="Calibri"/>
          <w:lang w:val="es-ES"/>
        </w:rPr>
        <w:t xml:space="preserve">se </w:t>
      </w:r>
      <w:r w:rsidRPr="009E5CA3">
        <w:rPr>
          <w:rFonts w:eastAsia="Calibri"/>
          <w:lang w:val="es-ES"/>
        </w:rPr>
        <w:t>admite</w:t>
      </w:r>
      <w:r w:rsidR="00CA349D" w:rsidRPr="009E5CA3">
        <w:rPr>
          <w:rFonts w:eastAsia="Calibri"/>
          <w:lang w:val="es-ES"/>
        </w:rPr>
        <w:t>n</w:t>
      </w:r>
      <w:r w:rsidRPr="009E5CA3">
        <w:rPr>
          <w:rFonts w:eastAsia="Calibri"/>
          <w:lang w:val="es-ES"/>
        </w:rPr>
        <w:t xml:space="preserve"> en el entendido </w:t>
      </w:r>
      <w:r w:rsidR="00CA349D" w:rsidRPr="009E5CA3">
        <w:rPr>
          <w:rFonts w:eastAsia="Calibri"/>
          <w:lang w:val="es-ES"/>
        </w:rPr>
        <w:t xml:space="preserve">de </w:t>
      </w:r>
      <w:r w:rsidRPr="009E5CA3">
        <w:rPr>
          <w:rFonts w:eastAsia="Calibri"/>
          <w:lang w:val="es-ES"/>
        </w:rPr>
        <w:t xml:space="preserve">que fueron presentados en la </w:t>
      </w:r>
      <w:r w:rsidRPr="009E5CA3">
        <w:rPr>
          <w:lang w:val="es-MX"/>
        </w:rPr>
        <w:t>debida</w:t>
      </w:r>
      <w:r w:rsidRPr="009E5CA3">
        <w:rPr>
          <w:rFonts w:eastAsia="Calibri"/>
          <w:lang w:val="es-ES"/>
        </w:rPr>
        <w:t xml:space="preserve"> oportunidad procesal (artículo 57 del Reglamento)</w:t>
      </w:r>
      <w:r w:rsidRPr="009E5CA3">
        <w:rPr>
          <w:rFonts w:eastAsia="Calibri"/>
          <w:vertAlign w:val="superscript"/>
          <w:lang w:val="es-ES"/>
        </w:rPr>
        <w:footnoteReference w:id="11"/>
      </w:r>
      <w:r w:rsidRPr="009E5CA3">
        <w:rPr>
          <w:rFonts w:eastAsia="Calibri"/>
          <w:lang w:val="es-ES"/>
        </w:rPr>
        <w:t xml:space="preserve">. </w:t>
      </w:r>
    </w:p>
    <w:p w14:paraId="4050D552" w14:textId="43E44B49" w:rsidR="001A66E2" w:rsidRPr="009E5CA3" w:rsidRDefault="001A66E2" w:rsidP="001A66E2">
      <w:pPr>
        <w:tabs>
          <w:tab w:val="left" w:pos="567"/>
        </w:tabs>
        <w:spacing w:line="240" w:lineRule="auto"/>
        <w:rPr>
          <w:rFonts w:eastAsia="Calibri"/>
          <w:lang w:val="es-ES"/>
        </w:rPr>
      </w:pPr>
    </w:p>
    <w:p w14:paraId="453223AD" w14:textId="5E3DD2E9" w:rsidR="001A66E2" w:rsidRPr="00A81380" w:rsidRDefault="001A66E2" w:rsidP="00910C05">
      <w:pPr>
        <w:numPr>
          <w:ilvl w:val="0"/>
          <w:numId w:val="4"/>
        </w:numPr>
        <w:tabs>
          <w:tab w:val="left" w:pos="567"/>
          <w:tab w:val="num" w:pos="1569"/>
          <w:tab w:val="num" w:pos="12305"/>
        </w:tabs>
        <w:spacing w:line="240" w:lineRule="auto"/>
        <w:ind w:left="0" w:firstLine="0"/>
        <w:rPr>
          <w:rFonts w:eastAsia="Calibri"/>
          <w:lang w:val="es-ES"/>
        </w:rPr>
      </w:pPr>
      <w:r w:rsidRPr="00A81380">
        <w:rPr>
          <w:rFonts w:eastAsia="Calibri"/>
          <w:lang w:val="es-ES"/>
        </w:rPr>
        <w:t xml:space="preserve">Por otra parte, la Corte observa que los representantes presentaron, junto con sus alegatos finales escritos, dos anexos que corresponden a dos Sentencias dictadas por el </w:t>
      </w:r>
      <w:r w:rsidRPr="00A81380">
        <w:t>Comité Judicial del Consejo Privado (</w:t>
      </w:r>
      <w:r w:rsidRPr="00A81380">
        <w:rPr>
          <w:i/>
          <w:iCs/>
        </w:rPr>
        <w:t>Judicial Committee of the</w:t>
      </w:r>
      <w:r w:rsidRPr="00A81380">
        <w:t xml:space="preserve"> </w:t>
      </w:r>
      <w:r w:rsidRPr="00A81380">
        <w:rPr>
          <w:i/>
          <w:iCs/>
        </w:rPr>
        <w:t>Privy Council</w:t>
      </w:r>
      <w:r w:rsidRPr="00A81380">
        <w:t xml:space="preserve">) de 16 de mayo de 2022. </w:t>
      </w:r>
      <w:r w:rsidR="00910C05" w:rsidRPr="00A81380">
        <w:t xml:space="preserve">El Tribunal recuerda que el artículo 57.2 del Reglamento permite admitir una prueba que se refiera a un hecho ocurrido con posterioridad a la presentación, en este caso, del escrito de solicitudes, argumentos y pruebas. El </w:t>
      </w:r>
      <w:r w:rsidR="00910C05" w:rsidRPr="00A81380">
        <w:rPr>
          <w:rFonts w:eastAsia="Calibri"/>
          <w:lang w:val="es-ES"/>
        </w:rPr>
        <w:t xml:space="preserve">Tribunal constata que, efectivamente, </w:t>
      </w:r>
      <w:r w:rsidR="00F035F3" w:rsidRPr="00A81380">
        <w:rPr>
          <w:rFonts w:eastAsia="Calibri"/>
          <w:lang w:val="es-ES"/>
        </w:rPr>
        <w:t>tales</w:t>
      </w:r>
      <w:r w:rsidR="00910C05" w:rsidRPr="00A81380">
        <w:rPr>
          <w:rFonts w:eastAsia="Calibri"/>
          <w:lang w:val="es-ES"/>
        </w:rPr>
        <w:t xml:space="preserve"> anexos</w:t>
      </w:r>
      <w:r w:rsidR="003356F1" w:rsidRPr="00A81380">
        <w:rPr>
          <w:rFonts w:eastAsia="Calibri"/>
          <w:lang w:val="es-ES"/>
        </w:rPr>
        <w:t xml:space="preserve"> aluden </w:t>
      </w:r>
      <w:r w:rsidR="00910C05" w:rsidRPr="00A81380">
        <w:rPr>
          <w:rFonts w:eastAsia="Calibri"/>
          <w:lang w:val="es-ES"/>
        </w:rPr>
        <w:t>a hechos posteriores al momento de la presentación del escrito de solicitudes, argumentos y pruebas de los representantes.</w:t>
      </w:r>
      <w:r w:rsidR="00910C05" w:rsidRPr="00A81380">
        <w:t xml:space="preserve"> </w:t>
      </w:r>
      <w:r w:rsidR="00910C05" w:rsidRPr="00A81380">
        <w:rPr>
          <w:rFonts w:eastAsia="Calibri"/>
          <w:lang w:val="es-ES"/>
        </w:rPr>
        <w:t>En virtud de lo anterior, los referidos anexos quedan admitido</w:t>
      </w:r>
      <w:r w:rsidR="003356F1" w:rsidRPr="00A81380">
        <w:rPr>
          <w:rFonts w:eastAsia="Calibri"/>
          <w:lang w:val="es-ES"/>
        </w:rPr>
        <w:t>s</w:t>
      </w:r>
      <w:r w:rsidR="00910C05" w:rsidRPr="00A81380">
        <w:rPr>
          <w:rFonts w:eastAsia="Calibri"/>
          <w:lang w:val="es-ES"/>
        </w:rPr>
        <w:t>.</w:t>
      </w:r>
      <w:r w:rsidRPr="00A81380">
        <w:t xml:space="preserve"> </w:t>
      </w:r>
    </w:p>
    <w:p w14:paraId="28290C6F" w14:textId="77777777" w:rsidR="001A66E2" w:rsidRPr="009E5CA3" w:rsidRDefault="001A66E2" w:rsidP="001A66E2">
      <w:pPr>
        <w:tabs>
          <w:tab w:val="left" w:pos="567"/>
        </w:tabs>
        <w:spacing w:line="240" w:lineRule="auto"/>
        <w:rPr>
          <w:rFonts w:eastAsia="Calibri"/>
          <w:lang w:val="es-ES"/>
        </w:rPr>
      </w:pPr>
    </w:p>
    <w:p w14:paraId="332BF05A" w14:textId="77777777" w:rsidR="00616A72" w:rsidRPr="009E5CA3" w:rsidRDefault="00616A72" w:rsidP="00616A72">
      <w:pPr>
        <w:pStyle w:val="Ttulo2"/>
        <w:rPr>
          <w:lang w:val="es-ES"/>
        </w:rPr>
      </w:pPr>
      <w:bookmarkStart w:id="27" w:name="_Toc120891049"/>
      <w:r w:rsidRPr="009E5CA3">
        <w:rPr>
          <w:lang w:val="es-ES"/>
        </w:rPr>
        <w:t>B.</w:t>
      </w:r>
      <w:r w:rsidRPr="009E5CA3">
        <w:rPr>
          <w:lang w:val="es-ES"/>
        </w:rPr>
        <w:tab/>
        <w:t>Admisibilidad de la prueba testimonial y pericial</w:t>
      </w:r>
      <w:bookmarkEnd w:id="27"/>
    </w:p>
    <w:p w14:paraId="37B076F3" w14:textId="46A4FAAF" w:rsidR="00616A72" w:rsidRPr="009E5CA3" w:rsidRDefault="00616A72" w:rsidP="00A129F7">
      <w:pPr>
        <w:numPr>
          <w:ilvl w:val="0"/>
          <w:numId w:val="4"/>
        </w:numPr>
        <w:tabs>
          <w:tab w:val="left" w:pos="567"/>
          <w:tab w:val="num" w:pos="1569"/>
          <w:tab w:val="num" w:pos="12305"/>
        </w:tabs>
        <w:spacing w:line="240" w:lineRule="auto"/>
        <w:ind w:left="0" w:firstLine="0"/>
        <w:rPr>
          <w:lang w:val="es-ES"/>
        </w:rPr>
      </w:pPr>
      <w:r w:rsidRPr="009E5CA3">
        <w:rPr>
          <w:lang w:val="es-ES"/>
        </w:rPr>
        <w:t xml:space="preserve"> La Corte estima pertinente admitir las </w:t>
      </w:r>
      <w:r w:rsidRPr="009E5CA3">
        <w:rPr>
          <w:rFonts w:cs="Verdana"/>
          <w:lang w:val="es-ES" w:eastAsia="es-MX"/>
        </w:rPr>
        <w:t xml:space="preserve">declaraciones </w:t>
      </w:r>
      <w:r w:rsidRPr="009E5CA3">
        <w:rPr>
          <w:lang w:val="es-MX"/>
        </w:rPr>
        <w:t>rendidas</w:t>
      </w:r>
      <w:r w:rsidRPr="009E5CA3">
        <w:rPr>
          <w:lang w:val="es-ES"/>
        </w:rPr>
        <w:t xml:space="preserve"> ante fedatario público</w:t>
      </w:r>
      <w:r w:rsidRPr="009E5CA3">
        <w:rPr>
          <w:rStyle w:val="Refdenotaalpie"/>
          <w:lang w:val="es-ES"/>
        </w:rPr>
        <w:footnoteReference w:id="12"/>
      </w:r>
      <w:r w:rsidRPr="009E5CA3">
        <w:rPr>
          <w:lang w:val="es-ES"/>
        </w:rPr>
        <w:t xml:space="preserve"> en cuanto se ajustan al objeto definido por </w:t>
      </w:r>
      <w:r w:rsidR="001F53FB" w:rsidRPr="009E5CA3">
        <w:rPr>
          <w:lang w:val="es-ES"/>
        </w:rPr>
        <w:t>la</w:t>
      </w:r>
      <w:r w:rsidRPr="009E5CA3">
        <w:rPr>
          <w:lang w:val="es-ES"/>
        </w:rPr>
        <w:t xml:space="preserve"> Presiden</w:t>
      </w:r>
      <w:r w:rsidR="001F53FB" w:rsidRPr="009E5CA3">
        <w:rPr>
          <w:lang w:val="es-ES"/>
        </w:rPr>
        <w:t>cia</w:t>
      </w:r>
      <w:r w:rsidRPr="009E5CA3">
        <w:rPr>
          <w:lang w:val="es-ES"/>
        </w:rPr>
        <w:t xml:space="preserve"> en la Resolución que ordenó recibirlos</w:t>
      </w:r>
      <w:r w:rsidRPr="009E5CA3">
        <w:rPr>
          <w:vertAlign w:val="superscript"/>
          <w:lang w:val="es-ES"/>
        </w:rPr>
        <w:footnoteReference w:id="13"/>
      </w:r>
      <w:r w:rsidRPr="009E5CA3">
        <w:rPr>
          <w:lang w:val="es-ES"/>
        </w:rPr>
        <w:t>.</w:t>
      </w:r>
    </w:p>
    <w:p w14:paraId="753FE50D" w14:textId="53C3A64F" w:rsidR="008E0797" w:rsidRPr="009E5CA3" w:rsidRDefault="00467516" w:rsidP="001D7534">
      <w:pPr>
        <w:pStyle w:val="Ttulo1"/>
        <w:rPr>
          <w:lang w:val="es-ES"/>
        </w:rPr>
      </w:pPr>
      <w:bookmarkStart w:id="28" w:name="_Toc120891050"/>
      <w:r w:rsidRPr="009E5CA3">
        <w:rPr>
          <w:lang w:val="es-ES"/>
        </w:rPr>
        <w:t>V</w:t>
      </w:r>
      <w:r w:rsidRPr="009E5CA3">
        <w:rPr>
          <w:lang w:val="es-ES"/>
        </w:rPr>
        <w:br/>
        <w:t>HECHOS</w:t>
      </w:r>
      <w:bookmarkEnd w:id="0"/>
      <w:bookmarkEnd w:id="1"/>
      <w:bookmarkEnd w:id="2"/>
      <w:bookmarkEnd w:id="3"/>
      <w:bookmarkEnd w:id="28"/>
      <w:r w:rsidRPr="009E5CA3">
        <w:rPr>
          <w:lang w:val="es-ES"/>
        </w:rPr>
        <w:t xml:space="preserve"> </w:t>
      </w:r>
    </w:p>
    <w:p w14:paraId="57A8EDBF" w14:textId="34594C93" w:rsidR="00C95B51" w:rsidRPr="009E5CA3" w:rsidRDefault="00C95B51" w:rsidP="00C95B51">
      <w:pPr>
        <w:numPr>
          <w:ilvl w:val="0"/>
          <w:numId w:val="4"/>
        </w:numPr>
        <w:tabs>
          <w:tab w:val="left" w:pos="567"/>
          <w:tab w:val="num" w:pos="1569"/>
          <w:tab w:val="num" w:pos="12305"/>
        </w:tabs>
        <w:spacing w:line="240" w:lineRule="auto"/>
        <w:ind w:left="0" w:firstLine="0"/>
        <w:rPr>
          <w:lang w:val="es-ES_tradnl"/>
        </w:rPr>
      </w:pPr>
      <w:r w:rsidRPr="009E5CA3">
        <w:rPr>
          <w:lang w:val="es-ES_tradnl"/>
        </w:rPr>
        <w:t xml:space="preserve">En el presente caso debe </w:t>
      </w:r>
      <w:r w:rsidR="00C861FF" w:rsidRPr="009E5CA3">
        <w:rPr>
          <w:lang w:val="es-ES_tradnl"/>
        </w:rPr>
        <w:t>señalarse</w:t>
      </w:r>
      <w:r w:rsidR="00A7105E">
        <w:rPr>
          <w:lang w:val="es-ES_tradnl"/>
        </w:rPr>
        <w:t>,</w:t>
      </w:r>
      <w:r w:rsidRPr="009E5CA3">
        <w:rPr>
          <w:lang w:val="es-ES_tradnl"/>
        </w:rPr>
        <w:t xml:space="preserve"> con carácter preliminar</w:t>
      </w:r>
      <w:r w:rsidR="00A7105E">
        <w:rPr>
          <w:lang w:val="es-ES_tradnl"/>
        </w:rPr>
        <w:t>,</w:t>
      </w:r>
      <w:r w:rsidRPr="009E5CA3">
        <w:rPr>
          <w:lang w:val="es-ES_tradnl"/>
        </w:rPr>
        <w:t xml:space="preserve"> que el Estado no participó en el</w:t>
      </w:r>
      <w:r w:rsidR="003C4D9C" w:rsidRPr="009E5CA3">
        <w:rPr>
          <w:lang w:val="es-ES_tradnl"/>
        </w:rPr>
        <w:t xml:space="preserve"> </w:t>
      </w:r>
      <w:r w:rsidRPr="009E5CA3">
        <w:rPr>
          <w:lang w:val="es-ES_tradnl"/>
        </w:rPr>
        <w:t xml:space="preserve">procedimiento. A este respecto, cabe recordar lo estipulado en el artículo 41.2 del Reglamento, el cual establece que la Corte “podrá considerar como aceptados aquellos hechos que no hayan sido expresamente negados y las pretensiones que no hayan sido expresamente controvertidas”. En consecuencia, la Corte considera apropiado </w:t>
      </w:r>
      <w:r w:rsidR="0043444A" w:rsidRPr="009E5CA3">
        <w:rPr>
          <w:lang w:val="es-ES_tradnl"/>
        </w:rPr>
        <w:t xml:space="preserve">determinar </w:t>
      </w:r>
      <w:r w:rsidRPr="009E5CA3">
        <w:rPr>
          <w:lang w:val="es-ES_tradnl"/>
        </w:rPr>
        <w:t xml:space="preserve">los hechos probados en el presente caso tomando en cuenta, además del mencionado silencio del Estado, otros elementos que le permitan establecer la verdad de los hechos y su valoración jurídica, en ejercicio de su responsabilidad de protección de los derechos humanos y aplicando, para ese fin, los preceptos de derecho </w:t>
      </w:r>
      <w:r w:rsidRPr="009E5CA3">
        <w:t>convencional</w:t>
      </w:r>
      <w:r w:rsidRPr="009E5CA3">
        <w:rPr>
          <w:lang w:val="es-ES_tradnl"/>
        </w:rPr>
        <w:t xml:space="preserve"> </w:t>
      </w:r>
      <w:r w:rsidRPr="009E5CA3">
        <w:rPr>
          <w:lang w:val="es-ES_tradnl"/>
        </w:rPr>
        <w:lastRenderedPageBreak/>
        <w:t>y de derecho internacional general pertinentes</w:t>
      </w:r>
      <w:r w:rsidRPr="009E5CA3">
        <w:rPr>
          <w:rStyle w:val="Refdenotaalpie"/>
          <w:lang w:val="es-ES_tradnl"/>
        </w:rPr>
        <w:footnoteReference w:id="14"/>
      </w:r>
      <w:r w:rsidRPr="009E5CA3">
        <w:rPr>
          <w:lang w:val="es-ES_tradnl"/>
        </w:rPr>
        <w:t>. Sin embargo, más allá del eventual perjuicio para el Estado, la Corte recuerda que la inactividad de un Estado ante una jurisdicción internacional de derechos humanos es contraria al objeto, fin y espíritu de la Convención Americana y al mecanismo de seguridad colectiva establecido</w:t>
      </w:r>
      <w:r w:rsidRPr="009E5CA3">
        <w:rPr>
          <w:color w:val="FF00FF"/>
          <w:lang w:val="es-ES_tradnl"/>
        </w:rPr>
        <w:t xml:space="preserve"> </w:t>
      </w:r>
      <w:r w:rsidRPr="009E5CA3">
        <w:rPr>
          <w:lang w:val="es-ES_tradnl"/>
        </w:rPr>
        <w:t>en ésta</w:t>
      </w:r>
      <w:r w:rsidRPr="009E5CA3">
        <w:rPr>
          <w:rStyle w:val="Refdenotaalpie"/>
          <w:lang w:val="es-ES_tradnl"/>
        </w:rPr>
        <w:footnoteReference w:id="15"/>
      </w:r>
      <w:r w:rsidRPr="009E5CA3">
        <w:rPr>
          <w:lang w:val="es-ES_tradnl"/>
        </w:rPr>
        <w:t>.</w:t>
      </w:r>
    </w:p>
    <w:p w14:paraId="13D00CB4" w14:textId="77777777" w:rsidR="00403D28" w:rsidRPr="009E5CA3" w:rsidRDefault="00403D28" w:rsidP="00862269">
      <w:pPr>
        <w:tabs>
          <w:tab w:val="left" w:pos="567"/>
        </w:tabs>
        <w:spacing w:line="240" w:lineRule="auto"/>
        <w:textAlignment w:val="auto"/>
        <w:rPr>
          <w:lang w:val="es-ES_tradnl"/>
        </w:rPr>
      </w:pPr>
    </w:p>
    <w:p w14:paraId="4224CF09" w14:textId="0BAA9CC0" w:rsidR="009D5E1A" w:rsidRPr="009E5CA3" w:rsidRDefault="00C95B51" w:rsidP="00620502">
      <w:pPr>
        <w:numPr>
          <w:ilvl w:val="0"/>
          <w:numId w:val="4"/>
        </w:numPr>
        <w:tabs>
          <w:tab w:val="left" w:pos="567"/>
          <w:tab w:val="num" w:pos="1569"/>
          <w:tab w:val="num" w:pos="12305"/>
        </w:tabs>
        <w:spacing w:line="240" w:lineRule="auto"/>
        <w:ind w:left="0" w:firstLine="0"/>
        <w:rPr>
          <w:lang w:val="es-ES"/>
        </w:rPr>
      </w:pPr>
      <w:bookmarkStart w:id="29" w:name="_Toc24447086"/>
      <w:r w:rsidRPr="009E5CA3">
        <w:rPr>
          <w:lang w:val="es-ES"/>
        </w:rPr>
        <w:t xml:space="preserve">Sentado lo anterior, en el presente </w:t>
      </w:r>
      <w:r w:rsidR="009D5E1A" w:rsidRPr="009E5CA3">
        <w:rPr>
          <w:lang w:val="es-ES"/>
        </w:rPr>
        <w:t xml:space="preserve">capítulo la Corte establecerá los hechos del caso con base en el marco fáctico </w:t>
      </w:r>
      <w:r w:rsidR="009D5E1A" w:rsidRPr="009E5CA3">
        <w:rPr>
          <w:rFonts w:cs="Calibri"/>
          <w:lang w:val="es-ES"/>
        </w:rPr>
        <w:t>sometido</w:t>
      </w:r>
      <w:r w:rsidR="009D5E1A" w:rsidRPr="009E5CA3">
        <w:rPr>
          <w:lang w:val="es-ES"/>
        </w:rPr>
        <w:t xml:space="preserve"> a su conocimiento por la Comisión Interamericana</w:t>
      </w:r>
      <w:r w:rsidR="00165104" w:rsidRPr="009E5CA3">
        <w:rPr>
          <w:lang w:val="es-ES"/>
        </w:rPr>
        <w:t xml:space="preserve"> (ver </w:t>
      </w:r>
      <w:r w:rsidR="00165104" w:rsidRPr="009E5CA3">
        <w:rPr>
          <w:i/>
          <w:iCs/>
          <w:lang w:val="es-ES"/>
        </w:rPr>
        <w:t>supra</w:t>
      </w:r>
      <w:r w:rsidR="00165104" w:rsidRPr="009E5CA3">
        <w:rPr>
          <w:lang w:val="es-ES"/>
        </w:rPr>
        <w:t xml:space="preserve"> p</w:t>
      </w:r>
      <w:r w:rsidR="008154C7" w:rsidRPr="009E5CA3">
        <w:rPr>
          <w:lang w:val="es-ES"/>
        </w:rPr>
        <w:t>á</w:t>
      </w:r>
      <w:r w:rsidR="00165104" w:rsidRPr="009E5CA3">
        <w:rPr>
          <w:lang w:val="es-ES"/>
        </w:rPr>
        <w:t>rr. 4)</w:t>
      </w:r>
      <w:r w:rsidR="009D5E1A" w:rsidRPr="009E5CA3">
        <w:rPr>
          <w:lang w:val="es-ES"/>
        </w:rPr>
        <w:t xml:space="preserve">, en relación con los siguientes aspectos: (a) </w:t>
      </w:r>
      <w:r w:rsidR="00F643DA" w:rsidRPr="009E5CA3">
        <w:rPr>
          <w:lang w:val="es-ES"/>
        </w:rPr>
        <w:t xml:space="preserve">el procedimiento penal seguido contra el señor </w:t>
      </w:r>
      <w:proofErr w:type="spellStart"/>
      <w:r w:rsidR="00F643DA" w:rsidRPr="009E5CA3">
        <w:rPr>
          <w:lang w:val="es-ES"/>
        </w:rPr>
        <w:t>Bissoon</w:t>
      </w:r>
      <w:proofErr w:type="spellEnd"/>
      <w:r w:rsidR="00417738">
        <w:rPr>
          <w:lang w:val="es-ES"/>
        </w:rPr>
        <w:t>,</w:t>
      </w:r>
      <w:r w:rsidR="00F643DA" w:rsidRPr="009E5CA3">
        <w:rPr>
          <w:lang w:val="es-ES"/>
        </w:rPr>
        <w:t xml:space="preserve"> </w:t>
      </w:r>
      <w:r w:rsidR="009D5E1A" w:rsidRPr="009E5CA3">
        <w:rPr>
          <w:lang w:val="es-ES"/>
        </w:rPr>
        <w:t xml:space="preserve">(b) el procedimiento penal seguido contra </w:t>
      </w:r>
      <w:r w:rsidR="00F643DA" w:rsidRPr="009E5CA3">
        <w:rPr>
          <w:lang w:val="es-ES"/>
        </w:rPr>
        <w:t>el señor</w:t>
      </w:r>
      <w:r w:rsidR="009D5E1A" w:rsidRPr="009E5CA3">
        <w:rPr>
          <w:lang w:val="es-ES"/>
        </w:rPr>
        <w:t xml:space="preserve"> </w:t>
      </w:r>
      <w:proofErr w:type="spellStart"/>
      <w:r w:rsidR="009D5E1A" w:rsidRPr="009E5CA3">
        <w:rPr>
          <w:lang w:val="es-ES"/>
        </w:rPr>
        <w:t>Serrette</w:t>
      </w:r>
      <w:proofErr w:type="spellEnd"/>
      <w:r w:rsidR="009D5E1A" w:rsidRPr="009E5CA3">
        <w:rPr>
          <w:lang w:val="es-ES"/>
        </w:rPr>
        <w:t xml:space="preserve">, </w:t>
      </w:r>
      <w:r w:rsidR="00BF5D6B" w:rsidRPr="009E5CA3">
        <w:rPr>
          <w:lang w:val="es-ES"/>
        </w:rPr>
        <w:t xml:space="preserve">(c) conmutación de la pena de muerte por cadena perpetua, </w:t>
      </w:r>
      <w:r w:rsidR="009D5E1A" w:rsidRPr="009E5CA3">
        <w:rPr>
          <w:lang w:val="es-ES"/>
        </w:rPr>
        <w:t>así como (</w:t>
      </w:r>
      <w:r w:rsidR="00A7105E">
        <w:rPr>
          <w:lang w:val="es-ES"/>
        </w:rPr>
        <w:t>d</w:t>
      </w:r>
      <w:r w:rsidR="009D5E1A" w:rsidRPr="009E5CA3">
        <w:rPr>
          <w:lang w:val="es-ES"/>
        </w:rPr>
        <w:t>) las alegadas condiciones de detención sufridas durante el per</w:t>
      </w:r>
      <w:r w:rsidR="00417738">
        <w:rPr>
          <w:lang w:val="es-ES"/>
        </w:rPr>
        <w:t>í</w:t>
      </w:r>
      <w:r w:rsidR="009D5E1A" w:rsidRPr="009E5CA3">
        <w:rPr>
          <w:lang w:val="es-ES"/>
        </w:rPr>
        <w:t xml:space="preserve">odo </w:t>
      </w:r>
      <w:r w:rsidR="00275FEE" w:rsidRPr="009E5CA3">
        <w:rPr>
          <w:lang w:val="es-ES"/>
        </w:rPr>
        <w:t>que estuvieron en prisión preventiva</w:t>
      </w:r>
      <w:r w:rsidR="009D5E1A" w:rsidRPr="009E5CA3">
        <w:rPr>
          <w:lang w:val="es-ES"/>
        </w:rPr>
        <w:t>.</w:t>
      </w:r>
    </w:p>
    <w:p w14:paraId="192752B4" w14:textId="77777777" w:rsidR="009D5E1A" w:rsidRPr="009E5CA3" w:rsidRDefault="009D5E1A" w:rsidP="009D5E1A">
      <w:pPr>
        <w:tabs>
          <w:tab w:val="left" w:pos="2475"/>
        </w:tabs>
        <w:spacing w:line="240" w:lineRule="auto"/>
        <w:rPr>
          <w:lang w:val="es-ES"/>
        </w:rPr>
      </w:pPr>
      <w:r w:rsidRPr="009E5CA3">
        <w:rPr>
          <w:lang w:val="es-ES"/>
        </w:rPr>
        <w:tab/>
      </w:r>
    </w:p>
    <w:p w14:paraId="33F655B8" w14:textId="489A1703" w:rsidR="009D5E1A" w:rsidRPr="009E5CA3" w:rsidRDefault="009D5E1A" w:rsidP="00F643DA">
      <w:pPr>
        <w:pStyle w:val="Ttulo2"/>
        <w:numPr>
          <w:ilvl w:val="0"/>
          <w:numId w:val="40"/>
        </w:numPr>
        <w:spacing w:before="0" w:after="0"/>
        <w:ind w:left="720" w:hanging="360"/>
      </w:pPr>
      <w:bookmarkStart w:id="30" w:name="_Toc120891051"/>
      <w:r w:rsidRPr="009E5CA3">
        <w:t xml:space="preserve">Procedimiento penal seguido contra el señor </w:t>
      </w:r>
      <w:proofErr w:type="spellStart"/>
      <w:r w:rsidRPr="009E5CA3">
        <w:t>Bissoon</w:t>
      </w:r>
      <w:bookmarkEnd w:id="30"/>
      <w:proofErr w:type="spellEnd"/>
    </w:p>
    <w:p w14:paraId="5A71A53B" w14:textId="77777777" w:rsidR="00F643DA" w:rsidRPr="009E5CA3" w:rsidRDefault="00F643DA" w:rsidP="00F643DA"/>
    <w:p w14:paraId="294A8319" w14:textId="501675F7" w:rsidR="009D5E1A" w:rsidRPr="009E5CA3" w:rsidRDefault="00DE6385" w:rsidP="00620502">
      <w:pPr>
        <w:numPr>
          <w:ilvl w:val="0"/>
          <w:numId w:val="4"/>
        </w:numPr>
        <w:tabs>
          <w:tab w:val="left" w:pos="567"/>
          <w:tab w:val="num" w:pos="1569"/>
          <w:tab w:val="num" w:pos="12305"/>
        </w:tabs>
        <w:spacing w:line="240" w:lineRule="auto"/>
        <w:ind w:left="0" w:firstLine="0"/>
        <w:rPr>
          <w:lang w:val="es-ES"/>
        </w:rPr>
      </w:pPr>
      <w:r w:rsidRPr="009E5CA3">
        <w:rPr>
          <w:lang w:val="es-ES"/>
        </w:rPr>
        <w:t>El 28 de noviembre de 1995 tres hombres participaron en el robo de un vehíc</w:t>
      </w:r>
      <w:r w:rsidR="00611BCF" w:rsidRPr="009E5CA3">
        <w:rPr>
          <w:lang w:val="es-ES"/>
        </w:rPr>
        <w:t>ulo, como resultado del cual falleció la víctima L.A.R</w:t>
      </w:r>
      <w:r w:rsidR="00326631" w:rsidRPr="009E5CA3">
        <w:rPr>
          <w:rStyle w:val="Refdenotaalpie"/>
          <w:lang w:val="es-ES"/>
        </w:rPr>
        <w:footnoteReference w:id="16"/>
      </w:r>
      <w:r w:rsidR="00611BCF" w:rsidRPr="009E5CA3">
        <w:rPr>
          <w:lang w:val="es-ES"/>
        </w:rPr>
        <w:t>.</w:t>
      </w:r>
      <w:r w:rsidR="00326631" w:rsidRPr="009E5CA3">
        <w:rPr>
          <w:lang w:val="es-ES"/>
        </w:rPr>
        <w:t xml:space="preserve"> A raíz de lo anterior, el </w:t>
      </w:r>
      <w:r w:rsidR="006F793B" w:rsidRPr="009E5CA3">
        <w:rPr>
          <w:lang w:val="es-ES"/>
        </w:rPr>
        <w:t xml:space="preserve">1 de diciembre de 1995 el señor </w:t>
      </w:r>
      <w:proofErr w:type="spellStart"/>
      <w:r w:rsidR="006F793B" w:rsidRPr="009E5CA3">
        <w:rPr>
          <w:lang w:val="es-ES"/>
        </w:rPr>
        <w:t>Bissoon</w:t>
      </w:r>
      <w:proofErr w:type="spellEnd"/>
      <w:r w:rsidR="006F793B" w:rsidRPr="009E5CA3">
        <w:rPr>
          <w:lang w:val="es-ES"/>
        </w:rPr>
        <w:t xml:space="preserve"> fue detenido</w:t>
      </w:r>
      <w:r w:rsidR="00E60984" w:rsidRPr="009E5CA3">
        <w:rPr>
          <w:lang w:val="es-ES"/>
        </w:rPr>
        <w:t xml:space="preserve"> y</w:t>
      </w:r>
      <w:r w:rsidR="006F793B" w:rsidRPr="009E5CA3">
        <w:rPr>
          <w:lang w:val="es-ES"/>
        </w:rPr>
        <w:t xml:space="preserve"> acusado</w:t>
      </w:r>
      <w:r w:rsidR="00E60984" w:rsidRPr="009E5CA3">
        <w:rPr>
          <w:lang w:val="es-ES"/>
        </w:rPr>
        <w:t xml:space="preserve"> junto con otras dos personas</w:t>
      </w:r>
      <w:r w:rsidR="006F793B" w:rsidRPr="009E5CA3">
        <w:rPr>
          <w:lang w:val="es-ES"/>
        </w:rPr>
        <w:t xml:space="preserve"> de asesinato</w:t>
      </w:r>
      <w:r w:rsidR="00CC712B" w:rsidRPr="009E5CA3">
        <w:rPr>
          <w:rStyle w:val="Refdenotaalpie"/>
          <w:lang w:val="es-ES"/>
        </w:rPr>
        <w:footnoteReference w:id="17"/>
      </w:r>
      <w:r w:rsidR="006F793B" w:rsidRPr="009E5CA3">
        <w:rPr>
          <w:lang w:val="es-ES"/>
        </w:rPr>
        <w:t>.</w:t>
      </w:r>
    </w:p>
    <w:p w14:paraId="16A6D945" w14:textId="77777777" w:rsidR="006F793B" w:rsidRPr="009E5CA3" w:rsidRDefault="006F793B" w:rsidP="006F793B">
      <w:pPr>
        <w:tabs>
          <w:tab w:val="left" w:pos="567"/>
        </w:tabs>
        <w:spacing w:line="240" w:lineRule="auto"/>
        <w:textAlignment w:val="auto"/>
        <w:rPr>
          <w:lang w:val="es-ES"/>
        </w:rPr>
      </w:pPr>
    </w:p>
    <w:p w14:paraId="441C32E1" w14:textId="4CA7E397" w:rsidR="004406BB" w:rsidRPr="009E5CA3" w:rsidRDefault="006F793B" w:rsidP="004406BB">
      <w:pPr>
        <w:numPr>
          <w:ilvl w:val="0"/>
          <w:numId w:val="4"/>
        </w:numPr>
        <w:tabs>
          <w:tab w:val="left" w:pos="567"/>
          <w:tab w:val="num" w:pos="1569"/>
          <w:tab w:val="num" w:pos="12305"/>
        </w:tabs>
        <w:spacing w:line="240" w:lineRule="auto"/>
        <w:ind w:left="0" w:firstLine="0"/>
        <w:rPr>
          <w:lang w:val="es-ES"/>
        </w:rPr>
      </w:pPr>
      <w:r w:rsidRPr="009E5CA3">
        <w:rPr>
          <w:lang w:val="es-ES"/>
        </w:rPr>
        <w:t xml:space="preserve">El juicio contra el señor </w:t>
      </w:r>
      <w:proofErr w:type="spellStart"/>
      <w:r w:rsidRPr="009E5CA3">
        <w:rPr>
          <w:lang w:val="es-ES"/>
        </w:rPr>
        <w:t>Bissoon</w:t>
      </w:r>
      <w:proofErr w:type="spellEnd"/>
      <w:r w:rsidRPr="009E5CA3">
        <w:rPr>
          <w:lang w:val="es-ES"/>
        </w:rPr>
        <w:t xml:space="preserve"> inició </w:t>
      </w:r>
      <w:r w:rsidR="00E20981" w:rsidRPr="009E5CA3">
        <w:rPr>
          <w:lang w:val="es-ES"/>
        </w:rPr>
        <w:t>11</w:t>
      </w:r>
      <w:r w:rsidRPr="009E5CA3">
        <w:rPr>
          <w:lang w:val="es-ES"/>
        </w:rPr>
        <w:t xml:space="preserve"> de octubre de 199</w:t>
      </w:r>
      <w:r w:rsidR="00E20981" w:rsidRPr="009E5CA3">
        <w:rPr>
          <w:lang w:val="es-ES"/>
        </w:rPr>
        <w:t>9</w:t>
      </w:r>
      <w:r w:rsidR="00E20981" w:rsidRPr="009E5CA3">
        <w:rPr>
          <w:rStyle w:val="Refdenotaalpie"/>
          <w:lang w:val="es-ES"/>
        </w:rPr>
        <w:footnoteReference w:id="18"/>
      </w:r>
      <w:r w:rsidR="00E20981" w:rsidRPr="009E5CA3">
        <w:rPr>
          <w:lang w:val="es-ES"/>
        </w:rPr>
        <w:t>,</w:t>
      </w:r>
      <w:r w:rsidRPr="009E5CA3">
        <w:rPr>
          <w:lang w:val="es-ES"/>
        </w:rPr>
        <w:t xml:space="preserve"> tras lo cual fue declarado culpable de asesinato el 29 de octubre de 1999 y condenado a</w:t>
      </w:r>
      <w:r w:rsidR="00307924">
        <w:rPr>
          <w:lang w:val="es-ES"/>
        </w:rPr>
        <w:t xml:space="preserve"> pena de</w:t>
      </w:r>
      <w:r w:rsidRPr="009E5CA3">
        <w:rPr>
          <w:lang w:val="es-ES"/>
        </w:rPr>
        <w:t xml:space="preserve"> muerte por la Corte Superior de Justicia de Trinidad y Tobago (</w:t>
      </w:r>
      <w:r w:rsidRPr="009E5CA3">
        <w:rPr>
          <w:i/>
          <w:iCs/>
          <w:lang w:val="es-ES"/>
        </w:rPr>
        <w:t>High Court of Trinidad and Tobago</w:t>
      </w:r>
      <w:r w:rsidRPr="009E5CA3">
        <w:rPr>
          <w:lang w:val="es-ES"/>
        </w:rPr>
        <w:t>)</w:t>
      </w:r>
      <w:r w:rsidR="00E20981" w:rsidRPr="009E5CA3">
        <w:rPr>
          <w:rStyle w:val="Refdenotaalpie"/>
          <w:lang w:val="es-ES"/>
        </w:rPr>
        <w:footnoteReference w:id="19"/>
      </w:r>
      <w:r w:rsidRPr="009E5CA3">
        <w:rPr>
          <w:lang w:val="es-ES"/>
        </w:rPr>
        <w:t>.</w:t>
      </w:r>
      <w:r w:rsidR="004406BB" w:rsidRPr="009E5CA3">
        <w:rPr>
          <w:lang w:val="es-ES"/>
        </w:rPr>
        <w:t xml:space="preserve"> Todos los recursos presentados contra la condena fueron desestimados.</w:t>
      </w:r>
    </w:p>
    <w:p w14:paraId="505E8548" w14:textId="77777777" w:rsidR="00F643DA" w:rsidRPr="009E5CA3" w:rsidRDefault="00F643DA" w:rsidP="00F643DA">
      <w:pPr>
        <w:pStyle w:val="Prrafodelista"/>
        <w:rPr>
          <w:lang w:val="es-ES"/>
        </w:rPr>
      </w:pPr>
    </w:p>
    <w:p w14:paraId="5FF80530" w14:textId="4C4420AA" w:rsidR="009D5E1A" w:rsidRPr="009E5CA3" w:rsidRDefault="009D5E1A" w:rsidP="00F643DA">
      <w:pPr>
        <w:pStyle w:val="Ttulo2"/>
        <w:numPr>
          <w:ilvl w:val="0"/>
          <w:numId w:val="40"/>
        </w:numPr>
        <w:spacing w:before="0" w:after="0"/>
        <w:ind w:left="720" w:hanging="360"/>
      </w:pPr>
      <w:bookmarkStart w:id="31" w:name="_Toc120891052"/>
      <w:r w:rsidRPr="009E5CA3">
        <w:t xml:space="preserve">Procedimiento penal seguido contra el señor </w:t>
      </w:r>
      <w:proofErr w:type="spellStart"/>
      <w:r w:rsidRPr="009E5CA3">
        <w:t>Serrette</w:t>
      </w:r>
      <w:bookmarkEnd w:id="31"/>
      <w:proofErr w:type="spellEnd"/>
    </w:p>
    <w:p w14:paraId="08CB6C10" w14:textId="77777777" w:rsidR="00F643DA" w:rsidRPr="009E5CA3" w:rsidRDefault="00F643DA" w:rsidP="00F643DA"/>
    <w:p w14:paraId="0DE331BE" w14:textId="1328B421" w:rsidR="009D5E1A" w:rsidRPr="009E5CA3" w:rsidRDefault="00326631" w:rsidP="00620502">
      <w:pPr>
        <w:numPr>
          <w:ilvl w:val="0"/>
          <w:numId w:val="4"/>
        </w:numPr>
        <w:tabs>
          <w:tab w:val="left" w:pos="567"/>
          <w:tab w:val="num" w:pos="1569"/>
          <w:tab w:val="num" w:pos="12305"/>
        </w:tabs>
        <w:spacing w:line="240" w:lineRule="auto"/>
        <w:ind w:left="0" w:firstLine="0"/>
        <w:rPr>
          <w:lang w:val="es-ES"/>
        </w:rPr>
      </w:pPr>
      <w:r w:rsidRPr="009E5CA3">
        <w:rPr>
          <w:lang w:val="es-ES"/>
        </w:rPr>
        <w:t xml:space="preserve">En la tarde del 9 de octubre de 1998 el hermano del señor </w:t>
      </w:r>
      <w:proofErr w:type="spellStart"/>
      <w:r w:rsidRPr="009E5CA3">
        <w:rPr>
          <w:lang w:val="es-ES"/>
        </w:rPr>
        <w:t>Serrette</w:t>
      </w:r>
      <w:proofErr w:type="spellEnd"/>
      <w:r w:rsidRPr="009E5CA3">
        <w:rPr>
          <w:lang w:val="es-ES"/>
        </w:rPr>
        <w:t xml:space="preserve"> entró en su casa y encontró al señor </w:t>
      </w:r>
      <w:proofErr w:type="spellStart"/>
      <w:r w:rsidRPr="009E5CA3">
        <w:rPr>
          <w:lang w:val="es-ES"/>
        </w:rPr>
        <w:t>Serrette</w:t>
      </w:r>
      <w:proofErr w:type="spellEnd"/>
      <w:r w:rsidRPr="009E5CA3">
        <w:rPr>
          <w:lang w:val="es-ES"/>
        </w:rPr>
        <w:t xml:space="preserve"> limpiándose lo que parecía que era sangre en su talón. Al entrar a la habitación del señor </w:t>
      </w:r>
      <w:proofErr w:type="spellStart"/>
      <w:r w:rsidRPr="009E5CA3">
        <w:rPr>
          <w:lang w:val="es-ES"/>
        </w:rPr>
        <w:t>Serret</w:t>
      </w:r>
      <w:r w:rsidR="00A81380">
        <w:rPr>
          <w:lang w:val="es-ES"/>
        </w:rPr>
        <w:t>t</w:t>
      </w:r>
      <w:r w:rsidRPr="009E5CA3">
        <w:rPr>
          <w:lang w:val="es-ES"/>
        </w:rPr>
        <w:t>e</w:t>
      </w:r>
      <w:proofErr w:type="spellEnd"/>
      <w:r w:rsidRPr="009E5CA3">
        <w:rPr>
          <w:lang w:val="es-ES"/>
        </w:rPr>
        <w:t xml:space="preserve"> encontró a la mujer de este y a su hijo en un charco de sangre, muertos. El hermano del señor </w:t>
      </w:r>
      <w:proofErr w:type="spellStart"/>
      <w:r w:rsidRPr="009E5CA3">
        <w:rPr>
          <w:lang w:val="es-ES"/>
        </w:rPr>
        <w:t>Serrette</w:t>
      </w:r>
      <w:proofErr w:type="spellEnd"/>
      <w:r w:rsidRPr="009E5CA3">
        <w:rPr>
          <w:lang w:val="es-ES"/>
        </w:rPr>
        <w:t xml:space="preserve"> denunció los hechos ante la policía. A raíz de lo anterior, el </w:t>
      </w:r>
      <w:r w:rsidR="006F793B" w:rsidRPr="009E5CA3">
        <w:rPr>
          <w:lang w:val="es-ES"/>
        </w:rPr>
        <w:t>13</w:t>
      </w:r>
      <w:r w:rsidRPr="009E5CA3">
        <w:rPr>
          <w:lang w:val="es-ES"/>
        </w:rPr>
        <w:t xml:space="preserve"> de </w:t>
      </w:r>
      <w:r w:rsidR="006F793B" w:rsidRPr="009E5CA3">
        <w:rPr>
          <w:lang w:val="es-ES"/>
        </w:rPr>
        <w:t>octubre</w:t>
      </w:r>
      <w:r w:rsidRPr="009E5CA3">
        <w:rPr>
          <w:lang w:val="es-ES"/>
        </w:rPr>
        <w:t xml:space="preserve"> de </w:t>
      </w:r>
      <w:r w:rsidR="006F793B" w:rsidRPr="009E5CA3">
        <w:rPr>
          <w:lang w:val="es-ES"/>
        </w:rPr>
        <w:t>1998</w:t>
      </w:r>
      <w:r w:rsidRPr="009E5CA3">
        <w:rPr>
          <w:lang w:val="es-ES"/>
        </w:rPr>
        <w:t xml:space="preserve"> el señor </w:t>
      </w:r>
      <w:proofErr w:type="spellStart"/>
      <w:r w:rsidRPr="009E5CA3">
        <w:rPr>
          <w:lang w:val="es-ES"/>
        </w:rPr>
        <w:t>Serrette</w:t>
      </w:r>
      <w:proofErr w:type="spellEnd"/>
      <w:r w:rsidRPr="009E5CA3">
        <w:rPr>
          <w:lang w:val="es-ES"/>
        </w:rPr>
        <w:t xml:space="preserve"> fue detenido, acusado del asesinato de su mujer y de su hij</w:t>
      </w:r>
      <w:r w:rsidR="006F793B" w:rsidRPr="009E5CA3">
        <w:rPr>
          <w:lang w:val="es-ES"/>
        </w:rPr>
        <w:t>o</w:t>
      </w:r>
      <w:r w:rsidR="00000A53" w:rsidRPr="009E5CA3">
        <w:rPr>
          <w:rStyle w:val="Refdenotaalpie"/>
          <w:lang w:val="es-ES"/>
        </w:rPr>
        <w:footnoteReference w:id="20"/>
      </w:r>
      <w:r w:rsidRPr="009E5CA3">
        <w:rPr>
          <w:lang w:val="es-ES"/>
        </w:rPr>
        <w:t>.</w:t>
      </w:r>
    </w:p>
    <w:p w14:paraId="085B7D0D" w14:textId="77F8626A" w:rsidR="006F793B" w:rsidRPr="009E5CA3" w:rsidRDefault="006F793B" w:rsidP="006F793B">
      <w:pPr>
        <w:tabs>
          <w:tab w:val="left" w:pos="567"/>
        </w:tabs>
        <w:spacing w:line="240" w:lineRule="auto"/>
        <w:textAlignment w:val="auto"/>
        <w:rPr>
          <w:lang w:val="es-ES"/>
        </w:rPr>
      </w:pPr>
    </w:p>
    <w:p w14:paraId="4F745519" w14:textId="0440E738" w:rsidR="00C95B51" w:rsidRPr="009E5CA3" w:rsidRDefault="006F793B" w:rsidP="00C95B51">
      <w:pPr>
        <w:numPr>
          <w:ilvl w:val="0"/>
          <w:numId w:val="4"/>
        </w:numPr>
        <w:tabs>
          <w:tab w:val="left" w:pos="567"/>
          <w:tab w:val="num" w:pos="1569"/>
          <w:tab w:val="num" w:pos="12305"/>
        </w:tabs>
        <w:spacing w:line="240" w:lineRule="auto"/>
        <w:ind w:left="0" w:firstLine="0"/>
        <w:rPr>
          <w:lang w:val="es-ES"/>
        </w:rPr>
      </w:pPr>
      <w:r w:rsidRPr="009E5CA3">
        <w:rPr>
          <w:lang w:val="es-ES"/>
        </w:rPr>
        <w:t xml:space="preserve">El juicio contra el señor </w:t>
      </w:r>
      <w:proofErr w:type="spellStart"/>
      <w:r w:rsidRPr="009E5CA3">
        <w:rPr>
          <w:lang w:val="es-ES"/>
        </w:rPr>
        <w:t>Serrette</w:t>
      </w:r>
      <w:proofErr w:type="spellEnd"/>
      <w:r w:rsidRPr="009E5CA3">
        <w:rPr>
          <w:lang w:val="es-ES"/>
        </w:rPr>
        <w:t xml:space="preserve"> inició el 15 de mayo de 2001</w:t>
      </w:r>
      <w:r w:rsidR="00CC712B" w:rsidRPr="009E5CA3">
        <w:rPr>
          <w:rStyle w:val="Refdenotaalpie"/>
          <w:lang w:val="es-ES"/>
        </w:rPr>
        <w:footnoteReference w:id="21"/>
      </w:r>
      <w:r w:rsidRPr="009E5CA3">
        <w:rPr>
          <w:lang w:val="es-ES"/>
        </w:rPr>
        <w:t xml:space="preserve">, tras lo cual fue declarado culpable el 21 de mayo de 2001 y condenado </w:t>
      </w:r>
      <w:r w:rsidR="009B7924" w:rsidRPr="009E5CA3">
        <w:rPr>
          <w:lang w:val="es-ES"/>
        </w:rPr>
        <w:t>por la Corte Superior de Justicia de Trinidad y Tobago (</w:t>
      </w:r>
      <w:r w:rsidR="009B7924" w:rsidRPr="009E5CA3">
        <w:rPr>
          <w:i/>
          <w:iCs/>
          <w:lang w:val="es-ES"/>
        </w:rPr>
        <w:t>High Court of Trinidad and Tobago</w:t>
      </w:r>
      <w:r w:rsidR="009B7924" w:rsidRPr="009E5CA3">
        <w:rPr>
          <w:lang w:val="es-ES"/>
        </w:rPr>
        <w:t xml:space="preserve">) </w:t>
      </w:r>
      <w:r w:rsidRPr="009E5CA3">
        <w:rPr>
          <w:lang w:val="es-ES"/>
        </w:rPr>
        <w:t xml:space="preserve">a </w:t>
      </w:r>
      <w:r w:rsidR="007A51FD">
        <w:rPr>
          <w:lang w:val="es-ES"/>
        </w:rPr>
        <w:t>cadena</w:t>
      </w:r>
      <w:r w:rsidR="007E581E">
        <w:rPr>
          <w:lang w:val="es-ES"/>
        </w:rPr>
        <w:t xml:space="preserve"> perpetua </w:t>
      </w:r>
      <w:r w:rsidR="009B7924" w:rsidRPr="009E5CA3">
        <w:rPr>
          <w:lang w:val="es-ES"/>
        </w:rPr>
        <w:t xml:space="preserve">por el homicidio de su mujer y </w:t>
      </w:r>
      <w:r w:rsidR="006E0E16">
        <w:rPr>
          <w:lang w:val="es-ES"/>
        </w:rPr>
        <w:t xml:space="preserve">condenado a pena de </w:t>
      </w:r>
      <w:r w:rsidR="007E581E">
        <w:rPr>
          <w:lang w:val="es-ES"/>
        </w:rPr>
        <w:t xml:space="preserve">muerte por </w:t>
      </w:r>
      <w:r w:rsidRPr="009E5CA3">
        <w:rPr>
          <w:lang w:val="es-ES"/>
        </w:rPr>
        <w:t>el asesinato de su hijo</w:t>
      </w:r>
      <w:r w:rsidR="00CC712B" w:rsidRPr="009E5CA3">
        <w:rPr>
          <w:rStyle w:val="Refdenotaalpie"/>
          <w:lang w:val="es-ES"/>
        </w:rPr>
        <w:footnoteReference w:id="22"/>
      </w:r>
      <w:r w:rsidRPr="009E5CA3">
        <w:rPr>
          <w:lang w:val="es-ES"/>
        </w:rPr>
        <w:t>.</w:t>
      </w:r>
      <w:r w:rsidR="004406BB" w:rsidRPr="009E5CA3">
        <w:rPr>
          <w:lang w:val="es-ES"/>
        </w:rPr>
        <w:t xml:space="preserve"> Todos los recursos presentados contra la condena </w:t>
      </w:r>
      <w:r w:rsidR="004406BB" w:rsidRPr="009E5CA3">
        <w:rPr>
          <w:lang w:val="es-ES"/>
        </w:rPr>
        <w:lastRenderedPageBreak/>
        <w:t>fueron desestimados.</w:t>
      </w:r>
    </w:p>
    <w:p w14:paraId="3C0E842F" w14:textId="7D530C64" w:rsidR="00C95B51" w:rsidRPr="009E5CA3" w:rsidRDefault="00C95B51" w:rsidP="00C95B51">
      <w:pPr>
        <w:pStyle w:val="Prrafodelista"/>
        <w:rPr>
          <w:lang w:val="es-ES"/>
        </w:rPr>
      </w:pPr>
    </w:p>
    <w:p w14:paraId="760F40C6" w14:textId="1375FD1E" w:rsidR="00BF5D6B" w:rsidRPr="009E5CA3" w:rsidRDefault="00BF5D6B" w:rsidP="00BF5D6B">
      <w:pPr>
        <w:pStyle w:val="Ttulo2"/>
        <w:numPr>
          <w:ilvl w:val="0"/>
          <w:numId w:val="40"/>
        </w:numPr>
        <w:spacing w:before="0" w:after="0"/>
        <w:ind w:left="720" w:hanging="360"/>
        <w:rPr>
          <w:lang w:val="es-ES"/>
        </w:rPr>
      </w:pPr>
      <w:bookmarkStart w:id="32" w:name="_Toc120891053"/>
      <w:r w:rsidRPr="009E5CA3">
        <w:rPr>
          <w:lang w:val="es-ES"/>
        </w:rPr>
        <w:t xml:space="preserve">Conmutación de </w:t>
      </w:r>
      <w:r w:rsidRPr="009E5CA3">
        <w:t>la</w:t>
      </w:r>
      <w:r w:rsidRPr="009E5CA3">
        <w:rPr>
          <w:lang w:val="es-ES"/>
        </w:rPr>
        <w:t xml:space="preserve"> </w:t>
      </w:r>
      <w:r w:rsidRPr="009E5CA3">
        <w:t>pena</w:t>
      </w:r>
      <w:r w:rsidRPr="009E5CA3">
        <w:rPr>
          <w:lang w:val="es-ES"/>
        </w:rPr>
        <w:t xml:space="preserve"> de muerte por cadena perpetua</w:t>
      </w:r>
      <w:bookmarkEnd w:id="32"/>
    </w:p>
    <w:p w14:paraId="59578750" w14:textId="77777777" w:rsidR="00BF5D6B" w:rsidRPr="009E5CA3" w:rsidRDefault="00BF5D6B" w:rsidP="00BF5D6B">
      <w:pPr>
        <w:rPr>
          <w:lang w:val="es-ES"/>
        </w:rPr>
      </w:pPr>
    </w:p>
    <w:p w14:paraId="3BAD7848" w14:textId="78257D52" w:rsidR="00C95B51" w:rsidRDefault="00C95B51" w:rsidP="00C95B51">
      <w:pPr>
        <w:numPr>
          <w:ilvl w:val="0"/>
          <w:numId w:val="4"/>
        </w:numPr>
        <w:tabs>
          <w:tab w:val="left" w:pos="567"/>
          <w:tab w:val="num" w:pos="1569"/>
          <w:tab w:val="num" w:pos="12305"/>
        </w:tabs>
        <w:spacing w:line="240" w:lineRule="auto"/>
        <w:ind w:left="0" w:firstLine="0"/>
        <w:rPr>
          <w:lang w:val="es-ES"/>
        </w:rPr>
      </w:pPr>
      <w:r w:rsidRPr="009E5CA3">
        <w:rPr>
          <w:lang w:val="es-ES"/>
        </w:rPr>
        <w:t xml:space="preserve">En fecha posterior a los hechos que son objeto de la competencia temporal de este Tribunal, los señores </w:t>
      </w:r>
      <w:proofErr w:type="spellStart"/>
      <w:r w:rsidRPr="009E5CA3">
        <w:rPr>
          <w:lang w:val="es-ES"/>
        </w:rPr>
        <w:t>Bissoon</w:t>
      </w:r>
      <w:proofErr w:type="spellEnd"/>
      <w:r w:rsidRPr="009E5CA3">
        <w:rPr>
          <w:lang w:val="es-ES"/>
        </w:rPr>
        <w:t xml:space="preserve"> y </w:t>
      </w:r>
      <w:proofErr w:type="spellStart"/>
      <w:r w:rsidRPr="009E5CA3">
        <w:rPr>
          <w:lang w:val="es-ES"/>
        </w:rPr>
        <w:t>Serrette</w:t>
      </w:r>
      <w:proofErr w:type="spellEnd"/>
      <w:r w:rsidRPr="009E5CA3">
        <w:rPr>
          <w:lang w:val="es-ES"/>
        </w:rPr>
        <w:t xml:space="preserve"> interpusieron una serie de recursos de apelación contra su condena, los cuales fueron desestimados. Asimismo, la Corte ha sido informada de que el 15 de agosto de 2008 las condenas a pena de muerte de los señores </w:t>
      </w:r>
      <w:proofErr w:type="spellStart"/>
      <w:r w:rsidRPr="009E5CA3">
        <w:rPr>
          <w:lang w:val="es-ES"/>
        </w:rPr>
        <w:t>Bissoon</w:t>
      </w:r>
      <w:proofErr w:type="spellEnd"/>
      <w:r w:rsidRPr="009E5CA3">
        <w:rPr>
          <w:lang w:val="es-ES"/>
        </w:rPr>
        <w:t xml:space="preserve"> y </w:t>
      </w:r>
      <w:proofErr w:type="spellStart"/>
      <w:r w:rsidRPr="009E5CA3">
        <w:rPr>
          <w:lang w:val="es-ES"/>
        </w:rPr>
        <w:t>Serrette</w:t>
      </w:r>
      <w:proofErr w:type="spellEnd"/>
      <w:r w:rsidRPr="009E5CA3">
        <w:rPr>
          <w:lang w:val="es-ES"/>
        </w:rPr>
        <w:t xml:space="preserve"> fueron conmutadas por la </w:t>
      </w:r>
      <w:r w:rsidR="00307924">
        <w:rPr>
          <w:lang w:val="es-ES"/>
        </w:rPr>
        <w:t xml:space="preserve">pena de </w:t>
      </w:r>
      <w:r w:rsidRPr="009E5CA3">
        <w:rPr>
          <w:lang w:val="es-ES"/>
        </w:rPr>
        <w:t>cadena perpetua</w:t>
      </w:r>
      <w:r w:rsidRPr="009E5CA3">
        <w:rPr>
          <w:rStyle w:val="Refdenotaalpie"/>
          <w:lang w:val="es-ES"/>
        </w:rPr>
        <w:footnoteReference w:id="23"/>
      </w:r>
      <w:r w:rsidR="006E0E16">
        <w:rPr>
          <w:lang w:val="es-ES"/>
        </w:rPr>
        <w:t xml:space="preserve">, toda vez que el </w:t>
      </w:r>
      <w:r w:rsidR="006E0E16" w:rsidRPr="006E0E16">
        <w:rPr>
          <w:lang w:val="es-ES"/>
        </w:rPr>
        <w:t>Comité Judicial del Consejo Privado</w:t>
      </w:r>
      <w:r w:rsidR="006E0E16">
        <w:rPr>
          <w:lang w:val="es-ES"/>
        </w:rPr>
        <w:t xml:space="preserve"> determinó </w:t>
      </w:r>
      <w:r w:rsidR="00307924">
        <w:rPr>
          <w:lang w:val="es-ES"/>
        </w:rPr>
        <w:t xml:space="preserve">que </w:t>
      </w:r>
      <w:r w:rsidR="006E0E16">
        <w:rPr>
          <w:lang w:val="es-ES"/>
        </w:rPr>
        <w:t xml:space="preserve">dicha </w:t>
      </w:r>
      <w:r w:rsidR="00862269">
        <w:rPr>
          <w:lang w:val="es-ES"/>
        </w:rPr>
        <w:t xml:space="preserve">pena </w:t>
      </w:r>
      <w:r w:rsidR="006E0E16">
        <w:rPr>
          <w:lang w:val="es-ES"/>
        </w:rPr>
        <w:t xml:space="preserve">era </w:t>
      </w:r>
      <w:r w:rsidR="006E0E16" w:rsidRPr="006E0E16">
        <w:rPr>
          <w:lang w:val="es-ES"/>
        </w:rPr>
        <w:t>incompatible con la prohibición de castigo inhumano o degradante prevista en la Constitución de Trinidad y Tobago</w:t>
      </w:r>
      <w:r w:rsidRPr="009E5CA3">
        <w:rPr>
          <w:lang w:val="es-ES"/>
        </w:rPr>
        <w:t>.</w:t>
      </w:r>
    </w:p>
    <w:p w14:paraId="70546536" w14:textId="77777777" w:rsidR="006E0E16" w:rsidRDefault="006E0E16" w:rsidP="006E0E16">
      <w:pPr>
        <w:tabs>
          <w:tab w:val="left" w:pos="567"/>
        </w:tabs>
        <w:spacing w:line="240" w:lineRule="auto"/>
        <w:rPr>
          <w:lang w:val="es-ES"/>
        </w:rPr>
      </w:pPr>
    </w:p>
    <w:p w14:paraId="114EF0C2" w14:textId="2FF340B8" w:rsidR="006E0E16" w:rsidRDefault="006E0E16" w:rsidP="00C95B51">
      <w:pPr>
        <w:numPr>
          <w:ilvl w:val="0"/>
          <w:numId w:val="4"/>
        </w:numPr>
        <w:tabs>
          <w:tab w:val="left" w:pos="567"/>
          <w:tab w:val="num" w:pos="1569"/>
          <w:tab w:val="num" w:pos="12305"/>
        </w:tabs>
        <w:spacing w:line="240" w:lineRule="auto"/>
        <w:ind w:left="0" w:firstLine="0"/>
        <w:rPr>
          <w:lang w:val="es-ES"/>
        </w:rPr>
      </w:pPr>
      <w:r w:rsidRPr="006E0E16">
        <w:rPr>
          <w:lang w:val="es-ES"/>
        </w:rPr>
        <w:t xml:space="preserve">El Tribunal destaca que, para arribar a </w:t>
      </w:r>
      <w:r>
        <w:rPr>
          <w:lang w:val="es-ES"/>
        </w:rPr>
        <w:t>dicha</w:t>
      </w:r>
      <w:r w:rsidRPr="006E0E16">
        <w:rPr>
          <w:lang w:val="es-ES"/>
        </w:rPr>
        <w:t xml:space="preserve"> conclusió</w:t>
      </w:r>
      <w:r>
        <w:rPr>
          <w:lang w:val="es-ES"/>
        </w:rPr>
        <w:t>n</w:t>
      </w:r>
      <w:r w:rsidRPr="006E0E16">
        <w:rPr>
          <w:lang w:val="es-ES"/>
        </w:rPr>
        <w:t xml:space="preserve">, el Comité Judicial del Consejo Privado otorgó gran relevancia al hecho de que Trinidad y Tobago era miembro de la Organización de los Estados Americanos desde el 14 de marzo de 1967 y que, como tal, estaba obligado a respetar y garantizar los derechos contenidos en la Declaración Americana de los Derechos y Deberes del Hombre. Asimismo, señaló que dicho país había ratificado la Convención Americana sobre Derechos Humanos y había reconocido la jurisdicción contenciosa de la Corte Interamericana. Dicho órgano también advirtió que, tanto la Comisión Interamericana de Derechos Humanos como la Corte Interamericana de Derechos Humanos y el Comité de Derechos Humanos de la Organización de </w:t>
      </w:r>
      <w:r w:rsidR="00742BFB">
        <w:rPr>
          <w:lang w:val="es-ES"/>
        </w:rPr>
        <w:t xml:space="preserve">las </w:t>
      </w:r>
      <w:r w:rsidRPr="006E0E16">
        <w:rPr>
          <w:lang w:val="es-ES"/>
        </w:rPr>
        <w:t xml:space="preserve">Naciones Unidas, habían decidido que la pena de muerte obligatoria era inconsistente con las “obligaciones de derecho internacional”. En este sentido, se refirió a numerosos informes de la Comisión Interamericana que se han pronunciado en este mismo sentido, tales como </w:t>
      </w:r>
      <w:r w:rsidRPr="006E0E16">
        <w:rPr>
          <w:i/>
          <w:iCs/>
          <w:lang w:val="es-ES"/>
        </w:rPr>
        <w:t>McKenzi y otros Vs. Jamaica</w:t>
      </w:r>
      <w:r w:rsidRPr="006E0E16">
        <w:rPr>
          <w:lang w:val="es-ES"/>
        </w:rPr>
        <w:t xml:space="preserve">, Informe </w:t>
      </w:r>
      <w:r w:rsidR="00742BFB">
        <w:rPr>
          <w:lang w:val="es-ES"/>
        </w:rPr>
        <w:t>N</w:t>
      </w:r>
      <w:r w:rsidRPr="006E0E16">
        <w:rPr>
          <w:lang w:val="es-ES"/>
        </w:rPr>
        <w:t xml:space="preserve">o. 41/00, de 13 de abril de 2000; </w:t>
      </w:r>
      <w:r w:rsidRPr="006E0E16">
        <w:rPr>
          <w:i/>
          <w:iCs/>
          <w:lang w:val="es-ES"/>
        </w:rPr>
        <w:t>Baptiste v. Granada</w:t>
      </w:r>
      <w:r w:rsidRPr="006E0E16">
        <w:rPr>
          <w:lang w:val="es-ES"/>
        </w:rPr>
        <w:t xml:space="preserve">, Informe </w:t>
      </w:r>
      <w:r w:rsidR="00742BFB">
        <w:rPr>
          <w:lang w:val="es-ES"/>
        </w:rPr>
        <w:t>N</w:t>
      </w:r>
      <w:r w:rsidRPr="006E0E16">
        <w:rPr>
          <w:lang w:val="es-ES"/>
        </w:rPr>
        <w:t xml:space="preserve">o. 38/00, de 13 de abril de 2000; Edwards y otros </w:t>
      </w:r>
      <w:r w:rsidR="00742BFB" w:rsidRPr="006E0E16">
        <w:rPr>
          <w:i/>
          <w:iCs/>
          <w:lang w:val="es-ES"/>
        </w:rPr>
        <w:t>Vs.</w:t>
      </w:r>
      <w:r w:rsidRPr="006E0E16">
        <w:rPr>
          <w:lang w:val="es-ES"/>
        </w:rPr>
        <w:t xml:space="preserve"> Bahamas, Informe </w:t>
      </w:r>
      <w:r w:rsidR="00742BFB">
        <w:rPr>
          <w:lang w:val="es-ES"/>
        </w:rPr>
        <w:t>N</w:t>
      </w:r>
      <w:r w:rsidRPr="006E0E16">
        <w:rPr>
          <w:lang w:val="es-ES"/>
        </w:rPr>
        <w:t xml:space="preserve">o. 48/01, de 4 de abril de 2001, y Sewell </w:t>
      </w:r>
      <w:r w:rsidR="00742BFB" w:rsidRPr="006E0E16">
        <w:rPr>
          <w:i/>
          <w:iCs/>
          <w:lang w:val="es-ES"/>
        </w:rPr>
        <w:t>Vs.</w:t>
      </w:r>
      <w:r w:rsidRPr="006E0E16">
        <w:rPr>
          <w:lang w:val="es-ES"/>
        </w:rPr>
        <w:t xml:space="preserve"> Jamaica, Informe </w:t>
      </w:r>
      <w:r w:rsidR="00742BFB">
        <w:rPr>
          <w:lang w:val="es-ES"/>
        </w:rPr>
        <w:t>N</w:t>
      </w:r>
      <w:r w:rsidRPr="006E0E16">
        <w:rPr>
          <w:lang w:val="es-ES"/>
        </w:rPr>
        <w:t>o</w:t>
      </w:r>
      <w:r w:rsidR="00742BFB">
        <w:rPr>
          <w:lang w:val="es-ES"/>
        </w:rPr>
        <w:t>.</w:t>
      </w:r>
      <w:r w:rsidRPr="006E0E16">
        <w:rPr>
          <w:lang w:val="es-ES"/>
        </w:rPr>
        <w:t xml:space="preserve"> 76/02, de 27 de diciembre de 2002. Además, en lo que respecta a la jurisprudencia de la Corte Interamericana, el Comité Judicial del Consejo Privado hizo referencia expresa a la sentencia recaída en el </w:t>
      </w:r>
      <w:r w:rsidRPr="00B61200">
        <w:rPr>
          <w:i/>
          <w:iCs/>
          <w:lang w:val="es-ES"/>
        </w:rPr>
        <w:t>C</w:t>
      </w:r>
      <w:r w:rsidRPr="006E0E16">
        <w:rPr>
          <w:lang w:val="es-ES"/>
        </w:rPr>
        <w:t>a</w:t>
      </w:r>
      <w:r w:rsidRPr="006E0E16">
        <w:rPr>
          <w:i/>
          <w:iCs/>
          <w:lang w:val="es-ES"/>
        </w:rPr>
        <w:t>so Hilaire, Constantine y Benjamin y otros Vs. Trinidad y Tobago</w:t>
      </w:r>
      <w:r w:rsidRPr="006E0E16">
        <w:rPr>
          <w:lang w:val="es-ES"/>
        </w:rPr>
        <w:t xml:space="preserve">, de 21 de junio de 2002 y, en particular, a los párrafos 102 a 108 donde </w:t>
      </w:r>
      <w:r w:rsidR="00742BFB">
        <w:rPr>
          <w:lang w:val="es-ES"/>
        </w:rPr>
        <w:t>este</w:t>
      </w:r>
      <w:r w:rsidR="00742BFB" w:rsidRPr="006E0E16">
        <w:rPr>
          <w:lang w:val="es-ES"/>
        </w:rPr>
        <w:t xml:space="preserve"> </w:t>
      </w:r>
      <w:r w:rsidRPr="006E0E16">
        <w:rPr>
          <w:lang w:val="es-ES"/>
        </w:rPr>
        <w:t>Tribunal concluyó que la aplicación de la pena de muerte de manera automática y genérica, tal y como estaba configurada en Trinidad y Tobago, era contraria a los artículos 4.1 y 4.2 de la Convención Americana</w:t>
      </w:r>
      <w:r w:rsidRPr="00A52500">
        <w:rPr>
          <w:rStyle w:val="Refdenotaalpie"/>
        </w:rPr>
        <w:footnoteReference w:id="24"/>
      </w:r>
      <w:r w:rsidRPr="006E0E16">
        <w:rPr>
          <w:lang w:val="es-ES"/>
        </w:rPr>
        <w:t>.</w:t>
      </w:r>
    </w:p>
    <w:p w14:paraId="558774FF" w14:textId="77777777" w:rsidR="00F643DA" w:rsidRPr="009E5CA3" w:rsidRDefault="00F643DA" w:rsidP="00F643DA">
      <w:pPr>
        <w:tabs>
          <w:tab w:val="left" w:pos="567"/>
        </w:tabs>
        <w:spacing w:line="240" w:lineRule="auto"/>
        <w:rPr>
          <w:lang w:val="es-ES"/>
        </w:rPr>
      </w:pPr>
    </w:p>
    <w:p w14:paraId="43F50A6B" w14:textId="4837C2AD" w:rsidR="00F643DA" w:rsidRPr="009E5CA3" w:rsidRDefault="00B624FA" w:rsidP="00F643DA">
      <w:pPr>
        <w:pStyle w:val="Ttulo2"/>
        <w:numPr>
          <w:ilvl w:val="0"/>
          <w:numId w:val="40"/>
        </w:numPr>
        <w:spacing w:before="0" w:after="0"/>
        <w:ind w:left="720" w:hanging="360"/>
        <w:rPr>
          <w:lang w:val="es-ES"/>
        </w:rPr>
      </w:pPr>
      <w:r w:rsidRPr="009E5CA3">
        <w:t xml:space="preserve"> </w:t>
      </w:r>
      <w:bookmarkStart w:id="33" w:name="_Toc120891054"/>
      <w:r w:rsidR="0060486D">
        <w:t>L</w:t>
      </w:r>
      <w:r w:rsidR="009D5E1A" w:rsidRPr="009E5CA3">
        <w:t>as</w:t>
      </w:r>
      <w:r w:rsidR="009D5E1A" w:rsidRPr="009E5CA3">
        <w:rPr>
          <w:lang w:val="es-ES"/>
        </w:rPr>
        <w:t xml:space="preserve"> alegadas condiciones de detención </w:t>
      </w:r>
      <w:r w:rsidR="00654319" w:rsidRPr="009E5CA3">
        <w:rPr>
          <w:lang w:val="es-ES"/>
        </w:rPr>
        <w:t>durante la prisión preventiva</w:t>
      </w:r>
      <w:bookmarkEnd w:id="33"/>
    </w:p>
    <w:p w14:paraId="45186F6B" w14:textId="77777777" w:rsidR="00F643DA" w:rsidRPr="009E5CA3" w:rsidRDefault="00F643DA" w:rsidP="00F643DA">
      <w:pPr>
        <w:rPr>
          <w:lang w:val="es-ES"/>
        </w:rPr>
      </w:pPr>
    </w:p>
    <w:p w14:paraId="644A8FD3" w14:textId="1FD4494F" w:rsidR="00E6304A" w:rsidRPr="009E5CA3" w:rsidRDefault="00E6304A" w:rsidP="00B624FA">
      <w:pPr>
        <w:numPr>
          <w:ilvl w:val="0"/>
          <w:numId w:val="4"/>
        </w:numPr>
        <w:tabs>
          <w:tab w:val="left" w:pos="567"/>
          <w:tab w:val="num" w:pos="1569"/>
          <w:tab w:val="num" w:pos="12305"/>
        </w:tabs>
        <w:spacing w:line="240" w:lineRule="auto"/>
        <w:ind w:left="0" w:firstLine="0"/>
        <w:rPr>
          <w:lang w:val="es-ES"/>
        </w:rPr>
      </w:pPr>
      <w:r w:rsidRPr="009E5CA3">
        <w:rPr>
          <w:lang w:val="es-ES"/>
        </w:rPr>
        <w:t>Los representantes indicaron que, durante el per</w:t>
      </w:r>
      <w:r w:rsidR="0060486D">
        <w:rPr>
          <w:lang w:val="es-ES"/>
        </w:rPr>
        <w:t>í</w:t>
      </w:r>
      <w:r w:rsidRPr="009E5CA3">
        <w:rPr>
          <w:lang w:val="es-ES"/>
        </w:rPr>
        <w:t>odo que estuvo en prisión preventiva</w:t>
      </w:r>
      <w:r w:rsidR="002A2DFA" w:rsidRPr="009E5CA3">
        <w:rPr>
          <w:lang w:val="es-ES"/>
        </w:rPr>
        <w:t>,</w:t>
      </w:r>
      <w:r w:rsidRPr="009E5CA3">
        <w:rPr>
          <w:lang w:val="es-ES"/>
        </w:rPr>
        <w:t xml:space="preserve"> el señor </w:t>
      </w:r>
      <w:proofErr w:type="spellStart"/>
      <w:r w:rsidRPr="009E5CA3">
        <w:rPr>
          <w:lang w:val="es-ES"/>
        </w:rPr>
        <w:t>Bissoon</w:t>
      </w:r>
      <w:proofErr w:type="spellEnd"/>
      <w:r w:rsidRPr="009E5CA3">
        <w:rPr>
          <w:lang w:val="es-ES"/>
        </w:rPr>
        <w:t xml:space="preserve"> fue sometido a las siguientes condiciones</w:t>
      </w:r>
      <w:r w:rsidR="00B61200">
        <w:rPr>
          <w:lang w:val="es-ES"/>
        </w:rPr>
        <w:t xml:space="preserve"> carcelarias</w:t>
      </w:r>
      <w:r w:rsidRPr="009E5CA3">
        <w:rPr>
          <w:lang w:val="es-ES"/>
        </w:rPr>
        <w:t xml:space="preserve"> en la prisión de </w:t>
      </w:r>
      <w:r w:rsidRPr="009E5CA3">
        <w:rPr>
          <w:i/>
          <w:iCs/>
          <w:lang w:val="es-ES"/>
        </w:rPr>
        <w:t>Golden Grove</w:t>
      </w:r>
      <w:r w:rsidRPr="009E5CA3">
        <w:rPr>
          <w:lang w:val="es-ES"/>
        </w:rPr>
        <w:t xml:space="preserve">: </w:t>
      </w:r>
    </w:p>
    <w:p w14:paraId="1B7C7B61" w14:textId="77777777" w:rsidR="00E6304A" w:rsidRPr="009E5CA3" w:rsidRDefault="00E6304A" w:rsidP="00E6304A">
      <w:pPr>
        <w:tabs>
          <w:tab w:val="left" w:pos="567"/>
          <w:tab w:val="num" w:pos="12305"/>
        </w:tabs>
        <w:spacing w:line="240" w:lineRule="auto"/>
        <w:rPr>
          <w:lang w:val="es-ES"/>
        </w:rPr>
      </w:pPr>
    </w:p>
    <w:p w14:paraId="1195F708" w14:textId="77777777"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 xml:space="preserve">Lo ubicaron en una celda llena de polvo, con poca luz y ventilación, donde estuvo obligado a </w:t>
      </w:r>
      <w:r w:rsidRPr="009E5CA3">
        <w:rPr>
          <w:lang w:val="es-ES"/>
        </w:rPr>
        <w:lastRenderedPageBreak/>
        <w:t>utilizar un periódico como colchón. Además, los prisioneros debían orinar en un cubo y defecar en un papel de periódico;</w:t>
      </w:r>
    </w:p>
    <w:p w14:paraId="4132A9A0" w14:textId="77777777" w:rsidR="00E6304A" w:rsidRPr="009E5CA3" w:rsidRDefault="00E6304A" w:rsidP="00E6304A">
      <w:pPr>
        <w:pStyle w:val="Prrafodelista"/>
        <w:tabs>
          <w:tab w:val="left" w:pos="567"/>
        </w:tabs>
        <w:spacing w:line="240" w:lineRule="auto"/>
        <w:ind w:left="426"/>
        <w:rPr>
          <w:lang w:val="es-ES"/>
        </w:rPr>
      </w:pPr>
    </w:p>
    <w:p w14:paraId="4FA2300C" w14:textId="77777777"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Solo tenía permitido un baño de dos minutos por día;</w:t>
      </w:r>
    </w:p>
    <w:p w14:paraId="1C1A1CCB" w14:textId="77777777" w:rsidR="00E6304A" w:rsidRPr="009E5CA3" w:rsidRDefault="00E6304A" w:rsidP="00E6304A">
      <w:pPr>
        <w:pStyle w:val="Prrafodelista"/>
        <w:ind w:left="426"/>
        <w:rPr>
          <w:lang w:val="es-ES"/>
        </w:rPr>
      </w:pPr>
    </w:p>
    <w:p w14:paraId="30CF68D2" w14:textId="4D524006"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Las condiciones de salubridad de la prisión eran muy</w:t>
      </w:r>
      <w:r w:rsidR="00265FF3" w:rsidRPr="009E5CA3">
        <w:rPr>
          <w:lang w:val="es-ES"/>
        </w:rPr>
        <w:t xml:space="preserve"> precarias</w:t>
      </w:r>
      <w:r w:rsidRPr="009E5CA3">
        <w:rPr>
          <w:lang w:val="es-ES"/>
        </w:rPr>
        <w:t>, con insectos muertos en la comida;</w:t>
      </w:r>
    </w:p>
    <w:p w14:paraId="1FF5084C" w14:textId="77777777" w:rsidR="00E6304A" w:rsidRPr="009E5CA3" w:rsidRDefault="00E6304A" w:rsidP="00E6304A">
      <w:pPr>
        <w:pStyle w:val="Prrafodelista"/>
        <w:rPr>
          <w:lang w:val="es-ES"/>
        </w:rPr>
      </w:pPr>
    </w:p>
    <w:p w14:paraId="76A0F5FC" w14:textId="7AD82C8A"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 xml:space="preserve">Estaba encerrado en su celda la mayoría del tiempo, salvo en dos o tres ocasiones a la semana, </w:t>
      </w:r>
      <w:r w:rsidR="00265FF3" w:rsidRPr="009E5CA3">
        <w:rPr>
          <w:lang w:val="es-ES"/>
        </w:rPr>
        <w:t>cuando</w:t>
      </w:r>
      <w:r w:rsidR="006637D2" w:rsidRPr="009E5CA3">
        <w:rPr>
          <w:lang w:val="es-ES"/>
        </w:rPr>
        <w:t xml:space="preserve"> </w:t>
      </w:r>
      <w:r w:rsidRPr="009E5CA3">
        <w:rPr>
          <w:lang w:val="es-ES"/>
        </w:rPr>
        <w:t>le otorgaban 45 minutos para realizar ejercicio;</w:t>
      </w:r>
    </w:p>
    <w:p w14:paraId="1809B0F9" w14:textId="77777777" w:rsidR="00E6304A" w:rsidRPr="009E5CA3" w:rsidRDefault="00E6304A" w:rsidP="00E6304A">
      <w:pPr>
        <w:pStyle w:val="Prrafodelista"/>
        <w:rPr>
          <w:lang w:val="es-ES"/>
        </w:rPr>
      </w:pPr>
    </w:p>
    <w:p w14:paraId="46D6EDA4" w14:textId="07A66940" w:rsidR="00E6304A" w:rsidRPr="00EC3451" w:rsidRDefault="00E6304A" w:rsidP="00E6304A">
      <w:pPr>
        <w:pStyle w:val="Prrafodelista"/>
        <w:numPr>
          <w:ilvl w:val="0"/>
          <w:numId w:val="42"/>
        </w:numPr>
        <w:tabs>
          <w:tab w:val="left" w:pos="567"/>
          <w:tab w:val="num" w:pos="12305"/>
        </w:tabs>
        <w:spacing w:line="240" w:lineRule="auto"/>
        <w:ind w:left="426" w:firstLine="0"/>
        <w:rPr>
          <w:lang w:val="es-ES"/>
        </w:rPr>
      </w:pPr>
      <w:r w:rsidRPr="00EC3451">
        <w:rPr>
          <w:lang w:val="es-ES"/>
        </w:rPr>
        <w:t xml:space="preserve">Fue objeto de </w:t>
      </w:r>
      <w:r w:rsidR="008D02E7" w:rsidRPr="00EC3451">
        <w:rPr>
          <w:lang w:val="es-ES"/>
        </w:rPr>
        <w:t xml:space="preserve">castigos corporales </w:t>
      </w:r>
      <w:r w:rsidRPr="00EC3451">
        <w:rPr>
          <w:lang w:val="es-ES"/>
        </w:rPr>
        <w:t>por parte de varios oficiales de prisiones durante su primer día de prisión preventiva;</w:t>
      </w:r>
    </w:p>
    <w:p w14:paraId="3E67745C" w14:textId="77777777" w:rsidR="00E6304A" w:rsidRPr="009E5CA3" w:rsidRDefault="00E6304A" w:rsidP="00E6304A">
      <w:pPr>
        <w:pStyle w:val="Prrafodelista"/>
        <w:rPr>
          <w:lang w:val="es-ES"/>
        </w:rPr>
      </w:pPr>
    </w:p>
    <w:p w14:paraId="476A3BD5" w14:textId="7B068118" w:rsidR="00EC3451" w:rsidRPr="00EC3451" w:rsidRDefault="00EC3451" w:rsidP="00E6304A">
      <w:pPr>
        <w:pStyle w:val="Prrafodelista"/>
        <w:numPr>
          <w:ilvl w:val="0"/>
          <w:numId w:val="42"/>
        </w:numPr>
        <w:tabs>
          <w:tab w:val="left" w:pos="567"/>
          <w:tab w:val="num" w:pos="12305"/>
        </w:tabs>
        <w:spacing w:line="240" w:lineRule="auto"/>
        <w:ind w:left="426" w:firstLine="0"/>
        <w:rPr>
          <w:b/>
          <w:bCs/>
          <w:lang w:val="es-ES"/>
        </w:rPr>
      </w:pPr>
      <w:r>
        <w:rPr>
          <w:lang w:val="es-ES"/>
        </w:rPr>
        <w:t xml:space="preserve">Restringieron </w:t>
      </w:r>
      <w:r w:rsidRPr="009E5CA3">
        <w:rPr>
          <w:lang w:val="es-ES"/>
        </w:rPr>
        <w:t>el acceso a medicina</w:t>
      </w:r>
      <w:r w:rsidR="0070644F">
        <w:rPr>
          <w:lang w:val="es-ES"/>
        </w:rPr>
        <w:t>, y</w:t>
      </w:r>
      <w:r>
        <w:rPr>
          <w:lang w:val="es-ES"/>
        </w:rPr>
        <w:t xml:space="preserve"> </w:t>
      </w:r>
    </w:p>
    <w:p w14:paraId="5FF883BC" w14:textId="77777777" w:rsidR="00EC3451" w:rsidRPr="00EC3451" w:rsidRDefault="00EC3451" w:rsidP="00EC3451">
      <w:pPr>
        <w:pStyle w:val="Prrafodelista"/>
        <w:rPr>
          <w:b/>
          <w:bCs/>
          <w:lang w:val="es-ES"/>
        </w:rPr>
      </w:pPr>
    </w:p>
    <w:p w14:paraId="21E7C7B6" w14:textId="40568B2A" w:rsidR="00E6304A" w:rsidRPr="00EC3451" w:rsidRDefault="00265FF3" w:rsidP="00EC3451">
      <w:pPr>
        <w:pStyle w:val="Prrafodelista"/>
        <w:numPr>
          <w:ilvl w:val="0"/>
          <w:numId w:val="42"/>
        </w:numPr>
        <w:tabs>
          <w:tab w:val="left" w:pos="567"/>
          <w:tab w:val="num" w:pos="12305"/>
        </w:tabs>
        <w:spacing w:line="240" w:lineRule="auto"/>
        <w:ind w:left="426" w:firstLine="0"/>
        <w:rPr>
          <w:b/>
          <w:bCs/>
          <w:lang w:val="es-ES"/>
        </w:rPr>
      </w:pPr>
      <w:r w:rsidRPr="009E5CA3">
        <w:rPr>
          <w:lang w:val="es-ES"/>
        </w:rPr>
        <w:t>R</w:t>
      </w:r>
      <w:r w:rsidR="00E6304A" w:rsidRPr="009E5CA3">
        <w:rPr>
          <w:lang w:val="es-ES"/>
        </w:rPr>
        <w:t xml:space="preserve">estringieron </w:t>
      </w:r>
      <w:r w:rsidRPr="009E5CA3">
        <w:rPr>
          <w:lang w:val="es-ES"/>
        </w:rPr>
        <w:t>su</w:t>
      </w:r>
      <w:r w:rsidR="00E6304A" w:rsidRPr="009E5CA3">
        <w:rPr>
          <w:lang w:val="es-ES"/>
        </w:rPr>
        <w:t xml:space="preserve"> contacto con visitantes</w:t>
      </w:r>
      <w:r w:rsidR="00EC3451">
        <w:rPr>
          <w:lang w:val="es-ES"/>
        </w:rPr>
        <w:t xml:space="preserve">. </w:t>
      </w:r>
    </w:p>
    <w:p w14:paraId="53E5663C" w14:textId="77777777" w:rsidR="00E6304A" w:rsidRPr="009E5CA3" w:rsidRDefault="00E6304A" w:rsidP="00E6304A">
      <w:pPr>
        <w:tabs>
          <w:tab w:val="left" w:pos="567"/>
          <w:tab w:val="num" w:pos="12305"/>
        </w:tabs>
        <w:spacing w:line="240" w:lineRule="auto"/>
        <w:rPr>
          <w:b/>
          <w:bCs/>
          <w:lang w:val="es-ES"/>
        </w:rPr>
      </w:pPr>
    </w:p>
    <w:p w14:paraId="228FF2D3" w14:textId="3FB21A00" w:rsidR="00E6304A" w:rsidRPr="009E5CA3" w:rsidRDefault="00E6304A" w:rsidP="00E6304A">
      <w:pPr>
        <w:numPr>
          <w:ilvl w:val="0"/>
          <w:numId w:val="4"/>
        </w:numPr>
        <w:tabs>
          <w:tab w:val="left" w:pos="567"/>
          <w:tab w:val="num" w:pos="1569"/>
          <w:tab w:val="num" w:pos="12305"/>
        </w:tabs>
        <w:spacing w:line="240" w:lineRule="auto"/>
        <w:ind w:left="0" w:firstLine="0"/>
        <w:rPr>
          <w:lang w:val="es-ES"/>
        </w:rPr>
      </w:pPr>
      <w:r w:rsidRPr="009E5CA3">
        <w:rPr>
          <w:lang w:val="es-ES"/>
        </w:rPr>
        <w:t>Por otro lado, los representantes indicaron que, durante el per</w:t>
      </w:r>
      <w:r w:rsidR="0060486D">
        <w:rPr>
          <w:lang w:val="es-ES"/>
        </w:rPr>
        <w:t>í</w:t>
      </w:r>
      <w:r w:rsidRPr="009E5CA3">
        <w:rPr>
          <w:lang w:val="es-ES"/>
        </w:rPr>
        <w:t>odo que estuvo en prisión preventiva</w:t>
      </w:r>
      <w:r w:rsidR="002A2DFA" w:rsidRPr="009E5CA3">
        <w:rPr>
          <w:lang w:val="es-ES"/>
        </w:rPr>
        <w:t>,</w:t>
      </w:r>
      <w:r w:rsidRPr="009E5CA3">
        <w:rPr>
          <w:lang w:val="es-ES"/>
        </w:rPr>
        <w:t xml:space="preserve"> el señor </w:t>
      </w:r>
      <w:proofErr w:type="spellStart"/>
      <w:r w:rsidRPr="009E5CA3">
        <w:rPr>
          <w:lang w:val="es-ES"/>
        </w:rPr>
        <w:t>Serrette</w:t>
      </w:r>
      <w:proofErr w:type="spellEnd"/>
      <w:r w:rsidRPr="009E5CA3">
        <w:rPr>
          <w:lang w:val="es-ES"/>
        </w:rPr>
        <w:t xml:space="preserve"> fue sometido a las siguientes condiciones carcelarias</w:t>
      </w:r>
      <w:r w:rsidR="00B61200">
        <w:rPr>
          <w:lang w:val="es-ES"/>
        </w:rPr>
        <w:t xml:space="preserve"> </w:t>
      </w:r>
      <w:r w:rsidR="00B61200" w:rsidRPr="009E5CA3">
        <w:rPr>
          <w:lang w:val="es-ES"/>
        </w:rPr>
        <w:t xml:space="preserve">en la prisión de </w:t>
      </w:r>
      <w:r w:rsidR="00B61200" w:rsidRPr="009E5CA3">
        <w:rPr>
          <w:i/>
          <w:iCs/>
          <w:lang w:val="es-ES"/>
        </w:rPr>
        <w:t>Golden Grove</w:t>
      </w:r>
      <w:r w:rsidRPr="009E5CA3">
        <w:rPr>
          <w:lang w:val="es-ES"/>
        </w:rPr>
        <w:t xml:space="preserve">: </w:t>
      </w:r>
    </w:p>
    <w:p w14:paraId="07635921" w14:textId="77777777" w:rsidR="00E6304A" w:rsidRPr="009E5CA3" w:rsidRDefault="00E6304A" w:rsidP="00E6304A">
      <w:pPr>
        <w:tabs>
          <w:tab w:val="left" w:pos="567"/>
        </w:tabs>
        <w:spacing w:line="240" w:lineRule="auto"/>
        <w:rPr>
          <w:lang w:val="es-ES"/>
        </w:rPr>
      </w:pPr>
    </w:p>
    <w:p w14:paraId="095EFD9D" w14:textId="77777777"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Durante los tres días que estuvo detenido en la estación de policía no se le suministró comida;</w:t>
      </w:r>
    </w:p>
    <w:p w14:paraId="1C343379" w14:textId="77777777" w:rsidR="00E6304A" w:rsidRPr="009E5CA3" w:rsidRDefault="00E6304A" w:rsidP="00E6304A">
      <w:pPr>
        <w:pStyle w:val="Prrafodelista"/>
        <w:tabs>
          <w:tab w:val="left" w:pos="567"/>
        </w:tabs>
        <w:spacing w:line="240" w:lineRule="auto"/>
        <w:ind w:left="426"/>
        <w:rPr>
          <w:lang w:val="es-ES"/>
        </w:rPr>
      </w:pPr>
    </w:p>
    <w:p w14:paraId="19A76EB8" w14:textId="77777777"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Le retiraron toda la ropa, a excepción de su ropa interior. Debido a ello pasaba frío en la celda;</w:t>
      </w:r>
    </w:p>
    <w:p w14:paraId="474F4071" w14:textId="77777777" w:rsidR="00E6304A" w:rsidRPr="009E5CA3" w:rsidRDefault="00E6304A" w:rsidP="00E6304A">
      <w:pPr>
        <w:pStyle w:val="Prrafodelista"/>
        <w:rPr>
          <w:lang w:val="es-ES"/>
        </w:rPr>
      </w:pPr>
    </w:p>
    <w:p w14:paraId="46680059" w14:textId="297B3859"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Permaneció tres días sin ropa de repuesto;</w:t>
      </w:r>
    </w:p>
    <w:p w14:paraId="1EE2333F" w14:textId="77777777" w:rsidR="00E6304A" w:rsidRPr="009E5CA3" w:rsidRDefault="00E6304A" w:rsidP="00E6304A">
      <w:pPr>
        <w:pStyle w:val="Prrafodelista"/>
        <w:rPr>
          <w:lang w:val="es-ES"/>
        </w:rPr>
      </w:pPr>
    </w:p>
    <w:p w14:paraId="66D4B45A" w14:textId="77777777"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Tenía que dormir en el suelo de concreto;</w:t>
      </w:r>
    </w:p>
    <w:p w14:paraId="0917D0F1" w14:textId="77777777" w:rsidR="00E6304A" w:rsidRPr="009E5CA3" w:rsidRDefault="00E6304A" w:rsidP="00E6304A">
      <w:pPr>
        <w:pStyle w:val="Prrafodelista"/>
        <w:rPr>
          <w:lang w:val="es-ES"/>
        </w:rPr>
      </w:pPr>
    </w:p>
    <w:p w14:paraId="71B764C5" w14:textId="7CBB9903" w:rsidR="00E6304A" w:rsidRPr="009E5CA3" w:rsidRDefault="00E6304A" w:rsidP="00E6304A">
      <w:pPr>
        <w:pStyle w:val="Prrafodelista"/>
        <w:numPr>
          <w:ilvl w:val="0"/>
          <w:numId w:val="42"/>
        </w:numPr>
        <w:tabs>
          <w:tab w:val="left" w:pos="567"/>
          <w:tab w:val="num" w:pos="12305"/>
        </w:tabs>
        <w:spacing w:line="240" w:lineRule="auto"/>
        <w:ind w:left="426" w:firstLine="0"/>
        <w:rPr>
          <w:lang w:val="es-ES"/>
        </w:rPr>
      </w:pPr>
      <w:r w:rsidRPr="009E5CA3">
        <w:rPr>
          <w:lang w:val="es-ES"/>
        </w:rPr>
        <w:t>No le tenían permitido bañarse</w:t>
      </w:r>
      <w:r w:rsidR="005A7CA8">
        <w:rPr>
          <w:lang w:val="es-ES"/>
        </w:rPr>
        <w:t>, y</w:t>
      </w:r>
    </w:p>
    <w:p w14:paraId="23A1D4C0" w14:textId="77777777" w:rsidR="00E6304A" w:rsidRPr="009E5CA3" w:rsidRDefault="00E6304A" w:rsidP="00E6304A">
      <w:pPr>
        <w:pStyle w:val="Prrafodelista"/>
        <w:rPr>
          <w:lang w:val="es-ES"/>
        </w:rPr>
      </w:pPr>
    </w:p>
    <w:p w14:paraId="126B94E8" w14:textId="79EE9488" w:rsidR="00E6304A" w:rsidRPr="00A81380" w:rsidRDefault="00E6304A" w:rsidP="00E6304A">
      <w:pPr>
        <w:pStyle w:val="Prrafodelista"/>
        <w:numPr>
          <w:ilvl w:val="0"/>
          <w:numId w:val="42"/>
        </w:numPr>
        <w:tabs>
          <w:tab w:val="left" w:pos="567"/>
          <w:tab w:val="num" w:pos="12305"/>
        </w:tabs>
        <w:spacing w:line="240" w:lineRule="auto"/>
        <w:ind w:left="426" w:firstLine="0"/>
        <w:rPr>
          <w:b/>
          <w:bCs/>
          <w:lang w:val="es-ES"/>
        </w:rPr>
      </w:pPr>
      <w:r w:rsidRPr="00A81380">
        <w:rPr>
          <w:lang w:val="es-ES"/>
        </w:rPr>
        <w:t>No le proporcionaron agua, viéndose obligado a beber su propia orina.</w:t>
      </w:r>
      <w:r w:rsidRPr="00A81380">
        <w:rPr>
          <w:b/>
          <w:bCs/>
          <w:lang w:val="es-ES"/>
        </w:rPr>
        <w:t xml:space="preserve"> </w:t>
      </w:r>
    </w:p>
    <w:p w14:paraId="419A22BF" w14:textId="77777777" w:rsidR="00910C05" w:rsidRPr="00A81380" w:rsidRDefault="00910C05" w:rsidP="00910C05">
      <w:pPr>
        <w:tabs>
          <w:tab w:val="left" w:pos="567"/>
          <w:tab w:val="num" w:pos="12305"/>
        </w:tabs>
        <w:spacing w:line="240" w:lineRule="auto"/>
        <w:rPr>
          <w:b/>
          <w:bCs/>
          <w:color w:val="FF0000"/>
        </w:rPr>
      </w:pPr>
    </w:p>
    <w:p w14:paraId="6E88C3F7" w14:textId="77777777" w:rsidR="00910C05" w:rsidRPr="00A81380" w:rsidRDefault="00910C05" w:rsidP="00910C05">
      <w:pPr>
        <w:numPr>
          <w:ilvl w:val="0"/>
          <w:numId w:val="4"/>
        </w:numPr>
        <w:tabs>
          <w:tab w:val="left" w:pos="567"/>
          <w:tab w:val="num" w:pos="1569"/>
          <w:tab w:val="num" w:pos="12305"/>
        </w:tabs>
        <w:spacing w:line="240" w:lineRule="auto"/>
        <w:ind w:left="0" w:firstLine="0"/>
        <w:rPr>
          <w:lang w:val="es-ES"/>
        </w:rPr>
      </w:pPr>
      <w:r w:rsidRPr="00A81380">
        <w:rPr>
          <w:lang w:val="es-ES"/>
        </w:rPr>
        <w:t>Adicionalmente, el Tribunal destaca que, según lo indicado por la Comisión y por los representantes, el 5 de marzo de 1995 el Secretario General de la Asociación de Oficiales de Prisiones habría realizado la siguiente declaración en un periódico nacional sobre las condiciones de detención de las personas condenadas a pena de muerte:</w:t>
      </w:r>
    </w:p>
    <w:p w14:paraId="0FD2BBC4" w14:textId="77777777" w:rsidR="00910C05" w:rsidRPr="00A81380" w:rsidRDefault="00910C05" w:rsidP="00910C05">
      <w:pPr>
        <w:pStyle w:val="Textonotapie"/>
        <w:rPr>
          <w:sz w:val="16"/>
          <w:szCs w:val="16"/>
        </w:rPr>
      </w:pPr>
    </w:p>
    <w:p w14:paraId="227A0A5F" w14:textId="500F69CD" w:rsidR="00910C05" w:rsidRPr="000D5EEC" w:rsidRDefault="00910C05" w:rsidP="003E142D">
      <w:pPr>
        <w:pStyle w:val="Textonotapie"/>
        <w:ind w:left="567" w:right="567"/>
        <w:rPr>
          <w:sz w:val="16"/>
          <w:szCs w:val="16"/>
          <w:lang w:val="es-ES"/>
        </w:rPr>
      </w:pPr>
      <w:r w:rsidRPr="000D5EEC">
        <w:rPr>
          <w:sz w:val="16"/>
          <w:szCs w:val="16"/>
          <w:lang w:val="es-ES"/>
        </w:rPr>
        <w:t>La mayoría [de los oficiales de prisiones] empatiza con los prisioneros porque tenemos que trabajar en las mismas condiciones en las que ellos viven. Tenemos el deber de patrullar esas áreas por horas…y realizar controles periódicos y caminar por caminos pegajosos debido a la suciedad […] Las condiciones son altamente deplorables, inaceptables y suponen un riesgo a la salud […] no es fácil cuando se encierran en una celda de 9 x 6 pies (aproximadamente 2,7</w:t>
      </w:r>
      <w:r w:rsidR="00237711" w:rsidRPr="000D5EEC">
        <w:rPr>
          <w:sz w:val="16"/>
          <w:szCs w:val="16"/>
          <w:lang w:val="es-ES"/>
        </w:rPr>
        <w:t xml:space="preserve"> x 1</w:t>
      </w:r>
      <w:r w:rsidRPr="000D5EEC">
        <w:rPr>
          <w:sz w:val="16"/>
          <w:szCs w:val="16"/>
          <w:lang w:val="es-ES"/>
        </w:rPr>
        <w:t>,8 metros) a 11 seres humanos con un balde de 5 galones situado en la esquina como inodoro. No es mentira cuando la gente dice que tienes que sentarte en un balde o mantenerte de pie y dormir. Es terrible y apesta mucho. Yo no pondría mis animales ahí dentro</w:t>
      </w:r>
      <w:r w:rsidRPr="003E142D">
        <w:rPr>
          <w:rStyle w:val="Refdenotaalpie"/>
          <w:sz w:val="16"/>
          <w:szCs w:val="16"/>
          <w:lang w:val="es-ES"/>
        </w:rPr>
        <w:footnoteReference w:id="25"/>
      </w:r>
      <w:r w:rsidRPr="000D5EEC">
        <w:rPr>
          <w:sz w:val="16"/>
          <w:szCs w:val="16"/>
          <w:lang w:val="es-ES"/>
        </w:rPr>
        <w:t>.</w:t>
      </w:r>
    </w:p>
    <w:p w14:paraId="5D9AEDAF" w14:textId="60FB5A97" w:rsidR="00910C05" w:rsidRDefault="00910C05" w:rsidP="00910C05">
      <w:pPr>
        <w:tabs>
          <w:tab w:val="left" w:pos="567"/>
          <w:tab w:val="num" w:pos="12305"/>
        </w:tabs>
        <w:spacing w:line="240" w:lineRule="auto"/>
        <w:rPr>
          <w:b/>
          <w:bCs/>
          <w:lang w:val="es-ES"/>
        </w:rPr>
      </w:pPr>
    </w:p>
    <w:p w14:paraId="07E2767C" w14:textId="1A619EEF" w:rsidR="0087580C" w:rsidRPr="009E5CA3" w:rsidRDefault="0087580C" w:rsidP="0010568E">
      <w:pPr>
        <w:pStyle w:val="Ttulo1"/>
        <w:rPr>
          <w:lang w:val="es-ES"/>
        </w:rPr>
      </w:pPr>
      <w:bookmarkStart w:id="34" w:name="_Toc120891055"/>
      <w:r w:rsidRPr="009E5CA3">
        <w:rPr>
          <w:lang w:val="es-ES"/>
        </w:rPr>
        <w:t>VI</w:t>
      </w:r>
      <w:r w:rsidRPr="009E5CA3">
        <w:rPr>
          <w:lang w:val="es-ES"/>
        </w:rPr>
        <w:br/>
        <w:t>FONDO</w:t>
      </w:r>
      <w:bookmarkEnd w:id="29"/>
      <w:bookmarkEnd w:id="34"/>
    </w:p>
    <w:p w14:paraId="24A3B190" w14:textId="30F78CCF" w:rsidR="000B0010" w:rsidRPr="009E5CA3" w:rsidRDefault="000B0010" w:rsidP="000B0010">
      <w:pPr>
        <w:pStyle w:val="Ttulo1"/>
        <w:rPr>
          <w:lang w:val="es-ES"/>
        </w:rPr>
      </w:pPr>
      <w:bookmarkStart w:id="35" w:name="_Toc24447087"/>
      <w:bookmarkStart w:id="36" w:name="_Hlk96956787"/>
      <w:bookmarkStart w:id="37" w:name="_Hlk103770282"/>
      <w:bookmarkStart w:id="38" w:name="_Toc120891056"/>
      <w:r w:rsidRPr="009E5CA3">
        <w:rPr>
          <w:lang w:val="es-ES"/>
        </w:rPr>
        <w:t>DERECHO</w:t>
      </w:r>
      <w:r w:rsidR="0060486D">
        <w:rPr>
          <w:lang w:val="es-ES"/>
        </w:rPr>
        <w:t>S</w:t>
      </w:r>
      <w:r w:rsidRPr="009E5CA3">
        <w:rPr>
          <w:lang w:val="es-ES"/>
        </w:rPr>
        <w:t xml:space="preserve"> A </w:t>
      </w:r>
      <w:bookmarkEnd w:id="35"/>
      <w:r w:rsidRPr="009E5CA3">
        <w:rPr>
          <w:lang w:val="es-ES"/>
        </w:rPr>
        <w:t xml:space="preserve">LA </w:t>
      </w:r>
      <w:bookmarkEnd w:id="36"/>
      <w:bookmarkEnd w:id="37"/>
      <w:r w:rsidR="00045F68" w:rsidRPr="009E5CA3">
        <w:rPr>
          <w:lang w:val="es-ES"/>
        </w:rPr>
        <w:t>INTEGRIDAD PERSONAL</w:t>
      </w:r>
      <w:r w:rsidR="00D27197" w:rsidRPr="009E5CA3">
        <w:rPr>
          <w:lang w:val="es-ES"/>
        </w:rPr>
        <w:t xml:space="preserve">, </w:t>
      </w:r>
      <w:r w:rsidR="00045F68" w:rsidRPr="009E5CA3">
        <w:rPr>
          <w:lang w:val="es-ES"/>
        </w:rPr>
        <w:t>LIBERTAD PERSONAL</w:t>
      </w:r>
      <w:r w:rsidR="00D27197" w:rsidRPr="009E5CA3">
        <w:rPr>
          <w:lang w:val="es-ES"/>
        </w:rPr>
        <w:t>, GARANTÍAS JUDICIALES Y PROTECCIÓN JUDICIAL</w:t>
      </w:r>
      <w:r w:rsidRPr="009E5CA3">
        <w:rPr>
          <w:rStyle w:val="Refdenotaalpie"/>
          <w:lang w:val="es-ES"/>
        </w:rPr>
        <w:footnoteReference w:id="26"/>
      </w:r>
      <w:bookmarkEnd w:id="38"/>
    </w:p>
    <w:p w14:paraId="4FF9CBCC" w14:textId="6F26627B" w:rsidR="001E0BE0" w:rsidRPr="009E5CA3" w:rsidRDefault="009B7924" w:rsidP="001E0BE0">
      <w:pPr>
        <w:numPr>
          <w:ilvl w:val="0"/>
          <w:numId w:val="4"/>
        </w:numPr>
        <w:tabs>
          <w:tab w:val="left" w:pos="567"/>
          <w:tab w:val="num" w:pos="1569"/>
          <w:tab w:val="num" w:pos="12305"/>
        </w:tabs>
        <w:spacing w:line="240" w:lineRule="auto"/>
        <w:ind w:left="0" w:firstLine="0"/>
        <w:rPr>
          <w:lang w:val="es-ES"/>
        </w:rPr>
      </w:pPr>
      <w:bookmarkStart w:id="40" w:name="_Hlk96957092"/>
      <w:bookmarkStart w:id="41" w:name="_Toc438113890"/>
      <w:bookmarkStart w:id="42" w:name="_Toc495658671"/>
      <w:bookmarkStart w:id="43" w:name="_Toc514172627"/>
      <w:r w:rsidRPr="009E5CA3">
        <w:rPr>
          <w:rFonts w:cstheme="minorHAnsi"/>
        </w:rPr>
        <w:t>El Tribunal advierte</w:t>
      </w:r>
      <w:r w:rsidR="00C61559" w:rsidRPr="009E5CA3">
        <w:rPr>
          <w:rFonts w:cstheme="minorHAnsi"/>
        </w:rPr>
        <w:t>,</w:t>
      </w:r>
      <w:r w:rsidRPr="009E5CA3">
        <w:rPr>
          <w:rFonts w:cstheme="minorHAnsi"/>
        </w:rPr>
        <w:t xml:space="preserve"> con carácter preliminar</w:t>
      </w:r>
      <w:r w:rsidR="00C61559" w:rsidRPr="009E5CA3">
        <w:rPr>
          <w:rFonts w:cstheme="minorHAnsi"/>
        </w:rPr>
        <w:t>,</w:t>
      </w:r>
      <w:r w:rsidRPr="009E5CA3">
        <w:rPr>
          <w:rFonts w:cstheme="minorHAnsi"/>
        </w:rPr>
        <w:t xml:space="preserve"> que la Comisión sometió ante la Corte las alegadas violaciones cometidas entre </w:t>
      </w:r>
      <w:r w:rsidRPr="009E5CA3">
        <w:rPr>
          <w:lang w:val="es-ES"/>
        </w:rPr>
        <w:t>el 28 de mayo de 1991 y el 26 de mayo de 1999</w:t>
      </w:r>
      <w:r w:rsidR="00D575F7" w:rsidRPr="009E5CA3">
        <w:rPr>
          <w:lang w:val="es-ES"/>
        </w:rPr>
        <w:t xml:space="preserve">, indicando que Trinidad y Tobago sería responsable por la violación de los artículos 7.5, 8.1 y 25.1 de la Convención Americana y ello por (i) </w:t>
      </w:r>
      <w:r w:rsidR="00D575F7" w:rsidRPr="009E5CA3">
        <w:t xml:space="preserve">la alegada violación del derecho </w:t>
      </w:r>
      <w:r w:rsidR="00B61200">
        <w:t xml:space="preserve">de una persona detenida </w:t>
      </w:r>
      <w:r w:rsidR="00D575F7" w:rsidRPr="009E5CA3">
        <w:t>a ser juzgad</w:t>
      </w:r>
      <w:r w:rsidR="00B61200">
        <w:t>a</w:t>
      </w:r>
      <w:r w:rsidR="00D575F7" w:rsidRPr="009E5CA3">
        <w:t xml:space="preserve"> en un plazo razonable</w:t>
      </w:r>
      <w:r w:rsidR="00B61200">
        <w:t xml:space="preserve">, </w:t>
      </w:r>
      <w:r w:rsidR="00D575F7" w:rsidRPr="009E5CA3">
        <w:t xml:space="preserve">(ii) </w:t>
      </w:r>
      <w:r w:rsidR="00D575F7" w:rsidRPr="009E5CA3">
        <w:rPr>
          <w:lang w:val="es-ES"/>
        </w:rPr>
        <w:t xml:space="preserve">las alegadas falencias ocurridas en el marco </w:t>
      </w:r>
      <w:r w:rsidR="00862269">
        <w:rPr>
          <w:lang w:val="es-ES"/>
        </w:rPr>
        <w:t>del proceso penal seguido</w:t>
      </w:r>
      <w:r w:rsidR="00682150" w:rsidRPr="009E5CA3">
        <w:rPr>
          <w:lang w:val="es-ES"/>
        </w:rPr>
        <w:t xml:space="preserve"> contra el señor </w:t>
      </w:r>
      <w:proofErr w:type="spellStart"/>
      <w:r w:rsidR="00682150" w:rsidRPr="009E5CA3">
        <w:rPr>
          <w:lang w:val="es-ES"/>
        </w:rPr>
        <w:t>Bissoon</w:t>
      </w:r>
      <w:proofErr w:type="spellEnd"/>
      <w:r w:rsidR="00B61200">
        <w:rPr>
          <w:lang w:val="es-ES"/>
        </w:rPr>
        <w:t>, así como (</w:t>
      </w:r>
      <w:proofErr w:type="spellStart"/>
      <w:r w:rsidR="00B61200">
        <w:rPr>
          <w:lang w:val="es-ES"/>
        </w:rPr>
        <w:t>iii</w:t>
      </w:r>
      <w:proofErr w:type="spellEnd"/>
      <w:r w:rsidR="00B61200">
        <w:rPr>
          <w:lang w:val="es-ES"/>
        </w:rPr>
        <w:t>) las alegadas condiciones de detención</w:t>
      </w:r>
      <w:r w:rsidR="00682150" w:rsidRPr="009E5CA3">
        <w:rPr>
          <w:rStyle w:val="Refdenotaalpie"/>
          <w:lang w:val="es-ES"/>
        </w:rPr>
        <w:footnoteReference w:id="27"/>
      </w:r>
      <w:r w:rsidR="00D575F7" w:rsidRPr="009E5CA3">
        <w:rPr>
          <w:lang w:val="es-ES"/>
        </w:rPr>
        <w:t>.</w:t>
      </w:r>
    </w:p>
    <w:p w14:paraId="65AEE283" w14:textId="09A94999" w:rsidR="001E0BE0" w:rsidRPr="009E5CA3" w:rsidRDefault="001E0BE0" w:rsidP="001E0BE0">
      <w:pPr>
        <w:tabs>
          <w:tab w:val="left" w:pos="567"/>
        </w:tabs>
        <w:spacing w:line="240" w:lineRule="auto"/>
        <w:rPr>
          <w:lang w:val="es-ES"/>
        </w:rPr>
      </w:pPr>
    </w:p>
    <w:p w14:paraId="5AAC1549" w14:textId="48A466BC" w:rsidR="00334EE2" w:rsidRPr="009E5CA3" w:rsidRDefault="001E0BE0" w:rsidP="00A835F8">
      <w:pPr>
        <w:numPr>
          <w:ilvl w:val="0"/>
          <w:numId w:val="4"/>
        </w:numPr>
        <w:tabs>
          <w:tab w:val="left" w:pos="567"/>
          <w:tab w:val="num" w:pos="1569"/>
          <w:tab w:val="num" w:pos="12305"/>
        </w:tabs>
        <w:spacing w:line="240" w:lineRule="auto"/>
        <w:ind w:left="0" w:firstLine="0"/>
        <w:rPr>
          <w:lang w:val="es-ES"/>
        </w:rPr>
      </w:pPr>
      <w:r w:rsidRPr="009E5CA3">
        <w:rPr>
          <w:lang w:val="es-ES"/>
        </w:rPr>
        <w:t xml:space="preserve">Asimismo, el Tribunal observa que </w:t>
      </w:r>
      <w:r w:rsidR="00557C3D" w:rsidRPr="009E5CA3">
        <w:rPr>
          <w:lang w:val="es-ES"/>
        </w:rPr>
        <w:t xml:space="preserve">los representantes alegaron en su escrito de solicitudes, argumentos y pruebas una serie de violaciones relacionadas con </w:t>
      </w:r>
      <w:r w:rsidR="00BE0CEB" w:rsidRPr="009E5CA3">
        <w:rPr>
          <w:lang w:val="es-ES"/>
        </w:rPr>
        <w:t xml:space="preserve">(i) </w:t>
      </w:r>
      <w:r w:rsidR="00BE0CEB" w:rsidRPr="009E5CA3">
        <w:t xml:space="preserve">la alegada violación del derecho </w:t>
      </w:r>
      <w:r w:rsidR="00B61200">
        <w:t xml:space="preserve">de una persona detenida </w:t>
      </w:r>
      <w:r w:rsidR="00BE0CEB" w:rsidRPr="009E5CA3">
        <w:t>a ser juzgad</w:t>
      </w:r>
      <w:r w:rsidR="00B61200">
        <w:t>a</w:t>
      </w:r>
      <w:r w:rsidR="00BE0CEB" w:rsidRPr="009E5CA3">
        <w:t xml:space="preserve"> en un plazo razonable,</w:t>
      </w:r>
      <w:r w:rsidR="00BE0CEB" w:rsidRPr="009E5CA3">
        <w:rPr>
          <w:lang w:val="es-ES"/>
        </w:rPr>
        <w:t xml:space="preserve"> </w:t>
      </w:r>
      <w:r w:rsidR="00480D11" w:rsidRPr="009E5CA3">
        <w:rPr>
          <w:lang w:val="es-ES"/>
        </w:rPr>
        <w:t>(ii) las alegadas falencias ocurridas en el marco de los procesos penales</w:t>
      </w:r>
      <w:r w:rsidR="0058393A" w:rsidRPr="009E5CA3">
        <w:rPr>
          <w:lang w:val="es-ES"/>
        </w:rPr>
        <w:t xml:space="preserve"> seguidos contras las presuntas víctimas</w:t>
      </w:r>
      <w:r w:rsidR="00480D11" w:rsidRPr="009E5CA3">
        <w:rPr>
          <w:lang w:val="es-ES"/>
        </w:rPr>
        <w:t xml:space="preserve">, </w:t>
      </w:r>
      <w:r w:rsidR="00557C3D" w:rsidRPr="009E5CA3">
        <w:rPr>
          <w:lang w:val="es-ES"/>
        </w:rPr>
        <w:t>(i</w:t>
      </w:r>
      <w:r w:rsidR="00BE0CEB" w:rsidRPr="009E5CA3">
        <w:rPr>
          <w:lang w:val="es-ES"/>
        </w:rPr>
        <w:t>i</w:t>
      </w:r>
      <w:r w:rsidR="00480D11" w:rsidRPr="009E5CA3">
        <w:rPr>
          <w:lang w:val="es-ES"/>
        </w:rPr>
        <w:t>i</w:t>
      </w:r>
      <w:r w:rsidR="00557C3D" w:rsidRPr="009E5CA3">
        <w:rPr>
          <w:lang w:val="es-ES"/>
        </w:rPr>
        <w:t>) la imposición automática de la pena de muerte</w:t>
      </w:r>
      <w:r w:rsidR="00BE0CEB" w:rsidRPr="009E5CA3">
        <w:rPr>
          <w:lang w:val="es-ES"/>
        </w:rPr>
        <w:t xml:space="preserve"> y el sometimiento al fenómeno del “corredor de la muerte”</w:t>
      </w:r>
      <w:r w:rsidR="00557C3D" w:rsidRPr="009E5CA3">
        <w:rPr>
          <w:lang w:val="es-ES"/>
        </w:rPr>
        <w:t xml:space="preserve">, </w:t>
      </w:r>
      <w:r w:rsidR="00BE0CEB" w:rsidRPr="009E5CA3">
        <w:rPr>
          <w:lang w:val="es-ES"/>
        </w:rPr>
        <w:t xml:space="preserve">(iv) las alegadas falencias del Estado a la hora de conmutar las penas de muerte por cadena perpetua, </w:t>
      </w:r>
      <w:r w:rsidR="00CD3C94" w:rsidRPr="009E5CA3">
        <w:rPr>
          <w:lang w:val="es-ES"/>
        </w:rPr>
        <w:t xml:space="preserve">así como </w:t>
      </w:r>
      <w:r w:rsidR="00BE0CEB" w:rsidRPr="009E5CA3">
        <w:rPr>
          <w:lang w:val="es-ES"/>
        </w:rPr>
        <w:t>(v)</w:t>
      </w:r>
      <w:r w:rsidR="00CD3C94" w:rsidRPr="009E5CA3">
        <w:rPr>
          <w:lang w:val="es-ES"/>
        </w:rPr>
        <w:t xml:space="preserve"> </w:t>
      </w:r>
      <w:r w:rsidR="00557C3D" w:rsidRPr="009E5CA3">
        <w:rPr>
          <w:lang w:val="es-ES"/>
        </w:rPr>
        <w:t xml:space="preserve">las condiciones de detención a las que estuvieron sometidas </w:t>
      </w:r>
      <w:r w:rsidR="0058393A" w:rsidRPr="009E5CA3">
        <w:rPr>
          <w:lang w:val="es-ES"/>
        </w:rPr>
        <w:t>las</w:t>
      </w:r>
      <w:r w:rsidR="00557C3D" w:rsidRPr="009E5CA3">
        <w:rPr>
          <w:lang w:val="es-ES"/>
        </w:rPr>
        <w:t xml:space="preserve"> presuntas víctimas</w:t>
      </w:r>
      <w:r w:rsidR="00CD3C94" w:rsidRPr="009E5CA3">
        <w:rPr>
          <w:lang w:val="es-ES"/>
        </w:rPr>
        <w:t xml:space="preserve">. </w:t>
      </w:r>
    </w:p>
    <w:p w14:paraId="6C58105D" w14:textId="77777777" w:rsidR="009812E6" w:rsidRPr="009E5CA3" w:rsidRDefault="009812E6" w:rsidP="009812E6">
      <w:pPr>
        <w:tabs>
          <w:tab w:val="left" w:pos="567"/>
        </w:tabs>
        <w:spacing w:line="240" w:lineRule="auto"/>
        <w:rPr>
          <w:lang w:val="es-ES"/>
        </w:rPr>
      </w:pPr>
    </w:p>
    <w:p w14:paraId="640432FF" w14:textId="7573CA9B" w:rsidR="00480D11" w:rsidRPr="009E5CA3" w:rsidRDefault="001F798A" w:rsidP="00A8618D">
      <w:pPr>
        <w:numPr>
          <w:ilvl w:val="0"/>
          <w:numId w:val="4"/>
        </w:numPr>
        <w:tabs>
          <w:tab w:val="left" w:pos="567"/>
          <w:tab w:val="num" w:pos="1569"/>
          <w:tab w:val="num" w:pos="12305"/>
        </w:tabs>
        <w:spacing w:line="240" w:lineRule="auto"/>
        <w:ind w:left="0" w:firstLine="0"/>
      </w:pPr>
      <w:r w:rsidRPr="009E5CA3">
        <w:rPr>
          <w:lang w:val="es-ES"/>
        </w:rPr>
        <w:t xml:space="preserve">El Tribunal </w:t>
      </w:r>
      <w:r w:rsidR="00F71A79" w:rsidRPr="009E5CA3">
        <w:rPr>
          <w:lang w:val="es-ES"/>
        </w:rPr>
        <w:t>nota</w:t>
      </w:r>
      <w:r w:rsidRPr="009E5CA3">
        <w:rPr>
          <w:lang w:val="es-ES"/>
        </w:rPr>
        <w:t xml:space="preserve"> </w:t>
      </w:r>
      <w:r w:rsidR="00D90B9D" w:rsidRPr="009E5CA3">
        <w:rPr>
          <w:lang w:val="es-ES"/>
        </w:rPr>
        <w:t xml:space="preserve">respecto de </w:t>
      </w:r>
      <w:r w:rsidRPr="009E5CA3">
        <w:rPr>
          <w:lang w:val="es-ES"/>
        </w:rPr>
        <w:t xml:space="preserve">las alegadas violaciones que se habrían cometido en el marco </w:t>
      </w:r>
      <w:r w:rsidR="000A109C">
        <w:rPr>
          <w:lang w:val="es-ES"/>
        </w:rPr>
        <w:t>de</w:t>
      </w:r>
      <w:r w:rsidR="00047BBB">
        <w:rPr>
          <w:lang w:val="es-ES"/>
        </w:rPr>
        <w:t xml:space="preserve"> </w:t>
      </w:r>
      <w:r w:rsidR="000A109C">
        <w:rPr>
          <w:lang w:val="es-ES"/>
        </w:rPr>
        <w:t>l</w:t>
      </w:r>
      <w:r w:rsidR="00047BBB">
        <w:rPr>
          <w:lang w:val="es-ES"/>
        </w:rPr>
        <w:t>os</w:t>
      </w:r>
      <w:r w:rsidR="000A109C">
        <w:rPr>
          <w:lang w:val="es-ES"/>
        </w:rPr>
        <w:t xml:space="preserve"> </w:t>
      </w:r>
      <w:r w:rsidRPr="009E5CA3">
        <w:rPr>
          <w:lang w:val="es-ES"/>
        </w:rPr>
        <w:t>proceso</w:t>
      </w:r>
      <w:r w:rsidR="00047BBB">
        <w:rPr>
          <w:lang w:val="es-ES"/>
        </w:rPr>
        <w:t>s</w:t>
      </w:r>
      <w:r w:rsidRPr="009E5CA3">
        <w:rPr>
          <w:lang w:val="es-ES"/>
        </w:rPr>
        <w:t xml:space="preserve"> penal</w:t>
      </w:r>
      <w:r w:rsidR="00047BBB">
        <w:rPr>
          <w:lang w:val="es-ES"/>
        </w:rPr>
        <w:t>es</w:t>
      </w:r>
      <w:r w:rsidR="00551019" w:rsidRPr="009E5CA3">
        <w:rPr>
          <w:lang w:val="es-ES"/>
        </w:rPr>
        <w:t xml:space="preserve"> que</w:t>
      </w:r>
      <w:r w:rsidRPr="009E5CA3">
        <w:rPr>
          <w:lang w:val="es-ES"/>
        </w:rPr>
        <w:t xml:space="preserve"> (</w:t>
      </w:r>
      <w:r w:rsidR="00B61200">
        <w:rPr>
          <w:lang w:val="es-ES"/>
        </w:rPr>
        <w:t>a</w:t>
      </w:r>
      <w:r w:rsidRPr="009E5CA3">
        <w:rPr>
          <w:lang w:val="es-ES"/>
        </w:rPr>
        <w:t>) no se ha indicado la fecha exacta en la que habrían tenido lugar,</w:t>
      </w:r>
      <w:r w:rsidR="00047BBB">
        <w:rPr>
          <w:lang w:val="es-ES"/>
        </w:rPr>
        <w:t xml:space="preserve"> o</w:t>
      </w:r>
      <w:r w:rsidRPr="009E5CA3">
        <w:rPr>
          <w:lang w:val="es-ES"/>
        </w:rPr>
        <w:t xml:space="preserve"> (</w:t>
      </w:r>
      <w:r w:rsidR="00B61200">
        <w:rPr>
          <w:lang w:val="es-ES"/>
        </w:rPr>
        <w:t>b</w:t>
      </w:r>
      <w:r w:rsidRPr="009E5CA3">
        <w:rPr>
          <w:lang w:val="es-ES"/>
        </w:rPr>
        <w:t xml:space="preserve">) tuvieron lugar en el acto del juicio que comenzó el </w:t>
      </w:r>
      <w:r w:rsidR="00A8618D" w:rsidRPr="009E5CA3">
        <w:rPr>
          <w:lang w:val="es-ES"/>
        </w:rPr>
        <w:t>11</w:t>
      </w:r>
      <w:r w:rsidRPr="009E5CA3">
        <w:rPr>
          <w:lang w:val="es-ES"/>
        </w:rPr>
        <w:t xml:space="preserve"> de </w:t>
      </w:r>
      <w:r w:rsidR="00A8618D" w:rsidRPr="009E5CA3">
        <w:rPr>
          <w:lang w:val="es-ES"/>
        </w:rPr>
        <w:t>octubre</w:t>
      </w:r>
      <w:r w:rsidRPr="009E5CA3">
        <w:rPr>
          <w:lang w:val="es-ES"/>
        </w:rPr>
        <w:t xml:space="preserve"> de </w:t>
      </w:r>
      <w:r w:rsidR="00A8618D" w:rsidRPr="009E5CA3">
        <w:rPr>
          <w:lang w:val="es-ES"/>
        </w:rPr>
        <w:t>1999</w:t>
      </w:r>
      <w:r w:rsidRPr="009E5CA3">
        <w:rPr>
          <w:lang w:val="es-ES"/>
        </w:rPr>
        <w:t xml:space="preserve"> (con respecto al señor </w:t>
      </w:r>
      <w:proofErr w:type="spellStart"/>
      <w:r w:rsidRPr="009E5CA3">
        <w:rPr>
          <w:lang w:val="es-ES"/>
        </w:rPr>
        <w:t>Bissoon</w:t>
      </w:r>
      <w:proofErr w:type="spellEnd"/>
      <w:r w:rsidRPr="009E5CA3">
        <w:rPr>
          <w:lang w:val="es-ES"/>
        </w:rPr>
        <w:t>)</w:t>
      </w:r>
      <w:r w:rsidR="008973C4" w:rsidRPr="009E5CA3">
        <w:rPr>
          <w:lang w:val="es-ES"/>
        </w:rPr>
        <w:t>,</w:t>
      </w:r>
      <w:r w:rsidRPr="009E5CA3">
        <w:rPr>
          <w:lang w:val="es-ES"/>
        </w:rPr>
        <w:t xml:space="preserve"> o el 21 de mayo de 2001 (con respecto al señor </w:t>
      </w:r>
      <w:proofErr w:type="spellStart"/>
      <w:r w:rsidRPr="009E5CA3">
        <w:rPr>
          <w:lang w:val="es-ES"/>
        </w:rPr>
        <w:t>Serrette</w:t>
      </w:r>
      <w:proofErr w:type="spellEnd"/>
      <w:r w:rsidRPr="009E5CA3">
        <w:rPr>
          <w:lang w:val="es-ES"/>
        </w:rPr>
        <w:t>)</w:t>
      </w:r>
      <w:r w:rsidR="008973C4" w:rsidRPr="009E5CA3">
        <w:rPr>
          <w:lang w:val="es-ES"/>
        </w:rPr>
        <w:t>,</w:t>
      </w:r>
      <w:r w:rsidRPr="009E5CA3">
        <w:rPr>
          <w:lang w:val="es-ES"/>
        </w:rPr>
        <w:t xml:space="preserve"> </w:t>
      </w:r>
      <w:r w:rsidR="009812E6" w:rsidRPr="009E5CA3">
        <w:rPr>
          <w:lang w:val="es-ES"/>
        </w:rPr>
        <w:t>o en momentos posteriores</w:t>
      </w:r>
      <w:r w:rsidR="003C4D9C" w:rsidRPr="009E5CA3">
        <w:rPr>
          <w:rStyle w:val="Refdenotaalpie"/>
          <w:lang w:val="es-ES"/>
        </w:rPr>
        <w:footnoteReference w:id="28"/>
      </w:r>
      <w:r w:rsidR="009812E6" w:rsidRPr="009E5CA3">
        <w:rPr>
          <w:lang w:val="es-ES"/>
        </w:rPr>
        <w:t>.</w:t>
      </w:r>
      <w:r w:rsidR="003C4D9C" w:rsidRPr="009E5CA3">
        <w:rPr>
          <w:lang w:val="es-ES"/>
        </w:rPr>
        <w:t xml:space="preserve"> </w:t>
      </w:r>
      <w:r w:rsidR="00FC0187" w:rsidRPr="009E5CA3">
        <w:rPr>
          <w:lang w:val="es-ES"/>
        </w:rPr>
        <w:t>Todo lo anterior se sitúa f</w:t>
      </w:r>
      <w:r w:rsidR="00480D11" w:rsidRPr="009E5CA3">
        <w:rPr>
          <w:lang w:val="es-ES"/>
        </w:rPr>
        <w:t xml:space="preserve">uera del marco temporal sometido ante este Tribunal y de la competencia </w:t>
      </w:r>
      <w:r w:rsidR="00480D11" w:rsidRPr="009E5CA3">
        <w:rPr>
          <w:i/>
          <w:iCs/>
          <w:lang w:val="es-ES"/>
        </w:rPr>
        <w:t>ratione temporis</w:t>
      </w:r>
      <w:r w:rsidR="00480D11" w:rsidRPr="009E5CA3">
        <w:rPr>
          <w:lang w:val="es-ES"/>
        </w:rPr>
        <w:t xml:space="preserve">. Por tanto, </w:t>
      </w:r>
      <w:bookmarkStart w:id="44" w:name="_Hlk119313795"/>
      <w:r w:rsidR="00480D11" w:rsidRPr="009E5CA3">
        <w:rPr>
          <w:lang w:val="es-ES"/>
        </w:rPr>
        <w:t xml:space="preserve">el Tribunal no analizará </w:t>
      </w:r>
      <w:r w:rsidR="0058393A" w:rsidRPr="009E5CA3">
        <w:rPr>
          <w:lang w:val="es-ES"/>
        </w:rPr>
        <w:t xml:space="preserve">(i) las alegadas falencias ocurridas en el marco </w:t>
      </w:r>
      <w:r w:rsidR="008973C4" w:rsidRPr="009E5CA3">
        <w:rPr>
          <w:lang w:val="es-ES"/>
        </w:rPr>
        <w:t>de los procesos penales</w:t>
      </w:r>
      <w:r w:rsidR="0058393A" w:rsidRPr="009E5CA3">
        <w:rPr>
          <w:lang w:val="es-ES"/>
        </w:rPr>
        <w:t xml:space="preserve">, </w:t>
      </w:r>
      <w:r w:rsidR="00480D11" w:rsidRPr="009E5CA3">
        <w:rPr>
          <w:lang w:val="es-ES"/>
        </w:rPr>
        <w:t>(</w:t>
      </w:r>
      <w:r w:rsidR="0058393A" w:rsidRPr="009E5CA3">
        <w:rPr>
          <w:lang w:val="es-ES"/>
        </w:rPr>
        <w:t>i</w:t>
      </w:r>
      <w:r w:rsidR="00480D11" w:rsidRPr="009E5CA3">
        <w:rPr>
          <w:lang w:val="es-ES"/>
        </w:rPr>
        <w:t xml:space="preserve">i) la alegada violación de la Convención Americana por la imposición automática de la pena de muerte y el sometimiento al fenómeno del “corredor de la muerte”, así como (iii) las alegadas falencias del Estado a la hora de conmutar la pena de muerte por cadena perpetua. </w:t>
      </w:r>
    </w:p>
    <w:bookmarkEnd w:id="44"/>
    <w:p w14:paraId="499224CF" w14:textId="20D69AFA" w:rsidR="009B7924" w:rsidRPr="009E5CA3" w:rsidRDefault="009B7924" w:rsidP="009B7924">
      <w:pPr>
        <w:widowControl/>
        <w:tabs>
          <w:tab w:val="left" w:pos="567"/>
          <w:tab w:val="num" w:pos="12305"/>
        </w:tabs>
        <w:spacing w:line="240" w:lineRule="auto"/>
        <w:contextualSpacing/>
        <w:rPr>
          <w:lang w:val="es-ES"/>
        </w:rPr>
      </w:pPr>
    </w:p>
    <w:p w14:paraId="069B082C" w14:textId="4DDED9AD" w:rsidR="009B7924" w:rsidRPr="009E5CA3" w:rsidRDefault="009B7924" w:rsidP="00862269">
      <w:pPr>
        <w:numPr>
          <w:ilvl w:val="0"/>
          <w:numId w:val="4"/>
        </w:numPr>
        <w:tabs>
          <w:tab w:val="left" w:pos="567"/>
          <w:tab w:val="num" w:pos="1569"/>
          <w:tab w:val="num" w:pos="12305"/>
        </w:tabs>
        <w:spacing w:line="240" w:lineRule="auto"/>
        <w:ind w:left="0" w:firstLine="0"/>
        <w:rPr>
          <w:lang w:val="es-ES"/>
        </w:rPr>
      </w:pPr>
      <w:bookmarkStart w:id="45" w:name="_Hlk119313826"/>
      <w:r w:rsidRPr="009E5CA3">
        <w:rPr>
          <w:lang w:val="es-ES"/>
        </w:rPr>
        <w:t xml:space="preserve">En vista de lo anterior, teniendo en cuenta los alegatos de </w:t>
      </w:r>
      <w:r w:rsidR="00E6304A" w:rsidRPr="009E5CA3">
        <w:rPr>
          <w:lang w:val="es-ES"/>
        </w:rPr>
        <w:t>los representantes</w:t>
      </w:r>
      <w:r w:rsidRPr="009E5CA3">
        <w:rPr>
          <w:lang w:val="es-ES"/>
        </w:rPr>
        <w:t xml:space="preserve"> y </w:t>
      </w:r>
      <w:r w:rsidR="007C511F" w:rsidRPr="009E5CA3">
        <w:rPr>
          <w:lang w:val="es-ES"/>
        </w:rPr>
        <w:t xml:space="preserve">de </w:t>
      </w:r>
      <w:r w:rsidRPr="009E5CA3">
        <w:rPr>
          <w:lang w:val="es-ES"/>
        </w:rPr>
        <w:t xml:space="preserve">la Comisión, </w:t>
      </w:r>
      <w:r w:rsidRPr="009E5CA3">
        <w:rPr>
          <w:lang w:val="es-ES"/>
        </w:rPr>
        <w:lastRenderedPageBreak/>
        <w:t>en el presente caso</w:t>
      </w:r>
      <w:r w:rsidR="00047BBB">
        <w:rPr>
          <w:lang w:val="es-ES"/>
        </w:rPr>
        <w:t>,</w:t>
      </w:r>
      <w:r w:rsidRPr="009E5CA3">
        <w:rPr>
          <w:lang w:val="es-ES"/>
        </w:rPr>
        <w:t xml:space="preserve"> la Corte </w:t>
      </w:r>
      <w:r w:rsidR="00790434" w:rsidRPr="009E5CA3">
        <w:rPr>
          <w:lang w:val="es-ES"/>
        </w:rPr>
        <w:t>examinará</w:t>
      </w:r>
      <w:r w:rsidR="00540B66" w:rsidRPr="009E5CA3">
        <w:rPr>
          <w:lang w:val="es-ES"/>
        </w:rPr>
        <w:t xml:space="preserve"> </w:t>
      </w:r>
      <w:r w:rsidRPr="009E5CA3">
        <w:rPr>
          <w:lang w:val="es-ES"/>
        </w:rPr>
        <w:t xml:space="preserve">(i) </w:t>
      </w:r>
      <w:r w:rsidRPr="009E5CA3">
        <w:t xml:space="preserve">la alegada violación del derecho </w:t>
      </w:r>
      <w:r w:rsidR="002C75D0">
        <w:t xml:space="preserve">de una persona detenida </w:t>
      </w:r>
      <w:r w:rsidRPr="009E5CA3">
        <w:t xml:space="preserve">a ser juzgado en un plazo razonable, </w:t>
      </w:r>
      <w:r w:rsidR="00540B66" w:rsidRPr="009E5CA3">
        <w:t xml:space="preserve">y </w:t>
      </w:r>
      <w:r w:rsidRPr="009E5CA3">
        <w:t>(</w:t>
      </w:r>
      <w:r w:rsidR="00540B66" w:rsidRPr="009E5CA3">
        <w:t>ii</w:t>
      </w:r>
      <w:r w:rsidRPr="009E5CA3">
        <w:t xml:space="preserve">) las condiciones de detención a las que </w:t>
      </w:r>
      <w:r w:rsidR="001C26DD" w:rsidRPr="009E5CA3">
        <w:t>estuvieron</w:t>
      </w:r>
      <w:r w:rsidRPr="009E5CA3">
        <w:t xml:space="preserve"> </w:t>
      </w:r>
      <w:r w:rsidR="00540B66" w:rsidRPr="009E5CA3">
        <w:t>sometido</w:t>
      </w:r>
      <w:r w:rsidR="001C26DD" w:rsidRPr="009E5CA3">
        <w:t>s</w:t>
      </w:r>
      <w:r w:rsidR="00540B66" w:rsidRPr="009E5CA3">
        <w:t xml:space="preserve"> </w:t>
      </w:r>
      <w:r w:rsidR="001C26DD" w:rsidRPr="009E5CA3">
        <w:t xml:space="preserve">los señores </w:t>
      </w:r>
      <w:proofErr w:type="spellStart"/>
      <w:r w:rsidR="00540B66" w:rsidRPr="009E5CA3">
        <w:t>Bisso</w:t>
      </w:r>
      <w:r w:rsidR="00E05973" w:rsidRPr="009E5CA3">
        <w:t>o</w:t>
      </w:r>
      <w:r w:rsidR="00540B66" w:rsidRPr="009E5CA3">
        <w:t>n</w:t>
      </w:r>
      <w:proofErr w:type="spellEnd"/>
      <w:r w:rsidR="001C26DD" w:rsidRPr="009E5CA3">
        <w:t xml:space="preserve"> y </w:t>
      </w:r>
      <w:proofErr w:type="spellStart"/>
      <w:r w:rsidR="001C26DD" w:rsidRPr="009E5CA3">
        <w:t>Serrette</w:t>
      </w:r>
      <w:proofErr w:type="spellEnd"/>
      <w:r w:rsidRPr="009E5CA3">
        <w:t xml:space="preserve"> </w:t>
      </w:r>
      <w:r w:rsidR="00334EE2" w:rsidRPr="009E5CA3">
        <w:rPr>
          <w:rFonts w:cstheme="minorHAnsi"/>
        </w:rPr>
        <w:t xml:space="preserve">entre </w:t>
      </w:r>
      <w:r w:rsidR="00334EE2" w:rsidRPr="009E5CA3">
        <w:rPr>
          <w:lang w:val="es-ES"/>
        </w:rPr>
        <w:t xml:space="preserve">el </w:t>
      </w:r>
      <w:r w:rsidR="004256DE" w:rsidRPr="009E5CA3">
        <w:rPr>
          <w:lang w:val="es-ES"/>
        </w:rPr>
        <w:t>1</w:t>
      </w:r>
      <w:r w:rsidR="00334EE2" w:rsidRPr="009E5CA3">
        <w:rPr>
          <w:lang w:val="es-ES"/>
        </w:rPr>
        <w:t xml:space="preserve"> de </w:t>
      </w:r>
      <w:r w:rsidR="004256DE" w:rsidRPr="009E5CA3">
        <w:rPr>
          <w:lang w:val="es-ES"/>
        </w:rPr>
        <w:t>diciembre</w:t>
      </w:r>
      <w:r w:rsidR="00334EE2" w:rsidRPr="009E5CA3">
        <w:rPr>
          <w:lang w:val="es-ES"/>
        </w:rPr>
        <w:t xml:space="preserve"> de </w:t>
      </w:r>
      <w:r w:rsidR="004256DE" w:rsidRPr="009E5CA3">
        <w:rPr>
          <w:lang w:val="es-ES"/>
        </w:rPr>
        <w:t xml:space="preserve">1995 </w:t>
      </w:r>
      <w:r w:rsidR="001C26DD" w:rsidRPr="009E5CA3">
        <w:rPr>
          <w:lang w:val="es-ES"/>
        </w:rPr>
        <w:t xml:space="preserve">o 13 de octubre de 1998 </w:t>
      </w:r>
      <w:r w:rsidR="004256DE" w:rsidRPr="009E5CA3">
        <w:rPr>
          <w:lang w:val="es-ES"/>
        </w:rPr>
        <w:t>(fecha de su arresto</w:t>
      </w:r>
      <w:r w:rsidR="001C26DD" w:rsidRPr="009E5CA3">
        <w:rPr>
          <w:lang w:val="es-ES"/>
        </w:rPr>
        <w:t>, respectivamente</w:t>
      </w:r>
      <w:r w:rsidR="004256DE" w:rsidRPr="009E5CA3">
        <w:rPr>
          <w:lang w:val="es-ES"/>
        </w:rPr>
        <w:t xml:space="preserve">) </w:t>
      </w:r>
      <w:r w:rsidR="00334EE2" w:rsidRPr="009E5CA3">
        <w:rPr>
          <w:lang w:val="es-ES"/>
        </w:rPr>
        <w:t>y el 26 de mayo de 1999</w:t>
      </w:r>
      <w:r w:rsidR="004256DE" w:rsidRPr="009E5CA3">
        <w:rPr>
          <w:lang w:val="es-ES"/>
        </w:rPr>
        <w:t xml:space="preserve"> (fecha en la que entró en vigor la denuncia de la Convención </w:t>
      </w:r>
      <w:r w:rsidR="004470F0" w:rsidRPr="009E5CA3">
        <w:rPr>
          <w:lang w:val="es-ES"/>
        </w:rPr>
        <w:t xml:space="preserve">Americana </w:t>
      </w:r>
      <w:r w:rsidR="004256DE" w:rsidRPr="009E5CA3">
        <w:rPr>
          <w:lang w:val="es-ES"/>
        </w:rPr>
        <w:t>por parte de Trinidad y Tobago)</w:t>
      </w:r>
      <w:r w:rsidRPr="009E5CA3">
        <w:t xml:space="preserve">. </w:t>
      </w:r>
    </w:p>
    <w:p w14:paraId="5068C62C" w14:textId="74AC377E" w:rsidR="00E04DEA" w:rsidRPr="009E5CA3" w:rsidRDefault="00E04DEA" w:rsidP="00D453D9">
      <w:pPr>
        <w:pStyle w:val="Ttulo2"/>
        <w:numPr>
          <w:ilvl w:val="0"/>
          <w:numId w:val="43"/>
        </w:numPr>
        <w:rPr>
          <w:lang w:val="es-ES"/>
        </w:rPr>
      </w:pPr>
      <w:bookmarkStart w:id="46" w:name="_Toc24447088"/>
      <w:bookmarkStart w:id="47" w:name="_Toc120891057"/>
      <w:bookmarkEnd w:id="40"/>
      <w:bookmarkEnd w:id="45"/>
      <w:r w:rsidRPr="009E5CA3">
        <w:rPr>
          <w:lang w:val="es-ES"/>
        </w:rPr>
        <w:t>Argumentos de las partes y de la Comisión</w:t>
      </w:r>
      <w:bookmarkEnd w:id="46"/>
      <w:bookmarkEnd w:id="47"/>
    </w:p>
    <w:p w14:paraId="5F904716" w14:textId="01E28DE9" w:rsidR="001044ED" w:rsidRPr="009E5CA3" w:rsidRDefault="001044ED" w:rsidP="001044ED">
      <w:pPr>
        <w:numPr>
          <w:ilvl w:val="0"/>
          <w:numId w:val="4"/>
        </w:numPr>
        <w:tabs>
          <w:tab w:val="left" w:pos="567"/>
          <w:tab w:val="num" w:pos="1569"/>
          <w:tab w:val="num" w:pos="12305"/>
        </w:tabs>
        <w:spacing w:line="240" w:lineRule="auto"/>
        <w:ind w:left="0" w:firstLine="0"/>
      </w:pPr>
      <w:r w:rsidRPr="009E5CA3">
        <w:t xml:space="preserve">La Comisión </w:t>
      </w:r>
      <w:r w:rsidR="0004413B" w:rsidRPr="009E5CA3">
        <w:t xml:space="preserve">consideró que </w:t>
      </w:r>
      <w:r w:rsidRPr="009E5CA3">
        <w:t>el per</w:t>
      </w:r>
      <w:r w:rsidR="00047BBB">
        <w:t>í</w:t>
      </w:r>
      <w:r w:rsidRPr="009E5CA3">
        <w:t xml:space="preserve">odo de tiempo entre la detención </w:t>
      </w:r>
      <w:r w:rsidR="009379E6">
        <w:t>del</w:t>
      </w:r>
      <w:r w:rsidR="009379E6" w:rsidRPr="009E5CA3">
        <w:t xml:space="preserve"> señor </w:t>
      </w:r>
      <w:proofErr w:type="spellStart"/>
      <w:r w:rsidR="009379E6" w:rsidRPr="009E5CA3">
        <w:t>Bissoo</w:t>
      </w:r>
      <w:r w:rsidR="009379E6">
        <w:t>n</w:t>
      </w:r>
      <w:proofErr w:type="spellEnd"/>
      <w:r w:rsidR="009379E6">
        <w:t xml:space="preserve"> </w:t>
      </w:r>
      <w:r w:rsidRPr="009E5CA3">
        <w:t xml:space="preserve">efectuada el </w:t>
      </w:r>
      <w:r w:rsidR="005541D9" w:rsidRPr="009E5CA3">
        <w:t>1</w:t>
      </w:r>
      <w:r w:rsidRPr="009E5CA3">
        <w:t xml:space="preserve"> de </w:t>
      </w:r>
      <w:r w:rsidR="005541D9" w:rsidRPr="009E5CA3">
        <w:t>diciembre</w:t>
      </w:r>
      <w:r w:rsidRPr="009E5CA3">
        <w:t xml:space="preserve"> de 1995 y el inicio del juicio el </w:t>
      </w:r>
      <w:r w:rsidR="005541D9" w:rsidRPr="009E5CA3">
        <w:t xml:space="preserve">11 octubre de </w:t>
      </w:r>
      <w:r w:rsidR="002309F7" w:rsidRPr="009E5CA3">
        <w:t>1999</w:t>
      </w:r>
      <w:r w:rsidRPr="009E5CA3">
        <w:t xml:space="preserve"> violó el derecho a ser juzgado en un plazo razonable establecido en el artículo 7.5 de la Convención Americana, así como el artículo 8.1 de</w:t>
      </w:r>
      <w:r w:rsidR="00D70EA3">
        <w:t>l mismo instrumento</w:t>
      </w:r>
      <w:r w:rsidRPr="009E5CA3">
        <w:t>.</w:t>
      </w:r>
      <w:r w:rsidRPr="009E5CA3">
        <w:rPr>
          <w:b/>
          <w:bCs/>
        </w:rPr>
        <w:t xml:space="preserve"> </w:t>
      </w:r>
      <w:r w:rsidR="005541D9" w:rsidRPr="009E5CA3">
        <w:t xml:space="preserve">Añadió que no existía ninguna justificación para </w:t>
      </w:r>
      <w:r w:rsidR="00E75F03">
        <w:t>tal</w:t>
      </w:r>
      <w:r w:rsidR="005541D9" w:rsidRPr="009E5CA3">
        <w:t xml:space="preserve"> retraso meses</w:t>
      </w:r>
      <w:r w:rsidR="002309F7" w:rsidRPr="009E5CA3">
        <w:t>.</w:t>
      </w:r>
      <w:r w:rsidR="005541D9" w:rsidRPr="009E5CA3">
        <w:rPr>
          <w:b/>
          <w:bCs/>
        </w:rPr>
        <w:t xml:space="preserve"> </w:t>
      </w:r>
      <w:r w:rsidR="009379E6">
        <w:t>Indicó</w:t>
      </w:r>
      <w:r w:rsidR="009379E6" w:rsidRPr="002C75D0">
        <w:t xml:space="preserve"> </w:t>
      </w:r>
      <w:r w:rsidR="002C75D0" w:rsidRPr="002C75D0">
        <w:t xml:space="preserve">que las presuntas víctimas estuvieron sometidas tras su arresto a condiciones de detención muy </w:t>
      </w:r>
      <w:r w:rsidR="002C75D0">
        <w:t>“</w:t>
      </w:r>
      <w:r w:rsidR="002C75D0" w:rsidRPr="002C75D0">
        <w:t>pobres</w:t>
      </w:r>
      <w:r w:rsidR="002C75D0">
        <w:t>”</w:t>
      </w:r>
      <w:r w:rsidR="002C75D0" w:rsidRPr="002C75D0">
        <w:t>.</w:t>
      </w:r>
      <w:r w:rsidR="002C75D0">
        <w:rPr>
          <w:b/>
          <w:bCs/>
        </w:rPr>
        <w:t xml:space="preserve"> </w:t>
      </w:r>
    </w:p>
    <w:p w14:paraId="3D0410E7" w14:textId="77777777" w:rsidR="001044ED" w:rsidRPr="009E5CA3" w:rsidRDefault="001044ED" w:rsidP="001044ED">
      <w:pPr>
        <w:tabs>
          <w:tab w:val="left" w:pos="567"/>
          <w:tab w:val="num" w:pos="12305"/>
        </w:tabs>
        <w:spacing w:line="240" w:lineRule="auto"/>
      </w:pPr>
    </w:p>
    <w:p w14:paraId="33974EAE" w14:textId="57D26FB2" w:rsidR="001044ED" w:rsidRPr="009E5CA3" w:rsidRDefault="001044ED" w:rsidP="001044ED">
      <w:pPr>
        <w:numPr>
          <w:ilvl w:val="0"/>
          <w:numId w:val="4"/>
        </w:numPr>
        <w:tabs>
          <w:tab w:val="left" w:pos="567"/>
          <w:tab w:val="num" w:pos="1569"/>
          <w:tab w:val="num" w:pos="12305"/>
        </w:tabs>
        <w:spacing w:line="240" w:lineRule="auto"/>
        <w:ind w:left="0" w:firstLine="0"/>
      </w:pPr>
      <w:r w:rsidRPr="009E5CA3">
        <w:rPr>
          <w:bCs/>
        </w:rPr>
        <w:t xml:space="preserve">Los </w:t>
      </w:r>
      <w:r w:rsidRPr="009E5CA3">
        <w:rPr>
          <w:b/>
          <w:i/>
          <w:iCs/>
        </w:rPr>
        <w:t>representantes</w:t>
      </w:r>
      <w:r w:rsidR="00F71A79" w:rsidRPr="009E5CA3">
        <w:rPr>
          <w:bCs/>
          <w:i/>
          <w:iCs/>
        </w:rPr>
        <w:t>,</w:t>
      </w:r>
      <w:r w:rsidRPr="009E5CA3">
        <w:rPr>
          <w:bCs/>
        </w:rPr>
        <w:t xml:space="preserve"> </w:t>
      </w:r>
      <w:r w:rsidR="007D2A87" w:rsidRPr="009E5CA3">
        <w:rPr>
          <w:bCs/>
        </w:rPr>
        <w:t xml:space="preserve">por su parte, </w:t>
      </w:r>
      <w:r w:rsidRPr="009E5CA3">
        <w:rPr>
          <w:bCs/>
        </w:rPr>
        <w:t xml:space="preserve">coincidieron con la Comisión al indicar que transcurrieron </w:t>
      </w:r>
      <w:r w:rsidR="00F07037" w:rsidRPr="009E5CA3">
        <w:rPr>
          <w:bCs/>
        </w:rPr>
        <w:t xml:space="preserve">casi 4 años entre </w:t>
      </w:r>
      <w:r w:rsidRPr="009E5CA3">
        <w:rPr>
          <w:bCs/>
        </w:rPr>
        <w:t xml:space="preserve">la detención </w:t>
      </w:r>
      <w:r w:rsidR="00F07037" w:rsidRPr="009E5CA3">
        <w:rPr>
          <w:bCs/>
        </w:rPr>
        <w:t xml:space="preserve">del señor </w:t>
      </w:r>
      <w:proofErr w:type="spellStart"/>
      <w:r w:rsidR="00F07037" w:rsidRPr="009E5CA3">
        <w:rPr>
          <w:bCs/>
        </w:rPr>
        <w:t>Bissoon</w:t>
      </w:r>
      <w:proofErr w:type="spellEnd"/>
      <w:r w:rsidR="00F07037" w:rsidRPr="009E5CA3">
        <w:rPr>
          <w:bCs/>
        </w:rPr>
        <w:t xml:space="preserve"> el 1 de diciembre de 1995 </w:t>
      </w:r>
      <w:r w:rsidR="003D1CC8" w:rsidRPr="009E5CA3">
        <w:rPr>
          <w:bCs/>
        </w:rPr>
        <w:t xml:space="preserve">y </w:t>
      </w:r>
      <w:r w:rsidRPr="009E5CA3">
        <w:rPr>
          <w:bCs/>
        </w:rPr>
        <w:t xml:space="preserve">el comienzo del juicio el </w:t>
      </w:r>
      <w:r w:rsidR="003D1CC8" w:rsidRPr="009E5CA3">
        <w:rPr>
          <w:bCs/>
        </w:rPr>
        <w:t>11 de octubre de 1999</w:t>
      </w:r>
      <w:r w:rsidRPr="009E5CA3">
        <w:rPr>
          <w:bCs/>
        </w:rPr>
        <w:t>, lo cual supuso una violación del derecho a ser juzgado en un plazo razonable y una violación de los artículos 7.5 y 8.1 de la Convención Americana.</w:t>
      </w:r>
      <w:r w:rsidR="001C26DD" w:rsidRPr="009E5CA3">
        <w:rPr>
          <w:bCs/>
        </w:rPr>
        <w:t xml:space="preserve"> Indicaron, asimismo, que el Estado tampoco cumplió con el plazo razonable en el caso del señor </w:t>
      </w:r>
      <w:proofErr w:type="spellStart"/>
      <w:r w:rsidR="001C26DD" w:rsidRPr="009E5CA3">
        <w:rPr>
          <w:bCs/>
        </w:rPr>
        <w:t>Serrette</w:t>
      </w:r>
      <w:proofErr w:type="spellEnd"/>
      <w:r w:rsidR="001C26DD" w:rsidRPr="009E5CA3">
        <w:rPr>
          <w:bCs/>
        </w:rPr>
        <w:t>, quien fue arrestado el 13 de octubre de 1998 y juzgado el 15 de mayo de 2001</w:t>
      </w:r>
      <w:r w:rsidR="00CC2BFE">
        <w:rPr>
          <w:bCs/>
        </w:rPr>
        <w:t>.</w:t>
      </w:r>
      <w:r w:rsidRPr="009E5CA3">
        <w:rPr>
          <w:bCs/>
        </w:rPr>
        <w:t xml:space="preserve"> </w:t>
      </w:r>
    </w:p>
    <w:p w14:paraId="0BEEFD3E" w14:textId="77777777" w:rsidR="001A66E2" w:rsidRPr="009E5CA3" w:rsidRDefault="001A66E2" w:rsidP="001A66E2">
      <w:pPr>
        <w:tabs>
          <w:tab w:val="left" w:pos="567"/>
        </w:tabs>
        <w:spacing w:line="240" w:lineRule="auto"/>
        <w:rPr>
          <w:bCs/>
        </w:rPr>
      </w:pPr>
    </w:p>
    <w:p w14:paraId="2081D9A8" w14:textId="58549B56" w:rsidR="00E72D45" w:rsidRPr="009E5CA3" w:rsidRDefault="001044ED" w:rsidP="001044ED">
      <w:pPr>
        <w:numPr>
          <w:ilvl w:val="0"/>
          <w:numId w:val="4"/>
        </w:numPr>
        <w:tabs>
          <w:tab w:val="left" w:pos="567"/>
          <w:tab w:val="num" w:pos="1569"/>
          <w:tab w:val="num" w:pos="12305"/>
        </w:tabs>
        <w:spacing w:line="240" w:lineRule="auto"/>
        <w:ind w:left="0" w:firstLine="0"/>
        <w:rPr>
          <w:bCs/>
        </w:rPr>
      </w:pPr>
      <w:r w:rsidRPr="009E5CA3">
        <w:rPr>
          <w:bCs/>
        </w:rPr>
        <w:t>Asimismo,</w:t>
      </w:r>
      <w:r w:rsidRPr="009E5CA3">
        <w:t xml:space="preserve"> alegaron que las condiciones de detención de los señores </w:t>
      </w:r>
      <w:proofErr w:type="spellStart"/>
      <w:r w:rsidR="001C26DD" w:rsidRPr="009E5CA3">
        <w:t>Bissoon</w:t>
      </w:r>
      <w:proofErr w:type="spellEnd"/>
      <w:r w:rsidRPr="009E5CA3">
        <w:t xml:space="preserve"> y </w:t>
      </w:r>
      <w:proofErr w:type="spellStart"/>
      <w:r w:rsidR="001C26DD" w:rsidRPr="009E5CA3">
        <w:t>Serrette</w:t>
      </w:r>
      <w:proofErr w:type="spellEnd"/>
      <w:r w:rsidR="001C26DD" w:rsidRPr="009E5CA3">
        <w:t xml:space="preserve"> </w:t>
      </w:r>
      <w:r w:rsidRPr="009E5CA3">
        <w:t xml:space="preserve">no cumplieron con los </w:t>
      </w:r>
      <w:r w:rsidRPr="009E5CA3">
        <w:rPr>
          <w:bCs/>
        </w:rPr>
        <w:t>requisitos</w:t>
      </w:r>
      <w:r w:rsidRPr="009E5CA3">
        <w:t xml:space="preserve"> establecidos en el Reglamento de Prisiones de Trinidad y Tobago ni con las Reglas Mínimas de las Naciones Unidas para el Tratamiento de los Reclusos. Lo anterior supuso una violación del artículo 5 de la Convención Americana.</w:t>
      </w:r>
      <w:r w:rsidRPr="009E5CA3">
        <w:rPr>
          <w:b/>
        </w:rPr>
        <w:t xml:space="preserve"> </w:t>
      </w:r>
    </w:p>
    <w:p w14:paraId="7D5A962B" w14:textId="77777777" w:rsidR="001044ED" w:rsidRPr="009E5CA3" w:rsidRDefault="001044ED" w:rsidP="00862269">
      <w:pPr>
        <w:tabs>
          <w:tab w:val="left" w:pos="567"/>
        </w:tabs>
        <w:spacing w:line="240" w:lineRule="auto"/>
        <w:rPr>
          <w:bCs/>
        </w:rPr>
      </w:pPr>
    </w:p>
    <w:p w14:paraId="6F0F0371" w14:textId="77777777" w:rsidR="001044ED" w:rsidRPr="009E5CA3" w:rsidRDefault="001044ED" w:rsidP="001044ED">
      <w:pPr>
        <w:numPr>
          <w:ilvl w:val="0"/>
          <w:numId w:val="4"/>
        </w:numPr>
        <w:tabs>
          <w:tab w:val="left" w:pos="567"/>
          <w:tab w:val="num" w:pos="1569"/>
          <w:tab w:val="num" w:pos="12305"/>
        </w:tabs>
        <w:spacing w:line="240" w:lineRule="auto"/>
        <w:ind w:left="0" w:firstLine="0"/>
        <w:rPr>
          <w:b/>
          <w:bCs/>
        </w:rPr>
      </w:pPr>
      <w:bookmarkStart w:id="48" w:name="_Toc24447092"/>
      <w:r w:rsidRPr="009E5CA3">
        <w:t xml:space="preserve">El </w:t>
      </w:r>
      <w:r w:rsidRPr="009E5CA3">
        <w:rPr>
          <w:b/>
          <w:i/>
        </w:rPr>
        <w:t>Estado</w:t>
      </w:r>
      <w:r w:rsidRPr="009E5CA3">
        <w:rPr>
          <w:bCs/>
          <w:iCs/>
        </w:rPr>
        <w:t xml:space="preserve"> no se pronunció al respecto.</w:t>
      </w:r>
    </w:p>
    <w:p w14:paraId="57051842" w14:textId="796CEBAE" w:rsidR="00061A1C" w:rsidRPr="009E5CA3" w:rsidRDefault="00E04DEA" w:rsidP="00E05973">
      <w:pPr>
        <w:pStyle w:val="Ttulo2"/>
        <w:numPr>
          <w:ilvl w:val="0"/>
          <w:numId w:val="43"/>
        </w:numPr>
        <w:rPr>
          <w:lang w:val="es-ES"/>
        </w:rPr>
      </w:pPr>
      <w:bookmarkStart w:id="49" w:name="_Toc120891058"/>
      <w:r w:rsidRPr="009E5CA3">
        <w:rPr>
          <w:lang w:val="es-ES"/>
        </w:rPr>
        <w:t>Consideraciones de la Corte</w:t>
      </w:r>
      <w:bookmarkEnd w:id="48"/>
      <w:bookmarkEnd w:id="49"/>
    </w:p>
    <w:p w14:paraId="2545E9AE" w14:textId="2C79CCFA" w:rsidR="005F7534" w:rsidRPr="009E5CA3" w:rsidRDefault="00772F78" w:rsidP="005F7534">
      <w:pPr>
        <w:pStyle w:val="Ttulo3"/>
      </w:pPr>
      <w:bookmarkStart w:id="50" w:name="_Toc120891059"/>
      <w:bookmarkStart w:id="51" w:name="_Toc24447096"/>
      <w:bookmarkEnd w:id="41"/>
      <w:bookmarkEnd w:id="42"/>
      <w:bookmarkEnd w:id="43"/>
      <w:r>
        <w:t>B</w:t>
      </w:r>
      <w:r w:rsidR="005F7534" w:rsidRPr="009E5CA3">
        <w:t xml:space="preserve">.1 </w:t>
      </w:r>
      <w:r w:rsidR="00E6304A" w:rsidRPr="009E5CA3">
        <w:t>Derecho de una persona en situación de prisión preventiva a ser juzgada en un plazo razonable</w:t>
      </w:r>
      <w:bookmarkEnd w:id="50"/>
    </w:p>
    <w:p w14:paraId="33E48AC1" w14:textId="710CD914" w:rsidR="002E1F94" w:rsidRPr="009E5CA3" w:rsidRDefault="002E1F94" w:rsidP="002E1F94">
      <w:pPr>
        <w:numPr>
          <w:ilvl w:val="0"/>
          <w:numId w:val="4"/>
        </w:numPr>
        <w:tabs>
          <w:tab w:val="left" w:pos="567"/>
          <w:tab w:val="num" w:pos="1569"/>
          <w:tab w:val="num" w:pos="12305"/>
        </w:tabs>
        <w:spacing w:line="240" w:lineRule="auto"/>
        <w:ind w:left="0" w:firstLine="0"/>
      </w:pPr>
      <w:r w:rsidRPr="009E5CA3">
        <w:t>El Tribunal advierte con carácter preliminar que, si bien la Comisión y los representantes señalaron que el plazo entre la detención de los señores</w:t>
      </w:r>
      <w:r w:rsidR="00AE2262" w:rsidRPr="009E5CA3">
        <w:t xml:space="preserve"> </w:t>
      </w:r>
      <w:proofErr w:type="spellStart"/>
      <w:r w:rsidR="00AE2262" w:rsidRPr="009E5CA3">
        <w:t>Bissoon</w:t>
      </w:r>
      <w:proofErr w:type="spellEnd"/>
      <w:r w:rsidR="00AE2262" w:rsidRPr="009E5CA3">
        <w:t xml:space="preserve"> y </w:t>
      </w:r>
      <w:proofErr w:type="spellStart"/>
      <w:r w:rsidR="00AE2262" w:rsidRPr="009E5CA3">
        <w:t>Serrette</w:t>
      </w:r>
      <w:proofErr w:type="spellEnd"/>
      <w:r w:rsidR="003C4D9C" w:rsidRPr="009E5CA3">
        <w:t xml:space="preserve"> </w:t>
      </w:r>
      <w:r w:rsidRPr="009E5CA3">
        <w:t xml:space="preserve">y su condena violó los artículos 7.5 y 8.1 de la Convención Americana, dicho alegato debe analizarse en el presente caso al amparo del artículo 7.5, toda vez que versa específicamente sobre la razonabilidad de la </w:t>
      </w:r>
      <w:r w:rsidRPr="009E5CA3">
        <w:rPr>
          <w:rFonts w:cs="Times"/>
        </w:rPr>
        <w:t>detención</w:t>
      </w:r>
      <w:r w:rsidRPr="009E5CA3">
        <w:t xml:space="preserve"> preventiva</w:t>
      </w:r>
      <w:r w:rsidRPr="009E5CA3">
        <w:rPr>
          <w:rStyle w:val="Refdenotaalpie"/>
        </w:rPr>
        <w:footnoteReference w:id="29"/>
      </w:r>
      <w:r w:rsidRPr="009E5CA3">
        <w:t>. Sentado lo anterior, la Corte reitera que la prisión preventiva es la medida más severa que se le puede aplicar al imputado de un delito, motivo por el cual su aplicación debe tener un carácter excepcional, en virtud de que se encuentra limitada por el derecho a la presunción de inocencia, así como por los principios de necesidad y proporcionalidad, indispensables en una sociedad democrática</w:t>
      </w:r>
      <w:r w:rsidRPr="009E5CA3">
        <w:rPr>
          <w:rStyle w:val="Refdenotaalpie"/>
          <w:rFonts w:eastAsia="MS Mincho"/>
        </w:rPr>
        <w:footnoteReference w:id="30"/>
      </w:r>
      <w:r w:rsidRPr="009E5CA3">
        <w:t xml:space="preserve">. Al respecto, este Tribunal recuerda que la prisión preventiva debe ceñirse estrictamente a lo dispuesto en el artículo 7.5 de la Convención Americana, en el sentido de que no puede durar más allá de un plazo razonable, ni más allá de la persistencia de la causal que se invocó para justificarla. No cumplir con estos requisitos equivale a anticipar una pena sin sentencia, lo cual </w:t>
      </w:r>
      <w:r w:rsidRPr="009E5CA3">
        <w:lastRenderedPageBreak/>
        <w:t>contradice principios generales del derecho universalmente reconocidos</w:t>
      </w:r>
      <w:r w:rsidRPr="009E5CA3">
        <w:rPr>
          <w:rStyle w:val="Refdenotaalpie"/>
          <w:rFonts w:eastAsia="MS Mincho"/>
        </w:rPr>
        <w:footnoteReference w:id="31"/>
      </w:r>
      <w:r w:rsidRPr="009E5CA3">
        <w:t>. Es decir, aun cuando medien razones para mantener a una persona en prisión preventiva, el artículo 7.5 garantiza que aquélla sea liberada si el per</w:t>
      </w:r>
      <w:r w:rsidR="00772F78">
        <w:t>í</w:t>
      </w:r>
      <w:r w:rsidRPr="009E5CA3">
        <w:t>odo de la detención ha excedido el límite de lo razonable</w:t>
      </w:r>
      <w:r w:rsidRPr="009E5CA3">
        <w:rPr>
          <w:rStyle w:val="Refdenotaalpie"/>
          <w:rFonts w:eastAsia="MS Mincho"/>
        </w:rPr>
        <w:footnoteReference w:id="32"/>
      </w:r>
      <w:r w:rsidRPr="009E5CA3">
        <w:rPr>
          <w:rStyle w:val="markedcontent"/>
          <w:rFonts w:eastAsia="MS Mincho"/>
        </w:rPr>
        <w:t>. En otras palabras, si una persona permanece privada preventivamente de su libertad y las actuaciones no transcurren en un tiempo razonable, se vulnera el artículo 7.5 de la Convención.</w:t>
      </w:r>
    </w:p>
    <w:p w14:paraId="23A21495" w14:textId="77777777" w:rsidR="00D8537E" w:rsidRPr="009E5CA3" w:rsidRDefault="00D8537E" w:rsidP="00D8537E">
      <w:pPr>
        <w:tabs>
          <w:tab w:val="left" w:pos="567"/>
        </w:tabs>
        <w:spacing w:line="240" w:lineRule="auto"/>
        <w:rPr>
          <w:lang w:val="es-ES"/>
        </w:rPr>
      </w:pPr>
    </w:p>
    <w:p w14:paraId="62AD9DA3" w14:textId="0AC5ACB8" w:rsidR="002E1F94" w:rsidRPr="009E5CA3" w:rsidRDefault="002E1F94" w:rsidP="002E1F94">
      <w:pPr>
        <w:numPr>
          <w:ilvl w:val="0"/>
          <w:numId w:val="4"/>
        </w:numPr>
        <w:tabs>
          <w:tab w:val="left" w:pos="567"/>
          <w:tab w:val="num" w:pos="1569"/>
          <w:tab w:val="num" w:pos="12305"/>
        </w:tabs>
        <w:spacing w:line="240" w:lineRule="auto"/>
        <w:ind w:left="0" w:firstLine="0"/>
        <w:rPr>
          <w:lang w:val="es-ES"/>
        </w:rPr>
      </w:pPr>
      <w:r w:rsidRPr="009E5CA3">
        <w:rPr>
          <w:lang w:val="es-ES"/>
        </w:rPr>
        <w:t xml:space="preserve">El Tribunal también advierte que un factor que debe incidir en la necesidad de que la persona acusada sea juzgada en un plazo razonable es el hecho de </w:t>
      </w:r>
      <w:r w:rsidR="009032D9" w:rsidRPr="009E5CA3">
        <w:rPr>
          <w:lang w:val="es-ES"/>
        </w:rPr>
        <w:t xml:space="preserve">que </w:t>
      </w:r>
      <w:r w:rsidRPr="009E5CA3">
        <w:rPr>
          <w:lang w:val="es-ES"/>
        </w:rPr>
        <w:t>la persona est</w:t>
      </w:r>
      <w:r w:rsidR="009032D9" w:rsidRPr="009E5CA3">
        <w:rPr>
          <w:lang w:val="es-ES"/>
        </w:rPr>
        <w:t>é</w:t>
      </w:r>
      <w:r w:rsidRPr="009E5CA3">
        <w:rPr>
          <w:lang w:val="es-ES"/>
        </w:rPr>
        <w:t xml:space="preserve"> en </w:t>
      </w:r>
      <w:r w:rsidR="005E1B23" w:rsidRPr="009E5CA3">
        <w:rPr>
          <w:lang w:val="es-ES"/>
        </w:rPr>
        <w:t>prisión preventiva</w:t>
      </w:r>
      <w:r w:rsidRPr="009E5CA3">
        <w:rPr>
          <w:rStyle w:val="Refdenotaalpie"/>
          <w:lang w:val="es-ES"/>
        </w:rPr>
        <w:footnoteReference w:id="33"/>
      </w:r>
      <w:r w:rsidRPr="009E5CA3">
        <w:rPr>
          <w:lang w:val="es-ES"/>
        </w:rPr>
        <w:t xml:space="preserve">, toda vez que </w:t>
      </w:r>
      <w:r w:rsidR="00267B0D" w:rsidRPr="009E5CA3">
        <w:rPr>
          <w:lang w:val="es-ES"/>
        </w:rPr>
        <w:t xml:space="preserve">en tal circunstancia </w:t>
      </w:r>
      <w:r w:rsidRPr="009E5CA3">
        <w:rPr>
          <w:lang w:val="es-ES"/>
        </w:rPr>
        <w:t xml:space="preserve">el derecho a la libertad personal se encuentra </w:t>
      </w:r>
      <w:r w:rsidR="00995047" w:rsidRPr="009E5CA3">
        <w:rPr>
          <w:lang w:val="es-ES"/>
        </w:rPr>
        <w:t>severamente restringido</w:t>
      </w:r>
      <w:r w:rsidRPr="009E5CA3">
        <w:rPr>
          <w:lang w:val="es-ES"/>
        </w:rPr>
        <w:t xml:space="preserve"> y, por tanto, la celeridad del procedimiento resulta primordial</w:t>
      </w:r>
      <w:r w:rsidRPr="009E5CA3">
        <w:rPr>
          <w:rStyle w:val="Refdenotaalpie"/>
          <w:lang w:val="es-ES"/>
        </w:rPr>
        <w:footnoteReference w:id="34"/>
      </w:r>
      <w:r w:rsidRPr="009E5CA3">
        <w:rPr>
          <w:lang w:val="es-ES"/>
        </w:rPr>
        <w:t>.</w:t>
      </w:r>
      <w:r w:rsidRPr="009E5CA3">
        <w:rPr>
          <w:rFonts w:cs="Arial"/>
        </w:rPr>
        <w:t xml:space="preserve"> Al respecto, el Tribunal recuerda que el derecho a la libertad personal “trae consigo, a su vez, una obligación judicial de tramitar con mayor diligencia y prontitud los procesos penales en los que el imputado se encuentre privado de libertad”</w:t>
      </w:r>
      <w:r w:rsidRPr="009E5CA3">
        <w:rPr>
          <w:rStyle w:val="Refdenotaalpie"/>
          <w:rFonts w:cs="Arial"/>
        </w:rPr>
        <w:footnoteReference w:id="35"/>
      </w:r>
      <w:r w:rsidRPr="009E5CA3">
        <w:rPr>
          <w:rFonts w:cs="Arial"/>
        </w:rPr>
        <w:t xml:space="preserve">. </w:t>
      </w:r>
      <w:r w:rsidR="00EC3451" w:rsidRPr="003E142D">
        <w:rPr>
          <w:rFonts w:cs="Arial"/>
        </w:rPr>
        <w:t>Así, c</w:t>
      </w:r>
      <w:r w:rsidR="00EC3451" w:rsidRPr="003E142D">
        <w:t>uando el plazo de la prisión preventiva sobrepasa lo razonable, el Estado podrá limitar la libertad del imputado con otras medidas menos lesivas que aseguren su comparecencia al juicio, distintas de la privación de libertad</w:t>
      </w:r>
      <w:r w:rsidR="00EC3451" w:rsidRPr="003E142D">
        <w:rPr>
          <w:rStyle w:val="Refdenotaalpie"/>
        </w:rPr>
        <w:footnoteReference w:id="36"/>
      </w:r>
      <w:r w:rsidR="00EC3451" w:rsidRPr="003E142D">
        <w:t>.</w:t>
      </w:r>
    </w:p>
    <w:p w14:paraId="39855440" w14:textId="77777777" w:rsidR="002E1F94" w:rsidRPr="009E5CA3" w:rsidRDefault="002E1F94" w:rsidP="00862269">
      <w:pPr>
        <w:tabs>
          <w:tab w:val="left" w:pos="567"/>
        </w:tabs>
        <w:spacing w:line="240" w:lineRule="auto"/>
        <w:rPr>
          <w:rFonts w:cs="Arial"/>
        </w:rPr>
      </w:pPr>
    </w:p>
    <w:p w14:paraId="18853970" w14:textId="77777777" w:rsidR="00EC3451" w:rsidRPr="008572F3" w:rsidRDefault="00EC3451" w:rsidP="00EC3451">
      <w:pPr>
        <w:numPr>
          <w:ilvl w:val="0"/>
          <w:numId w:val="4"/>
        </w:numPr>
        <w:tabs>
          <w:tab w:val="left" w:pos="567"/>
          <w:tab w:val="num" w:pos="1569"/>
          <w:tab w:val="num" w:pos="12305"/>
        </w:tabs>
        <w:spacing w:line="240" w:lineRule="auto"/>
        <w:ind w:left="0" w:firstLine="0"/>
        <w:rPr>
          <w:rFonts w:eastAsia="MS Mincho" w:cs="Arial"/>
          <w:lang w:val="es-ES"/>
        </w:rPr>
      </w:pPr>
      <w:r w:rsidRPr="008572F3">
        <w:rPr>
          <w:lang w:val="es-ES"/>
        </w:rPr>
        <w:t>Asimismo, el período que permanece una persona en detención preventiva no puede analizarse en abstracto, sino que su razonabilidad deberá determinarse una vez se analizan los hechos de manera individual y las características específicas de cada situación y, entre otros,</w:t>
      </w:r>
      <w:r>
        <w:rPr>
          <w:lang w:val="es-ES"/>
        </w:rPr>
        <w:t xml:space="preserve"> </w:t>
      </w:r>
      <w:r w:rsidRPr="003E142D">
        <w:rPr>
          <w:lang w:val="es-ES"/>
        </w:rPr>
        <w:t>si hubiere un plazo fijado en la ley interna,</w:t>
      </w:r>
      <w:r w:rsidRPr="008B3260">
        <w:rPr>
          <w:lang w:val="es-ES"/>
        </w:rPr>
        <w:t xml:space="preserve"> </w:t>
      </w:r>
      <w:r w:rsidRPr="008572F3">
        <w:rPr>
          <w:lang w:val="es-ES"/>
        </w:rPr>
        <w:t>la duración de la prisión preventiva, el delito o delitos que se imputan y las propias especificidades y circunstancias acaecidas en el proceso penal</w:t>
      </w:r>
      <w:r w:rsidRPr="003E142D">
        <w:rPr>
          <w:rStyle w:val="Refdenotaalpie"/>
          <w:lang w:val="es-ES"/>
        </w:rPr>
        <w:footnoteReference w:id="37"/>
      </w:r>
      <w:r w:rsidRPr="008572F3">
        <w:rPr>
          <w:lang w:val="es-ES"/>
        </w:rPr>
        <w:t xml:space="preserve">. </w:t>
      </w:r>
    </w:p>
    <w:p w14:paraId="0B73E7BF" w14:textId="77777777" w:rsidR="002E1F94" w:rsidRPr="009E5CA3" w:rsidRDefault="002E1F94" w:rsidP="002E1F94">
      <w:pPr>
        <w:tabs>
          <w:tab w:val="left" w:pos="567"/>
        </w:tabs>
        <w:spacing w:line="240" w:lineRule="auto"/>
        <w:rPr>
          <w:lang w:val="es-ES"/>
        </w:rPr>
      </w:pPr>
    </w:p>
    <w:p w14:paraId="771354F6" w14:textId="7DA542C1" w:rsidR="00D8537E" w:rsidRDefault="007D683C" w:rsidP="00620F30">
      <w:pPr>
        <w:numPr>
          <w:ilvl w:val="0"/>
          <w:numId w:val="4"/>
        </w:numPr>
        <w:tabs>
          <w:tab w:val="left" w:pos="567"/>
          <w:tab w:val="num" w:pos="1569"/>
          <w:tab w:val="num" w:pos="12305"/>
        </w:tabs>
        <w:spacing w:line="240" w:lineRule="auto"/>
        <w:ind w:left="0" w:firstLine="0"/>
        <w:rPr>
          <w:lang w:val="es-ES"/>
        </w:rPr>
      </w:pPr>
      <w:r w:rsidRPr="002C75D0">
        <w:rPr>
          <w:lang w:val="es-ES"/>
        </w:rPr>
        <w:t xml:space="preserve">Sentado lo anterior, el Tribunal observa que la detención preventiva </w:t>
      </w:r>
      <w:r w:rsidR="001F4A7C" w:rsidRPr="002C75D0">
        <w:rPr>
          <w:lang w:val="es-ES"/>
        </w:rPr>
        <w:t xml:space="preserve">del señor </w:t>
      </w:r>
      <w:proofErr w:type="spellStart"/>
      <w:r w:rsidR="001F4A7C" w:rsidRPr="002C75D0">
        <w:rPr>
          <w:i/>
          <w:iCs/>
          <w:lang w:val="es-ES"/>
        </w:rPr>
        <w:t>Bissoon</w:t>
      </w:r>
      <w:proofErr w:type="spellEnd"/>
      <w:r w:rsidRPr="002C75D0">
        <w:rPr>
          <w:lang w:val="es-ES"/>
        </w:rPr>
        <w:t xml:space="preserve"> inició el </w:t>
      </w:r>
      <w:r w:rsidR="001F4A7C" w:rsidRPr="002C75D0">
        <w:rPr>
          <w:lang w:val="es-ES"/>
        </w:rPr>
        <w:t>1</w:t>
      </w:r>
      <w:r w:rsidRPr="002C75D0">
        <w:rPr>
          <w:lang w:val="es-ES"/>
        </w:rPr>
        <w:t xml:space="preserve"> de </w:t>
      </w:r>
      <w:r w:rsidR="001F4A7C" w:rsidRPr="002C75D0">
        <w:rPr>
          <w:lang w:val="es-ES"/>
        </w:rPr>
        <w:t xml:space="preserve">diciembre </w:t>
      </w:r>
      <w:r w:rsidRPr="002C75D0">
        <w:rPr>
          <w:lang w:val="es-ES"/>
        </w:rPr>
        <w:t xml:space="preserve">de 1995, día que </w:t>
      </w:r>
      <w:r w:rsidR="001F4A7C" w:rsidRPr="002C75D0">
        <w:rPr>
          <w:lang w:val="es-ES"/>
        </w:rPr>
        <w:t>fue detenido</w:t>
      </w:r>
      <w:r w:rsidR="00BC3E15" w:rsidRPr="009E5CA3">
        <w:rPr>
          <w:rStyle w:val="Refdenotaalpie"/>
          <w:lang w:val="es-ES"/>
        </w:rPr>
        <w:footnoteReference w:id="38"/>
      </w:r>
      <w:r w:rsidR="00BC3E15" w:rsidRPr="002C75D0">
        <w:rPr>
          <w:lang w:val="es-ES"/>
        </w:rPr>
        <w:t>, y</w:t>
      </w:r>
      <w:r w:rsidRPr="002C75D0">
        <w:rPr>
          <w:lang w:val="es-ES"/>
        </w:rPr>
        <w:t xml:space="preserve"> finalizó el </w:t>
      </w:r>
      <w:r w:rsidR="001F4A7C" w:rsidRPr="002C75D0">
        <w:rPr>
          <w:lang w:val="es-ES"/>
        </w:rPr>
        <w:t>29 de octubre</w:t>
      </w:r>
      <w:r w:rsidRPr="002C75D0">
        <w:rPr>
          <w:lang w:val="es-ES"/>
        </w:rPr>
        <w:t xml:space="preserve"> de 1</w:t>
      </w:r>
      <w:r w:rsidR="001F4A7C" w:rsidRPr="002C75D0">
        <w:rPr>
          <w:lang w:val="es-ES"/>
        </w:rPr>
        <w:t>999</w:t>
      </w:r>
      <w:r w:rsidRPr="002C75D0">
        <w:rPr>
          <w:lang w:val="es-ES"/>
        </w:rPr>
        <w:t>, día que se emitió el veredicto y la condena</w:t>
      </w:r>
      <w:r w:rsidR="00BC3E15" w:rsidRPr="009E5CA3">
        <w:rPr>
          <w:rStyle w:val="Refdenotaalpie"/>
          <w:lang w:val="es-ES"/>
        </w:rPr>
        <w:footnoteReference w:id="39"/>
      </w:r>
      <w:r w:rsidR="00A95617" w:rsidRPr="002C75D0">
        <w:rPr>
          <w:lang w:val="es-ES"/>
        </w:rPr>
        <w:t xml:space="preserve">. No obstante, en consideración al marco temporal que ejerce competencia este Tribunal, la Corte analizará el tiempo que estuvo el señor </w:t>
      </w:r>
      <w:proofErr w:type="spellStart"/>
      <w:r w:rsidR="00A95617" w:rsidRPr="002C75D0">
        <w:rPr>
          <w:lang w:val="es-ES"/>
        </w:rPr>
        <w:t>Bissoon</w:t>
      </w:r>
      <w:proofErr w:type="spellEnd"/>
      <w:r w:rsidR="00A95617" w:rsidRPr="002C75D0">
        <w:rPr>
          <w:lang w:val="es-ES"/>
        </w:rPr>
        <w:t xml:space="preserve"> en prisión preventiva desde el día de su detención hasta el día que entró en vigor la denuncia de la Convención Americana por </w:t>
      </w:r>
      <w:r w:rsidR="00A95617" w:rsidRPr="002C75D0">
        <w:rPr>
          <w:lang w:val="es-ES"/>
        </w:rPr>
        <w:lastRenderedPageBreak/>
        <w:t>parte de Trinidad y Tobago</w:t>
      </w:r>
      <w:r w:rsidR="00790434" w:rsidRPr="002C75D0">
        <w:rPr>
          <w:lang w:val="es-ES"/>
        </w:rPr>
        <w:t xml:space="preserve"> (26 de mayo de 1999)</w:t>
      </w:r>
      <w:r w:rsidR="00A95617" w:rsidRPr="002C75D0">
        <w:rPr>
          <w:lang w:val="es-ES"/>
        </w:rPr>
        <w:t xml:space="preserve">. Dicho plazo tuvo una duración de más de 41 meses. </w:t>
      </w:r>
    </w:p>
    <w:p w14:paraId="157DE9B7" w14:textId="77777777" w:rsidR="002C75D0" w:rsidRDefault="002C75D0" w:rsidP="00862269">
      <w:pPr>
        <w:tabs>
          <w:tab w:val="left" w:pos="567"/>
        </w:tabs>
        <w:spacing w:line="240" w:lineRule="auto"/>
        <w:rPr>
          <w:lang w:val="es-ES"/>
        </w:rPr>
      </w:pPr>
    </w:p>
    <w:p w14:paraId="5A70B5EF" w14:textId="5FDD68D5" w:rsidR="007D683C" w:rsidRPr="00A81380" w:rsidRDefault="00B1352B" w:rsidP="00C85EEB">
      <w:pPr>
        <w:numPr>
          <w:ilvl w:val="0"/>
          <w:numId w:val="4"/>
        </w:numPr>
        <w:tabs>
          <w:tab w:val="left" w:pos="567"/>
          <w:tab w:val="num" w:pos="1569"/>
          <w:tab w:val="num" w:pos="12305"/>
        </w:tabs>
        <w:spacing w:line="240" w:lineRule="auto"/>
        <w:ind w:left="0" w:firstLine="0"/>
        <w:rPr>
          <w:rFonts w:eastAsia="MS Mincho" w:cs="Arial"/>
          <w:lang w:val="es-ES"/>
        </w:rPr>
      </w:pPr>
      <w:r>
        <w:rPr>
          <w:lang w:val="es-ES"/>
        </w:rPr>
        <w:t>La Corte</w:t>
      </w:r>
      <w:r w:rsidR="00D8537E" w:rsidRPr="00A81380">
        <w:rPr>
          <w:lang w:val="es-ES"/>
        </w:rPr>
        <w:t xml:space="preserve"> observa que el caso del señor </w:t>
      </w:r>
      <w:proofErr w:type="spellStart"/>
      <w:r w:rsidR="00D8537E" w:rsidRPr="00A81380">
        <w:rPr>
          <w:lang w:val="es-ES"/>
        </w:rPr>
        <w:t>Bissoon</w:t>
      </w:r>
      <w:proofErr w:type="spellEnd"/>
      <w:r w:rsidR="00D8537E" w:rsidRPr="00A81380">
        <w:rPr>
          <w:lang w:val="es-ES"/>
        </w:rPr>
        <w:t xml:space="preserve"> presenta ciertas similitudes con el caso </w:t>
      </w:r>
      <w:r w:rsidR="00D8537E" w:rsidRPr="00A81380">
        <w:rPr>
          <w:i/>
          <w:iCs/>
          <w:lang w:val="es-ES"/>
        </w:rPr>
        <w:t>Hilaire, Constantine y Benjamin y otros Vs. Trinidad y Tobago</w:t>
      </w:r>
      <w:r w:rsidR="00D8537E" w:rsidRPr="00A81380">
        <w:rPr>
          <w:lang w:val="es-ES"/>
        </w:rPr>
        <w:t xml:space="preserve"> donde se declaró</w:t>
      </w:r>
      <w:r w:rsidR="00D8537E" w:rsidRPr="00A81380">
        <w:rPr>
          <w:i/>
          <w:iCs/>
          <w:lang w:val="es-ES"/>
        </w:rPr>
        <w:t xml:space="preserve">, </w:t>
      </w:r>
      <w:r w:rsidRPr="00862269">
        <w:rPr>
          <w:lang w:val="es-ES"/>
        </w:rPr>
        <w:t>entre otros</w:t>
      </w:r>
      <w:r w:rsidR="00D8537E" w:rsidRPr="00B1352B">
        <w:rPr>
          <w:lang w:val="es-ES"/>
        </w:rPr>
        <w:t>,</w:t>
      </w:r>
      <w:r w:rsidR="00D8537E" w:rsidRPr="00A81380">
        <w:rPr>
          <w:lang w:val="es-ES"/>
        </w:rPr>
        <w:t xml:space="preserve"> la violación del artículo 7.5</w:t>
      </w:r>
      <w:r>
        <w:rPr>
          <w:lang w:val="es-ES"/>
        </w:rPr>
        <w:t xml:space="preserve"> de la Convención</w:t>
      </w:r>
      <w:r w:rsidR="00D8537E" w:rsidRPr="00A81380">
        <w:rPr>
          <w:lang w:val="es-ES"/>
        </w:rPr>
        <w:t>, por cuanto en aquel el per</w:t>
      </w:r>
      <w:r>
        <w:rPr>
          <w:lang w:val="es-ES"/>
        </w:rPr>
        <w:t>í</w:t>
      </w:r>
      <w:r w:rsidR="00D8537E" w:rsidRPr="00A81380">
        <w:rPr>
          <w:lang w:val="es-ES"/>
        </w:rPr>
        <w:t>odo entre la detención y la fecha de condena de las 24 víctimas osciló entre los 32 meses y los 8 años</w:t>
      </w:r>
      <w:r w:rsidR="00D8537E" w:rsidRPr="00A81380">
        <w:rPr>
          <w:rStyle w:val="Refdenotaalpie"/>
          <w:lang w:val="es-ES"/>
        </w:rPr>
        <w:footnoteReference w:id="40"/>
      </w:r>
      <w:r w:rsidR="00D8537E" w:rsidRPr="00A81380">
        <w:rPr>
          <w:lang w:val="es-ES"/>
        </w:rPr>
        <w:t>. Adicionalmente</w:t>
      </w:r>
      <w:r w:rsidR="002E1F94" w:rsidRPr="00A81380">
        <w:rPr>
          <w:lang w:val="es-ES"/>
        </w:rPr>
        <w:t xml:space="preserve">, el Tribunal advierte que el Estado, al decidir voluntariamente no participar en el procedimiento, no ha desplegado argumentos ni prueba que acredite (i) una conducta especialmente diligente, así como (ii) la razón o razones por las cuales se habría requerido </w:t>
      </w:r>
      <w:r w:rsidR="002C75D0">
        <w:rPr>
          <w:lang w:val="es-ES"/>
        </w:rPr>
        <w:t>más de tres</w:t>
      </w:r>
      <w:r w:rsidR="002E1F94" w:rsidRPr="00A81380">
        <w:rPr>
          <w:lang w:val="es-ES"/>
        </w:rPr>
        <w:t xml:space="preserve"> años para dictar sentencia en el presente caso</w:t>
      </w:r>
      <w:r w:rsidR="002E1F94" w:rsidRPr="00A81380">
        <w:rPr>
          <w:rStyle w:val="Refdenotaalpie"/>
          <w:lang w:val="es-ES"/>
        </w:rPr>
        <w:footnoteReference w:id="41"/>
      </w:r>
      <w:r w:rsidR="002E1F94" w:rsidRPr="00A81380">
        <w:rPr>
          <w:lang w:val="es-ES"/>
        </w:rPr>
        <w:t>. En efecto, todo per</w:t>
      </w:r>
      <w:r>
        <w:rPr>
          <w:lang w:val="es-ES"/>
        </w:rPr>
        <w:t>í</w:t>
      </w:r>
      <w:r w:rsidR="002E1F94" w:rsidRPr="00A81380">
        <w:rPr>
          <w:lang w:val="es-ES"/>
        </w:rPr>
        <w:t>odo de detención, independientemente de su duración, debe ser suficientemente justificado por el Estado, cuestión que no ha sucedido en el presente caso. Aunado a lo anterior, el Tribunal nota que</w:t>
      </w:r>
      <w:r w:rsidR="00D24DB4" w:rsidRPr="00A81380">
        <w:rPr>
          <w:lang w:val="es-ES"/>
        </w:rPr>
        <w:t xml:space="preserve"> </w:t>
      </w:r>
      <w:r w:rsidR="00D107E8" w:rsidRPr="00A81380">
        <w:rPr>
          <w:lang w:val="es-ES"/>
        </w:rPr>
        <w:t>el</w:t>
      </w:r>
      <w:r w:rsidR="002E1F94" w:rsidRPr="00A81380">
        <w:rPr>
          <w:lang w:val="es-ES"/>
        </w:rPr>
        <w:t xml:space="preserve"> procedimiento interno</w:t>
      </w:r>
      <w:r w:rsidR="00D24DB4" w:rsidRPr="00A81380">
        <w:rPr>
          <w:lang w:val="es-ES"/>
        </w:rPr>
        <w:t xml:space="preserve"> </w:t>
      </w:r>
      <w:r w:rsidR="002E1F94" w:rsidRPr="00A81380">
        <w:rPr>
          <w:lang w:val="es-ES"/>
        </w:rPr>
        <w:t>a</w:t>
      </w:r>
      <w:r w:rsidR="00D107E8" w:rsidRPr="00A81380">
        <w:rPr>
          <w:lang w:val="es-ES"/>
        </w:rPr>
        <w:t>l</w:t>
      </w:r>
      <w:r w:rsidR="00D24DB4" w:rsidRPr="00A81380">
        <w:rPr>
          <w:lang w:val="es-ES"/>
        </w:rPr>
        <w:t xml:space="preserve"> </w:t>
      </w:r>
      <w:r w:rsidR="002E1F94" w:rsidRPr="00A81380">
        <w:rPr>
          <w:lang w:val="es-ES"/>
        </w:rPr>
        <w:t>que fu</w:t>
      </w:r>
      <w:r w:rsidR="009B467B" w:rsidRPr="00A81380">
        <w:rPr>
          <w:lang w:val="es-ES"/>
        </w:rPr>
        <w:t>e</w:t>
      </w:r>
      <w:r w:rsidR="002E1F94" w:rsidRPr="00A81380">
        <w:rPr>
          <w:lang w:val="es-ES"/>
        </w:rPr>
        <w:t xml:space="preserve"> sometido el señor</w:t>
      </w:r>
      <w:r w:rsidR="00E731D6" w:rsidRPr="00A81380">
        <w:rPr>
          <w:lang w:val="es-ES"/>
        </w:rPr>
        <w:t xml:space="preserve"> </w:t>
      </w:r>
      <w:proofErr w:type="spellStart"/>
      <w:r w:rsidR="00E731D6" w:rsidRPr="00A81380">
        <w:t>Bissoon</w:t>
      </w:r>
      <w:proofErr w:type="spellEnd"/>
      <w:r w:rsidR="00D107E8" w:rsidRPr="00A81380">
        <w:t xml:space="preserve"> </w:t>
      </w:r>
      <w:r w:rsidR="007D683C" w:rsidRPr="00A81380">
        <w:rPr>
          <w:lang w:val="es-ES"/>
        </w:rPr>
        <w:t>no contenía elementos de gran complejidad, ni por las personas involucradas</w:t>
      </w:r>
      <w:r w:rsidR="00D8537E" w:rsidRPr="00A81380">
        <w:rPr>
          <w:lang w:val="es-ES"/>
        </w:rPr>
        <w:t xml:space="preserve">, </w:t>
      </w:r>
      <w:r w:rsidR="007D683C" w:rsidRPr="00A81380">
        <w:rPr>
          <w:lang w:val="es-ES"/>
        </w:rPr>
        <w:t xml:space="preserve">ni por la complejidad del delito, ni por la producción y análisis de prueba. </w:t>
      </w:r>
    </w:p>
    <w:p w14:paraId="2A0DEB75" w14:textId="77777777" w:rsidR="009351FD" w:rsidRPr="009E5CA3" w:rsidRDefault="009351FD" w:rsidP="009351FD">
      <w:pPr>
        <w:tabs>
          <w:tab w:val="left" w:pos="567"/>
        </w:tabs>
        <w:spacing w:line="240" w:lineRule="auto"/>
      </w:pPr>
    </w:p>
    <w:p w14:paraId="658B6B13" w14:textId="608C672A" w:rsidR="007D683C" w:rsidRPr="009E5CA3" w:rsidRDefault="007D683C" w:rsidP="007D683C">
      <w:pPr>
        <w:numPr>
          <w:ilvl w:val="0"/>
          <w:numId w:val="4"/>
        </w:numPr>
        <w:tabs>
          <w:tab w:val="left" w:pos="567"/>
          <w:tab w:val="num" w:pos="1569"/>
          <w:tab w:val="num" w:pos="12305"/>
        </w:tabs>
        <w:spacing w:line="240" w:lineRule="auto"/>
        <w:ind w:left="0" w:firstLine="0"/>
        <w:rPr>
          <w:rStyle w:val="markedcontent"/>
        </w:rPr>
      </w:pPr>
      <w:r w:rsidRPr="009E5CA3">
        <w:rPr>
          <w:lang w:val="es-ES"/>
        </w:rPr>
        <w:t>En suma</w:t>
      </w:r>
      <w:r w:rsidRPr="009E5CA3">
        <w:rPr>
          <w:rStyle w:val="markedcontent"/>
          <w:rFonts w:eastAsia="MS Mincho"/>
        </w:rPr>
        <w:t>, la Corte considera que, en el presente caso, el per</w:t>
      </w:r>
      <w:r w:rsidR="00B1352B">
        <w:rPr>
          <w:rStyle w:val="markedcontent"/>
          <w:rFonts w:eastAsia="MS Mincho"/>
        </w:rPr>
        <w:t>í</w:t>
      </w:r>
      <w:r w:rsidRPr="009E5CA3">
        <w:rPr>
          <w:rStyle w:val="markedcontent"/>
          <w:rFonts w:eastAsia="MS Mincho"/>
        </w:rPr>
        <w:t xml:space="preserve">odo </w:t>
      </w:r>
      <w:r w:rsidR="00790434" w:rsidRPr="009E5CA3">
        <w:rPr>
          <w:rStyle w:val="markedcontent"/>
          <w:rFonts w:eastAsia="MS Mincho"/>
        </w:rPr>
        <w:t>de</w:t>
      </w:r>
      <w:r w:rsidRPr="009E5CA3">
        <w:rPr>
          <w:rStyle w:val="markedcontent"/>
          <w:rFonts w:eastAsia="MS Mincho"/>
        </w:rPr>
        <w:t xml:space="preserve"> </w:t>
      </w:r>
      <w:r w:rsidR="00881BBF" w:rsidRPr="009E5CA3">
        <w:rPr>
          <w:rStyle w:val="markedcontent"/>
          <w:rFonts w:eastAsia="MS Mincho"/>
        </w:rPr>
        <w:t>41</w:t>
      </w:r>
      <w:r w:rsidRPr="009E5CA3">
        <w:rPr>
          <w:rStyle w:val="markedcontent"/>
          <w:rFonts w:eastAsia="MS Mincho"/>
        </w:rPr>
        <w:t xml:space="preserve"> meses en que </w:t>
      </w:r>
      <w:r w:rsidR="0073596B" w:rsidRPr="009E5CA3">
        <w:rPr>
          <w:rStyle w:val="markedcontent"/>
          <w:rFonts w:eastAsia="MS Mincho"/>
        </w:rPr>
        <w:t xml:space="preserve">el señor </w:t>
      </w:r>
      <w:proofErr w:type="spellStart"/>
      <w:r w:rsidR="0073596B" w:rsidRPr="009E5CA3">
        <w:rPr>
          <w:rStyle w:val="markedcontent"/>
          <w:rFonts w:eastAsia="MS Mincho"/>
        </w:rPr>
        <w:t>Bissoon</w:t>
      </w:r>
      <w:proofErr w:type="spellEnd"/>
      <w:r w:rsidR="0073596B" w:rsidRPr="009E5CA3">
        <w:rPr>
          <w:rStyle w:val="markedcontent"/>
          <w:rFonts w:eastAsia="MS Mincho"/>
        </w:rPr>
        <w:t xml:space="preserve"> estuvo</w:t>
      </w:r>
      <w:r w:rsidR="003623A8">
        <w:rPr>
          <w:rStyle w:val="markedcontent"/>
          <w:rFonts w:eastAsia="MS Mincho"/>
        </w:rPr>
        <w:t xml:space="preserve"> </w:t>
      </w:r>
      <w:r w:rsidRPr="009E5CA3">
        <w:rPr>
          <w:rStyle w:val="markedcontent"/>
          <w:rFonts w:eastAsia="MS Mincho"/>
        </w:rPr>
        <w:t>en prisión preventiva</w:t>
      </w:r>
      <w:r w:rsidR="0073596B" w:rsidRPr="009E5CA3">
        <w:rPr>
          <w:rStyle w:val="markedcontent"/>
          <w:rFonts w:eastAsia="MS Mincho"/>
        </w:rPr>
        <w:t xml:space="preserve"> (en el marco de la competencia </w:t>
      </w:r>
      <w:r w:rsidR="0073596B" w:rsidRPr="009E5CA3">
        <w:rPr>
          <w:rStyle w:val="markedcontent"/>
          <w:rFonts w:eastAsia="MS Mincho"/>
          <w:i/>
          <w:iCs/>
        </w:rPr>
        <w:t>ratione temporis</w:t>
      </w:r>
      <w:r w:rsidR="0073596B" w:rsidRPr="009E5CA3">
        <w:rPr>
          <w:rStyle w:val="markedcontent"/>
          <w:rFonts w:eastAsia="MS Mincho"/>
        </w:rPr>
        <w:t xml:space="preserve"> de la Corte) </w:t>
      </w:r>
      <w:r w:rsidRPr="009E5CA3">
        <w:rPr>
          <w:rStyle w:val="markedcontent"/>
          <w:rFonts w:eastAsia="MS Mincho"/>
        </w:rPr>
        <w:t>vulneró la razonabilidad del plazo que exige el artículo 7.5 de la Convención, en relación con el artículo 1.1 del mismo instrumento</w:t>
      </w:r>
      <w:r w:rsidR="00D8537E" w:rsidRPr="009E5CA3">
        <w:rPr>
          <w:rStyle w:val="markedcontent"/>
          <w:rFonts w:eastAsia="MS Mincho"/>
        </w:rPr>
        <w:t xml:space="preserve">, en perjuicio del señor </w:t>
      </w:r>
      <w:proofErr w:type="spellStart"/>
      <w:r w:rsidR="00D8537E" w:rsidRPr="009E5CA3">
        <w:rPr>
          <w:rStyle w:val="markedcontent"/>
          <w:rFonts w:eastAsia="MS Mincho"/>
        </w:rPr>
        <w:t>Bissoon</w:t>
      </w:r>
      <w:proofErr w:type="spellEnd"/>
      <w:r w:rsidRPr="009E5CA3">
        <w:rPr>
          <w:rStyle w:val="markedcontent"/>
          <w:rFonts w:eastAsia="MS Mincho"/>
        </w:rPr>
        <w:t>.</w:t>
      </w:r>
    </w:p>
    <w:p w14:paraId="7BAE67AA" w14:textId="77777777" w:rsidR="009351FD" w:rsidRPr="009E5CA3" w:rsidRDefault="009351FD" w:rsidP="009351FD">
      <w:pPr>
        <w:tabs>
          <w:tab w:val="left" w:pos="567"/>
        </w:tabs>
        <w:spacing w:line="240" w:lineRule="auto"/>
        <w:rPr>
          <w:rStyle w:val="markedcontent"/>
        </w:rPr>
      </w:pPr>
    </w:p>
    <w:p w14:paraId="384244F5" w14:textId="2E358F57" w:rsidR="003D1CC8" w:rsidRPr="00A81380" w:rsidRDefault="001F4A7C" w:rsidP="003D1CC8">
      <w:pPr>
        <w:numPr>
          <w:ilvl w:val="0"/>
          <w:numId w:val="4"/>
        </w:numPr>
        <w:tabs>
          <w:tab w:val="left" w:pos="567"/>
          <w:tab w:val="num" w:pos="1569"/>
          <w:tab w:val="num" w:pos="12305"/>
        </w:tabs>
        <w:spacing w:line="240" w:lineRule="auto"/>
        <w:ind w:left="0" w:firstLine="0"/>
        <w:rPr>
          <w:lang w:val="es-ES"/>
        </w:rPr>
      </w:pPr>
      <w:r w:rsidRPr="00A81380">
        <w:rPr>
          <w:lang w:val="es-ES"/>
        </w:rPr>
        <w:t xml:space="preserve">Con respecto al </w:t>
      </w:r>
      <w:r w:rsidR="003D1CC8" w:rsidRPr="00A81380">
        <w:rPr>
          <w:lang w:val="es-ES"/>
        </w:rPr>
        <w:t>señor</w:t>
      </w:r>
      <w:r w:rsidR="003D1CC8" w:rsidRPr="00A81380">
        <w:rPr>
          <w:i/>
          <w:iCs/>
          <w:lang w:val="es-ES"/>
        </w:rPr>
        <w:t xml:space="preserve"> </w:t>
      </w:r>
      <w:proofErr w:type="spellStart"/>
      <w:r w:rsidR="003D1CC8" w:rsidRPr="00A81380">
        <w:rPr>
          <w:i/>
          <w:iCs/>
          <w:lang w:val="es-ES"/>
        </w:rPr>
        <w:t>Serrette</w:t>
      </w:r>
      <w:proofErr w:type="spellEnd"/>
      <w:r w:rsidR="003D1CC8" w:rsidRPr="00A81380">
        <w:rPr>
          <w:lang w:val="es-ES"/>
        </w:rPr>
        <w:t xml:space="preserve">, el Tribunal observa que, si bien </w:t>
      </w:r>
      <w:r w:rsidR="00D12DEF" w:rsidRPr="00A81380">
        <w:rPr>
          <w:lang w:val="es-ES"/>
        </w:rPr>
        <w:t xml:space="preserve">la </w:t>
      </w:r>
      <w:r w:rsidR="0073596B" w:rsidRPr="00A81380">
        <w:rPr>
          <w:lang w:val="es-ES"/>
        </w:rPr>
        <w:t>presunta víctima</w:t>
      </w:r>
      <w:r w:rsidR="003D1CC8" w:rsidRPr="00A81380">
        <w:rPr>
          <w:lang w:val="es-ES"/>
        </w:rPr>
        <w:t xml:space="preserve"> fue detenid</w:t>
      </w:r>
      <w:r w:rsidR="0073596B" w:rsidRPr="00A81380">
        <w:rPr>
          <w:lang w:val="es-ES"/>
        </w:rPr>
        <w:t>a</w:t>
      </w:r>
      <w:r w:rsidR="003D1CC8" w:rsidRPr="00A81380">
        <w:rPr>
          <w:lang w:val="es-ES"/>
        </w:rPr>
        <w:t xml:space="preserve"> el 13 de octubre de 1998 (esto es, en una fecha dentro de la competencia temporal de la Corte), la denuncia de la Convención Americana por parte de Trinidad y Tobago entró en vigor el 26 de mayo de 1999 (esto es, cinco meses después de su detención), por lo que este Tribunal no cuenta con elementos suficientes para poder </w:t>
      </w:r>
      <w:r w:rsidR="00427DD7" w:rsidRPr="00A81380">
        <w:rPr>
          <w:lang w:val="es-ES"/>
        </w:rPr>
        <w:t>examinar</w:t>
      </w:r>
      <w:r w:rsidR="003D1CC8" w:rsidRPr="00A81380">
        <w:rPr>
          <w:lang w:val="es-ES"/>
        </w:rPr>
        <w:t xml:space="preserve"> la alegada violación del derecho a ser juzgado en un plazo razonable del señor </w:t>
      </w:r>
      <w:proofErr w:type="spellStart"/>
      <w:r w:rsidR="003D1CC8" w:rsidRPr="00A81380">
        <w:rPr>
          <w:lang w:val="es-ES"/>
        </w:rPr>
        <w:t>Serrette</w:t>
      </w:r>
      <w:proofErr w:type="spellEnd"/>
      <w:r w:rsidR="003D1CC8" w:rsidRPr="00A81380">
        <w:rPr>
          <w:lang w:val="es-ES"/>
        </w:rPr>
        <w:t>.</w:t>
      </w:r>
      <w:r w:rsidR="003C4D9C" w:rsidRPr="00A81380">
        <w:rPr>
          <w:lang w:val="es-ES"/>
        </w:rPr>
        <w:t xml:space="preserve"> </w:t>
      </w:r>
    </w:p>
    <w:p w14:paraId="2EBABB70" w14:textId="5433BC9E" w:rsidR="005F7534" w:rsidRPr="009E5CA3" w:rsidRDefault="00B1352B" w:rsidP="005F7534">
      <w:pPr>
        <w:pStyle w:val="Ttulo3"/>
      </w:pPr>
      <w:bookmarkStart w:id="52" w:name="_Toc120891060"/>
      <w:r>
        <w:t>B</w:t>
      </w:r>
      <w:r w:rsidR="005F7534" w:rsidRPr="009E5CA3">
        <w:t xml:space="preserve">.2 </w:t>
      </w:r>
      <w:r w:rsidR="00E05973" w:rsidRPr="009E5CA3">
        <w:t xml:space="preserve">Condiciones de detención a las que </w:t>
      </w:r>
      <w:r w:rsidR="0073596B" w:rsidRPr="009E5CA3">
        <w:t>estuvieron</w:t>
      </w:r>
      <w:r w:rsidR="00E05973" w:rsidRPr="009E5CA3">
        <w:t xml:space="preserve"> sometido</w:t>
      </w:r>
      <w:r w:rsidR="0073596B" w:rsidRPr="009E5CA3">
        <w:t>s</w:t>
      </w:r>
      <w:r w:rsidR="00E05973" w:rsidRPr="009E5CA3">
        <w:t xml:space="preserve"> </w:t>
      </w:r>
      <w:r w:rsidR="0073596B" w:rsidRPr="009E5CA3">
        <w:t xml:space="preserve">los señores </w:t>
      </w:r>
      <w:proofErr w:type="spellStart"/>
      <w:r w:rsidR="0073596B" w:rsidRPr="009E5CA3">
        <w:t>Bissoon</w:t>
      </w:r>
      <w:proofErr w:type="spellEnd"/>
      <w:r w:rsidR="0073596B" w:rsidRPr="009E5CA3">
        <w:t xml:space="preserve"> y </w:t>
      </w:r>
      <w:proofErr w:type="spellStart"/>
      <w:r w:rsidR="0073596B" w:rsidRPr="009E5CA3">
        <w:t>Se</w:t>
      </w:r>
      <w:r w:rsidR="00A81380">
        <w:t>r</w:t>
      </w:r>
      <w:r w:rsidR="0073596B" w:rsidRPr="009E5CA3">
        <w:t>rette</w:t>
      </w:r>
      <w:proofErr w:type="spellEnd"/>
      <w:r w:rsidR="0073596B" w:rsidRPr="009E5CA3">
        <w:t xml:space="preserve"> entre su detención y la entrada en vigor de la denuncia de la Convención Americana por parte de Trinidad y Tobago</w:t>
      </w:r>
      <w:bookmarkEnd w:id="52"/>
    </w:p>
    <w:p w14:paraId="1C893377" w14:textId="77777777" w:rsidR="007D683C" w:rsidRPr="009E5CA3" w:rsidRDefault="007D683C" w:rsidP="007D683C">
      <w:pPr>
        <w:numPr>
          <w:ilvl w:val="0"/>
          <w:numId w:val="4"/>
        </w:numPr>
        <w:tabs>
          <w:tab w:val="left" w:pos="567"/>
        </w:tabs>
        <w:spacing w:line="240" w:lineRule="auto"/>
        <w:ind w:left="0" w:firstLine="0"/>
        <w:rPr>
          <w:lang w:eastAsia="en-US"/>
        </w:rPr>
      </w:pPr>
      <w:bookmarkStart w:id="53" w:name="_Toc514172661"/>
      <w:bookmarkStart w:id="54" w:name="_Toc375517149"/>
      <w:bookmarkStart w:id="55" w:name="_Toc449460763"/>
      <w:bookmarkStart w:id="56" w:name="_Toc459158147"/>
      <w:bookmarkStart w:id="57" w:name="_Toc495658693"/>
      <w:bookmarkStart w:id="58" w:name="_Toc15933770"/>
      <w:bookmarkStart w:id="59" w:name="_Toc16270609"/>
      <w:bookmarkStart w:id="60" w:name="_Toc24447103"/>
      <w:bookmarkEnd w:id="51"/>
      <w:r w:rsidRPr="009E5CA3">
        <w:t xml:space="preserve">La Corte recuerda que </w:t>
      </w:r>
      <w:r w:rsidRPr="009E5CA3">
        <w:rPr>
          <w:lang w:eastAsia="en-US"/>
        </w:rPr>
        <w:t xml:space="preserve">el artículo 5.1 de la Convención consagra en términos generales el derecho a la </w:t>
      </w:r>
      <w:r w:rsidRPr="009E5CA3">
        <w:t>integridad</w:t>
      </w:r>
      <w:r w:rsidRPr="009E5CA3">
        <w:rPr>
          <w:lang w:eastAsia="en-US"/>
        </w:rPr>
        <w:t xml:space="preserve"> </w:t>
      </w:r>
      <w:r w:rsidRPr="009E5CA3">
        <w:t>personal</w:t>
      </w:r>
      <w:r w:rsidRPr="009E5CA3">
        <w:rPr>
          <w:lang w:eastAsia="en-US"/>
        </w:rPr>
        <w:t>, tanto física como psíquica y moral. Por su parte, el artículo 5.2 establece, de manera más específica, la prohibición absoluta de someter a alguien a torturas o a penas o tratos crueles, inhumanos o degradantes. Asimismo, se ha reconocido que l</w:t>
      </w:r>
      <w:r w:rsidRPr="009E5CA3">
        <w:t xml:space="preserve">a prohibición absoluta de la tortura, tanto física como psicológica, pertenece hoy día al dominio del </w:t>
      </w:r>
      <w:r w:rsidRPr="009E5CA3">
        <w:rPr>
          <w:i/>
        </w:rPr>
        <w:t xml:space="preserve">jus cogens </w:t>
      </w:r>
      <w:r w:rsidRPr="009E5CA3">
        <w:t>internacional</w:t>
      </w:r>
      <w:r w:rsidRPr="009E5CA3">
        <w:rPr>
          <w:vertAlign w:val="superscript"/>
        </w:rPr>
        <w:footnoteReference w:id="42"/>
      </w:r>
      <w:r w:rsidRPr="009E5CA3">
        <w:t>.</w:t>
      </w:r>
    </w:p>
    <w:p w14:paraId="56881DB7" w14:textId="77777777" w:rsidR="007D683C" w:rsidRPr="009E5CA3" w:rsidRDefault="007D683C" w:rsidP="007D683C">
      <w:pPr>
        <w:tabs>
          <w:tab w:val="left" w:pos="567"/>
        </w:tabs>
        <w:spacing w:line="240" w:lineRule="auto"/>
        <w:rPr>
          <w:lang w:eastAsia="en-US"/>
        </w:rPr>
      </w:pPr>
    </w:p>
    <w:p w14:paraId="3EE8EC3E" w14:textId="77777777" w:rsidR="007D683C" w:rsidRPr="009E5CA3" w:rsidRDefault="007D683C" w:rsidP="007D683C">
      <w:pPr>
        <w:numPr>
          <w:ilvl w:val="0"/>
          <w:numId w:val="4"/>
        </w:numPr>
        <w:tabs>
          <w:tab w:val="left" w:pos="567"/>
        </w:tabs>
        <w:spacing w:line="240" w:lineRule="auto"/>
        <w:ind w:left="0" w:firstLine="0"/>
        <w:rPr>
          <w:b/>
          <w:i/>
          <w:lang w:eastAsia="en-US"/>
        </w:rPr>
      </w:pPr>
      <w:r w:rsidRPr="009E5CA3">
        <w:rPr>
          <w:rFonts w:eastAsia="Batang"/>
          <w:spacing w:val="-2"/>
        </w:rPr>
        <w:t xml:space="preserve">La Corte también ha señalado que la violación del derecho a la integridad física y psíquica de las personas tiene diversas connotaciones de grado y que abarca desde la tortura hasta otro tipo de vejámenes o </w:t>
      </w:r>
      <w:r w:rsidRPr="009E5CA3">
        <w:rPr>
          <w:lang w:eastAsia="en-US"/>
        </w:rPr>
        <w:t>tratos</w:t>
      </w:r>
      <w:r w:rsidRPr="009E5CA3">
        <w:rPr>
          <w:rFonts w:eastAsia="Batang"/>
          <w:spacing w:val="-2"/>
        </w:rPr>
        <w:t xml:space="preserve">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9E5CA3">
        <w:rPr>
          <w:rFonts w:eastAsia="Batang"/>
          <w:vertAlign w:val="superscript"/>
          <w:lang w:bidi="en-US"/>
        </w:rPr>
        <w:footnoteReference w:id="43"/>
      </w:r>
      <w:r w:rsidRPr="009E5CA3">
        <w:rPr>
          <w:rFonts w:eastAsia="Batang"/>
          <w:spacing w:val="-2"/>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9E5CA3">
        <w:rPr>
          <w:rFonts w:eastAsia="Batang"/>
          <w:vertAlign w:val="superscript"/>
        </w:rPr>
        <w:footnoteReference w:id="44"/>
      </w:r>
      <w:r w:rsidRPr="009E5CA3">
        <w:rPr>
          <w:rFonts w:eastAsia="Batang"/>
          <w:spacing w:val="-2"/>
        </w:rPr>
        <w:t xml:space="preserve">. </w:t>
      </w:r>
    </w:p>
    <w:p w14:paraId="08BBDC8B" w14:textId="77777777" w:rsidR="007D683C" w:rsidRPr="009E5CA3" w:rsidRDefault="007D683C" w:rsidP="00862269">
      <w:pPr>
        <w:tabs>
          <w:tab w:val="left" w:pos="567"/>
        </w:tabs>
        <w:spacing w:line="240" w:lineRule="auto"/>
        <w:rPr>
          <w:b/>
          <w:i/>
          <w:lang w:eastAsia="en-US"/>
        </w:rPr>
      </w:pPr>
    </w:p>
    <w:p w14:paraId="2A08880E" w14:textId="778DF23F" w:rsidR="007D683C" w:rsidRPr="009E5CA3" w:rsidRDefault="007D683C" w:rsidP="007D683C">
      <w:pPr>
        <w:numPr>
          <w:ilvl w:val="0"/>
          <w:numId w:val="4"/>
        </w:numPr>
        <w:tabs>
          <w:tab w:val="left" w:pos="567"/>
        </w:tabs>
        <w:spacing w:line="240" w:lineRule="auto"/>
        <w:ind w:left="0" w:firstLine="0"/>
        <w:rPr>
          <w:b/>
          <w:i/>
          <w:lang w:eastAsia="en-US"/>
        </w:rPr>
      </w:pPr>
      <w:r w:rsidRPr="009E5CA3">
        <w:rPr>
          <w:rStyle w:val="markedcontent"/>
          <w:rFonts w:eastAsia="MS Mincho"/>
        </w:rPr>
        <w:t>En los términos del artículo 5.2 de la Convención</w:t>
      </w:r>
      <w:r w:rsidR="00627B9D">
        <w:rPr>
          <w:rStyle w:val="markedcontent"/>
          <w:rFonts w:eastAsia="MS Mincho"/>
        </w:rPr>
        <w:t>,</w:t>
      </w:r>
      <w:r w:rsidRPr="009E5CA3">
        <w:rPr>
          <w:rStyle w:val="markedcontent"/>
          <w:rFonts w:eastAsia="MS Mincho"/>
        </w:rPr>
        <w:t xml:space="preserve"> toda persona privada de libertad tiene derecho a vivir en condiciones de detención compatibles con su dignidad personal y el Estado debe garantizarle el derecho a la vida y a la integridad personal. En consecuencia, el Estado, como responsable de los establecimientos de detención, es el garante de estos derechos de los detenidos</w:t>
      </w:r>
      <w:r w:rsidRPr="009E5CA3">
        <w:rPr>
          <w:rStyle w:val="Refdenotaalpie"/>
          <w:rFonts w:eastAsia="MS Mincho"/>
        </w:rPr>
        <w:footnoteReference w:id="45"/>
      </w:r>
      <w:r w:rsidR="002C1C68">
        <w:rPr>
          <w:rStyle w:val="markedcontent"/>
          <w:rFonts w:eastAsia="MS Mincho"/>
        </w:rPr>
        <w:t>.</w:t>
      </w:r>
    </w:p>
    <w:p w14:paraId="24584679" w14:textId="77777777" w:rsidR="007D683C" w:rsidRPr="009E5CA3" w:rsidRDefault="007D683C" w:rsidP="007D683C">
      <w:pPr>
        <w:tabs>
          <w:tab w:val="left" w:pos="567"/>
        </w:tabs>
        <w:spacing w:line="240" w:lineRule="auto"/>
        <w:rPr>
          <w:b/>
          <w:i/>
          <w:lang w:eastAsia="en-US"/>
        </w:rPr>
      </w:pPr>
    </w:p>
    <w:p w14:paraId="1BE5A2E0" w14:textId="0548CC76" w:rsidR="007D683C" w:rsidRPr="009E5CA3" w:rsidRDefault="007D683C" w:rsidP="007D683C">
      <w:pPr>
        <w:widowControl/>
        <w:numPr>
          <w:ilvl w:val="0"/>
          <w:numId w:val="4"/>
        </w:numPr>
        <w:tabs>
          <w:tab w:val="left" w:pos="567"/>
        </w:tabs>
        <w:adjustRightInd/>
        <w:spacing w:line="240" w:lineRule="auto"/>
        <w:ind w:left="0" w:firstLine="0"/>
        <w:contextualSpacing/>
        <w:textAlignment w:val="auto"/>
        <w:rPr>
          <w:bCs/>
          <w:iCs/>
        </w:rPr>
      </w:pPr>
      <w:r w:rsidRPr="009E5CA3">
        <w:rPr>
          <w:bCs/>
          <w:iCs/>
        </w:rPr>
        <w:t>Dicho lo anterior, l</w:t>
      </w:r>
      <w:r w:rsidRPr="009E5CA3">
        <w:t>a</w:t>
      </w:r>
      <w:r w:rsidRPr="009E5CA3">
        <w:rPr>
          <w:rFonts w:eastAsia="Calibri"/>
          <w:kern w:val="2"/>
          <w:lang w:eastAsia="en-US"/>
        </w:rPr>
        <w:t xml:space="preserve"> Corte observa que los representantes han sido consistentes en señalar, </w:t>
      </w:r>
      <w:r w:rsidR="00254654" w:rsidRPr="009E5CA3">
        <w:rPr>
          <w:rFonts w:eastAsia="Calibri"/>
          <w:kern w:val="2"/>
          <w:lang w:eastAsia="en-US"/>
        </w:rPr>
        <w:t xml:space="preserve">tanto ante las </w:t>
      </w:r>
      <w:r w:rsidR="00254654" w:rsidRPr="009E5CA3">
        <w:rPr>
          <w:kern w:val="2"/>
          <w:lang w:eastAsia="en-US"/>
        </w:rPr>
        <w:t>autoridades</w:t>
      </w:r>
      <w:r w:rsidR="00254654" w:rsidRPr="009E5CA3">
        <w:rPr>
          <w:rFonts w:eastAsia="Calibri"/>
          <w:kern w:val="2"/>
          <w:lang w:eastAsia="en-US"/>
        </w:rPr>
        <w:t xml:space="preserve"> nacionales</w:t>
      </w:r>
      <w:r w:rsidR="00254654" w:rsidRPr="009E5CA3">
        <w:rPr>
          <w:rStyle w:val="Refdenotaalpie"/>
          <w:rFonts w:eastAsia="Calibri"/>
          <w:kern w:val="2"/>
          <w:lang w:eastAsia="en-US"/>
        </w:rPr>
        <w:footnoteReference w:id="46"/>
      </w:r>
      <w:r w:rsidR="00254654" w:rsidRPr="009E5CA3">
        <w:rPr>
          <w:rFonts w:eastAsia="Calibri"/>
          <w:kern w:val="2"/>
          <w:lang w:eastAsia="en-US"/>
        </w:rPr>
        <w:t xml:space="preserve">, como </w:t>
      </w:r>
      <w:r w:rsidR="00627B9D">
        <w:rPr>
          <w:rFonts w:eastAsia="Calibri"/>
          <w:kern w:val="2"/>
          <w:lang w:eastAsia="en-US"/>
        </w:rPr>
        <w:t>en</w:t>
      </w:r>
      <w:r w:rsidR="00627B9D" w:rsidRPr="009E5CA3">
        <w:rPr>
          <w:rFonts w:eastAsia="Calibri"/>
          <w:kern w:val="2"/>
          <w:lang w:eastAsia="en-US"/>
        </w:rPr>
        <w:t xml:space="preserve"> </w:t>
      </w:r>
      <w:r w:rsidR="00976985" w:rsidRPr="009E5CA3">
        <w:rPr>
          <w:rFonts w:eastAsia="Calibri"/>
          <w:kern w:val="2"/>
          <w:lang w:eastAsia="en-US"/>
        </w:rPr>
        <w:t>el</w:t>
      </w:r>
      <w:r w:rsidRPr="009E5CA3">
        <w:rPr>
          <w:rFonts w:eastAsia="Calibri"/>
          <w:kern w:val="2"/>
          <w:lang w:eastAsia="en-US"/>
        </w:rPr>
        <w:t xml:space="preserve"> procedimiento ante la Comisión </w:t>
      </w:r>
      <w:r w:rsidR="00254654" w:rsidRPr="009E5CA3">
        <w:rPr>
          <w:rFonts w:eastAsia="Calibri"/>
          <w:kern w:val="2"/>
          <w:lang w:eastAsia="en-US"/>
        </w:rPr>
        <w:t>y ante</w:t>
      </w:r>
      <w:r w:rsidRPr="009E5CA3">
        <w:rPr>
          <w:rFonts w:eastAsia="Calibri"/>
          <w:kern w:val="2"/>
          <w:lang w:eastAsia="en-US"/>
        </w:rPr>
        <w:t xml:space="preserve"> la Corte</w:t>
      </w:r>
      <w:r w:rsidRPr="009E5CA3">
        <w:rPr>
          <w:rStyle w:val="Refdenotaalpie"/>
          <w:rFonts w:eastAsia="Calibri"/>
          <w:kern w:val="2"/>
          <w:lang w:eastAsia="en-US"/>
        </w:rPr>
        <w:footnoteReference w:id="47"/>
      </w:r>
      <w:r w:rsidRPr="009E5CA3">
        <w:rPr>
          <w:rFonts w:eastAsia="Calibri"/>
          <w:kern w:val="2"/>
          <w:lang w:eastAsia="en-US"/>
        </w:rPr>
        <w:t xml:space="preserve">, las condiciones deplorables en las que se encontraban detenidos los señores </w:t>
      </w:r>
      <w:proofErr w:type="spellStart"/>
      <w:r w:rsidR="00CC5354" w:rsidRPr="009E5CA3">
        <w:rPr>
          <w:rFonts w:eastAsia="Calibri"/>
          <w:kern w:val="2"/>
          <w:lang w:eastAsia="en-US"/>
        </w:rPr>
        <w:t>Bissoon</w:t>
      </w:r>
      <w:proofErr w:type="spellEnd"/>
      <w:r w:rsidR="00CC5354" w:rsidRPr="009E5CA3">
        <w:rPr>
          <w:rFonts w:eastAsia="Calibri"/>
          <w:kern w:val="2"/>
          <w:lang w:eastAsia="en-US"/>
        </w:rPr>
        <w:t xml:space="preserve"> y </w:t>
      </w:r>
      <w:proofErr w:type="spellStart"/>
      <w:r w:rsidR="00CC5354" w:rsidRPr="009E5CA3">
        <w:rPr>
          <w:rFonts w:eastAsia="Calibri"/>
          <w:kern w:val="2"/>
          <w:lang w:eastAsia="en-US"/>
        </w:rPr>
        <w:t>Serrette</w:t>
      </w:r>
      <w:proofErr w:type="spellEnd"/>
      <w:r w:rsidRPr="009E5CA3">
        <w:rPr>
          <w:rFonts w:eastAsia="Calibri"/>
          <w:kern w:val="2"/>
          <w:lang w:eastAsia="en-US"/>
        </w:rPr>
        <w:t xml:space="preserve">. Lo anterior ha sido refrendado por las declaraciones de los señores </w:t>
      </w:r>
      <w:proofErr w:type="spellStart"/>
      <w:r w:rsidR="00CC5354" w:rsidRPr="009E5CA3">
        <w:rPr>
          <w:rFonts w:eastAsia="Calibri"/>
          <w:kern w:val="2"/>
          <w:lang w:eastAsia="en-US"/>
        </w:rPr>
        <w:t>Bissoon</w:t>
      </w:r>
      <w:proofErr w:type="spellEnd"/>
      <w:r w:rsidR="00CC5354" w:rsidRPr="009E5CA3">
        <w:rPr>
          <w:rFonts w:eastAsia="Calibri"/>
          <w:kern w:val="2"/>
          <w:lang w:eastAsia="en-US"/>
        </w:rPr>
        <w:t xml:space="preserve"> y </w:t>
      </w:r>
      <w:proofErr w:type="spellStart"/>
      <w:r w:rsidR="00CC5354" w:rsidRPr="009E5CA3">
        <w:rPr>
          <w:rFonts w:eastAsia="Calibri"/>
          <w:kern w:val="2"/>
          <w:lang w:eastAsia="en-US"/>
        </w:rPr>
        <w:t>Serrette</w:t>
      </w:r>
      <w:proofErr w:type="spellEnd"/>
      <w:r w:rsidR="00070F65" w:rsidRPr="009E5CA3">
        <w:rPr>
          <w:rStyle w:val="Refdenotaalpie"/>
          <w:rFonts w:eastAsia="Calibri"/>
          <w:kern w:val="2"/>
          <w:lang w:eastAsia="en-US"/>
        </w:rPr>
        <w:footnoteReference w:id="48"/>
      </w:r>
      <w:r w:rsidRPr="009E5CA3">
        <w:rPr>
          <w:rFonts w:eastAsia="Calibri"/>
          <w:kern w:val="2"/>
          <w:lang w:eastAsia="en-US"/>
        </w:rPr>
        <w:t xml:space="preserve">. </w:t>
      </w:r>
      <w:r w:rsidR="003172E5" w:rsidRPr="009E5CA3">
        <w:rPr>
          <w:rFonts w:eastAsia="Calibri"/>
          <w:kern w:val="2"/>
          <w:lang w:eastAsia="en-US"/>
        </w:rPr>
        <w:t>El Estado, por su parte, no ha participado en el procedimiento ante esta Corte y, por tanto, no ha refutado estas alegaciones.</w:t>
      </w:r>
    </w:p>
    <w:p w14:paraId="5063B2EC" w14:textId="77777777" w:rsidR="00D81BE9" w:rsidRPr="009E5CA3" w:rsidRDefault="00D81BE9" w:rsidP="00862269">
      <w:pPr>
        <w:tabs>
          <w:tab w:val="left" w:pos="567"/>
        </w:tabs>
        <w:spacing w:line="240" w:lineRule="auto"/>
        <w:rPr>
          <w:bCs/>
          <w:iCs/>
        </w:rPr>
      </w:pPr>
    </w:p>
    <w:p w14:paraId="1BD3F834" w14:textId="0BA3C392" w:rsidR="00D81BE9" w:rsidRPr="009E5CA3" w:rsidRDefault="00664F60" w:rsidP="00D81BE9">
      <w:pPr>
        <w:numPr>
          <w:ilvl w:val="0"/>
          <w:numId w:val="4"/>
        </w:numPr>
        <w:tabs>
          <w:tab w:val="left" w:pos="567"/>
        </w:tabs>
        <w:spacing w:line="240" w:lineRule="auto"/>
        <w:ind w:left="0" w:firstLine="0"/>
        <w:rPr>
          <w:rFonts w:cs="Arial"/>
        </w:rPr>
      </w:pPr>
      <w:r w:rsidRPr="009E5CA3">
        <w:t>Los instrumentos específicos relativos al tratamiento de las personas privadas de libertad desarrollados tanto a nivel universal como interamericano también hacen hincapié en la centralidad de la dignidad, como uno de los valores más fundamentales de la persona humana, en el desarrollo de toda política penitenciaria</w:t>
      </w:r>
      <w:r w:rsidRPr="009E5CA3">
        <w:rPr>
          <w:rStyle w:val="Refdenotaalpie"/>
        </w:rPr>
        <w:footnoteReference w:id="49"/>
      </w:r>
      <w:r w:rsidRPr="009E5CA3">
        <w:t>. En este sentido, e</w:t>
      </w:r>
      <w:r w:rsidR="00D81BE9" w:rsidRPr="009E5CA3">
        <w:rPr>
          <w:rFonts w:eastAsia="Calibri"/>
          <w:kern w:val="2"/>
          <w:lang w:eastAsia="en-US"/>
        </w:rPr>
        <w:t xml:space="preserve">l Tribunal recuerda que </w:t>
      </w:r>
      <w:r w:rsidR="00D81BE9" w:rsidRPr="009E5CA3">
        <w:rPr>
          <w:bCs/>
          <w:iCs/>
        </w:rPr>
        <w:t xml:space="preserve">numerosas decisiones de </w:t>
      </w:r>
      <w:r w:rsidR="00D81BE9" w:rsidRPr="009E5CA3">
        <w:rPr>
          <w:bCs/>
          <w:iCs/>
        </w:rPr>
        <w:lastRenderedPageBreak/>
        <w:t xml:space="preserve">organismos internacionales invocan las Reglas Mínimas de Naciones Unidas para el Tratamiento de Reclusos, a fin de interpretar el contenido del derecho de los presos a un trato digno y </w:t>
      </w:r>
      <w:r w:rsidR="00D81BE9" w:rsidRPr="009E5CA3">
        <w:rPr>
          <w:lang w:val="es-ES_tradnl"/>
        </w:rPr>
        <w:t xml:space="preserve">humano. Esta Corte también ha hecho uso de </w:t>
      </w:r>
      <w:proofErr w:type="gramStart"/>
      <w:r w:rsidR="00D81BE9" w:rsidRPr="009E5CA3">
        <w:rPr>
          <w:lang w:val="es-ES_tradnl"/>
        </w:rPr>
        <w:t>las mismas</w:t>
      </w:r>
      <w:proofErr w:type="gramEnd"/>
      <w:r w:rsidR="00D81BE9" w:rsidRPr="009E5CA3">
        <w:rPr>
          <w:lang w:val="es-ES_tradnl"/>
        </w:rPr>
        <w:t xml:space="preserve"> a la hora de analizar la compatibilidad de las condiciones de detención con la Convención Americana</w:t>
      </w:r>
      <w:r w:rsidR="00D81BE9" w:rsidRPr="009E5CA3">
        <w:rPr>
          <w:rStyle w:val="Refdenotaalpie"/>
          <w:lang w:val="es-ES_tradnl"/>
        </w:rPr>
        <w:footnoteReference w:id="50"/>
      </w:r>
      <w:r w:rsidR="00D81BE9" w:rsidRPr="009E5CA3">
        <w:rPr>
          <w:lang w:val="es-ES_tradnl"/>
        </w:rPr>
        <w:t>. Estas</w:t>
      </w:r>
      <w:r w:rsidR="00D81BE9" w:rsidRPr="009E5CA3">
        <w:rPr>
          <w:bCs/>
          <w:iCs/>
        </w:rPr>
        <w:t xml:space="preserve"> prescriben las normas básicas respecto al alojamiento, higiene, tratamiento médico y ejercicio de </w:t>
      </w:r>
      <w:r w:rsidR="00583CDB" w:rsidRPr="009E5CA3">
        <w:rPr>
          <w:bCs/>
          <w:iCs/>
        </w:rPr>
        <w:t xml:space="preserve">las personas </w:t>
      </w:r>
      <w:r w:rsidR="00D81BE9" w:rsidRPr="009E5CA3">
        <w:rPr>
          <w:bCs/>
          <w:iCs/>
        </w:rPr>
        <w:t>privad</w:t>
      </w:r>
      <w:r w:rsidR="00583CDB" w:rsidRPr="009E5CA3">
        <w:rPr>
          <w:bCs/>
          <w:iCs/>
        </w:rPr>
        <w:t>as</w:t>
      </w:r>
      <w:r w:rsidR="00D81BE9" w:rsidRPr="009E5CA3">
        <w:rPr>
          <w:bCs/>
          <w:iCs/>
        </w:rPr>
        <w:t xml:space="preserve"> de la libertad. En particular, dichas Reglas </w:t>
      </w:r>
      <w:r w:rsidR="00D81BE9" w:rsidRPr="009E5CA3">
        <w:rPr>
          <w:rFonts w:cs="Arial"/>
        </w:rPr>
        <w:t xml:space="preserve">establecen una serie de requisitos mínimos de las celdas, a saber: </w:t>
      </w:r>
    </w:p>
    <w:p w14:paraId="2DE5AF05" w14:textId="77777777" w:rsidR="00D81BE9" w:rsidRPr="009E5CA3" w:rsidRDefault="00D81BE9" w:rsidP="00D81BE9">
      <w:pPr>
        <w:spacing w:before="60" w:after="60" w:line="240" w:lineRule="auto"/>
        <w:rPr>
          <w:rFonts w:cs="Arial"/>
          <w:sz w:val="16"/>
          <w:szCs w:val="16"/>
        </w:rPr>
      </w:pPr>
    </w:p>
    <w:p w14:paraId="5F781B45" w14:textId="77777777" w:rsidR="00D81BE9" w:rsidRPr="009E5CA3" w:rsidRDefault="00D81BE9" w:rsidP="00D81BE9">
      <w:pPr>
        <w:spacing w:before="60" w:after="60" w:line="240" w:lineRule="auto"/>
        <w:ind w:left="720"/>
        <w:rPr>
          <w:rFonts w:cs="Arial"/>
          <w:sz w:val="16"/>
          <w:szCs w:val="16"/>
        </w:rPr>
      </w:pPr>
      <w:bookmarkStart w:id="61" w:name="_Hlk109299717"/>
      <w:r w:rsidRPr="009E5CA3">
        <w:rPr>
          <w:rFonts w:cs="Arial"/>
          <w:sz w:val="16"/>
          <w:szCs w:val="16"/>
        </w:rPr>
        <w:t xml:space="preserve">10. Los locales destinados a los reclusos y especialmente aquellos que se destinan al alojamiento de los reclusos durante la noche, deberán satisfacer las exigencias de la higiene, habida cuenta del clima, particularmente en lo que concierne al volumen de aire, superficie mínima, alumbrado, calefacción y ventilación. </w:t>
      </w:r>
    </w:p>
    <w:p w14:paraId="1DBB18B6" w14:textId="77777777" w:rsidR="00D81BE9" w:rsidRPr="009E5CA3" w:rsidRDefault="00D81BE9" w:rsidP="00D81BE9">
      <w:pPr>
        <w:spacing w:before="60" w:after="60" w:line="240" w:lineRule="auto"/>
        <w:ind w:left="720"/>
        <w:rPr>
          <w:rFonts w:cs="Arial"/>
          <w:sz w:val="16"/>
          <w:szCs w:val="16"/>
        </w:rPr>
      </w:pPr>
    </w:p>
    <w:p w14:paraId="2DAFAE26" w14:textId="77777777" w:rsidR="00D81BE9" w:rsidRPr="009E5CA3" w:rsidRDefault="00D81BE9" w:rsidP="00D81BE9">
      <w:pPr>
        <w:spacing w:before="60" w:after="60" w:line="240" w:lineRule="auto"/>
        <w:ind w:left="720"/>
        <w:rPr>
          <w:rFonts w:cs="Arial"/>
          <w:sz w:val="16"/>
          <w:szCs w:val="16"/>
        </w:rPr>
      </w:pPr>
      <w:r w:rsidRPr="009E5CA3">
        <w:rPr>
          <w:rFonts w:cs="Arial"/>
          <w:sz w:val="16"/>
          <w:szCs w:val="16"/>
        </w:rPr>
        <w:t>11. En todo local donde los reclusos tengan que vivir o trabajar: a) Las ventanas tendrán que ser suficientemente grandes para que el recluso pueda leer y trabajar con luz natural; y deberán estar dispuestas de manera que pueda entrar aire fresco, haya o no ventilación artificial; b)</w:t>
      </w:r>
      <w:r w:rsidRPr="009E5CA3">
        <w:rPr>
          <w:rFonts w:cs="Arial"/>
          <w:sz w:val="16"/>
          <w:szCs w:val="16"/>
        </w:rPr>
        <w:tab/>
        <w:t xml:space="preserve">La luz artificial tendrá que ser suficiente para que el recluso pueda leer y trabajar sin perjuicio de su vista. </w:t>
      </w:r>
    </w:p>
    <w:p w14:paraId="47B8ABD7" w14:textId="77777777" w:rsidR="00D81BE9" w:rsidRPr="009E5CA3" w:rsidRDefault="00D81BE9" w:rsidP="00D81BE9">
      <w:pPr>
        <w:spacing w:before="60" w:after="60" w:line="240" w:lineRule="auto"/>
        <w:ind w:left="720"/>
        <w:rPr>
          <w:rFonts w:cs="Arial"/>
          <w:sz w:val="16"/>
          <w:szCs w:val="16"/>
        </w:rPr>
      </w:pPr>
    </w:p>
    <w:p w14:paraId="12A52E40" w14:textId="77777777" w:rsidR="00D81BE9" w:rsidRPr="009E5CA3" w:rsidRDefault="00D81BE9" w:rsidP="00D81BE9">
      <w:pPr>
        <w:spacing w:before="60" w:after="60" w:line="240" w:lineRule="auto"/>
        <w:ind w:left="720"/>
        <w:rPr>
          <w:rFonts w:cs="Arial"/>
          <w:sz w:val="16"/>
          <w:szCs w:val="16"/>
        </w:rPr>
      </w:pPr>
      <w:r w:rsidRPr="009E5CA3">
        <w:rPr>
          <w:rFonts w:cs="Arial"/>
          <w:sz w:val="16"/>
          <w:szCs w:val="16"/>
        </w:rPr>
        <w:t xml:space="preserve">12. Las instalaciones sanitarias deberán ser adecuadas para que el recluso pueda satisfacer sus necesidades naturales en el momento oportuno, en forma aseada y decente. </w:t>
      </w:r>
    </w:p>
    <w:p w14:paraId="65EC0A3D" w14:textId="77777777" w:rsidR="00D81BE9" w:rsidRPr="009E5CA3" w:rsidRDefault="00D81BE9" w:rsidP="00D81BE9">
      <w:pPr>
        <w:spacing w:before="60" w:after="60" w:line="240" w:lineRule="auto"/>
        <w:ind w:left="720"/>
        <w:rPr>
          <w:rFonts w:cs="Arial"/>
          <w:sz w:val="16"/>
          <w:szCs w:val="16"/>
        </w:rPr>
      </w:pPr>
    </w:p>
    <w:p w14:paraId="2B51C0D2" w14:textId="77777777" w:rsidR="00D81BE9" w:rsidRPr="009E5CA3" w:rsidRDefault="00D81BE9" w:rsidP="00D81BE9">
      <w:pPr>
        <w:spacing w:before="60" w:after="60" w:line="240" w:lineRule="auto"/>
        <w:ind w:left="720"/>
        <w:rPr>
          <w:rFonts w:cs="Arial"/>
          <w:sz w:val="16"/>
          <w:szCs w:val="16"/>
        </w:rPr>
      </w:pPr>
      <w:r w:rsidRPr="009E5CA3">
        <w:rPr>
          <w:rFonts w:cs="Arial"/>
          <w:sz w:val="16"/>
          <w:szCs w:val="16"/>
        </w:rPr>
        <w:t>13. Las instalaciones de baño y de ducha deberán ser adecuadas para que cada recluso pueda y sea requerido a tomar un baño o ducha a una temperatura adaptada al clima y con la frecuencia que requiera la higiene general según la estación y la región geográfica, pero por lo menos una vez por semana en clima templado.</w:t>
      </w:r>
    </w:p>
    <w:p w14:paraId="7A5EF906" w14:textId="77777777" w:rsidR="00D81BE9" w:rsidRPr="009E5CA3" w:rsidRDefault="00D81BE9" w:rsidP="00D81BE9">
      <w:pPr>
        <w:spacing w:before="60" w:after="60" w:line="240" w:lineRule="auto"/>
        <w:ind w:left="720"/>
        <w:rPr>
          <w:rFonts w:cs="Arial"/>
          <w:sz w:val="16"/>
          <w:szCs w:val="16"/>
        </w:rPr>
      </w:pPr>
    </w:p>
    <w:p w14:paraId="288458FC" w14:textId="77777777" w:rsidR="00D81BE9" w:rsidRPr="009E5CA3" w:rsidRDefault="00D81BE9" w:rsidP="00D81BE9">
      <w:pPr>
        <w:spacing w:before="60" w:after="60" w:line="240" w:lineRule="auto"/>
        <w:ind w:left="720"/>
        <w:rPr>
          <w:rFonts w:cs="Arial"/>
          <w:sz w:val="16"/>
          <w:szCs w:val="16"/>
        </w:rPr>
      </w:pPr>
      <w:r w:rsidRPr="009E5CA3">
        <w:rPr>
          <w:rFonts w:cs="Arial"/>
          <w:sz w:val="16"/>
          <w:szCs w:val="16"/>
        </w:rPr>
        <w:t>14. Todos los locales frecuentados regularmente por los reclusos deberán ser mantenidos en debido estado y limpios.</w:t>
      </w:r>
    </w:p>
    <w:p w14:paraId="7856947C" w14:textId="77777777" w:rsidR="00D81BE9" w:rsidRPr="009E5CA3" w:rsidRDefault="00D81BE9" w:rsidP="00D81BE9">
      <w:pPr>
        <w:spacing w:before="60" w:after="60" w:line="240" w:lineRule="auto"/>
        <w:ind w:left="720"/>
        <w:rPr>
          <w:rFonts w:cs="Arial"/>
          <w:sz w:val="16"/>
          <w:szCs w:val="16"/>
        </w:rPr>
      </w:pPr>
    </w:p>
    <w:p w14:paraId="2C8B4A31" w14:textId="77777777" w:rsidR="00D81BE9" w:rsidRPr="009E5CA3" w:rsidRDefault="00D81BE9" w:rsidP="00D81BE9">
      <w:pPr>
        <w:spacing w:before="60" w:after="60" w:line="240" w:lineRule="auto"/>
        <w:ind w:left="720"/>
        <w:rPr>
          <w:rFonts w:cs="Arial"/>
          <w:sz w:val="16"/>
          <w:szCs w:val="16"/>
        </w:rPr>
      </w:pPr>
      <w:r w:rsidRPr="009E5CA3">
        <w:rPr>
          <w:rFonts w:cs="Arial"/>
          <w:sz w:val="16"/>
          <w:szCs w:val="16"/>
        </w:rPr>
        <w:t>15. Se exigirá de los reclusos aseo personal y a tal efecto dispondrán de agua y de los artículos de aseo indispensables para su salud y limpieza. […]</w:t>
      </w:r>
    </w:p>
    <w:p w14:paraId="76A9F810" w14:textId="77777777" w:rsidR="00D81BE9" w:rsidRPr="009E5CA3" w:rsidRDefault="00D81BE9" w:rsidP="00D81BE9">
      <w:pPr>
        <w:spacing w:before="60" w:after="60" w:line="240" w:lineRule="auto"/>
        <w:ind w:left="720"/>
        <w:rPr>
          <w:rFonts w:cs="Arial"/>
          <w:sz w:val="16"/>
          <w:szCs w:val="16"/>
        </w:rPr>
      </w:pPr>
    </w:p>
    <w:p w14:paraId="719E7BD7" w14:textId="77777777" w:rsidR="00D81BE9" w:rsidRPr="009E5CA3" w:rsidRDefault="00D81BE9" w:rsidP="00D81BE9">
      <w:pPr>
        <w:spacing w:before="60" w:after="60" w:line="240" w:lineRule="auto"/>
        <w:ind w:left="720"/>
        <w:rPr>
          <w:rFonts w:cs="Arial"/>
          <w:sz w:val="16"/>
          <w:szCs w:val="16"/>
        </w:rPr>
      </w:pPr>
      <w:r w:rsidRPr="009E5CA3">
        <w:rPr>
          <w:rFonts w:cs="Arial"/>
          <w:sz w:val="16"/>
          <w:szCs w:val="16"/>
        </w:rPr>
        <w:t>20.2) Todo recluso deberá tener la posibilidad de proveerse de agua potable cuando la necesite</w:t>
      </w:r>
      <w:r w:rsidRPr="009E5CA3">
        <w:rPr>
          <w:rStyle w:val="Refdenotaalpie"/>
          <w:rFonts w:cs="Arial"/>
          <w:sz w:val="16"/>
          <w:szCs w:val="16"/>
        </w:rPr>
        <w:footnoteReference w:id="51"/>
      </w:r>
      <w:r w:rsidRPr="009E5CA3">
        <w:rPr>
          <w:rFonts w:cs="Arial"/>
          <w:sz w:val="16"/>
          <w:szCs w:val="16"/>
        </w:rPr>
        <w:t>.</w:t>
      </w:r>
    </w:p>
    <w:bookmarkEnd w:id="61"/>
    <w:p w14:paraId="7209CA4C" w14:textId="77777777" w:rsidR="00FC57A4" w:rsidRPr="009E5CA3" w:rsidRDefault="00FC57A4" w:rsidP="00FC57A4">
      <w:pPr>
        <w:tabs>
          <w:tab w:val="left" w:pos="567"/>
        </w:tabs>
        <w:spacing w:line="240" w:lineRule="auto"/>
        <w:rPr>
          <w:rFonts w:cs="Arial"/>
        </w:rPr>
      </w:pPr>
    </w:p>
    <w:p w14:paraId="6C5770E5" w14:textId="3700E832" w:rsidR="00017123" w:rsidRPr="00A81380" w:rsidRDefault="007D683C" w:rsidP="00092D54">
      <w:pPr>
        <w:numPr>
          <w:ilvl w:val="0"/>
          <w:numId w:val="4"/>
        </w:numPr>
        <w:tabs>
          <w:tab w:val="left" w:pos="567"/>
        </w:tabs>
        <w:spacing w:line="240" w:lineRule="auto"/>
        <w:ind w:left="0" w:firstLine="0"/>
        <w:rPr>
          <w:rFonts w:cs="Arial"/>
        </w:rPr>
      </w:pPr>
      <w:bookmarkStart w:id="62" w:name="_Hlk119313929"/>
      <w:r w:rsidRPr="00A81380">
        <w:rPr>
          <w:lang w:val="es-ES"/>
        </w:rPr>
        <w:t>El Tribunal advierte que, durante el per</w:t>
      </w:r>
      <w:r w:rsidR="004A098B">
        <w:rPr>
          <w:lang w:val="es-ES"/>
        </w:rPr>
        <w:t>í</w:t>
      </w:r>
      <w:r w:rsidRPr="00A81380">
        <w:rPr>
          <w:lang w:val="es-ES"/>
        </w:rPr>
        <w:t>odo que estuvieron en prisión preventiva</w:t>
      </w:r>
      <w:r w:rsidR="003C4D9C" w:rsidRPr="00A81380">
        <w:rPr>
          <w:lang w:val="es-ES"/>
        </w:rPr>
        <w:t xml:space="preserve"> en la prisión de </w:t>
      </w:r>
      <w:r w:rsidR="003C4D9C" w:rsidRPr="002C75D0">
        <w:rPr>
          <w:i/>
          <w:iCs/>
          <w:lang w:val="es-ES"/>
        </w:rPr>
        <w:t>Golden Grove</w:t>
      </w:r>
      <w:r w:rsidR="001C5EBE" w:rsidRPr="00A81380">
        <w:rPr>
          <w:lang w:val="es-ES"/>
        </w:rPr>
        <w:t xml:space="preserve"> (esto es, desde el 1 de diciembre de 1995 hasta el 29 de octubre</w:t>
      </w:r>
      <w:r w:rsidR="00844022">
        <w:rPr>
          <w:lang w:val="es-ES"/>
        </w:rPr>
        <w:t xml:space="preserve"> </w:t>
      </w:r>
      <w:r w:rsidR="001C5EBE" w:rsidRPr="00A81380">
        <w:rPr>
          <w:lang w:val="es-ES"/>
        </w:rPr>
        <w:t xml:space="preserve">de 1999 respecto del señor </w:t>
      </w:r>
      <w:proofErr w:type="spellStart"/>
      <w:r w:rsidR="001C5EBE" w:rsidRPr="00A81380">
        <w:rPr>
          <w:lang w:val="es-ES"/>
        </w:rPr>
        <w:t>Bissoon</w:t>
      </w:r>
      <w:proofErr w:type="spellEnd"/>
      <w:r w:rsidR="001C5EBE" w:rsidRPr="00A81380">
        <w:rPr>
          <w:lang w:val="es-ES"/>
        </w:rPr>
        <w:t xml:space="preserve"> y desde el </w:t>
      </w:r>
      <w:r w:rsidR="004751C3" w:rsidRPr="00A81380">
        <w:rPr>
          <w:lang w:val="es-ES"/>
        </w:rPr>
        <w:t>13 de octubre de 1998 hasta el 21 de mayo de 2001</w:t>
      </w:r>
      <w:r w:rsidR="00D24F24" w:rsidRPr="00A81380">
        <w:rPr>
          <w:lang w:val="es-ES"/>
        </w:rPr>
        <w:t xml:space="preserve"> </w:t>
      </w:r>
      <w:r w:rsidR="00BA19FD" w:rsidRPr="00A81380">
        <w:rPr>
          <w:lang w:val="es-ES"/>
        </w:rPr>
        <w:t xml:space="preserve">respecto del señor </w:t>
      </w:r>
      <w:proofErr w:type="spellStart"/>
      <w:r w:rsidR="00BA19FD" w:rsidRPr="00A81380">
        <w:rPr>
          <w:lang w:val="es-ES"/>
        </w:rPr>
        <w:t>Serrette</w:t>
      </w:r>
      <w:proofErr w:type="spellEnd"/>
      <w:r w:rsidR="004751C3" w:rsidRPr="00A81380">
        <w:rPr>
          <w:lang w:val="es-ES"/>
        </w:rPr>
        <w:t>)</w:t>
      </w:r>
      <w:r w:rsidRPr="00A81380">
        <w:rPr>
          <w:lang w:val="es-ES"/>
        </w:rPr>
        <w:t xml:space="preserve">, </w:t>
      </w:r>
      <w:bookmarkEnd w:id="62"/>
      <w:r w:rsidRPr="00A81380">
        <w:rPr>
          <w:lang w:val="es-ES"/>
        </w:rPr>
        <w:t xml:space="preserve">los señores </w:t>
      </w:r>
      <w:proofErr w:type="spellStart"/>
      <w:r w:rsidR="00CC5354" w:rsidRPr="00A81380">
        <w:rPr>
          <w:rFonts w:eastAsia="Calibri"/>
          <w:kern w:val="2"/>
          <w:lang w:eastAsia="en-US"/>
        </w:rPr>
        <w:t>Bissoon</w:t>
      </w:r>
      <w:proofErr w:type="spellEnd"/>
      <w:r w:rsidR="00CC5354" w:rsidRPr="00A81380">
        <w:rPr>
          <w:rFonts w:eastAsia="Calibri"/>
          <w:kern w:val="2"/>
          <w:lang w:eastAsia="en-US"/>
        </w:rPr>
        <w:t xml:space="preserve"> </w:t>
      </w:r>
      <w:r w:rsidR="00F8019C" w:rsidRPr="00A81380">
        <w:rPr>
          <w:rFonts w:eastAsia="Calibri"/>
          <w:kern w:val="2"/>
          <w:lang w:eastAsia="en-US"/>
        </w:rPr>
        <w:t xml:space="preserve">y </w:t>
      </w:r>
      <w:proofErr w:type="spellStart"/>
      <w:r w:rsidR="00F8019C" w:rsidRPr="00A81380">
        <w:rPr>
          <w:rFonts w:eastAsia="Calibri"/>
          <w:kern w:val="2"/>
          <w:lang w:eastAsia="en-US"/>
        </w:rPr>
        <w:t>Ser</w:t>
      </w:r>
      <w:r w:rsidR="00BA19FD" w:rsidRPr="00A81380">
        <w:rPr>
          <w:rFonts w:eastAsia="Calibri"/>
          <w:kern w:val="2"/>
          <w:lang w:eastAsia="en-US"/>
        </w:rPr>
        <w:t>rette</w:t>
      </w:r>
      <w:proofErr w:type="spellEnd"/>
      <w:r w:rsidR="00F8019C" w:rsidRPr="00A81380">
        <w:rPr>
          <w:rFonts w:eastAsia="Calibri"/>
          <w:kern w:val="2"/>
          <w:lang w:eastAsia="en-US"/>
        </w:rPr>
        <w:t xml:space="preserve"> fueron ubicados en celdas con condiciones higiénicas muy defici</w:t>
      </w:r>
      <w:r w:rsidR="00BE091B" w:rsidRPr="00A81380">
        <w:rPr>
          <w:rFonts w:eastAsia="Calibri"/>
          <w:kern w:val="2"/>
          <w:lang w:eastAsia="en-US"/>
        </w:rPr>
        <w:t>entes</w:t>
      </w:r>
      <w:r w:rsidR="00F8019C" w:rsidRPr="00A81380">
        <w:rPr>
          <w:rFonts w:eastAsia="Calibri"/>
          <w:kern w:val="2"/>
          <w:lang w:eastAsia="en-US"/>
        </w:rPr>
        <w:t>, sucias, con poca entrada de luz y ventilación y sin un colchón</w:t>
      </w:r>
      <w:r w:rsidR="00F63832" w:rsidRPr="00A81380">
        <w:rPr>
          <w:rFonts w:eastAsia="Calibri"/>
          <w:kern w:val="2"/>
          <w:lang w:eastAsia="en-US"/>
        </w:rPr>
        <w:t>, forzados a dormir, bien en el suelo, bien sobre papel periódico</w:t>
      </w:r>
      <w:r w:rsidR="00F8019C" w:rsidRPr="00A81380">
        <w:rPr>
          <w:rFonts w:eastAsia="Calibri"/>
          <w:kern w:val="2"/>
          <w:lang w:eastAsia="en-US"/>
        </w:rPr>
        <w:t xml:space="preserve">. Tampoco existían </w:t>
      </w:r>
      <w:r w:rsidR="00F8019C" w:rsidRPr="00A81380">
        <w:rPr>
          <w:rStyle w:val="markedcontent"/>
          <w:rFonts w:eastAsia="MS Mincho"/>
        </w:rPr>
        <w:t>instalaciones</w:t>
      </w:r>
      <w:r w:rsidR="00F8019C" w:rsidRPr="00A81380">
        <w:rPr>
          <w:rFonts w:eastAsia="Calibri"/>
          <w:kern w:val="2"/>
          <w:lang w:eastAsia="en-US"/>
        </w:rPr>
        <w:t xml:space="preserve"> sanitarias adecuadas donde los señores </w:t>
      </w:r>
      <w:proofErr w:type="spellStart"/>
      <w:r w:rsidR="00F8019C" w:rsidRPr="00A81380">
        <w:rPr>
          <w:rFonts w:eastAsia="Calibri"/>
          <w:kern w:val="2"/>
          <w:lang w:eastAsia="en-US"/>
        </w:rPr>
        <w:t>Bissoon</w:t>
      </w:r>
      <w:proofErr w:type="spellEnd"/>
      <w:r w:rsidR="00F8019C" w:rsidRPr="00A81380">
        <w:rPr>
          <w:rFonts w:eastAsia="Calibri"/>
          <w:kern w:val="2"/>
          <w:lang w:eastAsia="en-US"/>
        </w:rPr>
        <w:t xml:space="preserve"> y </w:t>
      </w:r>
      <w:proofErr w:type="spellStart"/>
      <w:r w:rsidR="00F8019C" w:rsidRPr="00A81380">
        <w:rPr>
          <w:rFonts w:eastAsia="Calibri"/>
          <w:kern w:val="2"/>
          <w:lang w:eastAsia="en-US"/>
        </w:rPr>
        <w:t>Serrette</w:t>
      </w:r>
      <w:proofErr w:type="spellEnd"/>
      <w:r w:rsidR="00F8019C" w:rsidRPr="00A81380">
        <w:rPr>
          <w:rFonts w:eastAsia="Calibri"/>
          <w:kern w:val="2"/>
          <w:lang w:eastAsia="en-US"/>
        </w:rPr>
        <w:t xml:space="preserve"> pudieran satisfacer sus necesidades naturales en el momento </w:t>
      </w:r>
      <w:r w:rsidR="00F8019C" w:rsidRPr="00A81380">
        <w:rPr>
          <w:rFonts w:eastAsia="Calibri"/>
          <w:kern w:val="2"/>
          <w:lang w:eastAsia="en-US"/>
        </w:rPr>
        <w:lastRenderedPageBreak/>
        <w:t>oportuno, en forma aseada y decente</w:t>
      </w:r>
      <w:bookmarkStart w:id="63" w:name="_Hlk109282588"/>
      <w:r w:rsidR="00B55094" w:rsidRPr="00A81380">
        <w:rPr>
          <w:rStyle w:val="Refdenotaalpie"/>
          <w:rFonts w:eastAsia="Calibri"/>
          <w:kern w:val="2"/>
          <w:lang w:eastAsia="en-US"/>
        </w:rPr>
        <w:footnoteReference w:id="52"/>
      </w:r>
      <w:r w:rsidR="00B55094" w:rsidRPr="00A81380">
        <w:rPr>
          <w:rFonts w:eastAsia="Calibri"/>
          <w:kern w:val="2"/>
          <w:lang w:eastAsia="en-US"/>
        </w:rPr>
        <w:t>.</w:t>
      </w:r>
      <w:r w:rsidR="00F63832" w:rsidRPr="00A81380">
        <w:rPr>
          <w:rFonts w:eastAsia="Calibri"/>
          <w:kern w:val="2"/>
          <w:lang w:eastAsia="en-US"/>
        </w:rPr>
        <w:t xml:space="preserve"> Asimismo, el señor </w:t>
      </w:r>
      <w:proofErr w:type="spellStart"/>
      <w:r w:rsidR="00F63832" w:rsidRPr="00A81380">
        <w:rPr>
          <w:rFonts w:eastAsia="Calibri"/>
          <w:kern w:val="2"/>
          <w:lang w:eastAsia="en-US"/>
        </w:rPr>
        <w:t>Serrette</w:t>
      </w:r>
      <w:proofErr w:type="spellEnd"/>
      <w:r w:rsidR="00F63832" w:rsidRPr="00A81380">
        <w:rPr>
          <w:rFonts w:eastAsia="Calibri"/>
          <w:kern w:val="2"/>
          <w:lang w:eastAsia="en-US"/>
        </w:rPr>
        <w:t xml:space="preserve"> declaró que no se le suministró agua potable, debiendo a veces beber su propia orina</w:t>
      </w:r>
      <w:r w:rsidR="00F63832" w:rsidRPr="00A81380">
        <w:rPr>
          <w:rStyle w:val="Refdenotaalpie"/>
          <w:rFonts w:eastAsia="Calibri"/>
          <w:kern w:val="2"/>
          <w:lang w:eastAsia="en-US"/>
        </w:rPr>
        <w:footnoteReference w:id="53"/>
      </w:r>
      <w:r w:rsidR="00F63832" w:rsidRPr="00A81380">
        <w:rPr>
          <w:rFonts w:eastAsia="Calibri"/>
          <w:kern w:val="2"/>
          <w:lang w:eastAsia="en-US"/>
        </w:rPr>
        <w:t>.</w:t>
      </w:r>
      <w:bookmarkEnd w:id="63"/>
      <w:r w:rsidR="00AF3AD3" w:rsidRPr="00A81380">
        <w:rPr>
          <w:lang w:val="es-ES"/>
        </w:rPr>
        <w:t xml:space="preserve"> </w:t>
      </w:r>
      <w:r w:rsidR="00B10E30" w:rsidRPr="00A81380">
        <w:rPr>
          <w:lang w:val="es-ES"/>
        </w:rPr>
        <w:t>También i</w:t>
      </w:r>
      <w:r w:rsidR="00AF3AD3" w:rsidRPr="00A81380">
        <w:rPr>
          <w:lang w:val="es-ES"/>
        </w:rPr>
        <w:t>ndicó que permaneció e</w:t>
      </w:r>
      <w:r w:rsidR="00017123" w:rsidRPr="00A81380">
        <w:rPr>
          <w:lang w:val="es-ES"/>
        </w:rPr>
        <w:t xml:space="preserve">ncerrado en </w:t>
      </w:r>
      <w:r w:rsidR="00B036D1" w:rsidRPr="00A81380">
        <w:rPr>
          <w:lang w:val="es-ES"/>
        </w:rPr>
        <w:t>su</w:t>
      </w:r>
      <w:r w:rsidR="00880D09" w:rsidRPr="00A81380">
        <w:rPr>
          <w:lang w:val="es-ES"/>
        </w:rPr>
        <w:t xml:space="preserve"> </w:t>
      </w:r>
      <w:r w:rsidR="00017123" w:rsidRPr="00A81380">
        <w:rPr>
          <w:lang w:val="es-ES"/>
        </w:rPr>
        <w:t>celda la mayoría del tiempo, con la excepción de dos o tres ocasiones en la semana, durante las cuales podía ejercer ejercicio durante 45 minutos</w:t>
      </w:r>
      <w:r w:rsidR="00AF3AD3" w:rsidRPr="00A81380">
        <w:rPr>
          <w:rStyle w:val="Refdenotaalpie"/>
          <w:lang w:val="es-ES"/>
        </w:rPr>
        <w:footnoteReference w:id="54"/>
      </w:r>
      <w:r w:rsidR="00017123" w:rsidRPr="00A81380">
        <w:rPr>
          <w:lang w:val="es-ES"/>
        </w:rPr>
        <w:t xml:space="preserve">. A este respecto, las </w:t>
      </w:r>
      <w:r w:rsidR="00017123" w:rsidRPr="00A81380">
        <w:rPr>
          <w:rFonts w:cs="Arial"/>
        </w:rPr>
        <w:t>Reglas Mínimas de las Naciones para el Tratamiento de Reclusos establece</w:t>
      </w:r>
      <w:r w:rsidR="00B93C3B" w:rsidRPr="00A81380">
        <w:rPr>
          <w:rFonts w:cs="Arial"/>
        </w:rPr>
        <w:t>n</w:t>
      </w:r>
      <w:r w:rsidR="00017123" w:rsidRPr="00A81380">
        <w:rPr>
          <w:rFonts w:cs="Arial"/>
        </w:rPr>
        <w:t xml:space="preserve"> que “[e]l recluso que no se ocupe de un trabajo al aire libre deberá disponer, si el tiempo lo permite, de una hora al día por lo menos de ejercicio físico adecuado al aire libre”</w:t>
      </w:r>
      <w:r w:rsidR="00017123" w:rsidRPr="00A81380">
        <w:rPr>
          <w:rStyle w:val="Refdenotaalpie"/>
          <w:rFonts w:cs="Arial"/>
        </w:rPr>
        <w:footnoteReference w:id="55"/>
      </w:r>
      <w:r w:rsidR="00017123" w:rsidRPr="00A81380">
        <w:rPr>
          <w:rFonts w:cs="Arial"/>
        </w:rPr>
        <w:t xml:space="preserve">. </w:t>
      </w:r>
    </w:p>
    <w:p w14:paraId="37D1FBC2" w14:textId="77777777" w:rsidR="007D683C" w:rsidRPr="009E5CA3" w:rsidRDefault="007D683C" w:rsidP="007D683C">
      <w:pPr>
        <w:widowControl/>
        <w:tabs>
          <w:tab w:val="left" w:pos="567"/>
        </w:tabs>
        <w:adjustRightInd/>
        <w:spacing w:line="240" w:lineRule="auto"/>
        <w:contextualSpacing/>
        <w:textAlignment w:val="auto"/>
        <w:rPr>
          <w:rStyle w:val="markedcontent"/>
          <w:rFonts w:eastAsia="MS Mincho"/>
        </w:rPr>
      </w:pPr>
    </w:p>
    <w:p w14:paraId="2646FA30" w14:textId="465B50E6" w:rsidR="003A09EE" w:rsidRPr="009E5CA3" w:rsidRDefault="00D81BE9" w:rsidP="003A09EE">
      <w:pPr>
        <w:widowControl/>
        <w:numPr>
          <w:ilvl w:val="0"/>
          <w:numId w:val="4"/>
        </w:numPr>
        <w:tabs>
          <w:tab w:val="left" w:pos="567"/>
        </w:tabs>
        <w:adjustRightInd/>
        <w:spacing w:line="240" w:lineRule="auto"/>
        <w:ind w:left="0" w:firstLine="0"/>
        <w:contextualSpacing/>
        <w:textAlignment w:val="auto"/>
        <w:rPr>
          <w:rStyle w:val="markedcontent"/>
          <w:bCs/>
          <w:iCs/>
        </w:rPr>
      </w:pPr>
      <w:r w:rsidRPr="009E5CA3">
        <w:rPr>
          <w:rStyle w:val="markedcontent"/>
          <w:rFonts w:eastAsia="MS Mincho"/>
        </w:rPr>
        <w:t xml:space="preserve">La Corte recuerda que, como responsable de los </w:t>
      </w:r>
      <w:r w:rsidRPr="009E5CA3">
        <w:rPr>
          <w:lang w:val="es-ES_tradnl"/>
        </w:rPr>
        <w:t>establecimientos</w:t>
      </w:r>
      <w:r w:rsidRPr="009E5CA3">
        <w:rPr>
          <w:rStyle w:val="markedcontent"/>
          <w:rFonts w:eastAsia="MS Mincho"/>
        </w:rPr>
        <w:t xml:space="preserve"> de detención, el Estado debe garantizar a los reclusos la existencia de condiciones que dejen a salvo sus derechos. </w:t>
      </w:r>
      <w:r w:rsidRPr="009E5CA3">
        <w:rPr>
          <w:bCs/>
          <w:iCs/>
        </w:rPr>
        <w:t>En</w:t>
      </w:r>
      <w:r w:rsidRPr="009E5CA3">
        <w:rPr>
          <w:rStyle w:val="markedcontent"/>
          <w:rFonts w:eastAsia="MS Mincho"/>
        </w:rPr>
        <w:t xml:space="preserve"> otras oportunidades, este Tribunal ha señalado que mantener a una persona detenida en condiciones de hacinamiento, con falta de ventilación y luz natural, sin cama para su reposo ni condiciones adecuadas de higiene, en aislamiento e incomunicación o con restricciones indebidas al régimen de visitas constituye una violación a su integridad personal</w:t>
      </w:r>
      <w:bookmarkStart w:id="64" w:name="_Hlk117089483"/>
      <w:r w:rsidRPr="009E5CA3">
        <w:rPr>
          <w:rStyle w:val="Refdenotaalpie"/>
          <w:rFonts w:eastAsia="MS Mincho"/>
        </w:rPr>
        <w:footnoteReference w:id="56"/>
      </w:r>
      <w:bookmarkEnd w:id="64"/>
      <w:r w:rsidRPr="009E5CA3">
        <w:rPr>
          <w:rStyle w:val="markedcontent"/>
          <w:rFonts w:eastAsia="MS Mincho"/>
        </w:rPr>
        <w:t xml:space="preserve">. </w:t>
      </w:r>
      <w:r w:rsidR="003A09EE" w:rsidRPr="009E5CA3">
        <w:rPr>
          <w:rStyle w:val="markedcontent"/>
          <w:rFonts w:eastAsia="MS Mincho"/>
        </w:rPr>
        <w:t xml:space="preserve">Asimismo, </w:t>
      </w:r>
      <w:r w:rsidR="003A09EE" w:rsidRPr="009E5CA3">
        <w:rPr>
          <w:lang w:val="es-ES_tradnl"/>
        </w:rPr>
        <w:t xml:space="preserve">la Corte considera relevante tomar </w:t>
      </w:r>
      <w:r w:rsidR="003A09EE" w:rsidRPr="009E5CA3">
        <w:t xml:space="preserve">en consideración algunos parámetros impulsados por organismos internacionales respecto al mínimo aceptable en términos de espacio requerido para el desarrollo de una vida digna en </w:t>
      </w:r>
      <w:r w:rsidR="003A09EE" w:rsidRPr="003623A8">
        <w:t>prisión</w:t>
      </w:r>
      <w:r w:rsidR="003A09EE" w:rsidRPr="003623A8">
        <w:rPr>
          <w:rStyle w:val="Refdenotaalpie"/>
        </w:rPr>
        <w:footnoteReference w:id="57"/>
      </w:r>
      <w:r w:rsidR="003A09EE" w:rsidRPr="003623A8">
        <w:t>.</w:t>
      </w:r>
      <w:r w:rsidR="003C4D9C" w:rsidRPr="009E5CA3">
        <w:t xml:space="preserve"> </w:t>
      </w:r>
      <w:r w:rsidRPr="009E5CA3">
        <w:rPr>
          <w:rStyle w:val="markedcontent"/>
          <w:rFonts w:eastAsia="MS Mincho"/>
        </w:rPr>
        <w:t>También ha señalado que la ausencia de las condiciones mínimas que garanticen el suministro de agua potable dentro de un centro penitenciario constituye una falta grave del Estado a sus deberes de garantía hacia las personas que se encuentran bajo su custodia, toda vez que las circunstancias propias del encierro impiden que las personas privadas de libertad satisfagan por cuenta propia una serie de necesidades básicas que son esenciales para el desarrollo de una vida digna, tales como el acceso a agua suficiente y salubre</w:t>
      </w:r>
      <w:r w:rsidRPr="009E5CA3">
        <w:rPr>
          <w:rStyle w:val="Refdenotaalpie"/>
          <w:rFonts w:eastAsia="MS Mincho"/>
        </w:rPr>
        <w:footnoteReference w:id="58"/>
      </w:r>
      <w:r w:rsidRPr="009E5CA3">
        <w:rPr>
          <w:rStyle w:val="markedcontent"/>
          <w:rFonts w:eastAsia="MS Mincho"/>
        </w:rPr>
        <w:t>.</w:t>
      </w:r>
    </w:p>
    <w:p w14:paraId="6E5FF9F7" w14:textId="77777777" w:rsidR="003A09EE" w:rsidRPr="009E5CA3" w:rsidRDefault="003A09EE" w:rsidP="003A09EE">
      <w:pPr>
        <w:widowControl/>
        <w:tabs>
          <w:tab w:val="left" w:pos="567"/>
        </w:tabs>
        <w:adjustRightInd/>
        <w:spacing w:line="240" w:lineRule="auto"/>
        <w:contextualSpacing/>
        <w:textAlignment w:val="auto"/>
        <w:rPr>
          <w:rStyle w:val="markedcontent"/>
          <w:bCs/>
          <w:iCs/>
        </w:rPr>
      </w:pPr>
    </w:p>
    <w:p w14:paraId="40E1B00F" w14:textId="24BEF7F6" w:rsidR="003A09EE" w:rsidRPr="009E5CA3" w:rsidRDefault="003A09EE" w:rsidP="003A09EE">
      <w:pPr>
        <w:widowControl/>
        <w:numPr>
          <w:ilvl w:val="0"/>
          <w:numId w:val="4"/>
        </w:numPr>
        <w:tabs>
          <w:tab w:val="left" w:pos="567"/>
        </w:tabs>
        <w:adjustRightInd/>
        <w:spacing w:line="240" w:lineRule="auto"/>
        <w:ind w:left="0" w:firstLine="0"/>
        <w:contextualSpacing/>
        <w:textAlignment w:val="auto"/>
        <w:rPr>
          <w:bCs/>
          <w:iCs/>
        </w:rPr>
      </w:pPr>
      <w:r w:rsidRPr="009E5CA3">
        <w:t xml:space="preserve">Adicionalmente, la Corte advierte que el Comité de Derechos Humanos de Naciones Unidas ha tenido oportunidad de analizar las condiciones de detención de ciertas cárceles de Trinidad y Tobago en la época de los hechos del presente caso. Así, en el caso </w:t>
      </w:r>
      <w:r w:rsidRPr="009E5CA3">
        <w:rPr>
          <w:i/>
          <w:iCs/>
        </w:rPr>
        <w:t>Evans contra Trinidad y Tobago</w:t>
      </w:r>
      <w:r w:rsidRPr="009E5CA3">
        <w:t>, dicho Comité analizó</w:t>
      </w:r>
      <w:r w:rsidR="00C23BE2">
        <w:t>, entre otros,</w:t>
      </w:r>
      <w:r w:rsidRPr="009E5CA3">
        <w:t xml:space="preserve"> las condiciones de detención de la víctima mientras estuvo en el corredor de la muerte entre 4 de julio de 1988 y el 4 de enero de 1994, y determinó que dichas condiciones violaron el artículo 10.1 del Pacto Internacional de Derechos Civiles y Políticos que prescribe que “[t]oda persona privada de libertad será tratada humanamente y con el respeto debido a la dignidad inherente al ser humano”</w:t>
      </w:r>
      <w:r w:rsidRPr="009E5CA3">
        <w:rPr>
          <w:rStyle w:val="Refdenotaalpie"/>
        </w:rPr>
        <w:footnoteReference w:id="59"/>
      </w:r>
      <w:r w:rsidRPr="009E5CA3">
        <w:t xml:space="preserve">. En el mismo sentido se pronunció el Comité en el caso </w:t>
      </w:r>
      <w:r w:rsidRPr="009E5CA3">
        <w:rPr>
          <w:i/>
          <w:iCs/>
        </w:rPr>
        <w:t>Glenroy Francis y otros contra Trinidad y Tobago</w:t>
      </w:r>
      <w:r w:rsidRPr="009E5CA3">
        <w:t xml:space="preserve"> sobre las condiciones de detención en las cárceles de </w:t>
      </w:r>
      <w:r w:rsidRPr="00C26612">
        <w:rPr>
          <w:i/>
          <w:iCs/>
        </w:rPr>
        <w:t>Golden Grove</w:t>
      </w:r>
      <w:r w:rsidRPr="009E5CA3">
        <w:t xml:space="preserve"> y Puerto España desde el año 1986 hasta al año 1997, tanto cuando las víctimas estuvieron en prisión preventiva, como tras su condena a pena de muerte</w:t>
      </w:r>
      <w:r w:rsidRPr="009E5CA3">
        <w:rPr>
          <w:rStyle w:val="Refdenotaalpie"/>
          <w:rFonts w:eastAsia="MS Mincho" w:cs="Arial"/>
        </w:rPr>
        <w:footnoteReference w:id="60"/>
      </w:r>
      <w:r w:rsidRPr="009E5CA3">
        <w:rPr>
          <w:rStyle w:val="markedcontent"/>
          <w:rFonts w:eastAsia="MS Mincho" w:cs="Arial"/>
        </w:rPr>
        <w:t>.</w:t>
      </w:r>
      <w:r w:rsidRPr="009E5CA3">
        <w:t xml:space="preserve"> Otro caso destacable es el caso </w:t>
      </w:r>
      <w:r w:rsidRPr="009E5CA3">
        <w:rPr>
          <w:i/>
          <w:iCs/>
        </w:rPr>
        <w:t>Teesdale contra Trinidad y Tobago</w:t>
      </w:r>
      <w:r w:rsidRPr="009E5CA3">
        <w:t>, donde el Comité también determinó que las condiciones de detención del señor Teesdale entre el año 1988 y el año 1996 (tanto cuando estuvo en situación de detención preventiva como tras la condena a pena de muerte) violaron,</w:t>
      </w:r>
      <w:r w:rsidR="00C23BE2">
        <w:t xml:space="preserve"> entre otros,</w:t>
      </w:r>
      <w:r w:rsidRPr="009E5CA3">
        <w:t xml:space="preserve"> el referido artículo 10.1 del Pacto Internacional de Derechos Civiles y Políticos</w:t>
      </w:r>
      <w:r w:rsidRPr="009E5CA3">
        <w:rPr>
          <w:rStyle w:val="Refdenotaalpie"/>
          <w:bCs/>
          <w:iCs/>
        </w:rPr>
        <w:footnoteReference w:id="61"/>
      </w:r>
      <w:r w:rsidRPr="009E5CA3">
        <w:t>.</w:t>
      </w:r>
    </w:p>
    <w:p w14:paraId="6DF4CF6A" w14:textId="77777777" w:rsidR="003A09EE" w:rsidRPr="009E5CA3" w:rsidRDefault="003A09EE" w:rsidP="003A09EE">
      <w:pPr>
        <w:widowControl/>
        <w:tabs>
          <w:tab w:val="left" w:pos="567"/>
        </w:tabs>
        <w:adjustRightInd/>
        <w:spacing w:line="240" w:lineRule="auto"/>
        <w:contextualSpacing/>
        <w:textAlignment w:val="auto"/>
        <w:rPr>
          <w:rStyle w:val="markedcontent"/>
          <w:bCs/>
          <w:iCs/>
        </w:rPr>
      </w:pPr>
    </w:p>
    <w:p w14:paraId="0F211B62" w14:textId="528ECB8A" w:rsidR="007D683C" w:rsidRPr="009E5CA3" w:rsidRDefault="008623AF" w:rsidP="007D683C">
      <w:pPr>
        <w:numPr>
          <w:ilvl w:val="0"/>
          <w:numId w:val="4"/>
        </w:numPr>
        <w:tabs>
          <w:tab w:val="left" w:pos="567"/>
          <w:tab w:val="num" w:pos="1569"/>
          <w:tab w:val="num" w:pos="12305"/>
        </w:tabs>
        <w:spacing w:line="240" w:lineRule="auto"/>
        <w:ind w:left="0" w:firstLine="0"/>
        <w:rPr>
          <w:lang w:val="es-ES" w:eastAsia="es-ES" w:bidi="en-US"/>
        </w:rPr>
      </w:pPr>
      <w:r w:rsidRPr="009E5CA3">
        <w:rPr>
          <w:rStyle w:val="markedcontent"/>
          <w:rFonts w:eastAsia="MS Mincho"/>
        </w:rPr>
        <w:t xml:space="preserve">En vista de lo anterior, el Tribunal </w:t>
      </w:r>
      <w:r w:rsidR="00196FF2" w:rsidRPr="009E5CA3">
        <w:rPr>
          <w:rStyle w:val="markedcontent"/>
          <w:rFonts w:eastAsia="MS Mincho"/>
        </w:rPr>
        <w:t>determina</w:t>
      </w:r>
      <w:r w:rsidRPr="009E5CA3">
        <w:rPr>
          <w:rStyle w:val="markedcontent"/>
          <w:rFonts w:eastAsia="MS Mincho"/>
        </w:rPr>
        <w:t xml:space="preserve"> que el Estado no ha cumplido l</w:t>
      </w:r>
      <w:r w:rsidR="003F25E5" w:rsidRPr="009E5CA3">
        <w:rPr>
          <w:rStyle w:val="markedcontent"/>
          <w:rFonts w:eastAsia="MS Mincho"/>
        </w:rPr>
        <w:t>a</w:t>
      </w:r>
      <w:r w:rsidRPr="009E5CA3">
        <w:rPr>
          <w:rStyle w:val="markedcontent"/>
          <w:rFonts w:eastAsia="MS Mincho"/>
        </w:rPr>
        <w:t xml:space="preserve">s </w:t>
      </w:r>
      <w:r w:rsidR="003F25E5" w:rsidRPr="009E5CA3">
        <w:rPr>
          <w:rStyle w:val="markedcontent"/>
          <w:rFonts w:eastAsia="MS Mincho"/>
        </w:rPr>
        <w:t>condiciones</w:t>
      </w:r>
      <w:r w:rsidR="003C4D9C" w:rsidRPr="009E5CA3">
        <w:rPr>
          <w:rStyle w:val="markedcontent"/>
          <w:rFonts w:eastAsia="MS Mincho"/>
        </w:rPr>
        <w:t xml:space="preserve"> </w:t>
      </w:r>
      <w:r w:rsidRPr="009E5CA3">
        <w:rPr>
          <w:rStyle w:val="markedcontent"/>
          <w:rFonts w:eastAsia="MS Mincho"/>
        </w:rPr>
        <w:t>mínim</w:t>
      </w:r>
      <w:r w:rsidR="003F25E5" w:rsidRPr="009E5CA3">
        <w:rPr>
          <w:rStyle w:val="markedcontent"/>
          <w:rFonts w:eastAsia="MS Mincho"/>
        </w:rPr>
        <w:t>a</w:t>
      </w:r>
      <w:r w:rsidRPr="009E5CA3">
        <w:rPr>
          <w:rStyle w:val="markedcontent"/>
          <w:rFonts w:eastAsia="MS Mincho"/>
        </w:rPr>
        <w:t xml:space="preserve">s </w:t>
      </w:r>
      <w:r w:rsidR="00C26612">
        <w:rPr>
          <w:rStyle w:val="markedcontent"/>
          <w:rFonts w:eastAsia="MS Mincho"/>
        </w:rPr>
        <w:t>de</w:t>
      </w:r>
      <w:r w:rsidRPr="009E5CA3">
        <w:rPr>
          <w:rStyle w:val="markedcontent"/>
          <w:rFonts w:eastAsia="MS Mincho"/>
        </w:rPr>
        <w:t xml:space="preserve"> la detención de los señores </w:t>
      </w:r>
      <w:proofErr w:type="spellStart"/>
      <w:r w:rsidRPr="009E5CA3">
        <w:rPr>
          <w:rStyle w:val="markedcontent"/>
          <w:rFonts w:eastAsia="MS Mincho"/>
        </w:rPr>
        <w:t>Bissoon</w:t>
      </w:r>
      <w:proofErr w:type="spellEnd"/>
      <w:r w:rsidRPr="009E5CA3">
        <w:rPr>
          <w:rStyle w:val="markedcontent"/>
          <w:rFonts w:eastAsia="MS Mincho"/>
        </w:rPr>
        <w:t xml:space="preserve"> y </w:t>
      </w:r>
      <w:proofErr w:type="spellStart"/>
      <w:r w:rsidRPr="009E5CA3">
        <w:rPr>
          <w:rStyle w:val="markedcontent"/>
          <w:rFonts w:eastAsia="MS Mincho"/>
        </w:rPr>
        <w:t>Serrette</w:t>
      </w:r>
      <w:proofErr w:type="spellEnd"/>
      <w:r w:rsidR="00C26612">
        <w:rPr>
          <w:rStyle w:val="markedcontent"/>
          <w:rFonts w:eastAsia="MS Mincho"/>
        </w:rPr>
        <w:t xml:space="preserve"> durante el per</w:t>
      </w:r>
      <w:r w:rsidR="00C23BE2">
        <w:rPr>
          <w:rStyle w:val="markedcontent"/>
          <w:rFonts w:eastAsia="MS Mincho"/>
        </w:rPr>
        <w:t>í</w:t>
      </w:r>
      <w:r w:rsidR="00C26612">
        <w:rPr>
          <w:rStyle w:val="markedcontent"/>
          <w:rFonts w:eastAsia="MS Mincho"/>
        </w:rPr>
        <w:t>odo en que estuvieron en prisión preventiva</w:t>
      </w:r>
      <w:r w:rsidRPr="009E5CA3">
        <w:rPr>
          <w:rStyle w:val="markedcontent"/>
          <w:rFonts w:eastAsia="MS Mincho"/>
        </w:rPr>
        <w:t xml:space="preserve">. </w:t>
      </w:r>
      <w:r w:rsidR="007D683C" w:rsidRPr="009E5CA3">
        <w:rPr>
          <w:lang w:val="es-ES" w:eastAsia="es-ES" w:bidi="en-US"/>
        </w:rPr>
        <w:t xml:space="preserve">Por tal motivo, la Corte concluye que los señores </w:t>
      </w:r>
      <w:proofErr w:type="spellStart"/>
      <w:r w:rsidR="00CC5354" w:rsidRPr="009E5CA3">
        <w:rPr>
          <w:rStyle w:val="markedcontent"/>
          <w:rFonts w:eastAsia="MS Mincho"/>
        </w:rPr>
        <w:t>Bissoon</w:t>
      </w:r>
      <w:proofErr w:type="spellEnd"/>
      <w:r w:rsidR="00CC5354" w:rsidRPr="009E5CA3">
        <w:rPr>
          <w:rStyle w:val="markedcontent"/>
          <w:rFonts w:eastAsia="MS Mincho"/>
        </w:rPr>
        <w:t xml:space="preserve"> y </w:t>
      </w:r>
      <w:proofErr w:type="spellStart"/>
      <w:r w:rsidR="00CC5354" w:rsidRPr="009E5CA3">
        <w:rPr>
          <w:rStyle w:val="markedcontent"/>
          <w:rFonts w:eastAsia="MS Mincho"/>
        </w:rPr>
        <w:t>Serrette</w:t>
      </w:r>
      <w:proofErr w:type="spellEnd"/>
      <w:r w:rsidR="00CC5354" w:rsidRPr="009E5CA3">
        <w:rPr>
          <w:lang w:val="es-ES" w:eastAsia="es-ES" w:bidi="en-US"/>
        </w:rPr>
        <w:t xml:space="preserve"> </w:t>
      </w:r>
      <w:r w:rsidR="007D683C" w:rsidRPr="009E5CA3">
        <w:rPr>
          <w:lang w:val="es-ES" w:eastAsia="es-ES" w:bidi="en-US"/>
        </w:rPr>
        <w:t>enfrentaron graves sufrimientos psíquicos en unas condiciones de detención que no cumplieron con los estándares internacionales en la materia, lo cual fue violatorio de su derecho a la integridad física, psíquica y moral, contenido en el artículo 5.1 de la Convención Americana y ha constituido un trato cruel, inhumano y degradante contrario al artículo 5.2 de la misma, todo ello con relación al artículo 1.1 del mismo instrumento.</w:t>
      </w:r>
    </w:p>
    <w:p w14:paraId="1D214CB4" w14:textId="506FBF28" w:rsidR="00935AEC" w:rsidRPr="009E5CA3" w:rsidRDefault="00883164" w:rsidP="007D683C">
      <w:pPr>
        <w:pStyle w:val="Ttulo1"/>
        <w:rPr>
          <w:lang w:val="es-ES"/>
        </w:rPr>
      </w:pPr>
      <w:bookmarkStart w:id="65" w:name="_Toc120891061"/>
      <w:r w:rsidRPr="009E5CA3">
        <w:rPr>
          <w:lang w:val="es-ES"/>
        </w:rPr>
        <w:t>VI</w:t>
      </w:r>
      <w:r w:rsidR="007C3BB6" w:rsidRPr="009E5CA3">
        <w:rPr>
          <w:lang w:val="es-ES"/>
        </w:rPr>
        <w:t>I</w:t>
      </w:r>
      <w:r w:rsidR="005B0504" w:rsidRPr="009E5CA3">
        <w:rPr>
          <w:lang w:val="es-ES"/>
        </w:rPr>
        <w:br/>
        <w:t>REPARACIONES</w:t>
      </w:r>
      <w:bookmarkStart w:id="66" w:name="_Toc495658707"/>
      <w:bookmarkStart w:id="67" w:name="_Toc470180115"/>
      <w:bookmarkStart w:id="68" w:name="_Toc459158160"/>
      <w:bookmarkStart w:id="69" w:name="_Toc375517156"/>
      <w:bookmarkStart w:id="70" w:name="_Toc514172675"/>
      <w:bookmarkStart w:id="71" w:name="_Toc15933784"/>
      <w:bookmarkStart w:id="72" w:name="_Toc16270623"/>
      <w:bookmarkEnd w:id="53"/>
      <w:bookmarkEnd w:id="54"/>
      <w:bookmarkEnd w:id="55"/>
      <w:bookmarkEnd w:id="56"/>
      <w:bookmarkEnd w:id="57"/>
      <w:bookmarkEnd w:id="58"/>
      <w:bookmarkEnd w:id="59"/>
      <w:bookmarkEnd w:id="60"/>
      <w:bookmarkEnd w:id="65"/>
    </w:p>
    <w:p w14:paraId="73D320BD" w14:textId="1434F1FF" w:rsidR="005B0504" w:rsidRPr="009E5CA3" w:rsidRDefault="005B0504" w:rsidP="00A129F7">
      <w:pPr>
        <w:numPr>
          <w:ilvl w:val="0"/>
          <w:numId w:val="4"/>
        </w:numPr>
        <w:tabs>
          <w:tab w:val="left" w:pos="567"/>
          <w:tab w:val="num" w:pos="1569"/>
          <w:tab w:val="num" w:pos="12305"/>
        </w:tabs>
        <w:spacing w:line="240" w:lineRule="auto"/>
        <w:ind w:left="0" w:firstLine="0"/>
        <w:rPr>
          <w:lang w:val="es-ES" w:bidi="en-US"/>
        </w:rPr>
      </w:pPr>
      <w:r w:rsidRPr="009E5CA3">
        <w:rPr>
          <w:lang w:val="es-ES" w:eastAsia="es-ES" w:bidi="en-US"/>
        </w:rPr>
        <w:t>Sobre</w:t>
      </w:r>
      <w:r w:rsidRPr="009E5CA3">
        <w:rPr>
          <w:lang w:val="es-ES" w:bidi="en-US"/>
        </w:rPr>
        <w:t xml:space="preserve"> </w:t>
      </w:r>
      <w:r w:rsidRPr="009E5CA3">
        <w:rPr>
          <w:bCs/>
          <w:lang w:val="es-ES" w:bidi="en-US"/>
        </w:rPr>
        <w:t>la</w:t>
      </w:r>
      <w:r w:rsidRPr="009E5CA3">
        <w:rPr>
          <w:lang w:val="es-ES" w:bidi="en-US"/>
        </w:rPr>
        <w:t xml:space="preserve"> base de lo dispuesto en el artículo 63.1 de la Convención American</w:t>
      </w:r>
      <w:r w:rsidR="000B64C0" w:rsidRPr="009E5CA3">
        <w:rPr>
          <w:lang w:val="es-ES" w:bidi="en-US"/>
        </w:rPr>
        <w:t>a</w:t>
      </w:r>
      <w:r w:rsidRPr="009E5CA3">
        <w:rPr>
          <w:lang w:val="es-ES" w:bidi="en-US"/>
        </w:rPr>
        <w:t xml:space="preserve">, la Corte ha indicado que toda violación de una obligación internacional que haya producido daño comporta el deber de repararlo </w:t>
      </w:r>
      <w:r w:rsidRPr="009E5CA3">
        <w:rPr>
          <w:lang w:val="es-ES"/>
        </w:rPr>
        <w:t>adecuadamente</w:t>
      </w:r>
      <w:r w:rsidRPr="009E5CA3">
        <w:rPr>
          <w:lang w:val="es-ES" w:bidi="en-US"/>
        </w:rPr>
        <w:t xml:space="preserve"> y que esa disposición recoge una norma consuetudinaria que constituye uno </w:t>
      </w:r>
      <w:r w:rsidRPr="009E5CA3">
        <w:rPr>
          <w:lang w:val="es-ES"/>
        </w:rPr>
        <w:t>de</w:t>
      </w:r>
      <w:r w:rsidRPr="009E5CA3">
        <w:rPr>
          <w:lang w:val="es-ES" w:bidi="en-US"/>
        </w:rPr>
        <w:t xml:space="preserve"> los principios fundamentales del Derecho Internacional contemporáneo sobre responsabilidad de un Estado</w:t>
      </w:r>
      <w:r w:rsidRPr="009E5CA3">
        <w:rPr>
          <w:vertAlign w:val="superscript"/>
          <w:lang w:val="es-ES" w:bidi="en-US"/>
        </w:rPr>
        <w:footnoteReference w:id="62"/>
      </w:r>
      <w:r w:rsidRPr="009E5CA3">
        <w:rPr>
          <w:lang w:val="es-ES" w:bidi="en-US"/>
        </w:rPr>
        <w:t>.</w:t>
      </w:r>
    </w:p>
    <w:p w14:paraId="059BDE09" w14:textId="77777777" w:rsidR="00B21AF4" w:rsidRPr="009E5CA3" w:rsidRDefault="00B21AF4" w:rsidP="00E06F63">
      <w:pPr>
        <w:pStyle w:val="Normal1"/>
        <w:widowControl/>
        <w:contextualSpacing/>
        <w:jc w:val="both"/>
        <w:rPr>
          <w:rFonts w:ascii="Verdana" w:hAnsi="Verdana"/>
          <w:sz w:val="20"/>
          <w:szCs w:val="20"/>
          <w:lang w:val="es-ES" w:bidi="en-US"/>
        </w:rPr>
      </w:pPr>
    </w:p>
    <w:p w14:paraId="47A1BDFC" w14:textId="77777777" w:rsidR="005B0504" w:rsidRPr="009E5CA3" w:rsidRDefault="005B0504" w:rsidP="00A129F7">
      <w:pPr>
        <w:numPr>
          <w:ilvl w:val="0"/>
          <w:numId w:val="4"/>
        </w:numPr>
        <w:tabs>
          <w:tab w:val="left" w:pos="567"/>
          <w:tab w:val="num" w:pos="1569"/>
          <w:tab w:val="num" w:pos="12305"/>
        </w:tabs>
        <w:spacing w:line="240" w:lineRule="auto"/>
        <w:ind w:left="0" w:firstLine="0"/>
        <w:rPr>
          <w:lang w:val="es-ES" w:bidi="en-US"/>
        </w:rPr>
      </w:pPr>
      <w:r w:rsidRPr="009E5CA3">
        <w:rPr>
          <w:bCs/>
          <w:lang w:val="es-ES" w:bidi="en-US"/>
        </w:rPr>
        <w:t xml:space="preserve">La </w:t>
      </w:r>
      <w:r w:rsidRPr="009E5CA3">
        <w:rPr>
          <w:lang w:val="es-ES" w:eastAsia="es-ES" w:bidi="en-US"/>
        </w:rPr>
        <w:t>reparación</w:t>
      </w:r>
      <w:r w:rsidRPr="009E5CA3">
        <w:rPr>
          <w:bCs/>
          <w:lang w:val="es-ES" w:bidi="en-US"/>
        </w:rPr>
        <w:t xml:space="preserve"> del daño ocasionado por la infracción de una obligación internacional requiere, </w:t>
      </w:r>
      <w:r w:rsidRPr="009E5CA3">
        <w:rPr>
          <w:lang w:val="es-ES" w:eastAsia="es-ES_tradnl"/>
        </w:rPr>
        <w:t>siempre</w:t>
      </w:r>
      <w:r w:rsidRPr="009E5CA3">
        <w:rPr>
          <w:bCs/>
          <w:lang w:val="es-ES" w:bidi="en-US"/>
        </w:rPr>
        <w:t xml:space="preserve"> que sea posible, la plena restitución (</w:t>
      </w:r>
      <w:r w:rsidRPr="009E5CA3">
        <w:rPr>
          <w:bCs/>
          <w:i/>
          <w:lang w:val="es-ES" w:bidi="en-US"/>
        </w:rPr>
        <w:t>restitutio in integrum</w:t>
      </w:r>
      <w:r w:rsidRPr="009E5CA3">
        <w:rPr>
          <w:bCs/>
          <w:lang w:val="es-ES" w:bidi="en-US"/>
        </w:rPr>
        <w:t xml:space="preserve">), que consiste en el restablecimiento de la </w:t>
      </w:r>
      <w:r w:rsidRPr="009E5CA3">
        <w:rPr>
          <w:lang w:val="es-ES"/>
        </w:rPr>
        <w:t>situación</w:t>
      </w:r>
      <w:r w:rsidRPr="009E5CA3">
        <w:rPr>
          <w:bCs/>
          <w:lang w:val="es-ES" w:bidi="en-US"/>
        </w:rPr>
        <w:t xml:space="preserve"> anterior. De no ser esto factible, como ocurre en la mayoría de los casos de violaciones a derechos humanos, el Tribunal determinará medidas para garantizar los derechos conculcados y reparar las consecuencias que las infracciones produjeron</w:t>
      </w:r>
      <w:r w:rsidRPr="009E5CA3">
        <w:rPr>
          <w:vertAlign w:val="superscript"/>
          <w:lang w:val="es-ES" w:bidi="en-US"/>
        </w:rPr>
        <w:footnoteReference w:id="63"/>
      </w:r>
      <w:r w:rsidRPr="009E5CA3">
        <w:rPr>
          <w:bCs/>
          <w:lang w:val="es-ES" w:bidi="en-US"/>
        </w:rPr>
        <w:t xml:space="preserve">. Por tanto, </w:t>
      </w:r>
      <w:r w:rsidRPr="009E5CA3">
        <w:rPr>
          <w:lang w:val="es-ES" w:bidi="en-US"/>
        </w:rPr>
        <w:t xml:space="preserve">la Corte ha </w:t>
      </w:r>
      <w:r w:rsidRPr="009E5CA3">
        <w:rPr>
          <w:lang w:val="es-ES"/>
        </w:rPr>
        <w:t>considerado</w:t>
      </w:r>
      <w:r w:rsidRPr="009E5CA3">
        <w:rPr>
          <w:lang w:val="es-ES"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9E5CA3">
        <w:rPr>
          <w:vertAlign w:val="superscript"/>
          <w:lang w:val="es-ES" w:bidi="en-US"/>
        </w:rPr>
        <w:footnoteReference w:id="64"/>
      </w:r>
      <w:r w:rsidRPr="009E5CA3">
        <w:rPr>
          <w:lang w:val="es-ES" w:bidi="en-US"/>
        </w:rPr>
        <w:t>.</w:t>
      </w:r>
    </w:p>
    <w:p w14:paraId="230247A9" w14:textId="77777777" w:rsidR="00C12182" w:rsidRPr="009E5CA3" w:rsidRDefault="00C12182" w:rsidP="00E06F63">
      <w:pPr>
        <w:pStyle w:val="Normal1"/>
        <w:widowControl/>
        <w:contextualSpacing/>
        <w:jc w:val="both"/>
        <w:rPr>
          <w:rFonts w:ascii="Verdana" w:hAnsi="Verdana"/>
          <w:sz w:val="20"/>
          <w:szCs w:val="20"/>
          <w:lang w:val="es-ES" w:bidi="en-US"/>
        </w:rPr>
      </w:pPr>
    </w:p>
    <w:p w14:paraId="2983F371" w14:textId="77777777" w:rsidR="005B0504" w:rsidRPr="009E5CA3" w:rsidRDefault="005B0504" w:rsidP="00A129F7">
      <w:pPr>
        <w:numPr>
          <w:ilvl w:val="0"/>
          <w:numId w:val="4"/>
        </w:numPr>
        <w:tabs>
          <w:tab w:val="left" w:pos="567"/>
          <w:tab w:val="num" w:pos="1569"/>
          <w:tab w:val="num" w:pos="12305"/>
        </w:tabs>
        <w:spacing w:line="240" w:lineRule="auto"/>
        <w:ind w:left="0" w:firstLine="0"/>
        <w:rPr>
          <w:lang w:val="es-ES" w:bidi="en-US"/>
        </w:rPr>
      </w:pPr>
      <w:r w:rsidRPr="009E5CA3">
        <w:rPr>
          <w:lang w:val="es-ES" w:bidi="en-US"/>
        </w:rPr>
        <w:t xml:space="preserve">La </w:t>
      </w:r>
      <w:r w:rsidRPr="009E5CA3">
        <w:rPr>
          <w:bCs/>
          <w:lang w:val="es-ES" w:bidi="en-US"/>
        </w:rPr>
        <w:t>Corte</w:t>
      </w:r>
      <w:r w:rsidRPr="009E5CA3">
        <w:rPr>
          <w:lang w:val="es-ES" w:bidi="en-US"/>
        </w:rPr>
        <w:t xml:space="preserve"> ha </w:t>
      </w:r>
      <w:r w:rsidRPr="009E5CA3">
        <w:rPr>
          <w:lang w:val="es-ES"/>
        </w:rPr>
        <w:t>establecido</w:t>
      </w:r>
      <w:r w:rsidRPr="009E5CA3">
        <w:rPr>
          <w:lang w:val="es-ES" w:bidi="en-US"/>
        </w:rPr>
        <w:t xml:space="preserve"> que las reparaciones deben tener un nexo causal con los hechos del caso, las violaciones declaradas, los daños acreditados, así como las medidas solicitadas para reparar los daños respectivos. </w:t>
      </w:r>
      <w:r w:rsidRPr="009E5CA3">
        <w:rPr>
          <w:lang w:val="es-ES"/>
        </w:rPr>
        <w:t>Por</w:t>
      </w:r>
      <w:r w:rsidRPr="009E5CA3">
        <w:rPr>
          <w:lang w:val="es-ES" w:bidi="en-US"/>
        </w:rPr>
        <w:t xml:space="preserve"> lo tanto, la Corte deberá observar dicha concurrencia para pronunciarse debidamente y conforme a derecho</w:t>
      </w:r>
      <w:r w:rsidRPr="009E5CA3">
        <w:rPr>
          <w:vertAlign w:val="superscript"/>
          <w:lang w:val="es-ES" w:bidi="en-US"/>
        </w:rPr>
        <w:footnoteReference w:id="65"/>
      </w:r>
      <w:r w:rsidRPr="009E5CA3">
        <w:rPr>
          <w:lang w:val="es-ES" w:bidi="en-US"/>
        </w:rPr>
        <w:t>.</w:t>
      </w:r>
    </w:p>
    <w:p w14:paraId="461EEFBF" w14:textId="77777777" w:rsidR="00C12182" w:rsidRPr="009E5CA3" w:rsidRDefault="00C12182" w:rsidP="00E06F63">
      <w:pPr>
        <w:pStyle w:val="Normal1"/>
        <w:widowControl/>
        <w:contextualSpacing/>
        <w:jc w:val="both"/>
        <w:rPr>
          <w:rFonts w:ascii="Verdana" w:hAnsi="Verdana"/>
          <w:sz w:val="20"/>
          <w:szCs w:val="20"/>
          <w:lang w:val="es-ES" w:bidi="en-US"/>
        </w:rPr>
      </w:pPr>
    </w:p>
    <w:p w14:paraId="07442040" w14:textId="3CFE469C" w:rsidR="002D77E4" w:rsidRPr="009E5CA3" w:rsidRDefault="005B0504" w:rsidP="00A129F7">
      <w:pPr>
        <w:numPr>
          <w:ilvl w:val="0"/>
          <w:numId w:val="4"/>
        </w:numPr>
        <w:tabs>
          <w:tab w:val="left" w:pos="567"/>
          <w:tab w:val="num" w:pos="1569"/>
          <w:tab w:val="num" w:pos="12305"/>
        </w:tabs>
        <w:spacing w:line="240" w:lineRule="auto"/>
        <w:ind w:left="0" w:firstLine="0"/>
        <w:rPr>
          <w:lang w:val="es-ES" w:bidi="en-US"/>
        </w:rPr>
      </w:pPr>
      <w:r w:rsidRPr="009E5CA3">
        <w:rPr>
          <w:lang w:val="es-ES"/>
        </w:rPr>
        <w:t xml:space="preserve">Tomando en cuenta las violaciones a la Convención Americana declaradas en </w:t>
      </w:r>
      <w:r w:rsidR="00403D28" w:rsidRPr="009E5CA3">
        <w:rPr>
          <w:lang w:val="es-ES"/>
        </w:rPr>
        <w:t>el capítulo anterior</w:t>
      </w:r>
      <w:r w:rsidRPr="009E5CA3">
        <w:rPr>
          <w:lang w:val="es-ES"/>
        </w:rPr>
        <w:t>, a la luz de los criterios fijados en la jurisprudencia del Tribunal en relación con la naturaleza y alcances de la obligación de reparar</w:t>
      </w:r>
      <w:r w:rsidRPr="009E5CA3">
        <w:rPr>
          <w:rFonts w:eastAsia="Calibri"/>
          <w:vertAlign w:val="superscript"/>
          <w:lang w:val="es-ES"/>
        </w:rPr>
        <w:footnoteReference w:id="66"/>
      </w:r>
      <w:r w:rsidRPr="009E5CA3">
        <w:rPr>
          <w:lang w:val="es-ES"/>
        </w:rPr>
        <w:t xml:space="preserve">, la Corte analizará las pretensiones presentadas por la Comisión y </w:t>
      </w:r>
      <w:r w:rsidR="006B3C00" w:rsidRPr="009E5CA3">
        <w:rPr>
          <w:lang w:val="es-ES"/>
        </w:rPr>
        <w:t>los</w:t>
      </w:r>
      <w:r w:rsidR="00D96F43" w:rsidRPr="009E5CA3">
        <w:rPr>
          <w:lang w:val="es-ES"/>
        </w:rPr>
        <w:t xml:space="preserve"> representante</w:t>
      </w:r>
      <w:r w:rsidR="006B3C00" w:rsidRPr="009E5CA3">
        <w:rPr>
          <w:lang w:val="es-ES"/>
        </w:rPr>
        <w:t>s</w:t>
      </w:r>
      <w:r w:rsidRPr="009E5CA3">
        <w:rPr>
          <w:lang w:val="es-ES"/>
        </w:rPr>
        <w:t>, así como los argumentos del Estado al respecto, con el objeto de disponer a continuación las medidas tendientes a reparar dichas violaciones.</w:t>
      </w:r>
    </w:p>
    <w:p w14:paraId="71C212FD" w14:textId="77777777" w:rsidR="002D77E4" w:rsidRPr="009E5CA3" w:rsidRDefault="002D77E4" w:rsidP="002D77E4">
      <w:pPr>
        <w:pStyle w:val="Ttulo2"/>
        <w:rPr>
          <w:lang w:val="es-ES"/>
        </w:rPr>
      </w:pPr>
      <w:bookmarkStart w:id="73" w:name="_Toc33017896"/>
      <w:bookmarkStart w:id="74" w:name="_Toc120891062"/>
      <w:r w:rsidRPr="009E5CA3">
        <w:rPr>
          <w:lang w:val="es-ES"/>
        </w:rPr>
        <w:t>A. Parte lesionada</w:t>
      </w:r>
      <w:bookmarkEnd w:id="73"/>
      <w:bookmarkEnd w:id="74"/>
    </w:p>
    <w:p w14:paraId="3D5F5DEF" w14:textId="0663E284" w:rsidR="002D77E4" w:rsidRPr="009E5CA3" w:rsidRDefault="002D77E4" w:rsidP="00A129F7">
      <w:pPr>
        <w:numPr>
          <w:ilvl w:val="0"/>
          <w:numId w:val="4"/>
        </w:numPr>
        <w:tabs>
          <w:tab w:val="left" w:pos="567"/>
          <w:tab w:val="num" w:pos="1569"/>
          <w:tab w:val="num" w:pos="12305"/>
        </w:tabs>
        <w:spacing w:line="240" w:lineRule="auto"/>
        <w:ind w:left="0" w:firstLine="0"/>
        <w:rPr>
          <w:lang w:val="es-ES" w:eastAsia="es-ES_tradnl"/>
        </w:rPr>
      </w:pPr>
      <w:r w:rsidRPr="009E5CA3">
        <w:rPr>
          <w:lang w:val="es-ES" w:eastAsia="es-ES_tradnl"/>
        </w:rPr>
        <w:t xml:space="preserve">Este Tribunal considera parte lesionada, en los términos del artículo 63.1 de la </w:t>
      </w:r>
      <w:r w:rsidRPr="009E5CA3">
        <w:rPr>
          <w:lang w:val="es-ES"/>
        </w:rPr>
        <w:t>Convención</w:t>
      </w:r>
      <w:r w:rsidRPr="009E5CA3">
        <w:rPr>
          <w:lang w:val="es-ES" w:eastAsia="es-ES_tradnl"/>
        </w:rPr>
        <w:t xml:space="preserve">, a </w:t>
      </w:r>
      <w:r w:rsidRPr="009E5CA3">
        <w:rPr>
          <w:lang w:val="es-ES" w:eastAsia="es-ES" w:bidi="en-US"/>
        </w:rPr>
        <w:t>quienes</w:t>
      </w:r>
      <w:r w:rsidRPr="009E5CA3">
        <w:rPr>
          <w:lang w:val="es-ES" w:eastAsia="es-ES_tradnl"/>
        </w:rPr>
        <w:t xml:space="preserve"> han sido </w:t>
      </w:r>
      <w:r w:rsidRPr="009E5CA3">
        <w:rPr>
          <w:lang w:val="es-ES" w:eastAsia="es-ES" w:bidi="en-US"/>
        </w:rPr>
        <w:t>declaradas</w:t>
      </w:r>
      <w:r w:rsidRPr="009E5CA3">
        <w:rPr>
          <w:lang w:val="es-ES" w:eastAsia="es-ES_tradnl"/>
        </w:rPr>
        <w:t xml:space="preserve"> víctimas de la violación de algún derecho reconocido en la misma. Por lo tanto, esta Corte considera como “</w:t>
      </w:r>
      <w:r w:rsidRPr="009E5CA3">
        <w:rPr>
          <w:lang w:val="es-ES"/>
        </w:rPr>
        <w:t>parte</w:t>
      </w:r>
      <w:r w:rsidRPr="009E5CA3">
        <w:rPr>
          <w:lang w:val="es-ES" w:eastAsia="es-ES_tradnl"/>
        </w:rPr>
        <w:t xml:space="preserve"> lesionada” </w:t>
      </w:r>
      <w:r w:rsidR="002C2DDC" w:rsidRPr="009E5CA3">
        <w:rPr>
          <w:lang w:val="es-ES" w:eastAsia="es-ES_tradnl"/>
        </w:rPr>
        <w:t>a los señores</w:t>
      </w:r>
      <w:r w:rsidR="008209CC" w:rsidRPr="009E5CA3">
        <w:rPr>
          <w:lang w:val="es-ES" w:eastAsia="es-ES_tradnl"/>
        </w:rPr>
        <w:t xml:space="preserve"> </w:t>
      </w:r>
      <w:proofErr w:type="spellStart"/>
      <w:r w:rsidR="008209CC" w:rsidRPr="009E5CA3">
        <w:rPr>
          <w:lang w:val="es-ES" w:eastAsia="es-ES_tradnl"/>
        </w:rPr>
        <w:t>Reshi</w:t>
      </w:r>
      <w:proofErr w:type="spellEnd"/>
      <w:r w:rsidR="008209CC" w:rsidRPr="009E5CA3">
        <w:rPr>
          <w:lang w:val="es-ES" w:eastAsia="es-ES_tradnl"/>
        </w:rPr>
        <w:t xml:space="preserve"> </w:t>
      </w:r>
      <w:proofErr w:type="spellStart"/>
      <w:r w:rsidR="008209CC" w:rsidRPr="009E5CA3">
        <w:rPr>
          <w:lang w:val="es-ES" w:eastAsia="es-ES_tradnl"/>
        </w:rPr>
        <w:t>Bissoon</w:t>
      </w:r>
      <w:proofErr w:type="spellEnd"/>
      <w:r w:rsidR="008209CC" w:rsidRPr="009E5CA3">
        <w:rPr>
          <w:lang w:val="es-ES" w:eastAsia="es-ES_tradnl"/>
        </w:rPr>
        <w:t xml:space="preserve"> </w:t>
      </w:r>
      <w:r w:rsidR="002C2DDC" w:rsidRPr="009E5CA3">
        <w:rPr>
          <w:lang w:val="es-ES" w:eastAsia="es-ES_tradnl"/>
        </w:rPr>
        <w:t xml:space="preserve">y Foster </w:t>
      </w:r>
      <w:proofErr w:type="spellStart"/>
      <w:r w:rsidR="002C2DDC" w:rsidRPr="009E5CA3">
        <w:rPr>
          <w:lang w:val="es-ES" w:eastAsia="es-ES_tradnl"/>
        </w:rPr>
        <w:t>Serrette</w:t>
      </w:r>
      <w:proofErr w:type="spellEnd"/>
      <w:r w:rsidR="002C2DDC" w:rsidRPr="009E5CA3">
        <w:rPr>
          <w:lang w:val="es-ES" w:eastAsia="es-ES_tradnl"/>
        </w:rPr>
        <w:t xml:space="preserve"> quienes</w:t>
      </w:r>
      <w:r w:rsidR="006652D3" w:rsidRPr="009E5CA3">
        <w:rPr>
          <w:lang w:val="es-ES" w:eastAsia="es-ES_tradnl"/>
        </w:rPr>
        <w:t>,</w:t>
      </w:r>
      <w:r w:rsidRPr="009E5CA3">
        <w:rPr>
          <w:lang w:val="es-ES" w:eastAsia="es-ES_tradnl"/>
        </w:rPr>
        <w:t xml:space="preserve"> en su carácter de víctima</w:t>
      </w:r>
      <w:r w:rsidR="002C2DDC" w:rsidRPr="009E5CA3">
        <w:rPr>
          <w:lang w:val="es-ES" w:eastAsia="es-ES_tradnl"/>
        </w:rPr>
        <w:t>s</w:t>
      </w:r>
      <w:r w:rsidRPr="009E5CA3">
        <w:rPr>
          <w:lang w:val="es-ES" w:eastAsia="es-ES_tradnl"/>
        </w:rPr>
        <w:t xml:space="preserve"> de las violaciones declaradas en </w:t>
      </w:r>
      <w:r w:rsidR="007537A3" w:rsidRPr="009E5CA3">
        <w:rPr>
          <w:lang w:val="es-ES" w:eastAsia="es-ES_tradnl"/>
        </w:rPr>
        <w:t>el</w:t>
      </w:r>
      <w:r w:rsidRPr="009E5CA3">
        <w:rPr>
          <w:lang w:val="es-ES" w:eastAsia="es-ES_tradnl"/>
        </w:rPr>
        <w:t xml:space="preserve"> capítulo</w:t>
      </w:r>
      <w:r w:rsidR="007537A3" w:rsidRPr="009E5CA3">
        <w:rPr>
          <w:lang w:val="es-ES" w:eastAsia="es-ES_tradnl"/>
        </w:rPr>
        <w:t xml:space="preserve"> </w:t>
      </w:r>
      <w:r w:rsidR="008209CC" w:rsidRPr="009E5CA3">
        <w:rPr>
          <w:lang w:val="es-ES" w:eastAsia="es-ES_tradnl"/>
        </w:rPr>
        <w:t>VI</w:t>
      </w:r>
      <w:r w:rsidR="007537A3" w:rsidRPr="009E5CA3">
        <w:rPr>
          <w:lang w:val="es-ES" w:eastAsia="es-ES_tradnl"/>
        </w:rPr>
        <w:t xml:space="preserve"> </w:t>
      </w:r>
      <w:r w:rsidR="006652D3" w:rsidRPr="009E5CA3">
        <w:rPr>
          <w:lang w:val="es-ES" w:eastAsia="es-ES_tradnl"/>
        </w:rPr>
        <w:t xml:space="preserve">de la presente Sentencia, </w:t>
      </w:r>
      <w:r w:rsidRPr="009E5CA3">
        <w:rPr>
          <w:lang w:val="es-ES" w:eastAsia="es-ES_tradnl"/>
        </w:rPr>
        <w:t>será</w:t>
      </w:r>
      <w:r w:rsidR="002C2DDC" w:rsidRPr="009E5CA3">
        <w:rPr>
          <w:lang w:val="es-ES" w:eastAsia="es-ES_tradnl"/>
        </w:rPr>
        <w:t>n</w:t>
      </w:r>
      <w:r w:rsidRPr="009E5CA3">
        <w:rPr>
          <w:lang w:val="es-ES" w:eastAsia="es-ES_tradnl"/>
        </w:rPr>
        <w:t xml:space="preserve"> beneficiario</w:t>
      </w:r>
      <w:r w:rsidR="002C2DDC" w:rsidRPr="009E5CA3">
        <w:rPr>
          <w:lang w:val="es-ES" w:eastAsia="es-ES_tradnl"/>
        </w:rPr>
        <w:t>s</w:t>
      </w:r>
      <w:r w:rsidRPr="009E5CA3">
        <w:rPr>
          <w:lang w:val="es-ES" w:eastAsia="es-ES_tradnl"/>
        </w:rPr>
        <w:t xml:space="preserve"> de las reparaciones que la Corte ordene. </w:t>
      </w:r>
    </w:p>
    <w:p w14:paraId="6E48424D" w14:textId="77777777" w:rsidR="008209CC" w:rsidRPr="009E5CA3" w:rsidRDefault="008209CC" w:rsidP="008209CC">
      <w:pPr>
        <w:pStyle w:val="Ttulo2"/>
      </w:pPr>
      <w:bookmarkStart w:id="75" w:name="_Toc108695521"/>
      <w:bookmarkStart w:id="76" w:name="_Toc120891063"/>
      <w:bookmarkStart w:id="77" w:name="_Toc85193238"/>
      <w:bookmarkStart w:id="78" w:name="_Toc108695525"/>
      <w:bookmarkStart w:id="79" w:name="_Toc514172674"/>
      <w:bookmarkStart w:id="80" w:name="_Toc476390748"/>
      <w:bookmarkStart w:id="81" w:name="_Toc495658706"/>
      <w:bookmarkStart w:id="82" w:name="_Toc15933783"/>
      <w:bookmarkStart w:id="83" w:name="_Toc33017907"/>
      <w:bookmarkEnd w:id="66"/>
      <w:bookmarkEnd w:id="67"/>
      <w:bookmarkEnd w:id="68"/>
      <w:bookmarkEnd w:id="69"/>
      <w:bookmarkEnd w:id="70"/>
      <w:bookmarkEnd w:id="71"/>
      <w:bookmarkEnd w:id="72"/>
      <w:r w:rsidRPr="009E5CA3">
        <w:rPr>
          <w:lang w:val="es-ES"/>
        </w:rPr>
        <w:t>B. Medidas</w:t>
      </w:r>
      <w:r w:rsidRPr="009E5CA3">
        <w:t xml:space="preserve"> de satisfacción</w:t>
      </w:r>
      <w:bookmarkEnd w:id="75"/>
      <w:bookmarkEnd w:id="76"/>
    </w:p>
    <w:p w14:paraId="56B48FA4" w14:textId="60266969" w:rsidR="00234BF2" w:rsidRPr="00A81380" w:rsidRDefault="00234BF2" w:rsidP="00234BF2">
      <w:pPr>
        <w:numPr>
          <w:ilvl w:val="0"/>
          <w:numId w:val="4"/>
        </w:numPr>
        <w:tabs>
          <w:tab w:val="left" w:pos="567"/>
          <w:tab w:val="num" w:pos="1569"/>
          <w:tab w:val="num" w:pos="12305"/>
        </w:tabs>
        <w:spacing w:line="240" w:lineRule="auto"/>
        <w:ind w:left="0" w:firstLine="0"/>
        <w:rPr>
          <w:lang w:val="es-ES" w:eastAsia="es-ES_tradnl"/>
        </w:rPr>
      </w:pPr>
      <w:r w:rsidRPr="00A81380">
        <w:rPr>
          <w:rFonts w:eastAsia="MS Mincho"/>
          <w:lang w:val="es-ES" w:bidi="en-US"/>
        </w:rPr>
        <w:t xml:space="preserve">Si bien ni la Comisión </w:t>
      </w:r>
      <w:r w:rsidR="00C26612">
        <w:rPr>
          <w:rFonts w:eastAsia="MS Mincho"/>
          <w:lang w:val="es-ES" w:bidi="en-US"/>
        </w:rPr>
        <w:t>ni</w:t>
      </w:r>
      <w:r w:rsidRPr="00A81380">
        <w:rPr>
          <w:rFonts w:eastAsia="MS Mincho"/>
          <w:lang w:val="es-ES" w:bidi="en-US"/>
        </w:rPr>
        <w:t xml:space="preserve"> los representantes solicitaron medidas de satisfacción, la </w:t>
      </w:r>
      <w:r w:rsidRPr="00A81380">
        <w:rPr>
          <w:rFonts w:eastAsia="MS Mincho"/>
          <w:b/>
          <w:bCs/>
          <w:i/>
          <w:iCs/>
          <w:lang w:val="es-ES" w:bidi="en-US"/>
        </w:rPr>
        <w:t>Corte</w:t>
      </w:r>
      <w:r w:rsidRPr="00A81380">
        <w:rPr>
          <w:rFonts w:eastAsia="MS Mincho"/>
          <w:lang w:val="es-ES" w:bidi="en-US"/>
        </w:rPr>
        <w:t xml:space="preserve"> </w:t>
      </w:r>
      <w:r w:rsidR="00D87B94" w:rsidRPr="00A81380">
        <w:rPr>
          <w:rFonts w:eastAsia="MS Mincho"/>
          <w:lang w:val="es-ES" w:bidi="en-US"/>
        </w:rPr>
        <w:t>decide</w:t>
      </w:r>
      <w:r w:rsidRPr="00A81380">
        <w:rPr>
          <w:rFonts w:eastAsia="MS Mincho"/>
          <w:lang w:val="es-ES" w:bidi="en-US"/>
        </w:rPr>
        <w:t>, como lo ha dispuesto en otros casos</w:t>
      </w:r>
      <w:r w:rsidRPr="00A81380">
        <w:rPr>
          <w:rStyle w:val="Refdenotaalpie"/>
          <w:rFonts w:eastAsia="MS Mincho"/>
          <w:lang w:val="es-ES" w:bidi="en-US"/>
        </w:rPr>
        <w:footnoteReference w:id="67"/>
      </w:r>
      <w:r w:rsidRPr="00A81380">
        <w:rPr>
          <w:rFonts w:eastAsia="MS Mincho"/>
          <w:lang w:val="es-ES" w:bidi="en-US"/>
        </w:rPr>
        <w:t xml:space="preserve">, que el Estado debe publicar, en el plazo de seis meses, contado a partir de la notificación de la presente Sentencia: a) el resumen oficial de la presente Sentencia elaborado por la </w:t>
      </w:r>
      <w:r w:rsidRPr="00A81380">
        <w:rPr>
          <w:lang w:val="es-ES"/>
        </w:rPr>
        <w:t>Corte</w:t>
      </w:r>
      <w:r w:rsidRPr="00A81380">
        <w:rPr>
          <w:rFonts w:eastAsia="MS Mincho"/>
          <w:lang w:val="es-ES" w:bidi="en-US"/>
        </w:rPr>
        <w:t xml:space="preserve">, por una sola vez, en el Diario Oficial de </w:t>
      </w:r>
      <w:bookmarkStart w:id="84" w:name="_Hlk110590306"/>
      <w:r w:rsidRPr="00A81380">
        <w:rPr>
          <w:rFonts w:eastAsia="MS Mincho"/>
          <w:lang w:val="es-ES" w:bidi="en-US"/>
        </w:rPr>
        <w:t xml:space="preserve">Trinidad y Tobago </w:t>
      </w:r>
      <w:bookmarkEnd w:id="84"/>
      <w:r w:rsidRPr="00A81380">
        <w:rPr>
          <w:rFonts w:eastAsia="MS Mincho"/>
          <w:lang w:val="es-ES" w:bidi="en-US"/>
        </w:rPr>
        <w:t>en un tamaño de letra legible y adecuado</w:t>
      </w:r>
      <w:r w:rsidR="00F55C96" w:rsidRPr="00A81380">
        <w:rPr>
          <w:rFonts w:eastAsia="MS Mincho"/>
          <w:lang w:val="es-ES" w:bidi="en-US"/>
        </w:rPr>
        <w:t>;</w:t>
      </w:r>
      <w:r w:rsidR="00F55C96" w:rsidRPr="00A81380">
        <w:t xml:space="preserve"> b) el resumen oficial de la presente Sentencia elaborado por la Corte, por una sola vez, en un medio de comunicación de amplia circulación nacional en un tamaño de letra legible y adecuado,</w:t>
      </w:r>
      <w:r w:rsidRPr="00A81380">
        <w:rPr>
          <w:rFonts w:eastAsia="MS Mincho"/>
          <w:lang w:val="es-ES" w:bidi="en-US"/>
        </w:rPr>
        <w:t xml:space="preserve"> y </w:t>
      </w:r>
      <w:r w:rsidR="00F55C96" w:rsidRPr="00A81380">
        <w:rPr>
          <w:rFonts w:eastAsia="MS Mincho"/>
          <w:lang w:val="es-ES" w:bidi="en-US"/>
        </w:rPr>
        <w:t>c</w:t>
      </w:r>
      <w:r w:rsidRPr="00A81380">
        <w:rPr>
          <w:rFonts w:eastAsia="MS Mincho"/>
          <w:lang w:val="es-ES" w:bidi="en-US"/>
        </w:rPr>
        <w:t>) la presente Sentencia en su integridad, disponible por un per</w:t>
      </w:r>
      <w:r w:rsidR="007660E2" w:rsidRPr="00A81380">
        <w:rPr>
          <w:rFonts w:eastAsia="MS Mincho"/>
          <w:lang w:val="es-ES" w:bidi="en-US"/>
        </w:rPr>
        <w:t>i</w:t>
      </w:r>
      <w:r w:rsidRPr="00A81380">
        <w:rPr>
          <w:rFonts w:eastAsia="MS Mincho"/>
          <w:lang w:val="es-ES" w:bidi="en-US"/>
        </w:rPr>
        <w:t xml:space="preserve">odo </w:t>
      </w:r>
      <w:r w:rsidRPr="00A81380">
        <w:rPr>
          <w:rFonts w:eastAsia="MS Mincho"/>
          <w:lang w:val="es-ES" w:bidi="en-US"/>
        </w:rPr>
        <w:lastRenderedPageBreak/>
        <w:t xml:space="preserve">de un año, en un sitio </w:t>
      </w:r>
      <w:r w:rsidRPr="00A81380">
        <w:rPr>
          <w:rFonts w:eastAsia="MS Mincho"/>
          <w:iCs/>
          <w:lang w:val="es-ES" w:bidi="en-US"/>
        </w:rPr>
        <w:t>web</w:t>
      </w:r>
      <w:r w:rsidRPr="00A81380">
        <w:rPr>
          <w:rFonts w:eastAsia="MS Mincho"/>
          <w:lang w:val="es-ES" w:bidi="en-US"/>
        </w:rPr>
        <w:t xml:space="preserve"> oficial del Estado,</w:t>
      </w:r>
      <w:r w:rsidRPr="00A81380">
        <w:t xml:space="preserve"> de manera accesible al público y desde la página de inicio del sitio web</w:t>
      </w:r>
      <w:r w:rsidRPr="00A81380">
        <w:rPr>
          <w:rFonts w:eastAsia="MS Mincho"/>
          <w:lang w:val="es-ES" w:bidi="en-US"/>
        </w:rPr>
        <w:t>.</w:t>
      </w:r>
      <w:r w:rsidRPr="00A81380">
        <w:rPr>
          <w:rFonts w:eastAsia="MS Mincho"/>
          <w:i/>
          <w:lang w:val="es-ES" w:bidi="en-US"/>
        </w:rPr>
        <w:t xml:space="preserve"> </w:t>
      </w:r>
      <w:r w:rsidRPr="00A81380">
        <w:rPr>
          <w:rFonts w:eastAsiaTheme="minorHAnsi" w:cs="Verdana"/>
          <w:lang w:val="es-ES" w:eastAsia="en-US"/>
        </w:rPr>
        <w:t xml:space="preserve">El Estado deberá informar de forma inmediata a este Tribunal una vez que proceda a realizar </w:t>
      </w:r>
      <w:r w:rsidRPr="00A81380">
        <w:rPr>
          <w:rFonts w:eastAsia="Verdana" w:cs="Verdana"/>
          <w:lang w:val="es-ES"/>
        </w:rPr>
        <w:t>cada</w:t>
      </w:r>
      <w:r w:rsidRPr="00A81380">
        <w:rPr>
          <w:rFonts w:eastAsiaTheme="minorHAnsi" w:cs="Verdana"/>
          <w:lang w:val="es-ES" w:eastAsia="en-US"/>
        </w:rPr>
        <w:t xml:space="preserve"> una </w:t>
      </w:r>
      <w:r w:rsidRPr="00A81380">
        <w:rPr>
          <w:rFonts w:eastAsia="MS Mincho"/>
          <w:lang w:val="es-ES" w:bidi="en-US"/>
        </w:rPr>
        <w:t>de</w:t>
      </w:r>
      <w:r w:rsidRPr="00A81380">
        <w:rPr>
          <w:rFonts w:eastAsiaTheme="minorHAnsi" w:cs="Verdana"/>
          <w:lang w:val="es-ES" w:eastAsia="en-US"/>
        </w:rPr>
        <w:t xml:space="preserve"> las publicaciones dispuestas, independientemente del plazo de un año para presentar su primer informe dispuesto en el punto resolutivo </w:t>
      </w:r>
      <w:r w:rsidR="00D971B2">
        <w:rPr>
          <w:rFonts w:eastAsiaTheme="minorHAnsi" w:cs="Verdana"/>
          <w:lang w:val="es-ES" w:eastAsia="en-US"/>
        </w:rPr>
        <w:t>sexto</w:t>
      </w:r>
      <w:r w:rsidR="00D971B2" w:rsidRPr="00A81380">
        <w:rPr>
          <w:rFonts w:eastAsiaTheme="minorHAnsi" w:cs="Verdana"/>
          <w:lang w:val="es-ES" w:eastAsia="en-US"/>
        </w:rPr>
        <w:t xml:space="preserve"> </w:t>
      </w:r>
      <w:r w:rsidRPr="00A81380">
        <w:rPr>
          <w:rFonts w:eastAsiaTheme="minorHAnsi" w:cs="Verdana"/>
          <w:lang w:val="es-ES" w:eastAsia="en-US"/>
        </w:rPr>
        <w:t xml:space="preserve">de la Sentencia. </w:t>
      </w:r>
    </w:p>
    <w:p w14:paraId="1FD50576" w14:textId="77777777" w:rsidR="003A09EE" w:rsidRPr="009E5CA3" w:rsidRDefault="003A09EE" w:rsidP="003A09EE">
      <w:pPr>
        <w:pStyle w:val="Ttulo2"/>
        <w:rPr>
          <w:lang w:val="es-ES"/>
        </w:rPr>
      </w:pPr>
      <w:bookmarkStart w:id="85" w:name="_Toc111143324"/>
      <w:bookmarkStart w:id="86" w:name="_Toc120891064"/>
      <w:r w:rsidRPr="009E5CA3">
        <w:rPr>
          <w:lang w:val="es-ES"/>
        </w:rPr>
        <w:t>C. Otras medidas solicitadas</w:t>
      </w:r>
      <w:bookmarkEnd w:id="85"/>
      <w:bookmarkEnd w:id="86"/>
    </w:p>
    <w:p w14:paraId="27B4D302" w14:textId="102665FE" w:rsidR="003A09EE" w:rsidRPr="009E5CA3" w:rsidRDefault="003A09EE" w:rsidP="003A09EE">
      <w:pPr>
        <w:numPr>
          <w:ilvl w:val="0"/>
          <w:numId w:val="4"/>
        </w:numPr>
        <w:tabs>
          <w:tab w:val="left" w:pos="567"/>
          <w:tab w:val="num" w:pos="1569"/>
          <w:tab w:val="num" w:pos="12305"/>
        </w:tabs>
        <w:spacing w:line="240" w:lineRule="auto"/>
        <w:ind w:left="0" w:firstLine="0"/>
        <w:rPr>
          <w:rFonts w:eastAsia="Arial" w:cs="Arial"/>
          <w:bCs/>
          <w:lang w:val="es-ES"/>
        </w:rPr>
      </w:pPr>
      <w:r w:rsidRPr="009E5CA3">
        <w:rPr>
          <w:rFonts w:eastAsia="Arial" w:cs="Arial"/>
          <w:bCs/>
          <w:lang w:val="es-ES"/>
        </w:rPr>
        <w:t>La</w:t>
      </w:r>
      <w:r w:rsidRPr="009E5CA3">
        <w:rPr>
          <w:rFonts w:eastAsia="Arial" w:cs="Arial"/>
          <w:b/>
          <w:lang w:val="es-ES"/>
        </w:rPr>
        <w:t xml:space="preserve"> </w:t>
      </w:r>
      <w:r w:rsidRPr="009E5CA3">
        <w:rPr>
          <w:rFonts w:eastAsia="Arial" w:cs="Arial"/>
          <w:b/>
          <w:i/>
          <w:iCs/>
          <w:lang w:val="es-ES"/>
        </w:rPr>
        <w:t>Comisión</w:t>
      </w:r>
      <w:r w:rsidRPr="009E5CA3">
        <w:rPr>
          <w:rFonts w:eastAsia="Arial" w:cs="Arial"/>
          <w:b/>
          <w:lang w:val="es-ES"/>
        </w:rPr>
        <w:t xml:space="preserve"> </w:t>
      </w:r>
      <w:r w:rsidRPr="009E5CA3">
        <w:rPr>
          <w:rFonts w:eastAsia="Arial" w:cs="Arial"/>
          <w:bCs/>
          <w:lang w:val="es-ES"/>
        </w:rPr>
        <w:t>recomendó</w:t>
      </w:r>
      <w:r w:rsidRPr="009E5CA3">
        <w:rPr>
          <w:rFonts w:eastAsia="Arial" w:cs="Arial"/>
          <w:b/>
          <w:lang w:val="es-ES"/>
        </w:rPr>
        <w:t xml:space="preserve"> </w:t>
      </w:r>
      <w:r w:rsidRPr="009E5CA3">
        <w:rPr>
          <w:rFonts w:eastAsia="Arial" w:cs="Arial"/>
          <w:bCs/>
          <w:lang w:val="es-ES"/>
        </w:rPr>
        <w:t xml:space="preserve">que el Estado revisara su “legislación, procedimiento y prácticas” para asegurar que las personas acusadas de “crímenes capitales” sean juzgadas en un plazo razonable después de su detención y que, en caso de que sean condenadas, la condena se produzca de conformidad con los derechos establecidos en la Declaración Americana y, en particular, con los derechos al juicio justo, </w:t>
      </w:r>
      <w:r w:rsidR="00024FCC" w:rsidRPr="009E5CA3">
        <w:rPr>
          <w:rFonts w:eastAsia="Arial" w:cs="Arial"/>
          <w:bCs/>
          <w:lang w:val="es-ES"/>
        </w:rPr>
        <w:t xml:space="preserve">debido </w:t>
      </w:r>
      <w:r w:rsidRPr="009E5CA3">
        <w:rPr>
          <w:rFonts w:eastAsia="Arial" w:cs="Arial"/>
          <w:bCs/>
          <w:lang w:val="es-ES"/>
        </w:rPr>
        <w:t>proceso y al tratamiento humano durante la privación de su libertad.</w:t>
      </w:r>
    </w:p>
    <w:p w14:paraId="3C4844C4" w14:textId="77777777" w:rsidR="009C6243" w:rsidRPr="009E5CA3" w:rsidRDefault="009C6243" w:rsidP="009C6243">
      <w:pPr>
        <w:tabs>
          <w:tab w:val="left" w:pos="567"/>
        </w:tabs>
        <w:spacing w:line="240" w:lineRule="auto"/>
        <w:rPr>
          <w:rFonts w:eastAsia="Arial" w:cs="Arial"/>
          <w:bCs/>
          <w:lang w:val="es-ES"/>
        </w:rPr>
      </w:pPr>
    </w:p>
    <w:p w14:paraId="6DF6590A" w14:textId="6E75940C" w:rsidR="009C6243" w:rsidRPr="009E5CA3" w:rsidRDefault="009C6243" w:rsidP="009C6243">
      <w:pPr>
        <w:numPr>
          <w:ilvl w:val="0"/>
          <w:numId w:val="4"/>
        </w:numPr>
        <w:tabs>
          <w:tab w:val="left" w:pos="567"/>
          <w:tab w:val="num" w:pos="1569"/>
          <w:tab w:val="num" w:pos="12305"/>
        </w:tabs>
        <w:spacing w:line="240" w:lineRule="auto"/>
        <w:ind w:left="0" w:firstLine="0"/>
        <w:rPr>
          <w:rFonts w:eastAsia="Arial" w:cs="Arial"/>
          <w:bCs/>
          <w:lang w:val="es-ES"/>
        </w:rPr>
      </w:pPr>
      <w:r w:rsidRPr="009E5CA3">
        <w:rPr>
          <w:rFonts w:eastAsia="Arial" w:cs="Arial"/>
          <w:bCs/>
          <w:lang w:val="es-ES"/>
        </w:rPr>
        <w:t xml:space="preserve">Asimismo, la Comisión recomendó que el Estado asegurara que las condiciones de la prisión </w:t>
      </w:r>
      <w:r w:rsidRPr="00C26612">
        <w:rPr>
          <w:rFonts w:eastAsia="Arial" w:cs="Arial"/>
          <w:bCs/>
          <w:i/>
          <w:iCs/>
          <w:lang w:val="es-ES"/>
        </w:rPr>
        <w:t xml:space="preserve">Frederick Street </w:t>
      </w:r>
      <w:proofErr w:type="spellStart"/>
      <w:r w:rsidRPr="00C26612">
        <w:rPr>
          <w:rFonts w:eastAsia="Arial" w:cs="Arial"/>
          <w:bCs/>
          <w:i/>
          <w:iCs/>
          <w:lang w:val="es-ES"/>
        </w:rPr>
        <w:t>Prison</w:t>
      </w:r>
      <w:proofErr w:type="spellEnd"/>
      <w:r w:rsidRPr="009E5CA3">
        <w:rPr>
          <w:rFonts w:eastAsia="Arial" w:cs="Arial"/>
          <w:bCs/>
          <w:lang w:val="es-ES"/>
        </w:rPr>
        <w:t xml:space="preserve"> en Puerto de España sean compatibles con estándares internacionales de derechos humanos, de conformidad con el derecho a la protección en contra de penas crueles, infamantes o inusitadas (artículo XXVI de la Declaración Americana). </w:t>
      </w:r>
    </w:p>
    <w:p w14:paraId="6BC2C634" w14:textId="77777777" w:rsidR="009C6243" w:rsidRPr="009E5CA3" w:rsidRDefault="009C6243" w:rsidP="00862269">
      <w:pPr>
        <w:tabs>
          <w:tab w:val="left" w:pos="567"/>
        </w:tabs>
        <w:spacing w:line="240" w:lineRule="auto"/>
        <w:rPr>
          <w:rFonts w:eastAsia="Arial" w:cs="Arial"/>
          <w:bCs/>
          <w:lang w:val="es-ES"/>
        </w:rPr>
      </w:pPr>
    </w:p>
    <w:p w14:paraId="162FA139" w14:textId="5FCE9E16" w:rsidR="009C6243" w:rsidRPr="009E5CA3" w:rsidRDefault="009C6243" w:rsidP="009C6243">
      <w:pPr>
        <w:numPr>
          <w:ilvl w:val="0"/>
          <w:numId w:val="4"/>
        </w:numPr>
        <w:tabs>
          <w:tab w:val="left" w:pos="567"/>
          <w:tab w:val="num" w:pos="1569"/>
          <w:tab w:val="num" w:pos="12305"/>
        </w:tabs>
        <w:spacing w:line="240" w:lineRule="auto"/>
        <w:ind w:left="0" w:firstLine="0"/>
        <w:rPr>
          <w:rFonts w:eastAsia="Arial" w:cs="Arial"/>
          <w:bCs/>
          <w:lang w:val="es-ES"/>
        </w:rPr>
      </w:pPr>
      <w:r w:rsidRPr="009E5CA3">
        <w:rPr>
          <w:rFonts w:eastAsia="Arial" w:cs="Arial"/>
          <w:bCs/>
          <w:lang w:val="es-ES"/>
        </w:rPr>
        <w:t>Por otro lado, la Comisión recomendó al Estado de Trinidad y Tobago abolir la pena de muerte, incluida la pena de muerte obligatoria.</w:t>
      </w:r>
      <w:r w:rsidR="003C4D9C" w:rsidRPr="009E5CA3">
        <w:rPr>
          <w:rFonts w:eastAsia="Arial" w:cs="Arial"/>
          <w:bCs/>
          <w:lang w:val="es-ES"/>
        </w:rPr>
        <w:t xml:space="preserve"> </w:t>
      </w:r>
    </w:p>
    <w:p w14:paraId="6CFCBCAD" w14:textId="77777777" w:rsidR="009C6243" w:rsidRPr="009E5CA3" w:rsidRDefault="009C6243" w:rsidP="00862269">
      <w:pPr>
        <w:tabs>
          <w:tab w:val="left" w:pos="567"/>
        </w:tabs>
        <w:spacing w:line="240" w:lineRule="auto"/>
        <w:rPr>
          <w:rFonts w:eastAsia="Arial" w:cs="Arial"/>
          <w:bCs/>
          <w:lang w:val="es-ES"/>
        </w:rPr>
      </w:pPr>
    </w:p>
    <w:p w14:paraId="7F466517" w14:textId="021220F9" w:rsidR="00CD6D41" w:rsidRPr="003E142D" w:rsidRDefault="009C6243" w:rsidP="00CD6D41">
      <w:pPr>
        <w:numPr>
          <w:ilvl w:val="0"/>
          <w:numId w:val="4"/>
        </w:numPr>
        <w:tabs>
          <w:tab w:val="left" w:pos="567"/>
          <w:tab w:val="num" w:pos="1569"/>
          <w:tab w:val="num" w:pos="12305"/>
        </w:tabs>
        <w:spacing w:line="240" w:lineRule="auto"/>
        <w:ind w:left="0" w:firstLine="0"/>
      </w:pPr>
      <w:r w:rsidRPr="009E5CA3">
        <w:rPr>
          <w:rFonts w:eastAsia="Arial" w:cs="Arial"/>
          <w:bCs/>
          <w:lang w:val="es-ES"/>
        </w:rPr>
        <w:t xml:space="preserve">Por último, </w:t>
      </w:r>
      <w:r w:rsidRPr="009E5CA3">
        <w:rPr>
          <w:rFonts w:cs="Arial"/>
        </w:rPr>
        <w:t xml:space="preserve">la </w:t>
      </w:r>
      <w:r w:rsidRPr="00862269">
        <w:rPr>
          <w:rFonts w:cs="Arial"/>
          <w:bCs/>
          <w:iCs/>
        </w:rPr>
        <w:t>Comisión</w:t>
      </w:r>
      <w:r w:rsidRPr="009E5CA3">
        <w:rPr>
          <w:rFonts w:cs="Arial"/>
          <w:b/>
          <w:i/>
        </w:rPr>
        <w:t xml:space="preserve"> </w:t>
      </w:r>
      <w:r w:rsidRPr="009E5CA3">
        <w:rPr>
          <w:lang w:val="es-ES"/>
        </w:rPr>
        <w:t>recomendó</w:t>
      </w:r>
      <w:r w:rsidRPr="009E5CA3">
        <w:rPr>
          <w:rFonts w:cs="Arial"/>
        </w:rPr>
        <w:t xml:space="preserve"> la revisión del juicio y de la condena impuesta a los señores </w:t>
      </w:r>
      <w:proofErr w:type="spellStart"/>
      <w:r w:rsidRPr="009E5CA3">
        <w:rPr>
          <w:rFonts w:cs="Arial"/>
        </w:rPr>
        <w:t>Bissoon</w:t>
      </w:r>
      <w:proofErr w:type="spellEnd"/>
      <w:r w:rsidRPr="009E5CA3">
        <w:rPr>
          <w:rFonts w:cs="Arial"/>
        </w:rPr>
        <w:t xml:space="preserve"> y </w:t>
      </w:r>
      <w:proofErr w:type="spellStart"/>
      <w:r w:rsidRPr="009E5CA3">
        <w:rPr>
          <w:rFonts w:cs="Arial"/>
        </w:rPr>
        <w:t>Serrette</w:t>
      </w:r>
      <w:proofErr w:type="spellEnd"/>
      <w:r w:rsidRPr="009E5CA3">
        <w:rPr>
          <w:rFonts w:cs="Arial"/>
        </w:rPr>
        <w:t xml:space="preserve"> de conformidad con las garantías al juicio justo y </w:t>
      </w:r>
      <w:r w:rsidR="00C26612" w:rsidRPr="009E5CA3">
        <w:rPr>
          <w:rFonts w:cs="Arial"/>
        </w:rPr>
        <w:t xml:space="preserve">debido </w:t>
      </w:r>
      <w:r w:rsidRPr="009E5CA3">
        <w:rPr>
          <w:rFonts w:cs="Arial"/>
        </w:rPr>
        <w:t xml:space="preserve">proceso establecidas en los artículos XVIII y XXVI de la Declaración Americana. </w:t>
      </w:r>
    </w:p>
    <w:p w14:paraId="6B4E9F8C" w14:textId="77777777" w:rsidR="00CD6D41" w:rsidRPr="009E5CA3" w:rsidRDefault="00CD6D41" w:rsidP="003E142D">
      <w:pPr>
        <w:tabs>
          <w:tab w:val="left" w:pos="567"/>
        </w:tabs>
        <w:spacing w:line="240" w:lineRule="auto"/>
      </w:pPr>
    </w:p>
    <w:p w14:paraId="74C97D03" w14:textId="15B9BA85" w:rsidR="00182E24" w:rsidRPr="009E5CA3" w:rsidRDefault="008209CC" w:rsidP="00CD6D41">
      <w:pPr>
        <w:numPr>
          <w:ilvl w:val="0"/>
          <w:numId w:val="4"/>
        </w:numPr>
        <w:tabs>
          <w:tab w:val="left" w:pos="567"/>
          <w:tab w:val="num" w:pos="1569"/>
          <w:tab w:val="num" w:pos="12305"/>
        </w:tabs>
        <w:spacing w:line="240" w:lineRule="auto"/>
        <w:ind w:left="0" w:firstLine="0"/>
        <w:rPr>
          <w:rFonts w:eastAsia="Arial" w:cs="Arial"/>
          <w:b/>
          <w:lang w:val="es-ES"/>
        </w:rPr>
      </w:pPr>
      <w:r w:rsidRPr="00E57EDD">
        <w:rPr>
          <w:rFonts w:cs="Arial"/>
          <w:lang w:val="es-ES"/>
        </w:rPr>
        <w:t xml:space="preserve">Los </w:t>
      </w:r>
      <w:r w:rsidRPr="00E57EDD">
        <w:rPr>
          <w:rFonts w:cs="Arial"/>
          <w:b/>
          <w:i/>
          <w:lang w:val="es-ES"/>
        </w:rPr>
        <w:t>representantes</w:t>
      </w:r>
      <w:r w:rsidRPr="00E57EDD">
        <w:rPr>
          <w:rFonts w:eastAsia="Arial" w:cs="Arial"/>
          <w:lang w:val="es-ES"/>
        </w:rPr>
        <w:t xml:space="preserve"> solicitaron que se ordene al Estado abstenerse de aplicar la </w:t>
      </w:r>
      <w:r w:rsidRPr="00E57EDD">
        <w:rPr>
          <w:lang w:val="es-ES"/>
        </w:rPr>
        <w:t>“Ley de Delitos contra la Persona 1925” (</w:t>
      </w:r>
      <w:r w:rsidRPr="00E57EDD">
        <w:rPr>
          <w:i/>
          <w:iCs/>
          <w:lang w:val="es-ES"/>
        </w:rPr>
        <w:t>Offences Against the Person</w:t>
      </w:r>
      <w:r w:rsidRPr="00E57EDD">
        <w:rPr>
          <w:lang w:val="es-ES"/>
        </w:rPr>
        <w:t xml:space="preserve"> Act 1925) en los casos en los que sea incompatible con la Convención Americana, así como que adopte medidas legislativas o de otra índole para asegurar que la pena de muerte no se impon</w:t>
      </w:r>
      <w:r w:rsidR="00024FCC">
        <w:rPr>
          <w:lang w:val="es-ES"/>
        </w:rPr>
        <w:t>ga</w:t>
      </w:r>
      <w:r w:rsidRPr="00E57EDD">
        <w:rPr>
          <w:lang w:val="es-ES"/>
        </w:rPr>
        <w:t xml:space="preserve"> de una manera inconsistente con los derechos y libertades recogidos en la Convención Americana y otros instrumentos internacionales de derechos humanos y, en particular, (a) que no se imponga de manera obligatoria, (b) que se introduzcan diferentes categorías de asesinato que tengan en cuenta las circunstancias particulares del delito y de la persona que comete el delito y (c) que se garantice el respeto y disfrute de los derechos a la vida, integridad personal, juicio justo y debido proceso. </w:t>
      </w:r>
      <w:r w:rsidR="009C6243" w:rsidRPr="00E57EDD">
        <w:rPr>
          <w:lang w:val="es-ES"/>
        </w:rPr>
        <w:t>Adicionalmente</w:t>
      </w:r>
      <w:r w:rsidRPr="00E57EDD">
        <w:rPr>
          <w:lang w:val="es-ES"/>
        </w:rPr>
        <w:t xml:space="preserve">, solicitaron que Trinidad y Tobago cumpla con la Convención Americana y otros instrumentos internacionales relevantes de derechos humanos en materia de condiciones </w:t>
      </w:r>
      <w:r w:rsidR="0044592D" w:rsidRPr="00E57EDD">
        <w:rPr>
          <w:lang w:val="es-ES"/>
        </w:rPr>
        <w:t>penitenciarias</w:t>
      </w:r>
      <w:r w:rsidRPr="00E57EDD">
        <w:rPr>
          <w:lang w:val="es-ES"/>
        </w:rPr>
        <w:t xml:space="preserve">. </w:t>
      </w:r>
      <w:r w:rsidR="009C6243" w:rsidRPr="00E57EDD">
        <w:rPr>
          <w:lang w:val="es-ES"/>
        </w:rPr>
        <w:t xml:space="preserve">Por último, solicitaron a la Corte que se ordenara la puesta en libertad de los señores </w:t>
      </w:r>
      <w:proofErr w:type="spellStart"/>
      <w:r w:rsidR="009C6243" w:rsidRPr="00E57EDD">
        <w:rPr>
          <w:rFonts w:cs="Arial"/>
        </w:rPr>
        <w:t>Bissoon</w:t>
      </w:r>
      <w:proofErr w:type="spellEnd"/>
      <w:r w:rsidR="009C6243" w:rsidRPr="00E57EDD">
        <w:rPr>
          <w:rFonts w:cs="Arial"/>
        </w:rPr>
        <w:t xml:space="preserve"> y </w:t>
      </w:r>
      <w:proofErr w:type="spellStart"/>
      <w:r w:rsidR="009C6243" w:rsidRPr="00E57EDD">
        <w:rPr>
          <w:rFonts w:cs="Arial"/>
        </w:rPr>
        <w:t>Serrette</w:t>
      </w:r>
      <w:proofErr w:type="spellEnd"/>
      <w:r w:rsidR="009C6243" w:rsidRPr="00E57EDD">
        <w:rPr>
          <w:lang w:val="es-ES"/>
        </w:rPr>
        <w:t xml:space="preserve"> o que sean juzgados de </w:t>
      </w:r>
      <w:r w:rsidR="00992F47" w:rsidRPr="00E57EDD">
        <w:rPr>
          <w:lang w:val="es-ES"/>
        </w:rPr>
        <w:t>nuevo,</w:t>
      </w:r>
      <w:r w:rsidR="00147E5F" w:rsidRPr="00E57EDD">
        <w:rPr>
          <w:lang w:val="es-ES"/>
        </w:rPr>
        <w:t xml:space="preserve"> así como la adopción de medidas de resocialización y de integración en la sociedad.</w:t>
      </w:r>
      <w:r w:rsidR="00147E5F" w:rsidRPr="00E57EDD">
        <w:rPr>
          <w:b/>
          <w:bCs/>
          <w:lang w:val="es-ES"/>
        </w:rPr>
        <w:t xml:space="preserve"> </w:t>
      </w:r>
    </w:p>
    <w:p w14:paraId="737BB1C4" w14:textId="77777777" w:rsidR="008209CC" w:rsidRPr="00E57EDD" w:rsidRDefault="008209CC" w:rsidP="003E142D">
      <w:pPr>
        <w:tabs>
          <w:tab w:val="left" w:pos="567"/>
        </w:tabs>
        <w:spacing w:line="240" w:lineRule="auto"/>
        <w:rPr>
          <w:rFonts w:eastAsia="Arial" w:cs="Arial"/>
          <w:b/>
          <w:lang w:val="es-ES"/>
        </w:rPr>
      </w:pPr>
    </w:p>
    <w:p w14:paraId="6B5FA2BD" w14:textId="77777777" w:rsidR="008209CC" w:rsidRPr="009E5CA3" w:rsidRDefault="008209CC" w:rsidP="008209CC">
      <w:pPr>
        <w:numPr>
          <w:ilvl w:val="0"/>
          <w:numId w:val="4"/>
        </w:numPr>
        <w:tabs>
          <w:tab w:val="left" w:pos="567"/>
          <w:tab w:val="num" w:pos="1569"/>
          <w:tab w:val="num" w:pos="12305"/>
        </w:tabs>
        <w:spacing w:line="240" w:lineRule="auto"/>
        <w:ind w:left="0" w:firstLine="0"/>
        <w:rPr>
          <w:lang w:val="es-ES"/>
        </w:rPr>
      </w:pPr>
      <w:r w:rsidRPr="009E5CA3">
        <w:rPr>
          <w:lang w:val="es-ES"/>
        </w:rPr>
        <w:t xml:space="preserve">El </w:t>
      </w:r>
      <w:r w:rsidRPr="009E5CA3">
        <w:rPr>
          <w:b/>
          <w:i/>
          <w:lang w:val="es-ES"/>
        </w:rPr>
        <w:t xml:space="preserve">Estado </w:t>
      </w:r>
      <w:r w:rsidRPr="009E5CA3">
        <w:rPr>
          <w:lang w:val="es-ES"/>
        </w:rPr>
        <w:t>no se pronunció al respecto.</w:t>
      </w:r>
    </w:p>
    <w:p w14:paraId="797C7282" w14:textId="77777777" w:rsidR="000570CC" w:rsidRPr="009E5CA3" w:rsidRDefault="000570CC" w:rsidP="00862269">
      <w:pPr>
        <w:tabs>
          <w:tab w:val="left" w:pos="567"/>
        </w:tabs>
        <w:spacing w:line="240" w:lineRule="auto"/>
        <w:rPr>
          <w:lang w:val="es-ES"/>
        </w:rPr>
      </w:pPr>
    </w:p>
    <w:p w14:paraId="4F5EC9E1" w14:textId="4D7FF19D" w:rsidR="009C6243" w:rsidRPr="009E5CA3" w:rsidRDefault="009C6243" w:rsidP="008209CC">
      <w:pPr>
        <w:numPr>
          <w:ilvl w:val="0"/>
          <w:numId w:val="4"/>
        </w:numPr>
        <w:tabs>
          <w:tab w:val="left" w:pos="567"/>
        </w:tabs>
        <w:spacing w:line="240" w:lineRule="auto"/>
        <w:ind w:left="0" w:firstLine="0"/>
        <w:rPr>
          <w:lang w:val="es-ES"/>
        </w:rPr>
      </w:pPr>
      <w:r w:rsidRPr="009E5CA3">
        <w:rPr>
          <w:lang w:val="es-ES"/>
        </w:rPr>
        <w:t>E</w:t>
      </w:r>
      <w:r w:rsidR="008209CC" w:rsidRPr="009E5CA3">
        <w:rPr>
          <w:lang w:val="es-ES"/>
        </w:rPr>
        <w:t xml:space="preserve">n lo que respecta a la aplicación de “Ley de Delitos contra la Persona” la Corte advierte que, en el </w:t>
      </w:r>
      <w:r w:rsidR="008209CC" w:rsidRPr="009E5CA3">
        <w:rPr>
          <w:i/>
          <w:iCs/>
          <w:lang w:val="es-ES"/>
        </w:rPr>
        <w:t xml:space="preserve">caso </w:t>
      </w:r>
      <w:r w:rsidR="008209CC" w:rsidRPr="009E5CA3">
        <w:rPr>
          <w:i/>
          <w:iCs/>
        </w:rPr>
        <w:t>Hilaire, Constantine y Benjamin y otros Vs. Trinidad y Tobago</w:t>
      </w:r>
      <w:r w:rsidR="008209CC" w:rsidRPr="009E5CA3">
        <w:t xml:space="preserve"> ordenó al Estado de Trinidad y Tobago “abstenerse de aplicar la Ley de Delitos contra la persona de 1925 y, </w:t>
      </w:r>
      <w:r w:rsidR="008209CC" w:rsidRPr="009E5CA3">
        <w:rPr>
          <w:rFonts w:cs="Arial"/>
          <w:lang w:val="es-ES"/>
        </w:rPr>
        <w:t>dentro</w:t>
      </w:r>
      <w:r w:rsidR="008209CC" w:rsidRPr="009E5CA3">
        <w:t xml:space="preserve"> de un plazo razonable, […] modificarla adecuándola a las normas internacionales de protección de los derechos humano</w:t>
      </w:r>
      <w:r w:rsidR="00246B6E" w:rsidRPr="009E5CA3">
        <w:t>s</w:t>
      </w:r>
      <w:r w:rsidR="008209CC" w:rsidRPr="009E5CA3">
        <w:t>”</w:t>
      </w:r>
      <w:r w:rsidR="008209CC" w:rsidRPr="009E5CA3">
        <w:rPr>
          <w:rStyle w:val="Refdenotaalpie"/>
        </w:rPr>
        <w:footnoteReference w:id="68"/>
      </w:r>
      <w:r w:rsidR="008209CC" w:rsidRPr="009E5CA3">
        <w:t xml:space="preserve">. La Corte considera, por tanto, que no es necesario reiterar a Trinidad y Tobago esta medida de reparación, toda vez que el cumplimiento de la misma está siendo en la actualidad analizado por parte de la Corte en la etapa supervisión de </w:t>
      </w:r>
      <w:r w:rsidR="00246B6E" w:rsidRPr="009E5CA3">
        <w:t xml:space="preserve">cumplimiento </w:t>
      </w:r>
      <w:r w:rsidR="008209CC" w:rsidRPr="009E5CA3">
        <w:t>correspondiente</w:t>
      </w:r>
      <w:r w:rsidR="000E780B" w:rsidRPr="009E5CA3">
        <w:rPr>
          <w:rStyle w:val="Refdenotaalpie"/>
        </w:rPr>
        <w:footnoteReference w:id="69"/>
      </w:r>
      <w:r w:rsidR="008209CC" w:rsidRPr="009E5CA3">
        <w:t>.</w:t>
      </w:r>
      <w:r w:rsidR="003C4D9C" w:rsidRPr="009E5CA3">
        <w:t xml:space="preserve"> </w:t>
      </w:r>
    </w:p>
    <w:p w14:paraId="45D8EE5C" w14:textId="77777777" w:rsidR="009C6243" w:rsidRPr="009E5CA3" w:rsidRDefault="009C6243" w:rsidP="00862269">
      <w:pPr>
        <w:tabs>
          <w:tab w:val="left" w:pos="567"/>
        </w:tabs>
        <w:spacing w:line="240" w:lineRule="auto"/>
      </w:pPr>
    </w:p>
    <w:p w14:paraId="5E5E1673" w14:textId="6FF3FE34" w:rsidR="008209CC" w:rsidRPr="009E5CA3" w:rsidRDefault="000570CC" w:rsidP="008209CC">
      <w:pPr>
        <w:numPr>
          <w:ilvl w:val="0"/>
          <w:numId w:val="4"/>
        </w:numPr>
        <w:tabs>
          <w:tab w:val="left" w:pos="567"/>
        </w:tabs>
        <w:spacing w:line="240" w:lineRule="auto"/>
        <w:ind w:left="0" w:firstLine="0"/>
        <w:rPr>
          <w:lang w:val="es-ES"/>
        </w:rPr>
      </w:pPr>
      <w:r w:rsidRPr="009E5CA3">
        <w:t>Misma cuestión</w:t>
      </w:r>
      <w:r w:rsidR="008209CC" w:rsidRPr="009E5CA3">
        <w:t xml:space="preserve"> sucede con la solicitud por parte de la Comisión de asegurar que las condiciones de prisión sean compatibles con estándares internacionales de derechos humanos, toda vez</w:t>
      </w:r>
      <w:r w:rsidR="008209CC" w:rsidRPr="009E5CA3">
        <w:rPr>
          <w:lang w:val="es-ES"/>
        </w:rPr>
        <w:t xml:space="preserve"> que en el </w:t>
      </w:r>
      <w:r w:rsidR="008209CC" w:rsidRPr="009E5CA3">
        <w:rPr>
          <w:i/>
          <w:iCs/>
          <w:lang w:val="es-ES"/>
        </w:rPr>
        <w:t xml:space="preserve">caso </w:t>
      </w:r>
      <w:r w:rsidR="008209CC" w:rsidRPr="009E5CA3">
        <w:rPr>
          <w:i/>
          <w:iCs/>
        </w:rPr>
        <w:t>Hilaire, Constantine y Benjamin y otros Vs. Trinidad y Tobago</w:t>
      </w:r>
      <w:r w:rsidR="008209CC" w:rsidRPr="009E5CA3">
        <w:t xml:space="preserve"> ya ordenó al Estado de Trinidad y Tobago “modificar las condiciones de su sistema carcelario para adecuarlas a las normas internacionales de protección de los derechos humanos aplicables a la materia”</w:t>
      </w:r>
      <w:r w:rsidR="008209CC" w:rsidRPr="009E5CA3">
        <w:rPr>
          <w:rStyle w:val="Refdenotaalpie"/>
        </w:rPr>
        <w:footnoteReference w:id="70"/>
      </w:r>
      <w:r w:rsidR="008209CC" w:rsidRPr="009E5CA3">
        <w:t xml:space="preserve">. </w:t>
      </w:r>
    </w:p>
    <w:p w14:paraId="13685B5E" w14:textId="77777777" w:rsidR="009C6243" w:rsidRPr="009E5CA3" w:rsidRDefault="009C6243" w:rsidP="00862269">
      <w:pPr>
        <w:tabs>
          <w:tab w:val="left" w:pos="567"/>
        </w:tabs>
        <w:spacing w:line="240" w:lineRule="auto"/>
        <w:rPr>
          <w:lang w:val="es-ES"/>
        </w:rPr>
      </w:pPr>
    </w:p>
    <w:p w14:paraId="7B5DD810" w14:textId="77777777" w:rsidR="009C6243" w:rsidRPr="009E5CA3" w:rsidRDefault="009C6243" w:rsidP="009C6243">
      <w:pPr>
        <w:numPr>
          <w:ilvl w:val="0"/>
          <w:numId w:val="4"/>
        </w:numPr>
        <w:tabs>
          <w:tab w:val="left" w:pos="567"/>
        </w:tabs>
        <w:spacing w:line="240" w:lineRule="auto"/>
        <w:ind w:left="0" w:firstLine="0"/>
        <w:rPr>
          <w:lang w:val="es-ES"/>
        </w:rPr>
      </w:pPr>
      <w:r w:rsidRPr="009E5CA3">
        <w:rPr>
          <w:lang w:val="es-ES"/>
        </w:rPr>
        <w:t>Por otro lado, en cuanto a la solicitud de la Comisión de que Trinidad y Tobago abola la pena de muerte, l</w:t>
      </w:r>
      <w:r w:rsidRPr="009E5CA3">
        <w:t>a Corte recuerda que e</w:t>
      </w:r>
      <w:r w:rsidRPr="009E5CA3">
        <w:rPr>
          <w:lang w:val="es-ES"/>
        </w:rPr>
        <w:t>l artículo 4 de la Convención Americana incorpora una tendencia abolicionista de la pena de muerte que se refleja en su numeral segundo, el cual prohíbe que se extienda su aplicación “a delitos a los cuales no se la aplique actualmente” y, según el numeral 3, “no se restablecerá la pena de muerte en los Estados que la han abolido”. En esta materia la Convención apunta hacia una progresiva eliminación, al adoptar las salvaguardias necesarias para restringir definitivamente su aplicación y su ámbito, de modo que éste se vaya reduciendo hasta su supresión total</w:t>
      </w:r>
      <w:r w:rsidRPr="009E5CA3">
        <w:rPr>
          <w:rStyle w:val="Refdenotaalpie"/>
          <w:lang w:val="es-ES"/>
        </w:rPr>
        <w:footnoteReference w:id="71"/>
      </w:r>
      <w:r w:rsidRPr="009E5CA3">
        <w:rPr>
          <w:lang w:val="es-ES"/>
        </w:rPr>
        <w:t>.</w:t>
      </w:r>
    </w:p>
    <w:p w14:paraId="5A902320" w14:textId="77777777" w:rsidR="008209CC" w:rsidRPr="009E5CA3" w:rsidRDefault="008209CC" w:rsidP="009C6243">
      <w:pPr>
        <w:tabs>
          <w:tab w:val="left" w:pos="567"/>
        </w:tabs>
        <w:spacing w:line="240" w:lineRule="auto"/>
        <w:rPr>
          <w:lang w:val="es-ES"/>
        </w:rPr>
      </w:pPr>
    </w:p>
    <w:p w14:paraId="78AF73B7" w14:textId="77777777" w:rsidR="009C6243" w:rsidRPr="009E5CA3" w:rsidRDefault="009C6243" w:rsidP="009C6243">
      <w:pPr>
        <w:numPr>
          <w:ilvl w:val="0"/>
          <w:numId w:val="4"/>
        </w:numPr>
        <w:tabs>
          <w:tab w:val="left" w:pos="567"/>
          <w:tab w:val="num" w:pos="1569"/>
          <w:tab w:val="num" w:pos="12305"/>
        </w:tabs>
        <w:spacing w:line="240" w:lineRule="auto"/>
        <w:ind w:left="0" w:firstLine="0"/>
        <w:rPr>
          <w:bCs/>
          <w:lang w:val="es-ES"/>
        </w:rPr>
      </w:pPr>
      <w:bookmarkStart w:id="87" w:name="_Toc108695522"/>
      <w:bookmarkStart w:id="88" w:name="_Toc514172669"/>
      <w:bookmarkStart w:id="89" w:name="_Toc476390741"/>
      <w:bookmarkStart w:id="90" w:name="_Toc495658701"/>
      <w:bookmarkStart w:id="91" w:name="_Toc15933778"/>
      <w:bookmarkStart w:id="92" w:name="_Toc33017902"/>
      <w:r w:rsidRPr="009E5CA3">
        <w:rPr>
          <w:bCs/>
          <w:lang w:val="es-ES"/>
        </w:rPr>
        <w:t xml:space="preserve">Finalmente, en relación con las restantes medidas de reparación solicitadas, el </w:t>
      </w:r>
      <w:r w:rsidRPr="009E5CA3">
        <w:rPr>
          <w:b/>
          <w:i/>
          <w:iCs/>
          <w:lang w:val="es-ES"/>
        </w:rPr>
        <w:t>Tribunal</w:t>
      </w:r>
      <w:r w:rsidRPr="009E5CA3">
        <w:rPr>
          <w:bCs/>
          <w:lang w:val="es-ES"/>
        </w:rPr>
        <w:t xml:space="preserve"> observa que no existe nexo causal entre las violaciones declaradas y la </w:t>
      </w:r>
      <w:r w:rsidRPr="009E5CA3">
        <w:rPr>
          <w:lang w:val="es-ES"/>
        </w:rPr>
        <w:t>modificación</w:t>
      </w:r>
      <w:r w:rsidRPr="009E5CA3">
        <w:rPr>
          <w:bCs/>
          <w:lang w:val="es-ES"/>
        </w:rPr>
        <w:t xml:space="preserve"> que se solicita.</w:t>
      </w:r>
    </w:p>
    <w:p w14:paraId="34889E80" w14:textId="29FE6202" w:rsidR="008209CC" w:rsidRPr="009E5CA3" w:rsidRDefault="000E780B" w:rsidP="008209CC">
      <w:pPr>
        <w:pStyle w:val="Ttulo2"/>
        <w:rPr>
          <w:lang w:val="es-ES"/>
        </w:rPr>
      </w:pPr>
      <w:bookmarkStart w:id="93" w:name="_Toc108695523"/>
      <w:bookmarkStart w:id="94" w:name="_Toc120891065"/>
      <w:bookmarkEnd w:id="87"/>
      <w:r w:rsidRPr="009E5CA3">
        <w:rPr>
          <w:lang w:val="es-ES"/>
        </w:rPr>
        <w:t>D</w:t>
      </w:r>
      <w:r w:rsidR="008209CC" w:rsidRPr="009E5CA3">
        <w:rPr>
          <w:lang w:val="es-ES"/>
        </w:rPr>
        <w:t>. Indemnizaciones compensatorias</w:t>
      </w:r>
      <w:bookmarkEnd w:id="88"/>
      <w:bookmarkEnd w:id="89"/>
      <w:bookmarkEnd w:id="90"/>
      <w:bookmarkEnd w:id="91"/>
      <w:bookmarkEnd w:id="92"/>
      <w:bookmarkEnd w:id="93"/>
      <w:bookmarkEnd w:id="94"/>
    </w:p>
    <w:p w14:paraId="78355DE4" w14:textId="77777777" w:rsidR="008209CC" w:rsidRPr="009E5CA3" w:rsidRDefault="008209CC" w:rsidP="008209CC">
      <w:pPr>
        <w:numPr>
          <w:ilvl w:val="0"/>
          <w:numId w:val="4"/>
        </w:numPr>
        <w:tabs>
          <w:tab w:val="left" w:pos="567"/>
        </w:tabs>
        <w:spacing w:line="240" w:lineRule="auto"/>
        <w:ind w:left="0" w:firstLine="0"/>
        <w:textAlignment w:val="auto"/>
        <w:rPr>
          <w:rFonts w:eastAsia="MS Mincho"/>
          <w:bCs/>
          <w:lang w:val="es-ES" w:bidi="en-US"/>
        </w:rPr>
      </w:pPr>
      <w:r w:rsidRPr="009E5CA3">
        <w:rPr>
          <w:rFonts w:cs="Verdana"/>
          <w:bCs/>
          <w:iCs/>
          <w:lang w:val="es-ES"/>
        </w:rPr>
        <w:t xml:space="preserve">La </w:t>
      </w:r>
      <w:r w:rsidRPr="009E5CA3">
        <w:rPr>
          <w:rFonts w:eastAsia="Batang" w:cs="Verdana"/>
          <w:bCs/>
          <w:iCs/>
          <w:lang w:val="es-ES"/>
        </w:rPr>
        <w:t>Corte</w:t>
      </w:r>
      <w:r w:rsidRPr="009E5CA3">
        <w:rPr>
          <w:rFonts w:cs="Verdana"/>
          <w:bCs/>
          <w:i/>
          <w:iCs/>
          <w:lang w:val="es-ES"/>
        </w:rPr>
        <w:t xml:space="preserve"> </w:t>
      </w:r>
      <w:r w:rsidRPr="009E5CA3">
        <w:rPr>
          <w:rFonts w:cs="Verdana"/>
          <w:bCs/>
          <w:iCs/>
          <w:lang w:val="es-ES"/>
        </w:rPr>
        <w:t xml:space="preserve">ha </w:t>
      </w:r>
      <w:r w:rsidRPr="009E5CA3">
        <w:rPr>
          <w:rFonts w:eastAsia="MS Mincho"/>
          <w:lang w:val="es-ES" w:bidi="en-US"/>
        </w:rPr>
        <w:t>desarrollado</w:t>
      </w:r>
      <w:r w:rsidRPr="009E5CA3">
        <w:rPr>
          <w:rFonts w:cs="Verdana"/>
          <w:bCs/>
          <w:iCs/>
          <w:lang w:val="es-ES"/>
        </w:rPr>
        <w:t xml:space="preserve"> en su jurisprudencia el concepto de daño material y ha establecido que éste supone la pérdida o detrimento de los ingresos de las víctimas, los gastos efectuados con motivo de los </w:t>
      </w:r>
      <w:r w:rsidRPr="009E5CA3">
        <w:rPr>
          <w:rFonts w:eastAsia="Verdana" w:cs="Verdana"/>
          <w:lang w:val="es-ES"/>
        </w:rPr>
        <w:t>hechos</w:t>
      </w:r>
      <w:r w:rsidRPr="009E5CA3">
        <w:rPr>
          <w:rFonts w:cs="Verdana"/>
          <w:bCs/>
          <w:iCs/>
          <w:lang w:val="es-ES"/>
        </w:rPr>
        <w:t xml:space="preserve"> y las consecuencias de carácter pecuniario que tengan un nexo causal con los hechos del caso</w:t>
      </w:r>
      <w:r w:rsidRPr="009E5CA3">
        <w:rPr>
          <w:rFonts w:eastAsia="MS Mincho"/>
          <w:bCs/>
          <w:vertAlign w:val="superscript"/>
          <w:lang w:val="es-ES" w:bidi="en-US"/>
        </w:rPr>
        <w:footnoteReference w:id="72"/>
      </w:r>
      <w:r w:rsidRPr="009E5CA3">
        <w:rPr>
          <w:rFonts w:cs="Verdana"/>
          <w:bCs/>
          <w:iCs/>
          <w:lang w:val="es-ES"/>
        </w:rPr>
        <w:t xml:space="preserve">. </w:t>
      </w:r>
    </w:p>
    <w:p w14:paraId="325FDDAA" w14:textId="77777777" w:rsidR="008209CC" w:rsidRPr="009E5CA3" w:rsidRDefault="008209CC" w:rsidP="008209CC">
      <w:pPr>
        <w:tabs>
          <w:tab w:val="left" w:pos="567"/>
        </w:tabs>
        <w:spacing w:line="240" w:lineRule="auto"/>
        <w:textAlignment w:val="auto"/>
        <w:rPr>
          <w:rFonts w:eastAsia="MS Mincho"/>
          <w:bCs/>
          <w:lang w:val="es-ES" w:bidi="en-US"/>
        </w:rPr>
      </w:pPr>
    </w:p>
    <w:p w14:paraId="22C79F4C" w14:textId="77777777" w:rsidR="008209CC" w:rsidRPr="009E5CA3" w:rsidRDefault="008209CC" w:rsidP="008209CC">
      <w:pPr>
        <w:numPr>
          <w:ilvl w:val="0"/>
          <w:numId w:val="4"/>
        </w:numPr>
        <w:tabs>
          <w:tab w:val="left" w:pos="567"/>
        </w:tabs>
        <w:spacing w:line="240" w:lineRule="auto"/>
        <w:ind w:left="0" w:firstLine="0"/>
        <w:textAlignment w:val="auto"/>
        <w:rPr>
          <w:rFonts w:eastAsia="Calibri"/>
          <w:b/>
          <w:i/>
          <w:lang w:val="es-ES"/>
        </w:rPr>
      </w:pPr>
      <w:r w:rsidRPr="009E5CA3">
        <w:rPr>
          <w:rFonts w:cs="Verdana"/>
          <w:bCs/>
          <w:iCs/>
          <w:lang w:val="es-ES"/>
        </w:rPr>
        <w:t xml:space="preserve">Asimismo, </w:t>
      </w:r>
      <w:r w:rsidRPr="009E5CA3">
        <w:rPr>
          <w:rFonts w:cs="Arial"/>
          <w:lang w:val="es-ES"/>
        </w:rPr>
        <w:t>la</w:t>
      </w:r>
      <w:r w:rsidRPr="009E5CA3">
        <w:rPr>
          <w:lang w:val="es-ES"/>
        </w:rPr>
        <w:t xml:space="preserve">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w:t>
      </w:r>
      <w:r w:rsidRPr="009E5CA3">
        <w:rPr>
          <w:rFonts w:eastAsia="SimSun"/>
          <w:lang w:val="es-ES"/>
        </w:rPr>
        <w:t>objeto</w:t>
      </w:r>
      <w:r w:rsidRPr="009E5CA3">
        <w:rPr>
          <w:lang w:val="es-ES"/>
        </w:rPr>
        <w:t xml:space="preserve">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9E5CA3">
        <w:rPr>
          <w:rFonts w:eastAsia="Calibri"/>
          <w:vertAlign w:val="superscript"/>
          <w:lang w:val="es-ES"/>
        </w:rPr>
        <w:footnoteReference w:id="73"/>
      </w:r>
      <w:r w:rsidRPr="009E5CA3">
        <w:rPr>
          <w:lang w:val="es-ES"/>
        </w:rPr>
        <w:t>.</w:t>
      </w:r>
    </w:p>
    <w:p w14:paraId="5F36E699" w14:textId="77777777" w:rsidR="008209CC" w:rsidRPr="009E5CA3" w:rsidRDefault="008209CC" w:rsidP="008209CC">
      <w:pPr>
        <w:tabs>
          <w:tab w:val="left" w:pos="567"/>
        </w:tabs>
        <w:spacing w:line="240" w:lineRule="auto"/>
        <w:textAlignment w:val="auto"/>
        <w:rPr>
          <w:rFonts w:eastAsia="MS Mincho"/>
          <w:bCs/>
          <w:lang w:val="es-ES" w:bidi="en-US"/>
        </w:rPr>
      </w:pPr>
    </w:p>
    <w:p w14:paraId="4AC2DFC3" w14:textId="351F8D80" w:rsidR="00853478" w:rsidRPr="009E5CA3" w:rsidRDefault="008209CC" w:rsidP="003E142D">
      <w:pPr>
        <w:numPr>
          <w:ilvl w:val="0"/>
          <w:numId w:val="4"/>
        </w:numPr>
        <w:tabs>
          <w:tab w:val="left" w:pos="567"/>
        </w:tabs>
        <w:autoSpaceDE w:val="0"/>
        <w:autoSpaceDN w:val="0"/>
        <w:spacing w:line="240" w:lineRule="auto"/>
        <w:ind w:left="0" w:firstLine="0"/>
        <w:textAlignment w:val="auto"/>
        <w:rPr>
          <w:b/>
          <w:bCs/>
        </w:rPr>
      </w:pPr>
      <w:r w:rsidRPr="00853478">
        <w:rPr>
          <w:rFonts w:cs="Arial"/>
        </w:rPr>
        <w:t xml:space="preserve">La </w:t>
      </w:r>
      <w:r w:rsidRPr="00853478">
        <w:rPr>
          <w:rFonts w:cs="Arial"/>
          <w:b/>
          <w:i/>
        </w:rPr>
        <w:t xml:space="preserve">Comisión </w:t>
      </w:r>
      <w:r w:rsidRPr="00853478">
        <w:rPr>
          <w:rFonts w:cs="Arial"/>
        </w:rPr>
        <w:t xml:space="preserve">recomendó, con carácter general, el pago de “una compensación pecuniaria”. </w:t>
      </w:r>
    </w:p>
    <w:p w14:paraId="2B4119E4" w14:textId="77777777" w:rsidR="008209CC" w:rsidRPr="009E5CA3" w:rsidRDefault="008209CC" w:rsidP="003E142D">
      <w:pPr>
        <w:tabs>
          <w:tab w:val="left" w:pos="567"/>
        </w:tabs>
        <w:autoSpaceDE w:val="0"/>
        <w:autoSpaceDN w:val="0"/>
        <w:spacing w:line="240" w:lineRule="auto"/>
        <w:textAlignment w:val="auto"/>
      </w:pPr>
    </w:p>
    <w:p w14:paraId="7B8AFFE3" w14:textId="2B6FFAF9" w:rsidR="008209CC" w:rsidRPr="009E5CA3" w:rsidRDefault="008209CC" w:rsidP="008209CC">
      <w:pPr>
        <w:numPr>
          <w:ilvl w:val="0"/>
          <w:numId w:val="4"/>
        </w:numPr>
        <w:tabs>
          <w:tab w:val="left" w:pos="567"/>
        </w:tabs>
        <w:autoSpaceDE w:val="0"/>
        <w:autoSpaceDN w:val="0"/>
        <w:spacing w:line="240" w:lineRule="auto"/>
        <w:ind w:left="0" w:firstLine="0"/>
        <w:textAlignment w:val="auto"/>
        <w:rPr>
          <w:b/>
        </w:rPr>
      </w:pPr>
      <w:r w:rsidRPr="009E5CA3">
        <w:t xml:space="preserve">Los </w:t>
      </w:r>
      <w:r w:rsidRPr="009E5CA3">
        <w:rPr>
          <w:b/>
          <w:i/>
        </w:rPr>
        <w:t>representantes</w:t>
      </w:r>
      <w:r w:rsidRPr="009E5CA3">
        <w:t xml:space="preserve"> solicitaron que la Corte fije la indemnización por daño material [</w:t>
      </w:r>
      <w:r w:rsidRPr="009E5CA3">
        <w:rPr>
          <w:i/>
          <w:iCs/>
        </w:rPr>
        <w:t>sic</w:t>
      </w:r>
      <w:r w:rsidRPr="00C26612">
        <w:rPr>
          <w:rStyle w:val="Refdenotaalpie"/>
        </w:rPr>
        <w:footnoteReference w:id="74"/>
      </w:r>
      <w:r w:rsidRPr="009E5CA3">
        <w:t xml:space="preserve">] que considere “justa y apropiada”, teniendo en cuenta los “significativos sufrimientos físicos y mentales” padecidos por los señores </w:t>
      </w:r>
      <w:proofErr w:type="spellStart"/>
      <w:r w:rsidR="002C2DDC" w:rsidRPr="009E5CA3">
        <w:t>Bissoon</w:t>
      </w:r>
      <w:proofErr w:type="spellEnd"/>
      <w:r w:rsidR="002C2DDC" w:rsidRPr="009E5CA3">
        <w:t xml:space="preserve"> y </w:t>
      </w:r>
      <w:proofErr w:type="spellStart"/>
      <w:r w:rsidR="002C2DDC" w:rsidRPr="009E5CA3">
        <w:t>Serrette</w:t>
      </w:r>
      <w:proofErr w:type="spellEnd"/>
      <w:r w:rsidRPr="009E5CA3">
        <w:t>. Posteriormente</w:t>
      </w:r>
      <w:r w:rsidR="00C26612">
        <w:t>,</w:t>
      </w:r>
      <w:r w:rsidRPr="009E5CA3">
        <w:t xml:space="preserve"> consideraron que la suma de </w:t>
      </w:r>
      <w:r w:rsidRPr="009E5CA3">
        <w:rPr>
          <w:lang w:val="es-ES" w:eastAsia="es-ES_tradnl"/>
        </w:rPr>
        <w:t xml:space="preserve">USD$ </w:t>
      </w:r>
      <w:r w:rsidRPr="009E5CA3">
        <w:lastRenderedPageBreak/>
        <w:t>10.000,00 (diez mil dólares de</w:t>
      </w:r>
      <w:r w:rsidR="00A74D3E">
        <w:t xml:space="preserve"> los</w:t>
      </w:r>
      <w:r w:rsidRPr="009E5CA3">
        <w:t xml:space="preserve"> Estados Unidos de América) sería apropiada.</w:t>
      </w:r>
      <w:r w:rsidR="001D3553" w:rsidRPr="009E5CA3">
        <w:rPr>
          <w:b/>
          <w:bCs/>
        </w:rPr>
        <w:t xml:space="preserve"> </w:t>
      </w:r>
    </w:p>
    <w:p w14:paraId="1E87B349" w14:textId="77777777" w:rsidR="008209CC" w:rsidRPr="009E5CA3" w:rsidRDefault="008209CC" w:rsidP="00862269">
      <w:pPr>
        <w:tabs>
          <w:tab w:val="left" w:pos="567"/>
        </w:tabs>
        <w:spacing w:line="240" w:lineRule="auto"/>
        <w:rPr>
          <w:b/>
        </w:rPr>
      </w:pPr>
    </w:p>
    <w:p w14:paraId="56F5A8E5" w14:textId="77777777" w:rsidR="008209CC" w:rsidRPr="009E5CA3" w:rsidRDefault="008209CC" w:rsidP="008209CC">
      <w:pPr>
        <w:numPr>
          <w:ilvl w:val="0"/>
          <w:numId w:val="4"/>
        </w:numPr>
        <w:tabs>
          <w:tab w:val="left" w:pos="567"/>
          <w:tab w:val="num" w:pos="1569"/>
          <w:tab w:val="num" w:pos="12305"/>
        </w:tabs>
        <w:spacing w:line="240" w:lineRule="auto"/>
        <w:ind w:left="0" w:firstLine="0"/>
        <w:rPr>
          <w:lang w:val="es-ES"/>
        </w:rPr>
      </w:pPr>
      <w:r w:rsidRPr="009E5CA3">
        <w:rPr>
          <w:lang w:val="es-ES"/>
        </w:rPr>
        <w:t xml:space="preserve">El </w:t>
      </w:r>
      <w:r w:rsidRPr="009E5CA3">
        <w:rPr>
          <w:b/>
          <w:i/>
          <w:lang w:val="es-ES"/>
        </w:rPr>
        <w:t xml:space="preserve">Estado </w:t>
      </w:r>
      <w:r w:rsidRPr="009E5CA3">
        <w:rPr>
          <w:lang w:val="es-ES"/>
        </w:rPr>
        <w:t>no se pronunció al respecto.</w:t>
      </w:r>
    </w:p>
    <w:p w14:paraId="295D4DEE" w14:textId="77777777" w:rsidR="008209CC" w:rsidRPr="009E5CA3" w:rsidRDefault="008209CC" w:rsidP="008209CC">
      <w:pPr>
        <w:tabs>
          <w:tab w:val="left" w:pos="567"/>
        </w:tabs>
        <w:spacing w:line="240" w:lineRule="auto"/>
        <w:rPr>
          <w:rFonts w:eastAsia="MS Mincho"/>
          <w:lang w:val="es-ES" w:bidi="en-US"/>
        </w:rPr>
      </w:pPr>
    </w:p>
    <w:p w14:paraId="7B837D26" w14:textId="1A910ABA" w:rsidR="008209CC" w:rsidRPr="00A81380" w:rsidRDefault="008209CC" w:rsidP="008209CC">
      <w:pPr>
        <w:widowControl/>
        <w:numPr>
          <w:ilvl w:val="0"/>
          <w:numId w:val="4"/>
        </w:numPr>
        <w:tabs>
          <w:tab w:val="left" w:pos="567"/>
        </w:tabs>
        <w:autoSpaceDE w:val="0"/>
        <w:autoSpaceDN w:val="0"/>
        <w:spacing w:line="240" w:lineRule="auto"/>
        <w:ind w:left="0" w:firstLine="0"/>
        <w:textAlignment w:val="auto"/>
        <w:rPr>
          <w:rFonts w:cstheme="minorHAnsi"/>
        </w:rPr>
      </w:pPr>
      <w:r w:rsidRPr="00A81380">
        <w:rPr>
          <w:rFonts w:eastAsia="Verdana" w:cs="Verdana"/>
          <w:lang w:val="es-ES"/>
        </w:rPr>
        <w:t>Si bien los representantes hicieron referencia al daño material, del desarrollo de la solicitud y naturaleza de la misma, el Tribunal interpreta que se hace referencia al daño inmaterial. A este respecto</w:t>
      </w:r>
      <w:r w:rsidRPr="00A81380">
        <w:rPr>
          <w:rFonts w:eastAsia="Verdana" w:cs="Verdana"/>
          <w:bCs/>
          <w:lang w:val="es-ES"/>
        </w:rPr>
        <w:t>,</w:t>
      </w:r>
      <w:r w:rsidRPr="00A81380">
        <w:rPr>
          <w:rFonts w:eastAsia="Verdana" w:cs="Verdana"/>
          <w:b/>
          <w:lang w:val="es-ES"/>
        </w:rPr>
        <w:t xml:space="preserve"> </w:t>
      </w:r>
      <w:r w:rsidR="006A7DCF">
        <w:rPr>
          <w:rFonts w:eastAsia="Verdana" w:cs="Verdana"/>
          <w:lang w:val="es-ES"/>
        </w:rPr>
        <w:t>la Corte</w:t>
      </w:r>
      <w:r w:rsidRPr="00A81380">
        <w:rPr>
          <w:rFonts w:eastAsia="Verdana" w:cs="Verdana"/>
          <w:lang w:val="es-ES"/>
        </w:rPr>
        <w:t xml:space="preserve"> constata que la condena a pena de muerte, así como las condiciones de detención en las que permanecieron durante el tiempo en que Trinidad y Tobago estuvo sujeto a la jurisdicción de la Corte, les generaron un cierto grado de sufrimiento y angustia, teniendo consecuencias en su ámbito personal y profesional. </w:t>
      </w:r>
      <w:r w:rsidR="00172ADF" w:rsidRPr="00A81380">
        <w:rPr>
          <w:rFonts w:eastAsia="Verdana" w:cs="Verdana"/>
          <w:lang w:val="es-ES"/>
        </w:rPr>
        <w:t xml:space="preserve">En este sentido se expresó el señor </w:t>
      </w:r>
      <w:proofErr w:type="spellStart"/>
      <w:r w:rsidR="00172ADF" w:rsidRPr="00A81380">
        <w:rPr>
          <w:rFonts w:eastAsia="Verdana" w:cs="Verdana"/>
          <w:lang w:val="es-ES"/>
        </w:rPr>
        <w:t>Bissoon</w:t>
      </w:r>
      <w:proofErr w:type="spellEnd"/>
      <w:r w:rsidR="00172ADF" w:rsidRPr="00A81380">
        <w:rPr>
          <w:rFonts w:eastAsia="Verdana" w:cs="Verdana"/>
          <w:lang w:val="es-ES"/>
        </w:rPr>
        <w:t xml:space="preserve"> quien indicó que todas las circunstancias descritas en los presentes hechos le provocaron un “impacto dañino en su salud mental, salud física, vida personal y familiar”</w:t>
      </w:r>
      <w:r w:rsidR="00172ADF" w:rsidRPr="00A81380">
        <w:rPr>
          <w:rStyle w:val="Refdenotaalpie"/>
          <w:rFonts w:eastAsia="Verdana" w:cs="Verdana"/>
          <w:lang w:val="es-ES"/>
        </w:rPr>
        <w:footnoteReference w:id="75"/>
      </w:r>
      <w:r w:rsidR="00172ADF" w:rsidRPr="00A81380">
        <w:rPr>
          <w:rFonts w:eastAsia="Verdana" w:cs="Verdana"/>
          <w:lang w:val="es-ES"/>
        </w:rPr>
        <w:t xml:space="preserve">. El señor </w:t>
      </w:r>
      <w:proofErr w:type="spellStart"/>
      <w:r w:rsidR="00504BCE" w:rsidRPr="00A81380">
        <w:t>Serrette</w:t>
      </w:r>
      <w:proofErr w:type="spellEnd"/>
      <w:r w:rsidR="00504BCE" w:rsidRPr="00A81380">
        <w:t xml:space="preserve"> </w:t>
      </w:r>
      <w:r w:rsidR="00172ADF" w:rsidRPr="00A81380">
        <w:rPr>
          <w:rFonts w:eastAsia="Verdana" w:cs="Verdana"/>
          <w:lang w:val="es-ES"/>
        </w:rPr>
        <w:t>también se pronunció en el mismo sentido</w:t>
      </w:r>
      <w:r w:rsidR="00172ADF" w:rsidRPr="00A81380">
        <w:rPr>
          <w:rStyle w:val="Refdenotaalpie"/>
          <w:rFonts w:eastAsia="Verdana" w:cs="Verdana"/>
          <w:lang w:val="es-ES"/>
        </w:rPr>
        <w:footnoteReference w:id="76"/>
      </w:r>
      <w:r w:rsidR="00172ADF" w:rsidRPr="00A81380">
        <w:rPr>
          <w:rFonts w:eastAsia="Verdana" w:cs="Verdana"/>
          <w:lang w:val="es-ES"/>
        </w:rPr>
        <w:t>.</w:t>
      </w:r>
    </w:p>
    <w:p w14:paraId="7E6504E6" w14:textId="77777777" w:rsidR="008209CC" w:rsidRPr="009E5CA3" w:rsidRDefault="008209CC" w:rsidP="008209CC">
      <w:pPr>
        <w:tabs>
          <w:tab w:val="left" w:pos="567"/>
        </w:tabs>
        <w:spacing w:line="240" w:lineRule="auto"/>
        <w:textAlignment w:val="auto"/>
        <w:rPr>
          <w:lang w:val="es-ES"/>
        </w:rPr>
      </w:pPr>
    </w:p>
    <w:p w14:paraId="0479F38E" w14:textId="1AA2499D" w:rsidR="008209CC" w:rsidRPr="009E5CA3" w:rsidRDefault="008209CC" w:rsidP="008209CC">
      <w:pPr>
        <w:numPr>
          <w:ilvl w:val="0"/>
          <w:numId w:val="4"/>
        </w:numPr>
        <w:tabs>
          <w:tab w:val="left" w:pos="567"/>
        </w:tabs>
        <w:spacing w:line="240" w:lineRule="auto"/>
        <w:ind w:left="0" w:firstLine="0"/>
        <w:textAlignment w:val="auto"/>
        <w:rPr>
          <w:lang w:val="es-ES"/>
        </w:rPr>
      </w:pPr>
      <w:r w:rsidRPr="009E5CA3">
        <w:rPr>
          <w:rFonts w:eastAsia="Verdana" w:cs="Verdana"/>
          <w:lang w:val="es-ES"/>
        </w:rPr>
        <w:t>A la vista de lo anterior, considerando</w:t>
      </w:r>
      <w:r w:rsidRPr="009E5CA3">
        <w:rPr>
          <w:lang w:val="es-ES"/>
        </w:rPr>
        <w:t xml:space="preserve"> </w:t>
      </w:r>
      <w:r w:rsidR="006A7DCF">
        <w:rPr>
          <w:lang w:val="es-ES"/>
        </w:rPr>
        <w:t xml:space="preserve">las </w:t>
      </w:r>
      <w:r w:rsidRPr="009E5CA3">
        <w:rPr>
          <w:lang w:val="es-ES"/>
        </w:rPr>
        <w:t xml:space="preserve">circunstancias del presente caso, las violaciones cometidas, los </w:t>
      </w:r>
      <w:r w:rsidRPr="009E5CA3">
        <w:rPr>
          <w:rFonts w:eastAsia="MS Mincho"/>
          <w:lang w:val="es-ES" w:bidi="en-US"/>
        </w:rPr>
        <w:t>sufrimientos</w:t>
      </w:r>
      <w:r w:rsidRPr="009E5CA3">
        <w:rPr>
          <w:lang w:val="es-ES"/>
        </w:rPr>
        <w:t xml:space="preserve"> ocasionados y experimentados en diferentes grados y el tiempo transcurrido, el Tribunal pasa a fijar en equidad las indemnizaciones por daño inmaterial a favor de las víctimas. </w:t>
      </w:r>
    </w:p>
    <w:p w14:paraId="558135C6" w14:textId="77777777" w:rsidR="008209CC" w:rsidRPr="009E5CA3" w:rsidRDefault="008209CC" w:rsidP="008209CC">
      <w:pPr>
        <w:tabs>
          <w:tab w:val="left" w:pos="567"/>
        </w:tabs>
        <w:spacing w:line="240" w:lineRule="auto"/>
        <w:textAlignment w:val="auto"/>
        <w:rPr>
          <w:lang w:val="es-ES"/>
        </w:rPr>
      </w:pPr>
    </w:p>
    <w:p w14:paraId="58F8C6B1" w14:textId="76C09815" w:rsidR="008209CC" w:rsidRPr="003E142D" w:rsidRDefault="008209CC" w:rsidP="008209CC">
      <w:pPr>
        <w:numPr>
          <w:ilvl w:val="0"/>
          <w:numId w:val="4"/>
        </w:numPr>
        <w:tabs>
          <w:tab w:val="left" w:pos="567"/>
        </w:tabs>
        <w:spacing w:line="240" w:lineRule="auto"/>
        <w:ind w:left="0" w:firstLine="0"/>
        <w:textAlignment w:val="auto"/>
        <w:rPr>
          <w:rFonts w:eastAsia="Verdana" w:cs="Verdana"/>
          <w:lang w:val="es-ES"/>
        </w:rPr>
      </w:pPr>
      <w:r w:rsidRPr="009E5CA3">
        <w:rPr>
          <w:lang w:val="es-ES"/>
        </w:rPr>
        <w:t xml:space="preserve">En función de ello, la Corte ordena, en equidad, el pago de la suma de </w:t>
      </w:r>
      <w:r w:rsidRPr="009E5CA3">
        <w:rPr>
          <w:lang w:val="es-ES" w:eastAsia="es-ES_tradnl"/>
        </w:rPr>
        <w:t xml:space="preserve">USD$ </w:t>
      </w:r>
      <w:r w:rsidRPr="009E5CA3">
        <w:rPr>
          <w:bCs/>
          <w:lang w:val="es-ES"/>
        </w:rPr>
        <w:t xml:space="preserve">10.000,00 (diez mil dólares de los Estados Unidos de </w:t>
      </w:r>
      <w:r w:rsidRPr="009E5CA3">
        <w:rPr>
          <w:rFonts w:eastAsia="SimSun"/>
          <w:lang w:val="es-ES"/>
        </w:rPr>
        <w:t>América</w:t>
      </w:r>
      <w:r w:rsidRPr="009E5CA3">
        <w:rPr>
          <w:bCs/>
          <w:lang w:val="es-ES"/>
        </w:rPr>
        <w:t xml:space="preserve">) en favor del señor </w:t>
      </w:r>
      <w:proofErr w:type="spellStart"/>
      <w:r w:rsidR="002C2DDC" w:rsidRPr="009E5CA3">
        <w:rPr>
          <w:bCs/>
          <w:lang w:val="es-ES"/>
        </w:rPr>
        <w:t>Bissoon</w:t>
      </w:r>
      <w:proofErr w:type="spellEnd"/>
      <w:r w:rsidRPr="009E5CA3">
        <w:rPr>
          <w:bCs/>
          <w:lang w:val="es-ES"/>
        </w:rPr>
        <w:t xml:space="preserve"> y de </w:t>
      </w:r>
      <w:r w:rsidRPr="009E5CA3">
        <w:rPr>
          <w:lang w:val="es-ES" w:eastAsia="es-ES_tradnl"/>
        </w:rPr>
        <w:t xml:space="preserve">USD$ </w:t>
      </w:r>
      <w:r w:rsidR="002C2DDC" w:rsidRPr="009E5CA3">
        <w:rPr>
          <w:bCs/>
          <w:lang w:val="es-ES"/>
        </w:rPr>
        <w:t>5</w:t>
      </w:r>
      <w:r w:rsidRPr="009E5CA3">
        <w:rPr>
          <w:bCs/>
          <w:lang w:val="es-ES"/>
        </w:rPr>
        <w:t>.000,00 (</w:t>
      </w:r>
      <w:r w:rsidR="002C2DDC" w:rsidRPr="009E5CA3">
        <w:rPr>
          <w:bCs/>
          <w:lang w:val="es-ES"/>
        </w:rPr>
        <w:t>cinco</w:t>
      </w:r>
      <w:r w:rsidRPr="009E5CA3">
        <w:rPr>
          <w:bCs/>
          <w:lang w:val="es-ES"/>
        </w:rPr>
        <w:t xml:space="preserve"> mil dólares de los Estados Unidos de América) en favor del señor</w:t>
      </w:r>
      <w:r w:rsidR="003C4D9C" w:rsidRPr="009E5CA3">
        <w:rPr>
          <w:bCs/>
          <w:lang w:val="es-ES"/>
        </w:rPr>
        <w:t xml:space="preserve"> </w:t>
      </w:r>
      <w:proofErr w:type="spellStart"/>
      <w:r w:rsidR="00504BCE" w:rsidRPr="009E5CA3">
        <w:t>Serrette</w:t>
      </w:r>
      <w:proofErr w:type="spellEnd"/>
      <w:r w:rsidR="00504BCE" w:rsidRPr="009E5CA3">
        <w:rPr>
          <w:bCs/>
          <w:lang w:val="es-ES"/>
        </w:rPr>
        <w:t>,</w:t>
      </w:r>
      <w:r w:rsidRPr="009E5CA3">
        <w:rPr>
          <w:bCs/>
          <w:lang w:val="es-ES"/>
        </w:rPr>
        <w:t xml:space="preserve"> todo ello por concepto de daño inmaterial.</w:t>
      </w:r>
    </w:p>
    <w:p w14:paraId="5AEB655E" w14:textId="60F3E93F" w:rsidR="008209CC" w:rsidRPr="009E5CA3" w:rsidRDefault="000E780B" w:rsidP="008209CC">
      <w:pPr>
        <w:pStyle w:val="Ttulo2"/>
        <w:rPr>
          <w:lang w:val="es-ES"/>
        </w:rPr>
      </w:pPr>
      <w:bookmarkStart w:id="95" w:name="_Toc108695524"/>
      <w:bookmarkStart w:id="96" w:name="_Toc120891066"/>
      <w:bookmarkStart w:id="97" w:name="_Toc514172673"/>
      <w:bookmarkStart w:id="98" w:name="_Toc476390747"/>
      <w:bookmarkStart w:id="99" w:name="_Toc495658705"/>
      <w:bookmarkStart w:id="100" w:name="_Toc15933782"/>
      <w:bookmarkStart w:id="101" w:name="_Toc33017906"/>
      <w:r w:rsidRPr="009E5CA3">
        <w:rPr>
          <w:lang w:val="es-ES"/>
        </w:rPr>
        <w:t>E</w:t>
      </w:r>
      <w:r w:rsidR="008209CC" w:rsidRPr="009E5CA3">
        <w:rPr>
          <w:lang w:val="es-ES"/>
        </w:rPr>
        <w:t>. Costas y gastos</w:t>
      </w:r>
      <w:bookmarkEnd w:id="95"/>
      <w:bookmarkEnd w:id="96"/>
    </w:p>
    <w:p w14:paraId="23DCFC86" w14:textId="77777777" w:rsidR="003D1EA0" w:rsidRPr="00D66C18" w:rsidRDefault="003D1EA0" w:rsidP="003D1EA0">
      <w:pPr>
        <w:tabs>
          <w:tab w:val="left" w:pos="567"/>
        </w:tabs>
        <w:spacing w:line="240" w:lineRule="auto"/>
        <w:textAlignment w:val="auto"/>
        <w:rPr>
          <w:rFonts w:eastAsia="Verdana" w:cs="Verdana"/>
          <w:lang w:val="es-ES"/>
        </w:rPr>
      </w:pPr>
    </w:p>
    <w:p w14:paraId="139CA4A9" w14:textId="0ED6FEBD" w:rsidR="008209CC" w:rsidRPr="003E142D" w:rsidRDefault="008209CC" w:rsidP="003D1EA0">
      <w:pPr>
        <w:numPr>
          <w:ilvl w:val="0"/>
          <w:numId w:val="4"/>
        </w:numPr>
        <w:tabs>
          <w:tab w:val="left" w:pos="567"/>
        </w:tabs>
        <w:spacing w:line="240" w:lineRule="auto"/>
        <w:ind w:left="0" w:firstLine="0"/>
        <w:textAlignment w:val="auto"/>
        <w:rPr>
          <w:rFonts w:eastAsia="Verdana" w:cs="Verdana"/>
          <w:lang w:val="es-ES"/>
        </w:rPr>
      </w:pPr>
      <w:r w:rsidRPr="003D1EA0">
        <w:rPr>
          <w:rFonts w:cs="Arial"/>
          <w:lang w:val="es-ES"/>
        </w:rPr>
        <w:t xml:space="preserve">Las </w:t>
      </w:r>
      <w:r w:rsidRPr="003D1EA0">
        <w:rPr>
          <w:rFonts w:cs="Arial"/>
          <w:b/>
          <w:i/>
          <w:lang w:val="es-ES"/>
        </w:rPr>
        <w:t>representantes</w:t>
      </w:r>
      <w:r w:rsidRPr="003D1EA0">
        <w:rPr>
          <w:rFonts w:cs="Arial"/>
          <w:lang w:val="es-ES"/>
        </w:rPr>
        <w:t xml:space="preserve"> indicaron que no cobrarían honorarios legales ya que la representación la realizaron </w:t>
      </w:r>
      <w:r w:rsidRPr="003D1EA0">
        <w:rPr>
          <w:rFonts w:cs="Arial"/>
          <w:i/>
          <w:iCs/>
          <w:lang w:val="es-ES"/>
        </w:rPr>
        <w:t>pro bono</w:t>
      </w:r>
      <w:r w:rsidRPr="003D1EA0">
        <w:rPr>
          <w:rFonts w:cs="Arial"/>
          <w:lang w:val="es-ES"/>
        </w:rPr>
        <w:t>. Añadieron que los gastos generados ante la Corte serían sufragados por el Fondo de Asistencia Legal de Víctimas</w:t>
      </w:r>
      <w:r w:rsidR="00216CB7">
        <w:rPr>
          <w:rFonts w:cs="Arial"/>
          <w:lang w:val="es-ES"/>
        </w:rPr>
        <w:t xml:space="preserve"> </w:t>
      </w:r>
      <w:r w:rsidR="00216CB7" w:rsidRPr="005B6856">
        <w:rPr>
          <w:rFonts w:cs="Arial"/>
          <w:lang w:val="es-ES"/>
        </w:rPr>
        <w:t>(</w:t>
      </w:r>
      <w:r w:rsidR="00216CB7" w:rsidRPr="005B6856">
        <w:rPr>
          <w:rFonts w:cs="Arial"/>
          <w:i/>
          <w:iCs/>
          <w:lang w:val="es-ES"/>
        </w:rPr>
        <w:t>infra</w:t>
      </w:r>
      <w:r w:rsidR="00216CB7">
        <w:rPr>
          <w:rFonts w:cs="Arial"/>
          <w:lang w:val="es-ES"/>
        </w:rPr>
        <w:t xml:space="preserve"> </w:t>
      </w:r>
      <w:r w:rsidR="00216CB7" w:rsidRPr="005B6856">
        <w:rPr>
          <w:rFonts w:cs="Arial"/>
          <w:lang w:val="es-ES"/>
        </w:rPr>
        <w:t>párr</w:t>
      </w:r>
      <w:r w:rsidR="00C26612">
        <w:rPr>
          <w:rFonts w:cs="Arial"/>
          <w:lang w:val="es-ES"/>
        </w:rPr>
        <w:t>s</w:t>
      </w:r>
      <w:r w:rsidR="00216CB7" w:rsidRPr="005B6856">
        <w:rPr>
          <w:rFonts w:cs="Arial"/>
          <w:lang w:val="es-ES"/>
        </w:rPr>
        <w:t>.</w:t>
      </w:r>
      <w:r w:rsidR="00216CB7">
        <w:rPr>
          <w:rFonts w:cs="Arial"/>
          <w:lang w:val="es-ES"/>
        </w:rPr>
        <w:t xml:space="preserve"> 77</w:t>
      </w:r>
      <w:r w:rsidR="00C26612">
        <w:rPr>
          <w:rFonts w:cs="Arial"/>
          <w:lang w:val="es-ES"/>
        </w:rPr>
        <w:t xml:space="preserve"> y siguientes</w:t>
      </w:r>
      <w:r w:rsidR="00216CB7" w:rsidRPr="005B6856">
        <w:rPr>
          <w:rFonts w:cs="Arial"/>
          <w:lang w:val="es-ES"/>
        </w:rPr>
        <w:t>)</w:t>
      </w:r>
      <w:r w:rsidR="0069755B">
        <w:rPr>
          <w:rFonts w:cs="Arial"/>
          <w:lang w:val="es-ES"/>
        </w:rPr>
        <w:t xml:space="preserve">. </w:t>
      </w:r>
      <w:r w:rsidR="000E780B" w:rsidRPr="003D1EA0">
        <w:rPr>
          <w:rFonts w:cs="Arial"/>
          <w:lang w:val="es-ES"/>
        </w:rPr>
        <w:t>A la vista de lo anterior, la Corte no se pronunciará sobre estos rubros.</w:t>
      </w:r>
      <w:r w:rsidR="001D3553" w:rsidRPr="003D1EA0">
        <w:rPr>
          <w:b/>
          <w:bCs/>
        </w:rPr>
        <w:t xml:space="preserve"> </w:t>
      </w:r>
    </w:p>
    <w:p w14:paraId="4737F97A" w14:textId="05E847EE" w:rsidR="0012319E" w:rsidRPr="009E5CA3" w:rsidRDefault="000E780B" w:rsidP="0012319E">
      <w:pPr>
        <w:pStyle w:val="Ttulo2"/>
        <w:rPr>
          <w:lang w:val="es-ES"/>
        </w:rPr>
      </w:pPr>
      <w:bookmarkStart w:id="102" w:name="_Toc120891067"/>
      <w:bookmarkEnd w:id="97"/>
      <w:bookmarkEnd w:id="98"/>
      <w:bookmarkEnd w:id="99"/>
      <w:bookmarkEnd w:id="100"/>
      <w:bookmarkEnd w:id="101"/>
      <w:r w:rsidRPr="009E5CA3">
        <w:rPr>
          <w:lang w:val="es-ES"/>
        </w:rPr>
        <w:t>F</w:t>
      </w:r>
      <w:r w:rsidR="0012319E" w:rsidRPr="009E5CA3">
        <w:rPr>
          <w:lang w:val="es-ES"/>
        </w:rPr>
        <w:t>. Reintegro de los gastos al Fondo de Asistencia Legal de Víctimas de la Corte Interamericana</w:t>
      </w:r>
      <w:bookmarkEnd w:id="77"/>
      <w:bookmarkEnd w:id="78"/>
      <w:bookmarkEnd w:id="102"/>
    </w:p>
    <w:p w14:paraId="496AAADD" w14:textId="77777777" w:rsidR="0012319E" w:rsidRPr="009E5CA3" w:rsidRDefault="0012319E" w:rsidP="0012319E">
      <w:pPr>
        <w:numPr>
          <w:ilvl w:val="0"/>
          <w:numId w:val="4"/>
        </w:numPr>
        <w:tabs>
          <w:tab w:val="left" w:pos="567"/>
        </w:tabs>
        <w:spacing w:line="240" w:lineRule="auto"/>
        <w:ind w:left="0" w:firstLine="0"/>
        <w:textAlignment w:val="auto"/>
        <w:rPr>
          <w:rFonts w:cs="Arial"/>
          <w:lang w:val="es-ES"/>
        </w:rPr>
      </w:pPr>
      <w:r w:rsidRPr="009E5CA3">
        <w:rPr>
          <w:rFonts w:eastAsia="MS Mincho" w:cs="Verdana"/>
          <w:snapToGrid w:val="0"/>
          <w:lang w:val="es-ES" w:eastAsia="es-ES" w:bidi="en-US"/>
        </w:rPr>
        <w:t xml:space="preserve">En el 2008 la Asamblea General de la Organización de Estados Americanos creó el Fondo de </w:t>
      </w:r>
      <w:r w:rsidRPr="009E5CA3">
        <w:rPr>
          <w:rFonts w:eastAsia="MS Mincho"/>
          <w:lang w:val="es-ES" w:bidi="en-US"/>
        </w:rPr>
        <w:t>Asistencia</w:t>
      </w:r>
      <w:r w:rsidRPr="009E5CA3">
        <w:rPr>
          <w:rFonts w:eastAsia="MS Mincho" w:cs="Verdana"/>
          <w:snapToGrid w:val="0"/>
          <w:lang w:val="es-ES"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9E5CA3">
        <w:rPr>
          <w:rFonts w:eastAsia="MS Mincho" w:cs="Verdana"/>
          <w:snapToGrid w:val="0"/>
          <w:vertAlign w:val="superscript"/>
          <w:lang w:val="es-ES" w:eastAsia="es-ES" w:bidi="en-US"/>
        </w:rPr>
        <w:footnoteReference w:id="77"/>
      </w:r>
      <w:r w:rsidRPr="009E5CA3">
        <w:rPr>
          <w:rFonts w:eastAsia="MS Mincho" w:cs="Verdana"/>
          <w:snapToGrid w:val="0"/>
          <w:lang w:val="es-ES" w:eastAsia="es-ES" w:bidi="en-US"/>
        </w:rPr>
        <w:t xml:space="preserve">. </w:t>
      </w:r>
    </w:p>
    <w:p w14:paraId="1C29CF8E" w14:textId="77777777" w:rsidR="0012319E" w:rsidRPr="009E5CA3" w:rsidRDefault="0012319E" w:rsidP="0012319E">
      <w:pPr>
        <w:tabs>
          <w:tab w:val="left" w:pos="567"/>
        </w:tabs>
        <w:spacing w:line="240" w:lineRule="auto"/>
        <w:rPr>
          <w:rFonts w:cs="Arial"/>
          <w:lang w:val="es-ES"/>
        </w:rPr>
      </w:pPr>
    </w:p>
    <w:p w14:paraId="336B4B58" w14:textId="41C1FD78" w:rsidR="00B560E9" w:rsidRPr="009E5CA3" w:rsidRDefault="00B560E9" w:rsidP="00B560E9">
      <w:pPr>
        <w:numPr>
          <w:ilvl w:val="0"/>
          <w:numId w:val="4"/>
        </w:numPr>
        <w:tabs>
          <w:tab w:val="left" w:pos="567"/>
        </w:tabs>
        <w:spacing w:line="240" w:lineRule="auto"/>
        <w:ind w:left="0" w:firstLine="0"/>
        <w:textAlignment w:val="auto"/>
        <w:rPr>
          <w:rFonts w:cs="Arial"/>
          <w:lang w:val="es-ES"/>
        </w:rPr>
      </w:pPr>
      <w:bookmarkStart w:id="103" w:name="_Toc108695526"/>
      <w:r w:rsidRPr="009E5CA3">
        <w:rPr>
          <w:rFonts w:eastAsia="MS Mincho" w:cs="Verdana"/>
          <w:snapToGrid w:val="0"/>
          <w:lang w:val="es-ES" w:eastAsia="es-ES" w:bidi="en-US"/>
        </w:rPr>
        <w:t xml:space="preserve">Mediante nota de Secretaría de la Corte de 29 de </w:t>
      </w:r>
      <w:r w:rsidR="00F55C96">
        <w:rPr>
          <w:rFonts w:eastAsia="MS Mincho" w:cs="Verdana"/>
          <w:snapToGrid w:val="0"/>
          <w:lang w:val="es-ES" w:eastAsia="es-ES" w:bidi="en-US"/>
        </w:rPr>
        <w:t>m</w:t>
      </w:r>
      <w:r w:rsidRPr="009E5CA3">
        <w:rPr>
          <w:rFonts w:eastAsia="MS Mincho" w:cs="Verdana"/>
          <w:snapToGrid w:val="0"/>
          <w:lang w:val="es-ES" w:eastAsia="es-ES" w:bidi="en-US"/>
        </w:rPr>
        <w:t>arzo de 2022</w:t>
      </w:r>
      <w:r w:rsidR="006A7DCF">
        <w:rPr>
          <w:rFonts w:eastAsia="MS Mincho" w:cs="Verdana"/>
          <w:snapToGrid w:val="0"/>
          <w:lang w:val="es-ES" w:eastAsia="es-ES" w:bidi="en-US"/>
        </w:rPr>
        <w:t>,</w:t>
      </w:r>
      <w:r w:rsidRPr="009E5CA3">
        <w:rPr>
          <w:rFonts w:eastAsia="MS Mincho" w:cs="Verdana"/>
          <w:snapToGrid w:val="0"/>
          <w:lang w:val="es-ES" w:eastAsia="es-ES" w:bidi="en-US"/>
        </w:rPr>
        <w:t xml:space="preserve"> el Presidente autorizó el acceso de las presuntas víctimas al referido Fondo de Asistencia Legal </w:t>
      </w:r>
      <w:r w:rsidR="0089322E">
        <w:rPr>
          <w:rFonts w:eastAsia="MS Mincho" w:cs="Verdana"/>
          <w:snapToGrid w:val="0"/>
          <w:lang w:val="es-ES" w:eastAsia="es-ES" w:bidi="en-US"/>
        </w:rPr>
        <w:t xml:space="preserve">para </w:t>
      </w:r>
      <w:r w:rsidRPr="009E5CA3">
        <w:rPr>
          <w:rFonts w:eastAsia="MS Mincho" w:cs="Verdana"/>
          <w:snapToGrid w:val="0"/>
          <w:lang w:val="es-ES" w:eastAsia="es-ES" w:bidi="en-US"/>
        </w:rPr>
        <w:t xml:space="preserve">que cubriera la </w:t>
      </w:r>
      <w:r w:rsidRPr="009E5CA3">
        <w:rPr>
          <w:rFonts w:eastAsia="MS Mincho" w:cs="Verdana"/>
          <w:snapToGrid w:val="0"/>
          <w:lang w:val="es-ES" w:eastAsia="es-ES" w:bidi="en-US"/>
        </w:rPr>
        <w:lastRenderedPageBreak/>
        <w:t>presentación de un máximo de tres declaraciones. Mediante Resolución de la Presidencia de 2 de junio de 2022</w:t>
      </w:r>
      <w:r w:rsidR="0089322E">
        <w:rPr>
          <w:rFonts w:eastAsia="MS Mincho" w:cs="Verdana"/>
          <w:snapToGrid w:val="0"/>
          <w:lang w:val="es-ES" w:eastAsia="es-ES" w:bidi="en-US"/>
        </w:rPr>
        <w:t>,</w:t>
      </w:r>
      <w:r w:rsidRPr="009E5CA3">
        <w:rPr>
          <w:rFonts w:eastAsia="MS Mincho" w:cs="Verdana"/>
          <w:snapToGrid w:val="0"/>
          <w:lang w:val="es-ES" w:eastAsia="es-ES" w:bidi="en-US"/>
        </w:rPr>
        <w:t xml:space="preserve"> se </w:t>
      </w:r>
      <w:r w:rsidR="00BF1E3B" w:rsidRPr="00F55C96">
        <w:rPr>
          <w:rFonts w:eastAsia="MS Mincho" w:cs="Verdana"/>
          <w:snapToGrid w:val="0"/>
          <w:lang w:val="es-ES" w:eastAsia="es-ES" w:bidi="en-US"/>
        </w:rPr>
        <w:t>especificó</w:t>
      </w:r>
      <w:r w:rsidRPr="009E5CA3">
        <w:rPr>
          <w:rFonts w:eastAsia="MS Mincho" w:cs="Verdana"/>
          <w:snapToGrid w:val="0"/>
          <w:lang w:val="es-ES" w:eastAsia="es-ES" w:bidi="en-US"/>
        </w:rPr>
        <w:t xml:space="preserve"> que el Fondo de Asistencia Legal cubriría los gastos razonables de la formalización y envío de tres declaraciones rendidas ante fedatario público (</w:t>
      </w:r>
      <w:r w:rsidR="00DF1F68" w:rsidRPr="009E5CA3">
        <w:rPr>
          <w:i/>
          <w:iCs/>
          <w:lang w:val="es-ES"/>
        </w:rPr>
        <w:t>affidavit</w:t>
      </w:r>
      <w:r w:rsidR="009C4445">
        <w:rPr>
          <w:i/>
          <w:iCs/>
          <w:lang w:val="es-ES"/>
        </w:rPr>
        <w:t>s</w:t>
      </w:r>
      <w:r w:rsidRPr="009E5CA3">
        <w:rPr>
          <w:rFonts w:eastAsia="MS Mincho" w:cs="Verdana"/>
          <w:snapToGrid w:val="0"/>
          <w:lang w:val="es-ES" w:eastAsia="es-ES" w:bidi="en-US"/>
        </w:rPr>
        <w:t xml:space="preserve">). Con fecha 4 de agosto de 2022 los representantes fueron requeridos con el fin de que remitieran antes del 19 de agosto de 2022 todos los soportes probatorios acreditativos de los costes sufragados por la formalización y envío de las declaraciones de los señores </w:t>
      </w:r>
      <w:proofErr w:type="spellStart"/>
      <w:r w:rsidR="00A67BFA">
        <w:rPr>
          <w:rFonts w:eastAsia="MS Mincho" w:cs="Verdana"/>
          <w:snapToGrid w:val="0"/>
          <w:lang w:val="es-ES" w:eastAsia="es-ES" w:bidi="en-US"/>
        </w:rPr>
        <w:t>Bissoon</w:t>
      </w:r>
      <w:proofErr w:type="spellEnd"/>
      <w:r w:rsidR="00A67BFA">
        <w:rPr>
          <w:rFonts w:eastAsia="MS Mincho" w:cs="Verdana"/>
          <w:snapToGrid w:val="0"/>
          <w:lang w:val="es-ES" w:eastAsia="es-ES" w:bidi="en-US"/>
        </w:rPr>
        <w:t xml:space="preserve"> y </w:t>
      </w:r>
      <w:proofErr w:type="spellStart"/>
      <w:r w:rsidR="00A67BFA">
        <w:rPr>
          <w:rFonts w:eastAsia="MS Mincho" w:cs="Verdana"/>
          <w:snapToGrid w:val="0"/>
          <w:lang w:val="es-ES" w:eastAsia="es-ES" w:bidi="en-US"/>
        </w:rPr>
        <w:t>Serrette</w:t>
      </w:r>
      <w:proofErr w:type="spellEnd"/>
      <w:r w:rsidR="00A67BFA">
        <w:rPr>
          <w:rFonts w:eastAsia="MS Mincho" w:cs="Verdana"/>
          <w:snapToGrid w:val="0"/>
          <w:lang w:val="es-ES" w:eastAsia="es-ES" w:bidi="en-US"/>
        </w:rPr>
        <w:t xml:space="preserve"> </w:t>
      </w:r>
      <w:r w:rsidRPr="009E5CA3">
        <w:rPr>
          <w:rFonts w:eastAsia="MS Mincho" w:cs="Verdana"/>
          <w:snapToGrid w:val="0"/>
          <w:lang w:val="es-ES" w:eastAsia="es-ES" w:bidi="en-US"/>
        </w:rPr>
        <w:t>y del perito Douglas Mendes SC. Los representantes no dieron respuesta a dicho requerimiento, por lo que la Secretaría de la Corte no procedió a realizar ningún reintegro.</w:t>
      </w:r>
    </w:p>
    <w:p w14:paraId="36362EF5" w14:textId="77777777" w:rsidR="00B560E9" w:rsidRPr="009E5CA3" w:rsidRDefault="00B560E9" w:rsidP="00B560E9">
      <w:pPr>
        <w:tabs>
          <w:tab w:val="left" w:pos="567"/>
        </w:tabs>
        <w:spacing w:line="240" w:lineRule="auto"/>
        <w:textAlignment w:val="auto"/>
        <w:rPr>
          <w:rFonts w:cs="Arial"/>
          <w:lang w:val="es-ES"/>
        </w:rPr>
      </w:pPr>
    </w:p>
    <w:p w14:paraId="57B44B7D" w14:textId="77777777" w:rsidR="00B560E9" w:rsidRPr="009E5CA3" w:rsidRDefault="00B560E9" w:rsidP="00B560E9">
      <w:pPr>
        <w:numPr>
          <w:ilvl w:val="0"/>
          <w:numId w:val="4"/>
        </w:numPr>
        <w:tabs>
          <w:tab w:val="left" w:pos="567"/>
        </w:tabs>
        <w:spacing w:line="240" w:lineRule="auto"/>
        <w:ind w:left="0" w:firstLine="0"/>
        <w:textAlignment w:val="auto"/>
        <w:rPr>
          <w:rFonts w:cs="Arial"/>
          <w:lang w:val="es-ES"/>
        </w:rPr>
      </w:pPr>
      <w:r w:rsidRPr="009E5CA3">
        <w:rPr>
          <w:rFonts w:eastAsia="MS Mincho" w:cs="Verdana"/>
          <w:snapToGrid w:val="0"/>
          <w:lang w:val="es-ES" w:eastAsia="es-ES" w:bidi="en-US"/>
        </w:rPr>
        <w:t xml:space="preserve">A la vista de lo anterior, y toda vez que la Secretaría de la Corte no realizó ninguna erogación con cargo al Fondo de Asistencia Legal, no procede pronunciarse sobre este apartado. </w:t>
      </w:r>
    </w:p>
    <w:p w14:paraId="23F8BE82" w14:textId="224BCFD5" w:rsidR="0012319E" w:rsidRPr="009E5CA3" w:rsidRDefault="000E780B" w:rsidP="0012319E">
      <w:pPr>
        <w:pStyle w:val="Ttulo2"/>
        <w:rPr>
          <w:lang w:val="es-ES"/>
        </w:rPr>
      </w:pPr>
      <w:bookmarkStart w:id="104" w:name="_Toc120891068"/>
      <w:r w:rsidRPr="009E5CA3">
        <w:rPr>
          <w:lang w:val="es-ES"/>
        </w:rPr>
        <w:t>G</w:t>
      </w:r>
      <w:r w:rsidR="0012319E" w:rsidRPr="009E5CA3">
        <w:rPr>
          <w:lang w:val="es-ES"/>
        </w:rPr>
        <w:t>. Modalidad de cumplimiento de los pagos ordenados</w:t>
      </w:r>
      <w:bookmarkEnd w:id="79"/>
      <w:bookmarkEnd w:id="80"/>
      <w:bookmarkEnd w:id="81"/>
      <w:bookmarkEnd w:id="82"/>
      <w:bookmarkEnd w:id="83"/>
      <w:bookmarkEnd w:id="103"/>
      <w:bookmarkEnd w:id="104"/>
    </w:p>
    <w:p w14:paraId="18B1439E" w14:textId="77777777" w:rsidR="0012319E" w:rsidRPr="009E5CA3" w:rsidRDefault="0012319E" w:rsidP="0012319E">
      <w:pPr>
        <w:numPr>
          <w:ilvl w:val="0"/>
          <w:numId w:val="4"/>
        </w:numPr>
        <w:tabs>
          <w:tab w:val="left" w:pos="567"/>
        </w:tabs>
        <w:spacing w:line="240" w:lineRule="auto"/>
        <w:ind w:left="0" w:firstLine="0"/>
        <w:textAlignment w:val="auto"/>
        <w:rPr>
          <w:rFonts w:eastAsia="MS Mincho"/>
          <w:lang w:val="es-ES" w:bidi="en-US"/>
        </w:rPr>
      </w:pPr>
      <w:bookmarkStart w:id="105" w:name="_Ref512872975"/>
      <w:r w:rsidRPr="009E5CA3">
        <w:rPr>
          <w:rFonts w:eastAsia="SimSun"/>
          <w:lang w:val="es-ES"/>
        </w:rPr>
        <w:t xml:space="preserve">El Estado deberá efectuar el </w:t>
      </w:r>
      <w:r w:rsidRPr="009E5CA3">
        <w:rPr>
          <w:rFonts w:eastAsia="MS Mincho"/>
          <w:lang w:val="es-ES" w:bidi="en-US"/>
        </w:rPr>
        <w:t>pago</w:t>
      </w:r>
      <w:r w:rsidRPr="009E5CA3">
        <w:rPr>
          <w:rFonts w:eastAsia="SimSun"/>
          <w:lang w:val="es-ES"/>
        </w:rPr>
        <w:t xml:space="preserve"> de las indemnizaciones por concepto de daño inmaterial establecido en la presente Sentencia directamente a las personas indicadas en la misma, dentro del </w:t>
      </w:r>
      <w:r w:rsidRPr="009E5CA3">
        <w:rPr>
          <w:rFonts w:eastAsia="MS Mincho"/>
          <w:lang w:val="es-ES" w:bidi="en-US"/>
        </w:rPr>
        <w:t>plazo</w:t>
      </w:r>
      <w:r w:rsidRPr="009E5CA3">
        <w:rPr>
          <w:rFonts w:eastAsia="SimSun"/>
          <w:lang w:val="es-ES"/>
        </w:rPr>
        <w:t xml:space="preserve"> de un año contado a partir de la notificación de la presente Sentencia</w:t>
      </w:r>
      <w:bookmarkEnd w:id="105"/>
      <w:r w:rsidRPr="009E5CA3">
        <w:rPr>
          <w:rFonts w:eastAsia="SimSun"/>
          <w:lang w:val="es-ES"/>
        </w:rPr>
        <w:t>, sin perjuicio de que pueda adelantar el pago completo en un plazo menor, en los términos de los siguientes párrafos</w:t>
      </w:r>
      <w:r w:rsidRPr="009E5CA3">
        <w:rPr>
          <w:rFonts w:eastAsia="MS Mincho"/>
          <w:lang w:val="es-ES" w:bidi="en-US"/>
        </w:rPr>
        <w:t>.</w:t>
      </w:r>
    </w:p>
    <w:p w14:paraId="637BB553" w14:textId="77777777" w:rsidR="0012319E" w:rsidRPr="009E5CA3" w:rsidRDefault="0012319E" w:rsidP="0012319E">
      <w:pPr>
        <w:spacing w:line="240" w:lineRule="auto"/>
        <w:rPr>
          <w:rFonts w:eastAsia="SimSun" w:cs="Vrinda"/>
          <w:lang w:val="es-ES" w:bidi="en-US"/>
        </w:rPr>
      </w:pPr>
    </w:p>
    <w:p w14:paraId="1BE82272" w14:textId="77777777" w:rsidR="0012319E" w:rsidRPr="009E5CA3" w:rsidRDefault="0012319E" w:rsidP="0012319E">
      <w:pPr>
        <w:numPr>
          <w:ilvl w:val="0"/>
          <w:numId w:val="4"/>
        </w:numPr>
        <w:tabs>
          <w:tab w:val="left" w:pos="567"/>
        </w:tabs>
        <w:spacing w:line="240" w:lineRule="auto"/>
        <w:ind w:left="0" w:firstLine="0"/>
        <w:textAlignment w:val="auto"/>
        <w:rPr>
          <w:rFonts w:eastAsia="SimSun" w:cs="Vrinda"/>
          <w:lang w:val="es-ES" w:bidi="en-US"/>
        </w:rPr>
      </w:pPr>
      <w:r w:rsidRPr="009E5CA3">
        <w:rPr>
          <w:rFonts w:eastAsia="SimSun"/>
          <w:lang w:val="es-ES"/>
        </w:rPr>
        <w:t xml:space="preserve">En caso de que los beneficiarios hayan fallecido o fallezcan antes de que les sea entregada la </w:t>
      </w:r>
      <w:r w:rsidRPr="009E5CA3">
        <w:rPr>
          <w:rFonts w:eastAsia="MS Mincho"/>
          <w:lang w:val="es-ES" w:bidi="en-US"/>
        </w:rPr>
        <w:t>cantidad</w:t>
      </w:r>
      <w:r w:rsidRPr="009E5CA3">
        <w:rPr>
          <w:rFonts w:eastAsia="SimSun"/>
          <w:lang w:val="es-ES"/>
        </w:rPr>
        <w:t xml:space="preserve"> respectiva, esta se </w:t>
      </w:r>
      <w:r w:rsidRPr="009E5CA3">
        <w:rPr>
          <w:rFonts w:eastAsia="MS Mincho"/>
          <w:lang w:val="es-ES" w:bidi="en-US"/>
        </w:rPr>
        <w:t>entregará</w:t>
      </w:r>
      <w:r w:rsidRPr="009E5CA3">
        <w:rPr>
          <w:rFonts w:eastAsia="SimSun"/>
          <w:lang w:val="es-ES"/>
        </w:rPr>
        <w:t xml:space="preserve"> directamente a sus derechohabientes, conforme al derecho interno aplicable.</w:t>
      </w:r>
    </w:p>
    <w:p w14:paraId="337E3B78" w14:textId="77777777" w:rsidR="0012319E" w:rsidRPr="009E5CA3" w:rsidRDefault="0012319E" w:rsidP="0012319E">
      <w:pPr>
        <w:tabs>
          <w:tab w:val="left" w:pos="567"/>
        </w:tabs>
        <w:spacing w:line="240" w:lineRule="auto"/>
        <w:textAlignment w:val="auto"/>
        <w:rPr>
          <w:rFonts w:eastAsia="SimSun"/>
          <w:lang w:val="es-ES"/>
        </w:rPr>
      </w:pPr>
    </w:p>
    <w:p w14:paraId="0CBC2C16" w14:textId="77777777" w:rsidR="0012319E" w:rsidRPr="009E5CA3" w:rsidRDefault="0012319E" w:rsidP="0012319E">
      <w:pPr>
        <w:numPr>
          <w:ilvl w:val="0"/>
          <w:numId w:val="4"/>
        </w:numPr>
        <w:tabs>
          <w:tab w:val="left" w:pos="567"/>
        </w:tabs>
        <w:spacing w:line="240" w:lineRule="auto"/>
        <w:ind w:left="0" w:firstLine="0"/>
        <w:textAlignment w:val="auto"/>
        <w:rPr>
          <w:rFonts w:eastAsia="SimSun"/>
          <w:lang w:val="es-ES"/>
        </w:rPr>
      </w:pPr>
      <w:r w:rsidRPr="009E5CA3">
        <w:rPr>
          <w:rFonts w:eastAsia="SimSun"/>
          <w:lang w:val="es-ES"/>
        </w:rPr>
        <w:t>El Estado deberá cumplir con las obligaciones monetarias mediante el pago en dólares de los</w:t>
      </w:r>
      <w:r w:rsidRPr="009E5CA3">
        <w:rPr>
          <w:rFonts w:eastAsia="SimSun"/>
          <w:lang w:val="es-ES"/>
        </w:rPr>
        <w:br/>
        <w:t>Estados Unidos de América o su equivalente en moneda nacional, utilizando para el cálculo respectivo</w:t>
      </w:r>
      <w:r w:rsidRPr="009E5CA3">
        <w:rPr>
          <w:rFonts w:eastAsia="SimSun"/>
          <w:lang w:val="es-ES"/>
        </w:rPr>
        <w:br/>
        <w:t>el tipo de cambio de mercado publicado o calculado por una autoridad bancaria o financiera</w:t>
      </w:r>
      <w:r w:rsidRPr="009E5CA3">
        <w:rPr>
          <w:rFonts w:eastAsia="SimSun"/>
          <w:lang w:val="es-ES"/>
        </w:rPr>
        <w:br/>
        <w:t>pertinente en la fecha más cercana al día del pago.</w:t>
      </w:r>
    </w:p>
    <w:p w14:paraId="29F3F207" w14:textId="77777777" w:rsidR="0012319E" w:rsidRPr="009E5CA3" w:rsidRDefault="0012319E" w:rsidP="0012319E">
      <w:pPr>
        <w:tabs>
          <w:tab w:val="left" w:pos="567"/>
        </w:tabs>
        <w:spacing w:line="240" w:lineRule="auto"/>
        <w:textAlignment w:val="auto"/>
        <w:rPr>
          <w:rFonts w:eastAsia="SimSun"/>
          <w:lang w:val="es-ES"/>
        </w:rPr>
      </w:pPr>
    </w:p>
    <w:p w14:paraId="0E98CC90" w14:textId="52D28B89" w:rsidR="0012319E" w:rsidRPr="009E5CA3" w:rsidRDefault="0012319E" w:rsidP="0012319E">
      <w:pPr>
        <w:numPr>
          <w:ilvl w:val="0"/>
          <w:numId w:val="4"/>
        </w:numPr>
        <w:tabs>
          <w:tab w:val="left" w:pos="567"/>
        </w:tabs>
        <w:spacing w:line="240" w:lineRule="auto"/>
        <w:ind w:left="0" w:firstLine="0"/>
        <w:textAlignment w:val="auto"/>
        <w:rPr>
          <w:rFonts w:eastAsia="SimSun" w:cs="Vrinda"/>
          <w:lang w:val="es-ES" w:bidi="en-US"/>
        </w:rPr>
      </w:pPr>
      <w:r w:rsidRPr="009E5CA3">
        <w:rPr>
          <w:rFonts w:eastAsia="SimSun"/>
          <w:lang w:val="es-ES"/>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w:t>
      </w:r>
      <w:r w:rsidRPr="009E5CA3">
        <w:rPr>
          <w:rFonts w:eastAsia="MS Mincho"/>
          <w:lang w:val="es-ES" w:bidi="en-US"/>
        </w:rPr>
        <w:t>una</w:t>
      </w:r>
      <w:r w:rsidRPr="009E5CA3">
        <w:rPr>
          <w:rFonts w:eastAsia="SimSun"/>
          <w:lang w:val="es-ES"/>
        </w:rPr>
        <w:t xml:space="preserve"> institución financiera </w:t>
      </w:r>
      <w:r w:rsidR="00EC3451">
        <w:rPr>
          <w:rFonts w:eastAsia="SimSun"/>
          <w:lang w:val="es-ES"/>
        </w:rPr>
        <w:t>de Trinidad y Tobago</w:t>
      </w:r>
      <w:r w:rsidRPr="009E5CA3">
        <w:rPr>
          <w:rFonts w:eastAsia="SimSun"/>
          <w:lang w:val="es-ES"/>
        </w:rPr>
        <w:t xml:space="preserve"> solvente, en </w:t>
      </w:r>
      <w:r w:rsidRPr="009E5CA3">
        <w:rPr>
          <w:rFonts w:eastAsia="MS Mincho"/>
          <w:lang w:val="es-ES" w:bidi="en-US"/>
        </w:rPr>
        <w:t>dólares</w:t>
      </w:r>
      <w:r w:rsidRPr="009E5CA3">
        <w:rPr>
          <w:rFonts w:eastAsia="SimSun"/>
          <w:lang w:val="es-ES"/>
        </w:rPr>
        <w:t xml:space="preserve">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16EC77DF" w14:textId="77777777" w:rsidR="0012319E" w:rsidRPr="009E5CA3" w:rsidRDefault="0012319E" w:rsidP="0012319E">
      <w:pPr>
        <w:tabs>
          <w:tab w:val="left" w:pos="567"/>
        </w:tabs>
        <w:spacing w:line="240" w:lineRule="auto"/>
        <w:textAlignment w:val="auto"/>
        <w:rPr>
          <w:rFonts w:eastAsia="SimSun"/>
          <w:lang w:val="es-ES"/>
        </w:rPr>
      </w:pPr>
    </w:p>
    <w:p w14:paraId="08BF6B66" w14:textId="77777777" w:rsidR="0012319E" w:rsidRPr="009E5CA3" w:rsidRDefault="0012319E" w:rsidP="0012319E">
      <w:pPr>
        <w:numPr>
          <w:ilvl w:val="0"/>
          <w:numId w:val="4"/>
        </w:numPr>
        <w:tabs>
          <w:tab w:val="left" w:pos="567"/>
        </w:tabs>
        <w:spacing w:line="240" w:lineRule="auto"/>
        <w:ind w:left="0" w:firstLine="0"/>
        <w:textAlignment w:val="auto"/>
        <w:rPr>
          <w:rFonts w:eastAsia="SimSun" w:cs="Vrinda"/>
          <w:lang w:val="es-ES" w:bidi="en-US"/>
        </w:rPr>
      </w:pPr>
      <w:r w:rsidRPr="009E5CA3">
        <w:rPr>
          <w:rFonts w:eastAsia="SimSun"/>
          <w:lang w:val="es-ES"/>
        </w:rPr>
        <w:t xml:space="preserve">Las cantidades asignadas en la presente Sentencia en concepto de indemnización por daño inmaterial </w:t>
      </w:r>
      <w:r w:rsidRPr="009E5CA3">
        <w:rPr>
          <w:rFonts w:eastAsia="MS Mincho"/>
          <w:lang w:val="es-ES" w:bidi="en-US"/>
        </w:rPr>
        <w:t>deberán</w:t>
      </w:r>
      <w:r w:rsidRPr="009E5CA3">
        <w:rPr>
          <w:rFonts w:eastAsia="SimSun"/>
          <w:lang w:val="es-ES"/>
        </w:rPr>
        <w:t xml:space="preserve"> ser entregadas a las personas indicadas en forma íntegra, conforme a lo establecido en esta Sentencia, sin reducciones derivadas de eventuales cargas fiscales.</w:t>
      </w:r>
      <w:bookmarkStart w:id="106" w:name="_Ref469940442"/>
    </w:p>
    <w:p w14:paraId="3287E32D" w14:textId="77777777" w:rsidR="0012319E" w:rsidRPr="009E5CA3" w:rsidRDefault="0012319E" w:rsidP="0012319E">
      <w:pPr>
        <w:spacing w:line="240" w:lineRule="auto"/>
        <w:rPr>
          <w:rFonts w:eastAsia="SimSun" w:cs="Vrinda"/>
          <w:lang w:val="es-ES" w:bidi="en-US"/>
        </w:rPr>
      </w:pPr>
    </w:p>
    <w:bookmarkEnd w:id="106"/>
    <w:p w14:paraId="361F49E9" w14:textId="07BCBA05" w:rsidR="000E780B" w:rsidRPr="009E5CA3" w:rsidRDefault="000E780B" w:rsidP="000E780B">
      <w:pPr>
        <w:widowControl/>
        <w:numPr>
          <w:ilvl w:val="0"/>
          <w:numId w:val="4"/>
        </w:numPr>
        <w:tabs>
          <w:tab w:val="left" w:pos="567"/>
        </w:tabs>
        <w:adjustRightInd/>
        <w:spacing w:after="160" w:line="259" w:lineRule="auto"/>
        <w:ind w:left="0" w:firstLine="0"/>
        <w:textAlignment w:val="auto"/>
        <w:rPr>
          <w:rFonts w:eastAsia="Batang" w:cs="Times"/>
          <w:noProof/>
          <w:lang w:val="es-ES"/>
        </w:rPr>
      </w:pPr>
      <w:r w:rsidRPr="009E5CA3">
        <w:rPr>
          <w:rFonts w:eastAsia="Batang" w:cs="Times"/>
          <w:noProof/>
          <w:lang w:val="es-ES"/>
        </w:rPr>
        <w:t>En caso de que el Estado incurriera en mora</w:t>
      </w:r>
      <w:r w:rsidR="00563FC8">
        <w:rPr>
          <w:rFonts w:eastAsia="Batang" w:cs="Times"/>
          <w:noProof/>
          <w:lang w:val="es-ES"/>
        </w:rPr>
        <w:t xml:space="preserve"> </w:t>
      </w:r>
      <w:r w:rsidRPr="009E5CA3">
        <w:rPr>
          <w:rFonts w:eastAsia="Batang" w:cs="Times"/>
          <w:noProof/>
          <w:lang w:val="es-ES"/>
        </w:rPr>
        <w:t xml:space="preserve">deberá pagar un interés sobre la cantidad adeudada correspondiente al interés bancario </w:t>
      </w:r>
      <w:r w:rsidRPr="009E5CA3">
        <w:rPr>
          <w:rFonts w:eastAsia="MS Mincho"/>
          <w:lang w:val="es-ES" w:bidi="en-US"/>
        </w:rPr>
        <w:t>moratorio</w:t>
      </w:r>
      <w:r w:rsidRPr="009E5CA3">
        <w:rPr>
          <w:rFonts w:eastAsia="Batang" w:cs="Times"/>
          <w:noProof/>
          <w:lang w:val="es-ES"/>
        </w:rPr>
        <w:t xml:space="preserve"> en Trinidad y Tobago. </w:t>
      </w:r>
    </w:p>
    <w:p w14:paraId="4308FDC2" w14:textId="5BC8BD56" w:rsidR="0012319E" w:rsidRPr="009E5CA3" w:rsidRDefault="00F55C96" w:rsidP="0012319E">
      <w:pPr>
        <w:widowControl/>
        <w:adjustRightInd/>
        <w:spacing w:after="160" w:line="259" w:lineRule="auto"/>
        <w:jc w:val="left"/>
        <w:textAlignment w:val="auto"/>
        <w:rPr>
          <w:rFonts w:eastAsia="Batang" w:cs="Times"/>
          <w:noProof/>
          <w:lang w:val="es-ES"/>
        </w:rPr>
      </w:pPr>
      <w:r>
        <w:rPr>
          <w:rFonts w:eastAsia="Batang" w:cs="Times"/>
          <w:noProof/>
          <w:lang w:val="es-ES"/>
        </w:rPr>
        <w:br w:type="page"/>
      </w:r>
    </w:p>
    <w:p w14:paraId="17D6B9F1" w14:textId="43E27191" w:rsidR="0012319E" w:rsidRPr="009E5CA3" w:rsidRDefault="0012319E" w:rsidP="0012319E">
      <w:pPr>
        <w:pStyle w:val="Ttulo1"/>
        <w:rPr>
          <w:lang w:val="es-ES"/>
        </w:rPr>
      </w:pPr>
      <w:bookmarkStart w:id="107" w:name="_Toc24447115"/>
      <w:bookmarkStart w:id="108" w:name="_Toc108695527"/>
      <w:bookmarkStart w:id="109" w:name="_Toc120891069"/>
      <w:r w:rsidRPr="009E5CA3">
        <w:rPr>
          <w:lang w:val="es-ES"/>
        </w:rPr>
        <w:lastRenderedPageBreak/>
        <w:t>VIII</w:t>
      </w:r>
      <w:r w:rsidRPr="009E5CA3">
        <w:rPr>
          <w:lang w:val="es-ES"/>
        </w:rPr>
        <w:br/>
        <w:t>PUNTOS RESOLUTIVOS</w:t>
      </w:r>
      <w:bookmarkEnd w:id="107"/>
      <w:bookmarkEnd w:id="108"/>
      <w:bookmarkEnd w:id="109"/>
    </w:p>
    <w:p w14:paraId="23A8105E" w14:textId="77777777" w:rsidR="0012319E" w:rsidRPr="009E5CA3" w:rsidRDefault="0012319E" w:rsidP="0012319E">
      <w:pPr>
        <w:numPr>
          <w:ilvl w:val="0"/>
          <w:numId w:val="4"/>
        </w:numPr>
        <w:tabs>
          <w:tab w:val="left" w:pos="567"/>
          <w:tab w:val="num" w:pos="5057"/>
        </w:tabs>
        <w:spacing w:line="240" w:lineRule="auto"/>
        <w:ind w:left="0" w:firstLine="0"/>
        <w:rPr>
          <w:rFonts w:eastAsia="MS Mincho"/>
          <w:b/>
          <w:bCs/>
          <w:lang w:val="es-ES" w:bidi="en-US"/>
        </w:rPr>
      </w:pPr>
      <w:r w:rsidRPr="009E5CA3">
        <w:rPr>
          <w:rFonts w:cs="Arial"/>
        </w:rPr>
        <w:t xml:space="preserve">Por </w:t>
      </w:r>
      <w:r w:rsidRPr="009E5CA3">
        <w:rPr>
          <w:rFonts w:eastAsia="Batang" w:cs="Times"/>
          <w:noProof/>
          <w:lang w:val="es-ES"/>
        </w:rPr>
        <w:t>tanto</w:t>
      </w:r>
      <w:r w:rsidRPr="009E5CA3">
        <w:rPr>
          <w:rFonts w:cs="Arial"/>
        </w:rPr>
        <w:t>,</w:t>
      </w:r>
    </w:p>
    <w:p w14:paraId="0188BA5F" w14:textId="77777777" w:rsidR="0012319E" w:rsidRPr="009E5CA3" w:rsidRDefault="0012319E" w:rsidP="0012319E">
      <w:pPr>
        <w:tabs>
          <w:tab w:val="left" w:pos="567"/>
        </w:tabs>
        <w:spacing w:line="240" w:lineRule="auto"/>
        <w:rPr>
          <w:rFonts w:eastAsia="MS Mincho"/>
          <w:b/>
          <w:bCs/>
          <w:lang w:val="es-ES" w:bidi="en-US"/>
        </w:rPr>
      </w:pPr>
    </w:p>
    <w:p w14:paraId="75628847" w14:textId="77777777" w:rsidR="0012319E" w:rsidRPr="009E5CA3" w:rsidRDefault="0012319E" w:rsidP="0012319E">
      <w:pPr>
        <w:tabs>
          <w:tab w:val="left" w:pos="720"/>
        </w:tabs>
        <w:spacing w:before="360" w:after="360" w:line="20" w:lineRule="atLeast"/>
        <w:ind w:right="-86"/>
        <w:contextualSpacing/>
        <w:rPr>
          <w:rFonts w:eastAsia="MS Mincho"/>
          <w:b/>
          <w:bCs/>
          <w:lang w:val="es-ES" w:bidi="en-US"/>
        </w:rPr>
      </w:pPr>
      <w:r w:rsidRPr="009E5CA3">
        <w:rPr>
          <w:rFonts w:eastAsia="MS Mincho"/>
          <w:b/>
          <w:bCs/>
          <w:lang w:val="es-ES" w:bidi="en-US"/>
        </w:rPr>
        <w:t>LA CORTE</w:t>
      </w:r>
    </w:p>
    <w:p w14:paraId="114F9769" w14:textId="77777777" w:rsidR="0012319E" w:rsidRPr="009E5CA3" w:rsidRDefault="0012319E" w:rsidP="0012319E">
      <w:pPr>
        <w:tabs>
          <w:tab w:val="left" w:pos="720"/>
        </w:tabs>
        <w:spacing w:line="20" w:lineRule="atLeast"/>
        <w:ind w:right="-90"/>
        <w:contextualSpacing/>
        <w:rPr>
          <w:lang w:val="es-ES"/>
        </w:rPr>
      </w:pPr>
    </w:p>
    <w:p w14:paraId="35704B98" w14:textId="77777777" w:rsidR="0012319E" w:rsidRPr="009E5CA3" w:rsidRDefault="0012319E" w:rsidP="0012319E">
      <w:pPr>
        <w:tabs>
          <w:tab w:val="left" w:pos="720"/>
        </w:tabs>
        <w:spacing w:before="360" w:after="360" w:line="20" w:lineRule="atLeast"/>
        <w:ind w:right="-86"/>
        <w:contextualSpacing/>
        <w:rPr>
          <w:rFonts w:eastAsia="MS Mincho"/>
          <w:b/>
          <w:bCs/>
          <w:lang w:val="es-ES" w:bidi="en-US"/>
        </w:rPr>
      </w:pPr>
      <w:r w:rsidRPr="009E5CA3">
        <w:rPr>
          <w:rFonts w:eastAsia="MS Mincho"/>
          <w:b/>
          <w:bCs/>
          <w:lang w:val="es-ES" w:bidi="en-US"/>
        </w:rPr>
        <w:t>DECLARA,</w:t>
      </w:r>
    </w:p>
    <w:p w14:paraId="3010E5C1" w14:textId="77777777" w:rsidR="0012319E" w:rsidRPr="009E5CA3" w:rsidRDefault="0012319E" w:rsidP="0012319E">
      <w:pPr>
        <w:tabs>
          <w:tab w:val="left" w:pos="720"/>
        </w:tabs>
        <w:spacing w:line="20" w:lineRule="atLeast"/>
        <w:ind w:right="-90"/>
        <w:contextualSpacing/>
        <w:rPr>
          <w:kern w:val="2"/>
          <w:lang w:val="es-ES"/>
        </w:rPr>
      </w:pPr>
    </w:p>
    <w:p w14:paraId="134AE74C" w14:textId="5B1AA5AB" w:rsidR="0012319E" w:rsidRPr="009E5CA3" w:rsidRDefault="0012319E" w:rsidP="0012319E">
      <w:pPr>
        <w:tabs>
          <w:tab w:val="left" w:pos="720"/>
        </w:tabs>
        <w:spacing w:line="20" w:lineRule="atLeast"/>
        <w:ind w:right="-90"/>
        <w:contextualSpacing/>
        <w:rPr>
          <w:rFonts w:eastAsia="MS Mincho"/>
          <w:lang w:val="es-ES" w:bidi="en-US"/>
        </w:rPr>
      </w:pPr>
      <w:r w:rsidRPr="009E5CA3">
        <w:rPr>
          <w:rFonts w:eastAsia="MS Mincho"/>
          <w:lang w:val="es-ES" w:bidi="en-US"/>
        </w:rPr>
        <w:t xml:space="preserve">Por </w:t>
      </w:r>
      <w:r w:rsidR="00EB6668">
        <w:rPr>
          <w:rFonts w:eastAsia="MS Mincho"/>
          <w:lang w:val="es-ES" w:bidi="en-US"/>
        </w:rPr>
        <w:t>unanimidad</w:t>
      </w:r>
      <w:r w:rsidR="00EB6668" w:rsidRPr="009E5CA3">
        <w:rPr>
          <w:rFonts w:eastAsia="MS Mincho"/>
          <w:lang w:val="es-ES" w:bidi="en-US"/>
        </w:rPr>
        <w:t xml:space="preserve">, </w:t>
      </w:r>
      <w:r w:rsidRPr="009E5CA3">
        <w:rPr>
          <w:rFonts w:eastAsia="MS Mincho"/>
          <w:lang w:val="es-ES" w:bidi="en-US"/>
        </w:rPr>
        <w:t>que:</w:t>
      </w:r>
    </w:p>
    <w:p w14:paraId="3B97FB58" w14:textId="77777777" w:rsidR="0012319E" w:rsidRPr="009E5CA3" w:rsidRDefault="0012319E" w:rsidP="0012319E">
      <w:pPr>
        <w:spacing w:line="20" w:lineRule="atLeast"/>
        <w:ind w:right="-90"/>
        <w:contextualSpacing/>
        <w:rPr>
          <w:rFonts w:eastAsia="MS Mincho"/>
          <w:lang w:val="es-ES" w:bidi="en-US"/>
        </w:rPr>
      </w:pPr>
    </w:p>
    <w:p w14:paraId="116133FE" w14:textId="77777777" w:rsidR="0012319E" w:rsidRPr="009E5CA3" w:rsidRDefault="0012319E" w:rsidP="0012319E">
      <w:pPr>
        <w:tabs>
          <w:tab w:val="left" w:pos="720"/>
        </w:tabs>
        <w:spacing w:line="20" w:lineRule="atLeast"/>
        <w:ind w:right="-90"/>
        <w:contextualSpacing/>
        <w:rPr>
          <w:lang w:val="es-ES"/>
        </w:rPr>
      </w:pPr>
    </w:p>
    <w:p w14:paraId="591443C8" w14:textId="3122B2C4" w:rsidR="0012319E" w:rsidRPr="009E5CA3" w:rsidRDefault="0012319E" w:rsidP="0012319E">
      <w:pPr>
        <w:numPr>
          <w:ilvl w:val="0"/>
          <w:numId w:val="5"/>
        </w:numPr>
        <w:tabs>
          <w:tab w:val="left" w:pos="720"/>
        </w:tabs>
        <w:spacing w:line="20" w:lineRule="atLeast"/>
        <w:ind w:right="-90"/>
        <w:contextualSpacing/>
        <w:rPr>
          <w:lang w:val="es-ES"/>
        </w:rPr>
      </w:pPr>
      <w:r w:rsidRPr="009E5CA3">
        <w:rPr>
          <w:kern w:val="2"/>
          <w:lang w:val="es-ES"/>
        </w:rPr>
        <w:t>El Estado es responsable por la violación del artículo 7.5</w:t>
      </w:r>
      <w:r w:rsidRPr="009E5CA3">
        <w:t xml:space="preserve"> de la </w:t>
      </w:r>
      <w:r w:rsidRPr="009E5CA3">
        <w:rPr>
          <w:kern w:val="2"/>
          <w:lang w:val="es-ES"/>
        </w:rPr>
        <w:t>Convención Americana sobre Derechos Humanos</w:t>
      </w:r>
      <w:r w:rsidRPr="009E5CA3">
        <w:t>, en relación con el artículo 1.1 del mismo instrumento</w:t>
      </w:r>
      <w:r w:rsidRPr="009E5CA3">
        <w:rPr>
          <w:kern w:val="2"/>
          <w:lang w:val="es-ES"/>
        </w:rPr>
        <w:t xml:space="preserve">, en perjuicio del señor </w:t>
      </w:r>
      <w:proofErr w:type="spellStart"/>
      <w:r w:rsidRPr="009E5CA3">
        <w:rPr>
          <w:kern w:val="2"/>
          <w:lang w:val="es-ES"/>
        </w:rPr>
        <w:t>Reshi</w:t>
      </w:r>
      <w:proofErr w:type="spellEnd"/>
      <w:r w:rsidRPr="009E5CA3">
        <w:rPr>
          <w:kern w:val="2"/>
          <w:lang w:val="es-ES"/>
        </w:rPr>
        <w:t xml:space="preserve"> </w:t>
      </w:r>
      <w:proofErr w:type="spellStart"/>
      <w:r w:rsidRPr="009E5CA3">
        <w:rPr>
          <w:kern w:val="2"/>
          <w:lang w:val="es-ES"/>
        </w:rPr>
        <w:t>Bissoon</w:t>
      </w:r>
      <w:proofErr w:type="spellEnd"/>
      <w:r w:rsidRPr="009E5CA3">
        <w:rPr>
          <w:kern w:val="2"/>
          <w:lang w:val="es-ES"/>
        </w:rPr>
        <w:t xml:space="preserve">, en los términos de los párrafos </w:t>
      </w:r>
      <w:r w:rsidR="00681EEF">
        <w:rPr>
          <w:kern w:val="2"/>
          <w:lang w:val="es-ES"/>
        </w:rPr>
        <w:t>37</w:t>
      </w:r>
      <w:r w:rsidR="00BB363C" w:rsidRPr="009E5CA3">
        <w:rPr>
          <w:kern w:val="2"/>
          <w:lang w:val="es-ES"/>
        </w:rPr>
        <w:t xml:space="preserve"> </w:t>
      </w:r>
      <w:r w:rsidRPr="009E5CA3">
        <w:rPr>
          <w:kern w:val="2"/>
          <w:lang w:val="es-ES"/>
        </w:rPr>
        <w:t xml:space="preserve">a </w:t>
      </w:r>
      <w:r w:rsidR="00681EEF">
        <w:rPr>
          <w:kern w:val="2"/>
          <w:lang w:val="es-ES"/>
        </w:rPr>
        <w:t>42</w:t>
      </w:r>
      <w:r w:rsidRPr="009E5CA3">
        <w:rPr>
          <w:kern w:val="2"/>
          <w:lang w:val="es-ES"/>
        </w:rPr>
        <w:t xml:space="preserve"> de la presente Sentencia. </w:t>
      </w:r>
    </w:p>
    <w:p w14:paraId="79792572" w14:textId="77777777" w:rsidR="0012319E" w:rsidRPr="009E5CA3" w:rsidRDefault="0012319E" w:rsidP="0012319E">
      <w:pPr>
        <w:pStyle w:val="Prrafodelista"/>
        <w:rPr>
          <w:lang w:val="es-ES"/>
        </w:rPr>
      </w:pPr>
    </w:p>
    <w:p w14:paraId="379E85CB" w14:textId="08B1EF27" w:rsidR="0012319E" w:rsidRPr="009E5CA3" w:rsidRDefault="0012319E" w:rsidP="0012319E">
      <w:pPr>
        <w:numPr>
          <w:ilvl w:val="0"/>
          <w:numId w:val="5"/>
        </w:numPr>
        <w:tabs>
          <w:tab w:val="left" w:pos="720"/>
        </w:tabs>
        <w:spacing w:line="20" w:lineRule="atLeast"/>
        <w:ind w:right="-90"/>
        <w:contextualSpacing/>
        <w:rPr>
          <w:lang w:val="es-ES"/>
        </w:rPr>
      </w:pPr>
      <w:r w:rsidRPr="009E5CA3">
        <w:rPr>
          <w:kern w:val="2"/>
          <w:lang w:val="es-ES"/>
        </w:rPr>
        <w:t>El Estado es responsable por la violación de los artículos 5.1 y 5.2</w:t>
      </w:r>
      <w:r w:rsidRPr="009E5CA3">
        <w:t xml:space="preserve"> de la </w:t>
      </w:r>
      <w:r w:rsidRPr="009E5CA3">
        <w:rPr>
          <w:kern w:val="2"/>
          <w:lang w:val="es-ES"/>
        </w:rPr>
        <w:t>Convención Americana sobre Derechos Humanos</w:t>
      </w:r>
      <w:r w:rsidRPr="009E5CA3">
        <w:t>, en relación con el artículo 1.1 del mismo instrumento</w:t>
      </w:r>
      <w:r w:rsidRPr="009E5CA3">
        <w:rPr>
          <w:kern w:val="2"/>
          <w:lang w:val="es-ES"/>
        </w:rPr>
        <w:t xml:space="preserve">, en perjuicio </w:t>
      </w:r>
      <w:r w:rsidR="00D23B2F" w:rsidRPr="009E5CA3">
        <w:rPr>
          <w:kern w:val="2"/>
          <w:lang w:val="es-ES"/>
        </w:rPr>
        <w:t>de los señores</w:t>
      </w:r>
      <w:r w:rsidRPr="009E5CA3">
        <w:rPr>
          <w:kern w:val="2"/>
          <w:lang w:val="es-ES"/>
        </w:rPr>
        <w:t xml:space="preserve"> </w:t>
      </w:r>
      <w:proofErr w:type="spellStart"/>
      <w:r w:rsidRPr="009E5CA3">
        <w:rPr>
          <w:kern w:val="2"/>
          <w:lang w:val="es-ES"/>
        </w:rPr>
        <w:t>Reshi</w:t>
      </w:r>
      <w:proofErr w:type="spellEnd"/>
      <w:r w:rsidRPr="009E5CA3">
        <w:rPr>
          <w:kern w:val="2"/>
          <w:lang w:val="es-ES"/>
        </w:rPr>
        <w:t xml:space="preserve"> </w:t>
      </w:r>
      <w:proofErr w:type="spellStart"/>
      <w:r w:rsidRPr="009E5CA3">
        <w:rPr>
          <w:kern w:val="2"/>
          <w:lang w:val="es-ES"/>
        </w:rPr>
        <w:t>Bissoon</w:t>
      </w:r>
      <w:proofErr w:type="spellEnd"/>
      <w:r w:rsidR="00D23B2F" w:rsidRPr="009E5CA3">
        <w:rPr>
          <w:kern w:val="2"/>
          <w:lang w:val="es-ES"/>
        </w:rPr>
        <w:t xml:space="preserve"> y Foster </w:t>
      </w:r>
      <w:proofErr w:type="spellStart"/>
      <w:r w:rsidR="00D23B2F" w:rsidRPr="009E5CA3">
        <w:rPr>
          <w:kern w:val="2"/>
          <w:lang w:val="es-ES"/>
        </w:rPr>
        <w:t>Serrette</w:t>
      </w:r>
      <w:proofErr w:type="spellEnd"/>
      <w:r w:rsidRPr="009E5CA3">
        <w:rPr>
          <w:kern w:val="2"/>
          <w:lang w:val="es-ES"/>
        </w:rPr>
        <w:t xml:space="preserve">, en los términos de los párrafos </w:t>
      </w:r>
      <w:r w:rsidR="00345856">
        <w:rPr>
          <w:kern w:val="2"/>
          <w:lang w:val="es-ES"/>
        </w:rPr>
        <w:t>44</w:t>
      </w:r>
      <w:r w:rsidR="00845453" w:rsidRPr="009E5CA3">
        <w:rPr>
          <w:kern w:val="2"/>
          <w:lang w:val="es-ES"/>
        </w:rPr>
        <w:t xml:space="preserve"> </w:t>
      </w:r>
      <w:r w:rsidRPr="009E5CA3">
        <w:rPr>
          <w:kern w:val="2"/>
          <w:lang w:val="es-ES"/>
        </w:rPr>
        <w:t xml:space="preserve">a </w:t>
      </w:r>
      <w:r w:rsidR="00345856">
        <w:rPr>
          <w:kern w:val="2"/>
          <w:lang w:val="es-ES"/>
        </w:rPr>
        <w:t>52</w:t>
      </w:r>
      <w:r w:rsidR="00845453" w:rsidRPr="009E5CA3">
        <w:rPr>
          <w:kern w:val="2"/>
          <w:lang w:val="es-ES"/>
        </w:rPr>
        <w:t xml:space="preserve"> </w:t>
      </w:r>
      <w:r w:rsidRPr="009E5CA3">
        <w:rPr>
          <w:kern w:val="2"/>
          <w:lang w:val="es-ES"/>
        </w:rPr>
        <w:t xml:space="preserve">de la presente Sentencia. </w:t>
      </w:r>
    </w:p>
    <w:p w14:paraId="577F8E7E" w14:textId="77777777" w:rsidR="0012319E" w:rsidRPr="009E5CA3" w:rsidRDefault="0012319E" w:rsidP="0012319E">
      <w:pPr>
        <w:tabs>
          <w:tab w:val="left" w:pos="720"/>
        </w:tabs>
        <w:spacing w:line="20" w:lineRule="atLeast"/>
        <w:ind w:right="-90"/>
        <w:contextualSpacing/>
        <w:rPr>
          <w:lang w:val="es-ES"/>
        </w:rPr>
      </w:pPr>
    </w:p>
    <w:p w14:paraId="7AC086A1" w14:textId="77777777" w:rsidR="0012319E" w:rsidRPr="009E5CA3" w:rsidRDefault="0012319E" w:rsidP="0012319E">
      <w:pPr>
        <w:tabs>
          <w:tab w:val="left" w:pos="720"/>
        </w:tabs>
        <w:spacing w:before="360" w:after="360" w:line="20" w:lineRule="atLeast"/>
        <w:ind w:right="-86"/>
        <w:contextualSpacing/>
        <w:rPr>
          <w:rFonts w:eastAsia="MS Mincho"/>
          <w:b/>
          <w:bCs/>
          <w:lang w:val="es-ES" w:bidi="en-US"/>
        </w:rPr>
      </w:pPr>
    </w:p>
    <w:p w14:paraId="46F9BD4F" w14:textId="77777777" w:rsidR="0012319E" w:rsidRPr="009E5CA3" w:rsidRDefault="0012319E" w:rsidP="0012319E">
      <w:pPr>
        <w:tabs>
          <w:tab w:val="left" w:pos="720"/>
        </w:tabs>
        <w:spacing w:before="360" w:after="360" w:line="20" w:lineRule="atLeast"/>
        <w:ind w:right="-86"/>
        <w:contextualSpacing/>
        <w:rPr>
          <w:rFonts w:eastAsia="MS Mincho"/>
          <w:b/>
          <w:bCs/>
          <w:lang w:val="es-ES" w:bidi="en-US"/>
        </w:rPr>
      </w:pPr>
      <w:r w:rsidRPr="009E5CA3">
        <w:rPr>
          <w:rFonts w:eastAsia="MS Mincho"/>
          <w:b/>
          <w:bCs/>
          <w:lang w:val="es-ES" w:bidi="en-US"/>
        </w:rPr>
        <w:t>Y DISPONE:</w:t>
      </w:r>
    </w:p>
    <w:p w14:paraId="75E04C0C" w14:textId="77777777" w:rsidR="0012319E" w:rsidRPr="009E5CA3" w:rsidRDefault="0012319E" w:rsidP="0012319E">
      <w:pPr>
        <w:tabs>
          <w:tab w:val="left" w:pos="720"/>
        </w:tabs>
        <w:spacing w:line="20" w:lineRule="atLeast"/>
        <w:ind w:right="-90"/>
        <w:contextualSpacing/>
        <w:rPr>
          <w:rFonts w:eastAsia="MS Mincho"/>
          <w:b/>
          <w:bCs/>
          <w:lang w:val="es-ES" w:bidi="en-US"/>
        </w:rPr>
      </w:pPr>
    </w:p>
    <w:p w14:paraId="38D26C16" w14:textId="759094F6" w:rsidR="0012319E" w:rsidRPr="009E5CA3" w:rsidRDefault="0012319E" w:rsidP="0012319E">
      <w:pPr>
        <w:tabs>
          <w:tab w:val="left" w:pos="720"/>
        </w:tabs>
        <w:spacing w:line="20" w:lineRule="atLeast"/>
        <w:ind w:right="-90"/>
        <w:contextualSpacing/>
        <w:rPr>
          <w:rFonts w:eastAsia="MS Mincho"/>
          <w:lang w:val="es-ES" w:bidi="en-US"/>
        </w:rPr>
      </w:pPr>
      <w:r w:rsidRPr="009E5CA3">
        <w:rPr>
          <w:rFonts w:eastAsia="MS Mincho"/>
          <w:lang w:val="es-ES" w:bidi="en-US"/>
        </w:rPr>
        <w:t xml:space="preserve">Por </w:t>
      </w:r>
      <w:r w:rsidR="002A3DE7">
        <w:rPr>
          <w:rFonts w:eastAsia="MS Mincho"/>
          <w:lang w:val="es-ES" w:bidi="en-US"/>
        </w:rPr>
        <w:t>unanimidad</w:t>
      </w:r>
      <w:r w:rsidR="002A3DE7" w:rsidRPr="009E5CA3">
        <w:rPr>
          <w:rFonts w:eastAsia="MS Mincho"/>
          <w:lang w:val="es-ES" w:bidi="en-US"/>
        </w:rPr>
        <w:t xml:space="preserve">, </w:t>
      </w:r>
      <w:r w:rsidRPr="009E5CA3">
        <w:rPr>
          <w:rFonts w:eastAsia="MS Mincho"/>
          <w:lang w:val="es-ES" w:bidi="en-US"/>
        </w:rPr>
        <w:t>que:</w:t>
      </w:r>
    </w:p>
    <w:p w14:paraId="7B89480D" w14:textId="77777777" w:rsidR="0012319E" w:rsidRPr="009E5CA3" w:rsidRDefault="0012319E" w:rsidP="0012319E">
      <w:pPr>
        <w:tabs>
          <w:tab w:val="left" w:pos="720"/>
        </w:tabs>
        <w:spacing w:line="20" w:lineRule="atLeast"/>
        <w:ind w:right="-90"/>
        <w:contextualSpacing/>
        <w:rPr>
          <w:rFonts w:eastAsia="MS Mincho"/>
          <w:bCs/>
          <w:lang w:val="es-ES" w:bidi="en-US"/>
        </w:rPr>
      </w:pPr>
    </w:p>
    <w:p w14:paraId="5C9E268A" w14:textId="77777777" w:rsidR="0012319E" w:rsidRPr="009E5CA3" w:rsidRDefault="0012319E" w:rsidP="0012319E">
      <w:pPr>
        <w:numPr>
          <w:ilvl w:val="0"/>
          <w:numId w:val="5"/>
        </w:numPr>
        <w:tabs>
          <w:tab w:val="left" w:pos="720"/>
        </w:tabs>
        <w:spacing w:line="20" w:lineRule="atLeast"/>
        <w:ind w:right="-90"/>
        <w:contextualSpacing/>
        <w:rPr>
          <w:bCs/>
          <w:lang w:val="es-ES"/>
        </w:rPr>
      </w:pPr>
      <w:r w:rsidRPr="009E5CA3">
        <w:rPr>
          <w:lang w:val="es-ES"/>
        </w:rPr>
        <w:t>Esta</w:t>
      </w:r>
      <w:r w:rsidRPr="009E5CA3">
        <w:rPr>
          <w:bCs/>
          <w:lang w:val="es-ES"/>
        </w:rPr>
        <w:t xml:space="preserve"> Sentencia constituye, por sí misma, una forma de reparación.</w:t>
      </w:r>
    </w:p>
    <w:p w14:paraId="3A3953E0" w14:textId="77777777" w:rsidR="0012319E" w:rsidRPr="009E5CA3" w:rsidRDefault="0012319E" w:rsidP="0012319E">
      <w:pPr>
        <w:tabs>
          <w:tab w:val="left" w:pos="720"/>
        </w:tabs>
        <w:spacing w:line="20" w:lineRule="atLeast"/>
        <w:ind w:right="-90"/>
        <w:contextualSpacing/>
        <w:rPr>
          <w:bCs/>
          <w:lang w:val="es-ES"/>
        </w:rPr>
      </w:pPr>
    </w:p>
    <w:p w14:paraId="7058ABC9" w14:textId="29A2EC45" w:rsidR="0012319E" w:rsidRPr="009E5CA3" w:rsidRDefault="0012319E" w:rsidP="0012319E">
      <w:pPr>
        <w:numPr>
          <w:ilvl w:val="0"/>
          <w:numId w:val="5"/>
        </w:numPr>
        <w:tabs>
          <w:tab w:val="left" w:pos="720"/>
        </w:tabs>
        <w:spacing w:line="20" w:lineRule="atLeast"/>
        <w:ind w:right="-90"/>
        <w:contextualSpacing/>
        <w:rPr>
          <w:bCs/>
          <w:lang w:val="es-ES"/>
        </w:rPr>
      </w:pPr>
      <w:r w:rsidRPr="009E5CA3">
        <w:rPr>
          <w:bCs/>
          <w:lang w:val="es-ES"/>
        </w:rPr>
        <w:t xml:space="preserve">El Estado realizará las publicaciones indicadas en el párrafo </w:t>
      </w:r>
      <w:r w:rsidR="00345856">
        <w:rPr>
          <w:bCs/>
          <w:lang w:val="es-ES"/>
        </w:rPr>
        <w:t>58</w:t>
      </w:r>
      <w:r w:rsidR="003C56D9" w:rsidRPr="009E5CA3">
        <w:rPr>
          <w:bCs/>
          <w:lang w:val="es-ES"/>
        </w:rPr>
        <w:t xml:space="preserve"> </w:t>
      </w:r>
      <w:r w:rsidRPr="009E5CA3">
        <w:rPr>
          <w:bCs/>
          <w:lang w:val="es-ES"/>
        </w:rPr>
        <w:t>de la presente Sentencia.</w:t>
      </w:r>
    </w:p>
    <w:p w14:paraId="14C31FA7" w14:textId="77777777" w:rsidR="0012319E" w:rsidRPr="009E5CA3" w:rsidRDefault="0012319E" w:rsidP="0012319E">
      <w:pPr>
        <w:tabs>
          <w:tab w:val="left" w:pos="720"/>
        </w:tabs>
        <w:spacing w:line="20" w:lineRule="atLeast"/>
        <w:ind w:right="-90"/>
        <w:contextualSpacing/>
        <w:rPr>
          <w:bCs/>
          <w:lang w:val="es-ES"/>
        </w:rPr>
      </w:pPr>
    </w:p>
    <w:p w14:paraId="1CA21739" w14:textId="36CDADF3" w:rsidR="0012319E" w:rsidRPr="009E5CA3" w:rsidRDefault="0012319E" w:rsidP="0012319E">
      <w:pPr>
        <w:numPr>
          <w:ilvl w:val="0"/>
          <w:numId w:val="5"/>
        </w:numPr>
        <w:tabs>
          <w:tab w:val="left" w:pos="720"/>
        </w:tabs>
        <w:spacing w:line="20" w:lineRule="atLeast"/>
        <w:ind w:right="-90"/>
        <w:contextualSpacing/>
        <w:rPr>
          <w:bCs/>
          <w:lang w:val="es-ES"/>
        </w:rPr>
      </w:pPr>
      <w:r w:rsidRPr="009E5CA3">
        <w:rPr>
          <w:bCs/>
          <w:lang w:val="es-ES"/>
        </w:rPr>
        <w:t xml:space="preserve">El Estado pagará las cantidades fijadas en </w:t>
      </w:r>
      <w:r w:rsidR="00922FB3">
        <w:rPr>
          <w:bCs/>
          <w:lang w:val="es-ES"/>
        </w:rPr>
        <w:t xml:space="preserve">el párrafo </w:t>
      </w:r>
      <w:r w:rsidR="00345856">
        <w:rPr>
          <w:bCs/>
          <w:lang w:val="es-ES"/>
        </w:rPr>
        <w:t>76</w:t>
      </w:r>
      <w:r w:rsidRPr="009E5CA3">
        <w:rPr>
          <w:bCs/>
          <w:lang w:val="es-ES"/>
        </w:rPr>
        <w:t xml:space="preserve"> de la presente Sentencia por concepto de indemnización por daño inmaterial</w:t>
      </w:r>
      <w:r w:rsidR="0089322E">
        <w:rPr>
          <w:bCs/>
          <w:lang w:val="es-ES"/>
        </w:rPr>
        <w:t>,</w:t>
      </w:r>
      <w:r w:rsidRPr="009E5CA3">
        <w:rPr>
          <w:bCs/>
          <w:lang w:val="es-ES"/>
        </w:rPr>
        <w:t xml:space="preserve"> en los términos de los párrafos </w:t>
      </w:r>
      <w:r w:rsidR="00345856">
        <w:rPr>
          <w:bCs/>
          <w:lang w:val="es-ES"/>
        </w:rPr>
        <w:t>81</w:t>
      </w:r>
      <w:r w:rsidR="00A518BD" w:rsidRPr="009E5CA3">
        <w:rPr>
          <w:bCs/>
          <w:lang w:val="es-ES"/>
        </w:rPr>
        <w:t xml:space="preserve"> </w:t>
      </w:r>
      <w:r w:rsidRPr="009E5CA3">
        <w:rPr>
          <w:bCs/>
          <w:lang w:val="es-ES"/>
        </w:rPr>
        <w:t xml:space="preserve">a </w:t>
      </w:r>
      <w:r w:rsidR="00345856">
        <w:rPr>
          <w:bCs/>
          <w:lang w:val="es-ES"/>
        </w:rPr>
        <w:t>86</w:t>
      </w:r>
      <w:r w:rsidRPr="009E5CA3">
        <w:rPr>
          <w:bCs/>
          <w:lang w:val="es-ES"/>
        </w:rPr>
        <w:t xml:space="preserve"> de la presente Sentencia.</w:t>
      </w:r>
    </w:p>
    <w:p w14:paraId="1161991C" w14:textId="77777777" w:rsidR="0012319E" w:rsidRPr="009E5CA3" w:rsidRDefault="0012319E" w:rsidP="0012319E">
      <w:pPr>
        <w:tabs>
          <w:tab w:val="left" w:pos="720"/>
        </w:tabs>
        <w:spacing w:line="20" w:lineRule="atLeast"/>
        <w:ind w:right="-90"/>
        <w:contextualSpacing/>
        <w:rPr>
          <w:bCs/>
          <w:lang w:val="es-ES"/>
        </w:rPr>
      </w:pPr>
    </w:p>
    <w:p w14:paraId="683B91E0" w14:textId="77777777" w:rsidR="0012319E" w:rsidRPr="009E5CA3" w:rsidRDefault="0012319E" w:rsidP="0012319E">
      <w:pPr>
        <w:numPr>
          <w:ilvl w:val="0"/>
          <w:numId w:val="5"/>
        </w:numPr>
        <w:tabs>
          <w:tab w:val="left" w:pos="720"/>
        </w:tabs>
        <w:spacing w:line="20" w:lineRule="atLeast"/>
        <w:ind w:right="-90"/>
        <w:contextualSpacing/>
        <w:rPr>
          <w:rFonts w:eastAsia="MS Mincho"/>
          <w:bCs/>
          <w:lang w:val="es-ES" w:bidi="en-US"/>
        </w:rPr>
      </w:pPr>
      <w:r w:rsidRPr="009E5CA3">
        <w:rPr>
          <w:bCs/>
          <w:lang w:val="es-ES"/>
        </w:rPr>
        <w:t>El Estado, dentro del plazo de un año contado a partir de la notificación de esta Sentencia, rendirá al Tribunal un informe sobre las medidas adoptadas para cumplir con la misma.</w:t>
      </w:r>
    </w:p>
    <w:p w14:paraId="50581BE3" w14:textId="77777777" w:rsidR="0012319E" w:rsidRPr="009E5CA3" w:rsidRDefault="0012319E" w:rsidP="0012319E">
      <w:pPr>
        <w:tabs>
          <w:tab w:val="left" w:pos="720"/>
        </w:tabs>
        <w:spacing w:line="20" w:lineRule="atLeast"/>
        <w:ind w:right="-90"/>
        <w:contextualSpacing/>
        <w:rPr>
          <w:rFonts w:eastAsia="MS Mincho"/>
          <w:bCs/>
          <w:lang w:val="es-ES" w:bidi="en-US"/>
        </w:rPr>
      </w:pPr>
    </w:p>
    <w:p w14:paraId="5F32A150" w14:textId="77777777" w:rsidR="0012319E" w:rsidRPr="009E5CA3" w:rsidRDefault="0012319E" w:rsidP="0012319E">
      <w:pPr>
        <w:numPr>
          <w:ilvl w:val="0"/>
          <w:numId w:val="5"/>
        </w:numPr>
        <w:tabs>
          <w:tab w:val="left" w:pos="720"/>
        </w:tabs>
        <w:spacing w:line="20" w:lineRule="atLeast"/>
        <w:ind w:right="-90"/>
        <w:contextualSpacing/>
        <w:rPr>
          <w:b/>
          <w:bCs/>
          <w:lang w:val="es-ES"/>
        </w:rPr>
      </w:pPr>
      <w:r w:rsidRPr="009E5CA3">
        <w:rPr>
          <w:bCs/>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34636FB3" w14:textId="77777777" w:rsidR="0012319E" w:rsidRPr="009E5CA3" w:rsidRDefault="0012319E" w:rsidP="0012319E">
      <w:pPr>
        <w:tabs>
          <w:tab w:val="left" w:pos="720"/>
        </w:tabs>
        <w:spacing w:line="20" w:lineRule="atLeast"/>
        <w:ind w:right="-90"/>
        <w:contextualSpacing/>
        <w:rPr>
          <w:bCs/>
          <w:lang w:val="es-ES"/>
        </w:rPr>
      </w:pPr>
    </w:p>
    <w:p w14:paraId="65C1069C" w14:textId="77777777" w:rsidR="0012319E" w:rsidRPr="009E5CA3" w:rsidRDefault="0012319E" w:rsidP="0012319E">
      <w:pPr>
        <w:tabs>
          <w:tab w:val="left" w:pos="720"/>
        </w:tabs>
        <w:spacing w:line="20" w:lineRule="atLeast"/>
        <w:ind w:right="-90"/>
        <w:contextualSpacing/>
        <w:rPr>
          <w:b/>
          <w:bCs/>
          <w:lang w:val="es-ES"/>
        </w:rPr>
      </w:pPr>
    </w:p>
    <w:p w14:paraId="03A9E2C1" w14:textId="77777777" w:rsidR="00B7173D" w:rsidRDefault="0012319E" w:rsidP="0012319E">
      <w:pPr>
        <w:tabs>
          <w:tab w:val="left" w:pos="720"/>
        </w:tabs>
        <w:spacing w:line="20" w:lineRule="atLeast"/>
        <w:ind w:right="-93"/>
        <w:contextualSpacing/>
        <w:rPr>
          <w:rFonts w:cs="Verdana"/>
          <w:lang w:val="es-ES"/>
        </w:rPr>
        <w:sectPr w:rsidR="00B7173D" w:rsidSect="003E142D">
          <w:headerReference w:type="default" r:id="rId8"/>
          <w:footerReference w:type="default" r:id="rId9"/>
          <w:headerReference w:type="first" r:id="rId10"/>
          <w:footerReference w:type="first" r:id="rId11"/>
          <w:pgSz w:w="12240" w:h="15840"/>
          <w:pgMar w:top="1440" w:right="1080" w:bottom="540" w:left="1080" w:header="708" w:footer="708" w:gutter="0"/>
          <w:cols w:space="708"/>
          <w:titlePg/>
          <w:docGrid w:linePitch="360"/>
        </w:sectPr>
      </w:pPr>
      <w:r w:rsidRPr="009E5CA3">
        <w:rPr>
          <w:rFonts w:cs="Verdana"/>
          <w:lang w:val="es-ES"/>
        </w:rPr>
        <w:t xml:space="preserve">Redactada en español en San José, Costa Rica, el </w:t>
      </w:r>
      <w:r w:rsidR="00A343BA">
        <w:rPr>
          <w:rFonts w:cs="Verdana"/>
          <w:lang w:val="es-ES"/>
        </w:rPr>
        <w:t>14</w:t>
      </w:r>
      <w:r w:rsidRPr="009E5CA3">
        <w:rPr>
          <w:rFonts w:cs="Verdana"/>
          <w:lang w:val="es-ES"/>
        </w:rPr>
        <w:t xml:space="preserve"> de </w:t>
      </w:r>
      <w:r w:rsidR="00B560E9" w:rsidRPr="009E5CA3">
        <w:rPr>
          <w:rFonts w:cs="Verdana"/>
          <w:lang w:val="es-ES"/>
        </w:rPr>
        <w:t>noviembre</w:t>
      </w:r>
      <w:r w:rsidRPr="009E5CA3">
        <w:rPr>
          <w:rFonts w:cs="Verdana"/>
          <w:lang w:val="es-ES"/>
        </w:rPr>
        <w:t xml:space="preserve"> de 2022.</w:t>
      </w:r>
    </w:p>
    <w:p w14:paraId="276CCA86" w14:textId="77777777" w:rsidR="00B7173D" w:rsidRPr="00FD5F34" w:rsidRDefault="00B7173D" w:rsidP="00B7173D">
      <w:pPr>
        <w:rPr>
          <w:lang w:val="es-ES"/>
        </w:rPr>
      </w:pPr>
      <w:r w:rsidRPr="00FD5F34">
        <w:rPr>
          <w:lang w:val="es-ES"/>
        </w:rPr>
        <w:lastRenderedPageBreak/>
        <w:t xml:space="preserve">Corte IDH. </w:t>
      </w:r>
      <w:r w:rsidRPr="00FD5F34">
        <w:rPr>
          <w:i/>
          <w:lang w:val="es-ES"/>
        </w:rPr>
        <w:t xml:space="preserve">Caso </w:t>
      </w:r>
      <w:proofErr w:type="spellStart"/>
      <w:r w:rsidRPr="00FD5F34">
        <w:rPr>
          <w:i/>
          <w:lang w:val="es-ES"/>
        </w:rPr>
        <w:t>Bissoon</w:t>
      </w:r>
      <w:proofErr w:type="spellEnd"/>
      <w:r w:rsidRPr="00FD5F34">
        <w:rPr>
          <w:i/>
          <w:lang w:val="es-ES"/>
        </w:rPr>
        <w:t xml:space="preserve"> y otros Vs. Trinidad y Tobago</w:t>
      </w:r>
      <w:r w:rsidRPr="00FD5F34">
        <w:rPr>
          <w:iCs/>
        </w:rPr>
        <w:t xml:space="preserve">. </w:t>
      </w:r>
      <w:r w:rsidRPr="00FD5F34">
        <w:rPr>
          <w:lang w:val="es-ES"/>
        </w:rPr>
        <w:t>Fondo y Reparaciones. Sentencia de 14 de noviembre de 2022.</w:t>
      </w:r>
    </w:p>
    <w:p w14:paraId="13A24A4D" w14:textId="77777777" w:rsidR="00B7173D" w:rsidRPr="00FD5F34" w:rsidRDefault="00B7173D" w:rsidP="00B7173D">
      <w:pPr>
        <w:jc w:val="center"/>
        <w:rPr>
          <w:lang w:val="pt-BR"/>
        </w:rPr>
      </w:pPr>
    </w:p>
    <w:p w14:paraId="54093AB9" w14:textId="77777777" w:rsidR="00B7173D" w:rsidRPr="00FD5F34" w:rsidRDefault="00B7173D" w:rsidP="00B7173D">
      <w:pPr>
        <w:jc w:val="center"/>
        <w:rPr>
          <w:lang w:val="pt-BR"/>
        </w:rPr>
      </w:pPr>
    </w:p>
    <w:p w14:paraId="011EA161" w14:textId="77777777" w:rsidR="00B7173D" w:rsidRPr="00FD5F34" w:rsidRDefault="00B7173D" w:rsidP="00B7173D">
      <w:pPr>
        <w:jc w:val="center"/>
        <w:rPr>
          <w:lang w:val="pt-BR"/>
        </w:rPr>
      </w:pPr>
    </w:p>
    <w:p w14:paraId="0F21B55F" w14:textId="77777777" w:rsidR="00B7173D" w:rsidRPr="00FD5F34" w:rsidRDefault="00B7173D" w:rsidP="00B7173D">
      <w:pPr>
        <w:jc w:val="center"/>
        <w:rPr>
          <w:lang w:val="pt-BR"/>
        </w:rPr>
      </w:pPr>
      <w:r w:rsidRPr="00FD5F34">
        <w:rPr>
          <w:lang w:val="pt-BR"/>
        </w:rPr>
        <w:t xml:space="preserve"> </w:t>
      </w:r>
      <w:r w:rsidRPr="00FD5F34">
        <w:t>Ricardo C. Pérez Manrique</w:t>
      </w:r>
    </w:p>
    <w:p w14:paraId="1B37BAA8" w14:textId="77777777" w:rsidR="00B7173D" w:rsidRPr="00FD5F34" w:rsidRDefault="00B7173D" w:rsidP="00B7173D">
      <w:pPr>
        <w:jc w:val="center"/>
        <w:rPr>
          <w:lang w:val="pt-BR"/>
        </w:rPr>
      </w:pPr>
      <w:r w:rsidRPr="00FD5F34">
        <w:rPr>
          <w:lang w:val="pt-BR"/>
        </w:rPr>
        <w:t>Presidente</w:t>
      </w:r>
    </w:p>
    <w:p w14:paraId="44008667" w14:textId="77777777" w:rsidR="00B7173D" w:rsidRPr="00FD5F34" w:rsidRDefault="00B7173D" w:rsidP="00B7173D">
      <w:pPr>
        <w:jc w:val="center"/>
        <w:rPr>
          <w:lang w:val="pt-BR"/>
        </w:rPr>
      </w:pPr>
    </w:p>
    <w:p w14:paraId="6330E490" w14:textId="77777777" w:rsidR="00B7173D" w:rsidRPr="00FD5F34" w:rsidRDefault="00B7173D" w:rsidP="00B7173D">
      <w:pPr>
        <w:jc w:val="center"/>
        <w:rPr>
          <w:lang w:val="pt-BR"/>
        </w:rPr>
      </w:pPr>
    </w:p>
    <w:p w14:paraId="65BD40E0" w14:textId="77777777" w:rsidR="00B7173D" w:rsidRPr="00FD5F34" w:rsidRDefault="00B7173D" w:rsidP="00B7173D">
      <w:pPr>
        <w:rPr>
          <w:lang w:val="pt-BR"/>
        </w:rPr>
      </w:pPr>
    </w:p>
    <w:p w14:paraId="286EC60A" w14:textId="77777777" w:rsidR="00B7173D" w:rsidRPr="00FD5F34" w:rsidRDefault="00B7173D" w:rsidP="00B7173D">
      <w:pPr>
        <w:ind w:firstLine="3"/>
      </w:pPr>
      <w:r w:rsidRPr="00FD5F34">
        <w:t>Humberto Antonio Sierra Porto</w:t>
      </w:r>
      <w:r w:rsidRPr="00FD5F34">
        <w:tab/>
      </w:r>
      <w:r w:rsidRPr="00FD5F34">
        <w:tab/>
      </w:r>
      <w:r w:rsidRPr="00FD5F34">
        <w:tab/>
      </w:r>
      <w:r>
        <w:t xml:space="preserve">      </w:t>
      </w:r>
      <w:r w:rsidRPr="00FD5F34">
        <w:t>Eduardo Ferrer Mac-</w:t>
      </w:r>
      <w:proofErr w:type="spellStart"/>
      <w:r w:rsidRPr="00FD5F34">
        <w:t>Gregor</w:t>
      </w:r>
      <w:proofErr w:type="spellEnd"/>
      <w:r w:rsidRPr="00FD5F34">
        <w:t xml:space="preserve"> </w:t>
      </w:r>
      <w:proofErr w:type="spellStart"/>
      <w:r w:rsidRPr="00FD5F34">
        <w:t>Poisot</w:t>
      </w:r>
      <w:proofErr w:type="spellEnd"/>
      <w:r w:rsidRPr="00FD5F34">
        <w:rPr>
          <w:noProof/>
          <w:lang w:val="es-CO"/>
        </w:rPr>
        <w:t xml:space="preserve"> </w:t>
      </w:r>
    </w:p>
    <w:p w14:paraId="3CB0405B" w14:textId="77777777" w:rsidR="00B7173D" w:rsidRPr="00FD5F34" w:rsidRDefault="00B7173D" w:rsidP="00B7173D"/>
    <w:p w14:paraId="50A1AAEA" w14:textId="77777777" w:rsidR="00B7173D" w:rsidRPr="00FD5F34" w:rsidRDefault="00B7173D" w:rsidP="00B7173D"/>
    <w:p w14:paraId="6526B443" w14:textId="77777777" w:rsidR="00B7173D" w:rsidRPr="00FD5F34" w:rsidRDefault="00B7173D" w:rsidP="00B7173D">
      <w:pPr>
        <w:rPr>
          <w:lang w:val="pt-BR"/>
        </w:rPr>
      </w:pP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p>
    <w:p w14:paraId="18DE65B4" w14:textId="77777777" w:rsidR="00B7173D" w:rsidRPr="00FD5F34" w:rsidRDefault="00B7173D" w:rsidP="00B7173D">
      <w:r w:rsidRPr="00FD5F34">
        <w:t>Nancy Hernández López</w:t>
      </w:r>
      <w:r w:rsidRPr="00FD5F34">
        <w:tab/>
      </w:r>
      <w:r w:rsidRPr="00FD5F34">
        <w:tab/>
      </w:r>
      <w:r w:rsidRPr="00FD5F34">
        <w:tab/>
      </w:r>
      <w:proofErr w:type="gramStart"/>
      <w:r w:rsidRPr="00FD5F34">
        <w:tab/>
        <w:t xml:space="preserve">  </w:t>
      </w:r>
      <w:r w:rsidRPr="00FD5F34">
        <w:tab/>
      </w:r>
      <w:proofErr w:type="gramEnd"/>
      <w:r w:rsidRPr="00FD5F34">
        <w:tab/>
      </w:r>
      <w:r w:rsidRPr="00FD5F34">
        <w:tab/>
        <w:t>Verónica Gómez</w:t>
      </w:r>
    </w:p>
    <w:p w14:paraId="26F06B6E" w14:textId="77777777" w:rsidR="00B7173D" w:rsidRPr="00FD5F34" w:rsidRDefault="00B7173D" w:rsidP="00B7173D"/>
    <w:p w14:paraId="705627E9" w14:textId="77777777" w:rsidR="00B7173D" w:rsidRPr="00FD5F34" w:rsidRDefault="00B7173D" w:rsidP="00B7173D"/>
    <w:p w14:paraId="34460464" w14:textId="77777777" w:rsidR="00B7173D" w:rsidRPr="00FD5F34" w:rsidRDefault="00B7173D" w:rsidP="00B7173D"/>
    <w:p w14:paraId="7D2335C9" w14:textId="77777777" w:rsidR="00B7173D" w:rsidRPr="00FD5F34" w:rsidRDefault="00B7173D" w:rsidP="00B7173D">
      <w:r w:rsidRPr="00FD5F34">
        <w:rPr>
          <w:lang w:val="pt-BR"/>
        </w:rPr>
        <w:t>Patricia Pérez Goldberg</w:t>
      </w:r>
      <w:r w:rsidRPr="00FD5F34">
        <w:tab/>
      </w:r>
      <w:r w:rsidRPr="00FD5F34">
        <w:tab/>
      </w:r>
      <w:r w:rsidRPr="00FD5F34">
        <w:tab/>
      </w:r>
      <w:r w:rsidRPr="00FD5F34">
        <w:tab/>
      </w:r>
      <w:r w:rsidRPr="00FD5F34">
        <w:tab/>
      </w:r>
      <w:r w:rsidRPr="00FD5F34">
        <w:tab/>
        <w:t xml:space="preserve">     </w:t>
      </w:r>
      <w:r w:rsidRPr="00FD5F34">
        <w:rPr>
          <w:rFonts w:cs="Arial"/>
          <w:color w:val="212529"/>
        </w:rPr>
        <w:t>Rodrigo Mudrovitsch</w:t>
      </w:r>
    </w:p>
    <w:p w14:paraId="4AD34878" w14:textId="77777777" w:rsidR="00B7173D" w:rsidRPr="00FD5F34" w:rsidRDefault="00B7173D" w:rsidP="00B7173D">
      <w:pPr>
        <w:rPr>
          <w:lang w:val="pt-BR"/>
        </w:rPr>
      </w:pPr>
    </w:p>
    <w:p w14:paraId="26900587" w14:textId="77777777" w:rsidR="00B7173D" w:rsidRPr="00FD5F34" w:rsidRDefault="00B7173D" w:rsidP="00B7173D">
      <w:pPr>
        <w:rPr>
          <w:lang w:val="pt-BR"/>
        </w:rPr>
      </w:pPr>
    </w:p>
    <w:p w14:paraId="7E30CF07" w14:textId="77777777" w:rsidR="00B7173D" w:rsidRDefault="00B7173D" w:rsidP="00B7173D">
      <w:pPr>
        <w:rPr>
          <w:lang w:val="pt-BR"/>
        </w:rPr>
      </w:pPr>
    </w:p>
    <w:p w14:paraId="31832838" w14:textId="77777777" w:rsidR="00B7173D" w:rsidRPr="00FD5F34" w:rsidRDefault="00B7173D" w:rsidP="00B7173D">
      <w:pPr>
        <w:rPr>
          <w:lang w:val="pt-BR"/>
        </w:rPr>
      </w:pPr>
    </w:p>
    <w:p w14:paraId="0FAABCBF" w14:textId="77777777" w:rsidR="00B7173D" w:rsidRPr="00FD5F34" w:rsidRDefault="00B7173D" w:rsidP="00B7173D">
      <w:pPr>
        <w:jc w:val="center"/>
        <w:rPr>
          <w:lang w:val="pt-BR"/>
        </w:rPr>
      </w:pPr>
      <w:r w:rsidRPr="00FD5F34">
        <w:rPr>
          <w:lang w:val="pt-BR"/>
        </w:rPr>
        <w:t>Pablo Saavedra Alessandri</w:t>
      </w:r>
    </w:p>
    <w:p w14:paraId="24179B0B" w14:textId="77777777" w:rsidR="00B7173D" w:rsidRPr="00FD5F34" w:rsidRDefault="00B7173D" w:rsidP="00B7173D">
      <w:pPr>
        <w:jc w:val="center"/>
        <w:rPr>
          <w:lang w:val="pt-BR"/>
        </w:rPr>
      </w:pPr>
      <w:r w:rsidRPr="00FD5F34">
        <w:rPr>
          <w:lang w:val="pt-BR"/>
        </w:rPr>
        <w:t>Secretario</w:t>
      </w:r>
    </w:p>
    <w:p w14:paraId="38A3BC8E" w14:textId="77777777" w:rsidR="00B7173D" w:rsidRPr="00FD5F34" w:rsidRDefault="00B7173D" w:rsidP="00B7173D">
      <w:pPr>
        <w:pStyle w:val="Textonotapie"/>
        <w:rPr>
          <w:lang w:val="pt-BR"/>
        </w:rPr>
      </w:pPr>
    </w:p>
    <w:p w14:paraId="7C8558F7" w14:textId="77777777" w:rsidR="00B7173D" w:rsidRPr="00FD5F34" w:rsidRDefault="00B7173D" w:rsidP="00B7173D">
      <w:pPr>
        <w:rPr>
          <w:lang w:val="pt-BR"/>
        </w:rPr>
      </w:pPr>
      <w:proofErr w:type="spellStart"/>
      <w:r w:rsidRPr="00FD5F34">
        <w:rPr>
          <w:lang w:val="pt-BR"/>
        </w:rPr>
        <w:t>Comuníquese</w:t>
      </w:r>
      <w:proofErr w:type="spellEnd"/>
      <w:r w:rsidRPr="00FD5F34">
        <w:rPr>
          <w:lang w:val="pt-BR"/>
        </w:rPr>
        <w:t xml:space="preserve"> y </w:t>
      </w:r>
      <w:proofErr w:type="spellStart"/>
      <w:r w:rsidRPr="00FD5F34">
        <w:rPr>
          <w:lang w:val="pt-BR"/>
        </w:rPr>
        <w:t>ejecútese</w:t>
      </w:r>
      <w:proofErr w:type="spellEnd"/>
      <w:r w:rsidRPr="00FD5F34">
        <w:rPr>
          <w:lang w:val="pt-BR"/>
        </w:rPr>
        <w:t>,</w:t>
      </w:r>
    </w:p>
    <w:p w14:paraId="22B30394" w14:textId="77777777" w:rsidR="00B7173D" w:rsidRPr="00FD5F34" w:rsidRDefault="00B7173D" w:rsidP="00B7173D">
      <w:pPr>
        <w:rPr>
          <w:lang w:val="pt-BR"/>
        </w:rPr>
      </w:pPr>
    </w:p>
    <w:p w14:paraId="489D0461" w14:textId="77777777" w:rsidR="00B7173D" w:rsidRDefault="00B7173D" w:rsidP="00B7173D">
      <w:pPr>
        <w:jc w:val="center"/>
        <w:rPr>
          <w:lang w:val="pt-BR"/>
        </w:rPr>
      </w:pPr>
    </w:p>
    <w:p w14:paraId="4ABDDF3F" w14:textId="77777777" w:rsidR="00B7173D" w:rsidRPr="00FD5F34" w:rsidRDefault="00B7173D" w:rsidP="00B7173D">
      <w:pPr>
        <w:jc w:val="center"/>
        <w:rPr>
          <w:lang w:val="pt-BR"/>
        </w:rPr>
      </w:pPr>
    </w:p>
    <w:p w14:paraId="712A3DD7" w14:textId="77777777" w:rsidR="00B7173D" w:rsidRPr="00FD5F34" w:rsidRDefault="00B7173D" w:rsidP="00B7173D">
      <w:pPr>
        <w:ind w:left="4320" w:firstLine="720"/>
        <w:jc w:val="center"/>
        <w:rPr>
          <w:lang w:val="pt-BR"/>
        </w:rPr>
      </w:pPr>
      <w:r w:rsidRPr="00FD5F34">
        <w:rPr>
          <w:lang w:val="pt-BR"/>
        </w:rPr>
        <w:t xml:space="preserve">               Ricardo C. Pérez </w:t>
      </w:r>
      <w:proofErr w:type="spellStart"/>
      <w:r w:rsidRPr="00FD5F34">
        <w:rPr>
          <w:lang w:val="pt-BR"/>
        </w:rPr>
        <w:t>Manrique</w:t>
      </w:r>
      <w:proofErr w:type="spellEnd"/>
    </w:p>
    <w:p w14:paraId="7C9345A8" w14:textId="77777777" w:rsidR="00B7173D" w:rsidRPr="00FD5F34" w:rsidRDefault="00B7173D" w:rsidP="00B7173D">
      <w:pPr>
        <w:ind w:left="6372" w:firstLine="708"/>
        <w:rPr>
          <w:lang w:val="pt-BR"/>
        </w:rPr>
      </w:pPr>
      <w:r w:rsidRPr="00FD5F34">
        <w:rPr>
          <w:lang w:val="pt-BR"/>
        </w:rPr>
        <w:t>Presidente</w:t>
      </w:r>
    </w:p>
    <w:p w14:paraId="38E4353E" w14:textId="77777777" w:rsidR="00B7173D" w:rsidRPr="00FD5F34" w:rsidRDefault="00B7173D" w:rsidP="00B7173D">
      <w:pPr>
        <w:rPr>
          <w:lang w:val="pt-BR"/>
        </w:rPr>
      </w:pPr>
    </w:p>
    <w:p w14:paraId="25DB6511" w14:textId="77777777" w:rsidR="00B7173D" w:rsidRPr="00FD5F34" w:rsidRDefault="00B7173D" w:rsidP="00B7173D">
      <w:pPr>
        <w:rPr>
          <w:lang w:val="pt-BR"/>
        </w:rPr>
      </w:pPr>
    </w:p>
    <w:p w14:paraId="6CC0F2F9" w14:textId="77777777" w:rsidR="00B7173D" w:rsidRPr="00FD5F34" w:rsidRDefault="00B7173D" w:rsidP="00B7173D">
      <w:pPr>
        <w:rPr>
          <w:lang w:val="pt-BR"/>
        </w:rPr>
      </w:pPr>
      <w:r w:rsidRPr="00FD5F34">
        <w:rPr>
          <w:lang w:val="pt-BR"/>
        </w:rPr>
        <w:t>Pablo Saavedra Alessandri</w:t>
      </w:r>
    </w:p>
    <w:p w14:paraId="2D48603D" w14:textId="712BC087" w:rsidR="00285602" w:rsidRPr="00074D97" w:rsidRDefault="00B7173D" w:rsidP="00B7173D">
      <w:pPr>
        <w:rPr>
          <w:rFonts w:cs="Verdana"/>
          <w:lang w:val="es-ES"/>
        </w:rPr>
      </w:pPr>
      <w:r w:rsidRPr="00FD5F34">
        <w:rPr>
          <w:lang w:val="pt-BR"/>
        </w:rPr>
        <w:t xml:space="preserve">          Secretario</w:t>
      </w:r>
    </w:p>
    <w:sectPr w:rsidR="00285602" w:rsidRPr="00074D97" w:rsidSect="00226997">
      <w:pgSz w:w="12240" w:h="15840" w:code="1"/>
      <w:pgMar w:top="1440" w:right="1080" w:bottom="5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638A1" w14:textId="77777777" w:rsidR="00B704F6" w:rsidRDefault="00B704F6" w:rsidP="00F94D74">
      <w:r>
        <w:separator/>
      </w:r>
    </w:p>
    <w:p w14:paraId="59674EE1" w14:textId="77777777" w:rsidR="00B704F6" w:rsidRDefault="00B704F6" w:rsidP="00F94D74"/>
  </w:endnote>
  <w:endnote w:type="continuationSeparator" w:id="0">
    <w:p w14:paraId="0FC12DDC" w14:textId="77777777" w:rsidR="00B704F6" w:rsidRDefault="00B704F6" w:rsidP="00F94D74">
      <w:r>
        <w:continuationSeparator/>
      </w:r>
    </w:p>
    <w:p w14:paraId="01090DFE" w14:textId="77777777" w:rsidR="00B704F6" w:rsidRDefault="00B704F6" w:rsidP="00F94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Oblique">
    <w:altName w:val="Arial"/>
    <w:charset w:val="00"/>
    <w:family w:val="auto"/>
    <w:pitch w:val="variable"/>
    <w:sig w:usb0="E00002FF" w:usb1="5000785B" w:usb2="00000000" w:usb3="00000000" w:csb0="0000019F" w:csb1="00000000"/>
  </w:font>
  <w:font w:name="Helvetica">
    <w:panose1 w:val="020B0604020202020204"/>
    <w:charset w:val="00"/>
    <w:family w:val="auto"/>
    <w:pitch w:val="variable"/>
    <w:sig w:usb0="E00002FF" w:usb1="5000785B" w:usb2="00000000" w:usb3="00000000" w:csb0="0000019F" w:csb1="00000000"/>
  </w:font>
  <w:font w:name="ヒラギノ角ゴ Pro W3">
    <w:altName w:val="Arial Unicode MS"/>
    <w:charset w:val="4E"/>
    <w:family w:val="auto"/>
    <w:pitch w:val="variable"/>
    <w:sig w:usb0="00000001" w:usb1="08070000" w:usb2="00000010" w:usb3="00000000" w:csb0="00020000" w:csb1="00000000"/>
  </w:font>
  <w:font w:name="Open Sans">
    <w:charset w:val="00"/>
    <w:family w:val="swiss"/>
    <w:pitch w:val="variable"/>
    <w:sig w:usb0="E00002EF" w:usb1="4000205B" w:usb2="00000028" w:usb3="00000000" w:csb0="0000019F"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564788169"/>
      <w:docPartObj>
        <w:docPartGallery w:val="Page Numbers (Bottom of Page)"/>
        <w:docPartUnique/>
      </w:docPartObj>
    </w:sdtPr>
    <w:sdtEndPr>
      <w:rPr>
        <w:noProof/>
      </w:rPr>
    </w:sdtEndPr>
    <w:sdtContent>
      <w:p w14:paraId="622493DB" w14:textId="60674424" w:rsidR="0065157B" w:rsidRPr="00520A12" w:rsidRDefault="0065157B" w:rsidP="00530549">
        <w:pPr>
          <w:pStyle w:val="Piedepgina"/>
          <w:spacing w:before="120"/>
          <w:jc w:val="center"/>
          <w:rPr>
            <w:sz w:val="18"/>
            <w:szCs w:val="18"/>
          </w:rPr>
        </w:pPr>
        <w:r w:rsidRPr="00520A12">
          <w:rPr>
            <w:sz w:val="18"/>
            <w:szCs w:val="18"/>
          </w:rPr>
          <w:fldChar w:fldCharType="begin"/>
        </w:r>
        <w:r w:rsidRPr="00520A12">
          <w:rPr>
            <w:sz w:val="18"/>
            <w:szCs w:val="18"/>
          </w:rPr>
          <w:instrText xml:space="preserve"> PAGE   \* MERGEFORMAT </w:instrText>
        </w:r>
        <w:r w:rsidRPr="00520A12">
          <w:rPr>
            <w:sz w:val="18"/>
            <w:szCs w:val="18"/>
          </w:rPr>
          <w:fldChar w:fldCharType="separate"/>
        </w:r>
        <w:r w:rsidR="00CE1D67">
          <w:rPr>
            <w:noProof/>
            <w:sz w:val="18"/>
            <w:szCs w:val="18"/>
          </w:rPr>
          <w:t>17</w:t>
        </w:r>
        <w:r w:rsidRPr="00520A12">
          <w:rPr>
            <w:noProof/>
            <w:sz w:val="18"/>
            <w:szCs w:val="18"/>
          </w:rPr>
          <w:fldChar w:fldCharType="end"/>
        </w:r>
      </w:p>
    </w:sdtContent>
  </w:sdt>
  <w:p w14:paraId="3049177E" w14:textId="77777777" w:rsidR="0065157B" w:rsidRPr="00520A12" w:rsidRDefault="0065157B" w:rsidP="00530549">
    <w:pPr>
      <w:pStyle w:val="Piedepgina"/>
      <w:spacing w:before="120"/>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94301466"/>
      <w:docPartObj>
        <w:docPartGallery w:val="Page Numbers (Bottom of Page)"/>
        <w:docPartUnique/>
      </w:docPartObj>
    </w:sdtPr>
    <w:sdtEndPr>
      <w:rPr>
        <w:noProof/>
        <w:color w:val="FFFFFF" w:themeColor="background1"/>
      </w:rPr>
    </w:sdtEndPr>
    <w:sdtContent>
      <w:p w14:paraId="7311F0F6" w14:textId="27BA6BE4" w:rsidR="0065157B" w:rsidRPr="00454CF5" w:rsidRDefault="0065157B" w:rsidP="00562B60">
        <w:pPr>
          <w:pStyle w:val="Piedepgina"/>
          <w:spacing w:before="120"/>
          <w:jc w:val="center"/>
          <w:rPr>
            <w:color w:val="FFFFFF" w:themeColor="background1"/>
            <w:sz w:val="18"/>
            <w:szCs w:val="18"/>
          </w:rPr>
        </w:pPr>
        <w:r w:rsidRPr="00454CF5">
          <w:rPr>
            <w:color w:val="FFFFFF" w:themeColor="background1"/>
            <w:sz w:val="18"/>
            <w:szCs w:val="18"/>
          </w:rPr>
          <w:fldChar w:fldCharType="begin"/>
        </w:r>
        <w:r w:rsidRPr="00454CF5">
          <w:rPr>
            <w:color w:val="FFFFFF" w:themeColor="background1"/>
            <w:sz w:val="18"/>
            <w:szCs w:val="18"/>
          </w:rPr>
          <w:instrText xml:space="preserve"> PAGE   \* MERGEFORMAT </w:instrText>
        </w:r>
        <w:r w:rsidRPr="00454CF5">
          <w:rPr>
            <w:color w:val="FFFFFF" w:themeColor="background1"/>
            <w:sz w:val="18"/>
            <w:szCs w:val="18"/>
          </w:rPr>
          <w:fldChar w:fldCharType="separate"/>
        </w:r>
        <w:r w:rsidR="00105F50">
          <w:rPr>
            <w:noProof/>
            <w:color w:val="FFFFFF" w:themeColor="background1"/>
            <w:sz w:val="18"/>
            <w:szCs w:val="18"/>
          </w:rPr>
          <w:t>1</w:t>
        </w:r>
        <w:r w:rsidRPr="00454CF5">
          <w:rPr>
            <w:noProof/>
            <w:color w:val="FFFFFF" w:themeColor="background1"/>
            <w:sz w:val="18"/>
            <w:szCs w:val="18"/>
          </w:rPr>
          <w:fldChar w:fldCharType="end"/>
        </w:r>
      </w:p>
    </w:sdtContent>
  </w:sdt>
  <w:p w14:paraId="1255FA17" w14:textId="77777777" w:rsidR="0065157B" w:rsidRPr="00562B60" w:rsidRDefault="0065157B" w:rsidP="00562B60">
    <w:pPr>
      <w:pStyle w:val="Piedepgina"/>
      <w:spacing w:before="12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42FC3" w14:textId="77777777" w:rsidR="00B704F6" w:rsidRDefault="00B704F6" w:rsidP="00F94D74">
      <w:r>
        <w:separator/>
      </w:r>
    </w:p>
    <w:p w14:paraId="6F090D2D" w14:textId="77777777" w:rsidR="00B704F6" w:rsidRDefault="00B704F6" w:rsidP="00F94D74"/>
  </w:footnote>
  <w:footnote w:type="continuationSeparator" w:id="0">
    <w:p w14:paraId="6BB55651" w14:textId="77777777" w:rsidR="00B704F6" w:rsidRDefault="00B704F6" w:rsidP="00F94D74">
      <w:r>
        <w:continuationSeparator/>
      </w:r>
    </w:p>
    <w:p w14:paraId="26BD5591" w14:textId="77777777" w:rsidR="00B704F6" w:rsidRDefault="00B704F6" w:rsidP="00F94D74"/>
  </w:footnote>
  <w:footnote w:id="1">
    <w:p w14:paraId="4284886A" w14:textId="14F780DD" w:rsidR="00B06CD0" w:rsidRPr="00844022" w:rsidRDefault="00B06CD0"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El 26 de mayo de 1998 Trinidad y Tobago denunció la Convención Americana sobre Derechos Humanos. De acuerdo con el artículo 78 de dicho instrumento, la denuncia entró en vigor un año después, esto es, el 26 de mayo de 1999.</w:t>
      </w:r>
    </w:p>
  </w:footnote>
  <w:footnote w:id="2">
    <w:p w14:paraId="095D1624" w14:textId="597FF432" w:rsidR="0065157B" w:rsidRPr="00844022" w:rsidRDefault="0065157B" w:rsidP="00844022">
      <w:pPr>
        <w:pStyle w:val="Textonotapie"/>
        <w:spacing w:before="60" w:after="60"/>
        <w:rPr>
          <w:sz w:val="16"/>
          <w:szCs w:val="16"/>
          <w:lang w:val="es-CR"/>
        </w:rPr>
      </w:pPr>
      <w:r w:rsidRPr="00844022">
        <w:rPr>
          <w:rStyle w:val="Refdenotaalpie"/>
          <w:sz w:val="16"/>
          <w:szCs w:val="16"/>
        </w:rPr>
        <w:footnoteRef/>
      </w:r>
      <w:r w:rsidRPr="00844022">
        <w:rPr>
          <w:sz w:val="16"/>
          <w:szCs w:val="16"/>
          <w:lang w:val="es-CR"/>
        </w:rPr>
        <w:t xml:space="preserve"> </w:t>
      </w:r>
      <w:r w:rsidRPr="00844022">
        <w:rPr>
          <w:sz w:val="16"/>
          <w:szCs w:val="16"/>
          <w:lang w:val="es-CR"/>
        </w:rPr>
        <w:tab/>
        <w:t xml:space="preserve">El mismo fue notificado a las partes el </w:t>
      </w:r>
      <w:r w:rsidR="00816C0D" w:rsidRPr="00844022">
        <w:rPr>
          <w:sz w:val="16"/>
          <w:szCs w:val="16"/>
          <w:lang w:val="es-CR"/>
        </w:rPr>
        <w:t>8 de diciembre de 2009</w:t>
      </w:r>
      <w:r w:rsidR="00DD7336" w:rsidRPr="00844022">
        <w:rPr>
          <w:sz w:val="16"/>
          <w:szCs w:val="16"/>
          <w:lang w:val="es-CR"/>
        </w:rPr>
        <w:t>.</w:t>
      </w:r>
      <w:r w:rsidRPr="00844022">
        <w:rPr>
          <w:sz w:val="16"/>
          <w:szCs w:val="16"/>
          <w:lang w:val="es-CR"/>
        </w:rPr>
        <w:t xml:space="preserve"> </w:t>
      </w:r>
    </w:p>
  </w:footnote>
  <w:footnote w:id="3">
    <w:p w14:paraId="1E8D6C44" w14:textId="322D38EC" w:rsidR="0065157B" w:rsidRPr="00844022" w:rsidRDefault="0065157B" w:rsidP="00844022">
      <w:pPr>
        <w:pStyle w:val="Textonotapie"/>
        <w:spacing w:before="60" w:after="60"/>
        <w:rPr>
          <w:sz w:val="16"/>
          <w:szCs w:val="16"/>
          <w:lang w:val="es-CR"/>
        </w:rPr>
      </w:pPr>
      <w:r w:rsidRPr="00844022">
        <w:rPr>
          <w:rStyle w:val="Refdenotaalpie"/>
          <w:sz w:val="16"/>
          <w:szCs w:val="16"/>
        </w:rPr>
        <w:footnoteRef/>
      </w:r>
      <w:r w:rsidRPr="00844022">
        <w:rPr>
          <w:sz w:val="16"/>
          <w:szCs w:val="16"/>
          <w:lang w:val="es-CR"/>
        </w:rPr>
        <w:t xml:space="preserve"> </w:t>
      </w:r>
      <w:r w:rsidRPr="00844022">
        <w:rPr>
          <w:sz w:val="16"/>
          <w:szCs w:val="16"/>
          <w:lang w:val="es-CR"/>
        </w:rPr>
        <w:tab/>
        <w:t>La Comisión designó, como sus delegados ante la Corte</w:t>
      </w:r>
      <w:r w:rsidR="00EF2382">
        <w:rPr>
          <w:sz w:val="16"/>
          <w:szCs w:val="16"/>
          <w:lang w:val="es-CR"/>
        </w:rPr>
        <w:t>,</w:t>
      </w:r>
      <w:r w:rsidRPr="00844022">
        <w:rPr>
          <w:sz w:val="16"/>
          <w:szCs w:val="16"/>
          <w:lang w:val="es-CR"/>
        </w:rPr>
        <w:t xml:space="preserve"> </w:t>
      </w:r>
      <w:r w:rsidR="00B56528" w:rsidRPr="00844022">
        <w:rPr>
          <w:sz w:val="16"/>
          <w:szCs w:val="16"/>
          <w:lang w:val="es-CR"/>
        </w:rPr>
        <w:t>al Comisionado Edgar Stuardo Ralón Orellana y a la Secretaria Ejecutiva Tania Reneaum Panszi</w:t>
      </w:r>
      <w:r w:rsidR="00241C08" w:rsidRPr="00844022">
        <w:rPr>
          <w:sz w:val="16"/>
          <w:szCs w:val="16"/>
          <w:lang w:val="es-CR"/>
        </w:rPr>
        <w:t>.</w:t>
      </w:r>
      <w:r w:rsidRPr="00844022">
        <w:rPr>
          <w:sz w:val="16"/>
          <w:szCs w:val="16"/>
          <w:lang w:val="es-CR"/>
        </w:rPr>
        <w:t xml:space="preserve"> Asimismo, designó como asesor</w:t>
      </w:r>
      <w:r w:rsidR="00241C08" w:rsidRPr="00844022">
        <w:rPr>
          <w:sz w:val="16"/>
          <w:szCs w:val="16"/>
          <w:lang w:val="es-CR"/>
        </w:rPr>
        <w:t>es</w:t>
      </w:r>
      <w:r w:rsidRPr="00844022">
        <w:rPr>
          <w:sz w:val="16"/>
          <w:szCs w:val="16"/>
          <w:lang w:val="es-CR"/>
        </w:rPr>
        <w:t xml:space="preserve"> legales a la </w:t>
      </w:r>
      <w:r w:rsidR="00EF2382">
        <w:rPr>
          <w:sz w:val="16"/>
          <w:szCs w:val="16"/>
          <w:lang w:val="es-CR"/>
        </w:rPr>
        <w:t>entonces</w:t>
      </w:r>
      <w:r w:rsidR="00EF2382" w:rsidRPr="00844022">
        <w:rPr>
          <w:sz w:val="16"/>
          <w:szCs w:val="16"/>
          <w:lang w:val="es-CR"/>
        </w:rPr>
        <w:t xml:space="preserve"> Secretaria Ejecutiva Adjunta </w:t>
      </w:r>
      <w:r w:rsidR="00241C08" w:rsidRPr="00844022">
        <w:rPr>
          <w:sz w:val="16"/>
          <w:szCs w:val="16"/>
          <w:lang w:val="es-CR"/>
        </w:rPr>
        <w:t xml:space="preserve">Marisol Blanchard </w:t>
      </w:r>
      <w:proofErr w:type="gramStart"/>
      <w:r w:rsidR="00241C08" w:rsidRPr="00844022">
        <w:rPr>
          <w:sz w:val="16"/>
          <w:szCs w:val="16"/>
          <w:lang w:val="es-CR"/>
        </w:rPr>
        <w:t>Vera,  y</w:t>
      </w:r>
      <w:proofErr w:type="gramEnd"/>
      <w:r w:rsidR="00241C08" w:rsidRPr="00844022">
        <w:rPr>
          <w:sz w:val="16"/>
          <w:szCs w:val="16"/>
          <w:lang w:val="es-CR"/>
        </w:rPr>
        <w:t xml:space="preserve"> a los especialistas de la Secretaría Ejecutiva de la Comisión Jorge Humberto Meza Flores y </w:t>
      </w:r>
      <w:r w:rsidR="00B56528" w:rsidRPr="00844022">
        <w:rPr>
          <w:sz w:val="16"/>
          <w:szCs w:val="16"/>
          <w:lang w:val="es-CR"/>
        </w:rPr>
        <w:t>Analía Banfi Vique y Thalassa Cox</w:t>
      </w:r>
      <w:r w:rsidRPr="00844022">
        <w:rPr>
          <w:sz w:val="16"/>
          <w:szCs w:val="16"/>
          <w:lang w:val="es-CR"/>
        </w:rPr>
        <w:t xml:space="preserve">. </w:t>
      </w:r>
    </w:p>
  </w:footnote>
  <w:footnote w:id="4">
    <w:p w14:paraId="327F4113" w14:textId="54FA9469" w:rsidR="0065157B" w:rsidRPr="00844022" w:rsidRDefault="0065157B" w:rsidP="00844022">
      <w:pPr>
        <w:pStyle w:val="Textonotapie"/>
        <w:spacing w:before="60" w:after="60"/>
        <w:rPr>
          <w:sz w:val="16"/>
          <w:szCs w:val="16"/>
          <w:lang w:val="es-CR"/>
        </w:rPr>
      </w:pPr>
      <w:r w:rsidRPr="00844022">
        <w:rPr>
          <w:rStyle w:val="Refdenotaalpie"/>
          <w:sz w:val="16"/>
          <w:szCs w:val="16"/>
        </w:rPr>
        <w:footnoteRef/>
      </w:r>
      <w:r w:rsidRPr="00844022">
        <w:rPr>
          <w:sz w:val="16"/>
          <w:szCs w:val="16"/>
          <w:lang w:val="es-CR"/>
        </w:rPr>
        <w:t xml:space="preserve"> </w:t>
      </w:r>
      <w:r w:rsidRPr="00844022">
        <w:rPr>
          <w:sz w:val="16"/>
          <w:szCs w:val="16"/>
          <w:lang w:val="es-CR"/>
        </w:rPr>
        <w:tab/>
      </w:r>
      <w:r w:rsidR="00241C08" w:rsidRPr="00844022">
        <w:rPr>
          <w:sz w:val="16"/>
          <w:szCs w:val="16"/>
          <w:lang w:val="es-CR"/>
        </w:rPr>
        <w:t>E</w:t>
      </w:r>
      <w:r w:rsidRPr="00844022">
        <w:rPr>
          <w:sz w:val="16"/>
          <w:szCs w:val="16"/>
          <w:lang w:val="es-CR"/>
        </w:rPr>
        <w:t xml:space="preserve">jerce la representación de las presuntas víctimas </w:t>
      </w:r>
      <w:r w:rsidR="008A7612" w:rsidRPr="00844022">
        <w:rPr>
          <w:sz w:val="16"/>
          <w:szCs w:val="16"/>
          <w:lang w:val="es-CR"/>
        </w:rPr>
        <w:t>la firma de abogados y abogadas “</w:t>
      </w:r>
      <w:r w:rsidR="00F03EC2" w:rsidRPr="00844022">
        <w:rPr>
          <w:sz w:val="16"/>
          <w:szCs w:val="16"/>
          <w:lang w:val="es-CR"/>
        </w:rPr>
        <w:t xml:space="preserve">Herbert Smith </w:t>
      </w:r>
      <w:proofErr w:type="spellStart"/>
      <w:r w:rsidR="00F03EC2" w:rsidRPr="00844022">
        <w:rPr>
          <w:sz w:val="16"/>
          <w:szCs w:val="16"/>
          <w:lang w:val="es-CR"/>
        </w:rPr>
        <w:t>Freehills</w:t>
      </w:r>
      <w:proofErr w:type="spellEnd"/>
      <w:r w:rsidR="008A7612" w:rsidRPr="00844022">
        <w:rPr>
          <w:sz w:val="16"/>
          <w:szCs w:val="16"/>
          <w:lang w:val="es-CR"/>
        </w:rPr>
        <w:t xml:space="preserve"> </w:t>
      </w:r>
      <w:r w:rsidR="00F03EC2" w:rsidRPr="00844022">
        <w:rPr>
          <w:sz w:val="16"/>
          <w:szCs w:val="16"/>
          <w:lang w:val="es-CR"/>
        </w:rPr>
        <w:t>LLP</w:t>
      </w:r>
      <w:r w:rsidR="008A7612" w:rsidRPr="00844022">
        <w:rPr>
          <w:sz w:val="16"/>
          <w:szCs w:val="16"/>
          <w:lang w:val="es-CR"/>
        </w:rPr>
        <w:t>”</w:t>
      </w:r>
      <w:r w:rsidR="00241C08" w:rsidRPr="00844022">
        <w:rPr>
          <w:sz w:val="16"/>
          <w:szCs w:val="16"/>
          <w:lang w:val="es-CR"/>
        </w:rPr>
        <w:t>.</w:t>
      </w:r>
      <w:r w:rsidRPr="00844022">
        <w:rPr>
          <w:sz w:val="16"/>
          <w:szCs w:val="16"/>
          <w:lang w:val="es-CR"/>
        </w:rPr>
        <w:t xml:space="preserve"> </w:t>
      </w:r>
    </w:p>
  </w:footnote>
  <w:footnote w:id="5">
    <w:p w14:paraId="1DA49796" w14:textId="4636C732" w:rsidR="009E5CA3" w:rsidRPr="00844022" w:rsidRDefault="009E5CA3"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proofErr w:type="spellStart"/>
      <w:r w:rsidRPr="00844022">
        <w:rPr>
          <w:i/>
          <w:iCs/>
          <w:sz w:val="16"/>
          <w:szCs w:val="16"/>
        </w:rPr>
        <w:t>Queen’s</w:t>
      </w:r>
      <w:proofErr w:type="spellEnd"/>
      <w:r w:rsidRPr="00844022">
        <w:rPr>
          <w:i/>
          <w:iCs/>
          <w:sz w:val="16"/>
          <w:szCs w:val="16"/>
        </w:rPr>
        <w:t xml:space="preserve"> </w:t>
      </w:r>
      <w:proofErr w:type="spellStart"/>
      <w:r w:rsidRPr="00844022">
        <w:rPr>
          <w:i/>
          <w:iCs/>
          <w:sz w:val="16"/>
          <w:szCs w:val="16"/>
        </w:rPr>
        <w:t>Counsel</w:t>
      </w:r>
      <w:proofErr w:type="spellEnd"/>
      <w:r w:rsidRPr="00844022">
        <w:rPr>
          <w:sz w:val="16"/>
          <w:szCs w:val="16"/>
        </w:rPr>
        <w:t>.</w:t>
      </w:r>
    </w:p>
  </w:footnote>
  <w:footnote w:id="6">
    <w:p w14:paraId="20A85BD0" w14:textId="0D929C09" w:rsidR="00304C53" w:rsidRPr="00844022" w:rsidRDefault="00304C53"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lang w:val="es-CR"/>
        </w:rPr>
        <w:tab/>
      </w:r>
      <w:r w:rsidRPr="00844022">
        <w:rPr>
          <w:i/>
          <w:iCs/>
          <w:sz w:val="16"/>
          <w:szCs w:val="16"/>
          <w:lang w:val="es-CR"/>
        </w:rPr>
        <w:t>Cfr</w:t>
      </w:r>
      <w:r w:rsidRPr="00844022">
        <w:rPr>
          <w:sz w:val="16"/>
          <w:szCs w:val="16"/>
          <w:lang w:val="es-CR"/>
        </w:rPr>
        <w:t xml:space="preserve">. </w:t>
      </w:r>
      <w:r w:rsidR="00A71FC8" w:rsidRPr="00844022">
        <w:rPr>
          <w:i/>
          <w:iCs/>
          <w:sz w:val="16"/>
          <w:szCs w:val="16"/>
        </w:rPr>
        <w:t xml:space="preserve">Caso </w:t>
      </w:r>
      <w:proofErr w:type="spellStart"/>
      <w:r w:rsidR="00A71FC8" w:rsidRPr="00844022">
        <w:rPr>
          <w:i/>
          <w:iCs/>
          <w:sz w:val="16"/>
          <w:szCs w:val="16"/>
        </w:rPr>
        <w:t>Bissoon</w:t>
      </w:r>
      <w:proofErr w:type="spellEnd"/>
      <w:r w:rsidR="00A71FC8" w:rsidRPr="00844022">
        <w:rPr>
          <w:i/>
          <w:iCs/>
          <w:sz w:val="16"/>
          <w:szCs w:val="16"/>
        </w:rPr>
        <w:t xml:space="preserve"> y otro Vs. Trinidad y Tobago. </w:t>
      </w:r>
      <w:r w:rsidR="00A458DC" w:rsidRPr="00844022">
        <w:rPr>
          <w:sz w:val="16"/>
          <w:szCs w:val="16"/>
        </w:rPr>
        <w:t>Resolución</w:t>
      </w:r>
      <w:r w:rsidR="00A71FC8" w:rsidRPr="00844022">
        <w:rPr>
          <w:sz w:val="16"/>
          <w:szCs w:val="16"/>
        </w:rPr>
        <w:t xml:space="preserve"> del Presidente de la Corte Interamericana de Derechos Humanos de 2 de junio de 2022</w:t>
      </w:r>
      <w:r w:rsidR="00A71FC8" w:rsidRPr="00844022">
        <w:rPr>
          <w:i/>
          <w:iCs/>
          <w:sz w:val="16"/>
          <w:szCs w:val="16"/>
        </w:rPr>
        <w:t>.</w:t>
      </w:r>
      <w:r w:rsidRPr="00844022">
        <w:rPr>
          <w:sz w:val="16"/>
          <w:szCs w:val="16"/>
        </w:rPr>
        <w:t xml:space="preserve"> Disponible aquí (sólo en inglés):</w:t>
      </w:r>
    </w:p>
    <w:p w14:paraId="75D6EE2F" w14:textId="4725B8E1" w:rsidR="00304C53" w:rsidRPr="00844022" w:rsidRDefault="00000000" w:rsidP="00844022">
      <w:pPr>
        <w:pStyle w:val="Textonotapie"/>
        <w:spacing w:before="60" w:after="60"/>
        <w:rPr>
          <w:sz w:val="16"/>
          <w:szCs w:val="16"/>
        </w:rPr>
      </w:pPr>
      <w:hyperlink r:id="rId1" w:history="1">
        <w:r w:rsidR="00A458DC" w:rsidRPr="00844022">
          <w:rPr>
            <w:rStyle w:val="Hipervnculo"/>
            <w:sz w:val="16"/>
            <w:szCs w:val="16"/>
          </w:rPr>
          <w:t>https://www.corteidh.or.cr/docs/asuntos/bissoon_serrette_02_06_22_ing.pdf</w:t>
        </w:r>
      </w:hyperlink>
      <w:r w:rsidR="00A458DC" w:rsidRPr="00844022">
        <w:rPr>
          <w:sz w:val="16"/>
          <w:szCs w:val="16"/>
        </w:rPr>
        <w:t xml:space="preserve"> </w:t>
      </w:r>
    </w:p>
  </w:footnote>
  <w:footnote w:id="7">
    <w:p w14:paraId="594895E8" w14:textId="77777777" w:rsidR="001A66E2" w:rsidRPr="00844022" w:rsidRDefault="001A66E2"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 Caso Hilaire, Constantine y Benjamin y otros Vs. Trinidad y Tobago</w:t>
      </w:r>
      <w:r w:rsidRPr="00844022">
        <w:rPr>
          <w:sz w:val="16"/>
          <w:szCs w:val="16"/>
        </w:rPr>
        <w:t>. Fondo, Reparaciones y Costas. Sentencia de 21 de junio de 2002. Serie C No. 94.</w:t>
      </w:r>
    </w:p>
  </w:footnote>
  <w:footnote w:id="8">
    <w:p w14:paraId="0EBD9421" w14:textId="26C1523C" w:rsidR="001A66E2" w:rsidRPr="00844022" w:rsidRDefault="001A66E2"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 xml:space="preserve">En particular, el Tribunal solicitó los siguientes documentos: (i) todos los documentos relacionados con la detención de los señores </w:t>
      </w:r>
      <w:proofErr w:type="spellStart"/>
      <w:r w:rsidRPr="00844022">
        <w:rPr>
          <w:sz w:val="16"/>
          <w:szCs w:val="16"/>
        </w:rPr>
        <w:t>Bissoon</w:t>
      </w:r>
      <w:proofErr w:type="spellEnd"/>
      <w:r w:rsidRPr="00844022">
        <w:rPr>
          <w:sz w:val="16"/>
          <w:szCs w:val="16"/>
        </w:rPr>
        <w:t xml:space="preserve"> y </w:t>
      </w:r>
      <w:proofErr w:type="spellStart"/>
      <w:r w:rsidRPr="00844022">
        <w:rPr>
          <w:sz w:val="16"/>
          <w:szCs w:val="16"/>
        </w:rPr>
        <w:t>Ser</w:t>
      </w:r>
      <w:r w:rsidR="00A81380" w:rsidRPr="00844022">
        <w:rPr>
          <w:sz w:val="16"/>
          <w:szCs w:val="16"/>
        </w:rPr>
        <w:t>r</w:t>
      </w:r>
      <w:r w:rsidRPr="00844022">
        <w:rPr>
          <w:sz w:val="16"/>
          <w:szCs w:val="16"/>
        </w:rPr>
        <w:t>ette</w:t>
      </w:r>
      <w:proofErr w:type="spellEnd"/>
      <w:r w:rsidRPr="00844022">
        <w:rPr>
          <w:sz w:val="16"/>
          <w:szCs w:val="16"/>
        </w:rPr>
        <w:t xml:space="preserve"> y, en particular pero no limitado a: cualquier registro de los arrestos así como cualquier documento que le haya sido notificado a las presuntas víctimas al momento del arresto, si es que lo hubiera; (ii) todos los documentos relacionados con la investigación preliminar; y (iii) todas las demandas, denuncias, solicitudes o recursos interpuestos ante las autoridades nacionales denunciando las alegadas violaciones al debido proceso, así como la eventual respuesta de dichas autoridades.</w:t>
      </w:r>
    </w:p>
  </w:footnote>
  <w:footnote w:id="9">
    <w:p w14:paraId="41F7ADF3" w14:textId="2E41A396" w:rsidR="008154C7" w:rsidRPr="00844022" w:rsidRDefault="008154C7"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 xml:space="preserve">Para un mayor desarrollo de esta cláusula de denuncia, ver </w:t>
      </w:r>
      <w:r w:rsidRPr="00844022">
        <w:rPr>
          <w:i/>
          <w:iCs/>
          <w:sz w:val="16"/>
          <w:szCs w:val="16"/>
        </w:rPr>
        <w:t>La denuncia de la Convención Americana sobre Derechos Humanos y de la Carta de la Organización de los Estados Americanos y sus efectos sobre las obligaciones estatales en materia de derechos humanos (Interpretación y alcance de los artículos 1, 2, 27, 29, 30, 31, 32, 33 a 65 y 78 de la Convención Americana sobre Derechos Humanos y 3.l), 17, 45, 53, 106 y 143 de la Carta de la Organización de los Estados Americanos). Opinión Consultiva OC-26/20 de 9 de noviembre de 2020</w:t>
      </w:r>
      <w:r w:rsidRPr="00844022">
        <w:rPr>
          <w:sz w:val="16"/>
          <w:szCs w:val="16"/>
        </w:rPr>
        <w:t>. Serie A No. 26, párrs. 59 a 65.</w:t>
      </w:r>
    </w:p>
  </w:footnote>
  <w:footnote w:id="10">
    <w:p w14:paraId="4766377D" w14:textId="77777777" w:rsidR="00EC3451" w:rsidRPr="00844022" w:rsidRDefault="00EC3451"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 xml:space="preserve">El Tribunal recuerda que los órganos del sistema interamericano de protección están habilitados a continuar el trámite de peticiones y casos contenciosos que aleguen violaciones de la Convención Americana por hechos internacionalmente ilícitos ocurridos antes de que la denuncia se torne efectiva. En esta medida, la Comisión y la Corte Interamericana pueden conocer, en el marco del sistema de peticiones individuales y de casos contenciosos, respecto a ilícitos internacionales cometidos por el Estado que ha denunciado la Convención, aún después de que la denuncia surta efectos, (i) por acciones u omisiones sucedidas con anterioridad y hasta la fecha en que se torna efectiva la denuncia; (ii) por hechos de carácter continuo, cuyo inicio de ejecución se haya verificado previo a que la denuncia se haga efectiva, como es el caso de las desapariciones forzadas de personas, o (iii) por los efectos “continuos o manifiestos” de hechos ocurridos previo al momento en que la denuncia surtiera efectos. </w:t>
      </w:r>
      <w:r w:rsidRPr="00844022">
        <w:rPr>
          <w:i/>
          <w:iCs/>
          <w:sz w:val="16"/>
          <w:szCs w:val="16"/>
        </w:rPr>
        <w:t>Cfr</w:t>
      </w:r>
      <w:r w:rsidRPr="00844022">
        <w:rPr>
          <w:sz w:val="16"/>
          <w:szCs w:val="16"/>
        </w:rPr>
        <w:t xml:space="preserve">. </w:t>
      </w:r>
      <w:r w:rsidRPr="00844022">
        <w:rPr>
          <w:i/>
          <w:iCs/>
          <w:sz w:val="16"/>
          <w:szCs w:val="16"/>
        </w:rPr>
        <w:t>La denuncia de la Convención Americana sobre Derechos Humanos y de la Carta de la Organización de los Estados Americanos y sus efectos sobre las obligaciones estatales en materia de derechos humanos (Interpretación y alcance de los artículos 1, 2, 27, 29, 30, 31, 32, 33 a 65 y 78 de la Convención Americana sobre Derechos Humanos y 3.l), 17, 45, 53, 106 y 143 de la Carta de la Organización de los Estados Americanos).</w:t>
      </w:r>
      <w:r w:rsidRPr="00844022">
        <w:rPr>
          <w:sz w:val="16"/>
          <w:szCs w:val="16"/>
        </w:rPr>
        <w:t xml:space="preserve"> Opinión Consultiva OC-26/20 de 9 de noviembre de 2020. Serie A No. 2, párr. 77.</w:t>
      </w:r>
    </w:p>
  </w:footnote>
  <w:footnote w:id="11">
    <w:p w14:paraId="54E3D049" w14:textId="183B6C04" w:rsidR="0065157B" w:rsidRPr="00844022" w:rsidRDefault="0065157B"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00202227" w:rsidRPr="00844022">
        <w:rPr>
          <w:sz w:val="16"/>
          <w:szCs w:val="16"/>
        </w:rPr>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00202227" w:rsidRPr="00844022">
        <w:rPr>
          <w:i/>
          <w:sz w:val="16"/>
          <w:szCs w:val="16"/>
        </w:rPr>
        <w:t>Cfr.</w:t>
      </w:r>
      <w:r w:rsidR="00202227" w:rsidRPr="00844022">
        <w:rPr>
          <w:sz w:val="16"/>
          <w:szCs w:val="16"/>
        </w:rPr>
        <w:t xml:space="preserve"> </w:t>
      </w:r>
      <w:r w:rsidR="00202227" w:rsidRPr="00844022">
        <w:rPr>
          <w:i/>
          <w:sz w:val="16"/>
          <w:szCs w:val="16"/>
        </w:rPr>
        <w:t xml:space="preserve">Caso Familia Barrios Vs. Venezuela. Fondo, Reparaciones y Costas. </w:t>
      </w:r>
      <w:r w:rsidR="00202227" w:rsidRPr="00844022">
        <w:rPr>
          <w:sz w:val="16"/>
          <w:szCs w:val="16"/>
        </w:rPr>
        <w:t xml:space="preserve">Sentencia de 24 de noviembre de 2011. Serie C No. 237, párrs. 17 y 18, y </w:t>
      </w:r>
      <w:r w:rsidR="00683D35" w:rsidRPr="00844022">
        <w:rPr>
          <w:i/>
          <w:iCs/>
          <w:sz w:val="16"/>
          <w:szCs w:val="16"/>
          <w:lang w:val="es-ES"/>
        </w:rPr>
        <w:t xml:space="preserve">Caso </w:t>
      </w:r>
      <w:proofErr w:type="spellStart"/>
      <w:r w:rsidR="00683D35" w:rsidRPr="00844022">
        <w:rPr>
          <w:i/>
          <w:iCs/>
          <w:sz w:val="16"/>
          <w:szCs w:val="16"/>
          <w:lang w:val="es-ES"/>
        </w:rPr>
        <w:t>Habbal</w:t>
      </w:r>
      <w:proofErr w:type="spellEnd"/>
      <w:r w:rsidR="00683D35" w:rsidRPr="00844022">
        <w:rPr>
          <w:i/>
          <w:iCs/>
          <w:sz w:val="16"/>
          <w:szCs w:val="16"/>
          <w:lang w:val="es-ES"/>
        </w:rPr>
        <w:t xml:space="preserve"> y otros Vs. Argentina</w:t>
      </w:r>
      <w:r w:rsidR="00683D35" w:rsidRPr="00844022">
        <w:rPr>
          <w:sz w:val="16"/>
          <w:szCs w:val="16"/>
          <w:lang w:val="es-ES"/>
        </w:rPr>
        <w:t xml:space="preserve">. </w:t>
      </w:r>
      <w:r w:rsidR="00683D35" w:rsidRPr="00844022">
        <w:rPr>
          <w:i/>
          <w:iCs/>
          <w:sz w:val="16"/>
          <w:szCs w:val="16"/>
          <w:lang w:val="es-ES"/>
        </w:rPr>
        <w:t>Excepciones Preliminares y Fondo.</w:t>
      </w:r>
      <w:r w:rsidR="00683D35" w:rsidRPr="00844022">
        <w:rPr>
          <w:sz w:val="16"/>
          <w:szCs w:val="16"/>
          <w:lang w:val="es-ES"/>
        </w:rPr>
        <w:t xml:space="preserve"> Sentencia de 31 de agosto de 2022. Serie C No. 463, párr. 26.</w:t>
      </w:r>
    </w:p>
  </w:footnote>
  <w:footnote w:id="12">
    <w:p w14:paraId="03098303" w14:textId="4EF33B35" w:rsidR="0065157B" w:rsidRPr="00844022" w:rsidRDefault="0065157B"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La Corte recibió las declaraciones rendidas ante fedatario público (</w:t>
      </w:r>
      <w:r w:rsidRPr="00844022">
        <w:rPr>
          <w:i/>
          <w:iCs/>
          <w:sz w:val="16"/>
          <w:szCs w:val="16"/>
        </w:rPr>
        <w:t>a</w:t>
      </w:r>
      <w:r w:rsidR="003A069B" w:rsidRPr="00844022">
        <w:rPr>
          <w:i/>
          <w:iCs/>
          <w:sz w:val="16"/>
          <w:szCs w:val="16"/>
        </w:rPr>
        <w:t>f</w:t>
      </w:r>
      <w:r w:rsidRPr="00844022">
        <w:rPr>
          <w:i/>
          <w:iCs/>
          <w:sz w:val="16"/>
          <w:szCs w:val="16"/>
        </w:rPr>
        <w:t>fidávit</w:t>
      </w:r>
      <w:r w:rsidRPr="00844022">
        <w:rPr>
          <w:sz w:val="16"/>
          <w:szCs w:val="16"/>
        </w:rPr>
        <w:t xml:space="preserve">) </w:t>
      </w:r>
      <w:r w:rsidR="003A069B" w:rsidRPr="00844022">
        <w:rPr>
          <w:sz w:val="16"/>
          <w:szCs w:val="16"/>
        </w:rPr>
        <w:t>de la</w:t>
      </w:r>
      <w:r w:rsidR="004E202F" w:rsidRPr="00844022">
        <w:rPr>
          <w:sz w:val="16"/>
          <w:szCs w:val="16"/>
        </w:rPr>
        <w:t>s</w:t>
      </w:r>
      <w:r w:rsidR="003A069B" w:rsidRPr="00844022">
        <w:rPr>
          <w:sz w:val="16"/>
          <w:szCs w:val="16"/>
        </w:rPr>
        <w:t xml:space="preserve"> presunta</w:t>
      </w:r>
      <w:r w:rsidR="004E202F" w:rsidRPr="00844022">
        <w:rPr>
          <w:sz w:val="16"/>
          <w:szCs w:val="16"/>
        </w:rPr>
        <w:t>s</w:t>
      </w:r>
      <w:r w:rsidR="003A069B" w:rsidRPr="00844022">
        <w:rPr>
          <w:sz w:val="16"/>
          <w:szCs w:val="16"/>
        </w:rPr>
        <w:t xml:space="preserve"> víctima</w:t>
      </w:r>
      <w:r w:rsidR="004E202F" w:rsidRPr="00844022">
        <w:rPr>
          <w:sz w:val="16"/>
          <w:szCs w:val="16"/>
        </w:rPr>
        <w:t>s</w:t>
      </w:r>
      <w:r w:rsidR="003A069B" w:rsidRPr="00844022">
        <w:rPr>
          <w:sz w:val="16"/>
          <w:szCs w:val="16"/>
        </w:rPr>
        <w:t xml:space="preserve"> </w:t>
      </w:r>
      <w:proofErr w:type="spellStart"/>
      <w:r w:rsidR="009510BF" w:rsidRPr="00844022">
        <w:rPr>
          <w:sz w:val="16"/>
          <w:szCs w:val="16"/>
        </w:rPr>
        <w:t>Reshi</w:t>
      </w:r>
      <w:proofErr w:type="spellEnd"/>
      <w:r w:rsidR="009510BF" w:rsidRPr="00844022">
        <w:rPr>
          <w:sz w:val="16"/>
          <w:szCs w:val="16"/>
        </w:rPr>
        <w:t xml:space="preserve"> </w:t>
      </w:r>
      <w:proofErr w:type="spellStart"/>
      <w:r w:rsidR="009510BF" w:rsidRPr="00844022">
        <w:rPr>
          <w:sz w:val="16"/>
          <w:szCs w:val="16"/>
        </w:rPr>
        <w:t>Bissoon</w:t>
      </w:r>
      <w:proofErr w:type="spellEnd"/>
      <w:r w:rsidR="004E202F" w:rsidRPr="00844022">
        <w:rPr>
          <w:sz w:val="16"/>
          <w:szCs w:val="16"/>
        </w:rPr>
        <w:t xml:space="preserve"> y </w:t>
      </w:r>
      <w:r w:rsidR="009510BF" w:rsidRPr="00844022">
        <w:rPr>
          <w:sz w:val="16"/>
          <w:szCs w:val="16"/>
        </w:rPr>
        <w:t xml:space="preserve">Foster </w:t>
      </w:r>
      <w:proofErr w:type="spellStart"/>
      <w:r w:rsidR="009510BF" w:rsidRPr="00844022">
        <w:rPr>
          <w:sz w:val="16"/>
          <w:szCs w:val="16"/>
        </w:rPr>
        <w:t>Serrette</w:t>
      </w:r>
      <w:proofErr w:type="spellEnd"/>
      <w:r w:rsidR="004E202F" w:rsidRPr="00844022">
        <w:rPr>
          <w:sz w:val="16"/>
          <w:szCs w:val="16"/>
        </w:rPr>
        <w:t>, así como del perito Douglas Mendes QC,</w:t>
      </w:r>
      <w:r w:rsidRPr="00844022">
        <w:rPr>
          <w:sz w:val="16"/>
          <w:szCs w:val="16"/>
        </w:rPr>
        <w:t xml:space="preserve"> propuestos por </w:t>
      </w:r>
      <w:r w:rsidR="003A069B" w:rsidRPr="00844022">
        <w:rPr>
          <w:sz w:val="16"/>
          <w:szCs w:val="16"/>
        </w:rPr>
        <w:t>los</w:t>
      </w:r>
      <w:r w:rsidRPr="00844022">
        <w:rPr>
          <w:sz w:val="16"/>
          <w:szCs w:val="16"/>
        </w:rPr>
        <w:t xml:space="preserve"> representante</w:t>
      </w:r>
      <w:r w:rsidR="003A069B" w:rsidRPr="00844022">
        <w:rPr>
          <w:sz w:val="16"/>
          <w:szCs w:val="16"/>
        </w:rPr>
        <w:t>s</w:t>
      </w:r>
      <w:r w:rsidR="00070F65" w:rsidRPr="00844022">
        <w:rPr>
          <w:sz w:val="16"/>
          <w:szCs w:val="16"/>
        </w:rPr>
        <w:t>.</w:t>
      </w:r>
    </w:p>
  </w:footnote>
  <w:footnote w:id="13">
    <w:p w14:paraId="1EF3AE95" w14:textId="3B21F7C1" w:rsidR="0065157B" w:rsidRPr="00844022" w:rsidRDefault="0065157B" w:rsidP="00844022">
      <w:pPr>
        <w:pStyle w:val="Textonotapie"/>
        <w:spacing w:before="60" w:after="60"/>
        <w:rPr>
          <w:sz w:val="16"/>
          <w:szCs w:val="16"/>
        </w:rPr>
      </w:pPr>
      <w:r w:rsidRPr="00844022">
        <w:rPr>
          <w:rStyle w:val="Refdenotaalpie"/>
          <w:rFonts w:eastAsia="Calibri"/>
          <w:sz w:val="16"/>
          <w:szCs w:val="16"/>
        </w:rPr>
        <w:footnoteRef/>
      </w:r>
      <w:r w:rsidRPr="00844022">
        <w:rPr>
          <w:sz w:val="16"/>
          <w:szCs w:val="16"/>
          <w:lang w:val="es-CR"/>
        </w:rPr>
        <w:t xml:space="preserve"> </w:t>
      </w:r>
      <w:r w:rsidRPr="00844022">
        <w:rPr>
          <w:sz w:val="16"/>
          <w:szCs w:val="16"/>
          <w:lang w:val="es-CR"/>
        </w:rPr>
        <w:tab/>
        <w:t xml:space="preserve">Los objetos de todas estas declaraciones se encuentran establecidos en la Resolución </w:t>
      </w:r>
      <w:r w:rsidR="00A24F13" w:rsidRPr="00844022">
        <w:rPr>
          <w:sz w:val="16"/>
          <w:szCs w:val="16"/>
          <w:lang w:val="es-CR"/>
        </w:rPr>
        <w:t>del Presidente</w:t>
      </w:r>
      <w:r w:rsidR="003A069B" w:rsidRPr="00844022">
        <w:rPr>
          <w:sz w:val="16"/>
          <w:szCs w:val="16"/>
          <w:lang w:val="es-CR"/>
        </w:rPr>
        <w:t xml:space="preserve"> </w:t>
      </w:r>
      <w:r w:rsidRPr="00844022">
        <w:rPr>
          <w:sz w:val="16"/>
          <w:szCs w:val="16"/>
          <w:lang w:val="es-CR"/>
        </w:rPr>
        <w:t>de la Corte Interamericana emitida el</w:t>
      </w:r>
      <w:r w:rsidRPr="00844022">
        <w:rPr>
          <w:i/>
          <w:sz w:val="16"/>
          <w:szCs w:val="16"/>
          <w:lang w:val="es-CR"/>
        </w:rPr>
        <w:t xml:space="preserve"> </w:t>
      </w:r>
      <w:r w:rsidR="004E202F" w:rsidRPr="00844022">
        <w:rPr>
          <w:sz w:val="16"/>
          <w:szCs w:val="16"/>
          <w:lang w:val="es-CR"/>
        </w:rPr>
        <w:t>2 de junio de 2002.</w:t>
      </w:r>
      <w:r w:rsidRPr="00844022">
        <w:rPr>
          <w:sz w:val="16"/>
          <w:szCs w:val="16"/>
          <w:lang w:val="es-CR"/>
        </w:rPr>
        <w:t xml:space="preserve"> Disponible en:</w:t>
      </w:r>
      <w:r w:rsidR="000A42B4" w:rsidRPr="00844022">
        <w:rPr>
          <w:sz w:val="16"/>
          <w:szCs w:val="16"/>
        </w:rPr>
        <w:t xml:space="preserve"> </w:t>
      </w:r>
      <w:hyperlink r:id="rId2" w:history="1">
        <w:r w:rsidR="00955C09" w:rsidRPr="00844022">
          <w:rPr>
            <w:rStyle w:val="Hipervnculo"/>
            <w:sz w:val="16"/>
            <w:szCs w:val="16"/>
          </w:rPr>
          <w:t>https://www.corteidh.or.cr/docs/asuntos/bissoon_serrette_02_06_22_ing.pdf</w:t>
        </w:r>
      </w:hyperlink>
      <w:r w:rsidR="009510BF" w:rsidRPr="00844022">
        <w:rPr>
          <w:sz w:val="16"/>
          <w:szCs w:val="16"/>
        </w:rPr>
        <w:t xml:space="preserve"> </w:t>
      </w:r>
    </w:p>
  </w:footnote>
  <w:footnote w:id="14">
    <w:p w14:paraId="7E43D9F6" w14:textId="5FE4A6BE" w:rsidR="00C95B51" w:rsidRPr="00844022" w:rsidRDefault="00C95B51" w:rsidP="00844022">
      <w:pPr>
        <w:spacing w:before="60" w:after="60" w:line="240" w:lineRule="auto"/>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lang w:val="es-ES"/>
        </w:rPr>
        <w:tab/>
      </w:r>
      <w:r w:rsidRPr="00844022">
        <w:rPr>
          <w:i/>
          <w:iCs/>
          <w:sz w:val="16"/>
          <w:szCs w:val="16"/>
          <w:lang w:val="es-ES"/>
        </w:rPr>
        <w:t>Cfr. Caso Caesar Vs. Trinidad y Tobago. Fondo, Reparaciones y Costas</w:t>
      </w:r>
      <w:r w:rsidR="00DF1350" w:rsidRPr="00844022">
        <w:rPr>
          <w:i/>
          <w:iCs/>
          <w:sz w:val="16"/>
          <w:szCs w:val="16"/>
          <w:lang w:val="es-ES"/>
        </w:rPr>
        <w:t xml:space="preserve">. </w:t>
      </w:r>
      <w:r w:rsidR="00DF1350" w:rsidRPr="00844022">
        <w:rPr>
          <w:sz w:val="16"/>
          <w:szCs w:val="16"/>
          <w:lang w:val="es-ES"/>
        </w:rPr>
        <w:t>Sentencia de 11 de marzo de 2005</w:t>
      </w:r>
      <w:r w:rsidR="003236F3" w:rsidRPr="00844022">
        <w:rPr>
          <w:sz w:val="16"/>
          <w:szCs w:val="16"/>
          <w:lang w:val="es-ES"/>
        </w:rPr>
        <w:t>. Serie C. No. 123</w:t>
      </w:r>
      <w:r w:rsidRPr="00844022">
        <w:rPr>
          <w:sz w:val="16"/>
          <w:szCs w:val="16"/>
          <w:lang w:val="es-ES"/>
        </w:rPr>
        <w:t>, párr. 39.</w:t>
      </w:r>
    </w:p>
  </w:footnote>
  <w:footnote w:id="15">
    <w:p w14:paraId="0C0DC049" w14:textId="77777777" w:rsidR="00C95B51" w:rsidRPr="00844022" w:rsidRDefault="00C95B51" w:rsidP="00844022">
      <w:pPr>
        <w:spacing w:before="60" w:after="60" w:line="240" w:lineRule="auto"/>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lang w:val="es-ES"/>
        </w:rPr>
        <w:tab/>
      </w:r>
      <w:r w:rsidRPr="00844022">
        <w:rPr>
          <w:i/>
          <w:iCs/>
          <w:sz w:val="16"/>
          <w:szCs w:val="16"/>
          <w:lang w:val="es-ES"/>
        </w:rPr>
        <w:t>Cfr. Caso Caesar Vs. Trinidad y Tobago. Fondo, Reparaciones y Costas</w:t>
      </w:r>
      <w:r w:rsidRPr="00844022">
        <w:rPr>
          <w:sz w:val="16"/>
          <w:szCs w:val="16"/>
          <w:lang w:val="es-ES"/>
        </w:rPr>
        <w:t xml:space="preserve">, </w:t>
      </w:r>
      <w:r w:rsidRPr="00844022">
        <w:rPr>
          <w:i/>
          <w:iCs/>
          <w:sz w:val="16"/>
          <w:szCs w:val="16"/>
          <w:lang w:val="es-ES"/>
        </w:rPr>
        <w:t>supra</w:t>
      </w:r>
      <w:r w:rsidRPr="00844022">
        <w:rPr>
          <w:sz w:val="16"/>
          <w:szCs w:val="16"/>
          <w:lang w:val="es-ES"/>
        </w:rPr>
        <w:t>, párr. 38.</w:t>
      </w:r>
    </w:p>
  </w:footnote>
  <w:footnote w:id="16">
    <w:p w14:paraId="262D8F30" w14:textId="49E017EE" w:rsidR="00326631" w:rsidRPr="00844022" w:rsidRDefault="00326631" w:rsidP="00844022">
      <w:pPr>
        <w:pStyle w:val="Textonotapie"/>
        <w:spacing w:before="60" w:after="60"/>
        <w:rPr>
          <w:sz w:val="16"/>
          <w:szCs w:val="16"/>
          <w:lang w:val="es-ES"/>
        </w:rPr>
      </w:pPr>
      <w:r w:rsidRPr="00844022">
        <w:rPr>
          <w:rStyle w:val="Refdenotaalpie"/>
          <w:sz w:val="16"/>
          <w:szCs w:val="16"/>
        </w:rPr>
        <w:footnoteRef/>
      </w:r>
      <w:r w:rsidRPr="00844022">
        <w:rPr>
          <w:sz w:val="16"/>
          <w:szCs w:val="16"/>
          <w:lang w:val="es-ES"/>
        </w:rPr>
        <w:t xml:space="preserve"> </w:t>
      </w:r>
      <w:r w:rsidRPr="00844022">
        <w:rPr>
          <w:sz w:val="16"/>
          <w:szCs w:val="16"/>
          <w:lang w:val="es-ES"/>
        </w:rPr>
        <w:tab/>
      </w:r>
      <w:r w:rsidR="00000A53" w:rsidRPr="00844022">
        <w:rPr>
          <w:i/>
          <w:iCs/>
          <w:sz w:val="16"/>
          <w:szCs w:val="16"/>
          <w:lang w:val="es-ES"/>
        </w:rPr>
        <w:t>Cfr</w:t>
      </w:r>
      <w:r w:rsidR="00000A53" w:rsidRPr="00844022">
        <w:rPr>
          <w:sz w:val="16"/>
          <w:szCs w:val="16"/>
          <w:lang w:val="es-ES"/>
        </w:rPr>
        <w:t xml:space="preserve">. </w:t>
      </w:r>
      <w:r w:rsidRPr="00844022">
        <w:rPr>
          <w:sz w:val="16"/>
          <w:szCs w:val="16"/>
          <w:lang w:val="es-ES"/>
        </w:rPr>
        <w:t xml:space="preserve">Corte de Apelación de Trinidad y Tobago, </w:t>
      </w:r>
      <w:r w:rsidR="00000A53" w:rsidRPr="00844022">
        <w:rPr>
          <w:sz w:val="16"/>
          <w:szCs w:val="16"/>
          <w:lang w:val="es-ES"/>
        </w:rPr>
        <w:t xml:space="preserve">Curtis </w:t>
      </w:r>
      <w:proofErr w:type="spellStart"/>
      <w:r w:rsidR="00000A53" w:rsidRPr="00844022">
        <w:rPr>
          <w:sz w:val="16"/>
          <w:szCs w:val="16"/>
          <w:lang w:val="es-ES"/>
        </w:rPr>
        <w:t>Sirju</w:t>
      </w:r>
      <w:proofErr w:type="spellEnd"/>
      <w:r w:rsidR="00000A53" w:rsidRPr="00844022">
        <w:rPr>
          <w:sz w:val="16"/>
          <w:szCs w:val="16"/>
          <w:lang w:val="es-ES"/>
        </w:rPr>
        <w:t xml:space="preserve"> y </w:t>
      </w:r>
      <w:proofErr w:type="spellStart"/>
      <w:r w:rsidR="00000A53" w:rsidRPr="00844022">
        <w:rPr>
          <w:sz w:val="16"/>
          <w:szCs w:val="16"/>
          <w:lang w:val="es-ES"/>
        </w:rPr>
        <w:t>Reshi</w:t>
      </w:r>
      <w:proofErr w:type="spellEnd"/>
      <w:r w:rsidR="00000A53" w:rsidRPr="00844022">
        <w:rPr>
          <w:sz w:val="16"/>
          <w:szCs w:val="16"/>
          <w:lang w:val="es-ES"/>
        </w:rPr>
        <w:t xml:space="preserve"> </w:t>
      </w:r>
      <w:proofErr w:type="spellStart"/>
      <w:r w:rsidR="00000A53" w:rsidRPr="00844022">
        <w:rPr>
          <w:sz w:val="16"/>
          <w:szCs w:val="16"/>
          <w:lang w:val="es-ES"/>
        </w:rPr>
        <w:t>Bissoon</w:t>
      </w:r>
      <w:proofErr w:type="spellEnd"/>
      <w:r w:rsidR="00000A53" w:rsidRPr="00844022">
        <w:rPr>
          <w:sz w:val="16"/>
          <w:szCs w:val="16"/>
          <w:lang w:val="es-ES"/>
        </w:rPr>
        <w:t xml:space="preserve"> </w:t>
      </w:r>
      <w:r w:rsidR="000D6CB9" w:rsidRPr="00844022">
        <w:rPr>
          <w:sz w:val="16"/>
          <w:szCs w:val="16"/>
          <w:lang w:val="es-ES"/>
        </w:rPr>
        <w:t xml:space="preserve">y el Estado, </w:t>
      </w:r>
      <w:r w:rsidRPr="00844022">
        <w:rPr>
          <w:sz w:val="16"/>
          <w:szCs w:val="16"/>
          <w:lang w:val="es-ES"/>
        </w:rPr>
        <w:t>Sentencia de 26 de mayo de 2000 (expediente de prueba, folio 4).</w:t>
      </w:r>
    </w:p>
  </w:footnote>
  <w:footnote w:id="17">
    <w:p w14:paraId="0E5CAD48" w14:textId="3817880D" w:rsidR="00CC712B" w:rsidRPr="00844022" w:rsidRDefault="00CC712B"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de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Bisson</w:t>
      </w:r>
      <w:proofErr w:type="spellEnd"/>
      <w:r w:rsidRPr="00844022">
        <w:rPr>
          <w:sz w:val="16"/>
          <w:szCs w:val="16"/>
        </w:rPr>
        <w:t>, de 1 de diciembre de 1995 (expediente de prueba, folios 2875 a 2880).</w:t>
      </w:r>
    </w:p>
  </w:footnote>
  <w:footnote w:id="18">
    <w:p w14:paraId="06C0E6C1" w14:textId="20986556" w:rsidR="00E20981" w:rsidRPr="00844022" w:rsidRDefault="00E20981"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Alto Tribunal de Trinidad y Tobago, transcripción del juicio seguido contra Curtis </w:t>
      </w:r>
      <w:proofErr w:type="spellStart"/>
      <w:r w:rsidRPr="00844022">
        <w:rPr>
          <w:sz w:val="16"/>
          <w:szCs w:val="16"/>
        </w:rPr>
        <w:t>Sirjus</w:t>
      </w:r>
      <w:proofErr w:type="spellEnd"/>
      <w:r w:rsidRPr="00844022">
        <w:rPr>
          <w:sz w:val="16"/>
          <w:szCs w:val="16"/>
        </w:rPr>
        <w:t xml:space="preserve"> y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xml:space="preserve"> (expediente de prueba, folio 211</w:t>
      </w:r>
      <w:r w:rsidR="00A952E3" w:rsidRPr="00844022">
        <w:rPr>
          <w:sz w:val="16"/>
          <w:szCs w:val="16"/>
        </w:rPr>
        <w:t>7</w:t>
      </w:r>
      <w:r w:rsidRPr="00844022">
        <w:rPr>
          <w:sz w:val="16"/>
          <w:szCs w:val="16"/>
        </w:rPr>
        <w:t xml:space="preserve">). </w:t>
      </w:r>
    </w:p>
  </w:footnote>
  <w:footnote w:id="19">
    <w:p w14:paraId="7E49E8B1" w14:textId="31B38F48" w:rsidR="00E20981" w:rsidRPr="00844022" w:rsidRDefault="00E20981"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Alto Tribunal de Trinidad y Tobago, transcripción del juicio seguido contra Curtis </w:t>
      </w:r>
      <w:proofErr w:type="spellStart"/>
      <w:r w:rsidRPr="00844022">
        <w:rPr>
          <w:sz w:val="16"/>
          <w:szCs w:val="16"/>
        </w:rPr>
        <w:t>Sirjus</w:t>
      </w:r>
      <w:proofErr w:type="spellEnd"/>
      <w:r w:rsidRPr="00844022">
        <w:rPr>
          <w:sz w:val="16"/>
          <w:szCs w:val="16"/>
        </w:rPr>
        <w:t xml:space="preserve"> y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xml:space="preserve"> (expediente de prueba, folio 2804).</w:t>
      </w:r>
    </w:p>
  </w:footnote>
  <w:footnote w:id="20">
    <w:p w14:paraId="4B4096A8" w14:textId="2E1ADD5D" w:rsidR="00000A53" w:rsidRPr="00844022" w:rsidRDefault="00000A53"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lang w:val="es-ES"/>
        </w:rPr>
        <w:t>Cfr</w:t>
      </w:r>
      <w:r w:rsidRPr="00844022">
        <w:rPr>
          <w:sz w:val="16"/>
          <w:szCs w:val="16"/>
          <w:lang w:val="es-ES"/>
        </w:rPr>
        <w:t xml:space="preserve">. Corte de Apelación de Trinidad y Tobago, </w:t>
      </w:r>
      <w:r w:rsidR="000D6CB9" w:rsidRPr="00844022">
        <w:rPr>
          <w:sz w:val="16"/>
          <w:szCs w:val="16"/>
          <w:lang w:val="es-ES"/>
        </w:rPr>
        <w:t>F</w:t>
      </w:r>
      <w:r w:rsidR="00CC712B" w:rsidRPr="00844022">
        <w:rPr>
          <w:sz w:val="16"/>
          <w:szCs w:val="16"/>
          <w:lang w:val="es-ES"/>
        </w:rPr>
        <w:t>o</w:t>
      </w:r>
      <w:r w:rsidR="000D6CB9" w:rsidRPr="00844022">
        <w:rPr>
          <w:sz w:val="16"/>
          <w:szCs w:val="16"/>
          <w:lang w:val="es-ES"/>
        </w:rPr>
        <w:t xml:space="preserve">ster </w:t>
      </w:r>
      <w:proofErr w:type="spellStart"/>
      <w:r w:rsidR="000D6CB9" w:rsidRPr="00844022">
        <w:rPr>
          <w:sz w:val="16"/>
          <w:szCs w:val="16"/>
          <w:lang w:val="es-ES"/>
        </w:rPr>
        <w:t>Serrette</w:t>
      </w:r>
      <w:proofErr w:type="spellEnd"/>
      <w:r w:rsidR="000D6CB9" w:rsidRPr="00844022">
        <w:rPr>
          <w:sz w:val="16"/>
          <w:szCs w:val="16"/>
          <w:lang w:val="es-ES"/>
        </w:rPr>
        <w:t xml:space="preserve"> y el Estado, </w:t>
      </w:r>
      <w:r w:rsidRPr="00844022">
        <w:rPr>
          <w:sz w:val="16"/>
          <w:szCs w:val="16"/>
          <w:lang w:val="es-ES"/>
        </w:rPr>
        <w:t>Sentencia de 23 de enero de 2002 (expediente de prueba, folio 21).</w:t>
      </w:r>
    </w:p>
  </w:footnote>
  <w:footnote w:id="21">
    <w:p w14:paraId="607F8A62" w14:textId="2C85D2FC" w:rsidR="00CC712B" w:rsidRPr="00844022" w:rsidRDefault="00CC712B"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Alto Tribunal de Trinidad y Tobago, transcripción del juicio seguido contra Foster </w:t>
      </w:r>
      <w:proofErr w:type="spellStart"/>
      <w:r w:rsidRPr="00844022">
        <w:rPr>
          <w:sz w:val="16"/>
          <w:szCs w:val="16"/>
        </w:rPr>
        <w:t>Serrette</w:t>
      </w:r>
      <w:proofErr w:type="spellEnd"/>
      <w:r w:rsidRPr="00844022">
        <w:rPr>
          <w:sz w:val="16"/>
          <w:szCs w:val="16"/>
        </w:rPr>
        <w:t xml:space="preserve"> (expediente de prueba, folio 2895).</w:t>
      </w:r>
    </w:p>
  </w:footnote>
  <w:footnote w:id="22">
    <w:p w14:paraId="1506F76A" w14:textId="0C142EEB" w:rsidR="00CC712B" w:rsidRPr="00844022" w:rsidRDefault="00CC712B"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Alto Tribunal de Trinidad y Tobago, transcripción del juicio seguido contra Foster </w:t>
      </w:r>
      <w:proofErr w:type="spellStart"/>
      <w:r w:rsidRPr="00844022">
        <w:rPr>
          <w:sz w:val="16"/>
          <w:szCs w:val="16"/>
        </w:rPr>
        <w:t>Serrette</w:t>
      </w:r>
      <w:proofErr w:type="spellEnd"/>
      <w:r w:rsidRPr="00844022">
        <w:rPr>
          <w:sz w:val="16"/>
          <w:szCs w:val="16"/>
        </w:rPr>
        <w:t xml:space="preserve"> (expediente de prueba, folio </w:t>
      </w:r>
      <w:r w:rsidR="009B7924" w:rsidRPr="00844022">
        <w:rPr>
          <w:sz w:val="16"/>
          <w:szCs w:val="16"/>
        </w:rPr>
        <w:t>3017</w:t>
      </w:r>
      <w:r w:rsidRPr="00844022">
        <w:rPr>
          <w:sz w:val="16"/>
          <w:szCs w:val="16"/>
        </w:rPr>
        <w:t>).</w:t>
      </w:r>
    </w:p>
  </w:footnote>
  <w:footnote w:id="23">
    <w:p w14:paraId="6FB18FCE" w14:textId="791D6FDA" w:rsidR="00EC3451" w:rsidRPr="00844022" w:rsidRDefault="00C95B51" w:rsidP="00844022">
      <w:pPr>
        <w:pStyle w:val="Textonotapie"/>
        <w:spacing w:before="60" w:after="60"/>
        <w:rPr>
          <w:b/>
          <w:bCs/>
          <w:sz w:val="16"/>
          <w:szCs w:val="16"/>
          <w:highlight w:val="yellow"/>
          <w:lang w:val="es-ES"/>
        </w:rPr>
      </w:pPr>
      <w:r w:rsidRPr="00844022">
        <w:rPr>
          <w:rStyle w:val="Refdenotaalpie"/>
          <w:sz w:val="16"/>
          <w:szCs w:val="16"/>
        </w:rPr>
        <w:footnoteRef/>
      </w:r>
      <w:r w:rsidRPr="00844022">
        <w:rPr>
          <w:sz w:val="16"/>
          <w:szCs w:val="16"/>
        </w:rPr>
        <w:t xml:space="preserve"> </w:t>
      </w:r>
      <w:r w:rsidR="00E6304A" w:rsidRPr="00844022">
        <w:rPr>
          <w:sz w:val="16"/>
          <w:szCs w:val="16"/>
        </w:rPr>
        <w:tab/>
      </w:r>
      <w:r w:rsidRPr="00844022">
        <w:rPr>
          <w:sz w:val="16"/>
          <w:szCs w:val="16"/>
          <w:lang w:val="es-ES"/>
        </w:rPr>
        <w:t xml:space="preserve">En el marco de procedimientos constitucionales iniciados por ambos a raíz de la sentencia dictada por el Comité Judicial del Consejo Privado </w:t>
      </w:r>
      <w:r w:rsidR="00910C05" w:rsidRPr="00844022">
        <w:rPr>
          <w:sz w:val="16"/>
          <w:szCs w:val="16"/>
          <w:lang w:val="es-ES"/>
        </w:rPr>
        <w:t>(</w:t>
      </w:r>
      <w:r w:rsidR="00910C05" w:rsidRPr="00844022">
        <w:rPr>
          <w:i/>
          <w:iCs/>
          <w:sz w:val="16"/>
          <w:szCs w:val="16"/>
          <w:lang w:val="es-ES"/>
        </w:rPr>
        <w:t>Judicial Committee of the Privy Council</w:t>
      </w:r>
      <w:r w:rsidR="00910C05" w:rsidRPr="00844022">
        <w:rPr>
          <w:sz w:val="16"/>
          <w:szCs w:val="16"/>
          <w:lang w:val="es-ES"/>
        </w:rPr>
        <w:t xml:space="preserve">) </w:t>
      </w:r>
      <w:r w:rsidRPr="00844022">
        <w:rPr>
          <w:sz w:val="16"/>
          <w:szCs w:val="16"/>
          <w:lang w:val="es-ES"/>
        </w:rPr>
        <w:t xml:space="preserve">el 7 de julio de 2004 en el caso </w:t>
      </w:r>
      <w:r w:rsidRPr="00844022">
        <w:rPr>
          <w:i/>
          <w:sz w:val="16"/>
          <w:szCs w:val="16"/>
          <w:lang w:val="es-ES"/>
        </w:rPr>
        <w:t>Charles Matthew v. The State</w:t>
      </w:r>
      <w:r w:rsidR="00E6304A" w:rsidRPr="00844022">
        <w:rPr>
          <w:i/>
          <w:sz w:val="16"/>
          <w:szCs w:val="16"/>
          <w:lang w:val="es-ES"/>
        </w:rPr>
        <w:t xml:space="preserve"> </w:t>
      </w:r>
      <w:r w:rsidR="00E6304A" w:rsidRPr="00844022">
        <w:rPr>
          <w:sz w:val="16"/>
          <w:szCs w:val="16"/>
          <w:lang w:val="es-ES"/>
        </w:rPr>
        <w:t xml:space="preserve">en la que determinó que la imposición de la pena de muerte obligatoria era incompatible con la prohibición de castigo inhumano o degradante amparado por la Constitución de Trinidad y Tobago, el 15 de agosto de 2008 las condenas a pena de muerte de los señores </w:t>
      </w:r>
      <w:proofErr w:type="spellStart"/>
      <w:r w:rsidR="00E6304A" w:rsidRPr="00844022">
        <w:rPr>
          <w:sz w:val="16"/>
          <w:szCs w:val="16"/>
          <w:lang w:val="es-ES"/>
        </w:rPr>
        <w:t>Bissoon</w:t>
      </w:r>
      <w:proofErr w:type="spellEnd"/>
      <w:r w:rsidR="00E6304A" w:rsidRPr="00844022">
        <w:rPr>
          <w:sz w:val="16"/>
          <w:szCs w:val="16"/>
          <w:lang w:val="es-ES"/>
        </w:rPr>
        <w:t xml:space="preserve"> y </w:t>
      </w:r>
      <w:proofErr w:type="spellStart"/>
      <w:r w:rsidR="00E6304A" w:rsidRPr="00844022">
        <w:rPr>
          <w:sz w:val="16"/>
          <w:szCs w:val="16"/>
          <w:lang w:val="es-ES"/>
        </w:rPr>
        <w:t>Serrette</w:t>
      </w:r>
      <w:proofErr w:type="spellEnd"/>
      <w:r w:rsidR="00E6304A" w:rsidRPr="00844022">
        <w:rPr>
          <w:sz w:val="16"/>
          <w:szCs w:val="16"/>
          <w:lang w:val="es-ES"/>
        </w:rPr>
        <w:t xml:space="preserve"> fueron conmutadas por cadena perpetua. </w:t>
      </w:r>
      <w:r w:rsidR="00E6304A" w:rsidRPr="00844022">
        <w:rPr>
          <w:i/>
          <w:iCs/>
          <w:sz w:val="16"/>
          <w:szCs w:val="16"/>
          <w:lang w:val="es-ES"/>
        </w:rPr>
        <w:t>Cfr</w:t>
      </w:r>
      <w:r w:rsidR="00E6304A" w:rsidRPr="00844022">
        <w:rPr>
          <w:sz w:val="16"/>
          <w:szCs w:val="16"/>
          <w:lang w:val="es-ES"/>
        </w:rPr>
        <w:t xml:space="preserve">. </w:t>
      </w:r>
      <w:r w:rsidR="006E0E16" w:rsidRPr="00844022">
        <w:rPr>
          <w:sz w:val="16"/>
          <w:szCs w:val="16"/>
        </w:rPr>
        <w:t>Comité Judicial del Consejo Privado (</w:t>
      </w:r>
      <w:r w:rsidR="006E0E16" w:rsidRPr="00844022">
        <w:rPr>
          <w:i/>
          <w:iCs/>
          <w:sz w:val="16"/>
          <w:szCs w:val="16"/>
        </w:rPr>
        <w:t>Judicial Committee of the Privy Council</w:t>
      </w:r>
      <w:r w:rsidR="006E0E16" w:rsidRPr="00844022">
        <w:rPr>
          <w:sz w:val="16"/>
          <w:szCs w:val="16"/>
        </w:rPr>
        <w:t xml:space="preserve">), </w:t>
      </w:r>
      <w:r w:rsidR="006E0E16" w:rsidRPr="00844022">
        <w:rPr>
          <w:i/>
          <w:iCs/>
          <w:sz w:val="16"/>
          <w:szCs w:val="16"/>
          <w:lang w:val="es-ES"/>
        </w:rPr>
        <w:t>Charles Matthew v The State</w:t>
      </w:r>
      <w:r w:rsidR="006E0E16" w:rsidRPr="00844022">
        <w:rPr>
          <w:sz w:val="16"/>
          <w:szCs w:val="16"/>
          <w:lang w:val="es-ES"/>
        </w:rPr>
        <w:t xml:space="preserve"> (2004) 64 WIR 412, Sentencia de 7 de julio de 2004. Disponible en: </w:t>
      </w:r>
      <w:hyperlink r:id="rId3" w:history="1">
        <w:r w:rsidR="006E0E16" w:rsidRPr="00844022">
          <w:rPr>
            <w:rStyle w:val="Hipervnculo"/>
            <w:sz w:val="16"/>
            <w:szCs w:val="16"/>
            <w:lang w:val="es-ES"/>
          </w:rPr>
          <w:t>http://www.bailii.org/uk/cases/UKPC/2004/33.html</w:t>
        </w:r>
      </w:hyperlink>
      <w:r w:rsidR="004A2A2A" w:rsidRPr="00844022">
        <w:rPr>
          <w:sz w:val="16"/>
          <w:szCs w:val="16"/>
        </w:rPr>
        <w:t xml:space="preserve">. </w:t>
      </w:r>
      <w:r w:rsidR="00E6304A" w:rsidRPr="00844022">
        <w:rPr>
          <w:sz w:val="16"/>
          <w:szCs w:val="16"/>
        </w:rPr>
        <w:t xml:space="preserve">Ver también, </w:t>
      </w:r>
      <w:r w:rsidR="00E6304A" w:rsidRPr="00844022">
        <w:rPr>
          <w:sz w:val="16"/>
          <w:szCs w:val="16"/>
          <w:lang w:val="es-ES"/>
        </w:rPr>
        <w:t>Alto Tribunal de Justicia de Trinidad y Tobago, Decisión de 15 de agosto de 2008 (expediente de prueba, folios 1889 a 1891).</w:t>
      </w:r>
    </w:p>
  </w:footnote>
  <w:footnote w:id="24">
    <w:p w14:paraId="7913D4A6" w14:textId="77777777" w:rsidR="006E0E16" w:rsidRPr="00844022" w:rsidRDefault="006E0E16" w:rsidP="00844022">
      <w:pPr>
        <w:pStyle w:val="Textonotapie"/>
        <w:spacing w:before="60" w:after="60"/>
        <w:rPr>
          <w:b/>
          <w:bCs/>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lang w:val="es-ES"/>
        </w:rPr>
        <w:t>Cfr</w:t>
      </w:r>
      <w:r w:rsidRPr="00844022">
        <w:rPr>
          <w:sz w:val="16"/>
          <w:szCs w:val="16"/>
          <w:lang w:val="es-ES"/>
        </w:rPr>
        <w:t xml:space="preserve">. </w:t>
      </w:r>
      <w:r w:rsidRPr="00844022">
        <w:rPr>
          <w:sz w:val="16"/>
          <w:szCs w:val="16"/>
        </w:rPr>
        <w:t>Comité Judicial del Consejo Privado (</w:t>
      </w:r>
      <w:r w:rsidRPr="00844022">
        <w:rPr>
          <w:i/>
          <w:iCs/>
          <w:sz w:val="16"/>
          <w:szCs w:val="16"/>
        </w:rPr>
        <w:t>Judicial Committee of the Privy Council</w:t>
      </w:r>
      <w:r w:rsidRPr="00844022">
        <w:rPr>
          <w:sz w:val="16"/>
          <w:szCs w:val="16"/>
        </w:rPr>
        <w:t xml:space="preserve">), </w:t>
      </w:r>
      <w:r w:rsidRPr="00844022">
        <w:rPr>
          <w:i/>
          <w:iCs/>
          <w:sz w:val="16"/>
          <w:szCs w:val="16"/>
          <w:lang w:val="es-ES"/>
        </w:rPr>
        <w:t>Charles Matthew v The State</w:t>
      </w:r>
      <w:r w:rsidRPr="00844022">
        <w:rPr>
          <w:sz w:val="16"/>
          <w:szCs w:val="16"/>
          <w:lang w:val="es-ES"/>
        </w:rPr>
        <w:t xml:space="preserve"> (2004) 64 WIR 412, Sentencia de 7 de julio de 2004. Disponible en: </w:t>
      </w:r>
      <w:hyperlink r:id="rId4" w:history="1">
        <w:r w:rsidRPr="00844022">
          <w:rPr>
            <w:rStyle w:val="Hipervnculo"/>
            <w:sz w:val="16"/>
            <w:szCs w:val="16"/>
            <w:lang w:val="es-ES"/>
          </w:rPr>
          <w:t>http://www.bailii.org/uk/cases/UKPC/2004/33.html</w:t>
        </w:r>
      </w:hyperlink>
      <w:r w:rsidRPr="00844022">
        <w:rPr>
          <w:rStyle w:val="Hipervnculo"/>
          <w:b/>
          <w:bCs/>
          <w:sz w:val="16"/>
          <w:szCs w:val="16"/>
          <w:lang w:val="es-ES"/>
        </w:rPr>
        <w:t xml:space="preserve"> </w:t>
      </w:r>
    </w:p>
  </w:footnote>
  <w:footnote w:id="25">
    <w:p w14:paraId="65BBE184" w14:textId="77777777" w:rsidR="00910C05" w:rsidRPr="00844022" w:rsidRDefault="00910C05"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Traducción de la Secretaría de la Corte. El texto en inglés establece lo siguiente:</w:t>
      </w:r>
    </w:p>
    <w:p w14:paraId="73C769CE" w14:textId="77777777" w:rsidR="00910C05" w:rsidRPr="00844022" w:rsidRDefault="00910C05" w:rsidP="00844022">
      <w:pPr>
        <w:pStyle w:val="Textonotapie"/>
        <w:spacing w:before="60" w:after="60"/>
        <w:rPr>
          <w:rFonts w:eastAsia="Verdana" w:cs="Verdana"/>
          <w:sz w:val="16"/>
          <w:szCs w:val="16"/>
        </w:rPr>
      </w:pPr>
    </w:p>
    <w:p w14:paraId="4432F068" w14:textId="1D8AAB9F" w:rsidR="00910C05" w:rsidRPr="00844022" w:rsidRDefault="00910C05" w:rsidP="00844022">
      <w:pPr>
        <w:pStyle w:val="Textonotapie"/>
        <w:spacing w:before="60" w:after="60"/>
        <w:ind w:left="851" w:right="582"/>
        <w:rPr>
          <w:sz w:val="16"/>
          <w:szCs w:val="16"/>
          <w:lang w:val="en-US"/>
        </w:rPr>
      </w:pPr>
      <w:r w:rsidRPr="00844022">
        <w:rPr>
          <w:sz w:val="16"/>
          <w:szCs w:val="16"/>
          <w:lang w:val="en-US"/>
        </w:rPr>
        <w:t>The majority empathize with the inmates because we have to work in the same conditions in which they live. We have a duty to patrol these areas for hours…making periodic checks and walk the pathways that are sticky with filth […] The conditions are highly deplorable, unacceptable and pose a health hazard. It is not a lie when they say you have to sit on the pail or stand up and sleep. It is terrible and it really, really stinks. I won’t put my animals in there</w:t>
      </w:r>
      <w:r w:rsidR="00D72763" w:rsidRPr="00844022">
        <w:rPr>
          <w:sz w:val="16"/>
          <w:szCs w:val="16"/>
          <w:lang w:val="en-US"/>
        </w:rPr>
        <w:t>.</w:t>
      </w:r>
    </w:p>
    <w:p w14:paraId="713DA743" w14:textId="77777777" w:rsidR="00910C05" w:rsidRPr="00844022" w:rsidRDefault="00910C05" w:rsidP="00844022">
      <w:pPr>
        <w:pStyle w:val="Textonotapie"/>
        <w:spacing w:before="60" w:after="60"/>
        <w:rPr>
          <w:sz w:val="16"/>
          <w:szCs w:val="16"/>
          <w:lang w:val="en-US"/>
        </w:rPr>
      </w:pPr>
    </w:p>
    <w:p w14:paraId="65469B3E" w14:textId="00B9EB58" w:rsidR="00910C05" w:rsidRPr="00844022" w:rsidRDefault="00910C05" w:rsidP="00844022">
      <w:pPr>
        <w:pStyle w:val="Textonotapie"/>
        <w:spacing w:before="60" w:after="60"/>
        <w:rPr>
          <w:sz w:val="16"/>
          <w:szCs w:val="16"/>
          <w:lang w:val="es-ES"/>
        </w:rPr>
      </w:pPr>
      <w:r w:rsidRPr="00844022">
        <w:rPr>
          <w:i/>
          <w:iCs/>
          <w:sz w:val="16"/>
          <w:szCs w:val="16"/>
          <w:lang w:val="es-ES"/>
        </w:rPr>
        <w:t>Cfr</w:t>
      </w:r>
      <w:r w:rsidRPr="00844022">
        <w:rPr>
          <w:sz w:val="16"/>
          <w:szCs w:val="16"/>
          <w:lang w:val="es-ES"/>
        </w:rPr>
        <w:t xml:space="preserve">. </w:t>
      </w:r>
      <w:r w:rsidRPr="00844022">
        <w:rPr>
          <w:sz w:val="16"/>
          <w:szCs w:val="16"/>
        </w:rPr>
        <w:t xml:space="preserve">Petición actualizada ante la Comisión Interamericana de Derechos Humanos en nombre de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xml:space="preserve"> y Foster </w:t>
      </w:r>
      <w:proofErr w:type="spellStart"/>
      <w:r w:rsidRPr="00844022">
        <w:rPr>
          <w:sz w:val="16"/>
          <w:szCs w:val="16"/>
        </w:rPr>
        <w:t>Serrette</w:t>
      </w:r>
      <w:proofErr w:type="spellEnd"/>
      <w:r w:rsidRPr="00844022">
        <w:rPr>
          <w:sz w:val="16"/>
          <w:szCs w:val="16"/>
        </w:rPr>
        <w:t xml:space="preserve">, de 18 de abril de 2008, </w:t>
      </w:r>
      <w:r w:rsidRPr="00844022">
        <w:rPr>
          <w:sz w:val="16"/>
          <w:szCs w:val="16"/>
          <w:lang w:val="es-ES"/>
        </w:rPr>
        <w:t xml:space="preserve">párr. 78 (expediente de prueba, folio 1773). Ver también, </w:t>
      </w:r>
      <w:r w:rsidR="00590796" w:rsidRPr="00844022">
        <w:rPr>
          <w:sz w:val="16"/>
          <w:szCs w:val="16"/>
          <w:lang w:val="es-ES"/>
        </w:rPr>
        <w:t>Organización de Naciones Unidas</w:t>
      </w:r>
      <w:r w:rsidRPr="00844022">
        <w:rPr>
          <w:sz w:val="16"/>
          <w:szCs w:val="16"/>
          <w:lang w:val="es-ES"/>
        </w:rPr>
        <w:t xml:space="preserve">, Comité de Derechos Humanos, </w:t>
      </w:r>
      <w:r w:rsidRPr="00844022">
        <w:rPr>
          <w:i/>
          <w:iCs/>
          <w:sz w:val="16"/>
          <w:szCs w:val="16"/>
          <w:lang w:val="es-ES"/>
        </w:rPr>
        <w:t>Evans c</w:t>
      </w:r>
      <w:r w:rsidR="00315572" w:rsidRPr="00844022">
        <w:rPr>
          <w:i/>
          <w:iCs/>
          <w:sz w:val="16"/>
          <w:szCs w:val="16"/>
          <w:lang w:val="es-ES"/>
        </w:rPr>
        <w:t>ontra</w:t>
      </w:r>
      <w:r w:rsidRPr="00844022">
        <w:rPr>
          <w:i/>
          <w:iCs/>
          <w:sz w:val="16"/>
          <w:szCs w:val="16"/>
          <w:lang w:val="es-ES"/>
        </w:rPr>
        <w:t xml:space="preserve"> Trinidad y Tobago</w:t>
      </w:r>
      <w:r w:rsidRPr="00844022">
        <w:rPr>
          <w:sz w:val="16"/>
          <w:szCs w:val="16"/>
          <w:lang w:val="es-ES"/>
        </w:rPr>
        <w:t>, Comunicación No. 908/2000, Dictamen de 21 de marzo de 2003, CCPR/C/77/D/908/2000, párr. 2.</w:t>
      </w:r>
    </w:p>
  </w:footnote>
  <w:footnote w:id="26">
    <w:p w14:paraId="36DFAB45" w14:textId="2D200112" w:rsidR="000B0010" w:rsidRPr="00844022" w:rsidRDefault="000B0010" w:rsidP="00844022">
      <w:pPr>
        <w:widowControl/>
        <w:adjustRightInd/>
        <w:spacing w:before="60" w:after="60" w:line="240" w:lineRule="auto"/>
        <w:textAlignment w:val="auto"/>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lang w:val="es-ES"/>
        </w:rPr>
        <w:tab/>
      </w:r>
      <w:bookmarkStart w:id="39" w:name="_Hlk96956777"/>
      <w:r w:rsidRPr="00844022">
        <w:rPr>
          <w:sz w:val="16"/>
          <w:szCs w:val="16"/>
          <w:lang w:val="es-ES"/>
        </w:rPr>
        <w:t xml:space="preserve">Artículos </w:t>
      </w:r>
      <w:r w:rsidR="00045F68" w:rsidRPr="00844022">
        <w:rPr>
          <w:sz w:val="16"/>
          <w:szCs w:val="16"/>
          <w:lang w:val="es-ES"/>
        </w:rPr>
        <w:t>5</w:t>
      </w:r>
      <w:r w:rsidR="00D27197" w:rsidRPr="00844022">
        <w:rPr>
          <w:sz w:val="16"/>
          <w:szCs w:val="16"/>
          <w:lang w:val="es-ES"/>
        </w:rPr>
        <w:t xml:space="preserve">, </w:t>
      </w:r>
      <w:r w:rsidR="00045F68" w:rsidRPr="00844022">
        <w:rPr>
          <w:sz w:val="16"/>
          <w:szCs w:val="16"/>
          <w:lang w:val="es-ES"/>
        </w:rPr>
        <w:t>7</w:t>
      </w:r>
      <w:r w:rsidR="00D27197" w:rsidRPr="00844022">
        <w:rPr>
          <w:sz w:val="16"/>
          <w:szCs w:val="16"/>
          <w:lang w:val="es-ES"/>
        </w:rPr>
        <w:t>, 8 y 25</w:t>
      </w:r>
      <w:r w:rsidR="004256DE" w:rsidRPr="00844022">
        <w:rPr>
          <w:sz w:val="16"/>
          <w:szCs w:val="16"/>
          <w:lang w:val="es-ES"/>
        </w:rPr>
        <w:t xml:space="preserve"> </w:t>
      </w:r>
      <w:r w:rsidRPr="00844022">
        <w:rPr>
          <w:sz w:val="16"/>
          <w:szCs w:val="16"/>
          <w:lang w:val="es-ES"/>
        </w:rPr>
        <w:t>de la Convención Americana sobre Derechos Humanos.</w:t>
      </w:r>
      <w:bookmarkEnd w:id="39"/>
    </w:p>
  </w:footnote>
  <w:footnote w:id="27">
    <w:p w14:paraId="25C786A5" w14:textId="2B50CA4B" w:rsidR="00682150" w:rsidRPr="00844022" w:rsidRDefault="00682150"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00C842FB" w:rsidRPr="00844022">
        <w:rPr>
          <w:i/>
          <w:iCs/>
          <w:sz w:val="16"/>
          <w:szCs w:val="16"/>
        </w:rPr>
        <w:t>Cfr</w:t>
      </w:r>
      <w:r w:rsidR="00C842FB" w:rsidRPr="00844022">
        <w:rPr>
          <w:sz w:val="16"/>
          <w:szCs w:val="16"/>
        </w:rPr>
        <w:t xml:space="preserve">. </w:t>
      </w:r>
      <w:r w:rsidRPr="00844022">
        <w:rPr>
          <w:sz w:val="16"/>
          <w:szCs w:val="16"/>
        </w:rPr>
        <w:t>Informe de Fondo no.</w:t>
      </w:r>
      <w:r w:rsidR="002525E8" w:rsidRPr="00844022">
        <w:rPr>
          <w:sz w:val="16"/>
          <w:szCs w:val="16"/>
        </w:rPr>
        <w:t xml:space="preserve"> 398/20</w:t>
      </w:r>
      <w:r w:rsidRPr="00844022">
        <w:rPr>
          <w:sz w:val="16"/>
          <w:szCs w:val="16"/>
        </w:rPr>
        <w:t xml:space="preserve">, </w:t>
      </w:r>
      <w:r w:rsidR="002525E8" w:rsidRPr="00844022">
        <w:rPr>
          <w:sz w:val="16"/>
          <w:szCs w:val="16"/>
        </w:rPr>
        <w:t xml:space="preserve">caso 12.740, </w:t>
      </w:r>
      <w:proofErr w:type="spellStart"/>
      <w:r w:rsidR="002525E8" w:rsidRPr="00844022">
        <w:rPr>
          <w:sz w:val="16"/>
          <w:szCs w:val="16"/>
        </w:rPr>
        <w:t>Reshi</w:t>
      </w:r>
      <w:proofErr w:type="spellEnd"/>
      <w:r w:rsidR="002525E8" w:rsidRPr="00844022">
        <w:rPr>
          <w:sz w:val="16"/>
          <w:szCs w:val="16"/>
        </w:rPr>
        <w:t xml:space="preserve"> </w:t>
      </w:r>
      <w:proofErr w:type="spellStart"/>
      <w:r w:rsidR="002525E8" w:rsidRPr="00844022">
        <w:rPr>
          <w:sz w:val="16"/>
          <w:szCs w:val="16"/>
        </w:rPr>
        <w:t>Bissoon</w:t>
      </w:r>
      <w:proofErr w:type="spellEnd"/>
      <w:r w:rsidR="002525E8" w:rsidRPr="00844022">
        <w:rPr>
          <w:sz w:val="16"/>
          <w:szCs w:val="16"/>
        </w:rPr>
        <w:t xml:space="preserve"> y Foster </w:t>
      </w:r>
      <w:proofErr w:type="spellStart"/>
      <w:r w:rsidR="002525E8" w:rsidRPr="00844022">
        <w:rPr>
          <w:sz w:val="16"/>
          <w:szCs w:val="16"/>
        </w:rPr>
        <w:t>Serrette</w:t>
      </w:r>
      <w:proofErr w:type="spellEnd"/>
      <w:r w:rsidR="002525E8" w:rsidRPr="00844022">
        <w:rPr>
          <w:sz w:val="16"/>
          <w:szCs w:val="16"/>
        </w:rPr>
        <w:t xml:space="preserve"> respecto de Trinidad y Tobago, de 21 de diciembre de 2020, OEA/Ser.L/V/II, </w:t>
      </w:r>
      <w:r w:rsidRPr="00844022">
        <w:rPr>
          <w:sz w:val="16"/>
          <w:szCs w:val="16"/>
        </w:rPr>
        <w:t xml:space="preserve">párr. </w:t>
      </w:r>
      <w:r w:rsidR="002525E8" w:rsidRPr="00844022">
        <w:rPr>
          <w:sz w:val="16"/>
          <w:szCs w:val="16"/>
        </w:rPr>
        <w:t>75 (expediente de fondo, folio 27).</w:t>
      </w:r>
    </w:p>
  </w:footnote>
  <w:footnote w:id="28">
    <w:p w14:paraId="37FA702A" w14:textId="2A5E00AF" w:rsidR="003C4D9C" w:rsidRPr="00844022" w:rsidRDefault="003C4D9C"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sz w:val="16"/>
          <w:szCs w:val="16"/>
          <w:lang w:val="es-ES"/>
        </w:rPr>
        <w:t xml:space="preserve">En lo que respecta a las alegadas violaciones a las garantías judiciales que habrían tenido en los momentos inmediatamente posteriores a la detención del señor </w:t>
      </w:r>
      <w:proofErr w:type="spellStart"/>
      <w:r w:rsidRPr="00844022">
        <w:rPr>
          <w:sz w:val="16"/>
          <w:szCs w:val="16"/>
          <w:lang w:val="es-ES"/>
        </w:rPr>
        <w:t>Bissoon</w:t>
      </w:r>
      <w:proofErr w:type="spellEnd"/>
      <w:r w:rsidRPr="00844022">
        <w:rPr>
          <w:sz w:val="16"/>
          <w:szCs w:val="16"/>
          <w:lang w:val="es-ES"/>
        </w:rPr>
        <w:t xml:space="preserve"> (y que sí entrarían dentro de la competencia temporal de este Tribunal), la Corte considera que no ha sido proveída de prueba suficiente que acredite lo alegado</w:t>
      </w:r>
      <w:r w:rsidR="00704488" w:rsidRPr="00844022">
        <w:rPr>
          <w:sz w:val="16"/>
          <w:szCs w:val="16"/>
          <w:lang w:val="es-ES"/>
        </w:rPr>
        <w:t>.</w:t>
      </w:r>
    </w:p>
  </w:footnote>
  <w:footnote w:id="29">
    <w:p w14:paraId="61ABEDA5" w14:textId="77777777" w:rsidR="002E1F94" w:rsidRPr="00844022" w:rsidRDefault="002E1F94"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lang w:val="es-ES"/>
        </w:rPr>
        <w:tab/>
      </w:r>
      <w:r w:rsidRPr="00844022">
        <w:rPr>
          <w:i/>
          <w:iCs/>
          <w:sz w:val="16"/>
          <w:szCs w:val="16"/>
          <w:lang w:val="es-ES"/>
        </w:rPr>
        <w:t>Cfr</w:t>
      </w:r>
      <w:r w:rsidRPr="00844022">
        <w:rPr>
          <w:sz w:val="16"/>
          <w:szCs w:val="16"/>
          <w:lang w:val="es-ES"/>
        </w:rPr>
        <w:t xml:space="preserve">. </w:t>
      </w:r>
      <w:r w:rsidRPr="00844022">
        <w:rPr>
          <w:i/>
          <w:iCs/>
          <w:sz w:val="16"/>
          <w:szCs w:val="16"/>
          <w:lang w:val="es-ES"/>
        </w:rPr>
        <w:t xml:space="preserve">mutatis mutandis, </w:t>
      </w:r>
      <w:r w:rsidRPr="00844022">
        <w:rPr>
          <w:i/>
          <w:iCs/>
          <w:sz w:val="16"/>
          <w:szCs w:val="16"/>
        </w:rPr>
        <w:t xml:space="preserve">Caso </w:t>
      </w:r>
      <w:proofErr w:type="spellStart"/>
      <w:r w:rsidRPr="00844022">
        <w:rPr>
          <w:i/>
          <w:iCs/>
          <w:sz w:val="16"/>
          <w:szCs w:val="16"/>
        </w:rPr>
        <w:t>Amrhein</w:t>
      </w:r>
      <w:proofErr w:type="spellEnd"/>
      <w:r w:rsidRPr="00844022">
        <w:rPr>
          <w:i/>
          <w:iCs/>
          <w:sz w:val="16"/>
          <w:szCs w:val="16"/>
        </w:rPr>
        <w:t xml:space="preserve"> y otros Vs. Costa Rica. Excepciones Preliminares, Fondo, Reparaciones y Costas</w:t>
      </w:r>
      <w:r w:rsidRPr="00844022">
        <w:rPr>
          <w:sz w:val="16"/>
          <w:szCs w:val="16"/>
        </w:rPr>
        <w:t>. Sentencia de 25 de abril de 2018. Serie C No. 354 párrs. 359 a 369 y 419.</w:t>
      </w:r>
    </w:p>
  </w:footnote>
  <w:footnote w:id="30">
    <w:p w14:paraId="1BC8C37C" w14:textId="0458C2AD" w:rsidR="002E1F94" w:rsidRPr="00844022" w:rsidRDefault="002E1F94" w:rsidP="00844022">
      <w:pPr>
        <w:pStyle w:val="Textonotapie1"/>
        <w:spacing w:before="60" w:after="60"/>
        <w:jc w:val="both"/>
        <w:rPr>
          <w:rFonts w:ascii="Verdana" w:hAnsi="Verdana"/>
          <w:sz w:val="16"/>
          <w:szCs w:val="16"/>
        </w:rPr>
      </w:pPr>
      <w:r w:rsidRPr="00844022">
        <w:rPr>
          <w:rFonts w:ascii="Verdana" w:hAnsi="Verdana"/>
          <w:sz w:val="16"/>
          <w:szCs w:val="16"/>
        </w:rPr>
        <w:t xml:space="preserve"> </w:t>
      </w:r>
      <w:r w:rsidRPr="00844022">
        <w:rPr>
          <w:rStyle w:val="Refdenotaalpie"/>
          <w:rFonts w:ascii="Verdana" w:eastAsia="MS Mincho" w:hAnsi="Verdana"/>
          <w:sz w:val="16"/>
          <w:szCs w:val="16"/>
        </w:rPr>
        <w:footnoteRef/>
      </w:r>
      <w:r w:rsidRPr="00844022">
        <w:rPr>
          <w:rFonts w:ascii="Verdana" w:hAnsi="Verdana"/>
          <w:sz w:val="16"/>
          <w:szCs w:val="16"/>
        </w:rPr>
        <w:t xml:space="preserve"> </w:t>
      </w:r>
      <w:r w:rsidRPr="00844022">
        <w:rPr>
          <w:rFonts w:ascii="Verdana" w:hAnsi="Verdana"/>
          <w:sz w:val="16"/>
          <w:szCs w:val="16"/>
        </w:rPr>
        <w:tab/>
      </w:r>
      <w:r w:rsidRPr="00844022">
        <w:rPr>
          <w:rFonts w:ascii="Verdana" w:hAnsi="Verdana"/>
          <w:i/>
          <w:sz w:val="16"/>
          <w:szCs w:val="16"/>
        </w:rPr>
        <w:t>Cfr. Caso Suárez Rosero</w:t>
      </w:r>
      <w:r w:rsidRPr="00844022">
        <w:rPr>
          <w:rFonts w:ascii="Verdana" w:hAnsi="Verdana"/>
          <w:sz w:val="16"/>
          <w:szCs w:val="16"/>
        </w:rPr>
        <w:t xml:space="preserve">. </w:t>
      </w:r>
      <w:r w:rsidR="002C71F8" w:rsidRPr="00844022">
        <w:rPr>
          <w:rFonts w:ascii="Verdana" w:hAnsi="Verdana"/>
          <w:i/>
          <w:iCs/>
          <w:sz w:val="16"/>
          <w:szCs w:val="16"/>
        </w:rPr>
        <w:t>Fondo</w:t>
      </w:r>
      <w:r w:rsidR="002C71F8" w:rsidRPr="00844022">
        <w:rPr>
          <w:rFonts w:ascii="Verdana" w:hAnsi="Verdana"/>
          <w:sz w:val="16"/>
          <w:szCs w:val="16"/>
        </w:rPr>
        <w:t xml:space="preserve">. </w:t>
      </w:r>
      <w:r w:rsidRPr="00844022">
        <w:rPr>
          <w:rFonts w:ascii="Verdana" w:hAnsi="Verdana"/>
          <w:sz w:val="16"/>
          <w:szCs w:val="16"/>
        </w:rPr>
        <w:t xml:space="preserve">Sentencia de 12 de noviembre de 1997. Serie C No. 35, párr. 77, y </w:t>
      </w:r>
      <w:r w:rsidRPr="00844022">
        <w:rPr>
          <w:rFonts w:ascii="Verdana" w:hAnsi="Verdana"/>
          <w:i/>
          <w:iCs/>
          <w:sz w:val="16"/>
          <w:szCs w:val="16"/>
        </w:rPr>
        <w:t>Caso "Instituto de Reeducación del Menor" Vs. Paraguay. Excepciones Preliminares, Fondo, Reparaciones y Costas.</w:t>
      </w:r>
      <w:r w:rsidRPr="00844022">
        <w:rPr>
          <w:rFonts w:ascii="Verdana" w:hAnsi="Verdana"/>
          <w:sz w:val="16"/>
          <w:szCs w:val="16"/>
        </w:rPr>
        <w:t xml:space="preserve"> Sentencia de 2 de septiembre de 2004. Serie C No. 112, párr. 228.</w:t>
      </w:r>
    </w:p>
  </w:footnote>
  <w:footnote w:id="31">
    <w:p w14:paraId="00003F26" w14:textId="77777777" w:rsidR="002E1F94" w:rsidRPr="00844022" w:rsidRDefault="002E1F94" w:rsidP="00844022">
      <w:pPr>
        <w:pStyle w:val="Textonotapie1"/>
        <w:spacing w:before="60" w:after="60"/>
        <w:jc w:val="both"/>
        <w:rPr>
          <w:rFonts w:ascii="Verdana" w:hAnsi="Verdana"/>
          <w:sz w:val="16"/>
          <w:szCs w:val="16"/>
        </w:rPr>
      </w:pPr>
      <w:r w:rsidRPr="00844022">
        <w:rPr>
          <w:rStyle w:val="Refdenotaalpie"/>
          <w:rFonts w:ascii="Verdana" w:eastAsia="MS Mincho" w:hAnsi="Verdana"/>
          <w:sz w:val="16"/>
          <w:szCs w:val="16"/>
        </w:rPr>
        <w:footnoteRef/>
      </w:r>
      <w:r w:rsidRPr="00844022">
        <w:rPr>
          <w:rFonts w:ascii="Verdana" w:hAnsi="Verdana"/>
          <w:sz w:val="16"/>
          <w:szCs w:val="16"/>
        </w:rPr>
        <w:t xml:space="preserve"> </w:t>
      </w:r>
      <w:r w:rsidRPr="00844022">
        <w:rPr>
          <w:rFonts w:ascii="Verdana" w:hAnsi="Verdana"/>
          <w:sz w:val="16"/>
          <w:szCs w:val="16"/>
        </w:rPr>
        <w:tab/>
      </w:r>
      <w:r w:rsidRPr="00844022">
        <w:rPr>
          <w:rFonts w:ascii="Verdana" w:hAnsi="Verdana"/>
          <w:i/>
          <w:sz w:val="16"/>
          <w:szCs w:val="16"/>
        </w:rPr>
        <w:t>Cfr. Caso Suárez Rosero</w:t>
      </w:r>
      <w:r w:rsidRPr="00844022">
        <w:rPr>
          <w:rFonts w:ascii="Verdana" w:hAnsi="Verdana"/>
          <w:sz w:val="16"/>
          <w:szCs w:val="16"/>
        </w:rPr>
        <w:t xml:space="preserve">, </w:t>
      </w:r>
      <w:r w:rsidRPr="00844022">
        <w:rPr>
          <w:rFonts w:ascii="Verdana" w:hAnsi="Verdana"/>
          <w:i/>
          <w:sz w:val="16"/>
          <w:szCs w:val="16"/>
        </w:rPr>
        <w:t xml:space="preserve">supra </w:t>
      </w:r>
      <w:r w:rsidRPr="00844022">
        <w:rPr>
          <w:rFonts w:ascii="Verdana" w:hAnsi="Verdana"/>
          <w:sz w:val="16"/>
          <w:szCs w:val="16"/>
        </w:rPr>
        <w:t xml:space="preserve">nota 190, párr. 77, y </w:t>
      </w:r>
      <w:r w:rsidRPr="00844022">
        <w:rPr>
          <w:rFonts w:ascii="Verdana" w:hAnsi="Verdana"/>
          <w:i/>
          <w:iCs/>
          <w:sz w:val="16"/>
          <w:szCs w:val="16"/>
        </w:rPr>
        <w:t>Caso "Instituto de Reeducación del Menor" Vs. Paraguay.</w:t>
      </w:r>
      <w:r w:rsidRPr="00844022">
        <w:rPr>
          <w:rFonts w:ascii="Verdana" w:hAnsi="Verdana"/>
          <w:sz w:val="16"/>
          <w:szCs w:val="16"/>
        </w:rPr>
        <w:t xml:space="preserve"> </w:t>
      </w:r>
      <w:r w:rsidRPr="00844022">
        <w:rPr>
          <w:rFonts w:ascii="Verdana" w:hAnsi="Verdana"/>
          <w:i/>
          <w:iCs/>
          <w:sz w:val="16"/>
          <w:szCs w:val="16"/>
        </w:rPr>
        <w:t>Excepciones Preliminares, Fondo, Reparaciones y Costas</w:t>
      </w:r>
      <w:r w:rsidRPr="00844022">
        <w:rPr>
          <w:rFonts w:ascii="Verdana" w:hAnsi="Verdana"/>
          <w:sz w:val="16"/>
          <w:szCs w:val="16"/>
        </w:rPr>
        <w:t xml:space="preserve">. Sentencia de 2 de septiembre de 2004. Serie C No. 112, párr. 229. En el mismo sentido, </w:t>
      </w:r>
      <w:r w:rsidRPr="00844022">
        <w:rPr>
          <w:rFonts w:ascii="Verdana" w:hAnsi="Verdana"/>
          <w:i/>
          <w:sz w:val="16"/>
          <w:szCs w:val="16"/>
        </w:rPr>
        <w:t>cfr.</w:t>
      </w:r>
      <w:r w:rsidRPr="00844022">
        <w:rPr>
          <w:rFonts w:ascii="Verdana" w:hAnsi="Verdana"/>
          <w:sz w:val="16"/>
          <w:szCs w:val="16"/>
        </w:rPr>
        <w:t xml:space="preserve"> Regla 13.2 de las Reglas Mínimas de las Naciones Unidas para la Administración de la Justicia de Menores (Reglas de Beijing), adoptadas por la Asamblea General en su resolución 40/33 de 28 de noviembre de 1985; y Regla 17 de las Reglas de las Naciones Unidas para la Protección de los Menores Privados de Libertad, adoptadas por la Asamblea General en su resolución 45/113 de 14 de diciembre de 1990.</w:t>
      </w:r>
    </w:p>
  </w:footnote>
  <w:footnote w:id="32">
    <w:p w14:paraId="248332C7" w14:textId="3939848F" w:rsidR="002E1F94" w:rsidRPr="00844022" w:rsidRDefault="002E1F94"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w:t>
      </w:r>
      <w:r w:rsidRPr="00844022">
        <w:rPr>
          <w:rStyle w:val="markedcontent"/>
          <w:rFonts w:eastAsia="MS Mincho"/>
          <w:i/>
          <w:iCs/>
          <w:sz w:val="16"/>
          <w:szCs w:val="16"/>
        </w:rPr>
        <w:t xml:space="preserve">Caso </w:t>
      </w:r>
      <w:proofErr w:type="spellStart"/>
      <w:r w:rsidRPr="00844022">
        <w:rPr>
          <w:rStyle w:val="markedcontent"/>
          <w:rFonts w:eastAsia="MS Mincho"/>
          <w:i/>
          <w:iCs/>
          <w:sz w:val="16"/>
          <w:szCs w:val="16"/>
        </w:rPr>
        <w:t>Amrhein</w:t>
      </w:r>
      <w:proofErr w:type="spellEnd"/>
      <w:r w:rsidRPr="00844022">
        <w:rPr>
          <w:rStyle w:val="markedcontent"/>
          <w:rFonts w:eastAsia="MS Mincho"/>
          <w:i/>
          <w:iCs/>
          <w:sz w:val="16"/>
          <w:szCs w:val="16"/>
        </w:rPr>
        <w:t xml:space="preserve"> y otros Vs. Costa Rica. Excepciones Preliminares, Fondo,</w:t>
      </w:r>
      <w:r w:rsidR="00AD0776" w:rsidRPr="00844022">
        <w:rPr>
          <w:rStyle w:val="markedcontent"/>
          <w:rFonts w:eastAsia="MS Mincho"/>
          <w:i/>
          <w:iCs/>
          <w:sz w:val="16"/>
          <w:szCs w:val="16"/>
        </w:rPr>
        <w:t xml:space="preserve"> </w:t>
      </w:r>
      <w:r w:rsidRPr="00844022">
        <w:rPr>
          <w:rStyle w:val="markedcontent"/>
          <w:rFonts w:eastAsia="MS Mincho"/>
          <w:i/>
          <w:iCs/>
          <w:sz w:val="16"/>
          <w:szCs w:val="16"/>
        </w:rPr>
        <w:t>Reparaciones y Costas</w:t>
      </w:r>
      <w:r w:rsidRPr="00844022">
        <w:rPr>
          <w:rStyle w:val="markedcontent"/>
          <w:rFonts w:eastAsia="MS Mincho"/>
          <w:sz w:val="16"/>
          <w:szCs w:val="16"/>
        </w:rPr>
        <w:t>. Sentencia de 25 de abril de 2018. Serie C No. 354</w:t>
      </w:r>
      <w:r w:rsidR="00D25C12" w:rsidRPr="00844022">
        <w:rPr>
          <w:rStyle w:val="markedcontent"/>
          <w:rFonts w:eastAsia="MS Mincho"/>
          <w:i/>
          <w:iCs/>
          <w:sz w:val="16"/>
          <w:szCs w:val="16"/>
        </w:rPr>
        <w:t xml:space="preserve">, </w:t>
      </w:r>
      <w:r w:rsidRPr="00844022">
        <w:rPr>
          <w:rStyle w:val="markedcontent"/>
          <w:rFonts w:eastAsia="MS Mincho"/>
          <w:sz w:val="16"/>
          <w:szCs w:val="16"/>
        </w:rPr>
        <w:t>párr. 362</w:t>
      </w:r>
    </w:p>
  </w:footnote>
  <w:footnote w:id="33">
    <w:p w14:paraId="054F68CC" w14:textId="09CD30D2" w:rsidR="002E1F94" w:rsidRPr="00844022" w:rsidRDefault="002E1F94"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t xml:space="preserve">A este respecto, el Comité de Derechos Humanos de la </w:t>
      </w:r>
      <w:r w:rsidR="00806E14" w:rsidRPr="00844022">
        <w:rPr>
          <w:sz w:val="16"/>
          <w:szCs w:val="16"/>
        </w:rPr>
        <w:t xml:space="preserve">Organización de Naciones Unidas </w:t>
      </w:r>
      <w:r w:rsidRPr="00844022">
        <w:rPr>
          <w:sz w:val="16"/>
          <w:szCs w:val="16"/>
        </w:rPr>
        <w:t xml:space="preserve">ha señalado que “[en] casos que entrañan graves acusaciones como homicidio o asesinato, y en que el tribunal niega al acusado la libertad bajo fianza, el acusado debe ser juzgado lo más rápidamente posible”. </w:t>
      </w:r>
      <w:r w:rsidRPr="00844022">
        <w:rPr>
          <w:i/>
          <w:iCs/>
          <w:sz w:val="16"/>
          <w:szCs w:val="16"/>
        </w:rPr>
        <w:t>Cfr</w:t>
      </w:r>
      <w:r w:rsidRPr="00844022">
        <w:rPr>
          <w:sz w:val="16"/>
          <w:szCs w:val="16"/>
        </w:rPr>
        <w:t xml:space="preserve">. </w:t>
      </w:r>
      <w:r w:rsidRPr="00844022">
        <w:rPr>
          <w:sz w:val="16"/>
          <w:szCs w:val="16"/>
          <w:lang w:val="es-ES"/>
        </w:rPr>
        <w:t xml:space="preserve">Comité de Derechos Humanos de la </w:t>
      </w:r>
      <w:r w:rsidR="00994610" w:rsidRPr="00844022">
        <w:rPr>
          <w:sz w:val="16"/>
          <w:szCs w:val="16"/>
          <w:lang w:val="es-ES"/>
        </w:rPr>
        <w:t>Organización de Naciones Unidas</w:t>
      </w:r>
      <w:r w:rsidRPr="00844022">
        <w:rPr>
          <w:sz w:val="16"/>
          <w:szCs w:val="16"/>
          <w:lang w:val="es-ES"/>
        </w:rPr>
        <w:t xml:space="preserve">, Comunicación no. 818/1998, Dictamen de 1 de agosto de 2001, CCPR/C/72/D/818/1998, párr. 7.2; </w:t>
      </w:r>
      <w:r w:rsidRPr="00844022">
        <w:rPr>
          <w:i/>
          <w:iCs/>
          <w:sz w:val="16"/>
          <w:szCs w:val="16"/>
          <w:lang w:val="es-ES"/>
        </w:rPr>
        <w:t xml:space="preserve">Mr. Glenroy Francis et al. </w:t>
      </w:r>
      <w:r w:rsidR="003C6A55" w:rsidRPr="00844022">
        <w:rPr>
          <w:i/>
          <w:iCs/>
          <w:sz w:val="16"/>
          <w:szCs w:val="16"/>
          <w:lang w:val="es-ES"/>
        </w:rPr>
        <w:t>c.</w:t>
      </w:r>
      <w:r w:rsidRPr="00844022">
        <w:rPr>
          <w:i/>
          <w:iCs/>
          <w:sz w:val="16"/>
          <w:szCs w:val="16"/>
          <w:lang w:val="es-ES"/>
        </w:rPr>
        <w:t xml:space="preserve"> Trinidad and Tobago</w:t>
      </w:r>
      <w:r w:rsidRPr="00844022">
        <w:rPr>
          <w:sz w:val="16"/>
          <w:szCs w:val="16"/>
          <w:lang w:val="es-ES"/>
        </w:rPr>
        <w:t xml:space="preserve">, Dictamen, Comunicación no. 899/1999, Dictamen de 25 de julio de 2002, A/57/40 at 206 (2002), párr. 5.4, y Barroso </w:t>
      </w:r>
      <w:r w:rsidR="003C6A55" w:rsidRPr="00844022">
        <w:rPr>
          <w:sz w:val="16"/>
          <w:szCs w:val="16"/>
          <w:lang w:val="es-ES"/>
        </w:rPr>
        <w:t>c.</w:t>
      </w:r>
      <w:r w:rsidRPr="00844022">
        <w:rPr>
          <w:sz w:val="16"/>
          <w:szCs w:val="16"/>
          <w:lang w:val="es-ES"/>
        </w:rPr>
        <w:t xml:space="preserve"> </w:t>
      </w:r>
      <w:r w:rsidR="00772F78" w:rsidRPr="00844022">
        <w:rPr>
          <w:sz w:val="16"/>
          <w:szCs w:val="16"/>
          <w:lang w:val="es-ES"/>
        </w:rPr>
        <w:t>Panamá</w:t>
      </w:r>
      <w:r w:rsidRPr="00844022">
        <w:rPr>
          <w:sz w:val="16"/>
          <w:szCs w:val="16"/>
          <w:lang w:val="es-ES"/>
        </w:rPr>
        <w:t>, Comunicación no. 473/1991, Dictamen de 27 de julio de 1995, CCPR/C/54/D/473/1991, párr. 8.5.</w:t>
      </w:r>
    </w:p>
  </w:footnote>
  <w:footnote w:id="34">
    <w:p w14:paraId="5273FCCD" w14:textId="77777777" w:rsidR="002E1F94" w:rsidRPr="00844022" w:rsidRDefault="002E1F94"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 mutatis mutandis, Caso Carranza Alarcón Vs. Ecuador. Excepciones Preliminares, Fondo, Reparaciones y Costas</w:t>
      </w:r>
      <w:r w:rsidRPr="00844022">
        <w:rPr>
          <w:sz w:val="16"/>
          <w:szCs w:val="16"/>
        </w:rPr>
        <w:t>. Sentencia de 3 de febrero de 2020. Serie C No. 399, párr. 87.</w:t>
      </w:r>
    </w:p>
  </w:footnote>
  <w:footnote w:id="35">
    <w:p w14:paraId="46B62222" w14:textId="77777777" w:rsidR="002E1F94" w:rsidRPr="00844022" w:rsidRDefault="002E1F94"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rFonts w:cs="Arial"/>
          <w:i/>
          <w:iCs/>
          <w:sz w:val="16"/>
          <w:szCs w:val="16"/>
        </w:rPr>
        <w:t>Cfr. Caso Bayarri Vs. Argentina. Excepciones Preliminares, Fondo, Reparaciones y Costas</w:t>
      </w:r>
      <w:r w:rsidRPr="00844022">
        <w:rPr>
          <w:rFonts w:cs="Arial"/>
          <w:sz w:val="16"/>
          <w:szCs w:val="16"/>
        </w:rPr>
        <w:t>. Sentencia de</w:t>
      </w:r>
      <w:r w:rsidRPr="00844022">
        <w:rPr>
          <w:sz w:val="16"/>
          <w:szCs w:val="16"/>
        </w:rPr>
        <w:br/>
      </w:r>
      <w:r w:rsidRPr="00844022">
        <w:rPr>
          <w:rFonts w:cs="Arial"/>
          <w:sz w:val="16"/>
          <w:szCs w:val="16"/>
        </w:rPr>
        <w:t xml:space="preserve">30 de octubre de 2008. Serie C No. 187, párr. 70, y </w:t>
      </w:r>
      <w:r w:rsidRPr="00844022">
        <w:rPr>
          <w:i/>
          <w:iCs/>
          <w:sz w:val="16"/>
          <w:szCs w:val="16"/>
        </w:rPr>
        <w:t xml:space="preserve">Caso </w:t>
      </w:r>
      <w:proofErr w:type="spellStart"/>
      <w:r w:rsidRPr="00844022">
        <w:rPr>
          <w:i/>
          <w:iCs/>
          <w:sz w:val="16"/>
          <w:szCs w:val="16"/>
        </w:rPr>
        <w:t>Amrhein</w:t>
      </w:r>
      <w:proofErr w:type="spellEnd"/>
      <w:r w:rsidRPr="00844022">
        <w:rPr>
          <w:i/>
          <w:iCs/>
          <w:sz w:val="16"/>
          <w:szCs w:val="16"/>
        </w:rPr>
        <w:t xml:space="preserve"> y otros Vs. Costa Rica. Excepciones Preliminares, Fondo, Reparaciones y Costas.</w:t>
      </w:r>
      <w:r w:rsidRPr="00844022">
        <w:rPr>
          <w:sz w:val="16"/>
          <w:szCs w:val="16"/>
        </w:rPr>
        <w:t xml:space="preserve"> Sentencia de 25 de abril de 2018. Serie C No. 354, párr. 360.</w:t>
      </w:r>
    </w:p>
  </w:footnote>
  <w:footnote w:id="36">
    <w:p w14:paraId="409DC095" w14:textId="77777777" w:rsidR="00EC3451" w:rsidRPr="00844022" w:rsidRDefault="00EC3451" w:rsidP="00844022">
      <w:pPr>
        <w:pStyle w:val="Textonotapie"/>
        <w:spacing w:before="60" w:after="60"/>
        <w:rPr>
          <w:sz w:val="16"/>
          <w:szCs w:val="16"/>
        </w:rPr>
      </w:pPr>
      <w:r w:rsidRPr="00844022">
        <w:rPr>
          <w:rStyle w:val="Refdenotaalpie"/>
          <w:sz w:val="16"/>
          <w:szCs w:val="16"/>
        </w:rPr>
        <w:footnoteRef/>
      </w:r>
      <w:r w:rsidRPr="00862269">
        <w:rPr>
          <w:sz w:val="16"/>
          <w:szCs w:val="16"/>
          <w:lang w:val="es-CR"/>
        </w:rPr>
        <w:t xml:space="preserve"> </w:t>
      </w:r>
      <w:r w:rsidRPr="00862269">
        <w:rPr>
          <w:sz w:val="16"/>
          <w:szCs w:val="16"/>
          <w:lang w:val="es-CR"/>
        </w:rPr>
        <w:tab/>
      </w:r>
      <w:r w:rsidRPr="00862269">
        <w:rPr>
          <w:i/>
          <w:iCs/>
          <w:sz w:val="16"/>
          <w:szCs w:val="16"/>
          <w:lang w:val="es-CR"/>
        </w:rPr>
        <w:t xml:space="preserve">Cfr. </w:t>
      </w:r>
      <w:r w:rsidRPr="00862269">
        <w:rPr>
          <w:rFonts w:cs="Open Sans"/>
          <w:i/>
          <w:iCs/>
          <w:sz w:val="16"/>
          <w:szCs w:val="16"/>
          <w:shd w:val="clear" w:color="auto" w:fill="FFFFFF"/>
          <w:lang w:val="es-CR"/>
        </w:rPr>
        <w:t xml:space="preserve">Caso Barreto Leiva Vs. </w:t>
      </w:r>
      <w:r w:rsidRPr="00844022">
        <w:rPr>
          <w:rFonts w:cs="Open Sans"/>
          <w:i/>
          <w:iCs/>
          <w:sz w:val="16"/>
          <w:szCs w:val="16"/>
          <w:shd w:val="clear" w:color="auto" w:fill="FFFFFF"/>
        </w:rPr>
        <w:t xml:space="preserve">Venezuela. Fondo, Reparaciones y Costas. </w:t>
      </w:r>
      <w:r w:rsidRPr="00844022">
        <w:rPr>
          <w:rFonts w:cs="Open Sans"/>
          <w:sz w:val="16"/>
          <w:szCs w:val="16"/>
          <w:shd w:val="clear" w:color="auto" w:fill="FFFFFF"/>
        </w:rPr>
        <w:t xml:space="preserve">Sentencia de 17 de noviembre de 2009. Serie C No. 206, párr. 120. </w:t>
      </w:r>
    </w:p>
  </w:footnote>
  <w:footnote w:id="37">
    <w:p w14:paraId="49F9410C" w14:textId="349EE74F" w:rsidR="00EC3451" w:rsidRPr="00844022" w:rsidRDefault="00EC3451" w:rsidP="00844022">
      <w:pPr>
        <w:pStyle w:val="Textonotapie"/>
        <w:spacing w:before="60" w:after="60"/>
        <w:rPr>
          <w:strike/>
          <w:sz w:val="16"/>
          <w:szCs w:val="16"/>
          <w:lang w:val="es-ES"/>
        </w:rPr>
      </w:pPr>
      <w:r w:rsidRPr="00844022">
        <w:rPr>
          <w:rStyle w:val="Refdenotaalpie"/>
          <w:sz w:val="16"/>
          <w:szCs w:val="16"/>
        </w:rPr>
        <w:footnoteRef/>
      </w:r>
      <w:r w:rsidRPr="00844022">
        <w:rPr>
          <w:sz w:val="16"/>
          <w:szCs w:val="16"/>
          <w:lang w:val="es-ES"/>
        </w:rPr>
        <w:t xml:space="preserve"> </w:t>
      </w:r>
      <w:r w:rsidRPr="00844022">
        <w:rPr>
          <w:sz w:val="16"/>
          <w:szCs w:val="16"/>
          <w:lang w:val="es-ES"/>
        </w:rPr>
        <w:tab/>
      </w:r>
      <w:r w:rsidRPr="00844022">
        <w:rPr>
          <w:i/>
          <w:iCs/>
          <w:sz w:val="16"/>
          <w:szCs w:val="16"/>
          <w:lang w:val="es-ES"/>
        </w:rPr>
        <w:t>Cfr. Caso Bayarri Vs. Argentina</w:t>
      </w:r>
      <w:r w:rsidRPr="00844022">
        <w:rPr>
          <w:sz w:val="16"/>
          <w:szCs w:val="16"/>
          <w:lang w:val="es-ES"/>
        </w:rPr>
        <w:t xml:space="preserve">, </w:t>
      </w:r>
      <w:r w:rsidR="004C3CDB" w:rsidRPr="00844022">
        <w:rPr>
          <w:i/>
          <w:iCs/>
          <w:sz w:val="16"/>
          <w:szCs w:val="16"/>
          <w:lang w:val="es-ES"/>
        </w:rPr>
        <w:t>supra</w:t>
      </w:r>
      <w:r w:rsidR="004C3CDB" w:rsidRPr="00844022">
        <w:rPr>
          <w:sz w:val="16"/>
          <w:szCs w:val="16"/>
          <w:lang w:val="es-ES"/>
        </w:rPr>
        <w:t xml:space="preserve">, </w:t>
      </w:r>
      <w:r w:rsidRPr="00844022">
        <w:rPr>
          <w:sz w:val="16"/>
          <w:szCs w:val="16"/>
          <w:lang w:val="es-ES"/>
        </w:rPr>
        <w:t>párrs. 70 y 74, y</w:t>
      </w:r>
      <w:r w:rsidRPr="00844022">
        <w:rPr>
          <w:i/>
          <w:iCs/>
          <w:sz w:val="16"/>
          <w:szCs w:val="16"/>
          <w:lang w:val="es-ES"/>
        </w:rPr>
        <w:t xml:space="preserve"> </w:t>
      </w:r>
      <w:r w:rsidRPr="00844022">
        <w:rPr>
          <w:rFonts w:cs="Open Sans"/>
          <w:i/>
          <w:iCs/>
          <w:sz w:val="16"/>
          <w:szCs w:val="16"/>
          <w:shd w:val="clear" w:color="auto" w:fill="FFFFFF"/>
          <w:lang w:val="es-ES"/>
        </w:rPr>
        <w:t xml:space="preserve">Caso Barreto Leiva Vs. </w:t>
      </w:r>
      <w:r w:rsidRPr="00844022">
        <w:rPr>
          <w:rFonts w:cs="Open Sans"/>
          <w:i/>
          <w:iCs/>
          <w:sz w:val="16"/>
          <w:szCs w:val="16"/>
          <w:shd w:val="clear" w:color="auto" w:fill="FFFFFF"/>
        </w:rPr>
        <w:t>Venezuela, supra,</w:t>
      </w:r>
      <w:r w:rsidRPr="00844022">
        <w:rPr>
          <w:rFonts w:cs="Open Sans"/>
          <w:sz w:val="16"/>
          <w:szCs w:val="16"/>
          <w:shd w:val="clear" w:color="auto" w:fill="FFFFFF"/>
        </w:rPr>
        <w:t xml:space="preserve"> párr. 120.</w:t>
      </w:r>
    </w:p>
  </w:footnote>
  <w:footnote w:id="38">
    <w:p w14:paraId="49B515B4" w14:textId="77777777" w:rsidR="00BC3E15" w:rsidRPr="00844022" w:rsidRDefault="00BC3E15"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de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Bisson</w:t>
      </w:r>
      <w:proofErr w:type="spellEnd"/>
      <w:r w:rsidRPr="00844022">
        <w:rPr>
          <w:sz w:val="16"/>
          <w:szCs w:val="16"/>
        </w:rPr>
        <w:t>, de 1 de diciembre de 1995 (expediente de prueba, folios 2875 a 2880).</w:t>
      </w:r>
    </w:p>
  </w:footnote>
  <w:footnote w:id="39">
    <w:p w14:paraId="13BDE615" w14:textId="77777777" w:rsidR="00BC3E15" w:rsidRPr="00844022" w:rsidRDefault="00BC3E15"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Alto Tribunal de Trinidad y Tobago, transcripción del juicio seguido contra Curtis </w:t>
      </w:r>
      <w:proofErr w:type="spellStart"/>
      <w:r w:rsidRPr="00844022">
        <w:rPr>
          <w:sz w:val="16"/>
          <w:szCs w:val="16"/>
        </w:rPr>
        <w:t>Sirjus</w:t>
      </w:r>
      <w:proofErr w:type="spellEnd"/>
      <w:r w:rsidRPr="00844022">
        <w:rPr>
          <w:sz w:val="16"/>
          <w:szCs w:val="16"/>
        </w:rPr>
        <w:t xml:space="preserve"> y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xml:space="preserve"> (expediente de prueba, folio 2804).</w:t>
      </w:r>
    </w:p>
  </w:footnote>
  <w:footnote w:id="40">
    <w:p w14:paraId="1B2F0670" w14:textId="77777777" w:rsidR="00D8537E" w:rsidRPr="00844022" w:rsidRDefault="00D8537E"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lang w:val="es-ES"/>
        </w:rPr>
        <w:tab/>
      </w:r>
      <w:r w:rsidRPr="00844022">
        <w:rPr>
          <w:i/>
          <w:iCs/>
          <w:sz w:val="16"/>
          <w:szCs w:val="16"/>
          <w:lang w:val="es-ES"/>
        </w:rPr>
        <w:t>Cfr. Caso Hilaire, Constantine y Benjamin y otros Vs. Trinidad y Tobago</w:t>
      </w:r>
      <w:r w:rsidRPr="00844022">
        <w:rPr>
          <w:sz w:val="16"/>
          <w:szCs w:val="16"/>
          <w:lang w:val="es-ES"/>
        </w:rPr>
        <w:t>. Fondo, Reparaciones y Costas. Sentencia de 21 de junio de 2002. Serie C No. 94, párr. 120.</w:t>
      </w:r>
    </w:p>
  </w:footnote>
  <w:footnote w:id="41">
    <w:p w14:paraId="7191DA02" w14:textId="3E5FE60A" w:rsidR="002E1F94" w:rsidRPr="00844022" w:rsidRDefault="002E1F94"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 xml:space="preserve">A lo anterior se une el hecho de que el Comité de la </w:t>
      </w:r>
      <w:r w:rsidR="00CE0DF8" w:rsidRPr="00844022">
        <w:rPr>
          <w:sz w:val="16"/>
          <w:szCs w:val="16"/>
        </w:rPr>
        <w:t xml:space="preserve">Organización de Naciones Unidas </w:t>
      </w:r>
      <w:r w:rsidRPr="00844022">
        <w:rPr>
          <w:sz w:val="16"/>
          <w:szCs w:val="16"/>
        </w:rPr>
        <w:t xml:space="preserve">de Derechos humanos analizó en la Comunicación no. 908/2000, relativa al caso </w:t>
      </w:r>
      <w:r w:rsidRPr="00844022">
        <w:rPr>
          <w:i/>
          <w:iCs/>
          <w:sz w:val="16"/>
          <w:szCs w:val="16"/>
        </w:rPr>
        <w:t>Evans contra Trinidad y Tobago</w:t>
      </w:r>
      <w:r w:rsidRPr="00844022">
        <w:rPr>
          <w:sz w:val="16"/>
          <w:szCs w:val="16"/>
        </w:rPr>
        <w:t>, el plazo transcurrido entre la fecha de detención y fecha de celebración del juicio en un caso en el que la víctima fue condenada a cadena perpetua por asesinato y determinó que la demora de 23 meses entre ambas fechas violó los artículos 9.3 y 14.3.c) del Pacto Internacional de Derechos Civiles y Políticos. En el mismo sentido se pronunció el Comit</w:t>
      </w:r>
      <w:r w:rsidR="003D1366" w:rsidRPr="00844022">
        <w:rPr>
          <w:sz w:val="16"/>
          <w:szCs w:val="16"/>
        </w:rPr>
        <w:t>é</w:t>
      </w:r>
      <w:r w:rsidRPr="00844022">
        <w:rPr>
          <w:sz w:val="16"/>
          <w:szCs w:val="16"/>
        </w:rPr>
        <w:t xml:space="preserve"> en la Comunicación no. 818/1998 relativa al </w:t>
      </w:r>
      <w:r w:rsidRPr="00844022">
        <w:rPr>
          <w:i/>
          <w:iCs/>
          <w:sz w:val="16"/>
          <w:szCs w:val="16"/>
        </w:rPr>
        <w:t xml:space="preserve">caso </w:t>
      </w:r>
      <w:proofErr w:type="spellStart"/>
      <w:r w:rsidRPr="00844022">
        <w:rPr>
          <w:i/>
          <w:iCs/>
          <w:sz w:val="16"/>
          <w:szCs w:val="16"/>
        </w:rPr>
        <w:t>Sextus</w:t>
      </w:r>
      <w:proofErr w:type="spellEnd"/>
      <w:r w:rsidRPr="00844022">
        <w:rPr>
          <w:i/>
          <w:iCs/>
          <w:sz w:val="16"/>
          <w:szCs w:val="16"/>
        </w:rPr>
        <w:t xml:space="preserve"> </w:t>
      </w:r>
      <w:r w:rsidR="007916AB" w:rsidRPr="00844022">
        <w:rPr>
          <w:i/>
          <w:iCs/>
          <w:sz w:val="16"/>
          <w:szCs w:val="16"/>
        </w:rPr>
        <w:t>c.</w:t>
      </w:r>
      <w:r w:rsidRPr="00844022">
        <w:rPr>
          <w:i/>
          <w:iCs/>
          <w:sz w:val="16"/>
          <w:szCs w:val="16"/>
        </w:rPr>
        <w:t xml:space="preserve"> Trinidad and Tobago</w:t>
      </w:r>
      <w:r w:rsidRPr="00844022">
        <w:rPr>
          <w:sz w:val="16"/>
          <w:szCs w:val="16"/>
        </w:rPr>
        <w:t xml:space="preserve">, en el cual señaló que en una duración de 22 meses entre la detención de la víctima y la celebración del juicio por asesinato violaba los artículos 9.3 y 14.3.c) del señalado tratado internacional. </w:t>
      </w:r>
      <w:r w:rsidRPr="00844022">
        <w:rPr>
          <w:i/>
          <w:iCs/>
          <w:sz w:val="16"/>
          <w:szCs w:val="16"/>
          <w:lang w:val="es-ES"/>
        </w:rPr>
        <w:t>Cfr</w:t>
      </w:r>
      <w:r w:rsidRPr="00844022">
        <w:rPr>
          <w:sz w:val="16"/>
          <w:szCs w:val="16"/>
          <w:lang w:val="es-ES"/>
        </w:rPr>
        <w:t xml:space="preserve">. Comité de Derechos Humanos de la </w:t>
      </w:r>
      <w:r w:rsidR="006461A7" w:rsidRPr="00844022">
        <w:rPr>
          <w:sz w:val="16"/>
          <w:szCs w:val="16"/>
          <w:lang w:val="es-ES"/>
        </w:rPr>
        <w:t>Organización de Naciones Unidas</w:t>
      </w:r>
      <w:r w:rsidRPr="00844022">
        <w:rPr>
          <w:sz w:val="16"/>
          <w:szCs w:val="16"/>
          <w:lang w:val="es-ES"/>
        </w:rPr>
        <w:t xml:space="preserve">, Comunicación no. 908/2000, Dictamen de 5 de mayo de 2003, CCPR/C/77/D/908/2000, párr. 6.2, y Comité de Derechos Humanos de la </w:t>
      </w:r>
      <w:r w:rsidR="006461A7" w:rsidRPr="00844022">
        <w:rPr>
          <w:sz w:val="16"/>
          <w:szCs w:val="16"/>
          <w:lang w:val="es-ES"/>
        </w:rPr>
        <w:t>Organización de Naciones Unidas</w:t>
      </w:r>
      <w:r w:rsidRPr="00844022">
        <w:rPr>
          <w:sz w:val="16"/>
          <w:szCs w:val="16"/>
          <w:lang w:val="es-ES"/>
        </w:rPr>
        <w:t>, Comunicación no. 818/1998, Dictamen de 1 de agosto de 2001, CCPR/C/72/D/818/1998, párr. 7.2.</w:t>
      </w:r>
    </w:p>
  </w:footnote>
  <w:footnote w:id="42">
    <w:p w14:paraId="3E079FF1" w14:textId="20E3DB07" w:rsidR="007D683C" w:rsidRPr="00844022" w:rsidRDefault="007D683C" w:rsidP="00844022">
      <w:pPr>
        <w:tabs>
          <w:tab w:val="left" w:pos="567"/>
        </w:tabs>
        <w:spacing w:before="60" w:after="60" w:line="240" w:lineRule="auto"/>
        <w:rPr>
          <w:b/>
          <w:bCs/>
          <w:i/>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sz w:val="16"/>
          <w:szCs w:val="16"/>
        </w:rPr>
        <w:t>Cfr. Caso Maritza Urrutia Vs. Guatemala. Fondo, Reparaciones y Costas.</w:t>
      </w:r>
      <w:r w:rsidRPr="00844022">
        <w:rPr>
          <w:sz w:val="16"/>
          <w:szCs w:val="16"/>
        </w:rPr>
        <w:t xml:space="preserve"> Sentencia de 27 de noviembre de 2003. Serie C No. 103, párr. 92, y </w:t>
      </w:r>
      <w:r w:rsidRPr="00844022">
        <w:rPr>
          <w:rStyle w:val="Textoennegrita"/>
          <w:b w:val="0"/>
          <w:bCs w:val="0"/>
          <w:i/>
          <w:sz w:val="16"/>
          <w:szCs w:val="16"/>
        </w:rPr>
        <w:t xml:space="preserve">Caso Mujeres Víctimas de Tortura Sexual en Atenco Vs. México. Fondo, Reparaciones y Costas. </w:t>
      </w:r>
      <w:r w:rsidRPr="00844022">
        <w:rPr>
          <w:rStyle w:val="Textoennegrita"/>
          <w:b w:val="0"/>
          <w:bCs w:val="0"/>
          <w:sz w:val="16"/>
          <w:szCs w:val="16"/>
        </w:rPr>
        <w:t>Sentencia de 28 de noviembre de 2018. Serie C No. 371, párrs. 177 y 178</w:t>
      </w:r>
      <w:r w:rsidRPr="00844022">
        <w:rPr>
          <w:rFonts w:cs="Courier New"/>
          <w:sz w:val="16"/>
          <w:szCs w:val="16"/>
        </w:rPr>
        <w:t>.</w:t>
      </w:r>
    </w:p>
  </w:footnote>
  <w:footnote w:id="43">
    <w:p w14:paraId="458FA6C2" w14:textId="77777777" w:rsidR="007D683C" w:rsidRPr="00844022" w:rsidRDefault="007D683C" w:rsidP="00844022">
      <w:pPr>
        <w:pStyle w:val="Textonotapie"/>
        <w:spacing w:before="60" w:after="60"/>
        <w:rPr>
          <w:i/>
          <w:sz w:val="16"/>
          <w:szCs w:val="16"/>
        </w:rPr>
      </w:pPr>
      <w:r w:rsidRPr="00844022">
        <w:rPr>
          <w:rStyle w:val="Refdenotaalpie"/>
          <w:rFonts w:eastAsia="Calibri"/>
          <w:sz w:val="16"/>
          <w:szCs w:val="16"/>
        </w:rPr>
        <w:footnoteRef/>
      </w:r>
      <w:r w:rsidRPr="00844022">
        <w:rPr>
          <w:sz w:val="16"/>
          <w:szCs w:val="16"/>
        </w:rPr>
        <w:t xml:space="preserve"> </w:t>
      </w:r>
      <w:r w:rsidRPr="00844022">
        <w:rPr>
          <w:sz w:val="16"/>
          <w:szCs w:val="16"/>
        </w:rPr>
        <w:tab/>
      </w:r>
      <w:r w:rsidRPr="00844022">
        <w:rPr>
          <w:i/>
          <w:sz w:val="16"/>
          <w:szCs w:val="16"/>
        </w:rPr>
        <w:t xml:space="preserve">Cfr. Caso Loayza Tamayo Vs. Perú. Fondo, supra, </w:t>
      </w:r>
      <w:r w:rsidRPr="00844022">
        <w:rPr>
          <w:sz w:val="16"/>
          <w:szCs w:val="16"/>
        </w:rPr>
        <w:t xml:space="preserve">párr. 57, y </w:t>
      </w:r>
      <w:r w:rsidRPr="00844022">
        <w:rPr>
          <w:rStyle w:val="Textoennegrita"/>
          <w:b w:val="0"/>
          <w:bCs w:val="0"/>
          <w:i/>
          <w:sz w:val="16"/>
          <w:szCs w:val="16"/>
        </w:rPr>
        <w:t>Caso Mujeres Víctimas de Tortura Sexual en Atenco Vs. México</w:t>
      </w:r>
      <w:r w:rsidRPr="00844022">
        <w:rPr>
          <w:i/>
          <w:sz w:val="16"/>
          <w:szCs w:val="16"/>
        </w:rPr>
        <w:t xml:space="preserve">, </w:t>
      </w:r>
      <w:r w:rsidRPr="00844022">
        <w:rPr>
          <w:rFonts w:cs="Arial"/>
          <w:i/>
          <w:sz w:val="16"/>
          <w:szCs w:val="16"/>
        </w:rPr>
        <w:t xml:space="preserve">supra, </w:t>
      </w:r>
      <w:r w:rsidRPr="00844022">
        <w:rPr>
          <w:rFonts w:cs="Courier New"/>
          <w:sz w:val="16"/>
          <w:szCs w:val="16"/>
        </w:rPr>
        <w:t>párr. 177.</w:t>
      </w:r>
    </w:p>
  </w:footnote>
  <w:footnote w:id="44">
    <w:p w14:paraId="32FD41E2" w14:textId="0E2B4188" w:rsidR="007D683C" w:rsidRPr="00844022" w:rsidRDefault="007D683C" w:rsidP="00844022">
      <w:pPr>
        <w:pStyle w:val="Textonotapie"/>
        <w:spacing w:before="60" w:after="60"/>
        <w:rPr>
          <w:sz w:val="16"/>
          <w:szCs w:val="16"/>
        </w:rPr>
      </w:pPr>
      <w:r w:rsidRPr="00844022">
        <w:rPr>
          <w:rStyle w:val="Refdenotaalpie"/>
          <w:rFonts w:eastAsia="Calibri"/>
          <w:sz w:val="16"/>
          <w:szCs w:val="16"/>
        </w:rPr>
        <w:footnoteRef/>
      </w:r>
      <w:r w:rsidRPr="00844022">
        <w:rPr>
          <w:sz w:val="16"/>
          <w:szCs w:val="16"/>
        </w:rPr>
        <w:t xml:space="preserve"> </w:t>
      </w:r>
      <w:r w:rsidRPr="00844022">
        <w:rPr>
          <w:sz w:val="16"/>
          <w:szCs w:val="16"/>
        </w:rPr>
        <w:tab/>
      </w:r>
      <w:r w:rsidRPr="00844022">
        <w:rPr>
          <w:i/>
          <w:sz w:val="16"/>
          <w:szCs w:val="16"/>
        </w:rPr>
        <w:t xml:space="preserve">Cfr. Caso Ximenes Lopes Vs. Brasil. </w:t>
      </w:r>
      <w:r w:rsidRPr="00844022">
        <w:rPr>
          <w:sz w:val="16"/>
          <w:szCs w:val="16"/>
        </w:rPr>
        <w:t>Sentencia de 4 de julio de 2006</w:t>
      </w:r>
      <w:r w:rsidRPr="00844022">
        <w:rPr>
          <w:i/>
          <w:sz w:val="16"/>
          <w:szCs w:val="16"/>
        </w:rPr>
        <w:t xml:space="preserve">. </w:t>
      </w:r>
      <w:r w:rsidRPr="00844022">
        <w:rPr>
          <w:sz w:val="16"/>
          <w:szCs w:val="16"/>
        </w:rPr>
        <w:t xml:space="preserve">Serie C No. 149, párr. 127, y </w:t>
      </w:r>
      <w:r w:rsidRPr="00844022">
        <w:rPr>
          <w:rStyle w:val="Textoennegrita"/>
          <w:b w:val="0"/>
          <w:bCs w:val="0"/>
          <w:i/>
          <w:sz w:val="16"/>
          <w:szCs w:val="16"/>
        </w:rPr>
        <w:t xml:space="preserve">Caso </w:t>
      </w:r>
      <w:proofErr w:type="spellStart"/>
      <w:r w:rsidRPr="00844022">
        <w:rPr>
          <w:rStyle w:val="Textoennegrita"/>
          <w:b w:val="0"/>
          <w:bCs w:val="0"/>
          <w:i/>
          <w:sz w:val="16"/>
          <w:szCs w:val="16"/>
        </w:rPr>
        <w:t>Omeara</w:t>
      </w:r>
      <w:proofErr w:type="spellEnd"/>
      <w:r w:rsidRPr="00844022">
        <w:rPr>
          <w:rStyle w:val="Textoennegrita"/>
          <w:b w:val="0"/>
          <w:bCs w:val="0"/>
          <w:i/>
          <w:sz w:val="16"/>
          <w:szCs w:val="16"/>
        </w:rPr>
        <w:t xml:space="preserve"> Carrascal y otros Vs. Colombia</w:t>
      </w:r>
      <w:r w:rsidR="00906CBD" w:rsidRPr="00844022">
        <w:rPr>
          <w:rStyle w:val="Textoennegrita"/>
          <w:b w:val="0"/>
          <w:bCs w:val="0"/>
          <w:i/>
          <w:sz w:val="16"/>
          <w:szCs w:val="16"/>
        </w:rPr>
        <w:t xml:space="preserve">. Fondo, Reparaciones y Costas. </w:t>
      </w:r>
      <w:r w:rsidR="00906CBD" w:rsidRPr="00844022">
        <w:rPr>
          <w:rStyle w:val="Textoennegrita"/>
          <w:b w:val="0"/>
          <w:bCs w:val="0"/>
          <w:iCs/>
          <w:sz w:val="16"/>
          <w:szCs w:val="16"/>
        </w:rPr>
        <w:t>Sentencia de 21 de noviembre de 2018. Serie C No. 2018</w:t>
      </w:r>
      <w:r w:rsidRPr="00844022">
        <w:rPr>
          <w:rFonts w:cs="Courier New"/>
          <w:b/>
          <w:bCs/>
          <w:sz w:val="16"/>
          <w:szCs w:val="16"/>
        </w:rPr>
        <w:t>,</w:t>
      </w:r>
      <w:r w:rsidRPr="00844022">
        <w:rPr>
          <w:rFonts w:cs="Courier New"/>
          <w:sz w:val="16"/>
          <w:szCs w:val="16"/>
        </w:rPr>
        <w:t xml:space="preserve"> párr. 193.</w:t>
      </w:r>
    </w:p>
  </w:footnote>
  <w:footnote w:id="45">
    <w:p w14:paraId="38D55A09" w14:textId="1C6FCE4A" w:rsidR="007D683C" w:rsidRPr="00844022" w:rsidRDefault="007D683C"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 Caso Neira Alegría y otros Vs. Perú. Fondo.</w:t>
      </w:r>
      <w:r w:rsidRPr="00844022">
        <w:rPr>
          <w:sz w:val="16"/>
          <w:szCs w:val="16"/>
        </w:rPr>
        <w:t xml:space="preserve"> Sentencia de 19 de enero de 1995. Serie C No. 20, párr. 60, y </w:t>
      </w:r>
      <w:r w:rsidRPr="00844022">
        <w:rPr>
          <w:i/>
          <w:iCs/>
          <w:sz w:val="16"/>
          <w:szCs w:val="16"/>
        </w:rPr>
        <w:t>Caso Raxcacó Reyes Vs. Guatemala</w:t>
      </w:r>
      <w:r w:rsidR="00A05410" w:rsidRPr="00844022">
        <w:rPr>
          <w:sz w:val="16"/>
          <w:szCs w:val="16"/>
        </w:rPr>
        <w:t xml:space="preserve">. </w:t>
      </w:r>
      <w:r w:rsidR="00A05410" w:rsidRPr="00844022">
        <w:rPr>
          <w:i/>
          <w:iCs/>
          <w:sz w:val="16"/>
          <w:szCs w:val="16"/>
        </w:rPr>
        <w:t xml:space="preserve">Fondo, </w:t>
      </w:r>
      <w:proofErr w:type="spellStart"/>
      <w:r w:rsidR="00A05410" w:rsidRPr="00844022">
        <w:rPr>
          <w:i/>
          <w:iCs/>
          <w:sz w:val="16"/>
          <w:szCs w:val="16"/>
        </w:rPr>
        <w:t>Reperaciones</w:t>
      </w:r>
      <w:proofErr w:type="spellEnd"/>
      <w:r w:rsidR="00A05410" w:rsidRPr="00844022">
        <w:rPr>
          <w:i/>
          <w:iCs/>
          <w:sz w:val="16"/>
          <w:szCs w:val="16"/>
        </w:rPr>
        <w:t xml:space="preserve"> y Costas</w:t>
      </w:r>
      <w:r w:rsidR="00A05410" w:rsidRPr="00844022">
        <w:rPr>
          <w:sz w:val="16"/>
          <w:szCs w:val="16"/>
        </w:rPr>
        <w:t>. Sentencia de 15 de septiembre de 2005</w:t>
      </w:r>
      <w:r w:rsidR="001275E2" w:rsidRPr="00844022">
        <w:rPr>
          <w:sz w:val="16"/>
          <w:szCs w:val="16"/>
        </w:rPr>
        <w:t xml:space="preserve">. Serie C No. </w:t>
      </w:r>
      <w:r w:rsidR="002B0C5D" w:rsidRPr="00844022">
        <w:rPr>
          <w:sz w:val="16"/>
          <w:szCs w:val="16"/>
        </w:rPr>
        <w:t>133,</w:t>
      </w:r>
      <w:r w:rsidRPr="00844022">
        <w:rPr>
          <w:sz w:val="16"/>
          <w:szCs w:val="16"/>
        </w:rPr>
        <w:t xml:space="preserve"> párr. 95.</w:t>
      </w:r>
    </w:p>
  </w:footnote>
  <w:footnote w:id="46">
    <w:p w14:paraId="3715756B" w14:textId="0B735FD2" w:rsidR="00254654" w:rsidRPr="00844022" w:rsidRDefault="00254654"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lang w:val="es-ES"/>
        </w:rPr>
        <w:t>Cfr</w:t>
      </w:r>
      <w:r w:rsidRPr="00844022">
        <w:rPr>
          <w:sz w:val="16"/>
          <w:szCs w:val="16"/>
          <w:lang w:val="es-ES"/>
        </w:rPr>
        <w:t xml:space="preserve">. Carta de 18 de marzo de 2008 remitida por los representantes del señor </w:t>
      </w:r>
      <w:proofErr w:type="spellStart"/>
      <w:r w:rsidR="00E56CD0" w:rsidRPr="00844022">
        <w:rPr>
          <w:sz w:val="16"/>
          <w:szCs w:val="16"/>
          <w:lang w:val="es-ES"/>
        </w:rPr>
        <w:t>Bissoon</w:t>
      </w:r>
      <w:proofErr w:type="spellEnd"/>
      <w:r w:rsidR="00E56CD0" w:rsidRPr="00844022">
        <w:rPr>
          <w:sz w:val="16"/>
          <w:szCs w:val="16"/>
          <w:lang w:val="es-ES"/>
        </w:rPr>
        <w:t xml:space="preserve"> </w:t>
      </w:r>
      <w:r w:rsidRPr="00844022">
        <w:rPr>
          <w:sz w:val="16"/>
          <w:szCs w:val="16"/>
          <w:lang w:val="es-ES"/>
        </w:rPr>
        <w:t>al Comisionado de Prisiones (expediente de prueba, folio 1811),</w:t>
      </w:r>
    </w:p>
  </w:footnote>
  <w:footnote w:id="47">
    <w:p w14:paraId="3DAA35C5" w14:textId="611DF596" w:rsidR="007D683C" w:rsidRPr="00844022" w:rsidRDefault="007D683C"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w:t>
      </w:r>
      <w:r w:rsidR="00A771D5" w:rsidRPr="00844022">
        <w:rPr>
          <w:sz w:val="16"/>
          <w:szCs w:val="16"/>
        </w:rPr>
        <w:t xml:space="preserve">Petición ante la Comisión Interamericana de Derechos Humanos en nombre de </w:t>
      </w:r>
      <w:proofErr w:type="spellStart"/>
      <w:r w:rsidR="005B4DA8" w:rsidRPr="00844022">
        <w:rPr>
          <w:sz w:val="16"/>
          <w:szCs w:val="16"/>
        </w:rPr>
        <w:t>Reshi</w:t>
      </w:r>
      <w:proofErr w:type="spellEnd"/>
      <w:r w:rsidR="005B4DA8" w:rsidRPr="00844022">
        <w:rPr>
          <w:sz w:val="16"/>
          <w:szCs w:val="16"/>
        </w:rPr>
        <w:t xml:space="preserve"> </w:t>
      </w:r>
      <w:proofErr w:type="spellStart"/>
      <w:r w:rsidR="005B4DA8" w:rsidRPr="00844022">
        <w:rPr>
          <w:sz w:val="16"/>
          <w:szCs w:val="16"/>
        </w:rPr>
        <w:t>Bissoon</w:t>
      </w:r>
      <w:proofErr w:type="spellEnd"/>
      <w:r w:rsidR="00A771D5" w:rsidRPr="00844022">
        <w:rPr>
          <w:sz w:val="16"/>
          <w:szCs w:val="16"/>
        </w:rPr>
        <w:t xml:space="preserve">, de </w:t>
      </w:r>
      <w:r w:rsidR="005B4DA8" w:rsidRPr="00844022">
        <w:rPr>
          <w:sz w:val="16"/>
          <w:szCs w:val="16"/>
        </w:rPr>
        <w:t>25</w:t>
      </w:r>
      <w:r w:rsidR="00A771D5" w:rsidRPr="00844022">
        <w:rPr>
          <w:sz w:val="16"/>
          <w:szCs w:val="16"/>
        </w:rPr>
        <w:t xml:space="preserve"> de a</w:t>
      </w:r>
      <w:r w:rsidR="005B4DA8" w:rsidRPr="00844022">
        <w:rPr>
          <w:sz w:val="16"/>
          <w:szCs w:val="16"/>
        </w:rPr>
        <w:t>gosto</w:t>
      </w:r>
      <w:r w:rsidR="00A771D5" w:rsidRPr="00844022">
        <w:rPr>
          <w:sz w:val="16"/>
          <w:szCs w:val="16"/>
        </w:rPr>
        <w:t xml:space="preserve"> de </w:t>
      </w:r>
      <w:r w:rsidR="005B4DA8" w:rsidRPr="00844022">
        <w:rPr>
          <w:sz w:val="16"/>
          <w:szCs w:val="16"/>
        </w:rPr>
        <w:t>2005</w:t>
      </w:r>
      <w:r w:rsidR="00A771D5" w:rsidRPr="00844022">
        <w:rPr>
          <w:sz w:val="16"/>
          <w:szCs w:val="16"/>
        </w:rPr>
        <w:t xml:space="preserve">, </w:t>
      </w:r>
      <w:r w:rsidR="005B4DA8" w:rsidRPr="00844022">
        <w:rPr>
          <w:sz w:val="16"/>
          <w:szCs w:val="16"/>
        </w:rPr>
        <w:t>párr. 103</w:t>
      </w:r>
      <w:r w:rsidR="00A771D5" w:rsidRPr="00844022">
        <w:rPr>
          <w:sz w:val="16"/>
          <w:szCs w:val="16"/>
        </w:rPr>
        <w:t xml:space="preserve"> (expediente de prueba, folio </w:t>
      </w:r>
      <w:r w:rsidR="005B4DA8" w:rsidRPr="00844022">
        <w:rPr>
          <w:sz w:val="16"/>
          <w:szCs w:val="16"/>
        </w:rPr>
        <w:t>54</w:t>
      </w:r>
      <w:r w:rsidR="00A771D5" w:rsidRPr="00844022">
        <w:rPr>
          <w:sz w:val="16"/>
          <w:szCs w:val="16"/>
        </w:rPr>
        <w:t>)</w:t>
      </w:r>
      <w:r w:rsidR="005B4DA8" w:rsidRPr="00844022">
        <w:rPr>
          <w:sz w:val="16"/>
          <w:szCs w:val="16"/>
        </w:rPr>
        <w:t xml:space="preserve">; </w:t>
      </w:r>
      <w:r w:rsidR="00254654" w:rsidRPr="00844022">
        <w:rPr>
          <w:sz w:val="16"/>
          <w:szCs w:val="16"/>
        </w:rPr>
        <w:t xml:space="preserve">Petición actualizada ante la Comisión Interamericana de Derechos Humanos en nombre de </w:t>
      </w:r>
      <w:proofErr w:type="spellStart"/>
      <w:r w:rsidR="00254654" w:rsidRPr="00844022">
        <w:rPr>
          <w:sz w:val="16"/>
          <w:szCs w:val="16"/>
        </w:rPr>
        <w:t>Reshi</w:t>
      </w:r>
      <w:proofErr w:type="spellEnd"/>
      <w:r w:rsidR="00254654" w:rsidRPr="00844022">
        <w:rPr>
          <w:sz w:val="16"/>
          <w:szCs w:val="16"/>
        </w:rPr>
        <w:t xml:space="preserve"> </w:t>
      </w:r>
      <w:proofErr w:type="spellStart"/>
      <w:r w:rsidR="00254654" w:rsidRPr="00844022">
        <w:rPr>
          <w:sz w:val="16"/>
          <w:szCs w:val="16"/>
        </w:rPr>
        <w:t>Bissoon</w:t>
      </w:r>
      <w:proofErr w:type="spellEnd"/>
      <w:r w:rsidR="00254654" w:rsidRPr="00844022">
        <w:rPr>
          <w:sz w:val="16"/>
          <w:szCs w:val="16"/>
        </w:rPr>
        <w:t xml:space="preserve">, de 18 de abril de 2008, párr. 103 (expediente de prueba, folio 1059); </w:t>
      </w:r>
      <w:r w:rsidR="00E56CD0" w:rsidRPr="00844022">
        <w:rPr>
          <w:sz w:val="16"/>
          <w:szCs w:val="16"/>
        </w:rPr>
        <w:t xml:space="preserve">Petición ante la Comisión Interamericana de Derechos Humanos en nombre de Foster </w:t>
      </w:r>
      <w:proofErr w:type="spellStart"/>
      <w:r w:rsidR="00E56CD0" w:rsidRPr="00844022">
        <w:rPr>
          <w:sz w:val="16"/>
          <w:szCs w:val="16"/>
        </w:rPr>
        <w:t>Serrette</w:t>
      </w:r>
      <w:proofErr w:type="spellEnd"/>
      <w:r w:rsidR="00E56CD0" w:rsidRPr="00844022">
        <w:rPr>
          <w:sz w:val="16"/>
          <w:szCs w:val="16"/>
        </w:rPr>
        <w:t xml:space="preserve">, de 31 de mayo de 2005, párrs. 74 y 75(expediente de prueba, folio 1193); </w:t>
      </w:r>
      <w:r w:rsidRPr="00844022">
        <w:rPr>
          <w:sz w:val="16"/>
          <w:szCs w:val="16"/>
        </w:rPr>
        <w:t xml:space="preserve">Petición actualizada ante la Comisión Interamericana de Derechos Humanos en nombre de </w:t>
      </w:r>
      <w:r w:rsidR="00976985" w:rsidRPr="00844022">
        <w:rPr>
          <w:sz w:val="16"/>
          <w:szCs w:val="16"/>
        </w:rPr>
        <w:t xml:space="preserve">Foster </w:t>
      </w:r>
      <w:proofErr w:type="spellStart"/>
      <w:r w:rsidR="00976985" w:rsidRPr="00844022">
        <w:rPr>
          <w:sz w:val="16"/>
          <w:szCs w:val="16"/>
        </w:rPr>
        <w:t>Se</w:t>
      </w:r>
      <w:r w:rsidR="005B4DA8" w:rsidRPr="00844022">
        <w:rPr>
          <w:sz w:val="16"/>
          <w:szCs w:val="16"/>
        </w:rPr>
        <w:t>r</w:t>
      </w:r>
      <w:r w:rsidR="00976985" w:rsidRPr="00844022">
        <w:rPr>
          <w:sz w:val="16"/>
          <w:szCs w:val="16"/>
        </w:rPr>
        <w:t>rette</w:t>
      </w:r>
      <w:proofErr w:type="spellEnd"/>
      <w:r w:rsidRPr="00844022">
        <w:rPr>
          <w:sz w:val="16"/>
          <w:szCs w:val="16"/>
        </w:rPr>
        <w:t xml:space="preserve">, de </w:t>
      </w:r>
      <w:r w:rsidR="00910396" w:rsidRPr="00844022">
        <w:rPr>
          <w:sz w:val="16"/>
          <w:szCs w:val="16"/>
        </w:rPr>
        <w:t>18 de abril de 2008</w:t>
      </w:r>
      <w:r w:rsidR="00A771D5" w:rsidRPr="00844022">
        <w:rPr>
          <w:sz w:val="16"/>
          <w:szCs w:val="16"/>
        </w:rPr>
        <w:t>, párrs. 74 y 75</w:t>
      </w:r>
      <w:r w:rsidR="00910396" w:rsidRPr="00844022">
        <w:rPr>
          <w:sz w:val="16"/>
          <w:szCs w:val="16"/>
        </w:rPr>
        <w:t xml:space="preserve"> </w:t>
      </w:r>
      <w:r w:rsidRPr="00844022">
        <w:rPr>
          <w:sz w:val="16"/>
          <w:szCs w:val="16"/>
        </w:rPr>
        <w:t>(expediente de prueba, folio 1</w:t>
      </w:r>
      <w:r w:rsidR="00910396" w:rsidRPr="00844022">
        <w:rPr>
          <w:sz w:val="16"/>
          <w:szCs w:val="16"/>
        </w:rPr>
        <w:t>772</w:t>
      </w:r>
      <w:r w:rsidRPr="00844022">
        <w:rPr>
          <w:sz w:val="16"/>
          <w:szCs w:val="16"/>
        </w:rPr>
        <w:t xml:space="preserve">), Petición actualizada ante la Comisión Interamericana de Derechos Humanos en nombre de </w:t>
      </w:r>
      <w:r w:rsidR="00910396" w:rsidRPr="00844022">
        <w:rPr>
          <w:sz w:val="16"/>
          <w:szCs w:val="16"/>
        </w:rPr>
        <w:t xml:space="preserve">Foster </w:t>
      </w:r>
      <w:proofErr w:type="spellStart"/>
      <w:r w:rsidR="00910396" w:rsidRPr="00844022">
        <w:rPr>
          <w:sz w:val="16"/>
          <w:szCs w:val="16"/>
        </w:rPr>
        <w:t>Serrette</w:t>
      </w:r>
      <w:proofErr w:type="spellEnd"/>
      <w:r w:rsidR="00910396" w:rsidRPr="00844022">
        <w:rPr>
          <w:sz w:val="16"/>
          <w:szCs w:val="16"/>
        </w:rPr>
        <w:t xml:space="preserve">, de 8 de febrero de 2010, párrs. 19 a </w:t>
      </w:r>
      <w:r w:rsidR="00A771D5" w:rsidRPr="00844022">
        <w:rPr>
          <w:sz w:val="16"/>
          <w:szCs w:val="16"/>
        </w:rPr>
        <w:t>21</w:t>
      </w:r>
      <w:r w:rsidR="00910396" w:rsidRPr="00844022">
        <w:rPr>
          <w:sz w:val="16"/>
          <w:szCs w:val="16"/>
        </w:rPr>
        <w:t xml:space="preserve"> </w:t>
      </w:r>
      <w:r w:rsidRPr="00844022">
        <w:rPr>
          <w:sz w:val="16"/>
          <w:szCs w:val="16"/>
        </w:rPr>
        <w:t>(expediente de prueba, folio</w:t>
      </w:r>
      <w:r w:rsidR="00910396" w:rsidRPr="00844022">
        <w:rPr>
          <w:sz w:val="16"/>
          <w:szCs w:val="16"/>
        </w:rPr>
        <w:t>s</w:t>
      </w:r>
      <w:r w:rsidRPr="00844022">
        <w:rPr>
          <w:sz w:val="16"/>
          <w:szCs w:val="16"/>
        </w:rPr>
        <w:t xml:space="preserve"> </w:t>
      </w:r>
      <w:r w:rsidR="00910396" w:rsidRPr="00844022">
        <w:rPr>
          <w:sz w:val="16"/>
          <w:szCs w:val="16"/>
        </w:rPr>
        <w:t>1809 y 1810</w:t>
      </w:r>
      <w:r w:rsidRPr="00844022">
        <w:rPr>
          <w:sz w:val="16"/>
          <w:szCs w:val="16"/>
        </w:rPr>
        <w:t xml:space="preserve">), y Escrito de Solicitudes, Argumentos y Prueba, de 20 de diciembre de 2021, párr. </w:t>
      </w:r>
      <w:r w:rsidR="0037552D" w:rsidRPr="00844022">
        <w:rPr>
          <w:sz w:val="16"/>
          <w:szCs w:val="16"/>
        </w:rPr>
        <w:t xml:space="preserve">3.9.24 y </w:t>
      </w:r>
      <w:r w:rsidRPr="00844022">
        <w:rPr>
          <w:sz w:val="16"/>
          <w:szCs w:val="16"/>
        </w:rPr>
        <w:t>3</w:t>
      </w:r>
      <w:r w:rsidR="0037552D" w:rsidRPr="00844022">
        <w:rPr>
          <w:sz w:val="16"/>
          <w:szCs w:val="16"/>
        </w:rPr>
        <w:t>.17.27</w:t>
      </w:r>
      <w:r w:rsidRPr="00844022">
        <w:rPr>
          <w:sz w:val="16"/>
          <w:szCs w:val="16"/>
        </w:rPr>
        <w:t xml:space="preserve"> (expediente de fondo, folios</w:t>
      </w:r>
      <w:r w:rsidR="0037552D" w:rsidRPr="00844022">
        <w:rPr>
          <w:sz w:val="16"/>
          <w:szCs w:val="16"/>
        </w:rPr>
        <w:t xml:space="preserve"> 73, 74,</w:t>
      </w:r>
      <w:r w:rsidRPr="00844022">
        <w:rPr>
          <w:sz w:val="16"/>
          <w:szCs w:val="16"/>
        </w:rPr>
        <w:t xml:space="preserve"> </w:t>
      </w:r>
      <w:r w:rsidR="0037552D" w:rsidRPr="00844022">
        <w:rPr>
          <w:sz w:val="16"/>
          <w:szCs w:val="16"/>
        </w:rPr>
        <w:t>82 y 83</w:t>
      </w:r>
      <w:r w:rsidR="00FC4615" w:rsidRPr="00844022">
        <w:rPr>
          <w:sz w:val="16"/>
          <w:szCs w:val="16"/>
        </w:rPr>
        <w:t>)</w:t>
      </w:r>
      <w:r w:rsidRPr="00844022">
        <w:rPr>
          <w:sz w:val="16"/>
          <w:szCs w:val="16"/>
        </w:rPr>
        <w:t>.</w:t>
      </w:r>
    </w:p>
  </w:footnote>
  <w:footnote w:id="48">
    <w:p w14:paraId="1967BE7E" w14:textId="09C62BA8" w:rsidR="00070F65" w:rsidRPr="00844022" w:rsidRDefault="00070F65"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00172ADF" w:rsidRPr="00844022">
        <w:rPr>
          <w:sz w:val="16"/>
          <w:szCs w:val="16"/>
        </w:rPr>
        <w:tab/>
      </w:r>
      <w:r w:rsidR="00172ADF" w:rsidRPr="00844022">
        <w:rPr>
          <w:i/>
          <w:iCs/>
          <w:sz w:val="16"/>
          <w:szCs w:val="16"/>
        </w:rPr>
        <w:t>Cfr</w:t>
      </w:r>
      <w:r w:rsidR="00172ADF" w:rsidRPr="00844022">
        <w:rPr>
          <w:sz w:val="16"/>
          <w:szCs w:val="16"/>
        </w:rPr>
        <w:t xml:space="preserve">. Declaración rendida ante fedatario público por </w:t>
      </w:r>
      <w:proofErr w:type="spellStart"/>
      <w:r w:rsidR="00B55094" w:rsidRPr="00844022">
        <w:rPr>
          <w:sz w:val="16"/>
          <w:szCs w:val="16"/>
        </w:rPr>
        <w:t>Reshi</w:t>
      </w:r>
      <w:proofErr w:type="spellEnd"/>
      <w:r w:rsidR="00B55094" w:rsidRPr="00844022">
        <w:rPr>
          <w:sz w:val="16"/>
          <w:szCs w:val="16"/>
        </w:rPr>
        <w:t xml:space="preserve"> </w:t>
      </w:r>
      <w:proofErr w:type="spellStart"/>
      <w:r w:rsidR="00B55094" w:rsidRPr="00844022">
        <w:rPr>
          <w:sz w:val="16"/>
          <w:szCs w:val="16"/>
        </w:rPr>
        <w:t>Bissoon</w:t>
      </w:r>
      <w:proofErr w:type="spellEnd"/>
      <w:r w:rsidR="00172ADF" w:rsidRPr="00844022">
        <w:rPr>
          <w:sz w:val="16"/>
          <w:szCs w:val="16"/>
        </w:rPr>
        <w:t>, de 28 de julio de 2022, párr</w:t>
      </w:r>
      <w:r w:rsidR="00B55094" w:rsidRPr="00844022">
        <w:rPr>
          <w:sz w:val="16"/>
          <w:szCs w:val="16"/>
        </w:rPr>
        <w:t>s</w:t>
      </w:r>
      <w:r w:rsidR="00172ADF" w:rsidRPr="00844022">
        <w:rPr>
          <w:sz w:val="16"/>
          <w:szCs w:val="16"/>
        </w:rPr>
        <w:t xml:space="preserve">. </w:t>
      </w:r>
      <w:r w:rsidR="00B55094" w:rsidRPr="00844022">
        <w:rPr>
          <w:sz w:val="16"/>
          <w:szCs w:val="16"/>
        </w:rPr>
        <w:t xml:space="preserve">12 </w:t>
      </w:r>
      <w:r w:rsidR="00172ADF" w:rsidRPr="00844022">
        <w:rPr>
          <w:sz w:val="16"/>
          <w:szCs w:val="16"/>
        </w:rPr>
        <w:t>y</w:t>
      </w:r>
      <w:r w:rsidR="003C4D9C" w:rsidRPr="00844022">
        <w:rPr>
          <w:sz w:val="16"/>
          <w:szCs w:val="16"/>
        </w:rPr>
        <w:t xml:space="preserve"> </w:t>
      </w:r>
      <w:r w:rsidR="00B55094" w:rsidRPr="00844022">
        <w:rPr>
          <w:sz w:val="16"/>
          <w:szCs w:val="16"/>
        </w:rPr>
        <w:t>40</w:t>
      </w:r>
      <w:r w:rsidR="003C4D9C" w:rsidRPr="00844022">
        <w:rPr>
          <w:sz w:val="16"/>
          <w:szCs w:val="16"/>
        </w:rPr>
        <w:t xml:space="preserve"> </w:t>
      </w:r>
      <w:r w:rsidR="00172ADF" w:rsidRPr="00844022">
        <w:rPr>
          <w:sz w:val="16"/>
          <w:szCs w:val="16"/>
        </w:rPr>
        <w:t>(expediente de prueba, folio</w:t>
      </w:r>
      <w:r w:rsidR="00F90A36" w:rsidRPr="00844022">
        <w:rPr>
          <w:sz w:val="16"/>
          <w:szCs w:val="16"/>
        </w:rPr>
        <w:t>s</w:t>
      </w:r>
      <w:r w:rsidR="00172ADF" w:rsidRPr="00844022">
        <w:rPr>
          <w:sz w:val="16"/>
          <w:szCs w:val="16"/>
        </w:rPr>
        <w:t xml:space="preserve"> </w:t>
      </w:r>
      <w:r w:rsidR="004B77A3" w:rsidRPr="00844022">
        <w:rPr>
          <w:sz w:val="16"/>
          <w:szCs w:val="16"/>
        </w:rPr>
        <w:t>3124 y 3129</w:t>
      </w:r>
      <w:r w:rsidR="00172ADF" w:rsidRPr="00844022">
        <w:rPr>
          <w:sz w:val="16"/>
          <w:szCs w:val="16"/>
        </w:rPr>
        <w:t xml:space="preserve">), y Declaración rendida ante fedatario público por </w:t>
      </w:r>
      <w:r w:rsidR="00B55094" w:rsidRPr="00844022">
        <w:rPr>
          <w:sz w:val="16"/>
          <w:szCs w:val="16"/>
        </w:rPr>
        <w:t xml:space="preserve">Foster </w:t>
      </w:r>
      <w:proofErr w:type="spellStart"/>
      <w:r w:rsidR="00B55094" w:rsidRPr="00844022">
        <w:rPr>
          <w:sz w:val="16"/>
          <w:szCs w:val="16"/>
        </w:rPr>
        <w:t>Serrette</w:t>
      </w:r>
      <w:proofErr w:type="spellEnd"/>
      <w:r w:rsidR="00172ADF" w:rsidRPr="00844022">
        <w:rPr>
          <w:sz w:val="16"/>
          <w:szCs w:val="16"/>
        </w:rPr>
        <w:t>, de 28 de julio de 2022, párrs.</w:t>
      </w:r>
      <w:r w:rsidR="00B55094" w:rsidRPr="00844022">
        <w:rPr>
          <w:sz w:val="16"/>
          <w:szCs w:val="16"/>
        </w:rPr>
        <w:t xml:space="preserve"> 12 y 42 </w:t>
      </w:r>
      <w:r w:rsidR="00172ADF" w:rsidRPr="00844022">
        <w:rPr>
          <w:sz w:val="16"/>
          <w:szCs w:val="16"/>
        </w:rPr>
        <w:t>(expediente de prueba, folio</w:t>
      </w:r>
      <w:r w:rsidR="004B77A3" w:rsidRPr="00844022">
        <w:rPr>
          <w:sz w:val="16"/>
          <w:szCs w:val="16"/>
        </w:rPr>
        <w:t xml:space="preserve">s </w:t>
      </w:r>
      <w:r w:rsidR="0020470E" w:rsidRPr="00844022">
        <w:rPr>
          <w:sz w:val="16"/>
          <w:szCs w:val="16"/>
        </w:rPr>
        <w:t>3111</w:t>
      </w:r>
      <w:r w:rsidR="00FF4624" w:rsidRPr="00844022">
        <w:rPr>
          <w:sz w:val="16"/>
          <w:szCs w:val="16"/>
        </w:rPr>
        <w:t xml:space="preserve"> y </w:t>
      </w:r>
      <w:r w:rsidR="0020470E" w:rsidRPr="00844022">
        <w:rPr>
          <w:sz w:val="16"/>
          <w:szCs w:val="16"/>
        </w:rPr>
        <w:t>3118</w:t>
      </w:r>
      <w:r w:rsidR="00FF4624" w:rsidRPr="00844022">
        <w:rPr>
          <w:sz w:val="16"/>
          <w:szCs w:val="16"/>
        </w:rPr>
        <w:t>)</w:t>
      </w:r>
      <w:r w:rsidR="002334EB" w:rsidRPr="00844022">
        <w:rPr>
          <w:sz w:val="16"/>
          <w:szCs w:val="16"/>
        </w:rPr>
        <w:t>.</w:t>
      </w:r>
      <w:r w:rsidR="0099666F" w:rsidRPr="00844022">
        <w:rPr>
          <w:sz w:val="16"/>
          <w:szCs w:val="16"/>
        </w:rPr>
        <w:t xml:space="preserve"> </w:t>
      </w:r>
    </w:p>
  </w:footnote>
  <w:footnote w:id="49">
    <w:p w14:paraId="0013732C" w14:textId="77777777" w:rsidR="00664F60" w:rsidRPr="00844022" w:rsidRDefault="00664F60"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w:t>
      </w:r>
      <w:r w:rsidRPr="00844022">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Pr="00844022">
        <w:rPr>
          <w:sz w:val="16"/>
          <w:szCs w:val="16"/>
          <w:lang w:val="es-ES"/>
        </w:rPr>
        <w:t>. Opinión Consultiva OC 29/22, de 30 de mayo de 2022, párr. 182.</w:t>
      </w:r>
    </w:p>
  </w:footnote>
  <w:footnote w:id="50">
    <w:p w14:paraId="6801D506" w14:textId="72BA8362" w:rsidR="00D81BE9" w:rsidRPr="00844022" w:rsidRDefault="00D81BE9" w:rsidP="00844022">
      <w:pPr>
        <w:pStyle w:val="Textonotapie"/>
        <w:spacing w:before="60" w:after="60"/>
        <w:rPr>
          <w:sz w:val="16"/>
          <w:szCs w:val="16"/>
          <w:lang w:val="es-ES"/>
        </w:rPr>
      </w:pPr>
      <w:r w:rsidRPr="00844022">
        <w:rPr>
          <w:rStyle w:val="Refdenotaalpie"/>
          <w:sz w:val="16"/>
          <w:szCs w:val="16"/>
        </w:rPr>
        <w:footnoteRef/>
      </w:r>
      <w:r w:rsidRPr="00844022">
        <w:rPr>
          <w:sz w:val="16"/>
          <w:szCs w:val="16"/>
          <w:lang w:val="es-ES"/>
        </w:rPr>
        <w:t xml:space="preserve"> </w:t>
      </w:r>
      <w:r w:rsidRPr="00844022">
        <w:rPr>
          <w:sz w:val="16"/>
          <w:szCs w:val="16"/>
          <w:lang w:val="es-ES"/>
        </w:rPr>
        <w:tab/>
      </w:r>
      <w:r w:rsidRPr="00844022">
        <w:rPr>
          <w:i/>
          <w:iCs/>
          <w:sz w:val="16"/>
          <w:szCs w:val="16"/>
          <w:lang w:val="es-ES"/>
        </w:rPr>
        <w:t>Cfr</w:t>
      </w:r>
      <w:r w:rsidRPr="00844022">
        <w:rPr>
          <w:sz w:val="16"/>
          <w:szCs w:val="16"/>
          <w:lang w:val="es-ES"/>
        </w:rPr>
        <w:t xml:space="preserve">. </w:t>
      </w:r>
      <w:r w:rsidRPr="00844022">
        <w:rPr>
          <w:i/>
          <w:iCs/>
          <w:sz w:val="16"/>
          <w:szCs w:val="16"/>
          <w:lang w:val="es-ES"/>
        </w:rPr>
        <w:t>inter alia</w:t>
      </w:r>
      <w:r w:rsidRPr="00844022">
        <w:rPr>
          <w:sz w:val="16"/>
          <w:szCs w:val="16"/>
          <w:lang w:val="es-ES"/>
        </w:rPr>
        <w:t xml:space="preserve">, </w:t>
      </w:r>
      <w:r w:rsidRPr="00844022">
        <w:rPr>
          <w:i/>
          <w:iCs/>
          <w:sz w:val="16"/>
          <w:szCs w:val="16"/>
          <w:lang w:val="es-ES"/>
        </w:rPr>
        <w:t>Caso Raxcacó Reyes Vs. Guatemala, supra</w:t>
      </w:r>
      <w:r w:rsidRPr="00844022">
        <w:rPr>
          <w:sz w:val="16"/>
          <w:szCs w:val="16"/>
          <w:lang w:val="es-ES"/>
        </w:rPr>
        <w:t xml:space="preserve">, párr. 99 y siguientes; </w:t>
      </w:r>
      <w:r w:rsidRPr="00844022">
        <w:rPr>
          <w:i/>
          <w:iCs/>
          <w:sz w:val="16"/>
          <w:szCs w:val="16"/>
        </w:rPr>
        <w:t xml:space="preserve">Caso Vélez Loor Vs. Panamá. Excepciones Preliminares, Fondo, Reparaciones y Costas. </w:t>
      </w:r>
      <w:r w:rsidRPr="00844022">
        <w:rPr>
          <w:sz w:val="16"/>
          <w:szCs w:val="16"/>
        </w:rPr>
        <w:t xml:space="preserve">Sentencia de 23 de noviembre de 2010. Serie C No. 218, párrs. 151 y 198; </w:t>
      </w:r>
      <w:r w:rsidRPr="00844022">
        <w:rPr>
          <w:i/>
          <w:iCs/>
          <w:sz w:val="16"/>
          <w:szCs w:val="16"/>
          <w:lang w:val="es-ES"/>
        </w:rPr>
        <w:t>Caso Fleury y otros Vs. Haití. Fondo y Reparaciones</w:t>
      </w:r>
      <w:r w:rsidRPr="00844022">
        <w:rPr>
          <w:sz w:val="16"/>
          <w:szCs w:val="16"/>
          <w:lang w:val="es-ES"/>
        </w:rPr>
        <w:t>. Sentencia de 23 de noviembre de 2011, Serie C No. 236, párr. 85, y</w:t>
      </w:r>
      <w:r w:rsidR="003C4D9C" w:rsidRPr="00844022">
        <w:rPr>
          <w:sz w:val="16"/>
          <w:szCs w:val="16"/>
          <w:lang w:val="es-ES"/>
        </w:rPr>
        <w:t xml:space="preserve"> </w:t>
      </w:r>
      <w:r w:rsidRPr="00844022">
        <w:rPr>
          <w:sz w:val="16"/>
          <w:szCs w:val="16"/>
          <w:lang w:val="es-ES"/>
        </w:rPr>
        <w:t>Asunto de la Cárcel de Urso Branco respecto Brasil. Medidas Provisionales. Resolución de la Corte Interamericana de Derechos Humanos de 29 de agosto de 2002, Considerando 10.</w:t>
      </w:r>
    </w:p>
  </w:footnote>
  <w:footnote w:id="51">
    <w:p w14:paraId="29563301" w14:textId="7A67D06E" w:rsidR="00D81BE9" w:rsidRPr="00844022" w:rsidRDefault="00D81BE9" w:rsidP="00844022">
      <w:pPr>
        <w:spacing w:before="60" w:after="60" w:line="240" w:lineRule="auto"/>
        <w:rPr>
          <w:b/>
          <w:bCs/>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008154C7" w:rsidRPr="00844022">
        <w:rPr>
          <w:i/>
          <w:sz w:val="16"/>
          <w:szCs w:val="16"/>
        </w:rPr>
        <w:t>Cfr.</w:t>
      </w:r>
      <w:r w:rsidR="008154C7" w:rsidRPr="00844022">
        <w:rPr>
          <w:sz w:val="16"/>
          <w:szCs w:val="16"/>
        </w:rPr>
        <w:t xml:space="preserve"> </w:t>
      </w:r>
      <w:r w:rsidR="008154C7" w:rsidRPr="00844022">
        <w:rPr>
          <w:rFonts w:cs="Arial"/>
          <w:sz w:val="16"/>
          <w:szCs w:val="16"/>
        </w:rPr>
        <w:t>Reglas Mínimas de las Naciones para el Tratamiento de Reclusos, adoptadas por el Primer Congreso de las Naciones Unidas sobre Prevención del Delito y Tratamiento del Delincuente, celebrado en Ginebra en 1955, y aprobadas por el Consejo Económico y Social en sus resoluciones 663C (XXIV) de 31 de julio de 1957 y 2076 (LXVII) de 13 de mayo de 1977.</w:t>
      </w:r>
      <w:r w:rsidR="003C4D9C" w:rsidRPr="00844022">
        <w:rPr>
          <w:rFonts w:cs="Arial"/>
          <w:sz w:val="16"/>
          <w:szCs w:val="16"/>
        </w:rPr>
        <w:t xml:space="preserve"> </w:t>
      </w:r>
      <w:r w:rsidR="008154C7" w:rsidRPr="00844022">
        <w:rPr>
          <w:rFonts w:cs="Arial"/>
          <w:sz w:val="16"/>
          <w:szCs w:val="16"/>
        </w:rPr>
        <w:t xml:space="preserve">En el año 2011 la Asamblea General de la </w:t>
      </w:r>
      <w:r w:rsidR="00DF74A9" w:rsidRPr="00844022">
        <w:rPr>
          <w:rFonts w:cs="Arial"/>
          <w:sz w:val="16"/>
          <w:szCs w:val="16"/>
        </w:rPr>
        <w:t xml:space="preserve">Organización de Naciones Unidas </w:t>
      </w:r>
      <w:r w:rsidR="008154C7" w:rsidRPr="00844022">
        <w:rPr>
          <w:rFonts w:cs="Arial"/>
          <w:sz w:val="16"/>
          <w:szCs w:val="16"/>
        </w:rPr>
        <w:t>decidió establecer un grupo intergubernamental de expertos de composición abierta para examinar y, eventualmente, revisar las Reglas Mínimas. En mayo de 2015, la Comisión de Prevención del Delito y Justicia Penal aprobó las reglas revisadas y las remitió al Consejo Económico y Social para su aprobación y, posteriormente, a la Asamblea General, la cual adoptó dichas reglas el 17 de diciembre de 2015 en su 80ª sesión plenaria (Resolución A/RES/70/175, de 8 de enero de 2016). En el cuarto encuentro el Grupo de Expertos recomendó que las reglas revisadas fueran también denominadas “Reglas Nelson Mandela”. Toda vez que los presentes hechos objeto de análisis de la Corte tuvieron lugar entre el 1 de diciembre de 1995 y el 26 de mayo de 1999, el Tribunal tomará como criterio las Reglas Mínimas del año 1955.</w:t>
      </w:r>
    </w:p>
  </w:footnote>
  <w:footnote w:id="52">
    <w:p w14:paraId="24FB84EB" w14:textId="4E7CE339" w:rsidR="00B55094" w:rsidRPr="00844022" w:rsidRDefault="00B55094"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rendida ante fedatario público por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xml:space="preserve">, de 28 de julio de 2022, párr. 12 (expediente de prueba, folio </w:t>
      </w:r>
      <w:r w:rsidR="000C0320" w:rsidRPr="00844022">
        <w:rPr>
          <w:sz w:val="16"/>
          <w:szCs w:val="16"/>
        </w:rPr>
        <w:t>3124</w:t>
      </w:r>
      <w:r w:rsidRPr="00844022">
        <w:rPr>
          <w:sz w:val="16"/>
          <w:szCs w:val="16"/>
        </w:rPr>
        <w:t xml:space="preserve">), y Declaración rendida ante fedatario público por Foster </w:t>
      </w:r>
      <w:proofErr w:type="spellStart"/>
      <w:r w:rsidRPr="00844022">
        <w:rPr>
          <w:sz w:val="16"/>
          <w:szCs w:val="16"/>
        </w:rPr>
        <w:t>Serrette</w:t>
      </w:r>
      <w:proofErr w:type="spellEnd"/>
      <w:r w:rsidRPr="00844022">
        <w:rPr>
          <w:sz w:val="16"/>
          <w:szCs w:val="16"/>
        </w:rPr>
        <w:t>, de 28 de julio de 2022, párr</w:t>
      </w:r>
      <w:r w:rsidR="00F63832" w:rsidRPr="00844022">
        <w:rPr>
          <w:sz w:val="16"/>
          <w:szCs w:val="16"/>
        </w:rPr>
        <w:t xml:space="preserve">. </w:t>
      </w:r>
      <w:r w:rsidRPr="00844022">
        <w:rPr>
          <w:sz w:val="16"/>
          <w:szCs w:val="16"/>
        </w:rPr>
        <w:t xml:space="preserve">12 y </w:t>
      </w:r>
      <w:r w:rsidR="00784E98" w:rsidRPr="00844022">
        <w:rPr>
          <w:sz w:val="16"/>
          <w:szCs w:val="16"/>
        </w:rPr>
        <w:t xml:space="preserve">42 </w:t>
      </w:r>
      <w:r w:rsidRPr="00844022">
        <w:rPr>
          <w:sz w:val="16"/>
          <w:szCs w:val="16"/>
        </w:rPr>
        <w:t>(expediente de prueba, folio</w:t>
      </w:r>
      <w:r w:rsidR="0018294F" w:rsidRPr="00844022">
        <w:rPr>
          <w:sz w:val="16"/>
          <w:szCs w:val="16"/>
        </w:rPr>
        <w:t>s</w:t>
      </w:r>
      <w:r w:rsidRPr="00844022">
        <w:rPr>
          <w:sz w:val="16"/>
          <w:szCs w:val="16"/>
        </w:rPr>
        <w:t xml:space="preserve"> </w:t>
      </w:r>
      <w:r w:rsidR="0018294F" w:rsidRPr="00844022">
        <w:rPr>
          <w:sz w:val="16"/>
          <w:szCs w:val="16"/>
        </w:rPr>
        <w:t>3111 y 3118</w:t>
      </w:r>
      <w:r w:rsidRPr="00844022">
        <w:rPr>
          <w:sz w:val="16"/>
          <w:szCs w:val="16"/>
        </w:rPr>
        <w:t>).</w:t>
      </w:r>
    </w:p>
  </w:footnote>
  <w:footnote w:id="53">
    <w:p w14:paraId="79366306" w14:textId="301B19B9" w:rsidR="00F63832" w:rsidRPr="00844022" w:rsidRDefault="00F63832"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rendida ante fedatario público por Foster </w:t>
      </w:r>
      <w:proofErr w:type="spellStart"/>
      <w:r w:rsidRPr="00844022">
        <w:rPr>
          <w:sz w:val="16"/>
          <w:szCs w:val="16"/>
        </w:rPr>
        <w:t>Serrette</w:t>
      </w:r>
      <w:proofErr w:type="spellEnd"/>
      <w:r w:rsidRPr="00844022">
        <w:rPr>
          <w:sz w:val="16"/>
          <w:szCs w:val="16"/>
        </w:rPr>
        <w:t>, de 28 de julio de 2022, párr. 12</w:t>
      </w:r>
      <w:r w:rsidR="00C23B6D" w:rsidRPr="00844022">
        <w:rPr>
          <w:sz w:val="16"/>
          <w:szCs w:val="16"/>
        </w:rPr>
        <w:t xml:space="preserve"> </w:t>
      </w:r>
      <w:r w:rsidRPr="00844022">
        <w:rPr>
          <w:sz w:val="16"/>
          <w:szCs w:val="16"/>
        </w:rPr>
        <w:t xml:space="preserve">(expediente de prueba, folio </w:t>
      </w:r>
      <w:r w:rsidR="00C23B6D" w:rsidRPr="00844022">
        <w:rPr>
          <w:sz w:val="16"/>
          <w:szCs w:val="16"/>
        </w:rPr>
        <w:t>31</w:t>
      </w:r>
      <w:r w:rsidR="00E4355D" w:rsidRPr="00844022">
        <w:rPr>
          <w:sz w:val="16"/>
          <w:szCs w:val="16"/>
        </w:rPr>
        <w:t>11</w:t>
      </w:r>
      <w:r w:rsidRPr="00844022">
        <w:rPr>
          <w:sz w:val="16"/>
          <w:szCs w:val="16"/>
        </w:rPr>
        <w:t>).</w:t>
      </w:r>
    </w:p>
  </w:footnote>
  <w:footnote w:id="54">
    <w:p w14:paraId="0FB96717" w14:textId="3C9FD670" w:rsidR="00AF3AD3" w:rsidRPr="00844022" w:rsidRDefault="00AF3AD3"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rendida ante fedatario público por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de 28 de julio de 2022, párr. 12</w:t>
      </w:r>
      <w:r w:rsidR="003C4D9C" w:rsidRPr="00844022">
        <w:rPr>
          <w:sz w:val="16"/>
          <w:szCs w:val="16"/>
        </w:rPr>
        <w:t xml:space="preserve"> </w:t>
      </w:r>
      <w:r w:rsidRPr="00844022">
        <w:rPr>
          <w:sz w:val="16"/>
          <w:szCs w:val="16"/>
        </w:rPr>
        <w:t xml:space="preserve">(expediente de prueba, folio </w:t>
      </w:r>
      <w:r w:rsidR="00F67E8F" w:rsidRPr="00844022">
        <w:rPr>
          <w:sz w:val="16"/>
          <w:szCs w:val="16"/>
        </w:rPr>
        <w:t>3124</w:t>
      </w:r>
      <w:r w:rsidRPr="00844022">
        <w:rPr>
          <w:sz w:val="16"/>
          <w:szCs w:val="16"/>
        </w:rPr>
        <w:t>).</w:t>
      </w:r>
    </w:p>
  </w:footnote>
  <w:footnote w:id="55">
    <w:p w14:paraId="5D1581B4" w14:textId="38D7C1CA" w:rsidR="00017123" w:rsidRPr="00844022" w:rsidRDefault="00017123"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sz w:val="16"/>
          <w:szCs w:val="16"/>
        </w:rPr>
        <w:t>Cfr.</w:t>
      </w:r>
      <w:r w:rsidRPr="00844022">
        <w:rPr>
          <w:sz w:val="16"/>
          <w:szCs w:val="16"/>
        </w:rPr>
        <w:t xml:space="preserve"> </w:t>
      </w:r>
      <w:r w:rsidRPr="00844022">
        <w:rPr>
          <w:rFonts w:cs="Arial"/>
          <w:sz w:val="16"/>
          <w:szCs w:val="16"/>
        </w:rPr>
        <w:t>Reglas Mínimas de las Naciones para el Tratamiento de Reclusos, adoptadas por el Primer Congreso de las Naciones Unidas sobre Prevención del Delito y Tratamiento del Delincuente, celebrado en Ginebra en 1995, y aprobadas por el Consejo Económico y Social en sus resoluciones 663C (XXIV) de 31 de julio de 1957 y 2076 (LXVII) de 13 de mayo de 1977</w:t>
      </w:r>
      <w:r w:rsidR="00BB66D6" w:rsidRPr="00844022">
        <w:rPr>
          <w:rFonts w:cs="Arial"/>
          <w:sz w:val="16"/>
          <w:szCs w:val="16"/>
        </w:rPr>
        <w:t>, párr. 21.1</w:t>
      </w:r>
      <w:r w:rsidRPr="00844022">
        <w:rPr>
          <w:rFonts w:cs="Arial"/>
          <w:sz w:val="16"/>
          <w:szCs w:val="16"/>
        </w:rPr>
        <w:t>.</w:t>
      </w:r>
    </w:p>
  </w:footnote>
  <w:footnote w:id="56">
    <w:p w14:paraId="30200947" w14:textId="61D390C8" w:rsidR="00D81BE9" w:rsidRPr="00844022" w:rsidRDefault="00D81BE9" w:rsidP="00844022">
      <w:pPr>
        <w:pStyle w:val="Textonotapie"/>
        <w:spacing w:before="60" w:after="60"/>
        <w:rPr>
          <w:sz w:val="16"/>
          <w:szCs w:val="16"/>
        </w:rPr>
      </w:pPr>
      <w:r w:rsidRPr="00844022">
        <w:rPr>
          <w:rStyle w:val="Refdenotaalpie"/>
          <w:sz w:val="16"/>
          <w:szCs w:val="16"/>
        </w:rPr>
        <w:footnoteRef/>
      </w:r>
      <w:r w:rsidRPr="00844022">
        <w:rPr>
          <w:sz w:val="16"/>
          <w:szCs w:val="16"/>
          <w:lang w:val="es-ES"/>
        </w:rPr>
        <w:t xml:space="preserve"> </w:t>
      </w:r>
      <w:r w:rsidRPr="00844022">
        <w:rPr>
          <w:sz w:val="16"/>
          <w:szCs w:val="16"/>
          <w:lang w:val="es-ES"/>
        </w:rPr>
        <w:tab/>
      </w:r>
      <w:r w:rsidRPr="00844022">
        <w:rPr>
          <w:i/>
          <w:iCs/>
          <w:sz w:val="16"/>
          <w:szCs w:val="16"/>
          <w:lang w:val="es-ES"/>
        </w:rPr>
        <w:t>Cfr</w:t>
      </w:r>
      <w:r w:rsidRPr="00844022">
        <w:rPr>
          <w:sz w:val="16"/>
          <w:szCs w:val="16"/>
          <w:lang w:val="es-ES"/>
        </w:rPr>
        <w:t xml:space="preserve">. </w:t>
      </w:r>
      <w:r w:rsidRPr="00844022">
        <w:rPr>
          <w:rStyle w:val="markedcontent"/>
          <w:rFonts w:eastAsia="MS Mincho"/>
          <w:i/>
          <w:iCs/>
          <w:sz w:val="16"/>
          <w:szCs w:val="16"/>
          <w:lang w:val="es-ES"/>
        </w:rPr>
        <w:t xml:space="preserve">Caso Tibi Vs. </w:t>
      </w:r>
      <w:r w:rsidRPr="00844022">
        <w:rPr>
          <w:rStyle w:val="markedcontent"/>
          <w:rFonts w:eastAsia="MS Mincho"/>
          <w:i/>
          <w:iCs/>
          <w:sz w:val="16"/>
          <w:szCs w:val="16"/>
        </w:rPr>
        <w:t>Ecuador. Excepciones Preliminares, Fondo, Reparaciones y Costas.</w:t>
      </w:r>
      <w:r w:rsidRPr="00844022">
        <w:rPr>
          <w:rStyle w:val="markedcontent"/>
          <w:rFonts w:eastAsia="MS Mincho"/>
          <w:sz w:val="16"/>
          <w:szCs w:val="16"/>
        </w:rPr>
        <w:t xml:space="preserve"> Sentencia de 7 de septiembre de 2004. Serie C No. 114, párr. 150, y </w:t>
      </w:r>
      <w:r w:rsidRPr="00844022">
        <w:rPr>
          <w:rStyle w:val="markedcontent"/>
          <w:rFonts w:eastAsia="MS Mincho"/>
          <w:i/>
          <w:iCs/>
          <w:sz w:val="16"/>
          <w:szCs w:val="16"/>
        </w:rPr>
        <w:t xml:space="preserve">Caso del Penal Miguel Castro </w:t>
      </w:r>
      <w:proofErr w:type="spellStart"/>
      <w:r w:rsidRPr="00844022">
        <w:rPr>
          <w:rStyle w:val="markedcontent"/>
          <w:rFonts w:eastAsia="MS Mincho"/>
          <w:i/>
          <w:iCs/>
          <w:sz w:val="16"/>
          <w:szCs w:val="16"/>
        </w:rPr>
        <w:t>Castro</w:t>
      </w:r>
      <w:proofErr w:type="spellEnd"/>
      <w:r w:rsidRPr="00844022">
        <w:rPr>
          <w:rStyle w:val="markedcontent"/>
          <w:rFonts w:eastAsia="MS Mincho"/>
          <w:i/>
          <w:iCs/>
          <w:sz w:val="16"/>
          <w:szCs w:val="16"/>
        </w:rPr>
        <w:t xml:space="preserve"> Vs. Perú. Fondo, Reparaciones y Costas</w:t>
      </w:r>
      <w:r w:rsidRPr="00844022">
        <w:rPr>
          <w:rStyle w:val="markedcontent"/>
          <w:rFonts w:eastAsia="MS Mincho"/>
          <w:sz w:val="16"/>
          <w:szCs w:val="16"/>
        </w:rPr>
        <w:t>. Sentencia de 25 de noviembre de 2006, párr. 315.</w:t>
      </w:r>
      <w:r w:rsidR="001344EA" w:rsidRPr="00844022">
        <w:rPr>
          <w:rStyle w:val="markedcontent"/>
          <w:rFonts w:eastAsia="MS Mincho"/>
          <w:sz w:val="16"/>
          <w:szCs w:val="16"/>
        </w:rPr>
        <w:t xml:space="preserve"> Ver también, </w:t>
      </w:r>
      <w:r w:rsidR="001344EA" w:rsidRPr="00844022">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001344EA" w:rsidRPr="00844022">
        <w:rPr>
          <w:sz w:val="16"/>
          <w:szCs w:val="16"/>
          <w:lang w:val="es-ES"/>
        </w:rPr>
        <w:t>. Opinión Consultiva OC 29/22, de 30 de mayo de 2022, párr. 40.</w:t>
      </w:r>
    </w:p>
  </w:footnote>
  <w:footnote w:id="57">
    <w:p w14:paraId="732D4374" w14:textId="118DEBE3" w:rsidR="003A09EE" w:rsidRPr="00844022" w:rsidRDefault="003A09EE" w:rsidP="00844022">
      <w:pPr>
        <w:pStyle w:val="Textonotapie"/>
        <w:tabs>
          <w:tab w:val="left" w:pos="567"/>
        </w:tabs>
        <w:spacing w:before="60" w:after="60"/>
        <w:rPr>
          <w:sz w:val="16"/>
          <w:szCs w:val="16"/>
          <w:lang w:val="es-CR"/>
        </w:rPr>
      </w:pPr>
      <w:r w:rsidRPr="00844022">
        <w:rPr>
          <w:rStyle w:val="Refdenotaalpie"/>
          <w:sz w:val="16"/>
          <w:szCs w:val="16"/>
        </w:rPr>
        <w:footnoteRef/>
      </w:r>
      <w:r w:rsidRPr="00844022">
        <w:rPr>
          <w:sz w:val="16"/>
          <w:szCs w:val="16"/>
          <w:lang w:val="es-CR"/>
        </w:rPr>
        <w:t xml:space="preserve"> </w:t>
      </w:r>
      <w:r w:rsidRPr="00844022">
        <w:rPr>
          <w:sz w:val="16"/>
          <w:szCs w:val="16"/>
          <w:lang w:val="es-CR"/>
        </w:rPr>
        <w:tab/>
      </w:r>
      <w:r w:rsidRPr="00844022">
        <w:rPr>
          <w:i/>
          <w:iCs/>
          <w:sz w:val="16"/>
          <w:szCs w:val="16"/>
          <w:lang w:val="es-CR"/>
        </w:rPr>
        <w:t>Cfr</w:t>
      </w:r>
      <w:r w:rsidRPr="00844022">
        <w:rPr>
          <w:sz w:val="16"/>
          <w:szCs w:val="16"/>
          <w:lang w:val="es-CR"/>
        </w:rPr>
        <w:t xml:space="preserve">. </w:t>
      </w:r>
      <w:r w:rsidR="004751C3" w:rsidRPr="00844022">
        <w:rPr>
          <w:i/>
          <w:iCs/>
          <w:sz w:val="16"/>
          <w:szCs w:val="16"/>
          <w:lang w:val="es-ES"/>
        </w:rPr>
        <w:t>Enfoques diferenciados respecto de determinados grupos de personas privadas de la libertad (Interpretación y alcance de los artículos 1.1, 4.1, 5, 11.2, 12, 13, 17.1, 19, 24 y 26 de la Convención Americana sobre Derechos Humanos y de otros instrumentos que conciernen a la protección de los derechos humanos).</w:t>
      </w:r>
      <w:r w:rsidR="004751C3" w:rsidRPr="00844022">
        <w:rPr>
          <w:sz w:val="16"/>
          <w:szCs w:val="16"/>
          <w:lang w:val="es-ES"/>
        </w:rPr>
        <w:t xml:space="preserve"> Opinión Consultiva OC-29/22 de 30 de mayo de 2022. Serie A No. 29</w:t>
      </w:r>
      <w:r w:rsidRPr="00844022">
        <w:rPr>
          <w:sz w:val="16"/>
          <w:szCs w:val="16"/>
          <w:lang w:val="es-ES"/>
        </w:rPr>
        <w:t xml:space="preserve">, párr. </w:t>
      </w:r>
      <w:r w:rsidR="004751C3" w:rsidRPr="00844022">
        <w:rPr>
          <w:sz w:val="16"/>
          <w:szCs w:val="16"/>
          <w:lang w:val="es-ES"/>
        </w:rPr>
        <w:t>103</w:t>
      </w:r>
      <w:r w:rsidRPr="00844022">
        <w:rPr>
          <w:sz w:val="16"/>
          <w:szCs w:val="16"/>
          <w:lang w:val="es-ES"/>
        </w:rPr>
        <w:t xml:space="preserve">. Ver también, </w:t>
      </w:r>
      <w:r w:rsidRPr="00844022">
        <w:rPr>
          <w:sz w:val="16"/>
          <w:szCs w:val="16"/>
          <w:lang w:val="es-CR"/>
        </w:rPr>
        <w:t xml:space="preserve">CICR (3.4 mts en dormitorios colectivos y 5.4 mts en celdas individuales) y Comité Europeo Prevención de la Tortura (4 mts en dormitorios colectivos y 6 mts en celdas individuales). Véase </w:t>
      </w:r>
      <w:r w:rsidRPr="00844022">
        <w:rPr>
          <w:i/>
          <w:sz w:val="16"/>
          <w:szCs w:val="16"/>
          <w:lang w:val="es-CR"/>
        </w:rPr>
        <w:t>Caso Montero Aranguren y otros (Retén de Catia) Vs. Venezuela. Excepción Preliminar, Fondo, Reparaciones y Costas.</w:t>
      </w:r>
      <w:r w:rsidRPr="00844022">
        <w:rPr>
          <w:sz w:val="16"/>
          <w:szCs w:val="16"/>
          <w:lang w:val="es-CR"/>
        </w:rPr>
        <w:t xml:space="preserve"> Sentencia de 5 de julio de 2006. Serie C No. 150, párr. 90</w:t>
      </w:r>
      <w:r w:rsidR="00A81380" w:rsidRPr="00844022">
        <w:rPr>
          <w:sz w:val="16"/>
          <w:szCs w:val="16"/>
          <w:lang w:val="es-CR"/>
        </w:rPr>
        <w:t>.</w:t>
      </w:r>
    </w:p>
  </w:footnote>
  <w:footnote w:id="58">
    <w:p w14:paraId="5810ADE0" w14:textId="0224A18D" w:rsidR="00D81BE9" w:rsidRPr="00844022" w:rsidRDefault="00D81BE9" w:rsidP="00844022">
      <w:pPr>
        <w:pStyle w:val="Textonotapie"/>
        <w:spacing w:before="60" w:after="60"/>
        <w:rPr>
          <w:sz w:val="16"/>
          <w:szCs w:val="16"/>
          <w:lang w:val="es-CR"/>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 xml:space="preserve">Cfr. Caso Vélez Loor Vs. Panamá. Excepciones Preliminares, Fondo, Reparaciones y Costas. </w:t>
      </w:r>
      <w:r w:rsidRPr="00844022">
        <w:rPr>
          <w:sz w:val="16"/>
          <w:szCs w:val="16"/>
        </w:rPr>
        <w:t>Sentencia de 23 de noviembre de 2010. Serie C No. 218, párr. 216. 65</w:t>
      </w:r>
      <w:r w:rsidR="001344EA" w:rsidRPr="00844022">
        <w:rPr>
          <w:sz w:val="16"/>
          <w:szCs w:val="16"/>
        </w:rPr>
        <w:t xml:space="preserve">, y </w:t>
      </w:r>
      <w:r w:rsidR="001344EA" w:rsidRPr="00844022">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001344EA" w:rsidRPr="00844022">
        <w:rPr>
          <w:sz w:val="16"/>
          <w:szCs w:val="16"/>
          <w:lang w:val="es-ES"/>
        </w:rPr>
        <w:t>. Opinión Consultiva OC 29/22, de 30 de mayo de 2022, párr. 40.</w:t>
      </w:r>
      <w:r w:rsidR="00062E1D" w:rsidRPr="00844022">
        <w:rPr>
          <w:sz w:val="16"/>
          <w:szCs w:val="16"/>
          <w:lang w:val="es-ES"/>
        </w:rPr>
        <w:t xml:space="preserve"> </w:t>
      </w:r>
      <w:r w:rsidR="001344EA" w:rsidRPr="00844022">
        <w:rPr>
          <w:sz w:val="16"/>
          <w:szCs w:val="16"/>
          <w:lang w:val="es-ES"/>
        </w:rPr>
        <w:t>P</w:t>
      </w:r>
      <w:proofErr w:type="spellStart"/>
      <w:r w:rsidRPr="00844022">
        <w:rPr>
          <w:sz w:val="16"/>
          <w:szCs w:val="16"/>
        </w:rPr>
        <w:t>or</w:t>
      </w:r>
      <w:proofErr w:type="spellEnd"/>
      <w:r w:rsidRPr="00844022">
        <w:rPr>
          <w:sz w:val="16"/>
          <w:szCs w:val="16"/>
        </w:rPr>
        <w:t xml:space="preserve"> su parte, el Comité de Derechos Humanos de la </w:t>
      </w:r>
      <w:r w:rsidR="00CC41BD" w:rsidRPr="00844022">
        <w:rPr>
          <w:sz w:val="16"/>
          <w:szCs w:val="16"/>
        </w:rPr>
        <w:t xml:space="preserve">Organización de Naciones Unidas </w:t>
      </w:r>
      <w:r w:rsidRPr="00844022">
        <w:rPr>
          <w:sz w:val="16"/>
          <w:szCs w:val="16"/>
        </w:rPr>
        <w:t xml:space="preserve">ha afirmado que mantener detenida a una persona en una celda reducida, veintitrés horas al día, aislada de los demás presos, en oscuridad, sin tener en qué ocuparse y sin que se le permita trabajar ni estudiar, constituye una violación a su derecho a ser tratado humanamente y con el debido respeto a la dignidad inherente al ser humano . En el caso </w:t>
      </w:r>
      <w:r w:rsidRPr="00844022">
        <w:rPr>
          <w:i/>
          <w:iCs/>
          <w:sz w:val="16"/>
          <w:szCs w:val="16"/>
        </w:rPr>
        <w:t>Mukong</w:t>
      </w:r>
      <w:r w:rsidR="003C4D9C" w:rsidRPr="00844022">
        <w:rPr>
          <w:sz w:val="16"/>
          <w:szCs w:val="16"/>
        </w:rPr>
        <w:t xml:space="preserve"> </w:t>
      </w:r>
      <w:r w:rsidRPr="00844022">
        <w:rPr>
          <w:sz w:val="16"/>
          <w:szCs w:val="16"/>
        </w:rPr>
        <w:t xml:space="preserve">el Comité de Derechos Humanos insistió sobre la universalidad del derecho a un trato digno y humano y rechazó la escasez de recursos como excusa para la inobservancia de este derecho. </w:t>
      </w:r>
      <w:r w:rsidRPr="00844022">
        <w:rPr>
          <w:i/>
          <w:sz w:val="16"/>
          <w:szCs w:val="16"/>
          <w:lang w:val="es-CR"/>
        </w:rPr>
        <w:t>Cfr.</w:t>
      </w:r>
      <w:r w:rsidRPr="00844022">
        <w:rPr>
          <w:sz w:val="16"/>
          <w:szCs w:val="16"/>
          <w:lang w:val="es-CR"/>
        </w:rPr>
        <w:t xml:space="preserve"> </w:t>
      </w:r>
      <w:r w:rsidR="00CC41BD" w:rsidRPr="00844022">
        <w:rPr>
          <w:sz w:val="16"/>
          <w:szCs w:val="16"/>
          <w:lang w:val="es-CR"/>
        </w:rPr>
        <w:t>Organización de Naciones Unidas</w:t>
      </w:r>
      <w:r w:rsidRPr="00844022">
        <w:rPr>
          <w:sz w:val="16"/>
          <w:szCs w:val="16"/>
          <w:lang w:val="es-CR"/>
        </w:rPr>
        <w:t xml:space="preserve">, Comité de Derechos Humanos, </w:t>
      </w:r>
      <w:r w:rsidRPr="00844022">
        <w:rPr>
          <w:i/>
          <w:sz w:val="16"/>
          <w:szCs w:val="16"/>
          <w:lang w:val="es-CR"/>
        </w:rPr>
        <w:t>Anthony McLeod c</w:t>
      </w:r>
      <w:r w:rsidR="00CC41BD" w:rsidRPr="00844022">
        <w:rPr>
          <w:i/>
          <w:sz w:val="16"/>
          <w:szCs w:val="16"/>
          <w:lang w:val="es-CR"/>
        </w:rPr>
        <w:t>ontra</w:t>
      </w:r>
      <w:r w:rsidRPr="00844022">
        <w:rPr>
          <w:i/>
          <w:sz w:val="16"/>
          <w:szCs w:val="16"/>
          <w:lang w:val="es-CR"/>
        </w:rPr>
        <w:t>. Jamaica</w:t>
      </w:r>
      <w:r w:rsidRPr="00844022">
        <w:rPr>
          <w:sz w:val="16"/>
          <w:szCs w:val="16"/>
          <w:lang w:val="es-CR"/>
        </w:rPr>
        <w:t xml:space="preserve">, Comunicación No. 734/1997, Dictamen de 3 de junio de 1998, CCPR/C/62/D/734/1997, párr. 6.4, y </w:t>
      </w:r>
      <w:r w:rsidR="00CC41BD" w:rsidRPr="00844022">
        <w:rPr>
          <w:sz w:val="16"/>
          <w:szCs w:val="16"/>
        </w:rPr>
        <w:t>Organización de Naciones Unidas</w:t>
      </w:r>
      <w:r w:rsidRPr="00844022">
        <w:rPr>
          <w:sz w:val="16"/>
          <w:szCs w:val="16"/>
        </w:rPr>
        <w:t xml:space="preserve">, Comité de Derechos Humanos, </w:t>
      </w:r>
      <w:r w:rsidRPr="00844022">
        <w:rPr>
          <w:i/>
          <w:sz w:val="16"/>
          <w:szCs w:val="16"/>
          <w:lang w:val="es-CR"/>
        </w:rPr>
        <w:t>Mukong c. Camerún</w:t>
      </w:r>
      <w:r w:rsidRPr="00844022">
        <w:rPr>
          <w:i/>
          <w:sz w:val="16"/>
          <w:szCs w:val="16"/>
        </w:rPr>
        <w:t xml:space="preserve">, </w:t>
      </w:r>
      <w:r w:rsidRPr="00844022">
        <w:rPr>
          <w:sz w:val="16"/>
          <w:szCs w:val="16"/>
        </w:rPr>
        <w:t>Comunicación No. 458/1991, Dictamen de 10 de agosto de 1994, CCPR/C/51/D/458/1991, párr. 9.3.</w:t>
      </w:r>
      <w:r w:rsidRPr="00844022">
        <w:rPr>
          <w:sz w:val="16"/>
          <w:szCs w:val="16"/>
          <w:lang w:val="es-CR"/>
        </w:rPr>
        <w:t xml:space="preserve"> </w:t>
      </w:r>
      <w:r w:rsidRPr="00844022">
        <w:rPr>
          <w:i/>
          <w:iCs/>
          <w:sz w:val="16"/>
          <w:szCs w:val="16"/>
          <w:lang w:val="es-CR"/>
        </w:rPr>
        <w:t>Ver también</w:t>
      </w:r>
      <w:r w:rsidRPr="00844022">
        <w:rPr>
          <w:sz w:val="16"/>
          <w:szCs w:val="16"/>
          <w:lang w:val="es-CR"/>
        </w:rPr>
        <w:t xml:space="preserve">, </w:t>
      </w:r>
      <w:r w:rsidRPr="00844022">
        <w:rPr>
          <w:rStyle w:val="Textoennegrita"/>
          <w:b w:val="0"/>
          <w:bCs w:val="0"/>
          <w:i/>
          <w:sz w:val="16"/>
          <w:szCs w:val="16"/>
        </w:rPr>
        <w:t>Caso Raxcacó Reyes Vs. Guatemala</w:t>
      </w:r>
      <w:r w:rsidRPr="00844022">
        <w:rPr>
          <w:i/>
          <w:sz w:val="16"/>
          <w:szCs w:val="16"/>
        </w:rPr>
        <w:t xml:space="preserve">, </w:t>
      </w:r>
      <w:r w:rsidRPr="00844022">
        <w:rPr>
          <w:rFonts w:cs="Arial"/>
          <w:i/>
          <w:sz w:val="16"/>
          <w:szCs w:val="16"/>
        </w:rPr>
        <w:t xml:space="preserve">supra, </w:t>
      </w:r>
      <w:r w:rsidRPr="00844022">
        <w:rPr>
          <w:rStyle w:val="Textoennegrita"/>
          <w:b w:val="0"/>
          <w:bCs w:val="0"/>
          <w:sz w:val="16"/>
          <w:szCs w:val="16"/>
        </w:rPr>
        <w:t>párr. 96.</w:t>
      </w:r>
    </w:p>
  </w:footnote>
  <w:footnote w:id="59">
    <w:p w14:paraId="2D2C0385" w14:textId="1FFFC463" w:rsidR="003A09EE" w:rsidRPr="00844022" w:rsidRDefault="003A09EE"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 xml:space="preserve">El Comité observó que la víctima estuvo detenida en el pabellón de la muerte “durante cinco años en una celda de 6 x 9 pies, sin medidas de higiene salvo un cubo, sin luz natural, pudiendo salir de su celda sólo una o dos veces por semana y siempre esposado, y con una alimentación del todo inadecuada, sin tener en cuenta sus necesidades dietéticas particulares”. </w:t>
      </w:r>
      <w:r w:rsidRPr="00844022">
        <w:rPr>
          <w:i/>
          <w:iCs/>
          <w:sz w:val="16"/>
          <w:szCs w:val="16"/>
          <w:lang w:val="es-ES"/>
        </w:rPr>
        <w:t>Cfr</w:t>
      </w:r>
      <w:r w:rsidRPr="00844022">
        <w:rPr>
          <w:sz w:val="16"/>
          <w:szCs w:val="16"/>
          <w:lang w:val="es-ES"/>
        </w:rPr>
        <w:t xml:space="preserve">. ONU, Comité de Derechos Humanos, </w:t>
      </w:r>
      <w:r w:rsidRPr="00844022">
        <w:rPr>
          <w:i/>
          <w:iCs/>
          <w:sz w:val="16"/>
          <w:szCs w:val="16"/>
          <w:lang w:val="es-ES"/>
        </w:rPr>
        <w:t>Evans c. Trinidad y Tobago</w:t>
      </w:r>
      <w:r w:rsidRPr="00844022">
        <w:rPr>
          <w:sz w:val="16"/>
          <w:szCs w:val="16"/>
          <w:lang w:val="es-ES"/>
        </w:rPr>
        <w:t xml:space="preserve">, Comunicación No. 908/2000, Dictamen de 21 de marzo de </w:t>
      </w:r>
      <w:r w:rsidRPr="00844022">
        <w:rPr>
          <w:rStyle w:val="Refdenotaalpie"/>
          <w:spacing w:val="-4"/>
          <w:sz w:val="16"/>
          <w:szCs w:val="16"/>
          <w:vertAlign w:val="baseline"/>
          <w:lang w:val="es-CR"/>
        </w:rPr>
        <w:t>2003</w:t>
      </w:r>
      <w:r w:rsidRPr="00844022">
        <w:rPr>
          <w:sz w:val="16"/>
          <w:szCs w:val="16"/>
          <w:lang w:val="es-ES"/>
        </w:rPr>
        <w:t>, CCPR/C/77/D/908/2000, párr. 6.4.</w:t>
      </w:r>
      <w:r w:rsidRPr="00844022">
        <w:rPr>
          <w:sz w:val="16"/>
          <w:szCs w:val="16"/>
        </w:rPr>
        <w:t xml:space="preserve"> </w:t>
      </w:r>
    </w:p>
  </w:footnote>
  <w:footnote w:id="60">
    <w:p w14:paraId="0C8FD784" w14:textId="6D748640" w:rsidR="003A09EE" w:rsidRPr="00844022" w:rsidRDefault="003A09EE"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lang w:val="es-ES"/>
        </w:rPr>
        <w:t>Cfr</w:t>
      </w:r>
      <w:r w:rsidRPr="00844022">
        <w:rPr>
          <w:sz w:val="16"/>
          <w:szCs w:val="16"/>
          <w:lang w:val="es-ES"/>
        </w:rPr>
        <w:t xml:space="preserve">. </w:t>
      </w:r>
      <w:r w:rsidR="00081038" w:rsidRPr="00844022">
        <w:rPr>
          <w:sz w:val="16"/>
          <w:szCs w:val="16"/>
          <w:lang w:val="es-ES"/>
        </w:rPr>
        <w:t>Organización de Naciones Unidas</w:t>
      </w:r>
      <w:r w:rsidRPr="00844022">
        <w:rPr>
          <w:sz w:val="16"/>
          <w:szCs w:val="16"/>
          <w:lang w:val="es-ES"/>
        </w:rPr>
        <w:t xml:space="preserve">, Comité de Derechos Humanos, </w:t>
      </w:r>
      <w:r w:rsidRPr="00844022">
        <w:rPr>
          <w:i/>
          <w:iCs/>
          <w:sz w:val="16"/>
          <w:szCs w:val="16"/>
          <w:lang w:val="es-ES"/>
        </w:rPr>
        <w:t>Glenroy Francis y otros c. Trinidad y Tobago</w:t>
      </w:r>
      <w:r w:rsidRPr="00844022">
        <w:rPr>
          <w:sz w:val="16"/>
          <w:szCs w:val="16"/>
          <w:lang w:val="es-ES"/>
        </w:rPr>
        <w:t>, Comunicación No. 899/2000, Dictamen de 14 de mayo de 1997, CCPR/C/75/D/899/1999, párr. 5.6.</w:t>
      </w:r>
    </w:p>
  </w:footnote>
  <w:footnote w:id="61">
    <w:p w14:paraId="054BA066" w14:textId="61FF664B" w:rsidR="003A09EE" w:rsidRPr="00844022" w:rsidRDefault="003A09EE" w:rsidP="00844022">
      <w:pPr>
        <w:pStyle w:val="Textonotapie"/>
        <w:spacing w:before="60" w:after="60"/>
        <w:rPr>
          <w:sz w:val="16"/>
          <w:szCs w:val="16"/>
          <w:lang w:val="es-ES"/>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lang w:val="es-ES"/>
        </w:rPr>
        <w:t>Cfr</w:t>
      </w:r>
      <w:r w:rsidRPr="00844022">
        <w:rPr>
          <w:sz w:val="16"/>
          <w:szCs w:val="16"/>
          <w:lang w:val="es-ES"/>
        </w:rPr>
        <w:t xml:space="preserve">. </w:t>
      </w:r>
      <w:r w:rsidR="00081038" w:rsidRPr="00844022">
        <w:rPr>
          <w:sz w:val="16"/>
          <w:szCs w:val="16"/>
          <w:lang w:val="es-ES"/>
        </w:rPr>
        <w:t>Organización de Naciones Unidas</w:t>
      </w:r>
      <w:r w:rsidRPr="00844022">
        <w:rPr>
          <w:sz w:val="16"/>
          <w:szCs w:val="16"/>
          <w:lang w:val="es-ES"/>
        </w:rPr>
        <w:t xml:space="preserve">, Comité de Derechos Humanos, </w:t>
      </w:r>
      <w:r w:rsidRPr="00844022">
        <w:rPr>
          <w:i/>
          <w:iCs/>
          <w:sz w:val="16"/>
          <w:szCs w:val="16"/>
          <w:lang w:val="es-ES"/>
        </w:rPr>
        <w:t>Kenneth Teesdale c. Trinidad y Tobago</w:t>
      </w:r>
      <w:r w:rsidRPr="00844022">
        <w:rPr>
          <w:sz w:val="16"/>
          <w:szCs w:val="16"/>
          <w:lang w:val="es-ES"/>
        </w:rPr>
        <w:t xml:space="preserve">, Comunicación No. 677/1996, Dictamen de 15 de abril de 2003, CCPR/C/74/D/677/1996, párr. 9.1. Ver también, </w:t>
      </w:r>
      <w:r w:rsidRPr="00844022">
        <w:rPr>
          <w:i/>
          <w:iCs/>
          <w:sz w:val="16"/>
          <w:szCs w:val="16"/>
          <w:lang w:val="es-ES"/>
        </w:rPr>
        <w:t>Michael Wanza c. Trinidad y Tobago</w:t>
      </w:r>
      <w:r w:rsidRPr="00844022">
        <w:rPr>
          <w:sz w:val="16"/>
          <w:szCs w:val="16"/>
          <w:lang w:val="es-ES"/>
        </w:rPr>
        <w:t xml:space="preserve">, Comunicación No. 683/1996, Dictamen de 10 de junio de 2002, CCPR/C/74/D/683/1996, párr. 9.2, y </w:t>
      </w:r>
      <w:r w:rsidRPr="00844022">
        <w:rPr>
          <w:i/>
          <w:iCs/>
          <w:sz w:val="16"/>
          <w:szCs w:val="16"/>
          <w:lang w:val="es-ES"/>
        </w:rPr>
        <w:t>Rawle Kennedy c. Trinidad y Tobago</w:t>
      </w:r>
      <w:r w:rsidRPr="00844022">
        <w:rPr>
          <w:sz w:val="16"/>
          <w:szCs w:val="16"/>
          <w:lang w:val="es-ES"/>
        </w:rPr>
        <w:t>, Comunicación No. 845/1998, Dictamen de 28 de marzo de 2002, CCPR/C/74/D/845/1998, párr. 7.8.</w:t>
      </w:r>
    </w:p>
  </w:footnote>
  <w:footnote w:id="62">
    <w:p w14:paraId="79B62E7B" w14:textId="77EFC087" w:rsidR="0065157B" w:rsidRPr="00844022" w:rsidRDefault="0065157B" w:rsidP="00844022">
      <w:pPr>
        <w:pStyle w:val="Textonotapie"/>
        <w:spacing w:before="60" w:after="60"/>
        <w:rPr>
          <w:sz w:val="16"/>
          <w:szCs w:val="16"/>
          <w:lang w:eastAsia="es-PE"/>
        </w:rPr>
      </w:pPr>
      <w:r w:rsidRPr="00844022">
        <w:rPr>
          <w:rStyle w:val="Refdenotaalpie"/>
          <w:rFonts w:eastAsia="Calibri"/>
          <w:sz w:val="16"/>
          <w:szCs w:val="16"/>
        </w:rPr>
        <w:footnoteRef/>
      </w:r>
      <w:r w:rsidRPr="00844022">
        <w:rPr>
          <w:sz w:val="16"/>
          <w:szCs w:val="16"/>
        </w:rPr>
        <w:t xml:space="preserve"> </w:t>
      </w:r>
      <w:r w:rsidRPr="00844022">
        <w:rPr>
          <w:sz w:val="16"/>
          <w:szCs w:val="16"/>
        </w:rPr>
        <w:tab/>
      </w:r>
      <w:r w:rsidR="005C728E" w:rsidRPr="00844022">
        <w:rPr>
          <w:i/>
          <w:sz w:val="16"/>
          <w:szCs w:val="16"/>
          <w:lang w:eastAsia="es-PE"/>
        </w:rPr>
        <w:t>Cfr. Caso Velásquez Rodríguez Vs. Honduras. Reparaciones y Costas</w:t>
      </w:r>
      <w:r w:rsidR="005C728E" w:rsidRPr="00844022">
        <w:rPr>
          <w:sz w:val="16"/>
          <w:szCs w:val="16"/>
          <w:lang w:eastAsia="es-PE"/>
        </w:rPr>
        <w:t xml:space="preserve">. Sentencia de 21 de julio de 1989. Serie C No. 7, párr. 25, y </w:t>
      </w:r>
      <w:r w:rsidR="008F66A8" w:rsidRPr="00844022">
        <w:rPr>
          <w:rFonts w:cs="Open Sans"/>
          <w:i/>
          <w:iCs/>
          <w:sz w:val="16"/>
          <w:szCs w:val="16"/>
          <w:shd w:val="clear" w:color="auto" w:fill="FFFFFF"/>
        </w:rPr>
        <w:t>Caso</w:t>
      </w:r>
      <w:r w:rsidR="009D0964" w:rsidRPr="00844022">
        <w:rPr>
          <w:rFonts w:cs="Open Sans"/>
          <w:i/>
          <w:iCs/>
          <w:sz w:val="16"/>
          <w:szCs w:val="16"/>
          <w:shd w:val="clear" w:color="auto" w:fill="FFFFFF"/>
        </w:rPr>
        <w:t xml:space="preserve"> García y otros Vs. Honduras. Fondo, Reparaciones y Costas.</w:t>
      </w:r>
      <w:r w:rsidR="009D0964" w:rsidRPr="00844022">
        <w:rPr>
          <w:rFonts w:cs="Open Sans"/>
          <w:sz w:val="16"/>
          <w:szCs w:val="16"/>
          <w:shd w:val="clear" w:color="auto" w:fill="FFFFFF"/>
        </w:rPr>
        <w:t xml:space="preserve"> Sentencia de 25 de agosto de 2022. Serie C No. 462</w:t>
      </w:r>
      <w:r w:rsidR="002B5081" w:rsidRPr="00844022">
        <w:rPr>
          <w:rFonts w:cs="Open Sans"/>
          <w:sz w:val="16"/>
          <w:szCs w:val="16"/>
          <w:shd w:val="clear" w:color="auto" w:fill="FFFFFF"/>
        </w:rPr>
        <w:t>, párr. 90.</w:t>
      </w:r>
    </w:p>
  </w:footnote>
  <w:footnote w:id="63">
    <w:p w14:paraId="5D221766" w14:textId="3AD45B49" w:rsidR="0065157B" w:rsidRPr="00844022" w:rsidRDefault="0065157B" w:rsidP="00844022">
      <w:pPr>
        <w:pStyle w:val="Textonotapie"/>
        <w:spacing w:before="60" w:after="60"/>
        <w:rPr>
          <w:sz w:val="16"/>
          <w:szCs w:val="16"/>
          <w:lang w:eastAsia="es-PE"/>
        </w:rPr>
      </w:pPr>
      <w:r w:rsidRPr="00844022">
        <w:rPr>
          <w:rStyle w:val="Refdenotaalpie"/>
          <w:rFonts w:eastAsia="MS Mincho"/>
          <w:sz w:val="16"/>
          <w:szCs w:val="16"/>
        </w:rPr>
        <w:footnoteRef/>
      </w:r>
      <w:r w:rsidRPr="00844022">
        <w:rPr>
          <w:sz w:val="16"/>
          <w:szCs w:val="16"/>
        </w:rPr>
        <w:t xml:space="preserve"> </w:t>
      </w:r>
      <w:r w:rsidRPr="00844022">
        <w:rPr>
          <w:sz w:val="16"/>
          <w:szCs w:val="16"/>
        </w:rPr>
        <w:tab/>
      </w:r>
      <w:r w:rsidR="005C728E" w:rsidRPr="00844022">
        <w:rPr>
          <w:i/>
          <w:sz w:val="16"/>
          <w:szCs w:val="16"/>
          <w:lang w:eastAsia="es-PE"/>
        </w:rPr>
        <w:t>Cfr. Caso Velásquez Rodríguez Vs. Honduras</w:t>
      </w:r>
      <w:r w:rsidR="005C728E" w:rsidRPr="00844022">
        <w:rPr>
          <w:sz w:val="16"/>
          <w:szCs w:val="16"/>
          <w:lang w:eastAsia="es-PE"/>
        </w:rPr>
        <w:t xml:space="preserve">. Reparaciones y Costas, </w:t>
      </w:r>
      <w:r w:rsidR="005C728E" w:rsidRPr="00844022">
        <w:rPr>
          <w:i/>
          <w:sz w:val="16"/>
          <w:szCs w:val="16"/>
          <w:lang w:eastAsia="es-PE"/>
        </w:rPr>
        <w:t>supra</w:t>
      </w:r>
      <w:r w:rsidR="005C728E" w:rsidRPr="00844022">
        <w:rPr>
          <w:sz w:val="16"/>
          <w:szCs w:val="16"/>
          <w:lang w:eastAsia="es-PE"/>
        </w:rPr>
        <w:t xml:space="preserve">, párrs. 25 y 2, y </w:t>
      </w:r>
      <w:r w:rsidR="008F66A8" w:rsidRPr="00844022">
        <w:rPr>
          <w:i/>
          <w:iCs/>
          <w:sz w:val="16"/>
          <w:szCs w:val="16"/>
          <w:lang w:eastAsia="es-PE"/>
        </w:rPr>
        <w:t>Caso</w:t>
      </w:r>
      <w:r w:rsidR="008F66A8" w:rsidRPr="00844022">
        <w:rPr>
          <w:sz w:val="16"/>
          <w:szCs w:val="16"/>
          <w:lang w:eastAsia="es-PE"/>
        </w:rPr>
        <w:t xml:space="preserve"> </w:t>
      </w:r>
      <w:r w:rsidR="00F8494A" w:rsidRPr="00844022">
        <w:rPr>
          <w:rFonts w:cs="Open Sans"/>
          <w:i/>
          <w:iCs/>
          <w:sz w:val="16"/>
          <w:szCs w:val="16"/>
          <w:shd w:val="clear" w:color="auto" w:fill="FFFFFF"/>
        </w:rPr>
        <w:t>Deras García y otros Vs. Honduras, supra</w:t>
      </w:r>
      <w:r w:rsidR="00F8494A" w:rsidRPr="00844022">
        <w:rPr>
          <w:rFonts w:cs="Open Sans"/>
          <w:sz w:val="16"/>
          <w:szCs w:val="16"/>
          <w:shd w:val="clear" w:color="auto" w:fill="FFFFFF"/>
        </w:rPr>
        <w:t>, párr. 91.</w:t>
      </w:r>
    </w:p>
  </w:footnote>
  <w:footnote w:id="64">
    <w:p w14:paraId="7FE8817D" w14:textId="1331FFAB" w:rsidR="0065157B" w:rsidRPr="00844022" w:rsidRDefault="0065157B" w:rsidP="00844022">
      <w:pPr>
        <w:pStyle w:val="Textonotapie"/>
        <w:spacing w:before="60" w:after="60"/>
        <w:rPr>
          <w:rFonts w:cs="Courier New"/>
          <w:bCs/>
          <w:sz w:val="16"/>
          <w:szCs w:val="16"/>
          <w:lang w:eastAsia="en-US"/>
        </w:rPr>
      </w:pPr>
      <w:r w:rsidRPr="00844022">
        <w:rPr>
          <w:rStyle w:val="Refdenotaalpie"/>
          <w:rFonts w:eastAsia="Calibri"/>
          <w:sz w:val="16"/>
          <w:szCs w:val="16"/>
        </w:rPr>
        <w:footnoteRef/>
      </w:r>
      <w:r w:rsidRPr="00844022">
        <w:rPr>
          <w:sz w:val="16"/>
          <w:szCs w:val="16"/>
        </w:rPr>
        <w:t xml:space="preserve"> </w:t>
      </w:r>
      <w:r w:rsidRPr="00844022">
        <w:rPr>
          <w:sz w:val="16"/>
          <w:szCs w:val="16"/>
        </w:rPr>
        <w:tab/>
      </w:r>
      <w:r w:rsidR="005C728E" w:rsidRPr="00844022">
        <w:rPr>
          <w:i/>
          <w:sz w:val="16"/>
          <w:szCs w:val="16"/>
        </w:rPr>
        <w:t>Cfr.</w:t>
      </w:r>
      <w:r w:rsidR="005C728E" w:rsidRPr="00844022">
        <w:rPr>
          <w:bCs/>
          <w:i/>
          <w:sz w:val="16"/>
          <w:szCs w:val="16"/>
        </w:rPr>
        <w:t xml:space="preserve"> Caso de la Masacre de Las Dos Erres Vs. Guatemala. Excepción Preliminar, Fondo, Reparaciones y Costas. </w:t>
      </w:r>
      <w:r w:rsidR="005C728E" w:rsidRPr="00844022">
        <w:rPr>
          <w:bCs/>
          <w:sz w:val="16"/>
          <w:szCs w:val="16"/>
        </w:rPr>
        <w:t>Sentencia de 24 de noviembre de 2009. Serie C No. 211</w:t>
      </w:r>
      <w:r w:rsidR="005C728E" w:rsidRPr="00844022">
        <w:rPr>
          <w:sz w:val="16"/>
          <w:szCs w:val="16"/>
        </w:rPr>
        <w:t xml:space="preserve">, párr. 226, y </w:t>
      </w:r>
      <w:r w:rsidR="008F66A8" w:rsidRPr="00844022">
        <w:rPr>
          <w:i/>
          <w:iCs/>
          <w:sz w:val="16"/>
          <w:szCs w:val="16"/>
        </w:rPr>
        <w:t>Caso</w:t>
      </w:r>
      <w:r w:rsidR="008F66A8" w:rsidRPr="00844022">
        <w:rPr>
          <w:sz w:val="16"/>
          <w:szCs w:val="16"/>
        </w:rPr>
        <w:t xml:space="preserve"> </w:t>
      </w:r>
      <w:r w:rsidR="00E55D19" w:rsidRPr="00844022">
        <w:rPr>
          <w:rFonts w:cs="Open Sans"/>
          <w:i/>
          <w:iCs/>
          <w:sz w:val="16"/>
          <w:szCs w:val="16"/>
          <w:shd w:val="clear" w:color="auto" w:fill="FFFFFF"/>
        </w:rPr>
        <w:t>Deras García y otros Vs. Honduras, supra</w:t>
      </w:r>
      <w:r w:rsidR="00E55D19" w:rsidRPr="00844022">
        <w:rPr>
          <w:rFonts w:cs="Open Sans"/>
          <w:sz w:val="16"/>
          <w:szCs w:val="16"/>
          <w:shd w:val="clear" w:color="auto" w:fill="FFFFFF"/>
        </w:rPr>
        <w:t>, párr. 92.</w:t>
      </w:r>
    </w:p>
  </w:footnote>
  <w:footnote w:id="65">
    <w:p w14:paraId="15BC85A9" w14:textId="15C27AB9" w:rsidR="0065157B" w:rsidRPr="00844022" w:rsidRDefault="0065157B" w:rsidP="00844022">
      <w:pPr>
        <w:pStyle w:val="Textonotapie"/>
        <w:spacing w:before="60" w:after="60"/>
        <w:rPr>
          <w:rFonts w:cstheme="minorBidi"/>
          <w:bCs/>
          <w:sz w:val="16"/>
          <w:szCs w:val="16"/>
        </w:rPr>
      </w:pPr>
      <w:r w:rsidRPr="00844022">
        <w:rPr>
          <w:rStyle w:val="Refdenotaalpie"/>
          <w:rFonts w:eastAsia="Calibri"/>
          <w:sz w:val="16"/>
          <w:szCs w:val="16"/>
        </w:rPr>
        <w:footnoteRef/>
      </w:r>
      <w:r w:rsidRPr="00844022">
        <w:rPr>
          <w:sz w:val="16"/>
          <w:szCs w:val="16"/>
        </w:rPr>
        <w:t xml:space="preserve"> </w:t>
      </w:r>
      <w:r w:rsidRPr="00844022">
        <w:rPr>
          <w:sz w:val="16"/>
          <w:szCs w:val="16"/>
        </w:rPr>
        <w:tab/>
      </w:r>
      <w:r w:rsidR="005C728E" w:rsidRPr="00844022">
        <w:rPr>
          <w:i/>
          <w:sz w:val="16"/>
          <w:szCs w:val="16"/>
        </w:rPr>
        <w:t>Cfr. Caso Ticona Estrada Vs. Bolivia. Fondo, Reparaciones y Costas</w:t>
      </w:r>
      <w:r w:rsidR="005C728E" w:rsidRPr="00844022">
        <w:rPr>
          <w:sz w:val="16"/>
          <w:szCs w:val="16"/>
        </w:rPr>
        <w:t xml:space="preserve">. Sentencia de 27 de noviembre de 2008. Serie C No. 191, párr. 110, y </w:t>
      </w:r>
      <w:r w:rsidR="008F66A8" w:rsidRPr="00844022">
        <w:rPr>
          <w:i/>
          <w:iCs/>
          <w:sz w:val="16"/>
          <w:szCs w:val="16"/>
        </w:rPr>
        <w:t>Caso</w:t>
      </w:r>
      <w:r w:rsidR="008F66A8" w:rsidRPr="00844022">
        <w:rPr>
          <w:sz w:val="16"/>
          <w:szCs w:val="16"/>
        </w:rPr>
        <w:t xml:space="preserve"> </w:t>
      </w:r>
      <w:r w:rsidR="00E55D19" w:rsidRPr="00844022">
        <w:rPr>
          <w:rFonts w:cs="Open Sans"/>
          <w:i/>
          <w:iCs/>
          <w:sz w:val="16"/>
          <w:szCs w:val="16"/>
          <w:shd w:val="clear" w:color="auto" w:fill="FFFFFF"/>
        </w:rPr>
        <w:t>Deras García y otros Vs. Honduras, supra</w:t>
      </w:r>
      <w:r w:rsidR="00E55D19" w:rsidRPr="00844022">
        <w:rPr>
          <w:rFonts w:cs="Open Sans"/>
          <w:sz w:val="16"/>
          <w:szCs w:val="16"/>
          <w:shd w:val="clear" w:color="auto" w:fill="FFFFFF"/>
        </w:rPr>
        <w:t>, párr. 93.</w:t>
      </w:r>
    </w:p>
  </w:footnote>
  <w:footnote w:id="66">
    <w:p w14:paraId="7C605193" w14:textId="612240C9" w:rsidR="0065157B" w:rsidRPr="00844022" w:rsidRDefault="0065157B" w:rsidP="00844022">
      <w:pPr>
        <w:pStyle w:val="Textonotapie"/>
        <w:spacing w:before="60" w:after="60"/>
        <w:rPr>
          <w:sz w:val="16"/>
          <w:szCs w:val="16"/>
          <w:lang w:eastAsia="es-PE"/>
        </w:rPr>
      </w:pPr>
      <w:r w:rsidRPr="00844022">
        <w:rPr>
          <w:rStyle w:val="Refdenotaalpie"/>
          <w:rFonts w:eastAsia="Calibri"/>
          <w:sz w:val="16"/>
          <w:szCs w:val="16"/>
        </w:rPr>
        <w:footnoteRef/>
      </w:r>
      <w:r w:rsidRPr="00844022">
        <w:rPr>
          <w:rFonts w:cs="Verdana"/>
          <w:bCs/>
          <w:sz w:val="16"/>
          <w:szCs w:val="16"/>
        </w:rPr>
        <w:tab/>
      </w:r>
      <w:r w:rsidR="005C728E" w:rsidRPr="00844022">
        <w:rPr>
          <w:i/>
          <w:sz w:val="16"/>
          <w:szCs w:val="16"/>
        </w:rPr>
        <w:t>Cfr.</w:t>
      </w:r>
      <w:r w:rsidR="005C728E" w:rsidRPr="00844022">
        <w:rPr>
          <w:bCs/>
          <w:i/>
          <w:sz w:val="16"/>
          <w:szCs w:val="16"/>
        </w:rPr>
        <w:t xml:space="preserve"> Caso Velásquez Rodríguez Vs. Honduras. </w:t>
      </w:r>
      <w:r w:rsidR="005C728E" w:rsidRPr="00844022">
        <w:rPr>
          <w:i/>
          <w:sz w:val="16"/>
          <w:szCs w:val="16"/>
        </w:rPr>
        <w:t>Reparaciones y Costas, supra</w:t>
      </w:r>
      <w:r w:rsidR="005C728E" w:rsidRPr="00844022">
        <w:rPr>
          <w:sz w:val="16"/>
          <w:szCs w:val="16"/>
        </w:rPr>
        <w:t xml:space="preserve">, párrs. 25 a 27, y </w:t>
      </w:r>
      <w:r w:rsidR="008F66A8" w:rsidRPr="00844022">
        <w:rPr>
          <w:i/>
          <w:iCs/>
          <w:sz w:val="16"/>
          <w:szCs w:val="16"/>
        </w:rPr>
        <w:t>Caso</w:t>
      </w:r>
      <w:r w:rsidR="008F66A8" w:rsidRPr="00844022">
        <w:rPr>
          <w:sz w:val="16"/>
          <w:szCs w:val="16"/>
        </w:rPr>
        <w:t xml:space="preserve"> </w:t>
      </w:r>
      <w:r w:rsidR="00E55D19" w:rsidRPr="00844022">
        <w:rPr>
          <w:rFonts w:cs="Open Sans"/>
          <w:i/>
          <w:iCs/>
          <w:sz w:val="16"/>
          <w:szCs w:val="16"/>
          <w:shd w:val="clear" w:color="auto" w:fill="FFFFFF"/>
        </w:rPr>
        <w:t>Deras García y otros Vs. Honduras, supra</w:t>
      </w:r>
      <w:r w:rsidR="00E55D19" w:rsidRPr="00844022">
        <w:rPr>
          <w:rFonts w:cs="Open Sans"/>
          <w:sz w:val="16"/>
          <w:szCs w:val="16"/>
          <w:shd w:val="clear" w:color="auto" w:fill="FFFFFF"/>
        </w:rPr>
        <w:t>, párr. 94.</w:t>
      </w:r>
    </w:p>
  </w:footnote>
  <w:footnote w:id="67">
    <w:p w14:paraId="67F779BE" w14:textId="78BC5EF8" w:rsidR="00234BF2" w:rsidRPr="00844022" w:rsidRDefault="00234BF2" w:rsidP="00844022">
      <w:pPr>
        <w:pStyle w:val="Textonotapie"/>
        <w:spacing w:before="60" w:after="60"/>
        <w:rPr>
          <w:b/>
          <w:bCs/>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sz w:val="16"/>
          <w:szCs w:val="16"/>
        </w:rPr>
        <w:t xml:space="preserve">Cfr. Caso Montesinos Mejía Vs. Ecuador. Excepciones Preliminares, Fondo, Reparaciones y Costas. </w:t>
      </w:r>
      <w:r w:rsidRPr="00844022">
        <w:rPr>
          <w:iCs/>
          <w:sz w:val="16"/>
          <w:szCs w:val="16"/>
        </w:rPr>
        <w:t>Sentencia de 27 de enero de 2020. Serie C No. 398, Párrafo 226,</w:t>
      </w:r>
      <w:r w:rsidRPr="00844022">
        <w:rPr>
          <w:sz w:val="16"/>
          <w:szCs w:val="16"/>
        </w:rPr>
        <w:t xml:space="preserve"> y </w:t>
      </w:r>
      <w:r w:rsidR="008F66A8" w:rsidRPr="00844022">
        <w:rPr>
          <w:i/>
          <w:iCs/>
          <w:sz w:val="16"/>
          <w:szCs w:val="16"/>
        </w:rPr>
        <w:t>Caso</w:t>
      </w:r>
      <w:r w:rsidR="008F66A8" w:rsidRPr="00844022">
        <w:rPr>
          <w:sz w:val="16"/>
          <w:szCs w:val="16"/>
        </w:rPr>
        <w:t xml:space="preserve"> </w:t>
      </w:r>
      <w:r w:rsidR="00273C4D" w:rsidRPr="00844022">
        <w:rPr>
          <w:rFonts w:cs="Open Sans"/>
          <w:i/>
          <w:iCs/>
          <w:sz w:val="16"/>
          <w:szCs w:val="16"/>
          <w:shd w:val="clear" w:color="auto" w:fill="FFFFFF"/>
        </w:rPr>
        <w:t>Deras García y otros Vs. Honduras, supra</w:t>
      </w:r>
      <w:r w:rsidR="00273C4D" w:rsidRPr="00844022">
        <w:rPr>
          <w:rFonts w:cs="Open Sans"/>
          <w:sz w:val="16"/>
          <w:szCs w:val="16"/>
          <w:shd w:val="clear" w:color="auto" w:fill="FFFFFF"/>
        </w:rPr>
        <w:t>, párr. 108.</w:t>
      </w:r>
    </w:p>
  </w:footnote>
  <w:footnote w:id="68">
    <w:p w14:paraId="07E7012A" w14:textId="77777777" w:rsidR="008209CC" w:rsidRPr="00844022" w:rsidRDefault="008209CC"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 C</w:t>
      </w:r>
      <w:r w:rsidRPr="00844022">
        <w:rPr>
          <w:i/>
          <w:iCs/>
          <w:sz w:val="16"/>
          <w:szCs w:val="16"/>
          <w:lang w:val="es-CR"/>
        </w:rPr>
        <w:t>aso Hilaire, Constantine y Benjamin y otros Vs. Trinidad y Tobago, supra</w:t>
      </w:r>
      <w:r w:rsidRPr="00844022">
        <w:rPr>
          <w:sz w:val="16"/>
          <w:szCs w:val="16"/>
          <w:lang w:val="es-CR"/>
        </w:rPr>
        <w:t xml:space="preserve">, párr. 212 y punto resolutivo no. 8. </w:t>
      </w:r>
    </w:p>
  </w:footnote>
  <w:footnote w:id="69">
    <w:p w14:paraId="017D6417" w14:textId="10507121" w:rsidR="000E780B" w:rsidRPr="00844022" w:rsidRDefault="000E780B"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La Corte advierte que ha aplicado el artículo 65 de la Convención Americana en dichos casos, toda vez que ha constatado que el Estado no ha procedido a dar cumplimiento con dichos fallos.</w:t>
      </w:r>
    </w:p>
  </w:footnote>
  <w:footnote w:id="70">
    <w:p w14:paraId="442462A1" w14:textId="77777777" w:rsidR="008209CC" w:rsidRPr="00844022" w:rsidRDefault="008209CC"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 C</w:t>
      </w:r>
      <w:r w:rsidRPr="00844022">
        <w:rPr>
          <w:i/>
          <w:iCs/>
          <w:sz w:val="16"/>
          <w:szCs w:val="16"/>
          <w:lang w:val="es-CR"/>
        </w:rPr>
        <w:t>aso Hilaire, Constantine y Benjamin y otros Vs. Trinidad y Tobago, supra</w:t>
      </w:r>
      <w:r w:rsidRPr="00844022">
        <w:rPr>
          <w:sz w:val="16"/>
          <w:szCs w:val="16"/>
          <w:lang w:val="es-CR"/>
        </w:rPr>
        <w:t xml:space="preserve">, párr. 217 y punto resolutivo no. 14. </w:t>
      </w:r>
    </w:p>
  </w:footnote>
  <w:footnote w:id="71">
    <w:p w14:paraId="5A36DB3E" w14:textId="5737B8F4" w:rsidR="009C6243" w:rsidRPr="00844022" w:rsidRDefault="009C6243"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w:t>
      </w:r>
      <w:r w:rsidRPr="00844022">
        <w:rPr>
          <w:i/>
          <w:sz w:val="16"/>
          <w:szCs w:val="16"/>
        </w:rPr>
        <w:t>Caso Martínez Coronado Vs. Guatemala</w:t>
      </w:r>
      <w:r w:rsidR="003A1936" w:rsidRPr="00844022">
        <w:rPr>
          <w:i/>
          <w:sz w:val="16"/>
          <w:szCs w:val="16"/>
        </w:rPr>
        <w:t xml:space="preserve">. Fondo, Reparaciones y Costas. </w:t>
      </w:r>
      <w:r w:rsidR="003A1936" w:rsidRPr="00844022">
        <w:rPr>
          <w:iCs/>
          <w:sz w:val="16"/>
          <w:szCs w:val="16"/>
        </w:rPr>
        <w:t xml:space="preserve">Sentencia de 10 de mayo de 2019. Serie C No. 376, </w:t>
      </w:r>
      <w:r w:rsidRPr="00844022">
        <w:rPr>
          <w:sz w:val="16"/>
          <w:szCs w:val="16"/>
        </w:rPr>
        <w:t xml:space="preserve">párr. 63, y </w:t>
      </w:r>
      <w:r w:rsidRPr="00844022">
        <w:rPr>
          <w:i/>
          <w:iCs/>
          <w:sz w:val="16"/>
          <w:szCs w:val="16"/>
        </w:rPr>
        <w:t>Caso Ruiz Fuentes y otra Vs. Guatemala. Excepción Preliminar, Fondo, Reparaciones y Costas.</w:t>
      </w:r>
      <w:r w:rsidRPr="00844022">
        <w:rPr>
          <w:sz w:val="16"/>
          <w:szCs w:val="16"/>
        </w:rPr>
        <w:t xml:space="preserve"> Sentencia de 10 de octubre de 2019. Serie C No. 385, párr. 80.</w:t>
      </w:r>
    </w:p>
  </w:footnote>
  <w:footnote w:id="72">
    <w:p w14:paraId="6CAC6D6C" w14:textId="571591FD" w:rsidR="008209CC" w:rsidRPr="00844022" w:rsidRDefault="008209CC" w:rsidP="00844022">
      <w:pPr>
        <w:pStyle w:val="Textonotapie"/>
        <w:spacing w:before="60" w:after="60"/>
        <w:rPr>
          <w:b/>
          <w:bCs/>
          <w:sz w:val="16"/>
          <w:szCs w:val="16"/>
          <w:lang w:eastAsia="es-ES"/>
        </w:rPr>
      </w:pPr>
      <w:r w:rsidRPr="00844022">
        <w:rPr>
          <w:rStyle w:val="Refdenotaalpie"/>
          <w:rFonts w:eastAsia="MS ????"/>
          <w:sz w:val="16"/>
          <w:szCs w:val="16"/>
        </w:rPr>
        <w:footnoteRef/>
      </w:r>
      <w:r w:rsidRPr="00844022">
        <w:rPr>
          <w:sz w:val="16"/>
          <w:szCs w:val="16"/>
        </w:rPr>
        <w:tab/>
      </w:r>
      <w:r w:rsidRPr="00844022">
        <w:rPr>
          <w:i/>
          <w:sz w:val="16"/>
          <w:szCs w:val="16"/>
        </w:rPr>
        <w:t xml:space="preserve">Cfr. </w:t>
      </w:r>
      <w:r w:rsidRPr="00844022">
        <w:rPr>
          <w:bCs/>
          <w:i/>
          <w:sz w:val="16"/>
          <w:szCs w:val="16"/>
        </w:rPr>
        <w:t xml:space="preserve">Caso Bámaca Velásquez Vs. Guatemala. </w:t>
      </w:r>
      <w:r w:rsidRPr="00844022">
        <w:rPr>
          <w:i/>
          <w:sz w:val="16"/>
          <w:szCs w:val="16"/>
        </w:rPr>
        <w:t>Reparaciones y Costas</w:t>
      </w:r>
      <w:r w:rsidRPr="00844022">
        <w:rPr>
          <w:sz w:val="16"/>
          <w:szCs w:val="16"/>
        </w:rPr>
        <w:t xml:space="preserve">. Sentencia de 22 de febrero de 2002. Serie C No. 91, párr. 43, y </w:t>
      </w:r>
      <w:r w:rsidR="00630D5C" w:rsidRPr="00844022">
        <w:rPr>
          <w:i/>
          <w:iCs/>
          <w:sz w:val="16"/>
          <w:szCs w:val="16"/>
        </w:rPr>
        <w:t>Caso</w:t>
      </w:r>
      <w:r w:rsidR="00630D5C" w:rsidRPr="00844022">
        <w:rPr>
          <w:sz w:val="16"/>
          <w:szCs w:val="16"/>
        </w:rPr>
        <w:t xml:space="preserve"> </w:t>
      </w:r>
      <w:r w:rsidR="007F4345" w:rsidRPr="00844022">
        <w:rPr>
          <w:rFonts w:cs="Open Sans"/>
          <w:i/>
          <w:iCs/>
          <w:sz w:val="16"/>
          <w:szCs w:val="16"/>
          <w:shd w:val="clear" w:color="auto" w:fill="FFFFFF"/>
        </w:rPr>
        <w:t>Deras García y otros Vs. Honduras, supra</w:t>
      </w:r>
      <w:r w:rsidR="007F4345" w:rsidRPr="00844022">
        <w:rPr>
          <w:rFonts w:cs="Open Sans"/>
          <w:sz w:val="16"/>
          <w:szCs w:val="16"/>
          <w:shd w:val="clear" w:color="auto" w:fill="FFFFFF"/>
        </w:rPr>
        <w:t xml:space="preserve">, párr. </w:t>
      </w:r>
      <w:r w:rsidR="000A1E35" w:rsidRPr="00844022">
        <w:rPr>
          <w:rFonts w:cs="Open Sans"/>
          <w:sz w:val="16"/>
          <w:szCs w:val="16"/>
          <w:shd w:val="clear" w:color="auto" w:fill="FFFFFF"/>
        </w:rPr>
        <w:t>123</w:t>
      </w:r>
      <w:r w:rsidR="007F4345" w:rsidRPr="00844022">
        <w:rPr>
          <w:rFonts w:cs="Open Sans"/>
          <w:sz w:val="16"/>
          <w:szCs w:val="16"/>
          <w:shd w:val="clear" w:color="auto" w:fill="FFFFFF"/>
        </w:rPr>
        <w:t>.</w:t>
      </w:r>
    </w:p>
  </w:footnote>
  <w:footnote w:id="73">
    <w:p w14:paraId="2DEEB8EE" w14:textId="148B4C4C" w:rsidR="008209CC" w:rsidRPr="00844022" w:rsidRDefault="008209CC" w:rsidP="00844022">
      <w:pPr>
        <w:pStyle w:val="Textonotapie"/>
        <w:spacing w:before="60" w:after="60"/>
        <w:rPr>
          <w:rFonts w:cs="Open Sans"/>
          <w:i/>
          <w:iCs/>
          <w:sz w:val="16"/>
          <w:szCs w:val="16"/>
          <w:shd w:val="clear" w:color="auto" w:fill="FFFFFF"/>
        </w:rPr>
      </w:pPr>
      <w:r w:rsidRPr="00844022">
        <w:rPr>
          <w:rStyle w:val="Refdenotaalpie"/>
          <w:rFonts w:eastAsia="Calibri"/>
          <w:sz w:val="16"/>
          <w:szCs w:val="16"/>
        </w:rPr>
        <w:footnoteRef/>
      </w:r>
      <w:r w:rsidRPr="00844022">
        <w:rPr>
          <w:sz w:val="16"/>
          <w:szCs w:val="16"/>
        </w:rPr>
        <w:t xml:space="preserve"> </w:t>
      </w:r>
      <w:r w:rsidRPr="00844022">
        <w:rPr>
          <w:sz w:val="16"/>
          <w:szCs w:val="16"/>
        </w:rPr>
        <w:tab/>
      </w:r>
      <w:r w:rsidRPr="00844022">
        <w:rPr>
          <w:i/>
          <w:sz w:val="16"/>
          <w:szCs w:val="16"/>
        </w:rPr>
        <w:t xml:space="preserve">Cfr. </w:t>
      </w:r>
      <w:r w:rsidRPr="00844022">
        <w:rPr>
          <w:rFonts w:cs="Open Sans"/>
          <w:i/>
          <w:iCs/>
          <w:sz w:val="16"/>
          <w:szCs w:val="16"/>
          <w:shd w:val="clear" w:color="auto" w:fill="FFFFFF"/>
        </w:rPr>
        <w:t>Caso de los “Niños de la Calle” (Villagrán Morales y otros) Vs. Guatemala. Reparaciones y Costas.</w:t>
      </w:r>
      <w:r w:rsidRPr="00844022">
        <w:rPr>
          <w:rFonts w:cs="Open Sans"/>
          <w:sz w:val="16"/>
          <w:szCs w:val="16"/>
          <w:shd w:val="clear" w:color="auto" w:fill="FFFFFF"/>
        </w:rPr>
        <w:t xml:space="preserve"> Sentencia de 26 de mayo de 2001. Serie C No. 77</w:t>
      </w:r>
      <w:r w:rsidRPr="00844022">
        <w:rPr>
          <w:i/>
          <w:sz w:val="16"/>
          <w:szCs w:val="16"/>
        </w:rPr>
        <w:t xml:space="preserve">, </w:t>
      </w:r>
      <w:r w:rsidRPr="00844022">
        <w:rPr>
          <w:sz w:val="16"/>
          <w:szCs w:val="16"/>
        </w:rPr>
        <w:t xml:space="preserve">párr. 84, y </w:t>
      </w:r>
      <w:r w:rsidR="00630D5C" w:rsidRPr="00844022">
        <w:rPr>
          <w:i/>
          <w:iCs/>
          <w:sz w:val="16"/>
          <w:szCs w:val="16"/>
        </w:rPr>
        <w:t>Caso</w:t>
      </w:r>
      <w:r w:rsidR="00630D5C" w:rsidRPr="00844022">
        <w:rPr>
          <w:sz w:val="16"/>
          <w:szCs w:val="16"/>
        </w:rPr>
        <w:t xml:space="preserve"> </w:t>
      </w:r>
      <w:r w:rsidR="00772964" w:rsidRPr="00844022">
        <w:rPr>
          <w:rFonts w:cs="Open Sans"/>
          <w:i/>
          <w:iCs/>
          <w:sz w:val="16"/>
          <w:szCs w:val="16"/>
          <w:shd w:val="clear" w:color="auto" w:fill="FFFFFF"/>
        </w:rPr>
        <w:t xml:space="preserve">Deras García y otros Vs. Honduras, supra, </w:t>
      </w:r>
      <w:r w:rsidR="00772964" w:rsidRPr="00844022">
        <w:rPr>
          <w:rFonts w:cs="Open Sans"/>
          <w:sz w:val="16"/>
          <w:szCs w:val="16"/>
          <w:shd w:val="clear" w:color="auto" w:fill="FFFFFF"/>
        </w:rPr>
        <w:t>párr</w:t>
      </w:r>
      <w:r w:rsidR="00772964" w:rsidRPr="00844022">
        <w:rPr>
          <w:rFonts w:cs="Open Sans"/>
          <w:i/>
          <w:iCs/>
          <w:sz w:val="16"/>
          <w:szCs w:val="16"/>
          <w:shd w:val="clear" w:color="auto" w:fill="FFFFFF"/>
        </w:rPr>
        <w:t xml:space="preserve">. </w:t>
      </w:r>
      <w:r w:rsidR="000A1E35" w:rsidRPr="00844022">
        <w:rPr>
          <w:rFonts w:cs="Open Sans"/>
          <w:i/>
          <w:iCs/>
          <w:sz w:val="16"/>
          <w:szCs w:val="16"/>
          <w:shd w:val="clear" w:color="auto" w:fill="FFFFFF"/>
        </w:rPr>
        <w:t>123</w:t>
      </w:r>
      <w:r w:rsidR="00772964" w:rsidRPr="00844022">
        <w:rPr>
          <w:rFonts w:cs="Open Sans"/>
          <w:i/>
          <w:iCs/>
          <w:sz w:val="16"/>
          <w:szCs w:val="16"/>
          <w:shd w:val="clear" w:color="auto" w:fill="FFFFFF"/>
        </w:rPr>
        <w:t>.</w:t>
      </w:r>
    </w:p>
  </w:footnote>
  <w:footnote w:id="74">
    <w:p w14:paraId="3A393D21" w14:textId="77777777" w:rsidR="008209CC" w:rsidRPr="00844022" w:rsidRDefault="008209CC"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t>Si bien los representantes hacen referencia a daño material (</w:t>
      </w:r>
      <w:r w:rsidRPr="00844022">
        <w:rPr>
          <w:i/>
          <w:iCs/>
          <w:sz w:val="16"/>
          <w:szCs w:val="16"/>
        </w:rPr>
        <w:t>pecuniary damage</w:t>
      </w:r>
      <w:r w:rsidRPr="00844022">
        <w:rPr>
          <w:sz w:val="16"/>
          <w:szCs w:val="16"/>
        </w:rPr>
        <w:t>) la Corte analizará dicha reclamación bajo el rubro de daño inmaterial.</w:t>
      </w:r>
    </w:p>
  </w:footnote>
  <w:footnote w:id="75">
    <w:p w14:paraId="465A0096" w14:textId="1886F848" w:rsidR="00172ADF" w:rsidRPr="00844022" w:rsidRDefault="00172ADF"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rendida ante fedatario público por </w:t>
      </w:r>
      <w:proofErr w:type="spellStart"/>
      <w:r w:rsidRPr="00844022">
        <w:rPr>
          <w:sz w:val="16"/>
          <w:szCs w:val="16"/>
        </w:rPr>
        <w:t>Reshi</w:t>
      </w:r>
      <w:proofErr w:type="spellEnd"/>
      <w:r w:rsidRPr="00844022">
        <w:rPr>
          <w:sz w:val="16"/>
          <w:szCs w:val="16"/>
        </w:rPr>
        <w:t xml:space="preserve"> </w:t>
      </w:r>
      <w:proofErr w:type="spellStart"/>
      <w:r w:rsidRPr="00844022">
        <w:rPr>
          <w:sz w:val="16"/>
          <w:szCs w:val="16"/>
        </w:rPr>
        <w:t>Bissoon</w:t>
      </w:r>
      <w:proofErr w:type="spellEnd"/>
      <w:r w:rsidRPr="00844022">
        <w:rPr>
          <w:sz w:val="16"/>
          <w:szCs w:val="16"/>
        </w:rPr>
        <w:t xml:space="preserve">, de 28 de julio de 2022, párr. 41 (expediente de prueba, folio </w:t>
      </w:r>
      <w:r w:rsidR="00A8049E" w:rsidRPr="00844022">
        <w:rPr>
          <w:sz w:val="16"/>
          <w:szCs w:val="16"/>
        </w:rPr>
        <w:t>3132</w:t>
      </w:r>
      <w:r w:rsidRPr="00844022">
        <w:rPr>
          <w:sz w:val="16"/>
          <w:szCs w:val="16"/>
        </w:rPr>
        <w:t>).</w:t>
      </w:r>
    </w:p>
  </w:footnote>
  <w:footnote w:id="76">
    <w:p w14:paraId="05D545CD" w14:textId="746B356F" w:rsidR="00172ADF" w:rsidRPr="00844022" w:rsidRDefault="00172ADF" w:rsidP="00844022">
      <w:pPr>
        <w:pStyle w:val="Textonotapie"/>
        <w:spacing w:before="60" w:after="60"/>
        <w:rPr>
          <w:sz w:val="16"/>
          <w:szCs w:val="16"/>
        </w:rPr>
      </w:pPr>
      <w:r w:rsidRPr="00844022">
        <w:rPr>
          <w:rStyle w:val="Refdenotaalpie"/>
          <w:sz w:val="16"/>
          <w:szCs w:val="16"/>
        </w:rPr>
        <w:footnoteRef/>
      </w:r>
      <w:r w:rsidRPr="00844022">
        <w:rPr>
          <w:sz w:val="16"/>
          <w:szCs w:val="16"/>
        </w:rPr>
        <w:t xml:space="preserve"> </w:t>
      </w:r>
      <w:r w:rsidRPr="00844022">
        <w:rPr>
          <w:sz w:val="16"/>
          <w:szCs w:val="16"/>
        </w:rPr>
        <w:tab/>
      </w:r>
      <w:r w:rsidRPr="00844022">
        <w:rPr>
          <w:i/>
          <w:iCs/>
          <w:sz w:val="16"/>
          <w:szCs w:val="16"/>
        </w:rPr>
        <w:t>Cfr</w:t>
      </w:r>
      <w:r w:rsidRPr="00844022">
        <w:rPr>
          <w:sz w:val="16"/>
          <w:szCs w:val="16"/>
        </w:rPr>
        <w:t xml:space="preserve">. Declaración rendida ante fedatario público por Foster </w:t>
      </w:r>
      <w:proofErr w:type="spellStart"/>
      <w:r w:rsidRPr="00844022">
        <w:rPr>
          <w:sz w:val="16"/>
          <w:szCs w:val="16"/>
        </w:rPr>
        <w:t>Serrette</w:t>
      </w:r>
      <w:proofErr w:type="spellEnd"/>
      <w:r w:rsidRPr="00844022">
        <w:rPr>
          <w:sz w:val="16"/>
          <w:szCs w:val="16"/>
        </w:rPr>
        <w:t xml:space="preserve">, de 28 de julio de 2022, párr. 43 (expediente de prueba, folio </w:t>
      </w:r>
      <w:r w:rsidR="006D078F" w:rsidRPr="00844022">
        <w:rPr>
          <w:sz w:val="16"/>
          <w:szCs w:val="16"/>
        </w:rPr>
        <w:t>3119</w:t>
      </w:r>
      <w:r w:rsidRPr="00844022">
        <w:rPr>
          <w:sz w:val="16"/>
          <w:szCs w:val="16"/>
        </w:rPr>
        <w:t>).</w:t>
      </w:r>
    </w:p>
  </w:footnote>
  <w:footnote w:id="77">
    <w:p w14:paraId="07C7631D" w14:textId="78929270" w:rsidR="0012319E" w:rsidRPr="00844022" w:rsidRDefault="0012319E" w:rsidP="00844022">
      <w:pPr>
        <w:pStyle w:val="Textonotapie"/>
        <w:spacing w:before="60" w:after="60"/>
        <w:rPr>
          <w:sz w:val="16"/>
          <w:szCs w:val="16"/>
          <w:u w:val="single"/>
          <w:lang w:val="es-CR"/>
        </w:rPr>
      </w:pPr>
      <w:r w:rsidRPr="00844022">
        <w:rPr>
          <w:rStyle w:val="Refdenotaalpie"/>
          <w:rFonts w:eastAsia="Calibri"/>
          <w:sz w:val="16"/>
          <w:szCs w:val="16"/>
        </w:rPr>
        <w:footnoteRef/>
      </w:r>
      <w:r w:rsidRPr="00844022">
        <w:rPr>
          <w:sz w:val="16"/>
          <w:szCs w:val="16"/>
          <w:lang w:val="es-CR"/>
        </w:rPr>
        <w:t xml:space="preserve"> </w:t>
      </w:r>
      <w:r w:rsidRPr="00844022">
        <w:rPr>
          <w:sz w:val="16"/>
          <w:szCs w:val="16"/>
          <w:lang w:val="es-CR"/>
        </w:rPr>
        <w:tab/>
      </w:r>
      <w:r w:rsidRPr="00844022">
        <w:rPr>
          <w:i/>
          <w:sz w:val="16"/>
          <w:szCs w:val="16"/>
          <w:lang w:val="es-CR"/>
        </w:rPr>
        <w:t>Cfr</w:t>
      </w:r>
      <w:r w:rsidRPr="00844022">
        <w:rPr>
          <w:sz w:val="16"/>
          <w:szCs w:val="16"/>
          <w:lang w:val="es-CR"/>
        </w:rPr>
        <w:t xml:space="preserve">. </w:t>
      </w:r>
      <w:r w:rsidRPr="00844022">
        <w:rPr>
          <w:bCs/>
          <w:sz w:val="16"/>
          <w:szCs w:val="16"/>
          <w:lang w:val="es-CR"/>
        </w:rPr>
        <w:t>AG/RES. 2426 (XXXVIII-O/08),</w:t>
      </w:r>
      <w:r w:rsidRPr="00844022">
        <w:rPr>
          <w:rFonts w:cs="Verdana"/>
          <w:sz w:val="16"/>
          <w:szCs w:val="16"/>
          <w:lang w:val="es-CR"/>
        </w:rPr>
        <w:t xml:space="preserve"> </w:t>
      </w:r>
      <w:r w:rsidRPr="00844022">
        <w:rPr>
          <w:sz w:val="16"/>
          <w:szCs w:val="16"/>
          <w:lang w:val="es-CR"/>
        </w:rPr>
        <w:t xml:space="preserve">Resolución adoptada por la Asamblea General de la OEA </w:t>
      </w:r>
      <w:r w:rsidRPr="00844022">
        <w:rPr>
          <w:rFonts w:cs="Verdana"/>
          <w:sz w:val="16"/>
          <w:szCs w:val="16"/>
          <w:lang w:val="es-CR"/>
        </w:rPr>
        <w:t>durante la celebración del XXXVIII Per</w:t>
      </w:r>
      <w:r w:rsidR="007660E2" w:rsidRPr="00844022">
        <w:rPr>
          <w:rFonts w:cs="Verdana"/>
          <w:sz w:val="16"/>
          <w:szCs w:val="16"/>
          <w:lang w:val="es-CR"/>
        </w:rPr>
        <w:t>i</w:t>
      </w:r>
      <w:r w:rsidRPr="00844022">
        <w:rPr>
          <w:rFonts w:cs="Verdana"/>
          <w:sz w:val="16"/>
          <w:szCs w:val="16"/>
          <w:lang w:val="es-CR"/>
        </w:rPr>
        <w:t>odo Ordinario de Sesiones de la OEA,</w:t>
      </w:r>
      <w:r w:rsidRPr="00844022">
        <w:rPr>
          <w:bCs/>
          <w:sz w:val="16"/>
          <w:szCs w:val="16"/>
          <w:lang w:val="es-CR"/>
        </w:rPr>
        <w:t xml:space="preserve"> </w:t>
      </w:r>
      <w:r w:rsidRPr="00844022">
        <w:rPr>
          <w:sz w:val="16"/>
          <w:szCs w:val="16"/>
          <w:lang w:val="es-CR"/>
        </w:rPr>
        <w:t>en la cuarta sesión plenaria,</w:t>
      </w:r>
      <w:r w:rsidRPr="00844022">
        <w:rPr>
          <w:bCs/>
          <w:sz w:val="16"/>
          <w:szCs w:val="16"/>
          <w:lang w:val="es-CR"/>
        </w:rPr>
        <w:t xml:space="preserve"> </w:t>
      </w:r>
      <w:r w:rsidRPr="00844022">
        <w:rPr>
          <w:sz w:val="16"/>
          <w:szCs w:val="16"/>
          <w:lang w:val="es-CR"/>
        </w:rPr>
        <w:t xml:space="preserve">celebrada el 3 de junio de 2008, </w:t>
      </w:r>
      <w:r w:rsidRPr="00844022">
        <w:rPr>
          <w:i/>
          <w:sz w:val="16"/>
          <w:szCs w:val="16"/>
          <w:lang w:val="es-CR"/>
        </w:rPr>
        <w:t>“Creación del Fondo de Asistencia Legal del Sistema Interamericano de Derechos Humanos</w:t>
      </w:r>
      <w:r w:rsidRPr="00844022">
        <w:rPr>
          <w:sz w:val="16"/>
          <w:szCs w:val="16"/>
          <w:lang w:val="es-CR"/>
        </w:rPr>
        <w:t>”, Punto Resolutivo 2.a</w:t>
      </w:r>
      <w:r w:rsidRPr="00844022">
        <w:rPr>
          <w:rFonts w:cs="Verdana"/>
          <w:sz w:val="16"/>
          <w:szCs w:val="16"/>
          <w:lang w:val="es-CR"/>
        </w:rPr>
        <w:t xml:space="preserve">), y </w:t>
      </w:r>
      <w:r w:rsidRPr="00844022">
        <w:rPr>
          <w:sz w:val="16"/>
          <w:szCs w:val="16"/>
          <w:lang w:val="es-CR"/>
        </w:rPr>
        <w:t>CP/RES. 963 (1728/09), Resolución adoptada el 11 de noviembre de 2009 por el Consejo Permanente de la OEA, “</w:t>
      </w:r>
      <w:r w:rsidRPr="00844022">
        <w:rPr>
          <w:i/>
          <w:iCs/>
          <w:sz w:val="16"/>
          <w:szCs w:val="16"/>
          <w:lang w:val="es-CR"/>
        </w:rPr>
        <w:t xml:space="preserve">Reglamento para el Funcionamiento del Fondo de Asistencia </w:t>
      </w:r>
      <w:r w:rsidRPr="00844022">
        <w:rPr>
          <w:iCs/>
          <w:sz w:val="16"/>
          <w:szCs w:val="16"/>
          <w:lang w:val="es-CR"/>
        </w:rPr>
        <w:t>Legal</w:t>
      </w:r>
      <w:r w:rsidRPr="00844022">
        <w:rPr>
          <w:i/>
          <w:iCs/>
          <w:sz w:val="16"/>
          <w:szCs w:val="16"/>
          <w:lang w:val="es-CR"/>
        </w:rPr>
        <w:t xml:space="preserve"> del Sistema Interamericano de Derechos Humanos</w:t>
      </w:r>
      <w:r w:rsidRPr="00844022">
        <w:rPr>
          <w:sz w:val="16"/>
          <w:szCs w:val="16"/>
          <w:lang w:val="es-CR"/>
        </w:rPr>
        <w:t>”, artículo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3A41B" w14:textId="7BC2C08C" w:rsidR="0065157B" w:rsidRDefault="0065157B" w:rsidP="00F94D74">
    <w:pPr>
      <w:pStyle w:val="Encabezado"/>
    </w:pPr>
  </w:p>
  <w:p w14:paraId="6DEB6C3C" w14:textId="77777777" w:rsidR="0065157B" w:rsidRDefault="0065157B" w:rsidP="00F94D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5F86" w14:textId="47A7BEA8" w:rsidR="008E5D56" w:rsidRPr="00617F90" w:rsidRDefault="008E5D56" w:rsidP="00764E59">
    <w:pPr>
      <w:pStyle w:val="Encabezado"/>
      <w:ind w:left="720"/>
      <w:jc w:val="right"/>
      <w:rPr>
        <w:sz w:val="16"/>
        <w:szCs w:val="16"/>
        <w:lang w:val="es-GT"/>
      </w:rPr>
    </w:pPr>
  </w:p>
  <w:p w14:paraId="70F0A2C6" w14:textId="77777777" w:rsidR="008E5D56" w:rsidRDefault="008E5D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77D6A45"/>
    <w:multiLevelType w:val="hybridMultilevel"/>
    <w:tmpl w:val="E076CECE"/>
    <w:lvl w:ilvl="0" w:tplc="CFBE51E4">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D8F69ED"/>
    <w:multiLevelType w:val="hybridMultilevel"/>
    <w:tmpl w:val="1FA68938"/>
    <w:lvl w:ilvl="0" w:tplc="21726CE4">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 w15:restartNumberingAfterBreak="0">
    <w:nsid w:val="0FAF5C2C"/>
    <w:multiLevelType w:val="hybridMultilevel"/>
    <w:tmpl w:val="78F24648"/>
    <w:lvl w:ilvl="0" w:tplc="A72E015C">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155B01"/>
    <w:multiLevelType w:val="hybridMultilevel"/>
    <w:tmpl w:val="F87EBB32"/>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471D7F"/>
    <w:multiLevelType w:val="hybridMultilevel"/>
    <w:tmpl w:val="7C5A2FF4"/>
    <w:lvl w:ilvl="0" w:tplc="120A8EC4">
      <w:start w:val="1"/>
      <w:numFmt w:val="decimal"/>
      <w:lvlText w:val="%1."/>
      <w:lvlJc w:val="left"/>
      <w:pPr>
        <w:ind w:left="401" w:hanging="708"/>
      </w:pPr>
      <w:rPr>
        <w:rFonts w:hint="default"/>
        <w:w w:val="99"/>
      </w:rPr>
    </w:lvl>
    <w:lvl w:ilvl="1" w:tplc="733E73CE">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2AE29622">
      <w:numFmt w:val="bullet"/>
      <w:lvlText w:val="•"/>
      <w:lvlJc w:val="left"/>
      <w:pPr>
        <w:ind w:left="1120" w:hanging="360"/>
      </w:pPr>
      <w:rPr>
        <w:rFonts w:hint="default"/>
      </w:rPr>
    </w:lvl>
    <w:lvl w:ilvl="3" w:tplc="22244AC2">
      <w:numFmt w:val="bullet"/>
      <w:lvlText w:val="•"/>
      <w:lvlJc w:val="left"/>
      <w:pPr>
        <w:ind w:left="2185" w:hanging="360"/>
      </w:pPr>
      <w:rPr>
        <w:rFonts w:hint="default"/>
      </w:rPr>
    </w:lvl>
    <w:lvl w:ilvl="4" w:tplc="6B7CD82C">
      <w:numFmt w:val="bullet"/>
      <w:lvlText w:val="•"/>
      <w:lvlJc w:val="left"/>
      <w:pPr>
        <w:ind w:left="3250" w:hanging="360"/>
      </w:pPr>
      <w:rPr>
        <w:rFonts w:hint="default"/>
      </w:rPr>
    </w:lvl>
    <w:lvl w:ilvl="5" w:tplc="C3623F90">
      <w:numFmt w:val="bullet"/>
      <w:lvlText w:val="•"/>
      <w:lvlJc w:val="left"/>
      <w:pPr>
        <w:ind w:left="4315" w:hanging="360"/>
      </w:pPr>
      <w:rPr>
        <w:rFonts w:hint="default"/>
      </w:rPr>
    </w:lvl>
    <w:lvl w:ilvl="6" w:tplc="D6287AC8">
      <w:numFmt w:val="bullet"/>
      <w:lvlText w:val="•"/>
      <w:lvlJc w:val="left"/>
      <w:pPr>
        <w:ind w:left="5380" w:hanging="360"/>
      </w:pPr>
      <w:rPr>
        <w:rFonts w:hint="default"/>
      </w:rPr>
    </w:lvl>
    <w:lvl w:ilvl="7" w:tplc="AF84D564">
      <w:numFmt w:val="bullet"/>
      <w:lvlText w:val="•"/>
      <w:lvlJc w:val="left"/>
      <w:pPr>
        <w:ind w:left="6445" w:hanging="360"/>
      </w:pPr>
      <w:rPr>
        <w:rFonts w:hint="default"/>
      </w:rPr>
    </w:lvl>
    <w:lvl w:ilvl="8" w:tplc="1930B212">
      <w:numFmt w:val="bullet"/>
      <w:lvlText w:val="•"/>
      <w:lvlJc w:val="left"/>
      <w:pPr>
        <w:ind w:left="7510" w:hanging="360"/>
      </w:pPr>
      <w:rPr>
        <w:rFonts w:hint="default"/>
      </w:rPr>
    </w:lvl>
  </w:abstractNum>
  <w:abstractNum w:abstractNumId="6" w15:restartNumberingAfterBreak="0">
    <w:nsid w:val="2385551F"/>
    <w:multiLevelType w:val="multilevel"/>
    <w:tmpl w:val="ADF641A2"/>
    <w:lvl w:ilvl="0">
      <w:start w:val="6"/>
      <w:numFmt w:val="upperRoman"/>
      <w:lvlText w:val="%1"/>
      <w:lvlJc w:val="left"/>
      <w:pPr>
        <w:ind w:left="1423" w:hanging="615"/>
      </w:pPr>
      <w:rPr>
        <w:rFonts w:hint="default"/>
      </w:rPr>
    </w:lvl>
    <w:lvl w:ilvl="1">
      <w:start w:val="1"/>
      <w:numFmt w:val="decimal"/>
      <w:lvlText w:val="%1.%2."/>
      <w:lvlJc w:val="left"/>
      <w:pPr>
        <w:ind w:left="1423" w:hanging="615"/>
      </w:pPr>
      <w:rPr>
        <w:rFonts w:ascii="Verdana" w:eastAsia="Verdana" w:hAnsi="Verdana" w:cs="Verdana" w:hint="default"/>
        <w:b/>
        <w:bCs/>
        <w:i w:val="0"/>
        <w:iCs w:val="0"/>
        <w:spacing w:val="-1"/>
        <w:w w:val="99"/>
        <w:sz w:val="20"/>
        <w:szCs w:val="20"/>
      </w:rPr>
    </w:lvl>
    <w:lvl w:ilvl="2">
      <w:numFmt w:val="bullet"/>
      <w:lvlText w:val="•"/>
      <w:lvlJc w:val="left"/>
      <w:pPr>
        <w:ind w:left="2881" w:hanging="615"/>
      </w:pPr>
      <w:rPr>
        <w:rFonts w:hint="default"/>
      </w:rPr>
    </w:lvl>
    <w:lvl w:ilvl="3">
      <w:numFmt w:val="bullet"/>
      <w:lvlText w:val="•"/>
      <w:lvlJc w:val="left"/>
      <w:pPr>
        <w:ind w:left="3611" w:hanging="615"/>
      </w:pPr>
      <w:rPr>
        <w:rFonts w:hint="default"/>
      </w:rPr>
    </w:lvl>
    <w:lvl w:ilvl="4">
      <w:numFmt w:val="bullet"/>
      <w:lvlText w:val="•"/>
      <w:lvlJc w:val="left"/>
      <w:pPr>
        <w:ind w:left="4342" w:hanging="615"/>
      </w:pPr>
      <w:rPr>
        <w:rFonts w:hint="default"/>
      </w:rPr>
    </w:lvl>
    <w:lvl w:ilvl="5">
      <w:numFmt w:val="bullet"/>
      <w:lvlText w:val="•"/>
      <w:lvlJc w:val="left"/>
      <w:pPr>
        <w:ind w:left="5073" w:hanging="615"/>
      </w:pPr>
      <w:rPr>
        <w:rFonts w:hint="default"/>
      </w:rPr>
    </w:lvl>
    <w:lvl w:ilvl="6">
      <w:numFmt w:val="bullet"/>
      <w:lvlText w:val="•"/>
      <w:lvlJc w:val="left"/>
      <w:pPr>
        <w:ind w:left="5803" w:hanging="615"/>
      </w:pPr>
      <w:rPr>
        <w:rFonts w:hint="default"/>
      </w:rPr>
    </w:lvl>
    <w:lvl w:ilvl="7">
      <w:numFmt w:val="bullet"/>
      <w:lvlText w:val="•"/>
      <w:lvlJc w:val="left"/>
      <w:pPr>
        <w:ind w:left="6534" w:hanging="615"/>
      </w:pPr>
      <w:rPr>
        <w:rFonts w:hint="default"/>
      </w:rPr>
    </w:lvl>
    <w:lvl w:ilvl="8">
      <w:numFmt w:val="bullet"/>
      <w:lvlText w:val="•"/>
      <w:lvlJc w:val="left"/>
      <w:pPr>
        <w:ind w:left="7265" w:hanging="615"/>
      </w:pPr>
      <w:rPr>
        <w:rFonts w:hint="default"/>
      </w:rPr>
    </w:lvl>
  </w:abstractNum>
  <w:abstractNum w:abstractNumId="7" w15:restartNumberingAfterBreak="0">
    <w:nsid w:val="26D32B75"/>
    <w:multiLevelType w:val="hybridMultilevel"/>
    <w:tmpl w:val="AB60F27A"/>
    <w:lvl w:ilvl="0" w:tplc="2CC4E668">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E75EE3"/>
    <w:multiLevelType w:val="hybridMultilevel"/>
    <w:tmpl w:val="CCFEBFCC"/>
    <w:lvl w:ilvl="0" w:tplc="A3B4997C">
      <w:numFmt w:val="bullet"/>
      <w:lvlText w:val=""/>
      <w:lvlJc w:val="left"/>
      <w:pPr>
        <w:ind w:left="927" w:hanging="360"/>
      </w:pPr>
      <w:rPr>
        <w:rFonts w:ascii="Wingdings" w:eastAsia="Times New Roman" w:hAnsi="Wingdings"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9" w15:restartNumberingAfterBreak="0">
    <w:nsid w:val="2AB35005"/>
    <w:multiLevelType w:val="hybridMultilevel"/>
    <w:tmpl w:val="2510327A"/>
    <w:lvl w:ilvl="0" w:tplc="BC78ED08">
      <w:start w:val="1"/>
      <w:numFmt w:val="decimal"/>
      <w:lvlText w:val="%1."/>
      <w:lvlJc w:val="left"/>
      <w:pPr>
        <w:ind w:left="401" w:hanging="708"/>
      </w:pPr>
      <w:rPr>
        <w:rFonts w:hint="default"/>
        <w:w w:val="99"/>
      </w:rPr>
    </w:lvl>
    <w:lvl w:ilvl="1" w:tplc="DE64252C">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7804BE46">
      <w:numFmt w:val="bullet"/>
      <w:lvlText w:val="•"/>
      <w:lvlJc w:val="left"/>
      <w:pPr>
        <w:ind w:left="1120" w:hanging="360"/>
      </w:pPr>
      <w:rPr>
        <w:rFonts w:hint="default"/>
      </w:rPr>
    </w:lvl>
    <w:lvl w:ilvl="3" w:tplc="0CB4B720">
      <w:numFmt w:val="bullet"/>
      <w:lvlText w:val="•"/>
      <w:lvlJc w:val="left"/>
      <w:pPr>
        <w:ind w:left="2185" w:hanging="360"/>
      </w:pPr>
      <w:rPr>
        <w:rFonts w:hint="default"/>
      </w:rPr>
    </w:lvl>
    <w:lvl w:ilvl="4" w:tplc="D7A43212">
      <w:numFmt w:val="bullet"/>
      <w:lvlText w:val="•"/>
      <w:lvlJc w:val="left"/>
      <w:pPr>
        <w:ind w:left="3250" w:hanging="360"/>
      </w:pPr>
      <w:rPr>
        <w:rFonts w:hint="default"/>
      </w:rPr>
    </w:lvl>
    <w:lvl w:ilvl="5" w:tplc="4972FA58">
      <w:numFmt w:val="bullet"/>
      <w:lvlText w:val="•"/>
      <w:lvlJc w:val="left"/>
      <w:pPr>
        <w:ind w:left="4315" w:hanging="360"/>
      </w:pPr>
      <w:rPr>
        <w:rFonts w:hint="default"/>
      </w:rPr>
    </w:lvl>
    <w:lvl w:ilvl="6" w:tplc="C3482DBC">
      <w:numFmt w:val="bullet"/>
      <w:lvlText w:val="•"/>
      <w:lvlJc w:val="left"/>
      <w:pPr>
        <w:ind w:left="5380" w:hanging="360"/>
      </w:pPr>
      <w:rPr>
        <w:rFonts w:hint="default"/>
      </w:rPr>
    </w:lvl>
    <w:lvl w:ilvl="7" w:tplc="0100A6A8">
      <w:numFmt w:val="bullet"/>
      <w:lvlText w:val="•"/>
      <w:lvlJc w:val="left"/>
      <w:pPr>
        <w:ind w:left="6445" w:hanging="360"/>
      </w:pPr>
      <w:rPr>
        <w:rFonts w:hint="default"/>
      </w:rPr>
    </w:lvl>
    <w:lvl w:ilvl="8" w:tplc="09CAE32C">
      <w:numFmt w:val="bullet"/>
      <w:lvlText w:val="•"/>
      <w:lvlJc w:val="left"/>
      <w:pPr>
        <w:ind w:left="7510" w:hanging="360"/>
      </w:pPr>
      <w:rPr>
        <w:rFonts w:hint="default"/>
      </w:rPr>
    </w:lvl>
  </w:abstractNum>
  <w:abstractNum w:abstractNumId="10"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pStyle w:val="Estilo8"/>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34B06F40"/>
    <w:multiLevelType w:val="hybridMultilevel"/>
    <w:tmpl w:val="5B40012E"/>
    <w:lvl w:ilvl="0" w:tplc="14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CBC2C26"/>
    <w:multiLevelType w:val="hybridMultilevel"/>
    <w:tmpl w:val="BB9CCEBA"/>
    <w:lvl w:ilvl="0" w:tplc="48681EA6">
      <w:start w:val="105"/>
      <w:numFmt w:val="decimal"/>
      <w:lvlText w:val="%1."/>
      <w:lvlJc w:val="left"/>
      <w:pPr>
        <w:ind w:left="401" w:hanging="708"/>
      </w:pPr>
      <w:rPr>
        <w:rFonts w:hint="default"/>
        <w:spacing w:val="-2"/>
        <w:w w:val="99"/>
      </w:rPr>
    </w:lvl>
    <w:lvl w:ilvl="1" w:tplc="29644792">
      <w:numFmt w:val="bullet"/>
      <w:lvlText w:val="•"/>
      <w:lvlJc w:val="left"/>
      <w:pPr>
        <w:ind w:left="1400" w:hanging="708"/>
      </w:pPr>
      <w:rPr>
        <w:rFonts w:hint="default"/>
      </w:rPr>
    </w:lvl>
    <w:lvl w:ilvl="2" w:tplc="086A03F6">
      <w:numFmt w:val="bullet"/>
      <w:lvlText w:val="•"/>
      <w:lvlJc w:val="left"/>
      <w:pPr>
        <w:ind w:left="2315" w:hanging="708"/>
      </w:pPr>
      <w:rPr>
        <w:rFonts w:hint="default"/>
      </w:rPr>
    </w:lvl>
    <w:lvl w:ilvl="3" w:tplc="6E763B58">
      <w:numFmt w:val="bullet"/>
      <w:lvlText w:val="•"/>
      <w:lvlJc w:val="left"/>
      <w:pPr>
        <w:ind w:left="3231" w:hanging="708"/>
      </w:pPr>
      <w:rPr>
        <w:rFonts w:hint="default"/>
      </w:rPr>
    </w:lvl>
    <w:lvl w:ilvl="4" w:tplc="16DC6338">
      <w:numFmt w:val="bullet"/>
      <w:lvlText w:val="•"/>
      <w:lvlJc w:val="left"/>
      <w:pPr>
        <w:ind w:left="4146" w:hanging="708"/>
      </w:pPr>
      <w:rPr>
        <w:rFonts w:hint="default"/>
      </w:rPr>
    </w:lvl>
    <w:lvl w:ilvl="5" w:tplc="D5B050DA">
      <w:numFmt w:val="bullet"/>
      <w:lvlText w:val="•"/>
      <w:lvlJc w:val="left"/>
      <w:pPr>
        <w:ind w:left="5062" w:hanging="708"/>
      </w:pPr>
      <w:rPr>
        <w:rFonts w:hint="default"/>
      </w:rPr>
    </w:lvl>
    <w:lvl w:ilvl="6" w:tplc="36363A06">
      <w:numFmt w:val="bullet"/>
      <w:lvlText w:val="•"/>
      <w:lvlJc w:val="left"/>
      <w:pPr>
        <w:ind w:left="5977" w:hanging="708"/>
      </w:pPr>
      <w:rPr>
        <w:rFonts w:hint="default"/>
      </w:rPr>
    </w:lvl>
    <w:lvl w:ilvl="7" w:tplc="48E014F4">
      <w:numFmt w:val="bullet"/>
      <w:lvlText w:val="•"/>
      <w:lvlJc w:val="left"/>
      <w:pPr>
        <w:ind w:left="6893" w:hanging="708"/>
      </w:pPr>
      <w:rPr>
        <w:rFonts w:hint="default"/>
      </w:rPr>
    </w:lvl>
    <w:lvl w:ilvl="8" w:tplc="42E0F176">
      <w:numFmt w:val="bullet"/>
      <w:lvlText w:val="•"/>
      <w:lvlJc w:val="left"/>
      <w:pPr>
        <w:ind w:left="7808" w:hanging="708"/>
      </w:pPr>
      <w:rPr>
        <w:rFonts w:hint="default"/>
      </w:rPr>
    </w:lvl>
  </w:abstractNum>
  <w:abstractNum w:abstractNumId="14"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5D70CBF"/>
    <w:multiLevelType w:val="hybridMultilevel"/>
    <w:tmpl w:val="3BB4C1EC"/>
    <w:lvl w:ilvl="0" w:tplc="0E924352">
      <w:start w:val="1"/>
      <w:numFmt w:val="decimal"/>
      <w:pStyle w:val="Heading71"/>
      <w:lvlText w:val="D.%1."/>
      <w:lvlJc w:val="left"/>
      <w:pPr>
        <w:ind w:left="2138" w:hanging="360"/>
      </w:pPr>
      <w:rPr>
        <w:rFonts w:hint="default"/>
      </w:rPr>
    </w:lvl>
    <w:lvl w:ilvl="1" w:tplc="140A0019" w:tentative="1">
      <w:start w:val="1"/>
      <w:numFmt w:val="lowerLetter"/>
      <w:lvlText w:val="%2."/>
      <w:lvlJc w:val="left"/>
      <w:pPr>
        <w:ind w:left="2858" w:hanging="360"/>
      </w:pPr>
    </w:lvl>
    <w:lvl w:ilvl="2" w:tplc="140A001B" w:tentative="1">
      <w:start w:val="1"/>
      <w:numFmt w:val="lowerRoman"/>
      <w:lvlText w:val="%3."/>
      <w:lvlJc w:val="right"/>
      <w:pPr>
        <w:ind w:left="3578" w:hanging="180"/>
      </w:pPr>
    </w:lvl>
    <w:lvl w:ilvl="3" w:tplc="140A000F" w:tentative="1">
      <w:start w:val="1"/>
      <w:numFmt w:val="decimal"/>
      <w:lvlText w:val="%4."/>
      <w:lvlJc w:val="left"/>
      <w:pPr>
        <w:ind w:left="4298" w:hanging="360"/>
      </w:pPr>
    </w:lvl>
    <w:lvl w:ilvl="4" w:tplc="140A0019" w:tentative="1">
      <w:start w:val="1"/>
      <w:numFmt w:val="lowerLetter"/>
      <w:lvlText w:val="%5."/>
      <w:lvlJc w:val="left"/>
      <w:pPr>
        <w:ind w:left="5018" w:hanging="360"/>
      </w:pPr>
    </w:lvl>
    <w:lvl w:ilvl="5" w:tplc="140A001B" w:tentative="1">
      <w:start w:val="1"/>
      <w:numFmt w:val="lowerRoman"/>
      <w:lvlText w:val="%6."/>
      <w:lvlJc w:val="right"/>
      <w:pPr>
        <w:ind w:left="5738" w:hanging="180"/>
      </w:pPr>
    </w:lvl>
    <w:lvl w:ilvl="6" w:tplc="140A000F" w:tentative="1">
      <w:start w:val="1"/>
      <w:numFmt w:val="decimal"/>
      <w:lvlText w:val="%7."/>
      <w:lvlJc w:val="left"/>
      <w:pPr>
        <w:ind w:left="6458" w:hanging="360"/>
      </w:pPr>
    </w:lvl>
    <w:lvl w:ilvl="7" w:tplc="140A0019" w:tentative="1">
      <w:start w:val="1"/>
      <w:numFmt w:val="lowerLetter"/>
      <w:lvlText w:val="%8."/>
      <w:lvlJc w:val="left"/>
      <w:pPr>
        <w:ind w:left="7178" w:hanging="360"/>
      </w:pPr>
    </w:lvl>
    <w:lvl w:ilvl="8" w:tplc="140A001B" w:tentative="1">
      <w:start w:val="1"/>
      <w:numFmt w:val="lowerRoman"/>
      <w:lvlText w:val="%9."/>
      <w:lvlJc w:val="right"/>
      <w:pPr>
        <w:ind w:left="7898" w:hanging="180"/>
      </w:pPr>
    </w:lvl>
  </w:abstractNum>
  <w:abstractNum w:abstractNumId="16" w15:restartNumberingAfterBreak="0">
    <w:nsid w:val="46C7084F"/>
    <w:multiLevelType w:val="hybridMultilevel"/>
    <w:tmpl w:val="81004786"/>
    <w:lvl w:ilvl="0" w:tplc="45926A0E">
      <w:start w:val="1"/>
      <w:numFmt w:val="bullet"/>
      <w:lvlText w:val=""/>
      <w:lvlJc w:val="left"/>
      <w:pPr>
        <w:ind w:left="721" w:hanging="360"/>
      </w:pPr>
      <w:rPr>
        <w:rFonts w:ascii="Symbol" w:hAnsi="Symbol" w:hint="default"/>
        <w:color w:val="5B9BD5" w:themeColor="accent1"/>
      </w:rPr>
    </w:lvl>
    <w:lvl w:ilvl="1" w:tplc="0C0A0003">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17" w15:restartNumberingAfterBreak="0">
    <w:nsid w:val="47CF0B15"/>
    <w:multiLevelType w:val="hybridMultilevel"/>
    <w:tmpl w:val="083E788A"/>
    <w:lvl w:ilvl="0" w:tplc="88D856B0">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A5A34C0"/>
    <w:multiLevelType w:val="hybridMultilevel"/>
    <w:tmpl w:val="689EE850"/>
    <w:lvl w:ilvl="0" w:tplc="FA120EEA">
      <w:start w:val="1"/>
      <w:numFmt w:val="upperLetter"/>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19" w15:restartNumberingAfterBreak="0">
    <w:nsid w:val="4B0300F3"/>
    <w:multiLevelType w:val="hybridMultilevel"/>
    <w:tmpl w:val="47B0B82A"/>
    <w:lvl w:ilvl="0" w:tplc="528AE6C8">
      <w:start w:val="2"/>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B18227F"/>
    <w:multiLevelType w:val="multilevel"/>
    <w:tmpl w:val="53288DDE"/>
    <w:lvl w:ilvl="0">
      <w:start w:val="3"/>
      <w:numFmt w:val="upperRoman"/>
      <w:lvlText w:val="%1"/>
      <w:lvlJc w:val="left"/>
      <w:pPr>
        <w:ind w:left="1489" w:hanging="680"/>
      </w:pPr>
      <w:rPr>
        <w:rFonts w:hint="default"/>
      </w:rPr>
    </w:lvl>
    <w:lvl w:ilvl="1">
      <w:start w:val="1"/>
      <w:numFmt w:val="decimal"/>
      <w:lvlText w:val="%1.%2."/>
      <w:lvlJc w:val="left"/>
      <w:pPr>
        <w:ind w:left="1489" w:hanging="680"/>
      </w:pPr>
      <w:rPr>
        <w:rFonts w:ascii="Verdana" w:eastAsia="Verdana" w:hAnsi="Verdana" w:cs="Verdana" w:hint="default"/>
        <w:b/>
        <w:bCs/>
        <w:i w:val="0"/>
        <w:iCs w:val="0"/>
        <w:spacing w:val="-1"/>
        <w:w w:val="99"/>
        <w:sz w:val="20"/>
        <w:szCs w:val="20"/>
      </w:rPr>
    </w:lvl>
    <w:lvl w:ilvl="2">
      <w:numFmt w:val="bullet"/>
      <w:lvlText w:val="•"/>
      <w:lvlJc w:val="left"/>
      <w:pPr>
        <w:ind w:left="2929" w:hanging="680"/>
      </w:pPr>
      <w:rPr>
        <w:rFonts w:hint="default"/>
      </w:rPr>
    </w:lvl>
    <w:lvl w:ilvl="3">
      <w:numFmt w:val="bullet"/>
      <w:lvlText w:val="•"/>
      <w:lvlJc w:val="left"/>
      <w:pPr>
        <w:ind w:left="3653" w:hanging="680"/>
      </w:pPr>
      <w:rPr>
        <w:rFonts w:hint="default"/>
      </w:rPr>
    </w:lvl>
    <w:lvl w:ilvl="4">
      <w:numFmt w:val="bullet"/>
      <w:lvlText w:val="•"/>
      <w:lvlJc w:val="left"/>
      <w:pPr>
        <w:ind w:left="4378" w:hanging="680"/>
      </w:pPr>
      <w:rPr>
        <w:rFonts w:hint="default"/>
      </w:rPr>
    </w:lvl>
    <w:lvl w:ilvl="5">
      <w:numFmt w:val="bullet"/>
      <w:lvlText w:val="•"/>
      <w:lvlJc w:val="left"/>
      <w:pPr>
        <w:ind w:left="5103" w:hanging="680"/>
      </w:pPr>
      <w:rPr>
        <w:rFonts w:hint="default"/>
      </w:rPr>
    </w:lvl>
    <w:lvl w:ilvl="6">
      <w:numFmt w:val="bullet"/>
      <w:lvlText w:val="•"/>
      <w:lvlJc w:val="left"/>
      <w:pPr>
        <w:ind w:left="5827" w:hanging="680"/>
      </w:pPr>
      <w:rPr>
        <w:rFonts w:hint="default"/>
      </w:rPr>
    </w:lvl>
    <w:lvl w:ilvl="7">
      <w:numFmt w:val="bullet"/>
      <w:lvlText w:val="•"/>
      <w:lvlJc w:val="left"/>
      <w:pPr>
        <w:ind w:left="6552" w:hanging="680"/>
      </w:pPr>
      <w:rPr>
        <w:rFonts w:hint="default"/>
      </w:rPr>
    </w:lvl>
    <w:lvl w:ilvl="8">
      <w:numFmt w:val="bullet"/>
      <w:lvlText w:val="•"/>
      <w:lvlJc w:val="left"/>
      <w:pPr>
        <w:ind w:left="7277" w:hanging="680"/>
      </w:pPr>
      <w:rPr>
        <w:rFonts w:hint="default"/>
      </w:rPr>
    </w:lvl>
  </w:abstractNum>
  <w:abstractNum w:abstractNumId="21"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264A70"/>
    <w:multiLevelType w:val="hybridMultilevel"/>
    <w:tmpl w:val="E9C6D248"/>
    <w:lvl w:ilvl="0" w:tplc="D2EC510E">
      <w:start w:val="1"/>
      <w:numFmt w:val="decimal"/>
      <w:lvlText w:val="%1."/>
      <w:lvlJc w:val="left"/>
      <w:pPr>
        <w:ind w:left="401" w:hanging="708"/>
      </w:pPr>
      <w:rPr>
        <w:rFonts w:hint="default"/>
        <w:w w:val="99"/>
      </w:rPr>
    </w:lvl>
    <w:lvl w:ilvl="1" w:tplc="DD8AB424">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6338B7DE">
      <w:numFmt w:val="bullet"/>
      <w:lvlText w:val="•"/>
      <w:lvlJc w:val="left"/>
      <w:pPr>
        <w:ind w:left="1120" w:hanging="360"/>
      </w:pPr>
      <w:rPr>
        <w:rFonts w:hint="default"/>
      </w:rPr>
    </w:lvl>
    <w:lvl w:ilvl="3" w:tplc="39248BC6">
      <w:numFmt w:val="bullet"/>
      <w:lvlText w:val="•"/>
      <w:lvlJc w:val="left"/>
      <w:pPr>
        <w:ind w:left="2185" w:hanging="360"/>
      </w:pPr>
      <w:rPr>
        <w:rFonts w:hint="default"/>
      </w:rPr>
    </w:lvl>
    <w:lvl w:ilvl="4" w:tplc="B464CDB0">
      <w:numFmt w:val="bullet"/>
      <w:lvlText w:val="•"/>
      <w:lvlJc w:val="left"/>
      <w:pPr>
        <w:ind w:left="3250" w:hanging="360"/>
      </w:pPr>
      <w:rPr>
        <w:rFonts w:hint="default"/>
      </w:rPr>
    </w:lvl>
    <w:lvl w:ilvl="5" w:tplc="5BBC9B68">
      <w:numFmt w:val="bullet"/>
      <w:lvlText w:val="•"/>
      <w:lvlJc w:val="left"/>
      <w:pPr>
        <w:ind w:left="4315" w:hanging="360"/>
      </w:pPr>
      <w:rPr>
        <w:rFonts w:hint="default"/>
      </w:rPr>
    </w:lvl>
    <w:lvl w:ilvl="6" w:tplc="8048CF44">
      <w:numFmt w:val="bullet"/>
      <w:lvlText w:val="•"/>
      <w:lvlJc w:val="left"/>
      <w:pPr>
        <w:ind w:left="5380" w:hanging="360"/>
      </w:pPr>
      <w:rPr>
        <w:rFonts w:hint="default"/>
      </w:rPr>
    </w:lvl>
    <w:lvl w:ilvl="7" w:tplc="17CA1C88">
      <w:numFmt w:val="bullet"/>
      <w:lvlText w:val="•"/>
      <w:lvlJc w:val="left"/>
      <w:pPr>
        <w:ind w:left="6445" w:hanging="360"/>
      </w:pPr>
      <w:rPr>
        <w:rFonts w:hint="default"/>
      </w:rPr>
    </w:lvl>
    <w:lvl w:ilvl="8" w:tplc="07860A3C">
      <w:numFmt w:val="bullet"/>
      <w:lvlText w:val="•"/>
      <w:lvlJc w:val="left"/>
      <w:pPr>
        <w:ind w:left="7510" w:hanging="360"/>
      </w:pPr>
      <w:rPr>
        <w:rFonts w:hint="default"/>
      </w:rPr>
    </w:lvl>
  </w:abstractNum>
  <w:abstractNum w:abstractNumId="23" w15:restartNumberingAfterBreak="0">
    <w:nsid w:val="4E485700"/>
    <w:multiLevelType w:val="hybridMultilevel"/>
    <w:tmpl w:val="F70E850C"/>
    <w:lvl w:ilvl="0" w:tplc="9D0EC7D2">
      <w:start w:val="1"/>
      <w:numFmt w:val="bullet"/>
      <w:lvlText w:val=""/>
      <w:lvlJc w:val="left"/>
      <w:pPr>
        <w:ind w:left="720" w:hanging="360"/>
      </w:pPr>
      <w:rPr>
        <w:rFonts w:ascii="Symbol" w:hAnsi="Symbol" w:hint="default"/>
        <w:color w:val="5B9BD5" w:themeColor="accent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EBD5D3D"/>
    <w:multiLevelType w:val="hybridMultilevel"/>
    <w:tmpl w:val="3898B198"/>
    <w:lvl w:ilvl="0" w:tplc="CA629E1A">
      <w:start w:val="1"/>
      <w:numFmt w:val="decimal"/>
      <w:lvlText w:val="%1."/>
      <w:lvlJc w:val="left"/>
      <w:pPr>
        <w:ind w:left="720" w:hanging="360"/>
      </w:pPr>
      <w:rPr>
        <w:rFonts w:ascii="Verdana" w:hAnsi="Verdana" w:hint="default"/>
        <w:b w:val="0"/>
        <w:strike w:val="0"/>
        <w:color w:val="auto"/>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534C58E4"/>
    <w:multiLevelType w:val="hybridMultilevel"/>
    <w:tmpl w:val="73702096"/>
    <w:lvl w:ilvl="0" w:tplc="FD2ACFE0">
      <w:start w:val="1"/>
      <w:numFmt w:val="upperLetter"/>
      <w:lvlText w:val="%1."/>
      <w:lvlJc w:val="left"/>
      <w:pPr>
        <w:ind w:left="1222" w:hanging="660"/>
      </w:pPr>
      <w:rPr>
        <w:rFonts w:hint="default"/>
      </w:rPr>
    </w:lvl>
    <w:lvl w:ilvl="1" w:tplc="0C0A0019" w:tentative="1">
      <w:start w:val="1"/>
      <w:numFmt w:val="lowerLetter"/>
      <w:lvlText w:val="%2."/>
      <w:lvlJc w:val="left"/>
      <w:pPr>
        <w:ind w:left="1642" w:hanging="360"/>
      </w:pPr>
    </w:lvl>
    <w:lvl w:ilvl="2" w:tplc="0C0A001B" w:tentative="1">
      <w:start w:val="1"/>
      <w:numFmt w:val="lowerRoman"/>
      <w:lvlText w:val="%3."/>
      <w:lvlJc w:val="right"/>
      <w:pPr>
        <w:ind w:left="2362" w:hanging="180"/>
      </w:pPr>
    </w:lvl>
    <w:lvl w:ilvl="3" w:tplc="0C0A000F" w:tentative="1">
      <w:start w:val="1"/>
      <w:numFmt w:val="decimal"/>
      <w:lvlText w:val="%4."/>
      <w:lvlJc w:val="left"/>
      <w:pPr>
        <w:ind w:left="3082" w:hanging="360"/>
      </w:pPr>
    </w:lvl>
    <w:lvl w:ilvl="4" w:tplc="0C0A0019" w:tentative="1">
      <w:start w:val="1"/>
      <w:numFmt w:val="lowerLetter"/>
      <w:lvlText w:val="%5."/>
      <w:lvlJc w:val="left"/>
      <w:pPr>
        <w:ind w:left="3802" w:hanging="360"/>
      </w:pPr>
    </w:lvl>
    <w:lvl w:ilvl="5" w:tplc="0C0A001B" w:tentative="1">
      <w:start w:val="1"/>
      <w:numFmt w:val="lowerRoman"/>
      <w:lvlText w:val="%6."/>
      <w:lvlJc w:val="right"/>
      <w:pPr>
        <w:ind w:left="4522" w:hanging="180"/>
      </w:pPr>
    </w:lvl>
    <w:lvl w:ilvl="6" w:tplc="0C0A000F" w:tentative="1">
      <w:start w:val="1"/>
      <w:numFmt w:val="decimal"/>
      <w:lvlText w:val="%7."/>
      <w:lvlJc w:val="left"/>
      <w:pPr>
        <w:ind w:left="5242" w:hanging="360"/>
      </w:pPr>
    </w:lvl>
    <w:lvl w:ilvl="7" w:tplc="0C0A0019" w:tentative="1">
      <w:start w:val="1"/>
      <w:numFmt w:val="lowerLetter"/>
      <w:lvlText w:val="%8."/>
      <w:lvlJc w:val="left"/>
      <w:pPr>
        <w:ind w:left="5962" w:hanging="360"/>
      </w:pPr>
    </w:lvl>
    <w:lvl w:ilvl="8" w:tplc="0C0A001B" w:tentative="1">
      <w:start w:val="1"/>
      <w:numFmt w:val="lowerRoman"/>
      <w:lvlText w:val="%9."/>
      <w:lvlJc w:val="right"/>
      <w:pPr>
        <w:ind w:left="6682" w:hanging="180"/>
      </w:pPr>
    </w:lvl>
  </w:abstractNum>
  <w:abstractNum w:abstractNumId="26"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7" w15:restartNumberingAfterBreak="0">
    <w:nsid w:val="57715820"/>
    <w:multiLevelType w:val="hybridMultilevel"/>
    <w:tmpl w:val="0DA61AA4"/>
    <w:lvl w:ilvl="0" w:tplc="59A4436C">
      <w:start w:val="1"/>
      <w:numFmt w:val="decimal"/>
      <w:lvlText w:val="%1."/>
      <w:lvlJc w:val="left"/>
      <w:pPr>
        <w:ind w:left="117" w:hanging="567"/>
      </w:pPr>
      <w:rPr>
        <w:rFonts w:ascii="Verdana" w:eastAsia="Verdana" w:hAnsi="Verdana" w:cs="Verdana" w:hint="default"/>
        <w:b w:val="0"/>
        <w:bCs w:val="0"/>
        <w:i w:val="0"/>
        <w:iCs w:val="0"/>
        <w:w w:val="99"/>
        <w:sz w:val="20"/>
        <w:szCs w:val="20"/>
      </w:rPr>
    </w:lvl>
    <w:lvl w:ilvl="1" w:tplc="E9EA7A88">
      <w:start w:val="1"/>
      <w:numFmt w:val="lowerLetter"/>
      <w:lvlText w:val="%2)"/>
      <w:lvlJc w:val="left"/>
      <w:pPr>
        <w:ind w:left="837" w:hanging="360"/>
      </w:pPr>
      <w:rPr>
        <w:rFonts w:ascii="Verdana" w:eastAsia="Verdana" w:hAnsi="Verdana" w:cs="Verdana" w:hint="default"/>
        <w:b w:val="0"/>
        <w:bCs w:val="0"/>
        <w:i w:val="0"/>
        <w:iCs w:val="0"/>
        <w:w w:val="99"/>
        <w:sz w:val="20"/>
        <w:szCs w:val="20"/>
      </w:rPr>
    </w:lvl>
    <w:lvl w:ilvl="2" w:tplc="1F626C4E">
      <w:numFmt w:val="bullet"/>
      <w:lvlText w:val="•"/>
      <w:lvlJc w:val="left"/>
      <w:pPr>
        <w:ind w:left="1902" w:hanging="360"/>
      </w:pPr>
      <w:rPr>
        <w:rFonts w:hint="default"/>
      </w:rPr>
    </w:lvl>
    <w:lvl w:ilvl="3" w:tplc="790064E0">
      <w:numFmt w:val="bullet"/>
      <w:lvlText w:val="•"/>
      <w:lvlJc w:val="left"/>
      <w:pPr>
        <w:ind w:left="2964" w:hanging="360"/>
      </w:pPr>
      <w:rPr>
        <w:rFonts w:hint="default"/>
      </w:rPr>
    </w:lvl>
    <w:lvl w:ilvl="4" w:tplc="44863E62">
      <w:numFmt w:val="bullet"/>
      <w:lvlText w:val="•"/>
      <w:lvlJc w:val="left"/>
      <w:pPr>
        <w:ind w:left="4026" w:hanging="360"/>
      </w:pPr>
      <w:rPr>
        <w:rFonts w:hint="default"/>
      </w:rPr>
    </w:lvl>
    <w:lvl w:ilvl="5" w:tplc="A9468D82">
      <w:numFmt w:val="bullet"/>
      <w:lvlText w:val="•"/>
      <w:lvlJc w:val="left"/>
      <w:pPr>
        <w:ind w:left="5088" w:hanging="360"/>
      </w:pPr>
      <w:rPr>
        <w:rFonts w:hint="default"/>
      </w:rPr>
    </w:lvl>
    <w:lvl w:ilvl="6" w:tplc="437EA10E">
      <w:numFmt w:val="bullet"/>
      <w:lvlText w:val="•"/>
      <w:lvlJc w:val="left"/>
      <w:pPr>
        <w:ind w:left="6151" w:hanging="360"/>
      </w:pPr>
      <w:rPr>
        <w:rFonts w:hint="default"/>
      </w:rPr>
    </w:lvl>
    <w:lvl w:ilvl="7" w:tplc="2834B704">
      <w:numFmt w:val="bullet"/>
      <w:lvlText w:val="•"/>
      <w:lvlJc w:val="left"/>
      <w:pPr>
        <w:ind w:left="7213" w:hanging="360"/>
      </w:pPr>
      <w:rPr>
        <w:rFonts w:hint="default"/>
      </w:rPr>
    </w:lvl>
    <w:lvl w:ilvl="8" w:tplc="9B767398">
      <w:numFmt w:val="bullet"/>
      <w:lvlText w:val="•"/>
      <w:lvlJc w:val="left"/>
      <w:pPr>
        <w:ind w:left="8275" w:hanging="360"/>
      </w:pPr>
      <w:rPr>
        <w:rFonts w:hint="default"/>
      </w:rPr>
    </w:lvl>
  </w:abstractNum>
  <w:abstractNum w:abstractNumId="28" w15:restartNumberingAfterBreak="0">
    <w:nsid w:val="58306657"/>
    <w:multiLevelType w:val="hybridMultilevel"/>
    <w:tmpl w:val="EF482290"/>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A2D352F"/>
    <w:multiLevelType w:val="hybridMultilevel"/>
    <w:tmpl w:val="F6BABEE0"/>
    <w:lvl w:ilvl="0" w:tplc="39FA9ACC">
      <w:start w:val="105"/>
      <w:numFmt w:val="decimal"/>
      <w:lvlText w:val="%1."/>
      <w:lvlJc w:val="left"/>
      <w:pPr>
        <w:ind w:left="401" w:hanging="708"/>
      </w:pPr>
      <w:rPr>
        <w:rFonts w:hint="default"/>
        <w:spacing w:val="-2"/>
        <w:w w:val="99"/>
      </w:rPr>
    </w:lvl>
    <w:lvl w:ilvl="1" w:tplc="1712628E">
      <w:numFmt w:val="bullet"/>
      <w:lvlText w:val="•"/>
      <w:lvlJc w:val="left"/>
      <w:pPr>
        <w:ind w:left="1400" w:hanging="708"/>
      </w:pPr>
      <w:rPr>
        <w:rFonts w:hint="default"/>
      </w:rPr>
    </w:lvl>
    <w:lvl w:ilvl="2" w:tplc="63681136">
      <w:numFmt w:val="bullet"/>
      <w:lvlText w:val="•"/>
      <w:lvlJc w:val="left"/>
      <w:pPr>
        <w:ind w:left="2315" w:hanging="708"/>
      </w:pPr>
      <w:rPr>
        <w:rFonts w:hint="default"/>
      </w:rPr>
    </w:lvl>
    <w:lvl w:ilvl="3" w:tplc="A164257A">
      <w:numFmt w:val="bullet"/>
      <w:lvlText w:val="•"/>
      <w:lvlJc w:val="left"/>
      <w:pPr>
        <w:ind w:left="3231" w:hanging="708"/>
      </w:pPr>
      <w:rPr>
        <w:rFonts w:hint="default"/>
      </w:rPr>
    </w:lvl>
    <w:lvl w:ilvl="4" w:tplc="3E7A24A8">
      <w:numFmt w:val="bullet"/>
      <w:lvlText w:val="•"/>
      <w:lvlJc w:val="left"/>
      <w:pPr>
        <w:ind w:left="4146" w:hanging="708"/>
      </w:pPr>
      <w:rPr>
        <w:rFonts w:hint="default"/>
      </w:rPr>
    </w:lvl>
    <w:lvl w:ilvl="5" w:tplc="C6FEA644">
      <w:numFmt w:val="bullet"/>
      <w:lvlText w:val="•"/>
      <w:lvlJc w:val="left"/>
      <w:pPr>
        <w:ind w:left="5062" w:hanging="708"/>
      </w:pPr>
      <w:rPr>
        <w:rFonts w:hint="default"/>
      </w:rPr>
    </w:lvl>
    <w:lvl w:ilvl="6" w:tplc="0F12A07E">
      <w:numFmt w:val="bullet"/>
      <w:lvlText w:val="•"/>
      <w:lvlJc w:val="left"/>
      <w:pPr>
        <w:ind w:left="5977" w:hanging="708"/>
      </w:pPr>
      <w:rPr>
        <w:rFonts w:hint="default"/>
      </w:rPr>
    </w:lvl>
    <w:lvl w:ilvl="7" w:tplc="7DFE1FAA">
      <w:numFmt w:val="bullet"/>
      <w:lvlText w:val="•"/>
      <w:lvlJc w:val="left"/>
      <w:pPr>
        <w:ind w:left="6893" w:hanging="708"/>
      </w:pPr>
      <w:rPr>
        <w:rFonts w:hint="default"/>
      </w:rPr>
    </w:lvl>
    <w:lvl w:ilvl="8" w:tplc="41CA3D6E">
      <w:numFmt w:val="bullet"/>
      <w:lvlText w:val="•"/>
      <w:lvlJc w:val="left"/>
      <w:pPr>
        <w:ind w:left="7808" w:hanging="708"/>
      </w:pPr>
      <w:rPr>
        <w:rFonts w:hint="default"/>
      </w:rPr>
    </w:lvl>
  </w:abstractNum>
  <w:abstractNum w:abstractNumId="30" w15:restartNumberingAfterBreak="0">
    <w:nsid w:val="62A3551B"/>
    <w:multiLevelType w:val="hybridMultilevel"/>
    <w:tmpl w:val="E9C6D248"/>
    <w:lvl w:ilvl="0" w:tplc="FFFFFFFF">
      <w:start w:val="1"/>
      <w:numFmt w:val="decimal"/>
      <w:lvlText w:val="%1."/>
      <w:lvlJc w:val="left"/>
      <w:pPr>
        <w:ind w:left="401" w:hanging="708"/>
      </w:pPr>
      <w:rPr>
        <w:rFonts w:hint="default"/>
        <w:w w:val="99"/>
      </w:rPr>
    </w:lvl>
    <w:lvl w:ilvl="1" w:tplc="FFFFFFFF">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FFFFFFFF">
      <w:numFmt w:val="bullet"/>
      <w:lvlText w:val="•"/>
      <w:lvlJc w:val="left"/>
      <w:pPr>
        <w:ind w:left="1120" w:hanging="360"/>
      </w:pPr>
      <w:rPr>
        <w:rFonts w:hint="default"/>
      </w:rPr>
    </w:lvl>
    <w:lvl w:ilvl="3" w:tplc="FFFFFFFF">
      <w:numFmt w:val="bullet"/>
      <w:lvlText w:val="•"/>
      <w:lvlJc w:val="left"/>
      <w:pPr>
        <w:ind w:left="2185" w:hanging="360"/>
      </w:pPr>
      <w:rPr>
        <w:rFonts w:hint="default"/>
      </w:rPr>
    </w:lvl>
    <w:lvl w:ilvl="4" w:tplc="FFFFFFFF">
      <w:numFmt w:val="bullet"/>
      <w:lvlText w:val="•"/>
      <w:lvlJc w:val="left"/>
      <w:pPr>
        <w:ind w:left="3250" w:hanging="360"/>
      </w:pPr>
      <w:rPr>
        <w:rFonts w:hint="default"/>
      </w:rPr>
    </w:lvl>
    <w:lvl w:ilvl="5" w:tplc="FFFFFFFF">
      <w:numFmt w:val="bullet"/>
      <w:lvlText w:val="•"/>
      <w:lvlJc w:val="left"/>
      <w:pPr>
        <w:ind w:left="4315" w:hanging="360"/>
      </w:pPr>
      <w:rPr>
        <w:rFonts w:hint="default"/>
      </w:rPr>
    </w:lvl>
    <w:lvl w:ilvl="6" w:tplc="FFFFFFFF">
      <w:numFmt w:val="bullet"/>
      <w:lvlText w:val="•"/>
      <w:lvlJc w:val="left"/>
      <w:pPr>
        <w:ind w:left="5380" w:hanging="360"/>
      </w:pPr>
      <w:rPr>
        <w:rFonts w:hint="default"/>
      </w:rPr>
    </w:lvl>
    <w:lvl w:ilvl="7" w:tplc="FFFFFFFF">
      <w:numFmt w:val="bullet"/>
      <w:lvlText w:val="•"/>
      <w:lvlJc w:val="left"/>
      <w:pPr>
        <w:ind w:left="6445" w:hanging="360"/>
      </w:pPr>
      <w:rPr>
        <w:rFonts w:hint="default"/>
      </w:rPr>
    </w:lvl>
    <w:lvl w:ilvl="8" w:tplc="FFFFFFFF">
      <w:numFmt w:val="bullet"/>
      <w:lvlText w:val="•"/>
      <w:lvlJc w:val="left"/>
      <w:pPr>
        <w:ind w:left="7510" w:hanging="360"/>
      </w:pPr>
      <w:rPr>
        <w:rFonts w:hint="default"/>
      </w:rPr>
    </w:lvl>
  </w:abstractNum>
  <w:abstractNum w:abstractNumId="31" w15:restartNumberingAfterBreak="0">
    <w:nsid w:val="6A342849"/>
    <w:multiLevelType w:val="hybridMultilevel"/>
    <w:tmpl w:val="E36091AE"/>
    <w:lvl w:ilvl="0" w:tplc="82E64EF8">
      <w:numFmt w:val="bullet"/>
      <w:lvlText w:val="-"/>
      <w:lvlJc w:val="left"/>
      <w:pPr>
        <w:ind w:left="720" w:hanging="360"/>
      </w:pPr>
      <w:rPr>
        <w:rFonts w:ascii="Verdana" w:eastAsia="Times New Roman" w:hAnsi="Verdan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2" w15:restartNumberingAfterBreak="0">
    <w:nsid w:val="6ACF4924"/>
    <w:multiLevelType w:val="hybridMultilevel"/>
    <w:tmpl w:val="7514FAF0"/>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DBD4D16"/>
    <w:multiLevelType w:val="hybridMultilevel"/>
    <w:tmpl w:val="1D6E7330"/>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EEA44F3"/>
    <w:multiLevelType w:val="hybridMultilevel"/>
    <w:tmpl w:val="0F20C50A"/>
    <w:lvl w:ilvl="0" w:tplc="6348476A">
      <w:start w:val="2"/>
      <w:numFmt w:val="bullet"/>
      <w:lvlText w:val="-"/>
      <w:lvlJc w:val="left"/>
      <w:pPr>
        <w:ind w:left="720" w:hanging="360"/>
      </w:pPr>
      <w:rPr>
        <w:rFonts w:ascii="Verdana" w:eastAsiaTheme="minorHAnsi" w:hAnsi="Verdana" w:cs="Time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09F65D2"/>
    <w:multiLevelType w:val="hybridMultilevel"/>
    <w:tmpl w:val="F026AB2A"/>
    <w:lvl w:ilvl="0" w:tplc="FFFFFFFF">
      <w:start w:val="1"/>
      <w:numFmt w:val="upperLetter"/>
      <w:lvlText w:val="%1."/>
      <w:lvlJc w:val="left"/>
      <w:pPr>
        <w:ind w:left="1147" w:hanging="585"/>
      </w:pPr>
      <w:rPr>
        <w:rFonts w:hint="default"/>
      </w:rPr>
    </w:lvl>
    <w:lvl w:ilvl="1" w:tplc="FFFFFFFF" w:tentative="1">
      <w:start w:val="1"/>
      <w:numFmt w:val="lowerLetter"/>
      <w:lvlText w:val="%2."/>
      <w:lvlJc w:val="left"/>
      <w:pPr>
        <w:ind w:left="1642" w:hanging="360"/>
      </w:pPr>
    </w:lvl>
    <w:lvl w:ilvl="2" w:tplc="FFFFFFFF" w:tentative="1">
      <w:start w:val="1"/>
      <w:numFmt w:val="lowerRoman"/>
      <w:lvlText w:val="%3."/>
      <w:lvlJc w:val="right"/>
      <w:pPr>
        <w:ind w:left="2362" w:hanging="180"/>
      </w:pPr>
    </w:lvl>
    <w:lvl w:ilvl="3" w:tplc="FFFFFFFF" w:tentative="1">
      <w:start w:val="1"/>
      <w:numFmt w:val="decimal"/>
      <w:lvlText w:val="%4."/>
      <w:lvlJc w:val="left"/>
      <w:pPr>
        <w:ind w:left="3082" w:hanging="360"/>
      </w:pPr>
    </w:lvl>
    <w:lvl w:ilvl="4" w:tplc="FFFFFFFF" w:tentative="1">
      <w:start w:val="1"/>
      <w:numFmt w:val="lowerLetter"/>
      <w:lvlText w:val="%5."/>
      <w:lvlJc w:val="left"/>
      <w:pPr>
        <w:ind w:left="3802" w:hanging="360"/>
      </w:pPr>
    </w:lvl>
    <w:lvl w:ilvl="5" w:tplc="FFFFFFFF" w:tentative="1">
      <w:start w:val="1"/>
      <w:numFmt w:val="lowerRoman"/>
      <w:lvlText w:val="%6."/>
      <w:lvlJc w:val="right"/>
      <w:pPr>
        <w:ind w:left="4522" w:hanging="180"/>
      </w:pPr>
    </w:lvl>
    <w:lvl w:ilvl="6" w:tplc="FFFFFFFF" w:tentative="1">
      <w:start w:val="1"/>
      <w:numFmt w:val="decimal"/>
      <w:lvlText w:val="%7."/>
      <w:lvlJc w:val="left"/>
      <w:pPr>
        <w:ind w:left="5242" w:hanging="360"/>
      </w:pPr>
    </w:lvl>
    <w:lvl w:ilvl="7" w:tplc="FFFFFFFF" w:tentative="1">
      <w:start w:val="1"/>
      <w:numFmt w:val="lowerLetter"/>
      <w:lvlText w:val="%8."/>
      <w:lvlJc w:val="left"/>
      <w:pPr>
        <w:ind w:left="5962" w:hanging="360"/>
      </w:pPr>
    </w:lvl>
    <w:lvl w:ilvl="8" w:tplc="FFFFFFFF" w:tentative="1">
      <w:start w:val="1"/>
      <w:numFmt w:val="lowerRoman"/>
      <w:lvlText w:val="%9."/>
      <w:lvlJc w:val="right"/>
      <w:pPr>
        <w:ind w:left="6682" w:hanging="180"/>
      </w:pPr>
    </w:lvl>
  </w:abstractNum>
  <w:abstractNum w:abstractNumId="36" w15:restartNumberingAfterBreak="0">
    <w:nsid w:val="711F068C"/>
    <w:multiLevelType w:val="hybridMultilevel"/>
    <w:tmpl w:val="88B88A30"/>
    <w:lvl w:ilvl="0" w:tplc="B71E8CFE">
      <w:start w:val="16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1510C71"/>
    <w:multiLevelType w:val="hybridMultilevel"/>
    <w:tmpl w:val="EFD0BD84"/>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9354707"/>
    <w:multiLevelType w:val="hybridMultilevel"/>
    <w:tmpl w:val="FC26EA0A"/>
    <w:lvl w:ilvl="0" w:tplc="147C3A6C">
      <w:start w:val="1"/>
      <w:numFmt w:val="decimal"/>
      <w:lvlText w:val="%1."/>
      <w:lvlJc w:val="left"/>
      <w:pPr>
        <w:ind w:left="967" w:hanging="825"/>
      </w:pPr>
      <w:rPr>
        <w:rFonts w:ascii="Verdana" w:eastAsia="Verdana" w:hAnsi="Verdana" w:cs="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9" w15:restartNumberingAfterBreak="0">
    <w:nsid w:val="7CE64D32"/>
    <w:multiLevelType w:val="hybridMultilevel"/>
    <w:tmpl w:val="0DA49284"/>
    <w:lvl w:ilvl="0" w:tplc="B044D3C6">
      <w:start w:val="1"/>
      <w:numFmt w:val="decimal"/>
      <w:lvlText w:val="%1."/>
      <w:lvlJc w:val="left"/>
      <w:pPr>
        <w:tabs>
          <w:tab w:val="num" w:pos="1247"/>
        </w:tabs>
      </w:pPr>
      <w:rPr>
        <w:rFonts w:ascii="Verdana" w:eastAsia="Times New Roman" w:hAnsi="Verdana" w:cs="Times New Roman"/>
        <w:b w:val="0"/>
        <w:i w:val="0"/>
        <w:color w:val="auto"/>
        <w:sz w:val="20"/>
        <w:lang w:val="es-CR"/>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410032760">
    <w:abstractNumId w:val="10"/>
  </w:num>
  <w:num w:numId="2" w16cid:durableId="876822342">
    <w:abstractNumId w:val="21"/>
  </w:num>
  <w:num w:numId="3" w16cid:durableId="128674239">
    <w:abstractNumId w:val="12"/>
  </w:num>
  <w:num w:numId="4" w16cid:durableId="227737708">
    <w:abstractNumId w:val="38"/>
  </w:num>
  <w:num w:numId="5" w16cid:durableId="724455479">
    <w:abstractNumId w:val="26"/>
  </w:num>
  <w:num w:numId="6" w16cid:durableId="59989402">
    <w:abstractNumId w:val="0"/>
  </w:num>
  <w:num w:numId="7" w16cid:durableId="1669483414">
    <w:abstractNumId w:val="15"/>
  </w:num>
  <w:num w:numId="8" w16cid:durableId="513543777">
    <w:abstractNumId w:val="18"/>
  </w:num>
  <w:num w:numId="9" w16cid:durableId="2134132791">
    <w:abstractNumId w:val="1"/>
    <w:lvlOverride w:ilvl="0">
      <w:startOverride w:val="1"/>
    </w:lvlOverride>
  </w:num>
  <w:num w:numId="10" w16cid:durableId="1066758906">
    <w:abstractNumId w:val="39"/>
  </w:num>
  <w:num w:numId="11" w16cid:durableId="1804152878">
    <w:abstractNumId w:val="14"/>
  </w:num>
  <w:num w:numId="12" w16cid:durableId="1370568190">
    <w:abstractNumId w:val="19"/>
  </w:num>
  <w:num w:numId="13" w16cid:durableId="792478880">
    <w:abstractNumId w:val="33"/>
  </w:num>
  <w:num w:numId="14" w16cid:durableId="1997490687">
    <w:abstractNumId w:val="32"/>
  </w:num>
  <w:num w:numId="15" w16cid:durableId="2105303004">
    <w:abstractNumId w:val="4"/>
  </w:num>
  <w:num w:numId="16" w16cid:durableId="1860271683">
    <w:abstractNumId w:val="28"/>
  </w:num>
  <w:num w:numId="17" w16cid:durableId="664742440">
    <w:abstractNumId w:val="8"/>
  </w:num>
  <w:num w:numId="18" w16cid:durableId="1966351641">
    <w:abstractNumId w:val="11"/>
  </w:num>
  <w:num w:numId="19" w16cid:durableId="1799177452">
    <w:abstractNumId w:val="36"/>
  </w:num>
  <w:num w:numId="20" w16cid:durableId="1854227790">
    <w:abstractNumId w:val="5"/>
  </w:num>
  <w:num w:numId="21" w16cid:durableId="1724206739">
    <w:abstractNumId w:val="6"/>
  </w:num>
  <w:num w:numId="22" w16cid:durableId="1664891139">
    <w:abstractNumId w:val="29"/>
  </w:num>
  <w:num w:numId="23" w16cid:durableId="465926617">
    <w:abstractNumId w:val="22"/>
  </w:num>
  <w:num w:numId="24" w16cid:durableId="1193684627">
    <w:abstractNumId w:val="20"/>
  </w:num>
  <w:num w:numId="25" w16cid:durableId="1098678046">
    <w:abstractNumId w:val="30"/>
  </w:num>
  <w:num w:numId="26" w16cid:durableId="344285057">
    <w:abstractNumId w:val="13"/>
  </w:num>
  <w:num w:numId="27" w16cid:durableId="1756510741">
    <w:abstractNumId w:val="37"/>
  </w:num>
  <w:num w:numId="28" w16cid:durableId="2007202909">
    <w:abstractNumId w:val="16"/>
  </w:num>
  <w:num w:numId="29" w16cid:durableId="768550743">
    <w:abstractNumId w:val="3"/>
    <w:lvlOverride w:ilvl="0">
      <w:startOverride w:val="1"/>
    </w:lvlOverride>
  </w:num>
  <w:num w:numId="30" w16cid:durableId="1862813867">
    <w:abstractNumId w:val="3"/>
  </w:num>
  <w:num w:numId="31" w16cid:durableId="861020277">
    <w:abstractNumId w:val="9"/>
  </w:num>
  <w:num w:numId="32" w16cid:durableId="299189327">
    <w:abstractNumId w:val="23"/>
  </w:num>
  <w:num w:numId="33" w16cid:durableId="1118255851">
    <w:abstractNumId w:val="24"/>
  </w:num>
  <w:num w:numId="34" w16cid:durableId="77681606">
    <w:abstractNumId w:val="27"/>
  </w:num>
  <w:num w:numId="35" w16cid:durableId="1268342363">
    <w:abstractNumId w:val="34"/>
  </w:num>
  <w:num w:numId="36" w16cid:durableId="847019935">
    <w:abstractNumId w:val="2"/>
  </w:num>
  <w:num w:numId="37" w16cid:durableId="2071339408">
    <w:abstractNumId w:val="17"/>
  </w:num>
  <w:num w:numId="38" w16cid:durableId="1902909487">
    <w:abstractNumId w:val="35"/>
  </w:num>
  <w:num w:numId="39" w16cid:durableId="162176079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190352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5224033">
    <w:abstractNumId w:val="31"/>
  </w:num>
  <w:num w:numId="42" w16cid:durableId="1479112625">
    <w:abstractNumId w:val="7"/>
  </w:num>
  <w:num w:numId="43" w16cid:durableId="1429227390">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16"/>
    <w:rsid w:val="00000A53"/>
    <w:rsid w:val="000012D0"/>
    <w:rsid w:val="00002399"/>
    <w:rsid w:val="00002749"/>
    <w:rsid w:val="00003219"/>
    <w:rsid w:val="00005DF4"/>
    <w:rsid w:val="000061E5"/>
    <w:rsid w:val="00006416"/>
    <w:rsid w:val="00006DDF"/>
    <w:rsid w:val="00007906"/>
    <w:rsid w:val="0001002A"/>
    <w:rsid w:val="00010FA2"/>
    <w:rsid w:val="000110DC"/>
    <w:rsid w:val="00011267"/>
    <w:rsid w:val="0001252A"/>
    <w:rsid w:val="00012CE2"/>
    <w:rsid w:val="00012F2B"/>
    <w:rsid w:val="000136C2"/>
    <w:rsid w:val="00014799"/>
    <w:rsid w:val="0001618B"/>
    <w:rsid w:val="000170D2"/>
    <w:rsid w:val="00017123"/>
    <w:rsid w:val="000176BB"/>
    <w:rsid w:val="0002008F"/>
    <w:rsid w:val="00020218"/>
    <w:rsid w:val="0002143B"/>
    <w:rsid w:val="0002154A"/>
    <w:rsid w:val="00023A8B"/>
    <w:rsid w:val="00023CB0"/>
    <w:rsid w:val="000242AB"/>
    <w:rsid w:val="00024FCC"/>
    <w:rsid w:val="00025846"/>
    <w:rsid w:val="00026E3F"/>
    <w:rsid w:val="00027177"/>
    <w:rsid w:val="00027197"/>
    <w:rsid w:val="0002795D"/>
    <w:rsid w:val="00027CE8"/>
    <w:rsid w:val="00027F3C"/>
    <w:rsid w:val="00027FB2"/>
    <w:rsid w:val="000306D2"/>
    <w:rsid w:val="000337A7"/>
    <w:rsid w:val="00033BCD"/>
    <w:rsid w:val="00034E6B"/>
    <w:rsid w:val="000372CB"/>
    <w:rsid w:val="00037526"/>
    <w:rsid w:val="00041078"/>
    <w:rsid w:val="000420D6"/>
    <w:rsid w:val="000423FF"/>
    <w:rsid w:val="00042842"/>
    <w:rsid w:val="00042E1B"/>
    <w:rsid w:val="0004413B"/>
    <w:rsid w:val="00044447"/>
    <w:rsid w:val="000445F4"/>
    <w:rsid w:val="00045215"/>
    <w:rsid w:val="00045F68"/>
    <w:rsid w:val="00046153"/>
    <w:rsid w:val="000464A4"/>
    <w:rsid w:val="0004683D"/>
    <w:rsid w:val="00046AE6"/>
    <w:rsid w:val="0004733C"/>
    <w:rsid w:val="0004752E"/>
    <w:rsid w:val="00047BBB"/>
    <w:rsid w:val="00047F52"/>
    <w:rsid w:val="000508B6"/>
    <w:rsid w:val="00051E39"/>
    <w:rsid w:val="00052757"/>
    <w:rsid w:val="00053A31"/>
    <w:rsid w:val="00054D66"/>
    <w:rsid w:val="00054F8A"/>
    <w:rsid w:val="00055ACC"/>
    <w:rsid w:val="00055DA5"/>
    <w:rsid w:val="000563EC"/>
    <w:rsid w:val="00056E57"/>
    <w:rsid w:val="000570CC"/>
    <w:rsid w:val="00057163"/>
    <w:rsid w:val="00057635"/>
    <w:rsid w:val="00057A16"/>
    <w:rsid w:val="00057EC2"/>
    <w:rsid w:val="00061A1C"/>
    <w:rsid w:val="00061E05"/>
    <w:rsid w:val="000620D8"/>
    <w:rsid w:val="00062BCD"/>
    <w:rsid w:val="00062E1D"/>
    <w:rsid w:val="000636CC"/>
    <w:rsid w:val="000636DE"/>
    <w:rsid w:val="00063807"/>
    <w:rsid w:val="00063927"/>
    <w:rsid w:val="00064B26"/>
    <w:rsid w:val="000653C2"/>
    <w:rsid w:val="000667D5"/>
    <w:rsid w:val="00066F9F"/>
    <w:rsid w:val="00067167"/>
    <w:rsid w:val="000678AF"/>
    <w:rsid w:val="00067BD3"/>
    <w:rsid w:val="00067CFB"/>
    <w:rsid w:val="00070790"/>
    <w:rsid w:val="00070F65"/>
    <w:rsid w:val="00072229"/>
    <w:rsid w:val="00072432"/>
    <w:rsid w:val="000725E4"/>
    <w:rsid w:val="000726E9"/>
    <w:rsid w:val="00072D2D"/>
    <w:rsid w:val="00073397"/>
    <w:rsid w:val="000746A8"/>
    <w:rsid w:val="00074D97"/>
    <w:rsid w:val="000753C7"/>
    <w:rsid w:val="000758AF"/>
    <w:rsid w:val="00075974"/>
    <w:rsid w:val="0007599B"/>
    <w:rsid w:val="00075A44"/>
    <w:rsid w:val="00077F52"/>
    <w:rsid w:val="00080BAC"/>
    <w:rsid w:val="00080FD2"/>
    <w:rsid w:val="00081038"/>
    <w:rsid w:val="0008199A"/>
    <w:rsid w:val="00082A88"/>
    <w:rsid w:val="000850C3"/>
    <w:rsid w:val="000858D5"/>
    <w:rsid w:val="0008596B"/>
    <w:rsid w:val="000863AC"/>
    <w:rsid w:val="00087678"/>
    <w:rsid w:val="00091131"/>
    <w:rsid w:val="00092702"/>
    <w:rsid w:val="00094448"/>
    <w:rsid w:val="0009482F"/>
    <w:rsid w:val="00095B07"/>
    <w:rsid w:val="00095B96"/>
    <w:rsid w:val="00096254"/>
    <w:rsid w:val="000966B6"/>
    <w:rsid w:val="00096823"/>
    <w:rsid w:val="00096AF5"/>
    <w:rsid w:val="0009720C"/>
    <w:rsid w:val="0009788F"/>
    <w:rsid w:val="0009794F"/>
    <w:rsid w:val="000A0776"/>
    <w:rsid w:val="000A0A1E"/>
    <w:rsid w:val="000A0AA6"/>
    <w:rsid w:val="000A0DA8"/>
    <w:rsid w:val="000A109C"/>
    <w:rsid w:val="000A1E35"/>
    <w:rsid w:val="000A3F31"/>
    <w:rsid w:val="000A42B4"/>
    <w:rsid w:val="000A5168"/>
    <w:rsid w:val="000A6730"/>
    <w:rsid w:val="000A7836"/>
    <w:rsid w:val="000B0010"/>
    <w:rsid w:val="000B014F"/>
    <w:rsid w:val="000B0ECB"/>
    <w:rsid w:val="000B13D6"/>
    <w:rsid w:val="000B146C"/>
    <w:rsid w:val="000B15FD"/>
    <w:rsid w:val="000B1DCA"/>
    <w:rsid w:val="000B2AE8"/>
    <w:rsid w:val="000B35E7"/>
    <w:rsid w:val="000B4648"/>
    <w:rsid w:val="000B6453"/>
    <w:rsid w:val="000B64C0"/>
    <w:rsid w:val="000B77A2"/>
    <w:rsid w:val="000B78E7"/>
    <w:rsid w:val="000C0320"/>
    <w:rsid w:val="000C1373"/>
    <w:rsid w:val="000C1B84"/>
    <w:rsid w:val="000C1BD3"/>
    <w:rsid w:val="000C1E0D"/>
    <w:rsid w:val="000C2347"/>
    <w:rsid w:val="000C2689"/>
    <w:rsid w:val="000C3143"/>
    <w:rsid w:val="000C4077"/>
    <w:rsid w:val="000C63D6"/>
    <w:rsid w:val="000C70AD"/>
    <w:rsid w:val="000D1783"/>
    <w:rsid w:val="000D19D8"/>
    <w:rsid w:val="000D2EAA"/>
    <w:rsid w:val="000D333F"/>
    <w:rsid w:val="000D38AF"/>
    <w:rsid w:val="000D489E"/>
    <w:rsid w:val="000D5EEC"/>
    <w:rsid w:val="000D69CA"/>
    <w:rsid w:val="000D6CB9"/>
    <w:rsid w:val="000D74D8"/>
    <w:rsid w:val="000E0C74"/>
    <w:rsid w:val="000E0D2C"/>
    <w:rsid w:val="000E1FC1"/>
    <w:rsid w:val="000E25B8"/>
    <w:rsid w:val="000E28BA"/>
    <w:rsid w:val="000E2B8A"/>
    <w:rsid w:val="000E2EC2"/>
    <w:rsid w:val="000E30D3"/>
    <w:rsid w:val="000E4848"/>
    <w:rsid w:val="000E74CD"/>
    <w:rsid w:val="000E780B"/>
    <w:rsid w:val="000E7D43"/>
    <w:rsid w:val="000E7FAE"/>
    <w:rsid w:val="000F0120"/>
    <w:rsid w:val="000F0C7D"/>
    <w:rsid w:val="000F17C6"/>
    <w:rsid w:val="000F1E21"/>
    <w:rsid w:val="000F1E5B"/>
    <w:rsid w:val="000F20CA"/>
    <w:rsid w:val="000F2576"/>
    <w:rsid w:val="000F25BD"/>
    <w:rsid w:val="000F28EE"/>
    <w:rsid w:val="000F57E2"/>
    <w:rsid w:val="000F6C48"/>
    <w:rsid w:val="00101C21"/>
    <w:rsid w:val="001021D5"/>
    <w:rsid w:val="00102A15"/>
    <w:rsid w:val="00103128"/>
    <w:rsid w:val="001033FD"/>
    <w:rsid w:val="001039D2"/>
    <w:rsid w:val="001044ED"/>
    <w:rsid w:val="00105001"/>
    <w:rsid w:val="0010568E"/>
    <w:rsid w:val="00105AA6"/>
    <w:rsid w:val="00105AB8"/>
    <w:rsid w:val="00105F50"/>
    <w:rsid w:val="001062D5"/>
    <w:rsid w:val="001065C7"/>
    <w:rsid w:val="001076EB"/>
    <w:rsid w:val="00107B77"/>
    <w:rsid w:val="00107F96"/>
    <w:rsid w:val="001102F8"/>
    <w:rsid w:val="00110556"/>
    <w:rsid w:val="00110734"/>
    <w:rsid w:val="00110D58"/>
    <w:rsid w:val="00111AB7"/>
    <w:rsid w:val="0011211B"/>
    <w:rsid w:val="00112CCF"/>
    <w:rsid w:val="00114200"/>
    <w:rsid w:val="00114E22"/>
    <w:rsid w:val="001157D2"/>
    <w:rsid w:val="0011634B"/>
    <w:rsid w:val="0011704B"/>
    <w:rsid w:val="0011753B"/>
    <w:rsid w:val="00120609"/>
    <w:rsid w:val="00120C97"/>
    <w:rsid w:val="00120FEE"/>
    <w:rsid w:val="00121688"/>
    <w:rsid w:val="0012319E"/>
    <w:rsid w:val="0012489D"/>
    <w:rsid w:val="00124AEA"/>
    <w:rsid w:val="0012515E"/>
    <w:rsid w:val="00125802"/>
    <w:rsid w:val="00126A05"/>
    <w:rsid w:val="00126E06"/>
    <w:rsid w:val="001275E2"/>
    <w:rsid w:val="00127CF0"/>
    <w:rsid w:val="00130C56"/>
    <w:rsid w:val="0013227C"/>
    <w:rsid w:val="001322ED"/>
    <w:rsid w:val="00132D65"/>
    <w:rsid w:val="00133EAB"/>
    <w:rsid w:val="0013422C"/>
    <w:rsid w:val="001344EA"/>
    <w:rsid w:val="00135090"/>
    <w:rsid w:val="00140196"/>
    <w:rsid w:val="00140198"/>
    <w:rsid w:val="00140BA6"/>
    <w:rsid w:val="00140E56"/>
    <w:rsid w:val="0014109D"/>
    <w:rsid w:val="00141B9C"/>
    <w:rsid w:val="00142347"/>
    <w:rsid w:val="001430FB"/>
    <w:rsid w:val="00143FC9"/>
    <w:rsid w:val="0014455C"/>
    <w:rsid w:val="00146B66"/>
    <w:rsid w:val="0014742A"/>
    <w:rsid w:val="00147C91"/>
    <w:rsid w:val="00147E5F"/>
    <w:rsid w:val="001503A8"/>
    <w:rsid w:val="001505F9"/>
    <w:rsid w:val="00152114"/>
    <w:rsid w:val="001522BD"/>
    <w:rsid w:val="001523C1"/>
    <w:rsid w:val="0015269C"/>
    <w:rsid w:val="001539F3"/>
    <w:rsid w:val="00153CF0"/>
    <w:rsid w:val="001542BC"/>
    <w:rsid w:val="0015449C"/>
    <w:rsid w:val="00155E52"/>
    <w:rsid w:val="00156D36"/>
    <w:rsid w:val="001601B1"/>
    <w:rsid w:val="00160FC4"/>
    <w:rsid w:val="001620B6"/>
    <w:rsid w:val="00162C13"/>
    <w:rsid w:val="00162E9D"/>
    <w:rsid w:val="00163510"/>
    <w:rsid w:val="0016390B"/>
    <w:rsid w:val="00165104"/>
    <w:rsid w:val="00165B47"/>
    <w:rsid w:val="00165F1B"/>
    <w:rsid w:val="001665EB"/>
    <w:rsid w:val="001666F8"/>
    <w:rsid w:val="00170936"/>
    <w:rsid w:val="00170D17"/>
    <w:rsid w:val="00172ADF"/>
    <w:rsid w:val="00172F87"/>
    <w:rsid w:val="00174207"/>
    <w:rsid w:val="0017432D"/>
    <w:rsid w:val="001749B2"/>
    <w:rsid w:val="00176452"/>
    <w:rsid w:val="001772DF"/>
    <w:rsid w:val="00177BB1"/>
    <w:rsid w:val="001803AE"/>
    <w:rsid w:val="001813DE"/>
    <w:rsid w:val="0018168F"/>
    <w:rsid w:val="00182518"/>
    <w:rsid w:val="001825D4"/>
    <w:rsid w:val="0018294F"/>
    <w:rsid w:val="00182E24"/>
    <w:rsid w:val="001837C1"/>
    <w:rsid w:val="00183A69"/>
    <w:rsid w:val="00185528"/>
    <w:rsid w:val="00186FF0"/>
    <w:rsid w:val="001876C9"/>
    <w:rsid w:val="00190F6E"/>
    <w:rsid w:val="001913B5"/>
    <w:rsid w:val="00191716"/>
    <w:rsid w:val="001919DF"/>
    <w:rsid w:val="0019200D"/>
    <w:rsid w:val="00192A13"/>
    <w:rsid w:val="00193548"/>
    <w:rsid w:val="0019391D"/>
    <w:rsid w:val="00194A70"/>
    <w:rsid w:val="001952F2"/>
    <w:rsid w:val="00196A79"/>
    <w:rsid w:val="00196FF2"/>
    <w:rsid w:val="00197A72"/>
    <w:rsid w:val="001A0C21"/>
    <w:rsid w:val="001A1689"/>
    <w:rsid w:val="001A1A8F"/>
    <w:rsid w:val="001A293B"/>
    <w:rsid w:val="001A31E1"/>
    <w:rsid w:val="001A3C71"/>
    <w:rsid w:val="001A3CDD"/>
    <w:rsid w:val="001A3D54"/>
    <w:rsid w:val="001A45A1"/>
    <w:rsid w:val="001A46AF"/>
    <w:rsid w:val="001A66E2"/>
    <w:rsid w:val="001A6769"/>
    <w:rsid w:val="001A6BC7"/>
    <w:rsid w:val="001A72C9"/>
    <w:rsid w:val="001B07E3"/>
    <w:rsid w:val="001B0DCB"/>
    <w:rsid w:val="001B12CA"/>
    <w:rsid w:val="001B29CB"/>
    <w:rsid w:val="001B51E0"/>
    <w:rsid w:val="001B599B"/>
    <w:rsid w:val="001B62C9"/>
    <w:rsid w:val="001B66DD"/>
    <w:rsid w:val="001B680E"/>
    <w:rsid w:val="001B68C7"/>
    <w:rsid w:val="001B6BB6"/>
    <w:rsid w:val="001B6C45"/>
    <w:rsid w:val="001B6D54"/>
    <w:rsid w:val="001B7217"/>
    <w:rsid w:val="001B78D5"/>
    <w:rsid w:val="001B7F6D"/>
    <w:rsid w:val="001C0A41"/>
    <w:rsid w:val="001C0BA9"/>
    <w:rsid w:val="001C14B5"/>
    <w:rsid w:val="001C1520"/>
    <w:rsid w:val="001C1F5D"/>
    <w:rsid w:val="001C26DD"/>
    <w:rsid w:val="001C27BA"/>
    <w:rsid w:val="001C29E4"/>
    <w:rsid w:val="001C2F04"/>
    <w:rsid w:val="001C51C3"/>
    <w:rsid w:val="001C56F8"/>
    <w:rsid w:val="001C5DCD"/>
    <w:rsid w:val="001C5EBE"/>
    <w:rsid w:val="001C6065"/>
    <w:rsid w:val="001C75B2"/>
    <w:rsid w:val="001C7FF7"/>
    <w:rsid w:val="001D02BD"/>
    <w:rsid w:val="001D14D5"/>
    <w:rsid w:val="001D1FF1"/>
    <w:rsid w:val="001D3553"/>
    <w:rsid w:val="001D4408"/>
    <w:rsid w:val="001D557D"/>
    <w:rsid w:val="001D5BF4"/>
    <w:rsid w:val="001D6071"/>
    <w:rsid w:val="001D68B4"/>
    <w:rsid w:val="001D6AEB"/>
    <w:rsid w:val="001D6DB9"/>
    <w:rsid w:val="001D7316"/>
    <w:rsid w:val="001D7534"/>
    <w:rsid w:val="001E0470"/>
    <w:rsid w:val="001E05E9"/>
    <w:rsid w:val="001E0A04"/>
    <w:rsid w:val="001E0B6C"/>
    <w:rsid w:val="001E0BE0"/>
    <w:rsid w:val="001E1AAD"/>
    <w:rsid w:val="001E1DFE"/>
    <w:rsid w:val="001E1F97"/>
    <w:rsid w:val="001E417E"/>
    <w:rsid w:val="001E54DD"/>
    <w:rsid w:val="001E6240"/>
    <w:rsid w:val="001F0700"/>
    <w:rsid w:val="001F0A51"/>
    <w:rsid w:val="001F241D"/>
    <w:rsid w:val="001F2C0E"/>
    <w:rsid w:val="001F2DA4"/>
    <w:rsid w:val="001F4A7C"/>
    <w:rsid w:val="001F530E"/>
    <w:rsid w:val="001F53FB"/>
    <w:rsid w:val="001F6AFD"/>
    <w:rsid w:val="001F7381"/>
    <w:rsid w:val="001F798A"/>
    <w:rsid w:val="0020109A"/>
    <w:rsid w:val="00201BD9"/>
    <w:rsid w:val="00202227"/>
    <w:rsid w:val="0020229B"/>
    <w:rsid w:val="002025CD"/>
    <w:rsid w:val="00202F55"/>
    <w:rsid w:val="00203ECB"/>
    <w:rsid w:val="0020470E"/>
    <w:rsid w:val="00204E5C"/>
    <w:rsid w:val="002056AE"/>
    <w:rsid w:val="002063AD"/>
    <w:rsid w:val="00206B67"/>
    <w:rsid w:val="00207C1B"/>
    <w:rsid w:val="002102BF"/>
    <w:rsid w:val="00210C11"/>
    <w:rsid w:val="002118DC"/>
    <w:rsid w:val="0021311B"/>
    <w:rsid w:val="00214D3E"/>
    <w:rsid w:val="0021531B"/>
    <w:rsid w:val="00216556"/>
    <w:rsid w:val="00216890"/>
    <w:rsid w:val="00216CB7"/>
    <w:rsid w:val="00217A5F"/>
    <w:rsid w:val="00217BCC"/>
    <w:rsid w:val="002204CC"/>
    <w:rsid w:val="00220E54"/>
    <w:rsid w:val="00222187"/>
    <w:rsid w:val="002228FA"/>
    <w:rsid w:val="00223F6F"/>
    <w:rsid w:val="002241C6"/>
    <w:rsid w:val="0022484A"/>
    <w:rsid w:val="00224E54"/>
    <w:rsid w:val="00224E7A"/>
    <w:rsid w:val="002250E1"/>
    <w:rsid w:val="0022582A"/>
    <w:rsid w:val="00225AF2"/>
    <w:rsid w:val="00226997"/>
    <w:rsid w:val="002277CC"/>
    <w:rsid w:val="00230506"/>
    <w:rsid w:val="002307A9"/>
    <w:rsid w:val="00230823"/>
    <w:rsid w:val="002309F7"/>
    <w:rsid w:val="002313E7"/>
    <w:rsid w:val="002316FA"/>
    <w:rsid w:val="002321AE"/>
    <w:rsid w:val="002334EB"/>
    <w:rsid w:val="00234096"/>
    <w:rsid w:val="002343C9"/>
    <w:rsid w:val="002346F4"/>
    <w:rsid w:val="00234BF2"/>
    <w:rsid w:val="00235346"/>
    <w:rsid w:val="0023694D"/>
    <w:rsid w:val="00237711"/>
    <w:rsid w:val="002400E0"/>
    <w:rsid w:val="00240576"/>
    <w:rsid w:val="00240929"/>
    <w:rsid w:val="00241C08"/>
    <w:rsid w:val="00241F90"/>
    <w:rsid w:val="0024262D"/>
    <w:rsid w:val="00244865"/>
    <w:rsid w:val="00244FD4"/>
    <w:rsid w:val="002451AF"/>
    <w:rsid w:val="00245602"/>
    <w:rsid w:val="00245E4A"/>
    <w:rsid w:val="00246B6E"/>
    <w:rsid w:val="0024732A"/>
    <w:rsid w:val="00247380"/>
    <w:rsid w:val="002477F5"/>
    <w:rsid w:val="002478D0"/>
    <w:rsid w:val="00247A27"/>
    <w:rsid w:val="00247CE0"/>
    <w:rsid w:val="00250190"/>
    <w:rsid w:val="0025059E"/>
    <w:rsid w:val="00250831"/>
    <w:rsid w:val="002508B6"/>
    <w:rsid w:val="002525E8"/>
    <w:rsid w:val="00252B93"/>
    <w:rsid w:val="00253084"/>
    <w:rsid w:val="002532BD"/>
    <w:rsid w:val="00253B59"/>
    <w:rsid w:val="00253CFD"/>
    <w:rsid w:val="00254654"/>
    <w:rsid w:val="00254B8E"/>
    <w:rsid w:val="00255895"/>
    <w:rsid w:val="00255EB3"/>
    <w:rsid w:val="00256D0F"/>
    <w:rsid w:val="0025784C"/>
    <w:rsid w:val="00257F16"/>
    <w:rsid w:val="00260F14"/>
    <w:rsid w:val="002628A9"/>
    <w:rsid w:val="00262BEA"/>
    <w:rsid w:val="00262E17"/>
    <w:rsid w:val="00263A0A"/>
    <w:rsid w:val="002656CD"/>
    <w:rsid w:val="00265A4C"/>
    <w:rsid w:val="00265FF3"/>
    <w:rsid w:val="002667D1"/>
    <w:rsid w:val="00266A04"/>
    <w:rsid w:val="00266C16"/>
    <w:rsid w:val="00267B0D"/>
    <w:rsid w:val="00267F61"/>
    <w:rsid w:val="00271017"/>
    <w:rsid w:val="00271557"/>
    <w:rsid w:val="0027159E"/>
    <w:rsid w:val="0027205C"/>
    <w:rsid w:val="00272AD3"/>
    <w:rsid w:val="002735C3"/>
    <w:rsid w:val="00273C4D"/>
    <w:rsid w:val="00274BD9"/>
    <w:rsid w:val="002758CE"/>
    <w:rsid w:val="00275FEE"/>
    <w:rsid w:val="002766C3"/>
    <w:rsid w:val="00276E4B"/>
    <w:rsid w:val="00277F58"/>
    <w:rsid w:val="002801AB"/>
    <w:rsid w:val="00281714"/>
    <w:rsid w:val="0028171B"/>
    <w:rsid w:val="00281766"/>
    <w:rsid w:val="0028198D"/>
    <w:rsid w:val="00282DCC"/>
    <w:rsid w:val="002839D7"/>
    <w:rsid w:val="00283C75"/>
    <w:rsid w:val="00285602"/>
    <w:rsid w:val="00286C6C"/>
    <w:rsid w:val="00287E06"/>
    <w:rsid w:val="00287F90"/>
    <w:rsid w:val="0029089A"/>
    <w:rsid w:val="0029135D"/>
    <w:rsid w:val="00291A3C"/>
    <w:rsid w:val="00291F31"/>
    <w:rsid w:val="00292957"/>
    <w:rsid w:val="0029316A"/>
    <w:rsid w:val="00293AEF"/>
    <w:rsid w:val="00294DE7"/>
    <w:rsid w:val="0029594D"/>
    <w:rsid w:val="002A018D"/>
    <w:rsid w:val="002A0FC2"/>
    <w:rsid w:val="002A1E37"/>
    <w:rsid w:val="002A2505"/>
    <w:rsid w:val="002A2DFA"/>
    <w:rsid w:val="002A3584"/>
    <w:rsid w:val="002A38BF"/>
    <w:rsid w:val="002A3A73"/>
    <w:rsid w:val="002A3DE7"/>
    <w:rsid w:val="002A4755"/>
    <w:rsid w:val="002A5276"/>
    <w:rsid w:val="002A5E94"/>
    <w:rsid w:val="002A5F14"/>
    <w:rsid w:val="002B0BA4"/>
    <w:rsid w:val="002B0C5D"/>
    <w:rsid w:val="002B1381"/>
    <w:rsid w:val="002B1967"/>
    <w:rsid w:val="002B19E7"/>
    <w:rsid w:val="002B1CDB"/>
    <w:rsid w:val="002B2F50"/>
    <w:rsid w:val="002B30FC"/>
    <w:rsid w:val="002B3CFD"/>
    <w:rsid w:val="002B3FA1"/>
    <w:rsid w:val="002B45C8"/>
    <w:rsid w:val="002B4A16"/>
    <w:rsid w:val="002B5081"/>
    <w:rsid w:val="002B7D4D"/>
    <w:rsid w:val="002C12E0"/>
    <w:rsid w:val="002C1C68"/>
    <w:rsid w:val="002C2DDC"/>
    <w:rsid w:val="002C329F"/>
    <w:rsid w:val="002C34ED"/>
    <w:rsid w:val="002C35E6"/>
    <w:rsid w:val="002C5240"/>
    <w:rsid w:val="002C55E5"/>
    <w:rsid w:val="002C56E0"/>
    <w:rsid w:val="002C684D"/>
    <w:rsid w:val="002C6DC1"/>
    <w:rsid w:val="002C71F8"/>
    <w:rsid w:val="002C7313"/>
    <w:rsid w:val="002C75D0"/>
    <w:rsid w:val="002C7845"/>
    <w:rsid w:val="002D047B"/>
    <w:rsid w:val="002D09F5"/>
    <w:rsid w:val="002D0DA8"/>
    <w:rsid w:val="002D14B0"/>
    <w:rsid w:val="002D1884"/>
    <w:rsid w:val="002D1B13"/>
    <w:rsid w:val="002D2646"/>
    <w:rsid w:val="002D2FEF"/>
    <w:rsid w:val="002D34A8"/>
    <w:rsid w:val="002D37A3"/>
    <w:rsid w:val="002D37DA"/>
    <w:rsid w:val="002D3AC0"/>
    <w:rsid w:val="002D4649"/>
    <w:rsid w:val="002D4CE4"/>
    <w:rsid w:val="002D5C40"/>
    <w:rsid w:val="002D6017"/>
    <w:rsid w:val="002D65AB"/>
    <w:rsid w:val="002D77E4"/>
    <w:rsid w:val="002D7F5D"/>
    <w:rsid w:val="002E0109"/>
    <w:rsid w:val="002E1882"/>
    <w:rsid w:val="002E1F94"/>
    <w:rsid w:val="002E36BB"/>
    <w:rsid w:val="002E5664"/>
    <w:rsid w:val="002E5CCE"/>
    <w:rsid w:val="002E5FF5"/>
    <w:rsid w:val="002E68A3"/>
    <w:rsid w:val="002E6A77"/>
    <w:rsid w:val="002F0618"/>
    <w:rsid w:val="002F080E"/>
    <w:rsid w:val="002F1973"/>
    <w:rsid w:val="002F27AB"/>
    <w:rsid w:val="002F2C0A"/>
    <w:rsid w:val="002F4793"/>
    <w:rsid w:val="002F57B7"/>
    <w:rsid w:val="002F5A56"/>
    <w:rsid w:val="002F7630"/>
    <w:rsid w:val="0030008B"/>
    <w:rsid w:val="00300125"/>
    <w:rsid w:val="003009AC"/>
    <w:rsid w:val="00301F9E"/>
    <w:rsid w:val="0030265F"/>
    <w:rsid w:val="003026C3"/>
    <w:rsid w:val="00304C53"/>
    <w:rsid w:val="00304FC0"/>
    <w:rsid w:val="0030508E"/>
    <w:rsid w:val="00305BC4"/>
    <w:rsid w:val="00307924"/>
    <w:rsid w:val="00307B57"/>
    <w:rsid w:val="00307BC8"/>
    <w:rsid w:val="00310982"/>
    <w:rsid w:val="00314380"/>
    <w:rsid w:val="00314425"/>
    <w:rsid w:val="00314EDE"/>
    <w:rsid w:val="00314FA5"/>
    <w:rsid w:val="00315572"/>
    <w:rsid w:val="00315D90"/>
    <w:rsid w:val="00316587"/>
    <w:rsid w:val="00316DC8"/>
    <w:rsid w:val="00316E86"/>
    <w:rsid w:val="003172E5"/>
    <w:rsid w:val="00321C98"/>
    <w:rsid w:val="0032208D"/>
    <w:rsid w:val="003222C7"/>
    <w:rsid w:val="00322979"/>
    <w:rsid w:val="00323411"/>
    <w:rsid w:val="003236F3"/>
    <w:rsid w:val="003248AE"/>
    <w:rsid w:val="00324FD8"/>
    <w:rsid w:val="00325242"/>
    <w:rsid w:val="00325859"/>
    <w:rsid w:val="00326631"/>
    <w:rsid w:val="00327D61"/>
    <w:rsid w:val="00327DC6"/>
    <w:rsid w:val="003303ED"/>
    <w:rsid w:val="003307A3"/>
    <w:rsid w:val="00330F78"/>
    <w:rsid w:val="00332B1B"/>
    <w:rsid w:val="00332D94"/>
    <w:rsid w:val="00332EDD"/>
    <w:rsid w:val="003331A6"/>
    <w:rsid w:val="00333997"/>
    <w:rsid w:val="003339B3"/>
    <w:rsid w:val="00333BAA"/>
    <w:rsid w:val="00334B9C"/>
    <w:rsid w:val="00334EE2"/>
    <w:rsid w:val="00335030"/>
    <w:rsid w:val="003351CB"/>
    <w:rsid w:val="003356F1"/>
    <w:rsid w:val="00336766"/>
    <w:rsid w:val="00337569"/>
    <w:rsid w:val="0034039C"/>
    <w:rsid w:val="0034190D"/>
    <w:rsid w:val="00341F12"/>
    <w:rsid w:val="00344D79"/>
    <w:rsid w:val="00345558"/>
    <w:rsid w:val="00345856"/>
    <w:rsid w:val="003461E8"/>
    <w:rsid w:val="00347225"/>
    <w:rsid w:val="003505D6"/>
    <w:rsid w:val="0035133A"/>
    <w:rsid w:val="00352233"/>
    <w:rsid w:val="0035403B"/>
    <w:rsid w:val="00354795"/>
    <w:rsid w:val="00354A24"/>
    <w:rsid w:val="003551D0"/>
    <w:rsid w:val="00355CCB"/>
    <w:rsid w:val="00355CED"/>
    <w:rsid w:val="003571BF"/>
    <w:rsid w:val="00360F57"/>
    <w:rsid w:val="0036107B"/>
    <w:rsid w:val="00361206"/>
    <w:rsid w:val="0036164D"/>
    <w:rsid w:val="00361AB5"/>
    <w:rsid w:val="00361ECD"/>
    <w:rsid w:val="00361FCE"/>
    <w:rsid w:val="003623A8"/>
    <w:rsid w:val="00362638"/>
    <w:rsid w:val="00362A75"/>
    <w:rsid w:val="00364CE4"/>
    <w:rsid w:val="0036509D"/>
    <w:rsid w:val="00365B5D"/>
    <w:rsid w:val="00366673"/>
    <w:rsid w:val="0036696F"/>
    <w:rsid w:val="00367639"/>
    <w:rsid w:val="00367B7A"/>
    <w:rsid w:val="00371FFC"/>
    <w:rsid w:val="00372207"/>
    <w:rsid w:val="00372220"/>
    <w:rsid w:val="00374A65"/>
    <w:rsid w:val="00374C7F"/>
    <w:rsid w:val="00375108"/>
    <w:rsid w:val="003754B6"/>
    <w:rsid w:val="0037552D"/>
    <w:rsid w:val="003759DE"/>
    <w:rsid w:val="00376E63"/>
    <w:rsid w:val="003800CF"/>
    <w:rsid w:val="0038115B"/>
    <w:rsid w:val="00381212"/>
    <w:rsid w:val="00381387"/>
    <w:rsid w:val="00381A2C"/>
    <w:rsid w:val="003836DE"/>
    <w:rsid w:val="003844BA"/>
    <w:rsid w:val="003854E9"/>
    <w:rsid w:val="00385A28"/>
    <w:rsid w:val="0038670E"/>
    <w:rsid w:val="00386838"/>
    <w:rsid w:val="00390C47"/>
    <w:rsid w:val="00390DC3"/>
    <w:rsid w:val="00390E2D"/>
    <w:rsid w:val="003920A5"/>
    <w:rsid w:val="00392178"/>
    <w:rsid w:val="00392D8F"/>
    <w:rsid w:val="003953BF"/>
    <w:rsid w:val="0039558C"/>
    <w:rsid w:val="00395766"/>
    <w:rsid w:val="003969B1"/>
    <w:rsid w:val="003977EE"/>
    <w:rsid w:val="003A069B"/>
    <w:rsid w:val="003A09EE"/>
    <w:rsid w:val="003A1936"/>
    <w:rsid w:val="003A2552"/>
    <w:rsid w:val="003A29F5"/>
    <w:rsid w:val="003A2B55"/>
    <w:rsid w:val="003A38D0"/>
    <w:rsid w:val="003A46F1"/>
    <w:rsid w:val="003A489A"/>
    <w:rsid w:val="003A5029"/>
    <w:rsid w:val="003A55B9"/>
    <w:rsid w:val="003A68CF"/>
    <w:rsid w:val="003A695C"/>
    <w:rsid w:val="003B136F"/>
    <w:rsid w:val="003B178A"/>
    <w:rsid w:val="003B256C"/>
    <w:rsid w:val="003B2626"/>
    <w:rsid w:val="003B2DF3"/>
    <w:rsid w:val="003B4746"/>
    <w:rsid w:val="003B5A0B"/>
    <w:rsid w:val="003B5FFA"/>
    <w:rsid w:val="003B6961"/>
    <w:rsid w:val="003B7F2A"/>
    <w:rsid w:val="003C03AB"/>
    <w:rsid w:val="003C1B9F"/>
    <w:rsid w:val="003C2455"/>
    <w:rsid w:val="003C257E"/>
    <w:rsid w:val="003C3752"/>
    <w:rsid w:val="003C4D9C"/>
    <w:rsid w:val="003C56D9"/>
    <w:rsid w:val="003C63AC"/>
    <w:rsid w:val="003C67E9"/>
    <w:rsid w:val="003C695C"/>
    <w:rsid w:val="003C6A55"/>
    <w:rsid w:val="003C6A7C"/>
    <w:rsid w:val="003C6C8B"/>
    <w:rsid w:val="003C71BF"/>
    <w:rsid w:val="003D03A5"/>
    <w:rsid w:val="003D0C8E"/>
    <w:rsid w:val="003D0F7A"/>
    <w:rsid w:val="003D10D0"/>
    <w:rsid w:val="003D112F"/>
    <w:rsid w:val="003D1366"/>
    <w:rsid w:val="003D1B68"/>
    <w:rsid w:val="003D1CC8"/>
    <w:rsid w:val="003D1E95"/>
    <w:rsid w:val="003D1EA0"/>
    <w:rsid w:val="003D21E5"/>
    <w:rsid w:val="003D221C"/>
    <w:rsid w:val="003D3640"/>
    <w:rsid w:val="003D375C"/>
    <w:rsid w:val="003D3A61"/>
    <w:rsid w:val="003D467C"/>
    <w:rsid w:val="003D5F2A"/>
    <w:rsid w:val="003D5FA0"/>
    <w:rsid w:val="003D6C2E"/>
    <w:rsid w:val="003D6D39"/>
    <w:rsid w:val="003D6EF3"/>
    <w:rsid w:val="003D6F54"/>
    <w:rsid w:val="003D739E"/>
    <w:rsid w:val="003E142D"/>
    <w:rsid w:val="003E153C"/>
    <w:rsid w:val="003E16CC"/>
    <w:rsid w:val="003E34C2"/>
    <w:rsid w:val="003E39B6"/>
    <w:rsid w:val="003E4207"/>
    <w:rsid w:val="003E4B8D"/>
    <w:rsid w:val="003E5988"/>
    <w:rsid w:val="003E5D77"/>
    <w:rsid w:val="003E6911"/>
    <w:rsid w:val="003E6E7F"/>
    <w:rsid w:val="003F0125"/>
    <w:rsid w:val="003F1249"/>
    <w:rsid w:val="003F25E5"/>
    <w:rsid w:val="003F348C"/>
    <w:rsid w:val="003F37A6"/>
    <w:rsid w:val="003F4587"/>
    <w:rsid w:val="003F4868"/>
    <w:rsid w:val="003F65B9"/>
    <w:rsid w:val="003F6C76"/>
    <w:rsid w:val="003F6C8D"/>
    <w:rsid w:val="00401DF1"/>
    <w:rsid w:val="0040223B"/>
    <w:rsid w:val="00402449"/>
    <w:rsid w:val="00403C50"/>
    <w:rsid w:val="00403D28"/>
    <w:rsid w:val="004040AC"/>
    <w:rsid w:val="00404687"/>
    <w:rsid w:val="00404F63"/>
    <w:rsid w:val="0040673B"/>
    <w:rsid w:val="00407033"/>
    <w:rsid w:val="004074B1"/>
    <w:rsid w:val="00407D53"/>
    <w:rsid w:val="004108AA"/>
    <w:rsid w:val="0041123B"/>
    <w:rsid w:val="00413090"/>
    <w:rsid w:val="00413AA6"/>
    <w:rsid w:val="00413AF3"/>
    <w:rsid w:val="00413CC7"/>
    <w:rsid w:val="00413EE5"/>
    <w:rsid w:val="00414048"/>
    <w:rsid w:val="00414336"/>
    <w:rsid w:val="004144DA"/>
    <w:rsid w:val="00414F31"/>
    <w:rsid w:val="004150A0"/>
    <w:rsid w:val="004168BF"/>
    <w:rsid w:val="00416AAE"/>
    <w:rsid w:val="00416C9C"/>
    <w:rsid w:val="00417738"/>
    <w:rsid w:val="0042051B"/>
    <w:rsid w:val="0042064C"/>
    <w:rsid w:val="00420844"/>
    <w:rsid w:val="00421121"/>
    <w:rsid w:val="00422199"/>
    <w:rsid w:val="00423CA8"/>
    <w:rsid w:val="00424427"/>
    <w:rsid w:val="004256DE"/>
    <w:rsid w:val="00425CA6"/>
    <w:rsid w:val="00425E19"/>
    <w:rsid w:val="00425E43"/>
    <w:rsid w:val="00426078"/>
    <w:rsid w:val="004277D4"/>
    <w:rsid w:val="00427DD7"/>
    <w:rsid w:val="004313F5"/>
    <w:rsid w:val="00432E38"/>
    <w:rsid w:val="004331A0"/>
    <w:rsid w:val="00433412"/>
    <w:rsid w:val="0043444A"/>
    <w:rsid w:val="00435684"/>
    <w:rsid w:val="00436F04"/>
    <w:rsid w:val="00437C53"/>
    <w:rsid w:val="004406BB"/>
    <w:rsid w:val="00443AB4"/>
    <w:rsid w:val="00443E2E"/>
    <w:rsid w:val="00444519"/>
    <w:rsid w:val="00445910"/>
    <w:rsid w:val="0044592D"/>
    <w:rsid w:val="00445A6D"/>
    <w:rsid w:val="00445C29"/>
    <w:rsid w:val="00445CC8"/>
    <w:rsid w:val="004462FB"/>
    <w:rsid w:val="00446328"/>
    <w:rsid w:val="0044654F"/>
    <w:rsid w:val="00446F26"/>
    <w:rsid w:val="00447077"/>
    <w:rsid w:val="004470F0"/>
    <w:rsid w:val="00447C0D"/>
    <w:rsid w:val="00451877"/>
    <w:rsid w:val="00452B20"/>
    <w:rsid w:val="0045330A"/>
    <w:rsid w:val="0045498B"/>
    <w:rsid w:val="00454AB3"/>
    <w:rsid w:val="00454CF5"/>
    <w:rsid w:val="00455A7F"/>
    <w:rsid w:val="004570E5"/>
    <w:rsid w:val="004576F0"/>
    <w:rsid w:val="00457796"/>
    <w:rsid w:val="00460F65"/>
    <w:rsid w:val="00461E94"/>
    <w:rsid w:val="00461FFB"/>
    <w:rsid w:val="004626E1"/>
    <w:rsid w:val="00463492"/>
    <w:rsid w:val="00466A26"/>
    <w:rsid w:val="00466B6E"/>
    <w:rsid w:val="00466C23"/>
    <w:rsid w:val="004670CC"/>
    <w:rsid w:val="00467516"/>
    <w:rsid w:val="00467C27"/>
    <w:rsid w:val="00471602"/>
    <w:rsid w:val="00471D83"/>
    <w:rsid w:val="00471FF8"/>
    <w:rsid w:val="00472D90"/>
    <w:rsid w:val="004751C3"/>
    <w:rsid w:val="0047554A"/>
    <w:rsid w:val="00477B00"/>
    <w:rsid w:val="00477C4B"/>
    <w:rsid w:val="00480D11"/>
    <w:rsid w:val="00482508"/>
    <w:rsid w:val="00482A60"/>
    <w:rsid w:val="00483653"/>
    <w:rsid w:val="0048482C"/>
    <w:rsid w:val="004853D3"/>
    <w:rsid w:val="00486D47"/>
    <w:rsid w:val="004878CA"/>
    <w:rsid w:val="00487B95"/>
    <w:rsid w:val="00491045"/>
    <w:rsid w:val="0049149C"/>
    <w:rsid w:val="004917B4"/>
    <w:rsid w:val="00491C6B"/>
    <w:rsid w:val="004920F7"/>
    <w:rsid w:val="00492437"/>
    <w:rsid w:val="00492F01"/>
    <w:rsid w:val="00493100"/>
    <w:rsid w:val="0049332B"/>
    <w:rsid w:val="004933AC"/>
    <w:rsid w:val="00495D02"/>
    <w:rsid w:val="004966F0"/>
    <w:rsid w:val="004968EC"/>
    <w:rsid w:val="00497330"/>
    <w:rsid w:val="004977A0"/>
    <w:rsid w:val="004A098B"/>
    <w:rsid w:val="004A2A2A"/>
    <w:rsid w:val="004A3528"/>
    <w:rsid w:val="004A4400"/>
    <w:rsid w:val="004A5C3E"/>
    <w:rsid w:val="004A61E5"/>
    <w:rsid w:val="004A6652"/>
    <w:rsid w:val="004A7EB1"/>
    <w:rsid w:val="004B1895"/>
    <w:rsid w:val="004B1A68"/>
    <w:rsid w:val="004B1E5A"/>
    <w:rsid w:val="004B43F6"/>
    <w:rsid w:val="004B4811"/>
    <w:rsid w:val="004B4972"/>
    <w:rsid w:val="004B554B"/>
    <w:rsid w:val="004B5ED9"/>
    <w:rsid w:val="004B6422"/>
    <w:rsid w:val="004B6961"/>
    <w:rsid w:val="004B77A3"/>
    <w:rsid w:val="004B78CB"/>
    <w:rsid w:val="004C0472"/>
    <w:rsid w:val="004C0BDE"/>
    <w:rsid w:val="004C183E"/>
    <w:rsid w:val="004C1B4A"/>
    <w:rsid w:val="004C3044"/>
    <w:rsid w:val="004C3CDB"/>
    <w:rsid w:val="004C413B"/>
    <w:rsid w:val="004C4DC4"/>
    <w:rsid w:val="004C5E35"/>
    <w:rsid w:val="004C6365"/>
    <w:rsid w:val="004C6CE5"/>
    <w:rsid w:val="004C6ED5"/>
    <w:rsid w:val="004C7410"/>
    <w:rsid w:val="004C7DD9"/>
    <w:rsid w:val="004D0802"/>
    <w:rsid w:val="004D0D83"/>
    <w:rsid w:val="004D0F8C"/>
    <w:rsid w:val="004D141B"/>
    <w:rsid w:val="004D18B0"/>
    <w:rsid w:val="004D18FF"/>
    <w:rsid w:val="004D19BA"/>
    <w:rsid w:val="004D26B3"/>
    <w:rsid w:val="004D2910"/>
    <w:rsid w:val="004D2A8A"/>
    <w:rsid w:val="004D3507"/>
    <w:rsid w:val="004D3611"/>
    <w:rsid w:val="004D473D"/>
    <w:rsid w:val="004D4EA9"/>
    <w:rsid w:val="004D5DA8"/>
    <w:rsid w:val="004D7794"/>
    <w:rsid w:val="004D792A"/>
    <w:rsid w:val="004D7A0D"/>
    <w:rsid w:val="004D7A9A"/>
    <w:rsid w:val="004E08C1"/>
    <w:rsid w:val="004E18E7"/>
    <w:rsid w:val="004E1A79"/>
    <w:rsid w:val="004E1EBF"/>
    <w:rsid w:val="004E202F"/>
    <w:rsid w:val="004E2FCA"/>
    <w:rsid w:val="004E42FE"/>
    <w:rsid w:val="004E5CC2"/>
    <w:rsid w:val="004E604D"/>
    <w:rsid w:val="004E6F31"/>
    <w:rsid w:val="004E719F"/>
    <w:rsid w:val="004E75EA"/>
    <w:rsid w:val="004E76DA"/>
    <w:rsid w:val="004E7EAA"/>
    <w:rsid w:val="004F0364"/>
    <w:rsid w:val="004F038D"/>
    <w:rsid w:val="004F159E"/>
    <w:rsid w:val="004F183C"/>
    <w:rsid w:val="004F4AD4"/>
    <w:rsid w:val="004F4D82"/>
    <w:rsid w:val="004F697E"/>
    <w:rsid w:val="005001EF"/>
    <w:rsid w:val="0050046B"/>
    <w:rsid w:val="005011A0"/>
    <w:rsid w:val="0050134A"/>
    <w:rsid w:val="00501812"/>
    <w:rsid w:val="0050241E"/>
    <w:rsid w:val="00502460"/>
    <w:rsid w:val="005039F3"/>
    <w:rsid w:val="00503CA9"/>
    <w:rsid w:val="00504BCE"/>
    <w:rsid w:val="00504FF4"/>
    <w:rsid w:val="005056D6"/>
    <w:rsid w:val="00505B56"/>
    <w:rsid w:val="00505C91"/>
    <w:rsid w:val="00506E92"/>
    <w:rsid w:val="00510C02"/>
    <w:rsid w:val="005114A6"/>
    <w:rsid w:val="00512DB7"/>
    <w:rsid w:val="00512FE3"/>
    <w:rsid w:val="005133CD"/>
    <w:rsid w:val="005135E5"/>
    <w:rsid w:val="00513FB5"/>
    <w:rsid w:val="00514927"/>
    <w:rsid w:val="005151BB"/>
    <w:rsid w:val="00515C7C"/>
    <w:rsid w:val="0051663A"/>
    <w:rsid w:val="005168A3"/>
    <w:rsid w:val="00517E90"/>
    <w:rsid w:val="005205C2"/>
    <w:rsid w:val="0052090D"/>
    <w:rsid w:val="00520A12"/>
    <w:rsid w:val="00521642"/>
    <w:rsid w:val="005243E0"/>
    <w:rsid w:val="00525031"/>
    <w:rsid w:val="005260F9"/>
    <w:rsid w:val="005263C5"/>
    <w:rsid w:val="005271FC"/>
    <w:rsid w:val="00530549"/>
    <w:rsid w:val="005306F5"/>
    <w:rsid w:val="0053126C"/>
    <w:rsid w:val="00531FA1"/>
    <w:rsid w:val="00532206"/>
    <w:rsid w:val="00533D83"/>
    <w:rsid w:val="005341C0"/>
    <w:rsid w:val="00534341"/>
    <w:rsid w:val="00534ED2"/>
    <w:rsid w:val="005364BC"/>
    <w:rsid w:val="00537440"/>
    <w:rsid w:val="00537640"/>
    <w:rsid w:val="00540B66"/>
    <w:rsid w:val="00540DBA"/>
    <w:rsid w:val="005414B4"/>
    <w:rsid w:val="00541F3F"/>
    <w:rsid w:val="00541FE5"/>
    <w:rsid w:val="00543113"/>
    <w:rsid w:val="00543288"/>
    <w:rsid w:val="0054395E"/>
    <w:rsid w:val="00543CF0"/>
    <w:rsid w:val="00543F97"/>
    <w:rsid w:val="005441F5"/>
    <w:rsid w:val="0054429E"/>
    <w:rsid w:val="00546198"/>
    <w:rsid w:val="00546F40"/>
    <w:rsid w:val="00547213"/>
    <w:rsid w:val="005472B0"/>
    <w:rsid w:val="00547B94"/>
    <w:rsid w:val="005505BC"/>
    <w:rsid w:val="0055096A"/>
    <w:rsid w:val="00551019"/>
    <w:rsid w:val="0055259B"/>
    <w:rsid w:val="0055280E"/>
    <w:rsid w:val="0055319D"/>
    <w:rsid w:val="005537A1"/>
    <w:rsid w:val="005541D9"/>
    <w:rsid w:val="00554EE6"/>
    <w:rsid w:val="00556B41"/>
    <w:rsid w:val="00557C3D"/>
    <w:rsid w:val="00560ED8"/>
    <w:rsid w:val="005619B2"/>
    <w:rsid w:val="00562B60"/>
    <w:rsid w:val="00563189"/>
    <w:rsid w:val="00563CA7"/>
    <w:rsid w:val="00563FC8"/>
    <w:rsid w:val="00564B68"/>
    <w:rsid w:val="00565C70"/>
    <w:rsid w:val="005665EA"/>
    <w:rsid w:val="005668E4"/>
    <w:rsid w:val="00567159"/>
    <w:rsid w:val="00567166"/>
    <w:rsid w:val="00567498"/>
    <w:rsid w:val="00570818"/>
    <w:rsid w:val="00571139"/>
    <w:rsid w:val="00571ABA"/>
    <w:rsid w:val="00571AE4"/>
    <w:rsid w:val="0057203A"/>
    <w:rsid w:val="0057384A"/>
    <w:rsid w:val="005740F8"/>
    <w:rsid w:val="0057478C"/>
    <w:rsid w:val="005755CB"/>
    <w:rsid w:val="005759A0"/>
    <w:rsid w:val="005762EC"/>
    <w:rsid w:val="0057673D"/>
    <w:rsid w:val="00576A60"/>
    <w:rsid w:val="005770B4"/>
    <w:rsid w:val="00581DF4"/>
    <w:rsid w:val="0058253F"/>
    <w:rsid w:val="00582F59"/>
    <w:rsid w:val="00583776"/>
    <w:rsid w:val="0058393A"/>
    <w:rsid w:val="00583CDB"/>
    <w:rsid w:val="0058413E"/>
    <w:rsid w:val="005845F6"/>
    <w:rsid w:val="00584F0C"/>
    <w:rsid w:val="00585256"/>
    <w:rsid w:val="00585915"/>
    <w:rsid w:val="00586682"/>
    <w:rsid w:val="005879F4"/>
    <w:rsid w:val="00587CFF"/>
    <w:rsid w:val="00587F3F"/>
    <w:rsid w:val="00590796"/>
    <w:rsid w:val="00590F9A"/>
    <w:rsid w:val="00592555"/>
    <w:rsid w:val="00592898"/>
    <w:rsid w:val="00594218"/>
    <w:rsid w:val="00595BCC"/>
    <w:rsid w:val="00595ECD"/>
    <w:rsid w:val="005978D1"/>
    <w:rsid w:val="005A1DE0"/>
    <w:rsid w:val="005A4E95"/>
    <w:rsid w:val="005A559B"/>
    <w:rsid w:val="005A59B2"/>
    <w:rsid w:val="005A647B"/>
    <w:rsid w:val="005A7CA8"/>
    <w:rsid w:val="005B0260"/>
    <w:rsid w:val="005B0504"/>
    <w:rsid w:val="005B1846"/>
    <w:rsid w:val="005B185E"/>
    <w:rsid w:val="005B2ABE"/>
    <w:rsid w:val="005B4152"/>
    <w:rsid w:val="005B4DA8"/>
    <w:rsid w:val="005B50E4"/>
    <w:rsid w:val="005B5921"/>
    <w:rsid w:val="005B5CF7"/>
    <w:rsid w:val="005B6889"/>
    <w:rsid w:val="005B6B55"/>
    <w:rsid w:val="005B79A5"/>
    <w:rsid w:val="005C15DA"/>
    <w:rsid w:val="005C1BC6"/>
    <w:rsid w:val="005C3457"/>
    <w:rsid w:val="005C44DA"/>
    <w:rsid w:val="005C560A"/>
    <w:rsid w:val="005C5D78"/>
    <w:rsid w:val="005C728E"/>
    <w:rsid w:val="005C7800"/>
    <w:rsid w:val="005D0EA4"/>
    <w:rsid w:val="005D24FD"/>
    <w:rsid w:val="005D4B02"/>
    <w:rsid w:val="005D5824"/>
    <w:rsid w:val="005D68EF"/>
    <w:rsid w:val="005D6D9C"/>
    <w:rsid w:val="005D707F"/>
    <w:rsid w:val="005E031D"/>
    <w:rsid w:val="005E0544"/>
    <w:rsid w:val="005E088C"/>
    <w:rsid w:val="005E11DE"/>
    <w:rsid w:val="005E1B23"/>
    <w:rsid w:val="005E1B40"/>
    <w:rsid w:val="005E2029"/>
    <w:rsid w:val="005E29C0"/>
    <w:rsid w:val="005E3430"/>
    <w:rsid w:val="005E3680"/>
    <w:rsid w:val="005E38ED"/>
    <w:rsid w:val="005E4981"/>
    <w:rsid w:val="005E512A"/>
    <w:rsid w:val="005E560C"/>
    <w:rsid w:val="005E5782"/>
    <w:rsid w:val="005E5F81"/>
    <w:rsid w:val="005E6993"/>
    <w:rsid w:val="005E759C"/>
    <w:rsid w:val="005F0F24"/>
    <w:rsid w:val="005F1257"/>
    <w:rsid w:val="005F4241"/>
    <w:rsid w:val="005F5130"/>
    <w:rsid w:val="005F7534"/>
    <w:rsid w:val="005F7A89"/>
    <w:rsid w:val="006006AB"/>
    <w:rsid w:val="00600825"/>
    <w:rsid w:val="006023CA"/>
    <w:rsid w:val="00602920"/>
    <w:rsid w:val="006034B2"/>
    <w:rsid w:val="00603E71"/>
    <w:rsid w:val="00603FE8"/>
    <w:rsid w:val="006044A1"/>
    <w:rsid w:val="0060486D"/>
    <w:rsid w:val="00604CE4"/>
    <w:rsid w:val="00605195"/>
    <w:rsid w:val="006056B1"/>
    <w:rsid w:val="00605A7E"/>
    <w:rsid w:val="00606925"/>
    <w:rsid w:val="00610268"/>
    <w:rsid w:val="00611BCF"/>
    <w:rsid w:val="00611F92"/>
    <w:rsid w:val="0061213A"/>
    <w:rsid w:val="00612CA7"/>
    <w:rsid w:val="00613D97"/>
    <w:rsid w:val="006144F4"/>
    <w:rsid w:val="00616A72"/>
    <w:rsid w:val="00616B8D"/>
    <w:rsid w:val="00617A47"/>
    <w:rsid w:val="00620502"/>
    <w:rsid w:val="00620838"/>
    <w:rsid w:val="00621DF1"/>
    <w:rsid w:val="00623EB8"/>
    <w:rsid w:val="00624523"/>
    <w:rsid w:val="0062609C"/>
    <w:rsid w:val="00626325"/>
    <w:rsid w:val="006269AA"/>
    <w:rsid w:val="00627B9D"/>
    <w:rsid w:val="00627FB6"/>
    <w:rsid w:val="006300B7"/>
    <w:rsid w:val="00630D5C"/>
    <w:rsid w:val="006312FE"/>
    <w:rsid w:val="00632020"/>
    <w:rsid w:val="006324CB"/>
    <w:rsid w:val="00635466"/>
    <w:rsid w:val="00635E86"/>
    <w:rsid w:val="00636257"/>
    <w:rsid w:val="00637A8E"/>
    <w:rsid w:val="0064036D"/>
    <w:rsid w:val="00640511"/>
    <w:rsid w:val="006418F0"/>
    <w:rsid w:val="00642A2A"/>
    <w:rsid w:val="00645147"/>
    <w:rsid w:val="0064527F"/>
    <w:rsid w:val="006454F0"/>
    <w:rsid w:val="00645FE9"/>
    <w:rsid w:val="006461A7"/>
    <w:rsid w:val="00646D18"/>
    <w:rsid w:val="006477EA"/>
    <w:rsid w:val="00650126"/>
    <w:rsid w:val="00650BF4"/>
    <w:rsid w:val="00650C79"/>
    <w:rsid w:val="0065157B"/>
    <w:rsid w:val="00654122"/>
    <w:rsid w:val="00654319"/>
    <w:rsid w:val="006549F9"/>
    <w:rsid w:val="00654D4D"/>
    <w:rsid w:val="0065543C"/>
    <w:rsid w:val="00655DF6"/>
    <w:rsid w:val="006568C0"/>
    <w:rsid w:val="00660524"/>
    <w:rsid w:val="0066170A"/>
    <w:rsid w:val="00661BF7"/>
    <w:rsid w:val="00662303"/>
    <w:rsid w:val="00662E96"/>
    <w:rsid w:val="006635C2"/>
    <w:rsid w:val="006637D2"/>
    <w:rsid w:val="00663FCA"/>
    <w:rsid w:val="0066445A"/>
    <w:rsid w:val="006648A6"/>
    <w:rsid w:val="00664F60"/>
    <w:rsid w:val="006652D3"/>
    <w:rsid w:val="00665A0A"/>
    <w:rsid w:val="00665BC8"/>
    <w:rsid w:val="00666ABC"/>
    <w:rsid w:val="00667039"/>
    <w:rsid w:val="0066754C"/>
    <w:rsid w:val="006677CC"/>
    <w:rsid w:val="00667F73"/>
    <w:rsid w:val="00670633"/>
    <w:rsid w:val="00671379"/>
    <w:rsid w:val="00671BF2"/>
    <w:rsid w:val="00671DE3"/>
    <w:rsid w:val="00671FD7"/>
    <w:rsid w:val="0067293F"/>
    <w:rsid w:val="006739F3"/>
    <w:rsid w:val="00674BD2"/>
    <w:rsid w:val="00675C8E"/>
    <w:rsid w:val="00676C22"/>
    <w:rsid w:val="006800C2"/>
    <w:rsid w:val="00681A5C"/>
    <w:rsid w:val="00681EEF"/>
    <w:rsid w:val="00682150"/>
    <w:rsid w:val="006821BA"/>
    <w:rsid w:val="0068239F"/>
    <w:rsid w:val="00682DC6"/>
    <w:rsid w:val="0068354A"/>
    <w:rsid w:val="00683D35"/>
    <w:rsid w:val="0068488F"/>
    <w:rsid w:val="00685A32"/>
    <w:rsid w:val="00687D89"/>
    <w:rsid w:val="00690EFF"/>
    <w:rsid w:val="0069169A"/>
    <w:rsid w:val="00691720"/>
    <w:rsid w:val="006946DD"/>
    <w:rsid w:val="00694C6E"/>
    <w:rsid w:val="00696109"/>
    <w:rsid w:val="0069630E"/>
    <w:rsid w:val="006971D4"/>
    <w:rsid w:val="0069720D"/>
    <w:rsid w:val="0069755B"/>
    <w:rsid w:val="006978E0"/>
    <w:rsid w:val="006A0094"/>
    <w:rsid w:val="006A039C"/>
    <w:rsid w:val="006A06FC"/>
    <w:rsid w:val="006A0BE0"/>
    <w:rsid w:val="006A14B8"/>
    <w:rsid w:val="006A2943"/>
    <w:rsid w:val="006A3375"/>
    <w:rsid w:val="006A570C"/>
    <w:rsid w:val="006A6D33"/>
    <w:rsid w:val="006A7DCF"/>
    <w:rsid w:val="006B0525"/>
    <w:rsid w:val="006B0711"/>
    <w:rsid w:val="006B098D"/>
    <w:rsid w:val="006B12CD"/>
    <w:rsid w:val="006B14AB"/>
    <w:rsid w:val="006B14CC"/>
    <w:rsid w:val="006B19B0"/>
    <w:rsid w:val="006B3C00"/>
    <w:rsid w:val="006B5510"/>
    <w:rsid w:val="006C03F1"/>
    <w:rsid w:val="006C13B7"/>
    <w:rsid w:val="006C13F5"/>
    <w:rsid w:val="006C1554"/>
    <w:rsid w:val="006C23F9"/>
    <w:rsid w:val="006C2693"/>
    <w:rsid w:val="006C30DE"/>
    <w:rsid w:val="006C4373"/>
    <w:rsid w:val="006C464E"/>
    <w:rsid w:val="006C6A67"/>
    <w:rsid w:val="006C7784"/>
    <w:rsid w:val="006C7DDC"/>
    <w:rsid w:val="006D078F"/>
    <w:rsid w:val="006D15E2"/>
    <w:rsid w:val="006D1F58"/>
    <w:rsid w:val="006D21AB"/>
    <w:rsid w:val="006D24B7"/>
    <w:rsid w:val="006D26D6"/>
    <w:rsid w:val="006D2BEF"/>
    <w:rsid w:val="006D2F5C"/>
    <w:rsid w:val="006D359A"/>
    <w:rsid w:val="006D394A"/>
    <w:rsid w:val="006D56C0"/>
    <w:rsid w:val="006D63BC"/>
    <w:rsid w:val="006D6CD1"/>
    <w:rsid w:val="006D6D83"/>
    <w:rsid w:val="006D7EFF"/>
    <w:rsid w:val="006E0A18"/>
    <w:rsid w:val="006E0B2C"/>
    <w:rsid w:val="006E0E16"/>
    <w:rsid w:val="006E0F6D"/>
    <w:rsid w:val="006E26E8"/>
    <w:rsid w:val="006E2A44"/>
    <w:rsid w:val="006E49C5"/>
    <w:rsid w:val="006E52FB"/>
    <w:rsid w:val="006E539D"/>
    <w:rsid w:val="006E63EF"/>
    <w:rsid w:val="006E6C6B"/>
    <w:rsid w:val="006E74E2"/>
    <w:rsid w:val="006E7826"/>
    <w:rsid w:val="006F0CCE"/>
    <w:rsid w:val="006F1209"/>
    <w:rsid w:val="006F1490"/>
    <w:rsid w:val="006F1663"/>
    <w:rsid w:val="006F1D46"/>
    <w:rsid w:val="006F2319"/>
    <w:rsid w:val="006F277A"/>
    <w:rsid w:val="006F34C3"/>
    <w:rsid w:val="006F36EF"/>
    <w:rsid w:val="006F4055"/>
    <w:rsid w:val="006F41B3"/>
    <w:rsid w:val="006F4876"/>
    <w:rsid w:val="006F4EC6"/>
    <w:rsid w:val="006F67D2"/>
    <w:rsid w:val="006F793B"/>
    <w:rsid w:val="006F79F9"/>
    <w:rsid w:val="00701004"/>
    <w:rsid w:val="00701DE2"/>
    <w:rsid w:val="007039D7"/>
    <w:rsid w:val="00704333"/>
    <w:rsid w:val="00704488"/>
    <w:rsid w:val="00704878"/>
    <w:rsid w:val="0070644F"/>
    <w:rsid w:val="00710ED2"/>
    <w:rsid w:val="00711A6F"/>
    <w:rsid w:val="007141C1"/>
    <w:rsid w:val="007151A1"/>
    <w:rsid w:val="007153FB"/>
    <w:rsid w:val="00715FB7"/>
    <w:rsid w:val="00716AF6"/>
    <w:rsid w:val="00717973"/>
    <w:rsid w:val="00717E3D"/>
    <w:rsid w:val="00717EDD"/>
    <w:rsid w:val="00720EA9"/>
    <w:rsid w:val="00721B05"/>
    <w:rsid w:val="00724AF3"/>
    <w:rsid w:val="00725D95"/>
    <w:rsid w:val="00727C92"/>
    <w:rsid w:val="007300AE"/>
    <w:rsid w:val="0073088D"/>
    <w:rsid w:val="007329D1"/>
    <w:rsid w:val="007339F9"/>
    <w:rsid w:val="00734219"/>
    <w:rsid w:val="0073596B"/>
    <w:rsid w:val="00736436"/>
    <w:rsid w:val="0073655F"/>
    <w:rsid w:val="0073683A"/>
    <w:rsid w:val="00736B7F"/>
    <w:rsid w:val="0073784E"/>
    <w:rsid w:val="007403F5"/>
    <w:rsid w:val="00741CF1"/>
    <w:rsid w:val="00741FE0"/>
    <w:rsid w:val="007426C1"/>
    <w:rsid w:val="00742BFB"/>
    <w:rsid w:val="007439A7"/>
    <w:rsid w:val="007446EE"/>
    <w:rsid w:val="00744FA0"/>
    <w:rsid w:val="007464D9"/>
    <w:rsid w:val="00746744"/>
    <w:rsid w:val="007469BE"/>
    <w:rsid w:val="00750F91"/>
    <w:rsid w:val="00750FE9"/>
    <w:rsid w:val="00752167"/>
    <w:rsid w:val="007523D7"/>
    <w:rsid w:val="007537A3"/>
    <w:rsid w:val="00754CC3"/>
    <w:rsid w:val="00755067"/>
    <w:rsid w:val="007569ED"/>
    <w:rsid w:val="007578A6"/>
    <w:rsid w:val="007578CE"/>
    <w:rsid w:val="00761235"/>
    <w:rsid w:val="0076124F"/>
    <w:rsid w:val="00762132"/>
    <w:rsid w:val="0076216E"/>
    <w:rsid w:val="0076302C"/>
    <w:rsid w:val="00764CCE"/>
    <w:rsid w:val="00764E59"/>
    <w:rsid w:val="00765C81"/>
    <w:rsid w:val="007660E2"/>
    <w:rsid w:val="00766A70"/>
    <w:rsid w:val="00767366"/>
    <w:rsid w:val="00770DE0"/>
    <w:rsid w:val="00771716"/>
    <w:rsid w:val="007717F7"/>
    <w:rsid w:val="00772536"/>
    <w:rsid w:val="00772964"/>
    <w:rsid w:val="00772CF7"/>
    <w:rsid w:val="00772F78"/>
    <w:rsid w:val="00773B5E"/>
    <w:rsid w:val="00773BBA"/>
    <w:rsid w:val="00773E86"/>
    <w:rsid w:val="00774978"/>
    <w:rsid w:val="00774E0B"/>
    <w:rsid w:val="00775009"/>
    <w:rsid w:val="007751A2"/>
    <w:rsid w:val="00776AAB"/>
    <w:rsid w:val="00777E67"/>
    <w:rsid w:val="00777EDC"/>
    <w:rsid w:val="0078052E"/>
    <w:rsid w:val="00780972"/>
    <w:rsid w:val="00781395"/>
    <w:rsid w:val="00781CBE"/>
    <w:rsid w:val="00782926"/>
    <w:rsid w:val="007832C7"/>
    <w:rsid w:val="007843EC"/>
    <w:rsid w:val="007847A3"/>
    <w:rsid w:val="00784E98"/>
    <w:rsid w:val="00785EE9"/>
    <w:rsid w:val="0078798D"/>
    <w:rsid w:val="00787A6E"/>
    <w:rsid w:val="00790084"/>
    <w:rsid w:val="007901B2"/>
    <w:rsid w:val="00790434"/>
    <w:rsid w:val="007916AB"/>
    <w:rsid w:val="00792E9A"/>
    <w:rsid w:val="0079394F"/>
    <w:rsid w:val="00793E88"/>
    <w:rsid w:val="007946D2"/>
    <w:rsid w:val="00794B92"/>
    <w:rsid w:val="00795959"/>
    <w:rsid w:val="007970C6"/>
    <w:rsid w:val="007A07DE"/>
    <w:rsid w:val="007A0C3C"/>
    <w:rsid w:val="007A1DE0"/>
    <w:rsid w:val="007A2E27"/>
    <w:rsid w:val="007A314F"/>
    <w:rsid w:val="007A3478"/>
    <w:rsid w:val="007A3BFF"/>
    <w:rsid w:val="007A4064"/>
    <w:rsid w:val="007A4106"/>
    <w:rsid w:val="007A441E"/>
    <w:rsid w:val="007A4749"/>
    <w:rsid w:val="007A4EF8"/>
    <w:rsid w:val="007A51FD"/>
    <w:rsid w:val="007A57CF"/>
    <w:rsid w:val="007A6802"/>
    <w:rsid w:val="007A77E7"/>
    <w:rsid w:val="007B0815"/>
    <w:rsid w:val="007B2D56"/>
    <w:rsid w:val="007B2FA0"/>
    <w:rsid w:val="007B4579"/>
    <w:rsid w:val="007B5A16"/>
    <w:rsid w:val="007B5BB3"/>
    <w:rsid w:val="007B7C44"/>
    <w:rsid w:val="007B7DE0"/>
    <w:rsid w:val="007C1E47"/>
    <w:rsid w:val="007C2381"/>
    <w:rsid w:val="007C2401"/>
    <w:rsid w:val="007C2696"/>
    <w:rsid w:val="007C357D"/>
    <w:rsid w:val="007C3A3C"/>
    <w:rsid w:val="007C3BB6"/>
    <w:rsid w:val="007C3CB6"/>
    <w:rsid w:val="007C4270"/>
    <w:rsid w:val="007C478F"/>
    <w:rsid w:val="007C494A"/>
    <w:rsid w:val="007C511F"/>
    <w:rsid w:val="007C5F06"/>
    <w:rsid w:val="007C6D4A"/>
    <w:rsid w:val="007D011F"/>
    <w:rsid w:val="007D1A16"/>
    <w:rsid w:val="007D2A87"/>
    <w:rsid w:val="007D4012"/>
    <w:rsid w:val="007D452C"/>
    <w:rsid w:val="007D4C66"/>
    <w:rsid w:val="007D4DE9"/>
    <w:rsid w:val="007D683C"/>
    <w:rsid w:val="007D6EAF"/>
    <w:rsid w:val="007D7BAF"/>
    <w:rsid w:val="007D7CAA"/>
    <w:rsid w:val="007D7D03"/>
    <w:rsid w:val="007E07A7"/>
    <w:rsid w:val="007E16C5"/>
    <w:rsid w:val="007E1C17"/>
    <w:rsid w:val="007E1E6B"/>
    <w:rsid w:val="007E2E07"/>
    <w:rsid w:val="007E2F6D"/>
    <w:rsid w:val="007E2F88"/>
    <w:rsid w:val="007E456D"/>
    <w:rsid w:val="007E581E"/>
    <w:rsid w:val="007E5CA2"/>
    <w:rsid w:val="007E5ED5"/>
    <w:rsid w:val="007E7831"/>
    <w:rsid w:val="007E78F2"/>
    <w:rsid w:val="007F0392"/>
    <w:rsid w:val="007F1555"/>
    <w:rsid w:val="007F1EAE"/>
    <w:rsid w:val="007F2187"/>
    <w:rsid w:val="007F342F"/>
    <w:rsid w:val="007F3D89"/>
    <w:rsid w:val="007F4345"/>
    <w:rsid w:val="007F434E"/>
    <w:rsid w:val="007F5388"/>
    <w:rsid w:val="007F5C23"/>
    <w:rsid w:val="007F5FC6"/>
    <w:rsid w:val="007F727E"/>
    <w:rsid w:val="007F72C3"/>
    <w:rsid w:val="007F7CBB"/>
    <w:rsid w:val="00800F85"/>
    <w:rsid w:val="0080157D"/>
    <w:rsid w:val="00801660"/>
    <w:rsid w:val="00801D30"/>
    <w:rsid w:val="00801FC6"/>
    <w:rsid w:val="008022C6"/>
    <w:rsid w:val="008029B3"/>
    <w:rsid w:val="00804025"/>
    <w:rsid w:val="008041FA"/>
    <w:rsid w:val="00804272"/>
    <w:rsid w:val="00804A85"/>
    <w:rsid w:val="00804FAD"/>
    <w:rsid w:val="00805C64"/>
    <w:rsid w:val="00806079"/>
    <w:rsid w:val="008061F5"/>
    <w:rsid w:val="00806E14"/>
    <w:rsid w:val="0080704A"/>
    <w:rsid w:val="00810A02"/>
    <w:rsid w:val="00810CA1"/>
    <w:rsid w:val="00810FFD"/>
    <w:rsid w:val="008112B5"/>
    <w:rsid w:val="0081227B"/>
    <w:rsid w:val="008127CE"/>
    <w:rsid w:val="00812BBE"/>
    <w:rsid w:val="008130AB"/>
    <w:rsid w:val="008135CD"/>
    <w:rsid w:val="0081422C"/>
    <w:rsid w:val="008154C7"/>
    <w:rsid w:val="00815AD3"/>
    <w:rsid w:val="00816527"/>
    <w:rsid w:val="00816C0D"/>
    <w:rsid w:val="00816FCD"/>
    <w:rsid w:val="008173EA"/>
    <w:rsid w:val="00817528"/>
    <w:rsid w:val="008209CC"/>
    <w:rsid w:val="008209D4"/>
    <w:rsid w:val="008213B9"/>
    <w:rsid w:val="00821B9C"/>
    <w:rsid w:val="00821C3E"/>
    <w:rsid w:val="00821FA5"/>
    <w:rsid w:val="008235B9"/>
    <w:rsid w:val="00823832"/>
    <w:rsid w:val="008244E5"/>
    <w:rsid w:val="008244E9"/>
    <w:rsid w:val="00824EF0"/>
    <w:rsid w:val="008254BE"/>
    <w:rsid w:val="00825BF0"/>
    <w:rsid w:val="008269A4"/>
    <w:rsid w:val="00826DE3"/>
    <w:rsid w:val="00827CF3"/>
    <w:rsid w:val="00827F7F"/>
    <w:rsid w:val="0083159E"/>
    <w:rsid w:val="00831B76"/>
    <w:rsid w:val="008320D5"/>
    <w:rsid w:val="00833C12"/>
    <w:rsid w:val="00834545"/>
    <w:rsid w:val="0083550A"/>
    <w:rsid w:val="00835EDE"/>
    <w:rsid w:val="00836124"/>
    <w:rsid w:val="008364D8"/>
    <w:rsid w:val="00836779"/>
    <w:rsid w:val="008372D9"/>
    <w:rsid w:val="00840325"/>
    <w:rsid w:val="00842E01"/>
    <w:rsid w:val="0084377A"/>
    <w:rsid w:val="00843C47"/>
    <w:rsid w:val="00844022"/>
    <w:rsid w:val="00844C7D"/>
    <w:rsid w:val="00845453"/>
    <w:rsid w:val="008461B2"/>
    <w:rsid w:val="00846E0D"/>
    <w:rsid w:val="00847FC6"/>
    <w:rsid w:val="00850DB8"/>
    <w:rsid w:val="008511C6"/>
    <w:rsid w:val="00851B50"/>
    <w:rsid w:val="00851CF5"/>
    <w:rsid w:val="00853478"/>
    <w:rsid w:val="008535F7"/>
    <w:rsid w:val="0085368F"/>
    <w:rsid w:val="0085398E"/>
    <w:rsid w:val="00853F0B"/>
    <w:rsid w:val="00854C30"/>
    <w:rsid w:val="00855919"/>
    <w:rsid w:val="00855DBB"/>
    <w:rsid w:val="0085666A"/>
    <w:rsid w:val="00856A23"/>
    <w:rsid w:val="00856CF6"/>
    <w:rsid w:val="0085762B"/>
    <w:rsid w:val="008578F1"/>
    <w:rsid w:val="00860FA1"/>
    <w:rsid w:val="00861E2D"/>
    <w:rsid w:val="00861E65"/>
    <w:rsid w:val="00862269"/>
    <w:rsid w:val="008623AF"/>
    <w:rsid w:val="00863E84"/>
    <w:rsid w:val="00864E8F"/>
    <w:rsid w:val="00865240"/>
    <w:rsid w:val="0086625C"/>
    <w:rsid w:val="00866D91"/>
    <w:rsid w:val="008673A1"/>
    <w:rsid w:val="008677E8"/>
    <w:rsid w:val="008710DD"/>
    <w:rsid w:val="00871433"/>
    <w:rsid w:val="008721E0"/>
    <w:rsid w:val="00872284"/>
    <w:rsid w:val="00872776"/>
    <w:rsid w:val="008734A5"/>
    <w:rsid w:val="00873A92"/>
    <w:rsid w:val="00873E83"/>
    <w:rsid w:val="0087580C"/>
    <w:rsid w:val="008759A8"/>
    <w:rsid w:val="00875A82"/>
    <w:rsid w:val="00875E1D"/>
    <w:rsid w:val="00876021"/>
    <w:rsid w:val="008761A1"/>
    <w:rsid w:val="008764AB"/>
    <w:rsid w:val="008765E3"/>
    <w:rsid w:val="0087737E"/>
    <w:rsid w:val="0088006C"/>
    <w:rsid w:val="00880446"/>
    <w:rsid w:val="00880A2A"/>
    <w:rsid w:val="00880D09"/>
    <w:rsid w:val="00881BBF"/>
    <w:rsid w:val="0088225F"/>
    <w:rsid w:val="00882D47"/>
    <w:rsid w:val="00883164"/>
    <w:rsid w:val="0088325F"/>
    <w:rsid w:val="008854AF"/>
    <w:rsid w:val="00885CD2"/>
    <w:rsid w:val="00886B51"/>
    <w:rsid w:val="00886C7D"/>
    <w:rsid w:val="00887CA3"/>
    <w:rsid w:val="0089004C"/>
    <w:rsid w:val="008913D5"/>
    <w:rsid w:val="00891779"/>
    <w:rsid w:val="00891A4D"/>
    <w:rsid w:val="008921CC"/>
    <w:rsid w:val="00892669"/>
    <w:rsid w:val="0089322E"/>
    <w:rsid w:val="00894FF4"/>
    <w:rsid w:val="00896E15"/>
    <w:rsid w:val="008973C4"/>
    <w:rsid w:val="008A1D2B"/>
    <w:rsid w:val="008A1ECC"/>
    <w:rsid w:val="008A21A9"/>
    <w:rsid w:val="008A264F"/>
    <w:rsid w:val="008A431D"/>
    <w:rsid w:val="008A6700"/>
    <w:rsid w:val="008A6B84"/>
    <w:rsid w:val="008A6BDD"/>
    <w:rsid w:val="008A752A"/>
    <w:rsid w:val="008A7612"/>
    <w:rsid w:val="008A77E0"/>
    <w:rsid w:val="008B1074"/>
    <w:rsid w:val="008B2D5F"/>
    <w:rsid w:val="008B2F0F"/>
    <w:rsid w:val="008B3192"/>
    <w:rsid w:val="008B3260"/>
    <w:rsid w:val="008B3493"/>
    <w:rsid w:val="008B35D9"/>
    <w:rsid w:val="008B3668"/>
    <w:rsid w:val="008B3A3F"/>
    <w:rsid w:val="008B3A58"/>
    <w:rsid w:val="008B62CC"/>
    <w:rsid w:val="008B71DA"/>
    <w:rsid w:val="008C0EBD"/>
    <w:rsid w:val="008C16CE"/>
    <w:rsid w:val="008C1A47"/>
    <w:rsid w:val="008C2FE4"/>
    <w:rsid w:val="008C31F3"/>
    <w:rsid w:val="008C484A"/>
    <w:rsid w:val="008C4CE3"/>
    <w:rsid w:val="008C5D3D"/>
    <w:rsid w:val="008C5E2A"/>
    <w:rsid w:val="008C6720"/>
    <w:rsid w:val="008C6C3F"/>
    <w:rsid w:val="008C7786"/>
    <w:rsid w:val="008D02E7"/>
    <w:rsid w:val="008D0C03"/>
    <w:rsid w:val="008D0EA5"/>
    <w:rsid w:val="008D1DB7"/>
    <w:rsid w:val="008D2412"/>
    <w:rsid w:val="008D35E1"/>
    <w:rsid w:val="008D46B3"/>
    <w:rsid w:val="008D4BE0"/>
    <w:rsid w:val="008D4F64"/>
    <w:rsid w:val="008D5466"/>
    <w:rsid w:val="008D5F62"/>
    <w:rsid w:val="008D63D7"/>
    <w:rsid w:val="008D67A8"/>
    <w:rsid w:val="008D7320"/>
    <w:rsid w:val="008E0797"/>
    <w:rsid w:val="008E0A0C"/>
    <w:rsid w:val="008E1202"/>
    <w:rsid w:val="008E1D62"/>
    <w:rsid w:val="008E2712"/>
    <w:rsid w:val="008E330C"/>
    <w:rsid w:val="008E360D"/>
    <w:rsid w:val="008E368A"/>
    <w:rsid w:val="008E5D56"/>
    <w:rsid w:val="008E5EEE"/>
    <w:rsid w:val="008E6464"/>
    <w:rsid w:val="008F022B"/>
    <w:rsid w:val="008F0C4B"/>
    <w:rsid w:val="008F17BC"/>
    <w:rsid w:val="008F20DB"/>
    <w:rsid w:val="008F2420"/>
    <w:rsid w:val="008F2941"/>
    <w:rsid w:val="008F3155"/>
    <w:rsid w:val="008F31D6"/>
    <w:rsid w:val="008F32BB"/>
    <w:rsid w:val="008F36D6"/>
    <w:rsid w:val="008F3AC2"/>
    <w:rsid w:val="008F434A"/>
    <w:rsid w:val="008F4D77"/>
    <w:rsid w:val="008F60BE"/>
    <w:rsid w:val="008F66A8"/>
    <w:rsid w:val="008F70C3"/>
    <w:rsid w:val="008F7A31"/>
    <w:rsid w:val="008F7B6A"/>
    <w:rsid w:val="008F7DEF"/>
    <w:rsid w:val="0090048D"/>
    <w:rsid w:val="009004A6"/>
    <w:rsid w:val="009029F1"/>
    <w:rsid w:val="00902A4F"/>
    <w:rsid w:val="00902EB8"/>
    <w:rsid w:val="009032D9"/>
    <w:rsid w:val="0090344F"/>
    <w:rsid w:val="009039D3"/>
    <w:rsid w:val="00903A3B"/>
    <w:rsid w:val="00903B4C"/>
    <w:rsid w:val="00904500"/>
    <w:rsid w:val="009059FF"/>
    <w:rsid w:val="00905E19"/>
    <w:rsid w:val="0090622E"/>
    <w:rsid w:val="00906CBD"/>
    <w:rsid w:val="009071F1"/>
    <w:rsid w:val="00910396"/>
    <w:rsid w:val="00910C05"/>
    <w:rsid w:val="00911548"/>
    <w:rsid w:val="00911CDD"/>
    <w:rsid w:val="009123F0"/>
    <w:rsid w:val="00912CAF"/>
    <w:rsid w:val="00912D70"/>
    <w:rsid w:val="00913744"/>
    <w:rsid w:val="00913C29"/>
    <w:rsid w:val="00913F20"/>
    <w:rsid w:val="00914258"/>
    <w:rsid w:val="00914DA8"/>
    <w:rsid w:val="00915933"/>
    <w:rsid w:val="009162EB"/>
    <w:rsid w:val="00917132"/>
    <w:rsid w:val="00917604"/>
    <w:rsid w:val="00920B4A"/>
    <w:rsid w:val="00921D54"/>
    <w:rsid w:val="0092241B"/>
    <w:rsid w:val="009228E2"/>
    <w:rsid w:val="00922FB3"/>
    <w:rsid w:val="009252D2"/>
    <w:rsid w:val="00927012"/>
    <w:rsid w:val="00927107"/>
    <w:rsid w:val="00927458"/>
    <w:rsid w:val="00927DF1"/>
    <w:rsid w:val="00930580"/>
    <w:rsid w:val="009310DA"/>
    <w:rsid w:val="009318E8"/>
    <w:rsid w:val="00931BCF"/>
    <w:rsid w:val="00932532"/>
    <w:rsid w:val="009328C4"/>
    <w:rsid w:val="00932D7E"/>
    <w:rsid w:val="00933C82"/>
    <w:rsid w:val="009349C1"/>
    <w:rsid w:val="0093500F"/>
    <w:rsid w:val="009351FD"/>
    <w:rsid w:val="009352D9"/>
    <w:rsid w:val="00935AAD"/>
    <w:rsid w:val="00935AEC"/>
    <w:rsid w:val="00936544"/>
    <w:rsid w:val="00936850"/>
    <w:rsid w:val="009369E2"/>
    <w:rsid w:val="009374CA"/>
    <w:rsid w:val="009379E6"/>
    <w:rsid w:val="00940B0E"/>
    <w:rsid w:val="0094111B"/>
    <w:rsid w:val="009413DF"/>
    <w:rsid w:val="009425CD"/>
    <w:rsid w:val="00943613"/>
    <w:rsid w:val="00943B02"/>
    <w:rsid w:val="00943B4E"/>
    <w:rsid w:val="00945C48"/>
    <w:rsid w:val="009463F5"/>
    <w:rsid w:val="00946E3D"/>
    <w:rsid w:val="00947029"/>
    <w:rsid w:val="00950698"/>
    <w:rsid w:val="00950CD1"/>
    <w:rsid w:val="009510BF"/>
    <w:rsid w:val="00951558"/>
    <w:rsid w:val="00951B65"/>
    <w:rsid w:val="00951F92"/>
    <w:rsid w:val="00952853"/>
    <w:rsid w:val="009528DA"/>
    <w:rsid w:val="00952F7D"/>
    <w:rsid w:val="009531A1"/>
    <w:rsid w:val="0095534A"/>
    <w:rsid w:val="009553FF"/>
    <w:rsid w:val="0095554C"/>
    <w:rsid w:val="00955C09"/>
    <w:rsid w:val="00955D29"/>
    <w:rsid w:val="009560BF"/>
    <w:rsid w:val="00956390"/>
    <w:rsid w:val="00960C38"/>
    <w:rsid w:val="00961172"/>
    <w:rsid w:val="00961F85"/>
    <w:rsid w:val="0096220A"/>
    <w:rsid w:val="0096247A"/>
    <w:rsid w:val="00962B54"/>
    <w:rsid w:val="00963177"/>
    <w:rsid w:val="00964384"/>
    <w:rsid w:val="00964E7B"/>
    <w:rsid w:val="00965507"/>
    <w:rsid w:val="0096619A"/>
    <w:rsid w:val="0096657B"/>
    <w:rsid w:val="009665C6"/>
    <w:rsid w:val="00966891"/>
    <w:rsid w:val="00967D0B"/>
    <w:rsid w:val="00971E38"/>
    <w:rsid w:val="00971F4A"/>
    <w:rsid w:val="00974515"/>
    <w:rsid w:val="00974F15"/>
    <w:rsid w:val="00975621"/>
    <w:rsid w:val="00976985"/>
    <w:rsid w:val="009812E6"/>
    <w:rsid w:val="00981D2E"/>
    <w:rsid w:val="00982EAD"/>
    <w:rsid w:val="009831D6"/>
    <w:rsid w:val="0098381A"/>
    <w:rsid w:val="00983ADB"/>
    <w:rsid w:val="00983CA4"/>
    <w:rsid w:val="0098465D"/>
    <w:rsid w:val="009847FF"/>
    <w:rsid w:val="00984BE2"/>
    <w:rsid w:val="00984CC5"/>
    <w:rsid w:val="00985256"/>
    <w:rsid w:val="00985967"/>
    <w:rsid w:val="00986049"/>
    <w:rsid w:val="00986F53"/>
    <w:rsid w:val="0098733B"/>
    <w:rsid w:val="009911D8"/>
    <w:rsid w:val="009926FC"/>
    <w:rsid w:val="00992A3D"/>
    <w:rsid w:val="00992CA7"/>
    <w:rsid w:val="00992DAC"/>
    <w:rsid w:val="00992F47"/>
    <w:rsid w:val="00993D45"/>
    <w:rsid w:val="00994215"/>
    <w:rsid w:val="00994610"/>
    <w:rsid w:val="00994A3F"/>
    <w:rsid w:val="00995047"/>
    <w:rsid w:val="009951E1"/>
    <w:rsid w:val="0099567A"/>
    <w:rsid w:val="00995761"/>
    <w:rsid w:val="0099666F"/>
    <w:rsid w:val="00996D61"/>
    <w:rsid w:val="009970C0"/>
    <w:rsid w:val="009A026E"/>
    <w:rsid w:val="009A078E"/>
    <w:rsid w:val="009A0AB1"/>
    <w:rsid w:val="009A0F02"/>
    <w:rsid w:val="009A216D"/>
    <w:rsid w:val="009A273E"/>
    <w:rsid w:val="009A2915"/>
    <w:rsid w:val="009A2995"/>
    <w:rsid w:val="009A2AD6"/>
    <w:rsid w:val="009A2DB7"/>
    <w:rsid w:val="009A2DC8"/>
    <w:rsid w:val="009A4756"/>
    <w:rsid w:val="009A6E4D"/>
    <w:rsid w:val="009A773E"/>
    <w:rsid w:val="009A7CC9"/>
    <w:rsid w:val="009B0067"/>
    <w:rsid w:val="009B0A96"/>
    <w:rsid w:val="009B0D08"/>
    <w:rsid w:val="009B1A98"/>
    <w:rsid w:val="009B1F0A"/>
    <w:rsid w:val="009B2E20"/>
    <w:rsid w:val="009B2ECF"/>
    <w:rsid w:val="009B2FF0"/>
    <w:rsid w:val="009B389C"/>
    <w:rsid w:val="009B4428"/>
    <w:rsid w:val="009B4484"/>
    <w:rsid w:val="009B467B"/>
    <w:rsid w:val="009B4DFE"/>
    <w:rsid w:val="009B4F1D"/>
    <w:rsid w:val="009B56CB"/>
    <w:rsid w:val="009B6C29"/>
    <w:rsid w:val="009B752E"/>
    <w:rsid w:val="009B7924"/>
    <w:rsid w:val="009B7C23"/>
    <w:rsid w:val="009C02B7"/>
    <w:rsid w:val="009C08AC"/>
    <w:rsid w:val="009C0ABF"/>
    <w:rsid w:val="009C1102"/>
    <w:rsid w:val="009C1174"/>
    <w:rsid w:val="009C1BB0"/>
    <w:rsid w:val="009C28FE"/>
    <w:rsid w:val="009C2F37"/>
    <w:rsid w:val="009C4445"/>
    <w:rsid w:val="009C45F5"/>
    <w:rsid w:val="009C4656"/>
    <w:rsid w:val="009C4FDA"/>
    <w:rsid w:val="009C5B48"/>
    <w:rsid w:val="009C6243"/>
    <w:rsid w:val="009C6605"/>
    <w:rsid w:val="009C746C"/>
    <w:rsid w:val="009D02FB"/>
    <w:rsid w:val="009D0964"/>
    <w:rsid w:val="009D10D3"/>
    <w:rsid w:val="009D154A"/>
    <w:rsid w:val="009D18AE"/>
    <w:rsid w:val="009D1A50"/>
    <w:rsid w:val="009D3953"/>
    <w:rsid w:val="009D3A77"/>
    <w:rsid w:val="009D5E1A"/>
    <w:rsid w:val="009D657C"/>
    <w:rsid w:val="009D7673"/>
    <w:rsid w:val="009E03F1"/>
    <w:rsid w:val="009E0650"/>
    <w:rsid w:val="009E08B6"/>
    <w:rsid w:val="009E0DC2"/>
    <w:rsid w:val="009E108A"/>
    <w:rsid w:val="009E187A"/>
    <w:rsid w:val="009E36B4"/>
    <w:rsid w:val="009E39B0"/>
    <w:rsid w:val="009E3B5A"/>
    <w:rsid w:val="009E414A"/>
    <w:rsid w:val="009E43A5"/>
    <w:rsid w:val="009E4769"/>
    <w:rsid w:val="009E524E"/>
    <w:rsid w:val="009E5A18"/>
    <w:rsid w:val="009E5B7E"/>
    <w:rsid w:val="009E5CA3"/>
    <w:rsid w:val="009E5FC2"/>
    <w:rsid w:val="009F0B17"/>
    <w:rsid w:val="009F1B6E"/>
    <w:rsid w:val="009F2679"/>
    <w:rsid w:val="009F332C"/>
    <w:rsid w:val="009F484E"/>
    <w:rsid w:val="009F4E6B"/>
    <w:rsid w:val="009F56C2"/>
    <w:rsid w:val="009F6981"/>
    <w:rsid w:val="00A001AD"/>
    <w:rsid w:val="00A00D02"/>
    <w:rsid w:val="00A01599"/>
    <w:rsid w:val="00A01BC5"/>
    <w:rsid w:val="00A021C0"/>
    <w:rsid w:val="00A02802"/>
    <w:rsid w:val="00A04B9C"/>
    <w:rsid w:val="00A05116"/>
    <w:rsid w:val="00A05410"/>
    <w:rsid w:val="00A05D96"/>
    <w:rsid w:val="00A06078"/>
    <w:rsid w:val="00A061CF"/>
    <w:rsid w:val="00A10B3E"/>
    <w:rsid w:val="00A11D6C"/>
    <w:rsid w:val="00A129F7"/>
    <w:rsid w:val="00A12D72"/>
    <w:rsid w:val="00A12F01"/>
    <w:rsid w:val="00A13EF2"/>
    <w:rsid w:val="00A14488"/>
    <w:rsid w:val="00A15233"/>
    <w:rsid w:val="00A1565E"/>
    <w:rsid w:val="00A15694"/>
    <w:rsid w:val="00A15E04"/>
    <w:rsid w:val="00A17C8B"/>
    <w:rsid w:val="00A17E90"/>
    <w:rsid w:val="00A20AA4"/>
    <w:rsid w:val="00A20CEE"/>
    <w:rsid w:val="00A20D22"/>
    <w:rsid w:val="00A20D63"/>
    <w:rsid w:val="00A20EEE"/>
    <w:rsid w:val="00A20F6E"/>
    <w:rsid w:val="00A21A4F"/>
    <w:rsid w:val="00A21FED"/>
    <w:rsid w:val="00A22E91"/>
    <w:rsid w:val="00A2376A"/>
    <w:rsid w:val="00A24404"/>
    <w:rsid w:val="00A249CA"/>
    <w:rsid w:val="00A24F13"/>
    <w:rsid w:val="00A251F9"/>
    <w:rsid w:val="00A264CD"/>
    <w:rsid w:val="00A27791"/>
    <w:rsid w:val="00A316A6"/>
    <w:rsid w:val="00A316CD"/>
    <w:rsid w:val="00A31E9B"/>
    <w:rsid w:val="00A32392"/>
    <w:rsid w:val="00A326C1"/>
    <w:rsid w:val="00A33014"/>
    <w:rsid w:val="00A33C3F"/>
    <w:rsid w:val="00A343BA"/>
    <w:rsid w:val="00A3471D"/>
    <w:rsid w:val="00A34B71"/>
    <w:rsid w:val="00A3534B"/>
    <w:rsid w:val="00A354F3"/>
    <w:rsid w:val="00A35EEB"/>
    <w:rsid w:val="00A36045"/>
    <w:rsid w:val="00A36744"/>
    <w:rsid w:val="00A36E06"/>
    <w:rsid w:val="00A37105"/>
    <w:rsid w:val="00A37242"/>
    <w:rsid w:val="00A3743D"/>
    <w:rsid w:val="00A41341"/>
    <w:rsid w:val="00A41AF7"/>
    <w:rsid w:val="00A42402"/>
    <w:rsid w:val="00A43896"/>
    <w:rsid w:val="00A441AD"/>
    <w:rsid w:val="00A44805"/>
    <w:rsid w:val="00A44FB0"/>
    <w:rsid w:val="00A4504D"/>
    <w:rsid w:val="00A451FC"/>
    <w:rsid w:val="00A458DC"/>
    <w:rsid w:val="00A459B7"/>
    <w:rsid w:val="00A47149"/>
    <w:rsid w:val="00A478E5"/>
    <w:rsid w:val="00A47A9E"/>
    <w:rsid w:val="00A47CFC"/>
    <w:rsid w:val="00A51269"/>
    <w:rsid w:val="00A515C4"/>
    <w:rsid w:val="00A5185F"/>
    <w:rsid w:val="00A518BD"/>
    <w:rsid w:val="00A52E73"/>
    <w:rsid w:val="00A53917"/>
    <w:rsid w:val="00A54A48"/>
    <w:rsid w:val="00A54A81"/>
    <w:rsid w:val="00A55A24"/>
    <w:rsid w:val="00A566C3"/>
    <w:rsid w:val="00A56868"/>
    <w:rsid w:val="00A56F86"/>
    <w:rsid w:val="00A5798E"/>
    <w:rsid w:val="00A57DC7"/>
    <w:rsid w:val="00A6184B"/>
    <w:rsid w:val="00A628BC"/>
    <w:rsid w:val="00A67643"/>
    <w:rsid w:val="00A67BE6"/>
    <w:rsid w:val="00A67BFA"/>
    <w:rsid w:val="00A700EE"/>
    <w:rsid w:val="00A705E3"/>
    <w:rsid w:val="00A7105E"/>
    <w:rsid w:val="00A71651"/>
    <w:rsid w:val="00A71B30"/>
    <w:rsid w:val="00A71FC8"/>
    <w:rsid w:val="00A72562"/>
    <w:rsid w:val="00A72716"/>
    <w:rsid w:val="00A736B6"/>
    <w:rsid w:val="00A73936"/>
    <w:rsid w:val="00A74556"/>
    <w:rsid w:val="00A74D3E"/>
    <w:rsid w:val="00A771D5"/>
    <w:rsid w:val="00A8018B"/>
    <w:rsid w:val="00A8049E"/>
    <w:rsid w:val="00A81380"/>
    <w:rsid w:val="00A822E3"/>
    <w:rsid w:val="00A83382"/>
    <w:rsid w:val="00A83C64"/>
    <w:rsid w:val="00A844A4"/>
    <w:rsid w:val="00A84B36"/>
    <w:rsid w:val="00A85DBA"/>
    <w:rsid w:val="00A8618D"/>
    <w:rsid w:val="00A87061"/>
    <w:rsid w:val="00A87243"/>
    <w:rsid w:val="00A87F78"/>
    <w:rsid w:val="00A9013C"/>
    <w:rsid w:val="00A905F0"/>
    <w:rsid w:val="00A908BC"/>
    <w:rsid w:val="00A913E9"/>
    <w:rsid w:val="00A9291A"/>
    <w:rsid w:val="00A92F62"/>
    <w:rsid w:val="00A94676"/>
    <w:rsid w:val="00A94869"/>
    <w:rsid w:val="00A952E3"/>
    <w:rsid w:val="00A95617"/>
    <w:rsid w:val="00A96088"/>
    <w:rsid w:val="00A9693E"/>
    <w:rsid w:val="00A978A8"/>
    <w:rsid w:val="00A9791E"/>
    <w:rsid w:val="00A97DD9"/>
    <w:rsid w:val="00AA1795"/>
    <w:rsid w:val="00AA303C"/>
    <w:rsid w:val="00AA3857"/>
    <w:rsid w:val="00AA3AF9"/>
    <w:rsid w:val="00AA3F93"/>
    <w:rsid w:val="00AA4335"/>
    <w:rsid w:val="00AA4B23"/>
    <w:rsid w:val="00AA4DA2"/>
    <w:rsid w:val="00AA52E8"/>
    <w:rsid w:val="00AA620F"/>
    <w:rsid w:val="00AA6812"/>
    <w:rsid w:val="00AA746D"/>
    <w:rsid w:val="00AA7E82"/>
    <w:rsid w:val="00AB0DFE"/>
    <w:rsid w:val="00AB1DB8"/>
    <w:rsid w:val="00AB2AD5"/>
    <w:rsid w:val="00AB2B17"/>
    <w:rsid w:val="00AB2FF1"/>
    <w:rsid w:val="00AB306C"/>
    <w:rsid w:val="00AB3AB0"/>
    <w:rsid w:val="00AB45AB"/>
    <w:rsid w:val="00AB5554"/>
    <w:rsid w:val="00AB5B83"/>
    <w:rsid w:val="00AB5ED0"/>
    <w:rsid w:val="00AB6E6B"/>
    <w:rsid w:val="00AC00A6"/>
    <w:rsid w:val="00AC1603"/>
    <w:rsid w:val="00AC1A21"/>
    <w:rsid w:val="00AC3D07"/>
    <w:rsid w:val="00AC4467"/>
    <w:rsid w:val="00AC4C36"/>
    <w:rsid w:val="00AC4E0D"/>
    <w:rsid w:val="00AC585B"/>
    <w:rsid w:val="00AC766E"/>
    <w:rsid w:val="00AD0133"/>
    <w:rsid w:val="00AD0776"/>
    <w:rsid w:val="00AD097B"/>
    <w:rsid w:val="00AD3BFD"/>
    <w:rsid w:val="00AD4374"/>
    <w:rsid w:val="00AD45C4"/>
    <w:rsid w:val="00AD5805"/>
    <w:rsid w:val="00AD59D3"/>
    <w:rsid w:val="00AD6FA4"/>
    <w:rsid w:val="00AD7197"/>
    <w:rsid w:val="00AE080A"/>
    <w:rsid w:val="00AE086D"/>
    <w:rsid w:val="00AE1D6B"/>
    <w:rsid w:val="00AE20DD"/>
    <w:rsid w:val="00AE20FB"/>
    <w:rsid w:val="00AE2262"/>
    <w:rsid w:val="00AE3488"/>
    <w:rsid w:val="00AE3D20"/>
    <w:rsid w:val="00AE561D"/>
    <w:rsid w:val="00AE6505"/>
    <w:rsid w:val="00AE6516"/>
    <w:rsid w:val="00AE6A44"/>
    <w:rsid w:val="00AE7D70"/>
    <w:rsid w:val="00AF0546"/>
    <w:rsid w:val="00AF0882"/>
    <w:rsid w:val="00AF1F0D"/>
    <w:rsid w:val="00AF26DE"/>
    <w:rsid w:val="00AF3AD3"/>
    <w:rsid w:val="00AF42A2"/>
    <w:rsid w:val="00AF53CD"/>
    <w:rsid w:val="00AF53FC"/>
    <w:rsid w:val="00AF566D"/>
    <w:rsid w:val="00AF5C9B"/>
    <w:rsid w:val="00AF6759"/>
    <w:rsid w:val="00AF7CBB"/>
    <w:rsid w:val="00B0103D"/>
    <w:rsid w:val="00B01B86"/>
    <w:rsid w:val="00B02558"/>
    <w:rsid w:val="00B030A1"/>
    <w:rsid w:val="00B036D1"/>
    <w:rsid w:val="00B03A84"/>
    <w:rsid w:val="00B05143"/>
    <w:rsid w:val="00B06CD0"/>
    <w:rsid w:val="00B07B52"/>
    <w:rsid w:val="00B10E30"/>
    <w:rsid w:val="00B1216A"/>
    <w:rsid w:val="00B1352B"/>
    <w:rsid w:val="00B14B34"/>
    <w:rsid w:val="00B14CAC"/>
    <w:rsid w:val="00B1542B"/>
    <w:rsid w:val="00B1580C"/>
    <w:rsid w:val="00B15E90"/>
    <w:rsid w:val="00B16D2F"/>
    <w:rsid w:val="00B16DCE"/>
    <w:rsid w:val="00B172AD"/>
    <w:rsid w:val="00B17C8F"/>
    <w:rsid w:val="00B20167"/>
    <w:rsid w:val="00B207EC"/>
    <w:rsid w:val="00B20BA8"/>
    <w:rsid w:val="00B2132C"/>
    <w:rsid w:val="00B21AF4"/>
    <w:rsid w:val="00B220B0"/>
    <w:rsid w:val="00B23B67"/>
    <w:rsid w:val="00B2402A"/>
    <w:rsid w:val="00B240C4"/>
    <w:rsid w:val="00B24552"/>
    <w:rsid w:val="00B24754"/>
    <w:rsid w:val="00B249FC"/>
    <w:rsid w:val="00B24A14"/>
    <w:rsid w:val="00B25535"/>
    <w:rsid w:val="00B2642E"/>
    <w:rsid w:val="00B26A3C"/>
    <w:rsid w:val="00B26B61"/>
    <w:rsid w:val="00B270D5"/>
    <w:rsid w:val="00B3184F"/>
    <w:rsid w:val="00B32747"/>
    <w:rsid w:val="00B32CF0"/>
    <w:rsid w:val="00B33FC4"/>
    <w:rsid w:val="00B34B65"/>
    <w:rsid w:val="00B356FD"/>
    <w:rsid w:val="00B35ACB"/>
    <w:rsid w:val="00B36299"/>
    <w:rsid w:val="00B362A6"/>
    <w:rsid w:val="00B36EE8"/>
    <w:rsid w:val="00B4069A"/>
    <w:rsid w:val="00B40804"/>
    <w:rsid w:val="00B4106D"/>
    <w:rsid w:val="00B41676"/>
    <w:rsid w:val="00B42941"/>
    <w:rsid w:val="00B42B47"/>
    <w:rsid w:val="00B44796"/>
    <w:rsid w:val="00B45526"/>
    <w:rsid w:val="00B46E38"/>
    <w:rsid w:val="00B47D2F"/>
    <w:rsid w:val="00B5003F"/>
    <w:rsid w:val="00B5272C"/>
    <w:rsid w:val="00B52732"/>
    <w:rsid w:val="00B52909"/>
    <w:rsid w:val="00B5373C"/>
    <w:rsid w:val="00B55094"/>
    <w:rsid w:val="00B55B53"/>
    <w:rsid w:val="00B560E9"/>
    <w:rsid w:val="00B56528"/>
    <w:rsid w:val="00B57788"/>
    <w:rsid w:val="00B57F41"/>
    <w:rsid w:val="00B60327"/>
    <w:rsid w:val="00B6040F"/>
    <w:rsid w:val="00B61200"/>
    <w:rsid w:val="00B61440"/>
    <w:rsid w:val="00B6245B"/>
    <w:rsid w:val="00B624FA"/>
    <w:rsid w:val="00B63A68"/>
    <w:rsid w:val="00B6460B"/>
    <w:rsid w:val="00B64F15"/>
    <w:rsid w:val="00B65705"/>
    <w:rsid w:val="00B65BBF"/>
    <w:rsid w:val="00B6671F"/>
    <w:rsid w:val="00B67570"/>
    <w:rsid w:val="00B6797C"/>
    <w:rsid w:val="00B704F6"/>
    <w:rsid w:val="00B70CAE"/>
    <w:rsid w:val="00B7173D"/>
    <w:rsid w:val="00B72E21"/>
    <w:rsid w:val="00B73B1B"/>
    <w:rsid w:val="00B73D00"/>
    <w:rsid w:val="00B743D1"/>
    <w:rsid w:val="00B74B50"/>
    <w:rsid w:val="00B74B94"/>
    <w:rsid w:val="00B77101"/>
    <w:rsid w:val="00B774CB"/>
    <w:rsid w:val="00B77F2B"/>
    <w:rsid w:val="00B807A6"/>
    <w:rsid w:val="00B80AB9"/>
    <w:rsid w:val="00B80DD2"/>
    <w:rsid w:val="00B810B4"/>
    <w:rsid w:val="00B820F7"/>
    <w:rsid w:val="00B82619"/>
    <w:rsid w:val="00B83DAE"/>
    <w:rsid w:val="00B84B62"/>
    <w:rsid w:val="00B8528B"/>
    <w:rsid w:val="00B852B9"/>
    <w:rsid w:val="00B85477"/>
    <w:rsid w:val="00B8627F"/>
    <w:rsid w:val="00B8679E"/>
    <w:rsid w:val="00B8732C"/>
    <w:rsid w:val="00B875B9"/>
    <w:rsid w:val="00B87B04"/>
    <w:rsid w:val="00B9001C"/>
    <w:rsid w:val="00B9044B"/>
    <w:rsid w:val="00B91B89"/>
    <w:rsid w:val="00B925F5"/>
    <w:rsid w:val="00B92C19"/>
    <w:rsid w:val="00B92EF6"/>
    <w:rsid w:val="00B93484"/>
    <w:rsid w:val="00B93BE0"/>
    <w:rsid w:val="00B93C3B"/>
    <w:rsid w:val="00B94FA3"/>
    <w:rsid w:val="00B94FDB"/>
    <w:rsid w:val="00B95745"/>
    <w:rsid w:val="00B95DF7"/>
    <w:rsid w:val="00B97493"/>
    <w:rsid w:val="00B9765F"/>
    <w:rsid w:val="00BA0F70"/>
    <w:rsid w:val="00BA16B6"/>
    <w:rsid w:val="00BA19FD"/>
    <w:rsid w:val="00BA1E98"/>
    <w:rsid w:val="00BA1ED6"/>
    <w:rsid w:val="00BA25AC"/>
    <w:rsid w:val="00BA5182"/>
    <w:rsid w:val="00BA65AC"/>
    <w:rsid w:val="00BA68CC"/>
    <w:rsid w:val="00BB1042"/>
    <w:rsid w:val="00BB11D4"/>
    <w:rsid w:val="00BB1A44"/>
    <w:rsid w:val="00BB2FB7"/>
    <w:rsid w:val="00BB363C"/>
    <w:rsid w:val="00BB4425"/>
    <w:rsid w:val="00BB4E4E"/>
    <w:rsid w:val="00BB4F41"/>
    <w:rsid w:val="00BB5483"/>
    <w:rsid w:val="00BB57BF"/>
    <w:rsid w:val="00BB5E7D"/>
    <w:rsid w:val="00BB6503"/>
    <w:rsid w:val="00BB66D6"/>
    <w:rsid w:val="00BC2B71"/>
    <w:rsid w:val="00BC336E"/>
    <w:rsid w:val="00BC3948"/>
    <w:rsid w:val="00BC3E15"/>
    <w:rsid w:val="00BC48DF"/>
    <w:rsid w:val="00BD0700"/>
    <w:rsid w:val="00BD0879"/>
    <w:rsid w:val="00BD22B3"/>
    <w:rsid w:val="00BD2A34"/>
    <w:rsid w:val="00BD3684"/>
    <w:rsid w:val="00BD3B9C"/>
    <w:rsid w:val="00BD4957"/>
    <w:rsid w:val="00BD51AB"/>
    <w:rsid w:val="00BD6719"/>
    <w:rsid w:val="00BD6A1E"/>
    <w:rsid w:val="00BD7004"/>
    <w:rsid w:val="00BD708C"/>
    <w:rsid w:val="00BD70FF"/>
    <w:rsid w:val="00BD73B9"/>
    <w:rsid w:val="00BD7BBF"/>
    <w:rsid w:val="00BE00AA"/>
    <w:rsid w:val="00BE091B"/>
    <w:rsid w:val="00BE0CEB"/>
    <w:rsid w:val="00BE32BB"/>
    <w:rsid w:val="00BE3ADE"/>
    <w:rsid w:val="00BE4451"/>
    <w:rsid w:val="00BE4C1F"/>
    <w:rsid w:val="00BE5906"/>
    <w:rsid w:val="00BE66EA"/>
    <w:rsid w:val="00BE678E"/>
    <w:rsid w:val="00BE68A2"/>
    <w:rsid w:val="00BE70D2"/>
    <w:rsid w:val="00BE7124"/>
    <w:rsid w:val="00BE74EF"/>
    <w:rsid w:val="00BE774E"/>
    <w:rsid w:val="00BE7970"/>
    <w:rsid w:val="00BF011F"/>
    <w:rsid w:val="00BF034C"/>
    <w:rsid w:val="00BF13A3"/>
    <w:rsid w:val="00BF1D25"/>
    <w:rsid w:val="00BF1D9F"/>
    <w:rsid w:val="00BF1E3B"/>
    <w:rsid w:val="00BF4D51"/>
    <w:rsid w:val="00BF51E6"/>
    <w:rsid w:val="00BF590B"/>
    <w:rsid w:val="00BF5D6B"/>
    <w:rsid w:val="00BF618E"/>
    <w:rsid w:val="00BF6C30"/>
    <w:rsid w:val="00BF70BC"/>
    <w:rsid w:val="00BF7184"/>
    <w:rsid w:val="00BF7D7D"/>
    <w:rsid w:val="00C00B1C"/>
    <w:rsid w:val="00C00F20"/>
    <w:rsid w:val="00C01360"/>
    <w:rsid w:val="00C01B2E"/>
    <w:rsid w:val="00C01EAC"/>
    <w:rsid w:val="00C01EE4"/>
    <w:rsid w:val="00C03206"/>
    <w:rsid w:val="00C03F01"/>
    <w:rsid w:val="00C041CC"/>
    <w:rsid w:val="00C05D4F"/>
    <w:rsid w:val="00C07CCE"/>
    <w:rsid w:val="00C10093"/>
    <w:rsid w:val="00C100E3"/>
    <w:rsid w:val="00C10819"/>
    <w:rsid w:val="00C11540"/>
    <w:rsid w:val="00C11E81"/>
    <w:rsid w:val="00C1205E"/>
    <w:rsid w:val="00C12182"/>
    <w:rsid w:val="00C12839"/>
    <w:rsid w:val="00C1313A"/>
    <w:rsid w:val="00C1468F"/>
    <w:rsid w:val="00C14B20"/>
    <w:rsid w:val="00C14E96"/>
    <w:rsid w:val="00C14F77"/>
    <w:rsid w:val="00C15642"/>
    <w:rsid w:val="00C15C73"/>
    <w:rsid w:val="00C15CDE"/>
    <w:rsid w:val="00C16096"/>
    <w:rsid w:val="00C1644F"/>
    <w:rsid w:val="00C16C7B"/>
    <w:rsid w:val="00C16F77"/>
    <w:rsid w:val="00C205C6"/>
    <w:rsid w:val="00C2134F"/>
    <w:rsid w:val="00C21372"/>
    <w:rsid w:val="00C21BC4"/>
    <w:rsid w:val="00C237C1"/>
    <w:rsid w:val="00C23B6D"/>
    <w:rsid w:val="00C23BE2"/>
    <w:rsid w:val="00C23C1D"/>
    <w:rsid w:val="00C2411C"/>
    <w:rsid w:val="00C24E96"/>
    <w:rsid w:val="00C2503C"/>
    <w:rsid w:val="00C26612"/>
    <w:rsid w:val="00C2670C"/>
    <w:rsid w:val="00C271E9"/>
    <w:rsid w:val="00C275D1"/>
    <w:rsid w:val="00C30A70"/>
    <w:rsid w:val="00C30C40"/>
    <w:rsid w:val="00C32837"/>
    <w:rsid w:val="00C32DC3"/>
    <w:rsid w:val="00C33DA5"/>
    <w:rsid w:val="00C3487A"/>
    <w:rsid w:val="00C34A63"/>
    <w:rsid w:val="00C34C40"/>
    <w:rsid w:val="00C35400"/>
    <w:rsid w:val="00C3578F"/>
    <w:rsid w:val="00C358DA"/>
    <w:rsid w:val="00C35DA6"/>
    <w:rsid w:val="00C36EAF"/>
    <w:rsid w:val="00C403D1"/>
    <w:rsid w:val="00C40CB5"/>
    <w:rsid w:val="00C42ED8"/>
    <w:rsid w:val="00C4363D"/>
    <w:rsid w:val="00C44397"/>
    <w:rsid w:val="00C4443F"/>
    <w:rsid w:val="00C45B86"/>
    <w:rsid w:val="00C463EA"/>
    <w:rsid w:val="00C5090E"/>
    <w:rsid w:val="00C517E1"/>
    <w:rsid w:val="00C517F0"/>
    <w:rsid w:val="00C529DF"/>
    <w:rsid w:val="00C52CD4"/>
    <w:rsid w:val="00C531EE"/>
    <w:rsid w:val="00C5368E"/>
    <w:rsid w:val="00C544F7"/>
    <w:rsid w:val="00C54CB7"/>
    <w:rsid w:val="00C56464"/>
    <w:rsid w:val="00C57EC9"/>
    <w:rsid w:val="00C6010A"/>
    <w:rsid w:val="00C6058E"/>
    <w:rsid w:val="00C61559"/>
    <w:rsid w:val="00C61C28"/>
    <w:rsid w:val="00C62EA5"/>
    <w:rsid w:val="00C63382"/>
    <w:rsid w:val="00C65054"/>
    <w:rsid w:val="00C65336"/>
    <w:rsid w:val="00C65504"/>
    <w:rsid w:val="00C659C3"/>
    <w:rsid w:val="00C65D06"/>
    <w:rsid w:val="00C673F2"/>
    <w:rsid w:val="00C716CF"/>
    <w:rsid w:val="00C725C8"/>
    <w:rsid w:val="00C73DAD"/>
    <w:rsid w:val="00C746BC"/>
    <w:rsid w:val="00C75342"/>
    <w:rsid w:val="00C76486"/>
    <w:rsid w:val="00C764CD"/>
    <w:rsid w:val="00C81095"/>
    <w:rsid w:val="00C81C3B"/>
    <w:rsid w:val="00C83400"/>
    <w:rsid w:val="00C84030"/>
    <w:rsid w:val="00C842FB"/>
    <w:rsid w:val="00C845CC"/>
    <w:rsid w:val="00C84E7E"/>
    <w:rsid w:val="00C8562F"/>
    <w:rsid w:val="00C861FF"/>
    <w:rsid w:val="00C86403"/>
    <w:rsid w:val="00C86BDF"/>
    <w:rsid w:val="00C86F77"/>
    <w:rsid w:val="00C87CAB"/>
    <w:rsid w:val="00C91733"/>
    <w:rsid w:val="00C92728"/>
    <w:rsid w:val="00C929A5"/>
    <w:rsid w:val="00C93AB1"/>
    <w:rsid w:val="00C94C16"/>
    <w:rsid w:val="00C954D4"/>
    <w:rsid w:val="00C95B51"/>
    <w:rsid w:val="00C96DBB"/>
    <w:rsid w:val="00CA00E1"/>
    <w:rsid w:val="00CA0621"/>
    <w:rsid w:val="00CA145D"/>
    <w:rsid w:val="00CA172F"/>
    <w:rsid w:val="00CA1D9E"/>
    <w:rsid w:val="00CA22B2"/>
    <w:rsid w:val="00CA2694"/>
    <w:rsid w:val="00CA2ADD"/>
    <w:rsid w:val="00CA2CB5"/>
    <w:rsid w:val="00CA349D"/>
    <w:rsid w:val="00CA4CB7"/>
    <w:rsid w:val="00CA4E81"/>
    <w:rsid w:val="00CA678F"/>
    <w:rsid w:val="00CA77C2"/>
    <w:rsid w:val="00CA78C6"/>
    <w:rsid w:val="00CB0B56"/>
    <w:rsid w:val="00CB14BB"/>
    <w:rsid w:val="00CB2F47"/>
    <w:rsid w:val="00CB35C9"/>
    <w:rsid w:val="00CB3993"/>
    <w:rsid w:val="00CB5717"/>
    <w:rsid w:val="00CB6B73"/>
    <w:rsid w:val="00CB6D05"/>
    <w:rsid w:val="00CB7236"/>
    <w:rsid w:val="00CB728B"/>
    <w:rsid w:val="00CB748D"/>
    <w:rsid w:val="00CB789D"/>
    <w:rsid w:val="00CC014A"/>
    <w:rsid w:val="00CC0A32"/>
    <w:rsid w:val="00CC1A38"/>
    <w:rsid w:val="00CC1AFA"/>
    <w:rsid w:val="00CC2603"/>
    <w:rsid w:val="00CC2BFE"/>
    <w:rsid w:val="00CC3487"/>
    <w:rsid w:val="00CC41BD"/>
    <w:rsid w:val="00CC4C96"/>
    <w:rsid w:val="00CC52AB"/>
    <w:rsid w:val="00CC5354"/>
    <w:rsid w:val="00CC590F"/>
    <w:rsid w:val="00CC6041"/>
    <w:rsid w:val="00CC63BE"/>
    <w:rsid w:val="00CC712B"/>
    <w:rsid w:val="00CD0D65"/>
    <w:rsid w:val="00CD0FD2"/>
    <w:rsid w:val="00CD1155"/>
    <w:rsid w:val="00CD14F3"/>
    <w:rsid w:val="00CD152D"/>
    <w:rsid w:val="00CD3BD1"/>
    <w:rsid w:val="00CD3C94"/>
    <w:rsid w:val="00CD417C"/>
    <w:rsid w:val="00CD6D41"/>
    <w:rsid w:val="00CD6E85"/>
    <w:rsid w:val="00CD729B"/>
    <w:rsid w:val="00CD7906"/>
    <w:rsid w:val="00CE0DF8"/>
    <w:rsid w:val="00CE1CA4"/>
    <w:rsid w:val="00CE1D67"/>
    <w:rsid w:val="00CE23FB"/>
    <w:rsid w:val="00CE2AB8"/>
    <w:rsid w:val="00CE37C5"/>
    <w:rsid w:val="00CE4855"/>
    <w:rsid w:val="00CE5525"/>
    <w:rsid w:val="00CE5D69"/>
    <w:rsid w:val="00CE77D0"/>
    <w:rsid w:val="00CE7A0F"/>
    <w:rsid w:val="00CE7D34"/>
    <w:rsid w:val="00CF28A0"/>
    <w:rsid w:val="00CF2E39"/>
    <w:rsid w:val="00CF46EB"/>
    <w:rsid w:val="00CF51D7"/>
    <w:rsid w:val="00CF5FB9"/>
    <w:rsid w:val="00CF6344"/>
    <w:rsid w:val="00D022EF"/>
    <w:rsid w:val="00D04097"/>
    <w:rsid w:val="00D05AF0"/>
    <w:rsid w:val="00D05B15"/>
    <w:rsid w:val="00D069FE"/>
    <w:rsid w:val="00D107E8"/>
    <w:rsid w:val="00D11D1B"/>
    <w:rsid w:val="00D12334"/>
    <w:rsid w:val="00D12A53"/>
    <w:rsid w:val="00D12B9C"/>
    <w:rsid w:val="00D12DEF"/>
    <w:rsid w:val="00D13152"/>
    <w:rsid w:val="00D14FFA"/>
    <w:rsid w:val="00D16045"/>
    <w:rsid w:val="00D1606D"/>
    <w:rsid w:val="00D16F9D"/>
    <w:rsid w:val="00D17A76"/>
    <w:rsid w:val="00D20A4B"/>
    <w:rsid w:val="00D20E45"/>
    <w:rsid w:val="00D213E1"/>
    <w:rsid w:val="00D21876"/>
    <w:rsid w:val="00D231A4"/>
    <w:rsid w:val="00D233A1"/>
    <w:rsid w:val="00D23B2F"/>
    <w:rsid w:val="00D24DB4"/>
    <w:rsid w:val="00D24F24"/>
    <w:rsid w:val="00D256E9"/>
    <w:rsid w:val="00D25C12"/>
    <w:rsid w:val="00D26DC1"/>
    <w:rsid w:val="00D27197"/>
    <w:rsid w:val="00D2738B"/>
    <w:rsid w:val="00D30F20"/>
    <w:rsid w:val="00D30FDB"/>
    <w:rsid w:val="00D31090"/>
    <w:rsid w:val="00D34542"/>
    <w:rsid w:val="00D353E4"/>
    <w:rsid w:val="00D364AD"/>
    <w:rsid w:val="00D370C9"/>
    <w:rsid w:val="00D406E3"/>
    <w:rsid w:val="00D40B17"/>
    <w:rsid w:val="00D40C5B"/>
    <w:rsid w:val="00D41CD5"/>
    <w:rsid w:val="00D43DF0"/>
    <w:rsid w:val="00D4412B"/>
    <w:rsid w:val="00D4442A"/>
    <w:rsid w:val="00D44F67"/>
    <w:rsid w:val="00D4513C"/>
    <w:rsid w:val="00D453D9"/>
    <w:rsid w:val="00D45579"/>
    <w:rsid w:val="00D46450"/>
    <w:rsid w:val="00D474A5"/>
    <w:rsid w:val="00D479BB"/>
    <w:rsid w:val="00D47A00"/>
    <w:rsid w:val="00D50BA8"/>
    <w:rsid w:val="00D53834"/>
    <w:rsid w:val="00D53B4B"/>
    <w:rsid w:val="00D5467B"/>
    <w:rsid w:val="00D54C6F"/>
    <w:rsid w:val="00D557FD"/>
    <w:rsid w:val="00D56F88"/>
    <w:rsid w:val="00D575F7"/>
    <w:rsid w:val="00D57776"/>
    <w:rsid w:val="00D600BA"/>
    <w:rsid w:val="00D60163"/>
    <w:rsid w:val="00D60AFE"/>
    <w:rsid w:val="00D60CA8"/>
    <w:rsid w:val="00D623B8"/>
    <w:rsid w:val="00D6243E"/>
    <w:rsid w:val="00D6244C"/>
    <w:rsid w:val="00D633F4"/>
    <w:rsid w:val="00D63C74"/>
    <w:rsid w:val="00D63F1C"/>
    <w:rsid w:val="00D64010"/>
    <w:rsid w:val="00D642B6"/>
    <w:rsid w:val="00D6447D"/>
    <w:rsid w:val="00D6530B"/>
    <w:rsid w:val="00D653D4"/>
    <w:rsid w:val="00D65DFF"/>
    <w:rsid w:val="00D65EF7"/>
    <w:rsid w:val="00D65F88"/>
    <w:rsid w:val="00D664CD"/>
    <w:rsid w:val="00D67A46"/>
    <w:rsid w:val="00D67EAB"/>
    <w:rsid w:val="00D70701"/>
    <w:rsid w:val="00D70EA3"/>
    <w:rsid w:val="00D72184"/>
    <w:rsid w:val="00D7233C"/>
    <w:rsid w:val="00D72763"/>
    <w:rsid w:val="00D73FC6"/>
    <w:rsid w:val="00D7421B"/>
    <w:rsid w:val="00D7443B"/>
    <w:rsid w:val="00D758E5"/>
    <w:rsid w:val="00D75BFE"/>
    <w:rsid w:val="00D76EEF"/>
    <w:rsid w:val="00D773FE"/>
    <w:rsid w:val="00D8045C"/>
    <w:rsid w:val="00D80E43"/>
    <w:rsid w:val="00D81826"/>
    <w:rsid w:val="00D81920"/>
    <w:rsid w:val="00D81BE9"/>
    <w:rsid w:val="00D81D4E"/>
    <w:rsid w:val="00D826BD"/>
    <w:rsid w:val="00D82A26"/>
    <w:rsid w:val="00D83526"/>
    <w:rsid w:val="00D837D7"/>
    <w:rsid w:val="00D840F1"/>
    <w:rsid w:val="00D845E3"/>
    <w:rsid w:val="00D8478E"/>
    <w:rsid w:val="00D8493A"/>
    <w:rsid w:val="00D8537E"/>
    <w:rsid w:val="00D85435"/>
    <w:rsid w:val="00D86497"/>
    <w:rsid w:val="00D86773"/>
    <w:rsid w:val="00D8798C"/>
    <w:rsid w:val="00D87B94"/>
    <w:rsid w:val="00D87E66"/>
    <w:rsid w:val="00D907B0"/>
    <w:rsid w:val="00D90B9D"/>
    <w:rsid w:val="00D92BDE"/>
    <w:rsid w:val="00D9319E"/>
    <w:rsid w:val="00D934B1"/>
    <w:rsid w:val="00D947D4"/>
    <w:rsid w:val="00D951C1"/>
    <w:rsid w:val="00D95925"/>
    <w:rsid w:val="00D9667F"/>
    <w:rsid w:val="00D96F43"/>
    <w:rsid w:val="00D971B2"/>
    <w:rsid w:val="00DA0812"/>
    <w:rsid w:val="00DA1539"/>
    <w:rsid w:val="00DA1B65"/>
    <w:rsid w:val="00DA1BBF"/>
    <w:rsid w:val="00DA24C0"/>
    <w:rsid w:val="00DA250A"/>
    <w:rsid w:val="00DA3167"/>
    <w:rsid w:val="00DA3549"/>
    <w:rsid w:val="00DA4BDA"/>
    <w:rsid w:val="00DA7575"/>
    <w:rsid w:val="00DA7B8E"/>
    <w:rsid w:val="00DB07DF"/>
    <w:rsid w:val="00DB0E38"/>
    <w:rsid w:val="00DB3129"/>
    <w:rsid w:val="00DB5707"/>
    <w:rsid w:val="00DB6484"/>
    <w:rsid w:val="00DB68F8"/>
    <w:rsid w:val="00DB699C"/>
    <w:rsid w:val="00DB6B44"/>
    <w:rsid w:val="00DB72EF"/>
    <w:rsid w:val="00DB7934"/>
    <w:rsid w:val="00DB7FDC"/>
    <w:rsid w:val="00DC1D55"/>
    <w:rsid w:val="00DC24A1"/>
    <w:rsid w:val="00DC3E99"/>
    <w:rsid w:val="00DC4A4F"/>
    <w:rsid w:val="00DC576D"/>
    <w:rsid w:val="00DC634C"/>
    <w:rsid w:val="00DC6DBE"/>
    <w:rsid w:val="00DC7B12"/>
    <w:rsid w:val="00DD018A"/>
    <w:rsid w:val="00DD04D8"/>
    <w:rsid w:val="00DD1919"/>
    <w:rsid w:val="00DD1E20"/>
    <w:rsid w:val="00DD2807"/>
    <w:rsid w:val="00DD2CC6"/>
    <w:rsid w:val="00DD3C30"/>
    <w:rsid w:val="00DD40EA"/>
    <w:rsid w:val="00DD46B5"/>
    <w:rsid w:val="00DD4AE9"/>
    <w:rsid w:val="00DD535E"/>
    <w:rsid w:val="00DD54EA"/>
    <w:rsid w:val="00DD58CA"/>
    <w:rsid w:val="00DD59CD"/>
    <w:rsid w:val="00DD6437"/>
    <w:rsid w:val="00DD7336"/>
    <w:rsid w:val="00DD7B24"/>
    <w:rsid w:val="00DE3257"/>
    <w:rsid w:val="00DE3939"/>
    <w:rsid w:val="00DE39DF"/>
    <w:rsid w:val="00DE43BB"/>
    <w:rsid w:val="00DE47A1"/>
    <w:rsid w:val="00DE4B00"/>
    <w:rsid w:val="00DE6243"/>
    <w:rsid w:val="00DE6385"/>
    <w:rsid w:val="00DE723D"/>
    <w:rsid w:val="00DF0B67"/>
    <w:rsid w:val="00DF1350"/>
    <w:rsid w:val="00DF1629"/>
    <w:rsid w:val="00DF1F68"/>
    <w:rsid w:val="00DF51CD"/>
    <w:rsid w:val="00DF6008"/>
    <w:rsid w:val="00DF6312"/>
    <w:rsid w:val="00DF661A"/>
    <w:rsid w:val="00DF6D00"/>
    <w:rsid w:val="00DF74A9"/>
    <w:rsid w:val="00E008B5"/>
    <w:rsid w:val="00E0125B"/>
    <w:rsid w:val="00E03025"/>
    <w:rsid w:val="00E03725"/>
    <w:rsid w:val="00E0485A"/>
    <w:rsid w:val="00E04DEA"/>
    <w:rsid w:val="00E05973"/>
    <w:rsid w:val="00E0653F"/>
    <w:rsid w:val="00E069A7"/>
    <w:rsid w:val="00E06F63"/>
    <w:rsid w:val="00E10C54"/>
    <w:rsid w:val="00E113BA"/>
    <w:rsid w:val="00E11D3D"/>
    <w:rsid w:val="00E11D58"/>
    <w:rsid w:val="00E11F0C"/>
    <w:rsid w:val="00E12782"/>
    <w:rsid w:val="00E134D0"/>
    <w:rsid w:val="00E13872"/>
    <w:rsid w:val="00E13DFF"/>
    <w:rsid w:val="00E14A4C"/>
    <w:rsid w:val="00E158F1"/>
    <w:rsid w:val="00E161E0"/>
    <w:rsid w:val="00E165D3"/>
    <w:rsid w:val="00E166ED"/>
    <w:rsid w:val="00E16711"/>
    <w:rsid w:val="00E169AA"/>
    <w:rsid w:val="00E16D99"/>
    <w:rsid w:val="00E1782C"/>
    <w:rsid w:val="00E20981"/>
    <w:rsid w:val="00E21690"/>
    <w:rsid w:val="00E218B2"/>
    <w:rsid w:val="00E223E7"/>
    <w:rsid w:val="00E2331E"/>
    <w:rsid w:val="00E234CC"/>
    <w:rsid w:val="00E237FF"/>
    <w:rsid w:val="00E23DE5"/>
    <w:rsid w:val="00E24557"/>
    <w:rsid w:val="00E254D2"/>
    <w:rsid w:val="00E258C4"/>
    <w:rsid w:val="00E25FD4"/>
    <w:rsid w:val="00E262E1"/>
    <w:rsid w:val="00E266A8"/>
    <w:rsid w:val="00E26EAF"/>
    <w:rsid w:val="00E27090"/>
    <w:rsid w:val="00E2736F"/>
    <w:rsid w:val="00E31DCD"/>
    <w:rsid w:val="00E32340"/>
    <w:rsid w:val="00E353CD"/>
    <w:rsid w:val="00E407C3"/>
    <w:rsid w:val="00E409BD"/>
    <w:rsid w:val="00E4170D"/>
    <w:rsid w:val="00E41855"/>
    <w:rsid w:val="00E41EEA"/>
    <w:rsid w:val="00E4212D"/>
    <w:rsid w:val="00E42AE1"/>
    <w:rsid w:val="00E4355D"/>
    <w:rsid w:val="00E45960"/>
    <w:rsid w:val="00E45C8A"/>
    <w:rsid w:val="00E4630E"/>
    <w:rsid w:val="00E47F88"/>
    <w:rsid w:val="00E50FC3"/>
    <w:rsid w:val="00E514C4"/>
    <w:rsid w:val="00E51F81"/>
    <w:rsid w:val="00E52193"/>
    <w:rsid w:val="00E52671"/>
    <w:rsid w:val="00E52B37"/>
    <w:rsid w:val="00E52E88"/>
    <w:rsid w:val="00E538C0"/>
    <w:rsid w:val="00E548F5"/>
    <w:rsid w:val="00E55D19"/>
    <w:rsid w:val="00E56348"/>
    <w:rsid w:val="00E5653F"/>
    <w:rsid w:val="00E56B37"/>
    <w:rsid w:val="00E56CD0"/>
    <w:rsid w:val="00E57436"/>
    <w:rsid w:val="00E5767A"/>
    <w:rsid w:val="00E57DAF"/>
    <w:rsid w:val="00E57EDD"/>
    <w:rsid w:val="00E57F25"/>
    <w:rsid w:val="00E608C7"/>
    <w:rsid w:val="00E60984"/>
    <w:rsid w:val="00E60A03"/>
    <w:rsid w:val="00E60B2C"/>
    <w:rsid w:val="00E61711"/>
    <w:rsid w:val="00E619CD"/>
    <w:rsid w:val="00E61E6F"/>
    <w:rsid w:val="00E61F1A"/>
    <w:rsid w:val="00E6304A"/>
    <w:rsid w:val="00E63B6F"/>
    <w:rsid w:val="00E63E27"/>
    <w:rsid w:val="00E64BB9"/>
    <w:rsid w:val="00E6559F"/>
    <w:rsid w:val="00E6695D"/>
    <w:rsid w:val="00E6751A"/>
    <w:rsid w:val="00E70524"/>
    <w:rsid w:val="00E70BEC"/>
    <w:rsid w:val="00E71842"/>
    <w:rsid w:val="00E72142"/>
    <w:rsid w:val="00E721D8"/>
    <w:rsid w:val="00E72D45"/>
    <w:rsid w:val="00E731D6"/>
    <w:rsid w:val="00E74C8A"/>
    <w:rsid w:val="00E75B0E"/>
    <w:rsid w:val="00E75F03"/>
    <w:rsid w:val="00E7772D"/>
    <w:rsid w:val="00E7773A"/>
    <w:rsid w:val="00E80DB7"/>
    <w:rsid w:val="00E824AA"/>
    <w:rsid w:val="00E83DF2"/>
    <w:rsid w:val="00E83F82"/>
    <w:rsid w:val="00E856E5"/>
    <w:rsid w:val="00E85A5E"/>
    <w:rsid w:val="00E85A76"/>
    <w:rsid w:val="00E864F2"/>
    <w:rsid w:val="00E86A46"/>
    <w:rsid w:val="00E9035B"/>
    <w:rsid w:val="00E90F2C"/>
    <w:rsid w:val="00E95786"/>
    <w:rsid w:val="00E95C00"/>
    <w:rsid w:val="00E9699C"/>
    <w:rsid w:val="00E97B27"/>
    <w:rsid w:val="00E97C3D"/>
    <w:rsid w:val="00EA01D9"/>
    <w:rsid w:val="00EA102E"/>
    <w:rsid w:val="00EA156D"/>
    <w:rsid w:val="00EA15FB"/>
    <w:rsid w:val="00EA176C"/>
    <w:rsid w:val="00EA2460"/>
    <w:rsid w:val="00EA2C91"/>
    <w:rsid w:val="00EA3614"/>
    <w:rsid w:val="00EA4C1A"/>
    <w:rsid w:val="00EA5E46"/>
    <w:rsid w:val="00EA731A"/>
    <w:rsid w:val="00EA750C"/>
    <w:rsid w:val="00EA7B63"/>
    <w:rsid w:val="00EA7D28"/>
    <w:rsid w:val="00EB03BB"/>
    <w:rsid w:val="00EB0EAF"/>
    <w:rsid w:val="00EB3235"/>
    <w:rsid w:val="00EB4F25"/>
    <w:rsid w:val="00EB4FA9"/>
    <w:rsid w:val="00EB5916"/>
    <w:rsid w:val="00EB5D9F"/>
    <w:rsid w:val="00EB6091"/>
    <w:rsid w:val="00EB6668"/>
    <w:rsid w:val="00EB7264"/>
    <w:rsid w:val="00EB73DB"/>
    <w:rsid w:val="00EC0017"/>
    <w:rsid w:val="00EC1BA5"/>
    <w:rsid w:val="00EC24DF"/>
    <w:rsid w:val="00EC2F8F"/>
    <w:rsid w:val="00EC3451"/>
    <w:rsid w:val="00EC3B30"/>
    <w:rsid w:val="00EC50C8"/>
    <w:rsid w:val="00EC6E4D"/>
    <w:rsid w:val="00ED09AC"/>
    <w:rsid w:val="00ED3393"/>
    <w:rsid w:val="00ED36FF"/>
    <w:rsid w:val="00ED42E5"/>
    <w:rsid w:val="00ED480F"/>
    <w:rsid w:val="00ED5569"/>
    <w:rsid w:val="00ED5ADD"/>
    <w:rsid w:val="00ED61C0"/>
    <w:rsid w:val="00ED645B"/>
    <w:rsid w:val="00ED6470"/>
    <w:rsid w:val="00ED6AD6"/>
    <w:rsid w:val="00ED719D"/>
    <w:rsid w:val="00EE016D"/>
    <w:rsid w:val="00EE0A59"/>
    <w:rsid w:val="00EE0CD0"/>
    <w:rsid w:val="00EE168B"/>
    <w:rsid w:val="00EE16ED"/>
    <w:rsid w:val="00EE1EB0"/>
    <w:rsid w:val="00EE26F5"/>
    <w:rsid w:val="00EE3139"/>
    <w:rsid w:val="00EE31FD"/>
    <w:rsid w:val="00EE346F"/>
    <w:rsid w:val="00EE3AAC"/>
    <w:rsid w:val="00EE4290"/>
    <w:rsid w:val="00EE45F8"/>
    <w:rsid w:val="00EE4635"/>
    <w:rsid w:val="00EE62DD"/>
    <w:rsid w:val="00EE6469"/>
    <w:rsid w:val="00EE77EB"/>
    <w:rsid w:val="00EF0040"/>
    <w:rsid w:val="00EF0B44"/>
    <w:rsid w:val="00EF0DBD"/>
    <w:rsid w:val="00EF19BD"/>
    <w:rsid w:val="00EF2382"/>
    <w:rsid w:val="00EF3A02"/>
    <w:rsid w:val="00EF42CB"/>
    <w:rsid w:val="00EF4364"/>
    <w:rsid w:val="00EF5117"/>
    <w:rsid w:val="00EF5EBB"/>
    <w:rsid w:val="00EF64C1"/>
    <w:rsid w:val="00EF6B4F"/>
    <w:rsid w:val="00F0000B"/>
    <w:rsid w:val="00F0074A"/>
    <w:rsid w:val="00F022B2"/>
    <w:rsid w:val="00F02594"/>
    <w:rsid w:val="00F035AB"/>
    <w:rsid w:val="00F035F3"/>
    <w:rsid w:val="00F03EC2"/>
    <w:rsid w:val="00F07037"/>
    <w:rsid w:val="00F078AF"/>
    <w:rsid w:val="00F07AB5"/>
    <w:rsid w:val="00F10120"/>
    <w:rsid w:val="00F11296"/>
    <w:rsid w:val="00F124E8"/>
    <w:rsid w:val="00F12B99"/>
    <w:rsid w:val="00F12F9C"/>
    <w:rsid w:val="00F138D4"/>
    <w:rsid w:val="00F13E49"/>
    <w:rsid w:val="00F13F63"/>
    <w:rsid w:val="00F14108"/>
    <w:rsid w:val="00F15280"/>
    <w:rsid w:val="00F159B4"/>
    <w:rsid w:val="00F1613A"/>
    <w:rsid w:val="00F167F3"/>
    <w:rsid w:val="00F16C0B"/>
    <w:rsid w:val="00F1710C"/>
    <w:rsid w:val="00F178D6"/>
    <w:rsid w:val="00F17C96"/>
    <w:rsid w:val="00F205CB"/>
    <w:rsid w:val="00F23357"/>
    <w:rsid w:val="00F24EB4"/>
    <w:rsid w:val="00F25967"/>
    <w:rsid w:val="00F259D9"/>
    <w:rsid w:val="00F26046"/>
    <w:rsid w:val="00F26195"/>
    <w:rsid w:val="00F26391"/>
    <w:rsid w:val="00F30026"/>
    <w:rsid w:val="00F34BA8"/>
    <w:rsid w:val="00F35659"/>
    <w:rsid w:val="00F363B7"/>
    <w:rsid w:val="00F3666F"/>
    <w:rsid w:val="00F37B59"/>
    <w:rsid w:val="00F406FA"/>
    <w:rsid w:val="00F40750"/>
    <w:rsid w:val="00F42939"/>
    <w:rsid w:val="00F43081"/>
    <w:rsid w:val="00F4564F"/>
    <w:rsid w:val="00F468C5"/>
    <w:rsid w:val="00F47443"/>
    <w:rsid w:val="00F519EF"/>
    <w:rsid w:val="00F5216A"/>
    <w:rsid w:val="00F5276B"/>
    <w:rsid w:val="00F531EE"/>
    <w:rsid w:val="00F53377"/>
    <w:rsid w:val="00F54F50"/>
    <w:rsid w:val="00F5534E"/>
    <w:rsid w:val="00F55C96"/>
    <w:rsid w:val="00F55FDB"/>
    <w:rsid w:val="00F569B6"/>
    <w:rsid w:val="00F6035B"/>
    <w:rsid w:val="00F60593"/>
    <w:rsid w:val="00F60894"/>
    <w:rsid w:val="00F61512"/>
    <w:rsid w:val="00F61AEB"/>
    <w:rsid w:val="00F622C8"/>
    <w:rsid w:val="00F62610"/>
    <w:rsid w:val="00F63340"/>
    <w:rsid w:val="00F63460"/>
    <w:rsid w:val="00F63832"/>
    <w:rsid w:val="00F643DA"/>
    <w:rsid w:val="00F653ED"/>
    <w:rsid w:val="00F661A7"/>
    <w:rsid w:val="00F662B3"/>
    <w:rsid w:val="00F6736A"/>
    <w:rsid w:val="00F67E8F"/>
    <w:rsid w:val="00F700EE"/>
    <w:rsid w:val="00F71A79"/>
    <w:rsid w:val="00F721AD"/>
    <w:rsid w:val="00F7238F"/>
    <w:rsid w:val="00F73C95"/>
    <w:rsid w:val="00F7454D"/>
    <w:rsid w:val="00F751C4"/>
    <w:rsid w:val="00F76DD1"/>
    <w:rsid w:val="00F775E3"/>
    <w:rsid w:val="00F8019C"/>
    <w:rsid w:val="00F828E7"/>
    <w:rsid w:val="00F833AF"/>
    <w:rsid w:val="00F833CD"/>
    <w:rsid w:val="00F83A85"/>
    <w:rsid w:val="00F83E23"/>
    <w:rsid w:val="00F83FB5"/>
    <w:rsid w:val="00F8494A"/>
    <w:rsid w:val="00F84BC6"/>
    <w:rsid w:val="00F85101"/>
    <w:rsid w:val="00F85E66"/>
    <w:rsid w:val="00F86C7B"/>
    <w:rsid w:val="00F87529"/>
    <w:rsid w:val="00F87E0F"/>
    <w:rsid w:val="00F904B0"/>
    <w:rsid w:val="00F90A36"/>
    <w:rsid w:val="00F923D7"/>
    <w:rsid w:val="00F92D28"/>
    <w:rsid w:val="00F94D74"/>
    <w:rsid w:val="00F94F25"/>
    <w:rsid w:val="00F951E7"/>
    <w:rsid w:val="00F955EE"/>
    <w:rsid w:val="00F95FF2"/>
    <w:rsid w:val="00F97B23"/>
    <w:rsid w:val="00FA0307"/>
    <w:rsid w:val="00FA0B0E"/>
    <w:rsid w:val="00FA2EAC"/>
    <w:rsid w:val="00FA326D"/>
    <w:rsid w:val="00FA3501"/>
    <w:rsid w:val="00FA3DA4"/>
    <w:rsid w:val="00FA6402"/>
    <w:rsid w:val="00FA6C72"/>
    <w:rsid w:val="00FB16EA"/>
    <w:rsid w:val="00FB248C"/>
    <w:rsid w:val="00FB2C9B"/>
    <w:rsid w:val="00FB4CF0"/>
    <w:rsid w:val="00FB5CB3"/>
    <w:rsid w:val="00FB6F34"/>
    <w:rsid w:val="00FB7E54"/>
    <w:rsid w:val="00FC0187"/>
    <w:rsid w:val="00FC094E"/>
    <w:rsid w:val="00FC0B98"/>
    <w:rsid w:val="00FC0BAF"/>
    <w:rsid w:val="00FC3020"/>
    <w:rsid w:val="00FC302A"/>
    <w:rsid w:val="00FC3321"/>
    <w:rsid w:val="00FC346D"/>
    <w:rsid w:val="00FC43BA"/>
    <w:rsid w:val="00FC4615"/>
    <w:rsid w:val="00FC487D"/>
    <w:rsid w:val="00FC54DB"/>
    <w:rsid w:val="00FC57A4"/>
    <w:rsid w:val="00FC64E5"/>
    <w:rsid w:val="00FC69AE"/>
    <w:rsid w:val="00FC7614"/>
    <w:rsid w:val="00FC7831"/>
    <w:rsid w:val="00FC7D0E"/>
    <w:rsid w:val="00FD01AF"/>
    <w:rsid w:val="00FD0B53"/>
    <w:rsid w:val="00FD2A3C"/>
    <w:rsid w:val="00FD3249"/>
    <w:rsid w:val="00FD4F2C"/>
    <w:rsid w:val="00FD547D"/>
    <w:rsid w:val="00FD5713"/>
    <w:rsid w:val="00FD6889"/>
    <w:rsid w:val="00FD6916"/>
    <w:rsid w:val="00FD7C03"/>
    <w:rsid w:val="00FE017C"/>
    <w:rsid w:val="00FE0425"/>
    <w:rsid w:val="00FE1117"/>
    <w:rsid w:val="00FE1BA5"/>
    <w:rsid w:val="00FE2E00"/>
    <w:rsid w:val="00FE2F0F"/>
    <w:rsid w:val="00FE3131"/>
    <w:rsid w:val="00FE3677"/>
    <w:rsid w:val="00FE36F0"/>
    <w:rsid w:val="00FE4D0B"/>
    <w:rsid w:val="00FE6659"/>
    <w:rsid w:val="00FE7CAD"/>
    <w:rsid w:val="00FF057C"/>
    <w:rsid w:val="00FF1989"/>
    <w:rsid w:val="00FF2138"/>
    <w:rsid w:val="00FF276C"/>
    <w:rsid w:val="00FF352E"/>
    <w:rsid w:val="00FF42FD"/>
    <w:rsid w:val="00FF4308"/>
    <w:rsid w:val="00FF4624"/>
    <w:rsid w:val="00FF4748"/>
    <w:rsid w:val="00FF4C19"/>
    <w:rsid w:val="00FF4F24"/>
    <w:rsid w:val="00FF7585"/>
    <w:rsid w:val="00FF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E6FB0"/>
  <w15:docId w15:val="{14A384AA-BAD5-6443-A6BE-772D3B99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74"/>
    <w:pPr>
      <w:widowControl w:val="0"/>
      <w:adjustRightInd w:val="0"/>
      <w:spacing w:after="0" w:line="360" w:lineRule="atLeast"/>
      <w:jc w:val="both"/>
      <w:textAlignment w:val="baseline"/>
    </w:pPr>
    <w:rPr>
      <w:rFonts w:ascii="Verdana" w:eastAsia="Times New Roman" w:hAnsi="Verdana" w:cs="Times New Roman"/>
      <w:sz w:val="20"/>
      <w:szCs w:val="20"/>
      <w:lang w:val="es-CR" w:eastAsia="es-CR"/>
    </w:rPr>
  </w:style>
  <w:style w:type="paragraph" w:styleId="Ttulo1">
    <w:name w:val="heading 1"/>
    <w:basedOn w:val="Normal"/>
    <w:next w:val="Normal"/>
    <w:link w:val="Ttulo1Car"/>
    <w:uiPriority w:val="9"/>
    <w:qFormat/>
    <w:rsid w:val="0010568E"/>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9"/>
    <w:unhideWhenUsed/>
    <w:qFormat/>
    <w:rsid w:val="00467516"/>
    <w:pPr>
      <w:keepNext/>
      <w:keepLines/>
      <w:tabs>
        <w:tab w:val="left" w:pos="1134"/>
      </w:tabs>
      <w:spacing w:before="240" w:after="240" w:line="240" w:lineRule="auto"/>
      <w:ind w:left="562"/>
      <w:outlineLvl w:val="1"/>
    </w:pPr>
    <w:rPr>
      <w:rFonts w:eastAsia="MS Mincho"/>
      <w:b/>
      <w:bCs/>
      <w:i/>
    </w:rPr>
  </w:style>
  <w:style w:type="paragraph" w:styleId="Ttulo3">
    <w:name w:val="heading 3"/>
    <w:basedOn w:val="Ttulo2"/>
    <w:next w:val="Normal"/>
    <w:link w:val="Ttulo3Car"/>
    <w:uiPriority w:val="9"/>
    <w:unhideWhenUsed/>
    <w:qFormat/>
    <w:rsid w:val="005F7534"/>
    <w:pPr>
      <w:ind w:left="1170"/>
      <w:outlineLvl w:val="2"/>
    </w:pPr>
    <w:rPr>
      <w:rFonts w:eastAsia="Verdana" w:cs="Verdana"/>
      <w:b w:val="0"/>
      <w:iCs/>
      <w:lang w:val="es-ES"/>
    </w:rPr>
  </w:style>
  <w:style w:type="paragraph" w:styleId="Ttulo4">
    <w:name w:val="heading 4"/>
    <w:basedOn w:val="Normal"/>
    <w:next w:val="Normal"/>
    <w:link w:val="Ttulo4Car"/>
    <w:uiPriority w:val="9"/>
    <w:unhideWhenUsed/>
    <w:qFormat/>
    <w:rsid w:val="001B6BB6"/>
    <w:pPr>
      <w:spacing w:before="240" w:after="240"/>
      <w:outlineLvl w:val="3"/>
    </w:pPr>
    <w:rPr>
      <w:rFonts w:eastAsiaTheme="minorHAnsi"/>
      <w:i/>
      <w:lang w:eastAsia="en-US"/>
    </w:rPr>
  </w:style>
  <w:style w:type="paragraph" w:styleId="Ttulo5">
    <w:name w:val="heading 5"/>
    <w:basedOn w:val="Normal"/>
    <w:next w:val="Normal"/>
    <w:link w:val="Ttulo5Car"/>
    <w:uiPriority w:val="9"/>
    <w:unhideWhenUsed/>
    <w:qFormat/>
    <w:rsid w:val="0046751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467516"/>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68E"/>
    <w:rPr>
      <w:rFonts w:ascii="Verdana" w:eastAsia="Times New Roman" w:hAnsi="Verdana" w:cs="Verdana"/>
      <w:b/>
      <w:bCs/>
      <w:caps/>
      <w:snapToGrid w:val="0"/>
      <w:sz w:val="20"/>
      <w:szCs w:val="20"/>
      <w:lang w:val="es-CR" w:eastAsia="es-CR"/>
    </w:rPr>
  </w:style>
  <w:style w:type="character" w:customStyle="1" w:styleId="Ttulo2Car">
    <w:name w:val="Título 2 Car"/>
    <w:basedOn w:val="Fuentedeprrafopredeter"/>
    <w:link w:val="Ttulo2"/>
    <w:uiPriority w:val="9"/>
    <w:rsid w:val="00467516"/>
    <w:rPr>
      <w:rFonts w:ascii="Verdana" w:eastAsia="MS Mincho" w:hAnsi="Verdana" w:cs="Times New Roman"/>
      <w:b/>
      <w:bCs/>
      <w:i/>
      <w:sz w:val="20"/>
      <w:szCs w:val="20"/>
      <w:lang w:val="es-CR" w:eastAsia="es-CR"/>
    </w:rPr>
  </w:style>
  <w:style w:type="character" w:customStyle="1" w:styleId="Ttulo3Car">
    <w:name w:val="Título 3 Car"/>
    <w:basedOn w:val="Fuentedeprrafopredeter"/>
    <w:link w:val="Ttulo3"/>
    <w:uiPriority w:val="9"/>
    <w:rsid w:val="005F7534"/>
    <w:rPr>
      <w:rFonts w:ascii="Verdana" w:eastAsia="Verdana" w:hAnsi="Verdana" w:cs="Verdana"/>
      <w:bCs/>
      <w:i/>
      <w:iCs/>
      <w:sz w:val="20"/>
      <w:szCs w:val="20"/>
      <w:lang w:val="es-ES" w:eastAsia="es-CR"/>
    </w:rPr>
  </w:style>
  <w:style w:type="character" w:customStyle="1" w:styleId="Ttulo4Car">
    <w:name w:val="Título 4 Car"/>
    <w:basedOn w:val="Fuentedeprrafopredeter"/>
    <w:link w:val="Ttulo4"/>
    <w:uiPriority w:val="9"/>
    <w:rsid w:val="001B6BB6"/>
    <w:rPr>
      <w:rFonts w:ascii="Verdana" w:hAnsi="Verdana" w:cs="Times New Roman"/>
      <w:i/>
      <w:sz w:val="20"/>
      <w:szCs w:val="20"/>
      <w:lang w:val="es-CR"/>
    </w:rPr>
  </w:style>
  <w:style w:type="character" w:customStyle="1" w:styleId="Ttulo5Car">
    <w:name w:val="Título 5 Car"/>
    <w:basedOn w:val="Fuentedeprrafopredeter"/>
    <w:link w:val="Ttulo5"/>
    <w:uiPriority w:val="9"/>
    <w:semiHidden/>
    <w:rsid w:val="00467516"/>
    <w:rPr>
      <w:rFonts w:asciiTheme="majorHAnsi" w:eastAsiaTheme="majorEastAsia" w:hAnsiTheme="majorHAnsi" w:cstheme="majorBidi"/>
      <w:color w:val="1F4D78" w:themeColor="accent1" w:themeShade="7F"/>
      <w:sz w:val="24"/>
      <w:szCs w:val="24"/>
      <w:lang w:val="es-CR" w:eastAsia="es-CR"/>
    </w:rPr>
  </w:style>
  <w:style w:type="character" w:customStyle="1" w:styleId="Ttulo6Car">
    <w:name w:val="Título 6 Car"/>
    <w:basedOn w:val="Fuentedeprrafopredeter"/>
    <w:link w:val="Ttulo6"/>
    <w:uiPriority w:val="9"/>
    <w:rsid w:val="00467516"/>
    <w:rPr>
      <w:rFonts w:ascii="Verdana" w:eastAsia="Times New Roman" w:hAnsi="Verdana" w:cs="Times New Roman"/>
      <w:spacing w:val="-2"/>
      <w:sz w:val="20"/>
      <w:szCs w:val="20"/>
      <w:lang w:val="es-ES_tradnl"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qFormat/>
    <w:rsid w:val="0046751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467516"/>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467516"/>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467516"/>
    <w:pPr>
      <w:widowControl/>
      <w:adjustRightInd/>
      <w:spacing w:line="240" w:lineRule="auto"/>
      <w:textAlignment w:val="auto"/>
    </w:pPr>
    <w:rPr>
      <w:rFonts w:asciiTheme="minorHAnsi" w:eastAsiaTheme="minorHAnsi" w:hAnsiTheme="minorHAnsi" w:cstheme="minorBidi"/>
      <w:sz w:val="22"/>
      <w:szCs w:val="22"/>
      <w:vertAlign w:val="superscript"/>
      <w:lang w:val="en-US" w:eastAsia="en-US"/>
    </w:rPr>
  </w:style>
  <w:style w:type="character" w:styleId="Nmerodelnea">
    <w:name w:val="line number"/>
    <w:basedOn w:val="Fuentedeprrafopredeter"/>
    <w:uiPriority w:val="99"/>
    <w:semiHidden/>
    <w:unhideWhenUsed/>
    <w:rsid w:val="00467516"/>
  </w:style>
  <w:style w:type="paragraph" w:styleId="Encabezado">
    <w:name w:val="header"/>
    <w:aliases w:val="encabezado"/>
    <w:basedOn w:val="Normal"/>
    <w:link w:val="EncabezadoCar"/>
    <w:uiPriority w:val="99"/>
    <w:unhideWhenUsed/>
    <w:rsid w:val="00467516"/>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467516"/>
    <w:rPr>
      <w:rFonts w:ascii="Verdana" w:eastAsia="Times New Roman" w:hAnsi="Verdana" w:cs="Times New Roman"/>
      <w:sz w:val="24"/>
      <w:szCs w:val="24"/>
      <w:lang w:val="es-CR" w:eastAsia="es-CR"/>
    </w:rPr>
  </w:style>
  <w:style w:type="paragraph" w:styleId="Piedepgina">
    <w:name w:val="footer"/>
    <w:basedOn w:val="Normal"/>
    <w:link w:val="PiedepginaCar"/>
    <w:uiPriority w:val="99"/>
    <w:unhideWhenUsed/>
    <w:rsid w:val="0046751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7516"/>
    <w:rPr>
      <w:rFonts w:ascii="Verdana" w:eastAsia="Times New Roman" w:hAnsi="Verdana" w:cs="Times New Roman"/>
      <w:sz w:val="24"/>
      <w:szCs w:val="24"/>
      <w:lang w:val="es-CR" w:eastAsia="es-CR"/>
    </w:rPr>
  </w:style>
  <w:style w:type="paragraph" w:styleId="Prrafodelista">
    <w:name w:val="List Paragraph"/>
    <w:aliases w:val="List Paragraph2,Lista vistosa - Énfasis 11,Párrafo de lista1,Footnote,List Paragraph1,Colorful List - Accent 11,Parrafos,Subtle Emphasis1,Footnote1,List Paragraph11,Cuadrícula clara - Énfasis 31,Lista clara - Énfasis 51"/>
    <w:basedOn w:val="Normal"/>
    <w:link w:val="PrrafodelistaCar"/>
    <w:uiPriority w:val="34"/>
    <w:qFormat/>
    <w:rsid w:val="00467516"/>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34"/>
    <w:rsid w:val="00467516"/>
    <w:rPr>
      <w:rFonts w:ascii="Verdana" w:eastAsia="Times New Roman" w:hAnsi="Verdana" w:cs="Times New Roman"/>
      <w:sz w:val="24"/>
      <w:szCs w:val="24"/>
      <w:lang w:val="es-CR" w:eastAsia="es-CR"/>
    </w:rPr>
  </w:style>
  <w:style w:type="character" w:styleId="Textoennegrita">
    <w:name w:val="Strong"/>
    <w:aliases w:val="Heading 2.1"/>
    <w:basedOn w:val="Fuentedeprrafopredeter"/>
    <w:uiPriority w:val="22"/>
    <w:qFormat/>
    <w:rsid w:val="00467516"/>
    <w:rPr>
      <w:b/>
      <w:bCs/>
    </w:rPr>
  </w:style>
  <w:style w:type="paragraph" w:styleId="NormalWeb">
    <w:name w:val="Normal (Web)"/>
    <w:aliases w:val="Normal (Web) Char1,Normal (Web) Char Char,Normal (Web) Char1 Char,Normal (Web) Char Char Char"/>
    <w:basedOn w:val="Normal"/>
    <w:uiPriority w:val="99"/>
    <w:unhideWhenUsed/>
    <w:rsid w:val="00467516"/>
    <w:rPr>
      <w:rFonts w:ascii="Times New Roman" w:hAnsi="Times New Roman"/>
    </w:rPr>
  </w:style>
  <w:style w:type="character" w:customStyle="1" w:styleId="apple-converted-space">
    <w:name w:val="apple-converted-space"/>
    <w:basedOn w:val="Fuentedeprrafopredeter"/>
    <w:rsid w:val="00467516"/>
  </w:style>
  <w:style w:type="character" w:styleId="Hipervnculo">
    <w:name w:val="Hyperlink"/>
    <w:basedOn w:val="Fuentedeprrafopredeter"/>
    <w:uiPriority w:val="99"/>
    <w:unhideWhenUsed/>
    <w:rsid w:val="00467516"/>
    <w:rPr>
      <w:color w:val="0563C1" w:themeColor="hyperlink"/>
      <w:u w:val="single"/>
    </w:rPr>
  </w:style>
  <w:style w:type="paragraph" w:styleId="TtuloTDC">
    <w:name w:val="TOC Heading"/>
    <w:basedOn w:val="Ttulo1"/>
    <w:next w:val="Normal"/>
    <w:uiPriority w:val="39"/>
    <w:unhideWhenUsed/>
    <w:qFormat/>
    <w:rsid w:val="00467516"/>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7A6802"/>
    <w:pPr>
      <w:tabs>
        <w:tab w:val="right" w:leader="dot" w:pos="10070"/>
      </w:tabs>
      <w:spacing w:before="120" w:after="120" w:line="240" w:lineRule="auto"/>
    </w:pPr>
    <w:rPr>
      <w:rFonts w:eastAsia="MS Mincho"/>
      <w:b/>
      <w:noProof/>
    </w:rPr>
  </w:style>
  <w:style w:type="paragraph" w:styleId="TDC2">
    <w:name w:val="toc 2"/>
    <w:basedOn w:val="Normal"/>
    <w:next w:val="Normal"/>
    <w:autoRedefine/>
    <w:uiPriority w:val="39"/>
    <w:unhideWhenUsed/>
    <w:rsid w:val="003D0C8E"/>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46751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516"/>
    <w:rPr>
      <w:rFonts w:ascii="Tahoma" w:eastAsia="Times New Roman" w:hAnsi="Tahoma" w:cs="Tahoma"/>
      <w:sz w:val="16"/>
      <w:szCs w:val="16"/>
      <w:lang w:val="es-CR" w:eastAsia="es-CR"/>
    </w:rPr>
  </w:style>
  <w:style w:type="table" w:styleId="Tablaconcuadrcula">
    <w:name w:val="Table Grid"/>
    <w:basedOn w:val="Tablanormal"/>
    <w:uiPriority w:val="59"/>
    <w:rsid w:val="00467516"/>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67516"/>
    <w:rPr>
      <w:sz w:val="16"/>
      <w:szCs w:val="16"/>
    </w:rPr>
  </w:style>
  <w:style w:type="paragraph" w:styleId="Textocomentario">
    <w:name w:val="annotation text"/>
    <w:basedOn w:val="Normal"/>
    <w:link w:val="TextocomentarioCar"/>
    <w:uiPriority w:val="99"/>
    <w:unhideWhenUsed/>
    <w:rsid w:val="00467516"/>
    <w:pPr>
      <w:widowControl/>
      <w:adjustRightInd/>
      <w:spacing w:after="200" w:line="240" w:lineRule="auto"/>
      <w:jc w:val="left"/>
      <w:textAlignment w:val="auto"/>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467516"/>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467516"/>
    <w:rPr>
      <w:b/>
      <w:bCs/>
    </w:rPr>
  </w:style>
  <w:style w:type="character" w:customStyle="1" w:styleId="AsuntodelcomentarioCar">
    <w:name w:val="Asunto del comentario Car"/>
    <w:basedOn w:val="TextocomentarioCar"/>
    <w:link w:val="Asuntodelcomentario"/>
    <w:uiPriority w:val="99"/>
    <w:semiHidden/>
    <w:rsid w:val="00467516"/>
    <w:rPr>
      <w:b/>
      <w:bCs/>
      <w:sz w:val="20"/>
      <w:szCs w:val="20"/>
      <w:lang w:val="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467516"/>
    <w:rPr>
      <w:rFonts w:ascii="Verdana" w:eastAsia="Times New Roman" w:hAnsi="Verdana" w:cs="Times New Roman"/>
      <w:sz w:val="24"/>
      <w:szCs w:val="24"/>
      <w:lang w:eastAsia="es-CR"/>
    </w:rPr>
  </w:style>
  <w:style w:type="paragraph" w:customStyle="1" w:styleId="Default">
    <w:name w:val="Default"/>
    <w:rsid w:val="00467516"/>
    <w:pPr>
      <w:autoSpaceDE w:val="0"/>
      <w:autoSpaceDN w:val="0"/>
      <w:adjustRightInd w:val="0"/>
      <w:spacing w:after="0" w:line="240" w:lineRule="auto"/>
    </w:pPr>
    <w:rPr>
      <w:rFonts w:ascii="Verdana" w:hAnsi="Verdana" w:cs="Verdana"/>
      <w:color w:val="000000"/>
      <w:sz w:val="24"/>
      <w:szCs w:val="24"/>
      <w:lang w:val="es-CR"/>
    </w:rPr>
  </w:style>
  <w:style w:type="paragraph" w:customStyle="1" w:styleId="PrrafodeSentencia">
    <w:name w:val="*. Párrafo de Sentencia"/>
    <w:basedOn w:val="Normal"/>
    <w:link w:val="PrrafodeSentenciaChar"/>
    <w:qFormat/>
    <w:rsid w:val="00467516"/>
    <w:pPr>
      <w:widowControl/>
      <w:numPr>
        <w:numId w:val="1"/>
      </w:numPr>
      <w:tabs>
        <w:tab w:val="left" w:pos="567"/>
      </w:tabs>
      <w:adjustRightInd/>
      <w:spacing w:line="240" w:lineRule="auto"/>
      <w:textAlignment w:val="auto"/>
    </w:pPr>
    <w:rPr>
      <w:rFonts w:eastAsia="Batang"/>
      <w:lang w:val="es-ES_tradnl" w:eastAsia="es-MX"/>
    </w:rPr>
  </w:style>
  <w:style w:type="character" w:customStyle="1" w:styleId="PrrafodeSentenciaChar">
    <w:name w:val="*. Párrafo de Sentencia Char"/>
    <w:link w:val="PrrafodeSentencia"/>
    <w:rsid w:val="00467516"/>
    <w:rPr>
      <w:rFonts w:ascii="Verdana" w:eastAsia="Batang" w:hAnsi="Verdana" w:cs="Times New Roman"/>
      <w:sz w:val="20"/>
      <w:szCs w:val="20"/>
      <w:lang w:val="es-ES_tradnl" w:eastAsia="es-MX"/>
    </w:rPr>
  </w:style>
  <w:style w:type="character" w:customStyle="1" w:styleId="shorttext">
    <w:name w:val="shorttext"/>
    <w:basedOn w:val="Fuentedeprrafopredeter"/>
    <w:rsid w:val="00467516"/>
  </w:style>
  <w:style w:type="paragraph" w:customStyle="1" w:styleId="Estilo4">
    <w:name w:val="Estilo4"/>
    <w:basedOn w:val="Prrafodelista"/>
    <w:qFormat/>
    <w:rsid w:val="00467516"/>
    <w:pPr>
      <w:widowControl/>
      <w:numPr>
        <w:ilvl w:val="1"/>
        <w:numId w:val="2"/>
      </w:numPr>
      <w:adjustRightInd/>
      <w:spacing w:after="120" w:line="240" w:lineRule="auto"/>
      <w:ind w:left="0" w:firstLine="357"/>
      <w:textAlignment w:val="auto"/>
    </w:pPr>
    <w:rPr>
      <w:spacing w:val="-2"/>
      <w:lang w:eastAsia="en-US"/>
    </w:rPr>
  </w:style>
  <w:style w:type="paragraph" w:customStyle="1" w:styleId="Numberedparagraphs">
    <w:name w:val="Numbered paragraphs"/>
    <w:basedOn w:val="Normal"/>
    <w:qFormat/>
    <w:rsid w:val="00467516"/>
    <w:pPr>
      <w:widowControl/>
      <w:adjustRightInd/>
      <w:spacing w:after="200" w:line="240" w:lineRule="auto"/>
      <w:textAlignment w:val="auto"/>
    </w:pPr>
    <w:rPr>
      <w:rFonts w:eastAsia="MS Mincho"/>
      <w:color w:val="00000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467516"/>
    <w:rPr>
      <w:sz w:val="20"/>
      <w:szCs w:val="20"/>
    </w:rPr>
  </w:style>
  <w:style w:type="character" w:customStyle="1" w:styleId="column">
    <w:name w:val="column"/>
    <w:basedOn w:val="Fuentedeprrafopredeter"/>
    <w:rsid w:val="00467516"/>
  </w:style>
  <w:style w:type="character" w:customStyle="1" w:styleId="summarytext">
    <w:name w:val="summarytext"/>
    <w:basedOn w:val="Fuentedeprrafopredeter"/>
    <w:rsid w:val="00467516"/>
  </w:style>
  <w:style w:type="character" w:customStyle="1" w:styleId="textcolumn">
    <w:name w:val="textcolumn"/>
    <w:basedOn w:val="Fuentedeprrafopredeter"/>
    <w:rsid w:val="00467516"/>
  </w:style>
  <w:style w:type="character" w:customStyle="1" w:styleId="more">
    <w:name w:val="more"/>
    <w:basedOn w:val="Fuentedeprrafopredeter"/>
    <w:rsid w:val="00467516"/>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467516"/>
    <w:pPr>
      <w:widowControl/>
      <w:adjustRightInd/>
      <w:spacing w:after="160" w:line="240" w:lineRule="exact"/>
      <w:jc w:val="left"/>
      <w:textAlignment w:val="auto"/>
    </w:pPr>
    <w:rPr>
      <w:rFonts w:eastAsiaTheme="minorHAnsi" w:cstheme="minorBidi"/>
      <w:vertAlign w:val="superscript"/>
      <w:lang w:eastAsia="en-US"/>
    </w:rPr>
  </w:style>
  <w:style w:type="paragraph" w:styleId="Sinespaciado">
    <w:name w:val="No Spacing"/>
    <w:link w:val="SinespaciadoCar"/>
    <w:uiPriority w:val="1"/>
    <w:qFormat/>
    <w:rsid w:val="00467516"/>
    <w:pPr>
      <w:spacing w:after="0" w:line="240" w:lineRule="auto"/>
    </w:pPr>
    <w:rPr>
      <w:lang w:val="es-CR"/>
    </w:rPr>
  </w:style>
  <w:style w:type="character" w:customStyle="1" w:styleId="SinespaciadoCar">
    <w:name w:val="Sin espaciado Car"/>
    <w:basedOn w:val="Fuentedeprrafopredeter"/>
    <w:link w:val="Sinespaciado"/>
    <w:uiPriority w:val="1"/>
    <w:rsid w:val="00467516"/>
    <w:rPr>
      <w:lang w:val="es-CR"/>
    </w:rPr>
  </w:style>
  <w:style w:type="paragraph" w:styleId="Textoindependiente3">
    <w:name w:val="Body Text 3"/>
    <w:basedOn w:val="Normal"/>
    <w:link w:val="Textoindependiente3Car"/>
    <w:rsid w:val="0046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46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467516"/>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467516"/>
    <w:rPr>
      <w:rFonts w:ascii="Verdana" w:eastAsia="Times New Roman" w:hAnsi="Verdana" w:cs="Times New Roman"/>
      <w:sz w:val="24"/>
      <w:szCs w:val="24"/>
      <w:lang w:val="es-CR" w:eastAsia="es-CR"/>
    </w:rPr>
  </w:style>
  <w:style w:type="paragraph" w:customStyle="1" w:styleId="Normal1">
    <w:name w:val="Normal1"/>
    <w:rsid w:val="00467516"/>
    <w:pPr>
      <w:widowControl w:val="0"/>
      <w:spacing w:after="0" w:line="240" w:lineRule="auto"/>
    </w:pPr>
    <w:rPr>
      <w:rFonts w:ascii="Times New Roman" w:eastAsia="Times New Roman" w:hAnsi="Times New Roman" w:cs="Times New Roman"/>
      <w:sz w:val="24"/>
      <w:szCs w:val="24"/>
      <w:lang w:val="es-CR"/>
    </w:rPr>
  </w:style>
  <w:style w:type="paragraph" w:styleId="Textodebloque">
    <w:name w:val="Block Text"/>
    <w:basedOn w:val="Normal"/>
    <w:rsid w:val="00467516"/>
    <w:pPr>
      <w:widowControl/>
      <w:tabs>
        <w:tab w:val="left" w:pos="720"/>
      </w:tabs>
      <w:adjustRightInd/>
      <w:spacing w:line="240" w:lineRule="auto"/>
      <w:ind w:left="720" w:right="720"/>
      <w:textAlignment w:val="auto"/>
    </w:pPr>
    <w:rPr>
      <w:rFonts w:ascii="Garamond" w:hAnsi="Garamond"/>
      <w:sz w:val="22"/>
      <w:lang w:val="en-GB" w:eastAsia="en-US"/>
    </w:rPr>
  </w:style>
  <w:style w:type="table" w:customStyle="1" w:styleId="GridTable5Dark-Accent11">
    <w:name w:val="Grid Table 5 Dark - Accent 11"/>
    <w:basedOn w:val="Tablanormal"/>
    <w:uiPriority w:val="50"/>
    <w:rsid w:val="004675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cinsinresolver1">
    <w:name w:val="Mención sin resolver1"/>
    <w:basedOn w:val="Fuentedeprrafopredeter"/>
    <w:uiPriority w:val="99"/>
    <w:semiHidden/>
    <w:unhideWhenUsed/>
    <w:rsid w:val="00467516"/>
    <w:rPr>
      <w:color w:val="605E5C"/>
      <w:shd w:val="clear" w:color="auto" w:fill="E1DFDD"/>
    </w:rPr>
  </w:style>
  <w:style w:type="character" w:customStyle="1" w:styleId="highlight">
    <w:name w:val="highlight"/>
    <w:basedOn w:val="Fuentedeprrafopredeter"/>
    <w:rsid w:val="00467516"/>
  </w:style>
  <w:style w:type="paragraph" w:customStyle="1" w:styleId="Prrafodelista2">
    <w:name w:val="Párrafo de lista2"/>
    <w:basedOn w:val="Normal"/>
    <w:uiPriority w:val="99"/>
    <w:rsid w:val="00467516"/>
    <w:pPr>
      <w:widowControl/>
      <w:adjustRightInd/>
      <w:spacing w:line="240" w:lineRule="auto"/>
      <w:ind w:left="720"/>
      <w:jc w:val="left"/>
      <w:textAlignment w:val="auto"/>
    </w:pPr>
    <w:rPr>
      <w:rFonts w:eastAsia="MS Mincho"/>
      <w:lang w:val="es-ES_tradnl" w:eastAsia="en-US"/>
    </w:rPr>
  </w:style>
  <w:style w:type="paragraph" w:styleId="TDC3">
    <w:name w:val="toc 3"/>
    <w:basedOn w:val="Normal"/>
    <w:next w:val="Normal"/>
    <w:autoRedefine/>
    <w:uiPriority w:val="39"/>
    <w:unhideWhenUsed/>
    <w:rsid w:val="00467516"/>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467516"/>
    <w:pPr>
      <w:widowControl/>
      <w:adjustRightInd/>
      <w:spacing w:after="120" w:line="240" w:lineRule="auto"/>
      <w:ind w:left="2018" w:right="6" w:hanging="180"/>
      <w:textAlignment w:val="auto"/>
    </w:pPr>
    <w:rPr>
      <w:rFonts w:eastAsia="Batang" w:cs="Times"/>
      <w:i/>
      <w:lang w:val="es-ES_tradnl" w:eastAsia="en-US"/>
    </w:rPr>
  </w:style>
  <w:style w:type="character" w:customStyle="1" w:styleId="Estilo1Car">
    <w:name w:val="Estilo1 Car"/>
    <w:basedOn w:val="Fuentedeprrafopredeter"/>
    <w:link w:val="Estilo1"/>
    <w:rsid w:val="00467516"/>
    <w:rPr>
      <w:rFonts w:ascii="Verdana" w:eastAsia="Batang" w:hAnsi="Verdana" w:cs="Times"/>
      <w:i/>
      <w:sz w:val="20"/>
      <w:szCs w:val="24"/>
      <w:lang w:val="es-ES_tradnl"/>
    </w:rPr>
  </w:style>
  <w:style w:type="numbering" w:customStyle="1" w:styleId="ImportedStyle1">
    <w:name w:val="Imported Style 1"/>
    <w:rsid w:val="00467516"/>
    <w:pPr>
      <w:numPr>
        <w:numId w:val="3"/>
      </w:numPr>
    </w:pPr>
  </w:style>
  <w:style w:type="character" w:customStyle="1" w:styleId="fontstyle01">
    <w:name w:val="fontstyle01"/>
    <w:basedOn w:val="Fuentedeprrafopredeter"/>
    <w:rsid w:val="00467516"/>
    <w:rPr>
      <w:rFonts w:ascii="Arial" w:hAnsi="Arial" w:cs="Arial" w:hint="default"/>
      <w:b w:val="0"/>
      <w:bCs w:val="0"/>
      <w:i w:val="0"/>
      <w:iCs w:val="0"/>
      <w:color w:val="000000"/>
      <w:sz w:val="24"/>
      <w:szCs w:val="24"/>
    </w:rPr>
  </w:style>
  <w:style w:type="paragraph" w:styleId="Textoindependiente2">
    <w:name w:val="Body Text 2"/>
    <w:basedOn w:val="Normal"/>
    <w:link w:val="Textoindependiente2Car"/>
    <w:uiPriority w:val="99"/>
    <w:unhideWhenUsed/>
    <w:rsid w:val="00F83A85"/>
    <w:pPr>
      <w:spacing w:after="120" w:line="480" w:lineRule="auto"/>
    </w:pPr>
  </w:style>
  <w:style w:type="character" w:customStyle="1" w:styleId="Textoindependiente2Car">
    <w:name w:val="Texto independiente 2 Car"/>
    <w:basedOn w:val="Fuentedeprrafopredeter"/>
    <w:link w:val="Textoindependiente2"/>
    <w:uiPriority w:val="99"/>
    <w:rsid w:val="00F83A85"/>
    <w:rPr>
      <w:rFonts w:ascii="Verdana" w:eastAsia="Times New Roman" w:hAnsi="Verdana" w:cs="Times New Roman"/>
      <w:sz w:val="24"/>
      <w:szCs w:val="24"/>
      <w:lang w:val="es-CR" w:eastAsia="es-CR"/>
    </w:rPr>
  </w:style>
  <w:style w:type="paragraph" w:customStyle="1" w:styleId="Textoindependiente20">
    <w:name w:val="Texto independiente2"/>
    <w:basedOn w:val="Normal"/>
    <w:rsid w:val="00F519EF"/>
    <w:pPr>
      <w:adjustRightInd/>
      <w:spacing w:line="240" w:lineRule="auto"/>
      <w:textAlignment w:val="auto"/>
    </w:pPr>
    <w:rPr>
      <w:rFonts w:ascii="Times" w:hAnsi="Times"/>
      <w:lang w:val="es-ES"/>
    </w:rPr>
  </w:style>
  <w:style w:type="paragraph" w:styleId="Textoindependiente">
    <w:name w:val="Body Text"/>
    <w:basedOn w:val="Normal"/>
    <w:link w:val="TextoindependienteCar"/>
    <w:uiPriority w:val="99"/>
    <w:unhideWhenUsed/>
    <w:rsid w:val="00EE16ED"/>
    <w:pPr>
      <w:spacing w:after="120"/>
    </w:pPr>
  </w:style>
  <w:style w:type="character" w:customStyle="1" w:styleId="TextoindependienteCar">
    <w:name w:val="Texto independiente Car"/>
    <w:basedOn w:val="Fuentedeprrafopredeter"/>
    <w:link w:val="Textoindependiente"/>
    <w:uiPriority w:val="99"/>
    <w:rsid w:val="00EE16ED"/>
    <w:rPr>
      <w:rFonts w:ascii="Verdana" w:eastAsia="Times New Roman" w:hAnsi="Verdana" w:cs="Times New Roman"/>
      <w:sz w:val="24"/>
      <w:szCs w:val="24"/>
      <w:lang w:val="es-CR" w:eastAsia="es-CR"/>
    </w:rPr>
  </w:style>
  <w:style w:type="character" w:customStyle="1" w:styleId="fontstyle21">
    <w:name w:val="fontstyle21"/>
    <w:basedOn w:val="Fuentedeprrafopredeter"/>
    <w:rsid w:val="005B0504"/>
    <w:rPr>
      <w:rFonts w:ascii="Helvetica-Oblique" w:hAnsi="Helvetica-Oblique" w:hint="default"/>
      <w:b w:val="0"/>
      <w:bCs w:val="0"/>
      <w:i/>
      <w:iCs/>
      <w:color w:val="2B2B2B"/>
      <w:sz w:val="16"/>
      <w:szCs w:val="16"/>
    </w:rPr>
  </w:style>
  <w:style w:type="paragraph" w:customStyle="1" w:styleId="1">
    <w:name w:val="1"/>
    <w:basedOn w:val="Normal"/>
    <w:rsid w:val="003248AE"/>
    <w:pPr>
      <w:widowControl/>
      <w:adjustRightInd/>
      <w:spacing w:after="160" w:line="240" w:lineRule="exact"/>
      <w:jc w:val="left"/>
      <w:textAlignment w:val="auto"/>
    </w:pPr>
    <w:rPr>
      <w:sz w:val="16"/>
      <w:szCs w:val="22"/>
      <w:vertAlign w:val="superscript"/>
      <w:lang w:eastAsia="en-US"/>
    </w:rPr>
  </w:style>
  <w:style w:type="paragraph" w:customStyle="1" w:styleId="Heading71">
    <w:name w:val="Heading 71"/>
    <w:basedOn w:val="Normal"/>
    <w:rsid w:val="00075A44"/>
    <w:pPr>
      <w:numPr>
        <w:numId w:val="7"/>
      </w:numPr>
    </w:pPr>
    <w:rPr>
      <w:sz w:val="24"/>
      <w:szCs w:val="24"/>
    </w:rPr>
  </w:style>
  <w:style w:type="character" w:customStyle="1" w:styleId="apple-style-span">
    <w:name w:val="apple-style-span"/>
    <w:basedOn w:val="Fuentedeprrafopredeter"/>
    <w:rsid w:val="00E45960"/>
  </w:style>
  <w:style w:type="character" w:styleId="Hipervnculovisitado">
    <w:name w:val="FollowedHyperlink"/>
    <w:basedOn w:val="Fuentedeprrafopredeter"/>
    <w:uiPriority w:val="99"/>
    <w:semiHidden/>
    <w:unhideWhenUsed/>
    <w:rsid w:val="008372D9"/>
    <w:rPr>
      <w:color w:val="954F72" w:themeColor="followedHyperlink"/>
      <w:u w:val="single"/>
    </w:rPr>
  </w:style>
  <w:style w:type="paragraph" w:customStyle="1" w:styleId="Footnotes">
    <w:name w:val="**. Footnotes"/>
    <w:basedOn w:val="Textonotapie"/>
    <w:link w:val="FootnotesChar"/>
    <w:autoRedefine/>
    <w:qFormat/>
    <w:rsid w:val="000136C2"/>
    <w:pPr>
      <w:widowControl/>
      <w:adjustRightInd/>
      <w:spacing w:before="120" w:after="120"/>
      <w:jc w:val="center"/>
      <w:textAlignment w:val="auto"/>
    </w:pPr>
    <w:rPr>
      <w:iCs/>
      <w:sz w:val="16"/>
      <w:szCs w:val="18"/>
      <w:lang w:val="es-ES"/>
    </w:rPr>
  </w:style>
  <w:style w:type="character" w:customStyle="1" w:styleId="FootnotesChar">
    <w:name w:val="**. Footnotes Char"/>
    <w:link w:val="Footnotes"/>
    <w:rsid w:val="000136C2"/>
    <w:rPr>
      <w:rFonts w:ascii="Verdana" w:eastAsia="Times New Roman" w:hAnsi="Verdana" w:cs="Times New Roman"/>
      <w:iCs/>
      <w:sz w:val="16"/>
      <w:szCs w:val="18"/>
      <w:lang w:val="es-ES" w:eastAsia="x-none"/>
    </w:rPr>
  </w:style>
  <w:style w:type="paragraph" w:customStyle="1" w:styleId="Estilo2">
    <w:name w:val="Estilo2"/>
    <w:basedOn w:val="Normal"/>
    <w:qFormat/>
    <w:rsid w:val="000136C2"/>
    <w:pPr>
      <w:widowControl/>
      <w:tabs>
        <w:tab w:val="left" w:pos="567"/>
        <w:tab w:val="left" w:pos="1134"/>
        <w:tab w:val="num" w:pos="4767"/>
      </w:tabs>
      <w:adjustRightInd/>
      <w:spacing w:after="120" w:line="240" w:lineRule="auto"/>
      <w:ind w:firstLine="357"/>
      <w:textAlignment w:val="auto"/>
    </w:pPr>
    <w:rPr>
      <w:rFonts w:eastAsia="Calibri"/>
      <w:lang w:val="x-none" w:eastAsia="x-none"/>
    </w:rPr>
  </w:style>
  <w:style w:type="paragraph" w:customStyle="1" w:styleId="Estilo8">
    <w:name w:val="Estilo8"/>
    <w:basedOn w:val="PrrafodeSentencia"/>
    <w:link w:val="Estilo8Car"/>
    <w:qFormat/>
    <w:rsid w:val="000136C2"/>
    <w:pPr>
      <w:numPr>
        <w:ilvl w:val="2"/>
      </w:numPr>
      <w:tabs>
        <w:tab w:val="left" w:pos="851"/>
      </w:tabs>
      <w:spacing w:before="120" w:after="120"/>
    </w:pPr>
  </w:style>
  <w:style w:type="character" w:customStyle="1" w:styleId="Estilo8Car">
    <w:name w:val="Estilo8 Car"/>
    <w:basedOn w:val="PrrafodeSentenciaChar"/>
    <w:link w:val="Estilo8"/>
    <w:rsid w:val="000136C2"/>
    <w:rPr>
      <w:rFonts w:ascii="Verdana" w:eastAsia="Batang" w:hAnsi="Verdana" w:cs="Times New Roman"/>
      <w:sz w:val="20"/>
      <w:szCs w:val="20"/>
      <w:lang w:val="es-ES_tradnl" w:eastAsia="es-MX"/>
    </w:rPr>
  </w:style>
  <w:style w:type="character" w:customStyle="1" w:styleId="Mencinsinresolver2">
    <w:name w:val="Mención sin resolver2"/>
    <w:basedOn w:val="Fuentedeprrafopredeter"/>
    <w:uiPriority w:val="99"/>
    <w:semiHidden/>
    <w:unhideWhenUsed/>
    <w:rsid w:val="003B7F2A"/>
    <w:rPr>
      <w:color w:val="605E5C"/>
      <w:shd w:val="clear" w:color="auto" w:fill="E1DFDD"/>
    </w:rPr>
  </w:style>
  <w:style w:type="table" w:styleId="Tablaconcuadrcula1clara-nfasis4">
    <w:name w:val="Grid Table 1 Light Accent 4"/>
    <w:basedOn w:val="Tablanormal"/>
    <w:uiPriority w:val="46"/>
    <w:rsid w:val="000F17C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0F17C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0653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n">
    <w:name w:val="Revision"/>
    <w:hidden/>
    <w:uiPriority w:val="99"/>
    <w:semiHidden/>
    <w:rsid w:val="00D81D4E"/>
    <w:pPr>
      <w:spacing w:after="0" w:line="240" w:lineRule="auto"/>
    </w:pPr>
    <w:rPr>
      <w:rFonts w:ascii="Verdana" w:eastAsia="Times New Roman" w:hAnsi="Verdana" w:cs="Times New Roman"/>
      <w:sz w:val="20"/>
      <w:szCs w:val="20"/>
      <w:lang w:val="es-CR" w:eastAsia="es-CR"/>
    </w:rPr>
  </w:style>
  <w:style w:type="character" w:customStyle="1" w:styleId="FootnoteRef">
    <w:name w:val="Footnote Ref"/>
    <w:basedOn w:val="Fuentedeprrafopredeter"/>
    <w:rsid w:val="008673A1"/>
    <w:rPr>
      <w:vertAlign w:val="superscript"/>
    </w:rPr>
  </w:style>
  <w:style w:type="character" w:customStyle="1" w:styleId="Refdenotaalpie1">
    <w:name w:val="Ref. de nota al pie1"/>
    <w:basedOn w:val="Fuentedeprrafopredeter"/>
    <w:rsid w:val="008673A1"/>
    <w:rPr>
      <w:sz w:val="20"/>
      <w:vertAlign w:val="superscript"/>
    </w:rPr>
  </w:style>
  <w:style w:type="character" w:styleId="Mencinsinresolver">
    <w:name w:val="Unresolved Mention"/>
    <w:basedOn w:val="Fuentedeprrafopredeter"/>
    <w:uiPriority w:val="99"/>
    <w:semiHidden/>
    <w:unhideWhenUsed/>
    <w:rsid w:val="00267F61"/>
    <w:rPr>
      <w:color w:val="605E5C"/>
      <w:shd w:val="clear" w:color="auto" w:fill="E1DFDD"/>
    </w:rPr>
  </w:style>
  <w:style w:type="paragraph" w:customStyle="1" w:styleId="Body1">
    <w:name w:val="Body 1"/>
    <w:link w:val="Body1Char"/>
    <w:rsid w:val="00BF51E6"/>
    <w:pPr>
      <w:spacing w:after="200" w:line="276" w:lineRule="auto"/>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BF51E6"/>
    <w:rPr>
      <w:rFonts w:ascii="Helvetica" w:eastAsia="ヒラギノ角ゴ Pro W3" w:hAnsi="Helvetica" w:cs="Times New Roman"/>
      <w:color w:val="000000"/>
      <w:szCs w:val="20"/>
      <w:lang w:eastAsia="es-CR"/>
    </w:rPr>
  </w:style>
  <w:style w:type="paragraph" w:customStyle="1" w:styleId="NormalNumbered">
    <w:name w:val="Normal Numbered"/>
    <w:basedOn w:val="Normal"/>
    <w:qFormat/>
    <w:rsid w:val="00BF51E6"/>
    <w:pPr>
      <w:widowControl/>
      <w:numPr>
        <w:numId w:val="11"/>
      </w:numPr>
      <w:adjustRightInd/>
      <w:spacing w:line="240" w:lineRule="auto"/>
      <w:ind w:left="0" w:firstLine="0"/>
      <w:textAlignment w:val="auto"/>
    </w:pPr>
    <w:rPr>
      <w:lang w:val="x-none" w:eastAsia="x-none"/>
    </w:rPr>
  </w:style>
  <w:style w:type="character" w:customStyle="1" w:styleId="markedcontent">
    <w:name w:val="markedcontent"/>
    <w:basedOn w:val="Fuentedeprrafopredeter"/>
    <w:rsid w:val="00A67643"/>
  </w:style>
  <w:style w:type="character" w:customStyle="1" w:styleId="whyltd">
    <w:name w:val="whyltd"/>
    <w:basedOn w:val="Fuentedeprrafopredeter"/>
    <w:rsid w:val="0076124F"/>
  </w:style>
  <w:style w:type="character" w:styleId="nfasis">
    <w:name w:val="Emphasis"/>
    <w:basedOn w:val="Fuentedeprrafopredeter"/>
    <w:uiPriority w:val="20"/>
    <w:qFormat/>
    <w:rsid w:val="00AF566D"/>
    <w:rPr>
      <w:i/>
      <w:iCs/>
    </w:rPr>
  </w:style>
  <w:style w:type="paragraph" w:customStyle="1" w:styleId="default0">
    <w:name w:val="default"/>
    <w:basedOn w:val="Normal"/>
    <w:rsid w:val="00BD70FF"/>
    <w:pPr>
      <w:widowControl/>
      <w:adjustRightInd/>
      <w:spacing w:before="100" w:beforeAutospacing="1" w:after="100" w:afterAutospacing="1" w:line="240" w:lineRule="auto"/>
      <w:jc w:val="left"/>
      <w:textAlignment w:val="auto"/>
    </w:pPr>
    <w:rPr>
      <w:rFonts w:ascii="Times New Roman" w:hAnsi="Times New Roman"/>
      <w:sz w:val="24"/>
      <w:szCs w:val="24"/>
      <w:lang w:val="es-ES" w:eastAsia="es-ES"/>
    </w:rPr>
  </w:style>
  <w:style w:type="table" w:styleId="Tabladelista2-nfasis1">
    <w:name w:val="List Table 2 Accent 1"/>
    <w:basedOn w:val="Tablanormal"/>
    <w:uiPriority w:val="47"/>
    <w:rsid w:val="005B185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5B185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Sangradetindependiente2">
    <w:name w:val="SangrÌa de t. independiente2"/>
    <w:basedOn w:val="Normal"/>
    <w:rsid w:val="005F7534"/>
    <w:pPr>
      <w:adjustRightInd/>
      <w:jc w:val="left"/>
      <w:textAlignment w:val="auto"/>
    </w:pPr>
    <w:rPr>
      <w:rFonts w:ascii="Arial" w:hAnsi="Arial"/>
      <w:sz w:val="24"/>
      <w:lang w:val="es-ES_tradnl" w:eastAsia="es-ES"/>
    </w:rPr>
  </w:style>
  <w:style w:type="table" w:customStyle="1" w:styleId="TableNormal">
    <w:name w:val="Table Normal"/>
    <w:uiPriority w:val="2"/>
    <w:semiHidden/>
    <w:unhideWhenUsed/>
    <w:qFormat/>
    <w:rsid w:val="005F7534"/>
    <w:pPr>
      <w:widowControl w:val="0"/>
      <w:autoSpaceDE w:val="0"/>
      <w:autoSpaceDN w:val="0"/>
      <w:spacing w:after="0" w:line="240" w:lineRule="auto"/>
    </w:pPr>
    <w:tblPr>
      <w:tblInd w:w="0" w:type="dxa"/>
      <w:tblCellMar>
        <w:top w:w="0" w:type="dxa"/>
        <w:left w:w="0" w:type="dxa"/>
        <w:bottom w:w="0" w:type="dxa"/>
        <w:right w:w="0" w:type="dxa"/>
      </w:tblCellMar>
    </w:tblPr>
  </w:style>
  <w:style w:type="character" w:customStyle="1" w:styleId="sb8d990e2">
    <w:name w:val="sb8d990e2"/>
    <w:basedOn w:val="Fuentedeprrafopredeter"/>
    <w:rsid w:val="005F7534"/>
  </w:style>
  <w:style w:type="character" w:customStyle="1" w:styleId="s6b621b36">
    <w:name w:val="s6b621b36"/>
    <w:basedOn w:val="Fuentedeprrafopredeter"/>
    <w:rsid w:val="005F7534"/>
  </w:style>
  <w:style w:type="character" w:customStyle="1" w:styleId="s68f5eaef">
    <w:name w:val="s68f5eaef"/>
    <w:basedOn w:val="Fuentedeprrafopredeter"/>
    <w:rsid w:val="005F7534"/>
  </w:style>
  <w:style w:type="character" w:customStyle="1" w:styleId="sbc73225d">
    <w:name w:val="sbc73225d"/>
    <w:basedOn w:val="Fuentedeprrafopredeter"/>
    <w:rsid w:val="005F7534"/>
  </w:style>
  <w:style w:type="paragraph" w:styleId="HTMLconformatoprevio">
    <w:name w:val="HTML Preformatted"/>
    <w:basedOn w:val="Normal"/>
    <w:link w:val="HTMLconformatoprevioCar"/>
    <w:uiPriority w:val="99"/>
    <w:unhideWhenUsed/>
    <w:rsid w:val="005F75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lang w:val="es-ES" w:eastAsia="es-ES"/>
    </w:rPr>
  </w:style>
  <w:style w:type="character" w:customStyle="1" w:styleId="HTMLconformatoprevioCar">
    <w:name w:val="HTML con formato previo Car"/>
    <w:basedOn w:val="Fuentedeprrafopredeter"/>
    <w:link w:val="HTMLconformatoprevio"/>
    <w:uiPriority w:val="99"/>
    <w:rsid w:val="005F7534"/>
    <w:rPr>
      <w:rFonts w:ascii="Courier New" w:eastAsia="Times New Roman" w:hAnsi="Courier New" w:cs="Courier New"/>
      <w:sz w:val="20"/>
      <w:szCs w:val="20"/>
      <w:lang w:val="es-ES" w:eastAsia="es-ES"/>
    </w:rPr>
  </w:style>
  <w:style w:type="character" w:customStyle="1" w:styleId="y2iqfc">
    <w:name w:val="y2iqfc"/>
    <w:basedOn w:val="Fuentedeprrafopredeter"/>
    <w:rsid w:val="005F7534"/>
  </w:style>
  <w:style w:type="character" w:customStyle="1" w:styleId="s38c10080">
    <w:name w:val="s38c10080"/>
    <w:basedOn w:val="Fuentedeprrafopredeter"/>
    <w:rsid w:val="005F7534"/>
  </w:style>
  <w:style w:type="character" w:customStyle="1" w:styleId="wordhighlighted">
    <w:name w:val="wordhighlighted"/>
    <w:basedOn w:val="Fuentedeprrafopredeter"/>
    <w:rsid w:val="005F7534"/>
  </w:style>
  <w:style w:type="character" w:customStyle="1" w:styleId="s7d2086b4">
    <w:name w:val="s7d2086b4"/>
    <w:basedOn w:val="Fuentedeprrafopredeter"/>
    <w:rsid w:val="005F7534"/>
  </w:style>
  <w:style w:type="character" w:customStyle="1" w:styleId="sea881cdf">
    <w:name w:val="sea881cdf"/>
    <w:basedOn w:val="Fuentedeprrafopredeter"/>
    <w:rsid w:val="008029B3"/>
  </w:style>
  <w:style w:type="paragraph" w:customStyle="1" w:styleId="Textonotapie1">
    <w:name w:val="Texto nota pie1"/>
    <w:basedOn w:val="Normal"/>
    <w:semiHidden/>
    <w:rsid w:val="007D683C"/>
    <w:pPr>
      <w:widowControl/>
      <w:adjustRightInd/>
      <w:spacing w:line="240" w:lineRule="auto"/>
      <w:jc w:val="left"/>
      <w:textAlignment w:val="auto"/>
    </w:pPr>
    <w:rPr>
      <w:rFonts w:ascii="Times New Roman" w:hAnsi="Times New Roman"/>
      <w:lang w:val="es-ES_tradnl" w:eastAsia="es-ES"/>
    </w:rPr>
  </w:style>
  <w:style w:type="table" w:styleId="Tablaconcuadrcula4-nfasis5">
    <w:name w:val="Grid Table 4 Accent 5"/>
    <w:basedOn w:val="Tablanormal"/>
    <w:uiPriority w:val="49"/>
    <w:rsid w:val="000E780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2891">
      <w:bodyDiv w:val="1"/>
      <w:marLeft w:val="0"/>
      <w:marRight w:val="0"/>
      <w:marTop w:val="0"/>
      <w:marBottom w:val="0"/>
      <w:divBdr>
        <w:top w:val="none" w:sz="0" w:space="0" w:color="auto"/>
        <w:left w:val="none" w:sz="0" w:space="0" w:color="auto"/>
        <w:bottom w:val="none" w:sz="0" w:space="0" w:color="auto"/>
        <w:right w:val="none" w:sz="0" w:space="0" w:color="auto"/>
      </w:divBdr>
    </w:div>
    <w:div w:id="42020072">
      <w:bodyDiv w:val="1"/>
      <w:marLeft w:val="0"/>
      <w:marRight w:val="0"/>
      <w:marTop w:val="0"/>
      <w:marBottom w:val="0"/>
      <w:divBdr>
        <w:top w:val="none" w:sz="0" w:space="0" w:color="auto"/>
        <w:left w:val="none" w:sz="0" w:space="0" w:color="auto"/>
        <w:bottom w:val="none" w:sz="0" w:space="0" w:color="auto"/>
        <w:right w:val="none" w:sz="0" w:space="0" w:color="auto"/>
      </w:divBdr>
      <w:divsChild>
        <w:div w:id="908926297">
          <w:marLeft w:val="0"/>
          <w:marRight w:val="0"/>
          <w:marTop w:val="0"/>
          <w:marBottom w:val="0"/>
          <w:divBdr>
            <w:top w:val="none" w:sz="0" w:space="0" w:color="auto"/>
            <w:left w:val="none" w:sz="0" w:space="0" w:color="auto"/>
            <w:bottom w:val="none" w:sz="0" w:space="0" w:color="auto"/>
            <w:right w:val="none" w:sz="0" w:space="0" w:color="auto"/>
          </w:divBdr>
          <w:divsChild>
            <w:div w:id="698313203">
              <w:marLeft w:val="0"/>
              <w:marRight w:val="0"/>
              <w:marTop w:val="0"/>
              <w:marBottom w:val="0"/>
              <w:divBdr>
                <w:top w:val="none" w:sz="0" w:space="0" w:color="auto"/>
                <w:left w:val="none" w:sz="0" w:space="0" w:color="auto"/>
                <w:bottom w:val="none" w:sz="0" w:space="0" w:color="auto"/>
                <w:right w:val="none" w:sz="0" w:space="0" w:color="auto"/>
              </w:divBdr>
              <w:divsChild>
                <w:div w:id="2007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0392">
      <w:bodyDiv w:val="1"/>
      <w:marLeft w:val="0"/>
      <w:marRight w:val="0"/>
      <w:marTop w:val="0"/>
      <w:marBottom w:val="0"/>
      <w:divBdr>
        <w:top w:val="none" w:sz="0" w:space="0" w:color="auto"/>
        <w:left w:val="none" w:sz="0" w:space="0" w:color="auto"/>
        <w:bottom w:val="none" w:sz="0" w:space="0" w:color="auto"/>
        <w:right w:val="none" w:sz="0" w:space="0" w:color="auto"/>
      </w:divBdr>
    </w:div>
    <w:div w:id="104543486">
      <w:bodyDiv w:val="1"/>
      <w:marLeft w:val="0"/>
      <w:marRight w:val="0"/>
      <w:marTop w:val="0"/>
      <w:marBottom w:val="0"/>
      <w:divBdr>
        <w:top w:val="none" w:sz="0" w:space="0" w:color="auto"/>
        <w:left w:val="none" w:sz="0" w:space="0" w:color="auto"/>
        <w:bottom w:val="none" w:sz="0" w:space="0" w:color="auto"/>
        <w:right w:val="none" w:sz="0" w:space="0" w:color="auto"/>
      </w:divBdr>
      <w:divsChild>
        <w:div w:id="1550653065">
          <w:marLeft w:val="0"/>
          <w:marRight w:val="0"/>
          <w:marTop w:val="0"/>
          <w:marBottom w:val="0"/>
          <w:divBdr>
            <w:top w:val="none" w:sz="0" w:space="0" w:color="auto"/>
            <w:left w:val="none" w:sz="0" w:space="0" w:color="auto"/>
            <w:bottom w:val="none" w:sz="0" w:space="0" w:color="auto"/>
            <w:right w:val="none" w:sz="0" w:space="0" w:color="auto"/>
          </w:divBdr>
          <w:divsChild>
            <w:div w:id="1032265849">
              <w:marLeft w:val="0"/>
              <w:marRight w:val="0"/>
              <w:marTop w:val="0"/>
              <w:marBottom w:val="0"/>
              <w:divBdr>
                <w:top w:val="none" w:sz="0" w:space="0" w:color="auto"/>
                <w:left w:val="none" w:sz="0" w:space="0" w:color="auto"/>
                <w:bottom w:val="none" w:sz="0" w:space="0" w:color="auto"/>
                <w:right w:val="none" w:sz="0" w:space="0" w:color="auto"/>
              </w:divBdr>
              <w:divsChild>
                <w:div w:id="724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3935">
      <w:bodyDiv w:val="1"/>
      <w:marLeft w:val="0"/>
      <w:marRight w:val="0"/>
      <w:marTop w:val="0"/>
      <w:marBottom w:val="0"/>
      <w:divBdr>
        <w:top w:val="none" w:sz="0" w:space="0" w:color="auto"/>
        <w:left w:val="none" w:sz="0" w:space="0" w:color="auto"/>
        <w:bottom w:val="none" w:sz="0" w:space="0" w:color="auto"/>
        <w:right w:val="none" w:sz="0" w:space="0" w:color="auto"/>
      </w:divBdr>
      <w:divsChild>
        <w:div w:id="1922644479">
          <w:marLeft w:val="0"/>
          <w:marRight w:val="0"/>
          <w:marTop w:val="0"/>
          <w:marBottom w:val="0"/>
          <w:divBdr>
            <w:top w:val="none" w:sz="0" w:space="0" w:color="auto"/>
            <w:left w:val="none" w:sz="0" w:space="0" w:color="auto"/>
            <w:bottom w:val="none" w:sz="0" w:space="0" w:color="auto"/>
            <w:right w:val="none" w:sz="0" w:space="0" w:color="auto"/>
          </w:divBdr>
          <w:divsChild>
            <w:div w:id="1299917673">
              <w:marLeft w:val="0"/>
              <w:marRight w:val="0"/>
              <w:marTop w:val="0"/>
              <w:marBottom w:val="0"/>
              <w:divBdr>
                <w:top w:val="none" w:sz="0" w:space="0" w:color="auto"/>
                <w:left w:val="none" w:sz="0" w:space="0" w:color="auto"/>
                <w:bottom w:val="none" w:sz="0" w:space="0" w:color="auto"/>
                <w:right w:val="none" w:sz="0" w:space="0" w:color="auto"/>
              </w:divBdr>
              <w:divsChild>
                <w:div w:id="20504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5315">
      <w:bodyDiv w:val="1"/>
      <w:marLeft w:val="0"/>
      <w:marRight w:val="0"/>
      <w:marTop w:val="0"/>
      <w:marBottom w:val="0"/>
      <w:divBdr>
        <w:top w:val="none" w:sz="0" w:space="0" w:color="auto"/>
        <w:left w:val="none" w:sz="0" w:space="0" w:color="auto"/>
        <w:bottom w:val="none" w:sz="0" w:space="0" w:color="auto"/>
        <w:right w:val="none" w:sz="0" w:space="0" w:color="auto"/>
      </w:divBdr>
    </w:div>
    <w:div w:id="162280706">
      <w:bodyDiv w:val="1"/>
      <w:marLeft w:val="0"/>
      <w:marRight w:val="0"/>
      <w:marTop w:val="0"/>
      <w:marBottom w:val="0"/>
      <w:divBdr>
        <w:top w:val="none" w:sz="0" w:space="0" w:color="auto"/>
        <w:left w:val="none" w:sz="0" w:space="0" w:color="auto"/>
        <w:bottom w:val="none" w:sz="0" w:space="0" w:color="auto"/>
        <w:right w:val="none" w:sz="0" w:space="0" w:color="auto"/>
      </w:divBdr>
    </w:div>
    <w:div w:id="163011443">
      <w:bodyDiv w:val="1"/>
      <w:marLeft w:val="0"/>
      <w:marRight w:val="0"/>
      <w:marTop w:val="0"/>
      <w:marBottom w:val="0"/>
      <w:divBdr>
        <w:top w:val="none" w:sz="0" w:space="0" w:color="auto"/>
        <w:left w:val="none" w:sz="0" w:space="0" w:color="auto"/>
        <w:bottom w:val="none" w:sz="0" w:space="0" w:color="auto"/>
        <w:right w:val="none" w:sz="0" w:space="0" w:color="auto"/>
      </w:divBdr>
    </w:div>
    <w:div w:id="175652858">
      <w:bodyDiv w:val="1"/>
      <w:marLeft w:val="0"/>
      <w:marRight w:val="0"/>
      <w:marTop w:val="0"/>
      <w:marBottom w:val="0"/>
      <w:divBdr>
        <w:top w:val="none" w:sz="0" w:space="0" w:color="auto"/>
        <w:left w:val="none" w:sz="0" w:space="0" w:color="auto"/>
        <w:bottom w:val="none" w:sz="0" w:space="0" w:color="auto"/>
        <w:right w:val="none" w:sz="0" w:space="0" w:color="auto"/>
      </w:divBdr>
      <w:divsChild>
        <w:div w:id="1466195904">
          <w:marLeft w:val="0"/>
          <w:marRight w:val="0"/>
          <w:marTop w:val="0"/>
          <w:marBottom w:val="0"/>
          <w:divBdr>
            <w:top w:val="none" w:sz="0" w:space="0" w:color="auto"/>
            <w:left w:val="none" w:sz="0" w:space="0" w:color="auto"/>
            <w:bottom w:val="none" w:sz="0" w:space="0" w:color="auto"/>
            <w:right w:val="none" w:sz="0" w:space="0" w:color="auto"/>
          </w:divBdr>
          <w:divsChild>
            <w:div w:id="1972444404">
              <w:marLeft w:val="0"/>
              <w:marRight w:val="0"/>
              <w:marTop w:val="0"/>
              <w:marBottom w:val="0"/>
              <w:divBdr>
                <w:top w:val="none" w:sz="0" w:space="0" w:color="auto"/>
                <w:left w:val="none" w:sz="0" w:space="0" w:color="auto"/>
                <w:bottom w:val="none" w:sz="0" w:space="0" w:color="auto"/>
                <w:right w:val="none" w:sz="0" w:space="0" w:color="auto"/>
              </w:divBdr>
              <w:divsChild>
                <w:div w:id="510140791">
                  <w:marLeft w:val="0"/>
                  <w:marRight w:val="0"/>
                  <w:marTop w:val="0"/>
                  <w:marBottom w:val="0"/>
                  <w:divBdr>
                    <w:top w:val="none" w:sz="0" w:space="0" w:color="auto"/>
                    <w:left w:val="none" w:sz="0" w:space="0" w:color="auto"/>
                    <w:bottom w:val="none" w:sz="0" w:space="0" w:color="auto"/>
                    <w:right w:val="none" w:sz="0" w:space="0" w:color="auto"/>
                  </w:divBdr>
                  <w:divsChild>
                    <w:div w:id="1341935475">
                      <w:marLeft w:val="0"/>
                      <w:marRight w:val="0"/>
                      <w:marTop w:val="0"/>
                      <w:marBottom w:val="0"/>
                      <w:divBdr>
                        <w:top w:val="none" w:sz="0" w:space="0" w:color="auto"/>
                        <w:left w:val="none" w:sz="0" w:space="0" w:color="auto"/>
                        <w:bottom w:val="none" w:sz="0" w:space="0" w:color="auto"/>
                        <w:right w:val="none" w:sz="0" w:space="0" w:color="auto"/>
                      </w:divBdr>
                      <w:divsChild>
                        <w:div w:id="427820114">
                          <w:marLeft w:val="0"/>
                          <w:marRight w:val="0"/>
                          <w:marTop w:val="0"/>
                          <w:marBottom w:val="0"/>
                          <w:divBdr>
                            <w:top w:val="none" w:sz="0" w:space="0" w:color="auto"/>
                            <w:left w:val="none" w:sz="0" w:space="0" w:color="auto"/>
                            <w:bottom w:val="none" w:sz="0" w:space="0" w:color="auto"/>
                            <w:right w:val="none" w:sz="0" w:space="0" w:color="auto"/>
                          </w:divBdr>
                          <w:divsChild>
                            <w:div w:id="1321155135">
                              <w:marLeft w:val="0"/>
                              <w:marRight w:val="0"/>
                              <w:marTop w:val="0"/>
                              <w:marBottom w:val="0"/>
                              <w:divBdr>
                                <w:top w:val="none" w:sz="0" w:space="0" w:color="auto"/>
                                <w:left w:val="none" w:sz="0" w:space="0" w:color="auto"/>
                                <w:bottom w:val="none" w:sz="0" w:space="0" w:color="auto"/>
                                <w:right w:val="none" w:sz="0" w:space="0" w:color="auto"/>
                              </w:divBdr>
                              <w:divsChild>
                                <w:div w:id="711729923">
                                  <w:marLeft w:val="0"/>
                                  <w:marRight w:val="0"/>
                                  <w:marTop w:val="0"/>
                                  <w:marBottom w:val="0"/>
                                  <w:divBdr>
                                    <w:top w:val="none" w:sz="0" w:space="0" w:color="auto"/>
                                    <w:left w:val="none" w:sz="0" w:space="0" w:color="auto"/>
                                    <w:bottom w:val="none" w:sz="0" w:space="0" w:color="auto"/>
                                    <w:right w:val="none" w:sz="0" w:space="0" w:color="auto"/>
                                  </w:divBdr>
                                  <w:divsChild>
                                    <w:div w:id="1402485285">
                                      <w:marLeft w:val="0"/>
                                      <w:marRight w:val="0"/>
                                      <w:marTop w:val="0"/>
                                      <w:marBottom w:val="0"/>
                                      <w:divBdr>
                                        <w:top w:val="none" w:sz="0" w:space="0" w:color="auto"/>
                                        <w:left w:val="none" w:sz="0" w:space="0" w:color="auto"/>
                                        <w:bottom w:val="none" w:sz="0" w:space="0" w:color="auto"/>
                                        <w:right w:val="none" w:sz="0" w:space="0" w:color="auto"/>
                                      </w:divBdr>
                                      <w:divsChild>
                                        <w:div w:id="99954643">
                                          <w:marLeft w:val="0"/>
                                          <w:marRight w:val="0"/>
                                          <w:marTop w:val="0"/>
                                          <w:marBottom w:val="0"/>
                                          <w:divBdr>
                                            <w:top w:val="none" w:sz="0" w:space="0" w:color="auto"/>
                                            <w:left w:val="none" w:sz="0" w:space="0" w:color="auto"/>
                                            <w:bottom w:val="none" w:sz="0" w:space="0" w:color="auto"/>
                                            <w:right w:val="none" w:sz="0" w:space="0" w:color="auto"/>
                                          </w:divBdr>
                                          <w:divsChild>
                                            <w:div w:id="1516573070">
                                              <w:marLeft w:val="0"/>
                                              <w:marRight w:val="0"/>
                                              <w:marTop w:val="0"/>
                                              <w:marBottom w:val="0"/>
                                              <w:divBdr>
                                                <w:top w:val="none" w:sz="0" w:space="0" w:color="auto"/>
                                                <w:left w:val="none" w:sz="0" w:space="0" w:color="auto"/>
                                                <w:bottom w:val="none" w:sz="0" w:space="0" w:color="auto"/>
                                                <w:right w:val="none" w:sz="0" w:space="0" w:color="auto"/>
                                              </w:divBdr>
                                              <w:divsChild>
                                                <w:div w:id="995065307">
                                                  <w:marLeft w:val="0"/>
                                                  <w:marRight w:val="0"/>
                                                  <w:marTop w:val="0"/>
                                                  <w:marBottom w:val="0"/>
                                                  <w:divBdr>
                                                    <w:top w:val="none" w:sz="0" w:space="0" w:color="auto"/>
                                                    <w:left w:val="none" w:sz="0" w:space="0" w:color="auto"/>
                                                    <w:bottom w:val="none" w:sz="0" w:space="0" w:color="auto"/>
                                                    <w:right w:val="none" w:sz="0" w:space="0" w:color="auto"/>
                                                  </w:divBdr>
                                                  <w:divsChild>
                                                    <w:div w:id="3727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369804">
      <w:bodyDiv w:val="1"/>
      <w:marLeft w:val="0"/>
      <w:marRight w:val="0"/>
      <w:marTop w:val="0"/>
      <w:marBottom w:val="0"/>
      <w:divBdr>
        <w:top w:val="none" w:sz="0" w:space="0" w:color="auto"/>
        <w:left w:val="none" w:sz="0" w:space="0" w:color="auto"/>
        <w:bottom w:val="none" w:sz="0" w:space="0" w:color="auto"/>
        <w:right w:val="none" w:sz="0" w:space="0" w:color="auto"/>
      </w:divBdr>
    </w:div>
    <w:div w:id="248736484">
      <w:bodyDiv w:val="1"/>
      <w:marLeft w:val="0"/>
      <w:marRight w:val="0"/>
      <w:marTop w:val="0"/>
      <w:marBottom w:val="0"/>
      <w:divBdr>
        <w:top w:val="none" w:sz="0" w:space="0" w:color="auto"/>
        <w:left w:val="none" w:sz="0" w:space="0" w:color="auto"/>
        <w:bottom w:val="none" w:sz="0" w:space="0" w:color="auto"/>
        <w:right w:val="none" w:sz="0" w:space="0" w:color="auto"/>
      </w:divBdr>
      <w:divsChild>
        <w:div w:id="1595093720">
          <w:marLeft w:val="0"/>
          <w:marRight w:val="0"/>
          <w:marTop w:val="0"/>
          <w:marBottom w:val="0"/>
          <w:divBdr>
            <w:top w:val="none" w:sz="0" w:space="0" w:color="auto"/>
            <w:left w:val="none" w:sz="0" w:space="0" w:color="auto"/>
            <w:bottom w:val="none" w:sz="0" w:space="0" w:color="auto"/>
            <w:right w:val="none" w:sz="0" w:space="0" w:color="auto"/>
          </w:divBdr>
          <w:divsChild>
            <w:div w:id="2121099360">
              <w:marLeft w:val="0"/>
              <w:marRight w:val="0"/>
              <w:marTop w:val="0"/>
              <w:marBottom w:val="0"/>
              <w:divBdr>
                <w:top w:val="none" w:sz="0" w:space="0" w:color="auto"/>
                <w:left w:val="none" w:sz="0" w:space="0" w:color="auto"/>
                <w:bottom w:val="none" w:sz="0" w:space="0" w:color="auto"/>
                <w:right w:val="none" w:sz="0" w:space="0" w:color="auto"/>
              </w:divBdr>
              <w:divsChild>
                <w:div w:id="1768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10112">
      <w:bodyDiv w:val="1"/>
      <w:marLeft w:val="0"/>
      <w:marRight w:val="0"/>
      <w:marTop w:val="0"/>
      <w:marBottom w:val="0"/>
      <w:divBdr>
        <w:top w:val="none" w:sz="0" w:space="0" w:color="auto"/>
        <w:left w:val="none" w:sz="0" w:space="0" w:color="auto"/>
        <w:bottom w:val="none" w:sz="0" w:space="0" w:color="auto"/>
        <w:right w:val="none" w:sz="0" w:space="0" w:color="auto"/>
      </w:divBdr>
      <w:divsChild>
        <w:div w:id="610209830">
          <w:marLeft w:val="0"/>
          <w:marRight w:val="0"/>
          <w:marTop w:val="0"/>
          <w:marBottom w:val="0"/>
          <w:divBdr>
            <w:top w:val="none" w:sz="0" w:space="0" w:color="auto"/>
            <w:left w:val="none" w:sz="0" w:space="0" w:color="auto"/>
            <w:bottom w:val="none" w:sz="0" w:space="0" w:color="auto"/>
            <w:right w:val="none" w:sz="0" w:space="0" w:color="auto"/>
          </w:divBdr>
          <w:divsChild>
            <w:div w:id="2010447966">
              <w:marLeft w:val="0"/>
              <w:marRight w:val="0"/>
              <w:marTop w:val="0"/>
              <w:marBottom w:val="0"/>
              <w:divBdr>
                <w:top w:val="none" w:sz="0" w:space="0" w:color="auto"/>
                <w:left w:val="none" w:sz="0" w:space="0" w:color="auto"/>
                <w:bottom w:val="none" w:sz="0" w:space="0" w:color="auto"/>
                <w:right w:val="none" w:sz="0" w:space="0" w:color="auto"/>
              </w:divBdr>
              <w:divsChild>
                <w:div w:id="128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0730">
      <w:bodyDiv w:val="1"/>
      <w:marLeft w:val="0"/>
      <w:marRight w:val="0"/>
      <w:marTop w:val="0"/>
      <w:marBottom w:val="0"/>
      <w:divBdr>
        <w:top w:val="none" w:sz="0" w:space="0" w:color="auto"/>
        <w:left w:val="none" w:sz="0" w:space="0" w:color="auto"/>
        <w:bottom w:val="none" w:sz="0" w:space="0" w:color="auto"/>
        <w:right w:val="none" w:sz="0" w:space="0" w:color="auto"/>
      </w:divBdr>
      <w:divsChild>
        <w:div w:id="798180517">
          <w:marLeft w:val="0"/>
          <w:marRight w:val="0"/>
          <w:marTop w:val="0"/>
          <w:marBottom w:val="0"/>
          <w:divBdr>
            <w:top w:val="none" w:sz="0" w:space="0" w:color="auto"/>
            <w:left w:val="none" w:sz="0" w:space="0" w:color="auto"/>
            <w:bottom w:val="none" w:sz="0" w:space="0" w:color="auto"/>
            <w:right w:val="none" w:sz="0" w:space="0" w:color="auto"/>
          </w:divBdr>
          <w:divsChild>
            <w:div w:id="370961517">
              <w:marLeft w:val="0"/>
              <w:marRight w:val="0"/>
              <w:marTop w:val="0"/>
              <w:marBottom w:val="0"/>
              <w:divBdr>
                <w:top w:val="none" w:sz="0" w:space="0" w:color="auto"/>
                <w:left w:val="none" w:sz="0" w:space="0" w:color="auto"/>
                <w:bottom w:val="none" w:sz="0" w:space="0" w:color="auto"/>
                <w:right w:val="none" w:sz="0" w:space="0" w:color="auto"/>
              </w:divBdr>
              <w:divsChild>
                <w:div w:id="12448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3559">
      <w:bodyDiv w:val="1"/>
      <w:marLeft w:val="0"/>
      <w:marRight w:val="0"/>
      <w:marTop w:val="0"/>
      <w:marBottom w:val="0"/>
      <w:divBdr>
        <w:top w:val="none" w:sz="0" w:space="0" w:color="auto"/>
        <w:left w:val="none" w:sz="0" w:space="0" w:color="auto"/>
        <w:bottom w:val="none" w:sz="0" w:space="0" w:color="auto"/>
        <w:right w:val="none" w:sz="0" w:space="0" w:color="auto"/>
      </w:divBdr>
    </w:div>
    <w:div w:id="261230192">
      <w:bodyDiv w:val="1"/>
      <w:marLeft w:val="0"/>
      <w:marRight w:val="0"/>
      <w:marTop w:val="0"/>
      <w:marBottom w:val="0"/>
      <w:divBdr>
        <w:top w:val="none" w:sz="0" w:space="0" w:color="auto"/>
        <w:left w:val="none" w:sz="0" w:space="0" w:color="auto"/>
        <w:bottom w:val="none" w:sz="0" w:space="0" w:color="auto"/>
        <w:right w:val="none" w:sz="0" w:space="0" w:color="auto"/>
      </w:divBdr>
    </w:div>
    <w:div w:id="274365541">
      <w:bodyDiv w:val="1"/>
      <w:marLeft w:val="0"/>
      <w:marRight w:val="0"/>
      <w:marTop w:val="0"/>
      <w:marBottom w:val="0"/>
      <w:divBdr>
        <w:top w:val="none" w:sz="0" w:space="0" w:color="auto"/>
        <w:left w:val="none" w:sz="0" w:space="0" w:color="auto"/>
        <w:bottom w:val="none" w:sz="0" w:space="0" w:color="auto"/>
        <w:right w:val="none" w:sz="0" w:space="0" w:color="auto"/>
      </w:divBdr>
    </w:div>
    <w:div w:id="306280608">
      <w:bodyDiv w:val="1"/>
      <w:marLeft w:val="0"/>
      <w:marRight w:val="0"/>
      <w:marTop w:val="0"/>
      <w:marBottom w:val="0"/>
      <w:divBdr>
        <w:top w:val="none" w:sz="0" w:space="0" w:color="auto"/>
        <w:left w:val="none" w:sz="0" w:space="0" w:color="auto"/>
        <w:bottom w:val="none" w:sz="0" w:space="0" w:color="auto"/>
        <w:right w:val="none" w:sz="0" w:space="0" w:color="auto"/>
      </w:divBdr>
    </w:div>
    <w:div w:id="309019369">
      <w:bodyDiv w:val="1"/>
      <w:marLeft w:val="0"/>
      <w:marRight w:val="0"/>
      <w:marTop w:val="0"/>
      <w:marBottom w:val="0"/>
      <w:divBdr>
        <w:top w:val="none" w:sz="0" w:space="0" w:color="auto"/>
        <w:left w:val="none" w:sz="0" w:space="0" w:color="auto"/>
        <w:bottom w:val="none" w:sz="0" w:space="0" w:color="auto"/>
        <w:right w:val="none" w:sz="0" w:space="0" w:color="auto"/>
      </w:divBdr>
      <w:divsChild>
        <w:div w:id="1401560420">
          <w:marLeft w:val="2400"/>
          <w:marRight w:val="0"/>
          <w:marTop w:val="0"/>
          <w:marBottom w:val="0"/>
          <w:divBdr>
            <w:top w:val="single" w:sz="6" w:space="12" w:color="A7D7F9"/>
            <w:left w:val="single" w:sz="6" w:space="12" w:color="A7D7F9"/>
            <w:bottom w:val="single" w:sz="6" w:space="12" w:color="A7D7F9"/>
            <w:right w:val="single" w:sz="2" w:space="12" w:color="A7D7F9"/>
          </w:divBdr>
          <w:divsChild>
            <w:div w:id="63525445">
              <w:marLeft w:val="0"/>
              <w:marRight w:val="0"/>
              <w:marTop w:val="0"/>
              <w:marBottom w:val="0"/>
              <w:divBdr>
                <w:top w:val="none" w:sz="0" w:space="0" w:color="auto"/>
                <w:left w:val="none" w:sz="0" w:space="0" w:color="auto"/>
                <w:bottom w:val="none" w:sz="0" w:space="0" w:color="auto"/>
                <w:right w:val="none" w:sz="0" w:space="0" w:color="auto"/>
              </w:divBdr>
              <w:divsChild>
                <w:div w:id="227348371">
                  <w:marLeft w:val="0"/>
                  <w:marRight w:val="0"/>
                  <w:marTop w:val="0"/>
                  <w:marBottom w:val="0"/>
                  <w:divBdr>
                    <w:top w:val="none" w:sz="0" w:space="0" w:color="auto"/>
                    <w:left w:val="none" w:sz="0" w:space="0" w:color="auto"/>
                    <w:bottom w:val="none" w:sz="0" w:space="0" w:color="auto"/>
                    <w:right w:val="none" w:sz="0" w:space="0" w:color="auto"/>
                  </w:divBdr>
                  <w:divsChild>
                    <w:div w:id="10989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069768">
      <w:bodyDiv w:val="1"/>
      <w:marLeft w:val="0"/>
      <w:marRight w:val="0"/>
      <w:marTop w:val="0"/>
      <w:marBottom w:val="0"/>
      <w:divBdr>
        <w:top w:val="none" w:sz="0" w:space="0" w:color="auto"/>
        <w:left w:val="none" w:sz="0" w:space="0" w:color="auto"/>
        <w:bottom w:val="none" w:sz="0" w:space="0" w:color="auto"/>
        <w:right w:val="none" w:sz="0" w:space="0" w:color="auto"/>
      </w:divBdr>
      <w:divsChild>
        <w:div w:id="1429697678">
          <w:marLeft w:val="0"/>
          <w:marRight w:val="0"/>
          <w:marTop w:val="0"/>
          <w:marBottom w:val="0"/>
          <w:divBdr>
            <w:top w:val="none" w:sz="0" w:space="0" w:color="auto"/>
            <w:left w:val="none" w:sz="0" w:space="0" w:color="auto"/>
            <w:bottom w:val="none" w:sz="0" w:space="0" w:color="auto"/>
            <w:right w:val="none" w:sz="0" w:space="0" w:color="auto"/>
          </w:divBdr>
          <w:divsChild>
            <w:div w:id="1696076133">
              <w:marLeft w:val="0"/>
              <w:marRight w:val="0"/>
              <w:marTop w:val="0"/>
              <w:marBottom w:val="0"/>
              <w:divBdr>
                <w:top w:val="none" w:sz="0" w:space="0" w:color="auto"/>
                <w:left w:val="none" w:sz="0" w:space="0" w:color="auto"/>
                <w:bottom w:val="none" w:sz="0" w:space="0" w:color="auto"/>
                <w:right w:val="none" w:sz="0" w:space="0" w:color="auto"/>
              </w:divBdr>
              <w:divsChild>
                <w:div w:id="4508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90025">
      <w:bodyDiv w:val="1"/>
      <w:marLeft w:val="0"/>
      <w:marRight w:val="0"/>
      <w:marTop w:val="0"/>
      <w:marBottom w:val="0"/>
      <w:divBdr>
        <w:top w:val="none" w:sz="0" w:space="0" w:color="auto"/>
        <w:left w:val="none" w:sz="0" w:space="0" w:color="auto"/>
        <w:bottom w:val="none" w:sz="0" w:space="0" w:color="auto"/>
        <w:right w:val="none" w:sz="0" w:space="0" w:color="auto"/>
      </w:divBdr>
    </w:div>
    <w:div w:id="332339568">
      <w:bodyDiv w:val="1"/>
      <w:marLeft w:val="0"/>
      <w:marRight w:val="0"/>
      <w:marTop w:val="0"/>
      <w:marBottom w:val="0"/>
      <w:divBdr>
        <w:top w:val="none" w:sz="0" w:space="0" w:color="auto"/>
        <w:left w:val="none" w:sz="0" w:space="0" w:color="auto"/>
        <w:bottom w:val="none" w:sz="0" w:space="0" w:color="auto"/>
        <w:right w:val="none" w:sz="0" w:space="0" w:color="auto"/>
      </w:divBdr>
    </w:div>
    <w:div w:id="341510853">
      <w:bodyDiv w:val="1"/>
      <w:marLeft w:val="0"/>
      <w:marRight w:val="0"/>
      <w:marTop w:val="0"/>
      <w:marBottom w:val="0"/>
      <w:divBdr>
        <w:top w:val="none" w:sz="0" w:space="0" w:color="auto"/>
        <w:left w:val="none" w:sz="0" w:space="0" w:color="auto"/>
        <w:bottom w:val="none" w:sz="0" w:space="0" w:color="auto"/>
        <w:right w:val="none" w:sz="0" w:space="0" w:color="auto"/>
      </w:divBdr>
    </w:div>
    <w:div w:id="365910853">
      <w:bodyDiv w:val="1"/>
      <w:marLeft w:val="0"/>
      <w:marRight w:val="0"/>
      <w:marTop w:val="0"/>
      <w:marBottom w:val="0"/>
      <w:divBdr>
        <w:top w:val="none" w:sz="0" w:space="0" w:color="auto"/>
        <w:left w:val="none" w:sz="0" w:space="0" w:color="auto"/>
        <w:bottom w:val="none" w:sz="0" w:space="0" w:color="auto"/>
        <w:right w:val="none" w:sz="0" w:space="0" w:color="auto"/>
      </w:divBdr>
    </w:div>
    <w:div w:id="373038917">
      <w:bodyDiv w:val="1"/>
      <w:marLeft w:val="0"/>
      <w:marRight w:val="0"/>
      <w:marTop w:val="0"/>
      <w:marBottom w:val="0"/>
      <w:divBdr>
        <w:top w:val="none" w:sz="0" w:space="0" w:color="auto"/>
        <w:left w:val="none" w:sz="0" w:space="0" w:color="auto"/>
        <w:bottom w:val="none" w:sz="0" w:space="0" w:color="auto"/>
        <w:right w:val="none" w:sz="0" w:space="0" w:color="auto"/>
      </w:divBdr>
    </w:div>
    <w:div w:id="373777894">
      <w:bodyDiv w:val="1"/>
      <w:marLeft w:val="0"/>
      <w:marRight w:val="0"/>
      <w:marTop w:val="0"/>
      <w:marBottom w:val="0"/>
      <w:divBdr>
        <w:top w:val="none" w:sz="0" w:space="0" w:color="auto"/>
        <w:left w:val="none" w:sz="0" w:space="0" w:color="auto"/>
        <w:bottom w:val="none" w:sz="0" w:space="0" w:color="auto"/>
        <w:right w:val="none" w:sz="0" w:space="0" w:color="auto"/>
      </w:divBdr>
    </w:div>
    <w:div w:id="375280770">
      <w:bodyDiv w:val="1"/>
      <w:marLeft w:val="0"/>
      <w:marRight w:val="0"/>
      <w:marTop w:val="0"/>
      <w:marBottom w:val="0"/>
      <w:divBdr>
        <w:top w:val="none" w:sz="0" w:space="0" w:color="auto"/>
        <w:left w:val="none" w:sz="0" w:space="0" w:color="auto"/>
        <w:bottom w:val="none" w:sz="0" w:space="0" w:color="auto"/>
        <w:right w:val="none" w:sz="0" w:space="0" w:color="auto"/>
      </w:divBdr>
      <w:divsChild>
        <w:div w:id="1618173922">
          <w:marLeft w:val="0"/>
          <w:marRight w:val="0"/>
          <w:marTop w:val="0"/>
          <w:marBottom w:val="0"/>
          <w:divBdr>
            <w:top w:val="none" w:sz="0" w:space="0" w:color="auto"/>
            <w:left w:val="none" w:sz="0" w:space="0" w:color="auto"/>
            <w:bottom w:val="none" w:sz="0" w:space="0" w:color="auto"/>
            <w:right w:val="none" w:sz="0" w:space="0" w:color="auto"/>
          </w:divBdr>
          <w:divsChild>
            <w:div w:id="1122308523">
              <w:marLeft w:val="0"/>
              <w:marRight w:val="0"/>
              <w:marTop w:val="0"/>
              <w:marBottom w:val="0"/>
              <w:divBdr>
                <w:top w:val="none" w:sz="0" w:space="0" w:color="auto"/>
                <w:left w:val="none" w:sz="0" w:space="0" w:color="auto"/>
                <w:bottom w:val="none" w:sz="0" w:space="0" w:color="auto"/>
                <w:right w:val="none" w:sz="0" w:space="0" w:color="auto"/>
              </w:divBdr>
              <w:divsChild>
                <w:div w:id="3771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7958">
      <w:bodyDiv w:val="1"/>
      <w:marLeft w:val="0"/>
      <w:marRight w:val="0"/>
      <w:marTop w:val="0"/>
      <w:marBottom w:val="0"/>
      <w:divBdr>
        <w:top w:val="none" w:sz="0" w:space="0" w:color="auto"/>
        <w:left w:val="none" w:sz="0" w:space="0" w:color="auto"/>
        <w:bottom w:val="none" w:sz="0" w:space="0" w:color="auto"/>
        <w:right w:val="none" w:sz="0" w:space="0" w:color="auto"/>
      </w:divBdr>
      <w:divsChild>
        <w:div w:id="1589775078">
          <w:marLeft w:val="0"/>
          <w:marRight w:val="0"/>
          <w:marTop w:val="0"/>
          <w:marBottom w:val="0"/>
          <w:divBdr>
            <w:top w:val="none" w:sz="0" w:space="0" w:color="auto"/>
            <w:left w:val="none" w:sz="0" w:space="0" w:color="auto"/>
            <w:bottom w:val="none" w:sz="0" w:space="0" w:color="auto"/>
            <w:right w:val="none" w:sz="0" w:space="0" w:color="auto"/>
          </w:divBdr>
          <w:divsChild>
            <w:div w:id="1696535682">
              <w:marLeft w:val="0"/>
              <w:marRight w:val="0"/>
              <w:marTop w:val="0"/>
              <w:marBottom w:val="0"/>
              <w:divBdr>
                <w:top w:val="none" w:sz="0" w:space="0" w:color="auto"/>
                <w:left w:val="none" w:sz="0" w:space="0" w:color="auto"/>
                <w:bottom w:val="none" w:sz="0" w:space="0" w:color="auto"/>
                <w:right w:val="none" w:sz="0" w:space="0" w:color="auto"/>
              </w:divBdr>
              <w:divsChild>
                <w:div w:id="9750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700">
      <w:bodyDiv w:val="1"/>
      <w:marLeft w:val="0"/>
      <w:marRight w:val="0"/>
      <w:marTop w:val="0"/>
      <w:marBottom w:val="0"/>
      <w:divBdr>
        <w:top w:val="none" w:sz="0" w:space="0" w:color="auto"/>
        <w:left w:val="none" w:sz="0" w:space="0" w:color="auto"/>
        <w:bottom w:val="none" w:sz="0" w:space="0" w:color="auto"/>
        <w:right w:val="none" w:sz="0" w:space="0" w:color="auto"/>
      </w:divBdr>
    </w:div>
    <w:div w:id="419983722">
      <w:bodyDiv w:val="1"/>
      <w:marLeft w:val="0"/>
      <w:marRight w:val="0"/>
      <w:marTop w:val="0"/>
      <w:marBottom w:val="0"/>
      <w:divBdr>
        <w:top w:val="none" w:sz="0" w:space="0" w:color="auto"/>
        <w:left w:val="none" w:sz="0" w:space="0" w:color="auto"/>
        <w:bottom w:val="none" w:sz="0" w:space="0" w:color="auto"/>
        <w:right w:val="none" w:sz="0" w:space="0" w:color="auto"/>
      </w:divBdr>
    </w:div>
    <w:div w:id="426922863">
      <w:bodyDiv w:val="1"/>
      <w:marLeft w:val="0"/>
      <w:marRight w:val="0"/>
      <w:marTop w:val="0"/>
      <w:marBottom w:val="0"/>
      <w:divBdr>
        <w:top w:val="none" w:sz="0" w:space="0" w:color="auto"/>
        <w:left w:val="none" w:sz="0" w:space="0" w:color="auto"/>
        <w:bottom w:val="none" w:sz="0" w:space="0" w:color="auto"/>
        <w:right w:val="none" w:sz="0" w:space="0" w:color="auto"/>
      </w:divBdr>
    </w:div>
    <w:div w:id="446579586">
      <w:bodyDiv w:val="1"/>
      <w:marLeft w:val="0"/>
      <w:marRight w:val="0"/>
      <w:marTop w:val="0"/>
      <w:marBottom w:val="0"/>
      <w:divBdr>
        <w:top w:val="none" w:sz="0" w:space="0" w:color="auto"/>
        <w:left w:val="none" w:sz="0" w:space="0" w:color="auto"/>
        <w:bottom w:val="none" w:sz="0" w:space="0" w:color="auto"/>
        <w:right w:val="none" w:sz="0" w:space="0" w:color="auto"/>
      </w:divBdr>
    </w:div>
    <w:div w:id="458912118">
      <w:bodyDiv w:val="1"/>
      <w:marLeft w:val="0"/>
      <w:marRight w:val="0"/>
      <w:marTop w:val="0"/>
      <w:marBottom w:val="0"/>
      <w:divBdr>
        <w:top w:val="none" w:sz="0" w:space="0" w:color="auto"/>
        <w:left w:val="none" w:sz="0" w:space="0" w:color="auto"/>
        <w:bottom w:val="none" w:sz="0" w:space="0" w:color="auto"/>
        <w:right w:val="none" w:sz="0" w:space="0" w:color="auto"/>
      </w:divBdr>
    </w:div>
    <w:div w:id="477456785">
      <w:bodyDiv w:val="1"/>
      <w:marLeft w:val="0"/>
      <w:marRight w:val="0"/>
      <w:marTop w:val="0"/>
      <w:marBottom w:val="0"/>
      <w:divBdr>
        <w:top w:val="none" w:sz="0" w:space="0" w:color="auto"/>
        <w:left w:val="none" w:sz="0" w:space="0" w:color="auto"/>
        <w:bottom w:val="none" w:sz="0" w:space="0" w:color="auto"/>
        <w:right w:val="none" w:sz="0" w:space="0" w:color="auto"/>
      </w:divBdr>
      <w:divsChild>
        <w:div w:id="149104160">
          <w:marLeft w:val="0"/>
          <w:marRight w:val="0"/>
          <w:marTop w:val="0"/>
          <w:marBottom w:val="0"/>
          <w:divBdr>
            <w:top w:val="none" w:sz="0" w:space="0" w:color="auto"/>
            <w:left w:val="none" w:sz="0" w:space="0" w:color="auto"/>
            <w:bottom w:val="none" w:sz="0" w:space="0" w:color="auto"/>
            <w:right w:val="none" w:sz="0" w:space="0" w:color="auto"/>
          </w:divBdr>
          <w:divsChild>
            <w:div w:id="711077134">
              <w:marLeft w:val="0"/>
              <w:marRight w:val="0"/>
              <w:marTop w:val="0"/>
              <w:marBottom w:val="0"/>
              <w:divBdr>
                <w:top w:val="none" w:sz="0" w:space="0" w:color="auto"/>
                <w:left w:val="none" w:sz="0" w:space="0" w:color="auto"/>
                <w:bottom w:val="none" w:sz="0" w:space="0" w:color="auto"/>
                <w:right w:val="none" w:sz="0" w:space="0" w:color="auto"/>
              </w:divBdr>
              <w:divsChild>
                <w:div w:id="12746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8554">
      <w:bodyDiv w:val="1"/>
      <w:marLeft w:val="0"/>
      <w:marRight w:val="0"/>
      <w:marTop w:val="0"/>
      <w:marBottom w:val="0"/>
      <w:divBdr>
        <w:top w:val="none" w:sz="0" w:space="0" w:color="auto"/>
        <w:left w:val="none" w:sz="0" w:space="0" w:color="auto"/>
        <w:bottom w:val="none" w:sz="0" w:space="0" w:color="auto"/>
        <w:right w:val="none" w:sz="0" w:space="0" w:color="auto"/>
      </w:divBdr>
      <w:divsChild>
        <w:div w:id="2078430942">
          <w:marLeft w:val="0"/>
          <w:marRight w:val="0"/>
          <w:marTop w:val="0"/>
          <w:marBottom w:val="0"/>
          <w:divBdr>
            <w:top w:val="none" w:sz="0" w:space="0" w:color="auto"/>
            <w:left w:val="none" w:sz="0" w:space="0" w:color="auto"/>
            <w:bottom w:val="none" w:sz="0" w:space="0" w:color="auto"/>
            <w:right w:val="none" w:sz="0" w:space="0" w:color="auto"/>
          </w:divBdr>
          <w:divsChild>
            <w:div w:id="824974004">
              <w:marLeft w:val="0"/>
              <w:marRight w:val="0"/>
              <w:marTop w:val="0"/>
              <w:marBottom w:val="0"/>
              <w:divBdr>
                <w:top w:val="none" w:sz="0" w:space="0" w:color="auto"/>
                <w:left w:val="none" w:sz="0" w:space="0" w:color="auto"/>
                <w:bottom w:val="none" w:sz="0" w:space="0" w:color="auto"/>
                <w:right w:val="none" w:sz="0" w:space="0" w:color="auto"/>
              </w:divBdr>
              <w:divsChild>
                <w:div w:id="7723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569">
      <w:bodyDiv w:val="1"/>
      <w:marLeft w:val="0"/>
      <w:marRight w:val="0"/>
      <w:marTop w:val="0"/>
      <w:marBottom w:val="0"/>
      <w:divBdr>
        <w:top w:val="none" w:sz="0" w:space="0" w:color="auto"/>
        <w:left w:val="none" w:sz="0" w:space="0" w:color="auto"/>
        <w:bottom w:val="none" w:sz="0" w:space="0" w:color="auto"/>
        <w:right w:val="none" w:sz="0" w:space="0" w:color="auto"/>
      </w:divBdr>
    </w:div>
    <w:div w:id="515117607">
      <w:bodyDiv w:val="1"/>
      <w:marLeft w:val="0"/>
      <w:marRight w:val="0"/>
      <w:marTop w:val="0"/>
      <w:marBottom w:val="0"/>
      <w:divBdr>
        <w:top w:val="none" w:sz="0" w:space="0" w:color="auto"/>
        <w:left w:val="none" w:sz="0" w:space="0" w:color="auto"/>
        <w:bottom w:val="none" w:sz="0" w:space="0" w:color="auto"/>
        <w:right w:val="none" w:sz="0" w:space="0" w:color="auto"/>
      </w:divBdr>
    </w:div>
    <w:div w:id="529805483">
      <w:bodyDiv w:val="1"/>
      <w:marLeft w:val="0"/>
      <w:marRight w:val="0"/>
      <w:marTop w:val="0"/>
      <w:marBottom w:val="0"/>
      <w:divBdr>
        <w:top w:val="none" w:sz="0" w:space="0" w:color="auto"/>
        <w:left w:val="none" w:sz="0" w:space="0" w:color="auto"/>
        <w:bottom w:val="none" w:sz="0" w:space="0" w:color="auto"/>
        <w:right w:val="none" w:sz="0" w:space="0" w:color="auto"/>
      </w:divBdr>
    </w:div>
    <w:div w:id="530263174">
      <w:bodyDiv w:val="1"/>
      <w:marLeft w:val="0"/>
      <w:marRight w:val="0"/>
      <w:marTop w:val="0"/>
      <w:marBottom w:val="0"/>
      <w:divBdr>
        <w:top w:val="none" w:sz="0" w:space="0" w:color="auto"/>
        <w:left w:val="none" w:sz="0" w:space="0" w:color="auto"/>
        <w:bottom w:val="none" w:sz="0" w:space="0" w:color="auto"/>
        <w:right w:val="none" w:sz="0" w:space="0" w:color="auto"/>
      </w:divBdr>
    </w:div>
    <w:div w:id="531915852">
      <w:bodyDiv w:val="1"/>
      <w:marLeft w:val="0"/>
      <w:marRight w:val="0"/>
      <w:marTop w:val="0"/>
      <w:marBottom w:val="0"/>
      <w:divBdr>
        <w:top w:val="none" w:sz="0" w:space="0" w:color="auto"/>
        <w:left w:val="none" w:sz="0" w:space="0" w:color="auto"/>
        <w:bottom w:val="none" w:sz="0" w:space="0" w:color="auto"/>
        <w:right w:val="none" w:sz="0" w:space="0" w:color="auto"/>
      </w:divBdr>
    </w:div>
    <w:div w:id="542522962">
      <w:bodyDiv w:val="1"/>
      <w:marLeft w:val="0"/>
      <w:marRight w:val="0"/>
      <w:marTop w:val="0"/>
      <w:marBottom w:val="0"/>
      <w:divBdr>
        <w:top w:val="none" w:sz="0" w:space="0" w:color="auto"/>
        <w:left w:val="none" w:sz="0" w:space="0" w:color="auto"/>
        <w:bottom w:val="none" w:sz="0" w:space="0" w:color="auto"/>
        <w:right w:val="none" w:sz="0" w:space="0" w:color="auto"/>
      </w:divBdr>
    </w:div>
    <w:div w:id="545987242">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59824792">
      <w:bodyDiv w:val="1"/>
      <w:marLeft w:val="0"/>
      <w:marRight w:val="0"/>
      <w:marTop w:val="0"/>
      <w:marBottom w:val="0"/>
      <w:divBdr>
        <w:top w:val="none" w:sz="0" w:space="0" w:color="auto"/>
        <w:left w:val="none" w:sz="0" w:space="0" w:color="auto"/>
        <w:bottom w:val="none" w:sz="0" w:space="0" w:color="auto"/>
        <w:right w:val="none" w:sz="0" w:space="0" w:color="auto"/>
      </w:divBdr>
    </w:div>
    <w:div w:id="608467450">
      <w:bodyDiv w:val="1"/>
      <w:marLeft w:val="0"/>
      <w:marRight w:val="0"/>
      <w:marTop w:val="0"/>
      <w:marBottom w:val="0"/>
      <w:divBdr>
        <w:top w:val="none" w:sz="0" w:space="0" w:color="auto"/>
        <w:left w:val="none" w:sz="0" w:space="0" w:color="auto"/>
        <w:bottom w:val="none" w:sz="0" w:space="0" w:color="auto"/>
        <w:right w:val="none" w:sz="0" w:space="0" w:color="auto"/>
      </w:divBdr>
    </w:div>
    <w:div w:id="608706673">
      <w:bodyDiv w:val="1"/>
      <w:marLeft w:val="0"/>
      <w:marRight w:val="0"/>
      <w:marTop w:val="0"/>
      <w:marBottom w:val="0"/>
      <w:divBdr>
        <w:top w:val="none" w:sz="0" w:space="0" w:color="auto"/>
        <w:left w:val="none" w:sz="0" w:space="0" w:color="auto"/>
        <w:bottom w:val="none" w:sz="0" w:space="0" w:color="auto"/>
        <w:right w:val="none" w:sz="0" w:space="0" w:color="auto"/>
      </w:divBdr>
    </w:div>
    <w:div w:id="609092149">
      <w:bodyDiv w:val="1"/>
      <w:marLeft w:val="0"/>
      <w:marRight w:val="0"/>
      <w:marTop w:val="0"/>
      <w:marBottom w:val="0"/>
      <w:divBdr>
        <w:top w:val="none" w:sz="0" w:space="0" w:color="auto"/>
        <w:left w:val="none" w:sz="0" w:space="0" w:color="auto"/>
        <w:bottom w:val="none" w:sz="0" w:space="0" w:color="auto"/>
        <w:right w:val="none" w:sz="0" w:space="0" w:color="auto"/>
      </w:divBdr>
      <w:divsChild>
        <w:div w:id="487282848">
          <w:marLeft w:val="0"/>
          <w:marRight w:val="0"/>
          <w:marTop w:val="0"/>
          <w:marBottom w:val="0"/>
          <w:divBdr>
            <w:top w:val="none" w:sz="0" w:space="0" w:color="auto"/>
            <w:left w:val="none" w:sz="0" w:space="0" w:color="auto"/>
            <w:bottom w:val="none" w:sz="0" w:space="0" w:color="auto"/>
            <w:right w:val="none" w:sz="0" w:space="0" w:color="auto"/>
          </w:divBdr>
          <w:divsChild>
            <w:div w:id="363142403">
              <w:marLeft w:val="0"/>
              <w:marRight w:val="0"/>
              <w:marTop w:val="0"/>
              <w:marBottom w:val="0"/>
              <w:divBdr>
                <w:top w:val="none" w:sz="0" w:space="0" w:color="auto"/>
                <w:left w:val="none" w:sz="0" w:space="0" w:color="auto"/>
                <w:bottom w:val="none" w:sz="0" w:space="0" w:color="auto"/>
                <w:right w:val="none" w:sz="0" w:space="0" w:color="auto"/>
              </w:divBdr>
              <w:divsChild>
                <w:div w:id="3259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261">
      <w:bodyDiv w:val="1"/>
      <w:marLeft w:val="0"/>
      <w:marRight w:val="0"/>
      <w:marTop w:val="0"/>
      <w:marBottom w:val="0"/>
      <w:divBdr>
        <w:top w:val="none" w:sz="0" w:space="0" w:color="auto"/>
        <w:left w:val="none" w:sz="0" w:space="0" w:color="auto"/>
        <w:bottom w:val="none" w:sz="0" w:space="0" w:color="auto"/>
        <w:right w:val="none" w:sz="0" w:space="0" w:color="auto"/>
      </w:divBdr>
      <w:divsChild>
        <w:div w:id="2053187371">
          <w:marLeft w:val="0"/>
          <w:marRight w:val="0"/>
          <w:marTop w:val="0"/>
          <w:marBottom w:val="0"/>
          <w:divBdr>
            <w:top w:val="none" w:sz="0" w:space="0" w:color="auto"/>
            <w:left w:val="none" w:sz="0" w:space="0" w:color="auto"/>
            <w:bottom w:val="none" w:sz="0" w:space="0" w:color="auto"/>
            <w:right w:val="none" w:sz="0" w:space="0" w:color="auto"/>
          </w:divBdr>
          <w:divsChild>
            <w:div w:id="1995254326">
              <w:marLeft w:val="0"/>
              <w:marRight w:val="0"/>
              <w:marTop w:val="0"/>
              <w:marBottom w:val="0"/>
              <w:divBdr>
                <w:top w:val="none" w:sz="0" w:space="0" w:color="auto"/>
                <w:left w:val="none" w:sz="0" w:space="0" w:color="auto"/>
                <w:bottom w:val="none" w:sz="0" w:space="0" w:color="auto"/>
                <w:right w:val="none" w:sz="0" w:space="0" w:color="auto"/>
              </w:divBdr>
              <w:divsChild>
                <w:div w:id="324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44795">
      <w:bodyDiv w:val="1"/>
      <w:marLeft w:val="0"/>
      <w:marRight w:val="0"/>
      <w:marTop w:val="0"/>
      <w:marBottom w:val="0"/>
      <w:divBdr>
        <w:top w:val="none" w:sz="0" w:space="0" w:color="auto"/>
        <w:left w:val="none" w:sz="0" w:space="0" w:color="auto"/>
        <w:bottom w:val="none" w:sz="0" w:space="0" w:color="auto"/>
        <w:right w:val="none" w:sz="0" w:space="0" w:color="auto"/>
      </w:divBdr>
    </w:div>
    <w:div w:id="648368899">
      <w:bodyDiv w:val="1"/>
      <w:marLeft w:val="0"/>
      <w:marRight w:val="0"/>
      <w:marTop w:val="0"/>
      <w:marBottom w:val="0"/>
      <w:divBdr>
        <w:top w:val="none" w:sz="0" w:space="0" w:color="auto"/>
        <w:left w:val="none" w:sz="0" w:space="0" w:color="auto"/>
        <w:bottom w:val="none" w:sz="0" w:space="0" w:color="auto"/>
        <w:right w:val="none" w:sz="0" w:space="0" w:color="auto"/>
      </w:divBdr>
    </w:div>
    <w:div w:id="652491432">
      <w:bodyDiv w:val="1"/>
      <w:marLeft w:val="0"/>
      <w:marRight w:val="0"/>
      <w:marTop w:val="0"/>
      <w:marBottom w:val="0"/>
      <w:divBdr>
        <w:top w:val="none" w:sz="0" w:space="0" w:color="auto"/>
        <w:left w:val="none" w:sz="0" w:space="0" w:color="auto"/>
        <w:bottom w:val="none" w:sz="0" w:space="0" w:color="auto"/>
        <w:right w:val="none" w:sz="0" w:space="0" w:color="auto"/>
      </w:divBdr>
    </w:div>
    <w:div w:id="662657830">
      <w:bodyDiv w:val="1"/>
      <w:marLeft w:val="0"/>
      <w:marRight w:val="0"/>
      <w:marTop w:val="0"/>
      <w:marBottom w:val="0"/>
      <w:divBdr>
        <w:top w:val="none" w:sz="0" w:space="0" w:color="auto"/>
        <w:left w:val="none" w:sz="0" w:space="0" w:color="auto"/>
        <w:bottom w:val="none" w:sz="0" w:space="0" w:color="auto"/>
        <w:right w:val="none" w:sz="0" w:space="0" w:color="auto"/>
      </w:divBdr>
    </w:div>
    <w:div w:id="698314601">
      <w:bodyDiv w:val="1"/>
      <w:marLeft w:val="0"/>
      <w:marRight w:val="0"/>
      <w:marTop w:val="0"/>
      <w:marBottom w:val="0"/>
      <w:divBdr>
        <w:top w:val="none" w:sz="0" w:space="0" w:color="auto"/>
        <w:left w:val="none" w:sz="0" w:space="0" w:color="auto"/>
        <w:bottom w:val="none" w:sz="0" w:space="0" w:color="auto"/>
        <w:right w:val="none" w:sz="0" w:space="0" w:color="auto"/>
      </w:divBdr>
      <w:divsChild>
        <w:div w:id="1073510212">
          <w:marLeft w:val="0"/>
          <w:marRight w:val="0"/>
          <w:marTop w:val="0"/>
          <w:marBottom w:val="0"/>
          <w:divBdr>
            <w:top w:val="none" w:sz="0" w:space="0" w:color="auto"/>
            <w:left w:val="none" w:sz="0" w:space="0" w:color="auto"/>
            <w:bottom w:val="none" w:sz="0" w:space="0" w:color="auto"/>
            <w:right w:val="none" w:sz="0" w:space="0" w:color="auto"/>
          </w:divBdr>
          <w:divsChild>
            <w:div w:id="390157433">
              <w:marLeft w:val="0"/>
              <w:marRight w:val="0"/>
              <w:marTop w:val="0"/>
              <w:marBottom w:val="0"/>
              <w:divBdr>
                <w:top w:val="none" w:sz="0" w:space="0" w:color="auto"/>
                <w:left w:val="none" w:sz="0" w:space="0" w:color="auto"/>
                <w:bottom w:val="none" w:sz="0" w:space="0" w:color="auto"/>
                <w:right w:val="none" w:sz="0" w:space="0" w:color="auto"/>
              </w:divBdr>
              <w:divsChild>
                <w:div w:id="14693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30433">
      <w:bodyDiv w:val="1"/>
      <w:marLeft w:val="0"/>
      <w:marRight w:val="0"/>
      <w:marTop w:val="0"/>
      <w:marBottom w:val="0"/>
      <w:divBdr>
        <w:top w:val="none" w:sz="0" w:space="0" w:color="auto"/>
        <w:left w:val="none" w:sz="0" w:space="0" w:color="auto"/>
        <w:bottom w:val="none" w:sz="0" w:space="0" w:color="auto"/>
        <w:right w:val="none" w:sz="0" w:space="0" w:color="auto"/>
      </w:divBdr>
    </w:div>
    <w:div w:id="736056861">
      <w:bodyDiv w:val="1"/>
      <w:marLeft w:val="0"/>
      <w:marRight w:val="0"/>
      <w:marTop w:val="0"/>
      <w:marBottom w:val="0"/>
      <w:divBdr>
        <w:top w:val="none" w:sz="0" w:space="0" w:color="auto"/>
        <w:left w:val="none" w:sz="0" w:space="0" w:color="auto"/>
        <w:bottom w:val="none" w:sz="0" w:space="0" w:color="auto"/>
        <w:right w:val="none" w:sz="0" w:space="0" w:color="auto"/>
      </w:divBdr>
    </w:div>
    <w:div w:id="753893103">
      <w:bodyDiv w:val="1"/>
      <w:marLeft w:val="0"/>
      <w:marRight w:val="0"/>
      <w:marTop w:val="0"/>
      <w:marBottom w:val="0"/>
      <w:divBdr>
        <w:top w:val="none" w:sz="0" w:space="0" w:color="auto"/>
        <w:left w:val="none" w:sz="0" w:space="0" w:color="auto"/>
        <w:bottom w:val="none" w:sz="0" w:space="0" w:color="auto"/>
        <w:right w:val="none" w:sz="0" w:space="0" w:color="auto"/>
      </w:divBdr>
      <w:divsChild>
        <w:div w:id="1244416877">
          <w:marLeft w:val="0"/>
          <w:marRight w:val="0"/>
          <w:marTop w:val="0"/>
          <w:marBottom w:val="0"/>
          <w:divBdr>
            <w:top w:val="none" w:sz="0" w:space="0" w:color="auto"/>
            <w:left w:val="none" w:sz="0" w:space="0" w:color="auto"/>
            <w:bottom w:val="none" w:sz="0" w:space="0" w:color="auto"/>
            <w:right w:val="none" w:sz="0" w:space="0" w:color="auto"/>
          </w:divBdr>
          <w:divsChild>
            <w:div w:id="1967275494">
              <w:marLeft w:val="0"/>
              <w:marRight w:val="0"/>
              <w:marTop w:val="0"/>
              <w:marBottom w:val="0"/>
              <w:divBdr>
                <w:top w:val="none" w:sz="0" w:space="0" w:color="auto"/>
                <w:left w:val="none" w:sz="0" w:space="0" w:color="auto"/>
                <w:bottom w:val="none" w:sz="0" w:space="0" w:color="auto"/>
                <w:right w:val="none" w:sz="0" w:space="0" w:color="auto"/>
              </w:divBdr>
              <w:divsChild>
                <w:div w:id="1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6269">
      <w:bodyDiv w:val="1"/>
      <w:marLeft w:val="0"/>
      <w:marRight w:val="0"/>
      <w:marTop w:val="0"/>
      <w:marBottom w:val="0"/>
      <w:divBdr>
        <w:top w:val="none" w:sz="0" w:space="0" w:color="auto"/>
        <w:left w:val="none" w:sz="0" w:space="0" w:color="auto"/>
        <w:bottom w:val="none" w:sz="0" w:space="0" w:color="auto"/>
        <w:right w:val="none" w:sz="0" w:space="0" w:color="auto"/>
      </w:divBdr>
      <w:divsChild>
        <w:div w:id="79640664">
          <w:marLeft w:val="0"/>
          <w:marRight w:val="0"/>
          <w:marTop w:val="0"/>
          <w:marBottom w:val="0"/>
          <w:divBdr>
            <w:top w:val="none" w:sz="0" w:space="0" w:color="auto"/>
            <w:left w:val="none" w:sz="0" w:space="0" w:color="auto"/>
            <w:bottom w:val="none" w:sz="0" w:space="0" w:color="auto"/>
            <w:right w:val="none" w:sz="0" w:space="0" w:color="auto"/>
          </w:divBdr>
          <w:divsChild>
            <w:div w:id="978268420">
              <w:marLeft w:val="0"/>
              <w:marRight w:val="0"/>
              <w:marTop w:val="0"/>
              <w:marBottom w:val="0"/>
              <w:divBdr>
                <w:top w:val="none" w:sz="0" w:space="0" w:color="auto"/>
                <w:left w:val="none" w:sz="0" w:space="0" w:color="auto"/>
                <w:bottom w:val="none" w:sz="0" w:space="0" w:color="auto"/>
                <w:right w:val="none" w:sz="0" w:space="0" w:color="auto"/>
              </w:divBdr>
              <w:divsChild>
                <w:div w:id="19639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27690">
      <w:bodyDiv w:val="1"/>
      <w:marLeft w:val="0"/>
      <w:marRight w:val="0"/>
      <w:marTop w:val="0"/>
      <w:marBottom w:val="0"/>
      <w:divBdr>
        <w:top w:val="none" w:sz="0" w:space="0" w:color="auto"/>
        <w:left w:val="none" w:sz="0" w:space="0" w:color="auto"/>
        <w:bottom w:val="none" w:sz="0" w:space="0" w:color="auto"/>
        <w:right w:val="none" w:sz="0" w:space="0" w:color="auto"/>
      </w:divBdr>
    </w:div>
    <w:div w:id="822625724">
      <w:bodyDiv w:val="1"/>
      <w:marLeft w:val="0"/>
      <w:marRight w:val="0"/>
      <w:marTop w:val="0"/>
      <w:marBottom w:val="0"/>
      <w:divBdr>
        <w:top w:val="none" w:sz="0" w:space="0" w:color="auto"/>
        <w:left w:val="none" w:sz="0" w:space="0" w:color="auto"/>
        <w:bottom w:val="none" w:sz="0" w:space="0" w:color="auto"/>
        <w:right w:val="none" w:sz="0" w:space="0" w:color="auto"/>
      </w:divBdr>
    </w:div>
    <w:div w:id="844170440">
      <w:bodyDiv w:val="1"/>
      <w:marLeft w:val="0"/>
      <w:marRight w:val="0"/>
      <w:marTop w:val="0"/>
      <w:marBottom w:val="0"/>
      <w:divBdr>
        <w:top w:val="none" w:sz="0" w:space="0" w:color="auto"/>
        <w:left w:val="none" w:sz="0" w:space="0" w:color="auto"/>
        <w:bottom w:val="none" w:sz="0" w:space="0" w:color="auto"/>
        <w:right w:val="none" w:sz="0" w:space="0" w:color="auto"/>
      </w:divBdr>
      <w:divsChild>
        <w:div w:id="965424850">
          <w:marLeft w:val="0"/>
          <w:marRight w:val="0"/>
          <w:marTop w:val="0"/>
          <w:marBottom w:val="0"/>
          <w:divBdr>
            <w:top w:val="none" w:sz="0" w:space="0" w:color="auto"/>
            <w:left w:val="none" w:sz="0" w:space="0" w:color="auto"/>
            <w:bottom w:val="none" w:sz="0" w:space="0" w:color="auto"/>
            <w:right w:val="none" w:sz="0" w:space="0" w:color="auto"/>
          </w:divBdr>
          <w:divsChild>
            <w:div w:id="1871646025">
              <w:marLeft w:val="0"/>
              <w:marRight w:val="0"/>
              <w:marTop w:val="0"/>
              <w:marBottom w:val="0"/>
              <w:divBdr>
                <w:top w:val="none" w:sz="0" w:space="0" w:color="auto"/>
                <w:left w:val="none" w:sz="0" w:space="0" w:color="auto"/>
                <w:bottom w:val="none" w:sz="0" w:space="0" w:color="auto"/>
                <w:right w:val="none" w:sz="0" w:space="0" w:color="auto"/>
              </w:divBdr>
              <w:divsChild>
                <w:div w:id="15785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4494">
      <w:bodyDiv w:val="1"/>
      <w:marLeft w:val="0"/>
      <w:marRight w:val="0"/>
      <w:marTop w:val="0"/>
      <w:marBottom w:val="0"/>
      <w:divBdr>
        <w:top w:val="none" w:sz="0" w:space="0" w:color="auto"/>
        <w:left w:val="none" w:sz="0" w:space="0" w:color="auto"/>
        <w:bottom w:val="none" w:sz="0" w:space="0" w:color="auto"/>
        <w:right w:val="none" w:sz="0" w:space="0" w:color="auto"/>
      </w:divBdr>
      <w:divsChild>
        <w:div w:id="1184782156">
          <w:marLeft w:val="0"/>
          <w:marRight w:val="0"/>
          <w:marTop w:val="0"/>
          <w:marBottom w:val="0"/>
          <w:divBdr>
            <w:top w:val="none" w:sz="0" w:space="0" w:color="auto"/>
            <w:left w:val="none" w:sz="0" w:space="0" w:color="auto"/>
            <w:bottom w:val="none" w:sz="0" w:space="0" w:color="auto"/>
            <w:right w:val="none" w:sz="0" w:space="0" w:color="auto"/>
          </w:divBdr>
          <w:divsChild>
            <w:div w:id="1728140616">
              <w:marLeft w:val="0"/>
              <w:marRight w:val="0"/>
              <w:marTop w:val="0"/>
              <w:marBottom w:val="0"/>
              <w:divBdr>
                <w:top w:val="none" w:sz="0" w:space="0" w:color="auto"/>
                <w:left w:val="none" w:sz="0" w:space="0" w:color="auto"/>
                <w:bottom w:val="none" w:sz="0" w:space="0" w:color="auto"/>
                <w:right w:val="none" w:sz="0" w:space="0" w:color="auto"/>
              </w:divBdr>
              <w:divsChild>
                <w:div w:id="21418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22546">
      <w:bodyDiv w:val="1"/>
      <w:marLeft w:val="0"/>
      <w:marRight w:val="0"/>
      <w:marTop w:val="0"/>
      <w:marBottom w:val="0"/>
      <w:divBdr>
        <w:top w:val="none" w:sz="0" w:space="0" w:color="auto"/>
        <w:left w:val="none" w:sz="0" w:space="0" w:color="auto"/>
        <w:bottom w:val="none" w:sz="0" w:space="0" w:color="auto"/>
        <w:right w:val="none" w:sz="0" w:space="0" w:color="auto"/>
      </w:divBdr>
      <w:divsChild>
        <w:div w:id="35588812">
          <w:marLeft w:val="0"/>
          <w:marRight w:val="0"/>
          <w:marTop w:val="0"/>
          <w:marBottom w:val="0"/>
          <w:divBdr>
            <w:top w:val="none" w:sz="0" w:space="0" w:color="auto"/>
            <w:left w:val="none" w:sz="0" w:space="0" w:color="auto"/>
            <w:bottom w:val="none" w:sz="0" w:space="0" w:color="auto"/>
            <w:right w:val="none" w:sz="0" w:space="0" w:color="auto"/>
          </w:divBdr>
          <w:divsChild>
            <w:div w:id="364018443">
              <w:marLeft w:val="0"/>
              <w:marRight w:val="0"/>
              <w:marTop w:val="0"/>
              <w:marBottom w:val="0"/>
              <w:divBdr>
                <w:top w:val="none" w:sz="0" w:space="0" w:color="auto"/>
                <w:left w:val="none" w:sz="0" w:space="0" w:color="auto"/>
                <w:bottom w:val="none" w:sz="0" w:space="0" w:color="auto"/>
                <w:right w:val="none" w:sz="0" w:space="0" w:color="auto"/>
              </w:divBdr>
              <w:divsChild>
                <w:div w:id="17015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7791">
      <w:bodyDiv w:val="1"/>
      <w:marLeft w:val="0"/>
      <w:marRight w:val="0"/>
      <w:marTop w:val="0"/>
      <w:marBottom w:val="0"/>
      <w:divBdr>
        <w:top w:val="none" w:sz="0" w:space="0" w:color="auto"/>
        <w:left w:val="none" w:sz="0" w:space="0" w:color="auto"/>
        <w:bottom w:val="none" w:sz="0" w:space="0" w:color="auto"/>
        <w:right w:val="none" w:sz="0" w:space="0" w:color="auto"/>
      </w:divBdr>
    </w:div>
    <w:div w:id="899175980">
      <w:bodyDiv w:val="1"/>
      <w:marLeft w:val="0"/>
      <w:marRight w:val="0"/>
      <w:marTop w:val="0"/>
      <w:marBottom w:val="0"/>
      <w:divBdr>
        <w:top w:val="none" w:sz="0" w:space="0" w:color="auto"/>
        <w:left w:val="none" w:sz="0" w:space="0" w:color="auto"/>
        <w:bottom w:val="none" w:sz="0" w:space="0" w:color="auto"/>
        <w:right w:val="none" w:sz="0" w:space="0" w:color="auto"/>
      </w:divBdr>
    </w:div>
    <w:div w:id="908735616">
      <w:bodyDiv w:val="1"/>
      <w:marLeft w:val="0"/>
      <w:marRight w:val="0"/>
      <w:marTop w:val="0"/>
      <w:marBottom w:val="0"/>
      <w:divBdr>
        <w:top w:val="none" w:sz="0" w:space="0" w:color="auto"/>
        <w:left w:val="none" w:sz="0" w:space="0" w:color="auto"/>
        <w:bottom w:val="none" w:sz="0" w:space="0" w:color="auto"/>
        <w:right w:val="none" w:sz="0" w:space="0" w:color="auto"/>
      </w:divBdr>
    </w:div>
    <w:div w:id="916477754">
      <w:bodyDiv w:val="1"/>
      <w:marLeft w:val="0"/>
      <w:marRight w:val="0"/>
      <w:marTop w:val="0"/>
      <w:marBottom w:val="0"/>
      <w:divBdr>
        <w:top w:val="none" w:sz="0" w:space="0" w:color="auto"/>
        <w:left w:val="none" w:sz="0" w:space="0" w:color="auto"/>
        <w:bottom w:val="none" w:sz="0" w:space="0" w:color="auto"/>
        <w:right w:val="none" w:sz="0" w:space="0" w:color="auto"/>
      </w:divBdr>
    </w:div>
    <w:div w:id="951279810">
      <w:bodyDiv w:val="1"/>
      <w:marLeft w:val="0"/>
      <w:marRight w:val="0"/>
      <w:marTop w:val="0"/>
      <w:marBottom w:val="0"/>
      <w:divBdr>
        <w:top w:val="none" w:sz="0" w:space="0" w:color="auto"/>
        <w:left w:val="none" w:sz="0" w:space="0" w:color="auto"/>
        <w:bottom w:val="none" w:sz="0" w:space="0" w:color="auto"/>
        <w:right w:val="none" w:sz="0" w:space="0" w:color="auto"/>
      </w:divBdr>
    </w:div>
    <w:div w:id="952832118">
      <w:bodyDiv w:val="1"/>
      <w:marLeft w:val="0"/>
      <w:marRight w:val="0"/>
      <w:marTop w:val="0"/>
      <w:marBottom w:val="0"/>
      <w:divBdr>
        <w:top w:val="none" w:sz="0" w:space="0" w:color="auto"/>
        <w:left w:val="none" w:sz="0" w:space="0" w:color="auto"/>
        <w:bottom w:val="none" w:sz="0" w:space="0" w:color="auto"/>
        <w:right w:val="none" w:sz="0" w:space="0" w:color="auto"/>
      </w:divBdr>
      <w:divsChild>
        <w:div w:id="873538227">
          <w:marLeft w:val="0"/>
          <w:marRight w:val="0"/>
          <w:marTop w:val="0"/>
          <w:marBottom w:val="0"/>
          <w:divBdr>
            <w:top w:val="none" w:sz="0" w:space="0" w:color="auto"/>
            <w:left w:val="none" w:sz="0" w:space="0" w:color="auto"/>
            <w:bottom w:val="none" w:sz="0" w:space="0" w:color="auto"/>
            <w:right w:val="none" w:sz="0" w:space="0" w:color="auto"/>
          </w:divBdr>
          <w:divsChild>
            <w:div w:id="80420041">
              <w:marLeft w:val="0"/>
              <w:marRight w:val="0"/>
              <w:marTop w:val="0"/>
              <w:marBottom w:val="0"/>
              <w:divBdr>
                <w:top w:val="none" w:sz="0" w:space="0" w:color="auto"/>
                <w:left w:val="none" w:sz="0" w:space="0" w:color="auto"/>
                <w:bottom w:val="none" w:sz="0" w:space="0" w:color="auto"/>
                <w:right w:val="none" w:sz="0" w:space="0" w:color="auto"/>
              </w:divBdr>
              <w:divsChild>
                <w:div w:id="1701978284">
                  <w:marLeft w:val="0"/>
                  <w:marRight w:val="0"/>
                  <w:marTop w:val="0"/>
                  <w:marBottom w:val="0"/>
                  <w:divBdr>
                    <w:top w:val="none" w:sz="0" w:space="0" w:color="auto"/>
                    <w:left w:val="none" w:sz="0" w:space="0" w:color="auto"/>
                    <w:bottom w:val="none" w:sz="0" w:space="0" w:color="auto"/>
                    <w:right w:val="none" w:sz="0" w:space="0" w:color="auto"/>
                  </w:divBdr>
                </w:div>
              </w:divsChild>
            </w:div>
            <w:div w:id="931089484">
              <w:marLeft w:val="0"/>
              <w:marRight w:val="0"/>
              <w:marTop w:val="0"/>
              <w:marBottom w:val="0"/>
              <w:divBdr>
                <w:top w:val="none" w:sz="0" w:space="0" w:color="auto"/>
                <w:left w:val="none" w:sz="0" w:space="0" w:color="auto"/>
                <w:bottom w:val="none" w:sz="0" w:space="0" w:color="auto"/>
                <w:right w:val="none" w:sz="0" w:space="0" w:color="auto"/>
              </w:divBdr>
              <w:divsChild>
                <w:div w:id="286670237">
                  <w:marLeft w:val="0"/>
                  <w:marRight w:val="0"/>
                  <w:marTop w:val="0"/>
                  <w:marBottom w:val="0"/>
                  <w:divBdr>
                    <w:top w:val="none" w:sz="0" w:space="0" w:color="auto"/>
                    <w:left w:val="none" w:sz="0" w:space="0" w:color="auto"/>
                    <w:bottom w:val="none" w:sz="0" w:space="0" w:color="auto"/>
                    <w:right w:val="none" w:sz="0" w:space="0" w:color="auto"/>
                  </w:divBdr>
                </w:div>
              </w:divsChild>
            </w:div>
            <w:div w:id="1708988268">
              <w:marLeft w:val="0"/>
              <w:marRight w:val="0"/>
              <w:marTop w:val="0"/>
              <w:marBottom w:val="0"/>
              <w:divBdr>
                <w:top w:val="none" w:sz="0" w:space="0" w:color="auto"/>
                <w:left w:val="none" w:sz="0" w:space="0" w:color="auto"/>
                <w:bottom w:val="none" w:sz="0" w:space="0" w:color="auto"/>
                <w:right w:val="none" w:sz="0" w:space="0" w:color="auto"/>
              </w:divBdr>
              <w:divsChild>
                <w:div w:id="1698655602">
                  <w:marLeft w:val="0"/>
                  <w:marRight w:val="0"/>
                  <w:marTop w:val="0"/>
                  <w:marBottom w:val="0"/>
                  <w:divBdr>
                    <w:top w:val="none" w:sz="0" w:space="0" w:color="auto"/>
                    <w:left w:val="none" w:sz="0" w:space="0" w:color="auto"/>
                    <w:bottom w:val="none" w:sz="0" w:space="0" w:color="auto"/>
                    <w:right w:val="none" w:sz="0" w:space="0" w:color="auto"/>
                  </w:divBdr>
                </w:div>
              </w:divsChild>
            </w:div>
            <w:div w:id="1773431530">
              <w:marLeft w:val="0"/>
              <w:marRight w:val="0"/>
              <w:marTop w:val="0"/>
              <w:marBottom w:val="0"/>
              <w:divBdr>
                <w:top w:val="none" w:sz="0" w:space="0" w:color="auto"/>
                <w:left w:val="none" w:sz="0" w:space="0" w:color="auto"/>
                <w:bottom w:val="none" w:sz="0" w:space="0" w:color="auto"/>
                <w:right w:val="none" w:sz="0" w:space="0" w:color="auto"/>
              </w:divBdr>
              <w:divsChild>
                <w:div w:id="3055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57098">
      <w:bodyDiv w:val="1"/>
      <w:marLeft w:val="0"/>
      <w:marRight w:val="0"/>
      <w:marTop w:val="0"/>
      <w:marBottom w:val="0"/>
      <w:divBdr>
        <w:top w:val="none" w:sz="0" w:space="0" w:color="auto"/>
        <w:left w:val="none" w:sz="0" w:space="0" w:color="auto"/>
        <w:bottom w:val="none" w:sz="0" w:space="0" w:color="auto"/>
        <w:right w:val="none" w:sz="0" w:space="0" w:color="auto"/>
      </w:divBdr>
    </w:div>
    <w:div w:id="977345545">
      <w:bodyDiv w:val="1"/>
      <w:marLeft w:val="0"/>
      <w:marRight w:val="0"/>
      <w:marTop w:val="0"/>
      <w:marBottom w:val="0"/>
      <w:divBdr>
        <w:top w:val="none" w:sz="0" w:space="0" w:color="auto"/>
        <w:left w:val="none" w:sz="0" w:space="0" w:color="auto"/>
        <w:bottom w:val="none" w:sz="0" w:space="0" w:color="auto"/>
        <w:right w:val="none" w:sz="0" w:space="0" w:color="auto"/>
      </w:divBdr>
      <w:divsChild>
        <w:div w:id="1696881655">
          <w:marLeft w:val="0"/>
          <w:marRight w:val="0"/>
          <w:marTop w:val="0"/>
          <w:marBottom w:val="0"/>
          <w:divBdr>
            <w:top w:val="none" w:sz="0" w:space="0" w:color="auto"/>
            <w:left w:val="none" w:sz="0" w:space="0" w:color="auto"/>
            <w:bottom w:val="none" w:sz="0" w:space="0" w:color="auto"/>
            <w:right w:val="none" w:sz="0" w:space="0" w:color="auto"/>
          </w:divBdr>
          <w:divsChild>
            <w:div w:id="1572306895">
              <w:marLeft w:val="0"/>
              <w:marRight w:val="0"/>
              <w:marTop w:val="0"/>
              <w:marBottom w:val="0"/>
              <w:divBdr>
                <w:top w:val="none" w:sz="0" w:space="0" w:color="auto"/>
                <w:left w:val="none" w:sz="0" w:space="0" w:color="auto"/>
                <w:bottom w:val="none" w:sz="0" w:space="0" w:color="auto"/>
                <w:right w:val="none" w:sz="0" w:space="0" w:color="auto"/>
              </w:divBdr>
              <w:divsChild>
                <w:div w:id="1520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2208">
      <w:bodyDiv w:val="1"/>
      <w:marLeft w:val="0"/>
      <w:marRight w:val="0"/>
      <w:marTop w:val="0"/>
      <w:marBottom w:val="0"/>
      <w:divBdr>
        <w:top w:val="none" w:sz="0" w:space="0" w:color="auto"/>
        <w:left w:val="none" w:sz="0" w:space="0" w:color="auto"/>
        <w:bottom w:val="none" w:sz="0" w:space="0" w:color="auto"/>
        <w:right w:val="none" w:sz="0" w:space="0" w:color="auto"/>
      </w:divBdr>
      <w:divsChild>
        <w:div w:id="415135730">
          <w:marLeft w:val="0"/>
          <w:marRight w:val="0"/>
          <w:marTop w:val="0"/>
          <w:marBottom w:val="0"/>
          <w:divBdr>
            <w:top w:val="none" w:sz="0" w:space="0" w:color="auto"/>
            <w:left w:val="none" w:sz="0" w:space="0" w:color="auto"/>
            <w:bottom w:val="none" w:sz="0" w:space="0" w:color="auto"/>
            <w:right w:val="none" w:sz="0" w:space="0" w:color="auto"/>
          </w:divBdr>
          <w:divsChild>
            <w:div w:id="608318205">
              <w:marLeft w:val="0"/>
              <w:marRight w:val="0"/>
              <w:marTop w:val="0"/>
              <w:marBottom w:val="0"/>
              <w:divBdr>
                <w:top w:val="none" w:sz="0" w:space="0" w:color="auto"/>
                <w:left w:val="none" w:sz="0" w:space="0" w:color="auto"/>
                <w:bottom w:val="none" w:sz="0" w:space="0" w:color="auto"/>
                <w:right w:val="none" w:sz="0" w:space="0" w:color="auto"/>
              </w:divBdr>
              <w:divsChild>
                <w:div w:id="16182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435608">
      <w:bodyDiv w:val="1"/>
      <w:marLeft w:val="0"/>
      <w:marRight w:val="0"/>
      <w:marTop w:val="0"/>
      <w:marBottom w:val="0"/>
      <w:divBdr>
        <w:top w:val="none" w:sz="0" w:space="0" w:color="auto"/>
        <w:left w:val="none" w:sz="0" w:space="0" w:color="auto"/>
        <w:bottom w:val="none" w:sz="0" w:space="0" w:color="auto"/>
        <w:right w:val="none" w:sz="0" w:space="0" w:color="auto"/>
      </w:divBdr>
    </w:div>
    <w:div w:id="991913596">
      <w:bodyDiv w:val="1"/>
      <w:marLeft w:val="0"/>
      <w:marRight w:val="0"/>
      <w:marTop w:val="0"/>
      <w:marBottom w:val="0"/>
      <w:divBdr>
        <w:top w:val="none" w:sz="0" w:space="0" w:color="auto"/>
        <w:left w:val="none" w:sz="0" w:space="0" w:color="auto"/>
        <w:bottom w:val="none" w:sz="0" w:space="0" w:color="auto"/>
        <w:right w:val="none" w:sz="0" w:space="0" w:color="auto"/>
      </w:divBdr>
    </w:div>
    <w:div w:id="1028608172">
      <w:bodyDiv w:val="1"/>
      <w:marLeft w:val="0"/>
      <w:marRight w:val="0"/>
      <w:marTop w:val="0"/>
      <w:marBottom w:val="0"/>
      <w:divBdr>
        <w:top w:val="none" w:sz="0" w:space="0" w:color="auto"/>
        <w:left w:val="none" w:sz="0" w:space="0" w:color="auto"/>
        <w:bottom w:val="none" w:sz="0" w:space="0" w:color="auto"/>
        <w:right w:val="none" w:sz="0" w:space="0" w:color="auto"/>
      </w:divBdr>
      <w:divsChild>
        <w:div w:id="1808737858">
          <w:marLeft w:val="0"/>
          <w:marRight w:val="0"/>
          <w:marTop w:val="0"/>
          <w:marBottom w:val="0"/>
          <w:divBdr>
            <w:top w:val="none" w:sz="0" w:space="0" w:color="auto"/>
            <w:left w:val="none" w:sz="0" w:space="0" w:color="auto"/>
            <w:bottom w:val="none" w:sz="0" w:space="0" w:color="auto"/>
            <w:right w:val="none" w:sz="0" w:space="0" w:color="auto"/>
          </w:divBdr>
          <w:divsChild>
            <w:div w:id="515000478">
              <w:marLeft w:val="0"/>
              <w:marRight w:val="0"/>
              <w:marTop w:val="0"/>
              <w:marBottom w:val="0"/>
              <w:divBdr>
                <w:top w:val="none" w:sz="0" w:space="0" w:color="auto"/>
                <w:left w:val="none" w:sz="0" w:space="0" w:color="auto"/>
                <w:bottom w:val="none" w:sz="0" w:space="0" w:color="auto"/>
                <w:right w:val="none" w:sz="0" w:space="0" w:color="auto"/>
              </w:divBdr>
              <w:divsChild>
                <w:div w:id="19729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8954">
      <w:bodyDiv w:val="1"/>
      <w:marLeft w:val="0"/>
      <w:marRight w:val="0"/>
      <w:marTop w:val="0"/>
      <w:marBottom w:val="0"/>
      <w:divBdr>
        <w:top w:val="none" w:sz="0" w:space="0" w:color="auto"/>
        <w:left w:val="none" w:sz="0" w:space="0" w:color="auto"/>
        <w:bottom w:val="none" w:sz="0" w:space="0" w:color="auto"/>
        <w:right w:val="none" w:sz="0" w:space="0" w:color="auto"/>
      </w:divBdr>
      <w:divsChild>
        <w:div w:id="184827213">
          <w:marLeft w:val="0"/>
          <w:marRight w:val="0"/>
          <w:marTop w:val="0"/>
          <w:marBottom w:val="0"/>
          <w:divBdr>
            <w:top w:val="none" w:sz="0" w:space="0" w:color="auto"/>
            <w:left w:val="none" w:sz="0" w:space="0" w:color="auto"/>
            <w:bottom w:val="none" w:sz="0" w:space="0" w:color="auto"/>
            <w:right w:val="none" w:sz="0" w:space="0" w:color="auto"/>
          </w:divBdr>
          <w:divsChild>
            <w:div w:id="1006785639">
              <w:marLeft w:val="0"/>
              <w:marRight w:val="0"/>
              <w:marTop w:val="0"/>
              <w:marBottom w:val="0"/>
              <w:divBdr>
                <w:top w:val="none" w:sz="0" w:space="0" w:color="auto"/>
                <w:left w:val="none" w:sz="0" w:space="0" w:color="auto"/>
                <w:bottom w:val="none" w:sz="0" w:space="0" w:color="auto"/>
                <w:right w:val="none" w:sz="0" w:space="0" w:color="auto"/>
              </w:divBdr>
              <w:divsChild>
                <w:div w:id="2704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0226">
      <w:bodyDiv w:val="1"/>
      <w:marLeft w:val="0"/>
      <w:marRight w:val="0"/>
      <w:marTop w:val="0"/>
      <w:marBottom w:val="0"/>
      <w:divBdr>
        <w:top w:val="none" w:sz="0" w:space="0" w:color="auto"/>
        <w:left w:val="none" w:sz="0" w:space="0" w:color="auto"/>
        <w:bottom w:val="none" w:sz="0" w:space="0" w:color="auto"/>
        <w:right w:val="none" w:sz="0" w:space="0" w:color="auto"/>
      </w:divBdr>
      <w:divsChild>
        <w:div w:id="628122052">
          <w:marLeft w:val="0"/>
          <w:marRight w:val="0"/>
          <w:marTop w:val="0"/>
          <w:marBottom w:val="0"/>
          <w:divBdr>
            <w:top w:val="none" w:sz="0" w:space="0" w:color="auto"/>
            <w:left w:val="none" w:sz="0" w:space="0" w:color="auto"/>
            <w:bottom w:val="none" w:sz="0" w:space="0" w:color="auto"/>
            <w:right w:val="none" w:sz="0" w:space="0" w:color="auto"/>
          </w:divBdr>
          <w:divsChild>
            <w:div w:id="953946137">
              <w:marLeft w:val="0"/>
              <w:marRight w:val="0"/>
              <w:marTop w:val="0"/>
              <w:marBottom w:val="0"/>
              <w:divBdr>
                <w:top w:val="none" w:sz="0" w:space="0" w:color="auto"/>
                <w:left w:val="none" w:sz="0" w:space="0" w:color="auto"/>
                <w:bottom w:val="none" w:sz="0" w:space="0" w:color="auto"/>
                <w:right w:val="none" w:sz="0" w:space="0" w:color="auto"/>
              </w:divBdr>
              <w:divsChild>
                <w:div w:id="13391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7275">
      <w:bodyDiv w:val="1"/>
      <w:marLeft w:val="0"/>
      <w:marRight w:val="0"/>
      <w:marTop w:val="0"/>
      <w:marBottom w:val="0"/>
      <w:divBdr>
        <w:top w:val="none" w:sz="0" w:space="0" w:color="auto"/>
        <w:left w:val="none" w:sz="0" w:space="0" w:color="auto"/>
        <w:bottom w:val="none" w:sz="0" w:space="0" w:color="auto"/>
        <w:right w:val="none" w:sz="0" w:space="0" w:color="auto"/>
      </w:divBdr>
    </w:div>
    <w:div w:id="1051927298">
      <w:bodyDiv w:val="1"/>
      <w:marLeft w:val="0"/>
      <w:marRight w:val="0"/>
      <w:marTop w:val="0"/>
      <w:marBottom w:val="0"/>
      <w:divBdr>
        <w:top w:val="none" w:sz="0" w:space="0" w:color="auto"/>
        <w:left w:val="none" w:sz="0" w:space="0" w:color="auto"/>
        <w:bottom w:val="none" w:sz="0" w:space="0" w:color="auto"/>
        <w:right w:val="none" w:sz="0" w:space="0" w:color="auto"/>
      </w:divBdr>
    </w:div>
    <w:div w:id="1075202642">
      <w:bodyDiv w:val="1"/>
      <w:marLeft w:val="0"/>
      <w:marRight w:val="0"/>
      <w:marTop w:val="0"/>
      <w:marBottom w:val="0"/>
      <w:divBdr>
        <w:top w:val="none" w:sz="0" w:space="0" w:color="auto"/>
        <w:left w:val="none" w:sz="0" w:space="0" w:color="auto"/>
        <w:bottom w:val="none" w:sz="0" w:space="0" w:color="auto"/>
        <w:right w:val="none" w:sz="0" w:space="0" w:color="auto"/>
      </w:divBdr>
      <w:divsChild>
        <w:div w:id="1558011325">
          <w:marLeft w:val="0"/>
          <w:marRight w:val="0"/>
          <w:marTop w:val="0"/>
          <w:marBottom w:val="0"/>
          <w:divBdr>
            <w:top w:val="none" w:sz="0" w:space="0" w:color="auto"/>
            <w:left w:val="none" w:sz="0" w:space="0" w:color="auto"/>
            <w:bottom w:val="none" w:sz="0" w:space="0" w:color="auto"/>
            <w:right w:val="none" w:sz="0" w:space="0" w:color="auto"/>
          </w:divBdr>
          <w:divsChild>
            <w:div w:id="1166820412">
              <w:marLeft w:val="0"/>
              <w:marRight w:val="0"/>
              <w:marTop w:val="0"/>
              <w:marBottom w:val="0"/>
              <w:divBdr>
                <w:top w:val="none" w:sz="0" w:space="0" w:color="auto"/>
                <w:left w:val="none" w:sz="0" w:space="0" w:color="auto"/>
                <w:bottom w:val="none" w:sz="0" w:space="0" w:color="auto"/>
                <w:right w:val="none" w:sz="0" w:space="0" w:color="auto"/>
              </w:divBdr>
              <w:divsChild>
                <w:div w:id="11042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08301">
      <w:bodyDiv w:val="1"/>
      <w:marLeft w:val="0"/>
      <w:marRight w:val="0"/>
      <w:marTop w:val="0"/>
      <w:marBottom w:val="0"/>
      <w:divBdr>
        <w:top w:val="none" w:sz="0" w:space="0" w:color="auto"/>
        <w:left w:val="none" w:sz="0" w:space="0" w:color="auto"/>
        <w:bottom w:val="none" w:sz="0" w:space="0" w:color="auto"/>
        <w:right w:val="none" w:sz="0" w:space="0" w:color="auto"/>
      </w:divBdr>
    </w:div>
    <w:div w:id="1097629138">
      <w:bodyDiv w:val="1"/>
      <w:marLeft w:val="0"/>
      <w:marRight w:val="0"/>
      <w:marTop w:val="0"/>
      <w:marBottom w:val="0"/>
      <w:divBdr>
        <w:top w:val="none" w:sz="0" w:space="0" w:color="auto"/>
        <w:left w:val="none" w:sz="0" w:space="0" w:color="auto"/>
        <w:bottom w:val="none" w:sz="0" w:space="0" w:color="auto"/>
        <w:right w:val="none" w:sz="0" w:space="0" w:color="auto"/>
      </w:divBdr>
    </w:div>
    <w:div w:id="1105228710">
      <w:bodyDiv w:val="1"/>
      <w:marLeft w:val="0"/>
      <w:marRight w:val="0"/>
      <w:marTop w:val="0"/>
      <w:marBottom w:val="0"/>
      <w:divBdr>
        <w:top w:val="none" w:sz="0" w:space="0" w:color="auto"/>
        <w:left w:val="none" w:sz="0" w:space="0" w:color="auto"/>
        <w:bottom w:val="none" w:sz="0" w:space="0" w:color="auto"/>
        <w:right w:val="none" w:sz="0" w:space="0" w:color="auto"/>
      </w:divBdr>
      <w:divsChild>
        <w:div w:id="1502551701">
          <w:marLeft w:val="0"/>
          <w:marRight w:val="0"/>
          <w:marTop w:val="0"/>
          <w:marBottom w:val="0"/>
          <w:divBdr>
            <w:top w:val="none" w:sz="0" w:space="0" w:color="auto"/>
            <w:left w:val="none" w:sz="0" w:space="0" w:color="auto"/>
            <w:bottom w:val="none" w:sz="0" w:space="0" w:color="auto"/>
            <w:right w:val="none" w:sz="0" w:space="0" w:color="auto"/>
          </w:divBdr>
          <w:divsChild>
            <w:div w:id="754668736">
              <w:marLeft w:val="0"/>
              <w:marRight w:val="0"/>
              <w:marTop w:val="0"/>
              <w:marBottom w:val="0"/>
              <w:divBdr>
                <w:top w:val="none" w:sz="0" w:space="0" w:color="auto"/>
                <w:left w:val="none" w:sz="0" w:space="0" w:color="auto"/>
                <w:bottom w:val="none" w:sz="0" w:space="0" w:color="auto"/>
                <w:right w:val="none" w:sz="0" w:space="0" w:color="auto"/>
              </w:divBdr>
              <w:divsChild>
                <w:div w:id="18657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2044">
      <w:bodyDiv w:val="1"/>
      <w:marLeft w:val="0"/>
      <w:marRight w:val="0"/>
      <w:marTop w:val="0"/>
      <w:marBottom w:val="0"/>
      <w:divBdr>
        <w:top w:val="none" w:sz="0" w:space="0" w:color="auto"/>
        <w:left w:val="none" w:sz="0" w:space="0" w:color="auto"/>
        <w:bottom w:val="none" w:sz="0" w:space="0" w:color="auto"/>
        <w:right w:val="none" w:sz="0" w:space="0" w:color="auto"/>
      </w:divBdr>
    </w:div>
    <w:div w:id="1119296178">
      <w:bodyDiv w:val="1"/>
      <w:marLeft w:val="0"/>
      <w:marRight w:val="0"/>
      <w:marTop w:val="0"/>
      <w:marBottom w:val="0"/>
      <w:divBdr>
        <w:top w:val="none" w:sz="0" w:space="0" w:color="auto"/>
        <w:left w:val="none" w:sz="0" w:space="0" w:color="auto"/>
        <w:bottom w:val="none" w:sz="0" w:space="0" w:color="auto"/>
        <w:right w:val="none" w:sz="0" w:space="0" w:color="auto"/>
      </w:divBdr>
      <w:divsChild>
        <w:div w:id="2096978341">
          <w:marLeft w:val="0"/>
          <w:marRight w:val="0"/>
          <w:marTop w:val="0"/>
          <w:marBottom w:val="0"/>
          <w:divBdr>
            <w:top w:val="none" w:sz="0" w:space="0" w:color="auto"/>
            <w:left w:val="none" w:sz="0" w:space="0" w:color="auto"/>
            <w:bottom w:val="none" w:sz="0" w:space="0" w:color="auto"/>
            <w:right w:val="none" w:sz="0" w:space="0" w:color="auto"/>
          </w:divBdr>
          <w:divsChild>
            <w:div w:id="612248062">
              <w:marLeft w:val="0"/>
              <w:marRight w:val="0"/>
              <w:marTop w:val="0"/>
              <w:marBottom w:val="0"/>
              <w:divBdr>
                <w:top w:val="none" w:sz="0" w:space="0" w:color="auto"/>
                <w:left w:val="none" w:sz="0" w:space="0" w:color="auto"/>
                <w:bottom w:val="none" w:sz="0" w:space="0" w:color="auto"/>
                <w:right w:val="none" w:sz="0" w:space="0" w:color="auto"/>
              </w:divBdr>
              <w:divsChild>
                <w:div w:id="11207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0217">
      <w:bodyDiv w:val="1"/>
      <w:marLeft w:val="0"/>
      <w:marRight w:val="0"/>
      <w:marTop w:val="0"/>
      <w:marBottom w:val="0"/>
      <w:divBdr>
        <w:top w:val="none" w:sz="0" w:space="0" w:color="auto"/>
        <w:left w:val="none" w:sz="0" w:space="0" w:color="auto"/>
        <w:bottom w:val="none" w:sz="0" w:space="0" w:color="auto"/>
        <w:right w:val="none" w:sz="0" w:space="0" w:color="auto"/>
      </w:divBdr>
      <w:divsChild>
        <w:div w:id="2042198253">
          <w:marLeft w:val="0"/>
          <w:marRight w:val="0"/>
          <w:marTop w:val="0"/>
          <w:marBottom w:val="0"/>
          <w:divBdr>
            <w:top w:val="none" w:sz="0" w:space="0" w:color="auto"/>
            <w:left w:val="none" w:sz="0" w:space="0" w:color="auto"/>
            <w:bottom w:val="none" w:sz="0" w:space="0" w:color="auto"/>
            <w:right w:val="none" w:sz="0" w:space="0" w:color="auto"/>
          </w:divBdr>
          <w:divsChild>
            <w:div w:id="710224795">
              <w:marLeft w:val="0"/>
              <w:marRight w:val="0"/>
              <w:marTop w:val="0"/>
              <w:marBottom w:val="0"/>
              <w:divBdr>
                <w:top w:val="none" w:sz="0" w:space="0" w:color="auto"/>
                <w:left w:val="none" w:sz="0" w:space="0" w:color="auto"/>
                <w:bottom w:val="none" w:sz="0" w:space="0" w:color="auto"/>
                <w:right w:val="none" w:sz="0" w:space="0" w:color="auto"/>
              </w:divBdr>
              <w:divsChild>
                <w:div w:id="1753821135">
                  <w:marLeft w:val="0"/>
                  <w:marRight w:val="0"/>
                  <w:marTop w:val="0"/>
                  <w:marBottom w:val="0"/>
                  <w:divBdr>
                    <w:top w:val="none" w:sz="0" w:space="0" w:color="auto"/>
                    <w:left w:val="none" w:sz="0" w:space="0" w:color="auto"/>
                    <w:bottom w:val="none" w:sz="0" w:space="0" w:color="auto"/>
                    <w:right w:val="none" w:sz="0" w:space="0" w:color="auto"/>
                  </w:divBdr>
                  <w:divsChild>
                    <w:div w:id="5495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52230">
      <w:bodyDiv w:val="1"/>
      <w:marLeft w:val="0"/>
      <w:marRight w:val="0"/>
      <w:marTop w:val="0"/>
      <w:marBottom w:val="0"/>
      <w:divBdr>
        <w:top w:val="none" w:sz="0" w:space="0" w:color="auto"/>
        <w:left w:val="none" w:sz="0" w:space="0" w:color="auto"/>
        <w:bottom w:val="none" w:sz="0" w:space="0" w:color="auto"/>
        <w:right w:val="none" w:sz="0" w:space="0" w:color="auto"/>
      </w:divBdr>
      <w:divsChild>
        <w:div w:id="1003628635">
          <w:marLeft w:val="0"/>
          <w:marRight w:val="0"/>
          <w:marTop w:val="0"/>
          <w:marBottom w:val="0"/>
          <w:divBdr>
            <w:top w:val="none" w:sz="0" w:space="0" w:color="auto"/>
            <w:left w:val="none" w:sz="0" w:space="0" w:color="auto"/>
            <w:bottom w:val="none" w:sz="0" w:space="0" w:color="auto"/>
            <w:right w:val="none" w:sz="0" w:space="0" w:color="auto"/>
          </w:divBdr>
          <w:divsChild>
            <w:div w:id="2143771903">
              <w:marLeft w:val="0"/>
              <w:marRight w:val="0"/>
              <w:marTop w:val="0"/>
              <w:marBottom w:val="0"/>
              <w:divBdr>
                <w:top w:val="none" w:sz="0" w:space="0" w:color="auto"/>
                <w:left w:val="none" w:sz="0" w:space="0" w:color="auto"/>
                <w:bottom w:val="none" w:sz="0" w:space="0" w:color="auto"/>
                <w:right w:val="none" w:sz="0" w:space="0" w:color="auto"/>
              </w:divBdr>
              <w:divsChild>
                <w:div w:id="13020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43339">
      <w:bodyDiv w:val="1"/>
      <w:marLeft w:val="0"/>
      <w:marRight w:val="0"/>
      <w:marTop w:val="0"/>
      <w:marBottom w:val="0"/>
      <w:divBdr>
        <w:top w:val="none" w:sz="0" w:space="0" w:color="auto"/>
        <w:left w:val="none" w:sz="0" w:space="0" w:color="auto"/>
        <w:bottom w:val="none" w:sz="0" w:space="0" w:color="auto"/>
        <w:right w:val="none" w:sz="0" w:space="0" w:color="auto"/>
      </w:divBdr>
    </w:div>
    <w:div w:id="1131896702">
      <w:bodyDiv w:val="1"/>
      <w:marLeft w:val="0"/>
      <w:marRight w:val="0"/>
      <w:marTop w:val="0"/>
      <w:marBottom w:val="0"/>
      <w:divBdr>
        <w:top w:val="none" w:sz="0" w:space="0" w:color="auto"/>
        <w:left w:val="none" w:sz="0" w:space="0" w:color="auto"/>
        <w:bottom w:val="none" w:sz="0" w:space="0" w:color="auto"/>
        <w:right w:val="none" w:sz="0" w:space="0" w:color="auto"/>
      </w:divBdr>
    </w:div>
    <w:div w:id="1137989319">
      <w:bodyDiv w:val="1"/>
      <w:marLeft w:val="0"/>
      <w:marRight w:val="0"/>
      <w:marTop w:val="0"/>
      <w:marBottom w:val="0"/>
      <w:divBdr>
        <w:top w:val="none" w:sz="0" w:space="0" w:color="auto"/>
        <w:left w:val="none" w:sz="0" w:space="0" w:color="auto"/>
        <w:bottom w:val="none" w:sz="0" w:space="0" w:color="auto"/>
        <w:right w:val="none" w:sz="0" w:space="0" w:color="auto"/>
      </w:divBdr>
    </w:div>
    <w:div w:id="1142114471">
      <w:bodyDiv w:val="1"/>
      <w:marLeft w:val="0"/>
      <w:marRight w:val="0"/>
      <w:marTop w:val="0"/>
      <w:marBottom w:val="0"/>
      <w:divBdr>
        <w:top w:val="none" w:sz="0" w:space="0" w:color="auto"/>
        <w:left w:val="none" w:sz="0" w:space="0" w:color="auto"/>
        <w:bottom w:val="none" w:sz="0" w:space="0" w:color="auto"/>
        <w:right w:val="none" w:sz="0" w:space="0" w:color="auto"/>
      </w:divBdr>
    </w:div>
    <w:div w:id="1153519612">
      <w:bodyDiv w:val="1"/>
      <w:marLeft w:val="0"/>
      <w:marRight w:val="0"/>
      <w:marTop w:val="0"/>
      <w:marBottom w:val="0"/>
      <w:divBdr>
        <w:top w:val="none" w:sz="0" w:space="0" w:color="auto"/>
        <w:left w:val="none" w:sz="0" w:space="0" w:color="auto"/>
        <w:bottom w:val="none" w:sz="0" w:space="0" w:color="auto"/>
        <w:right w:val="none" w:sz="0" w:space="0" w:color="auto"/>
      </w:divBdr>
    </w:div>
    <w:div w:id="1163937275">
      <w:bodyDiv w:val="1"/>
      <w:marLeft w:val="0"/>
      <w:marRight w:val="0"/>
      <w:marTop w:val="0"/>
      <w:marBottom w:val="0"/>
      <w:divBdr>
        <w:top w:val="none" w:sz="0" w:space="0" w:color="auto"/>
        <w:left w:val="none" w:sz="0" w:space="0" w:color="auto"/>
        <w:bottom w:val="none" w:sz="0" w:space="0" w:color="auto"/>
        <w:right w:val="none" w:sz="0" w:space="0" w:color="auto"/>
      </w:divBdr>
    </w:div>
    <w:div w:id="1174300904">
      <w:bodyDiv w:val="1"/>
      <w:marLeft w:val="0"/>
      <w:marRight w:val="0"/>
      <w:marTop w:val="0"/>
      <w:marBottom w:val="0"/>
      <w:divBdr>
        <w:top w:val="none" w:sz="0" w:space="0" w:color="auto"/>
        <w:left w:val="none" w:sz="0" w:space="0" w:color="auto"/>
        <w:bottom w:val="none" w:sz="0" w:space="0" w:color="auto"/>
        <w:right w:val="none" w:sz="0" w:space="0" w:color="auto"/>
      </w:divBdr>
    </w:div>
    <w:div w:id="1178931447">
      <w:bodyDiv w:val="1"/>
      <w:marLeft w:val="0"/>
      <w:marRight w:val="0"/>
      <w:marTop w:val="0"/>
      <w:marBottom w:val="0"/>
      <w:divBdr>
        <w:top w:val="none" w:sz="0" w:space="0" w:color="auto"/>
        <w:left w:val="none" w:sz="0" w:space="0" w:color="auto"/>
        <w:bottom w:val="none" w:sz="0" w:space="0" w:color="auto"/>
        <w:right w:val="none" w:sz="0" w:space="0" w:color="auto"/>
      </w:divBdr>
    </w:div>
    <w:div w:id="1182354663">
      <w:bodyDiv w:val="1"/>
      <w:marLeft w:val="0"/>
      <w:marRight w:val="0"/>
      <w:marTop w:val="0"/>
      <w:marBottom w:val="0"/>
      <w:divBdr>
        <w:top w:val="none" w:sz="0" w:space="0" w:color="auto"/>
        <w:left w:val="none" w:sz="0" w:space="0" w:color="auto"/>
        <w:bottom w:val="none" w:sz="0" w:space="0" w:color="auto"/>
        <w:right w:val="none" w:sz="0" w:space="0" w:color="auto"/>
      </w:divBdr>
    </w:div>
    <w:div w:id="1202330483">
      <w:bodyDiv w:val="1"/>
      <w:marLeft w:val="0"/>
      <w:marRight w:val="0"/>
      <w:marTop w:val="0"/>
      <w:marBottom w:val="0"/>
      <w:divBdr>
        <w:top w:val="none" w:sz="0" w:space="0" w:color="auto"/>
        <w:left w:val="none" w:sz="0" w:space="0" w:color="auto"/>
        <w:bottom w:val="none" w:sz="0" w:space="0" w:color="auto"/>
        <w:right w:val="none" w:sz="0" w:space="0" w:color="auto"/>
      </w:divBdr>
    </w:div>
    <w:div w:id="1207062312">
      <w:bodyDiv w:val="1"/>
      <w:marLeft w:val="0"/>
      <w:marRight w:val="0"/>
      <w:marTop w:val="0"/>
      <w:marBottom w:val="0"/>
      <w:divBdr>
        <w:top w:val="none" w:sz="0" w:space="0" w:color="auto"/>
        <w:left w:val="none" w:sz="0" w:space="0" w:color="auto"/>
        <w:bottom w:val="none" w:sz="0" w:space="0" w:color="auto"/>
        <w:right w:val="none" w:sz="0" w:space="0" w:color="auto"/>
      </w:divBdr>
    </w:div>
    <w:div w:id="1231618891">
      <w:bodyDiv w:val="1"/>
      <w:marLeft w:val="0"/>
      <w:marRight w:val="0"/>
      <w:marTop w:val="0"/>
      <w:marBottom w:val="0"/>
      <w:divBdr>
        <w:top w:val="none" w:sz="0" w:space="0" w:color="auto"/>
        <w:left w:val="none" w:sz="0" w:space="0" w:color="auto"/>
        <w:bottom w:val="none" w:sz="0" w:space="0" w:color="auto"/>
        <w:right w:val="none" w:sz="0" w:space="0" w:color="auto"/>
      </w:divBdr>
    </w:div>
    <w:div w:id="1237672408">
      <w:bodyDiv w:val="1"/>
      <w:marLeft w:val="0"/>
      <w:marRight w:val="0"/>
      <w:marTop w:val="0"/>
      <w:marBottom w:val="0"/>
      <w:divBdr>
        <w:top w:val="none" w:sz="0" w:space="0" w:color="auto"/>
        <w:left w:val="none" w:sz="0" w:space="0" w:color="auto"/>
        <w:bottom w:val="none" w:sz="0" w:space="0" w:color="auto"/>
        <w:right w:val="none" w:sz="0" w:space="0" w:color="auto"/>
      </w:divBdr>
      <w:divsChild>
        <w:div w:id="1719474480">
          <w:marLeft w:val="0"/>
          <w:marRight w:val="0"/>
          <w:marTop w:val="0"/>
          <w:marBottom w:val="0"/>
          <w:divBdr>
            <w:top w:val="none" w:sz="0" w:space="0" w:color="auto"/>
            <w:left w:val="none" w:sz="0" w:space="0" w:color="auto"/>
            <w:bottom w:val="none" w:sz="0" w:space="0" w:color="auto"/>
            <w:right w:val="none" w:sz="0" w:space="0" w:color="auto"/>
          </w:divBdr>
          <w:divsChild>
            <w:div w:id="1817649737">
              <w:marLeft w:val="0"/>
              <w:marRight w:val="0"/>
              <w:marTop w:val="0"/>
              <w:marBottom w:val="0"/>
              <w:divBdr>
                <w:top w:val="none" w:sz="0" w:space="0" w:color="auto"/>
                <w:left w:val="none" w:sz="0" w:space="0" w:color="auto"/>
                <w:bottom w:val="none" w:sz="0" w:space="0" w:color="auto"/>
                <w:right w:val="none" w:sz="0" w:space="0" w:color="auto"/>
              </w:divBdr>
              <w:divsChild>
                <w:div w:id="835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20322">
      <w:bodyDiv w:val="1"/>
      <w:marLeft w:val="0"/>
      <w:marRight w:val="0"/>
      <w:marTop w:val="0"/>
      <w:marBottom w:val="0"/>
      <w:divBdr>
        <w:top w:val="none" w:sz="0" w:space="0" w:color="auto"/>
        <w:left w:val="none" w:sz="0" w:space="0" w:color="auto"/>
        <w:bottom w:val="none" w:sz="0" w:space="0" w:color="auto"/>
        <w:right w:val="none" w:sz="0" w:space="0" w:color="auto"/>
      </w:divBdr>
      <w:divsChild>
        <w:div w:id="698434130">
          <w:marLeft w:val="0"/>
          <w:marRight w:val="0"/>
          <w:marTop w:val="0"/>
          <w:marBottom w:val="0"/>
          <w:divBdr>
            <w:top w:val="none" w:sz="0" w:space="0" w:color="auto"/>
            <w:left w:val="none" w:sz="0" w:space="0" w:color="auto"/>
            <w:bottom w:val="none" w:sz="0" w:space="0" w:color="auto"/>
            <w:right w:val="none" w:sz="0" w:space="0" w:color="auto"/>
          </w:divBdr>
          <w:divsChild>
            <w:div w:id="2085832086">
              <w:marLeft w:val="0"/>
              <w:marRight w:val="0"/>
              <w:marTop w:val="0"/>
              <w:marBottom w:val="0"/>
              <w:divBdr>
                <w:top w:val="none" w:sz="0" w:space="0" w:color="auto"/>
                <w:left w:val="none" w:sz="0" w:space="0" w:color="auto"/>
                <w:bottom w:val="none" w:sz="0" w:space="0" w:color="auto"/>
                <w:right w:val="none" w:sz="0" w:space="0" w:color="auto"/>
              </w:divBdr>
              <w:divsChild>
                <w:div w:id="4921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25630">
      <w:bodyDiv w:val="1"/>
      <w:marLeft w:val="0"/>
      <w:marRight w:val="0"/>
      <w:marTop w:val="0"/>
      <w:marBottom w:val="0"/>
      <w:divBdr>
        <w:top w:val="none" w:sz="0" w:space="0" w:color="auto"/>
        <w:left w:val="none" w:sz="0" w:space="0" w:color="auto"/>
        <w:bottom w:val="none" w:sz="0" w:space="0" w:color="auto"/>
        <w:right w:val="none" w:sz="0" w:space="0" w:color="auto"/>
      </w:divBdr>
    </w:div>
    <w:div w:id="1323585534">
      <w:bodyDiv w:val="1"/>
      <w:marLeft w:val="0"/>
      <w:marRight w:val="0"/>
      <w:marTop w:val="0"/>
      <w:marBottom w:val="0"/>
      <w:divBdr>
        <w:top w:val="none" w:sz="0" w:space="0" w:color="auto"/>
        <w:left w:val="none" w:sz="0" w:space="0" w:color="auto"/>
        <w:bottom w:val="none" w:sz="0" w:space="0" w:color="auto"/>
        <w:right w:val="none" w:sz="0" w:space="0" w:color="auto"/>
      </w:divBdr>
    </w:div>
    <w:div w:id="1371998610">
      <w:bodyDiv w:val="1"/>
      <w:marLeft w:val="0"/>
      <w:marRight w:val="0"/>
      <w:marTop w:val="0"/>
      <w:marBottom w:val="0"/>
      <w:divBdr>
        <w:top w:val="none" w:sz="0" w:space="0" w:color="auto"/>
        <w:left w:val="none" w:sz="0" w:space="0" w:color="auto"/>
        <w:bottom w:val="none" w:sz="0" w:space="0" w:color="auto"/>
        <w:right w:val="none" w:sz="0" w:space="0" w:color="auto"/>
      </w:divBdr>
    </w:div>
    <w:div w:id="1383401394">
      <w:bodyDiv w:val="1"/>
      <w:marLeft w:val="0"/>
      <w:marRight w:val="0"/>
      <w:marTop w:val="0"/>
      <w:marBottom w:val="0"/>
      <w:divBdr>
        <w:top w:val="none" w:sz="0" w:space="0" w:color="auto"/>
        <w:left w:val="none" w:sz="0" w:space="0" w:color="auto"/>
        <w:bottom w:val="none" w:sz="0" w:space="0" w:color="auto"/>
        <w:right w:val="none" w:sz="0" w:space="0" w:color="auto"/>
      </w:divBdr>
      <w:divsChild>
        <w:div w:id="1550527463">
          <w:marLeft w:val="0"/>
          <w:marRight w:val="0"/>
          <w:marTop w:val="0"/>
          <w:marBottom w:val="0"/>
          <w:divBdr>
            <w:top w:val="none" w:sz="0" w:space="0" w:color="auto"/>
            <w:left w:val="none" w:sz="0" w:space="0" w:color="auto"/>
            <w:bottom w:val="none" w:sz="0" w:space="0" w:color="auto"/>
            <w:right w:val="none" w:sz="0" w:space="0" w:color="auto"/>
          </w:divBdr>
          <w:divsChild>
            <w:div w:id="2041123086">
              <w:marLeft w:val="0"/>
              <w:marRight w:val="0"/>
              <w:marTop w:val="0"/>
              <w:marBottom w:val="0"/>
              <w:divBdr>
                <w:top w:val="none" w:sz="0" w:space="0" w:color="auto"/>
                <w:left w:val="none" w:sz="0" w:space="0" w:color="auto"/>
                <w:bottom w:val="none" w:sz="0" w:space="0" w:color="auto"/>
                <w:right w:val="none" w:sz="0" w:space="0" w:color="auto"/>
              </w:divBdr>
              <w:divsChild>
                <w:div w:id="6423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92355">
      <w:bodyDiv w:val="1"/>
      <w:marLeft w:val="0"/>
      <w:marRight w:val="0"/>
      <w:marTop w:val="0"/>
      <w:marBottom w:val="0"/>
      <w:divBdr>
        <w:top w:val="none" w:sz="0" w:space="0" w:color="auto"/>
        <w:left w:val="none" w:sz="0" w:space="0" w:color="auto"/>
        <w:bottom w:val="none" w:sz="0" w:space="0" w:color="auto"/>
        <w:right w:val="none" w:sz="0" w:space="0" w:color="auto"/>
      </w:divBdr>
    </w:div>
    <w:div w:id="1430277705">
      <w:bodyDiv w:val="1"/>
      <w:marLeft w:val="0"/>
      <w:marRight w:val="0"/>
      <w:marTop w:val="0"/>
      <w:marBottom w:val="0"/>
      <w:divBdr>
        <w:top w:val="none" w:sz="0" w:space="0" w:color="auto"/>
        <w:left w:val="none" w:sz="0" w:space="0" w:color="auto"/>
        <w:bottom w:val="none" w:sz="0" w:space="0" w:color="auto"/>
        <w:right w:val="none" w:sz="0" w:space="0" w:color="auto"/>
      </w:divBdr>
    </w:div>
    <w:div w:id="1452820208">
      <w:bodyDiv w:val="1"/>
      <w:marLeft w:val="0"/>
      <w:marRight w:val="0"/>
      <w:marTop w:val="0"/>
      <w:marBottom w:val="0"/>
      <w:divBdr>
        <w:top w:val="none" w:sz="0" w:space="0" w:color="auto"/>
        <w:left w:val="none" w:sz="0" w:space="0" w:color="auto"/>
        <w:bottom w:val="none" w:sz="0" w:space="0" w:color="auto"/>
        <w:right w:val="none" w:sz="0" w:space="0" w:color="auto"/>
      </w:divBdr>
    </w:div>
    <w:div w:id="1478299523">
      <w:bodyDiv w:val="1"/>
      <w:marLeft w:val="0"/>
      <w:marRight w:val="0"/>
      <w:marTop w:val="0"/>
      <w:marBottom w:val="0"/>
      <w:divBdr>
        <w:top w:val="none" w:sz="0" w:space="0" w:color="auto"/>
        <w:left w:val="none" w:sz="0" w:space="0" w:color="auto"/>
        <w:bottom w:val="none" w:sz="0" w:space="0" w:color="auto"/>
        <w:right w:val="none" w:sz="0" w:space="0" w:color="auto"/>
      </w:divBdr>
    </w:div>
    <w:div w:id="1478302348">
      <w:bodyDiv w:val="1"/>
      <w:marLeft w:val="0"/>
      <w:marRight w:val="0"/>
      <w:marTop w:val="0"/>
      <w:marBottom w:val="0"/>
      <w:divBdr>
        <w:top w:val="none" w:sz="0" w:space="0" w:color="auto"/>
        <w:left w:val="none" w:sz="0" w:space="0" w:color="auto"/>
        <w:bottom w:val="none" w:sz="0" w:space="0" w:color="auto"/>
        <w:right w:val="none" w:sz="0" w:space="0" w:color="auto"/>
      </w:divBdr>
    </w:div>
    <w:div w:id="1489176243">
      <w:bodyDiv w:val="1"/>
      <w:marLeft w:val="0"/>
      <w:marRight w:val="0"/>
      <w:marTop w:val="0"/>
      <w:marBottom w:val="0"/>
      <w:divBdr>
        <w:top w:val="none" w:sz="0" w:space="0" w:color="auto"/>
        <w:left w:val="none" w:sz="0" w:space="0" w:color="auto"/>
        <w:bottom w:val="none" w:sz="0" w:space="0" w:color="auto"/>
        <w:right w:val="none" w:sz="0" w:space="0" w:color="auto"/>
      </w:divBdr>
      <w:divsChild>
        <w:div w:id="1663118505">
          <w:marLeft w:val="0"/>
          <w:marRight w:val="0"/>
          <w:marTop w:val="0"/>
          <w:marBottom w:val="0"/>
          <w:divBdr>
            <w:top w:val="none" w:sz="0" w:space="0" w:color="auto"/>
            <w:left w:val="none" w:sz="0" w:space="0" w:color="auto"/>
            <w:bottom w:val="none" w:sz="0" w:space="0" w:color="auto"/>
            <w:right w:val="none" w:sz="0" w:space="0" w:color="auto"/>
          </w:divBdr>
          <w:divsChild>
            <w:div w:id="1745294183">
              <w:marLeft w:val="0"/>
              <w:marRight w:val="0"/>
              <w:marTop w:val="0"/>
              <w:marBottom w:val="0"/>
              <w:divBdr>
                <w:top w:val="none" w:sz="0" w:space="0" w:color="auto"/>
                <w:left w:val="none" w:sz="0" w:space="0" w:color="auto"/>
                <w:bottom w:val="none" w:sz="0" w:space="0" w:color="auto"/>
                <w:right w:val="none" w:sz="0" w:space="0" w:color="auto"/>
              </w:divBdr>
              <w:divsChild>
                <w:div w:id="8410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4798">
      <w:bodyDiv w:val="1"/>
      <w:marLeft w:val="0"/>
      <w:marRight w:val="0"/>
      <w:marTop w:val="0"/>
      <w:marBottom w:val="0"/>
      <w:divBdr>
        <w:top w:val="none" w:sz="0" w:space="0" w:color="auto"/>
        <w:left w:val="none" w:sz="0" w:space="0" w:color="auto"/>
        <w:bottom w:val="none" w:sz="0" w:space="0" w:color="auto"/>
        <w:right w:val="none" w:sz="0" w:space="0" w:color="auto"/>
      </w:divBdr>
    </w:div>
    <w:div w:id="1537963301">
      <w:bodyDiv w:val="1"/>
      <w:marLeft w:val="0"/>
      <w:marRight w:val="0"/>
      <w:marTop w:val="0"/>
      <w:marBottom w:val="0"/>
      <w:divBdr>
        <w:top w:val="none" w:sz="0" w:space="0" w:color="auto"/>
        <w:left w:val="none" w:sz="0" w:space="0" w:color="auto"/>
        <w:bottom w:val="none" w:sz="0" w:space="0" w:color="auto"/>
        <w:right w:val="none" w:sz="0" w:space="0" w:color="auto"/>
      </w:divBdr>
    </w:div>
    <w:div w:id="1543009553">
      <w:bodyDiv w:val="1"/>
      <w:marLeft w:val="0"/>
      <w:marRight w:val="0"/>
      <w:marTop w:val="0"/>
      <w:marBottom w:val="0"/>
      <w:divBdr>
        <w:top w:val="none" w:sz="0" w:space="0" w:color="auto"/>
        <w:left w:val="none" w:sz="0" w:space="0" w:color="auto"/>
        <w:bottom w:val="none" w:sz="0" w:space="0" w:color="auto"/>
        <w:right w:val="none" w:sz="0" w:space="0" w:color="auto"/>
      </w:divBdr>
      <w:divsChild>
        <w:div w:id="6908411">
          <w:marLeft w:val="0"/>
          <w:marRight w:val="0"/>
          <w:marTop w:val="0"/>
          <w:marBottom w:val="0"/>
          <w:divBdr>
            <w:top w:val="none" w:sz="0" w:space="0" w:color="auto"/>
            <w:left w:val="none" w:sz="0" w:space="0" w:color="auto"/>
            <w:bottom w:val="none" w:sz="0" w:space="0" w:color="auto"/>
            <w:right w:val="none" w:sz="0" w:space="0" w:color="auto"/>
          </w:divBdr>
          <w:divsChild>
            <w:div w:id="933323099">
              <w:marLeft w:val="0"/>
              <w:marRight w:val="0"/>
              <w:marTop w:val="0"/>
              <w:marBottom w:val="0"/>
              <w:divBdr>
                <w:top w:val="none" w:sz="0" w:space="0" w:color="auto"/>
                <w:left w:val="none" w:sz="0" w:space="0" w:color="auto"/>
                <w:bottom w:val="none" w:sz="0" w:space="0" w:color="auto"/>
                <w:right w:val="none" w:sz="0" w:space="0" w:color="auto"/>
              </w:divBdr>
              <w:divsChild>
                <w:div w:id="9917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04685">
      <w:bodyDiv w:val="1"/>
      <w:marLeft w:val="0"/>
      <w:marRight w:val="0"/>
      <w:marTop w:val="0"/>
      <w:marBottom w:val="0"/>
      <w:divBdr>
        <w:top w:val="none" w:sz="0" w:space="0" w:color="auto"/>
        <w:left w:val="none" w:sz="0" w:space="0" w:color="auto"/>
        <w:bottom w:val="none" w:sz="0" w:space="0" w:color="auto"/>
        <w:right w:val="none" w:sz="0" w:space="0" w:color="auto"/>
      </w:divBdr>
      <w:divsChild>
        <w:div w:id="834149490">
          <w:marLeft w:val="0"/>
          <w:marRight w:val="0"/>
          <w:marTop w:val="0"/>
          <w:marBottom w:val="0"/>
          <w:divBdr>
            <w:top w:val="none" w:sz="0" w:space="0" w:color="auto"/>
            <w:left w:val="none" w:sz="0" w:space="0" w:color="auto"/>
            <w:bottom w:val="none" w:sz="0" w:space="0" w:color="auto"/>
            <w:right w:val="none" w:sz="0" w:space="0" w:color="auto"/>
          </w:divBdr>
          <w:divsChild>
            <w:div w:id="650908548">
              <w:marLeft w:val="0"/>
              <w:marRight w:val="0"/>
              <w:marTop w:val="0"/>
              <w:marBottom w:val="0"/>
              <w:divBdr>
                <w:top w:val="none" w:sz="0" w:space="0" w:color="auto"/>
                <w:left w:val="none" w:sz="0" w:space="0" w:color="auto"/>
                <w:bottom w:val="none" w:sz="0" w:space="0" w:color="auto"/>
                <w:right w:val="none" w:sz="0" w:space="0" w:color="auto"/>
              </w:divBdr>
              <w:divsChild>
                <w:div w:id="17611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5603">
      <w:bodyDiv w:val="1"/>
      <w:marLeft w:val="0"/>
      <w:marRight w:val="0"/>
      <w:marTop w:val="0"/>
      <w:marBottom w:val="0"/>
      <w:divBdr>
        <w:top w:val="none" w:sz="0" w:space="0" w:color="auto"/>
        <w:left w:val="none" w:sz="0" w:space="0" w:color="auto"/>
        <w:bottom w:val="none" w:sz="0" w:space="0" w:color="auto"/>
        <w:right w:val="none" w:sz="0" w:space="0" w:color="auto"/>
      </w:divBdr>
    </w:div>
    <w:div w:id="1558973308">
      <w:bodyDiv w:val="1"/>
      <w:marLeft w:val="0"/>
      <w:marRight w:val="0"/>
      <w:marTop w:val="0"/>
      <w:marBottom w:val="0"/>
      <w:divBdr>
        <w:top w:val="none" w:sz="0" w:space="0" w:color="auto"/>
        <w:left w:val="none" w:sz="0" w:space="0" w:color="auto"/>
        <w:bottom w:val="none" w:sz="0" w:space="0" w:color="auto"/>
        <w:right w:val="none" w:sz="0" w:space="0" w:color="auto"/>
      </w:divBdr>
    </w:div>
    <w:div w:id="1564564670">
      <w:bodyDiv w:val="1"/>
      <w:marLeft w:val="0"/>
      <w:marRight w:val="0"/>
      <w:marTop w:val="0"/>
      <w:marBottom w:val="0"/>
      <w:divBdr>
        <w:top w:val="none" w:sz="0" w:space="0" w:color="auto"/>
        <w:left w:val="none" w:sz="0" w:space="0" w:color="auto"/>
        <w:bottom w:val="none" w:sz="0" w:space="0" w:color="auto"/>
        <w:right w:val="none" w:sz="0" w:space="0" w:color="auto"/>
      </w:divBdr>
      <w:divsChild>
        <w:div w:id="295375138">
          <w:marLeft w:val="0"/>
          <w:marRight w:val="0"/>
          <w:marTop w:val="0"/>
          <w:marBottom w:val="0"/>
          <w:divBdr>
            <w:top w:val="none" w:sz="0" w:space="0" w:color="auto"/>
            <w:left w:val="none" w:sz="0" w:space="0" w:color="auto"/>
            <w:bottom w:val="none" w:sz="0" w:space="0" w:color="auto"/>
            <w:right w:val="none" w:sz="0" w:space="0" w:color="auto"/>
          </w:divBdr>
          <w:divsChild>
            <w:div w:id="1336151291">
              <w:marLeft w:val="0"/>
              <w:marRight w:val="0"/>
              <w:marTop w:val="0"/>
              <w:marBottom w:val="0"/>
              <w:divBdr>
                <w:top w:val="none" w:sz="0" w:space="0" w:color="auto"/>
                <w:left w:val="none" w:sz="0" w:space="0" w:color="auto"/>
                <w:bottom w:val="none" w:sz="0" w:space="0" w:color="auto"/>
                <w:right w:val="none" w:sz="0" w:space="0" w:color="auto"/>
              </w:divBdr>
              <w:divsChild>
                <w:div w:id="223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650553859">
      <w:bodyDiv w:val="1"/>
      <w:marLeft w:val="0"/>
      <w:marRight w:val="0"/>
      <w:marTop w:val="0"/>
      <w:marBottom w:val="0"/>
      <w:divBdr>
        <w:top w:val="none" w:sz="0" w:space="0" w:color="auto"/>
        <w:left w:val="none" w:sz="0" w:space="0" w:color="auto"/>
        <w:bottom w:val="none" w:sz="0" w:space="0" w:color="auto"/>
        <w:right w:val="none" w:sz="0" w:space="0" w:color="auto"/>
      </w:divBdr>
      <w:divsChild>
        <w:div w:id="504243302">
          <w:marLeft w:val="0"/>
          <w:marRight w:val="0"/>
          <w:marTop w:val="0"/>
          <w:marBottom w:val="0"/>
          <w:divBdr>
            <w:top w:val="none" w:sz="0" w:space="0" w:color="auto"/>
            <w:left w:val="none" w:sz="0" w:space="0" w:color="auto"/>
            <w:bottom w:val="none" w:sz="0" w:space="0" w:color="auto"/>
            <w:right w:val="none" w:sz="0" w:space="0" w:color="auto"/>
          </w:divBdr>
          <w:divsChild>
            <w:div w:id="1633362714">
              <w:marLeft w:val="0"/>
              <w:marRight w:val="0"/>
              <w:marTop w:val="0"/>
              <w:marBottom w:val="0"/>
              <w:divBdr>
                <w:top w:val="none" w:sz="0" w:space="0" w:color="auto"/>
                <w:left w:val="none" w:sz="0" w:space="0" w:color="auto"/>
                <w:bottom w:val="none" w:sz="0" w:space="0" w:color="auto"/>
                <w:right w:val="none" w:sz="0" w:space="0" w:color="auto"/>
              </w:divBdr>
              <w:divsChild>
                <w:div w:id="11716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15032">
      <w:bodyDiv w:val="1"/>
      <w:marLeft w:val="0"/>
      <w:marRight w:val="0"/>
      <w:marTop w:val="0"/>
      <w:marBottom w:val="0"/>
      <w:divBdr>
        <w:top w:val="none" w:sz="0" w:space="0" w:color="auto"/>
        <w:left w:val="none" w:sz="0" w:space="0" w:color="auto"/>
        <w:bottom w:val="none" w:sz="0" w:space="0" w:color="auto"/>
        <w:right w:val="none" w:sz="0" w:space="0" w:color="auto"/>
      </w:divBdr>
    </w:div>
    <w:div w:id="1653607374">
      <w:bodyDiv w:val="1"/>
      <w:marLeft w:val="0"/>
      <w:marRight w:val="0"/>
      <w:marTop w:val="0"/>
      <w:marBottom w:val="0"/>
      <w:divBdr>
        <w:top w:val="none" w:sz="0" w:space="0" w:color="auto"/>
        <w:left w:val="none" w:sz="0" w:space="0" w:color="auto"/>
        <w:bottom w:val="none" w:sz="0" w:space="0" w:color="auto"/>
        <w:right w:val="none" w:sz="0" w:space="0" w:color="auto"/>
      </w:divBdr>
    </w:div>
    <w:div w:id="1658924248">
      <w:bodyDiv w:val="1"/>
      <w:marLeft w:val="0"/>
      <w:marRight w:val="0"/>
      <w:marTop w:val="0"/>
      <w:marBottom w:val="0"/>
      <w:divBdr>
        <w:top w:val="none" w:sz="0" w:space="0" w:color="auto"/>
        <w:left w:val="none" w:sz="0" w:space="0" w:color="auto"/>
        <w:bottom w:val="none" w:sz="0" w:space="0" w:color="auto"/>
        <w:right w:val="none" w:sz="0" w:space="0" w:color="auto"/>
      </w:divBdr>
    </w:div>
    <w:div w:id="1689140294">
      <w:bodyDiv w:val="1"/>
      <w:marLeft w:val="0"/>
      <w:marRight w:val="0"/>
      <w:marTop w:val="0"/>
      <w:marBottom w:val="0"/>
      <w:divBdr>
        <w:top w:val="none" w:sz="0" w:space="0" w:color="auto"/>
        <w:left w:val="none" w:sz="0" w:space="0" w:color="auto"/>
        <w:bottom w:val="none" w:sz="0" w:space="0" w:color="auto"/>
        <w:right w:val="none" w:sz="0" w:space="0" w:color="auto"/>
      </w:divBdr>
    </w:div>
    <w:div w:id="1697804382">
      <w:bodyDiv w:val="1"/>
      <w:marLeft w:val="0"/>
      <w:marRight w:val="0"/>
      <w:marTop w:val="0"/>
      <w:marBottom w:val="0"/>
      <w:divBdr>
        <w:top w:val="none" w:sz="0" w:space="0" w:color="auto"/>
        <w:left w:val="none" w:sz="0" w:space="0" w:color="auto"/>
        <w:bottom w:val="none" w:sz="0" w:space="0" w:color="auto"/>
        <w:right w:val="none" w:sz="0" w:space="0" w:color="auto"/>
      </w:divBdr>
    </w:div>
    <w:div w:id="1712412613">
      <w:bodyDiv w:val="1"/>
      <w:marLeft w:val="0"/>
      <w:marRight w:val="0"/>
      <w:marTop w:val="0"/>
      <w:marBottom w:val="0"/>
      <w:divBdr>
        <w:top w:val="none" w:sz="0" w:space="0" w:color="auto"/>
        <w:left w:val="none" w:sz="0" w:space="0" w:color="auto"/>
        <w:bottom w:val="none" w:sz="0" w:space="0" w:color="auto"/>
        <w:right w:val="none" w:sz="0" w:space="0" w:color="auto"/>
      </w:divBdr>
    </w:div>
    <w:div w:id="1716155388">
      <w:bodyDiv w:val="1"/>
      <w:marLeft w:val="0"/>
      <w:marRight w:val="0"/>
      <w:marTop w:val="0"/>
      <w:marBottom w:val="0"/>
      <w:divBdr>
        <w:top w:val="none" w:sz="0" w:space="0" w:color="auto"/>
        <w:left w:val="none" w:sz="0" w:space="0" w:color="auto"/>
        <w:bottom w:val="none" w:sz="0" w:space="0" w:color="auto"/>
        <w:right w:val="none" w:sz="0" w:space="0" w:color="auto"/>
      </w:divBdr>
    </w:div>
    <w:div w:id="1727605061">
      <w:bodyDiv w:val="1"/>
      <w:marLeft w:val="0"/>
      <w:marRight w:val="0"/>
      <w:marTop w:val="0"/>
      <w:marBottom w:val="0"/>
      <w:divBdr>
        <w:top w:val="none" w:sz="0" w:space="0" w:color="auto"/>
        <w:left w:val="none" w:sz="0" w:space="0" w:color="auto"/>
        <w:bottom w:val="none" w:sz="0" w:space="0" w:color="auto"/>
        <w:right w:val="none" w:sz="0" w:space="0" w:color="auto"/>
      </w:divBdr>
    </w:div>
    <w:div w:id="1738363172">
      <w:bodyDiv w:val="1"/>
      <w:marLeft w:val="0"/>
      <w:marRight w:val="0"/>
      <w:marTop w:val="0"/>
      <w:marBottom w:val="0"/>
      <w:divBdr>
        <w:top w:val="none" w:sz="0" w:space="0" w:color="auto"/>
        <w:left w:val="none" w:sz="0" w:space="0" w:color="auto"/>
        <w:bottom w:val="none" w:sz="0" w:space="0" w:color="auto"/>
        <w:right w:val="none" w:sz="0" w:space="0" w:color="auto"/>
      </w:divBdr>
    </w:div>
    <w:div w:id="1754932910">
      <w:bodyDiv w:val="1"/>
      <w:marLeft w:val="0"/>
      <w:marRight w:val="0"/>
      <w:marTop w:val="0"/>
      <w:marBottom w:val="0"/>
      <w:divBdr>
        <w:top w:val="none" w:sz="0" w:space="0" w:color="auto"/>
        <w:left w:val="none" w:sz="0" w:space="0" w:color="auto"/>
        <w:bottom w:val="none" w:sz="0" w:space="0" w:color="auto"/>
        <w:right w:val="none" w:sz="0" w:space="0" w:color="auto"/>
      </w:divBdr>
    </w:div>
    <w:div w:id="1757704819">
      <w:bodyDiv w:val="1"/>
      <w:marLeft w:val="0"/>
      <w:marRight w:val="0"/>
      <w:marTop w:val="0"/>
      <w:marBottom w:val="0"/>
      <w:divBdr>
        <w:top w:val="none" w:sz="0" w:space="0" w:color="auto"/>
        <w:left w:val="none" w:sz="0" w:space="0" w:color="auto"/>
        <w:bottom w:val="none" w:sz="0" w:space="0" w:color="auto"/>
        <w:right w:val="none" w:sz="0" w:space="0" w:color="auto"/>
      </w:divBdr>
    </w:div>
    <w:div w:id="1758938803">
      <w:bodyDiv w:val="1"/>
      <w:marLeft w:val="0"/>
      <w:marRight w:val="0"/>
      <w:marTop w:val="0"/>
      <w:marBottom w:val="0"/>
      <w:divBdr>
        <w:top w:val="none" w:sz="0" w:space="0" w:color="auto"/>
        <w:left w:val="none" w:sz="0" w:space="0" w:color="auto"/>
        <w:bottom w:val="none" w:sz="0" w:space="0" w:color="auto"/>
        <w:right w:val="none" w:sz="0" w:space="0" w:color="auto"/>
      </w:divBdr>
      <w:divsChild>
        <w:div w:id="1319726978">
          <w:marLeft w:val="0"/>
          <w:marRight w:val="0"/>
          <w:marTop w:val="0"/>
          <w:marBottom w:val="0"/>
          <w:divBdr>
            <w:top w:val="none" w:sz="0" w:space="0" w:color="auto"/>
            <w:left w:val="none" w:sz="0" w:space="0" w:color="auto"/>
            <w:bottom w:val="none" w:sz="0" w:space="0" w:color="auto"/>
            <w:right w:val="none" w:sz="0" w:space="0" w:color="auto"/>
          </w:divBdr>
          <w:divsChild>
            <w:div w:id="1951088960">
              <w:marLeft w:val="0"/>
              <w:marRight w:val="0"/>
              <w:marTop w:val="0"/>
              <w:marBottom w:val="0"/>
              <w:divBdr>
                <w:top w:val="none" w:sz="0" w:space="0" w:color="auto"/>
                <w:left w:val="none" w:sz="0" w:space="0" w:color="auto"/>
                <w:bottom w:val="none" w:sz="0" w:space="0" w:color="auto"/>
                <w:right w:val="none" w:sz="0" w:space="0" w:color="auto"/>
              </w:divBdr>
              <w:divsChild>
                <w:div w:id="9407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67873">
      <w:bodyDiv w:val="1"/>
      <w:marLeft w:val="0"/>
      <w:marRight w:val="0"/>
      <w:marTop w:val="0"/>
      <w:marBottom w:val="0"/>
      <w:divBdr>
        <w:top w:val="none" w:sz="0" w:space="0" w:color="auto"/>
        <w:left w:val="none" w:sz="0" w:space="0" w:color="auto"/>
        <w:bottom w:val="none" w:sz="0" w:space="0" w:color="auto"/>
        <w:right w:val="none" w:sz="0" w:space="0" w:color="auto"/>
      </w:divBdr>
    </w:div>
    <w:div w:id="1807896388">
      <w:bodyDiv w:val="1"/>
      <w:marLeft w:val="0"/>
      <w:marRight w:val="0"/>
      <w:marTop w:val="0"/>
      <w:marBottom w:val="0"/>
      <w:divBdr>
        <w:top w:val="none" w:sz="0" w:space="0" w:color="auto"/>
        <w:left w:val="none" w:sz="0" w:space="0" w:color="auto"/>
        <w:bottom w:val="none" w:sz="0" w:space="0" w:color="auto"/>
        <w:right w:val="none" w:sz="0" w:space="0" w:color="auto"/>
      </w:divBdr>
      <w:divsChild>
        <w:div w:id="620042027">
          <w:marLeft w:val="0"/>
          <w:marRight w:val="0"/>
          <w:marTop w:val="0"/>
          <w:marBottom w:val="0"/>
          <w:divBdr>
            <w:top w:val="none" w:sz="0" w:space="0" w:color="auto"/>
            <w:left w:val="none" w:sz="0" w:space="0" w:color="auto"/>
            <w:bottom w:val="none" w:sz="0" w:space="0" w:color="auto"/>
            <w:right w:val="none" w:sz="0" w:space="0" w:color="auto"/>
          </w:divBdr>
          <w:divsChild>
            <w:div w:id="315574935">
              <w:marLeft w:val="0"/>
              <w:marRight w:val="0"/>
              <w:marTop w:val="0"/>
              <w:marBottom w:val="0"/>
              <w:divBdr>
                <w:top w:val="none" w:sz="0" w:space="0" w:color="auto"/>
                <w:left w:val="none" w:sz="0" w:space="0" w:color="auto"/>
                <w:bottom w:val="none" w:sz="0" w:space="0" w:color="auto"/>
                <w:right w:val="none" w:sz="0" w:space="0" w:color="auto"/>
              </w:divBdr>
              <w:divsChild>
                <w:div w:id="4148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4692">
      <w:bodyDiv w:val="1"/>
      <w:marLeft w:val="0"/>
      <w:marRight w:val="0"/>
      <w:marTop w:val="0"/>
      <w:marBottom w:val="0"/>
      <w:divBdr>
        <w:top w:val="none" w:sz="0" w:space="0" w:color="auto"/>
        <w:left w:val="none" w:sz="0" w:space="0" w:color="auto"/>
        <w:bottom w:val="none" w:sz="0" w:space="0" w:color="auto"/>
        <w:right w:val="none" w:sz="0" w:space="0" w:color="auto"/>
      </w:divBdr>
    </w:div>
    <w:div w:id="1833375071">
      <w:bodyDiv w:val="1"/>
      <w:marLeft w:val="0"/>
      <w:marRight w:val="0"/>
      <w:marTop w:val="0"/>
      <w:marBottom w:val="0"/>
      <w:divBdr>
        <w:top w:val="none" w:sz="0" w:space="0" w:color="auto"/>
        <w:left w:val="none" w:sz="0" w:space="0" w:color="auto"/>
        <w:bottom w:val="none" w:sz="0" w:space="0" w:color="auto"/>
        <w:right w:val="none" w:sz="0" w:space="0" w:color="auto"/>
      </w:divBdr>
      <w:divsChild>
        <w:div w:id="487480349">
          <w:marLeft w:val="2400"/>
          <w:marRight w:val="0"/>
          <w:marTop w:val="0"/>
          <w:marBottom w:val="0"/>
          <w:divBdr>
            <w:top w:val="single" w:sz="6" w:space="12" w:color="A7D7F9"/>
            <w:left w:val="single" w:sz="6" w:space="12" w:color="A7D7F9"/>
            <w:bottom w:val="single" w:sz="6" w:space="12" w:color="A7D7F9"/>
            <w:right w:val="single" w:sz="2" w:space="12" w:color="A7D7F9"/>
          </w:divBdr>
          <w:divsChild>
            <w:div w:id="325284552">
              <w:marLeft w:val="0"/>
              <w:marRight w:val="0"/>
              <w:marTop w:val="0"/>
              <w:marBottom w:val="0"/>
              <w:divBdr>
                <w:top w:val="none" w:sz="0" w:space="0" w:color="auto"/>
                <w:left w:val="none" w:sz="0" w:space="0" w:color="auto"/>
                <w:bottom w:val="none" w:sz="0" w:space="0" w:color="auto"/>
                <w:right w:val="none" w:sz="0" w:space="0" w:color="auto"/>
              </w:divBdr>
              <w:divsChild>
                <w:div w:id="31735936">
                  <w:marLeft w:val="0"/>
                  <w:marRight w:val="0"/>
                  <w:marTop w:val="0"/>
                  <w:marBottom w:val="0"/>
                  <w:divBdr>
                    <w:top w:val="none" w:sz="0" w:space="0" w:color="auto"/>
                    <w:left w:val="none" w:sz="0" w:space="0" w:color="auto"/>
                    <w:bottom w:val="none" w:sz="0" w:space="0" w:color="auto"/>
                    <w:right w:val="none" w:sz="0" w:space="0" w:color="auto"/>
                  </w:divBdr>
                  <w:divsChild>
                    <w:div w:id="2920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92028">
      <w:bodyDiv w:val="1"/>
      <w:marLeft w:val="0"/>
      <w:marRight w:val="0"/>
      <w:marTop w:val="0"/>
      <w:marBottom w:val="0"/>
      <w:divBdr>
        <w:top w:val="none" w:sz="0" w:space="0" w:color="auto"/>
        <w:left w:val="none" w:sz="0" w:space="0" w:color="auto"/>
        <w:bottom w:val="none" w:sz="0" w:space="0" w:color="auto"/>
        <w:right w:val="none" w:sz="0" w:space="0" w:color="auto"/>
      </w:divBdr>
      <w:divsChild>
        <w:div w:id="862716491">
          <w:marLeft w:val="0"/>
          <w:marRight w:val="0"/>
          <w:marTop w:val="0"/>
          <w:marBottom w:val="0"/>
          <w:divBdr>
            <w:top w:val="none" w:sz="0" w:space="0" w:color="auto"/>
            <w:left w:val="none" w:sz="0" w:space="0" w:color="auto"/>
            <w:bottom w:val="none" w:sz="0" w:space="0" w:color="auto"/>
            <w:right w:val="none" w:sz="0" w:space="0" w:color="auto"/>
          </w:divBdr>
          <w:divsChild>
            <w:div w:id="1554658943">
              <w:marLeft w:val="0"/>
              <w:marRight w:val="0"/>
              <w:marTop w:val="0"/>
              <w:marBottom w:val="0"/>
              <w:divBdr>
                <w:top w:val="none" w:sz="0" w:space="0" w:color="auto"/>
                <w:left w:val="none" w:sz="0" w:space="0" w:color="auto"/>
                <w:bottom w:val="none" w:sz="0" w:space="0" w:color="auto"/>
                <w:right w:val="none" w:sz="0" w:space="0" w:color="auto"/>
              </w:divBdr>
              <w:divsChild>
                <w:div w:id="18196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90300">
      <w:bodyDiv w:val="1"/>
      <w:marLeft w:val="0"/>
      <w:marRight w:val="0"/>
      <w:marTop w:val="0"/>
      <w:marBottom w:val="0"/>
      <w:divBdr>
        <w:top w:val="none" w:sz="0" w:space="0" w:color="auto"/>
        <w:left w:val="none" w:sz="0" w:space="0" w:color="auto"/>
        <w:bottom w:val="none" w:sz="0" w:space="0" w:color="auto"/>
        <w:right w:val="none" w:sz="0" w:space="0" w:color="auto"/>
      </w:divBdr>
      <w:divsChild>
        <w:div w:id="518860492">
          <w:marLeft w:val="0"/>
          <w:marRight w:val="0"/>
          <w:marTop w:val="0"/>
          <w:marBottom w:val="0"/>
          <w:divBdr>
            <w:top w:val="none" w:sz="0" w:space="0" w:color="auto"/>
            <w:left w:val="none" w:sz="0" w:space="0" w:color="auto"/>
            <w:bottom w:val="none" w:sz="0" w:space="0" w:color="auto"/>
            <w:right w:val="none" w:sz="0" w:space="0" w:color="auto"/>
          </w:divBdr>
          <w:divsChild>
            <w:div w:id="147209982">
              <w:marLeft w:val="0"/>
              <w:marRight w:val="0"/>
              <w:marTop w:val="0"/>
              <w:marBottom w:val="0"/>
              <w:divBdr>
                <w:top w:val="none" w:sz="0" w:space="0" w:color="auto"/>
                <w:left w:val="none" w:sz="0" w:space="0" w:color="auto"/>
                <w:bottom w:val="none" w:sz="0" w:space="0" w:color="auto"/>
                <w:right w:val="none" w:sz="0" w:space="0" w:color="auto"/>
              </w:divBdr>
              <w:divsChild>
                <w:div w:id="8234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15861">
      <w:bodyDiv w:val="1"/>
      <w:marLeft w:val="0"/>
      <w:marRight w:val="0"/>
      <w:marTop w:val="0"/>
      <w:marBottom w:val="0"/>
      <w:divBdr>
        <w:top w:val="none" w:sz="0" w:space="0" w:color="auto"/>
        <w:left w:val="none" w:sz="0" w:space="0" w:color="auto"/>
        <w:bottom w:val="none" w:sz="0" w:space="0" w:color="auto"/>
        <w:right w:val="none" w:sz="0" w:space="0" w:color="auto"/>
      </w:divBdr>
    </w:div>
    <w:div w:id="1882399817">
      <w:bodyDiv w:val="1"/>
      <w:marLeft w:val="0"/>
      <w:marRight w:val="0"/>
      <w:marTop w:val="0"/>
      <w:marBottom w:val="0"/>
      <w:divBdr>
        <w:top w:val="none" w:sz="0" w:space="0" w:color="auto"/>
        <w:left w:val="none" w:sz="0" w:space="0" w:color="auto"/>
        <w:bottom w:val="none" w:sz="0" w:space="0" w:color="auto"/>
        <w:right w:val="none" w:sz="0" w:space="0" w:color="auto"/>
      </w:divBdr>
      <w:divsChild>
        <w:div w:id="1594625341">
          <w:marLeft w:val="0"/>
          <w:marRight w:val="0"/>
          <w:marTop w:val="0"/>
          <w:marBottom w:val="0"/>
          <w:divBdr>
            <w:top w:val="none" w:sz="0" w:space="0" w:color="auto"/>
            <w:left w:val="none" w:sz="0" w:space="0" w:color="auto"/>
            <w:bottom w:val="none" w:sz="0" w:space="0" w:color="auto"/>
            <w:right w:val="none" w:sz="0" w:space="0" w:color="auto"/>
          </w:divBdr>
          <w:divsChild>
            <w:div w:id="847063649">
              <w:marLeft w:val="0"/>
              <w:marRight w:val="0"/>
              <w:marTop w:val="0"/>
              <w:marBottom w:val="0"/>
              <w:divBdr>
                <w:top w:val="none" w:sz="0" w:space="0" w:color="auto"/>
                <w:left w:val="none" w:sz="0" w:space="0" w:color="auto"/>
                <w:bottom w:val="none" w:sz="0" w:space="0" w:color="auto"/>
                <w:right w:val="none" w:sz="0" w:space="0" w:color="auto"/>
              </w:divBdr>
              <w:divsChild>
                <w:div w:id="2676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7102">
      <w:bodyDiv w:val="1"/>
      <w:marLeft w:val="0"/>
      <w:marRight w:val="0"/>
      <w:marTop w:val="0"/>
      <w:marBottom w:val="0"/>
      <w:divBdr>
        <w:top w:val="none" w:sz="0" w:space="0" w:color="auto"/>
        <w:left w:val="none" w:sz="0" w:space="0" w:color="auto"/>
        <w:bottom w:val="none" w:sz="0" w:space="0" w:color="auto"/>
        <w:right w:val="none" w:sz="0" w:space="0" w:color="auto"/>
      </w:divBdr>
    </w:div>
    <w:div w:id="1901669674">
      <w:bodyDiv w:val="1"/>
      <w:marLeft w:val="0"/>
      <w:marRight w:val="0"/>
      <w:marTop w:val="0"/>
      <w:marBottom w:val="0"/>
      <w:divBdr>
        <w:top w:val="none" w:sz="0" w:space="0" w:color="auto"/>
        <w:left w:val="none" w:sz="0" w:space="0" w:color="auto"/>
        <w:bottom w:val="none" w:sz="0" w:space="0" w:color="auto"/>
        <w:right w:val="none" w:sz="0" w:space="0" w:color="auto"/>
      </w:divBdr>
    </w:div>
    <w:div w:id="1925649209">
      <w:bodyDiv w:val="1"/>
      <w:marLeft w:val="0"/>
      <w:marRight w:val="0"/>
      <w:marTop w:val="0"/>
      <w:marBottom w:val="0"/>
      <w:divBdr>
        <w:top w:val="none" w:sz="0" w:space="0" w:color="auto"/>
        <w:left w:val="none" w:sz="0" w:space="0" w:color="auto"/>
        <w:bottom w:val="none" w:sz="0" w:space="0" w:color="auto"/>
        <w:right w:val="none" w:sz="0" w:space="0" w:color="auto"/>
      </w:divBdr>
      <w:divsChild>
        <w:div w:id="1501888528">
          <w:marLeft w:val="0"/>
          <w:marRight w:val="0"/>
          <w:marTop w:val="0"/>
          <w:marBottom w:val="0"/>
          <w:divBdr>
            <w:top w:val="none" w:sz="0" w:space="0" w:color="auto"/>
            <w:left w:val="none" w:sz="0" w:space="0" w:color="auto"/>
            <w:bottom w:val="none" w:sz="0" w:space="0" w:color="auto"/>
            <w:right w:val="none" w:sz="0" w:space="0" w:color="auto"/>
          </w:divBdr>
          <w:divsChild>
            <w:div w:id="366637246">
              <w:marLeft w:val="0"/>
              <w:marRight w:val="0"/>
              <w:marTop w:val="0"/>
              <w:marBottom w:val="0"/>
              <w:divBdr>
                <w:top w:val="none" w:sz="0" w:space="0" w:color="auto"/>
                <w:left w:val="none" w:sz="0" w:space="0" w:color="auto"/>
                <w:bottom w:val="none" w:sz="0" w:space="0" w:color="auto"/>
                <w:right w:val="none" w:sz="0" w:space="0" w:color="auto"/>
              </w:divBdr>
              <w:divsChild>
                <w:div w:id="18725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62889">
      <w:bodyDiv w:val="1"/>
      <w:marLeft w:val="0"/>
      <w:marRight w:val="0"/>
      <w:marTop w:val="0"/>
      <w:marBottom w:val="0"/>
      <w:divBdr>
        <w:top w:val="none" w:sz="0" w:space="0" w:color="auto"/>
        <w:left w:val="none" w:sz="0" w:space="0" w:color="auto"/>
        <w:bottom w:val="none" w:sz="0" w:space="0" w:color="auto"/>
        <w:right w:val="none" w:sz="0" w:space="0" w:color="auto"/>
      </w:divBdr>
      <w:divsChild>
        <w:div w:id="1007295886">
          <w:marLeft w:val="0"/>
          <w:marRight w:val="0"/>
          <w:marTop w:val="0"/>
          <w:marBottom w:val="0"/>
          <w:divBdr>
            <w:top w:val="none" w:sz="0" w:space="0" w:color="auto"/>
            <w:left w:val="none" w:sz="0" w:space="0" w:color="auto"/>
            <w:bottom w:val="none" w:sz="0" w:space="0" w:color="auto"/>
            <w:right w:val="none" w:sz="0" w:space="0" w:color="auto"/>
          </w:divBdr>
          <w:divsChild>
            <w:div w:id="172844047">
              <w:marLeft w:val="0"/>
              <w:marRight w:val="0"/>
              <w:marTop w:val="0"/>
              <w:marBottom w:val="0"/>
              <w:divBdr>
                <w:top w:val="none" w:sz="0" w:space="0" w:color="auto"/>
                <w:left w:val="none" w:sz="0" w:space="0" w:color="auto"/>
                <w:bottom w:val="none" w:sz="0" w:space="0" w:color="auto"/>
                <w:right w:val="none" w:sz="0" w:space="0" w:color="auto"/>
              </w:divBdr>
              <w:divsChild>
                <w:div w:id="14703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11553">
      <w:bodyDiv w:val="1"/>
      <w:marLeft w:val="0"/>
      <w:marRight w:val="0"/>
      <w:marTop w:val="0"/>
      <w:marBottom w:val="0"/>
      <w:divBdr>
        <w:top w:val="none" w:sz="0" w:space="0" w:color="auto"/>
        <w:left w:val="none" w:sz="0" w:space="0" w:color="auto"/>
        <w:bottom w:val="none" w:sz="0" w:space="0" w:color="auto"/>
        <w:right w:val="none" w:sz="0" w:space="0" w:color="auto"/>
      </w:divBdr>
    </w:div>
    <w:div w:id="1957441819">
      <w:bodyDiv w:val="1"/>
      <w:marLeft w:val="0"/>
      <w:marRight w:val="0"/>
      <w:marTop w:val="0"/>
      <w:marBottom w:val="0"/>
      <w:divBdr>
        <w:top w:val="none" w:sz="0" w:space="0" w:color="auto"/>
        <w:left w:val="none" w:sz="0" w:space="0" w:color="auto"/>
        <w:bottom w:val="none" w:sz="0" w:space="0" w:color="auto"/>
        <w:right w:val="none" w:sz="0" w:space="0" w:color="auto"/>
      </w:divBdr>
    </w:div>
    <w:div w:id="1982731401">
      <w:bodyDiv w:val="1"/>
      <w:marLeft w:val="0"/>
      <w:marRight w:val="0"/>
      <w:marTop w:val="0"/>
      <w:marBottom w:val="0"/>
      <w:divBdr>
        <w:top w:val="none" w:sz="0" w:space="0" w:color="auto"/>
        <w:left w:val="none" w:sz="0" w:space="0" w:color="auto"/>
        <w:bottom w:val="none" w:sz="0" w:space="0" w:color="auto"/>
        <w:right w:val="none" w:sz="0" w:space="0" w:color="auto"/>
      </w:divBdr>
    </w:div>
    <w:div w:id="2030060130">
      <w:bodyDiv w:val="1"/>
      <w:marLeft w:val="0"/>
      <w:marRight w:val="0"/>
      <w:marTop w:val="0"/>
      <w:marBottom w:val="0"/>
      <w:divBdr>
        <w:top w:val="none" w:sz="0" w:space="0" w:color="auto"/>
        <w:left w:val="none" w:sz="0" w:space="0" w:color="auto"/>
        <w:bottom w:val="none" w:sz="0" w:space="0" w:color="auto"/>
        <w:right w:val="none" w:sz="0" w:space="0" w:color="auto"/>
      </w:divBdr>
      <w:divsChild>
        <w:div w:id="1904869963">
          <w:marLeft w:val="0"/>
          <w:marRight w:val="0"/>
          <w:marTop w:val="0"/>
          <w:marBottom w:val="0"/>
          <w:divBdr>
            <w:top w:val="none" w:sz="0" w:space="0" w:color="auto"/>
            <w:left w:val="none" w:sz="0" w:space="0" w:color="auto"/>
            <w:bottom w:val="none" w:sz="0" w:space="0" w:color="auto"/>
            <w:right w:val="none" w:sz="0" w:space="0" w:color="auto"/>
          </w:divBdr>
          <w:divsChild>
            <w:div w:id="367993604">
              <w:marLeft w:val="0"/>
              <w:marRight w:val="0"/>
              <w:marTop w:val="0"/>
              <w:marBottom w:val="0"/>
              <w:divBdr>
                <w:top w:val="none" w:sz="0" w:space="0" w:color="auto"/>
                <w:left w:val="none" w:sz="0" w:space="0" w:color="auto"/>
                <w:bottom w:val="none" w:sz="0" w:space="0" w:color="auto"/>
                <w:right w:val="none" w:sz="0" w:space="0" w:color="auto"/>
              </w:divBdr>
              <w:divsChild>
                <w:div w:id="3480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03187">
      <w:bodyDiv w:val="1"/>
      <w:marLeft w:val="0"/>
      <w:marRight w:val="0"/>
      <w:marTop w:val="0"/>
      <w:marBottom w:val="0"/>
      <w:divBdr>
        <w:top w:val="none" w:sz="0" w:space="0" w:color="auto"/>
        <w:left w:val="none" w:sz="0" w:space="0" w:color="auto"/>
        <w:bottom w:val="none" w:sz="0" w:space="0" w:color="auto"/>
        <w:right w:val="none" w:sz="0" w:space="0" w:color="auto"/>
      </w:divBdr>
    </w:div>
    <w:div w:id="2069449003">
      <w:bodyDiv w:val="1"/>
      <w:marLeft w:val="0"/>
      <w:marRight w:val="0"/>
      <w:marTop w:val="0"/>
      <w:marBottom w:val="0"/>
      <w:divBdr>
        <w:top w:val="none" w:sz="0" w:space="0" w:color="auto"/>
        <w:left w:val="none" w:sz="0" w:space="0" w:color="auto"/>
        <w:bottom w:val="none" w:sz="0" w:space="0" w:color="auto"/>
        <w:right w:val="none" w:sz="0" w:space="0" w:color="auto"/>
      </w:divBdr>
    </w:div>
    <w:div w:id="2072069494">
      <w:bodyDiv w:val="1"/>
      <w:marLeft w:val="0"/>
      <w:marRight w:val="0"/>
      <w:marTop w:val="0"/>
      <w:marBottom w:val="0"/>
      <w:divBdr>
        <w:top w:val="none" w:sz="0" w:space="0" w:color="auto"/>
        <w:left w:val="none" w:sz="0" w:space="0" w:color="auto"/>
        <w:bottom w:val="none" w:sz="0" w:space="0" w:color="auto"/>
        <w:right w:val="none" w:sz="0" w:space="0" w:color="auto"/>
      </w:divBdr>
    </w:div>
    <w:div w:id="2072724894">
      <w:bodyDiv w:val="1"/>
      <w:marLeft w:val="0"/>
      <w:marRight w:val="0"/>
      <w:marTop w:val="0"/>
      <w:marBottom w:val="0"/>
      <w:divBdr>
        <w:top w:val="none" w:sz="0" w:space="0" w:color="auto"/>
        <w:left w:val="none" w:sz="0" w:space="0" w:color="auto"/>
        <w:bottom w:val="none" w:sz="0" w:space="0" w:color="auto"/>
        <w:right w:val="none" w:sz="0" w:space="0" w:color="auto"/>
      </w:divBdr>
    </w:div>
    <w:div w:id="2079664698">
      <w:bodyDiv w:val="1"/>
      <w:marLeft w:val="0"/>
      <w:marRight w:val="0"/>
      <w:marTop w:val="0"/>
      <w:marBottom w:val="0"/>
      <w:divBdr>
        <w:top w:val="none" w:sz="0" w:space="0" w:color="auto"/>
        <w:left w:val="none" w:sz="0" w:space="0" w:color="auto"/>
        <w:bottom w:val="none" w:sz="0" w:space="0" w:color="auto"/>
        <w:right w:val="none" w:sz="0" w:space="0" w:color="auto"/>
      </w:divBdr>
    </w:div>
    <w:div w:id="2084642846">
      <w:bodyDiv w:val="1"/>
      <w:marLeft w:val="0"/>
      <w:marRight w:val="0"/>
      <w:marTop w:val="0"/>
      <w:marBottom w:val="0"/>
      <w:divBdr>
        <w:top w:val="none" w:sz="0" w:space="0" w:color="auto"/>
        <w:left w:val="none" w:sz="0" w:space="0" w:color="auto"/>
        <w:bottom w:val="none" w:sz="0" w:space="0" w:color="auto"/>
        <w:right w:val="none" w:sz="0" w:space="0" w:color="auto"/>
      </w:divBdr>
    </w:div>
    <w:div w:id="2086301255">
      <w:bodyDiv w:val="1"/>
      <w:marLeft w:val="0"/>
      <w:marRight w:val="0"/>
      <w:marTop w:val="0"/>
      <w:marBottom w:val="0"/>
      <w:divBdr>
        <w:top w:val="none" w:sz="0" w:space="0" w:color="auto"/>
        <w:left w:val="none" w:sz="0" w:space="0" w:color="auto"/>
        <w:bottom w:val="none" w:sz="0" w:space="0" w:color="auto"/>
        <w:right w:val="none" w:sz="0" w:space="0" w:color="auto"/>
      </w:divBdr>
    </w:div>
    <w:div w:id="2091584528">
      <w:bodyDiv w:val="1"/>
      <w:marLeft w:val="0"/>
      <w:marRight w:val="0"/>
      <w:marTop w:val="0"/>
      <w:marBottom w:val="0"/>
      <w:divBdr>
        <w:top w:val="none" w:sz="0" w:space="0" w:color="auto"/>
        <w:left w:val="none" w:sz="0" w:space="0" w:color="auto"/>
        <w:bottom w:val="none" w:sz="0" w:space="0" w:color="auto"/>
        <w:right w:val="none" w:sz="0" w:space="0" w:color="auto"/>
      </w:divBdr>
    </w:div>
    <w:div w:id="2093507493">
      <w:bodyDiv w:val="1"/>
      <w:marLeft w:val="0"/>
      <w:marRight w:val="0"/>
      <w:marTop w:val="0"/>
      <w:marBottom w:val="0"/>
      <w:divBdr>
        <w:top w:val="none" w:sz="0" w:space="0" w:color="auto"/>
        <w:left w:val="none" w:sz="0" w:space="0" w:color="auto"/>
        <w:bottom w:val="none" w:sz="0" w:space="0" w:color="auto"/>
        <w:right w:val="none" w:sz="0" w:space="0" w:color="auto"/>
      </w:divBdr>
    </w:div>
    <w:div w:id="2094466551">
      <w:bodyDiv w:val="1"/>
      <w:marLeft w:val="0"/>
      <w:marRight w:val="0"/>
      <w:marTop w:val="0"/>
      <w:marBottom w:val="0"/>
      <w:divBdr>
        <w:top w:val="none" w:sz="0" w:space="0" w:color="auto"/>
        <w:left w:val="none" w:sz="0" w:space="0" w:color="auto"/>
        <w:bottom w:val="none" w:sz="0" w:space="0" w:color="auto"/>
        <w:right w:val="none" w:sz="0" w:space="0" w:color="auto"/>
      </w:divBdr>
    </w:div>
    <w:div w:id="2095131219">
      <w:bodyDiv w:val="1"/>
      <w:marLeft w:val="0"/>
      <w:marRight w:val="0"/>
      <w:marTop w:val="0"/>
      <w:marBottom w:val="0"/>
      <w:divBdr>
        <w:top w:val="none" w:sz="0" w:space="0" w:color="auto"/>
        <w:left w:val="none" w:sz="0" w:space="0" w:color="auto"/>
        <w:bottom w:val="none" w:sz="0" w:space="0" w:color="auto"/>
        <w:right w:val="none" w:sz="0" w:space="0" w:color="auto"/>
      </w:divBdr>
    </w:div>
    <w:div w:id="2114474651">
      <w:bodyDiv w:val="1"/>
      <w:marLeft w:val="0"/>
      <w:marRight w:val="0"/>
      <w:marTop w:val="0"/>
      <w:marBottom w:val="0"/>
      <w:divBdr>
        <w:top w:val="none" w:sz="0" w:space="0" w:color="auto"/>
        <w:left w:val="none" w:sz="0" w:space="0" w:color="auto"/>
        <w:bottom w:val="none" w:sz="0" w:space="0" w:color="auto"/>
        <w:right w:val="none" w:sz="0" w:space="0" w:color="auto"/>
      </w:divBdr>
      <w:divsChild>
        <w:div w:id="540946962">
          <w:marLeft w:val="0"/>
          <w:marRight w:val="0"/>
          <w:marTop w:val="0"/>
          <w:marBottom w:val="0"/>
          <w:divBdr>
            <w:top w:val="none" w:sz="0" w:space="0" w:color="auto"/>
            <w:left w:val="none" w:sz="0" w:space="0" w:color="auto"/>
            <w:bottom w:val="none" w:sz="0" w:space="0" w:color="auto"/>
            <w:right w:val="none" w:sz="0" w:space="0" w:color="auto"/>
          </w:divBdr>
        </w:div>
        <w:div w:id="1274939737">
          <w:marLeft w:val="0"/>
          <w:marRight w:val="0"/>
          <w:marTop w:val="0"/>
          <w:marBottom w:val="0"/>
          <w:divBdr>
            <w:top w:val="none" w:sz="0" w:space="0" w:color="auto"/>
            <w:left w:val="none" w:sz="0" w:space="0" w:color="auto"/>
            <w:bottom w:val="none" w:sz="0" w:space="0" w:color="auto"/>
            <w:right w:val="none" w:sz="0" w:space="0" w:color="auto"/>
          </w:divBdr>
          <w:divsChild>
            <w:div w:id="1145048927">
              <w:marLeft w:val="0"/>
              <w:marRight w:val="0"/>
              <w:marTop w:val="0"/>
              <w:marBottom w:val="0"/>
              <w:divBdr>
                <w:top w:val="none" w:sz="0" w:space="0" w:color="auto"/>
                <w:left w:val="none" w:sz="0" w:space="0" w:color="auto"/>
                <w:bottom w:val="none" w:sz="0" w:space="0" w:color="auto"/>
                <w:right w:val="none" w:sz="0" w:space="0" w:color="auto"/>
              </w:divBdr>
              <w:divsChild>
                <w:div w:id="2009402424">
                  <w:marLeft w:val="0"/>
                  <w:marRight w:val="0"/>
                  <w:marTop w:val="0"/>
                  <w:marBottom w:val="0"/>
                  <w:divBdr>
                    <w:top w:val="none" w:sz="0" w:space="0" w:color="auto"/>
                    <w:left w:val="none" w:sz="0" w:space="0" w:color="auto"/>
                    <w:bottom w:val="none" w:sz="0" w:space="0" w:color="auto"/>
                    <w:right w:val="none" w:sz="0" w:space="0" w:color="auto"/>
                  </w:divBdr>
                  <w:divsChild>
                    <w:div w:id="16834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35189">
          <w:marLeft w:val="0"/>
          <w:marRight w:val="0"/>
          <w:marTop w:val="0"/>
          <w:marBottom w:val="0"/>
          <w:divBdr>
            <w:top w:val="none" w:sz="0" w:space="0" w:color="auto"/>
            <w:left w:val="none" w:sz="0" w:space="0" w:color="auto"/>
            <w:bottom w:val="none" w:sz="0" w:space="0" w:color="auto"/>
            <w:right w:val="none" w:sz="0" w:space="0" w:color="auto"/>
          </w:divBdr>
          <w:divsChild>
            <w:div w:id="49153146">
              <w:marLeft w:val="0"/>
              <w:marRight w:val="0"/>
              <w:marTop w:val="0"/>
              <w:marBottom w:val="0"/>
              <w:divBdr>
                <w:top w:val="none" w:sz="0" w:space="0" w:color="auto"/>
                <w:left w:val="none" w:sz="0" w:space="0" w:color="auto"/>
                <w:bottom w:val="none" w:sz="0" w:space="0" w:color="auto"/>
                <w:right w:val="none" w:sz="0" w:space="0" w:color="auto"/>
              </w:divBdr>
              <w:divsChild>
                <w:div w:id="149904941">
                  <w:marLeft w:val="0"/>
                  <w:marRight w:val="0"/>
                  <w:marTop w:val="0"/>
                  <w:marBottom w:val="0"/>
                  <w:divBdr>
                    <w:top w:val="none" w:sz="0" w:space="0" w:color="auto"/>
                    <w:left w:val="none" w:sz="0" w:space="0" w:color="auto"/>
                    <w:bottom w:val="none" w:sz="0" w:space="0" w:color="auto"/>
                    <w:right w:val="none" w:sz="0" w:space="0" w:color="auto"/>
                  </w:divBdr>
                  <w:divsChild>
                    <w:div w:id="179049574">
                      <w:marLeft w:val="0"/>
                      <w:marRight w:val="0"/>
                      <w:marTop w:val="0"/>
                      <w:marBottom w:val="0"/>
                      <w:divBdr>
                        <w:top w:val="none" w:sz="0" w:space="0" w:color="auto"/>
                        <w:left w:val="none" w:sz="0" w:space="0" w:color="auto"/>
                        <w:bottom w:val="none" w:sz="0" w:space="0" w:color="auto"/>
                        <w:right w:val="none" w:sz="0" w:space="0" w:color="auto"/>
                      </w:divBdr>
                      <w:divsChild>
                        <w:div w:id="1735467988">
                          <w:marLeft w:val="0"/>
                          <w:marRight w:val="0"/>
                          <w:marTop w:val="0"/>
                          <w:marBottom w:val="0"/>
                          <w:divBdr>
                            <w:top w:val="none" w:sz="0" w:space="0" w:color="auto"/>
                            <w:left w:val="none" w:sz="0" w:space="0" w:color="auto"/>
                            <w:bottom w:val="none" w:sz="0" w:space="0" w:color="auto"/>
                            <w:right w:val="none" w:sz="0" w:space="0" w:color="auto"/>
                          </w:divBdr>
                          <w:divsChild>
                            <w:div w:id="9141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922707">
          <w:marLeft w:val="0"/>
          <w:marRight w:val="0"/>
          <w:marTop w:val="0"/>
          <w:marBottom w:val="0"/>
          <w:divBdr>
            <w:top w:val="none" w:sz="0" w:space="0" w:color="auto"/>
            <w:left w:val="none" w:sz="0" w:space="0" w:color="auto"/>
            <w:bottom w:val="none" w:sz="0" w:space="0" w:color="auto"/>
            <w:right w:val="none" w:sz="0" w:space="0" w:color="auto"/>
          </w:divBdr>
          <w:divsChild>
            <w:div w:id="2124377351">
              <w:marLeft w:val="0"/>
              <w:marRight w:val="0"/>
              <w:marTop w:val="0"/>
              <w:marBottom w:val="0"/>
              <w:divBdr>
                <w:top w:val="none" w:sz="0" w:space="0" w:color="auto"/>
                <w:left w:val="none" w:sz="0" w:space="0" w:color="auto"/>
                <w:bottom w:val="none" w:sz="0" w:space="0" w:color="auto"/>
                <w:right w:val="none" w:sz="0" w:space="0" w:color="auto"/>
              </w:divBdr>
              <w:divsChild>
                <w:div w:id="1044594999">
                  <w:marLeft w:val="0"/>
                  <w:marRight w:val="0"/>
                  <w:marTop w:val="0"/>
                  <w:marBottom w:val="0"/>
                  <w:divBdr>
                    <w:top w:val="none" w:sz="0" w:space="0" w:color="auto"/>
                    <w:left w:val="none" w:sz="0" w:space="0" w:color="auto"/>
                    <w:bottom w:val="none" w:sz="0" w:space="0" w:color="auto"/>
                    <w:right w:val="none" w:sz="0" w:space="0" w:color="auto"/>
                  </w:divBdr>
                  <w:divsChild>
                    <w:div w:id="698820028">
                      <w:marLeft w:val="0"/>
                      <w:marRight w:val="0"/>
                      <w:marTop w:val="0"/>
                      <w:marBottom w:val="0"/>
                      <w:divBdr>
                        <w:top w:val="none" w:sz="0" w:space="0" w:color="auto"/>
                        <w:left w:val="none" w:sz="0" w:space="0" w:color="auto"/>
                        <w:bottom w:val="none" w:sz="0" w:space="0" w:color="auto"/>
                        <w:right w:val="none" w:sz="0" w:space="0" w:color="auto"/>
                      </w:divBdr>
                      <w:divsChild>
                        <w:div w:id="204374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21600">
      <w:bodyDiv w:val="1"/>
      <w:marLeft w:val="0"/>
      <w:marRight w:val="0"/>
      <w:marTop w:val="0"/>
      <w:marBottom w:val="0"/>
      <w:divBdr>
        <w:top w:val="none" w:sz="0" w:space="0" w:color="auto"/>
        <w:left w:val="none" w:sz="0" w:space="0" w:color="auto"/>
        <w:bottom w:val="none" w:sz="0" w:space="0" w:color="auto"/>
        <w:right w:val="none" w:sz="0" w:space="0" w:color="auto"/>
      </w:divBdr>
      <w:divsChild>
        <w:div w:id="160198517">
          <w:marLeft w:val="0"/>
          <w:marRight w:val="0"/>
          <w:marTop w:val="0"/>
          <w:marBottom w:val="0"/>
          <w:divBdr>
            <w:top w:val="none" w:sz="0" w:space="0" w:color="auto"/>
            <w:left w:val="none" w:sz="0" w:space="0" w:color="auto"/>
            <w:bottom w:val="none" w:sz="0" w:space="0" w:color="auto"/>
            <w:right w:val="none" w:sz="0" w:space="0" w:color="auto"/>
          </w:divBdr>
          <w:divsChild>
            <w:div w:id="127893083">
              <w:marLeft w:val="0"/>
              <w:marRight w:val="0"/>
              <w:marTop w:val="0"/>
              <w:marBottom w:val="0"/>
              <w:divBdr>
                <w:top w:val="none" w:sz="0" w:space="0" w:color="auto"/>
                <w:left w:val="none" w:sz="0" w:space="0" w:color="auto"/>
                <w:bottom w:val="none" w:sz="0" w:space="0" w:color="auto"/>
                <w:right w:val="none" w:sz="0" w:space="0" w:color="auto"/>
              </w:divBdr>
              <w:divsChild>
                <w:div w:id="14269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bailii.org/uk/cases/UKPC/2004/33.html" TargetMode="External"/><Relationship Id="rId2" Type="http://schemas.openxmlformats.org/officeDocument/2006/relationships/hyperlink" Target="https://www.corteidh.or.cr/docs/asuntos/bissoon_serrette_02_06_22_ing.pdf" TargetMode="External"/><Relationship Id="rId1" Type="http://schemas.openxmlformats.org/officeDocument/2006/relationships/hyperlink" Target="https://www.corteidh.or.cr/docs/asuntos/bissoon_serrette_02_06_22_ing.pdf" TargetMode="External"/><Relationship Id="rId4" Type="http://schemas.openxmlformats.org/officeDocument/2006/relationships/hyperlink" Target="http://www.bailii.org/uk/cases/UKPC/2004/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65A52-E327-405A-8FC0-B7ED88FF0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9050</Words>
  <Characters>49779</Characters>
  <Application>Microsoft Office Word</Application>
  <DocSecurity>0</DocSecurity>
  <Lines>414</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5</cp:revision>
  <cp:lastPrinted>2023-01-30T17:13:00Z</cp:lastPrinted>
  <dcterms:created xsi:type="dcterms:W3CDTF">2023-01-30T17:09:00Z</dcterms:created>
  <dcterms:modified xsi:type="dcterms:W3CDTF">2023-01-30T17:14:00Z</dcterms:modified>
</cp:coreProperties>
</file>