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099EE" w14:textId="77777777" w:rsidR="00FA2EA0" w:rsidRDefault="00FA2EA0" w:rsidP="00FA2EA0">
      <w:pPr>
        <w:pStyle w:val="Textoindependiente"/>
        <w:ind w:right="48"/>
        <w:rPr>
          <w:rFonts w:ascii="Times New Roman"/>
        </w:rPr>
      </w:pPr>
    </w:p>
    <w:p w14:paraId="158E14F5" w14:textId="77777777" w:rsidR="00FA2EA0" w:rsidRDefault="00FA2EA0" w:rsidP="00FA2EA0">
      <w:pPr>
        <w:pStyle w:val="Textoindependiente"/>
        <w:ind w:right="48"/>
        <w:rPr>
          <w:rFonts w:ascii="Times New Roman"/>
        </w:rPr>
      </w:pPr>
    </w:p>
    <w:p w14:paraId="06C6B826" w14:textId="77777777" w:rsidR="00FA2EA0" w:rsidRDefault="00FA2EA0" w:rsidP="00FA2EA0">
      <w:pPr>
        <w:pStyle w:val="Textoindependiente"/>
        <w:ind w:right="48"/>
        <w:rPr>
          <w:rFonts w:ascii="Times New Roman"/>
        </w:rPr>
      </w:pPr>
    </w:p>
    <w:p w14:paraId="109345AD" w14:textId="77777777" w:rsidR="00FA2EA0" w:rsidRDefault="00FA2EA0" w:rsidP="00FA2EA0">
      <w:pPr>
        <w:pStyle w:val="Textoindependiente"/>
        <w:ind w:right="48"/>
        <w:rPr>
          <w:rFonts w:ascii="Times New Roman"/>
        </w:rPr>
      </w:pPr>
    </w:p>
    <w:p w14:paraId="7CE4B657" w14:textId="77777777" w:rsidR="00FA2EA0" w:rsidRDefault="00FA2EA0" w:rsidP="00FA2EA0">
      <w:pPr>
        <w:pStyle w:val="Textoindependiente"/>
        <w:ind w:right="48"/>
        <w:rPr>
          <w:rFonts w:ascii="Times New Roman"/>
        </w:rPr>
      </w:pPr>
    </w:p>
    <w:p w14:paraId="6D342628" w14:textId="77777777" w:rsidR="00FA2EA0" w:rsidRDefault="00FA2EA0" w:rsidP="00FA2EA0">
      <w:pPr>
        <w:pStyle w:val="Textoindependiente"/>
        <w:ind w:right="48"/>
        <w:rPr>
          <w:rFonts w:ascii="Times New Roman"/>
        </w:rPr>
      </w:pPr>
    </w:p>
    <w:p w14:paraId="04A8C4CC" w14:textId="77777777" w:rsidR="00FA2EA0" w:rsidRDefault="00FA2EA0" w:rsidP="00FA2EA0">
      <w:pPr>
        <w:pStyle w:val="Textoindependiente"/>
        <w:ind w:right="48"/>
        <w:rPr>
          <w:rFonts w:ascii="Times New Roman"/>
        </w:rPr>
      </w:pPr>
    </w:p>
    <w:p w14:paraId="599267C0" w14:textId="77777777" w:rsidR="00FA2EA0" w:rsidRDefault="00FA2EA0" w:rsidP="00FA2EA0">
      <w:pPr>
        <w:pStyle w:val="Textoindependiente"/>
        <w:ind w:right="48"/>
        <w:rPr>
          <w:rFonts w:ascii="Times New Roman"/>
        </w:rPr>
      </w:pPr>
    </w:p>
    <w:p w14:paraId="60A31FF1" w14:textId="77777777" w:rsidR="00FA2EA0" w:rsidRDefault="00FA2EA0" w:rsidP="00FA2EA0">
      <w:pPr>
        <w:pStyle w:val="Textoindependiente"/>
        <w:spacing w:before="1"/>
        <w:ind w:right="48"/>
        <w:rPr>
          <w:rFonts w:ascii="Times New Roman"/>
          <w:sz w:val="23"/>
        </w:rPr>
      </w:pPr>
    </w:p>
    <w:p w14:paraId="6D0D4FAB" w14:textId="77777777" w:rsidR="00FA2EA0" w:rsidRDefault="00FA2EA0" w:rsidP="00FA2EA0">
      <w:pPr>
        <w:pStyle w:val="Ttulo1"/>
        <w:spacing w:line="477" w:lineRule="auto"/>
        <w:ind w:left="0" w:right="48"/>
        <w:rPr>
          <w:spacing w:val="-65"/>
        </w:rPr>
      </w:pPr>
      <w:r>
        <w:t>CORTE</w:t>
      </w:r>
      <w:r>
        <w:rPr>
          <w:spacing w:val="-6"/>
        </w:rPr>
        <w:t xml:space="preserve"> </w:t>
      </w:r>
      <w:r>
        <w:t>INTERAMERICANA</w:t>
      </w:r>
      <w:r>
        <w:rPr>
          <w:spacing w:val="-6"/>
        </w:rPr>
        <w:t xml:space="preserve"> </w:t>
      </w:r>
      <w:r>
        <w:t>DE</w:t>
      </w:r>
      <w:r>
        <w:rPr>
          <w:spacing w:val="-6"/>
        </w:rPr>
        <w:t xml:space="preserve"> </w:t>
      </w:r>
      <w:r>
        <w:t>DERECHOS</w:t>
      </w:r>
      <w:r>
        <w:rPr>
          <w:spacing w:val="-7"/>
        </w:rPr>
        <w:t xml:space="preserve"> </w:t>
      </w:r>
      <w:r>
        <w:t>HUMANOS</w:t>
      </w:r>
      <w:r>
        <w:rPr>
          <w:spacing w:val="-65"/>
        </w:rPr>
        <w:t xml:space="preserve"> </w:t>
      </w:r>
    </w:p>
    <w:p w14:paraId="32B63B46" w14:textId="36209D7C" w:rsidR="00FA2EA0" w:rsidRDefault="00FA2EA0" w:rsidP="00FA2EA0">
      <w:pPr>
        <w:pStyle w:val="Ttulo1"/>
        <w:spacing w:line="477" w:lineRule="auto"/>
        <w:ind w:left="0" w:right="48"/>
      </w:pPr>
      <w:r>
        <w:t>CASO</w:t>
      </w:r>
      <w:r>
        <w:rPr>
          <w:spacing w:val="1"/>
        </w:rPr>
        <w:t xml:space="preserve"> </w:t>
      </w:r>
      <w:r>
        <w:t xml:space="preserve">MINA CUERO </w:t>
      </w:r>
      <w:r>
        <w:rPr>
          <w:i/>
        </w:rPr>
        <w:t>VS.</w:t>
      </w:r>
      <w:r>
        <w:rPr>
          <w:i/>
          <w:spacing w:val="1"/>
        </w:rPr>
        <w:t xml:space="preserve"> </w:t>
      </w:r>
      <w:r>
        <w:t>ECUADOR</w:t>
      </w:r>
    </w:p>
    <w:p w14:paraId="140CB27E" w14:textId="3B852DD6" w:rsidR="00FA2EA0" w:rsidRDefault="00FA2EA0" w:rsidP="00FA2EA0">
      <w:pPr>
        <w:spacing w:before="5"/>
        <w:ind w:right="48"/>
        <w:jc w:val="center"/>
        <w:rPr>
          <w:b/>
          <w:sz w:val="20"/>
        </w:rPr>
      </w:pPr>
      <w:r w:rsidRPr="00270A3D">
        <w:rPr>
          <w:b/>
          <w:spacing w:val="-3"/>
          <w:sz w:val="20"/>
        </w:rPr>
        <w:t>SENTENCIA</w:t>
      </w:r>
      <w:r w:rsidRPr="00270A3D">
        <w:rPr>
          <w:b/>
          <w:spacing w:val="-14"/>
          <w:sz w:val="20"/>
        </w:rPr>
        <w:t xml:space="preserve"> </w:t>
      </w:r>
      <w:r w:rsidRPr="00270A3D">
        <w:rPr>
          <w:b/>
          <w:spacing w:val="-2"/>
          <w:sz w:val="20"/>
        </w:rPr>
        <w:t>DE</w:t>
      </w:r>
      <w:r w:rsidRPr="00270A3D">
        <w:rPr>
          <w:b/>
          <w:spacing w:val="-11"/>
          <w:sz w:val="20"/>
        </w:rPr>
        <w:t xml:space="preserve"> </w:t>
      </w:r>
      <w:r w:rsidR="00270A3D" w:rsidRPr="00270A3D">
        <w:rPr>
          <w:b/>
          <w:spacing w:val="-2"/>
          <w:sz w:val="20"/>
        </w:rPr>
        <w:t>30</w:t>
      </w:r>
      <w:r w:rsidRPr="00270A3D">
        <w:rPr>
          <w:b/>
          <w:spacing w:val="-15"/>
          <w:sz w:val="20"/>
        </w:rPr>
        <w:t xml:space="preserve"> </w:t>
      </w:r>
      <w:r w:rsidRPr="00270A3D">
        <w:rPr>
          <w:b/>
          <w:spacing w:val="-2"/>
          <w:sz w:val="20"/>
        </w:rPr>
        <w:t>DE</w:t>
      </w:r>
      <w:r w:rsidRPr="00270A3D">
        <w:rPr>
          <w:b/>
          <w:spacing w:val="-13"/>
          <w:sz w:val="20"/>
        </w:rPr>
        <w:t xml:space="preserve"> </w:t>
      </w:r>
      <w:r w:rsidR="00270A3D" w:rsidRPr="00270A3D">
        <w:rPr>
          <w:b/>
          <w:spacing w:val="-2"/>
          <w:sz w:val="20"/>
        </w:rPr>
        <w:t>AGOSTO</w:t>
      </w:r>
      <w:r w:rsidRPr="00270A3D">
        <w:rPr>
          <w:b/>
          <w:spacing w:val="-14"/>
          <w:sz w:val="20"/>
        </w:rPr>
        <w:t xml:space="preserve"> </w:t>
      </w:r>
      <w:r w:rsidRPr="00270A3D">
        <w:rPr>
          <w:b/>
          <w:spacing w:val="-2"/>
          <w:sz w:val="20"/>
        </w:rPr>
        <w:t>DE</w:t>
      </w:r>
      <w:r w:rsidRPr="00270A3D">
        <w:rPr>
          <w:b/>
          <w:spacing w:val="-12"/>
          <w:sz w:val="20"/>
        </w:rPr>
        <w:t xml:space="preserve"> </w:t>
      </w:r>
      <w:r w:rsidRPr="00270A3D">
        <w:rPr>
          <w:b/>
          <w:spacing w:val="-2"/>
          <w:sz w:val="20"/>
        </w:rPr>
        <w:t>2023</w:t>
      </w:r>
    </w:p>
    <w:p w14:paraId="462838E1" w14:textId="77777777" w:rsidR="00FA2EA0" w:rsidRDefault="00FA2EA0" w:rsidP="00FA2EA0">
      <w:pPr>
        <w:pStyle w:val="Textoindependiente"/>
        <w:spacing w:before="1"/>
        <w:ind w:right="48"/>
        <w:rPr>
          <w:b/>
        </w:rPr>
      </w:pPr>
    </w:p>
    <w:p w14:paraId="101AF6EB" w14:textId="77777777" w:rsidR="00FA2EA0" w:rsidRDefault="00FA2EA0" w:rsidP="00FA2EA0">
      <w:pPr>
        <w:pStyle w:val="Ttulo2"/>
        <w:ind w:left="0" w:right="48"/>
        <w:jc w:val="center"/>
        <w:rPr>
          <w:spacing w:val="-3"/>
        </w:rPr>
      </w:pPr>
      <w:r>
        <w:rPr>
          <w:spacing w:val="-4"/>
        </w:rPr>
        <w:t>(Interpretación</w:t>
      </w:r>
      <w:r>
        <w:rPr>
          <w:spacing w:val="-11"/>
        </w:rPr>
        <w:t xml:space="preserve"> </w:t>
      </w:r>
      <w:r>
        <w:rPr>
          <w:spacing w:val="-4"/>
        </w:rPr>
        <w:t>de</w:t>
      </w:r>
      <w:r>
        <w:rPr>
          <w:spacing w:val="-10"/>
        </w:rPr>
        <w:t xml:space="preserve"> </w:t>
      </w:r>
      <w:r>
        <w:rPr>
          <w:spacing w:val="-4"/>
        </w:rPr>
        <w:t>la</w:t>
      </w:r>
      <w:r>
        <w:rPr>
          <w:spacing w:val="-10"/>
        </w:rPr>
        <w:t xml:space="preserve"> </w:t>
      </w:r>
      <w:r>
        <w:rPr>
          <w:spacing w:val="-4"/>
        </w:rPr>
        <w:t>Sentencia</w:t>
      </w:r>
      <w:r>
        <w:rPr>
          <w:spacing w:val="-13"/>
        </w:rPr>
        <w:t xml:space="preserve"> </w:t>
      </w:r>
      <w:r>
        <w:rPr>
          <w:spacing w:val="-4"/>
        </w:rPr>
        <w:t>de</w:t>
      </w:r>
      <w:r>
        <w:rPr>
          <w:spacing w:val="-12"/>
        </w:rPr>
        <w:t xml:space="preserve"> </w:t>
      </w:r>
      <w:r>
        <w:rPr>
          <w:spacing w:val="-3"/>
        </w:rPr>
        <w:t>Excepción</w:t>
      </w:r>
      <w:r>
        <w:rPr>
          <w:spacing w:val="-13"/>
        </w:rPr>
        <w:t xml:space="preserve"> </w:t>
      </w:r>
      <w:r>
        <w:rPr>
          <w:spacing w:val="-3"/>
        </w:rPr>
        <w:t>Preliminar,</w:t>
      </w:r>
      <w:r>
        <w:rPr>
          <w:spacing w:val="-10"/>
        </w:rPr>
        <w:t xml:space="preserve"> </w:t>
      </w:r>
      <w:r>
        <w:rPr>
          <w:spacing w:val="-3"/>
        </w:rPr>
        <w:t xml:space="preserve">Fondo, </w:t>
      </w:r>
    </w:p>
    <w:p w14:paraId="757F4D6A" w14:textId="77777777" w:rsidR="00FA2EA0" w:rsidRDefault="00FA2EA0" w:rsidP="00FA2EA0">
      <w:pPr>
        <w:pStyle w:val="Ttulo2"/>
        <w:ind w:left="0" w:right="48"/>
        <w:jc w:val="center"/>
      </w:pPr>
      <w:r>
        <w:rPr>
          <w:spacing w:val="-3"/>
        </w:rPr>
        <w:t>Reparaciones</w:t>
      </w:r>
      <w:r>
        <w:rPr>
          <w:spacing w:val="-8"/>
        </w:rPr>
        <w:t xml:space="preserve"> </w:t>
      </w:r>
      <w:r>
        <w:t>y</w:t>
      </w:r>
      <w:r>
        <w:rPr>
          <w:spacing w:val="-10"/>
        </w:rPr>
        <w:t xml:space="preserve"> </w:t>
      </w:r>
      <w:r>
        <w:t>Costas)</w:t>
      </w:r>
    </w:p>
    <w:p w14:paraId="2FC9D69E" w14:textId="77777777" w:rsidR="00FA2EA0" w:rsidRDefault="00FA2EA0" w:rsidP="00FA2EA0">
      <w:pPr>
        <w:pStyle w:val="Textoindependiente"/>
        <w:ind w:right="48"/>
        <w:rPr>
          <w:b/>
          <w:i/>
          <w:sz w:val="24"/>
        </w:rPr>
      </w:pPr>
    </w:p>
    <w:p w14:paraId="6D3B2FA8" w14:textId="77777777" w:rsidR="00FA2EA0" w:rsidRDefault="00FA2EA0" w:rsidP="00FA2EA0">
      <w:pPr>
        <w:pStyle w:val="Textoindependiente"/>
        <w:spacing w:before="11"/>
        <w:ind w:right="48"/>
        <w:rPr>
          <w:b/>
          <w:i/>
          <w:sz w:val="35"/>
        </w:rPr>
      </w:pPr>
    </w:p>
    <w:p w14:paraId="12A02C15" w14:textId="77777777" w:rsidR="00FA2EA0" w:rsidRDefault="00FA2EA0" w:rsidP="00FA2EA0">
      <w:pPr>
        <w:ind w:right="48"/>
        <w:jc w:val="both"/>
        <w:rPr>
          <w:i/>
          <w:sz w:val="20"/>
        </w:rPr>
      </w:pPr>
      <w:r>
        <w:rPr>
          <w:spacing w:val="-1"/>
          <w:sz w:val="20"/>
        </w:rPr>
        <w:t>En</w:t>
      </w:r>
      <w:r>
        <w:rPr>
          <w:spacing w:val="-14"/>
          <w:sz w:val="20"/>
        </w:rPr>
        <w:t xml:space="preserve"> </w:t>
      </w:r>
      <w:r>
        <w:rPr>
          <w:spacing w:val="-1"/>
          <w:sz w:val="20"/>
        </w:rPr>
        <w:t>el</w:t>
      </w:r>
      <w:r>
        <w:rPr>
          <w:spacing w:val="-17"/>
          <w:sz w:val="20"/>
        </w:rPr>
        <w:t xml:space="preserve"> </w:t>
      </w:r>
      <w:r>
        <w:rPr>
          <w:spacing w:val="-1"/>
          <w:sz w:val="20"/>
        </w:rPr>
        <w:t>caso</w:t>
      </w:r>
      <w:r>
        <w:rPr>
          <w:spacing w:val="-15"/>
          <w:sz w:val="20"/>
        </w:rPr>
        <w:t xml:space="preserve"> </w:t>
      </w:r>
      <w:r>
        <w:rPr>
          <w:i/>
          <w:spacing w:val="-1"/>
          <w:sz w:val="20"/>
        </w:rPr>
        <w:t>Mina Cuero</w:t>
      </w:r>
      <w:r>
        <w:rPr>
          <w:i/>
          <w:spacing w:val="-16"/>
          <w:sz w:val="20"/>
        </w:rPr>
        <w:t xml:space="preserve"> </w:t>
      </w:r>
      <w:r>
        <w:rPr>
          <w:i/>
          <w:spacing w:val="-1"/>
          <w:sz w:val="20"/>
        </w:rPr>
        <w:t>Vs.</w:t>
      </w:r>
      <w:r>
        <w:rPr>
          <w:i/>
          <w:spacing w:val="-16"/>
          <w:sz w:val="20"/>
        </w:rPr>
        <w:t xml:space="preserve"> </w:t>
      </w:r>
      <w:r>
        <w:rPr>
          <w:i/>
          <w:spacing w:val="-1"/>
          <w:sz w:val="20"/>
        </w:rPr>
        <w:t>Ecuador,</w:t>
      </w:r>
    </w:p>
    <w:p w14:paraId="25C7D269" w14:textId="77777777" w:rsidR="00FA2EA0" w:rsidRDefault="00FA2EA0" w:rsidP="00FA2EA0">
      <w:pPr>
        <w:pStyle w:val="Textoindependiente"/>
        <w:ind w:right="48"/>
        <w:jc w:val="both"/>
        <w:rPr>
          <w:i/>
        </w:rPr>
      </w:pPr>
    </w:p>
    <w:p w14:paraId="7DDFC322" w14:textId="38C183B6" w:rsidR="00FA2EA0" w:rsidRDefault="00FA2EA0" w:rsidP="00FA2EA0">
      <w:pPr>
        <w:pStyle w:val="Textoindependiente"/>
        <w:ind w:right="48"/>
        <w:jc w:val="both"/>
      </w:pPr>
      <w:r>
        <w:rPr>
          <w:spacing w:val="-3"/>
        </w:rPr>
        <w:t>la</w:t>
      </w:r>
      <w:r>
        <w:rPr>
          <w:spacing w:val="-15"/>
        </w:rPr>
        <w:t xml:space="preserve"> </w:t>
      </w:r>
      <w:r>
        <w:rPr>
          <w:spacing w:val="-3"/>
        </w:rPr>
        <w:t>Corte</w:t>
      </w:r>
      <w:r>
        <w:rPr>
          <w:spacing w:val="-14"/>
        </w:rPr>
        <w:t xml:space="preserve"> </w:t>
      </w:r>
      <w:r>
        <w:rPr>
          <w:spacing w:val="-3"/>
        </w:rPr>
        <w:t>Interamericana</w:t>
      </w:r>
      <w:r>
        <w:rPr>
          <w:spacing w:val="-11"/>
        </w:rPr>
        <w:t xml:space="preserve"> </w:t>
      </w:r>
      <w:r>
        <w:rPr>
          <w:spacing w:val="-2"/>
        </w:rPr>
        <w:t>de</w:t>
      </w:r>
      <w:r>
        <w:rPr>
          <w:spacing w:val="-13"/>
        </w:rPr>
        <w:t xml:space="preserve"> </w:t>
      </w:r>
      <w:r>
        <w:rPr>
          <w:spacing w:val="-2"/>
        </w:rPr>
        <w:t>Derechos</w:t>
      </w:r>
      <w:r>
        <w:rPr>
          <w:spacing w:val="-14"/>
        </w:rPr>
        <w:t xml:space="preserve"> </w:t>
      </w:r>
      <w:r>
        <w:rPr>
          <w:spacing w:val="-2"/>
        </w:rPr>
        <w:t>Humanos</w:t>
      </w:r>
      <w:r>
        <w:rPr>
          <w:spacing w:val="-13"/>
        </w:rPr>
        <w:t xml:space="preserve"> </w:t>
      </w:r>
      <w:r>
        <w:rPr>
          <w:spacing w:val="-2"/>
        </w:rPr>
        <w:t>(en</w:t>
      </w:r>
      <w:r>
        <w:rPr>
          <w:spacing w:val="-12"/>
        </w:rPr>
        <w:t xml:space="preserve"> </w:t>
      </w:r>
      <w:r>
        <w:rPr>
          <w:spacing w:val="-2"/>
        </w:rPr>
        <w:t>adelante</w:t>
      </w:r>
      <w:r>
        <w:rPr>
          <w:spacing w:val="-13"/>
        </w:rPr>
        <w:t xml:space="preserve"> </w:t>
      </w:r>
      <w:r>
        <w:rPr>
          <w:spacing w:val="-2"/>
        </w:rPr>
        <w:t>“Corte</w:t>
      </w:r>
      <w:r>
        <w:rPr>
          <w:spacing w:val="-14"/>
        </w:rPr>
        <w:t xml:space="preserve"> </w:t>
      </w:r>
      <w:r>
        <w:rPr>
          <w:spacing w:val="-2"/>
        </w:rPr>
        <w:t>Interamericana”,</w:t>
      </w:r>
      <w:r>
        <w:rPr>
          <w:spacing w:val="-13"/>
        </w:rPr>
        <w:t xml:space="preserve"> </w:t>
      </w:r>
      <w:proofErr w:type="gramStart"/>
      <w:r>
        <w:rPr>
          <w:spacing w:val="-2"/>
        </w:rPr>
        <w:t>“</w:t>
      </w:r>
      <w:r>
        <w:rPr>
          <w:spacing w:val="-68"/>
        </w:rPr>
        <w:t xml:space="preserve"> </w:t>
      </w:r>
      <w:r>
        <w:t>Corte</w:t>
      </w:r>
      <w:proofErr w:type="gramEnd"/>
      <w:r>
        <w:t>”</w:t>
      </w:r>
      <w:r>
        <w:rPr>
          <w:spacing w:val="-10"/>
        </w:rPr>
        <w:t xml:space="preserve"> </w:t>
      </w:r>
      <w:r>
        <w:t>o</w:t>
      </w:r>
      <w:r>
        <w:rPr>
          <w:spacing w:val="-12"/>
        </w:rPr>
        <w:t xml:space="preserve"> </w:t>
      </w:r>
      <w:r>
        <w:t>“Tribunal”),</w:t>
      </w:r>
      <w:r>
        <w:rPr>
          <w:spacing w:val="-14"/>
        </w:rPr>
        <w:t xml:space="preserve"> </w:t>
      </w:r>
      <w:r>
        <w:t>integrada</w:t>
      </w:r>
      <w:r>
        <w:rPr>
          <w:spacing w:val="-11"/>
        </w:rPr>
        <w:t xml:space="preserve"> </w:t>
      </w:r>
      <w:r>
        <w:t>por</w:t>
      </w:r>
      <w:r>
        <w:rPr>
          <w:spacing w:val="-12"/>
        </w:rPr>
        <w:t xml:space="preserve"> </w:t>
      </w:r>
      <w:r>
        <w:t>los</w:t>
      </w:r>
      <w:r>
        <w:rPr>
          <w:spacing w:val="-13"/>
        </w:rPr>
        <w:t xml:space="preserve"> </w:t>
      </w:r>
      <w:r>
        <w:t>siguientes</w:t>
      </w:r>
      <w:r>
        <w:rPr>
          <w:spacing w:val="-12"/>
        </w:rPr>
        <w:t xml:space="preserve"> </w:t>
      </w:r>
      <w:r>
        <w:t>Jueces:</w:t>
      </w:r>
    </w:p>
    <w:p w14:paraId="0C4DEA03" w14:textId="77777777" w:rsidR="00FA2EA0" w:rsidRDefault="00FA2EA0" w:rsidP="00FA2EA0">
      <w:pPr>
        <w:pStyle w:val="Textoindependiente"/>
        <w:ind w:right="48"/>
        <w:rPr>
          <w:sz w:val="19"/>
        </w:rPr>
      </w:pPr>
    </w:p>
    <w:p w14:paraId="241735E8" w14:textId="77777777" w:rsidR="00FA2EA0" w:rsidRDefault="00FA2EA0" w:rsidP="00FA2EA0">
      <w:pPr>
        <w:pStyle w:val="Textoindependiente"/>
        <w:ind w:right="48"/>
      </w:pPr>
      <w:r>
        <w:t xml:space="preserve">Ricardo C. Pérez Manrique, Presidente; </w:t>
      </w:r>
    </w:p>
    <w:p w14:paraId="297BBD54" w14:textId="77777777" w:rsidR="00FA2EA0" w:rsidRPr="008A3E2B" w:rsidRDefault="00FA2EA0" w:rsidP="00FA2EA0">
      <w:pPr>
        <w:pStyle w:val="Textoindependiente"/>
        <w:ind w:right="48"/>
        <w:rPr>
          <w:lang w:val="pt-BR"/>
        </w:rPr>
      </w:pPr>
      <w:r w:rsidRPr="008A3E2B">
        <w:rPr>
          <w:lang w:val="pt-BR"/>
        </w:rPr>
        <w:t xml:space="preserve">Eduardo Ferrer Mac-Gregor Poisot, Vicepresidente; </w:t>
      </w:r>
    </w:p>
    <w:p w14:paraId="0B1B1443" w14:textId="77777777" w:rsidR="00FA2EA0" w:rsidRDefault="00FA2EA0" w:rsidP="00FA2EA0">
      <w:pPr>
        <w:pStyle w:val="Textoindependiente"/>
        <w:ind w:right="48"/>
      </w:pPr>
      <w:r>
        <w:t xml:space="preserve">Humberto Antonio Sierra Porto, Juez; </w:t>
      </w:r>
    </w:p>
    <w:p w14:paraId="28E51287" w14:textId="77777777" w:rsidR="00FA2EA0" w:rsidRDefault="00FA2EA0" w:rsidP="00FA2EA0">
      <w:pPr>
        <w:pStyle w:val="Textoindependiente"/>
        <w:ind w:right="48"/>
      </w:pPr>
      <w:r>
        <w:t xml:space="preserve">Nancy Hernández López, Jueza; </w:t>
      </w:r>
    </w:p>
    <w:p w14:paraId="770483C1" w14:textId="77777777" w:rsidR="00FA2EA0" w:rsidRDefault="00FA2EA0" w:rsidP="00FA2EA0">
      <w:pPr>
        <w:pStyle w:val="Textoindependiente"/>
        <w:ind w:right="48"/>
      </w:pPr>
      <w:r>
        <w:t xml:space="preserve">Verónica Gómez, Jueza; </w:t>
      </w:r>
    </w:p>
    <w:p w14:paraId="033F8498" w14:textId="77777777" w:rsidR="00FA2EA0" w:rsidRDefault="00FA2EA0" w:rsidP="00FA2EA0">
      <w:pPr>
        <w:pStyle w:val="Textoindependiente"/>
        <w:ind w:right="48"/>
      </w:pPr>
      <w:r>
        <w:t xml:space="preserve">Patricia Pérez Goldberg, Jueza, y </w:t>
      </w:r>
    </w:p>
    <w:p w14:paraId="36CE69E6" w14:textId="7AEF1998" w:rsidR="00FA2EA0" w:rsidRDefault="00FA2EA0" w:rsidP="00FA2EA0">
      <w:pPr>
        <w:pStyle w:val="Textoindependiente"/>
        <w:ind w:right="48"/>
        <w:rPr>
          <w:spacing w:val="-67"/>
        </w:rPr>
      </w:pPr>
      <w:r>
        <w:t>Rodrigo Mudrovitsch, Juez</w:t>
      </w:r>
      <w:r w:rsidR="00EE77E8">
        <w:t>;</w:t>
      </w:r>
    </w:p>
    <w:p w14:paraId="27C17C9E" w14:textId="77777777" w:rsidR="00FA2EA0" w:rsidRDefault="00FA2EA0" w:rsidP="00FA2EA0">
      <w:pPr>
        <w:pStyle w:val="Textoindependiente"/>
        <w:ind w:right="48"/>
        <w:rPr>
          <w:spacing w:val="-67"/>
        </w:rPr>
      </w:pPr>
    </w:p>
    <w:p w14:paraId="44D67EA2" w14:textId="2A985BF8" w:rsidR="00FA2EA0" w:rsidRDefault="00FA2EA0" w:rsidP="00FA2EA0">
      <w:pPr>
        <w:pStyle w:val="Textoindependiente"/>
        <w:ind w:right="48"/>
      </w:pPr>
      <w:r>
        <w:t>presente,</w:t>
      </w:r>
      <w:r>
        <w:rPr>
          <w:spacing w:val="-1"/>
        </w:rPr>
        <w:t xml:space="preserve"> </w:t>
      </w:r>
      <w:r>
        <w:t>además,</w:t>
      </w:r>
    </w:p>
    <w:p w14:paraId="0213B800" w14:textId="2D50DF5F" w:rsidR="00FA2EA0" w:rsidRDefault="00FA2EA0" w:rsidP="00FA2EA0">
      <w:pPr>
        <w:pStyle w:val="Textoindependiente"/>
        <w:ind w:right="48"/>
        <w:rPr>
          <w:spacing w:val="1"/>
        </w:rPr>
      </w:pPr>
    </w:p>
    <w:p w14:paraId="62E170D6" w14:textId="0AFF6008" w:rsidR="00FA2EA0" w:rsidRDefault="00FA2EA0" w:rsidP="00FA2EA0">
      <w:pPr>
        <w:pStyle w:val="Textoindependiente"/>
        <w:ind w:right="48"/>
      </w:pPr>
      <w:r>
        <w:t>Romina</w:t>
      </w:r>
      <w:r>
        <w:rPr>
          <w:spacing w:val="-4"/>
        </w:rPr>
        <w:t xml:space="preserve"> </w:t>
      </w:r>
      <w:r>
        <w:t>I.</w:t>
      </w:r>
      <w:r>
        <w:rPr>
          <w:spacing w:val="-5"/>
        </w:rPr>
        <w:t xml:space="preserve"> </w:t>
      </w:r>
      <w:r>
        <w:t>Sijniensky,</w:t>
      </w:r>
      <w:r>
        <w:rPr>
          <w:spacing w:val="-4"/>
        </w:rPr>
        <w:t xml:space="preserve"> </w:t>
      </w:r>
      <w:r>
        <w:t>Secretaria</w:t>
      </w:r>
      <w:r>
        <w:rPr>
          <w:spacing w:val="-3"/>
        </w:rPr>
        <w:t xml:space="preserve"> </w:t>
      </w:r>
      <w:r>
        <w:t>Adjunta,</w:t>
      </w:r>
    </w:p>
    <w:p w14:paraId="7DB29C2D" w14:textId="77777777" w:rsidR="00FA2EA0" w:rsidRDefault="00FA2EA0" w:rsidP="00FA2EA0">
      <w:pPr>
        <w:pStyle w:val="Textoindependiente"/>
        <w:ind w:right="48"/>
        <w:rPr>
          <w:sz w:val="19"/>
        </w:rPr>
      </w:pPr>
    </w:p>
    <w:p w14:paraId="481E73C4" w14:textId="24BBAFBB" w:rsidR="00FA2EA0" w:rsidRDefault="00FA2EA0" w:rsidP="00FA2EA0">
      <w:pPr>
        <w:pStyle w:val="Textoindependiente"/>
        <w:ind w:right="48"/>
        <w:jc w:val="both"/>
        <w:sectPr w:rsidR="00FA2EA0" w:rsidSect="00F83300">
          <w:footerReference w:type="default" r:id="rId8"/>
          <w:pgSz w:w="12240" w:h="15840"/>
          <w:pgMar w:top="1418" w:right="1418" w:bottom="1418" w:left="1418" w:header="0" w:footer="992" w:gutter="0"/>
          <w:pgNumType w:start="1"/>
          <w:cols w:space="720"/>
          <w:titlePg/>
          <w:docGrid w:linePitch="299"/>
        </w:sectPr>
      </w:pPr>
      <w:r>
        <w:t>de</w:t>
      </w:r>
      <w:r>
        <w:rPr>
          <w:spacing w:val="-11"/>
        </w:rPr>
        <w:t xml:space="preserve"> </w:t>
      </w:r>
      <w:r>
        <w:t>conformidad</w:t>
      </w:r>
      <w:r>
        <w:rPr>
          <w:spacing w:val="-10"/>
        </w:rPr>
        <w:t xml:space="preserve"> </w:t>
      </w:r>
      <w:r>
        <w:t>con</w:t>
      </w:r>
      <w:r>
        <w:rPr>
          <w:spacing w:val="-6"/>
        </w:rPr>
        <w:t xml:space="preserve"> </w:t>
      </w:r>
      <w:r>
        <w:t>el</w:t>
      </w:r>
      <w:r>
        <w:rPr>
          <w:spacing w:val="-10"/>
        </w:rPr>
        <w:t xml:space="preserve"> </w:t>
      </w:r>
      <w:r>
        <w:t>artículo</w:t>
      </w:r>
      <w:r>
        <w:rPr>
          <w:spacing w:val="-12"/>
        </w:rPr>
        <w:t xml:space="preserve"> </w:t>
      </w:r>
      <w:r>
        <w:t>67</w:t>
      </w:r>
      <w:r>
        <w:rPr>
          <w:spacing w:val="-10"/>
        </w:rPr>
        <w:t xml:space="preserve"> </w:t>
      </w:r>
      <w:r>
        <w:t>de</w:t>
      </w:r>
      <w:r>
        <w:rPr>
          <w:spacing w:val="-10"/>
        </w:rPr>
        <w:t xml:space="preserve"> </w:t>
      </w:r>
      <w:r>
        <w:t>la</w:t>
      </w:r>
      <w:r>
        <w:rPr>
          <w:spacing w:val="-10"/>
        </w:rPr>
        <w:t xml:space="preserve"> </w:t>
      </w:r>
      <w:r>
        <w:t>Convención</w:t>
      </w:r>
      <w:r>
        <w:rPr>
          <w:spacing w:val="-11"/>
        </w:rPr>
        <w:t xml:space="preserve"> </w:t>
      </w:r>
      <w:r>
        <w:t>Americana</w:t>
      </w:r>
      <w:r>
        <w:rPr>
          <w:spacing w:val="-10"/>
        </w:rPr>
        <w:t xml:space="preserve"> </w:t>
      </w:r>
      <w:r>
        <w:t>sobre</w:t>
      </w:r>
      <w:r>
        <w:rPr>
          <w:spacing w:val="-9"/>
        </w:rPr>
        <w:t xml:space="preserve"> </w:t>
      </w:r>
      <w:r>
        <w:t>Derechos</w:t>
      </w:r>
      <w:r>
        <w:rPr>
          <w:spacing w:val="-9"/>
        </w:rPr>
        <w:t xml:space="preserve"> </w:t>
      </w:r>
      <w:r>
        <w:t>Humanos</w:t>
      </w:r>
      <w:r w:rsidR="001306DD">
        <w:t xml:space="preserve"> </w:t>
      </w:r>
      <w:r>
        <w:rPr>
          <w:spacing w:val="-67"/>
        </w:rPr>
        <w:t xml:space="preserve"> </w:t>
      </w:r>
      <w:r>
        <w:t>(en adelante también “Convención Americana” o “Convención”) y el artículo 68 del</w:t>
      </w:r>
      <w:r w:rsidR="001306DD">
        <w:t xml:space="preserve"> </w:t>
      </w:r>
      <w:r>
        <w:rPr>
          <w:spacing w:val="-68"/>
        </w:rPr>
        <w:t xml:space="preserve"> </w:t>
      </w:r>
      <w:r>
        <w:t>Reglamento</w:t>
      </w:r>
      <w:r>
        <w:rPr>
          <w:spacing w:val="-4"/>
        </w:rPr>
        <w:t xml:space="preserve"> </w:t>
      </w:r>
      <w:r>
        <w:t>de</w:t>
      </w:r>
      <w:r>
        <w:rPr>
          <w:spacing w:val="-6"/>
        </w:rPr>
        <w:t xml:space="preserve"> </w:t>
      </w:r>
      <w:r>
        <w:t>la</w:t>
      </w:r>
      <w:r>
        <w:rPr>
          <w:spacing w:val="-4"/>
        </w:rPr>
        <w:t xml:space="preserve"> </w:t>
      </w:r>
      <w:r>
        <w:t>Corte</w:t>
      </w:r>
      <w:r>
        <w:rPr>
          <w:spacing w:val="-4"/>
        </w:rPr>
        <w:t xml:space="preserve"> </w:t>
      </w:r>
      <w:r>
        <w:t>(en</w:t>
      </w:r>
      <w:r>
        <w:rPr>
          <w:spacing w:val="-1"/>
        </w:rPr>
        <w:t xml:space="preserve"> </w:t>
      </w:r>
      <w:r>
        <w:t>adelante</w:t>
      </w:r>
      <w:r>
        <w:rPr>
          <w:spacing w:val="-4"/>
        </w:rPr>
        <w:t xml:space="preserve"> </w:t>
      </w:r>
      <w:r>
        <w:t>también</w:t>
      </w:r>
      <w:r>
        <w:rPr>
          <w:spacing w:val="-2"/>
        </w:rPr>
        <w:t xml:space="preserve"> </w:t>
      </w:r>
      <w:r>
        <w:t>“Reglamento”),</w:t>
      </w:r>
      <w:r>
        <w:rPr>
          <w:spacing w:val="-4"/>
        </w:rPr>
        <w:t xml:space="preserve"> </w:t>
      </w:r>
      <w:r>
        <w:t>resuelve</w:t>
      </w:r>
      <w:r>
        <w:rPr>
          <w:spacing w:val="-6"/>
        </w:rPr>
        <w:t xml:space="preserve"> </w:t>
      </w:r>
      <w:r>
        <w:t xml:space="preserve">la solicitud </w:t>
      </w:r>
      <w:r>
        <w:rPr>
          <w:spacing w:val="-68"/>
        </w:rPr>
        <w:t xml:space="preserve"> </w:t>
      </w:r>
      <w:r>
        <w:rPr>
          <w:spacing w:val="-1"/>
        </w:rPr>
        <w:t>de</w:t>
      </w:r>
      <w:r>
        <w:rPr>
          <w:spacing w:val="-16"/>
        </w:rPr>
        <w:t xml:space="preserve"> </w:t>
      </w:r>
      <w:r>
        <w:rPr>
          <w:spacing w:val="-1"/>
        </w:rPr>
        <w:t>interpretación</w:t>
      </w:r>
      <w:r>
        <w:rPr>
          <w:spacing w:val="-16"/>
        </w:rPr>
        <w:t xml:space="preserve"> </w:t>
      </w:r>
      <w:r>
        <w:t>de</w:t>
      </w:r>
      <w:r>
        <w:rPr>
          <w:spacing w:val="-16"/>
        </w:rPr>
        <w:t xml:space="preserve"> </w:t>
      </w:r>
      <w:r>
        <w:t>la</w:t>
      </w:r>
      <w:r>
        <w:rPr>
          <w:spacing w:val="-17"/>
        </w:rPr>
        <w:t xml:space="preserve"> </w:t>
      </w:r>
      <w:r>
        <w:t>Sentencia</w:t>
      </w:r>
      <w:r>
        <w:rPr>
          <w:spacing w:val="-15"/>
        </w:rPr>
        <w:t xml:space="preserve"> </w:t>
      </w:r>
      <w:r>
        <w:t>sobre</w:t>
      </w:r>
      <w:r>
        <w:rPr>
          <w:spacing w:val="-12"/>
        </w:rPr>
        <w:t xml:space="preserve"> </w:t>
      </w:r>
      <w:r>
        <w:t>Excepción</w:t>
      </w:r>
      <w:r>
        <w:rPr>
          <w:spacing w:val="-14"/>
        </w:rPr>
        <w:t xml:space="preserve"> </w:t>
      </w:r>
      <w:r>
        <w:t>Preliminar,</w:t>
      </w:r>
      <w:r>
        <w:rPr>
          <w:spacing w:val="-14"/>
        </w:rPr>
        <w:t xml:space="preserve"> </w:t>
      </w:r>
      <w:r>
        <w:t>Fondo,</w:t>
      </w:r>
      <w:r>
        <w:rPr>
          <w:spacing w:val="-16"/>
        </w:rPr>
        <w:t xml:space="preserve"> </w:t>
      </w:r>
      <w:r>
        <w:t>Reparaciones y Costas, emitida por este Tribunal el 7 de septiembre de 2022 en el presente caso (en</w:t>
      </w:r>
      <w:r>
        <w:rPr>
          <w:spacing w:val="1"/>
        </w:rPr>
        <w:t xml:space="preserve"> </w:t>
      </w:r>
      <w:r>
        <w:rPr>
          <w:spacing w:val="-2"/>
        </w:rPr>
        <w:t>adelante</w:t>
      </w:r>
      <w:r>
        <w:rPr>
          <w:spacing w:val="-15"/>
        </w:rPr>
        <w:t xml:space="preserve"> </w:t>
      </w:r>
      <w:r>
        <w:rPr>
          <w:spacing w:val="-2"/>
        </w:rPr>
        <w:t>también</w:t>
      </w:r>
      <w:r>
        <w:rPr>
          <w:spacing w:val="-13"/>
        </w:rPr>
        <w:t xml:space="preserve"> </w:t>
      </w:r>
      <w:r>
        <w:rPr>
          <w:spacing w:val="-2"/>
        </w:rPr>
        <w:t>“Sentencia”),</w:t>
      </w:r>
      <w:r>
        <w:rPr>
          <w:spacing w:val="-12"/>
        </w:rPr>
        <w:t xml:space="preserve"> </w:t>
      </w:r>
      <w:r>
        <w:rPr>
          <w:spacing w:val="-2"/>
        </w:rPr>
        <w:t>interpuesta</w:t>
      </w:r>
      <w:r>
        <w:rPr>
          <w:spacing w:val="-12"/>
        </w:rPr>
        <w:t xml:space="preserve"> </w:t>
      </w:r>
      <w:r>
        <w:rPr>
          <w:spacing w:val="-1"/>
        </w:rPr>
        <w:t>el</w:t>
      </w:r>
      <w:r>
        <w:rPr>
          <w:spacing w:val="-11"/>
        </w:rPr>
        <w:t xml:space="preserve"> </w:t>
      </w:r>
      <w:r>
        <w:rPr>
          <w:spacing w:val="-1"/>
        </w:rPr>
        <w:t>9</w:t>
      </w:r>
      <w:r>
        <w:rPr>
          <w:spacing w:val="-13"/>
        </w:rPr>
        <w:t xml:space="preserve"> </w:t>
      </w:r>
      <w:r>
        <w:rPr>
          <w:spacing w:val="-1"/>
        </w:rPr>
        <w:t>de</w:t>
      </w:r>
      <w:r>
        <w:rPr>
          <w:spacing w:val="-15"/>
        </w:rPr>
        <w:t xml:space="preserve"> </w:t>
      </w:r>
      <w:r>
        <w:rPr>
          <w:spacing w:val="-1"/>
        </w:rPr>
        <w:t>marzo</w:t>
      </w:r>
      <w:r>
        <w:rPr>
          <w:spacing w:val="-14"/>
        </w:rPr>
        <w:t xml:space="preserve"> </w:t>
      </w:r>
      <w:r>
        <w:rPr>
          <w:spacing w:val="-1"/>
        </w:rPr>
        <w:t>de</w:t>
      </w:r>
      <w:r>
        <w:rPr>
          <w:spacing w:val="-13"/>
        </w:rPr>
        <w:t xml:space="preserve"> </w:t>
      </w:r>
      <w:r>
        <w:rPr>
          <w:spacing w:val="-1"/>
        </w:rPr>
        <w:t xml:space="preserve">2023 </w:t>
      </w:r>
      <w:r>
        <w:rPr>
          <w:spacing w:val="-68"/>
        </w:rPr>
        <w:t xml:space="preserve"> </w:t>
      </w:r>
      <w:r>
        <w:t>por el representante de la víctima (en adelante también “representante”).</w:t>
      </w:r>
    </w:p>
    <w:p w14:paraId="4FF63F9B" w14:textId="77777777" w:rsidR="00FA2EA0" w:rsidRPr="00F06F22" w:rsidRDefault="00FA2EA0" w:rsidP="00FA2EA0">
      <w:pPr>
        <w:pStyle w:val="Ttulo1"/>
        <w:spacing w:before="76"/>
        <w:ind w:left="0" w:right="17"/>
        <w:rPr>
          <w:rFonts w:cs="Arial"/>
        </w:rPr>
      </w:pPr>
      <w:r w:rsidRPr="00F06F22">
        <w:rPr>
          <w:rFonts w:cs="Arial"/>
          <w:w w:val="99"/>
        </w:rPr>
        <w:lastRenderedPageBreak/>
        <w:t>I</w:t>
      </w:r>
    </w:p>
    <w:p w14:paraId="34F30695" w14:textId="77777777" w:rsidR="00FA2EA0" w:rsidRPr="00F06F22" w:rsidRDefault="00FA2EA0" w:rsidP="00FA2EA0">
      <w:pPr>
        <w:spacing w:before="2"/>
        <w:ind w:right="17"/>
        <w:jc w:val="center"/>
        <w:rPr>
          <w:rFonts w:cs="Arial"/>
          <w:b/>
          <w:sz w:val="20"/>
          <w:szCs w:val="20"/>
        </w:rPr>
      </w:pPr>
      <w:r w:rsidRPr="00F06F22">
        <w:rPr>
          <w:rFonts w:cs="Arial"/>
          <w:b/>
          <w:sz w:val="20"/>
          <w:szCs w:val="20"/>
        </w:rPr>
        <w:t>SOLICITUD</w:t>
      </w:r>
      <w:r w:rsidRPr="00F06F22">
        <w:rPr>
          <w:rFonts w:cs="Arial"/>
          <w:b/>
          <w:spacing w:val="-4"/>
          <w:sz w:val="20"/>
          <w:szCs w:val="20"/>
        </w:rPr>
        <w:t xml:space="preserve"> </w:t>
      </w:r>
      <w:r w:rsidRPr="00F06F22">
        <w:rPr>
          <w:rFonts w:cs="Arial"/>
          <w:b/>
          <w:sz w:val="20"/>
          <w:szCs w:val="20"/>
        </w:rPr>
        <w:t>DE</w:t>
      </w:r>
      <w:r w:rsidRPr="00F06F22">
        <w:rPr>
          <w:rFonts w:cs="Arial"/>
          <w:b/>
          <w:spacing w:val="-3"/>
          <w:sz w:val="20"/>
          <w:szCs w:val="20"/>
        </w:rPr>
        <w:t xml:space="preserve"> </w:t>
      </w:r>
      <w:r w:rsidRPr="00F06F22">
        <w:rPr>
          <w:rFonts w:cs="Arial"/>
          <w:b/>
          <w:sz w:val="20"/>
          <w:szCs w:val="20"/>
        </w:rPr>
        <w:t>INTERPRETACIÓN</w:t>
      </w:r>
      <w:r w:rsidRPr="00F06F22">
        <w:rPr>
          <w:rFonts w:cs="Arial"/>
          <w:b/>
          <w:spacing w:val="-5"/>
          <w:sz w:val="20"/>
          <w:szCs w:val="20"/>
        </w:rPr>
        <w:t xml:space="preserve"> </w:t>
      </w:r>
      <w:r w:rsidRPr="00F06F22">
        <w:rPr>
          <w:rFonts w:cs="Arial"/>
          <w:b/>
          <w:sz w:val="20"/>
          <w:szCs w:val="20"/>
        </w:rPr>
        <w:t>Y</w:t>
      </w:r>
      <w:r w:rsidRPr="00F06F22">
        <w:rPr>
          <w:rFonts w:cs="Arial"/>
          <w:b/>
          <w:spacing w:val="-4"/>
          <w:sz w:val="20"/>
          <w:szCs w:val="20"/>
        </w:rPr>
        <w:t xml:space="preserve"> </w:t>
      </w:r>
      <w:r w:rsidRPr="00F06F22">
        <w:rPr>
          <w:rFonts w:cs="Arial"/>
          <w:b/>
          <w:sz w:val="20"/>
          <w:szCs w:val="20"/>
        </w:rPr>
        <w:t>PROCEDIMIENTO</w:t>
      </w:r>
      <w:r w:rsidRPr="00F06F22">
        <w:rPr>
          <w:rFonts w:cs="Arial"/>
          <w:b/>
          <w:spacing w:val="-3"/>
          <w:sz w:val="20"/>
          <w:szCs w:val="20"/>
        </w:rPr>
        <w:t xml:space="preserve"> </w:t>
      </w:r>
      <w:r w:rsidRPr="00F06F22">
        <w:rPr>
          <w:rFonts w:cs="Arial"/>
          <w:b/>
          <w:sz w:val="20"/>
          <w:szCs w:val="20"/>
        </w:rPr>
        <w:t>ANTE</w:t>
      </w:r>
      <w:r w:rsidRPr="00F06F22">
        <w:rPr>
          <w:rFonts w:cs="Arial"/>
          <w:b/>
          <w:spacing w:val="-4"/>
          <w:sz w:val="20"/>
          <w:szCs w:val="20"/>
        </w:rPr>
        <w:t xml:space="preserve"> </w:t>
      </w:r>
      <w:r w:rsidRPr="00F06F22">
        <w:rPr>
          <w:rFonts w:cs="Arial"/>
          <w:b/>
          <w:sz w:val="20"/>
          <w:szCs w:val="20"/>
        </w:rPr>
        <w:t>LA</w:t>
      </w:r>
      <w:r w:rsidRPr="00F06F22">
        <w:rPr>
          <w:rFonts w:cs="Arial"/>
          <w:b/>
          <w:spacing w:val="-7"/>
          <w:sz w:val="20"/>
          <w:szCs w:val="20"/>
        </w:rPr>
        <w:t xml:space="preserve"> </w:t>
      </w:r>
      <w:r w:rsidRPr="00F06F22">
        <w:rPr>
          <w:rFonts w:cs="Arial"/>
          <w:b/>
          <w:sz w:val="20"/>
          <w:szCs w:val="20"/>
        </w:rPr>
        <w:t>CORTE</w:t>
      </w:r>
    </w:p>
    <w:p w14:paraId="6A5063D5" w14:textId="77777777" w:rsidR="00FA2EA0" w:rsidRPr="00F06F22" w:rsidRDefault="00FA2EA0" w:rsidP="00FA2EA0">
      <w:pPr>
        <w:pStyle w:val="Textoindependiente"/>
        <w:spacing w:before="11"/>
        <w:ind w:right="17"/>
        <w:rPr>
          <w:rFonts w:cs="Arial"/>
          <w:b/>
        </w:rPr>
      </w:pPr>
    </w:p>
    <w:p w14:paraId="2912DD30" w14:textId="77777777" w:rsidR="00FA2EA0" w:rsidRDefault="00FA2EA0" w:rsidP="00FA2EA0">
      <w:pPr>
        <w:pStyle w:val="Prrafodelista"/>
        <w:numPr>
          <w:ilvl w:val="0"/>
          <w:numId w:val="1"/>
        </w:numPr>
        <w:tabs>
          <w:tab w:val="left" w:pos="567"/>
        </w:tabs>
        <w:ind w:left="0" w:right="17" w:firstLine="0"/>
        <w:rPr>
          <w:rFonts w:cs="Arial"/>
          <w:sz w:val="20"/>
          <w:szCs w:val="20"/>
        </w:rPr>
      </w:pPr>
      <w:r w:rsidRPr="00F06F22">
        <w:rPr>
          <w:rFonts w:cs="Arial"/>
          <w:sz w:val="20"/>
          <w:szCs w:val="20"/>
        </w:rPr>
        <w:t>El 7 de septiembre de 2022 la Corte Interamericana emitió la Sentencia en el</w:t>
      </w:r>
      <w:r w:rsidRPr="00F06F22">
        <w:rPr>
          <w:rFonts w:cs="Arial"/>
          <w:spacing w:val="1"/>
          <w:sz w:val="20"/>
          <w:szCs w:val="20"/>
        </w:rPr>
        <w:t xml:space="preserve"> </w:t>
      </w:r>
      <w:r w:rsidRPr="00F06F22">
        <w:rPr>
          <w:rFonts w:cs="Arial"/>
          <w:sz w:val="20"/>
          <w:szCs w:val="20"/>
        </w:rPr>
        <w:t>presente caso, la cual fue notificada a las partes y a la Comisión Interamericana de</w:t>
      </w:r>
      <w:r w:rsidRPr="00F06F22">
        <w:rPr>
          <w:rFonts w:cs="Arial"/>
          <w:spacing w:val="1"/>
          <w:sz w:val="20"/>
          <w:szCs w:val="20"/>
        </w:rPr>
        <w:t xml:space="preserve"> </w:t>
      </w:r>
      <w:r w:rsidRPr="00F06F22">
        <w:rPr>
          <w:rFonts w:cs="Arial"/>
          <w:sz w:val="20"/>
          <w:szCs w:val="20"/>
        </w:rPr>
        <w:t>Derechos Humanos (en adelante también “Comisión”) el 16 de diciembre del mismo</w:t>
      </w:r>
      <w:r w:rsidRPr="00F06F22">
        <w:rPr>
          <w:rFonts w:cs="Arial"/>
          <w:spacing w:val="1"/>
          <w:sz w:val="20"/>
          <w:szCs w:val="20"/>
        </w:rPr>
        <w:t xml:space="preserve"> </w:t>
      </w:r>
      <w:r w:rsidRPr="00F06F22">
        <w:rPr>
          <w:rFonts w:cs="Arial"/>
          <w:sz w:val="20"/>
          <w:szCs w:val="20"/>
        </w:rPr>
        <w:t>año.</w:t>
      </w:r>
    </w:p>
    <w:p w14:paraId="53BC491D" w14:textId="77777777" w:rsidR="00FA2EA0" w:rsidRDefault="00FA2EA0" w:rsidP="00FA2EA0">
      <w:pPr>
        <w:pStyle w:val="Prrafodelista"/>
        <w:tabs>
          <w:tab w:val="left" w:pos="567"/>
        </w:tabs>
        <w:ind w:left="0" w:right="17"/>
        <w:jc w:val="left"/>
        <w:rPr>
          <w:rFonts w:cs="Arial"/>
          <w:sz w:val="20"/>
          <w:szCs w:val="20"/>
        </w:rPr>
      </w:pPr>
    </w:p>
    <w:p w14:paraId="794DACBB" w14:textId="77777777" w:rsidR="00FA2EA0" w:rsidRPr="005869AE" w:rsidRDefault="00FA2EA0" w:rsidP="00FA2EA0">
      <w:pPr>
        <w:pStyle w:val="Prrafodelista"/>
        <w:numPr>
          <w:ilvl w:val="0"/>
          <w:numId w:val="1"/>
        </w:numPr>
        <w:tabs>
          <w:tab w:val="left" w:pos="567"/>
        </w:tabs>
        <w:ind w:left="0" w:right="17" w:firstLine="0"/>
        <w:rPr>
          <w:rFonts w:cs="Arial"/>
          <w:sz w:val="20"/>
          <w:szCs w:val="20"/>
        </w:rPr>
      </w:pPr>
      <w:r w:rsidRPr="005869AE">
        <w:rPr>
          <w:rFonts w:cs="Arial"/>
          <w:sz w:val="20"/>
          <w:szCs w:val="20"/>
        </w:rPr>
        <w:t>El 9 de marzo de 2023 el representante del señor Víctor Henrry Mina Cuero</w:t>
      </w:r>
      <w:r>
        <w:rPr>
          <w:rStyle w:val="Refdenotaalpie"/>
          <w:rFonts w:cs="Arial"/>
        </w:rPr>
        <w:footnoteReference w:id="1"/>
      </w:r>
      <w:r w:rsidRPr="005869AE">
        <w:rPr>
          <w:rFonts w:cs="Arial"/>
          <w:position w:val="7"/>
          <w:sz w:val="20"/>
          <w:szCs w:val="20"/>
        </w:rPr>
        <w:t xml:space="preserve"> </w:t>
      </w:r>
      <w:r w:rsidRPr="005869AE">
        <w:rPr>
          <w:rFonts w:cs="Arial"/>
          <w:sz w:val="20"/>
          <w:szCs w:val="20"/>
        </w:rPr>
        <w:t>presentó una solicitud de interpretación relacionada con los alcances de las reparaciones dispuestas, específicamente sobre (i) el derecho a las prestaciones sociales del señor Mina Cuero, con miras a una futura jubilación, y (</w:t>
      </w:r>
      <w:proofErr w:type="spellStart"/>
      <w:r w:rsidRPr="005869AE">
        <w:rPr>
          <w:rFonts w:cs="Arial"/>
          <w:sz w:val="20"/>
          <w:szCs w:val="20"/>
        </w:rPr>
        <w:t>ii</w:t>
      </w:r>
      <w:proofErr w:type="spellEnd"/>
      <w:r w:rsidRPr="005869AE">
        <w:rPr>
          <w:rFonts w:cs="Arial"/>
          <w:sz w:val="20"/>
          <w:szCs w:val="20"/>
        </w:rPr>
        <w:t>) la vigencia de la sanción que le fuera impuesta y que determinó su destitución del cargo de agente de policía que ejercía.</w:t>
      </w:r>
    </w:p>
    <w:p w14:paraId="33E881EA" w14:textId="77777777" w:rsidR="00FA2EA0" w:rsidRPr="005869AE" w:rsidRDefault="00FA2EA0" w:rsidP="00FA2EA0">
      <w:pPr>
        <w:pStyle w:val="Prrafodelista"/>
        <w:ind w:left="0" w:right="17"/>
        <w:rPr>
          <w:rFonts w:cs="Arial"/>
          <w:sz w:val="20"/>
          <w:szCs w:val="20"/>
        </w:rPr>
      </w:pPr>
    </w:p>
    <w:p w14:paraId="79CCAAC5" w14:textId="4F5164E9" w:rsidR="00FA2EA0" w:rsidRDefault="00FA2EA0" w:rsidP="00FA2EA0">
      <w:pPr>
        <w:pStyle w:val="Prrafodelista"/>
        <w:numPr>
          <w:ilvl w:val="0"/>
          <w:numId w:val="1"/>
        </w:numPr>
        <w:tabs>
          <w:tab w:val="left" w:pos="567"/>
        </w:tabs>
        <w:ind w:left="0" w:right="17" w:firstLine="0"/>
        <w:rPr>
          <w:rFonts w:cs="Arial"/>
          <w:sz w:val="20"/>
          <w:szCs w:val="20"/>
        </w:rPr>
      </w:pPr>
      <w:r w:rsidRPr="005869AE">
        <w:rPr>
          <w:rFonts w:cs="Arial"/>
          <w:sz w:val="20"/>
          <w:szCs w:val="20"/>
        </w:rPr>
        <w:t>El 2</w:t>
      </w:r>
      <w:r>
        <w:rPr>
          <w:rFonts w:cs="Arial"/>
          <w:sz w:val="20"/>
          <w:szCs w:val="20"/>
        </w:rPr>
        <w:t>1</w:t>
      </w:r>
      <w:r w:rsidRPr="005869AE">
        <w:rPr>
          <w:rFonts w:cs="Arial"/>
          <w:sz w:val="20"/>
          <w:szCs w:val="20"/>
        </w:rPr>
        <w:t xml:space="preserve"> de marzo de 202</w:t>
      </w:r>
      <w:r>
        <w:rPr>
          <w:rFonts w:cs="Arial"/>
          <w:sz w:val="20"/>
          <w:szCs w:val="20"/>
        </w:rPr>
        <w:t>3</w:t>
      </w:r>
      <w:r w:rsidRPr="005869AE">
        <w:rPr>
          <w:rFonts w:cs="Arial"/>
          <w:sz w:val="20"/>
          <w:szCs w:val="20"/>
        </w:rPr>
        <w:t>, de conformidad con el artículo 68.2 del Reglamento y</w:t>
      </w:r>
      <w:r w:rsidRPr="005869AE">
        <w:rPr>
          <w:rFonts w:cs="Arial"/>
          <w:spacing w:val="1"/>
          <w:sz w:val="20"/>
          <w:szCs w:val="20"/>
        </w:rPr>
        <w:t xml:space="preserve"> </w:t>
      </w:r>
      <w:r w:rsidRPr="005869AE">
        <w:rPr>
          <w:rFonts w:cs="Arial"/>
          <w:sz w:val="20"/>
          <w:szCs w:val="20"/>
        </w:rPr>
        <w:t>siguiendo</w:t>
      </w:r>
      <w:r w:rsidRPr="005869AE">
        <w:rPr>
          <w:rFonts w:cs="Arial"/>
          <w:spacing w:val="-6"/>
          <w:sz w:val="20"/>
          <w:szCs w:val="20"/>
        </w:rPr>
        <w:t xml:space="preserve"> </w:t>
      </w:r>
      <w:r w:rsidRPr="005869AE">
        <w:rPr>
          <w:rFonts w:cs="Arial"/>
          <w:sz w:val="20"/>
          <w:szCs w:val="20"/>
        </w:rPr>
        <w:t>instrucciones</w:t>
      </w:r>
      <w:r w:rsidRPr="005869AE">
        <w:rPr>
          <w:rFonts w:cs="Arial"/>
          <w:spacing w:val="-3"/>
          <w:sz w:val="20"/>
          <w:szCs w:val="20"/>
        </w:rPr>
        <w:t xml:space="preserve"> </w:t>
      </w:r>
      <w:r w:rsidRPr="005869AE">
        <w:rPr>
          <w:rFonts w:cs="Arial"/>
          <w:sz w:val="20"/>
          <w:szCs w:val="20"/>
        </w:rPr>
        <w:t>del</w:t>
      </w:r>
      <w:r w:rsidRPr="005869AE">
        <w:rPr>
          <w:rFonts w:cs="Arial"/>
          <w:spacing w:val="-5"/>
          <w:sz w:val="20"/>
          <w:szCs w:val="20"/>
        </w:rPr>
        <w:t xml:space="preserve"> </w:t>
      </w:r>
      <w:r w:rsidRPr="005869AE">
        <w:rPr>
          <w:rFonts w:cs="Arial"/>
          <w:sz w:val="20"/>
          <w:szCs w:val="20"/>
        </w:rPr>
        <w:t>President</w:t>
      </w:r>
      <w:r>
        <w:rPr>
          <w:rFonts w:cs="Arial"/>
          <w:sz w:val="20"/>
          <w:szCs w:val="20"/>
        </w:rPr>
        <w:t>e</w:t>
      </w:r>
      <w:r w:rsidRPr="005869AE">
        <w:rPr>
          <w:rFonts w:cs="Arial"/>
          <w:spacing w:val="-5"/>
          <w:sz w:val="20"/>
          <w:szCs w:val="20"/>
        </w:rPr>
        <w:t xml:space="preserve"> </w:t>
      </w:r>
      <w:r w:rsidRPr="005869AE">
        <w:rPr>
          <w:rFonts w:cs="Arial"/>
          <w:sz w:val="20"/>
          <w:szCs w:val="20"/>
        </w:rPr>
        <w:t>de</w:t>
      </w:r>
      <w:r w:rsidRPr="005869AE">
        <w:rPr>
          <w:rFonts w:cs="Arial"/>
          <w:spacing w:val="-5"/>
          <w:sz w:val="20"/>
          <w:szCs w:val="20"/>
        </w:rPr>
        <w:t xml:space="preserve"> </w:t>
      </w:r>
      <w:r w:rsidRPr="005869AE">
        <w:rPr>
          <w:rFonts w:cs="Arial"/>
          <w:sz w:val="20"/>
          <w:szCs w:val="20"/>
        </w:rPr>
        <w:t>la</w:t>
      </w:r>
      <w:r w:rsidRPr="005869AE">
        <w:rPr>
          <w:rFonts w:cs="Arial"/>
          <w:spacing w:val="-5"/>
          <w:sz w:val="20"/>
          <w:szCs w:val="20"/>
        </w:rPr>
        <w:t xml:space="preserve"> </w:t>
      </w:r>
      <w:r w:rsidRPr="005869AE">
        <w:rPr>
          <w:rFonts w:cs="Arial"/>
          <w:sz w:val="20"/>
          <w:szCs w:val="20"/>
        </w:rPr>
        <w:t>Corte,</w:t>
      </w:r>
      <w:r w:rsidRPr="005869AE">
        <w:rPr>
          <w:rFonts w:cs="Arial"/>
          <w:spacing w:val="-6"/>
          <w:sz w:val="20"/>
          <w:szCs w:val="20"/>
        </w:rPr>
        <w:t xml:space="preserve"> </w:t>
      </w:r>
      <w:r w:rsidRPr="005869AE">
        <w:rPr>
          <w:rFonts w:cs="Arial"/>
          <w:sz w:val="20"/>
          <w:szCs w:val="20"/>
        </w:rPr>
        <w:t>la</w:t>
      </w:r>
      <w:r w:rsidRPr="005869AE">
        <w:rPr>
          <w:rFonts w:cs="Arial"/>
          <w:spacing w:val="-5"/>
          <w:sz w:val="20"/>
          <w:szCs w:val="20"/>
        </w:rPr>
        <w:t xml:space="preserve"> </w:t>
      </w:r>
      <w:r w:rsidRPr="005869AE">
        <w:rPr>
          <w:rFonts w:cs="Arial"/>
          <w:sz w:val="20"/>
          <w:szCs w:val="20"/>
        </w:rPr>
        <w:t>Secretaría de</w:t>
      </w:r>
      <w:r w:rsidRPr="005869AE">
        <w:rPr>
          <w:rFonts w:cs="Arial"/>
          <w:spacing w:val="-6"/>
          <w:sz w:val="20"/>
          <w:szCs w:val="20"/>
        </w:rPr>
        <w:t xml:space="preserve"> </w:t>
      </w:r>
      <w:r w:rsidRPr="005869AE">
        <w:rPr>
          <w:rFonts w:cs="Arial"/>
          <w:sz w:val="20"/>
          <w:szCs w:val="20"/>
        </w:rPr>
        <w:t>la</w:t>
      </w:r>
      <w:r w:rsidRPr="005869AE">
        <w:rPr>
          <w:rFonts w:cs="Arial"/>
          <w:spacing w:val="-5"/>
          <w:sz w:val="20"/>
          <w:szCs w:val="20"/>
        </w:rPr>
        <w:t xml:space="preserve"> </w:t>
      </w:r>
      <w:r w:rsidRPr="005869AE">
        <w:rPr>
          <w:rFonts w:cs="Arial"/>
          <w:sz w:val="20"/>
          <w:szCs w:val="20"/>
        </w:rPr>
        <w:t>Corte</w:t>
      </w:r>
      <w:r>
        <w:rPr>
          <w:rFonts w:cs="Arial"/>
          <w:sz w:val="20"/>
          <w:szCs w:val="20"/>
        </w:rPr>
        <w:t xml:space="preserve"> transmitió la </w:t>
      </w:r>
      <w:r w:rsidRPr="005869AE">
        <w:rPr>
          <w:rFonts w:cs="Arial"/>
          <w:sz w:val="20"/>
          <w:szCs w:val="20"/>
        </w:rPr>
        <w:t xml:space="preserve">solicitud de interpretación </w:t>
      </w:r>
      <w:r>
        <w:rPr>
          <w:rFonts w:cs="Arial"/>
          <w:sz w:val="20"/>
          <w:szCs w:val="20"/>
        </w:rPr>
        <w:t>al Estado</w:t>
      </w:r>
      <w:r w:rsidRPr="005869AE">
        <w:rPr>
          <w:rFonts w:cs="Arial"/>
          <w:sz w:val="20"/>
          <w:szCs w:val="20"/>
        </w:rPr>
        <w:t xml:space="preserve"> y a la Comisión, y les otorgó un</w:t>
      </w:r>
      <w:r w:rsidRPr="005869AE">
        <w:rPr>
          <w:rFonts w:cs="Arial"/>
          <w:spacing w:val="1"/>
          <w:sz w:val="20"/>
          <w:szCs w:val="20"/>
        </w:rPr>
        <w:t xml:space="preserve"> </w:t>
      </w:r>
      <w:r w:rsidRPr="005869AE">
        <w:rPr>
          <w:rFonts w:cs="Arial"/>
          <w:sz w:val="20"/>
          <w:szCs w:val="20"/>
        </w:rPr>
        <w:t>plazo para que, a más tardar el 2</w:t>
      </w:r>
      <w:r>
        <w:rPr>
          <w:rFonts w:cs="Arial"/>
          <w:sz w:val="20"/>
          <w:szCs w:val="20"/>
        </w:rPr>
        <w:t xml:space="preserve">1 </w:t>
      </w:r>
      <w:r w:rsidRPr="005869AE">
        <w:rPr>
          <w:rFonts w:cs="Arial"/>
          <w:sz w:val="20"/>
          <w:szCs w:val="20"/>
        </w:rPr>
        <w:t>de abril de 202</w:t>
      </w:r>
      <w:r>
        <w:rPr>
          <w:rFonts w:cs="Arial"/>
          <w:sz w:val="20"/>
          <w:szCs w:val="20"/>
        </w:rPr>
        <w:t>3</w:t>
      </w:r>
      <w:r w:rsidRPr="005869AE">
        <w:rPr>
          <w:rFonts w:cs="Arial"/>
          <w:sz w:val="20"/>
          <w:szCs w:val="20"/>
        </w:rPr>
        <w:t>, presentaran por escrito las</w:t>
      </w:r>
      <w:r w:rsidRPr="005869AE">
        <w:rPr>
          <w:rFonts w:cs="Arial"/>
          <w:spacing w:val="1"/>
          <w:sz w:val="20"/>
          <w:szCs w:val="20"/>
        </w:rPr>
        <w:t xml:space="preserve"> </w:t>
      </w:r>
      <w:r w:rsidRPr="005869AE">
        <w:rPr>
          <w:rFonts w:cs="Arial"/>
          <w:sz w:val="20"/>
          <w:szCs w:val="20"/>
        </w:rPr>
        <w:t>observaciones</w:t>
      </w:r>
      <w:r w:rsidRPr="005869AE">
        <w:rPr>
          <w:rFonts w:cs="Arial"/>
          <w:spacing w:val="-7"/>
          <w:sz w:val="20"/>
          <w:szCs w:val="20"/>
        </w:rPr>
        <w:t xml:space="preserve"> </w:t>
      </w:r>
      <w:r w:rsidRPr="005869AE">
        <w:rPr>
          <w:rFonts w:cs="Arial"/>
          <w:sz w:val="20"/>
          <w:szCs w:val="20"/>
        </w:rPr>
        <w:t>que</w:t>
      </w:r>
      <w:r w:rsidRPr="005869AE">
        <w:rPr>
          <w:rFonts w:cs="Arial"/>
          <w:spacing w:val="-9"/>
          <w:sz w:val="20"/>
          <w:szCs w:val="20"/>
        </w:rPr>
        <w:t xml:space="preserve"> </w:t>
      </w:r>
      <w:r w:rsidRPr="005869AE">
        <w:rPr>
          <w:rFonts w:cs="Arial"/>
          <w:sz w:val="20"/>
          <w:szCs w:val="20"/>
        </w:rPr>
        <w:t>estimaran</w:t>
      </w:r>
      <w:r w:rsidRPr="005869AE">
        <w:rPr>
          <w:rFonts w:cs="Arial"/>
          <w:spacing w:val="-8"/>
          <w:sz w:val="20"/>
          <w:szCs w:val="20"/>
        </w:rPr>
        <w:t xml:space="preserve"> </w:t>
      </w:r>
      <w:r w:rsidRPr="005869AE">
        <w:rPr>
          <w:rFonts w:cs="Arial"/>
          <w:sz w:val="20"/>
          <w:szCs w:val="20"/>
        </w:rPr>
        <w:t>pertinente</w:t>
      </w:r>
      <w:r w:rsidR="000D29C5">
        <w:rPr>
          <w:rFonts w:cs="Arial"/>
          <w:sz w:val="20"/>
          <w:szCs w:val="20"/>
        </w:rPr>
        <w:t>s</w:t>
      </w:r>
      <w:r w:rsidRPr="005869AE">
        <w:rPr>
          <w:rFonts w:cs="Arial"/>
          <w:sz w:val="20"/>
          <w:szCs w:val="20"/>
        </w:rPr>
        <w:t>.</w:t>
      </w:r>
      <w:r w:rsidRPr="005869AE">
        <w:rPr>
          <w:rFonts w:cs="Arial"/>
          <w:spacing w:val="-7"/>
          <w:sz w:val="20"/>
          <w:szCs w:val="20"/>
        </w:rPr>
        <w:t xml:space="preserve"> </w:t>
      </w:r>
      <w:r w:rsidRPr="005869AE">
        <w:rPr>
          <w:rFonts w:cs="Arial"/>
          <w:sz w:val="20"/>
          <w:szCs w:val="20"/>
        </w:rPr>
        <w:t>El</w:t>
      </w:r>
      <w:r w:rsidRPr="005869AE">
        <w:rPr>
          <w:rFonts w:cs="Arial"/>
          <w:spacing w:val="-6"/>
          <w:sz w:val="20"/>
          <w:szCs w:val="20"/>
        </w:rPr>
        <w:t xml:space="preserve"> </w:t>
      </w:r>
      <w:r>
        <w:rPr>
          <w:rFonts w:cs="Arial"/>
          <w:sz w:val="20"/>
          <w:szCs w:val="20"/>
        </w:rPr>
        <w:t>21</w:t>
      </w:r>
      <w:r w:rsidRPr="005869AE">
        <w:rPr>
          <w:rFonts w:cs="Arial"/>
          <w:spacing w:val="-7"/>
          <w:sz w:val="20"/>
          <w:szCs w:val="20"/>
        </w:rPr>
        <w:t xml:space="preserve"> </w:t>
      </w:r>
      <w:r w:rsidRPr="005869AE">
        <w:rPr>
          <w:rFonts w:cs="Arial"/>
          <w:sz w:val="20"/>
          <w:szCs w:val="20"/>
        </w:rPr>
        <w:t>de</w:t>
      </w:r>
      <w:r w:rsidRPr="005869AE">
        <w:rPr>
          <w:rFonts w:cs="Arial"/>
          <w:spacing w:val="-10"/>
          <w:sz w:val="20"/>
          <w:szCs w:val="20"/>
        </w:rPr>
        <w:t xml:space="preserve"> </w:t>
      </w:r>
      <w:r w:rsidRPr="005869AE">
        <w:rPr>
          <w:rFonts w:cs="Arial"/>
          <w:sz w:val="20"/>
          <w:szCs w:val="20"/>
        </w:rPr>
        <w:t>abril</w:t>
      </w:r>
      <w:r w:rsidRPr="005869AE">
        <w:rPr>
          <w:rFonts w:cs="Arial"/>
          <w:spacing w:val="-6"/>
          <w:sz w:val="20"/>
          <w:szCs w:val="20"/>
        </w:rPr>
        <w:t xml:space="preserve"> </w:t>
      </w:r>
      <w:r w:rsidRPr="005869AE">
        <w:rPr>
          <w:rFonts w:cs="Arial"/>
          <w:sz w:val="20"/>
          <w:szCs w:val="20"/>
        </w:rPr>
        <w:t>de</w:t>
      </w:r>
      <w:r w:rsidRPr="005869AE">
        <w:rPr>
          <w:rFonts w:cs="Arial"/>
          <w:spacing w:val="-10"/>
          <w:sz w:val="20"/>
          <w:szCs w:val="20"/>
        </w:rPr>
        <w:t xml:space="preserve"> </w:t>
      </w:r>
      <w:r w:rsidRPr="005869AE">
        <w:rPr>
          <w:rFonts w:cs="Arial"/>
          <w:sz w:val="20"/>
          <w:szCs w:val="20"/>
        </w:rPr>
        <w:t>202</w:t>
      </w:r>
      <w:r>
        <w:rPr>
          <w:rFonts w:cs="Arial"/>
          <w:sz w:val="20"/>
          <w:szCs w:val="20"/>
        </w:rPr>
        <w:t>3</w:t>
      </w:r>
      <w:r w:rsidRPr="005869AE">
        <w:rPr>
          <w:rFonts w:cs="Arial"/>
          <w:spacing w:val="-8"/>
          <w:sz w:val="20"/>
          <w:szCs w:val="20"/>
        </w:rPr>
        <w:t xml:space="preserve"> </w:t>
      </w:r>
      <w:r w:rsidRPr="005869AE">
        <w:rPr>
          <w:rFonts w:cs="Arial"/>
          <w:sz w:val="20"/>
          <w:szCs w:val="20"/>
        </w:rPr>
        <w:t>la</w:t>
      </w:r>
      <w:r w:rsidRPr="005869AE">
        <w:rPr>
          <w:rFonts w:cs="Arial"/>
          <w:spacing w:val="-10"/>
          <w:sz w:val="20"/>
          <w:szCs w:val="20"/>
        </w:rPr>
        <w:t xml:space="preserve"> </w:t>
      </w:r>
      <w:r w:rsidRPr="005869AE">
        <w:rPr>
          <w:rFonts w:cs="Arial"/>
          <w:sz w:val="20"/>
          <w:szCs w:val="20"/>
        </w:rPr>
        <w:t>Comisión</w:t>
      </w:r>
      <w:r w:rsidRPr="005869AE">
        <w:rPr>
          <w:rFonts w:cs="Arial"/>
          <w:spacing w:val="-6"/>
          <w:sz w:val="20"/>
          <w:szCs w:val="20"/>
        </w:rPr>
        <w:t xml:space="preserve"> </w:t>
      </w:r>
      <w:r w:rsidRPr="005869AE">
        <w:rPr>
          <w:rFonts w:cs="Arial"/>
          <w:sz w:val="20"/>
          <w:szCs w:val="20"/>
        </w:rPr>
        <w:t>y</w:t>
      </w:r>
      <w:r w:rsidRPr="005869AE">
        <w:rPr>
          <w:rFonts w:cs="Arial"/>
          <w:spacing w:val="-10"/>
          <w:sz w:val="20"/>
          <w:szCs w:val="20"/>
        </w:rPr>
        <w:t xml:space="preserve"> </w:t>
      </w:r>
      <w:r w:rsidRPr="005869AE">
        <w:rPr>
          <w:rFonts w:cs="Arial"/>
          <w:sz w:val="20"/>
          <w:szCs w:val="20"/>
        </w:rPr>
        <w:t>el</w:t>
      </w:r>
      <w:r w:rsidRPr="005869AE">
        <w:rPr>
          <w:rFonts w:cs="Arial"/>
          <w:spacing w:val="-6"/>
          <w:sz w:val="20"/>
          <w:szCs w:val="20"/>
        </w:rPr>
        <w:t xml:space="preserve"> </w:t>
      </w:r>
      <w:proofErr w:type="gramStart"/>
      <w:r w:rsidRPr="005869AE">
        <w:rPr>
          <w:rFonts w:cs="Arial"/>
          <w:sz w:val="20"/>
          <w:szCs w:val="20"/>
        </w:rPr>
        <w:t>Estad</w:t>
      </w:r>
      <w:r>
        <w:rPr>
          <w:rFonts w:cs="Arial"/>
          <w:sz w:val="20"/>
          <w:szCs w:val="20"/>
        </w:rPr>
        <w:t xml:space="preserve">o </w:t>
      </w:r>
      <w:r w:rsidRPr="005869AE">
        <w:rPr>
          <w:rFonts w:cs="Arial"/>
          <w:spacing w:val="-68"/>
          <w:sz w:val="20"/>
          <w:szCs w:val="20"/>
        </w:rPr>
        <w:t xml:space="preserve"> </w:t>
      </w:r>
      <w:r w:rsidRPr="005869AE">
        <w:rPr>
          <w:rFonts w:cs="Arial"/>
          <w:sz w:val="20"/>
          <w:szCs w:val="20"/>
        </w:rPr>
        <w:t>remitieron</w:t>
      </w:r>
      <w:proofErr w:type="gramEnd"/>
      <w:r w:rsidRPr="005869AE">
        <w:rPr>
          <w:rFonts w:cs="Arial"/>
          <w:sz w:val="20"/>
          <w:szCs w:val="20"/>
        </w:rPr>
        <w:t xml:space="preserve"> sus respectivas observaciones.</w:t>
      </w:r>
    </w:p>
    <w:p w14:paraId="71168701" w14:textId="77777777" w:rsidR="00FA2EA0" w:rsidRDefault="00FA2EA0" w:rsidP="00FA2EA0">
      <w:pPr>
        <w:rPr>
          <w:rFonts w:cs="Arial"/>
          <w:sz w:val="20"/>
          <w:szCs w:val="20"/>
        </w:rPr>
      </w:pPr>
    </w:p>
    <w:p w14:paraId="068BDC10" w14:textId="38FB3D3C" w:rsidR="00FA2EA0" w:rsidRPr="00F06F22" w:rsidRDefault="00FA2EA0" w:rsidP="00FA2EA0">
      <w:pPr>
        <w:pStyle w:val="Ttulo1"/>
        <w:spacing w:before="76"/>
        <w:ind w:left="0" w:right="17"/>
        <w:rPr>
          <w:rFonts w:cs="Arial"/>
        </w:rPr>
      </w:pPr>
      <w:r w:rsidRPr="00F06F22">
        <w:rPr>
          <w:rFonts w:cs="Arial"/>
          <w:w w:val="99"/>
        </w:rPr>
        <w:t>I</w:t>
      </w:r>
      <w:r>
        <w:rPr>
          <w:rFonts w:cs="Arial"/>
          <w:w w:val="99"/>
        </w:rPr>
        <w:t>I</w:t>
      </w:r>
    </w:p>
    <w:p w14:paraId="2E6C29C9" w14:textId="1C4500CE" w:rsidR="00FA2EA0" w:rsidRPr="00FA2EA0" w:rsidRDefault="00FA2EA0" w:rsidP="00FA2EA0">
      <w:pPr>
        <w:jc w:val="center"/>
        <w:rPr>
          <w:rFonts w:cs="Arial"/>
          <w:sz w:val="20"/>
          <w:szCs w:val="20"/>
        </w:rPr>
      </w:pPr>
      <w:r>
        <w:rPr>
          <w:rFonts w:cs="Arial"/>
          <w:b/>
          <w:sz w:val="20"/>
          <w:szCs w:val="20"/>
        </w:rPr>
        <w:t>COMPETENCIA</w:t>
      </w:r>
    </w:p>
    <w:p w14:paraId="2223FF53" w14:textId="77777777" w:rsidR="00FA2EA0" w:rsidRPr="00FA2EA0" w:rsidRDefault="00FA2EA0" w:rsidP="00FA2EA0">
      <w:pPr>
        <w:rPr>
          <w:rFonts w:cs="Arial"/>
          <w:sz w:val="20"/>
          <w:szCs w:val="20"/>
        </w:rPr>
      </w:pPr>
    </w:p>
    <w:p w14:paraId="170AC0E0" w14:textId="5005455E" w:rsidR="0067513A" w:rsidRPr="00FA2EA0" w:rsidRDefault="00FA2EA0" w:rsidP="00FA2EA0">
      <w:pPr>
        <w:pStyle w:val="Prrafodelista"/>
        <w:numPr>
          <w:ilvl w:val="0"/>
          <w:numId w:val="1"/>
        </w:numPr>
        <w:tabs>
          <w:tab w:val="left" w:pos="567"/>
        </w:tabs>
        <w:ind w:left="0" w:right="17" w:firstLine="0"/>
        <w:rPr>
          <w:rFonts w:cs="Arial"/>
          <w:sz w:val="20"/>
          <w:szCs w:val="20"/>
        </w:rPr>
      </w:pPr>
      <w:r w:rsidRPr="00FA2EA0">
        <w:rPr>
          <w:spacing w:val="-1"/>
          <w:sz w:val="20"/>
        </w:rPr>
        <w:t>El</w:t>
      </w:r>
      <w:r w:rsidRPr="00FA2EA0">
        <w:rPr>
          <w:spacing w:val="-13"/>
          <w:sz w:val="20"/>
        </w:rPr>
        <w:t xml:space="preserve"> </w:t>
      </w:r>
      <w:r w:rsidRPr="00FA2EA0">
        <w:rPr>
          <w:spacing w:val="-1"/>
          <w:sz w:val="20"/>
        </w:rPr>
        <w:t>artículo</w:t>
      </w:r>
      <w:r w:rsidRPr="00FA2EA0">
        <w:rPr>
          <w:spacing w:val="-15"/>
          <w:sz w:val="20"/>
        </w:rPr>
        <w:t xml:space="preserve"> </w:t>
      </w:r>
      <w:r w:rsidRPr="00FA2EA0">
        <w:rPr>
          <w:spacing w:val="-1"/>
          <w:sz w:val="20"/>
        </w:rPr>
        <w:t>67</w:t>
      </w:r>
      <w:r w:rsidRPr="00FA2EA0">
        <w:rPr>
          <w:spacing w:val="-13"/>
          <w:sz w:val="20"/>
        </w:rPr>
        <w:t xml:space="preserve"> </w:t>
      </w:r>
      <w:r w:rsidRPr="00FA2EA0">
        <w:rPr>
          <w:spacing w:val="-1"/>
          <w:sz w:val="20"/>
        </w:rPr>
        <w:t>de</w:t>
      </w:r>
      <w:r w:rsidRPr="00FA2EA0">
        <w:rPr>
          <w:spacing w:val="-15"/>
          <w:sz w:val="20"/>
        </w:rPr>
        <w:t xml:space="preserve"> </w:t>
      </w:r>
      <w:r w:rsidRPr="00FA2EA0">
        <w:rPr>
          <w:spacing w:val="-1"/>
          <w:sz w:val="20"/>
        </w:rPr>
        <w:t>la</w:t>
      </w:r>
      <w:r w:rsidRPr="00FA2EA0">
        <w:rPr>
          <w:spacing w:val="-15"/>
          <w:sz w:val="20"/>
        </w:rPr>
        <w:t xml:space="preserve"> </w:t>
      </w:r>
      <w:r w:rsidRPr="00FA2EA0">
        <w:rPr>
          <w:spacing w:val="-1"/>
          <w:sz w:val="20"/>
        </w:rPr>
        <w:t>Convención</w:t>
      </w:r>
      <w:r w:rsidRPr="00FA2EA0">
        <w:rPr>
          <w:spacing w:val="-11"/>
          <w:sz w:val="20"/>
        </w:rPr>
        <w:t xml:space="preserve"> </w:t>
      </w:r>
      <w:r w:rsidRPr="00FA2EA0">
        <w:rPr>
          <w:sz w:val="20"/>
        </w:rPr>
        <w:t>Americana</w:t>
      </w:r>
      <w:r w:rsidRPr="00FA2EA0">
        <w:rPr>
          <w:spacing w:val="-11"/>
          <w:sz w:val="20"/>
        </w:rPr>
        <w:t xml:space="preserve"> </w:t>
      </w:r>
      <w:r w:rsidRPr="00FA2EA0">
        <w:rPr>
          <w:sz w:val="20"/>
        </w:rPr>
        <w:t>establece:</w:t>
      </w:r>
    </w:p>
    <w:p w14:paraId="477953A0" w14:textId="77777777" w:rsidR="00FA2EA0" w:rsidRDefault="00FA2EA0" w:rsidP="00FA2EA0">
      <w:pPr>
        <w:pStyle w:val="Prrafodelista"/>
        <w:tabs>
          <w:tab w:val="left" w:pos="567"/>
        </w:tabs>
        <w:ind w:left="0" w:right="17"/>
        <w:rPr>
          <w:sz w:val="20"/>
        </w:rPr>
      </w:pPr>
    </w:p>
    <w:p w14:paraId="46C30D25" w14:textId="725C832E" w:rsidR="00FA2EA0" w:rsidRDefault="00FA2EA0" w:rsidP="00FA2EA0">
      <w:pPr>
        <w:pStyle w:val="Prrafodelista"/>
        <w:tabs>
          <w:tab w:val="left" w:pos="567"/>
        </w:tabs>
        <w:ind w:left="567" w:right="567"/>
        <w:rPr>
          <w:sz w:val="20"/>
        </w:rPr>
      </w:pPr>
      <w:r>
        <w:rPr>
          <w:sz w:val="16"/>
        </w:rPr>
        <w:t>El</w:t>
      </w:r>
      <w:r>
        <w:rPr>
          <w:spacing w:val="-9"/>
          <w:sz w:val="16"/>
        </w:rPr>
        <w:t xml:space="preserve"> </w:t>
      </w:r>
      <w:r>
        <w:rPr>
          <w:sz w:val="16"/>
        </w:rPr>
        <w:t>fallo</w:t>
      </w:r>
      <w:r>
        <w:rPr>
          <w:spacing w:val="-8"/>
          <w:sz w:val="16"/>
        </w:rPr>
        <w:t xml:space="preserve"> </w:t>
      </w:r>
      <w:r>
        <w:rPr>
          <w:sz w:val="16"/>
        </w:rPr>
        <w:t>de</w:t>
      </w:r>
      <w:r>
        <w:rPr>
          <w:spacing w:val="-8"/>
          <w:sz w:val="16"/>
        </w:rPr>
        <w:t xml:space="preserve"> </w:t>
      </w:r>
      <w:r>
        <w:rPr>
          <w:sz w:val="16"/>
        </w:rPr>
        <w:t>la</w:t>
      </w:r>
      <w:r>
        <w:rPr>
          <w:spacing w:val="-8"/>
          <w:sz w:val="16"/>
        </w:rPr>
        <w:t xml:space="preserve"> </w:t>
      </w:r>
      <w:r>
        <w:rPr>
          <w:sz w:val="16"/>
        </w:rPr>
        <w:t>Corte</w:t>
      </w:r>
      <w:r>
        <w:rPr>
          <w:spacing w:val="-8"/>
          <w:sz w:val="16"/>
        </w:rPr>
        <w:t xml:space="preserve"> </w:t>
      </w:r>
      <w:r>
        <w:rPr>
          <w:sz w:val="16"/>
        </w:rPr>
        <w:t>será</w:t>
      </w:r>
      <w:r>
        <w:rPr>
          <w:spacing w:val="-9"/>
          <w:sz w:val="16"/>
        </w:rPr>
        <w:t xml:space="preserve"> </w:t>
      </w:r>
      <w:r>
        <w:rPr>
          <w:sz w:val="16"/>
        </w:rPr>
        <w:t>definitivo</w:t>
      </w:r>
      <w:r>
        <w:rPr>
          <w:spacing w:val="-7"/>
          <w:sz w:val="16"/>
        </w:rPr>
        <w:t xml:space="preserve"> </w:t>
      </w:r>
      <w:r>
        <w:rPr>
          <w:sz w:val="16"/>
        </w:rPr>
        <w:t>e</w:t>
      </w:r>
      <w:r>
        <w:rPr>
          <w:spacing w:val="-7"/>
          <w:sz w:val="16"/>
        </w:rPr>
        <w:t xml:space="preserve"> </w:t>
      </w:r>
      <w:r>
        <w:rPr>
          <w:sz w:val="16"/>
        </w:rPr>
        <w:t>inapelable.</w:t>
      </w:r>
      <w:r>
        <w:rPr>
          <w:spacing w:val="-8"/>
          <w:sz w:val="16"/>
        </w:rPr>
        <w:t xml:space="preserve"> </w:t>
      </w:r>
      <w:r>
        <w:rPr>
          <w:sz w:val="16"/>
        </w:rPr>
        <w:t>En</w:t>
      </w:r>
      <w:r>
        <w:rPr>
          <w:spacing w:val="-9"/>
          <w:sz w:val="16"/>
        </w:rPr>
        <w:t xml:space="preserve"> </w:t>
      </w:r>
      <w:r>
        <w:rPr>
          <w:sz w:val="16"/>
        </w:rPr>
        <w:t>caso</w:t>
      </w:r>
      <w:r>
        <w:rPr>
          <w:spacing w:val="-8"/>
          <w:sz w:val="16"/>
        </w:rPr>
        <w:t xml:space="preserve"> </w:t>
      </w:r>
      <w:r>
        <w:rPr>
          <w:sz w:val="16"/>
        </w:rPr>
        <w:t>de</w:t>
      </w:r>
      <w:r>
        <w:rPr>
          <w:spacing w:val="-7"/>
          <w:sz w:val="16"/>
        </w:rPr>
        <w:t xml:space="preserve"> </w:t>
      </w:r>
      <w:r>
        <w:rPr>
          <w:sz w:val="16"/>
        </w:rPr>
        <w:t>desacuerdo</w:t>
      </w:r>
      <w:r>
        <w:rPr>
          <w:spacing w:val="-8"/>
          <w:sz w:val="16"/>
        </w:rPr>
        <w:t xml:space="preserve"> </w:t>
      </w:r>
      <w:r>
        <w:rPr>
          <w:sz w:val="16"/>
        </w:rPr>
        <w:t>sobre</w:t>
      </w:r>
      <w:r>
        <w:rPr>
          <w:spacing w:val="-8"/>
          <w:sz w:val="16"/>
        </w:rPr>
        <w:t xml:space="preserve"> </w:t>
      </w:r>
      <w:r>
        <w:rPr>
          <w:sz w:val="16"/>
        </w:rPr>
        <w:t>el</w:t>
      </w:r>
      <w:r>
        <w:rPr>
          <w:spacing w:val="-8"/>
          <w:sz w:val="16"/>
        </w:rPr>
        <w:t xml:space="preserve"> </w:t>
      </w:r>
      <w:r>
        <w:rPr>
          <w:sz w:val="16"/>
        </w:rPr>
        <w:t>sentido</w:t>
      </w:r>
      <w:r>
        <w:rPr>
          <w:spacing w:val="-8"/>
          <w:sz w:val="16"/>
        </w:rPr>
        <w:t xml:space="preserve"> </w:t>
      </w:r>
      <w:r>
        <w:rPr>
          <w:sz w:val="16"/>
        </w:rPr>
        <w:t>o</w:t>
      </w:r>
      <w:r>
        <w:rPr>
          <w:spacing w:val="-8"/>
          <w:sz w:val="16"/>
        </w:rPr>
        <w:t xml:space="preserve"> </w:t>
      </w:r>
      <w:r>
        <w:rPr>
          <w:sz w:val="16"/>
        </w:rPr>
        <w:t>alcance</w:t>
      </w:r>
      <w:r>
        <w:rPr>
          <w:spacing w:val="-8"/>
          <w:sz w:val="16"/>
        </w:rPr>
        <w:t xml:space="preserve"> </w:t>
      </w:r>
      <w:r>
        <w:rPr>
          <w:sz w:val="16"/>
        </w:rPr>
        <w:t>del</w:t>
      </w:r>
      <w:r w:rsidR="001603EF">
        <w:rPr>
          <w:sz w:val="16"/>
        </w:rPr>
        <w:t xml:space="preserve"> f</w:t>
      </w:r>
      <w:r>
        <w:rPr>
          <w:sz w:val="16"/>
        </w:rPr>
        <w:t>allo, la Corte lo interpretará a solicitud de cualquiera de las partes, siempre que dicha solicitud se</w:t>
      </w:r>
      <w:r>
        <w:rPr>
          <w:spacing w:val="1"/>
          <w:sz w:val="16"/>
        </w:rPr>
        <w:t xml:space="preserve"> </w:t>
      </w:r>
      <w:r>
        <w:rPr>
          <w:sz w:val="16"/>
        </w:rPr>
        <w:t>presente</w:t>
      </w:r>
      <w:r>
        <w:rPr>
          <w:spacing w:val="-8"/>
          <w:sz w:val="16"/>
        </w:rPr>
        <w:t xml:space="preserve"> </w:t>
      </w:r>
      <w:r>
        <w:rPr>
          <w:sz w:val="16"/>
        </w:rPr>
        <w:t>dentro</w:t>
      </w:r>
      <w:r>
        <w:rPr>
          <w:spacing w:val="-9"/>
          <w:sz w:val="16"/>
        </w:rPr>
        <w:t xml:space="preserve"> </w:t>
      </w:r>
      <w:r>
        <w:rPr>
          <w:sz w:val="16"/>
        </w:rPr>
        <w:t>de</w:t>
      </w:r>
      <w:r>
        <w:rPr>
          <w:spacing w:val="-7"/>
          <w:sz w:val="16"/>
        </w:rPr>
        <w:t xml:space="preserve"> </w:t>
      </w:r>
      <w:r>
        <w:rPr>
          <w:sz w:val="16"/>
        </w:rPr>
        <w:t>los</w:t>
      </w:r>
      <w:r>
        <w:rPr>
          <w:spacing w:val="-9"/>
          <w:sz w:val="16"/>
        </w:rPr>
        <w:t xml:space="preserve"> </w:t>
      </w:r>
      <w:r>
        <w:rPr>
          <w:sz w:val="16"/>
        </w:rPr>
        <w:t>noventa</w:t>
      </w:r>
      <w:r>
        <w:rPr>
          <w:spacing w:val="-8"/>
          <w:sz w:val="16"/>
        </w:rPr>
        <w:t xml:space="preserve"> </w:t>
      </w:r>
      <w:r>
        <w:rPr>
          <w:sz w:val="16"/>
        </w:rPr>
        <w:t>días</w:t>
      </w:r>
      <w:r>
        <w:rPr>
          <w:spacing w:val="-7"/>
          <w:sz w:val="16"/>
        </w:rPr>
        <w:t xml:space="preserve"> </w:t>
      </w:r>
      <w:r>
        <w:rPr>
          <w:sz w:val="16"/>
        </w:rPr>
        <w:t>a</w:t>
      </w:r>
      <w:r>
        <w:rPr>
          <w:spacing w:val="-8"/>
          <w:sz w:val="16"/>
        </w:rPr>
        <w:t xml:space="preserve"> </w:t>
      </w:r>
      <w:r>
        <w:rPr>
          <w:sz w:val="16"/>
        </w:rPr>
        <w:t>partir</w:t>
      </w:r>
      <w:r>
        <w:rPr>
          <w:spacing w:val="-6"/>
          <w:sz w:val="16"/>
        </w:rPr>
        <w:t xml:space="preserve"> </w:t>
      </w:r>
      <w:r>
        <w:rPr>
          <w:sz w:val="16"/>
        </w:rPr>
        <w:t>de</w:t>
      </w:r>
      <w:r>
        <w:rPr>
          <w:spacing w:val="-9"/>
          <w:sz w:val="16"/>
        </w:rPr>
        <w:t xml:space="preserve"> </w:t>
      </w:r>
      <w:r>
        <w:rPr>
          <w:sz w:val="16"/>
        </w:rPr>
        <w:t>la</w:t>
      </w:r>
      <w:r>
        <w:rPr>
          <w:spacing w:val="-8"/>
          <w:sz w:val="16"/>
        </w:rPr>
        <w:t xml:space="preserve"> </w:t>
      </w:r>
      <w:r>
        <w:rPr>
          <w:sz w:val="16"/>
        </w:rPr>
        <w:t>fecha</w:t>
      </w:r>
      <w:r>
        <w:rPr>
          <w:spacing w:val="-8"/>
          <w:sz w:val="16"/>
        </w:rPr>
        <w:t xml:space="preserve"> </w:t>
      </w:r>
      <w:r>
        <w:rPr>
          <w:sz w:val="16"/>
        </w:rPr>
        <w:t>de</w:t>
      </w:r>
      <w:r>
        <w:rPr>
          <w:spacing w:val="-9"/>
          <w:sz w:val="16"/>
        </w:rPr>
        <w:t xml:space="preserve"> </w:t>
      </w:r>
      <w:r>
        <w:rPr>
          <w:sz w:val="16"/>
        </w:rPr>
        <w:t>la</w:t>
      </w:r>
      <w:r>
        <w:rPr>
          <w:spacing w:val="-8"/>
          <w:sz w:val="16"/>
        </w:rPr>
        <w:t xml:space="preserve"> </w:t>
      </w:r>
      <w:r>
        <w:rPr>
          <w:sz w:val="16"/>
        </w:rPr>
        <w:t>notificación</w:t>
      </w:r>
      <w:r>
        <w:rPr>
          <w:spacing w:val="-8"/>
          <w:sz w:val="16"/>
        </w:rPr>
        <w:t xml:space="preserve"> </w:t>
      </w:r>
      <w:r>
        <w:rPr>
          <w:sz w:val="16"/>
        </w:rPr>
        <w:t>del</w:t>
      </w:r>
      <w:r>
        <w:rPr>
          <w:spacing w:val="-8"/>
          <w:sz w:val="16"/>
        </w:rPr>
        <w:t xml:space="preserve"> </w:t>
      </w:r>
      <w:r>
        <w:rPr>
          <w:sz w:val="16"/>
        </w:rPr>
        <w:t>fallo.</w:t>
      </w:r>
    </w:p>
    <w:p w14:paraId="4FCFD637" w14:textId="77777777" w:rsidR="00FA2EA0" w:rsidRPr="00FA2EA0" w:rsidRDefault="00FA2EA0" w:rsidP="00FA2EA0">
      <w:pPr>
        <w:tabs>
          <w:tab w:val="left" w:pos="567"/>
        </w:tabs>
        <w:ind w:right="17"/>
        <w:rPr>
          <w:rFonts w:cs="Arial"/>
          <w:sz w:val="20"/>
          <w:szCs w:val="20"/>
        </w:rPr>
      </w:pPr>
    </w:p>
    <w:p w14:paraId="04EF439A" w14:textId="70CD955B" w:rsidR="00FA2EA0" w:rsidRPr="00FA2EA0" w:rsidRDefault="00FA2EA0" w:rsidP="00FA2EA0">
      <w:pPr>
        <w:pStyle w:val="Prrafodelista"/>
        <w:numPr>
          <w:ilvl w:val="0"/>
          <w:numId w:val="1"/>
        </w:numPr>
        <w:tabs>
          <w:tab w:val="left" w:pos="567"/>
        </w:tabs>
        <w:ind w:left="0" w:right="17" w:firstLine="0"/>
        <w:rPr>
          <w:rFonts w:cs="Arial"/>
          <w:sz w:val="20"/>
          <w:szCs w:val="20"/>
        </w:rPr>
      </w:pPr>
      <w:r w:rsidRPr="00FA2EA0">
        <w:rPr>
          <w:sz w:val="20"/>
          <w:szCs w:val="20"/>
        </w:rPr>
        <w:t>De conformidad con el artículo citado, la Corte Interamericana es competente para interpretar sus fallos. Para realizar el examen de la solicitud de interpretación y resolver lo que a este respecto corresponda, este Tribunal debe tener, si es posible, la misma composición que tenía al dictar la Sentencia respectiva, de acuerdo con el artículo 68.3 del Reglamento. En esta ocasión, la Corte está integrada por los mismos Jueces que dictaron la Sentencia cuya interpretación ha sido solicitada</w:t>
      </w:r>
      <w:r>
        <w:rPr>
          <w:rStyle w:val="Refdenotaalpie"/>
          <w:sz w:val="20"/>
          <w:szCs w:val="20"/>
        </w:rPr>
        <w:footnoteReference w:id="2"/>
      </w:r>
      <w:r w:rsidRPr="00FA2EA0">
        <w:rPr>
          <w:sz w:val="20"/>
          <w:szCs w:val="20"/>
        </w:rPr>
        <w:t>.</w:t>
      </w:r>
    </w:p>
    <w:p w14:paraId="0B0DB076" w14:textId="77777777" w:rsidR="00FA2EA0" w:rsidRDefault="00FA2EA0" w:rsidP="00FA2EA0">
      <w:pPr>
        <w:rPr>
          <w:rFonts w:cs="Arial"/>
          <w:sz w:val="20"/>
          <w:szCs w:val="20"/>
        </w:rPr>
      </w:pPr>
    </w:p>
    <w:p w14:paraId="27375DBC" w14:textId="466E3624" w:rsidR="00FA2EA0" w:rsidRPr="00F06F22" w:rsidRDefault="00FA2EA0" w:rsidP="00FA2EA0">
      <w:pPr>
        <w:pStyle w:val="Ttulo1"/>
        <w:spacing w:before="76"/>
        <w:ind w:left="0" w:right="17"/>
        <w:rPr>
          <w:rFonts w:cs="Arial"/>
        </w:rPr>
      </w:pPr>
      <w:r w:rsidRPr="00F06F22">
        <w:rPr>
          <w:rFonts w:cs="Arial"/>
          <w:w w:val="99"/>
        </w:rPr>
        <w:t>I</w:t>
      </w:r>
      <w:r>
        <w:rPr>
          <w:rFonts w:cs="Arial"/>
          <w:w w:val="99"/>
        </w:rPr>
        <w:t>II</w:t>
      </w:r>
    </w:p>
    <w:p w14:paraId="6E45041F" w14:textId="7D4D469A" w:rsidR="00FA2EA0" w:rsidRPr="000D6EE2" w:rsidRDefault="00FA2EA0" w:rsidP="00FA2EA0">
      <w:pPr>
        <w:jc w:val="center"/>
        <w:rPr>
          <w:rFonts w:cs="Arial"/>
          <w:sz w:val="20"/>
          <w:szCs w:val="20"/>
        </w:rPr>
      </w:pPr>
      <w:r w:rsidRPr="000D6EE2">
        <w:rPr>
          <w:rFonts w:cs="Arial"/>
          <w:b/>
          <w:sz w:val="20"/>
          <w:szCs w:val="20"/>
        </w:rPr>
        <w:t>ADMISIBILIDAD</w:t>
      </w:r>
    </w:p>
    <w:p w14:paraId="10C85766" w14:textId="77777777" w:rsidR="00FA2EA0" w:rsidRPr="000D6EE2" w:rsidRDefault="00FA2EA0" w:rsidP="00FA2EA0">
      <w:pPr>
        <w:pStyle w:val="Prrafodelista"/>
        <w:tabs>
          <w:tab w:val="left" w:pos="567"/>
        </w:tabs>
        <w:ind w:left="0" w:right="17"/>
        <w:rPr>
          <w:rFonts w:cs="Arial"/>
          <w:sz w:val="20"/>
          <w:szCs w:val="20"/>
        </w:rPr>
      </w:pPr>
    </w:p>
    <w:p w14:paraId="1291DD7F" w14:textId="77777777" w:rsidR="000D6EE2" w:rsidRPr="000D6EE2" w:rsidRDefault="00FA2EA0" w:rsidP="00FA2EA0">
      <w:pPr>
        <w:pStyle w:val="Prrafodelista"/>
        <w:numPr>
          <w:ilvl w:val="0"/>
          <w:numId w:val="1"/>
        </w:numPr>
        <w:tabs>
          <w:tab w:val="left" w:pos="567"/>
        </w:tabs>
        <w:ind w:left="0" w:right="17" w:firstLine="0"/>
        <w:rPr>
          <w:rFonts w:cs="Arial"/>
          <w:sz w:val="20"/>
          <w:szCs w:val="20"/>
        </w:rPr>
      </w:pPr>
      <w:r w:rsidRPr="000D6EE2">
        <w:rPr>
          <w:sz w:val="20"/>
          <w:szCs w:val="20"/>
        </w:rPr>
        <w:t xml:space="preserve">Corresponde a la Corte verificar si la solicitud presentada por </w:t>
      </w:r>
      <w:r w:rsidR="000D6EE2" w:rsidRPr="000D6EE2">
        <w:rPr>
          <w:sz w:val="20"/>
          <w:szCs w:val="20"/>
        </w:rPr>
        <w:t>e</w:t>
      </w:r>
      <w:r w:rsidRPr="000D6EE2">
        <w:rPr>
          <w:sz w:val="20"/>
          <w:szCs w:val="20"/>
        </w:rPr>
        <w:t>l representante cumple con los requisitos establecidos en las normas aplicables a una solicitud de interpretación de Sentencia, a saber, el artículo 67 de la Convención anteriormente citado, y el artículo 68 del Reglamento. Asimismo, el artículo 31.3 del Reglamento establece que “[c]</w:t>
      </w:r>
      <w:proofErr w:type="spellStart"/>
      <w:r w:rsidRPr="000D6EE2">
        <w:rPr>
          <w:sz w:val="20"/>
          <w:szCs w:val="20"/>
        </w:rPr>
        <w:t>ontra</w:t>
      </w:r>
      <w:proofErr w:type="spellEnd"/>
      <w:r w:rsidRPr="000D6EE2">
        <w:rPr>
          <w:sz w:val="20"/>
          <w:szCs w:val="20"/>
        </w:rPr>
        <w:t xml:space="preserve"> las sentencias y resoluciones de la Corte no procede ningún medio de impugnación”.</w:t>
      </w:r>
    </w:p>
    <w:p w14:paraId="76EF5C12" w14:textId="77777777" w:rsidR="000D6EE2" w:rsidRPr="000D6EE2" w:rsidRDefault="00FA2EA0" w:rsidP="000D6EE2">
      <w:pPr>
        <w:pStyle w:val="Prrafodelista"/>
        <w:tabs>
          <w:tab w:val="left" w:pos="567"/>
        </w:tabs>
        <w:ind w:left="0" w:right="17"/>
        <w:rPr>
          <w:rFonts w:cs="Arial"/>
          <w:sz w:val="20"/>
          <w:szCs w:val="20"/>
        </w:rPr>
      </w:pPr>
      <w:r w:rsidRPr="000D6EE2">
        <w:rPr>
          <w:sz w:val="20"/>
          <w:szCs w:val="20"/>
        </w:rPr>
        <w:t xml:space="preserve"> </w:t>
      </w:r>
    </w:p>
    <w:p w14:paraId="356000FD" w14:textId="156984C3" w:rsidR="00FA2EA0" w:rsidRPr="000D6EE2" w:rsidRDefault="00FA2EA0" w:rsidP="00FA2EA0">
      <w:pPr>
        <w:pStyle w:val="Prrafodelista"/>
        <w:numPr>
          <w:ilvl w:val="0"/>
          <w:numId w:val="1"/>
        </w:numPr>
        <w:tabs>
          <w:tab w:val="left" w:pos="567"/>
        </w:tabs>
        <w:ind w:left="0" w:right="17" w:firstLine="0"/>
        <w:rPr>
          <w:rFonts w:cs="Arial"/>
          <w:sz w:val="20"/>
          <w:szCs w:val="20"/>
        </w:rPr>
      </w:pPr>
      <w:r w:rsidRPr="000D6EE2">
        <w:rPr>
          <w:sz w:val="20"/>
          <w:szCs w:val="20"/>
        </w:rPr>
        <w:t xml:space="preserve">La Corte advierte que </w:t>
      </w:r>
      <w:r w:rsidR="000D6EE2" w:rsidRPr="000D6EE2">
        <w:rPr>
          <w:sz w:val="20"/>
          <w:szCs w:val="20"/>
        </w:rPr>
        <w:t>el</w:t>
      </w:r>
      <w:r w:rsidRPr="000D6EE2">
        <w:rPr>
          <w:sz w:val="20"/>
          <w:szCs w:val="20"/>
        </w:rPr>
        <w:t xml:space="preserve"> representante present</w:t>
      </w:r>
      <w:r w:rsidR="000D6EE2" w:rsidRPr="000D6EE2">
        <w:rPr>
          <w:sz w:val="20"/>
          <w:szCs w:val="20"/>
        </w:rPr>
        <w:t>ó</w:t>
      </w:r>
      <w:r w:rsidRPr="000D6EE2">
        <w:rPr>
          <w:sz w:val="20"/>
          <w:szCs w:val="20"/>
        </w:rPr>
        <w:t xml:space="preserve"> </w:t>
      </w:r>
      <w:r w:rsidR="000D6EE2" w:rsidRPr="000D6EE2">
        <w:rPr>
          <w:sz w:val="20"/>
          <w:szCs w:val="20"/>
        </w:rPr>
        <w:t>la</w:t>
      </w:r>
      <w:r w:rsidRPr="000D6EE2">
        <w:rPr>
          <w:sz w:val="20"/>
          <w:szCs w:val="20"/>
        </w:rPr>
        <w:t xml:space="preserve"> solicitud de interpretación dentro del plazo de 90 días establecido en el artículo 67 de la Convención. En efecto, la Sentencia fue notificada el 1</w:t>
      </w:r>
      <w:r w:rsidR="000D6EE2" w:rsidRPr="000D6EE2">
        <w:rPr>
          <w:sz w:val="20"/>
          <w:szCs w:val="20"/>
        </w:rPr>
        <w:t>6</w:t>
      </w:r>
      <w:r w:rsidRPr="000D6EE2">
        <w:rPr>
          <w:sz w:val="20"/>
          <w:szCs w:val="20"/>
        </w:rPr>
        <w:t xml:space="preserve"> de diciembre de 202</w:t>
      </w:r>
      <w:r w:rsidR="000D6EE2" w:rsidRPr="000D6EE2">
        <w:rPr>
          <w:sz w:val="20"/>
          <w:szCs w:val="20"/>
        </w:rPr>
        <w:t>2</w:t>
      </w:r>
      <w:r w:rsidRPr="000D6EE2">
        <w:rPr>
          <w:sz w:val="20"/>
          <w:szCs w:val="20"/>
        </w:rPr>
        <w:t xml:space="preserve">, por lo que la solicitud de interpretación, presentada </w:t>
      </w:r>
      <w:r w:rsidR="000D6EE2" w:rsidRPr="000D6EE2">
        <w:rPr>
          <w:sz w:val="20"/>
          <w:szCs w:val="20"/>
        </w:rPr>
        <w:t>el 9</w:t>
      </w:r>
      <w:r w:rsidRPr="000D6EE2">
        <w:rPr>
          <w:sz w:val="20"/>
          <w:szCs w:val="20"/>
        </w:rPr>
        <w:t xml:space="preserve"> de marzo de 202</w:t>
      </w:r>
      <w:r w:rsidR="000D6EE2" w:rsidRPr="000D6EE2">
        <w:rPr>
          <w:sz w:val="20"/>
          <w:szCs w:val="20"/>
        </w:rPr>
        <w:t>3</w:t>
      </w:r>
      <w:r w:rsidRPr="000D6EE2">
        <w:rPr>
          <w:sz w:val="20"/>
          <w:szCs w:val="20"/>
        </w:rPr>
        <w:t xml:space="preserve">, resulta admisible en lo que se refiere al plazo de su presentación. En </w:t>
      </w:r>
      <w:r w:rsidRPr="000D6EE2">
        <w:rPr>
          <w:sz w:val="20"/>
          <w:szCs w:val="20"/>
        </w:rPr>
        <w:lastRenderedPageBreak/>
        <w:t>cuanto a los demás requisitos, la Corte Interamericana realizará el análisis respectivo en el siguiente capítulo.</w:t>
      </w:r>
    </w:p>
    <w:p w14:paraId="15384DA3" w14:textId="77777777" w:rsidR="000D6EE2" w:rsidRDefault="000D6EE2" w:rsidP="000D6EE2">
      <w:pPr>
        <w:rPr>
          <w:rFonts w:cs="Arial"/>
          <w:sz w:val="20"/>
          <w:szCs w:val="20"/>
        </w:rPr>
      </w:pPr>
    </w:p>
    <w:p w14:paraId="2C072096" w14:textId="75E3E525" w:rsidR="000D6EE2" w:rsidRPr="00F06F22" w:rsidRDefault="000D6EE2" w:rsidP="000D6EE2">
      <w:pPr>
        <w:pStyle w:val="Ttulo1"/>
        <w:spacing w:before="76"/>
        <w:ind w:left="0" w:right="17"/>
        <w:rPr>
          <w:rFonts w:cs="Arial"/>
        </w:rPr>
      </w:pPr>
      <w:r w:rsidRPr="00F06F22">
        <w:rPr>
          <w:rFonts w:cs="Arial"/>
          <w:w w:val="99"/>
        </w:rPr>
        <w:t>I</w:t>
      </w:r>
      <w:r>
        <w:rPr>
          <w:rFonts w:cs="Arial"/>
          <w:w w:val="99"/>
        </w:rPr>
        <w:t>V</w:t>
      </w:r>
    </w:p>
    <w:p w14:paraId="6164DE61" w14:textId="0BFD5CE4" w:rsidR="000D6EE2" w:rsidRPr="000D6EE2" w:rsidRDefault="000D6EE2" w:rsidP="000D6EE2">
      <w:pPr>
        <w:jc w:val="center"/>
        <w:rPr>
          <w:rFonts w:cs="Arial"/>
          <w:sz w:val="20"/>
          <w:szCs w:val="20"/>
        </w:rPr>
      </w:pPr>
      <w:r>
        <w:rPr>
          <w:rFonts w:cs="Arial"/>
          <w:b/>
          <w:sz w:val="20"/>
          <w:szCs w:val="20"/>
        </w:rPr>
        <w:t>ANÁLISIS DE LA PROCEDENCIA DE LA SOLICITUD DE INTERPRETACIÓN</w:t>
      </w:r>
    </w:p>
    <w:p w14:paraId="1C255862" w14:textId="77777777" w:rsidR="000D6EE2" w:rsidRPr="000D6EE2" w:rsidRDefault="000D6EE2" w:rsidP="000D6EE2">
      <w:pPr>
        <w:rPr>
          <w:rFonts w:cs="Arial"/>
          <w:sz w:val="20"/>
          <w:szCs w:val="20"/>
        </w:rPr>
      </w:pPr>
    </w:p>
    <w:p w14:paraId="3E56433E" w14:textId="77777777" w:rsidR="000D6EE2" w:rsidRPr="000D6EE2" w:rsidRDefault="000D6EE2" w:rsidP="000D6EE2">
      <w:pPr>
        <w:pStyle w:val="Prrafodelista"/>
        <w:numPr>
          <w:ilvl w:val="0"/>
          <w:numId w:val="1"/>
        </w:numPr>
        <w:tabs>
          <w:tab w:val="left" w:pos="567"/>
        </w:tabs>
        <w:ind w:left="0" w:right="17" w:firstLine="0"/>
        <w:rPr>
          <w:rFonts w:cs="Arial"/>
          <w:sz w:val="20"/>
          <w:szCs w:val="20"/>
        </w:rPr>
      </w:pPr>
      <w:r w:rsidRPr="000D6EE2">
        <w:rPr>
          <w:sz w:val="20"/>
          <w:szCs w:val="20"/>
        </w:rPr>
        <w:t>Este Tribunal analizará la solicitud del representante para determinar si, de acuerdo con la normativa y a los estándares desarrollados en su jurisprudencia, procede aclarar el sentido o alcance de algún punto de la Sentencia.</w:t>
      </w:r>
    </w:p>
    <w:p w14:paraId="10A46474" w14:textId="77777777" w:rsidR="000D6EE2" w:rsidRPr="000D6EE2" w:rsidRDefault="000D6EE2" w:rsidP="000D6EE2">
      <w:pPr>
        <w:pStyle w:val="Prrafodelista"/>
        <w:tabs>
          <w:tab w:val="left" w:pos="567"/>
        </w:tabs>
        <w:ind w:left="0" w:right="17"/>
        <w:rPr>
          <w:rFonts w:cs="Arial"/>
          <w:sz w:val="20"/>
          <w:szCs w:val="20"/>
        </w:rPr>
      </w:pPr>
      <w:r w:rsidRPr="000D6EE2">
        <w:rPr>
          <w:sz w:val="20"/>
          <w:szCs w:val="20"/>
        </w:rPr>
        <w:t xml:space="preserve"> </w:t>
      </w:r>
    </w:p>
    <w:p w14:paraId="4ED16659" w14:textId="39E7C063" w:rsidR="000D6EE2" w:rsidRPr="000D6EE2" w:rsidRDefault="000D6EE2" w:rsidP="000D6EE2">
      <w:pPr>
        <w:pStyle w:val="Prrafodelista"/>
        <w:numPr>
          <w:ilvl w:val="0"/>
          <w:numId w:val="1"/>
        </w:numPr>
        <w:tabs>
          <w:tab w:val="left" w:pos="567"/>
        </w:tabs>
        <w:ind w:left="0" w:right="17" w:firstLine="0"/>
        <w:rPr>
          <w:rFonts w:cs="Arial"/>
          <w:sz w:val="20"/>
          <w:szCs w:val="20"/>
        </w:rPr>
      </w:pPr>
      <w:r w:rsidRPr="000D6EE2">
        <w:rPr>
          <w:sz w:val="20"/>
          <w:szCs w:val="20"/>
        </w:rPr>
        <w:t>La Corte ha señalado que una solicitud de interpretación de sentencia no puede utilizarse como medio de impugnación de la decisión cuya interpretación se requiere. Dicha solicitud tiene como objeto, exclusivamente, determinar el sentido de un fallo cuando alguna de las partes sostiene que el texto de sus puntos resolutivos o de sus consideraciones carece de claridad o precisión, siempre y cuando esas consideraciones incidan en dicha parte resolutiva. Por lo tanto, no se puede solicitar la modificación o anulación de la sentencia respectiva a través de una solicitud de interpretación</w:t>
      </w:r>
      <w:r>
        <w:rPr>
          <w:rStyle w:val="Refdenotaalpie"/>
          <w:sz w:val="20"/>
          <w:szCs w:val="20"/>
        </w:rPr>
        <w:footnoteReference w:id="3"/>
      </w:r>
      <w:r>
        <w:rPr>
          <w:sz w:val="20"/>
          <w:szCs w:val="20"/>
        </w:rPr>
        <w:t>.</w:t>
      </w:r>
    </w:p>
    <w:p w14:paraId="525048CF" w14:textId="77777777" w:rsidR="000D6EE2" w:rsidRPr="000D6EE2" w:rsidRDefault="000D6EE2" w:rsidP="000D6EE2">
      <w:pPr>
        <w:pStyle w:val="Prrafodelista"/>
        <w:rPr>
          <w:sz w:val="20"/>
          <w:szCs w:val="20"/>
        </w:rPr>
      </w:pPr>
    </w:p>
    <w:p w14:paraId="17223C5F" w14:textId="4DFC4CCC" w:rsidR="000D6EE2" w:rsidRPr="000D6EE2" w:rsidRDefault="000D6EE2" w:rsidP="000D6EE2">
      <w:pPr>
        <w:pStyle w:val="Prrafodelista"/>
        <w:numPr>
          <w:ilvl w:val="0"/>
          <w:numId w:val="1"/>
        </w:numPr>
        <w:tabs>
          <w:tab w:val="left" w:pos="567"/>
        </w:tabs>
        <w:ind w:left="0" w:right="17" w:firstLine="0"/>
        <w:rPr>
          <w:rFonts w:cs="Arial"/>
          <w:sz w:val="20"/>
          <w:szCs w:val="20"/>
        </w:rPr>
      </w:pPr>
      <w:r>
        <w:rPr>
          <w:sz w:val="20"/>
          <w:szCs w:val="20"/>
        </w:rPr>
        <w:t>De forma a</w:t>
      </w:r>
      <w:r w:rsidRPr="000D6EE2">
        <w:rPr>
          <w:sz w:val="20"/>
          <w:szCs w:val="20"/>
        </w:rPr>
        <w:t>dicional, la Corte ha sostenido la improcedencia de utilizar una solicitud de interpretación para someter consideraciones sobre cuestiones de hecho y de derecho que ya fueron planteadas en su oportunidad procesal y sobre las cuales la Corte ya adoptó una decisión</w:t>
      </w:r>
      <w:r>
        <w:rPr>
          <w:rStyle w:val="Refdenotaalpie"/>
          <w:sz w:val="20"/>
          <w:szCs w:val="20"/>
        </w:rPr>
        <w:footnoteReference w:id="4"/>
      </w:r>
      <w:r w:rsidRPr="000D6EE2">
        <w:rPr>
          <w:sz w:val="20"/>
          <w:szCs w:val="20"/>
        </w:rPr>
        <w:t>, así como para pretender que la Corte valore nuevamente cuestiones que ya han sido resueltas en la Sentencia</w:t>
      </w:r>
      <w:r>
        <w:rPr>
          <w:rStyle w:val="Refdenotaalpie"/>
          <w:sz w:val="20"/>
          <w:szCs w:val="20"/>
        </w:rPr>
        <w:footnoteReference w:id="5"/>
      </w:r>
      <w:r w:rsidRPr="000D6EE2">
        <w:rPr>
          <w:sz w:val="20"/>
          <w:szCs w:val="20"/>
        </w:rPr>
        <w:t>. De igual manera, por esta vía tampoco se puede intentar que se amplíe el alcance de una medida de reparación ordenada oportunamente</w:t>
      </w:r>
      <w:r>
        <w:rPr>
          <w:rStyle w:val="Refdenotaalpie"/>
          <w:sz w:val="20"/>
          <w:szCs w:val="20"/>
        </w:rPr>
        <w:footnoteReference w:id="6"/>
      </w:r>
      <w:r>
        <w:rPr>
          <w:sz w:val="20"/>
          <w:szCs w:val="20"/>
        </w:rPr>
        <w:t>.</w:t>
      </w:r>
      <w:r w:rsidRPr="000D6EE2">
        <w:rPr>
          <w:sz w:val="20"/>
          <w:szCs w:val="20"/>
        </w:rPr>
        <w:t xml:space="preserve"> </w:t>
      </w:r>
    </w:p>
    <w:p w14:paraId="1772D637" w14:textId="77777777" w:rsidR="000D6EE2" w:rsidRPr="000D6EE2" w:rsidRDefault="000D6EE2" w:rsidP="000D6EE2">
      <w:pPr>
        <w:pStyle w:val="Prrafodelista"/>
        <w:rPr>
          <w:sz w:val="20"/>
          <w:szCs w:val="20"/>
        </w:rPr>
      </w:pPr>
    </w:p>
    <w:p w14:paraId="1037748D" w14:textId="5E4F7DE5" w:rsidR="000D6EE2" w:rsidRPr="00A10AAC" w:rsidRDefault="000D6EE2" w:rsidP="00A10AAC">
      <w:pPr>
        <w:pStyle w:val="Prrafodelista"/>
        <w:numPr>
          <w:ilvl w:val="0"/>
          <w:numId w:val="1"/>
        </w:numPr>
        <w:tabs>
          <w:tab w:val="left" w:pos="567"/>
        </w:tabs>
        <w:ind w:left="0" w:right="17" w:firstLine="0"/>
        <w:rPr>
          <w:rFonts w:cs="Arial"/>
          <w:sz w:val="20"/>
          <w:szCs w:val="20"/>
        </w:rPr>
      </w:pPr>
      <w:r w:rsidRPr="000D6EE2">
        <w:rPr>
          <w:sz w:val="20"/>
          <w:szCs w:val="20"/>
        </w:rPr>
        <w:t>A continuación, la Corte Interamericana examinará las cuestiones planteadas en el orden siguiente: a) la solicitud de interpretación con relación a</w:t>
      </w:r>
      <w:r w:rsidR="00A10AAC" w:rsidRPr="005869AE">
        <w:rPr>
          <w:rFonts w:cs="Arial"/>
          <w:sz w:val="20"/>
          <w:szCs w:val="20"/>
        </w:rPr>
        <w:t>l derecho a las prestaciones sociales con miras a una futura jubilación</w:t>
      </w:r>
      <w:r w:rsidRPr="000D6EE2">
        <w:rPr>
          <w:sz w:val="20"/>
          <w:szCs w:val="20"/>
        </w:rPr>
        <w:t xml:space="preserve">, y b) la solicitud de interpretación con relación a </w:t>
      </w:r>
      <w:r w:rsidRPr="00A10AAC">
        <w:rPr>
          <w:rFonts w:cs="Arial"/>
          <w:sz w:val="20"/>
          <w:szCs w:val="20"/>
        </w:rPr>
        <w:t xml:space="preserve">la vigencia de la sanción impuesta </w:t>
      </w:r>
      <w:r w:rsidR="00A10AAC">
        <w:rPr>
          <w:rFonts w:cs="Arial"/>
          <w:sz w:val="20"/>
          <w:szCs w:val="20"/>
        </w:rPr>
        <w:t>a la víctima</w:t>
      </w:r>
      <w:r w:rsidRPr="00A10AAC">
        <w:rPr>
          <w:rFonts w:cs="Arial"/>
          <w:sz w:val="20"/>
          <w:szCs w:val="20"/>
        </w:rPr>
        <w:t>.</w:t>
      </w:r>
    </w:p>
    <w:p w14:paraId="05B91608" w14:textId="77777777" w:rsidR="000D6EE2" w:rsidRDefault="000D6EE2" w:rsidP="00A10AAC">
      <w:pPr>
        <w:rPr>
          <w:rFonts w:cs="Arial"/>
          <w:sz w:val="20"/>
          <w:szCs w:val="20"/>
        </w:rPr>
      </w:pPr>
    </w:p>
    <w:p w14:paraId="4BCD9BBD" w14:textId="174D0D10" w:rsidR="00A10AAC" w:rsidRPr="00A10AAC" w:rsidRDefault="00A10AAC" w:rsidP="00A10AAC">
      <w:pPr>
        <w:ind w:left="567"/>
        <w:jc w:val="both"/>
        <w:rPr>
          <w:rFonts w:cs="Arial"/>
          <w:b/>
          <w:i/>
          <w:sz w:val="20"/>
          <w:szCs w:val="20"/>
        </w:rPr>
      </w:pPr>
      <w:r w:rsidRPr="00A10AAC">
        <w:rPr>
          <w:b/>
          <w:i/>
          <w:sz w:val="20"/>
          <w:szCs w:val="20"/>
        </w:rPr>
        <w:t>A. La solicitud de interpretación con relación a</w:t>
      </w:r>
      <w:r w:rsidRPr="00A10AAC">
        <w:rPr>
          <w:rFonts w:cs="Arial"/>
          <w:b/>
          <w:i/>
          <w:sz w:val="20"/>
          <w:szCs w:val="20"/>
        </w:rPr>
        <w:t>l derecho a las prestaciones sociales con miras a una futura jubilación</w:t>
      </w:r>
    </w:p>
    <w:p w14:paraId="52B24AA5" w14:textId="77777777" w:rsidR="00A10AAC" w:rsidRDefault="00A10AAC" w:rsidP="00A10AAC">
      <w:pPr>
        <w:rPr>
          <w:rFonts w:cs="Arial"/>
          <w:sz w:val="20"/>
          <w:szCs w:val="20"/>
        </w:rPr>
      </w:pPr>
    </w:p>
    <w:p w14:paraId="52049706" w14:textId="5FB34A81" w:rsidR="00A10AAC" w:rsidRDefault="00A10AAC" w:rsidP="00A10AAC">
      <w:pPr>
        <w:ind w:left="851"/>
        <w:rPr>
          <w:rFonts w:cs="Arial"/>
          <w:sz w:val="20"/>
          <w:szCs w:val="20"/>
        </w:rPr>
      </w:pPr>
      <w:r w:rsidRPr="00A10AAC">
        <w:rPr>
          <w:b/>
          <w:i/>
          <w:sz w:val="20"/>
          <w:szCs w:val="20"/>
        </w:rPr>
        <w:t>A.</w:t>
      </w:r>
      <w:r>
        <w:rPr>
          <w:b/>
          <w:i/>
          <w:sz w:val="20"/>
          <w:szCs w:val="20"/>
        </w:rPr>
        <w:t>1.</w:t>
      </w:r>
      <w:r w:rsidRPr="00A10AAC">
        <w:rPr>
          <w:b/>
          <w:i/>
          <w:sz w:val="20"/>
          <w:szCs w:val="20"/>
        </w:rPr>
        <w:t xml:space="preserve"> </w:t>
      </w:r>
      <w:r>
        <w:rPr>
          <w:b/>
          <w:i/>
          <w:sz w:val="20"/>
          <w:szCs w:val="20"/>
        </w:rPr>
        <w:t>Argumentos de las partes y de la Comisión</w:t>
      </w:r>
    </w:p>
    <w:p w14:paraId="6C56F857" w14:textId="77777777" w:rsidR="00A10AAC" w:rsidRPr="00A10AAC" w:rsidRDefault="00A10AAC" w:rsidP="00A10AAC">
      <w:pPr>
        <w:rPr>
          <w:rFonts w:cs="Arial"/>
          <w:sz w:val="20"/>
          <w:szCs w:val="20"/>
        </w:rPr>
      </w:pPr>
    </w:p>
    <w:p w14:paraId="5CD39DFE" w14:textId="3FCAC9FF" w:rsidR="00F203A4" w:rsidRPr="00F203A4" w:rsidRDefault="002953E4" w:rsidP="00F203A4">
      <w:pPr>
        <w:pStyle w:val="Prrafodelista"/>
        <w:numPr>
          <w:ilvl w:val="0"/>
          <w:numId w:val="1"/>
        </w:numPr>
        <w:tabs>
          <w:tab w:val="left" w:pos="567"/>
        </w:tabs>
        <w:ind w:left="0" w:right="17" w:firstLine="0"/>
        <w:rPr>
          <w:rFonts w:cs="Arial"/>
          <w:sz w:val="20"/>
          <w:szCs w:val="20"/>
        </w:rPr>
      </w:pPr>
      <w:r>
        <w:rPr>
          <w:rFonts w:cs="Arial"/>
          <w:sz w:val="20"/>
          <w:szCs w:val="20"/>
        </w:rPr>
        <w:t xml:space="preserve">El </w:t>
      </w:r>
      <w:r w:rsidRPr="002953E4">
        <w:rPr>
          <w:rFonts w:cs="Arial"/>
          <w:b/>
          <w:i/>
          <w:sz w:val="20"/>
          <w:szCs w:val="20"/>
        </w:rPr>
        <w:t>representante</w:t>
      </w:r>
      <w:r>
        <w:rPr>
          <w:rFonts w:cs="Arial"/>
          <w:sz w:val="20"/>
          <w:szCs w:val="20"/>
        </w:rPr>
        <w:t xml:space="preserve"> señaló que la Sentencia declaró la responsabilidad internacional del Estado ecuatoriano por la violación del derecho al trabajo, en su dimensión de estabilidad laboral, reconocido en el artículo 26 de la Convención Americana</w:t>
      </w:r>
      <w:r w:rsidR="0023195D">
        <w:rPr>
          <w:rFonts w:cs="Arial"/>
          <w:sz w:val="20"/>
          <w:szCs w:val="20"/>
        </w:rPr>
        <w:t xml:space="preserve">. Indicó que, en anteriores </w:t>
      </w:r>
      <w:r w:rsidR="0023195D">
        <w:rPr>
          <w:rFonts w:cs="Arial"/>
          <w:sz w:val="20"/>
          <w:szCs w:val="20"/>
        </w:rPr>
        <w:lastRenderedPageBreak/>
        <w:t xml:space="preserve">fallos, en los que también se declaró la violación del citado artículo 26, la Corte “ha protegido en la práctica el derecho a la estabilidad </w:t>
      </w:r>
      <w:r w:rsidR="00CC2D74">
        <w:rPr>
          <w:rFonts w:cs="Arial"/>
          <w:sz w:val="20"/>
          <w:szCs w:val="20"/>
        </w:rPr>
        <w:t>en el trabajo</w:t>
      </w:r>
      <w:r w:rsidR="0023195D">
        <w:rPr>
          <w:rFonts w:cs="Arial"/>
          <w:sz w:val="20"/>
          <w:szCs w:val="20"/>
        </w:rPr>
        <w:t xml:space="preserve"> y con ello el componente a la seguridad social”. De esa cuenta, </w:t>
      </w:r>
      <w:r w:rsidR="00F203A4">
        <w:rPr>
          <w:rFonts w:cs="Arial"/>
          <w:sz w:val="20"/>
          <w:szCs w:val="20"/>
        </w:rPr>
        <w:t xml:space="preserve">según argumentó, </w:t>
      </w:r>
      <w:r w:rsidR="0023195D">
        <w:rPr>
          <w:rFonts w:cs="Arial"/>
          <w:sz w:val="20"/>
          <w:szCs w:val="20"/>
        </w:rPr>
        <w:t>en el presente caso los daños derivados de los ilícitos cometidos por el Estado, los que determinaron la pérdida del empleo de la víctima, “debe</w:t>
      </w:r>
      <w:r w:rsidR="0023195D" w:rsidRPr="00F203A4">
        <w:rPr>
          <w:rFonts w:cs="Arial"/>
          <w:sz w:val="20"/>
          <w:szCs w:val="20"/>
        </w:rPr>
        <w:t xml:space="preserve">n ser reparados con los salarios y prestaciones sociales dejados de percibir” por esta, </w:t>
      </w:r>
      <w:r w:rsidR="00F203A4" w:rsidRPr="00F203A4">
        <w:rPr>
          <w:rFonts w:cs="Arial"/>
          <w:sz w:val="20"/>
          <w:szCs w:val="20"/>
        </w:rPr>
        <w:t>lo que incluiría “[las] prestaciones sociales con miras a una futura jubilación y no solo […] los salarios dejados de percibir”.</w:t>
      </w:r>
    </w:p>
    <w:p w14:paraId="0A643A43" w14:textId="77777777" w:rsidR="00F203A4" w:rsidRPr="00F203A4" w:rsidRDefault="00F203A4" w:rsidP="00F203A4">
      <w:pPr>
        <w:pStyle w:val="Prrafodelista"/>
        <w:tabs>
          <w:tab w:val="left" w:pos="567"/>
        </w:tabs>
        <w:ind w:left="0" w:right="17"/>
        <w:rPr>
          <w:rFonts w:cs="Arial"/>
          <w:sz w:val="20"/>
          <w:szCs w:val="20"/>
        </w:rPr>
      </w:pPr>
    </w:p>
    <w:p w14:paraId="45640CFC" w14:textId="428BCDC0" w:rsidR="00F203A4" w:rsidRPr="00F203A4" w:rsidRDefault="00F203A4" w:rsidP="00F203A4">
      <w:pPr>
        <w:pStyle w:val="Prrafodelista"/>
        <w:numPr>
          <w:ilvl w:val="0"/>
          <w:numId w:val="1"/>
        </w:numPr>
        <w:tabs>
          <w:tab w:val="left" w:pos="567"/>
        </w:tabs>
        <w:ind w:left="0" w:right="17" w:firstLine="0"/>
        <w:rPr>
          <w:rFonts w:cs="Arial"/>
          <w:sz w:val="20"/>
          <w:szCs w:val="20"/>
        </w:rPr>
      </w:pPr>
      <w:r w:rsidRPr="00F203A4">
        <w:rPr>
          <w:rFonts w:cs="Arial"/>
          <w:sz w:val="20"/>
          <w:szCs w:val="20"/>
        </w:rPr>
        <w:t>Solicitó que, “</w:t>
      </w:r>
      <w:r w:rsidRPr="00F203A4">
        <w:rPr>
          <w:rFonts w:eastAsiaTheme="minorHAnsi" w:cs="Times New Roman"/>
          <w:sz w:val="20"/>
          <w:szCs w:val="20"/>
          <w14:ligatures w14:val="standardContextual"/>
        </w:rPr>
        <w:t xml:space="preserve">al no estar claro en la </w:t>
      </w:r>
      <w:r w:rsidRPr="00F203A4">
        <w:rPr>
          <w:rFonts w:cs="Arial"/>
          <w:sz w:val="20"/>
          <w:szCs w:val="20"/>
        </w:rPr>
        <w:t>[S]</w:t>
      </w:r>
      <w:proofErr w:type="spellStart"/>
      <w:r w:rsidRPr="00F203A4">
        <w:rPr>
          <w:rFonts w:eastAsiaTheme="minorHAnsi" w:cs="Times New Roman"/>
          <w:sz w:val="20"/>
          <w:szCs w:val="20"/>
          <w14:ligatures w14:val="standardContextual"/>
        </w:rPr>
        <w:t>entencia</w:t>
      </w:r>
      <w:proofErr w:type="spellEnd"/>
      <w:r w:rsidRPr="00F203A4">
        <w:rPr>
          <w:rFonts w:eastAsiaTheme="minorHAnsi" w:cs="Times New Roman"/>
          <w:sz w:val="20"/>
          <w:szCs w:val="20"/>
          <w14:ligatures w14:val="standardContextual"/>
        </w:rPr>
        <w:t xml:space="preserve"> los efectos prácticos para la</w:t>
      </w:r>
      <w:r w:rsidRPr="00F203A4">
        <w:rPr>
          <w:rFonts w:cs="Arial"/>
          <w:sz w:val="20"/>
          <w:szCs w:val="20"/>
        </w:rPr>
        <w:t xml:space="preserve"> </w:t>
      </w:r>
      <w:r w:rsidRPr="00F203A4">
        <w:rPr>
          <w:rFonts w:eastAsiaTheme="minorHAnsi" w:cs="Times New Roman"/>
          <w:sz w:val="20"/>
          <w:szCs w:val="20"/>
          <w14:ligatures w14:val="standardContextual"/>
        </w:rPr>
        <w:t xml:space="preserve">víctima de la declaratoria de violación del derecho al trabajo en su dimensión de estabilidad laboral”, el Tribunal aclare si del </w:t>
      </w:r>
      <w:r w:rsidR="000F3E3B">
        <w:rPr>
          <w:rFonts w:eastAsiaTheme="minorHAnsi" w:cs="Times New Roman"/>
          <w:sz w:val="20"/>
          <w:szCs w:val="20"/>
          <w14:ligatures w14:val="standardContextual"/>
        </w:rPr>
        <w:t>F</w:t>
      </w:r>
      <w:r w:rsidRPr="00F203A4">
        <w:rPr>
          <w:rFonts w:eastAsiaTheme="minorHAnsi" w:cs="Times New Roman"/>
          <w:sz w:val="20"/>
          <w:szCs w:val="20"/>
          <w14:ligatures w14:val="standardContextual"/>
        </w:rPr>
        <w:t xml:space="preserve">allo “surge que la víctima tiene derecho a las prestaciones sociales con miras a una futura jubilación” y, en su caso, si “la disposición de otorgar las cargas prestacionales correspondientes a la seguridad social a efectos de una futura jubilación y cesantía debe ser dispuesta por la </w:t>
      </w:r>
      <w:r w:rsidRPr="00F203A4">
        <w:rPr>
          <w:rFonts w:cs="Arial"/>
          <w:sz w:val="20"/>
          <w:szCs w:val="20"/>
        </w:rPr>
        <w:t>[…]</w:t>
      </w:r>
      <w:r w:rsidRPr="00F203A4">
        <w:rPr>
          <w:rFonts w:eastAsiaTheme="minorHAnsi" w:cs="Times New Roman"/>
          <w:sz w:val="20"/>
          <w:szCs w:val="20"/>
          <w14:ligatures w14:val="standardContextual"/>
        </w:rPr>
        <w:t xml:space="preserve"> Corte </w:t>
      </w:r>
      <w:r w:rsidRPr="00F203A4">
        <w:rPr>
          <w:rFonts w:cs="Arial"/>
          <w:sz w:val="20"/>
          <w:szCs w:val="20"/>
        </w:rPr>
        <w:t>[…]</w:t>
      </w:r>
      <w:r w:rsidR="00843006">
        <w:rPr>
          <w:rFonts w:cs="Arial"/>
          <w:sz w:val="20"/>
          <w:szCs w:val="20"/>
        </w:rPr>
        <w:t xml:space="preserve"> </w:t>
      </w:r>
      <w:r w:rsidRPr="00F203A4">
        <w:rPr>
          <w:rFonts w:eastAsiaTheme="minorHAnsi" w:cs="Times New Roman"/>
          <w:sz w:val="20"/>
          <w:szCs w:val="20"/>
          <w14:ligatures w14:val="standardContextual"/>
        </w:rPr>
        <w:t>o</w:t>
      </w:r>
      <w:r w:rsidR="009B6057">
        <w:rPr>
          <w:rFonts w:eastAsiaTheme="minorHAnsi" w:cs="Times New Roman"/>
          <w:sz w:val="20"/>
          <w:szCs w:val="20"/>
          <w14:ligatures w14:val="standardContextual"/>
        </w:rPr>
        <w:t xml:space="preserve"> </w:t>
      </w:r>
      <w:r w:rsidR="009B6057" w:rsidRPr="00F203A4">
        <w:rPr>
          <w:rFonts w:cs="Arial"/>
          <w:sz w:val="20"/>
          <w:szCs w:val="20"/>
        </w:rPr>
        <w:t>[</w:t>
      </w:r>
      <w:r w:rsidR="009B6057">
        <w:rPr>
          <w:rFonts w:cs="Arial"/>
          <w:sz w:val="20"/>
          <w:szCs w:val="20"/>
        </w:rPr>
        <w:t>si</w:t>
      </w:r>
      <w:r w:rsidR="009B6057" w:rsidRPr="00F203A4">
        <w:rPr>
          <w:rFonts w:cs="Arial"/>
          <w:sz w:val="20"/>
          <w:szCs w:val="20"/>
        </w:rPr>
        <w:t>]</w:t>
      </w:r>
      <w:r w:rsidRPr="00F203A4">
        <w:rPr>
          <w:rFonts w:eastAsiaTheme="minorHAnsi" w:cs="Times New Roman"/>
          <w:sz w:val="20"/>
          <w:szCs w:val="20"/>
          <w14:ligatures w14:val="standardContextual"/>
        </w:rPr>
        <w:t xml:space="preserve"> la víctima debe acudir a los tribunales internos para que dispongan” lo pertinente.</w:t>
      </w:r>
    </w:p>
    <w:p w14:paraId="15768DC6" w14:textId="77777777" w:rsidR="00F203A4" w:rsidRPr="00F203A4" w:rsidRDefault="00F203A4" w:rsidP="00F203A4">
      <w:pPr>
        <w:pStyle w:val="Prrafodelista"/>
        <w:rPr>
          <w:rFonts w:cs="Arial"/>
          <w:sz w:val="20"/>
          <w:szCs w:val="20"/>
        </w:rPr>
      </w:pPr>
    </w:p>
    <w:p w14:paraId="281700ED" w14:textId="2C2C9B32" w:rsidR="002953E4" w:rsidRPr="000F3E3B" w:rsidRDefault="00ED4AB8" w:rsidP="002953E4">
      <w:pPr>
        <w:pStyle w:val="Prrafodelista"/>
        <w:numPr>
          <w:ilvl w:val="0"/>
          <w:numId w:val="1"/>
        </w:numPr>
        <w:tabs>
          <w:tab w:val="left" w:pos="567"/>
        </w:tabs>
        <w:ind w:left="0" w:right="17" w:firstLine="0"/>
        <w:rPr>
          <w:rFonts w:cs="Arial"/>
          <w:sz w:val="20"/>
          <w:szCs w:val="20"/>
        </w:rPr>
      </w:pPr>
      <w:r>
        <w:rPr>
          <w:rFonts w:cs="Arial"/>
          <w:sz w:val="20"/>
          <w:szCs w:val="20"/>
        </w:rPr>
        <w:t xml:space="preserve">El </w:t>
      </w:r>
      <w:r w:rsidRPr="00ED4AB8">
        <w:rPr>
          <w:rFonts w:cs="Arial"/>
          <w:b/>
          <w:i/>
          <w:sz w:val="20"/>
          <w:szCs w:val="20"/>
        </w:rPr>
        <w:t>Estado</w:t>
      </w:r>
      <w:r>
        <w:rPr>
          <w:rFonts w:cs="Arial"/>
          <w:sz w:val="20"/>
          <w:szCs w:val="20"/>
        </w:rPr>
        <w:t xml:space="preserve"> </w:t>
      </w:r>
      <w:r w:rsidR="00485C23">
        <w:rPr>
          <w:rFonts w:cs="Arial"/>
          <w:sz w:val="20"/>
          <w:szCs w:val="20"/>
        </w:rPr>
        <w:t>argument</w:t>
      </w:r>
      <w:r>
        <w:rPr>
          <w:rFonts w:cs="Arial"/>
          <w:sz w:val="20"/>
          <w:szCs w:val="20"/>
        </w:rPr>
        <w:t xml:space="preserve">ó que el párrafo 160 de la Sentencia, </w:t>
      </w:r>
      <w:r w:rsidR="000F3E3B">
        <w:rPr>
          <w:rFonts w:cs="Arial"/>
          <w:sz w:val="20"/>
          <w:szCs w:val="20"/>
        </w:rPr>
        <w:t xml:space="preserve">en el que la Corte fijó el monto por concepto de lucro cesante </w:t>
      </w:r>
      <w:r w:rsidR="00CC2D74">
        <w:rPr>
          <w:rFonts w:cs="Arial"/>
          <w:sz w:val="20"/>
          <w:szCs w:val="20"/>
        </w:rPr>
        <w:t xml:space="preserve">que </w:t>
      </w:r>
      <w:r w:rsidR="000F3E3B">
        <w:rPr>
          <w:rFonts w:cs="Arial"/>
          <w:sz w:val="20"/>
          <w:szCs w:val="20"/>
        </w:rPr>
        <w:t>debe pagarse a la víctima, se encuentra redactado en términos sencillos y no ambiguos, cuyo contenido guarda relación, congruencia y precisión con el texto íntegro del Fallo. Señaló que el representante “solicita erróneamente” que el Tribunal determine las prestaciones sociales con miras a una futura jubilación a favor de la víctima, lo que configura una cuestión de fondo que no puede ni debe ser analizada mediante una solicitud de interpretación. Agregó que la pretensión del representante es “confundir” a la Corte, a fin de modificar la Sentencia y</w:t>
      </w:r>
      <w:r w:rsidR="00890F0D">
        <w:rPr>
          <w:rFonts w:cs="Arial"/>
          <w:sz w:val="20"/>
          <w:szCs w:val="20"/>
        </w:rPr>
        <w:t>, con ello,</w:t>
      </w:r>
      <w:r w:rsidR="000F3E3B">
        <w:rPr>
          <w:rFonts w:cs="Arial"/>
          <w:sz w:val="20"/>
          <w:szCs w:val="20"/>
        </w:rPr>
        <w:t xml:space="preserve"> “obtener valores adicionales por concepto de indemnizaciones compensatorias”. Solicitó que se desestime, por improcedente, la solicitud de interpretación. </w:t>
      </w:r>
    </w:p>
    <w:p w14:paraId="1C15EF17" w14:textId="77777777" w:rsidR="002953E4" w:rsidRDefault="002953E4" w:rsidP="002953E4">
      <w:pPr>
        <w:pStyle w:val="Prrafodelista"/>
        <w:tabs>
          <w:tab w:val="left" w:pos="567"/>
        </w:tabs>
        <w:ind w:left="0" w:right="17"/>
        <w:rPr>
          <w:rFonts w:cs="Arial"/>
          <w:sz w:val="20"/>
          <w:szCs w:val="20"/>
        </w:rPr>
      </w:pPr>
    </w:p>
    <w:p w14:paraId="06C1B31A" w14:textId="511720AD" w:rsidR="002953E4" w:rsidRPr="009E30F4" w:rsidRDefault="000F3E3B" w:rsidP="000D6EE2">
      <w:pPr>
        <w:pStyle w:val="Prrafodelista"/>
        <w:numPr>
          <w:ilvl w:val="0"/>
          <w:numId w:val="1"/>
        </w:numPr>
        <w:tabs>
          <w:tab w:val="left" w:pos="567"/>
        </w:tabs>
        <w:ind w:left="0" w:right="17" w:firstLine="0"/>
        <w:rPr>
          <w:rFonts w:cs="Arial"/>
          <w:sz w:val="20"/>
          <w:szCs w:val="20"/>
        </w:rPr>
      </w:pPr>
      <w:r>
        <w:rPr>
          <w:rFonts w:cs="Arial"/>
          <w:sz w:val="20"/>
          <w:szCs w:val="20"/>
        </w:rPr>
        <w:t xml:space="preserve">La </w:t>
      </w:r>
      <w:r w:rsidRPr="000F3E3B">
        <w:rPr>
          <w:rFonts w:cs="Arial"/>
          <w:b/>
          <w:i/>
          <w:sz w:val="20"/>
          <w:szCs w:val="20"/>
        </w:rPr>
        <w:t>Comisión</w:t>
      </w:r>
      <w:r>
        <w:rPr>
          <w:rFonts w:cs="Arial"/>
          <w:sz w:val="20"/>
          <w:szCs w:val="20"/>
        </w:rPr>
        <w:t xml:space="preserve"> </w:t>
      </w:r>
      <w:r w:rsidR="00485C23">
        <w:rPr>
          <w:rFonts w:cs="Arial"/>
          <w:sz w:val="20"/>
          <w:szCs w:val="20"/>
        </w:rPr>
        <w:t>indicó que, en su jurisprudencia relativa a destituciones o despidos arbitrarios de cargos públicos, la Corte ha determinado el reconocimiento de los salarios dejados de percibir</w:t>
      </w:r>
      <w:r w:rsidR="009E30F4">
        <w:rPr>
          <w:rFonts w:cs="Arial"/>
          <w:sz w:val="20"/>
          <w:szCs w:val="20"/>
        </w:rPr>
        <w:t>, así como</w:t>
      </w:r>
      <w:r w:rsidR="00485C23">
        <w:rPr>
          <w:rFonts w:cs="Arial"/>
          <w:sz w:val="20"/>
          <w:szCs w:val="20"/>
        </w:rPr>
        <w:t xml:space="preserve"> de las prestaciones sociales correspondientes para la jubilación de las víctimas, a fin de que el Estado abone las cargas prestacionales respectivas para que </w:t>
      </w:r>
      <w:r w:rsidR="009E30F4">
        <w:rPr>
          <w:rFonts w:cs="Arial"/>
          <w:sz w:val="20"/>
          <w:szCs w:val="20"/>
        </w:rPr>
        <w:t xml:space="preserve">estas </w:t>
      </w:r>
      <w:r w:rsidR="00485C23">
        <w:rPr>
          <w:rFonts w:cs="Arial"/>
          <w:sz w:val="20"/>
          <w:szCs w:val="20"/>
        </w:rPr>
        <w:t>accedan a la seguridad social. Agregó que “resultaría pertinente” que el Tribunal aclare si de las reparaciones contenidas en los párrafos 145 y 160 de la Sentencia, se deriva la obligación de reconocer las cargas prestacion</w:t>
      </w:r>
      <w:r w:rsidR="009E30F4">
        <w:rPr>
          <w:rFonts w:cs="Arial"/>
          <w:sz w:val="20"/>
          <w:szCs w:val="20"/>
        </w:rPr>
        <w:t>al</w:t>
      </w:r>
      <w:r w:rsidR="00485C23">
        <w:rPr>
          <w:rFonts w:cs="Arial"/>
          <w:sz w:val="20"/>
          <w:szCs w:val="20"/>
        </w:rPr>
        <w:t>es que corresponderían a la víctima</w:t>
      </w:r>
      <w:r w:rsidR="009E30F4">
        <w:rPr>
          <w:rFonts w:cs="Arial"/>
          <w:sz w:val="20"/>
          <w:szCs w:val="20"/>
        </w:rPr>
        <w:t xml:space="preserve"> en el caso de que no hubiera sido da</w:t>
      </w:r>
      <w:r w:rsidR="009B6057">
        <w:rPr>
          <w:rFonts w:cs="Arial"/>
          <w:sz w:val="20"/>
          <w:szCs w:val="20"/>
        </w:rPr>
        <w:t>d</w:t>
      </w:r>
      <w:r w:rsidR="009E30F4">
        <w:rPr>
          <w:rFonts w:cs="Arial"/>
          <w:sz w:val="20"/>
          <w:szCs w:val="20"/>
        </w:rPr>
        <w:t xml:space="preserve">a de baja arbitrariamente, es decir, con violación </w:t>
      </w:r>
      <w:r w:rsidR="009B6057">
        <w:rPr>
          <w:rFonts w:cs="Arial"/>
          <w:sz w:val="20"/>
          <w:szCs w:val="20"/>
        </w:rPr>
        <w:t>a</w:t>
      </w:r>
      <w:r w:rsidR="009E30F4">
        <w:rPr>
          <w:rFonts w:cs="Arial"/>
          <w:sz w:val="20"/>
          <w:szCs w:val="20"/>
        </w:rPr>
        <w:t xml:space="preserve"> los artículos 23.1.c y 26 de la Convención.</w:t>
      </w:r>
    </w:p>
    <w:p w14:paraId="22F2D0D5" w14:textId="77777777" w:rsidR="009E30F4" w:rsidRPr="00843006" w:rsidRDefault="009E30F4" w:rsidP="009E30F4">
      <w:pPr>
        <w:rPr>
          <w:rFonts w:cs="Arial"/>
          <w:sz w:val="20"/>
          <w:szCs w:val="20"/>
        </w:rPr>
      </w:pPr>
    </w:p>
    <w:p w14:paraId="0F0D6751" w14:textId="11897D38" w:rsidR="009E30F4" w:rsidRPr="00843006" w:rsidRDefault="009E30F4" w:rsidP="009E30F4">
      <w:pPr>
        <w:ind w:left="851"/>
        <w:rPr>
          <w:rFonts w:cs="Arial"/>
          <w:b/>
          <w:i/>
          <w:sz w:val="20"/>
          <w:szCs w:val="20"/>
        </w:rPr>
      </w:pPr>
      <w:r w:rsidRPr="00843006">
        <w:rPr>
          <w:rFonts w:cs="Arial"/>
          <w:b/>
          <w:i/>
          <w:sz w:val="20"/>
          <w:szCs w:val="20"/>
        </w:rPr>
        <w:t>A.2. Consideraciones de la Corte</w:t>
      </w:r>
    </w:p>
    <w:p w14:paraId="1CE55C46" w14:textId="77777777" w:rsidR="009E30F4" w:rsidRPr="00843006" w:rsidRDefault="009E30F4" w:rsidP="009E30F4">
      <w:pPr>
        <w:rPr>
          <w:rFonts w:cs="Arial"/>
          <w:sz w:val="20"/>
          <w:szCs w:val="20"/>
        </w:rPr>
      </w:pPr>
    </w:p>
    <w:p w14:paraId="10A5E06A" w14:textId="59A4244B" w:rsidR="00843006" w:rsidRPr="00843006" w:rsidRDefault="00843006" w:rsidP="00485C23">
      <w:pPr>
        <w:pStyle w:val="Prrafodelista"/>
        <w:numPr>
          <w:ilvl w:val="0"/>
          <w:numId w:val="1"/>
        </w:numPr>
        <w:tabs>
          <w:tab w:val="left" w:pos="567"/>
        </w:tabs>
        <w:ind w:left="0" w:right="17" w:firstLine="0"/>
        <w:rPr>
          <w:rFonts w:cs="Arial"/>
          <w:sz w:val="20"/>
          <w:szCs w:val="20"/>
        </w:rPr>
      </w:pPr>
      <w:r w:rsidRPr="00843006">
        <w:rPr>
          <w:sz w:val="20"/>
          <w:szCs w:val="20"/>
        </w:rPr>
        <w:t xml:space="preserve">El Tribunal recuerda que en </w:t>
      </w:r>
      <w:r w:rsidR="003E118C">
        <w:rPr>
          <w:sz w:val="20"/>
          <w:szCs w:val="20"/>
        </w:rPr>
        <w:t>el</w:t>
      </w:r>
      <w:r w:rsidRPr="00843006">
        <w:rPr>
          <w:sz w:val="20"/>
          <w:szCs w:val="20"/>
        </w:rPr>
        <w:t xml:space="preserve"> párrafo 160 de la Sentencia dispuso lo siguiente:</w:t>
      </w:r>
    </w:p>
    <w:p w14:paraId="6F1A7B82" w14:textId="77777777" w:rsidR="00843006" w:rsidRPr="00843006" w:rsidRDefault="00843006" w:rsidP="00843006">
      <w:pPr>
        <w:pStyle w:val="Prrafodelista"/>
        <w:tabs>
          <w:tab w:val="left" w:pos="567"/>
        </w:tabs>
        <w:ind w:left="0" w:right="17"/>
        <w:rPr>
          <w:sz w:val="20"/>
          <w:szCs w:val="20"/>
        </w:rPr>
      </w:pPr>
    </w:p>
    <w:p w14:paraId="56696843" w14:textId="1A867299" w:rsidR="00843006" w:rsidRPr="00843006" w:rsidRDefault="00843006" w:rsidP="00843006">
      <w:pPr>
        <w:pStyle w:val="Prrafodelista"/>
        <w:tabs>
          <w:tab w:val="left" w:pos="567"/>
        </w:tabs>
        <w:ind w:left="567" w:right="567"/>
        <w:rPr>
          <w:sz w:val="20"/>
          <w:szCs w:val="20"/>
        </w:rPr>
      </w:pPr>
      <w:r w:rsidRPr="00843006">
        <w:rPr>
          <w:sz w:val="16"/>
          <w:szCs w:val="16"/>
        </w:rPr>
        <w:t>Por consiguiente, dado que fue declarada violación a derechos de la víctima en el procedimiento que culminó con su destitución, la Corte fija, en equidad, por concepto de lucro cesante correspondiente desde el 25 de octubre de 2000 –fecha en que el Tribunal de Disciplina impuso la aludida sanción– hasta la fecha de emisión del presente Fallo, la cantidad de USD $75.000,00 (setenta y cinco mil dólares de los Estados Unidos de América)</w:t>
      </w:r>
      <w:r w:rsidR="009B6057">
        <w:rPr>
          <w:rStyle w:val="Refdenotaalpie"/>
          <w:sz w:val="16"/>
          <w:szCs w:val="16"/>
        </w:rPr>
        <w:footnoteReference w:id="7"/>
      </w:r>
      <w:r w:rsidRPr="00843006">
        <w:rPr>
          <w:sz w:val="16"/>
          <w:szCs w:val="16"/>
        </w:rPr>
        <w:t>.</w:t>
      </w:r>
    </w:p>
    <w:p w14:paraId="1A00DB4F" w14:textId="77777777" w:rsidR="00843006" w:rsidRPr="00843006" w:rsidRDefault="00843006" w:rsidP="00843006">
      <w:pPr>
        <w:pStyle w:val="Prrafodelista"/>
        <w:tabs>
          <w:tab w:val="left" w:pos="567"/>
        </w:tabs>
        <w:ind w:left="0" w:right="17"/>
        <w:rPr>
          <w:sz w:val="20"/>
          <w:szCs w:val="20"/>
        </w:rPr>
      </w:pPr>
    </w:p>
    <w:p w14:paraId="6C2AAD9E" w14:textId="570C9C55" w:rsidR="00453AC9" w:rsidRDefault="00843006" w:rsidP="00843006">
      <w:pPr>
        <w:pStyle w:val="Prrafodelista"/>
        <w:numPr>
          <w:ilvl w:val="0"/>
          <w:numId w:val="1"/>
        </w:numPr>
        <w:tabs>
          <w:tab w:val="left" w:pos="567"/>
        </w:tabs>
        <w:ind w:left="0" w:right="17" w:firstLine="0"/>
        <w:rPr>
          <w:rFonts w:cs="Arial"/>
          <w:sz w:val="20"/>
          <w:szCs w:val="20"/>
        </w:rPr>
      </w:pPr>
      <w:r>
        <w:rPr>
          <w:sz w:val="20"/>
          <w:szCs w:val="20"/>
        </w:rPr>
        <w:t>El</w:t>
      </w:r>
      <w:r w:rsidRPr="00843006">
        <w:rPr>
          <w:sz w:val="20"/>
          <w:szCs w:val="20"/>
        </w:rPr>
        <w:t xml:space="preserve"> representante requirió que se aclare si </w:t>
      </w:r>
      <w:r>
        <w:rPr>
          <w:sz w:val="20"/>
          <w:szCs w:val="20"/>
        </w:rPr>
        <w:t>de la Sentencia surge el “derecho a las prestaciones</w:t>
      </w:r>
      <w:r w:rsidR="0030183D">
        <w:rPr>
          <w:sz w:val="20"/>
          <w:szCs w:val="20"/>
        </w:rPr>
        <w:t xml:space="preserve"> sociales</w:t>
      </w:r>
      <w:r>
        <w:rPr>
          <w:sz w:val="20"/>
          <w:szCs w:val="20"/>
        </w:rPr>
        <w:t xml:space="preserve"> con miras a una futura jubilación” a favor de la víctima, y, de ser el </w:t>
      </w:r>
      <w:r>
        <w:rPr>
          <w:sz w:val="20"/>
          <w:szCs w:val="20"/>
        </w:rPr>
        <w:lastRenderedPageBreak/>
        <w:t xml:space="preserve">caso, si dicho derecho </w:t>
      </w:r>
      <w:r w:rsidR="00453AC9">
        <w:rPr>
          <w:sz w:val="20"/>
          <w:szCs w:val="20"/>
        </w:rPr>
        <w:t>debe ser dispuesto por esta Corte o si la víctima debe acudir a los tribunales internos para reclamar lo pertinente.</w:t>
      </w:r>
    </w:p>
    <w:p w14:paraId="6AF5388D" w14:textId="77777777" w:rsidR="00453AC9" w:rsidRDefault="00453AC9" w:rsidP="00453AC9">
      <w:pPr>
        <w:pStyle w:val="Prrafodelista"/>
        <w:tabs>
          <w:tab w:val="left" w:pos="567"/>
        </w:tabs>
        <w:ind w:left="0" w:right="17"/>
        <w:rPr>
          <w:rFonts w:cs="Arial"/>
          <w:sz w:val="20"/>
          <w:szCs w:val="20"/>
        </w:rPr>
      </w:pPr>
    </w:p>
    <w:p w14:paraId="64C2677A" w14:textId="08E7E212" w:rsidR="009E30F4" w:rsidRPr="007F4C46" w:rsidRDefault="00843006" w:rsidP="00721098">
      <w:pPr>
        <w:pStyle w:val="Prrafodelista"/>
        <w:numPr>
          <w:ilvl w:val="0"/>
          <w:numId w:val="1"/>
        </w:numPr>
        <w:tabs>
          <w:tab w:val="left" w:pos="567"/>
        </w:tabs>
        <w:ind w:left="0" w:right="17" w:firstLine="0"/>
        <w:rPr>
          <w:rFonts w:cs="Arial"/>
          <w:sz w:val="20"/>
          <w:szCs w:val="20"/>
        </w:rPr>
      </w:pPr>
      <w:r w:rsidRPr="007F4C46">
        <w:rPr>
          <w:sz w:val="20"/>
          <w:szCs w:val="20"/>
        </w:rPr>
        <w:t>Ante la solicitud presentada, la Corte recuerda que</w:t>
      </w:r>
      <w:r w:rsidR="00721098" w:rsidRPr="007F4C46">
        <w:rPr>
          <w:sz w:val="20"/>
          <w:szCs w:val="20"/>
        </w:rPr>
        <w:t xml:space="preserve"> en la Sentencia se otorgó una indemnización en favor de la víctima, ante la imposibilidad de proceder a su reincorporación al cargo que ejercía</w:t>
      </w:r>
      <w:r w:rsidR="000F47C2">
        <w:rPr>
          <w:sz w:val="20"/>
          <w:szCs w:val="20"/>
        </w:rPr>
        <w:t xml:space="preserve"> (párr. 145)</w:t>
      </w:r>
      <w:r w:rsidR="00721098" w:rsidRPr="007F4C46">
        <w:rPr>
          <w:sz w:val="20"/>
          <w:szCs w:val="20"/>
        </w:rPr>
        <w:t>. Asimismo, fue dispuesta una inde</w:t>
      </w:r>
      <w:r w:rsidRPr="007F4C46">
        <w:rPr>
          <w:sz w:val="20"/>
          <w:szCs w:val="20"/>
        </w:rPr>
        <w:t>mnización por daño material en concepto de ingresos dejados de percibir o lucro cesante</w:t>
      </w:r>
      <w:r w:rsidR="00721098" w:rsidRPr="007F4C46">
        <w:rPr>
          <w:sz w:val="20"/>
          <w:szCs w:val="20"/>
        </w:rPr>
        <w:t>. De esa cuenta, los</w:t>
      </w:r>
      <w:r w:rsidRPr="007F4C46">
        <w:rPr>
          <w:sz w:val="20"/>
          <w:szCs w:val="20"/>
        </w:rPr>
        <w:t xml:space="preserve"> monto</w:t>
      </w:r>
      <w:r w:rsidR="00721098" w:rsidRPr="007F4C46">
        <w:rPr>
          <w:sz w:val="20"/>
          <w:szCs w:val="20"/>
        </w:rPr>
        <w:t>s</w:t>
      </w:r>
      <w:r w:rsidRPr="007F4C46">
        <w:rPr>
          <w:sz w:val="20"/>
          <w:szCs w:val="20"/>
        </w:rPr>
        <w:t xml:space="preserve"> fijado</w:t>
      </w:r>
      <w:r w:rsidR="00721098" w:rsidRPr="007F4C46">
        <w:rPr>
          <w:sz w:val="20"/>
          <w:szCs w:val="20"/>
        </w:rPr>
        <w:t>s por ambos conceptos</w:t>
      </w:r>
      <w:r w:rsidRPr="007F4C46">
        <w:rPr>
          <w:sz w:val="20"/>
          <w:szCs w:val="20"/>
        </w:rPr>
        <w:t xml:space="preserve"> incluy</w:t>
      </w:r>
      <w:r w:rsidR="00721098" w:rsidRPr="007F4C46">
        <w:rPr>
          <w:sz w:val="20"/>
          <w:szCs w:val="20"/>
        </w:rPr>
        <w:t>eron</w:t>
      </w:r>
      <w:r w:rsidRPr="007F4C46">
        <w:rPr>
          <w:sz w:val="20"/>
          <w:szCs w:val="20"/>
        </w:rPr>
        <w:t xml:space="preserve"> todos los elementos propios o derivados de la relación laboral en el período correspondiente</w:t>
      </w:r>
      <w:r w:rsidR="009215D0" w:rsidRPr="007F4C46">
        <w:rPr>
          <w:rStyle w:val="Refdenotaalpie"/>
          <w:sz w:val="20"/>
          <w:szCs w:val="20"/>
        </w:rPr>
        <w:footnoteReference w:id="8"/>
      </w:r>
      <w:r w:rsidRPr="007F4C46">
        <w:rPr>
          <w:sz w:val="20"/>
          <w:szCs w:val="20"/>
        </w:rPr>
        <w:t>. Por consiguiente, se desestima la solicitud del representante.</w:t>
      </w:r>
    </w:p>
    <w:p w14:paraId="7B267355" w14:textId="4BA3D823" w:rsidR="00485C23" w:rsidRDefault="00485C23" w:rsidP="00485C23">
      <w:pPr>
        <w:tabs>
          <w:tab w:val="left" w:pos="567"/>
        </w:tabs>
        <w:ind w:right="17"/>
        <w:rPr>
          <w:rFonts w:cs="Arial"/>
          <w:sz w:val="20"/>
          <w:szCs w:val="20"/>
        </w:rPr>
      </w:pPr>
    </w:p>
    <w:p w14:paraId="6234E11A" w14:textId="77D916E0" w:rsidR="009215D0" w:rsidRPr="009215D0" w:rsidRDefault="009215D0" w:rsidP="009215D0">
      <w:pPr>
        <w:ind w:left="567"/>
        <w:jc w:val="both"/>
        <w:rPr>
          <w:rFonts w:cs="Arial"/>
          <w:b/>
          <w:i/>
          <w:sz w:val="20"/>
          <w:szCs w:val="20"/>
        </w:rPr>
      </w:pPr>
      <w:r w:rsidRPr="009215D0">
        <w:rPr>
          <w:b/>
          <w:i/>
          <w:sz w:val="20"/>
          <w:szCs w:val="20"/>
        </w:rPr>
        <w:t xml:space="preserve">B. La solicitud de interpretación con relación a </w:t>
      </w:r>
      <w:r w:rsidRPr="009215D0">
        <w:rPr>
          <w:rFonts w:cs="Arial"/>
          <w:b/>
          <w:i/>
          <w:sz w:val="20"/>
          <w:szCs w:val="20"/>
        </w:rPr>
        <w:t>la vigencia de la sanción impuesta a la víctima</w:t>
      </w:r>
    </w:p>
    <w:p w14:paraId="11AC63CB" w14:textId="77777777" w:rsidR="009215D0" w:rsidRDefault="009215D0" w:rsidP="009215D0">
      <w:pPr>
        <w:rPr>
          <w:rFonts w:cs="Arial"/>
          <w:sz w:val="20"/>
          <w:szCs w:val="20"/>
        </w:rPr>
      </w:pPr>
    </w:p>
    <w:p w14:paraId="62E60A2B" w14:textId="6DF4B4CF" w:rsidR="009215D0" w:rsidRPr="005969DE" w:rsidRDefault="00EF6284" w:rsidP="009215D0">
      <w:pPr>
        <w:ind w:left="851"/>
        <w:rPr>
          <w:rFonts w:cs="Arial"/>
          <w:sz w:val="20"/>
          <w:szCs w:val="20"/>
        </w:rPr>
      </w:pPr>
      <w:r>
        <w:rPr>
          <w:b/>
          <w:i/>
          <w:sz w:val="20"/>
          <w:szCs w:val="20"/>
        </w:rPr>
        <w:t>B</w:t>
      </w:r>
      <w:r w:rsidR="009215D0" w:rsidRPr="005969DE">
        <w:rPr>
          <w:b/>
          <w:i/>
          <w:sz w:val="20"/>
          <w:szCs w:val="20"/>
        </w:rPr>
        <w:t>.1. Argumentos de las partes y de la Comisión</w:t>
      </w:r>
    </w:p>
    <w:p w14:paraId="2E20F3AE" w14:textId="77777777" w:rsidR="009215D0" w:rsidRPr="005969DE" w:rsidRDefault="009215D0" w:rsidP="009215D0">
      <w:pPr>
        <w:rPr>
          <w:rFonts w:cs="Arial"/>
          <w:sz w:val="20"/>
          <w:szCs w:val="20"/>
        </w:rPr>
      </w:pPr>
    </w:p>
    <w:p w14:paraId="704865FD" w14:textId="56FE25B6" w:rsidR="0076087E" w:rsidRPr="005969DE" w:rsidRDefault="009215D0" w:rsidP="0093552F">
      <w:pPr>
        <w:pStyle w:val="Prrafodelista"/>
        <w:numPr>
          <w:ilvl w:val="0"/>
          <w:numId w:val="1"/>
        </w:numPr>
        <w:tabs>
          <w:tab w:val="left" w:pos="567"/>
        </w:tabs>
        <w:ind w:left="0" w:right="17" w:firstLine="0"/>
        <w:rPr>
          <w:rFonts w:cs="Arial"/>
          <w:sz w:val="20"/>
          <w:szCs w:val="20"/>
        </w:rPr>
      </w:pPr>
      <w:r w:rsidRPr="005969DE">
        <w:rPr>
          <w:rFonts w:cs="Arial"/>
          <w:sz w:val="20"/>
          <w:szCs w:val="20"/>
        </w:rPr>
        <w:t xml:space="preserve">El </w:t>
      </w:r>
      <w:r w:rsidRPr="005969DE">
        <w:rPr>
          <w:rFonts w:cs="Arial"/>
          <w:b/>
          <w:i/>
          <w:sz w:val="20"/>
          <w:szCs w:val="20"/>
        </w:rPr>
        <w:t>representante</w:t>
      </w:r>
      <w:r w:rsidRPr="005969DE">
        <w:rPr>
          <w:rFonts w:cs="Arial"/>
          <w:sz w:val="20"/>
          <w:szCs w:val="20"/>
        </w:rPr>
        <w:t xml:space="preserve"> </w:t>
      </w:r>
      <w:r w:rsidR="0093552F" w:rsidRPr="005969DE">
        <w:rPr>
          <w:rFonts w:cs="Arial"/>
          <w:sz w:val="20"/>
          <w:szCs w:val="20"/>
        </w:rPr>
        <w:t>argumentó</w:t>
      </w:r>
      <w:r w:rsidRPr="005969DE">
        <w:rPr>
          <w:rFonts w:cs="Arial"/>
          <w:sz w:val="20"/>
          <w:szCs w:val="20"/>
        </w:rPr>
        <w:t xml:space="preserve"> que </w:t>
      </w:r>
      <w:r w:rsidR="0076087E" w:rsidRPr="005969DE">
        <w:rPr>
          <w:rFonts w:cs="Arial"/>
          <w:sz w:val="20"/>
          <w:szCs w:val="20"/>
        </w:rPr>
        <w:t>en el Fallo de la Corte Interamericana se declaró la arbitrariedad de la decisión del Tribunal de Disciplina</w:t>
      </w:r>
      <w:r w:rsidR="0014729B">
        <w:rPr>
          <w:rFonts w:cs="Arial"/>
          <w:sz w:val="20"/>
          <w:szCs w:val="20"/>
        </w:rPr>
        <w:t xml:space="preserve"> de la Policía Nacional</w:t>
      </w:r>
      <w:r w:rsidR="0076087E" w:rsidRPr="005969DE">
        <w:rPr>
          <w:rFonts w:cs="Arial"/>
          <w:sz w:val="20"/>
          <w:szCs w:val="20"/>
        </w:rPr>
        <w:t xml:space="preserve"> que dispuso la desvinculación del señor Mina Cuera del cargo de agente de policía que ejercía, por lo que</w:t>
      </w:r>
      <w:r w:rsidR="0014729B">
        <w:rPr>
          <w:rFonts w:cs="Arial"/>
          <w:sz w:val="20"/>
          <w:szCs w:val="20"/>
        </w:rPr>
        <w:t>, en su consideración,</w:t>
      </w:r>
      <w:r w:rsidR="0076087E" w:rsidRPr="005969DE">
        <w:rPr>
          <w:rFonts w:cs="Arial"/>
          <w:sz w:val="20"/>
          <w:szCs w:val="20"/>
        </w:rPr>
        <w:t xml:space="preserve"> “no existe” contra la víctima “</w:t>
      </w:r>
      <w:r w:rsidR="0076087E" w:rsidRPr="005969DE">
        <w:rPr>
          <w:rFonts w:eastAsiaTheme="minorHAnsi" w:cs="Times New Roman"/>
          <w:sz w:val="20"/>
          <w:szCs w:val="20"/>
          <w14:ligatures w14:val="standardContextual"/>
        </w:rPr>
        <w:t>disposición de baja que pueda surtir efectos</w:t>
      </w:r>
      <w:r w:rsidR="0076087E" w:rsidRPr="005969DE">
        <w:rPr>
          <w:rFonts w:cs="Arial"/>
          <w:sz w:val="20"/>
          <w:szCs w:val="20"/>
        </w:rPr>
        <w:t xml:space="preserve"> </w:t>
      </w:r>
      <w:r w:rsidR="0076087E" w:rsidRPr="005969DE">
        <w:rPr>
          <w:rFonts w:eastAsiaTheme="minorHAnsi" w:cs="Times New Roman"/>
          <w:sz w:val="20"/>
          <w:szCs w:val="20"/>
          <w14:ligatures w14:val="standardContextual"/>
        </w:rPr>
        <w:t>jurídicos con posterioridad a la [S]</w:t>
      </w:r>
      <w:proofErr w:type="spellStart"/>
      <w:r w:rsidR="0076087E" w:rsidRPr="005969DE">
        <w:rPr>
          <w:rFonts w:eastAsiaTheme="minorHAnsi" w:cs="Times New Roman"/>
          <w:sz w:val="20"/>
          <w:szCs w:val="20"/>
          <w14:ligatures w14:val="standardContextual"/>
        </w:rPr>
        <w:t>entencia</w:t>
      </w:r>
      <w:proofErr w:type="spellEnd"/>
      <w:r w:rsidR="0076087E" w:rsidRPr="005969DE">
        <w:rPr>
          <w:rFonts w:eastAsiaTheme="minorHAnsi" w:cs="Times New Roman"/>
          <w:sz w:val="20"/>
          <w:szCs w:val="20"/>
          <w14:ligatures w14:val="standardContextual"/>
        </w:rPr>
        <w:t>”</w:t>
      </w:r>
      <w:r w:rsidR="0076087E" w:rsidRPr="005969DE">
        <w:rPr>
          <w:rFonts w:cs="Arial"/>
          <w:sz w:val="20"/>
          <w:szCs w:val="20"/>
        </w:rPr>
        <w:t>.</w:t>
      </w:r>
    </w:p>
    <w:p w14:paraId="6CA0467F" w14:textId="77777777" w:rsidR="0076087E" w:rsidRPr="005969DE" w:rsidRDefault="0076087E" w:rsidP="0076087E">
      <w:pPr>
        <w:pStyle w:val="Prrafodelista"/>
        <w:tabs>
          <w:tab w:val="left" w:pos="567"/>
        </w:tabs>
        <w:ind w:left="0" w:right="17"/>
        <w:rPr>
          <w:rFonts w:cs="Arial"/>
          <w:sz w:val="20"/>
          <w:szCs w:val="20"/>
        </w:rPr>
      </w:pPr>
    </w:p>
    <w:p w14:paraId="42E42103" w14:textId="3E314554" w:rsidR="0093552F" w:rsidRPr="00361314" w:rsidRDefault="0076087E" w:rsidP="00027889">
      <w:pPr>
        <w:pStyle w:val="Prrafodelista"/>
        <w:numPr>
          <w:ilvl w:val="0"/>
          <w:numId w:val="1"/>
        </w:numPr>
        <w:tabs>
          <w:tab w:val="left" w:pos="567"/>
        </w:tabs>
        <w:ind w:left="0" w:right="17" w:firstLine="0"/>
        <w:rPr>
          <w:rFonts w:eastAsiaTheme="minorHAnsi" w:cs="Times New Roman"/>
          <w:sz w:val="20"/>
          <w:szCs w:val="20"/>
          <w14:ligatures w14:val="standardContextual"/>
        </w:rPr>
      </w:pPr>
      <w:r w:rsidRPr="00361314">
        <w:rPr>
          <w:rFonts w:cs="Arial"/>
          <w:sz w:val="20"/>
          <w:szCs w:val="20"/>
        </w:rPr>
        <w:t>Solicitó que el Tribunal aclare s</w:t>
      </w:r>
      <w:r w:rsidR="00027889" w:rsidRPr="00361314">
        <w:rPr>
          <w:rFonts w:cs="Arial"/>
          <w:sz w:val="20"/>
          <w:szCs w:val="20"/>
        </w:rPr>
        <w:t>i, al haberse declarado arbitraria la baja dispuesta respecto del señor Mina Cuero, se encuentra vigente la sanción dictada por el Tribunal de Disciplina el 25 de octubre de 2000. Indicó que, en caso de entender lo contrario, es decir, que el acto violatorio a sus derechos continúa vigente, se haría necesario que el Estado emita una “baja administrativa” con sustento en el Fallo de la Corte, en función de colocar a la víctima en la situación de un agente de policía que ha optado por su retiro voluntario, con fecha posterior a la Sentencia, en tanto la violación a sus derechos perduró, precisamente, hasta el momento de emisión de esta última.</w:t>
      </w:r>
      <w:r w:rsidR="005969DE" w:rsidRPr="00361314">
        <w:rPr>
          <w:rFonts w:eastAsiaTheme="minorHAnsi" w:cs="Times New Roman"/>
          <w:sz w:val="20"/>
          <w:szCs w:val="20"/>
          <w14:ligatures w14:val="standardContextual"/>
        </w:rPr>
        <w:t xml:space="preserve"> </w:t>
      </w:r>
    </w:p>
    <w:p w14:paraId="6DB63AF8" w14:textId="77777777" w:rsidR="0076087E" w:rsidRPr="005969DE" w:rsidRDefault="0076087E" w:rsidP="0076087E">
      <w:pPr>
        <w:pStyle w:val="Prrafodelista"/>
        <w:tabs>
          <w:tab w:val="left" w:pos="567"/>
        </w:tabs>
        <w:ind w:left="0" w:right="17"/>
        <w:rPr>
          <w:rFonts w:cs="Arial"/>
          <w:sz w:val="20"/>
          <w:szCs w:val="20"/>
        </w:rPr>
      </w:pPr>
    </w:p>
    <w:p w14:paraId="1596247C" w14:textId="068177F7" w:rsidR="009215D0" w:rsidRPr="00962E23" w:rsidRDefault="009215D0" w:rsidP="00962E23">
      <w:pPr>
        <w:pStyle w:val="Prrafodelista"/>
        <w:numPr>
          <w:ilvl w:val="0"/>
          <w:numId w:val="1"/>
        </w:numPr>
        <w:tabs>
          <w:tab w:val="left" w:pos="567"/>
        </w:tabs>
        <w:ind w:left="0" w:right="17" w:firstLine="0"/>
        <w:rPr>
          <w:rFonts w:cs="Arial"/>
          <w:sz w:val="20"/>
          <w:szCs w:val="20"/>
        </w:rPr>
      </w:pPr>
      <w:r w:rsidRPr="00962E23">
        <w:rPr>
          <w:rFonts w:cs="Arial"/>
          <w:sz w:val="20"/>
          <w:szCs w:val="20"/>
        </w:rPr>
        <w:t xml:space="preserve">El </w:t>
      </w:r>
      <w:r w:rsidRPr="00962E23">
        <w:rPr>
          <w:rFonts w:cs="Arial"/>
          <w:b/>
          <w:i/>
          <w:sz w:val="20"/>
          <w:szCs w:val="20"/>
        </w:rPr>
        <w:t>Estado</w:t>
      </w:r>
      <w:r w:rsidRPr="00962E23">
        <w:rPr>
          <w:rFonts w:cs="Arial"/>
          <w:sz w:val="20"/>
          <w:szCs w:val="20"/>
        </w:rPr>
        <w:t xml:space="preserve"> </w:t>
      </w:r>
      <w:r w:rsidR="00962E23">
        <w:rPr>
          <w:rFonts w:cs="Arial"/>
          <w:sz w:val="20"/>
          <w:szCs w:val="20"/>
        </w:rPr>
        <w:t>señal</w:t>
      </w:r>
      <w:r w:rsidRPr="00962E23">
        <w:rPr>
          <w:rFonts w:cs="Arial"/>
          <w:sz w:val="20"/>
          <w:szCs w:val="20"/>
        </w:rPr>
        <w:t xml:space="preserve">ó </w:t>
      </w:r>
      <w:r w:rsidR="00962E23">
        <w:rPr>
          <w:rFonts w:cs="Arial"/>
          <w:sz w:val="20"/>
          <w:szCs w:val="20"/>
        </w:rPr>
        <w:t xml:space="preserve">que </w:t>
      </w:r>
      <w:r w:rsidRPr="00962E23">
        <w:rPr>
          <w:rFonts w:cs="Arial"/>
          <w:sz w:val="20"/>
          <w:szCs w:val="20"/>
        </w:rPr>
        <w:t xml:space="preserve">el representante </w:t>
      </w:r>
      <w:r w:rsidR="00962E23">
        <w:rPr>
          <w:rFonts w:cs="Arial"/>
          <w:sz w:val="20"/>
          <w:szCs w:val="20"/>
        </w:rPr>
        <w:t>discute</w:t>
      </w:r>
      <w:r w:rsidRPr="00962E23">
        <w:rPr>
          <w:rFonts w:cs="Arial"/>
          <w:sz w:val="20"/>
          <w:szCs w:val="20"/>
        </w:rPr>
        <w:t xml:space="preserve"> una cuestión de fondo que no puede ni debe ser analizada mediante una solicitud de interpretación. Agregó que la pretensión del representante</w:t>
      </w:r>
      <w:r w:rsidR="00962E23">
        <w:rPr>
          <w:rFonts w:cs="Arial"/>
          <w:sz w:val="20"/>
          <w:szCs w:val="20"/>
        </w:rPr>
        <w:t xml:space="preserve"> es</w:t>
      </w:r>
      <w:r w:rsidRPr="00962E23">
        <w:rPr>
          <w:rFonts w:cs="Arial"/>
          <w:sz w:val="20"/>
          <w:szCs w:val="20"/>
        </w:rPr>
        <w:t xml:space="preserve"> </w:t>
      </w:r>
      <w:r w:rsidR="00962E23">
        <w:rPr>
          <w:rFonts w:cs="Arial"/>
          <w:sz w:val="20"/>
          <w:szCs w:val="20"/>
        </w:rPr>
        <w:t>que se modifique</w:t>
      </w:r>
      <w:r w:rsidRPr="00962E23">
        <w:rPr>
          <w:rFonts w:cs="Arial"/>
          <w:sz w:val="20"/>
          <w:szCs w:val="20"/>
        </w:rPr>
        <w:t xml:space="preserve"> la Sentencia</w:t>
      </w:r>
      <w:r w:rsidR="00962E23">
        <w:rPr>
          <w:rFonts w:cs="Arial"/>
          <w:sz w:val="20"/>
          <w:szCs w:val="20"/>
        </w:rPr>
        <w:t>, lo que resulta improcedente</w:t>
      </w:r>
      <w:r w:rsidRPr="00962E23">
        <w:rPr>
          <w:rFonts w:cs="Arial"/>
          <w:sz w:val="20"/>
          <w:szCs w:val="20"/>
        </w:rPr>
        <w:t xml:space="preserve">. Solicitó que se desestime la solicitud de interpretación. </w:t>
      </w:r>
    </w:p>
    <w:p w14:paraId="3C026597" w14:textId="77777777" w:rsidR="009215D0" w:rsidRPr="001061CC" w:rsidRDefault="009215D0" w:rsidP="009215D0">
      <w:pPr>
        <w:pStyle w:val="Prrafodelista"/>
        <w:tabs>
          <w:tab w:val="left" w:pos="567"/>
        </w:tabs>
        <w:ind w:left="0" w:right="17"/>
        <w:rPr>
          <w:rFonts w:cs="Arial"/>
          <w:sz w:val="20"/>
          <w:szCs w:val="20"/>
        </w:rPr>
      </w:pPr>
    </w:p>
    <w:p w14:paraId="430022B4" w14:textId="60376C5E" w:rsidR="009215D0" w:rsidRPr="001061CC" w:rsidRDefault="009215D0" w:rsidP="001061CC">
      <w:pPr>
        <w:pStyle w:val="Prrafodelista"/>
        <w:numPr>
          <w:ilvl w:val="0"/>
          <w:numId w:val="1"/>
        </w:numPr>
        <w:tabs>
          <w:tab w:val="left" w:pos="567"/>
        </w:tabs>
        <w:ind w:left="0" w:right="17" w:firstLine="0"/>
        <w:rPr>
          <w:rFonts w:cs="Arial"/>
          <w:b/>
          <w:sz w:val="20"/>
          <w:szCs w:val="20"/>
        </w:rPr>
      </w:pPr>
      <w:r w:rsidRPr="001061CC">
        <w:rPr>
          <w:rFonts w:cs="Arial"/>
          <w:sz w:val="20"/>
          <w:szCs w:val="20"/>
        </w:rPr>
        <w:t xml:space="preserve">La </w:t>
      </w:r>
      <w:r w:rsidRPr="001061CC">
        <w:rPr>
          <w:rFonts w:cs="Arial"/>
          <w:b/>
          <w:i/>
          <w:sz w:val="20"/>
          <w:szCs w:val="20"/>
        </w:rPr>
        <w:t>Comisión</w:t>
      </w:r>
      <w:r w:rsidRPr="001061CC">
        <w:rPr>
          <w:rFonts w:cs="Arial"/>
          <w:sz w:val="20"/>
          <w:szCs w:val="20"/>
        </w:rPr>
        <w:t xml:space="preserve"> indicó que</w:t>
      </w:r>
      <w:r w:rsidR="001061CC" w:rsidRPr="001061CC">
        <w:rPr>
          <w:rFonts w:cs="Arial"/>
          <w:sz w:val="20"/>
          <w:szCs w:val="20"/>
        </w:rPr>
        <w:t xml:space="preserve"> resultaría pertinente </w:t>
      </w:r>
      <w:r w:rsidR="001061CC" w:rsidRPr="001061CC">
        <w:rPr>
          <w:rFonts w:eastAsiaTheme="minorHAnsi" w:cs="Calibri"/>
          <w:sz w:val="20"/>
          <w:szCs w:val="20"/>
          <w14:ligatures w14:val="standardContextual"/>
        </w:rPr>
        <w:t>que la Corte aclare la situación administrativa de la víctima respecto de su baja, lo que facilitaría el cumplimiento de la Sentencia, teniendo en cuenta que</w:t>
      </w:r>
      <w:r w:rsidR="0075409E">
        <w:rPr>
          <w:rFonts w:eastAsiaTheme="minorHAnsi" w:cs="Calibri"/>
          <w:sz w:val="20"/>
          <w:szCs w:val="20"/>
          <w14:ligatures w14:val="standardContextual"/>
        </w:rPr>
        <w:t>,</w:t>
      </w:r>
      <w:r w:rsidR="001061CC" w:rsidRPr="001061CC">
        <w:rPr>
          <w:rFonts w:eastAsiaTheme="minorHAnsi" w:cs="Calibri"/>
          <w:sz w:val="20"/>
          <w:szCs w:val="20"/>
          <w14:ligatures w14:val="standardContextual"/>
        </w:rPr>
        <w:t xml:space="preserve"> </w:t>
      </w:r>
      <w:r w:rsidR="00EC3277">
        <w:rPr>
          <w:rFonts w:eastAsiaTheme="minorHAnsi" w:cs="Calibri"/>
          <w:sz w:val="20"/>
          <w:szCs w:val="20"/>
          <w14:ligatures w14:val="standardContextual"/>
        </w:rPr>
        <w:t>en esta</w:t>
      </w:r>
      <w:r w:rsidR="0075409E">
        <w:rPr>
          <w:rFonts w:eastAsiaTheme="minorHAnsi" w:cs="Calibri"/>
          <w:sz w:val="20"/>
          <w:szCs w:val="20"/>
          <w14:ligatures w14:val="standardContextual"/>
        </w:rPr>
        <w:t>,</w:t>
      </w:r>
      <w:r w:rsidR="00EC3277">
        <w:rPr>
          <w:rFonts w:eastAsiaTheme="minorHAnsi" w:cs="Calibri"/>
          <w:sz w:val="20"/>
          <w:szCs w:val="20"/>
          <w14:ligatures w14:val="standardContextual"/>
        </w:rPr>
        <w:t xml:space="preserve"> </w:t>
      </w:r>
      <w:r w:rsidR="001061CC" w:rsidRPr="001061CC">
        <w:rPr>
          <w:rFonts w:eastAsiaTheme="minorHAnsi" w:cs="Calibri"/>
          <w:sz w:val="20"/>
          <w:szCs w:val="20"/>
          <w14:ligatures w14:val="standardContextual"/>
        </w:rPr>
        <w:t>se determin</w:t>
      </w:r>
      <w:r w:rsidR="00EC3277">
        <w:rPr>
          <w:rFonts w:eastAsiaTheme="minorHAnsi" w:cs="Calibri"/>
          <w:sz w:val="20"/>
          <w:szCs w:val="20"/>
          <w14:ligatures w14:val="standardContextual"/>
        </w:rPr>
        <w:t>ó</w:t>
      </w:r>
      <w:r w:rsidR="001061CC" w:rsidRPr="001061CC">
        <w:rPr>
          <w:rFonts w:eastAsiaTheme="minorHAnsi" w:cs="Calibri"/>
          <w:sz w:val="20"/>
          <w:szCs w:val="20"/>
          <w14:ligatures w14:val="standardContextual"/>
        </w:rPr>
        <w:t xml:space="preserve"> que la sanción impuesta fue resultado de diversas violaciones a la Convención Americana. </w:t>
      </w:r>
    </w:p>
    <w:p w14:paraId="77402CDA" w14:textId="77777777" w:rsidR="009215D0" w:rsidRPr="001061CC" w:rsidRDefault="009215D0" w:rsidP="009215D0">
      <w:pPr>
        <w:rPr>
          <w:rFonts w:cs="Arial"/>
          <w:sz w:val="20"/>
          <w:szCs w:val="20"/>
        </w:rPr>
      </w:pPr>
    </w:p>
    <w:p w14:paraId="7405A2C0" w14:textId="20E0EBF7" w:rsidR="009215D0" w:rsidRPr="00843006" w:rsidRDefault="001061CC" w:rsidP="009215D0">
      <w:pPr>
        <w:ind w:left="851"/>
        <w:rPr>
          <w:rFonts w:cs="Arial"/>
          <w:b/>
          <w:i/>
          <w:sz w:val="20"/>
          <w:szCs w:val="20"/>
        </w:rPr>
      </w:pPr>
      <w:r>
        <w:rPr>
          <w:rFonts w:cs="Arial"/>
          <w:b/>
          <w:i/>
          <w:sz w:val="20"/>
          <w:szCs w:val="20"/>
        </w:rPr>
        <w:t>B</w:t>
      </w:r>
      <w:r w:rsidR="009215D0" w:rsidRPr="00843006">
        <w:rPr>
          <w:rFonts w:cs="Arial"/>
          <w:b/>
          <w:i/>
          <w:sz w:val="20"/>
          <w:szCs w:val="20"/>
        </w:rPr>
        <w:t>.2. Consideraciones de la Corte</w:t>
      </w:r>
    </w:p>
    <w:p w14:paraId="1C03C9CF" w14:textId="77777777" w:rsidR="009215D0" w:rsidRPr="00843006" w:rsidRDefault="009215D0" w:rsidP="009215D0">
      <w:pPr>
        <w:pStyle w:val="Prrafodelista"/>
        <w:tabs>
          <w:tab w:val="left" w:pos="567"/>
        </w:tabs>
        <w:ind w:left="0" w:right="17"/>
        <w:rPr>
          <w:sz w:val="20"/>
          <w:szCs w:val="20"/>
        </w:rPr>
      </w:pPr>
    </w:p>
    <w:p w14:paraId="6B6A0908" w14:textId="7B11E91E" w:rsidR="00966604" w:rsidRPr="00270A3D" w:rsidRDefault="009215D0" w:rsidP="00966604">
      <w:pPr>
        <w:pStyle w:val="Prrafodelista"/>
        <w:numPr>
          <w:ilvl w:val="0"/>
          <w:numId w:val="1"/>
        </w:numPr>
        <w:tabs>
          <w:tab w:val="left" w:pos="567"/>
        </w:tabs>
        <w:ind w:left="0" w:right="17" w:firstLine="0"/>
        <w:rPr>
          <w:rFonts w:eastAsiaTheme="minorHAnsi" w:cs="Times New Roman"/>
          <w:sz w:val="20"/>
          <w:szCs w:val="20"/>
          <w14:ligatures w14:val="standardContextual"/>
        </w:rPr>
      </w:pPr>
      <w:r w:rsidRPr="00270A3D">
        <w:rPr>
          <w:sz w:val="20"/>
          <w:szCs w:val="20"/>
        </w:rPr>
        <w:t>El representante requirió que se aclare si</w:t>
      </w:r>
      <w:r w:rsidR="0014729B" w:rsidRPr="00270A3D">
        <w:rPr>
          <w:sz w:val="20"/>
          <w:szCs w:val="20"/>
        </w:rPr>
        <w:t>, a partir</w:t>
      </w:r>
      <w:r w:rsidRPr="00270A3D">
        <w:rPr>
          <w:sz w:val="20"/>
          <w:szCs w:val="20"/>
        </w:rPr>
        <w:t xml:space="preserve"> de la Sentencia</w:t>
      </w:r>
      <w:r w:rsidR="0014729B" w:rsidRPr="00270A3D">
        <w:rPr>
          <w:sz w:val="20"/>
          <w:szCs w:val="20"/>
        </w:rPr>
        <w:t>,</w:t>
      </w:r>
      <w:r w:rsidRPr="00270A3D">
        <w:rPr>
          <w:sz w:val="20"/>
          <w:szCs w:val="20"/>
        </w:rPr>
        <w:t xml:space="preserve"> </w:t>
      </w:r>
      <w:r w:rsidR="0014729B" w:rsidRPr="00270A3D">
        <w:rPr>
          <w:sz w:val="20"/>
          <w:szCs w:val="20"/>
        </w:rPr>
        <w:t>continúa vigente la sanción impuesta por el Tribunal de Disciplina y que determinó la desvinculación de la víctima del cargo de agente de policía que ejercía.</w:t>
      </w:r>
      <w:r w:rsidR="00966604" w:rsidRPr="00270A3D">
        <w:rPr>
          <w:sz w:val="20"/>
          <w:szCs w:val="20"/>
        </w:rPr>
        <w:t xml:space="preserve"> Agregó que, en caso de entender que la sanción continúa vigente, resultaría necesario ordenar al Estado que </w:t>
      </w:r>
      <w:r w:rsidR="00966604" w:rsidRPr="00270A3D">
        <w:rPr>
          <w:rFonts w:cs="Arial"/>
          <w:sz w:val="20"/>
          <w:szCs w:val="20"/>
        </w:rPr>
        <w:t>emita una “baja administrativa” con sustento en el Fallo de la Corte, en función de colocar a la víctima en la situación de un agente de policía que ha optado por su retiro voluntario.</w:t>
      </w:r>
    </w:p>
    <w:p w14:paraId="22D7EFF4" w14:textId="77777777" w:rsidR="00966604" w:rsidRPr="00270A3D" w:rsidRDefault="00966604" w:rsidP="00966604">
      <w:pPr>
        <w:pStyle w:val="Prrafodelista"/>
        <w:tabs>
          <w:tab w:val="left" w:pos="567"/>
        </w:tabs>
        <w:ind w:left="0" w:right="17"/>
        <w:rPr>
          <w:rFonts w:eastAsiaTheme="minorHAnsi" w:cs="Times New Roman"/>
          <w:sz w:val="20"/>
          <w:szCs w:val="20"/>
          <w14:ligatures w14:val="standardContextual"/>
        </w:rPr>
      </w:pPr>
    </w:p>
    <w:p w14:paraId="5180BED3" w14:textId="6FE3ED86" w:rsidR="00BE360E" w:rsidRPr="00270A3D" w:rsidRDefault="00966604" w:rsidP="00012EFC">
      <w:pPr>
        <w:pStyle w:val="Prrafodelista"/>
        <w:numPr>
          <w:ilvl w:val="0"/>
          <w:numId w:val="1"/>
        </w:numPr>
        <w:tabs>
          <w:tab w:val="left" w:pos="567"/>
        </w:tabs>
        <w:ind w:left="0" w:right="17" w:firstLine="0"/>
        <w:rPr>
          <w:sz w:val="20"/>
          <w:szCs w:val="20"/>
        </w:rPr>
      </w:pPr>
      <w:r w:rsidRPr="00270A3D">
        <w:rPr>
          <w:rFonts w:eastAsiaTheme="minorHAnsi" w:cs="Times New Roman"/>
          <w:sz w:val="20"/>
          <w:szCs w:val="20"/>
          <w14:ligatures w14:val="standardContextual"/>
        </w:rPr>
        <w:lastRenderedPageBreak/>
        <w:t xml:space="preserve">Al respecto, la Corte advierte que el representante se refiere en su solicitud de interpretación a aspectos que no fueron </w:t>
      </w:r>
      <w:r w:rsidR="00012EFC" w:rsidRPr="00270A3D">
        <w:rPr>
          <w:rFonts w:eastAsiaTheme="minorHAnsi" w:cs="Times New Roman"/>
          <w:sz w:val="20"/>
          <w:szCs w:val="20"/>
          <w14:ligatures w14:val="standardContextual"/>
        </w:rPr>
        <w:t>analizados en la Sentencia</w:t>
      </w:r>
      <w:r w:rsidRPr="00270A3D">
        <w:rPr>
          <w:rFonts w:eastAsiaTheme="minorHAnsi" w:cs="Times New Roman"/>
          <w:sz w:val="20"/>
          <w:szCs w:val="20"/>
          <w14:ligatures w14:val="standardContextual"/>
        </w:rPr>
        <w:t xml:space="preserve"> ante la inexistencia de planteamientos específicos durante el trámite del </w:t>
      </w:r>
      <w:r w:rsidR="00012EFC" w:rsidRPr="00270A3D">
        <w:rPr>
          <w:rFonts w:eastAsiaTheme="minorHAnsi" w:cs="Times New Roman"/>
          <w:sz w:val="20"/>
          <w:szCs w:val="20"/>
          <w14:ligatures w14:val="standardContextual"/>
        </w:rPr>
        <w:t>presente caso</w:t>
      </w:r>
      <w:r w:rsidRPr="00270A3D">
        <w:rPr>
          <w:rFonts w:eastAsiaTheme="minorHAnsi" w:cs="Times New Roman"/>
          <w:sz w:val="20"/>
          <w:szCs w:val="20"/>
          <w14:ligatures w14:val="standardContextual"/>
        </w:rPr>
        <w:t>. En efecto, el representante no for</w:t>
      </w:r>
      <w:r w:rsidR="00012EFC" w:rsidRPr="00270A3D">
        <w:rPr>
          <w:rFonts w:eastAsiaTheme="minorHAnsi" w:cs="Times New Roman"/>
          <w:sz w:val="20"/>
          <w:szCs w:val="20"/>
          <w14:ligatures w14:val="standardContextual"/>
        </w:rPr>
        <w:t xml:space="preserve">muló oportunamente, en la discusión procesal, una pretensión concreta en materia de reparaciones referida al tema cuya interpretación requiere, </w:t>
      </w:r>
      <w:bookmarkStart w:id="0" w:name="_Hlk144979736"/>
      <w:bookmarkStart w:id="1" w:name="_Hlk144979497"/>
      <w:r w:rsidR="00012EFC" w:rsidRPr="00270A3D">
        <w:rPr>
          <w:rFonts w:eastAsiaTheme="minorHAnsi" w:cs="Times New Roman"/>
          <w:sz w:val="20"/>
          <w:szCs w:val="20"/>
          <w14:ligatures w14:val="standardContextual"/>
        </w:rPr>
        <w:t>motivo por el cual no es factible</w:t>
      </w:r>
      <w:r w:rsidR="00F248E0">
        <w:rPr>
          <w:rFonts w:eastAsiaTheme="minorHAnsi" w:cs="Times New Roman"/>
          <w:sz w:val="20"/>
          <w:szCs w:val="20"/>
          <w14:ligatures w14:val="standardContextual"/>
        </w:rPr>
        <w:t xml:space="preserve"> un pronunciamiento</w:t>
      </w:r>
      <w:r w:rsidR="00012EFC" w:rsidRPr="00270A3D">
        <w:rPr>
          <w:rFonts w:eastAsiaTheme="minorHAnsi" w:cs="Times New Roman"/>
          <w:sz w:val="20"/>
          <w:szCs w:val="20"/>
          <w14:ligatures w14:val="standardContextual"/>
        </w:rPr>
        <w:t xml:space="preserve"> </w:t>
      </w:r>
      <w:r w:rsidR="00F248E0">
        <w:rPr>
          <w:rFonts w:eastAsiaTheme="minorHAnsi" w:cs="Times New Roman"/>
          <w:sz w:val="20"/>
          <w:szCs w:val="20"/>
          <w14:ligatures w14:val="standardContextual"/>
        </w:rPr>
        <w:t>por</w:t>
      </w:r>
      <w:r w:rsidR="00012EFC" w:rsidRPr="00270A3D">
        <w:rPr>
          <w:rFonts w:eastAsiaTheme="minorHAnsi" w:cs="Times New Roman"/>
          <w:sz w:val="20"/>
          <w:szCs w:val="20"/>
          <w14:ligatures w14:val="standardContextual"/>
        </w:rPr>
        <w:t xml:space="preserve"> este Tribunal</w:t>
      </w:r>
      <w:r w:rsidR="00264B8E">
        <w:rPr>
          <w:rFonts w:eastAsiaTheme="minorHAnsi" w:cs="Times New Roman"/>
          <w:sz w:val="20"/>
          <w:szCs w:val="20"/>
          <w14:ligatures w14:val="standardContextual"/>
        </w:rPr>
        <w:t xml:space="preserve"> </w:t>
      </w:r>
      <w:r w:rsidR="00012EFC" w:rsidRPr="00270A3D">
        <w:rPr>
          <w:rFonts w:eastAsiaTheme="minorHAnsi" w:cs="Times New Roman"/>
          <w:sz w:val="20"/>
          <w:szCs w:val="20"/>
          <w14:ligatures w14:val="standardContextual"/>
        </w:rPr>
        <w:t>en el sentido que ahora se intenta</w:t>
      </w:r>
      <w:bookmarkEnd w:id="0"/>
      <w:r w:rsidR="00012EFC" w:rsidRPr="00270A3D">
        <w:rPr>
          <w:rFonts w:eastAsiaTheme="minorHAnsi" w:cs="Times New Roman"/>
          <w:sz w:val="20"/>
          <w:szCs w:val="20"/>
          <w14:ligatures w14:val="standardContextual"/>
        </w:rPr>
        <w:t>.</w:t>
      </w:r>
      <w:bookmarkEnd w:id="1"/>
      <w:r w:rsidR="00012EFC" w:rsidRPr="00270A3D">
        <w:rPr>
          <w:rFonts w:eastAsiaTheme="minorHAnsi" w:cs="Times New Roman"/>
          <w:sz w:val="20"/>
          <w:szCs w:val="20"/>
          <w14:ligatures w14:val="standardContextual"/>
        </w:rPr>
        <w:t xml:space="preserve"> En consecuencia, se desestima la solicitud presentada.</w:t>
      </w:r>
    </w:p>
    <w:p w14:paraId="482EBC2B" w14:textId="77777777" w:rsidR="00EF6284" w:rsidRDefault="00EF6284" w:rsidP="00012EFC">
      <w:pPr>
        <w:pStyle w:val="Ttulo1"/>
        <w:ind w:left="0" w:right="17"/>
        <w:rPr>
          <w:rFonts w:cs="Arial"/>
          <w:w w:val="99"/>
        </w:rPr>
      </w:pPr>
    </w:p>
    <w:p w14:paraId="63692F42" w14:textId="5FC94A28" w:rsidR="00BE360E" w:rsidRPr="00BE360E" w:rsidRDefault="00BE360E" w:rsidP="00012EFC">
      <w:pPr>
        <w:pStyle w:val="Ttulo1"/>
        <w:ind w:left="0" w:right="17"/>
        <w:rPr>
          <w:rFonts w:cs="Arial"/>
        </w:rPr>
      </w:pPr>
      <w:r w:rsidRPr="00BE360E">
        <w:rPr>
          <w:rFonts w:cs="Arial"/>
          <w:w w:val="99"/>
        </w:rPr>
        <w:t>V</w:t>
      </w:r>
    </w:p>
    <w:p w14:paraId="5546CFD7" w14:textId="6AB500C8" w:rsidR="00BE360E" w:rsidRPr="00B73ECE" w:rsidRDefault="00BE360E" w:rsidP="00012EFC">
      <w:pPr>
        <w:jc w:val="center"/>
        <w:rPr>
          <w:rFonts w:cs="Arial"/>
          <w:sz w:val="20"/>
          <w:szCs w:val="20"/>
        </w:rPr>
      </w:pPr>
      <w:r w:rsidRPr="00B73ECE">
        <w:rPr>
          <w:rFonts w:cs="Arial"/>
          <w:b/>
          <w:sz w:val="20"/>
          <w:szCs w:val="20"/>
        </w:rPr>
        <w:t>PUNTOS RESOLUTIVOS</w:t>
      </w:r>
    </w:p>
    <w:p w14:paraId="0FE7525B" w14:textId="77777777" w:rsidR="00BE360E" w:rsidRPr="00B73ECE" w:rsidRDefault="00BE360E" w:rsidP="00012EFC">
      <w:pPr>
        <w:rPr>
          <w:sz w:val="20"/>
          <w:szCs w:val="20"/>
        </w:rPr>
      </w:pPr>
    </w:p>
    <w:p w14:paraId="247FAF9C" w14:textId="407FB88B" w:rsidR="00BE360E" w:rsidRPr="00B73ECE" w:rsidRDefault="00BE360E" w:rsidP="009F3496">
      <w:pPr>
        <w:pStyle w:val="Prrafodelista"/>
        <w:numPr>
          <w:ilvl w:val="0"/>
          <w:numId w:val="1"/>
        </w:numPr>
        <w:tabs>
          <w:tab w:val="left" w:pos="567"/>
        </w:tabs>
        <w:ind w:left="0" w:right="17" w:firstLine="0"/>
        <w:rPr>
          <w:sz w:val="20"/>
          <w:szCs w:val="20"/>
        </w:rPr>
      </w:pPr>
      <w:r w:rsidRPr="00B73ECE">
        <w:rPr>
          <w:sz w:val="20"/>
          <w:szCs w:val="20"/>
        </w:rPr>
        <w:t>Por tanto,</w:t>
      </w:r>
    </w:p>
    <w:p w14:paraId="6E8A5B45" w14:textId="77777777" w:rsidR="00BE360E" w:rsidRPr="00B73ECE" w:rsidRDefault="00BE360E" w:rsidP="00BE360E">
      <w:pPr>
        <w:pStyle w:val="Prrafodelista"/>
        <w:tabs>
          <w:tab w:val="left" w:pos="567"/>
        </w:tabs>
        <w:ind w:left="0" w:right="17"/>
        <w:rPr>
          <w:sz w:val="20"/>
          <w:szCs w:val="20"/>
        </w:rPr>
      </w:pPr>
    </w:p>
    <w:p w14:paraId="2D2B2086" w14:textId="77777777" w:rsidR="00BE360E" w:rsidRPr="00B73ECE" w:rsidRDefault="00BE360E" w:rsidP="00BE360E">
      <w:pPr>
        <w:pStyle w:val="Prrafodelista"/>
        <w:tabs>
          <w:tab w:val="left" w:pos="567"/>
        </w:tabs>
        <w:ind w:left="0" w:right="17"/>
        <w:rPr>
          <w:b/>
          <w:bCs/>
          <w:sz w:val="20"/>
          <w:szCs w:val="20"/>
        </w:rPr>
      </w:pPr>
      <w:r w:rsidRPr="00B73ECE">
        <w:rPr>
          <w:b/>
          <w:bCs/>
          <w:sz w:val="20"/>
          <w:szCs w:val="20"/>
        </w:rPr>
        <w:t xml:space="preserve">LA CORTE, </w:t>
      </w:r>
    </w:p>
    <w:p w14:paraId="04B9AF15" w14:textId="77777777" w:rsidR="00BE360E" w:rsidRPr="00B73ECE" w:rsidRDefault="00BE360E" w:rsidP="00BE360E">
      <w:pPr>
        <w:pStyle w:val="Prrafodelista"/>
        <w:tabs>
          <w:tab w:val="left" w:pos="567"/>
        </w:tabs>
        <w:ind w:left="0" w:right="17"/>
        <w:rPr>
          <w:sz w:val="20"/>
          <w:szCs w:val="20"/>
        </w:rPr>
      </w:pPr>
    </w:p>
    <w:p w14:paraId="260924DD" w14:textId="77777777" w:rsidR="00BE360E" w:rsidRPr="00B73ECE" w:rsidRDefault="00BE360E" w:rsidP="00BE360E">
      <w:pPr>
        <w:pStyle w:val="Prrafodelista"/>
        <w:tabs>
          <w:tab w:val="left" w:pos="567"/>
        </w:tabs>
        <w:ind w:left="0" w:right="17"/>
        <w:rPr>
          <w:sz w:val="20"/>
          <w:szCs w:val="20"/>
        </w:rPr>
      </w:pPr>
      <w:r w:rsidRPr="00B73ECE">
        <w:rPr>
          <w:sz w:val="20"/>
          <w:szCs w:val="20"/>
        </w:rPr>
        <w:t xml:space="preserve">de conformidad con el artículo 67 de la Convención Americana sobre Derechos Humanos y los artículos 31.3 y 68 del Reglamento, </w:t>
      </w:r>
    </w:p>
    <w:p w14:paraId="431FDE49" w14:textId="77777777" w:rsidR="00BE360E" w:rsidRPr="00B73ECE" w:rsidRDefault="00BE360E" w:rsidP="00BE360E">
      <w:pPr>
        <w:pStyle w:val="Prrafodelista"/>
        <w:tabs>
          <w:tab w:val="left" w:pos="567"/>
        </w:tabs>
        <w:ind w:left="0" w:right="17"/>
        <w:rPr>
          <w:sz w:val="20"/>
          <w:szCs w:val="20"/>
        </w:rPr>
      </w:pPr>
    </w:p>
    <w:p w14:paraId="55FCDE3C" w14:textId="77777777" w:rsidR="00BE360E" w:rsidRPr="00B73ECE" w:rsidRDefault="00BE360E" w:rsidP="00BE360E">
      <w:pPr>
        <w:pStyle w:val="Prrafodelista"/>
        <w:tabs>
          <w:tab w:val="left" w:pos="567"/>
        </w:tabs>
        <w:ind w:left="0" w:right="17"/>
        <w:rPr>
          <w:b/>
          <w:bCs/>
          <w:sz w:val="20"/>
          <w:szCs w:val="20"/>
        </w:rPr>
      </w:pPr>
      <w:r w:rsidRPr="00B73ECE">
        <w:rPr>
          <w:b/>
          <w:bCs/>
          <w:sz w:val="20"/>
          <w:szCs w:val="20"/>
        </w:rPr>
        <w:t xml:space="preserve">DECIDE: </w:t>
      </w:r>
    </w:p>
    <w:p w14:paraId="04C7EF64" w14:textId="77777777" w:rsidR="00BE360E" w:rsidRPr="00B73ECE" w:rsidRDefault="00BE360E" w:rsidP="00BE360E">
      <w:pPr>
        <w:pStyle w:val="Prrafodelista"/>
        <w:tabs>
          <w:tab w:val="left" w:pos="567"/>
        </w:tabs>
        <w:ind w:left="0" w:right="17"/>
        <w:rPr>
          <w:sz w:val="20"/>
          <w:szCs w:val="20"/>
        </w:rPr>
      </w:pPr>
    </w:p>
    <w:p w14:paraId="58909B3C" w14:textId="20B9CA50" w:rsidR="00BE360E" w:rsidRPr="00B73ECE" w:rsidRDefault="00BE360E" w:rsidP="00BE360E">
      <w:pPr>
        <w:pStyle w:val="Prrafodelista"/>
        <w:tabs>
          <w:tab w:val="left" w:pos="567"/>
        </w:tabs>
        <w:ind w:left="0" w:right="17"/>
        <w:rPr>
          <w:sz w:val="20"/>
          <w:szCs w:val="20"/>
        </w:rPr>
      </w:pPr>
      <w:r w:rsidRPr="00B73ECE">
        <w:rPr>
          <w:sz w:val="20"/>
          <w:szCs w:val="20"/>
        </w:rPr>
        <w:t xml:space="preserve">Por </w:t>
      </w:r>
      <w:r w:rsidR="00270A3D">
        <w:rPr>
          <w:sz w:val="20"/>
          <w:szCs w:val="20"/>
        </w:rPr>
        <w:t>unanimidad</w:t>
      </w:r>
      <w:r w:rsidRPr="00B73ECE">
        <w:rPr>
          <w:sz w:val="20"/>
          <w:szCs w:val="20"/>
        </w:rPr>
        <w:t xml:space="preserve">, </w:t>
      </w:r>
    </w:p>
    <w:p w14:paraId="24B721B2" w14:textId="77777777" w:rsidR="00BE360E" w:rsidRPr="00B73ECE" w:rsidRDefault="00BE360E" w:rsidP="00BE360E">
      <w:pPr>
        <w:pStyle w:val="Prrafodelista"/>
        <w:tabs>
          <w:tab w:val="left" w:pos="567"/>
        </w:tabs>
        <w:ind w:left="0" w:right="17"/>
        <w:rPr>
          <w:sz w:val="20"/>
          <w:szCs w:val="20"/>
        </w:rPr>
      </w:pPr>
    </w:p>
    <w:p w14:paraId="795E3750" w14:textId="77777777" w:rsidR="00BE360E" w:rsidRPr="00B73ECE" w:rsidRDefault="00BE360E" w:rsidP="00BE360E">
      <w:pPr>
        <w:pStyle w:val="Prrafodelista"/>
        <w:numPr>
          <w:ilvl w:val="0"/>
          <w:numId w:val="2"/>
        </w:numPr>
        <w:tabs>
          <w:tab w:val="left" w:pos="567"/>
        </w:tabs>
        <w:ind w:left="0" w:right="17" w:firstLine="0"/>
        <w:rPr>
          <w:sz w:val="20"/>
          <w:szCs w:val="20"/>
        </w:rPr>
      </w:pPr>
      <w:r w:rsidRPr="00B73ECE">
        <w:rPr>
          <w:sz w:val="20"/>
          <w:szCs w:val="20"/>
        </w:rPr>
        <w:t xml:space="preserve">Declarar admisible la solicitud de interpretación de la Sentencia de Excepción Preliminar, Fondo, Reparaciones y Costas emitida en el </w:t>
      </w:r>
      <w:r w:rsidRPr="00B73ECE">
        <w:rPr>
          <w:i/>
          <w:sz w:val="20"/>
          <w:szCs w:val="20"/>
        </w:rPr>
        <w:t>Caso Mina Cuero Vs. Ecuador</w:t>
      </w:r>
      <w:r w:rsidRPr="00B73ECE">
        <w:rPr>
          <w:sz w:val="20"/>
          <w:szCs w:val="20"/>
        </w:rPr>
        <w:t>, presentada por el representante, en los términos del párrafo 7 de la presente Sentencia de Interpretación.</w:t>
      </w:r>
    </w:p>
    <w:p w14:paraId="0B55BA24" w14:textId="77777777" w:rsidR="00BE360E" w:rsidRPr="00B73ECE" w:rsidRDefault="00BE360E" w:rsidP="00BE360E">
      <w:pPr>
        <w:pStyle w:val="Prrafodelista"/>
        <w:tabs>
          <w:tab w:val="left" w:pos="567"/>
        </w:tabs>
        <w:ind w:left="0" w:right="17"/>
        <w:rPr>
          <w:sz w:val="20"/>
          <w:szCs w:val="20"/>
        </w:rPr>
      </w:pPr>
    </w:p>
    <w:p w14:paraId="416DE236" w14:textId="747EEF73" w:rsidR="00BE360E" w:rsidRPr="00270A3D" w:rsidRDefault="00BE360E" w:rsidP="00BE360E">
      <w:pPr>
        <w:pStyle w:val="Prrafodelista"/>
        <w:numPr>
          <w:ilvl w:val="0"/>
          <w:numId w:val="2"/>
        </w:numPr>
        <w:tabs>
          <w:tab w:val="left" w:pos="567"/>
        </w:tabs>
        <w:ind w:left="0" w:right="17" w:firstLine="0"/>
        <w:rPr>
          <w:sz w:val="20"/>
          <w:szCs w:val="20"/>
        </w:rPr>
      </w:pPr>
      <w:r w:rsidRPr="00270A3D">
        <w:rPr>
          <w:sz w:val="20"/>
          <w:szCs w:val="20"/>
        </w:rPr>
        <w:t xml:space="preserve">Desestimar, por improcedente, la solicitud de interpretación de la Sentencia de Excepción Preliminar, Fondo, Reparaciones y Costas emitida en el </w:t>
      </w:r>
      <w:r w:rsidRPr="00270A3D">
        <w:rPr>
          <w:i/>
          <w:sz w:val="20"/>
          <w:szCs w:val="20"/>
        </w:rPr>
        <w:t>Caso Mina Cuero Vs. Ecuador</w:t>
      </w:r>
      <w:r w:rsidRPr="00270A3D">
        <w:rPr>
          <w:sz w:val="20"/>
          <w:szCs w:val="20"/>
        </w:rPr>
        <w:t>, presentada por el representante, en los términos de los párrafos 16 a 18</w:t>
      </w:r>
      <w:r w:rsidR="00115FCF" w:rsidRPr="00270A3D">
        <w:rPr>
          <w:sz w:val="20"/>
          <w:szCs w:val="20"/>
        </w:rPr>
        <w:t xml:space="preserve"> y 23 </w:t>
      </w:r>
      <w:r w:rsidR="008A3E2B">
        <w:rPr>
          <w:sz w:val="20"/>
          <w:szCs w:val="20"/>
        </w:rPr>
        <w:t>a</w:t>
      </w:r>
      <w:r w:rsidR="008A3E2B" w:rsidRPr="00270A3D">
        <w:rPr>
          <w:sz w:val="20"/>
          <w:szCs w:val="20"/>
        </w:rPr>
        <w:t xml:space="preserve"> </w:t>
      </w:r>
      <w:r w:rsidR="00115FCF" w:rsidRPr="00270A3D">
        <w:rPr>
          <w:sz w:val="20"/>
          <w:szCs w:val="20"/>
        </w:rPr>
        <w:t>24</w:t>
      </w:r>
      <w:r w:rsidRPr="00270A3D">
        <w:rPr>
          <w:sz w:val="20"/>
          <w:szCs w:val="20"/>
        </w:rPr>
        <w:t xml:space="preserve"> de la presente Sentencia de Interpretación.</w:t>
      </w:r>
    </w:p>
    <w:p w14:paraId="2F8C13DA" w14:textId="77777777" w:rsidR="00BE360E" w:rsidRPr="00B73ECE" w:rsidRDefault="00BE360E" w:rsidP="00BE360E">
      <w:pPr>
        <w:pStyle w:val="Prrafodelista"/>
        <w:rPr>
          <w:sz w:val="20"/>
          <w:szCs w:val="20"/>
        </w:rPr>
      </w:pPr>
    </w:p>
    <w:p w14:paraId="16F1E130" w14:textId="082AD63F" w:rsidR="009215D0" w:rsidRPr="00B73ECE" w:rsidRDefault="00BE360E" w:rsidP="00BE360E">
      <w:pPr>
        <w:pStyle w:val="Prrafodelista"/>
        <w:numPr>
          <w:ilvl w:val="0"/>
          <w:numId w:val="2"/>
        </w:numPr>
        <w:tabs>
          <w:tab w:val="left" w:pos="567"/>
        </w:tabs>
        <w:ind w:left="0" w:right="17" w:firstLine="0"/>
        <w:rPr>
          <w:sz w:val="20"/>
          <w:szCs w:val="20"/>
        </w:rPr>
      </w:pPr>
      <w:r w:rsidRPr="00B73ECE">
        <w:rPr>
          <w:sz w:val="20"/>
          <w:szCs w:val="20"/>
        </w:rPr>
        <w:t xml:space="preserve">Disponer que la Secretaría de la Corte notifique la presente Sentencia de Interpretación a la República del </w:t>
      </w:r>
      <w:r w:rsidR="00B73ECE" w:rsidRPr="00B73ECE">
        <w:rPr>
          <w:sz w:val="20"/>
          <w:szCs w:val="20"/>
        </w:rPr>
        <w:t>Ecuador</w:t>
      </w:r>
      <w:r w:rsidRPr="00B73ECE">
        <w:rPr>
          <w:sz w:val="20"/>
          <w:szCs w:val="20"/>
        </w:rPr>
        <w:t>, al representante de la víctima y a la Comisión Interamericana de Derechos Humanos.</w:t>
      </w:r>
    </w:p>
    <w:p w14:paraId="0C0A3DC8" w14:textId="77777777" w:rsidR="009215D0" w:rsidRPr="00B73ECE" w:rsidRDefault="009215D0" w:rsidP="00485C23">
      <w:pPr>
        <w:tabs>
          <w:tab w:val="left" w:pos="567"/>
        </w:tabs>
        <w:ind w:right="17"/>
        <w:rPr>
          <w:rFonts w:cs="Arial"/>
          <w:sz w:val="20"/>
          <w:szCs w:val="20"/>
        </w:rPr>
      </w:pPr>
    </w:p>
    <w:p w14:paraId="6D4C3068" w14:textId="77777777" w:rsidR="00B73ECE" w:rsidRPr="00B73ECE" w:rsidRDefault="00B73ECE" w:rsidP="00485C23">
      <w:pPr>
        <w:tabs>
          <w:tab w:val="left" w:pos="567"/>
        </w:tabs>
        <w:ind w:right="17"/>
        <w:rPr>
          <w:rFonts w:cs="Arial"/>
          <w:sz w:val="20"/>
          <w:szCs w:val="20"/>
        </w:rPr>
      </w:pPr>
    </w:p>
    <w:p w14:paraId="0F738EA6" w14:textId="77777777" w:rsidR="00B73ECE" w:rsidRPr="00B73ECE" w:rsidRDefault="00B73ECE" w:rsidP="00485C23">
      <w:pPr>
        <w:tabs>
          <w:tab w:val="left" w:pos="567"/>
        </w:tabs>
        <w:ind w:right="17"/>
        <w:rPr>
          <w:rFonts w:cs="Arial"/>
          <w:sz w:val="20"/>
          <w:szCs w:val="20"/>
        </w:rPr>
      </w:pPr>
    </w:p>
    <w:p w14:paraId="6D64E426" w14:textId="77777777" w:rsidR="00B73ECE" w:rsidRPr="00B73ECE" w:rsidRDefault="00B73ECE" w:rsidP="00485C23">
      <w:pPr>
        <w:tabs>
          <w:tab w:val="left" w:pos="567"/>
        </w:tabs>
        <w:ind w:right="17"/>
        <w:rPr>
          <w:rFonts w:cs="Arial"/>
          <w:sz w:val="20"/>
          <w:szCs w:val="20"/>
        </w:rPr>
      </w:pPr>
    </w:p>
    <w:p w14:paraId="2FAFDBDD" w14:textId="77777777" w:rsidR="00B73ECE" w:rsidRPr="00B73ECE" w:rsidRDefault="00B73ECE" w:rsidP="00485C23">
      <w:pPr>
        <w:tabs>
          <w:tab w:val="left" w:pos="567"/>
        </w:tabs>
        <w:ind w:right="17"/>
        <w:rPr>
          <w:rFonts w:cs="Arial"/>
          <w:sz w:val="20"/>
          <w:szCs w:val="20"/>
        </w:rPr>
      </w:pPr>
    </w:p>
    <w:p w14:paraId="74F56F39" w14:textId="77777777" w:rsidR="00B73ECE" w:rsidRPr="00B73ECE" w:rsidRDefault="00B73ECE" w:rsidP="00485C23">
      <w:pPr>
        <w:tabs>
          <w:tab w:val="left" w:pos="567"/>
        </w:tabs>
        <w:ind w:right="17"/>
        <w:rPr>
          <w:rFonts w:cs="Arial"/>
          <w:sz w:val="20"/>
          <w:szCs w:val="20"/>
        </w:rPr>
      </w:pPr>
    </w:p>
    <w:p w14:paraId="79409230" w14:textId="77777777" w:rsidR="00B73ECE" w:rsidRPr="00B73ECE" w:rsidRDefault="00B73ECE" w:rsidP="00485C23">
      <w:pPr>
        <w:tabs>
          <w:tab w:val="left" w:pos="567"/>
        </w:tabs>
        <w:ind w:right="17"/>
        <w:rPr>
          <w:rFonts w:cs="Arial"/>
          <w:sz w:val="20"/>
          <w:szCs w:val="20"/>
        </w:rPr>
      </w:pPr>
    </w:p>
    <w:p w14:paraId="3FC1E2F1" w14:textId="77777777" w:rsidR="00B73ECE" w:rsidRPr="00B73ECE" w:rsidRDefault="00B73ECE" w:rsidP="00485C23">
      <w:pPr>
        <w:tabs>
          <w:tab w:val="left" w:pos="567"/>
        </w:tabs>
        <w:ind w:right="17"/>
        <w:rPr>
          <w:rFonts w:cs="Arial"/>
          <w:sz w:val="20"/>
          <w:szCs w:val="20"/>
        </w:rPr>
      </w:pPr>
    </w:p>
    <w:p w14:paraId="10C6A4F6" w14:textId="77777777" w:rsidR="00B73ECE" w:rsidRPr="00B73ECE" w:rsidRDefault="00B73ECE" w:rsidP="00485C23">
      <w:pPr>
        <w:tabs>
          <w:tab w:val="left" w:pos="567"/>
        </w:tabs>
        <w:ind w:right="17"/>
        <w:rPr>
          <w:rFonts w:cs="Arial"/>
          <w:sz w:val="20"/>
          <w:szCs w:val="20"/>
        </w:rPr>
      </w:pPr>
    </w:p>
    <w:p w14:paraId="081792F2" w14:textId="77777777" w:rsidR="00B73ECE" w:rsidRPr="00B73ECE" w:rsidRDefault="00B73ECE" w:rsidP="00485C23">
      <w:pPr>
        <w:tabs>
          <w:tab w:val="left" w:pos="567"/>
        </w:tabs>
        <w:ind w:right="17"/>
        <w:rPr>
          <w:rFonts w:cs="Arial"/>
          <w:sz w:val="20"/>
          <w:szCs w:val="20"/>
        </w:rPr>
      </w:pPr>
    </w:p>
    <w:p w14:paraId="6E235EC9" w14:textId="77777777" w:rsidR="00B73ECE" w:rsidRPr="00B73ECE" w:rsidRDefault="00B73ECE" w:rsidP="00485C23">
      <w:pPr>
        <w:tabs>
          <w:tab w:val="left" w:pos="567"/>
        </w:tabs>
        <w:ind w:right="17"/>
        <w:rPr>
          <w:rFonts w:cs="Arial"/>
          <w:sz w:val="20"/>
          <w:szCs w:val="20"/>
        </w:rPr>
      </w:pPr>
    </w:p>
    <w:p w14:paraId="15347388" w14:textId="77777777" w:rsidR="00B73ECE" w:rsidRPr="00B73ECE" w:rsidRDefault="00B73ECE" w:rsidP="00485C23">
      <w:pPr>
        <w:tabs>
          <w:tab w:val="left" w:pos="567"/>
        </w:tabs>
        <w:ind w:right="17"/>
        <w:rPr>
          <w:rFonts w:cs="Arial"/>
          <w:sz w:val="20"/>
          <w:szCs w:val="20"/>
        </w:rPr>
      </w:pPr>
    </w:p>
    <w:p w14:paraId="0F25B1E7" w14:textId="77777777" w:rsidR="00B73ECE" w:rsidRPr="00B73ECE" w:rsidRDefault="00B73ECE" w:rsidP="00485C23">
      <w:pPr>
        <w:tabs>
          <w:tab w:val="left" w:pos="567"/>
        </w:tabs>
        <w:ind w:right="17"/>
        <w:rPr>
          <w:rFonts w:cs="Arial"/>
          <w:sz w:val="20"/>
          <w:szCs w:val="20"/>
        </w:rPr>
      </w:pPr>
    </w:p>
    <w:p w14:paraId="46F0CD60" w14:textId="77777777" w:rsidR="00B73ECE" w:rsidRPr="00B73ECE" w:rsidRDefault="00B73ECE" w:rsidP="00485C23">
      <w:pPr>
        <w:tabs>
          <w:tab w:val="left" w:pos="567"/>
        </w:tabs>
        <w:ind w:right="17"/>
        <w:rPr>
          <w:rFonts w:cs="Arial"/>
          <w:sz w:val="20"/>
          <w:szCs w:val="20"/>
        </w:rPr>
      </w:pPr>
    </w:p>
    <w:p w14:paraId="6B1A2DC4" w14:textId="77777777" w:rsidR="00B73ECE" w:rsidRPr="00B73ECE" w:rsidRDefault="00B73ECE" w:rsidP="00485C23">
      <w:pPr>
        <w:tabs>
          <w:tab w:val="left" w:pos="567"/>
        </w:tabs>
        <w:ind w:right="17"/>
        <w:rPr>
          <w:rFonts w:cs="Arial"/>
          <w:sz w:val="20"/>
          <w:szCs w:val="20"/>
        </w:rPr>
      </w:pPr>
    </w:p>
    <w:p w14:paraId="3C5C5943" w14:textId="77777777" w:rsidR="00B73ECE" w:rsidRPr="00B73ECE" w:rsidRDefault="00B73ECE" w:rsidP="00485C23">
      <w:pPr>
        <w:tabs>
          <w:tab w:val="left" w:pos="567"/>
        </w:tabs>
        <w:ind w:right="17"/>
        <w:rPr>
          <w:rFonts w:cs="Arial"/>
          <w:sz w:val="20"/>
          <w:szCs w:val="20"/>
        </w:rPr>
      </w:pPr>
    </w:p>
    <w:p w14:paraId="517C0AFE" w14:textId="77777777" w:rsidR="00B73ECE" w:rsidRPr="00B73ECE" w:rsidRDefault="00B73ECE" w:rsidP="00485C23">
      <w:pPr>
        <w:tabs>
          <w:tab w:val="left" w:pos="567"/>
        </w:tabs>
        <w:ind w:right="17"/>
        <w:rPr>
          <w:rFonts w:cs="Arial"/>
          <w:sz w:val="20"/>
          <w:szCs w:val="20"/>
        </w:rPr>
      </w:pPr>
    </w:p>
    <w:p w14:paraId="12E63A1C" w14:textId="77777777" w:rsidR="00B73ECE" w:rsidRPr="00B73ECE" w:rsidRDefault="00B73ECE" w:rsidP="00485C23">
      <w:pPr>
        <w:tabs>
          <w:tab w:val="left" w:pos="567"/>
        </w:tabs>
        <w:ind w:right="17"/>
        <w:rPr>
          <w:rFonts w:cs="Arial"/>
          <w:sz w:val="20"/>
          <w:szCs w:val="20"/>
        </w:rPr>
      </w:pPr>
    </w:p>
    <w:p w14:paraId="09EA7550" w14:textId="77777777" w:rsidR="00B73ECE" w:rsidRPr="00B73ECE" w:rsidRDefault="00B73ECE" w:rsidP="00485C23">
      <w:pPr>
        <w:tabs>
          <w:tab w:val="left" w:pos="567"/>
        </w:tabs>
        <w:ind w:right="17"/>
        <w:rPr>
          <w:rFonts w:cs="Arial"/>
          <w:sz w:val="20"/>
          <w:szCs w:val="20"/>
        </w:rPr>
      </w:pPr>
    </w:p>
    <w:p w14:paraId="016B4587" w14:textId="0BFB4827" w:rsidR="00B73ECE" w:rsidRPr="00172AB7" w:rsidRDefault="00B73ECE" w:rsidP="00B73ECE">
      <w:pPr>
        <w:tabs>
          <w:tab w:val="left" w:pos="567"/>
        </w:tabs>
        <w:ind w:right="17"/>
        <w:jc w:val="both"/>
        <w:rPr>
          <w:sz w:val="20"/>
          <w:szCs w:val="20"/>
        </w:rPr>
      </w:pPr>
      <w:bookmarkStart w:id="2" w:name="_Hlk144981590"/>
      <w:r w:rsidRPr="00172AB7">
        <w:rPr>
          <w:sz w:val="20"/>
          <w:szCs w:val="20"/>
        </w:rPr>
        <w:lastRenderedPageBreak/>
        <w:t xml:space="preserve">Corte IDH. </w:t>
      </w:r>
      <w:r w:rsidRPr="00172AB7">
        <w:rPr>
          <w:i/>
          <w:sz w:val="20"/>
          <w:szCs w:val="20"/>
        </w:rPr>
        <w:t>Caso Mina Cuero Vs. Ecuador</w:t>
      </w:r>
      <w:r w:rsidRPr="00172AB7">
        <w:rPr>
          <w:sz w:val="20"/>
          <w:szCs w:val="20"/>
        </w:rPr>
        <w:t xml:space="preserve">. </w:t>
      </w:r>
      <w:r w:rsidRPr="00172AB7">
        <w:rPr>
          <w:i/>
          <w:sz w:val="20"/>
          <w:szCs w:val="20"/>
        </w:rPr>
        <w:t>Interpretación de la Sentencia de Excepción Preliminar, Fondo, Reparaciones y Costas</w:t>
      </w:r>
      <w:r w:rsidRPr="00172AB7">
        <w:rPr>
          <w:sz w:val="20"/>
          <w:szCs w:val="20"/>
        </w:rPr>
        <w:t xml:space="preserve">. Sentencia de </w:t>
      </w:r>
      <w:r w:rsidR="00270A3D" w:rsidRPr="00172AB7">
        <w:rPr>
          <w:sz w:val="20"/>
          <w:szCs w:val="20"/>
        </w:rPr>
        <w:t>30</w:t>
      </w:r>
      <w:r w:rsidRPr="00172AB7">
        <w:rPr>
          <w:sz w:val="20"/>
          <w:szCs w:val="20"/>
        </w:rPr>
        <w:t xml:space="preserve"> de </w:t>
      </w:r>
      <w:r w:rsidR="00270A3D" w:rsidRPr="00172AB7">
        <w:rPr>
          <w:sz w:val="20"/>
          <w:szCs w:val="20"/>
        </w:rPr>
        <w:t>agosto</w:t>
      </w:r>
      <w:r w:rsidRPr="00172AB7">
        <w:rPr>
          <w:sz w:val="20"/>
          <w:szCs w:val="20"/>
        </w:rPr>
        <w:t xml:space="preserve"> de 2023.</w:t>
      </w:r>
    </w:p>
    <w:p w14:paraId="4A421ED7" w14:textId="77777777" w:rsidR="00172AB7" w:rsidRPr="00172AB7" w:rsidRDefault="00172AB7" w:rsidP="00B73ECE">
      <w:pPr>
        <w:tabs>
          <w:tab w:val="left" w:pos="567"/>
        </w:tabs>
        <w:ind w:right="17"/>
        <w:jc w:val="both"/>
        <w:rPr>
          <w:sz w:val="20"/>
          <w:szCs w:val="20"/>
        </w:rPr>
      </w:pPr>
    </w:p>
    <w:p w14:paraId="292BE759" w14:textId="77777777" w:rsidR="00172AB7" w:rsidRPr="00172AB7" w:rsidRDefault="00172AB7" w:rsidP="00B73ECE">
      <w:pPr>
        <w:tabs>
          <w:tab w:val="left" w:pos="567"/>
        </w:tabs>
        <w:ind w:right="17"/>
        <w:jc w:val="both"/>
        <w:rPr>
          <w:sz w:val="20"/>
          <w:szCs w:val="20"/>
        </w:rPr>
      </w:pPr>
    </w:p>
    <w:p w14:paraId="0F3FB632" w14:textId="77777777" w:rsidR="00172AB7" w:rsidRPr="00172AB7" w:rsidRDefault="00172AB7" w:rsidP="00B73ECE">
      <w:pPr>
        <w:tabs>
          <w:tab w:val="left" w:pos="567"/>
        </w:tabs>
        <w:ind w:right="17"/>
        <w:jc w:val="both"/>
        <w:rPr>
          <w:sz w:val="20"/>
          <w:szCs w:val="20"/>
        </w:rPr>
      </w:pPr>
    </w:p>
    <w:p w14:paraId="7495685D" w14:textId="77777777" w:rsidR="00172AB7" w:rsidRPr="00172AB7" w:rsidRDefault="00172AB7" w:rsidP="00172AB7">
      <w:pPr>
        <w:jc w:val="center"/>
        <w:rPr>
          <w:sz w:val="20"/>
          <w:szCs w:val="20"/>
        </w:rPr>
      </w:pPr>
      <w:r w:rsidRPr="00172AB7">
        <w:rPr>
          <w:sz w:val="20"/>
          <w:szCs w:val="20"/>
        </w:rPr>
        <w:t>Ricardo C. Pérez Manrique</w:t>
      </w:r>
    </w:p>
    <w:p w14:paraId="22D1BCEF" w14:textId="77777777" w:rsidR="00172AB7" w:rsidRPr="00FC54D4" w:rsidRDefault="00172AB7" w:rsidP="00172AB7">
      <w:pPr>
        <w:jc w:val="center"/>
        <w:rPr>
          <w:sz w:val="20"/>
          <w:szCs w:val="20"/>
        </w:rPr>
      </w:pPr>
      <w:r w:rsidRPr="00FC54D4">
        <w:rPr>
          <w:sz w:val="20"/>
          <w:szCs w:val="20"/>
        </w:rPr>
        <w:t>Presidente</w:t>
      </w:r>
    </w:p>
    <w:p w14:paraId="6349EE1F" w14:textId="77777777" w:rsidR="00172AB7" w:rsidRPr="00FC54D4" w:rsidRDefault="00172AB7" w:rsidP="00172AB7">
      <w:pPr>
        <w:jc w:val="center"/>
        <w:rPr>
          <w:sz w:val="20"/>
          <w:szCs w:val="20"/>
        </w:rPr>
      </w:pPr>
    </w:p>
    <w:p w14:paraId="2640F82D" w14:textId="77777777" w:rsidR="00172AB7" w:rsidRPr="00FC54D4" w:rsidRDefault="00172AB7" w:rsidP="00172AB7">
      <w:pPr>
        <w:jc w:val="center"/>
        <w:rPr>
          <w:sz w:val="20"/>
          <w:szCs w:val="20"/>
        </w:rPr>
      </w:pPr>
    </w:p>
    <w:p w14:paraId="257D92D1" w14:textId="77777777" w:rsidR="00172AB7" w:rsidRPr="00FC54D4" w:rsidRDefault="00172AB7" w:rsidP="00172AB7">
      <w:pPr>
        <w:rPr>
          <w:sz w:val="20"/>
          <w:szCs w:val="20"/>
        </w:rPr>
      </w:pPr>
    </w:p>
    <w:p w14:paraId="5D7625CE" w14:textId="2051EF47" w:rsidR="00172AB7" w:rsidRPr="00FC54D4" w:rsidRDefault="00172AB7" w:rsidP="00172AB7">
      <w:pPr>
        <w:rPr>
          <w:sz w:val="20"/>
          <w:szCs w:val="20"/>
        </w:rPr>
      </w:pPr>
      <w:r w:rsidRPr="00FC54D4">
        <w:rPr>
          <w:sz w:val="20"/>
          <w:szCs w:val="20"/>
        </w:rPr>
        <w:t>Eduardo Ferrer Mac-Gregor Poisot</w:t>
      </w:r>
      <w:r w:rsidRPr="00FC54D4">
        <w:rPr>
          <w:noProof/>
          <w:sz w:val="20"/>
          <w:szCs w:val="20"/>
        </w:rPr>
        <w:t xml:space="preserve"> </w:t>
      </w:r>
      <w:r w:rsidRPr="00FC54D4">
        <w:rPr>
          <w:sz w:val="20"/>
          <w:szCs w:val="20"/>
        </w:rPr>
        <w:tab/>
      </w:r>
      <w:r w:rsidRPr="00FC54D4">
        <w:rPr>
          <w:sz w:val="20"/>
          <w:szCs w:val="20"/>
        </w:rPr>
        <w:tab/>
      </w:r>
      <w:r w:rsidRPr="00FC54D4">
        <w:rPr>
          <w:sz w:val="20"/>
          <w:szCs w:val="20"/>
        </w:rPr>
        <w:tab/>
        <w:t xml:space="preserve">          Humberto Antonio Sierra Porto</w:t>
      </w:r>
    </w:p>
    <w:p w14:paraId="18952D6D" w14:textId="77777777" w:rsidR="00172AB7" w:rsidRPr="00FC54D4" w:rsidRDefault="00172AB7" w:rsidP="00172AB7">
      <w:pPr>
        <w:rPr>
          <w:sz w:val="20"/>
          <w:szCs w:val="20"/>
        </w:rPr>
      </w:pPr>
    </w:p>
    <w:p w14:paraId="2DFC5D0E" w14:textId="77777777" w:rsidR="00172AB7" w:rsidRPr="00FC54D4" w:rsidRDefault="00172AB7" w:rsidP="00172AB7">
      <w:pPr>
        <w:rPr>
          <w:sz w:val="20"/>
          <w:szCs w:val="20"/>
        </w:rPr>
      </w:pPr>
    </w:p>
    <w:p w14:paraId="458AAD3D" w14:textId="77777777" w:rsidR="00172AB7" w:rsidRPr="00FC54D4" w:rsidRDefault="00172AB7" w:rsidP="00172AB7">
      <w:pPr>
        <w:rPr>
          <w:sz w:val="20"/>
          <w:szCs w:val="20"/>
        </w:rPr>
      </w:pPr>
    </w:p>
    <w:p w14:paraId="7424DE1D" w14:textId="77777777" w:rsidR="00172AB7" w:rsidRPr="00FC54D4" w:rsidRDefault="00172AB7" w:rsidP="00172AB7">
      <w:pPr>
        <w:rPr>
          <w:sz w:val="20"/>
          <w:szCs w:val="20"/>
        </w:rPr>
      </w:pPr>
    </w:p>
    <w:p w14:paraId="456A0063" w14:textId="77777777" w:rsidR="00172AB7" w:rsidRPr="00FC54D4" w:rsidRDefault="00172AB7" w:rsidP="00172AB7">
      <w:pPr>
        <w:rPr>
          <w:sz w:val="20"/>
          <w:szCs w:val="20"/>
        </w:rPr>
      </w:pPr>
      <w:r w:rsidRPr="00FC54D4">
        <w:rPr>
          <w:sz w:val="20"/>
          <w:szCs w:val="20"/>
        </w:rPr>
        <w:t>Nancy Hernández López</w:t>
      </w:r>
      <w:r w:rsidRPr="00FC54D4">
        <w:rPr>
          <w:sz w:val="20"/>
          <w:szCs w:val="20"/>
        </w:rPr>
        <w:tab/>
      </w:r>
      <w:r w:rsidRPr="00FC54D4">
        <w:rPr>
          <w:sz w:val="20"/>
          <w:szCs w:val="20"/>
        </w:rPr>
        <w:tab/>
      </w:r>
      <w:r w:rsidRPr="00FC54D4">
        <w:rPr>
          <w:sz w:val="20"/>
          <w:szCs w:val="20"/>
        </w:rPr>
        <w:tab/>
      </w:r>
      <w:r w:rsidRPr="00FC54D4">
        <w:rPr>
          <w:sz w:val="20"/>
          <w:szCs w:val="20"/>
        </w:rPr>
        <w:tab/>
        <w:t xml:space="preserve">  </w:t>
      </w:r>
      <w:r w:rsidRPr="00FC54D4">
        <w:rPr>
          <w:sz w:val="20"/>
          <w:szCs w:val="20"/>
        </w:rPr>
        <w:tab/>
      </w:r>
      <w:r w:rsidRPr="00FC54D4">
        <w:rPr>
          <w:sz w:val="20"/>
          <w:szCs w:val="20"/>
        </w:rPr>
        <w:tab/>
      </w:r>
      <w:r w:rsidRPr="00FC54D4">
        <w:rPr>
          <w:sz w:val="20"/>
          <w:szCs w:val="20"/>
        </w:rPr>
        <w:tab/>
        <w:t xml:space="preserve">Verónica Gómez                                                  </w:t>
      </w:r>
    </w:p>
    <w:p w14:paraId="0E9DA791" w14:textId="77777777" w:rsidR="00172AB7" w:rsidRPr="00FC54D4" w:rsidRDefault="00172AB7" w:rsidP="00172AB7">
      <w:pPr>
        <w:rPr>
          <w:sz w:val="20"/>
          <w:szCs w:val="20"/>
        </w:rPr>
      </w:pPr>
    </w:p>
    <w:p w14:paraId="513211BC" w14:textId="77777777" w:rsidR="00172AB7" w:rsidRPr="00FC54D4" w:rsidRDefault="00172AB7" w:rsidP="00172AB7">
      <w:pPr>
        <w:rPr>
          <w:sz w:val="20"/>
          <w:szCs w:val="20"/>
        </w:rPr>
      </w:pPr>
    </w:p>
    <w:p w14:paraId="08DF2BA6" w14:textId="77777777" w:rsidR="00172AB7" w:rsidRPr="00FC54D4" w:rsidRDefault="00172AB7" w:rsidP="00172AB7">
      <w:pPr>
        <w:rPr>
          <w:sz w:val="20"/>
          <w:szCs w:val="20"/>
        </w:rPr>
      </w:pPr>
    </w:p>
    <w:p w14:paraId="749A2451" w14:textId="77777777" w:rsidR="00172AB7" w:rsidRPr="00FC54D4" w:rsidRDefault="00172AB7" w:rsidP="00172AB7">
      <w:pPr>
        <w:rPr>
          <w:sz w:val="20"/>
          <w:szCs w:val="20"/>
        </w:rPr>
      </w:pPr>
    </w:p>
    <w:p w14:paraId="58702D49" w14:textId="35859C24" w:rsidR="00172AB7" w:rsidRPr="00FC54D4" w:rsidRDefault="00172AB7" w:rsidP="00172AB7">
      <w:pPr>
        <w:rPr>
          <w:sz w:val="20"/>
          <w:szCs w:val="20"/>
        </w:rPr>
      </w:pPr>
      <w:r w:rsidRPr="00FC54D4">
        <w:rPr>
          <w:sz w:val="20"/>
          <w:szCs w:val="20"/>
        </w:rPr>
        <w:t>Patricia Pérez Goldberg</w:t>
      </w:r>
      <w:r w:rsidRPr="00FC54D4">
        <w:rPr>
          <w:sz w:val="20"/>
          <w:szCs w:val="20"/>
        </w:rPr>
        <w:tab/>
      </w:r>
      <w:r w:rsidRPr="00FC54D4">
        <w:rPr>
          <w:sz w:val="20"/>
          <w:szCs w:val="20"/>
        </w:rPr>
        <w:tab/>
      </w:r>
      <w:r w:rsidRPr="00FC54D4">
        <w:rPr>
          <w:sz w:val="20"/>
          <w:szCs w:val="20"/>
        </w:rPr>
        <w:tab/>
        <w:t xml:space="preserve">                    </w:t>
      </w:r>
      <w:r w:rsidRPr="00FC54D4">
        <w:rPr>
          <w:sz w:val="20"/>
          <w:szCs w:val="20"/>
        </w:rPr>
        <w:tab/>
        <w:t xml:space="preserve">              </w:t>
      </w:r>
      <w:r w:rsidRPr="00FC54D4">
        <w:rPr>
          <w:rFonts w:cs="Arial"/>
          <w:color w:val="212529"/>
          <w:sz w:val="20"/>
          <w:szCs w:val="20"/>
        </w:rPr>
        <w:t>Rodrigo Mudrovitsch</w:t>
      </w:r>
    </w:p>
    <w:p w14:paraId="62863F15" w14:textId="77777777" w:rsidR="00172AB7" w:rsidRPr="00FC54D4" w:rsidRDefault="00172AB7" w:rsidP="00172AB7">
      <w:pPr>
        <w:jc w:val="both"/>
        <w:rPr>
          <w:sz w:val="20"/>
          <w:szCs w:val="20"/>
        </w:rPr>
      </w:pPr>
    </w:p>
    <w:p w14:paraId="532EE23E" w14:textId="77777777" w:rsidR="00172AB7" w:rsidRPr="00FC54D4" w:rsidRDefault="00172AB7" w:rsidP="00172AB7">
      <w:pPr>
        <w:jc w:val="both"/>
        <w:rPr>
          <w:sz w:val="20"/>
          <w:szCs w:val="20"/>
        </w:rPr>
      </w:pPr>
    </w:p>
    <w:p w14:paraId="48AA47A7" w14:textId="77777777" w:rsidR="00172AB7" w:rsidRPr="00FC54D4" w:rsidRDefault="00172AB7" w:rsidP="00172AB7">
      <w:pPr>
        <w:jc w:val="both"/>
        <w:rPr>
          <w:sz w:val="20"/>
          <w:szCs w:val="20"/>
        </w:rPr>
      </w:pPr>
    </w:p>
    <w:p w14:paraId="478BB76C" w14:textId="77777777" w:rsidR="00172AB7" w:rsidRPr="00FC54D4" w:rsidRDefault="00172AB7" w:rsidP="00172AB7">
      <w:pPr>
        <w:jc w:val="both"/>
        <w:rPr>
          <w:sz w:val="20"/>
          <w:szCs w:val="20"/>
        </w:rPr>
      </w:pPr>
    </w:p>
    <w:p w14:paraId="56087756" w14:textId="77777777" w:rsidR="00172AB7" w:rsidRPr="00F83300" w:rsidRDefault="00172AB7" w:rsidP="00172AB7">
      <w:pPr>
        <w:jc w:val="center"/>
        <w:rPr>
          <w:sz w:val="20"/>
          <w:szCs w:val="20"/>
        </w:rPr>
      </w:pPr>
      <w:r w:rsidRPr="00F83300">
        <w:rPr>
          <w:sz w:val="20"/>
          <w:szCs w:val="20"/>
        </w:rPr>
        <w:t>Romina I. Sijniensky</w:t>
      </w:r>
    </w:p>
    <w:p w14:paraId="1DD6F490" w14:textId="77777777" w:rsidR="00172AB7" w:rsidRPr="00F83300" w:rsidRDefault="00172AB7" w:rsidP="00172AB7">
      <w:pPr>
        <w:jc w:val="center"/>
        <w:rPr>
          <w:sz w:val="20"/>
          <w:szCs w:val="20"/>
        </w:rPr>
      </w:pPr>
      <w:r w:rsidRPr="00F83300">
        <w:rPr>
          <w:sz w:val="20"/>
          <w:szCs w:val="20"/>
        </w:rPr>
        <w:t>Secretaria Adjunta</w:t>
      </w:r>
    </w:p>
    <w:p w14:paraId="5A70F561" w14:textId="77777777" w:rsidR="00172AB7" w:rsidRPr="00F83300" w:rsidRDefault="00172AB7" w:rsidP="00172AB7">
      <w:pPr>
        <w:pStyle w:val="Textonotapie"/>
      </w:pPr>
    </w:p>
    <w:p w14:paraId="3A826580" w14:textId="77777777" w:rsidR="00172AB7" w:rsidRPr="00F83300" w:rsidRDefault="00172AB7" w:rsidP="00172AB7">
      <w:pPr>
        <w:pStyle w:val="Textonotapie"/>
      </w:pPr>
    </w:p>
    <w:p w14:paraId="377CC27B" w14:textId="77777777" w:rsidR="00172AB7" w:rsidRPr="00F83300" w:rsidRDefault="00172AB7" w:rsidP="00172AB7">
      <w:pPr>
        <w:pStyle w:val="Textonotapie"/>
      </w:pPr>
    </w:p>
    <w:p w14:paraId="483DC080" w14:textId="77777777" w:rsidR="00172AB7" w:rsidRPr="00F83300" w:rsidRDefault="00172AB7" w:rsidP="00172AB7">
      <w:pPr>
        <w:jc w:val="both"/>
        <w:rPr>
          <w:sz w:val="20"/>
          <w:szCs w:val="20"/>
        </w:rPr>
      </w:pPr>
      <w:r w:rsidRPr="00F83300">
        <w:rPr>
          <w:sz w:val="20"/>
          <w:szCs w:val="20"/>
        </w:rPr>
        <w:t>Comuníquese y ejecútese,</w:t>
      </w:r>
    </w:p>
    <w:p w14:paraId="040EC3D9" w14:textId="77777777" w:rsidR="00172AB7" w:rsidRPr="00F83300" w:rsidRDefault="00172AB7" w:rsidP="00172AB7">
      <w:pPr>
        <w:rPr>
          <w:sz w:val="20"/>
          <w:szCs w:val="20"/>
        </w:rPr>
      </w:pPr>
    </w:p>
    <w:p w14:paraId="457C0B09" w14:textId="77777777" w:rsidR="00172AB7" w:rsidRPr="00F83300" w:rsidRDefault="00172AB7" w:rsidP="00172AB7">
      <w:pPr>
        <w:jc w:val="center"/>
        <w:rPr>
          <w:sz w:val="20"/>
          <w:szCs w:val="20"/>
        </w:rPr>
      </w:pPr>
    </w:p>
    <w:p w14:paraId="42C042BE" w14:textId="77777777" w:rsidR="00172AB7" w:rsidRPr="00F83300" w:rsidRDefault="00172AB7" w:rsidP="00172AB7">
      <w:pPr>
        <w:jc w:val="right"/>
        <w:rPr>
          <w:sz w:val="20"/>
          <w:szCs w:val="20"/>
        </w:rPr>
      </w:pPr>
    </w:p>
    <w:p w14:paraId="64CD5122" w14:textId="060A4FF2" w:rsidR="00172AB7" w:rsidRPr="00F83300" w:rsidRDefault="00172AB7" w:rsidP="00172AB7">
      <w:pPr>
        <w:jc w:val="center"/>
        <w:rPr>
          <w:sz w:val="20"/>
          <w:szCs w:val="20"/>
        </w:rPr>
      </w:pPr>
      <w:r w:rsidRPr="00F83300">
        <w:rPr>
          <w:sz w:val="20"/>
          <w:szCs w:val="20"/>
        </w:rPr>
        <w:t xml:space="preserve">                                                                                   </w:t>
      </w:r>
      <w:bookmarkStart w:id="3" w:name="_Hlk144371555"/>
      <w:r w:rsidRPr="00F83300">
        <w:rPr>
          <w:sz w:val="20"/>
          <w:szCs w:val="20"/>
        </w:rPr>
        <w:t>Ricardo C. Pérez Manrique</w:t>
      </w:r>
    </w:p>
    <w:p w14:paraId="33AE6496" w14:textId="77777777" w:rsidR="00172AB7" w:rsidRPr="00F83300" w:rsidRDefault="00172AB7" w:rsidP="00172AB7">
      <w:pPr>
        <w:ind w:left="6480" w:firstLine="720"/>
        <w:rPr>
          <w:sz w:val="20"/>
          <w:szCs w:val="20"/>
        </w:rPr>
      </w:pPr>
      <w:r w:rsidRPr="00F83300">
        <w:rPr>
          <w:sz w:val="20"/>
          <w:szCs w:val="20"/>
        </w:rPr>
        <w:t>Presidente</w:t>
      </w:r>
    </w:p>
    <w:bookmarkEnd w:id="3"/>
    <w:p w14:paraId="4455A329" w14:textId="77777777" w:rsidR="00172AB7" w:rsidRPr="00F83300" w:rsidRDefault="00172AB7" w:rsidP="00172AB7">
      <w:pPr>
        <w:jc w:val="both"/>
        <w:rPr>
          <w:sz w:val="20"/>
          <w:szCs w:val="20"/>
        </w:rPr>
      </w:pPr>
    </w:p>
    <w:p w14:paraId="24613F7A" w14:textId="77777777" w:rsidR="00172AB7" w:rsidRPr="00F83300" w:rsidRDefault="00172AB7" w:rsidP="00172AB7">
      <w:pPr>
        <w:jc w:val="both"/>
        <w:rPr>
          <w:sz w:val="20"/>
          <w:szCs w:val="20"/>
        </w:rPr>
      </w:pPr>
    </w:p>
    <w:p w14:paraId="41CCEE28" w14:textId="77777777" w:rsidR="00172AB7" w:rsidRPr="00F83300" w:rsidRDefault="00172AB7" w:rsidP="00172AB7">
      <w:pPr>
        <w:jc w:val="both"/>
        <w:rPr>
          <w:sz w:val="20"/>
          <w:szCs w:val="20"/>
        </w:rPr>
      </w:pPr>
    </w:p>
    <w:p w14:paraId="6DD94F44" w14:textId="77777777" w:rsidR="00172AB7" w:rsidRPr="00F83300" w:rsidRDefault="00172AB7" w:rsidP="00172AB7">
      <w:pPr>
        <w:jc w:val="both"/>
        <w:rPr>
          <w:sz w:val="20"/>
          <w:szCs w:val="20"/>
        </w:rPr>
      </w:pPr>
      <w:r w:rsidRPr="00F83300">
        <w:rPr>
          <w:sz w:val="20"/>
          <w:szCs w:val="20"/>
        </w:rPr>
        <w:t>Romina I. Sijniensky</w:t>
      </w:r>
    </w:p>
    <w:p w14:paraId="44C2E2A2" w14:textId="77777777" w:rsidR="00172AB7" w:rsidRPr="00172AB7" w:rsidRDefault="00172AB7" w:rsidP="00172AB7">
      <w:pPr>
        <w:rPr>
          <w:sz w:val="20"/>
          <w:szCs w:val="20"/>
        </w:rPr>
      </w:pPr>
      <w:r w:rsidRPr="00F83300">
        <w:rPr>
          <w:sz w:val="20"/>
          <w:szCs w:val="20"/>
        </w:rPr>
        <w:t xml:space="preserve"> </w:t>
      </w:r>
      <w:r w:rsidRPr="00172AB7">
        <w:rPr>
          <w:sz w:val="20"/>
          <w:szCs w:val="20"/>
          <w:lang w:val="pt-BR"/>
        </w:rPr>
        <w:t>Secretaria Adjunta</w:t>
      </w:r>
    </w:p>
    <w:bookmarkEnd w:id="2"/>
    <w:p w14:paraId="3B47EDB8" w14:textId="77777777" w:rsidR="00172AB7" w:rsidRPr="00172AB7" w:rsidRDefault="00172AB7" w:rsidP="00B73ECE">
      <w:pPr>
        <w:tabs>
          <w:tab w:val="left" w:pos="567"/>
        </w:tabs>
        <w:ind w:right="17"/>
        <w:jc w:val="both"/>
        <w:rPr>
          <w:rFonts w:cs="Arial"/>
          <w:sz w:val="20"/>
          <w:szCs w:val="20"/>
        </w:rPr>
      </w:pPr>
    </w:p>
    <w:sectPr w:rsidR="00172AB7" w:rsidRPr="00172AB7" w:rsidSect="00FA2EA0">
      <w:pgSz w:w="12240" w:h="15840"/>
      <w:pgMar w:top="1417" w:right="1467" w:bottom="1417"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096AA3" w14:textId="77777777" w:rsidR="008A1399" w:rsidRDefault="008A1399" w:rsidP="00FA2EA0">
      <w:r>
        <w:separator/>
      </w:r>
    </w:p>
  </w:endnote>
  <w:endnote w:type="continuationSeparator" w:id="0">
    <w:p w14:paraId="06D3BFF2" w14:textId="77777777" w:rsidR="008A1399" w:rsidRDefault="008A1399" w:rsidP="00FA2E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1D513" w14:textId="77777777" w:rsidR="00955E7F" w:rsidRDefault="00F83300">
    <w:pPr>
      <w:pStyle w:val="Textoindependiente"/>
      <w:spacing w:line="14" w:lineRule="auto"/>
    </w:pPr>
    <w:r>
      <w:rPr>
        <w:noProof/>
        <w:lang w:eastAsia="es-CR"/>
      </w:rPr>
      <mc:AlternateContent>
        <mc:Choice Requires="wps">
          <w:drawing>
            <wp:anchor distT="0" distB="0" distL="114300" distR="114300" simplePos="0" relativeHeight="251659264" behindDoc="1" locked="0" layoutInCell="1" allowOverlap="1" wp14:anchorId="06FDF9C6" wp14:editId="5863D8D3">
              <wp:simplePos x="0" y="0"/>
              <wp:positionH relativeFrom="page">
                <wp:posOffset>3768090</wp:posOffset>
              </wp:positionH>
              <wp:positionV relativeFrom="page">
                <wp:posOffset>9288780</wp:posOffset>
              </wp:positionV>
              <wp:extent cx="250825" cy="179705"/>
              <wp:effectExtent l="0" t="0" r="0" b="0"/>
              <wp:wrapNone/>
              <wp:docPr id="1"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4C0523" w14:textId="77777777" w:rsidR="00955E7F" w:rsidRDefault="00F83300">
                          <w:pPr>
                            <w:pStyle w:val="Textoindependiente"/>
                            <w:spacing w:before="19"/>
                            <w:ind w:left="60"/>
                          </w:pPr>
                          <w:r>
                            <w:fldChar w:fldCharType="begin"/>
                          </w:r>
                          <w:r>
                            <w:instrText xml:space="preserve"> PAGE </w:instrText>
                          </w:r>
                          <w:r>
                            <w:fldChar w:fldCharType="separate"/>
                          </w:r>
                          <w:r>
                            <w:rPr>
                              <w:noProof/>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FDF9C6" id="_x0000_t202" coordsize="21600,21600" o:spt="202" path="m,l,21600r21600,l21600,xe">
              <v:stroke joinstyle="miter"/>
              <v:path gradientshapeok="t" o:connecttype="rect"/>
            </v:shapetype>
            <v:shape id="docshape1" o:spid="_x0000_s1026" type="#_x0000_t202" style="position:absolute;margin-left:296.7pt;margin-top:731.4pt;width:19.75pt;height:14.1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" filled="f" stroked="f">
              <v:textbox inset="0,0,0,0">
                <w:txbxContent>
                  <w:p w14:paraId="534C0523" w14:textId="77777777" w:rsidR="00955E7F" w:rsidRDefault="00000000">
                    <w:pPr>
                      <w:pStyle w:val="Textoindependiente"/>
                      <w:spacing w:before="19"/>
                      <w:ind w:left="60"/>
                    </w:pPr>
                    <w:r>
                      <w:fldChar w:fldCharType="begin"/>
                    </w:r>
                    <w:r>
                      <w:instrText xml:space="preserve"> PAGE </w:instrText>
                    </w:r>
                    <w:r>
                      <w:fldChar w:fldCharType="separate"/>
                    </w:r>
                    <w:r>
                      <w:rPr>
                        <w:noProof/>
                      </w:rP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F4F776" w14:textId="77777777" w:rsidR="008A1399" w:rsidRDefault="008A1399" w:rsidP="00FA2EA0">
      <w:r>
        <w:separator/>
      </w:r>
    </w:p>
  </w:footnote>
  <w:footnote w:type="continuationSeparator" w:id="0">
    <w:p w14:paraId="6A66A166" w14:textId="77777777" w:rsidR="008A1399" w:rsidRDefault="008A1399" w:rsidP="00FA2EA0">
      <w:r>
        <w:continuationSeparator/>
      </w:r>
    </w:p>
  </w:footnote>
  <w:footnote w:id="1">
    <w:p w14:paraId="3BC053AF" w14:textId="77777777" w:rsidR="00FA2EA0" w:rsidRPr="00EF6284" w:rsidRDefault="00FA2EA0" w:rsidP="00EF6284">
      <w:pPr>
        <w:pStyle w:val="Textonotapie"/>
        <w:tabs>
          <w:tab w:val="left" w:pos="567"/>
        </w:tabs>
        <w:spacing w:before="80" w:after="80"/>
        <w:jc w:val="both"/>
        <w:rPr>
          <w:sz w:val="16"/>
          <w:szCs w:val="16"/>
          <w:lang w:val="es-ES"/>
        </w:rPr>
      </w:pPr>
      <w:r w:rsidRPr="00EF6284">
        <w:rPr>
          <w:rStyle w:val="Refdenotaalpie"/>
          <w:sz w:val="16"/>
          <w:szCs w:val="16"/>
        </w:rPr>
        <w:footnoteRef/>
      </w:r>
      <w:r w:rsidRPr="00EF6284">
        <w:rPr>
          <w:sz w:val="16"/>
          <w:szCs w:val="16"/>
        </w:rPr>
        <w:t xml:space="preserve"> </w:t>
      </w:r>
      <w:r w:rsidRPr="00EF6284">
        <w:rPr>
          <w:sz w:val="16"/>
          <w:szCs w:val="16"/>
        </w:rPr>
        <w:tab/>
        <w:t>La representación de la víctima es ejercida por César Duque, abogado de la Comisión Ecuménica de Derechos Humanos (CEDHU).</w:t>
      </w:r>
    </w:p>
  </w:footnote>
  <w:footnote w:id="2">
    <w:p w14:paraId="19E7B1D5" w14:textId="54BA01E1" w:rsidR="00FA2EA0" w:rsidRPr="00EF6284" w:rsidRDefault="00FA2EA0" w:rsidP="00EF6284">
      <w:pPr>
        <w:pStyle w:val="Textonotapie"/>
        <w:tabs>
          <w:tab w:val="left" w:pos="567"/>
        </w:tabs>
        <w:spacing w:before="80" w:after="80"/>
        <w:jc w:val="both"/>
        <w:rPr>
          <w:sz w:val="16"/>
          <w:szCs w:val="16"/>
          <w:lang w:val="es-ES"/>
        </w:rPr>
      </w:pPr>
      <w:r w:rsidRPr="00EF6284">
        <w:rPr>
          <w:rStyle w:val="Refdenotaalpie"/>
          <w:sz w:val="16"/>
          <w:szCs w:val="16"/>
        </w:rPr>
        <w:footnoteRef/>
      </w:r>
      <w:r w:rsidRPr="00EF6284">
        <w:rPr>
          <w:sz w:val="16"/>
          <w:szCs w:val="16"/>
        </w:rPr>
        <w:t xml:space="preserve"> </w:t>
      </w:r>
      <w:r w:rsidRPr="00EF6284">
        <w:rPr>
          <w:sz w:val="16"/>
          <w:szCs w:val="16"/>
          <w:lang w:val="es-ES"/>
        </w:rPr>
        <w:tab/>
      </w:r>
      <w:r w:rsidRPr="00EF6284">
        <w:rPr>
          <w:sz w:val="16"/>
          <w:szCs w:val="16"/>
        </w:rPr>
        <w:t xml:space="preserve">Esta Sentencia fue deliberada y aprobada durante el </w:t>
      </w:r>
      <w:r w:rsidRPr="000F47C2">
        <w:rPr>
          <w:sz w:val="16"/>
          <w:szCs w:val="16"/>
        </w:rPr>
        <w:t>160°</w:t>
      </w:r>
      <w:r w:rsidRPr="00EF6284">
        <w:rPr>
          <w:sz w:val="16"/>
          <w:szCs w:val="16"/>
        </w:rPr>
        <w:t xml:space="preserve"> Período Ordinario de Sesiones.</w:t>
      </w:r>
    </w:p>
  </w:footnote>
  <w:footnote w:id="3">
    <w:p w14:paraId="26EBDBA7" w14:textId="0C05A388" w:rsidR="000D6EE2" w:rsidRPr="00EF6284" w:rsidRDefault="000D6EE2" w:rsidP="00EF6284">
      <w:pPr>
        <w:pStyle w:val="Textonotapie"/>
        <w:tabs>
          <w:tab w:val="left" w:pos="567"/>
        </w:tabs>
        <w:spacing w:before="80" w:after="80"/>
        <w:jc w:val="both"/>
        <w:rPr>
          <w:sz w:val="16"/>
          <w:szCs w:val="16"/>
          <w:lang w:val="es-ES"/>
        </w:rPr>
      </w:pPr>
      <w:r w:rsidRPr="00EF6284">
        <w:rPr>
          <w:rStyle w:val="Refdenotaalpie"/>
          <w:sz w:val="16"/>
          <w:szCs w:val="16"/>
        </w:rPr>
        <w:footnoteRef/>
      </w:r>
      <w:r w:rsidRPr="00EF6284">
        <w:rPr>
          <w:sz w:val="16"/>
          <w:szCs w:val="16"/>
        </w:rPr>
        <w:t xml:space="preserve"> </w:t>
      </w:r>
      <w:r w:rsidRPr="00EF6284">
        <w:rPr>
          <w:sz w:val="16"/>
          <w:szCs w:val="16"/>
          <w:lang w:val="es-ES"/>
        </w:rPr>
        <w:tab/>
      </w:r>
      <w:r w:rsidRPr="00EF6284">
        <w:rPr>
          <w:i/>
          <w:sz w:val="16"/>
          <w:szCs w:val="16"/>
        </w:rPr>
        <w:t>Cfr</w:t>
      </w:r>
      <w:r w:rsidRPr="00EF6284">
        <w:rPr>
          <w:sz w:val="16"/>
          <w:szCs w:val="16"/>
        </w:rPr>
        <w:t xml:space="preserve">. </w:t>
      </w:r>
      <w:r w:rsidRPr="00EF6284">
        <w:rPr>
          <w:i/>
          <w:sz w:val="16"/>
          <w:szCs w:val="16"/>
        </w:rPr>
        <w:t>Caso Loayza Tamayo Vs. Perú. Interpretación de la Sentencia de Fondo</w:t>
      </w:r>
      <w:r w:rsidRPr="00EF6284">
        <w:rPr>
          <w:sz w:val="16"/>
          <w:szCs w:val="16"/>
        </w:rPr>
        <w:t xml:space="preserve">. Resolución de la Corte de 8 de marzo de 1998. Serie C No. 47, párr. 16, y </w:t>
      </w:r>
      <w:r w:rsidRPr="00EF6284">
        <w:rPr>
          <w:rFonts w:cs="Open Sans"/>
          <w:i/>
          <w:sz w:val="16"/>
          <w:szCs w:val="16"/>
          <w:shd w:val="clear" w:color="auto" w:fill="FFFFFF"/>
        </w:rPr>
        <w:t>Caso Federación Nacional de Trabajadores Marítimos y Portuarios (FEMAPOR) Vs. Perú. Interpretación de la Sentencia de Excepciones Preliminares, Fondo y Reparaciones</w:t>
      </w:r>
      <w:r w:rsidRPr="00EF6284">
        <w:rPr>
          <w:rFonts w:cs="Open Sans"/>
          <w:sz w:val="16"/>
          <w:szCs w:val="16"/>
          <w:shd w:val="clear" w:color="auto" w:fill="FFFFFF"/>
        </w:rPr>
        <w:t>. Sentencia de 21 de noviembre de 2022. Serie C No. 480, párr. 10.</w:t>
      </w:r>
    </w:p>
  </w:footnote>
  <w:footnote w:id="4">
    <w:p w14:paraId="0D667DF9" w14:textId="7CD86A05" w:rsidR="000D6EE2" w:rsidRPr="00EF6284" w:rsidRDefault="000D6EE2" w:rsidP="00EF6284">
      <w:pPr>
        <w:pStyle w:val="Textonotapie"/>
        <w:tabs>
          <w:tab w:val="left" w:pos="567"/>
        </w:tabs>
        <w:spacing w:before="80" w:after="80"/>
        <w:jc w:val="both"/>
        <w:rPr>
          <w:rFonts w:cs="Open Sans"/>
          <w:sz w:val="16"/>
          <w:szCs w:val="16"/>
          <w:shd w:val="clear" w:color="auto" w:fill="FFFFFF"/>
        </w:rPr>
      </w:pPr>
      <w:r w:rsidRPr="00EF6284">
        <w:rPr>
          <w:rStyle w:val="Refdenotaalpie"/>
          <w:sz w:val="16"/>
          <w:szCs w:val="16"/>
        </w:rPr>
        <w:footnoteRef/>
      </w:r>
      <w:r w:rsidRPr="00EF6284">
        <w:rPr>
          <w:sz w:val="16"/>
          <w:szCs w:val="16"/>
        </w:rPr>
        <w:t xml:space="preserve"> </w:t>
      </w:r>
      <w:r w:rsidRPr="00EF6284">
        <w:rPr>
          <w:sz w:val="16"/>
          <w:szCs w:val="16"/>
          <w:lang w:val="es-ES"/>
        </w:rPr>
        <w:tab/>
      </w:r>
      <w:r w:rsidRPr="00EF6284">
        <w:rPr>
          <w:i/>
          <w:sz w:val="16"/>
          <w:szCs w:val="16"/>
        </w:rPr>
        <w:t>Cfr</w:t>
      </w:r>
      <w:r w:rsidRPr="00EF6284">
        <w:rPr>
          <w:sz w:val="16"/>
          <w:szCs w:val="16"/>
        </w:rPr>
        <w:t xml:space="preserve">. </w:t>
      </w:r>
      <w:r w:rsidRPr="00EF6284">
        <w:rPr>
          <w:i/>
          <w:sz w:val="16"/>
          <w:szCs w:val="16"/>
        </w:rPr>
        <w:t>Caso Loayza Tamayo Vs. Perú. Interpretación de la Sentencia de Fondo</w:t>
      </w:r>
      <w:r w:rsidRPr="00EF6284">
        <w:rPr>
          <w:sz w:val="16"/>
          <w:szCs w:val="16"/>
        </w:rPr>
        <w:t xml:space="preserve">, </w:t>
      </w:r>
      <w:r w:rsidRPr="00EF6284">
        <w:rPr>
          <w:i/>
          <w:sz w:val="16"/>
          <w:szCs w:val="16"/>
        </w:rPr>
        <w:t>supra</w:t>
      </w:r>
      <w:r w:rsidRPr="00EF6284">
        <w:rPr>
          <w:sz w:val="16"/>
          <w:szCs w:val="16"/>
        </w:rPr>
        <w:t xml:space="preserve">, párr. 15, y </w:t>
      </w:r>
      <w:r w:rsidRPr="00EF6284">
        <w:rPr>
          <w:rFonts w:cs="Open Sans"/>
          <w:i/>
          <w:sz w:val="16"/>
          <w:szCs w:val="16"/>
          <w:shd w:val="clear" w:color="auto" w:fill="FFFFFF"/>
        </w:rPr>
        <w:t>Caso Federación Nacional de Trabajadores Marítimos y Portuarios (FEMAPOR) Vs. Perú. Interpretación de la Sentencia de Excepciones Preliminares, Fondo y Reparaciones</w:t>
      </w:r>
      <w:r w:rsidRPr="00EF6284">
        <w:rPr>
          <w:rFonts w:cs="Open Sans"/>
          <w:sz w:val="16"/>
          <w:szCs w:val="16"/>
          <w:shd w:val="clear" w:color="auto" w:fill="FFFFFF"/>
        </w:rPr>
        <w:t xml:space="preserve">, </w:t>
      </w:r>
      <w:r w:rsidRPr="00EF6284">
        <w:rPr>
          <w:rFonts w:cs="Open Sans"/>
          <w:i/>
          <w:sz w:val="16"/>
          <w:szCs w:val="16"/>
          <w:shd w:val="clear" w:color="auto" w:fill="FFFFFF"/>
        </w:rPr>
        <w:t>supra</w:t>
      </w:r>
      <w:r w:rsidRPr="00EF6284">
        <w:rPr>
          <w:rFonts w:cs="Open Sans"/>
          <w:sz w:val="16"/>
          <w:szCs w:val="16"/>
          <w:shd w:val="clear" w:color="auto" w:fill="FFFFFF"/>
        </w:rPr>
        <w:t>, párr. 11.</w:t>
      </w:r>
    </w:p>
  </w:footnote>
  <w:footnote w:id="5">
    <w:p w14:paraId="680D8B91" w14:textId="5CAE28CB" w:rsidR="000D6EE2" w:rsidRPr="00EF6284" w:rsidRDefault="000D6EE2" w:rsidP="00EF6284">
      <w:pPr>
        <w:pStyle w:val="Textonotapie"/>
        <w:tabs>
          <w:tab w:val="left" w:pos="567"/>
        </w:tabs>
        <w:spacing w:before="80" w:after="80"/>
        <w:jc w:val="both"/>
        <w:rPr>
          <w:rFonts w:cs="Open Sans"/>
          <w:sz w:val="16"/>
          <w:szCs w:val="16"/>
          <w:shd w:val="clear" w:color="auto" w:fill="FFFFFF"/>
        </w:rPr>
      </w:pPr>
      <w:r w:rsidRPr="00EF6284">
        <w:rPr>
          <w:rStyle w:val="Refdenotaalpie"/>
          <w:sz w:val="16"/>
          <w:szCs w:val="16"/>
        </w:rPr>
        <w:footnoteRef/>
      </w:r>
      <w:r w:rsidRPr="00EF6284">
        <w:rPr>
          <w:sz w:val="16"/>
          <w:szCs w:val="16"/>
        </w:rPr>
        <w:t xml:space="preserve"> </w:t>
      </w:r>
      <w:r w:rsidRPr="00EF6284">
        <w:rPr>
          <w:sz w:val="16"/>
          <w:szCs w:val="16"/>
          <w:lang w:val="es-ES"/>
        </w:rPr>
        <w:tab/>
      </w:r>
      <w:r w:rsidRPr="00EF6284">
        <w:rPr>
          <w:i/>
          <w:sz w:val="16"/>
          <w:szCs w:val="16"/>
        </w:rPr>
        <w:t>Cfr</w:t>
      </w:r>
      <w:r w:rsidRPr="00EF6284">
        <w:rPr>
          <w:sz w:val="16"/>
          <w:szCs w:val="16"/>
        </w:rPr>
        <w:t xml:space="preserve">. </w:t>
      </w:r>
      <w:r w:rsidRPr="00EF6284">
        <w:rPr>
          <w:i/>
          <w:sz w:val="16"/>
          <w:szCs w:val="16"/>
        </w:rPr>
        <w:t>Caso Salvador Chiriboga Vs. Ecuador. Interpretación de la Sentencia de Reparaciones y Costas</w:t>
      </w:r>
      <w:r w:rsidRPr="00EF6284">
        <w:rPr>
          <w:sz w:val="16"/>
          <w:szCs w:val="16"/>
        </w:rPr>
        <w:t xml:space="preserve">. Sentencia de 29 de agosto de 2011. Serie C No. 230, párr. 30, y </w:t>
      </w:r>
      <w:r w:rsidRPr="00EF6284">
        <w:rPr>
          <w:rFonts w:cs="Open Sans"/>
          <w:i/>
          <w:sz w:val="16"/>
          <w:szCs w:val="16"/>
          <w:shd w:val="clear" w:color="auto" w:fill="FFFFFF"/>
        </w:rPr>
        <w:t>Caso Federación Nacional de Trabajadores Marítimos y Portuarios (FEMAPOR) Vs. Perú. Interpretación de la Sentencia de Excepciones Preliminares, Fondo y Reparaciones</w:t>
      </w:r>
      <w:r w:rsidRPr="00EF6284">
        <w:rPr>
          <w:rFonts w:cs="Open Sans"/>
          <w:sz w:val="16"/>
          <w:szCs w:val="16"/>
          <w:shd w:val="clear" w:color="auto" w:fill="FFFFFF"/>
        </w:rPr>
        <w:t xml:space="preserve">, </w:t>
      </w:r>
      <w:r w:rsidRPr="00EF6284">
        <w:rPr>
          <w:rFonts w:cs="Open Sans"/>
          <w:i/>
          <w:sz w:val="16"/>
          <w:szCs w:val="16"/>
          <w:shd w:val="clear" w:color="auto" w:fill="FFFFFF"/>
        </w:rPr>
        <w:t>supra</w:t>
      </w:r>
      <w:r w:rsidRPr="00EF6284">
        <w:rPr>
          <w:rFonts w:cs="Open Sans"/>
          <w:sz w:val="16"/>
          <w:szCs w:val="16"/>
          <w:shd w:val="clear" w:color="auto" w:fill="FFFFFF"/>
        </w:rPr>
        <w:t>, párr. 11.</w:t>
      </w:r>
    </w:p>
  </w:footnote>
  <w:footnote w:id="6">
    <w:p w14:paraId="631B077F" w14:textId="15DA3451" w:rsidR="000D6EE2" w:rsidRPr="00EF6284" w:rsidRDefault="000D6EE2" w:rsidP="00EF6284">
      <w:pPr>
        <w:pStyle w:val="Textonotapie"/>
        <w:tabs>
          <w:tab w:val="left" w:pos="567"/>
        </w:tabs>
        <w:spacing w:before="80" w:after="80"/>
        <w:jc w:val="both"/>
        <w:rPr>
          <w:rFonts w:cs="Open Sans"/>
          <w:sz w:val="16"/>
          <w:szCs w:val="16"/>
          <w:shd w:val="clear" w:color="auto" w:fill="FFFFFF"/>
        </w:rPr>
      </w:pPr>
      <w:r w:rsidRPr="00EF6284">
        <w:rPr>
          <w:rStyle w:val="Refdenotaalpie"/>
          <w:sz w:val="16"/>
          <w:szCs w:val="16"/>
        </w:rPr>
        <w:footnoteRef/>
      </w:r>
      <w:r w:rsidRPr="00EF6284">
        <w:rPr>
          <w:sz w:val="16"/>
          <w:szCs w:val="16"/>
        </w:rPr>
        <w:t xml:space="preserve"> </w:t>
      </w:r>
      <w:r w:rsidRPr="00EF6284">
        <w:rPr>
          <w:sz w:val="16"/>
          <w:szCs w:val="16"/>
          <w:lang w:val="es-ES"/>
        </w:rPr>
        <w:tab/>
      </w:r>
      <w:r w:rsidRPr="00EF6284">
        <w:rPr>
          <w:i/>
          <w:sz w:val="16"/>
          <w:szCs w:val="16"/>
        </w:rPr>
        <w:t>Cfr</w:t>
      </w:r>
      <w:r w:rsidRPr="00EF6284">
        <w:rPr>
          <w:sz w:val="16"/>
          <w:szCs w:val="16"/>
        </w:rPr>
        <w:t xml:space="preserve">. </w:t>
      </w:r>
      <w:r w:rsidRPr="00EF6284">
        <w:rPr>
          <w:i/>
          <w:sz w:val="16"/>
          <w:szCs w:val="16"/>
        </w:rPr>
        <w:t>Caso Escher y otros Vs. Brasil. Interpretación de la Sentencia de Excepciones Preliminares, Fondo, Reparaciones y Costas</w:t>
      </w:r>
      <w:r w:rsidRPr="00EF6284">
        <w:rPr>
          <w:sz w:val="16"/>
          <w:szCs w:val="16"/>
        </w:rPr>
        <w:t xml:space="preserve">. Sentencia de 20 de noviembre de 2009. Serie C No. 208, párr. 11, y </w:t>
      </w:r>
      <w:r w:rsidRPr="00EF6284">
        <w:rPr>
          <w:rFonts w:cs="Open Sans"/>
          <w:i/>
          <w:sz w:val="16"/>
          <w:szCs w:val="16"/>
          <w:shd w:val="clear" w:color="auto" w:fill="FFFFFF"/>
        </w:rPr>
        <w:t>Caso Federación Nacional de Trabajadores Marítimos y Portuarios (FEMAPOR) Vs. Perú. Interpretación de la Sentencia de Excepciones Preliminares, Fondo y Reparaciones</w:t>
      </w:r>
      <w:r w:rsidRPr="00EF6284">
        <w:rPr>
          <w:rFonts w:cs="Open Sans"/>
          <w:sz w:val="16"/>
          <w:szCs w:val="16"/>
          <w:shd w:val="clear" w:color="auto" w:fill="FFFFFF"/>
        </w:rPr>
        <w:t xml:space="preserve">, </w:t>
      </w:r>
      <w:r w:rsidRPr="00EF6284">
        <w:rPr>
          <w:rFonts w:cs="Open Sans"/>
          <w:i/>
          <w:sz w:val="16"/>
          <w:szCs w:val="16"/>
          <w:shd w:val="clear" w:color="auto" w:fill="FFFFFF"/>
        </w:rPr>
        <w:t>supra</w:t>
      </w:r>
      <w:r w:rsidRPr="00EF6284">
        <w:rPr>
          <w:rFonts w:cs="Open Sans"/>
          <w:sz w:val="16"/>
          <w:szCs w:val="16"/>
          <w:shd w:val="clear" w:color="auto" w:fill="FFFFFF"/>
        </w:rPr>
        <w:t>, párr. 11.</w:t>
      </w:r>
    </w:p>
  </w:footnote>
  <w:footnote w:id="7">
    <w:p w14:paraId="16744D9B" w14:textId="19FBA8B6" w:rsidR="009B6057" w:rsidRPr="009B6057" w:rsidRDefault="009B6057" w:rsidP="009B6057">
      <w:pPr>
        <w:pStyle w:val="Textonotapie"/>
        <w:spacing w:before="80" w:after="80"/>
        <w:jc w:val="both"/>
        <w:rPr>
          <w:sz w:val="16"/>
          <w:szCs w:val="16"/>
          <w:lang w:val="es-ES"/>
        </w:rPr>
      </w:pPr>
      <w:r w:rsidRPr="009B6057">
        <w:rPr>
          <w:rStyle w:val="Refdenotaalpie"/>
          <w:sz w:val="16"/>
          <w:szCs w:val="16"/>
        </w:rPr>
        <w:footnoteRef/>
      </w:r>
      <w:r w:rsidRPr="009B6057">
        <w:rPr>
          <w:sz w:val="16"/>
          <w:szCs w:val="16"/>
        </w:rPr>
        <w:t xml:space="preserve"> </w:t>
      </w:r>
      <w:r w:rsidRPr="009B6057">
        <w:rPr>
          <w:sz w:val="16"/>
          <w:szCs w:val="16"/>
          <w:lang w:val="es-ES"/>
        </w:rPr>
        <w:tab/>
        <w:t xml:space="preserve">En cuanto al contenido del párrafo 145 de la Sentencia, citado por la Comisión, en este la Corte dispuso que, al no ser factible acceder a la solicitud de reincorporación de la víctima al cargo que ejercía, el Estado debía pagarle una indemnización cuyo monto </w:t>
      </w:r>
      <w:r>
        <w:rPr>
          <w:sz w:val="16"/>
          <w:szCs w:val="16"/>
          <w:lang w:val="es-ES"/>
        </w:rPr>
        <w:t>se fijó</w:t>
      </w:r>
      <w:r w:rsidRPr="009B6057">
        <w:rPr>
          <w:sz w:val="16"/>
          <w:szCs w:val="16"/>
          <w:lang w:val="es-ES"/>
        </w:rPr>
        <w:t xml:space="preserve"> en </w:t>
      </w:r>
      <w:r w:rsidRPr="009B6057">
        <w:rPr>
          <w:sz w:val="16"/>
          <w:szCs w:val="16"/>
        </w:rPr>
        <w:t>USD $30.000,00 (treinta mil dólares de los Estados Unidos de América).</w:t>
      </w:r>
    </w:p>
  </w:footnote>
  <w:footnote w:id="8">
    <w:p w14:paraId="4D5FD8EF" w14:textId="1FE04C0C" w:rsidR="009215D0" w:rsidRPr="00EF6284" w:rsidRDefault="009215D0" w:rsidP="00EF6284">
      <w:pPr>
        <w:pStyle w:val="Textonotapie"/>
        <w:tabs>
          <w:tab w:val="left" w:pos="567"/>
        </w:tabs>
        <w:spacing w:before="80" w:after="80"/>
        <w:jc w:val="both"/>
        <w:rPr>
          <w:sz w:val="16"/>
          <w:szCs w:val="16"/>
          <w:lang w:val="es-ES"/>
        </w:rPr>
      </w:pPr>
      <w:r w:rsidRPr="00EF6284">
        <w:rPr>
          <w:rStyle w:val="Refdenotaalpie"/>
          <w:sz w:val="16"/>
          <w:szCs w:val="16"/>
        </w:rPr>
        <w:footnoteRef/>
      </w:r>
      <w:r w:rsidRPr="00EF6284">
        <w:rPr>
          <w:sz w:val="16"/>
          <w:szCs w:val="16"/>
        </w:rPr>
        <w:t xml:space="preserve"> </w:t>
      </w:r>
      <w:r w:rsidRPr="00EF6284">
        <w:rPr>
          <w:sz w:val="16"/>
          <w:szCs w:val="16"/>
          <w:lang w:val="es-ES"/>
        </w:rPr>
        <w:tab/>
      </w:r>
      <w:r w:rsidRPr="00EF6284">
        <w:rPr>
          <w:i/>
          <w:sz w:val="16"/>
          <w:szCs w:val="16"/>
          <w:lang w:val="es-ES"/>
        </w:rPr>
        <w:t>Cfr</w:t>
      </w:r>
      <w:r w:rsidRPr="00EF6284">
        <w:rPr>
          <w:sz w:val="16"/>
          <w:szCs w:val="16"/>
          <w:lang w:val="es-ES"/>
        </w:rPr>
        <w:t xml:space="preserve">. </w:t>
      </w:r>
      <w:r w:rsidRPr="00EF6284">
        <w:rPr>
          <w:rFonts w:cs="Open Sans"/>
          <w:i/>
          <w:sz w:val="16"/>
          <w:szCs w:val="16"/>
          <w:shd w:val="clear" w:color="auto" w:fill="FFFFFF"/>
        </w:rPr>
        <w:t>Caso Casa Nina Vs. Perú. Interpretación de la Sentencia de Excepciones preliminares, Fondo, Reparaciones y Costas</w:t>
      </w:r>
      <w:r w:rsidRPr="00EF6284">
        <w:rPr>
          <w:rFonts w:cs="Open Sans"/>
          <w:sz w:val="16"/>
          <w:szCs w:val="16"/>
          <w:shd w:val="clear" w:color="auto" w:fill="FFFFFF"/>
        </w:rPr>
        <w:t>. Sentencia de 1 de septiembre de 2021. Serie C No. 433, párr. 26.</w:t>
      </w:r>
      <w:r w:rsidRPr="00EF6284">
        <w:rPr>
          <w:sz w:val="16"/>
          <w:szCs w:val="16"/>
          <w:lang w:val="es-ES"/>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26C60"/>
    <w:multiLevelType w:val="hybridMultilevel"/>
    <w:tmpl w:val="2B5E0BB4"/>
    <w:lvl w:ilvl="0" w:tplc="2A30FD4E">
      <w:start w:val="1"/>
      <w:numFmt w:val="decimal"/>
      <w:lvlText w:val="%1."/>
      <w:lvlJc w:val="left"/>
      <w:pPr>
        <w:ind w:left="930" w:hanging="57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69C454F6"/>
    <w:multiLevelType w:val="hybridMultilevel"/>
    <w:tmpl w:val="A008D7A6"/>
    <w:lvl w:ilvl="0" w:tplc="9F12E73E">
      <w:start w:val="1"/>
      <w:numFmt w:val="decimal"/>
      <w:lvlText w:val="%1."/>
      <w:lvlJc w:val="left"/>
      <w:pPr>
        <w:ind w:left="822" w:hanging="360"/>
      </w:pPr>
      <w:rPr>
        <w:b w:val="0"/>
        <w:bCs/>
      </w:rPr>
    </w:lvl>
    <w:lvl w:ilvl="1" w:tplc="140A0019" w:tentative="1">
      <w:start w:val="1"/>
      <w:numFmt w:val="lowerLetter"/>
      <w:lvlText w:val="%2."/>
      <w:lvlJc w:val="left"/>
      <w:pPr>
        <w:ind w:left="1542" w:hanging="360"/>
      </w:pPr>
    </w:lvl>
    <w:lvl w:ilvl="2" w:tplc="140A001B" w:tentative="1">
      <w:start w:val="1"/>
      <w:numFmt w:val="lowerRoman"/>
      <w:lvlText w:val="%3."/>
      <w:lvlJc w:val="right"/>
      <w:pPr>
        <w:ind w:left="2262" w:hanging="180"/>
      </w:pPr>
    </w:lvl>
    <w:lvl w:ilvl="3" w:tplc="140A000F" w:tentative="1">
      <w:start w:val="1"/>
      <w:numFmt w:val="decimal"/>
      <w:lvlText w:val="%4."/>
      <w:lvlJc w:val="left"/>
      <w:pPr>
        <w:ind w:left="2982" w:hanging="360"/>
      </w:pPr>
    </w:lvl>
    <w:lvl w:ilvl="4" w:tplc="140A0019" w:tentative="1">
      <w:start w:val="1"/>
      <w:numFmt w:val="lowerLetter"/>
      <w:lvlText w:val="%5."/>
      <w:lvlJc w:val="left"/>
      <w:pPr>
        <w:ind w:left="3702" w:hanging="360"/>
      </w:pPr>
    </w:lvl>
    <w:lvl w:ilvl="5" w:tplc="140A001B" w:tentative="1">
      <w:start w:val="1"/>
      <w:numFmt w:val="lowerRoman"/>
      <w:lvlText w:val="%6."/>
      <w:lvlJc w:val="right"/>
      <w:pPr>
        <w:ind w:left="4422" w:hanging="180"/>
      </w:pPr>
    </w:lvl>
    <w:lvl w:ilvl="6" w:tplc="140A000F" w:tentative="1">
      <w:start w:val="1"/>
      <w:numFmt w:val="decimal"/>
      <w:lvlText w:val="%7."/>
      <w:lvlJc w:val="left"/>
      <w:pPr>
        <w:ind w:left="5142" w:hanging="360"/>
      </w:pPr>
    </w:lvl>
    <w:lvl w:ilvl="7" w:tplc="140A0019" w:tentative="1">
      <w:start w:val="1"/>
      <w:numFmt w:val="lowerLetter"/>
      <w:lvlText w:val="%8."/>
      <w:lvlJc w:val="left"/>
      <w:pPr>
        <w:ind w:left="5862" w:hanging="360"/>
      </w:pPr>
    </w:lvl>
    <w:lvl w:ilvl="8" w:tplc="140A001B" w:tentative="1">
      <w:start w:val="1"/>
      <w:numFmt w:val="lowerRoman"/>
      <w:lvlText w:val="%9."/>
      <w:lvlJc w:val="right"/>
      <w:pPr>
        <w:ind w:left="6582" w:hanging="180"/>
      </w:pPr>
    </w:lvl>
  </w:abstractNum>
  <w:num w:numId="1" w16cid:durableId="1549145989">
    <w:abstractNumId w:val="1"/>
  </w:num>
  <w:num w:numId="2" w16cid:durableId="69274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EA0"/>
    <w:rsid w:val="00012EFC"/>
    <w:rsid w:val="00027889"/>
    <w:rsid w:val="0005207B"/>
    <w:rsid w:val="000725CD"/>
    <w:rsid w:val="000C0669"/>
    <w:rsid w:val="000C638E"/>
    <w:rsid w:val="000D29C5"/>
    <w:rsid w:val="000D6EE2"/>
    <w:rsid w:val="000F3E3B"/>
    <w:rsid w:val="000F47C2"/>
    <w:rsid w:val="001061CC"/>
    <w:rsid w:val="00115FCF"/>
    <w:rsid w:val="001306DD"/>
    <w:rsid w:val="0014729B"/>
    <w:rsid w:val="001603EF"/>
    <w:rsid w:val="00172AB7"/>
    <w:rsid w:val="001A275E"/>
    <w:rsid w:val="001C0D93"/>
    <w:rsid w:val="002002AF"/>
    <w:rsid w:val="0023195D"/>
    <w:rsid w:val="002358E3"/>
    <w:rsid w:val="00264B8E"/>
    <w:rsid w:val="00270A3D"/>
    <w:rsid w:val="002953E4"/>
    <w:rsid w:val="002A48F2"/>
    <w:rsid w:val="0030183D"/>
    <w:rsid w:val="003325AD"/>
    <w:rsid w:val="00361314"/>
    <w:rsid w:val="003801F0"/>
    <w:rsid w:val="00386ADF"/>
    <w:rsid w:val="003A0A9E"/>
    <w:rsid w:val="003C243D"/>
    <w:rsid w:val="003D4DC4"/>
    <w:rsid w:val="003E118C"/>
    <w:rsid w:val="003F060F"/>
    <w:rsid w:val="00411933"/>
    <w:rsid w:val="0044081D"/>
    <w:rsid w:val="00453AC9"/>
    <w:rsid w:val="00485C23"/>
    <w:rsid w:val="00502B74"/>
    <w:rsid w:val="00562212"/>
    <w:rsid w:val="0058042D"/>
    <w:rsid w:val="005969DE"/>
    <w:rsid w:val="005D025F"/>
    <w:rsid w:val="0060188F"/>
    <w:rsid w:val="00664F3A"/>
    <w:rsid w:val="0067513A"/>
    <w:rsid w:val="006D6DBB"/>
    <w:rsid w:val="006E0EC6"/>
    <w:rsid w:val="007163BB"/>
    <w:rsid w:val="00721098"/>
    <w:rsid w:val="0072170D"/>
    <w:rsid w:val="0074697C"/>
    <w:rsid w:val="0075409E"/>
    <w:rsid w:val="0076087E"/>
    <w:rsid w:val="00761D29"/>
    <w:rsid w:val="007F4C46"/>
    <w:rsid w:val="008142D8"/>
    <w:rsid w:val="00820C2D"/>
    <w:rsid w:val="0082391C"/>
    <w:rsid w:val="00827576"/>
    <w:rsid w:val="00843006"/>
    <w:rsid w:val="00890B35"/>
    <w:rsid w:val="00890F0D"/>
    <w:rsid w:val="00891DD1"/>
    <w:rsid w:val="008A1399"/>
    <w:rsid w:val="008A3E2B"/>
    <w:rsid w:val="008D4491"/>
    <w:rsid w:val="008E43BB"/>
    <w:rsid w:val="00907F0A"/>
    <w:rsid w:val="009215D0"/>
    <w:rsid w:val="0093552F"/>
    <w:rsid w:val="00953A21"/>
    <w:rsid w:val="00955E7F"/>
    <w:rsid w:val="0095726B"/>
    <w:rsid w:val="00962E23"/>
    <w:rsid w:val="00966604"/>
    <w:rsid w:val="009A35A2"/>
    <w:rsid w:val="009B6057"/>
    <w:rsid w:val="009E30F4"/>
    <w:rsid w:val="009F3496"/>
    <w:rsid w:val="00A10AAC"/>
    <w:rsid w:val="00A71629"/>
    <w:rsid w:val="00A97724"/>
    <w:rsid w:val="00AC6246"/>
    <w:rsid w:val="00B73ECE"/>
    <w:rsid w:val="00BE360E"/>
    <w:rsid w:val="00C31521"/>
    <w:rsid w:val="00CA4E66"/>
    <w:rsid w:val="00CB6B56"/>
    <w:rsid w:val="00CC2D74"/>
    <w:rsid w:val="00D02FF1"/>
    <w:rsid w:val="00DB748A"/>
    <w:rsid w:val="00DD0954"/>
    <w:rsid w:val="00DE2E85"/>
    <w:rsid w:val="00E00C10"/>
    <w:rsid w:val="00E31FE6"/>
    <w:rsid w:val="00E532B2"/>
    <w:rsid w:val="00EC3277"/>
    <w:rsid w:val="00EC7627"/>
    <w:rsid w:val="00ED4AB8"/>
    <w:rsid w:val="00EE77E8"/>
    <w:rsid w:val="00EF6284"/>
    <w:rsid w:val="00F203A4"/>
    <w:rsid w:val="00F248E0"/>
    <w:rsid w:val="00F71223"/>
    <w:rsid w:val="00F83300"/>
    <w:rsid w:val="00FA2EA0"/>
    <w:rsid w:val="00FA37C8"/>
    <w:rsid w:val="00FC251F"/>
    <w:rsid w:val="00FC54D4"/>
    <w:rsid w:val="00FF665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8FD904"/>
  <w15:chartTrackingRefBased/>
  <w15:docId w15:val="{C48268C9-9B73-45F9-8F74-0D685C26B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A2EA0"/>
    <w:pPr>
      <w:widowControl w:val="0"/>
      <w:autoSpaceDE w:val="0"/>
      <w:autoSpaceDN w:val="0"/>
      <w:spacing w:after="0" w:line="240" w:lineRule="auto"/>
    </w:pPr>
    <w:rPr>
      <w:rFonts w:ascii="Verdana" w:eastAsia="Verdana" w:hAnsi="Verdana" w:cs="Verdana"/>
      <w:kern w:val="0"/>
      <w14:ligatures w14:val="none"/>
    </w:rPr>
  </w:style>
  <w:style w:type="paragraph" w:styleId="Ttulo1">
    <w:name w:val="heading 1"/>
    <w:basedOn w:val="Normal"/>
    <w:link w:val="Ttulo1Car"/>
    <w:uiPriority w:val="1"/>
    <w:qFormat/>
    <w:rsid w:val="00FA2EA0"/>
    <w:pPr>
      <w:ind w:left="1630"/>
      <w:jc w:val="center"/>
      <w:outlineLvl w:val="0"/>
    </w:pPr>
    <w:rPr>
      <w:b/>
      <w:bCs/>
      <w:sz w:val="20"/>
      <w:szCs w:val="20"/>
    </w:rPr>
  </w:style>
  <w:style w:type="paragraph" w:styleId="Ttulo2">
    <w:name w:val="heading 2"/>
    <w:basedOn w:val="Normal"/>
    <w:link w:val="Ttulo2Car"/>
    <w:uiPriority w:val="1"/>
    <w:qFormat/>
    <w:rsid w:val="00FA2EA0"/>
    <w:pPr>
      <w:ind w:left="668"/>
      <w:outlineLvl w:val="1"/>
    </w:pPr>
    <w:rPr>
      <w:b/>
      <w:bCs/>
      <w:i/>
      <w:i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FA2EA0"/>
    <w:rPr>
      <w:rFonts w:ascii="Verdana" w:eastAsia="Verdana" w:hAnsi="Verdana" w:cs="Verdana"/>
      <w:b/>
      <w:bCs/>
      <w:kern w:val="0"/>
      <w:sz w:val="20"/>
      <w:szCs w:val="20"/>
      <w14:ligatures w14:val="none"/>
    </w:rPr>
  </w:style>
  <w:style w:type="character" w:customStyle="1" w:styleId="Ttulo2Car">
    <w:name w:val="Título 2 Car"/>
    <w:basedOn w:val="Fuentedeprrafopredeter"/>
    <w:link w:val="Ttulo2"/>
    <w:uiPriority w:val="1"/>
    <w:rsid w:val="00FA2EA0"/>
    <w:rPr>
      <w:rFonts w:ascii="Verdana" w:eastAsia="Verdana" w:hAnsi="Verdana" w:cs="Verdana"/>
      <w:b/>
      <w:bCs/>
      <w:i/>
      <w:iCs/>
      <w:kern w:val="0"/>
      <w:sz w:val="20"/>
      <w:szCs w:val="20"/>
      <w14:ligatures w14:val="none"/>
    </w:rPr>
  </w:style>
  <w:style w:type="paragraph" w:styleId="Textoindependiente">
    <w:name w:val="Body Text"/>
    <w:basedOn w:val="Normal"/>
    <w:link w:val="TextoindependienteCar"/>
    <w:uiPriority w:val="1"/>
    <w:qFormat/>
    <w:rsid w:val="00FA2EA0"/>
    <w:rPr>
      <w:sz w:val="20"/>
      <w:szCs w:val="20"/>
    </w:rPr>
  </w:style>
  <w:style w:type="character" w:customStyle="1" w:styleId="TextoindependienteCar">
    <w:name w:val="Texto independiente Car"/>
    <w:basedOn w:val="Fuentedeprrafopredeter"/>
    <w:link w:val="Textoindependiente"/>
    <w:uiPriority w:val="1"/>
    <w:rsid w:val="00FA2EA0"/>
    <w:rPr>
      <w:rFonts w:ascii="Verdana" w:eastAsia="Verdana" w:hAnsi="Verdana" w:cs="Verdana"/>
      <w:kern w:val="0"/>
      <w:sz w:val="20"/>
      <w:szCs w:val="20"/>
      <w14:ligatures w14:val="none"/>
    </w:rPr>
  </w:style>
  <w:style w:type="paragraph" w:styleId="Prrafodelista">
    <w:name w:val="List Paragraph"/>
    <w:basedOn w:val="Normal"/>
    <w:uiPriority w:val="1"/>
    <w:qFormat/>
    <w:rsid w:val="00FA2EA0"/>
    <w:pPr>
      <w:ind w:left="102"/>
      <w:jc w:val="both"/>
    </w:pPr>
  </w:style>
  <w:style w:type="paragraph" w:styleId="Textonotapie">
    <w:name w:val="footnote text"/>
    <w:aliases w:val="FA Fu,Footnote Text Char Char Char Char Char,Footnote Text Char Char Char Char,Footnote reference,Footnote Text Char Char Char,FA Fu Car,FA Fu Car Car,Footnote Text Cha,FA Fußnotentext,FA Fuﬂnotentext,FA Fu?notentext,Ca"/>
    <w:basedOn w:val="Normal"/>
    <w:link w:val="TextonotapieCar"/>
    <w:unhideWhenUsed/>
    <w:qFormat/>
    <w:rsid w:val="00FA2EA0"/>
    <w:rPr>
      <w:sz w:val="20"/>
      <w:szCs w:val="20"/>
    </w:rPr>
  </w:style>
  <w:style w:type="character" w:customStyle="1" w:styleId="TextonotapieCar">
    <w:name w:val="Texto nota pie Car"/>
    <w:aliases w:val="FA Fu Car2,Footnote Text Char Char Char Char Char Car1,Footnote Text Char Char Char Char Car1,Footnote reference Car1,Footnote Text Char Char Char Car1,FA Fu Car Car2,FA Fu Car Car Car1,Footnote Text Cha Car1,FA Fußnotentext Car1"/>
    <w:basedOn w:val="Fuentedeprrafopredeter"/>
    <w:link w:val="Textonotapie"/>
    <w:uiPriority w:val="99"/>
    <w:rsid w:val="00FA2EA0"/>
    <w:rPr>
      <w:rFonts w:ascii="Verdana" w:eastAsia="Verdana" w:hAnsi="Verdana" w:cs="Verdana"/>
      <w:kern w:val="0"/>
      <w:sz w:val="20"/>
      <w:szCs w:val="20"/>
      <w14:ligatures w14:val="none"/>
    </w:rPr>
  </w:style>
  <w:style w:type="character" w:styleId="Refdenotaalpie">
    <w:name w:val="footnote reference"/>
    <w:basedOn w:val="Fuentedeprrafopredeter"/>
    <w:uiPriority w:val="99"/>
    <w:semiHidden/>
    <w:unhideWhenUsed/>
    <w:rsid w:val="00FA2EA0"/>
    <w:rPr>
      <w:vertAlign w:val="superscript"/>
    </w:rPr>
  </w:style>
  <w:style w:type="character" w:styleId="Refdecomentario">
    <w:name w:val="annotation reference"/>
    <w:basedOn w:val="Fuentedeprrafopredeter"/>
    <w:uiPriority w:val="99"/>
    <w:semiHidden/>
    <w:unhideWhenUsed/>
    <w:rsid w:val="00FC251F"/>
    <w:rPr>
      <w:sz w:val="16"/>
      <w:szCs w:val="16"/>
    </w:rPr>
  </w:style>
  <w:style w:type="paragraph" w:styleId="Textocomentario">
    <w:name w:val="annotation text"/>
    <w:basedOn w:val="Normal"/>
    <w:link w:val="TextocomentarioCar"/>
    <w:uiPriority w:val="99"/>
    <w:unhideWhenUsed/>
    <w:rsid w:val="00FC251F"/>
    <w:rPr>
      <w:sz w:val="20"/>
      <w:szCs w:val="20"/>
    </w:rPr>
  </w:style>
  <w:style w:type="character" w:customStyle="1" w:styleId="TextocomentarioCar">
    <w:name w:val="Texto comentario Car"/>
    <w:basedOn w:val="Fuentedeprrafopredeter"/>
    <w:link w:val="Textocomentario"/>
    <w:uiPriority w:val="99"/>
    <w:rsid w:val="00FC251F"/>
    <w:rPr>
      <w:rFonts w:ascii="Verdana" w:eastAsia="Verdana" w:hAnsi="Verdana" w:cs="Verdana"/>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FC251F"/>
    <w:rPr>
      <w:b/>
      <w:bCs/>
    </w:rPr>
  </w:style>
  <w:style w:type="character" w:customStyle="1" w:styleId="AsuntodelcomentarioCar">
    <w:name w:val="Asunto del comentario Car"/>
    <w:basedOn w:val="TextocomentarioCar"/>
    <w:link w:val="Asuntodelcomentario"/>
    <w:uiPriority w:val="99"/>
    <w:semiHidden/>
    <w:rsid w:val="00FC251F"/>
    <w:rPr>
      <w:rFonts w:ascii="Verdana" w:eastAsia="Verdana" w:hAnsi="Verdana" w:cs="Verdana"/>
      <w:b/>
      <w:bCs/>
      <w:kern w:val="0"/>
      <w:sz w:val="20"/>
      <w:szCs w:val="20"/>
      <w14:ligatures w14:val="none"/>
    </w:rPr>
  </w:style>
  <w:style w:type="paragraph" w:styleId="Revisin">
    <w:name w:val="Revision"/>
    <w:hidden/>
    <w:uiPriority w:val="99"/>
    <w:semiHidden/>
    <w:rsid w:val="00FC251F"/>
    <w:pPr>
      <w:spacing w:after="0" w:line="240" w:lineRule="auto"/>
    </w:pPr>
    <w:rPr>
      <w:rFonts w:ascii="Verdana" w:eastAsia="Verdana" w:hAnsi="Verdana" w:cs="Verdana"/>
      <w:kern w:val="0"/>
      <w14:ligatures w14:val="none"/>
    </w:rPr>
  </w:style>
  <w:style w:type="character" w:customStyle="1" w:styleId="TextonotapieCar1">
    <w:name w:val="Texto nota pie Car1"/>
    <w:aliases w:val="FA Fu Car1,Footnote Text Char Char Char Char Char Car,Footnote Text Char Char Char Char Car,Footnote reference Car,Footnote Text Char Char Char Car,FA Fu Car Car1,FA Fu Car Car Car,Footnote Text Cha Car,FA Fußnotentext Car,Ca Car"/>
    <w:basedOn w:val="Fuentedeprrafopredeter"/>
    <w:semiHidden/>
    <w:qFormat/>
    <w:locked/>
    <w:rsid w:val="00172AB7"/>
    <w:rPr>
      <w:rFonts w:ascii="Verdana" w:hAnsi="Verdana"/>
      <w:sz w:val="20"/>
      <w:szCs w:val="20"/>
    </w:rPr>
  </w:style>
  <w:style w:type="paragraph" w:styleId="Encabezado">
    <w:name w:val="header"/>
    <w:basedOn w:val="Normal"/>
    <w:link w:val="EncabezadoCar"/>
    <w:uiPriority w:val="99"/>
    <w:unhideWhenUsed/>
    <w:rsid w:val="00F83300"/>
    <w:pPr>
      <w:tabs>
        <w:tab w:val="center" w:pos="4419"/>
        <w:tab w:val="right" w:pos="8838"/>
      </w:tabs>
    </w:pPr>
  </w:style>
  <w:style w:type="character" w:customStyle="1" w:styleId="EncabezadoCar">
    <w:name w:val="Encabezado Car"/>
    <w:basedOn w:val="Fuentedeprrafopredeter"/>
    <w:link w:val="Encabezado"/>
    <w:uiPriority w:val="99"/>
    <w:rsid w:val="00F83300"/>
    <w:rPr>
      <w:rFonts w:ascii="Verdana" w:eastAsia="Verdana" w:hAnsi="Verdana" w:cs="Verdana"/>
      <w:kern w:val="0"/>
      <w14:ligatures w14:val="none"/>
    </w:rPr>
  </w:style>
  <w:style w:type="paragraph" w:styleId="Piedepgina">
    <w:name w:val="footer"/>
    <w:basedOn w:val="Normal"/>
    <w:link w:val="PiedepginaCar"/>
    <w:uiPriority w:val="99"/>
    <w:unhideWhenUsed/>
    <w:rsid w:val="00F83300"/>
    <w:pPr>
      <w:tabs>
        <w:tab w:val="center" w:pos="4419"/>
        <w:tab w:val="right" w:pos="8838"/>
      </w:tabs>
    </w:pPr>
  </w:style>
  <w:style w:type="character" w:customStyle="1" w:styleId="PiedepginaCar">
    <w:name w:val="Pie de página Car"/>
    <w:basedOn w:val="Fuentedeprrafopredeter"/>
    <w:link w:val="Piedepgina"/>
    <w:uiPriority w:val="99"/>
    <w:rsid w:val="00F83300"/>
    <w:rPr>
      <w:rFonts w:ascii="Verdana" w:eastAsia="Verdana" w:hAnsi="Verdana" w:cs="Verdan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27A62C-7C32-4842-9B77-E8274244E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2363</Words>
  <Characters>13000</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5</cp:revision>
  <cp:lastPrinted>2023-09-07T21:22:00Z</cp:lastPrinted>
  <dcterms:created xsi:type="dcterms:W3CDTF">2023-09-07T21:22:00Z</dcterms:created>
  <dcterms:modified xsi:type="dcterms:W3CDTF">2023-11-01T16:02:00Z</dcterms:modified>
</cp:coreProperties>
</file>