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Loayza Tamayo Vs. Perú</w:t>
        <w:br/>
        <w:br/>
        <w:br/>
        <w:t xml:space="preserve">                       Sentencia de 3 de junio de 1999</w:t>
        <w:br/>
        <w:t xml:space="preserve">          (Interpretación de la Sentencia de Reparaciones y Costas)</w:t>
        <w:br/>
        <w:br/>
        <w:br/>
        <w:br/>
        <w:br/>
        <w:br/>
        <w:t>En el caso Loayza Tamayo,</w:t>
        <w:br/>
        <w:br/>
        <w:t>la Corte Interamericana de Derechos Humanos (en adelante “la  Corte”  o  “la</w:t>
        <w:br/>
        <w:t>Corte Interamericana”), integrada por los siguientes jueces:</w:t>
        <w:br/>
        <w:br/>
        <w:t xml:space="preserve">      Hernán Salgado Pesantes, Presidente</w:t>
        <w:br/>
        <w:t xml:space="preserve">      Antônio A. Cançado Trindade, Vicepresidente</w:t>
        <w:br/>
        <w:t xml:space="preserve">      Máximo Pacheco Gómez, Juez</w:t>
        <w:br/>
        <w:t xml:space="preserve">      Oliver Jackman,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Juez;</w:t>
        <w:br/>
        <w:br/>
        <w:t>presentes, además,</w:t>
        <w:br/>
        <w:br/>
        <w:t xml:space="preserve">     Manuel E. Ventura Robles, Secretario y</w:t>
        <w:br/>
        <w:t xml:space="preserve">     Renzo Pomi, Secretario adjunto</w:t>
        <w:br/>
        <w:br/>
        <w:t>de acuerdo con el artículo 67 de  la  Convención  Americana  sobre  Derechos</w:t>
        <w:br/>
        <w:t>Humanos (en adelante “la Convención” o  “la  Convención  Americana”)  y  los</w:t>
        <w:br/>
        <w:t>artículos  29.2  y  58  del  Reglamento  de  la  Corte  (en   adelante   “el</w:t>
        <w:br/>
        <w:t>Reglamento”) resuelve sobre la solicitud de interpretación de  la  sentencia</w:t>
        <w:br/>
        <w:t>emitida por la Corte el 27 de noviembre de 1998 en  el  caso  Loayza  Tamayo</w:t>
        <w:br/>
        <w:t>(en adelante “la sentencia sobre reparaciones”), presentada  por  el  Estado</w:t>
        <w:br/>
        <w:t>del Perú (en adelante “el Estado” o “el Perú”) el 2 de marzo de 1999.</w:t>
        <w:br/>
        <w:br/>
        <w:br/>
        <w:t xml:space="preserve">                                      I</w:t>
        <w:br/>
        <w:t xml:space="preserve">                                 Composición</w:t>
        <w:br/>
        <w:br/>
        <w:t>1.    De conformidad con el artículo  67  de  la  Convención,  la  Corte  es</w:t>
        <w:br/>
        <w:t>competente para interpretar sus fallos y, para  realizar  el  examen  de  la</w:t>
        <w:br/>
        <w:t>demanda  de  interpretación,  debe  integrarse,  si  es  posible,   con   la</w:t>
        <w:br/>
        <w:t>composición que tenía al dictar la sentencia respectiva (artículo  58.3  del</w:t>
        <w:br/>
        <w:t>Reglamento).  En esta ocasión, la  Corte  se  integra  con  los  jueces  que</w:t>
        <w:br/>
        <w:t>dictaron la  sentencia  sobre  reparaciones,  cuya  interpretación  ha  sido</w:t>
        <w:br/>
        <w:t>solicitada por el Perú.</w:t>
        <w:br/>
        <w:br/>
        <w:br/>
        <w:t xml:space="preserve">                                     II</w:t>
        <w:br/>
        <w:t xml:space="preserve">                Introducción de la demanda de interpretación</w:t>
        <w:br/>
        <w:br/>
        <w:t>2.    El 2 de marzo de 1999 el Estado presentó, de acuerdo con  el  artículo</w:t>
        <w:br/>
        <w:t>67 de la Convención  Americana  en  concordancia  con  el  artículo  58  del</w:t>
        <w:br/>
        <w:t>Reglamento,  una  demanda  de   interpretación   de   la   sentencia   sobre</w:t>
        <w:br/>
        <w:t>reparaciones.</w:t>
        <w:br/>
        <w:br/>
        <w:t>3.    Mediante nota de 5 de marzo de 1999, la Secretaría  de  la  Corte  (en</w:t>
        <w:br/>
        <w:t>adelante “la Secretaría) transmitió copias de la demanda  de  interpretación</w:t>
        <w:br/>
        <w:t>a la señora María Elena Loayza Tamayo, víctima en el presente caso, y  a  la</w:t>
        <w:br/>
        <w:t>Comisión Interamericana de Derechos Humanos (en  adelante  “la  Comisión”  o</w:t>
        <w:br/>
        <w:t>“la Comisión Interamericana”) y, de conformidad  con  lo  dispuesto  por  el</w:t>
        <w:br/>
        <w:t>Presidente, les invitó a presentar las alegaciones  escritas  que  estimasen</w:t>
        <w:br/>
        <w:t>pertinentes a más tardar el 5 de abril de 1999.</w:t>
        <w:br/>
        <w:br/>
        <w:t>4.    El 1 de abril de 1999 la Comisión presentó  sus  alegaciones  escritas</w:t>
        <w:br/>
        <w:t>sobre la demanda de interpretación.  La señora  María  Elena  Loayza  Tamayo</w:t>
        <w:br/>
        <w:t>presentó las suyas el 5 de abril de 1999.</w:t>
        <w:br/>
        <w:br/>
        <w:br/>
        <w:br/>
        <w:br/>
        <w:t xml:space="preserve">                                     III</w:t>
        <w:br/>
        <w:t xml:space="preserve">                            Objeto de la demanda</w:t>
        <w:br/>
        <w:br/>
        <w:t>5.    En la demanda de interpretación, el Estado  solicitó  a  la  Corte  la</w:t>
        <w:br/>
        <w:t>interpretación de diversos aspectos de la sentencia sobre reparaciones.   La</w:t>
        <w:br/>
        <w:t>primera cuestión planteada por  el  Estado  se  refiere  al  concepto  y  la</w:t>
        <w:br/>
        <w:t>extensión del núcleo familiar  tomado  en  consideración  por  la  Corte  al</w:t>
        <w:br/>
        <w:t>determinar los beneficiarios de  las  medidas  de  reparación.   En  segundo</w:t>
        <w:br/>
        <w:t>lugar, el  Perú  se  refiere  a  las  dificultades  que  se  presentan  para</w:t>
        <w:br/>
        <w:t>reincorporar a la señora María  Elena  Loayza  Tamayo,  de  acuerdo  con  el</w:t>
        <w:br/>
        <w:t>párrafo 192.1 de la sentencia sobre reparaciones,  al  servicio  docente  en</w:t>
        <w:br/>
        <w:t>instituciones públicas, en razón de que actualmente  reside  en  Chile.   En</w:t>
        <w:br/>
        <w:t>tercer lugar, el  Perú  se  refiere  a  las  supuestas  diferencias  en  los</w:t>
        <w:br/>
        <w:t>criterios adoptados  por  la  Corte  para  la  fijación  del  monto  de  las</w:t>
        <w:br/>
        <w:t>reparaciones otorgadas,  en  relación  con  los  aplicados  sobre  la  misma</w:t>
        <w:br/>
        <w:t>materia en los casos anteriores.  Por último,  el  Estado  cuestiona  si  la</w:t>
        <w:br/>
        <w:t>exención  de  impuestos  ordenada  por  la  Corte  comprende   también   los</w:t>
        <w:br/>
        <w:t>honorarios profesionales.</w:t>
        <w:br/>
        <w:br/>
        <w:t>6.     En  los  puntos  resolutivos  conducentes  de  la   sentencia   sobre</w:t>
        <w:br/>
        <w:t>reparaciones, la Corte decidió, por unanimidad,</w:t>
        <w:br/>
        <w:br/>
        <w:br/>
        <w:t xml:space="preserve">      como medidas de restitución,</w:t>
        <w:br/>
        <w:br/>
        <w:br/>
        <w:t xml:space="preserve">      [...]</w:t>
        <w:br/>
        <w:br/>
        <w:br/>
        <w:t xml:space="preserve">      1.    que el Estado del Perú debe tomar todas las  medidas  necesarias</w:t>
        <w:br/>
        <w:t xml:space="preserve">      para reincorporar a la señora María Elena Loayza  Tamayo  al  servicio</w:t>
        <w:br/>
        <w:t xml:space="preserve">      docente en instituciones públicas, en el entendimiento de que el monto</w:t>
        <w:br/>
        <w:t xml:space="preserve">      de sus salarios y otras prestaciones deberá ser equivalente a la  suma</w:t>
        <w:br/>
        <w:t xml:space="preserve">      de sus remuneraciones por esas actividades en los sectores  público  y</w:t>
        <w:br/>
        <w:t xml:space="preserve">      privado al momento de su detención, con valor actualizado a  la  fecha</w:t>
        <w:br/>
        <w:t xml:space="preserve">      de esta sentencia.</w:t>
        <w:br/>
        <w:br/>
        <w:br/>
        <w:t xml:space="preserve">      […]</w:t>
        <w:br/>
        <w:br/>
        <w:br/>
        <w:br/>
        <w:br/>
        <w:t xml:space="preserve">      como medidas de indemnización compensatoria,</w:t>
        <w:br/>
        <w:br/>
        <w:br/>
        <w:t xml:space="preserve">      por seis votos contra uno</w:t>
        <w:br/>
        <w:br/>
        <w:br/>
        <w:t xml:space="preserve">      4.    que el Estado del Perú debe pagar, en la forma y condiciones que</w:t>
        <w:br/>
        <w:t xml:space="preserve">      se expresan en los párrafos 183 a 190  de  esta  sentencia,  una  suma</w:t>
        <w:br/>
        <w:t xml:space="preserve">      global de US$167.190,30 (ciento sesenta y  siete  mil  ciento  noventa</w:t>
        <w:br/>
        <w:t xml:space="preserve">      dólares de los Estados Unidos de América con treinta centavos),  o  su</w:t>
        <w:br/>
        <w:t xml:space="preserve">      equivalente en moneda peruana, distribuida de la siguiente manera:</w:t>
        <w:br/>
        <w:br/>
        <w:br/>
        <w:t xml:space="preserve">      a.    US$99.190,30 (noventa y nueve mil ciento noventa dólares de  los</w:t>
        <w:br/>
        <w:t xml:space="preserve">      Estados Unidos de América con treinta centavos) o  su  equivalente  en</w:t>
        <w:br/>
        <w:t xml:space="preserve">      moneda peruana, a la señora María Elena Loayza Tamayo;</w:t>
        <w:br/>
        <w:br/>
        <w:br/>
        <w:t xml:space="preserve">      b.    US$15.000,00 (quince  mil  dólares  de  los  Estados  Unidos  de</w:t>
        <w:br/>
        <w:t xml:space="preserve">      América) o su equivalente en moneda peruana, a Gisselle Elena Zambrano</w:t>
        <w:br/>
        <w:t xml:space="preserve">      Loayza y US$15.000,00 (quince mil dólares de  los  Estados  Unidos  de</w:t>
        <w:br/>
        <w:t xml:space="preserve">      América) o su equivalente en moneda peruana, a Paul Abelardo  Zambrano</w:t>
        <w:br/>
        <w:t xml:space="preserve">      Loayza;</w:t>
        <w:br/>
        <w:br/>
        <w:br/>
        <w:t xml:space="preserve">      c.    US$10.000,00 (diez mil dólares de los Estados Unidos de América)</w:t>
        <w:br/>
        <w:t xml:space="preserve">      o su equivalente  en  moneda  peruana,  a  la  señora  Adelina  Tamayo</w:t>
        <w:br/>
        <w:t xml:space="preserve">      Trujillo de Loayza y US$10.000,00 (diez mil  dólares  de  los  Estados</w:t>
        <w:br/>
        <w:t xml:space="preserve">      Unidos de América) o su equivalente en moneda peruana, al señor  Julio</w:t>
        <w:br/>
        <w:t xml:space="preserve">      Loayza Sudario; y</w:t>
        <w:br/>
        <w:br/>
        <w:br/>
        <w:t xml:space="preserve">      d.    US$18.000,00 (dieciocho mil dólares de  los  Estados  Unidos  de</w:t>
        <w:br/>
        <w:t xml:space="preserve">      América) o su equivalente en moneda peruana, a  los  señores  Carolina</w:t>
        <w:br/>
        <w:t xml:space="preserve">      Maida Loayza Tamayo, Delia Haydee Loayza Tamayo, Olga  Adelina  Loayza</w:t>
        <w:br/>
        <w:t xml:space="preserve">      Tamayo, Giovanna  Elizabeth  Loayza  Tamayo,  Rubén  Edilberto  Loayza</w:t>
        <w:br/>
        <w:t xml:space="preserve">      Tamayo y Julio William Loayza Tamayo, correspondiéndole a cada uno  de</w:t>
        <w:br/>
        <w:t xml:space="preserve">      ellos la suma de US$3.000,00 (tres mil dólares de los  Estados  Unidos</w:t>
        <w:br/>
        <w:t xml:space="preserve">      de América) o su equivalente en moneda peruana.</w:t>
        <w:br/>
        <w:br/>
        <w:br/>
        <w:t xml:space="preserve">      [...]</w:t>
        <w:br/>
        <w:br/>
        <w:br/>
        <w:br/>
        <w:br/>
        <w:t xml:space="preserve">      con respecto a los honorarios y gastos,</w:t>
        <w:br/>
        <w:br/>
        <w:br/>
        <w:t xml:space="preserve">      [...]</w:t>
        <w:br/>
        <w:br/>
        <w:br/>
        <w:t xml:space="preserve">      7.    que el Estado del Perú debe pagar, por concepto de honorarios  y</w:t>
        <w:br/>
        <w:t xml:space="preserve">      gastos, en la forma y condiciones que se expresan en los párrafos  183</w:t>
        <w:br/>
        <w:t xml:space="preserve">      a 190 de esta sentencia, la suma de US$20.000,00 (veinte  mil  dólares</w:t>
        <w:br/>
        <w:t xml:space="preserve">      de los Estados Unidos de América) o su equivalente en moneda  peruana,</w:t>
        <w:br/>
        <w:t xml:space="preserve">      a la señora Carolina Maida Loayza Tamayo.</w:t>
        <w:br/>
        <w:br/>
        <w:br/>
        <w:br/>
        <w:br/>
        <w:t xml:space="preserve">      Asimismo, La Corte</w:t>
        <w:br/>
        <w:br/>
        <w:br/>
        <w:br/>
        <w:br/>
        <w:t xml:space="preserve">      decid[ió]:</w:t>
        <w:br/>
        <w:br/>
        <w:br/>
        <w:t xml:space="preserve">      […]</w:t>
        <w:br/>
        <w:br/>
        <w:br/>
        <w:t xml:space="preserve">      9.    que todo pago ordenado en la presente sentencia estará exento de</w:t>
        <w:br/>
        <w:t xml:space="preserve">      cualquier impuesto o tasa existente o  que  llegue  a  existir  en  el</w:t>
        <w:br/>
        <w:t xml:space="preserve">      futuro.</w:t>
        <w:br/>
        <w:br/>
        <w:t>7.    Determinados los cuatro aspectos de la  sentencia  sobre  reparaciones</w:t>
        <w:br/>
        <w:t>acerca de los cuales el Estado ha solicitado  su  interpretación,  la  Corte</w:t>
        <w:br/>
        <w:t>procederá seguidamente a considerar su admisibilidad.</w:t>
        <w:br/>
        <w:br/>
        <w:br/>
        <w:t xml:space="preserve">                                     IV</w:t>
        <w:br/>
        <w:t xml:space="preserve">                                Admisibilidad</w:t>
        <w:br/>
        <w:br/>
        <w:t>8.     El  artículo  67  de  la  Convención  exige,  como   presupuesto   de</w:t>
        <w:br/>
        <w:t>admisibilidad de la demanda de interpretación de  sentencia,  que  ésta  sea</w:t>
        <w:br/>
        <w:t>presentada “dentro  de  los  noventa  días  a  partir  de  la  fecha  de  la</w:t>
        <w:br/>
        <w:t>notificación del fallo”.  En el presente caso, la Corte  ha  constatado  que</w:t>
        <w:br/>
        <w:t>la sentencia sobre reparaciones fue notificada al Estado el 2  de  diciembre</w:t>
        <w:br/>
        <w:t>de 1998.   Por  lo  tanto,  la  demanda  de  interpretación  fue  presentada</w:t>
        <w:br/>
        <w:t>oportunamente (supra 2).</w:t>
        <w:br/>
        <w:br/>
        <w:t>9.    Con respecto a las observaciones presentadas por  la  Comisión  y  la</w:t>
        <w:br/>
        <w:t>señora María Elena Loayza Tamayo, las mismas fueron planteadas en tiempo y,</w:t>
        <w:br/>
        <w:t>por lo tanto, la Corte estima pertinente examinarlas.</w:t>
        <w:br/>
        <w:br/>
        <w:t>10.   Corresponde ahora a la Corte estudiar si los aspectos sustanciales  de</w:t>
        <w:br/>
        <w:t>la demanda  de  interpretación  cumplen  con  la  normativa  aplicable.   El</w:t>
        <w:br/>
        <w:t>artículo 58 del Reglamento establece, en lo conducente, que</w:t>
        <w:br/>
        <w:br/>
        <w:t xml:space="preserve">      [l]a demanda de interpretación a que se refiere el artículo 67  de 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br/>
        <w:br/>
        <w:t>De conformidad  con  la  norma  convencional  a  que  hace  referencia  este</w:t>
        <w:br/>
        <w:t>artículo, la Corte está facultada para interpretar sus fallos cuando  exista</w:t>
        <w:br/>
        <w:t>desacuerdo sobre el sentido o alcance de los mismos.</w:t>
        <w:br/>
        <w:br/>
        <w:t>11.    La  Comisión  Interamericana  indicó,  en  relación  con  la  demanda</w:t>
        <w:br/>
        <w:t>interpuesta por el Estado, que la misma no es propiamente una  solicitud  de</w:t>
        <w:br/>
        <w:t>interpretación sino  que  pretende  la  revocación  de  la  sentencia  sobre</w:t>
        <w:br/>
        <w:t>reparaciones, y que dicha demanda consiste “más bien  en  una  interpelación</w:t>
        <w:br/>
        <w:t>al Tribunal, porque en la misma  se  formulan  consideraciones  y  preguntas</w:t>
        <w:br/>
        <w:t>acerca de la motivación y fundamentación  del  fallo  más  no  de  su  parte</w:t>
        <w:br/>
        <w:t>resolutiva”.</w:t>
        <w:br/>
        <w:br/>
        <w:t>12.   La señora María Elena Loayza Tamayo, por su  parte,  solicitó  que  la</w:t>
        <w:br/>
        <w:t>Corte declarase improcedente la demanda de interpretación ya  que  la  misma</w:t>
        <w:br/>
        <w:t>“no  pretende  la  aclaración  de  puntos  resolutivos  del   fallo   o   de</w:t>
        <w:br/>
        <w:t>consideraciones que estén directamente vinculados con ellos; ni  expone  los</w:t>
        <w:br/>
        <w:t>puntos oscuros o ambiguos que ha encontrado en  la  sentencia  [...]  y  que</w:t>
        <w:br/>
        <w:t>están relacionados directamente con la ejecución de ésta”.</w:t>
        <w:br/>
        <w:br/>
        <w:t>13.   La Corte ha dicho que</w:t>
        <w:br/>
        <w:br/>
        <w:t xml:space="preserve">      [la] interpretación de una sentencia implica no sólo la precisión  del</w:t>
        <w:br/>
        <w:t xml:space="preserve">      texto  de  los  puntos  resolutivos  del  fallo,   sino   también   la</w:t>
        <w:br/>
        <w:t xml:space="preserve">      determinación del alcance, el sentido y la finalidad de la resolución,</w:t>
        <w:br/>
        <w:t xml:space="preserve">      de acuerdo con las consideraciones de  la  misma.   Este  ha  sido  el</w:t>
        <w:br/>
        <w:t xml:space="preserve">      criterio  de  la  jurisprudencia  internacional  (Eur.  Court  H.  R.,</w:t>
        <w:br/>
        <w:t xml:space="preserve">      Ringeisen Case (Interpretation of  the  Judgment  of  22  June  1972),</w:t>
        <w:br/>
        <w:t xml:space="preserve">      Judgment of 23 June 1973, Series A, Vol. 16)[1].</w:t>
        <w:br/>
        <w:br/>
        <w:br/>
        <w:t>14.   En el  mismo  sentido,  la  jurisprudencia  de  la  Corte  Europea  de</w:t>
        <w:br/>
        <w:t>Derechos Humanos ha establecido que la  materia  de  interpretación  de  una</w:t>
        <w:br/>
        <w:t>sentencia no puede modificar los aspectos de la misma  que  tengan  carácter</w:t>
        <w:br/>
        <w:t>obligatorio[2].</w:t>
        <w:br/>
        <w:br/>
        <w:t>15.   La  Corte  advierte,  del  examen  de  la  demanda  de  interpretación</w:t>
        <w:br/>
        <w:t>presentada por el Perú de acuerdo con el artículo 67 de  la  Convención,  en</w:t>
        <w:br/>
        <w:t>cuanto a los tres primeros puntos de  la  misma  (supra  5)  que  no  existe</w:t>
        <w:br/>
        <w:t>incertidumbre sobre el sentido y alcance del fallo, pues  en  dicha  demanda</w:t>
        <w:br/>
        <w:t>el Estado se limita a someter nuevamente a la Corte cuestiones  de  hecho  y</w:t>
        <w:br/>
        <w:t>de derecho que ya fueron planteadas en su oportunidad procesal y  sobre  las</w:t>
        <w:br/>
        <w:t>cuales este Tribunal ya adoptó decisión.</w:t>
        <w:br/>
        <w:br/>
        <w:br/>
        <w:t>16.   Por lo expresado, la Corte  considera  que,  con  respecto  a  dichos</w:t>
        <w:br/>
        <w:t>puntos, no es útil ni necesario dilucidar los cuestionamientos del  Estado.</w:t>
        <w:br/>
        <w:t>El sentido y alcance de las disposiciones cuya interpretación  se  pide  se</w:t>
        <w:br/>
        <w:t>desprende con claridad de la lectura conjunta  de  los  puntos  resolutivos</w:t>
        <w:br/>
        <w:t>primero y cuarto de la  sentencia  sobre  reparaciones.   Asimismo,  dichos</w:t>
        <w:br/>
        <w:t>puntos están claramente expuestos en los párrafos 92, 102 a 105 y 139 a 143</w:t>
        <w:br/>
        <w:t>de la indicada sentencia.</w:t>
        <w:br/>
        <w:br/>
        <w:t>17.   En cuanto a la cuestión relativa a los  honorarios  profesionales,  la</w:t>
        <w:br/>
        <w:t>Corte considera aplicable lo manifestado en un caso anterior, en el  sentido</w:t>
        <w:br/>
        <w:t>de que</w:t>
        <w:br/>
        <w:br/>
        <w:t xml:space="preserve">      contribuye  a  la  transparencia  de  los  actos  de  este   Tribunal,</w:t>
        <w:br/>
        <w:t xml:space="preserve">      esclarecer, cuando estime procedente, el contenido y  alcance  de  sus</w:t>
        <w:br/>
        <w:t xml:space="preserve">      sentencias y disipar cualquier duda sobre las mismas, sin  que  puedan</w:t>
        <w:br/>
        <w:t xml:space="preserve">      ser opuestas a tal propósito consideraciones de mera forma[3].</w:t>
        <w:br/>
        <w:br/>
        <w:t>18.   Con base en lo dicho, la Corte interpretará este cuarto aspecto de  la</w:t>
        <w:br/>
        <w:t>demanda interpuesta por el Estado.</w:t>
        <w:br/>
        <w:br/>
        <w:br/>
        <w:t xml:space="preserve">                                      V</w:t>
        <w:br/>
        <w:t xml:space="preserve">                    Sobre el pago de Honorarios y gastos</w:t>
        <w:br/>
        <w:br/>
        <w:t>19.   La Corte procede a interpretar el  punto  resolutivo  séptimo  de  la</w:t>
        <w:br/>
        <w:t>sentencia sobre reparaciones,  en  concordancia  con  el  punto  resolutivo</w:t>
        <w:br/>
        <w:t>noveno de la misma, mediante los cuales se dispuso la exención de impuestos</w:t>
        <w:br/>
        <w:t>al pago de honorarios y gastos (supra 6).</w:t>
        <w:br/>
        <w:br/>
        <w:t>20.   El Estado manifestó que la sentencia mencionada dispuso  el  pago  de</w:t>
        <w:br/>
        <w:t>US$20.000,00 (veinte mil dólares de los  Estados  Unidos  de  América)  por</w:t>
        <w:br/>
        <w:t>concepto de honorarios en favor de la hermana de la víctima en su condición</w:t>
        <w:br/>
        <w:t>de abogada y que  dicho  pago  parecería  estar  exento  de  todo  impuesto</w:t>
        <w:br/>
        <w:t>existente o que llegue a existir en el Perú. Sobre el particular la demanda</w:t>
        <w:br/>
        <w:t>de interpretación contiene diversas preguntas dirigidas a la Corte, que  se</w:t>
        <w:br/>
        <w:t>relacionan con el fundamento o razones  del  Tribunal  para  ordenar  dicha</w:t>
        <w:br/>
        <w:t>exención, y sobre la potestad del mismo para exonerar del pago de impuestos</w:t>
        <w:br/>
        <w:t>las sumas que reciben los profesionales por el ejercicio de  su  profesión.</w:t>
        <w:br/>
        <w:t>Finalmente, las preguntas del Estado se refieren a la potestad de la  Corte</w:t>
        <w:br/>
        <w:t>de exonerar  de  pago  de  impuestos,  considerando  lo  dispuesto  en  los</w:t>
        <w:br/>
        <w:t>artículos 29 y 32 de la Convención, así como con los principios  contenidos</w:t>
        <w:br/>
        <w:t>en el Preámbulo de la misma.</w:t>
        <w:br/>
        <w:br/>
        <w:t>21.   Por su parte, la Comisión, refiriéndose a esta cuestión, expresó  que</w:t>
        <w:br/>
        <w:t>es injusto  que  el  Estado  se  beneficie  mediante  la  retención  de  un</w:t>
        <w:br/>
        <w:t>porcentaje de la reparación por pagar  por  concepto  de  impuesto,  cuando</w:t>
        <w:br/>
        <w:t>dicho pago se debe a su propia conducta antijurídica.</w:t>
        <w:br/>
        <w:br/>
        <w:t>22.   La señora María Elena Loayza Tamayo señaló que el Perú no  manifiesta</w:t>
        <w:br/>
        <w:t>dudas sobre el alcance o sentido del fallo, sino que utiliza la demanda  de</w:t>
        <w:br/>
        <w:t>interpretación como medio de impugnación de lo resuelto  por  el  Tribunal.</w:t>
        <w:br/>
        <w:t>Los cuestionamientos del Estado son, en todo caso, extemporáneos,  pues  se</w:t>
        <w:br/>
        <w:t>refieren a materias que ya fueron objeto de consideración y decisión de  la</w:t>
        <w:br/>
        <w:t>Corte.</w:t>
        <w:br/>
        <w:br/>
        <w:t>23.   La Corte observa que la consulta formulada por el Estado se refiere a</w:t>
        <w:br/>
        <w:t>la exención de impuestos al pago de los “honorarios” de la  abogada  de  la</w:t>
        <w:br/>
        <w:t>señora Loayza Tamayo.  Sin embargo, corresponde precisar que  del  pago  de</w:t>
        <w:br/>
        <w:t>US$20.000,00 (veinte mil dólares de los Estados Unidos de América) en favor</w:t>
        <w:br/>
        <w:t>de la abogada Carolina Maida Loayza Tamayo, US$5.000,00 (cinco mil  dólares</w:t>
        <w:br/>
        <w:t>de los Estados Unidos de América) corresponden a costas, mientras  que  los</w:t>
        <w:br/>
        <w:t>restantes US$15.000,00  (quince  mil  dólares  de  los  Estados  Unidos  de</w:t>
        <w:br/>
        <w:t>América)  corresponden  a  los  honorarios  generados  por   su   actuación</w:t>
        <w:br/>
        <w:t>profesional.</w:t>
        <w:br/>
        <w:br/>
        <w:t>24.   En su reciente jurisprudencia,  y  particularmente  a  partir  de  la</w:t>
        <w:br/>
        <w:t>entrada en vigor del actual Reglamento, la  Corte  ha  reconocido  que  las</w:t>
        <w:br/>
        <w:t>costas</w:t>
        <w:br/>
        <w:br/>
        <w:t xml:space="preserve">      constituyen un asunto por considerar dentro del concepto de reparación</w:t>
        <w:br/>
        <w:t xml:space="preserve">      al que se refiere el  artículo  63.1  de  la  Convención,  puesto  que</w:t>
        <w:br/>
        <w:t xml:space="preserve">      derivan naturalmente de la actividad desplegada por  la  víctima,  sus</w:t>
        <w:br/>
        <w:t xml:space="preserve">      derechohabientes o  sus  representantes  para  obtener  la  resolución</w:t>
        <w:br/>
        <w:t xml:space="preserve">      jurisdiccional en la que se reconozca la violación cometida y se fijen</w:t>
        <w:br/>
        <w:t xml:space="preserve">      sus consecuencias jurídicas[4].</w:t>
        <w:br/>
        <w:br/>
        <w:t>Dentro del contexto citado, el monto del  pago  ordenado  en  favor  de  la</w:t>
        <w:br/>
        <w:t>abogada de la señora Loayza Tamayo fue considerado, en su oportunidad, como</w:t>
        <w:br/>
        <w:t>equitativo. De acuerdo con esta consideración, la esencia misma  del  fallo</w:t>
        <w:br/>
        <w:t>de la Corte en lo atinente a este aspecto es que, como parte  de  la  justa</w:t>
        <w:br/>
        <w:t>indemnización a que hace referencia el artículo 63.1 de la  Convención,  es</w:t>
        <w:br/>
        <w:t>“equitativo” que la abogada de la víctima reciba dichas cantidades en forma</w:t>
        <w:br/>
        <w:t>íntegra y efectiva.  Si  el  Estado  dedujese  algún  porcentaje  de  estas</w:t>
        <w:br/>
        <w:t>cantidades  por  concepto  de  gravámenes,  el  monto   recibido   por   la</w:t>
        <w:br/>
        <w:t>beneficiaria no sería el mismo fijado por la Corte.  Por lo  tanto,  en  la</w:t>
        <w:br/>
        <w:t>hipótesis mencionada, no se estaría dando cumplimiento a lo ordenado en  la</w:t>
        <w:br/>
        <w:t>sentencia sobre reparaciones.</w:t>
        <w:br/>
        <w:br/>
        <w:t>25.   La aplicación de  este  criterio  en  la  sentencia  de  reparaciones</w:t>
        <w:br/>
        <w:t>interpretada  es  concordante  con  la  jurisprudencia  constante  de  esta</w:t>
        <w:br/>
        <w:t>Corte[5] y de la Corte Europea de Derechos Humanos, la cual, cuando  ordena</w:t>
        <w:br/>
        <w:t>el pago de las costas, requiere al Estado que añada al valor del  pago  los</w:t>
        <w:br/>
        <w:t>impuestos que podrían ser aplicables[6] o  realiza  el  cálculo  respectivo</w:t>
        <w:br/>
        <w:t>ella misma y ordena el pago del monto resultante[7].</w:t>
        <w:br/>
        <w:br/>
        <w:t>26.   La Corte considera que no es pertinente emitir pronunciamiento  sobre</w:t>
        <w:br/>
        <w:t>cada una de las preguntas formuladas por el Estado en este aspecto, que  no</w:t>
        <w:br/>
        <w:t>plantean dudas sobre la interpretación de la sentencia, sino acerca de  los</w:t>
        <w:br/>
        <w:t>motivos que tuvo la Corte para dictarla.</w:t>
        <w:br/>
        <w:br/>
        <w:t>27.   Por lo tanto, la Corte reitera que el pago  de  honorarios  y  gastos</w:t>
        <w:br/>
        <w:t>profesionales ordenado en favor de la abogada de la señora Loayza Tamayo no</w:t>
        <w:br/>
        <w:t>puede ser gravado con tributo alguno por el Estado.</w:t>
        <w:br/>
        <w:br/>
        <w:t>28.   Una vez que la beneficiaria haya recibido el pago  íntegro  del  monto</w:t>
        <w:br/>
        <w:t>correspondiente a los honorarios y gastos que le es debido,  éste  pasará  a</w:t>
        <w:br/>
        <w:t>formar parte de su patrimonio.  El uso, administración o destino que  se  dé</w:t>
        <w:br/>
        <w:t>a esas sumas a partir de ese momento estarán sujetas a las  normas  peruanas</w:t>
        <w:br/>
        <w:t>aplicables.</w:t>
        <w:br/>
        <w:br/>
        <w:br/>
        <w:t xml:space="preserve">                                     VI</w:t>
        <w:br/>
        <w:br/>
        <w:t>29.   Por las razones dadas,</w:t>
        <w:br/>
        <w:br/>
        <w:br/>
        <w:t xml:space="preserve">      La Corte decide:</w:t>
        <w:br/>
        <w:br/>
        <w:t xml:space="preserve">      por unanimidad,</w:t>
        <w:br/>
        <w:br/>
        <w:br/>
        <w:t xml:space="preserve">      1.    Que la demanda de  interpretación  de  la  Sentencia  de  27  de</w:t>
        <w:br/>
        <w:t xml:space="preserve">           noviembre de 1998 en el caso Loayza Tamayo, interpuesta  por  el</w:t>
        <w:br/>
        <w:t xml:space="preserve">           Estado del Perú, es admisible únicamente en lo que se refiere al</w:t>
        <w:br/>
        <w:t xml:space="preserve">           pago por concepto de los honorarios y los  gastos  ordenados  en</w:t>
        <w:br/>
        <w:t xml:space="preserve">           favor de la señora Carolina Maida Loayza Tamayo.</w:t>
        <w:br/>
        <w:br/>
        <w:br/>
        <w:t xml:space="preserve">      2.     Que  la  señora  Carolina  Maida  Loayza  Tamayo  debe  recibir</w:t>
        <w:br/>
        <w:t xml:space="preserve">           íntegramente  y  efectiva,  el  pago  de  honorarios  y   gastos</w:t>
        <w:br/>
        <w:t xml:space="preserve">           ordenados por la Corte Interamericana de Derechos Humanos en  la</w:t>
        <w:br/>
        <w:t xml:space="preserve">           sentencia mencionada, y que dicho monto  no  estará  sujeto,  al</w:t>
        <w:br/>
        <w:t xml:space="preserve">           momento del pago, a deducción ni carga tributaria.</w:t>
        <w:br/>
        <w:br/>
        <w:br/>
        <w:t>REDACTADA EN ESPAÑOL E INGLÉS HACIENDO FE EL TEXTO EN ESPAÑOL,  EN  LA  SEDE</w:t>
        <w:br/>
        <w:t>DE LA CORTE EN SAN JOSÉ, COSTA RICA, EL DÍA 3 DE JUNIO DE 1999.</w:t>
        <w:br/>
        <w:br/>
        <w:br/>
        <w:br/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br/>
        <w:t>Antônio A. Cançado Trindade  Máximo Pacheco Gómez</w:t>
        <w:br/>
        <w:br/>
        <w:br/>
        <w:br/>
        <w:t>Oliver Jackman   Alirio Abreu Burelli</w:t>
        <w:br/>
        <w:br/>
        <w:br/>
        <w:br/>
        <w:br/>
        <w:t>Sergio García Ramírez  Carlos Vicente de Roux Rengifo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-----------------------</w:t>
        <w:br/>
        <w:t>[1]   Caso  Velásquez  Rodríguez,  Interpretación   de   la   Sentencia   de</w:t>
        <w:br/>
        <w:t>Indemnización Compensatoria (Art. 67  Convención  Americana  sobre  Derechos</w:t>
        <w:br/>
        <w:t>Humanos), Sentencia de 17 de agosto de 1990.  Serie C No. 9, párr. 26.</w:t>
        <w:br/>
        <w:br/>
        <w:t>[2]   Eur. Court H. R., Allenet de Ribemont v. France  Case  (Interpretation</w:t>
        <w:br/>
        <w:t>of the Judgment of 7 August 1996) y Eur. Court H.  R.,  Hentrich  v.  France</w:t>
        <w:br/>
        <w:t>Case (Interpretation of the Judgment of 3 July 1997),  Reports  o  Judgments</w:t>
        <w:br/>
        <w:t>and Decisions 1997-IV.</w:t>
        <w:br/>
        <w:t>[3]   Caso El  Amparo,  Solicitud  de  Interpretación  de  la  Sentencia  de</w:t>
        <w:br/>
        <w:t>Reparaciones de 14 de septiembre de 1996), Resolución de la Corte de  16  de</w:t>
        <w:br/>
        <w:t>abril de 1997, Informe Anual 1997, p. 133, considerando primero.</w:t>
        <w:br/>
        <w:t>[4]  Caso Garrido y Baigorria, Reparaciones (Art. 63.1 Convención  Americana</w:t>
        <w:br/>
        <w:t>sobre Derechos Humanos), Sentencia de 27 de agosto de 1998.  Serie C No.  39</w:t>
        <w:br/>
        <w:t>párr. 79.</w:t>
        <w:br/>
        <w:br/>
        <w:t>[5]  Ver, entre  otros,  Caso  Blake,  Reparaciones  (Art.  63.1  Convención</w:t>
        <w:br/>
        <w:t>Americana sobre Derechos Humanos), Sentencia de 22 de enero de 1999.   Serie</w:t>
        <w:br/>
        <w:t>C No. 48, punto resolutivo cuarto y Caso Suárez Rosero,  Reparaciones  (art.</w:t>
        <w:br/>
        <w:t>63.1 Convención Americana sobre Derechos Humanos), Sentencia de 20 de  enero</w:t>
        <w:br/>
        <w:t>de 1999.  Serie C No. 44, punto resolutivo cuarto aparte b.</w:t>
        <w:br/>
        <w:t>[6]  Ver, entre otros, Cour  eur.  D.H.,  arrêt  Bulut  c.  Autriche  du  22</w:t>
        <w:br/>
        <w:t>février 1996, Recueil des arrêts  et  décisions  1996-II,  punto  resolutivo</w:t>
        <w:br/>
        <w:t>cuarto.</w:t>
        <w:br/>
        <w:br/>
        <w:t>[7]   Ver, entre otros, Cour eur. D.H., arrêt Young, James et Webster du  18</w:t>
        <w:br/>
        <w:t>octobre 1982 (article 50), série A nº55, punto resolutivo segundo.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