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  Caso Ivcher Bronstein Vs. Perú</w:t>
        <w:br/>
        <w:br/>
        <w:br/>
        <w:t xml:space="preserve">                    Sentencia de 24 de septiembre de 1999</w:t>
        <w:br/>
        <w:br/>
        <w:t xml:space="preserve">                                (Competencia)</w:t>
        <w:br/>
        <w:br/>
        <w:br/>
        <w:br/>
        <w:br/>
        <w:br/>
        <w:t>En el caso Ivcher Bronstein,</w:t>
        <w:br/>
        <w:br/>
        <w:t>la Corte Interamericana de Derechos Humanos (en  adelante  “la  Corte”,  “la</w:t>
        <w:br/>
        <w:t>Corte Interamericana” o “el Tribunal”), integrada por los siguientes  jueces</w:t>
        <w:br/>
        <w:t>(*):</w:t>
        <w:br/>
        <w:br/>
        <w:t xml:space="preserve">      Antônio A. Cançado Trindade, Presidente</w:t>
        <w:br/>
        <w:t xml:space="preserve">      Máximo Pacheco Gómez, Vicepresidente</w:t>
        <w:br/>
        <w:t xml:space="preserve">      Oliver Jackman, Juez</w:t>
        <w:br/>
        <w:t xml:space="preserve">      Alirio Abreu Burelli, Juez</w:t>
        <w:br/>
        <w:t xml:space="preserve">      Sergio García Ramírez, Juez y</w:t>
        <w:br/>
        <w:t xml:space="preserve">      Carlos Vicente de Roux Rengifo, Juez</w:t>
        <w:br/>
        <w:br/>
        <w:t>presentes, además,</w:t>
        <w:br/>
        <w:br/>
        <w:t xml:space="preserve">      Manuel E. Ventura Robles, Secretario y</w:t>
        <w:br/>
        <w:t xml:space="preserve">      Renzo Pomi, Secretario adjunto</w:t>
        <w:br/>
        <w:br/>
        <w:t>de  acuerdo  con  el  artículo  29  de  su  Reglamento  (en   adelante   “el</w:t>
        <w:br/>
        <w:t>Reglamento”), dicta la siguiente sentencia  sobre  competencia  en  relación</w:t>
        <w:br/>
        <w:t>con el supuesto retiro por la República del Perú (en adelante “el Estado”  o</w:t>
        <w:br/>
        <w:t>“el Perú”) del reconocimiento de la competencia contenciosa de la Corte.</w:t>
        <w:br/>
        <w:br/>
        <w:br/>
        <w:t xml:space="preserve">                                      I</w:t>
        <w:br/>
        <w:t xml:space="preserve">                          Introducción de la causa</w:t>
        <w:br/>
        <w:br/>
        <w:t>1.    Este caso fue sometido a la Corte por la  Comisión  Interamericana  de</w:t>
        <w:br/>
        <w:t>Derechos Humanos (en adelante “la Comisión” o “la Comisión  Interamericana”)</w:t>
        <w:br/>
        <w:t>el 31 de marzo de 1999.  Se originó en la denuncia número  11.762,  recibida</w:t>
        <w:br/>
        <w:t>en la Secretaría de la Comisión el 7 de marzo de 1997.</w:t>
        <w:br/>
        <w:br/>
        <w:br/>
        <w:t xml:space="preserve">                                     II</w:t>
        <w:br/>
        <w:t xml:space="preserve">                       Hechos expuestos en la demanda</w:t>
        <w:br/>
        <w:br/>
        <w:t>2.    En los siguientes párrafos, la  Corte  resume  los  hechos  relevantes</w:t>
        <w:br/>
        <w:t>para el caso alegados por la Comisión en el escrito de demanda:</w:t>
        <w:br/>
        <w:br/>
        <w:t xml:space="preserve">      a)    Por resolución suprema emitida por el Presidente de la República</w:t>
        <w:br/>
        <w:t xml:space="preserve">      del Perú el 27 de noviembre  de  1984,  se  concedió  la  nacionalidad</w:t>
        <w:br/>
        <w:t xml:space="preserve">      peruana al señor Baruch Ivcher Bronstein (en adelante “señor Ivcher”),</w:t>
        <w:br/>
        <w:t xml:space="preserve">      nacido en Israel, bajo condición de que renunciara a  su  nacionalidad</w:t>
        <w:br/>
        <w:t xml:space="preserve">      israelí;</w:t>
        <w:br/>
        <w:br/>
        <w:br/>
        <w:t xml:space="preserve">      b)    el 6 de  diciembre  de  1984  el  señor  Ivcher  renunció  a  su</w:t>
        <w:br/>
        <w:t xml:space="preserve">      nacionalidad israelí y, al día siguiente, el  Ministro  de  Relaciones</w:t>
        <w:br/>
        <w:t xml:space="preserve">      Exteriores le expidió su título de nacionalidad peruana;</w:t>
        <w:br/>
        <w:br/>
        <w:br/>
        <w:t xml:space="preserve">      c)    la nacionalidad peruana es un requisito indispensable  para  ser</w:t>
        <w:br/>
        <w:t xml:space="preserve">      propietario  de  acciones  de  empresas  concesionarias   de   canales</w:t>
        <w:br/>
        <w:t xml:space="preserve">      televisivos en el Perú.  A mediados del año 1992, el señor Ivcher  era</w:t>
        <w:br/>
        <w:t xml:space="preserve">      propietario del 53.95 % de las acciones de la Compañía Latinoamericana</w:t>
        <w:br/>
        <w:t xml:space="preserve">      de Radiodifusión S.A. (en adelante “la Compañía”),  empresa  operadora</w:t>
        <w:br/>
        <w:t xml:space="preserve">      del Canal 2 de la televisión peruana, y los hermanos Samuel  y  Mendel</w:t>
        <w:br/>
        <w:t xml:space="preserve">      Winter Zuzunaga (en adelante “los hermanos Winter”) eran  propietarios</w:t>
        <w:br/>
        <w:t xml:space="preserve">      del 46% de las acciones de aquélla;</w:t>
        <w:br/>
        <w:br/>
        <w:br/>
        <w:t xml:space="preserve">      d)    en abril de 1997 el Canal 2 difundió, a través  de  su  programa</w:t>
        <w:br/>
        <w:t xml:space="preserve">      “Contrapunto”, denuncias sobre torturas  cometidas  por  miembros  del</w:t>
        <w:br/>
        <w:t xml:space="preserve">      Servicio de Inteligencia del Ejército del Perú,  así  como  reportajes</w:t>
        <w:br/>
        <w:t xml:space="preserve">      relacionados  con  ingresos  millonarios  percibidos  por   el   señor</w:t>
        <w:br/>
        <w:t xml:space="preserve">      Vladimiro Montesinos Torres, asesor de dicho Servicio de Inteligencia.</w:t>
        <w:br/>
        <w:t xml:space="preserve">       Como consecuencia  de  estas  denuncias,  miembros  de  la  Dirección</w:t>
        <w:br/>
        <w:t xml:space="preserve">      Nacional  de  la  Policía  Fiscal  sugirieron  al  señor  Ivcher   que</w:t>
        <w:br/>
        <w:t xml:space="preserve">      modificara su línea informativa;</w:t>
        <w:br/>
        <w:br/>
        <w:br/>
        <w:t xml:space="preserve">      e)    el 23 de mayo de 1997 se  abrió  “un  proceso  de  la  Dirección</w:t>
        <w:br/>
        <w:t xml:space="preserve">      Nacional de Policía Fiscal contra el señor Ivcher”, quien no concurrió</w:t>
        <w:br/>
        <w:t xml:space="preserve">      por encontrarse fuera del  país,  razón  por  la  cual  se  ordenó  su</w:t>
        <w:br/>
        <w:t xml:space="preserve">      detención.  El mismo día el Ejecutivo expidió un decreto  supremo  que</w:t>
        <w:br/>
        <w:t xml:space="preserve">      reglamentó la Ley de  Nacionalidad  y  estableció  la  posibilidad  de</w:t>
        <w:br/>
        <w:t xml:space="preserve">      cancelar la nacionalidad a los peruanos naturalizados;</w:t>
        <w:br/>
        <w:br/>
        <w:br/>
        <w:t xml:space="preserve">      f)    el 3 de junio de 1997 el señor Ivcher interpuso  una  acción  de</w:t>
        <w:br/>
        <w:t xml:space="preserve">      amparo, ante la amenaza que dicho decreto podría  significar  para  su</w:t>
        <w:br/>
        <w:t xml:space="preserve">      nacionalidad.  La acción fue declarada improcedente el 20  de  febrero</w:t>
        <w:br/>
        <w:t xml:space="preserve">      de 1998.  También se  resolvió  la  improcedencia  de  otras  demandas</w:t>
        <w:br/>
        <w:t xml:space="preserve">      tendientes  a  la  declaración  de  inconstitucionalidad  del  decreto</w:t>
        <w:br/>
        <w:t xml:space="preserve">      mencionado;</w:t>
        <w:br/>
        <w:br/>
        <w:br/>
        <w:t xml:space="preserve">      g)    en junio de 1997, por  resolución  administrativa,  el  Gobierno</w:t>
        <w:br/>
        <w:t xml:space="preserve">      peruano alteró la composición de la Sala Constitucional y Social de la</w:t>
        <w:br/>
        <w:t xml:space="preserve">      Corte  Suprema  de  Justicia  de  la  República.   Posteriormente,  la</w:t>
        <w:br/>
        <w:t xml:space="preserve">      mencionada Sala removió de sus cargos y reemplazó a los jueces que  se</w:t>
        <w:br/>
        <w:t xml:space="preserve">      desempeñaban como vocales especializados en derecho público;</w:t>
        <w:br/>
        <w:br/>
        <w:br/>
        <w:t xml:space="preserve">      h)    el 10 de julio de 1997, mientras el Canal 2 anunciaba la emisión</w:t>
        <w:br/>
        <w:t xml:space="preserve">      de  un  reportaje  sobre  interceptaciones  telefónicas  realizadas  a</w:t>
        <w:br/>
        <w:t xml:space="preserve">      candidatos opositores al Gobierno, el Director General de  la  Policía</w:t>
        <w:br/>
        <w:t xml:space="preserve">      Nacional expuso, en conferencia de prensa, conclusiones de un  informe</w:t>
        <w:br/>
        <w:t xml:space="preserve">      de la Dirección de Migraciones y Naturalización, según el cual  no  se</w:t>
        <w:br/>
        <w:t xml:space="preserve">      había  localizado  el  expediente  que  dio  origen   al   título   de</w:t>
        <w:br/>
        <w:t xml:space="preserve">      nacionalidad peruana del señor Ivcher, ni se había demostrado que éste</w:t>
        <w:br/>
        <w:t xml:space="preserve">      renunció a su nacionalidad israelí.  El 11 de los mismos mes y año, el</w:t>
        <w:br/>
        <w:t xml:space="preserve">      Director General de Migraciones y Naturalización emitió una resolución</w:t>
        <w:br/>
        <w:t xml:space="preserve">      que dejó sin efecto legal el título de nacionalidad del señor Ivcher;</w:t>
        <w:br/>
        <w:br/>
        <w:br/>
        <w:t xml:space="preserve">      i)    como resultado de una  demanda  de  amparo  presentada  por  los</w:t>
        <w:br/>
        <w:t xml:space="preserve">      hermanos Winter,  el  señor  Percy  Escobar,  Juez  Penal  provisional</w:t>
        <w:br/>
        <w:t xml:space="preserve">      designado en el Juzgado Especializado en Derecho Público,  ordenó  que</w:t>
        <w:br/>
        <w:t xml:space="preserve">      se suspendiera el ejercicio de los derechos que el señor Ivcher poseía</w:t>
        <w:br/>
        <w:t xml:space="preserve">      como accionista mayoritario de la  Compañía  y  su  nombramiento  como</w:t>
        <w:br/>
        <w:t xml:space="preserve">      Director y Presidente, se convocara  a  una  Junta  Extraordinaria  de</w:t>
        <w:br/>
        <w:t xml:space="preserve">      accionistas  para  elegir  un  nuevo  directorio,  se  prohibiera   la</w:t>
        <w:br/>
        <w:t xml:space="preserve">      transferencia de las acciones del señor Ivcher y  se  otorgara  a  los</w:t>
        <w:br/>
        <w:t xml:space="preserve">      demandantes la administración provisional de la Compañía;</w:t>
        <w:br/>
        <w:br/>
        <w:br/>
        <w:t xml:space="preserve">     j)    resultaron infructuosas las acciones interpuestas por  el  señor</w:t>
        <w:br/>
        <w:t xml:space="preserve">     Ivcher, a partir de julio de 1997, para obtener la  revocación  de  la</w:t>
        <w:br/>
        <w:t xml:space="preserve">     resolución que dejó sin  efecto  su  título  de  nacionalidad  y  para</w:t>
        <w:br/>
        <w:t xml:space="preserve">     suspender las consecuencias de la misma;</w:t>
        <w:br/>
        <w:br/>
        <w:br/>
        <w:t xml:space="preserve">      k)    el 19 de septiembre de 1997, el Juez Percy Escobar, asistido por</w:t>
        <w:br/>
        <w:t xml:space="preserve">      la fuerza pública del Perú, hizo entrega de la  administración  de  la</w:t>
        <w:br/>
        <w:t xml:space="preserve">      Compañía a los hermanos Winter e impidió el  ingreso  a  ésta  de  los</w:t>
        <w:br/>
        <w:t xml:space="preserve">      periodistas que laboraban en el programa “Contrapunto”; y</w:t>
        <w:br/>
        <w:br/>
        <w:br/>
        <w:t xml:space="preserve">      l)    en el padrón correspondiente al proceso electoral  realizado  en</w:t>
        <w:br/>
        <w:t xml:space="preserve">      el Perú el 12 de octubre de 1998, apareció anulada la inscripción  del</w:t>
        <w:br/>
        <w:t xml:space="preserve">      señor Ivcher.</w:t>
        <w:br/>
        <w:br/>
        <w:br/>
        <w:t xml:space="preserve">                                     III</w:t>
        <w:br/>
        <w:t xml:space="preserve">                       Procedimiento ante la Comisión</w:t>
        <w:br/>
        <w:br/>
        <w:t>3.    El 9 de junio de 1997  el  congresista  peruano  Javier  Diez  Canseco</w:t>
        <w:br/>
        <w:t>comunicó a la Comisión la posibilidad de que se privara al señor  Ivcher  de</w:t>
        <w:br/>
        <w:t>su nacionalidad peruana.  El 16 de julio de 1997 el Decano  del  Colegio  de</w:t>
        <w:br/>
        <w:t>Abogados de Lima, señor Vladimir Paz de  la  Barra,  presentó  una  denuncia</w:t>
        <w:br/>
        <w:t>ante la Comisión, alegando que el Estado peruano había dejado sin efecto  el</w:t>
        <w:br/>
        <w:t>título de nacionalidad peruana del señor Ivcher.</w:t>
        <w:br/>
        <w:br/>
        <w:t>4.    El 18  de  julio  de  1997  la  Comisión  abrió  el  caso  y  solicitó</w:t>
        <w:br/>
        <w:t>información sobre éste al Estado peruano.</w:t>
        <w:br/>
        <w:br/>
        <w:t>5.    El 26 de  agosto  de  1997  el  señor  Ivcher  pidió  audiencia  a  la</w:t>
        <w:br/>
        <w:t>Comisión, que a partir de esta solicitud,  lo  consideró  como  peticionario</w:t>
        <w:br/>
        <w:t>principal y víctima de las violaciones alegadas.</w:t>
        <w:br/>
        <w:br/>
        <w:t>6.    El Perú respondió a  la  Comisión  el  12  de  septiembre  de  1997  y</w:t>
        <w:br/>
        <w:t>solicitó que se declarara inadmisible la denuncia.</w:t>
        <w:br/>
        <w:br/>
        <w:t>7.    El 9 de octubre de 1997, durante el 97º  Período  de  Sesiones  de  la</w:t>
        <w:br/>
        <w:t>Comisión, se realizó una audiencia sobre la admisibilidad de la denuncia.</w:t>
        <w:br/>
        <w:br/>
        <w:t>8.    El 26 de febrero de 1998, durante el 98º Período  de  Sesiones  de  la</w:t>
        <w:br/>
        <w:t>Comisión, se celebró una  segunda   audiencia  sobre  la  admisibilidad  del</w:t>
        <w:br/>
        <w:t>presente caso.</w:t>
        <w:br/>
        <w:br/>
        <w:t>9.    Mediante nota de 29 de mayo de 1998 la Comisión se puso a  disposición</w:t>
        <w:br/>
        <w:t>de las partes para intentar una solución amistosa, y les pidió responder  en</w:t>
        <w:br/>
        <w:t>un plazo de treinta días.  Luego de una prórroga otorgada  a  solicitud  del</w:t>
        <w:br/>
        <w:t>Estado, éste  manifestó,  el  31  de  julio  de  1998,  que  no  consideraba</w:t>
        <w:br/>
        <w:t>conveniente iniciar un procedimiento de solución amistosa.</w:t>
        <w:br/>
        <w:br/>
        <w:t>10.   El 8 de octubre de 1998, durante  su  100º  Período  de  Sesiones,  la</w:t>
        <w:br/>
        <w:t>Comisión celebró una audiencia sobre aspectos de fondo.</w:t>
        <w:br/>
        <w:br/>
        <w:t>11.   El 9 de diciembre de 1998, durante su 101º  Período  de  Sesiones,  la</w:t>
        <w:br/>
        <w:t>Comisión aprobó el Informe número 94/98, que fue transmitido  al  Estado  el</w:t>
        <w:br/>
        <w:t>18 de los mismos mes y año.  En dicho Informe, la Comisión concluyó que:</w:t>
        <w:br/>
        <w:br/>
        <w:t xml:space="preserve">      [E]l Estado peruano  privó  arbitrariamente  al  señor  Ivcher  de  su</w:t>
        <w:br/>
        <w:t xml:space="preserve">      nacionalidad peruana (en contravención a lo establecido en el artículo</w:t>
        <w:br/>
        <w:t xml:space="preserve">      20(3) de la Convención), como un medio de suprimirle  la  libertad  de</w:t>
        <w:br/>
        <w:t xml:space="preserve">      expresión (consagrada en el artículo 13 de la Convención),  y  vulneró</w:t>
        <w:br/>
        <w:t xml:space="preserve">      también su derecho de propiedad (artículo 21 de la Convención), y  sus</w:t>
        <w:br/>
        <w:t xml:space="preserve">      derechos al debido proceso (artículo 8.1 de  la  Convención)  y  a  un</w:t>
        <w:br/>
        <w:t xml:space="preserve">      recurso sencillo y rápido ante un juez o tribunal competente (artículo</w:t>
        <w:br/>
        <w:t xml:space="preserve">      25 de la Convención), en contravención de la obligación  genérica  del</w:t>
        <w:br/>
        <w:t xml:space="preserve">      Estado peruano de respetar los derechos  y  libertades  de  todos  los</w:t>
        <w:br/>
        <w:t xml:space="preserve">      individuos dentro de su jurisdicción, emergente del artículo 1.1 de la</w:t>
        <w:br/>
        <w:t xml:space="preserve">      Convención Americana.</w:t>
        <w:br/>
        <w:br/>
        <w:t>Asimismo, la Comisión formuló las siguientes recomendaciones al Estado:</w:t>
        <w:br/>
        <w:br/>
        <w:t xml:space="preserve">      A.    Restablecer de inmediato al señor  Baruch  Ivcher  Bronstein  su</w:t>
        <w:br/>
        <w:t xml:space="preserve">      “Titulo de Nacionalidad”  peruana  y  reconocerle  en  forma  plena  e</w:t>
        <w:br/>
        <w:t xml:space="preserve">      incondicional su  nacionalidad  peruana,  con  todos  sus  derechos  y</w:t>
        <w:br/>
        <w:t xml:space="preserve">      atributos correspondientes.</w:t>
        <w:br/>
        <w:br/>
        <w:br/>
        <w:t xml:space="preserve">      B.    Cesar los actos de hostigamiento y persecución contra  el  señor</w:t>
        <w:br/>
        <w:t xml:space="preserve">      Ivcher Bronstein, y abstenerse de realizar nuevos actos en  contra  de</w:t>
        <w:br/>
        <w:t xml:space="preserve">      la libertad de expresión del señor Ivcher Bronstein.</w:t>
        <w:br/>
        <w:br/>
        <w:br/>
        <w:t xml:space="preserve">      C.    Efectuar los actos que sean necesarios para que  se  restablezca</w:t>
        <w:br/>
        <w:t xml:space="preserve">      la situación jurídica en el goce y ejercicio del derecho de  propiedad</w:t>
        <w:br/>
        <w:t xml:space="preserve">      del señor Baruch  Ivcher  Bronstein  sobre  acciones  de  la  Compañía</w:t>
        <w:br/>
        <w:t xml:space="preserve">      Latinoamericana de Radiodifusión S.A, y en consecuencia recupere todos</w:t>
        <w:br/>
        <w:t xml:space="preserve">      sus atributos como accionista y como administrador de dicha empresa.</w:t>
        <w:br/>
        <w:br/>
        <w:br/>
        <w:t xml:space="preserve">      D.    Indemnizar al señor Ivcher Bronstein por los daños materiales  y</w:t>
        <w:br/>
        <w:t xml:space="preserve">      morales  que  las  actuaciones  de  los  órganos   administrativos   y</w:t>
        <w:br/>
        <w:t xml:space="preserve">      judiciales del Estado peruano le haya[n] ocasionado.</w:t>
        <w:br/>
        <w:br/>
        <w:br/>
        <w:t xml:space="preserve">      E.    Adoptar las medidas legislativas y administrativas necesarias  a</w:t>
        <w:br/>
        <w:t xml:space="preserve">      fin de procurar evitar hechos de la misma naturaleza en el futuro.</w:t>
        <w:br/>
        <w:br/>
        <w:t>La Comisión también decidió transmitir el informe citado al  Estado  peruano</w:t>
        <w:br/>
        <w:t>y le  otorgó un plazo de dos meses para que adoptara las medidas  tendientes</w:t>
        <w:br/>
        <w:t>a dar cumplimiento a las recomendaciones formuladas.</w:t>
        <w:br/>
        <w:br/>
        <w:t>12.   Por nota de 17 de marzo de 1999 el Estado solicitó a la  Comisión  una</w:t>
        <w:br/>
        <w:t>prórroga de catorce días para  procurar  el  cumplimiento  amistoso  de  las</w:t>
        <w:br/>
        <w:t>recomendaciones emitidas por la Comisión y señaló que renunciaba  a  que  se</w:t>
        <w:br/>
        <w:t>computara dicho período dentro del plazo establecido en el artículo 51.1  de</w:t>
        <w:br/>
        <w:t>la Convención Americana sobre Derechos Humanos (en adelante “la  Convención”</w:t>
        <w:br/>
        <w:t>o “la Convención Americana”).</w:t>
        <w:br/>
        <w:br/>
        <w:t>13.   El 18 de marzo de 1999 la Comisión accedió  a  lo  solicitado  por  el</w:t>
        <w:br/>
        <w:t>Estado,  y  dispuso  que  la  prórroga  incrementase  el   plazo   para   la</w:t>
        <w:br/>
        <w:t>presentación de la demanda ante la Corte, que se extendería hasta el  31  de</w:t>
        <w:br/>
        <w:t>marzo de 1999.</w:t>
        <w:br/>
        <w:br/>
        <w:t>14.   Transcurrido el  día  convenido  para  que  el  Estado  acreditara  el</w:t>
        <w:br/>
        <w:t>cumplimiento  de  las  recomendaciones,  y  no  habiéndose  acreditado   tal</w:t>
        <w:br/>
        <w:t>cumplimiento, la Comisión  decidió  enviar  el  caso  a  la  Corte,  en  los</w:t>
        <w:br/>
        <w:t>términos del artículo 51 de la Convención.</w:t>
        <w:br/>
        <w:br/>
        <w:br/>
        <w:t xml:space="preserve">                                     IV</w:t>
        <w:br/>
        <w:t xml:space="preserve">                         Procedimiento ante la Corte</w:t>
        <w:br/>
        <w:br/>
        <w:t>15.   El 31 de marzo de 1999 la Comisión presentó una demanda  para  que  la</w:t>
        <w:br/>
        <w:t>Corte  decidiera  si  hubo  violación  de   los   artículos   8   (Garantías</w:t>
        <w:br/>
        <w:t>Judiciales); 13 (Libertad de Pensamiento y de Expresión); 20 (Derecho  a  la</w:t>
        <w:br/>
        <w:t>Nacionalidad);  21  (Derecho  a  la  Propiedad  Privada)  y  25  (Protección</w:t>
        <w:br/>
        <w:t>Judicial) de la Convención  Americana,  en  relación  con  el  artículo  1.1</w:t>
        <w:br/>
        <w:t>(Obligación de Respetar los Derechos) de  la  misma.   Igualmente,  solicitó</w:t>
        <w:br/>
        <w:t>que la Corte ordenara al Perú restablecer y garantizar al  señor  Ivcher  el</w:t>
        <w:br/>
        <w:t>goce integral de sus derechos violados, y en particular:</w:t>
        <w:br/>
        <w:br/>
        <w:t xml:space="preserve">      a.    Que disp[usiera] el restablecimiento del Título de  Nacionalidad</w:t>
        <w:br/>
        <w:t xml:space="preserve">      peruana del señor Ivcher Bronstein y el reconocimiento en forma  plena</w:t>
        <w:br/>
        <w:t xml:space="preserve">      e incondicional de su nacionalidad peruana, con todos los  derechos  y</w:t>
        <w:br/>
        <w:t xml:space="preserve">      atributos correspondientes.</w:t>
        <w:br/>
        <w:br/>
        <w:br/>
        <w:t xml:space="preserve">      b.    Que disp[usiera] el restablecimiento de la situación jurídica en</w:t>
        <w:br/>
        <w:t xml:space="preserve">      el goce  y  ejercicio  del  derecho  de  propiedad  del  señor  Ivcher</w:t>
        <w:br/>
        <w:t xml:space="preserve">      Bronstein  sobre  sus  acciones  de  la  Compañía  Latinoamericana  de</w:t>
        <w:br/>
        <w:t xml:space="preserve">      Radiodifusión S.A., y que disp[usiera] que el señor  Ivcher  Bronstein</w:t>
        <w:br/>
        <w:t xml:space="preserve">      recupere todos sus atributos como accionista y como  administrador  de</w:t>
        <w:br/>
        <w:t xml:space="preserve">      dicha empresa.</w:t>
        <w:br/>
        <w:br/>
        <w:br/>
        <w:t xml:space="preserve">      c.    Que orden[ara] al Estado  peruano  garantizar  al  señor  Ivcher</w:t>
        <w:br/>
        <w:t xml:space="preserve">      Bronstein el goce y  ejercicio  [de]  su  derecho  a  la  libertad  de</w:t>
        <w:br/>
        <w:t xml:space="preserve">      expresión, y en particular, que ces[ara] los actos de hostigamiento  y</w:t>
        <w:br/>
        <w:t xml:space="preserve">      persecución en su contra, incluidos los actos en contra de su  familia</w:t>
        <w:br/>
        <w:t xml:space="preserve">      y su empresa.</w:t>
        <w:br/>
        <w:br/>
        <w:br/>
        <w:t xml:space="preserve">      d.    Que orden[ara] al Estado peruano reparar e indemnizar plenamente</w:t>
        <w:br/>
        <w:t xml:space="preserve">      al señor Ivcher Bronstein por todos los daños materiales y morales que</w:t>
        <w:br/>
        <w:t xml:space="preserve">      la actuación de los órganos administrativos y judiciales del  Perú  le</w:t>
        <w:br/>
        <w:t xml:space="preserve">      hayan ocasionado.</w:t>
        <w:br/>
        <w:br/>
        <w:t>La Comisión también solicitó a la Corte que ordenara al Estado  la  adopción</w:t>
        <w:br/>
        <w:t>de las medidas legislativas y administrativas necesarias para evitar que  se</w:t>
        <w:br/>
        <w:t>repitan hechos de la misma naturaleza, y la investigación y sanción  de  los</w:t>
        <w:br/>
        <w:t>responsables de las violaciones de los derechos fundamentales  cometidas  en</w:t>
        <w:br/>
        <w:t>perjuicio del  señor  Ivcher.   Finalmente,  la  Comisión  solicitó  que  se</w:t>
        <w:br/>
        <w:t>condenara al Estado al pago de las costas y al reembolso de  los  gastos  en</w:t>
        <w:br/>
        <w:t>que incurrió la víctima para litigar  en  este  caso,  tanto  en  el  ámbito</w:t>
        <w:br/>
        <w:t>interno  como  en  el  sistema  interamericano,  incluyendo  los  honorarios</w:t>
        <w:br/>
        <w:t>razonables de sus representantes.</w:t>
        <w:br/>
        <w:br/>
        <w:t>16.   La Comisión designó como  delegados  a  los  señores  Hélio  Bicudo  y</w:t>
        <w:br/>
        <w:t>Claudio Grossman; como asesores a los  señores  Jorge  E.  Taiana,  Hernando</w:t>
        <w:br/>
        <w:t>Valencia Villa, Christina M. Cerna, Ignacio Alvarez  y  Santiago  Cantón,  y</w:t>
        <w:br/>
        <w:t>como asistentes a  los  señores  Alberto  A.  Borea  Odría,  Elliot  Abrams,</w:t>
        <w:br/>
        <w:t>Viviana Krsticevic y María Claudia Pulido.</w:t>
        <w:br/>
        <w:br/>
        <w:t>17.   De acuerdo con lo dispuesto en el artículo 34 del  Reglamento,  el  20</w:t>
        <w:br/>
        <w:t>de abril de 1999 el Presidente solicitó a la Comisión que subsanara  ciertos</w:t>
        <w:br/>
        <w:t>defectos en la presentación de la demanda, y  para  ello  se  le  otorgó  un</w:t>
        <w:br/>
        <w:t>plazo de veinte días.</w:t>
        <w:br/>
        <w:br/>
        <w:t>18.   El 5  de  mayo  de  1999  la  Comisión  subsanó  los  defectos  en  la</w:t>
        <w:br/>
        <w:t>documentación que acompañó en la demanda.</w:t>
        <w:br/>
        <w:br/>
        <w:t>19.   El 10 de mayo de 1999 la Secretaría  de  la  Corte  (en  adelante  “la</w:t>
        <w:br/>
        <w:t>Secretaría”) notificó al Estado la demanda y le  informó  sobre  los  plazos</w:t>
        <w:br/>
        <w:t>para contestarla, oponer excepciones preliminares y nombrar  representantes.</w:t>
        <w:br/>
        <w:t xml:space="preserve"> Asimismo, se comunicó al Estado que tenía derecho a designar Juez ad hoc.</w:t>
        <w:br/>
        <w:br/>
        <w:t>20.   El 17 de mayo de 1999 el Embajador del Perú en Costa Rica  comunicó  a</w:t>
        <w:br/>
        <w:t>la Corte que la demanda correspondiente a este caso había sido  recibida  el</w:t>
        <w:br/>
        <w:t>12 de mayo del mismo año en el Gabinete del  señor  Ministro  de  Relaciones</w:t>
        <w:br/>
        <w:t>Exteriores del Perú.</w:t>
        <w:br/>
        <w:br/>
        <w:t>21.   El 8 de junio de 1999  el  Estado  designó  al  señor  Mario  Federico</w:t>
        <w:br/>
        <w:t>Cavagnaro Basile como agente y al  señor  Sergio  Tapia  Tapia  como  agente</w:t>
        <w:br/>
        <w:t>alterno,  y  señaló  el  domicilio  donde  se  recibirían  oficialmente  las</w:t>
        <w:br/>
        <w:t>comunicaciones relativas al caso.</w:t>
        <w:br/>
        <w:br/>
        <w:t>22.   El 11 de junio de 1999  el  Estado  presentó  un  escrito  en  el  que</w:t>
        <w:br/>
        <w:t>expresó las discrepancias que a su juicio existían en cuanto al  plazo  para</w:t>
        <w:br/>
        <w:t>designar Juez ad hoc y solicitó, además, la ampliación de ese plazo  por  un</w:t>
        <w:br/>
        <w:t>tiempo razonable.  Dicha extensión fue concedida hasta el  11  de  julio  de</w:t>
        <w:br/>
        <w:t>1999.</w:t>
        <w:br/>
        <w:br/>
        <w:t>23.   El 4 de agosto de 1999 el Ministro y el Consejero de la  Embajada  del</w:t>
        <w:br/>
        <w:t>Perú en Costa Rica comparecieron ante la Corte Interamericana en  San  José,</w:t>
        <w:br/>
        <w:t>Costa Rica, para devolver  la  demanda  del  caso  Ivcher  Bronstein  y  sus</w:t>
        <w:br/>
        <w:t>anexos.  Dichos funcionarios entregaron a la Secretaría una nota de fecha  2</w:t>
        <w:br/>
        <w:t>de agosto de 1999, suscrita por el Ministro  de  Relaciones  Exteriores  del</w:t>
        <w:br/>
        <w:t>Perú, en la cual se manifiesta que:</w:t>
        <w:br/>
        <w:br/>
        <w:t xml:space="preserve">      a.    Mediante Resolución Legislativa Nº 27152, de fecha 8 de julio de</w:t>
        <w:br/>
        <w:t xml:space="preserve">      1999...  el  Congreso  de  la   República   aprobó   el   retiro   del</w:t>
        <w:br/>
        <w:t xml:space="preserve">      reconocimiento   de   la   competencia   contenciosa   de   la   Corte</w:t>
        <w:br/>
        <w:t xml:space="preserve">      Interamericana de Derechos Humanos.</w:t>
        <w:br/>
        <w:br/>
        <w:br/>
        <w:t xml:space="preserve">      b.    El 9 de julio de 1999, el Gobierno  de  la  República  del  Perú</w:t>
        <w:br/>
        <w:t xml:space="preserve">      procedió a depositar en la Secretaría General de  la  Organización  de</w:t>
        <w:br/>
        <w:t xml:space="preserve">      los Estados Americanos (OEA), el instrumento mediante el cual  declara</w:t>
        <w:br/>
        <w:t xml:space="preserve">      que, de acuerdo con la Convención Americana sobre Derechos Humanos, la</w:t>
        <w:br/>
        <w:t xml:space="preserve">      República del Perú retira  la  declaración  de  reconocimiento  de  la</w:t>
        <w:br/>
        <w:t xml:space="preserve">      cláusula facultativa de sometimiento a la competencia  contenciosa  de</w:t>
        <w:br/>
        <w:t xml:space="preserve">      la Corte Interamericana de Derechos Humanos...</w:t>
        <w:br/>
        <w:br/>
        <w:br/>
        <w:t xml:space="preserve">      c.    [E]l retiro del reconocimiento de la competencia contenciosa  de</w:t>
        <w:br/>
        <w:t xml:space="preserve">      la Corte produce efectos inmediatos a partir de la fecha del  depósito</w:t>
        <w:br/>
        <w:t xml:space="preserve">      del mencionado instrumento ante la Secretaría General de la OEA,  esto</w:t>
        <w:br/>
        <w:t xml:space="preserve">      es, a partir del 9 de julio de 1999, y se aplica a todos los casos  en</w:t>
        <w:br/>
        <w:t xml:space="preserve">      los que el Perú no hubiese  contestado  la  demanda  incoada  ante  la</w:t>
        <w:br/>
        <w:t xml:space="preserve">      Corte.</w:t>
        <w:br/>
        <w:br/>
        <w:t>Por último, en ese mismo escrito el Estado manifestó  que  “la  notificación</w:t>
        <w:br/>
        <w:t>contenida en la nota CDH-11.762/002,  de  fecha  10  de  mayo  de  1999,  se</w:t>
        <w:br/>
        <w:t>refiere a un caso en el que esa Honorable Corte ya  no  es  competente  para</w:t>
        <w:br/>
        <w:t>conocer de demandas interpuestas contra la República del Perú, al amparo  de</w:t>
        <w:br/>
        <w:t>la  competencia  contenciosa  prevista  en  la  Convención  Americana  sobre</w:t>
        <w:br/>
        <w:t>Derechos Humanos”.</w:t>
        <w:br/>
        <w:br/>
        <w:t>24.   El 10 de septiembre de 1999 la  Comisión  presentó  sus  observaciones</w:t>
        <w:br/>
        <w:t>sobre la devolución de la demanda y sus anexos por parte  del  Perú.  En  su</w:t>
        <w:br/>
        <w:t>escrito, la Comisión manifestó que:</w:t>
        <w:br/>
        <w:br/>
        <w:t xml:space="preserve">      a.    la Corte asumió competencia para considerar el presente  caso  a</w:t>
        <w:br/>
        <w:t xml:space="preserve">           partir del 31 de  marzo  de  1999,  fecha  en  que  la  Comisión</w:t>
        <w:br/>
        <w:t xml:space="preserve">           interpuso la demanda.  El supuesto “retiro”  de  la  competencia</w:t>
        <w:br/>
        <w:t xml:space="preserve">           contenciosa de la Corte el 9 de julio de 1999 y la devolución de</w:t>
        <w:br/>
        <w:t xml:space="preserve">           la demanda y sus anexos el 4 de agosto del mismo año por el Perú</w:t>
        <w:br/>
        <w:t xml:space="preserve">           no producen efecto alguno sobre el ejercicio de  la  competencia</w:t>
        <w:br/>
        <w:t xml:space="preserve">           del Tribunal en este caso;</w:t>
        <w:br/>
        <w:br/>
        <w:br/>
        <w:t xml:space="preserve">      b.    el acto unilateral de un Estado no puede privar  a  un  tribunal</w:t>
        <w:br/>
        <w:t xml:space="preserve">           internacional de la competencia que éste ha asumido previamente;</w:t>
        <w:br/>
        <w:t xml:space="preserve">           la posibilidad de  retirar  el  sometimiento  a  la  competencia</w:t>
        <w:br/>
        <w:t xml:space="preserve">           contenciosa de la  Corte  no  está  prevista  en  la  Convención</w:t>
        <w:br/>
        <w:t xml:space="preserve">           Americana, es incompatible  con  ésta  y  carece  de  fundamento</w:t>
        <w:br/>
        <w:t xml:space="preserve">           jurídico; y en caso de que no fuera así, el  retiro  requeriría,</w:t>
        <w:br/>
        <w:t xml:space="preserve">           para producir efectos, de  una  notificación  formulada  un  año</w:t>
        <w:br/>
        <w:t xml:space="preserve">           antes de la conclusión de sus efectos, en aras de la seguridad y</w:t>
        <w:br/>
        <w:t xml:space="preserve">           la estabilidad jurídicas.</w:t>
        <w:br/>
        <w:br/>
        <w:t>Por último, la Comisión solicitó a la Corte determinar que la devolución  de</w:t>
        <w:br/>
        <w:t>la demanda del caso Ivcher Bronstein y sus anexos  por  el  Perú,  no  tiene</w:t>
        <w:br/>
        <w:t>validez legal, continuar ejerciendo su competencia sobre el presente caso  y</w:t>
        <w:br/>
        <w:t>convocar a una audiencia pública sobre el fondo del mismo en la  más  pronta</w:t>
        <w:br/>
        <w:t>oportunidad procesal. (**)</w:t>
        <w:br/>
        <w:br/>
        <w:br/>
        <w:br/>
        <w:t xml:space="preserve">                                      V</w:t>
        <w:br/>
        <w:t xml:space="preserve">                                 Competencia</w:t>
        <w:br/>
        <w:br/>
        <w:t>A.    Hechos:</w:t>
        <w:br/>
        <w:br/>
        <w:t>25.   La Comisión  presentó  a  la  Corte  la  demanda  en  el  caso  Ivcher</w:t>
        <w:br/>
        <w:t>Bronstein el 31 de marzo de 1999.   El 10 de mayo de 1999 la Corte envió  al</w:t>
        <w:br/>
        <w:t>Estado la nota CDH- 11.762/002, mediante la cual le notificó dicha  demanda,</w:t>
        <w:br/>
        <w:t>y le envió copia de ésta y de los anexos que la acompañaban.   Asimismo,  la</w:t>
        <w:br/>
        <w:t>Corte informó al Estado que disponía de un mes para nombrar agente y  agente</w:t>
        <w:br/>
        <w:t>alterno, dos para someter excepciones preliminares y cuatro  para  responder</w:t>
        <w:br/>
        <w:t>la demanda.</w:t>
        <w:br/>
        <w:br/>
        <w:t>26.   Por una segunda nota del mismo 10 de mayo, Ref.  CDH  -11.762/003,  la</w:t>
        <w:br/>
        <w:t>Corte informó al Estado que  podía  designar  Juez  ad  hoc  dentro  de  los</w:t>
        <w:br/>
        <w:t>treinta días siguientes al nombramiento del agente.</w:t>
        <w:br/>
        <w:br/>
        <w:t>27.   El 17 de mayo de 1999 el Estado peruano comunicó a la  Secretaría  que</w:t>
        <w:br/>
        <w:t>había recibido la notificación del caso el 12 de mayo del mismo año.   El  8</w:t>
        <w:br/>
        <w:t>de junio designó agente y  agente  alterno  y  señaló  como  domicilio  para</w:t>
        <w:br/>
        <w:t>recibir comunicaciones la Embajada del Perú en San José, Costa Rica.</w:t>
        <w:br/>
        <w:br/>
        <w:t>28.   Mediante nota de 16 de julio de 1999, recibida en la Secretaría de  la</w:t>
        <w:br/>
        <w:t>Corte el 27 de los mismos mes  y  año,  la  Secretaría  General  de  la  OEA</w:t>
        <w:br/>
        <w:t>informó que, con fecha  9 de julio de 1999,  el  Perú  había  presentado  un</w:t>
        <w:br/>
        <w:t>instrumento  en  el  que  comunicaba  el  retiro  de   su   declaración   de</w:t>
        <w:br/>
        <w:t>reconocimiento de la cláusula facultativa de sometimiento a  la  competencia</w:t>
        <w:br/>
        <w:t>contenciosa de la Corte.</w:t>
        <w:br/>
        <w:br/>
        <w:t>Asimismo, transmitió copia del original de  dicho  instrumento,  fechado  en</w:t>
        <w:br/>
        <w:t>Lima el 8 de julio de 1999.  En éste, el Ministro de  Relaciones  Exteriores</w:t>
        <w:br/>
        <w:t>del Perú señalaba que el  Congreso  de  la  República,  mediante  Resolución</w:t>
        <w:br/>
        <w:t>Legislativa Nº 27.152 de la misma fecha, había aprobado el   retiro  en  los</w:t>
        <w:br/>
        <w:t>siguientes términos:</w:t>
        <w:br/>
        <w:br/>
        <w:t xml:space="preserve">            [...] que, de acuerdo con la Convención Americana sobre Derechos</w:t>
        <w:br/>
        <w:t xml:space="preserve">      Humanos, la República del Perú retira la Declaración de reconocimiento</w:t>
        <w:br/>
        <w:t xml:space="preserve">      de  la  cláusula  facultativa  de  sometimiento   a   la   competencia</w:t>
        <w:br/>
        <w:t xml:space="preserve">      contenciosa de la Corte Interamericana de Derechos Humanos,  hecha  en</w:t>
        <w:br/>
        <w:t xml:space="preserve">      su oportunidad por el gobierno peruano.</w:t>
        <w:br/>
        <w:br/>
        <w:br/>
        <w:t xml:space="preserve">            Este retiro del conocimiento de la competencia contenciosa de la</w:t>
        <w:br/>
        <w:t xml:space="preserve">      Corte Interamericana producirá efecto inmediato y se aplicará a  todos</w:t>
        <w:br/>
        <w:t xml:space="preserve">      los casos en que el Perú no hubiese contestado la demanda incoada ante</w:t>
        <w:br/>
        <w:t xml:space="preserve">      la Corte.</w:t>
        <w:br/>
        <w:br/>
        <w:t>29.   El 4 de agosto de 1999, el Ministro y el Consejero de la Embajada  del</w:t>
        <w:br/>
        <w:t>Perú ante el Gobierno de Costa Rica comparecieron en  la  Secretaría  de  la</w:t>
        <w:br/>
        <w:t>Corte Interamericana, y manifestaron que procedían a devolver la  demanda  y</w:t>
        <w:br/>
        <w:t>los anexos del caso Ivcher Bronstein, de lo cual la  Secretaría  levantó  un</w:t>
        <w:br/>
        <w:t>acta de recibimiento.</w:t>
        <w:br/>
        <w:br/>
        <w:t>30.   El Perú es Estado Parte en la Convención  Americana  desde  el  28  de</w:t>
        <w:br/>
        <w:t>julio de 1978.  En su instrumento  de  ratificación  de  la  Convención,  el</w:t>
        <w:br/>
        <w:t>Gobierno señaló que ésta había sido aprobada por Decreto Ley  Nº  22.231  de</w:t>
        <w:br/>
        <w:t>11 de julio de 1978 y que la tenía  como  Ley  del  Estado,  “comprometiendo</w:t>
        <w:br/>
        <w:t>para su observancia el honor de la República”.  El 21 de enero de 1981,  por</w:t>
        <w:br/>
        <w:t>su parte, el Perú aceptó la competencia  contenciosa  de  la  Corte  en  los</w:t>
        <w:br/>
        <w:t>siguientes términos:</w:t>
        <w:br/>
        <w:br/>
        <w:t xml:space="preserve">      [d]e acuerdo con lo prescrito en el parágrafo 1º del Artículo 62 de la</w:t>
        <w:br/>
        <w:t xml:space="preserve">      Convención antes mencionada, el Gobierno del Perú declara que reconoce</w:t>
        <w:br/>
        <w:t xml:space="preserve">      como obligatoria de  pleno  derecho  y  sin  convención  especial,  la</w:t>
        <w:br/>
        <w:t xml:space="preserve">      competencia de la Corte Interamericana de Derechos Humanos sobre todos</w:t>
        <w:br/>
        <w:t xml:space="preserve">      los casos relativos a la interpretación o aplicación de la Convención.</w:t>
        <w:br/>
        <w:br/>
        <w:br/>
        <w:t xml:space="preserve">      Este reconocimiento de competencia se hace por plazo  indeterminado  y</w:t>
        <w:br/>
        <w:t xml:space="preserve">      bajo condición de reciprocidad.</w:t>
        <w:br/>
        <w:br/>
        <w:t>31.   En el ejercicio de su competencia, la  Corte  asumió  el  conocimiento</w:t>
        <w:br/>
        <w:t>del caso Ivcher Bronstein el 31 de marzo  de  1999,  fecha  en  que  recibió</w:t>
        <w:br/>
        <w:t>formalmente la demanda correspondiente, presentada de  conformidad  con  los</w:t>
        <w:br/>
        <w:t>artículos 48, 50 y 51 de la Convención y 32 de su Reglamento.</w:t>
        <w:br/>
        <w:br/>
        <w:t>B.    Derecho:</w:t>
        <w:br/>
        <w:br/>
        <w:t>32.   La  cuestión  del  pretendido  retiro,  por  parte  del  Perú,  de  la</w:t>
        <w:br/>
        <w:t>declaración de reconocimiento de la competencia contenciosa de  la  Corte  y</w:t>
        <w:br/>
        <w:t>de los efectos jurídicos del mismo, debe ser  resuelta  por  este  Tribunal.</w:t>
        <w:br/>
        <w:t>La   Corte   Interamericana,   como    todo    órgano    con    competencias</w:t>
        <w:br/>
        <w:t>jurisdiccionales, tiene el poder inherente de determinar el  alcance  de  su</w:t>
        <w:br/>
        <w:t>propia competencia (compétence de la compétence/Kompetenz-Kompetenz).</w:t>
        <w:br/>
        <w:br/>
        <w:t>33.   La Corte no puede abdicar de  esta  prerrogativa,  que  además  es  un</w:t>
        <w:br/>
        <w:t>deber que impone la Convención Americana, para ejercer sus  funciones  según</w:t>
        <w:br/>
        <w:t>el artículo 62.3 de la misma.  Dicha disposición establece que</w:t>
        <w:br/>
        <w:br/>
        <w:t xml:space="preserve">      [l]a Corte tiene competencia para conocer de cualquier caso relativo a</w:t>
        <w:br/>
        <w:t xml:space="preserve">      la interpretación y aplicación de las disposiciones de esta Convención</w:t>
        <w:br/>
        <w:t xml:space="preserve">      que le sea sometido, siempre que los Estados Partes en el  caso  hayan</w:t>
        <w:br/>
        <w:t xml:space="preserve">      reconocido  o  reconozcan  dicha  competencia,  ora  por   declaración</w:t>
        <w:br/>
        <w:t xml:space="preserve">      especial, como se indica en los incisos anteriores, ora por convención</w:t>
        <w:br/>
        <w:t xml:space="preserve">      especial.</w:t>
        <w:br/>
        <w:br/>
        <w:t>34.   La competencia de la Corte no  puede  estar  condicionada  por  hechos</w:t>
        <w:br/>
        <w:t>distintos a sus propias actuaciones.  Los instrumentos de aceptación  de  la</w:t>
        <w:br/>
        <w:t>cláusula facultativa de la jurisdicción obligatoria  (artículo  62.1  de  la</w:t>
        <w:br/>
        <w:t>Convención) presuponen la admisión, por los Estados que  la  presentan,  del</w:t>
        <w:br/>
        <w:t>derecho de  la  Corte  a  resolver  cualquier  controversia  relativa  a  su</w:t>
        <w:br/>
        <w:t>jurisdicción.  Una objeción o cualquier otro acto interpuesto por el  Estado</w:t>
        <w:br/>
        <w:t>con el propósito de afectar la competencia de la Corte es  inocuo,  pues  en</w:t>
        <w:br/>
        <w:t>cualesquiera  circunstancias  la  Corte  retiene   la   compétence   de   la</w:t>
        <w:br/>
        <w:t>compétence, por ser maestra de su jurisdicción.</w:t>
        <w:br/>
        <w:br/>
        <w:t>35.   Al interpretar la Convención conforme a su objeto y  fin  (cfr.  infra</w:t>
        <w:br/>
        <w:t>39), la Corte debe actuar de tal manera que se preserve  la  integridad  del</w:t>
        <w:br/>
        <w:t>mecanismo previsto en el artículo 62.1 de la Convención.  Sería  inadmisible</w:t>
        <w:br/>
        <w:t>subordinar tal mecanismo  a  restricciones  súbitamente  agregadas  por  los</w:t>
        <w:br/>
        <w:t>Estados demandados a los términos de  sus  aceptaciones  de  la  competencia</w:t>
        <w:br/>
        <w:t>contenciosa del Tribunal, lo cual no sólo afectaría  la  eficacia  de  dicho</w:t>
        <w:br/>
        <w:t>mecanismo, sino que impediría su desarrollo futuro.</w:t>
        <w:br/>
        <w:br/>
        <w:t>36.   La aceptación de la competencia contenciosa  de  la  Corte  constituye</w:t>
        <w:br/>
        <w:t>una cláusula pétrea que no admite limitaciones  que  no  estén  expresamente</w:t>
        <w:br/>
        <w:t>contenidas en  el  artículo  62.1  de  la  Convención  Americana.   Dada  la</w:t>
        <w:br/>
        <w:t>fundamental importancia de dicha cláusula para la operación del  sistema  de</w:t>
        <w:br/>
        <w:t>protección de la Convención, no puede ella estar a  merced  de  limitaciones</w:t>
        <w:br/>
        <w:t>no previstas que sean invocadas por los Estados Partes por razones de  orden</w:t>
        <w:br/>
        <w:t>interno.</w:t>
        <w:br/>
        <w:br/>
        <w:t>37.   Los Estados Partes en la Convención deben garantizar  el  cumplimiento</w:t>
        <w:br/>
        <w:t>de las disposiciones convencionales y sus efectos propios (effet  utile)  en</w:t>
        <w:br/>
        <w:t>el plano de sus respectivos derechos internos.  Este principio se aplica  no</w:t>
        <w:br/>
        <w:t>sólo en relación con las normas sustantivas  de  los  tratados  de  derechos</w:t>
        <w:br/>
        <w:t>humanos (es decir,  las  que  contienen  disposiciones  sobre  los  derechos</w:t>
        <w:br/>
        <w:t>protegidos), sino también en relación con las normas  procesales,  tal  como</w:t>
        <w:br/>
        <w:t>la referente a la cláusula de aceptación de la competencia  contenciosa  del</w:t>
        <w:br/>
        <w:t>Tribunal[1].   Tal  cláusula,  esencial  a  la  eficacia  del  mecanismo  de</w:t>
        <w:br/>
        <w:t>protección internacional, debe ser interpretada y aplicada de  modo  que  la</w:t>
        <w:br/>
        <w:t>garantía que  establece  sea  verdaderamente  práctica  y  eficaz,  teniendo</w:t>
        <w:br/>
        <w:t>presentes el carácter especial de los tratados  de  derechos  humanos  (cfr.</w:t>
        <w:br/>
        <w:t>infra 42 a 45) y su implementación colectiva.</w:t>
        <w:br/>
        <w:br/>
        <w:t>38.   Según el artículo 31.1 de la Convención de Viena  sobre el Derecho  de</w:t>
        <w:br/>
        <w:t>los Tratados de 1969 (en adelante “la Convención de Viena”),</w:t>
        <w:br/>
        <w:br/>
        <w:t xml:space="preserve">      [u]n tratado deberá interpretarse de  buena  fe  conforme  al  sentido</w:t>
        <w:br/>
        <w:t xml:space="preserve">      corriente que haya de atribuirse a los  términos  del  tratado  en  el</w:t>
        <w:br/>
        <w:t xml:space="preserve">      contexto de éstos y teniendo en cuenta su objeto y fin.</w:t>
        <w:br/>
        <w:br/>
        <w:br/>
        <w:t xml:space="preserve">      [...]</w:t>
        <w:br/>
        <w:br/>
        <w:br/>
        <w:t>39.   La Convención Americana  estipula,  en  su  artículo  62.1,  que  todo</w:t>
        <w:br/>
        <w:t>Estado Parte puede,  en  el  momento  del  depósito  de  su  instrumento  de</w:t>
        <w:br/>
        <w:t>ratificación o adhesión, o en cualquier  momento  posterior,  declarar  “que</w:t>
        <w:br/>
        <w:t>reconoce como obligatoria de pleno derecho y  sin  convención  especial,  la</w:t>
        <w:br/>
        <w:t>competencia de la Corte sobre todos los casos relativos a la  interpretación</w:t>
        <w:br/>
        <w:t>o aplicación de esta Convención”.  No existe en la Convención  norma  alguna</w:t>
        <w:br/>
        <w:t>que expresamente faculte a los Estados Partes a retirar  su  declaración  de</w:t>
        <w:br/>
        <w:t>aceptación  de  la  competencia  obligatoria  de  la  Corte,  y  tampoco  el</w:t>
        <w:br/>
        <w:t>instrumento de aceptación por el Perú de la  competencia  de  la  Corte,  de</w:t>
        <w:br/>
        <w:t>fecha 21 de enero de 1981, prevé tal posibilidad.</w:t>
        <w:br/>
        <w:br/>
        <w:t>40.   Una interpretación de la Convención Americana “de  buena  fe  conforme</w:t>
        <w:br/>
        <w:t>al sentido corriente que haya de atribuirse a los términos  del  tratado  en</w:t>
        <w:br/>
        <w:t>el contexto de éstos y teniendo en cuenta su objeto y  fin”,  lleva  a  esta</w:t>
        <w:br/>
        <w:t>Corte a considerar que un Estado  Parte  en  la  Convención  Americana  sólo</w:t>
        <w:br/>
        <w:t>puede  desvincularse  de  sus  obligaciones  convencionales  observando  las</w:t>
        <w:br/>
        <w:t>disposiciones del propio tratado.  En las circunstancias del presente  caso,</w:t>
        <w:br/>
        <w:t>la única vía de que dispone el Estado para desvincularse del sometimiento  a</w:t>
        <w:br/>
        <w:t>la competencia contenciosa de la Corte, según la  Convención  Americana,  es</w:t>
        <w:br/>
        <w:t>la denuncia  del  tratado  como  un  todo  (cfr.  infra  46,  50);  si  esto</w:t>
        <w:br/>
        <w:t>ocurriera, dicha denuncia sólo produciría efectos conforme al  artículo  78,</w:t>
        <w:br/>
        <w:t>el cual establece un preaviso de un año.</w:t>
        <w:br/>
        <w:br/>
        <w:t>41.   El artículo 29.a de la  Convención  Americana  establece  que  ninguna</w:t>
        <w:br/>
        <w:t>disposición de la misma puede ser interpretada en el sentido de  permitir  a</w:t>
        <w:br/>
        <w:t>alguno de los Estados Partes, grupo o persona, suprimir el goce y  ejercicio</w:t>
        <w:br/>
        <w:t>de los derechos y libertades reconocidos en la Convención  o  limitarlos  en</w:t>
        <w:br/>
        <w:t>mayor medida que la prevista en ella.  Una interpretación de  la  Convención</w:t>
        <w:br/>
        <w:t>Americana en el sentido de permitir que un Estado  Parte  pueda  retirar  su</w:t>
        <w:br/>
        <w:t>reconocimiento de la competencia obligatoria  del  Tribunal,  como  pretende</w:t>
        <w:br/>
        <w:t>hacerse en el presente caso, implicaría la supresión del  ejercicio  de  los</w:t>
        <w:br/>
        <w:t>derechos y libertades reconocidos por la Convención, iría en  contra  de  su</w:t>
        <w:br/>
        <w:t>objeto y propósito como tratado de derechos humanos, y privaría a todos  los</w:t>
        <w:br/>
        <w:t>beneficiarios de la Convención de la garantía  adicional  de  protección  de</w:t>
        <w:br/>
        <w:t>tales derechos por medio de la actuación de su órgano jurisdiccional.</w:t>
        <w:br/>
        <w:br/>
        <w:t>42.   La Convención Americana, así  como  los  demás  tratados  de  derechos</w:t>
        <w:br/>
        <w:t>humanos,  se  inspiran  en  valores  comunes  superiores  (centrados  en  la</w:t>
        <w:br/>
        <w:t>protección del ser humano),  están  dotados  de  mecanismos  específicos  de</w:t>
        <w:br/>
        <w:t>supervisión, se aplican de conformidad con la noción de garantía  colectiva,</w:t>
        <w:br/>
        <w:t>consagran obligaciones de carácter  esencialmente  objetivo,  y  tienen  una</w:t>
        <w:br/>
        <w:t>naturaleza especial, que los diferencian de los demás tratados,  los  cuales</w:t>
        <w:br/>
        <w:t>reglamentan intereses recíprocos entre los Estados Partes  y  son  aplicados</w:t>
        <w:br/>
        <w:t>por éstos, con todas las consecuencias jurídicas que de ahí derivan  en  los</w:t>
        <w:br/>
        <w:t>ordenamientos jurídicos internacional e interno.</w:t>
        <w:br/>
        <w:br/>
        <w:t>43.   Al respecto, esta Corte ha señalado, en su Opinión Consultiva  OC-2/82</w:t>
        <w:br/>
        <w:t>de 24 de septiembre de 1982 denominada El Efecto de las  Reservas  Sobre  la</w:t>
        <w:br/>
        <w:t>Entrada en Vigencia de la Convención Americana (artículos 74 y 75), que</w:t>
        <w:br/>
        <w:br/>
        <w:t xml:space="preserve">      ... los tratados modernos sobre derechos humanos, en  general,  y,  en</w:t>
        <w:br/>
        <w:t xml:space="preserve">      particular, la Convención Americana, no  son  tratados  multilaterales</w:t>
        <w:br/>
        <w:t xml:space="preserve">      del  tipo  tradicional,  concluidos  en  función  de  un   intercambio</w:t>
        <w:br/>
        <w:t xml:space="preserve">      recíproco  de  derechos,  para  el  beneficio  mutuo  de  los  Estados</w:t>
        <w:br/>
        <w:t xml:space="preserve">      contratantes.  Su objeto y fin  son  la  protección  de  los  derechos</w:t>
        <w:br/>
        <w:t xml:space="preserve">      fundamentales  de  los  seres  humanos,   independientemente   de   su</w:t>
        <w:br/>
        <w:t xml:space="preserve">      nacionalidad, tanto frente a su propio Estado como frente a los  otros</w:t>
        <w:br/>
        <w:t xml:space="preserve">      Estados  contratantes.   Al  aprobar  estos  tratados  sobre  derechos</w:t>
        <w:br/>
        <w:t xml:space="preserve">      humanos, los Estados se someten a  un  orden  legal  dentro  del  cual</w:t>
        <w:br/>
        <w:t xml:space="preserve">      ellos, por el bien común, asumen varias obligaciones, no  en  relación</w:t>
        <w:br/>
        <w:t xml:space="preserve">      con otros Estados, sino hacia  los  individuos  bajo  su  jurisdicción</w:t>
        <w:br/>
        <w:t xml:space="preserve">      (párr. 29).</w:t>
        <w:br/>
        <w:br/>
        <w:t>44.   Dicho criterio coincide con la  jurisprudencia  convergente  de  otros</w:t>
        <w:br/>
        <w:t>órganos   jurisdiccionales   internacionales.    Al   respecto,   la   Corte</w:t>
        <w:br/>
        <w:t>Internacional de Justicia, en su Opinión Consultiva relativa  a  Reservas  a</w:t>
        <w:br/>
        <w:t>la Convención para la Prevención y Sanción del Delito de  Genocidio  (1951),</w:t>
        <w:br/>
        <w:t>afirmó que “en este tipo de tratados, los  Estados  contratantes  no  tienen</w:t>
        <w:br/>
        <w:t>intereses propios; solamente tienen, por encima de todo, un  interés  común:</w:t>
        <w:br/>
        <w:t>la consecución de los propósitos que son la razón de ser de la Convención”.</w:t>
        <w:br/>
        <w:br/>
        <w:t>45.   La  Comisión  y  Corte  Europeas  de  Derechos  Humanos  (en  adelante</w:t>
        <w:br/>
        <w:t>“Comisión Europea” y “Corte Europea”, respectivamente), a  su  vez,  se  han</w:t>
        <w:br/>
        <w:t>pronunciado en forma similar.  En el caso  Austria  vs.  Italia  (1961),  la</w:t>
        <w:br/>
        <w:t>Comisión Europea declaró que  las  obligaciones  asumidas  por  los  Estados</w:t>
        <w:br/>
        <w:t>Partes  en  la  Convención  Europea  de  Derechos   Humanos   (en   adelante</w:t>
        <w:br/>
        <w:t>“Convención Europea”) “son esencialmente  de  carácter  objetivo,  diseñadas</w:t>
        <w:br/>
        <w:t>para  proteger  los  derechos  fundamentales  de  los   seres   humanos   de</w:t>
        <w:br/>
        <w:t>violaciones de parte de las  Altas  Partes  Contratantes  en  vez  de  crear</w:t>
        <w:br/>
        <w:t>derechos subjetivos y recíprocos entre las  Altas  Partes  Contratantes”[2].</w:t>
        <w:br/>
        <w:t>En igual sentido, la Corte Europea afirmó, en  el  caso  Irlanda  vs.  Reino</w:t>
        <w:br/>
        <w:t>Unido (1978), que</w:t>
        <w:br/>
        <w:br/>
        <w:t xml:space="preserve">            a diferencia de los tratados internacionales del  tipo  clásico,</w:t>
        <w:br/>
        <w:t xml:space="preserve">      la Convención comprende más que simples compromisos  recíprocos  entre</w:t>
        <w:br/>
        <w:t xml:space="preserve">      los Estados Partes.  Crea, por encima de un  conjunto  de  compromisos</w:t>
        <w:br/>
        <w:t xml:space="preserve">      bilaterales, mutuos, obligaciones objetivas que, en los  términos  del</w:t>
        <w:br/>
        <w:t xml:space="preserve">      Preámbulo, cuentan con una 'garantía colectiva'[3].</w:t>
        <w:br/>
        <w:br/>
        <w:t>Igualmente, en el caso  Soering vs. Reino Unido  (1989),  la  Corte  Europea</w:t>
        <w:br/>
        <w:t>declaró que la Convención Europea “debe ser interpretada en  función  de  su</w:t>
        <w:br/>
        <w:t>carácter específico de tratado de garantía colectiva de derechos  humanos  y</w:t>
        <w:br/>
        <w:t>libertades fundamentales, y que el objeto  y  fin  de  este  instrumento  de</w:t>
        <w:br/>
        <w:t>protección de seres humanos exigen comprender y  aplicar  sus  disposiciones</w:t>
        <w:br/>
        <w:t>de manera que haga efectivas y concretas aquellas exigencias”[4].</w:t>
        <w:br/>
        <w:br/>
        <w:t>46.   En el funcionamiento  del  sistema  de  protección  consagrado  en  la</w:t>
        <w:br/>
        <w:t>Convención   Americana,   reviste   particular   importancia   la   cláusula</w:t>
        <w:br/>
        <w:t>facultativa  de  aceptación  de  la  competencia  contenciosa  de  la  Corte</w:t>
        <w:br/>
        <w:t>Interamericana.  Al someterse a esa cláusula queda el Estado vinculado a  la</w:t>
        <w:br/>
        <w:t>integridad de la Convención, y comprometido por completo con la garantía  de</w:t>
        <w:br/>
        <w:t>protección  internacional  de  los  derechos  humanos  consagrada  en  dicha</w:t>
        <w:br/>
        <w:t>Convención.  El Estado Parte sólo puede sustraerse a la  competencia  de  la</w:t>
        <w:br/>
        <w:t>Corte mediante la denuncia del tratado como un todo (cfr.  supra  40,  infra</w:t>
        <w:br/>
        <w:t>50).  El instrumento de aceptación de  la  competencia  de  la  Corte  debe,</w:t>
        <w:br/>
        <w:t>pues, ser  apreciado  siempre  a  la  luz  del  objeto  y  propósito  de  la</w:t>
        <w:br/>
        <w:t>Convención Americana como tratado de derechos humanos.</w:t>
        <w:br/>
        <w:br/>
        <w:t>47.   Hay que descartar cualquier analogía entre, por un lado,  la  práctica</w:t>
        <w:br/>
        <w:t>estatal permisiva desarrollada bajo el artículo  36.2  del  Estatuto  de  la</w:t>
        <w:br/>
        <w:t>Corte Internacional de Justicia, y, por  otro  lado,  la  aceptación  de  la</w:t>
        <w:br/>
        <w:t>cláusula facultativa de la jurisdicción obligatoria de esta Corte,  teniendo</w:t>
        <w:br/>
        <w:t>presentes el carácter especial,  así  como  el  objeto  y  propósito  de  la</w:t>
        <w:br/>
        <w:t>Convención Americana.  En este  sentido  se  ha  pronunciado  igualmente  la</w:t>
        <w:br/>
        <w:t>Corte Europea  de  Derechos  Humanos,  en  su  sentencia  sobre  excepciones</w:t>
        <w:br/>
        <w:t>preliminares en el caso Loizidou vs. Turquía  (1995),  en  relación  con  la</w:t>
        <w:br/>
        <w:t>cláusula facultativa de su  jurisdicción  obligatoria  (artículo  46  de  la</w:t>
        <w:br/>
        <w:t>Convención Europea, anteriormente a la entrada en vigor, el 01.11.1998,  del</w:t>
        <w:br/>
        <w:t>Protocolo XI a la Convención Europea)[5], fundamentando su  posición  en  el</w:t>
        <w:br/>
        <w:t>carácter  de  “tratado  normativo”  (law-making  treaty)  de  la  Convención</w:t>
        <w:br/>
        <w:t>Europea[6].</w:t>
        <w:br/>
        <w:br/>
        <w:t>48.   En efecto, la solución internacional  de  casos  de  derechos  humanos</w:t>
        <w:br/>
        <w:t>(confiada a tribunales como las Cortes Interamericana y Europea de  Derechos</w:t>
        <w:br/>
        <w:t>Humanos), no admite analogías con  la  solución  pacífica  de  controversias</w:t>
        <w:br/>
        <w:t>internacionales en el contencioso  puramente  interestatal  (confiada  a  un</w:t>
        <w:br/>
        <w:t>tribunal como la Corte Internacional de Justicia);  por  tratarse,  como  es</w:t>
        <w:br/>
        <w:t>ampliamente  reconocido,  de  contextos  fundamentalmente   distintos,   los</w:t>
        <w:br/>
        <w:t>Estados no pueden pretender contar, en el primero de dichos  contextos,  con</w:t>
        <w:br/>
        <w:t>la misma  discrecionalidad  con  que  han  contado  tradicionalmente  en  el</w:t>
        <w:br/>
        <w:t>segundo.</w:t>
        <w:br/>
        <w:br/>
        <w:t>49.   No hay como equiparar un acto  jurídico  unilateral  efectuado  en  el</w:t>
        <w:br/>
        <w:t>contexto de las relaciones puramente interestatales  (v.g.,  reconocimiento,</w:t>
        <w:br/>
        <w:t>promesa, protesta,  renuncia),  que  se  completa  por  sí  mismo  de  forma</w:t>
        <w:br/>
        <w:t>autónoma, con un acto jurídico unilateral efectuado en el marco del  derecho</w:t>
        <w:br/>
        <w:t>convencional,  como  la  aceptación  de  una  cláusula  facultativa  de   la</w:t>
        <w:br/>
        <w:t>jurisdicción obligatoria de un tribunal internacional.  Dicha aceptación  se</w:t>
        <w:br/>
        <w:t>encuentra  determinada  y  condicionada  por  el  propio   tratado   y,   en</w:t>
        <w:br/>
        <w:t>particular, por la realización de su objeto y propósito.</w:t>
        <w:br/>
        <w:br/>
        <w:t>50.    Un  Estado  que  aceptó  la  jurisdicción  obligatoria  de  la  Corte</w:t>
        <w:br/>
        <w:t>Interamericana según el artículo 62.1 de la misma, pasa a obligarse  por  la</w:t>
        <w:br/>
        <w:t>Convención como un todo (cfr. supra 40, 46).  El propósito de  preservar  la</w:t>
        <w:br/>
        <w:t>integridad de las obligaciones  convencionales  se  desprende  del  artículo</w:t>
        <w:br/>
        <w:t>44.1 de la Convención de Viena, que parte precisamente del principio de  que</w:t>
        <w:br/>
        <w:t>la denuncia (o el “retiro” del mecanismo  de  un  tratado)  sólo  puede  ser</w:t>
        <w:br/>
        <w:t>efectuada en relación con el conjunto del  tratado,  a  menos  que  éste  lo</w:t>
        <w:br/>
        <w:t>disponga o las Partes lo acuerden de manera diferente.</w:t>
        <w:br/>
        <w:br/>
        <w:t>51.   La Convención Americana es  clara  al  prever  la  denuncia  de  “esta</w:t>
        <w:br/>
        <w:t>Convención” (artículo 78), y no la  denuncia  o  “el  retiro”  de  partes  o</w:t>
        <w:br/>
        <w:t>cláusulas de la misma, pues esto último afectaría su integridad.   Aplicando</w:t>
        <w:br/>
        <w:t>los criterios consagrados en la Convención  de  Viena  (artículo  56.1),  no</w:t>
        <w:br/>
        <w:t>parece haber sido la intención de las Partes permitir tal tipo  de  denuncia</w:t>
        <w:br/>
        <w:t>o retiro, ni tampoco se puede inferir éste último de  la  naturaleza  de  la</w:t>
        <w:br/>
        <w:t>Convención Americana como tratado de derechos humanos.</w:t>
        <w:br/>
        <w:br/>
        <w:t>52.   Aún en la hipótesis de que  fuera  posible  tal  “retiro”,  -hipótesis</w:t>
        <w:br/>
        <w:t>rechazada por esta Corte,- no podría éste de modo alguno  producir  “efectos</w:t>
        <w:br/>
        <w:t>inmediatos”.  El artículo 56.2 de la Convención de Viena estipula  un  plazo</w:t>
        <w:br/>
        <w:t>de anticipación de “por lo menos doce meses” para  la  notificación  por  un</w:t>
        <w:br/>
        <w:t>Estado Parte de su intención de denunciar un  tratado  o  retirarse  de  él.</w:t>
        <w:br/>
        <w:t>Este plazo tiene el propósito de proteger los intereses de las otras  Partes</w:t>
        <w:br/>
        <w:t>en el tratado.  La obligación internacional en cuestión,  aunque  haya  sido</w:t>
        <w:br/>
        <w:t>contraída  por  medio  de  una  declaración   unilateral,   tiene   carácter</w:t>
        <w:br/>
        <w:t>vinculante;  el  Estado  queda  sujeto  a  “seguir  una  línea  de  conducta</w:t>
        <w:br/>
        <w:t>consistente  con  su  declaración”,  y  los  demás  Estados   Partes   están</w:t>
        <w:br/>
        <w:t>habilitados para exigir que sea cumplida[7].</w:t>
        <w:br/>
        <w:br/>
        <w:t>53.   A pesar de su carácter facultativo, la declaración  de  aceptación  de</w:t>
        <w:br/>
        <w:t>la competencia contenciosa de un tribunal internacional, una vez  efectuada,</w:t>
        <w:br/>
        <w:t>no autoriza al Estado a cambiar posteriormente su contenido y  alcance  como</w:t>
        <w:br/>
        <w:t>bien entienda: “...El derecho de poner fin  inmediatamente  a  declaraciones</w:t>
        <w:br/>
        <w:t>con  duración  indefinida  encuéntrase  lejos  de  estar  establecido.    La</w:t>
        <w:br/>
        <w:t>exigencia de la buena fe parece imponer que se debería aplicar a  ellas  por</w:t>
        <w:br/>
        <w:t>analogía el tratamiento  previsto  por  el  derecho  de  los  tratados,  que</w:t>
        <w:br/>
        <w:t>requiere un plazo razonable para el retiro o la denuncia de tratados que  no</w:t>
        <w:br/>
        <w:t>contienen disposición alguna sobre la  duración  de  su  validez”[8].   Así,</w:t>
        <w:br/>
        <w:t>para  que  la  aceptación  de  la   cláusula   facultativa   sea   terminada</w:t>
        <w:br/>
        <w:t>unilateralmente, deben aplicarse las reglas pertinentes del derecho  de  los</w:t>
        <w:br/>
        <w:t>tratados, las cuales descartan claramente dicha terminación o  “retiro”  con</w:t>
        <w:br/>
        <w:t>“efecto inmediato”.</w:t>
        <w:br/>
        <w:br/>
        <w:t>54.   Por las razones anteriores, la Corte considera que es  inadmisible  el</w:t>
        <w:br/>
        <w:t>pretendido retiro por el Perú de la  declaración  de  reconocimiento  de  la</w:t>
        <w:br/>
        <w:t>competencia contenciosa  de  la  Corte  con  efectos  inmediatos,  así  como</w:t>
        <w:br/>
        <w:t>cualesquiera consecuencias que se busque  derivar  de  dicho  retiro,  entre</w:t>
        <w:br/>
        <w:t>ellas, la devolución de la demanda, que resulta irrelevante.</w:t>
        <w:br/>
        <w:br/>
        <w:t>55.   En virtud de lo expuesto, la Corte considera que  debe  continuar  con</w:t>
        <w:br/>
        <w:t>la tramitación del caso Ivcher Bronstein, de conformidad con el artículo  27</w:t>
        <w:br/>
        <w:t>de su Reglamento.</w:t>
        <w:br/>
        <w:br/>
        <w:br/>
        <w:t xml:space="preserve">                                     VI</w:t>
        <w:br/>
        <w:t xml:space="preserve">                             Puntos Resolutivos</w:t>
        <w:br/>
        <w:br/>
        <w:t>56.   Por tanto,</w:t>
        <w:br/>
        <w:br/>
        <w:t>La Corte</w:t>
        <w:br/>
        <w:br/>
        <w:t>resuelve</w:t>
        <w:br/>
        <w:br/>
        <w:t>por unanimidad,</w:t>
        <w:br/>
        <w:br/>
        <w:t>1.    Declarar que:</w:t>
        <w:br/>
        <w:br/>
        <w:t xml:space="preserve">      a.    la Corte Interamericana de Derechos Humanos es  competente  para</w:t>
        <w:br/>
        <w:t xml:space="preserve">           conocer el presente caso;</w:t>
        <w:br/>
        <w:br/>
        <w:t xml:space="preserve">      b.    el pretendido retiro, con  efectos  inmediatos,  por  el  Estado</w:t>
        <w:br/>
        <w:t xml:space="preserve">           peruano, de la declaración de reconocimiento de  la  competencia</w:t>
        <w:br/>
        <w:t xml:space="preserve">           contenciosa de la Corte Interamericana de  Derechos  Humanos  es</w:t>
        <w:br/>
        <w:t xml:space="preserve">           inadmisible.</w:t>
        <w:br/>
        <w:br/>
        <w:t>2.    Continuar con el conocimiento y la tramitación del presente caso.</w:t>
        <w:br/>
        <w:br/>
        <w:t>3.    Comisionar a su Presidente para que, en su  oportunidad,  convoque  al</w:t>
        <w:br/>
        <w:t>Estado peruano y a la Comisión Interamericana  de  Derechos  Humanos  a  una</w:t>
        <w:br/>
        <w:t>audiencia pública sobre el fondo del caso por realizarse en la  sede  de  la</w:t>
        <w:br/>
        <w:t>Corte Interamericana de Derechos Humanos.</w:t>
        <w:br/>
        <w:br/>
        <w:t>4.     Notificar  esta  sentencia  al  Estado  peruano  y  a   la   Comisión</w:t>
        <w:br/>
        <w:t>Interamericana de Derechos Humanos.</w:t>
        <w:br/>
        <w:br/>
        <w:t>Redactada en español y en inglés, haciendo fe el texto en  español,  en  San</w:t>
        <w:br/>
        <w:t>José, Costa Rica, el día 24 de septiembre de 1999.</w:t>
        <w:br/>
        <w:br/>
        <w:br/>
        <w:br/>
        <w:br/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t>Máximo Pacheco Gómez   Oliver Jackman</w:t>
        <w:br/>
        <w:br/>
        <w:t>Sergio García Ramírez  Alirio Abreu Burelli</w:t>
        <w:br/>
        <w:br/>
        <w:t xml:space="preserve">                       Carlos Vicente de Roux Rengifo</w:t>
        <w:br/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>Comuníquese y ejecútese,</w:t>
        <w:br/>
        <w:t xml:space="preserve">                         Antônio A. Cançado Trindade</w:t>
        <w:br/>
        <w:t xml:space="preserve">                                 Presidente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t xml:space="preserve">                           -----------------------</w:t>
        <w:br/>
        <w:t>*  El Juez Hernán Salgado Pesantes, quien presidió la Corte hasta el día  16</w:t>
        <w:br/>
        <w:t>de septiembre de 1999, se excusó  en  aquella  fecha  de  participar  en  la</w:t>
        <w:br/>
        <w:t>elaboración y adopción de esta Sentencia.</w:t>
        <w:br/>
        <w:br/>
        <w:t>**  El 27 de agosto y el 9 y 15  de  septiembre  de  1999  el  International</w:t>
        <w:br/>
        <w:t>Human Rights Law Group, los señores Curtis Frances Doebbler y Alberto  Borea</w:t>
        <w:br/>
        <w:t>Odría, respectivamente, presentaron escritos en  calidad  de  amici  curiae,</w:t>
        <w:br/>
        <w:t>que no fueron agregados formalmente a los autos de la causa.</w:t>
        <w:br/>
        <w:br/>
        <w:t>[1]   European  Commission  of  Human  Rights,  Applications  Nº   15299/89,</w:t>
        <w:br/>
        <w:t>15300/89 and 15318/89, Chrysostomos et alii v. Turkey (1991), Decisions  and</w:t>
        <w:br/>
        <w:t>Reports, Strasbourg, C. E., [1991], vol. 68, pp. 216-253.</w:t>
        <w:br/>
        <w:br/>
        <w:t>[2]   European Commission of Human Rights, Decision as to the  Admissibility</w:t>
        <w:br/>
        <w:t>of Application No. 788/60, Austria vs. Italy case, Yearbook of the  European</w:t>
        <w:br/>
        <w:t>Convention on Human Rights, The Hague, M. Nijhoff, 1961, p. 140.</w:t>
        <w:br/>
        <w:br/>
        <w:t>[3]  Eur. Court HR, Ireland vs. United Kingdom case, judgment of 18  January</w:t>
        <w:br/>
        <w:t>1978, Series A no. 25, p. 90, párr. 239.</w:t>
        <w:br/>
        <w:br/>
        <w:t>[4]  Eur. Court H.R., Soering Case, decision of 26 January  1989,  Series  A</w:t>
        <w:br/>
        <w:t>no. 161, párr. 87.</w:t>
        <w:br/>
        <w:br/>
        <w:t>[5]   Eur.  Court  of  H.R.,  Case  of  Loizidou  vs.  Turkey   (Preliminary</w:t>
        <w:br/>
        <w:t>Objections), judgment of 23 March 1995, Series A no. 310 p. 25, párrs. 82  y</w:t>
        <w:br/>
        <w:t>párr. 68.</w:t>
        <w:br/>
        <w:br/>
        <w:t>[6]  Ibid., p. 25, párr. 84.</w:t>
        <w:br/>
        <w:br/>
        <w:t>[7]  Nuclear Tests case (Australia vs.  France),  Judgment  of  20  December</w:t>
        <w:br/>
        <w:t>1974, ICJ Reports 1974, p. 268, párr. 46; Nuclear Tests  case  (New  Zealand</w:t>
        <w:br/>
        <w:t>vs. France), Judgment of 20 December 1974, ICJ Reports 1974, p. 473  y  267,</w:t>
        <w:br/>
        <w:t>párrs. 49 y 43, respectivamente.</w:t>
        <w:br/>
        <w:br/>
        <w:t>[8]  Cf.  Case  Concerning  Military  and  Paramilitary  Activities  in  and</w:t>
        <w:br/>
        <w:t>against Nicaragua (Nicaragua v. United States of America), Jurisdiction  and</w:t>
        <w:br/>
        <w:t>Admissibility, Judgment of 26 November  1984,  ICJ  Reports  1984,  p.  420,</w:t>
        <w:br/>
        <w:t>párr. 63, y cf. p. 418, párrs. 59 y 60.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