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Caso del Tribunal Constitucional Vs. Perú</w:t>
        <w:br/>
        <w:br/>
        <w:br/>
        <w:t xml:space="preserve">                     Sentencia de 24 septiembre de 1999</w:t>
        <w:br/>
        <w:t xml:space="preserve">                                (Competencia)</w:t>
        <w:br/>
        <w:br/>
        <w:br/>
        <w:br/>
        <w:br/>
        <w:br/>
        <w:t>En el caso del Tribunal Constitucional,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jueces:(*)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Oliver Jackman,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</w:t>
        <w:br/>
        <w:br/>
        <w:t>de  acuerdo  con  el  artículo  29  de  su  Reglamento  (en   adelante   “el</w:t>
        <w:br/>
        <w:t>Reglamento”), dicta la siguiente sentencia  sobre  competencia  en  relación</w:t>
        <w:br/>
        <w:t>con el supuesto retiro por la República del Perú (en adelante “el Estado”  o</w:t>
        <w:br/>
        <w:t>“el Perú”) del reconocimiento de la competencia contenciosa de la Corte.</w:t>
        <w:br/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Este caso fue sometido a la Corte por la  Comisión  Interamericana  de</w:t>
        <w:br/>
        <w:t>Derechos Humanos (en adelante “la Comisión” o “la Comisión  Interamericana”)</w:t>
        <w:br/>
        <w:t>el 2 de julio de 1999.  Se originó en la denuncia  número  11.760,  recibida</w:t>
        <w:br/>
        <w:t>en la Secretaría de la Comisión el 2 de junio de 1997.</w:t>
        <w:br/>
        <w:br/>
        <w:br/>
        <w:t xml:space="preserve">                                     II</w:t>
        <w:br/>
        <w:t xml:space="preserve">                       Hechos expuestos en la demanda</w:t>
        <w:br/>
        <w:br/>
        <w:t>2.    En los siguientes párrafos, la  Corte  resume  los  hechos  relevantes</w:t>
        <w:br/>
        <w:t>alegados por la Comisión en el escrito de demanda:</w:t>
        <w:br/>
        <w:br/>
        <w:t xml:space="preserve">      a)    el 5 de abril de 1992 el  Presidente  del  Perú,  señor  Alberto</w:t>
        <w:br/>
        <w:t xml:space="preserve">   Fujimori,   disolvió   el   Congreso   y   el   Tribunal   de   Garantías</w:t>
        <w:br/>
        <w:t xml:space="preserve">   Constitucionales, y destituyó a numerosos jueces de la Corte  Suprema  de</w:t>
        <w:br/>
        <w:t xml:space="preserve">   Justicia;</w:t>
        <w:br/>
        <w:br/>
        <w:t xml:space="preserve">      b)    el 31 de octubre de 1993  se  aprobó,  mediante  referéndum,  la</w:t>
        <w:br/>
        <w:t xml:space="preserve">   nueva Constitución Política del Perú.  El artículo 112 dispone que  “[e]l</w:t>
        <w:br/>
        <w:t xml:space="preserve">   mandato presidencial es de cinco años.  El Presidente puede ser reelegido</w:t>
        <w:br/>
        <w:t xml:space="preserve">   de  inmediato  para  un  período  adicional.  Transcurrido  otro  período</w:t>
        <w:br/>
        <w:t xml:space="preserve">   constitucional, como mínimo, el ex presidente puede  volver  a  postular,</w:t>
        <w:br/>
        <w:t xml:space="preserve">   sujeto a las mismas condiciones”;</w:t>
        <w:br/>
        <w:br/>
        <w:t xml:space="preserve">      c)    en junio de 1996 se conformó el nuevo  Tribunal  Constitucional,</w:t>
        <w:br/>
        <w:t xml:space="preserve">   con los siguientes siete miembros: Ricardo Nugent (Presidente), Guillermo</w:t>
        <w:br/>
        <w:t xml:space="preserve">   Rey Terry, Manuel Aguirre  Roca,  Luis  Guillermo  Díaz  Valverde,  Delia</w:t>
        <w:br/>
        <w:t xml:space="preserve">   Revoredo Marsano de Mur, Francisco Javier Acosta Sánchez  y  José  García</w:t>
        <w:br/>
        <w:t xml:space="preserve">   Marcelo;</w:t>
        <w:br/>
        <w:br/>
        <w:t xml:space="preserve">      d)    el 23 de agosto de 1996 se promulgó la Ley No. 26.657 o  Ley  de</w:t>
        <w:br/>
        <w:t xml:space="preserve">   Interpretación Auténtica del artículo 112 de la Constitución.  Dicha  Ley</w:t>
        <w:br/>
        <w:t xml:space="preserve">   interpreta  el  mencionado  artículo  estableciendo  que  “la  reelección</w:t>
        <w:br/>
        <w:t xml:space="preserve">   [presidencial  ...]  está  referida  y  condicionada   a   los   mandatos</w:t>
        <w:br/>
        <w:t xml:space="preserve">   presidenciales iniciados con posterioridad a la fecha de promulgación del</w:t>
        <w:br/>
        <w:t xml:space="preserve">   referido texto constitucional”.  La Ley concluye, entonces,  que  “en  el</w:t>
        <w:br/>
        <w:t xml:space="preserve">   cómputo  no  se  tienen  en   cuenta   retroactivamente,   los   períodos</w:t>
        <w:br/>
        <w:t xml:space="preserve">   presidenciales iniciados antes de la vigencia de la Constitución”;</w:t>
        <w:br/>
        <w:br/>
        <w:t xml:space="preserve">      e)    el 29 de agosto de 1996 el Colegio de Abogados de Lima  presentó</w:t>
        <w:br/>
        <w:t xml:space="preserve">   una acción de inconstitucionalidad contra  la  Ley  No.  26.657  ante  el</w:t>
        <w:br/>
        <w:t xml:space="preserve">   Tribunal  Constitucional,  por  la  violación  del  artículo  112  de  la</w:t>
        <w:br/>
        <w:t xml:space="preserve">   Constitución peruana;</w:t>
        <w:br/>
        <w:br/>
        <w:t xml:space="preserve">      f)    el 20 de noviembre de 1996 se conoció dicha causa  en  audiencia</w:t>
        <w:br/>
        <w:t xml:space="preserve">   pública  con  la  presencia  de  los  siete  magistrados   del   Tribunal</w:t>
        <w:br/>
        <w:t xml:space="preserve">   Constitucional. El 27 de diciembre del mismo año se discutió  y  votó  la</w:t>
        <w:br/>
        <w:t xml:space="preserve">   ponencia sobre la materia, con cinco votos a favor y dos en  contra.   El</w:t>
        <w:br/>
        <w:t xml:space="preserve">   fallo  adoptado  declaró  la  inaplicabilidad  de  la  norma  y   no   su</w:t>
        <w:br/>
        <w:t xml:space="preserve">   inconstitucionalidad.  Al respecto, el artículo 4 de la Ley Orgánica  del</w:t>
        <w:br/>
        <w:t xml:space="preserve">   Tribunal Constitucional establece que se requieren seis  votos  conformes</w:t>
        <w:br/>
        <w:t xml:space="preserve">   para resolver las demandas de inconstitucionalidad, mientras que para  la</w:t>
        <w:br/>
        <w:t xml:space="preserve">   declaratoria de inaplicabilidad de las leyes sólo se requiere la  mayoría</w:t>
        <w:br/>
        <w:t xml:space="preserve">   simple de los votos emitidos;</w:t>
        <w:br/>
        <w:br/>
        <w:t xml:space="preserve">      g)    un proyecto elaborado  por  el  magistrado  Rey  Terry,  que  se</w:t>
        <w:br/>
        <w:t xml:space="preserve">   convirtió en sentencia el 27 de diciembre de 1996, fue sustraído  por  el</w:t>
        <w:br/>
        <w:t xml:space="preserve">   magistrado García Marcelo y fue entregado a la  Policía.   El  magistrado</w:t>
        <w:br/>
        <w:t xml:space="preserve">   García Marcelo adujo haber  encontrado  el  proyecto  sobre  la  mesa  de</w:t>
        <w:br/>
        <w:t xml:space="preserve">   reuniones en la carpeta que correspondía a Rey Terry, y alegó “que  dicho</w:t>
        <w:br/>
        <w:t xml:space="preserve">   documento probaba una  maquinación  destinada  a  impedir  la  reelección</w:t>
        <w:br/>
        <w:t xml:space="preserve">   presidencial”;</w:t>
        <w:br/>
        <w:br/>
        <w:t xml:space="preserve">      h)    seguidamente se inició una campaña de presión contra  los  cinco</w:t>
        <w:br/>
        <w:t xml:space="preserve">   magistrados que suscribieron el fallo en mención.  Estos manifestaron que</w:t>
        <w:br/>
        <w:t xml:space="preserve">   “fueron intimidados y recibieron presiones, chantajes,  ofertas  de  todo</w:t>
        <w:br/>
        <w:t xml:space="preserve">   tipo”, presentándose incluso imputaciones de contrabando contra la señora</w:t>
        <w:br/>
        <w:t xml:space="preserve">   Delia Revoredo Marsano de Mur y su esposo, el señor Jaime Mur Campoverde;</w:t>
        <w:br/>
        <w:br/>
        <w:t xml:space="preserve">      i)    el 2 de enero de 1997 los Magistrados  Nugent  y  Díaz  Valverde</w:t>
        <w:br/>
        <w:t xml:space="preserve">   “solicitaron una nueva votación”.  El 3 de enero del mismo  año,  durante</w:t>
        <w:br/>
        <w:t xml:space="preserve">   la segunda votación, los solicitantes se abstuvieron de votar  por  haber</w:t>
        <w:br/>
        <w:t xml:space="preserve">   adelantado opinión  y  retiraron  sus  firmas.   Otros  dos  Magistrados,</w:t>
        <w:br/>
        <w:t xml:space="preserve">   señores Acosta Sánchez y García Marcelo, se reservaron su  opinión.   Los</w:t>
        <w:br/>
        <w:t xml:space="preserve">   señores Aguirre Roca, Rey Terry y Revoredo Marsano de Mur  votaron,  como</w:t>
        <w:br/>
        <w:t xml:space="preserve">   lo habían hecho anteriormente, por  la  inaplicabilidad  de  la  Ley  No.</w:t>
        <w:br/>
        <w:t xml:space="preserve">   26.657;</w:t>
        <w:br/>
        <w:br/>
        <w:t xml:space="preserve">      j)    por nota de 14 de enero de 1997,  cuarenta  congresistas  de  la</w:t>
        <w:br/>
        <w:t xml:space="preserve">   mayoría parlamentaria remitieron una carta al Tribunal Constitucional  en</w:t>
        <w:br/>
        <w:t xml:space="preserve">   la cual pretendían prohibir la publicación de “una decisión que declarase</w:t>
        <w:br/>
        <w:t xml:space="preserve">   la ‘inaplicabilidad’  de  la  Ley  26657”.   Los  congresistas  adujeron,</w:t>
        <w:br/>
        <w:t xml:space="preserve">   basándose en lo dispuesto por el artículo 34 de la Ley No. 26.435, que el</w:t>
        <w:br/>
        <w:t xml:space="preserve">   plazo para efectuar la publicación había vencido el 10 de enero de  1997.</w:t>
        <w:br/>
        <w:t xml:space="preserve">   Asimismo, con fundamento en la Ley No. 36.301, que regula  la  Acción  de</w:t>
        <w:br/>
        <w:t xml:space="preserve">   Cumplimiento, solicitaron al Tribunal Constitucional que  se  pronunciara</w:t>
        <w:br/>
        <w:t xml:space="preserve">   expresamente sobre la constitucionalidad o inconstitucionalidad de la Ley</w:t>
        <w:br/>
        <w:t xml:space="preserve">   26.657, dentro del plazo de treinta días hábiles;</w:t>
        <w:br/>
        <w:br/>
        <w:t xml:space="preserve">      k)    los citados congresistas solicitaron en la nota mencionada,</w:t>
        <w:br/>
        <w:br/>
        <w:t xml:space="preserve">            que el Tribunal Constitucional declare fundada  o  infundada  la</w:t>
        <w:br/>
        <w:t xml:space="preserve">   demanda de inconstitucionalidad interpuesta contra la Ley  26657  por  el</w:t>
        <w:br/>
        <w:t xml:space="preserve">   Colegio de  Abogados  de  Lima  y  se  pronuncie  expresamente  sobre  su</w:t>
        <w:br/>
        <w:t xml:space="preserve">   constitucionalidad o inconstitucionalidad y que la sentencia no  contenga</w:t>
        <w:br/>
        <w:t xml:space="preserve">   ninguna ‘declaración’ de inaplicabilidad que  constituiría  una  eminente</w:t>
        <w:br/>
        <w:t xml:space="preserve">   amenaza contra derechos  fundamentales  y  políticos  consagrados  en  la</w:t>
        <w:br/>
        <w:t xml:space="preserve">   Constitución,  así  como  abuso  de  autoridad,  al  asumir  el  Tribunal</w:t>
        <w:br/>
        <w:t xml:space="preserve">   facultades no previstas por su Ley Orgánica...</w:t>
        <w:br/>
        <w:br/>
        <w:t xml:space="preserve">      l)    el 16 de enero de 1997 los magistrados Acosta Sánchez  y  García</w:t>
        <w:br/>
        <w:t xml:space="preserve">   Marcelo se decidieron a “abstenerse de votar”, pero no se  apartaron  del</w:t>
        <w:br/>
        <w:t xml:space="preserve">   proceso para hacer posible la emisión de la sentencia.  La  ponencia  que</w:t>
        <w:br/>
        <w:t xml:space="preserve">   venía  tramitándose  se  volvió  a  debatir  y  a  votar  ese  mismo  día</w:t>
        <w:br/>
        <w:t xml:space="preserve">   constituyéndose en sentencia definitiva por tres votos a favor  y  cuatro</w:t>
        <w:br/>
        <w:t xml:space="preserve">   abstenciones.  Dicha sentencia declaró “INAPLICABLE,  por  unanimidad  de</w:t>
        <w:br/>
        <w:t xml:space="preserve">   los votos emitidos, con las abstenciones indicadas, y en ejercicio de sus</w:t>
        <w:br/>
        <w:t xml:space="preserve">   atribuciones de control difuso, la ley interpretativa  Nº26657,  para  el</w:t>
        <w:br/>
        <w:t xml:space="preserve">   caso concreto de una nueva postulación a la Presidencia de la  República,</w:t>
        <w:br/>
        <w:t xml:space="preserve">   en el año 2000, del actual Jefe de Estado”.  El 17 de enero  de  1997  la</w:t>
        <w:br/>
        <w:t xml:space="preserve">   sentencia se publicó en el Diario “El Peruano”,  publicándose  nuevamente</w:t>
        <w:br/>
        <w:t xml:space="preserve">   al día siguiente por incorrecciones tipográficas.  La fecha  que  aparece</w:t>
        <w:br/>
        <w:t xml:space="preserve">   en la sentencia, sin embargo, es la de 3 de enero de 1997;</w:t>
        <w:br/>
        <w:br/>
        <w:t xml:space="preserve">      m)    el 20 de enero de 1997 el Colegio de Abogados de  Lima  solicitó</w:t>
        <w:br/>
        <w:t xml:space="preserve">   una aclaración de la sentencia de 3 de enero de 1997.  El proyecto de  la</w:t>
        <w:br/>
        <w:t xml:space="preserve">   resolución emitida en el pedido de aclaración y que  forma  parte  de  la</w:t>
        <w:br/>
        <w:t xml:space="preserve">   sentencia, fue preparado, por disposición  del  Presidente  del  Tribunal</w:t>
        <w:br/>
        <w:t xml:space="preserve">   Constitucional y previo acuerdo  del  Pleno,  por  el  ponente  designado</w:t>
        <w:br/>
        <w:t xml:space="preserve">   magistrado Rey Terry.  “Dicha ponencia fue debatida, votada  y  suscrita,</w:t>
        <w:br/>
        <w:t xml:space="preserve">   en cumplimiento de ese mismo  acuerdo  por  los  magistrados  que  habían</w:t>
        <w:br/>
        <w:t xml:space="preserve">   respaldado con su voto el  fallo  cuya  aclaración  se  solicitaba.   Ese</w:t>
        <w:br/>
        <w:t xml:space="preserve">   documento (ponencia o proyecto de resolución) fue entregado, por conducto</w:t>
        <w:br/>
        <w:t xml:space="preserve">   regular, a la Presidencia, para  los  fines  del  caso.   La  Presidencia</w:t>
        <w:br/>
        <w:t xml:space="preserve">   dispuso su publicación, considerando que  no  era  menester  someterlo  a</w:t>
        <w:br/>
        <w:t xml:space="preserve">   conocimiento del Pleno”, habida cuenta del acuerdo previo de dicho Pleno,</w:t>
        <w:br/>
        <w:t xml:space="preserve">   al que se hace referencia.  El procedimiento seguido para  la  aclaración</w:t>
        <w:br/>
        <w:t xml:space="preserve">   fue ratificado por el Pleno Administrativo según obra en acta  de  14  de</w:t>
        <w:br/>
        <w:t xml:space="preserve">   marzo de 1997.  En ese acta se deja constancia  de  que  la  autorización</w:t>
        <w:br/>
        <w:t xml:space="preserve">   para el procedimiento descrito había sido otorgada con anterioridad a  la</w:t>
        <w:br/>
        <w:t xml:space="preserve">   preparación de la resolución;</w:t>
        <w:br/>
        <w:br/>
        <w:t xml:space="preserve">      n)    el 28 de febrero de 1997 el Congreso de la  República  del  Perú</w:t>
        <w:br/>
        <w:t xml:space="preserve">   aprobó la formación de una comisión para investigar los  presuntos  actos</w:t>
        <w:br/>
        <w:t xml:space="preserve">   de hostigamiento y presión contra el Tribunal Constitucional basándose en</w:t>
        <w:br/>
        <w:t xml:space="preserve">   las denuncias formuladas por la magistrada Revoredo Marsano  de  Mur.   A</w:t>
        <w:br/>
        <w:t xml:space="preserve">   los miembros de dicha comisión se les prohibió pronunciarse sobre asuntos</w:t>
        <w:br/>
        <w:t xml:space="preserve">   jurisdiccionales propios del Tribunal Constitucional;</w:t>
        <w:br/>
        <w:br/>
        <w:t xml:space="preserve">      o)    el 5 de mayo de  1997  la  Subcomisión  Acusadora  del  Congreso</w:t>
        <w:br/>
        <w:t xml:space="preserve">   presentó  ante  la  Comisión   Permanente   del   mismo,   una   denuncia</w:t>
        <w:br/>
        <w:t xml:space="preserve">   constitucional contra los magistrados Aguirre Roca, Rey Terry y  Revoredo</w:t>
        <w:br/>
        <w:t xml:space="preserve">   Marsano  de  Mur,  en  la  cual  se  les  imputaba  haber  infringido  la</w:t>
        <w:br/>
        <w:t xml:space="preserve">   Constitución con base en los siguientes argumentos:</w:t>
        <w:br/>
        <w:br/>
        <w:t xml:space="preserve">                 a.    Presentar una  simple  ponencia  como  si  fuera  una</w:t>
        <w:br/>
        <w:t xml:space="preserve">   sentencia  ya  discutida  y  aprobada   por   el   Pleno   del   Tribunal</w:t>
        <w:br/>
        <w:t xml:space="preserve">   Constitucional.  Especial responsabilidad le  corresponde  al  Magistrado</w:t>
        <w:br/>
        <w:t xml:space="preserve">   Guillermo Rey  Terry,  quien  elaboró  el  Acta  de  Entrega  en  la  que</w:t>
        <w:br/>
        <w:t xml:space="preserve">   intencionalmente denominó sentencia lo que era sólo una ponencia.</w:t>
        <w:br/>
        <w:br/>
        <w:t xml:space="preserve">                 b.    Sólo  los  Magistrados  Aguirre  Roca,  Rey  Terry  y</w:t>
        <w:br/>
        <w:t xml:space="preserve">   Revoredo  Marsano  emitieron  una  resolución  en  nombre  del   Tribunal</w:t>
        <w:br/>
        <w:t xml:space="preserve">   Constitucional, el 21 de enero de 1997, sobre el  recurso  de  aclaración</w:t>
        <w:br/>
        <w:t xml:space="preserve">   presentado por el Colegio de Abogados de Lima, sin  que  ésta  haya  sido</w:t>
        <w:br/>
        <w:t xml:space="preserve">   materia de convocatoria y deliberación en el Pleno, y menos de aprobación</w:t>
        <w:br/>
        <w:t xml:space="preserve">   con el quórum y la mayoría previstos por la ley;</w:t>
        <w:br/>
        <w:br/>
        <w:t xml:space="preserve">      p)    el 6 de mayo de 1997 la Comisión Permanente del Congreso  nombró</w:t>
        <w:br/>
        <w:t xml:space="preserve">   una Subcomisión para evaluar la solicitud  de  acusación  constitucional.</w:t>
        <w:br/>
        <w:t xml:space="preserve">   Dicha Subcomisión solicitó a los magistrados un informe sobre los  hechos</w:t>
        <w:br/>
        <w:t xml:space="preserve">   investigados  en  menos  de  cuarenta  y  ocho  horas.   Los  magistrados</w:t>
        <w:br/>
        <w:t xml:space="preserve">   requeridos  señalaron  que  se  trataba  de  una   “represalia   por   su</w:t>
        <w:br/>
        <w:t xml:space="preserve">   pronunciamiento respecto a la Ley de Reelección Presidencial”;</w:t>
        <w:br/>
        <w:br/>
        <w:t xml:space="preserve">      q)    el 14 de mayo de  1997  los  magistrados  Manuel  Aguirre  Roca,</w:t>
        <w:br/>
        <w:t xml:space="preserve">   Guillermo Rey Terry y Delia Revoredo Marsano de Mur remitieron el acta de</w:t>
        <w:br/>
        <w:t xml:space="preserve">   14  de  marzo  de  1997  en  la  que  constaba  que  fueron  expresamente</w:t>
        <w:br/>
        <w:t xml:space="preserve">   autorizados para expedir la decisión por la cual se les acusaba;</w:t>
        <w:br/>
        <w:br/>
        <w:t xml:space="preserve">      r)    el 15 de mayo de 1997 la Subcomisión especialmente designada  al</w:t>
        <w:br/>
        <w:t xml:space="preserve">   efecto presentó su informe ante  la  Comisión  Permanente  del  Congreso,</w:t>
        <w:br/>
        <w:t xml:space="preserve">   recomendando proceder a la acusación constitucional;</w:t>
        <w:br/>
        <w:br/>
        <w:t xml:space="preserve">       s)     la  Comisión  Permanente  del  Congreso  acusó  a   los   tres</w:t>
        <w:br/>
        <w:t xml:space="preserve">   magistrados a los que se viene haciendo referencia,  quienes  durante  el</w:t>
        <w:br/>
        <w:t xml:space="preserve">   proceso de investigación no habrían tenido la oportunidad de  conocer  ni</w:t>
        <w:br/>
        <w:t xml:space="preserve">   de  desvirtuar  los  cargos  que  se  les  imputaban,  ni  la  infracción</w:t>
        <w:br/>
        <w:t xml:space="preserve">   constitucional alegada.  Además, dicha  Comisión  presentó  una  denuncia</w:t>
        <w:br/>
        <w:t xml:space="preserve">   constitucional contra el magistrado Ricardo Nugent  como  Presidente  del</w:t>
        <w:br/>
        <w:t xml:space="preserve">   Tribunal Constitucional,  por  “facilitar  la  actuación  ilegal  de  los</w:t>
        <w:br/>
        <w:t xml:space="preserve">   Magistrados Manuel Aguirre Roca, Guillermo Rey  Terry  y  Delia  Revoredo</w:t>
        <w:br/>
        <w:t xml:space="preserve">   Marsano de Mur, por no convocar al Pleno del Tribunal Constitucional para</w:t>
        <w:br/>
        <w:t xml:space="preserve">   resolver el recurso de aclaración presentado por el Colegio  de  Abogados</w:t>
        <w:br/>
        <w:t xml:space="preserve">   de Lima”;</w:t>
        <w:br/>
        <w:br/>
        <w:t xml:space="preserve">      t)    el 19 de mayo de 1997 el Presidente del Congreso convocó  a  los</w:t>
        <w:br/>
        <w:t xml:space="preserve">   magistrados Aguirre Roca, Rey Terry y Revoredo Marsano de Mur a la sesión</w:t>
        <w:br/>
        <w:t xml:space="preserve">   de 23 de mayo del mismo año, para que expusieran  sus  alegatos  ante  la</w:t>
        <w:br/>
        <w:t xml:space="preserve">   Comisión Permanente del Congreso;</w:t>
        <w:br/>
        <w:br/>
        <w:t xml:space="preserve">      u)    el 28 de mayo de 1997  el  Congreso  de  la  República  decidió,</w:t>
        <w:br/>
        <w:t xml:space="preserve">   mediante las resoluciones legislativas Nos. 002-97-CR, 003-97-CR y 004-97-</w:t>
        <w:br/>
        <w:t xml:space="preserve">   CR, destituir  a  los  magistrados  del  Tribunal  Constitucional  Manuel</w:t>
        <w:br/>
        <w:t xml:space="preserve">   Aguirre Roca, Guillermo Rey Terry y Delia Revoredo Marsano de Mur, y</w:t>
        <w:br/>
        <w:br/>
        <w:t xml:space="preserve">      v)    El 25 de julio de 1997, el magistrado Manuel Aguirre Roca  y  el</w:t>
        <w:br/>
        <w:t xml:space="preserve">   1 de agosto de 1997 los magistrados Guillermo Rey Terry y Delia  Revoredo</w:t>
        <w:br/>
        <w:t xml:space="preserve">   Marsano de Mur, interpusieron acciones de amparo contra las  resoluciones</w:t>
        <w:br/>
        <w:t xml:space="preserve">   de destitución.  Dichas acciones fueron  declaradas  infundadas  mediante</w:t>
        <w:br/>
        <w:t xml:space="preserve">   decisiones que fueron publicadas en el  diario  “El  Peruano”  el  25  de</w:t>
        <w:br/>
        <w:t xml:space="preserve">   septiembre de 1998.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El 2 de junio de 1997 la Comisión Interamericana recibió una  denuncia</w:t>
        <w:br/>
        <w:t>firmada por veintisiete diputados del Congreso de  la  República  del  Perú,</w:t>
        <w:br/>
        <w:t>sobre la destitución de los magistrados del Tribunal  Constitucional  a  los</w:t>
        <w:br/>
        <w:t>que se ha hecho referencia.  El 16  de  julio  del  mismo  año  la  Comisión</w:t>
        <w:br/>
        <w:t>inició la tramitación de dicha denuncia y transmitió al  Estado  sus  partes</w:t>
        <w:br/>
        <w:t>pertinentes solicitándole información al respecto.</w:t>
        <w:br/>
        <w:br/>
        <w:t>4.    El 16 de octubre de 1997 el Perú presentó un informe elaborado por  el</w:t>
        <w:br/>
        <w:t>Consejo Nacional  de  Derechos  Humanos  (Oficio  No.  1858-97-JUS/CNDH-SE),</w:t>
        <w:br/>
        <w:t>mediante el cual  solicitó  a  la  Comisión  que  declarara  inadmisible  la</w:t>
        <w:br/>
        <w:t>petición, “en la medida  que  los  peticionarios  no  ha[bían]  agotado  los</w:t>
        <w:br/>
        <w:t>recursos de la jurisdicción interna”.</w:t>
        <w:br/>
        <w:br/>
        <w:t>5.    El 21 de octubre de 1997 la Comisión transmitió dicho  informe  a  los</w:t>
        <w:br/>
        <w:t>peticionarios, solicitándoles sus observaciones al respecto  y  otorgándoles</w:t>
        <w:br/>
        <w:t>un plazo de treinta días para presentarlas.</w:t>
        <w:br/>
        <w:br/>
        <w:t>6.    La Comisión convocó una audiencia pública para el  25  de  febrero  de</w:t>
        <w:br/>
        <w:t>1998, durante su 98º Período de Sesiones, con  el  fin  de  escuchar  a  las</w:t>
        <w:br/>
        <w:t>partes sobre aspectos del proceso relacionados con la  admisibilidad  de  la</w:t>
        <w:br/>
        <w:t>denuncia.</w:t>
        <w:br/>
        <w:br/>
        <w:t>7.    El 30 de abril de 1998 los peticionarios pidieron a  la  Comisión  que</w:t>
        <w:br/>
        <w:t>declarara admisible la denuncia.  Ese mismo día, la  Comisión  dio  traslado</w:t>
        <w:br/>
        <w:t>de esta solicitud al Estado.</w:t>
        <w:br/>
        <w:br/>
        <w:t>8.    El 5 de mayo  de  1998,  durante  el  99º  Período  Extraordinario  de</w:t>
        <w:br/>
        <w:t>Sesiones, la Comisión aprobó el Informe sobre Admisibilidad de  la  denuncia</w:t>
        <w:br/>
        <w:t>No. 35/98, en el cual concluyó “que en el [...] caso [eran]  aplicables  las</w:t>
        <w:br/>
        <w:t>excepciones establecidas en el artículo 46.2.c de la Convención,  no  siendo</w:t>
        <w:br/>
        <w:t>necesario el agotamiento de los recursos de  la  jurisdicción  interna  para</w:t>
        <w:br/>
        <w:t>que la Comisión sea competente para conocer  de  la  denuncia”.   El  11  de</w:t>
        <w:br/>
        <w:t>diciembre  de  1998  dicho  Informe  fue  transmitido  al  Perú  y   a   los</w:t>
        <w:br/>
        <w:t>peticionarios.</w:t>
        <w:br/>
        <w:br/>
        <w:t>9.    El 29 de junio de 1998 la  Comisión  se  puso  a  disposición  de  las</w:t>
        <w:br/>
        <w:t>partes para llegar a una  solución  amistosa  de  acuerdo  con  el  artículo</w:t>
        <w:br/>
        <w:t>48.1.f de la Convención Americana.</w:t>
        <w:br/>
        <w:br/>
        <w:t>10.   Por nota de 29 de junio de 1998, el Estado  contestó  la  comunicación</w:t>
        <w:br/>
        <w:t>enviada por la Comisión el 30 de abril del mismo año afirmando que, dada  la</w:t>
        <w:br/>
        <w:t>emisión  del  Informe  de   Admisibilidad,   “resulta   innecesario   emitir</w:t>
        <w:br/>
        <w:t>pronunciamiento  sobre  los   alegatos   anteriores   a   la   decisión   de</w:t>
        <w:br/>
        <w:t>Admisibilidad”  y  anunció  que  posteriormente   presentaría   un   informe</w:t>
        <w:br/>
        <w:t>relacionado con la admisibilidad de la denuncia del  presente  caso.   Dicha</w:t>
        <w:br/>
        <w:t>información fue transmitida a los peticionarios.</w:t>
        <w:br/>
        <w:br/>
        <w:t>11.   El 14 de agosto de  1998,  mediante  nota  No.  7-5-M/402,  el  Estado</w:t>
        <w:br/>
        <w:t>respondió negativamente a la posibilidad de buscar  una  solución  amistosa,</w:t>
        <w:br/>
        <w:t>al estimar que no consideraba aplicable en este caso este tipo de solución.</w:t>
        <w:br/>
        <w:br/>
        <w:t>12.   Por nota de 17 de agosto de 1998, los peticionarios contestaron  a  la</w:t>
        <w:br/>
        <w:t>propuesta de solución amistosa indicando que la única  solución  posible  al</w:t>
        <w:br/>
        <w:t>caso  era  la   restitución   de   los   magistrados   inconstitucionalmente</w:t>
        <w:br/>
        <w:t>destituidos.</w:t>
        <w:br/>
        <w:br/>
        <w:t>13.   El 9 de diciembre de 1998, durante su 101º  Período  de  Sesiones,  la</w:t>
        <w:br/>
        <w:t>Comisión aprobó el Informe No. 58/98, el cual fue transmitido al  Estado  el</w:t>
        <w:br/>
        <w:t>día 14 de los mismos mes y año.  En dicho Informe, la Comisión concluyó que</w:t>
        <w:br/>
        <w:br/>
        <w:t xml:space="preserve">      ... el Estado peruano, al destituir a  los  magistrados  del  Tribunal</w:t>
        <w:br/>
        <w:t xml:space="preserve">   Constitucional -Manuel Aguirre Roca, Guillermo Rey Terry y Delia Revoredo</w:t>
        <w:br/>
        <w:t xml:space="preserve">   Marsano de Mur -, por presuntas irregularidades en la tramitación  de  la</w:t>
        <w:br/>
        <w:t xml:space="preserve">   aclaratoria a la sentencia que declaró la inaplicabilidad de la Ley  Nro.</w:t>
        <w:br/>
        <w:t xml:space="preserve">   26.657, el actual Presidente de Perú, vulneró  la  garantía  esencial  de</w:t>
        <w:br/>
        <w:t xml:space="preserve">   independencia y autonomía del Tribunal Constitucional (artículo 25 de  la</w:t>
        <w:br/>
        <w:t xml:space="preserve">   Convención Americana); el derecho al debido proceso (artículo 8.1  de  la</w:t>
        <w:br/>
        <w:t xml:space="preserve">   misma Convención) y la garantía de permanencia en las funciones  públicas</w:t>
        <w:br/>
        <w:t xml:space="preserve">   (artículo 23.c de la Convención).</w:t>
        <w:br/>
        <w:br/>
        <w:br/>
        <w:t>Asimismo, la Comisión formuló las siguientes recomendaciones al Estado:</w:t>
        <w:br/>
        <w:br/>
        <w:t xml:space="preserve">       [q]ue...  repare  adecuadamente  a  los  Magistrados   del   Tribunal</w:t>
        <w:br/>
        <w:t xml:space="preserve">   Constitucional Manuel Aguirre Roca, Guillermo Rey Terry y Delia  Revoredo</w:t>
        <w:br/>
        <w:t xml:space="preserve">   Marsano de Mur,  reintegrándolos  al  ejercicio  de  sus  funciones  como</w:t>
        <w:br/>
        <w:t xml:space="preserve">   Magistrados  del  Tribunal  Constitucional,  indemnizándoles  todos   los</w:t>
        <w:br/>
        <w:t xml:space="preserve">   beneficios salariales dejados de percibir, desde la fecha de su ilegítima</w:t>
        <w:br/>
        <w:t xml:space="preserve">   destitución.</w:t>
        <w:br/>
        <w:br/>
        <w:t>La Comisión también decidió transmitir el informe citado al Estado  peruano,</w:t>
        <w:br/>
        <w:t>al cual otorgó un plazo de tres  meses  con  el  fin  de  que  adoptara  las</w:t>
        <w:br/>
        <w:t>medidas necesarias para dar cumplimiento a estas recomendaciones.</w:t>
        <w:br/>
        <w:br/>
        <w:t>14.    Por  nota  de  15  de  diciembre  de  1998  el  Estado  manifestó  su</w:t>
        <w:br/>
        <w:t>preocupación “por la difusión al nivel de opinión pública”, de  la  adopción</w:t>
        <w:br/>
        <w:t>del Informe basado en el artículo 50 de la  Convención,  ya  que  el  asunto</w:t>
        <w:br/>
        <w:t>debía mantenerse en “estricta confidencialidad”.</w:t>
        <w:br/>
        <w:br/>
        <w:t>15.   El 1 de febrero de 1999 los peticionarios solicitaron  a  la  Comisión</w:t>
        <w:br/>
        <w:t>someter el caso a la Corte Interamericana.</w:t>
        <w:br/>
        <w:br/>
        <w:t>16.   El 12 de febrero de 1999 el Perú solicitó  una  ampliación  del  plazo</w:t>
        <w:br/>
        <w:t>para continuar estudiando las recomendaciones formuladas por la Comisión  en</w:t>
        <w:br/>
        <w:t>su informe. El 26 de los  mismos  mes  y  año,  la  Comisión  le  otorgó  la</w:t>
        <w:br/>
        <w:t>prórroga solicitada y suspendió la aplicación de los plazos previstos en  el</w:t>
        <w:br/>
        <w:t>artículo 51.1 de la Convención. El 14 de abril de 1999  el  Estado  solicitó</w:t>
        <w:br/>
        <w:t>una nueva prórroga, la que también fue concedida por la Comisión.</w:t>
        <w:br/>
        <w:br/>
        <w:t>17.    Durante  el  tiempo  otorgado  por  la  Comisión,  el  Estado  y  los</w:t>
        <w:br/>
        <w:t>peticionarios realizaron, en presencia y conocimiento de aquella,  reuniones</w:t>
        <w:br/>
        <w:t>tendientes a alcanzar una solución  amistosa  la  cual,  finalmente,  no  se</w:t>
        <w:br/>
        <w:t>logró.</w:t>
        <w:br/>
        <w:br/>
        <w:t xml:space="preserve">    18. El 17  de  junio  de  1999  la  Comisión  acordó,  luego  de  haber</w:t>
        <w:br/>
        <w:t xml:space="preserve">        notificado formalmente de ello a las partes, enviar el  caso  a  la</w:t>
        <w:br/>
        <w:t xml:space="preserve">        Corte en los términos del artículo 51 de la Convención.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19.   El 2 de julio de 1999 la Comisión presentó demanda para que  la  Corte</w:t>
        <w:br/>
        <w:t>decidiera si hubo violación de los  artículos  8.1,  8.2.c,  8.2.d  y  8.2.f</w:t>
        <w:br/>
        <w:t>(Garantías  Judiciales),  23.1.c  (Derechos  Políticos)  y  25   (Protección</w:t>
        <w:br/>
        <w:t>Judicial) de la Convención, en relación con los  artículos  1.1  (Obligación</w:t>
        <w:br/>
        <w:t>de Respetar los Derechos) y 2 (Deber de  Adoptar  Disposiciones  de  Derecho</w:t>
        <w:br/>
        <w:t>Interno) de la misma.</w:t>
        <w:br/>
        <w:br/>
        <w:t>Igualmente, solicitó que la Corte  ordenara  al  Perú  “reparar  integral  y</w:t>
        <w:br/>
        <w:t>adecuadamente” a los magistrados del Tribunal Constitucional Manuel  Aguirre</w:t>
        <w:br/>
        <w:t>Roca, Guillermo Rey Terry y Delia Revoredo Marsano de  Mur  y  reintegrarlos</w:t>
        <w:br/>
        <w:t>en el ejercicio de sus funciones, y dispusiera que  se  dejaran  sin  efecto</w:t>
        <w:br/>
        <w:t>las resoluciones de destitución Nos. 002-97-CR, 003-97-CR y 004-97-CR de  28</w:t>
        <w:br/>
        <w:t>de mayo de 1997. La Comisión  solicitó  como  parte  de  la  reparación,  la</w:t>
        <w:br/>
        <w:t>indemnización de los beneficios salariales que  dichos  señores  dejaran  de</w:t>
        <w:br/>
        <w:t>percibir  desde   su   destitución   hasta   la   fecha   de   su   efectiva</w:t>
        <w:br/>
        <w:t>reincorporación, así como  el  pago  por  los  daños  y  perjuicios  morales</w:t>
        <w:br/>
        <w:t>causados.  Finalmente, la Comisión pidió que se condenara al  Perú  al  pago</w:t>
        <w:br/>
        <w:t>de las costas y gastos “razonables” en que incurrieron las  víctimas  y  sus</w:t>
        <w:br/>
        <w:t>abogados en la tramitación del caso en la jurisdicción  peruana  y  ante  la</w:t>
        <w:br/>
        <w:t>Comisión y la Corte Interamericanas.</w:t>
        <w:br/>
        <w:br/>
        <w:t>20.   La Comisión designó como  delegados  a  los  señores  Hélio  Bicudo  y</w:t>
        <w:br/>
        <w:t>Carlos Ayala Corao; como asesores a los señores Hernando  Valencia  Villa  y</w:t>
        <w:br/>
        <w:t>Christina M. Cerna, y como asistentes a los  señores  Lourdes  Flores  Nano,</w:t>
        <w:br/>
        <w:t>Carlos Chipoco, Manuel Aguirre Roca, Raúl Ferrero Costa, Juan Monroy  Gálvez</w:t>
        <w:br/>
        <w:t>y Valentín Paniagua Corazao.</w:t>
        <w:br/>
        <w:br/>
        <w:t>21.   El 12 de julio de 1999, luego del examen de la  demanda,  se  constató</w:t>
        <w:br/>
        <w:t>que algunos de los anexos estaban incompletos o ilegibles,  por  lo  que  se</w:t>
        <w:br/>
        <w:t>solicitó la retransmisión de los mismos.  El 15 y 23 de  julio  de  1999  la</w:t>
        <w:br/>
        <w:t>Comisión remitió parte de la documentación solicitada.</w:t>
        <w:br/>
        <w:br/>
        <w:t>22.   Por nota de 12 de julio de 1999, recibida en  el  Gabinete  del  señor</w:t>
        <w:br/>
        <w:t>Ministro de Relaciones Exteriores del Perú el 14 de los mismos  mes  y  año,</w:t>
        <w:br/>
        <w:t>la Secretaría de la Corte (en adelante “la Secretaría”) notificó la  demanda</w:t>
        <w:br/>
        <w:t>al Estado, al  cual  informó  sobre  los  plazos  para  contestarla,  oponer</w:t>
        <w:br/>
        <w:t>excepciones  preliminares  y  nombrar  su  representación.    Asimismo,   se</w:t>
        <w:br/>
        <w:t>comunicó al Estado que tenía derecho a designar Juez ad hoc.</w:t>
        <w:br/>
        <w:br/>
        <w:t>23.   El 16 de julio de 1999 el Embajador del Perú en Costa Rica  compareció</w:t>
        <w:br/>
        <w:t>en la sede de la Corte para devolver la demanda y los anexos  del  caso  del</w:t>
        <w:br/>
        <w:t>Tribunal Constitucional. Dicho funcionario entregó a  la  Secretaría  de  la</w:t>
        <w:br/>
        <w:t>Corte una nota de fecha 15 de  julio  de  1999,  suscrita  por  el  Ministro</w:t>
        <w:br/>
        <w:t>Encargado de la Cartera de Relaciones Exteriores del Perú,  en  la  cual  se</w:t>
        <w:br/>
        <w:t>manifiesta que</w:t>
        <w:br/>
        <w:br/>
        <w:t xml:space="preserve">      1.    Mediante Resolución Legislativa No. 27152, de fecha 8  de  julio</w:t>
        <w:br/>
        <w:t xml:space="preserve">      de  1999,  el  Congreso  de  la  República  aprobó   el   retiro   del</w:t>
        <w:br/>
        <w:t xml:space="preserve">      reconocimiento   de   la   competencia   contenciosa   de   la   Corte</w:t>
        <w:br/>
        <w:t xml:space="preserve">      Interamericana de Derechos Humanos.</w:t>
        <w:br/>
        <w:br/>
        <w:t xml:space="preserve">      2.    El 8 de julio de 1999, el Gobierno  de  la  República  del  Perú</w:t>
        <w:br/>
        <w:t xml:space="preserve">      procedió a depositar en la Secretaría General de  la  Organización  de</w:t>
        <w:br/>
        <w:t xml:space="preserve">      los Estados Americanos (OEA), el instrumento mediante el cual  declara</w:t>
        <w:br/>
        <w:t xml:space="preserve">      que, de acuerdo con la Convención Americana sobre Derechos Humanos, la</w:t>
        <w:br/>
        <w:t xml:space="preserve">      República del Perú retira  la  declaración  de  reconocimiento  de  la</w:t>
        <w:br/>
        <w:t xml:space="preserve">      cláusula facultativa de sometimiento a la competencia  contenciosa  de</w:t>
        <w:br/>
        <w:t xml:space="preserve">      la Corte Interamericana de Derechos Humanos...</w:t>
        <w:br/>
        <w:br/>
        <w:t xml:space="preserve">      3.    ...[E]l retiro del reconocimiento de la competencia  contenciosa</w:t>
        <w:br/>
        <w:t xml:space="preserve">      de la Corte produce efectos  inmediatos  a  partir  de  la  fecha  del</w:t>
        <w:br/>
        <w:t xml:space="preserve">      depósito del mencionado instrumento ante la Secretaría General  de  la</w:t>
        <w:br/>
        <w:t xml:space="preserve">      OEA, esto es, a partir del 9 de julio de 1999, y se aplica a todos los</w:t>
        <w:br/>
        <w:t xml:space="preserve">      casos en los que el Perú no hubiese contestado la demanda incoada ante</w:t>
        <w:br/>
        <w:t xml:space="preserve">      la Corte.</w:t>
        <w:br/>
        <w:br/>
        <w:t>En ese mismo escrito, por último, el Estado manifestó que</w:t>
        <w:br/>
        <w:br/>
        <w:t xml:space="preserve">      ...la notificación contenida en la nota CDH-11.760/002,  de  fecha  12</w:t>
        <w:br/>
        <w:t xml:space="preserve">      de julio de 1999, se refiere a un caso en el que esa  Honorable  Corte</w:t>
        <w:br/>
        <w:t xml:space="preserve">      ya no es competente para conocer de demandas  interpuestas  contra  la</w:t>
        <w:br/>
        <w:t xml:space="preserve">      República del Perú, al amparo de la competencia  contenciosa  prevista</w:t>
        <w:br/>
        <w:t xml:space="preserve">      en la Convención Americana sobre Derechos Humanos.</w:t>
        <w:br/>
        <w:br/>
        <w:t>24.   El 10 de septiembre de 1999 la  Comisión  presentó  sus  observaciones</w:t>
        <w:br/>
        <w:t>sobre la devolución de  la  demanda  y  sus  anexos  por  parte  del  Estado</w:t>
        <w:br/>
        <w:t>peruano.  En su escrito, la Comisión manifestó que</w:t>
        <w:br/>
        <w:br/>
        <w:t xml:space="preserve">      a.    la Corte asumió competencia para considerar el presente  caso  a</w:t>
        <w:br/>
        <w:t xml:space="preserve">           partir del 2  de  julio  de  1999,  fecha  en  que  la  Comisión</w:t>
        <w:br/>
        <w:t xml:space="preserve">           interpuso la  demanda,  sin  que  el  supuesto  “retiro”  de  la</w:t>
        <w:br/>
        <w:t xml:space="preserve">           competencia contenciosa de la Corte de 9 de julio de 1999 ni  la</w:t>
        <w:br/>
        <w:t xml:space="preserve">           devolución de la demanda el 16 de julio del  mismo  año  por  el</w:t>
        <w:br/>
        <w:t xml:space="preserve">           Perú produzcan efecto alguno en el ejercicio de  la  competencia</w:t>
        <w:br/>
        <w:t xml:space="preserve">           del Tribunal sobre este caso;</w:t>
        <w:br/>
        <w:br/>
        <w:t xml:space="preserve">      b.    un Estado, en un acto unilateral no puede privar a  un  tribunal</w:t>
        <w:br/>
        <w:t xml:space="preserve">           internacional de la competencia que éste ha asumido previamente;</w:t>
        <w:br/>
        <w:t xml:space="preserve">           la posibilidad de  retirar  el  sometimiento  a  la  competencia</w:t>
        <w:br/>
        <w:t xml:space="preserve">           contenciosa de la  Corte  no  está  prevista  en  la  Convención</w:t>
        <w:br/>
        <w:t xml:space="preserve">           Americana, es incompatible con la misma, y no  tiene  fundamento</w:t>
        <w:br/>
        <w:t xml:space="preserve">           jurídico; y en caso de que no fuera así, para producir  efectos,</w:t>
        <w:br/>
        <w:t xml:space="preserve">           dicho retiro requeriría de una previa notificación de un año, en</w:t>
        <w:br/>
        <w:t xml:space="preserve">           aras de la seguridad y la estabilidad jurídicas.</w:t>
        <w:br/>
        <w:br/>
        <w:t>Por último,  la  Comisión  solicitó  a  la  Corte  que  determinara  que  la</w:t>
        <w:br/>
        <w:t>devolución de la demanda del caso del Tribunal Constitucional y  sus  anexos</w:t>
        <w:br/>
        <w:t>por  el  Perú  no  tiene  validez  legal  y  que  continuara  ejerciendo  su</w:t>
        <w:br/>
        <w:t>competencia sobre el presente  caso** .</w:t>
        <w:br/>
        <w:br/>
        <w:br/>
        <w:t xml:space="preserve">                                      V</w:t>
        <w:br/>
        <w:t xml:space="preserve">                                 Competencia</w:t>
        <w:br/>
        <w:br/>
        <w:t>A.    Hechos:</w:t>
        <w:br/>
        <w:br/>
        <w:t>25.   La Comisión presentó a la Corte la demanda en  el  caso  del  Tribunal</w:t>
        <w:br/>
        <w:t>Constitucional el 2 de julio de 1999.  El 12  de  julio  de  1999  la  Corte</w:t>
        <w:br/>
        <w:t>envió al Estado la nota CDH-11.760/002, mediante la cual le  notificó  dicha</w:t>
        <w:br/>
        <w:t>demanda, y le envió copia de ésta  y  de  los  anexos  que  la  acompañaban.</w:t>
        <w:br/>
        <w:t>Asimismo, la Corte informó al Estado que disponía de  un  mes  para  nombrar</w:t>
        <w:br/>
        <w:t>agente y agente alterno, dos para someter excepciones preliminares y  cuatro</w:t>
        <w:br/>
        <w:t>para responder la demanda.</w:t>
        <w:br/>
        <w:br/>
        <w:t>26.   Por una segunda nota del mismo 12 de julio, Ref. CDH  -11.760/003,  la</w:t>
        <w:br/>
        <w:t>Corte informó al Estado que disponía de 30 días para designar Juez ad hoc.</w:t>
        <w:br/>
        <w:br/>
        <w:t>27.   Mediante nota de 16 de julio de 1999, recibida en la Secretaría de  la</w:t>
        <w:br/>
        <w:t>Corte el 27 de los mismos mes  y  año,  la  Secretaría  General  de  la  OEA</w:t>
        <w:br/>
        <w:t>informó que, con fecha 9 de julio de  1999,  el  Perú  había  presentado  un</w:t>
        <w:br/>
        <w:t>instrumento  en  el  que  comunicaba  el  retiro  de   su   declaración   de</w:t>
        <w:br/>
        <w:t>reconocimiento de la cláusula facultativa de sometimiento a  la  competencia</w:t>
        <w:br/>
        <w:t>contenciosa de la Corte.</w:t>
        <w:br/>
        <w:br/>
        <w:t>Asimismo, transmitió copia del original de  dicho  instrumento,  fechado  en</w:t>
        <w:br/>
        <w:t>Lima el 8 de julio de 1999.  En éste, el Ministro de  Relaciones  Exteriores</w:t>
        <w:br/>
        <w:t>del Perú señalaba que el  Congreso  de  la  República,  mediante  Resolución</w:t>
        <w:br/>
        <w:t>Legislativa No. 27.152 de la misma fecha, había aprobado el  retiro  en  los</w:t>
        <w:br/>
        <w:t>siguientes términos:</w:t>
        <w:br/>
        <w:br/>
        <w:t xml:space="preserve">            ...que, de acuerdo con la Convención  Americana  sobre  Derechos</w:t>
        <w:br/>
        <w:t xml:space="preserve">      Humanos, la República del Perú retira la Declaración de reconocimiento</w:t>
        <w:br/>
        <w:t xml:space="preserve">      de  la  cláusula  facultativa  de  sometimiento   a   la   competencia</w:t>
        <w:br/>
        <w:t xml:space="preserve">      contenciosa de la Corte Interamericana de Derechos Humanos,  hecha  en</w:t>
        <w:br/>
        <w:t xml:space="preserve">      su oportunidad por el gobierno peruano.</w:t>
        <w:br/>
        <w:br/>
        <w:t xml:space="preserve">            Este retiro del conocimiento de la  competencia  contenciosa  de</w:t>
        <w:br/>
        <w:t xml:space="preserve">      la Corte Interamericana producirá efecto inmediato  y  se  aplicará  a</w:t>
        <w:br/>
        <w:t xml:space="preserve">      todos los casos en que  el  Perú  no  hubiese  contestado  la  demanda</w:t>
        <w:br/>
        <w:t xml:space="preserve">      incoada ante la Corte.</w:t>
        <w:br/>
        <w:br/>
        <w:t>28.   El 16 de julio de 1999, el Embajador del Perú  ante  el  Gobierno  de</w:t>
        <w:br/>
        <w:t>Costa Rica compareció en  la  Secretaría  de  la  Corte  Interamericana,  y</w:t>
        <w:br/>
        <w:t>manifestó que procedía a devolver la demanda y  los  anexos  del  caso  del</w:t>
        <w:br/>
        <w:t>Tribunal Constitucional, de lo  cual  la  Secretaría  levantó  un  acta  de</w:t>
        <w:br/>
        <w:t>recibimiento.</w:t>
        <w:br/>
        <w:br/>
        <w:t>29.   El Perú es Estado Parte en la Convención Americana  desde  el  28  de</w:t>
        <w:br/>
        <w:t>julio de 1978.  En su instrumento de  ratificación  de  la  Convención,  el</w:t>
        <w:br/>
        <w:t>Gobierno señaló que ésta había sido aprobada por Decreto-Ley No. 22.231  de</w:t>
        <w:br/>
        <w:t>11 de julio de 1978 y que la tenía como  Ley  del  Estado,  “comprometiendo</w:t>
        <w:br/>
        <w:t>para su observancia el honor de la República”.  El 21 de enero de 1981, por</w:t>
        <w:br/>
        <w:t>su parte, el Perú aceptó la competencia contenciosa  de  la  Corte  en  los</w:t>
        <w:br/>
        <w:t>siguientes términos:</w:t>
        <w:br/>
        <w:br/>
        <w:t xml:space="preserve">      [d]e acuerdo con lo prescrito en el parágrafo 1º del  Artículo  62  de</w:t>
        <w:br/>
        <w:t xml:space="preserve">      la Convención antes mencionada,  el  Gobierno  del  Perú  declara  que</w:t>
        <w:br/>
        <w:t xml:space="preserve">      reconoce como obligatoria de pleno derecho y sin convención  especial,</w:t>
        <w:br/>
        <w:t xml:space="preserve">      la competencia de la Corte Interamericana de  Derechos  Humanos  sobre</w:t>
        <w:br/>
        <w:t xml:space="preserve">      todos los casos relativos a  la  interpretación  o  aplicación  de  la</w:t>
        <w:br/>
        <w:t xml:space="preserve">      Convención.</w:t>
        <w:br/>
        <w:t xml:space="preserve">      Este reconocimiento de competencia se hace por plazo  indeterminado  y</w:t>
        <w:br/>
        <w:t xml:space="preserve">      bajo condición de reciprocidad.</w:t>
        <w:br/>
        <w:br/>
        <w:t>30.   En el ejercicio de su competencia, la  Corte  asumió  el  conocimiento</w:t>
        <w:br/>
        <w:t>del caso del Tribunal Constitucional el 2 de julio de  1999,  fecha  en  que</w:t>
        <w:br/>
        <w:t>recibió formalmente la demanda correspondiente,  presentada  de  conformidad</w:t>
        <w:br/>
        <w:t>con los artículos 48, 50 y 51 de la Convención y 32 de su Reglamento.</w:t>
        <w:br/>
        <w:br/>
        <w:t>B.    Derecho:</w:t>
        <w:br/>
        <w:br/>
        <w:t>31.   La  cuestión  del  pretendido  retiro,  por  parte  del  Perú,  de  la</w:t>
        <w:br/>
        <w:t>declaración de reconocimiento de la competencia contenciosa de  la  Corte  y</w:t>
        <w:br/>
        <w:t>de los efectos jurídicos del mismo, debe ser  resuelta  por  este  Tribunal.</w:t>
        <w:br/>
        <w:t>La   Corte   Interamericana,   como    todo    órgano    con    competencias</w:t>
        <w:br/>
        <w:t>jurisdiccionales, tiene el poder inherente de determinar el  alcance  de  su</w:t>
        <w:br/>
        <w:t>propia competencia (compétence de la compétence/Kompetenz-Kompetenz).</w:t>
        <w:br/>
        <w:br/>
        <w:t>32.   La Corte no puede abdicar de  esta  prerrogativa,  que  además  es  un</w:t>
        <w:br/>
        <w:t>deber que impone la Convención Americana, para ejercer sus  funciones  según</w:t>
        <w:br/>
        <w:t>el artículo 62.3 de la misma.  Dicha disposición establece que</w:t>
        <w:br/>
        <w:br/>
        <w:t xml:space="preserve">      [l]a Corte tiene competencia para conocer de cualquier  caso  relativo</w:t>
        <w:br/>
        <w:t xml:space="preserve">      a  la  interpretación  y  aplicación  de  las  disposiciones  de  esta</w:t>
        <w:br/>
        <w:t xml:space="preserve">      Convención que le sea sometido, siempre que los Estados Partes  en  el</w:t>
        <w:br/>
        <w:t xml:space="preserve">      caso  hayan  reconocido  o  reconozcan  dicha  competencia,  ora   por</w:t>
        <w:br/>
        <w:t xml:space="preserve">      declaración especial, como se indica en los  incisos  anteriores,  ora</w:t>
        <w:br/>
        <w:t xml:space="preserve">      por convención especial.</w:t>
        <w:br/>
        <w:br/>
        <w:t>33.   La competencia de la Corte no  puede  estar  condicionada  por  hechos</w:t>
        <w:br/>
        <w:t>distintos a sus propias actuaciones.  Los instrumentos de aceptación  de  la</w:t>
        <w:br/>
        <w:t>cláusula facultativa de la jurisdicción obligatoria  (artículo  62.1  de  la</w:t>
        <w:br/>
        <w:t>Convención) presuponen la admisión, por los Estados que  la  presentan,  del</w:t>
        <w:br/>
        <w:t>derecho de  la  Corte  a  resolver  cualquier  controversia  relativa  a  su</w:t>
        <w:br/>
        <w:t>jurisdicción.  Una objeción o cualquier otro acto interpuesto por el  Estado</w:t>
        <w:br/>
        <w:t>con el propósito de afectar la competencia de la Corte es  inocuo,  pues  en</w:t>
        <w:br/>
        <w:t>cualesquiera  circunstancias  la  Corte  retiene   la   compétence   de   la</w:t>
        <w:br/>
        <w:t>compétence, por ser maestra de su jurisdicción.</w:t>
        <w:br/>
        <w:br/>
        <w:t>34.   Al interpretar la Convención conforme a su objeto y  fin  (cfr.  infra</w:t>
        <w:br/>
        <w:t>38), la Corte debe actuar de tal manera que se preserve  la  integridad  del</w:t>
        <w:br/>
        <w:t>mecanismo previsto en el artículo 62.1 de la Convención.  Sería  inadmisible</w:t>
        <w:br/>
        <w:t>subordinar tal mecanismo  a  restricciones  súbitamente  agregadas  por  los</w:t>
        <w:br/>
        <w:t>Estados demandados a los términos de  sus  aceptaciones  de  la  competencia</w:t>
        <w:br/>
        <w:t>contenciosa del Tribunal, lo cual no sólo afectaría  la  eficacia  de  dicho</w:t>
        <w:br/>
        <w:t>mecanismo, sino que impediría su desarrollo futuro.</w:t>
        <w:br/>
        <w:br/>
        <w:t>35.   La aceptación de la competencia contenciosa  de  la  Corte  constituye</w:t>
        <w:br/>
        <w:t>una cláusula pétrea que no admite limitaciones  que  no  estén  expresamente</w:t>
        <w:br/>
        <w:t>contenidas en  el  artículo  62.1  de  la  Convención  Americana.   Dada  la</w:t>
        <w:br/>
        <w:t>fundamental importancia de dicha cláusula para la operación del  sistema  de</w:t>
        <w:br/>
        <w:t>protección de la Convención, no puede ella estar a  merced  de  limitaciones</w:t>
        <w:br/>
        <w:t>no previstas que sean invocadas por los Estados Partes por razones de  orden</w:t>
        <w:br/>
        <w:t>interno.</w:t>
        <w:br/>
        <w:br/>
        <w:t>36.   Los Estados Partes en la Convención deben garantizar  el  cumplimiento</w:t>
        <w:br/>
        <w:t>de las disposiciones convencionales y sus efectos propios (effet  utile)  en</w:t>
        <w:br/>
        <w:t>el plano de sus respectivos derechos internos.  Este principio se aplica  no</w:t>
        <w:br/>
        <w:t>sólo en relación con las normas sustantivas  de  los  tratados  de  derechos</w:t>
        <w:br/>
        <w:t>humanos (es decir,  las  que  contienen  disposiciones  sobre  los  derechos</w:t>
        <w:br/>
        <w:t>protegidos), sino también en relación con las normas  procesales,  tal  como</w:t>
        <w:br/>
        <w:t>la referente a la cláusula de aceptación de la competencia  contenciosa  del</w:t>
        <w:br/>
        <w:t>Tribunal [1].  Tal  cláusula,  esencial  a  la  eficacia  del  mecanismo  de</w:t>
        <w:br/>
        <w:t>protección internacional, debe ser interpretada y aplicada de  modo  que  la</w:t>
        <w:br/>
        <w:t>garantía que  establece  sea  verdaderamente  práctica  y  eficaz,  teniendo</w:t>
        <w:br/>
        <w:t>presentes el carácter especial de los tratados  de  derechos  humanos  (cfr.</w:t>
        <w:br/>
        <w:t>infra 41 a 44) y su implementación colectiva.</w:t>
        <w:br/>
        <w:br/>
        <w:t>37.   Según el artículo 31.1 de la Convención de Viena sobre el  Derecho  de</w:t>
        <w:br/>
        <w:t>los Tratados de 1969, (en adelante “la Convención de Viena”),</w:t>
        <w:br/>
        <w:br/>
        <w:t xml:space="preserve">      [u]n tratado deberá interpretarse de  buena  fe  conforme  al  sentido</w:t>
        <w:br/>
        <w:t xml:space="preserve">      corriente que haya de atribuirse a los  términos  del  tratado  en  el</w:t>
        <w:br/>
        <w:t xml:space="preserve">      contexto de éstos y teniendo en cuenta su objeto y fin.</w:t>
        <w:br/>
        <w:t xml:space="preserve">            ...</w:t>
        <w:br/>
        <w:br/>
        <w:t>38.   La Convención Americana  estipula,  en  su  artículo  62.1,  que  todo</w:t>
        <w:br/>
        <w:t>Estado Parte puede,  en  el  momento  del  depósito  de  su  instrumento  de</w:t>
        <w:br/>
        <w:t>ratificación o adhesión, o en cualquier  momento  posterior,  declarar  “que</w:t>
        <w:br/>
        <w:t>reconoce como obligatoria de pleno derecho y  sin  convención  especial,  la</w:t>
        <w:br/>
        <w:t>competencia de la Corte sobre todos los casos relativos a la  interpretación</w:t>
        <w:br/>
        <w:t>o aplicación de esta Convención”.  No existe en la Convención  norma  alguna</w:t>
        <w:br/>
        <w:t>que expresamente faculte a los Estados Partes a retirar  su  declaración  de</w:t>
        <w:br/>
        <w:t>aceptación  de  la  competencia  obligatoria  de  la  Corte,  y  tampoco  el</w:t>
        <w:br/>
        <w:t>instrumento de aceptación por el Perú de la  competencia  de  la  Corte,  de</w:t>
        <w:br/>
        <w:t>fecha 21 de enero de 1981, prevé tal posibilidad.</w:t>
        <w:br/>
        <w:br/>
        <w:t>39.   Una interpretación de la Convención Americana “de  buena  fe  conforme</w:t>
        <w:br/>
        <w:t>al sentido corriente que haya de atribuirse a los términos  del  tratado  en</w:t>
        <w:br/>
        <w:t>el contexto de éstos y teniendo en cuenta su objeto y  fin”,  lleva  a  esta</w:t>
        <w:br/>
        <w:t>Corte a considerar que un Estado  Parte  en  la  Convención  Americana  sólo</w:t>
        <w:br/>
        <w:t>puede  desvincularse  de  sus  obligaciones  convencionales  observando  las</w:t>
        <w:br/>
        <w:t>disposiciones del propio tratado.  En las circunstancias del presente  caso,</w:t>
        <w:br/>
        <w:t>la única vía de que dispone el Estado para desvincularse del sometimiento  a</w:t>
        <w:br/>
        <w:t>la competencia contenciosa de la Corte, según la  Convención  Americana,  es</w:t>
        <w:br/>
        <w:t>la denuncia del tratado  como  un  todo  (cfr.  infra  45  y  49);  si  esto</w:t>
        <w:br/>
        <w:t>ocurriera, dicha denuncia sólo produciría efectos conforme al  artículo  78,</w:t>
        <w:br/>
        <w:t>el cual establece un preaviso de un año.</w:t>
        <w:br/>
        <w:br/>
        <w:t>40.   El artículo 29.a de la  Convención  Americana  establece  que  ninguna</w:t>
        <w:br/>
        <w:t>disposición de la misma puede ser interpretada en el sentido de  permitir  a</w:t>
        <w:br/>
        <w:t>alguno de los Estados Partes, grupo o persona, suprimir el goce y  ejercicio</w:t>
        <w:br/>
        <w:t>de los derechos y libertades reconocidos en la Convención  o  limitarlos  en</w:t>
        <w:br/>
        <w:t>mayor medida que la prevista en ella.  Una interpretación de  la  Convención</w:t>
        <w:br/>
        <w:t>Americana en el sentido de permitir que un Estado  Parte  pueda  retirar  su</w:t>
        <w:br/>
        <w:t>reconocimiento de la competencia obligatoria  del  Tribunal,  como  pretende</w:t>
        <w:br/>
        <w:t>hacerse en el presente caso, implicaría la supresión del  ejercicio  de  los</w:t>
        <w:br/>
        <w:t>derechos y libertades reconocidos por la Convención, iría en  contra  de  su</w:t>
        <w:br/>
        <w:t>objeto y propósito como tratado de derechos humanos, y privaría a todos  los</w:t>
        <w:br/>
        <w:t>beneficiarios de la Convención de la garantía  adicional  de  protección  de</w:t>
        <w:br/>
        <w:t>tales derechos por medio de la actuación de su órgano jurisdiccional.</w:t>
        <w:br/>
        <w:br/>
        <w:t>41.   La Convención Americana, así  como  los  demás  tratados  de  derechos</w:t>
        <w:br/>
        <w:t>humanos,  se  inspiran  en  valores  comunes  superiores  (centrados  en  la</w:t>
        <w:br/>
        <w:t>protección del ser humano),  están  dotados  de  mecanismos  específicos  de</w:t>
        <w:br/>
        <w:t>supervisión, se aplican de conformidad con la noción de garantía  colectiva,</w:t>
        <w:br/>
        <w:t>consagran obligaciones de carácter  esencialmente  objetivo,  y  tienen  una</w:t>
        <w:br/>
        <w:t>naturaleza especial, que los diferencian de los demás tratados,  los  cuales</w:t>
        <w:br/>
        <w:t>reglamentan intereses recíprocos entre los Estados Partes  y  son  aplicados</w:t>
        <w:br/>
        <w:t>por éstos, con todas las consecuencias jurídicas que de ahí derivan  en  los</w:t>
        <w:br/>
        <w:t>ordenamientos jurídicos internacional e interno.</w:t>
        <w:br/>
        <w:br/>
        <w:t>42.   Al respecto, esta Corte ha señalado, en su Opinión Consultiva  OC-2/82</w:t>
        <w:br/>
        <w:t>de 24 de septiembre de 1982 denominada El Efecto de las  Reservas  Sobre  la</w:t>
        <w:br/>
        <w:t>Entrada en Vigencia de la Convención Americana (artículos 74 y 75), que</w:t>
        <w:br/>
        <w:br/>
        <w:t xml:space="preserve">      ... los tratados modernos sobre derechos humanos, en  general,  y,  en</w:t>
        <w:br/>
        <w:t xml:space="preserve">      particular, la Convención Americana, no  son  tratados  multilaterales</w:t>
        <w:br/>
        <w:t xml:space="preserve">      del  tipo  tradicional,  concluidos  en  función  de  un   intercambio</w:t>
        <w:br/>
        <w:t xml:space="preserve">      recíproco  de  derechos,  para  el  beneficio  mutuo  de  los  Estados</w:t>
        <w:br/>
        <w:t xml:space="preserve">      contratantes.  Su objeto y fin  son  la  protección  de  los  derechos</w:t>
        <w:br/>
        <w:t xml:space="preserve">      fundamentales  de  los  seres  humanos,   independientemente   de   su</w:t>
        <w:br/>
        <w:t xml:space="preserve">      nacionalidad, tanto frente a su propio Estado como frente a los  otros</w:t>
        <w:br/>
        <w:t xml:space="preserve">      Estados  contratantes.   Al  aprobar  estos  tratados  sobre  derechos</w:t>
        <w:br/>
        <w:t xml:space="preserve">      humanos, los Estados se someten a  un  orden  legal  dentro  del  cual</w:t>
        <w:br/>
        <w:t xml:space="preserve">      ellos, por el bien común, asumen varias obligaciones, no  en  relación</w:t>
        <w:br/>
        <w:t xml:space="preserve">      con otros Estados, sino hacia  los  individuos  bajo  su  jurisdicción</w:t>
        <w:br/>
        <w:t xml:space="preserve">      (párr. 29).</w:t>
        <w:br/>
        <w:br/>
        <w:t>43.   Dicho criterio coincide con la  jurisprudencia  convergente  de  otros</w:t>
        <w:br/>
        <w:t>órganos   jurisdiccionales   internacionales.    Al   respecto,   la   Corte</w:t>
        <w:br/>
        <w:t>Internacional de Justicia, en su Opinión Consultiva relativa  a  Reservas  a</w:t>
        <w:br/>
        <w:t>la Convención para la Prevención y Sanción del Delito de  Genocidio  (1951),</w:t>
        <w:br/>
        <w:t>afirmó que “en este tipo de tratados, los  Estados  contratantes  no  tienen</w:t>
        <w:br/>
        <w:t>intereses propios; solamente tienen, por encima de todo, un  interés  común:</w:t>
        <w:br/>
        <w:t>la consecución de los propósitos que son la razón de ser de la Convención”.</w:t>
        <w:br/>
        <w:br/>
        <w:t>44.   La  Comisión  y  Corte  Europeas  de  Derechos  Humanos  (en  adelante</w:t>
        <w:br/>
        <w:t>“Comisión Europea” y “Corte Europea”, respectivamente), a  su  vez,  se  han</w:t>
        <w:br/>
        <w:t>pronunciado en forma similar.  En el caso  Austria  vs.  Italia  (1961),  la</w:t>
        <w:br/>
        <w:t>Comisión Europea declaró que  las  obligaciones  asumidas  por  los  Estados</w:t>
        <w:br/>
        <w:t>Partes  en  la  Convención  Europea  de  Derechos   Humanos   (en   adelante</w:t>
        <w:br/>
        <w:t>“Convención Europea”) “son esencialmente  de  carácter  objetivo,  diseñadas</w:t>
        <w:br/>
        <w:t>para  proteger  los  derechos  fundamentales  de  los   seres   humanos   de</w:t>
        <w:br/>
        <w:t>violaciones de parte de las  Altas  Partes  Contratantes  en  vez  de  crear</w:t>
        <w:br/>
        <w:t>derechos subjetivos y recíprocos entre las  Altas  Partes  Contratantes”[2].</w:t>
        <w:br/>
        <w:t>En igual sentido, la Corte Europea afirmó, en  el  caso  Irlanda  vs.  Reino</w:t>
        <w:br/>
        <w:t>Unido (1978), que</w:t>
        <w:br/>
        <w:br/>
        <w:t xml:space="preserve">            a diferencia de los tratados internacionales del  tipo  clásico,</w:t>
        <w:br/>
        <w:t xml:space="preserve">      la Convención comprende más que simples compromisos  recíprocos  entre</w:t>
        <w:br/>
        <w:t xml:space="preserve">      los Estados Partes.  Crea, por encima de un  conjunto  de  compromisos</w:t>
        <w:br/>
        <w:t xml:space="preserve">      bilaterales, mutuos, obligaciones objetivas que, en los  términos  del</w:t>
        <w:br/>
        <w:t xml:space="preserve">      Preámbulo, cuentan con una 'garantía colectiva'. [3]</w:t>
        <w:br/>
        <w:br/>
        <w:t>Igualmente, en el caso  Soering vs. Reino Unido  (1989),  la  Corte  Europea</w:t>
        <w:br/>
        <w:t>declaró que la Convención Europea “debe ser interpretada en  función  de  su</w:t>
        <w:br/>
        <w:t>carácter específico de tratado de garantía colectiva de derechos  humanos  y</w:t>
        <w:br/>
        <w:t>libertades fundamentales, y que el objeto  y  fin  de  este  instrumento  de</w:t>
        <w:br/>
        <w:t>protección de seres humanos exigen comprender y  aplicar  sus  disposiciones</w:t>
        <w:br/>
        <w:t>de manera que haga efectivas y concretas aquellas exigencias”.[4]</w:t>
        <w:br/>
        <w:br/>
        <w:t>45.   En el funcionamiento  del  sistema  de  protección  consagrado  en  la</w:t>
        <w:br/>
        <w:t>Convención   Americana,   reviste   particular   importancia   la   cláusula</w:t>
        <w:br/>
        <w:t>facultativa  de  aceptación  de  la  competencia  contenciosa  de  la  Corte</w:t>
        <w:br/>
        <w:t>Interamericana.  Al someterse a esa cláusula queda el Estado vinculado a  la</w:t>
        <w:br/>
        <w:t>integridad de la Convención, y comprometido por completo con la garantía  de</w:t>
        <w:br/>
        <w:t>protección  internacional  de  los  derechos  humanos  consagrada  en  dicha</w:t>
        <w:br/>
        <w:t>Convención.  El Estado Parte sólo puede sustraerse a la  competencia  de  la</w:t>
        <w:br/>
        <w:t>Corte mediante la denuncia del tratado como un todo (cfr. supra 39  e  infra</w:t>
        <w:br/>
        <w:t>49).  El instrumento de aceptación de  la  competencia  de  la  Corte  debe,</w:t>
        <w:br/>
        <w:t>pues, ser  apreciado  siempre  a  la  luz  del  objeto  y  propósito  de  la</w:t>
        <w:br/>
        <w:t>Convención Americana como tratado de derechos humanos.</w:t>
        <w:br/>
        <w:br/>
        <w:t>46.   Hay que descartar cualquier analogía entre, por un lado,  la  práctica</w:t>
        <w:br/>
        <w:t>estatal permisiva desarrollada bajo el artículo  36.2  del  Estatuto  de  la</w:t>
        <w:br/>
        <w:t>Corte Internacional de Justicia, y, por  otro  lado,  la  aceptación  de  la</w:t>
        <w:br/>
        <w:t>cláusula facultativa de la jurisdicción obligatoria de esta Corte,  teniendo</w:t>
        <w:br/>
        <w:t>presentes el carácter especial,  así  como  el  objeto  y  propósito  de  la</w:t>
        <w:br/>
        <w:t>Convención Americana.  En este  sentido  se  ha  pronunciado  igualmente  la</w:t>
        <w:br/>
        <w:t>Corte Europea  de  Derechos  Humanos,  en  su  sentencia  sobre  excepciones</w:t>
        <w:br/>
        <w:t>preliminares en el caso Loizidou vs. Turquía  (1995),  en  relación  con  la</w:t>
        <w:br/>
        <w:t>cláusula facultativa de su  jurisdicción  obligatoria  (artículo  46  de  la</w:t>
        <w:br/>
        <w:t>Convención Europea, anteriormente a la entrada en vigor, el 01.11.1998,  del</w:t>
        <w:br/>
        <w:t>Protocolo XI a la Convención Europea)[5], fundamentando su  posición  en  el</w:t>
        <w:br/>
        <w:t>carácter  de  “tratado  normativo”  (law-making  treaty)  de  la  Convención</w:t>
        <w:br/>
        <w:t>Europea.[6]</w:t>
        <w:br/>
        <w:br/>
        <w:t>47.   En efecto, la solución internacional  de  casos  de  derechos  humanos</w:t>
        <w:br/>
        <w:t>(confiada a tribunales como las Cortes Interamericana y Europea de  Derechos</w:t>
        <w:br/>
        <w:t>Humanos), no admite analogías con  la  solución  pacífica  de  controversias</w:t>
        <w:br/>
        <w:t>internacionales en el contencioso  puramente  interestatal  (confiada  a  un</w:t>
        <w:br/>
        <w:t>tribunal como la Corte Internacional de Justicia);  por  tratarse,  como  es</w:t>
        <w:br/>
        <w:t>ampliamente  reconocido,  de  contextos  fundamentalmente   distintos,   los</w:t>
        <w:br/>
        <w:t>Estados no pueden pretender contar, en el primero de dichos  contextos,  con</w:t>
        <w:br/>
        <w:t>la misma  discrecionalidad  con  que  han  contado  tradicionalmente  en  el</w:t>
        <w:br/>
        <w:t>segundo.</w:t>
        <w:br/>
        <w:br/>
        <w:t>48.   No hay como equiparar un acto  jurídico  unilateral  efectuado  en  el</w:t>
        <w:br/>
        <w:t>contexto de las relaciones puramente interestatales  (v.g.,  reconocimiento,</w:t>
        <w:br/>
        <w:t>promesa, protesta,  renuncia),  que  se  completa  por  sí  mismo  de  forma</w:t>
        <w:br/>
        <w:t>autónoma, con un acto jurídico unilateral efectuado en el marco del  derecho</w:t>
        <w:br/>
        <w:t>convencional,  como  la  aceptación  de  una  cláusula  facultativa  de   la</w:t>
        <w:br/>
        <w:t>jurisdicción obligatoria de un tribunal internacional.  Dicha aceptación  se</w:t>
        <w:br/>
        <w:t>encuentra  determinada  y  condicionada  por  el  propio   tratado   y,   en</w:t>
        <w:br/>
        <w:t>particular, por la realización de su objeto y propósito.</w:t>
        <w:br/>
        <w:br/>
        <w:t>49.    Un  Estado  que  aceptó  la  jurisdicción  obligatoria  de  la  Corte</w:t>
        <w:br/>
        <w:t>Interamericana según el artículo 62.1 de la misma, pasa a obligarse  por  la</w:t>
        <w:br/>
        <w:t>Convención como un todo (cfr. supra 39 y 45).  El propósito de preservar  la</w:t>
        <w:br/>
        <w:t>integridad de las obligaciones  convencionales  se  desprende  del  artículo</w:t>
        <w:br/>
        <w:t>44.1 de la Convención de Viena, que parte precisamente del principio de  que</w:t>
        <w:br/>
        <w:t>la denuncia (o el “retiro” del mecanismo  de  un  tratado)  sólo  puede  ser</w:t>
        <w:br/>
        <w:t>efectuada en relación con el conjunto del  tratado,  a  menos  que  éste  lo</w:t>
        <w:br/>
        <w:t>disponga o las Partes lo acuerden de manera diferente.</w:t>
        <w:br/>
        <w:br/>
        <w:t>50.   La Convención Americana es  clara  al  prever  la  denuncia  de  “esta</w:t>
        <w:br/>
        <w:t>Convención” (artículo 78), y no la  denuncia  o  “el  retiro”  de  partes  o</w:t>
        <w:br/>
        <w:t>cláusulas de la misma, pues esto último afectaría su integridad.   Aplicando</w:t>
        <w:br/>
        <w:t>los criterios consagrados en la Convención  de  Viena  (artículo  56.1),  no</w:t>
        <w:br/>
        <w:t>parece haber sido la intención de las Partes permitir tal tipo  de  denuncia</w:t>
        <w:br/>
        <w:t>o retiro, ni tampoco se puede inferir este último de  la  naturaleza  de  la</w:t>
        <w:br/>
        <w:t>Convención Americana como tratado de derechos humanos.</w:t>
        <w:br/>
        <w:br/>
        <w:t>51.   Aún en la hipótesis de que  fuera  posible  tal  “retiro”,  -hipótesis</w:t>
        <w:br/>
        <w:t>rechazada por esta Corte,- no podría éste de modo alguno  producir  “efectos</w:t>
        <w:br/>
        <w:t>inmediatos”.  El artículo 56.2 de la Convención de Viena estipula  un  plazo</w:t>
        <w:br/>
        <w:t>de anticipación de “por lo menos doce meses” para  la  notificación  por  un</w:t>
        <w:br/>
        <w:t>Estado Parte de su intención de denunciar un  tratado  o  retirarse  de  él.</w:t>
        <w:br/>
        <w:t>Este plazo tiene el propósito de proteger los intereses de las otras  Partes</w:t>
        <w:br/>
        <w:t>en el tratado.  La obligación internacional en cuestión,  aunque  haya  sido</w:t>
        <w:br/>
        <w:t>contraída  por  medio  de  una  declaración   unilateral,   tiene   carácter</w:t>
        <w:br/>
        <w:t>vinculante;  el  Estado  queda  sujeto  a  “seguir  una  línea  de  conducta</w:t>
        <w:br/>
        <w:t>consistente  con  su  declaración”,  y  los  demás  Estados   Partes   están</w:t>
        <w:br/>
        <w:t>habilitados para exigir que sea cumplida.[7]</w:t>
        <w:br/>
        <w:br/>
        <w:t>52.   A pesar de su carácter facultativo, la declaración  de  aceptación  de</w:t>
        <w:br/>
        <w:t>la competencia contenciosa de un tribunal internacional, una vez  efectuada,</w:t>
        <w:br/>
        <w:t>no autoriza al Estado a cambiar posteriormente su contenido y  alcance  como</w:t>
        <w:br/>
        <w:t>bien entienda:  “...El derecho de poner fin inmediatamente  a  declaraciones</w:t>
        <w:br/>
        <w:t>con  duración  indefinida  encuéntrase  lejos  de  estar  establecido.    La</w:t>
        <w:br/>
        <w:t>exigencia de la buena fe parece imponer que se debería aplicar a  ellas  por</w:t>
        <w:br/>
        <w:t>analogía el tratamiento  previsto  por  el  derecho  de  los  tratados,  que</w:t>
        <w:br/>
        <w:t>requiere un plazo razonable para el retiro o la denuncia de tratados que  no</w:t>
        <w:br/>
        <w:t>contienen disposición alguna sobre la  duración  de  su  validez”[8].   Así,</w:t>
        <w:br/>
        <w:t>para  que  la  aceptación  de  la   cláusula   facultativa   sea   terminada</w:t>
        <w:br/>
        <w:t>unilateralmente, deben aplicarse las reglas pertinentes del derecho  de  los</w:t>
        <w:br/>
        <w:t>tratados, las cuales descartan claramente dicha terminación o  “retiro”  con</w:t>
        <w:br/>
        <w:t>“efecto inmediato”.</w:t>
        <w:br/>
        <w:br/>
        <w:t>53.   Por las razones anteriores, la Corte considera que es  inadmisible  el</w:t>
        <w:br/>
        <w:t>pretendido retiro por el Perú de la  declaración  de  reconocimiento  de  la</w:t>
        <w:br/>
        <w:t>competencia contenciosa  de  la  Corte  con  efectos  inmediatos,  así  como</w:t>
        <w:br/>
        <w:t>cualesquiera consecuencias que se busque  derivar  de  dicho  retiro,  entre</w:t>
        <w:br/>
        <w:t>ellas, la devolución de la demanda, que resulta irrelevante.</w:t>
        <w:br/>
        <w:br/>
        <w:t>54.   En virtud de lo expuesto, la Corte considera que  debe  continuar  con</w:t>
        <w:br/>
        <w:t>la tramitación del caso del Tribunal Constitucional, de conformidad  con  el</w:t>
        <w:br/>
        <w:t>artículo 27 de su Reglamento.</w:t>
        <w:br/>
        <w:br/>
        <w:br/>
        <w:t xml:space="preserve">                                     VI</w:t>
        <w:br/>
        <w:t xml:space="preserve">                             Puntos Resolutivos</w:t>
        <w:br/>
        <w:br/>
        <w:t>55.   Por tanto,</w:t>
        <w:br/>
        <w:br/>
        <w:t>La Corte</w:t>
        <w:br/>
        <w:br/>
        <w:t>resuelve</w:t>
        <w:br/>
        <w:br/>
        <w:t>por unanimidad,</w:t>
        <w:br/>
        <w:br/>
        <w:t>1.    Declarar que:</w:t>
        <w:br/>
        <w:br/>
        <w:t xml:space="preserve">      a.    la Corte Interamericana de Derechos Humanos es  competente  para</w:t>
        <w:br/>
        <w:t xml:space="preserve">           conocer el presente caso;</w:t>
        <w:br/>
        <w:br/>
        <w:t xml:space="preserve">      b.    el pretendido retiro, con  efectos  inmediatos,  por  el  Estado</w:t>
        <w:br/>
        <w:t xml:space="preserve">           peruano, de la declaración de reconocimiento de  la  competencia</w:t>
        <w:br/>
        <w:t xml:space="preserve">           contenciosa de la Corte Interamericana de  Derechos  Humanos  es</w:t>
        <w:br/>
        <w:t xml:space="preserve">           inadmisible.</w:t>
        <w:br/>
        <w:br/>
        <w:t>2.    Continuar con el conocimiento y la tramitación del presente caso.</w:t>
        <w:br/>
        <w:br/>
        <w:t>3.    Comisionar a su Presidente para que, en su  oportunidad,  convoque  al</w:t>
        <w:br/>
        <w:t>Estado peruano y a la Comisión Interamericana  de  Derechos  Humanos  a  una</w:t>
        <w:br/>
        <w:t>audiencia pública sobre el fondo del caso por realizarse en la  sede  de  la</w:t>
        <w:br/>
        <w:t>Corte Interamericana de Derechos Humanos.</w:t>
        <w:br/>
        <w:br/>
        <w:t>4.     Notificar  esta  sentencia  al  Estado  peruano  y  a   la   Comisión</w:t>
        <w:br/>
        <w:t>Interamericana de Derechos Humanos.</w:t>
        <w:br/>
        <w:br/>
        <w:t>Redactada en español y en inglés, haciendo fe el texto en  español,  en  San</w:t>
        <w:br/>
        <w:t>José, Costa Rica, el día 24 de septiembre de 1999.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Oliver Jackman</w:t>
        <w:br/>
        <w:br/>
        <w:t>Sergio García Ramírez  Alirio Abreu Burelli</w:t>
        <w:br/>
        <w:br/>
        <w:t xml:space="preserve">                       Carlos Vicente de Roux Rengifo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El Juez Hernán Salgado Pesantes, quien presidió la Corte hasta el día  16</w:t>
        <w:br/>
        <w:t>de septiembre de 1999, se excusó  en  aquella  fecha  de  participar  en  la</w:t>
        <w:br/>
        <w:t>elaboración y adopción de esta Sentencia.</w:t>
        <w:br/>
        <w:br/>
        <w:t>**  El 27 de agosto y el 9 y 15  de  septiembre  de  1999  el  International</w:t>
        <w:br/>
        <w:t>Human Rights Law Group, los señores Curtis Francis Doebbler y Alberto  Borea</w:t>
        <w:br/>
        <w:t>Odría, respectivamente, presentaron escritos en  calidad  de  amici  curiae,</w:t>
        <w:br/>
        <w:t>que no fueron agregados formalmente a los autos de la causa.</w:t>
        <w:br/>
        <w:br/>
        <w:t>[1]   European  Commission  of  Human  Rights,  Applications  Nº   15299/89,</w:t>
        <w:br/>
        <w:t>15300/89 and 15318/89, Chrysostomos et alii v. Turkey (1991), Decisions  and</w:t>
        <w:br/>
        <w:t>Reports, Strasbourg, C. E., [1991], vol. 68, pp. 216-253.</w:t>
        <w:br/>
        <w:br/>
        <w:br/>
        <w:t>[2]   European Commission of Human Rights, Decision as to the  Admissibility</w:t>
        <w:br/>
        <w:t>of Application No. 788/60, Austria vs. Italy case, Yearbook of the  European</w:t>
        <w:br/>
        <w:t>Convention on Human Rights, The Hague, M. Nijhoff, 1961, p. 140.</w:t>
        <w:br/>
        <w:br/>
        <w:t>[3]  Eur. Court HR, Ireland vs. United Kingdom case, Judgment of 18  January</w:t>
        <w:br/>
        <w:t>1978, Series A no. 25, p. 90, párr. 239.</w:t>
        <w:br/>
        <w:br/>
        <w:t>[4]  Eur. Court H.R., Soering Case, decision of 26 January  1989,  Series  A</w:t>
        <w:br/>
        <w:t>no. 161, párr. 87.</w:t>
        <w:br/>
        <w:br/>
        <w:br/>
        <w:t>[5]   Eur.  Court  of  H.R.,  Case  of  Loizidou  vs.  Turkey   (Preliminary</w:t>
        <w:br/>
        <w:t>Objections), judgment of 23 March 1995, Series A Nº 310 p. 25, párrs.  82  y</w:t>
        <w:br/>
        <w:t>68.</w:t>
        <w:br/>
        <w:br/>
        <w:t>[6]  Ibid., p. 25, párr. 84.</w:t>
        <w:br/>
        <w:br/>
        <w:t>[7]  ICJ,  Nuclear  Tests  case  (Australia  vs.  France),  Judgment  of  20</w:t>
        <w:br/>
        <w:t>December 1974, ICJ Reports (1974) p. 268, párr. 46; ICJ, Nuclear Tests  case</w:t>
        <w:br/>
        <w:t>(New Zealand vs. France), Judgment of 20 December 1974, ICJ  Reports  (1974)</w:t>
        <w:br/>
        <w:t>p. 473 y 267, párrs. 49 y 43, respectivamente.</w:t>
        <w:br/>
        <w:br/>
        <w:t>[8]  Cf. ICJ, Case Concerning Military and Paramilitary  Activities  in  and</w:t>
        <w:br/>
        <w:t>against Nicaragua (Jurisdiction  of  the  Court  and  Admissibility  of  the</w:t>
        <w:br/>
        <w:t>Application - Nicaragua versus United States, Judgment of  26.11.1984),  ICJ</w:t>
        <w:br/>
        <w:t>Reports (1984) p. 420, párr. 63, y cf. p. 418, párrs. 59 y 60.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