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          Caso Blake Vs. Guatemala</w:t>
        <w:br/>
        <w:br/>
        <w:br/>
        <w:t xml:space="preserve">                      Sentencia de 1 de octubre de 1999</w:t>
        <w:br/>
        <w:t xml:space="preserve">          (Interpretación de la Sentencia de Reparaciones y Costas)</w:t>
        <w:br/>
        <w:br/>
        <w:br/>
        <w:br/>
        <w:br/>
        <w:br/>
        <w:br/>
        <w:t>En el caso Blake,</w:t>
        <w:br/>
        <w:br/>
        <w:t>la Corte Interamericana de Derechos Humanos (en adelante “la  Corte”  o  “la</w:t>
        <w:br/>
        <w:t>Corte Interamericana”), integrada por los siguientes jueces:</w:t>
        <w:br/>
        <w:br/>
        <w:t xml:space="preserve">      Antônio A. Cançado Trindade, Presidente</w:t>
        <w:br/>
        <w:t xml:space="preserve">      Máximo Pacheco Gómez, Vicepresidente</w:t>
        <w:br/>
        <w:t xml:space="preserve">      Hernán Salgado Pesantes, Juez</w:t>
        <w:br/>
        <w:t xml:space="preserve">      Oliver Jackman, Juez</w:t>
        <w:br/>
        <w:t xml:space="preserve">      Alirio Abreu Burelli, Juez</w:t>
        <w:br/>
        <w:t xml:space="preserve">      Sergio García Ramírez, Juez</w:t>
        <w:br/>
        <w:t xml:space="preserve">      Carlos Vicente de Roux Rengifo, Juez y</w:t>
        <w:br/>
        <w:t xml:space="preserve">      Alfonso Novales Aguirre, Juez ad hoc;</w:t>
        <w:br/>
        <w:br/>
        <w:t>presentes, además,</w:t>
        <w:br/>
        <w:br/>
        <w:t xml:space="preserve">      Manuel E. Ventura Robles, Secretario y</w:t>
        <w:br/>
        <w:t xml:space="preserve">      Renzo Pomi, Secretario adjunto</w:t>
        <w:br/>
        <w:br/>
        <w:t>de acuerdo con el artículo 67 de  la  Convención  Americana  sobre  Derechos</w:t>
        <w:br/>
        <w:t>Humanos (en adelante “la Convención” o  “la  Convención  Americana”)  y  los</w:t>
        <w:br/>
        <w:t>artículos  29.2  y  58  del  Reglamento  de  la  Corte  (en   adelante   “el</w:t>
        <w:br/>
        <w:t>Reglamento”) resuelve sobre la demanda de  interpretación  de  la  sentencia</w:t>
        <w:br/>
        <w:t>emitida por la Corte el 22 de enero de 1999 en el caso  Blake  (en  adelante</w:t>
        <w:br/>
        <w:t>“la sentencia sobre reparaciones”), presentada por el  Estado  de  Guatemala</w:t>
        <w:br/>
        <w:t>(en adelante “el Estado” o “Guatemala”) el 21 de abril de 1999.</w:t>
        <w:br/>
        <w:br/>
        <w:t xml:space="preserve">                                      I</w:t>
        <w:br/>
        <w:t xml:space="preserve">                    Competencia y Composición de la corte</w:t>
        <w:br/>
        <w:br/>
        <w:t>1.    De conformidad con el artículo  67  de  la  Convención,  la  Corte  es</w:t>
        <w:br/>
        <w:t>competente para interpretar sus fallos y, para  realizar  el  examen  de  la</w:t>
        <w:br/>
        <w:t>demanda  de  interpretación,  debe  integrarse,  si  es  posible,   con   la</w:t>
        <w:br/>
        <w:t>composición que tenía al dictar la sentencia respectiva (artículo  58.3  del</w:t>
        <w:br/>
        <w:t>Reglamento).  En esta ocasión, la  Corte  se  integra  con  los  jueces  que</w:t>
        <w:br/>
        <w:t>dictaron la  sentencia  sobre  reparaciones,  cuya  interpretación  ha  sido</w:t>
        <w:br/>
        <w:t>solicitada por Guatemala.</w:t>
        <w:br/>
        <w:br/>
        <w:br/>
        <w:br/>
        <w:br/>
        <w:t xml:space="preserve">                                     II</w:t>
        <w:br/>
        <w:t xml:space="preserve">                Introducción de la demanda de interpretación</w:t>
        <w:br/>
        <w:br/>
        <w:t>2.    El 21 de abril de 1999 el Estado presentó, de acuerdo con el  artículo</w:t>
        <w:br/>
        <w:t>67  de  la  Convención  Americana,  una  demanda  de  interpretación  de  la</w:t>
        <w:br/>
        <w:t>sentencia sobre reparaciones.</w:t>
        <w:br/>
        <w:br/>
        <w:t>3.    Mediante nota de 23 de abril de 1999 la Secretaría  de  la  Corte  (en</w:t>
        <w:br/>
        <w:t>adelante “la Secretaría), transmitió copias de la demanda de  interpretación</w:t>
        <w:br/>
        <w:t>a los familiares del señor Nicholas Blake y a la Comisión Interamericana  de</w:t>
        <w:br/>
        <w:t>Derechos Humanos (en adelante “la Comisión” o “la Comisión  Interamericana”)</w:t>
        <w:br/>
        <w:t>y, de conformidad con lo  dispuesto  por  el  Presidente  de  la  Corte  (en</w:t>
        <w:br/>
        <w:t>adelante “el Presidente”), les invitó a  presentar  sus  alegaciones  a  más</w:t>
        <w:br/>
        <w:t>tardar el 21 de mayo de 1999.</w:t>
        <w:br/>
        <w:br/>
        <w:t>4.    El 21 de mayo de 1999 la Comisión presentó  sus  alegaciones  escritas</w:t>
        <w:br/>
        <w:t>sobre la demanda de interpretación.  Ese mismo día los familiares del  señor</w:t>
        <w:br/>
        <w:t>Nicholas Blake presentaron las suyas.</w:t>
        <w:br/>
        <w:br/>
        <w:br/>
        <w:t xml:space="preserve">                                     III</w:t>
        <w:br/>
        <w:t xml:space="preserve">                            Objeto de la demanda</w:t>
        <w:br/>
        <w:br/>
        <w:t>5.    En la demanda  de  interpretación,  el  Estado  señaló  que  “[d]e  la</w:t>
        <w:br/>
        <w:t>transcripción literal de las partes conducentes de [la sentencia de fondo  y</w:t>
        <w:br/>
        <w:t>la sentencia sobre  reparaciones]  se  determina  que  la  de  reparaciones,</w:t>
        <w:br/>
        <w:t>contiene una determinación de compensación económica totalmente distinta  de</w:t>
        <w:br/>
        <w:t>la expresada en el fallo  de  fondo”,  ya  que  este  último  establece  que</w:t>
        <w:br/>
        <w:t>Guatemala debe resarcir a los familiares de la víctima los  gastos  “en  que</w:t>
        <w:br/>
        <w:t>hayan  incurrido  en  sus  gestiones  pertinentes   ante   las   autoridades</w:t>
        <w:br/>
        <w:t>guatemaltecas con ocasión de este proceso”, mientras que la sentencia  sobre</w:t>
        <w:br/>
        <w:t>reparaciones  ordenó  el  pago  por   concepto   de   gastos   de   carácter</w:t>
        <w:br/>
        <w:t>extrajudicial y por concepto de reintegro de los  gastos  efectuados  en  la</w:t>
        <w:br/>
        <w:t>tramitación del caso ante el sistema interamericano de derechos humanos.</w:t>
        <w:br/>
        <w:br/>
        <w:t>6.    En el punto resolutivo pertinente de la sentencia de fondo,  la  Corte</w:t>
        <w:br/>
        <w:t>decidió, por unanimidad,</w:t>
        <w:br/>
        <w:t xml:space="preserve">      [...]</w:t>
        <w:br/>
        <w:br/>
        <w:t xml:space="preserve">      4.    declara[r] que el Estado de Guatemala est[aba] obligado a  pagar</w:t>
        <w:br/>
        <w:t xml:space="preserve">      una justa indemnización a los familiares del  señor  Nicholas  Chapman</w:t>
        <w:br/>
        <w:t xml:space="preserve">      Blake y a resarcirles  los  gastos  en  que  hayan  incurrido  en  sus</w:t>
        <w:br/>
        <w:t xml:space="preserve">      gestiones pertinentes ante las autoridades guatemaltecas  con  ocasión</w:t>
        <w:br/>
        <w:t xml:space="preserve">      de este proceso.</w:t>
        <w:br/>
        <w:br/>
        <w:t>7.    En el punto resolutivo pertinente de la sentencia  sobre  reparaciones</w:t>
        <w:br/>
        <w:t>la Corte decidió, por unanimidad,</w:t>
        <w:br/>
        <w:br/>
        <w:t xml:space="preserve">      [...]</w:t>
        <w:br/>
        <w:br/>
        <w:br/>
        <w:t xml:space="preserve">      2.    Ordenar que el Estado de Guatemala pague:</w:t>
        <w:br/>
        <w:br/>
        <w:br/>
        <w:t xml:space="preserve">      a)    US$151.000,00 (ciento cincuenta y un mil dólares de los  Estados</w:t>
        <w:br/>
        <w:t xml:space="preserve">      Unidos de América) o su equivalente en moneda nacional guatemalteca, a</w:t>
        <w:br/>
        <w:t xml:space="preserve">      los señores Richard Blake, Mary Blake,  Richard  Blake  Jr.  y  Samuel</w:t>
        <w:br/>
        <w:t xml:space="preserve">      Blake,  como  parte   lesionada,   por   concepto   de   reparaciones,</w:t>
        <w:br/>
        <w:t xml:space="preserve">      distribuidos de la manera señalada en los párrafos 58, 50 y 49 de esta</w:t>
        <w:br/>
        <w:t xml:space="preserve">      sentencia:</w:t>
        <w:br/>
        <w:br/>
        <w:br/>
        <w:t xml:space="preserve">      [...]</w:t>
        <w:br/>
        <w:br/>
        <w:br/>
        <w:t xml:space="preserve">      iii.  US$16.000,00 (dieciséis mil dólares de  los  Estados  Unidos  de</w:t>
        <w:br/>
        <w:t xml:space="preserve">      América) por concepto de gastos de carácter extrajudicial.</w:t>
        <w:br/>
        <w:br/>
        <w:br/>
        <w:t xml:space="preserve">      b)    Además, US$10.000,00 (diez mil dólares de los Estados Unidos  de</w:t>
        <w:br/>
        <w:t xml:space="preserve">      América) o su equivalente  en  moneda  nacional  guatemalteca,  a  los</w:t>
        <w:br/>
        <w:t xml:space="preserve">      señores Richard Blake, Mary Blake, Richard Blake Jr. y  Samuel  Blake,</w:t>
        <w:br/>
        <w:t xml:space="preserve">      como  parte  lesionada,  por  concepto  de  reintegro  de  los  gastos</w:t>
        <w:br/>
        <w:t xml:space="preserve">      efectuados en la tramitación del caso ante el  sistema  interamericano</w:t>
        <w:br/>
        <w:t xml:space="preserve">      de protección de los derechos humanos, de acuerdo con  lo  establecido</w:t>
        <w:br/>
        <w:t xml:space="preserve">      en el párrafo 70 de esta sentencia.</w:t>
        <w:br/>
        <w:br/>
        <w:br/>
        <w:t xml:space="preserve">      [...]</w:t>
        <w:br/>
        <w:br/>
        <w:t>8.    Del examen de lo expuesto por Guatemala,  la  Corte  concluye  que  la</w:t>
        <w:br/>
        <w:t>demanda procura la interpretación  de  dos  puntos  de  la  sentencia  sobre</w:t>
        <w:br/>
        <w:t>reparaciones en relación con la sentencia de fondo.</w:t>
        <w:br/>
        <w:br/>
        <w:t>9.     La  primera  cuestión  se  refiere  a  la  determinación  de  si  las</w:t>
        <w:br/>
        <w:t>indemnizaciones ordenadas por la Corte bajo el rubro de “gastos de  carácter</w:t>
        <w:br/>
        <w:t>extrajudicial”  (sentencia  sobre  reparaciones),  pueden  ser  considerados</w:t>
        <w:br/>
        <w:t>dentro del  concepto  de  “gastos  en  que  [se  haya]  incurrido  en  [las]</w:t>
        <w:br/>
        <w:t>gestiones pertinentes ante las  autoridades  guatemaltecas  con  ocasión  de</w:t>
        <w:br/>
        <w:t>este proceso“(sentencia de fondo) (supra 6).</w:t>
        <w:br/>
        <w:br/>
        <w:t>10.   Un segundo aspecto de la demanda de interpretación  se  refiere  a  la</w:t>
        <w:br/>
        <w:t>orden efectuada por la Corte de pagar a la  parte  lesionada  US  $10.000,00</w:t>
        <w:br/>
        <w:t>(diez mil dólares de los Estados Unidos de América) como “reintegro  de  los</w:t>
        <w:br/>
        <w:t>gastos efectuados en la tramitación del caso ante el sistema  interamericano</w:t>
        <w:br/>
        <w:t>de protección de los derechos humanos”.  En este  sentido,  la  demanda  del</w:t>
        <w:br/>
        <w:t>Estado cuestiona que tanto la Comisión como la Corte  puedan  ser  incluidas</w:t>
        <w:br/>
        <w:t>en la “categoría de autoridades guatemaltecas”.</w:t>
        <w:br/>
        <w:br/>
        <w:t>11.   Determinados los aspectos de la sentencia  sobre  reparaciones  acerca</w:t>
        <w:br/>
        <w:t>de los cuales el Estado ha solicitado su interpretación, la Corte  procederá</w:t>
        <w:br/>
        <w:t>seguidamente a considerar su admisibilidad.</w:t>
        <w:br/>
        <w:br/>
        <w:t xml:space="preserve">                                     IV</w:t>
        <w:br/>
        <w:t xml:space="preserve">                                Admisibilidad</w:t>
        <w:br/>
        <w:br/>
        <w:t>12.    El  artículo  67  de  la  Convención  exige,  como   presupuesto   de</w:t>
        <w:br/>
        <w:t>admisibilidad de la demanda de interpretación de la sentencia, que ésta  sea</w:t>
        <w:br/>
        <w:t>presentada “dentro  de  los  noventa  días  a  partir  de  la  fecha  de  la</w:t>
        <w:br/>
        <w:t>notificación del fallo”.  En el presente caso, la Corte  ha  constatado  que</w:t>
        <w:br/>
        <w:t>la sentencia sobre reparaciones fue notificada al Estado el 25 de  enero  de</w:t>
        <w:br/>
        <w:t>1999.  Por lo tanto, la demanda de interpretación, de fecha 21 de  abril  de</w:t>
        <w:br/>
        <w:t>1999, fue presentada oportunamente (supra 2 ).</w:t>
        <w:br/>
        <w:br/>
        <w:t>13.   Con respecto a las observaciones presentadas por la  Comisión  y  por</w:t>
        <w:br/>
        <w:t>los familiares del señor  Nicholas  Blake,  las  mismas  fueron  igualmente</w:t>
        <w:br/>
        <w:t>planteadas oportunamente y,  por  lo  tanto,  la  Corte  estima  pertinente</w:t>
        <w:br/>
        <w:t>examinarlas.</w:t>
        <w:br/>
        <w:br/>
        <w:t>14.    Corresponde  ahora  a  la  Corte   verificar   si   la   demanda   de</w:t>
        <w:br/>
        <w:t>interpretación cumple con los requisitos normativos exigidos.   El  artículo</w:t>
        <w:br/>
        <w:t>58.1 del Reglamento establece, en lo conducente, que</w:t>
        <w:br/>
        <w:br/>
        <w:t xml:space="preserve">      [l]a demanda de interpretación a que se refiere el artículo 67  de  la</w:t>
        <w:br/>
        <w:t xml:space="preserve">      Convención podrá promoverse en relación con las sentencias de fondo  o</w:t>
        <w:br/>
        <w:t xml:space="preserve">      de  reparaciones  y  se  presentará  en  la  Secretaría  de  la  Corte</w:t>
        <w:br/>
        <w:t xml:space="preserve">      indicándose en  ella,  con  precisión,  las  cuestiones  relativas  al</w:t>
        <w:br/>
        <w:t xml:space="preserve">      sentido o alcance de la sentencia cuya interpretación se pida.</w:t>
        <w:br/>
        <w:br/>
        <w:br/>
        <w:t>De conformidad  con  la  norma  convencional  a  que  hace  referencia  este</w:t>
        <w:br/>
        <w:t>artículo, la Corte está facultada para interpretar sus fallos cuando  exista</w:t>
        <w:br/>
        <w:t>desacuerdo sobre el sentido o alcance de los mismos.</w:t>
        <w:br/>
        <w:br/>
        <w:t>15.   Como se expresó anteriormente  (supra  5),  el  Estado  alegó  que  su</w:t>
        <w:br/>
        <w:t>demanda de interpretación se funda en las discrepancias existentes entre  la</w:t>
        <w:br/>
        <w:t>sentencia de fondo dictada por la  Corte  el  24  de  enero  de  1998  y  la</w:t>
        <w:br/>
        <w:t>sentencia sobre reparaciones dictada el 22 de enero de 1999,  ya  que  “[d]e</w:t>
        <w:br/>
        <w:t>la transcripción literal de las partes conducentes de  ambas  sentencias  se</w:t>
        <w:br/>
        <w:t>determina  que  la  de   reparaciones,   contiene   una   determinación   de</w:t>
        <w:br/>
        <w:t>compensación económica totalmente distinta de la expresada en  el  fallo  de</w:t>
        <w:br/>
        <w:t>fondo”.</w:t>
        <w:br/>
        <w:br/>
        <w:t>16.    La  Comisión  Interamericana  indicó,  en  relación  con  la  demanda</w:t>
        <w:br/>
        <w:t>interpuesta por el  Estado,  que  es  “incuestionable  que  los  ‘gastos  de</w:t>
        <w:br/>
        <w:t>carácter extrajudicial’ que  la  [...]  Corte  ordenó  pagar  se  encuentran</w:t>
        <w:br/>
        <w:t>comprendidos entre los gastos incurridos por los familiares de [la]  víctima</w:t>
        <w:br/>
        <w:t>‘en sus gestiones  pertinentes  ante  las  autoridades  guatemaltecas’.   De</w:t>
        <w:br/>
        <w:t>acuerdo con lo ya señalado por la Corte  en  la  sentencia  de  reparaciones</w:t>
        <w:br/>
        <w:t>“dichos gastos son de carácter extrajudicial, pues, como se ha probado,  los</w:t>
        <w:br/>
        <w:t>familiares del  señor  Nicholas  Blake  no  acudieron  ante  los  tribunales</w:t>
        <w:br/>
        <w:t>internos”[1].  La Comisión agregó que la Corte fue clara cuando  señaló  las</w:t>
        <w:br/>
        <w:t>razones que justificaron el pago de los gastos en el presente caso, para  lo</w:t>
        <w:br/>
        <w:t>cual se remitió, entre otros, a los párrafos 42  a  50  y  69  a  70  de  la</w:t>
        <w:br/>
        <w:t>sentencia  sobre  reparaciones.   Indicó,  asimismo,  que  se  trata  de  un</w:t>
        <w:br/>
        <w:t>reintegro que queda comprendido en el concepto de “justa indemnización”.</w:t>
        <w:br/>
        <w:br/>
        <w:t>17.   Los familiares del señor  Nicholas  Blake  señalaron  que  no  existió</w:t>
        <w:br/>
        <w:t>ninguna imprecisión en la sentencia  sobre  reparaciones,  la  cual,  en  su</w:t>
        <w:br/>
        <w:t>opinión incorpora precisamente los términos  de  la  Convención.   Por  esta</w:t>
        <w:br/>
        <w:t>razón, solicitaron que la Corte declare sin lugar dicha demanda.</w:t>
        <w:br/>
        <w:br/>
        <w:t>18.   La Corte ha dicho que</w:t>
        <w:br/>
        <w:br/>
        <w:t xml:space="preserve">      [la] interpretación de una sentencia implica no sólo la precisión  del</w:t>
        <w:br/>
        <w:t xml:space="preserve">      texto  de  los  puntos  resolutivos  del  fallo,   sino   también   la</w:t>
        <w:br/>
        <w:t xml:space="preserve">      determinación del alcance, el sentido y la finalidad de la resolución,</w:t>
        <w:br/>
        <w:t xml:space="preserve">      de acuerdo con las consideraciones de  la  misma.   Este  ha  sido  el</w:t>
        <w:br/>
        <w:t xml:space="preserve">      criterio  de  la  jurisprudencia  internacional  (Eur.  Court  H.  R.,</w:t>
        <w:br/>
        <w:t xml:space="preserve">      Ringeisen case (Interpretation of  the  Judgment  of  22  June  1972),</w:t>
        <w:br/>
        <w:t xml:space="preserve">      judgment of 23 June 1973, Series A, Vol. 16)[2].</w:t>
        <w:br/>
        <w:br/>
        <w:br/>
        <w:t>19.    La  jurisprudencia  de  la  Corte  Europea  de  Derechos  Humanos  ha</w:t>
        <w:br/>
        <w:t>establecido, asimismo, que la materia de interpretación de una sentencia  no</w:t>
        <w:br/>
        <w:t>puede  modificar  los   aspectos   de   la   misma   que   tengan   carácter</w:t>
        <w:br/>
        <w:t>obligatorio[3].</w:t>
        <w:br/>
        <w:br/>
        <w:t>20.   En cuanto a la presente demanda de interpretación, la Corte  considera</w:t>
        <w:br/>
        <w:t>aplicable lo manifestado en un caso anterior, en el sentido de que</w:t>
        <w:br/>
        <w:br/>
        <w:t xml:space="preserve">      contribuye  a  la  transparencia  de  los  actos  de  este   Tribunal,</w:t>
        <w:br/>
        <w:t xml:space="preserve">      esclarecer, cuando estime procedente, el contenido y  alcance  de  sus</w:t>
        <w:br/>
        <w:t xml:space="preserve">      sentencias y disipar cualquier duda sobre las mismas, sin  que  puedan</w:t>
        <w:br/>
        <w:t xml:space="preserve">      ser opuestas a tal propósito consideraciones de mera forma[4].</w:t>
        <w:br/>
        <w:br/>
        <w:t>21.   El Estado, en su alegato afirmó que, de acuerdo al artículo  31.1  de</w:t>
        <w:br/>
        <w:t>la Convención de Viena sobre el Derecho de  los  Tratados,  constituye  una</w:t>
        <w:br/>
        <w:t>regla general “la  interpretación  de  los  términos  conforme  al  sentido</w:t>
        <w:br/>
        <w:t>corriente que estos tengan”.  La Corte observa que el  artículo  mencionado</w:t>
        <w:br/>
        <w:t>por Guatemala no  establece  un  único  criterio  de  interpretación,  pues</w:t>
        <w:br/>
        <w:t>fundamentalmente los tratados deben interpretarse “de buena fe conforme  al</w:t>
        <w:br/>
        <w:t>sentido corriente que haya de atribuirse a los términos del tratado  en  el</w:t>
        <w:br/>
        <w:t>contexto de éstos y teniendo en cuenta su objeto y fin”.</w:t>
        <w:br/>
        <w:br/>
        <w:t>22.   En razón de lo anterior,  la  Corte  considera  que,  aún  cuando  son</w:t>
        <w:br/>
        <w:t>claros el alcance y el contenido de  lo  dispuesto  en  la  sentencia  sobre</w:t>
        <w:br/>
        <w:t>reparaciones, es útil dilucidar los puntos planteados  por  el  Estado  para</w:t>
        <w:br/>
        <w:t>disipar cualquier duda con respecto  al  pago  de  los  gastos  de  carácter</w:t>
        <w:br/>
        <w:t>extrajudicial y el reintegro de los gastos efectuados en la tramitación  del</w:t>
        <w:br/>
        <w:t>caso ante el sistema interamericano de protección de los derechos humanos.</w:t>
        <w:br/>
        <w:br/>
        <w:t xml:space="preserve">                                      V</w:t>
        <w:br/>
        <w:t xml:space="preserve">           Sobre el pago de gastos de carácter extrajudicial y el</w:t>
        <w:br/>
        <w:t xml:space="preserve">      reintegro de los gastos efectuados ante el sistema interamericano</w:t>
        <w:br/>
        <w:br/>
        <w:t>23.   La Corte procede a examinar los  literales  a.iii.  y  b)  del  punto</w:t>
        <w:br/>
        <w:t>resolutivo segundo de la sentencia sobre reparaciones mediante  los  cuales</w:t>
        <w:br/>
        <w:t>se dispuso el pago de reparaciones por concepto de gastos extrajudiciales y</w:t>
        <w:br/>
        <w:t>el reintegro de los gastos efectuados en la tramitación del  caso  ante  el</w:t>
        <w:br/>
        <w:t>sistema interamericano (supra 7).</w:t>
        <w:br/>
        <w:br/>
        <w:t>24.   El Estado, en la demanda  de  interpretación,  se  remitió  al  punto</w:t>
        <w:br/>
        <w:t>resolutivo cuarto de la sentencia de fondo y al  punto  resolutivo  segundo</w:t>
        <w:br/>
        <w:t>literales a.iii. y b) de la sentencia sobre reparaciones.  Con  respecto  a</w:t>
        <w:br/>
        <w:t>estos puntos el Estado alegó que existen  discrepancias  “absolutas”  entre</w:t>
        <w:br/>
        <w:t>las mismos, ya que la sentencia de fondo ordenó a Guatemala  resarcir  “los</w:t>
        <w:br/>
        <w:t>gastos en que  hayan  incurrido  en  sus  gestiones  pertinentes  ante  las</w:t>
        <w:br/>
        <w:t>autoridades guatemaltecas con ocasión de este proceso” mientras que  en  la</w:t>
        <w:br/>
        <w:t>sentencia sobre reparaciones, ordenó al Estado  el  pago  por  concepto  de</w:t>
        <w:br/>
        <w:t>gastos extrajudiciales y el  reintegro  de  los  gastos  efectuados  en  la</w:t>
        <w:br/>
        <w:t>tramitación del  caso  ante  el  sistema  interamericano.   En  el  sentido</w:t>
        <w:br/>
        <w:t>corriente la expresión  “gastos  ante  las  autoridades  guatemaltecas”  no</w:t>
        <w:br/>
        <w:t>incluye “gastos de carácter extrajudicial”  ni  “gastos  efectuados  en  la</w:t>
        <w:br/>
        <w:t>tramitación del caso ante el sistema interamericano de  protección  de  los</w:t>
        <w:br/>
        <w:t>derechos humanos”.  El Estado concluye que  ni  la  Comisión  ni  la  Corte</w:t>
        <w:br/>
        <w:t>pueden ser consideradas como “autoridades guatemaltecas”.</w:t>
        <w:br/>
        <w:br/>
        <w:t>25.   En cuanto a la primera cuestión planteada por el Estado, en  relación</w:t>
        <w:br/>
        <w:t>con el pago a los familiares  del  señor  Nicholas  Blake  de  US$16.000,00</w:t>
        <w:br/>
        <w:t>(dieciséis mil dólares de los Estados Unidos de América) por  “concepto  de</w:t>
        <w:br/>
        <w:t>gastos de carácter extrajudicial”, la Corte precisa que cuando ordenó dicho</w:t>
        <w:br/>
        <w:t>pago se refirió a los gastos efectuados por los familiares de la víctima en</w:t>
        <w:br/>
        <w:t>sus gestiones personales ante las autoridades guatemaltecas, en particular,</w:t>
        <w:br/>
        <w:t>ante las autoridades  del  Poder  Ejecutivo,  ya  sean  estas  militares  o</w:t>
        <w:br/>
        <w:t>administrativas, en el proceso de indagar el paradero  del  señor  Nicholas</w:t>
        <w:br/>
        <w:t>Blake.  En razón de lo anterior, no hay contradicción al respecto entre las</w:t>
        <w:br/>
        <w:t>sentencias de fondo y reparaciones.</w:t>
        <w:br/>
        <w:br/>
        <w:t>26.   En cuanto a la segunda cuestión, relativa al reintegro de los  gastos</w:t>
        <w:br/>
        <w:t>efectuados en la tramitación del caso ante el  sistema  interamericano,  la</w:t>
        <w:br/>
        <w:t>Corte aclara que el artículo 23  del  Reglamento  vigente,  reconoce  locus</w:t>
        <w:br/>
        <w:t>standi a las víctimas, sus familiares o sus representantes,  condición  que</w:t>
        <w:br/>
        <w:t>los habilita para presentar sus  reclamaciones,  argumentos  y  pruebas  en</w:t>
        <w:br/>
        <w:t>forma autónoma en la etapa de reparaciones, y permite que se les  reconozca</w:t>
        <w:br/>
        <w:t>el derecho al reintegro de los gastos asociados  a  su  actuación  ante  el</w:t>
        <w:br/>
        <w:t>sistema.</w:t>
        <w:br/>
        <w:br/>
        <w:t>27.   Esta Corte ha dicho que “en la práctica  la  asistencia  legal  a  la</w:t>
        <w:br/>
        <w:t>víctima no se inicia  apenas  en  la  etapa  de  reparaciones,  sino  [que]</w:t>
        <w:br/>
        <w:t>comienza ante los órganos judiciales nacionales y continúa en las sucesivas</w:t>
        <w:br/>
        <w:t>instancias del sistema interamericano de tutela de los derechos humanos, es</w:t>
        <w:br/>
        <w:t>decir, en los procedimientos que se siguen  ante  la  Comisión  y  ante  la</w:t>
        <w:br/>
        <w:t>Corte[...]”[5].  En su jurisprudencia reciente, a partir de la  entrada  en</w:t>
        <w:br/>
        <w:t>vigor del actual Reglamento, este Tribunal ha reconocido que las costas</w:t>
        <w:br/>
        <w:br/>
        <w:t xml:space="preserve">      constituyen un asunto por considerar dentro del concepto de reparación</w:t>
        <w:br/>
        <w:t xml:space="preserve">      al que se refiere el  artículo  63.1  de  la  Convención,  puesto  que</w:t>
        <w:br/>
        <w:t xml:space="preserve">      derivan naturalmente de la actividad desplegada por  la  víctima,  sus</w:t>
        <w:br/>
        <w:t xml:space="preserve">      derechohabientes o  sus  representantes  para  obtener  la  resolución</w:t>
        <w:br/>
        <w:t xml:space="preserve">      jurisdiccional en la que se reconozca la violación cometida y se fijen</w:t>
        <w:br/>
        <w:t xml:space="preserve">      sus consecuencias jurídicas[6].</w:t>
        <w:br/>
        <w:br/>
        <w:t>28.   La Corte, en  su  sentencia  de  22  de  enero  de  1999,  ordenó  el</w:t>
        <w:br/>
        <w:t>resarcimiento de los gastos por concepto de tramitación del caso  ante  los</w:t>
        <w:br/>
        <w:t>órganos  del  sistema  interamericano  de  derechos  humanos,  al  declarar</w:t>
        <w:br/>
        <w:t>procedente la petición que,  en  tal  sentido,  hicieron  al  Tribunal  los</w:t>
        <w:br/>
        <w:t>familiares  de  la  víctima,  o  sus  representantes,  en   la   etapa   de</w:t>
        <w:br/>
        <w:t>reparaciones.</w:t>
        <w:br/>
        <w:br/>
        <w:t>29.   Dicha  compensación  sólo  podía  ordenarse  en  la  sentencia  sobre</w:t>
        <w:br/>
        <w:t>reparaciones, como en efecto se hizo.  La sentencia  de  fondo,  podía,  en</w:t>
        <w:br/>
        <w:t>consecuencia, omitir toda referencia a este respecto sin que por  ello  los</w:t>
        <w:br/>
        <w:t>familiares de la víctima perdieran  su  derecho  al  resarcimiento  de  los</w:t>
        <w:br/>
        <w:t>gastos relacionados con sus actuaciones ante el sistema interamericano.</w:t>
        <w:br/>
        <w:br/>
        <w:t>30.   Por las razones expuestas  anteriormente,  la  Corte  estima  que  no</w:t>
        <w:br/>
        <w:t>existe la contradicción alegada por el Estado, entre  los  dispositivos  de</w:t>
        <w:br/>
        <w:t>las sentencias sobre el fondo (de 24 de enero de 1998) y sobre reparaciones</w:t>
        <w:br/>
        <w:t>(de 22 de enero de 1999) y que la indemnización ordenada en la  primera  de</w:t>
        <w:br/>
        <w:t>esas decisiones por concepto de “gastos ante las autoridades guatemaltecas”</w:t>
        <w:br/>
        <w:t>no excluye la posibilidad del Tribunal de  ordenar,  como  lo  hizo  en  la</w:t>
        <w:br/>
        <w:t>sentencia sobre reparaciones, el pago reclamado por los  familiares  de  la</w:t>
        <w:br/>
        <w:t>víctima tanto de los “gastos de carácter extrajudicial” como el  “reintegro</w:t>
        <w:br/>
        <w:t>de los gastos efectuados  en  la  tramitación  del  caso  ante  el  sistema</w:t>
        <w:br/>
        <w:t>interamericano de protección de los derechos humanos”.</w:t>
        <w:br/>
        <w:br/>
        <w:t xml:space="preserve">                                     VI</w:t>
        <w:br/>
        <w:br/>
        <w:t>31.   Por las razones expuestas,</w:t>
        <w:br/>
        <w:br/>
        <w:t xml:space="preserve">      La Corte</w:t>
        <w:br/>
        <w:br/>
        <w:t xml:space="preserve">      decide:</w:t>
        <w:br/>
        <w:br/>
        <w:t xml:space="preserve">      por unanimidad,</w:t>
        <w:br/>
        <w:br/>
        <w:t>1.    Declarar admisible la demanda de interpretación de la sentencia de  22</w:t>
        <w:br/>
        <w:t>de enero de 1999 en el caso Blake, presentada por el Estado de Guatemala.</w:t>
        <w:br/>
        <w:br/>
        <w:t>2.    Declarar que el Estado de Guatemala debe pagar, en los términos de la</w:t>
        <w:br/>
        <w:t>sentencia sobre reparaciones de 22 de enero de 1999, a favor de los señores</w:t>
        <w:br/>
        <w:t>Richard Blake, Mary Blake, Richard Blake Jr. y  Samuel  Blake,  como  parte</w:t>
        <w:br/>
        <w:t>lesionada, por concepto de gastos de carácter extrajudicial y por  concepto</w:t>
        <w:br/>
        <w:t>de reintegro de los gastos efectuados en la tramitación del  caso  ante  el</w:t>
        <w:br/>
        <w:t>sistema interamericano de protección de los derechos  humanos,  los  montos</w:t>
        <w:br/>
        <w:t>ordenados por el Tribunal en el punto resolutivo segundo, literales  a.iii.</w:t>
        <w:br/>
        <w:t>y b) de dicha sentencia.</w:t>
        <w:br/>
        <w:br/>
        <w:br/>
        <w:t>Redactada en español e inglés haciendo fe el texto en español,  en  la  sede</w:t>
        <w:br/>
        <w:t>de la Corte en San José, Costa Rica, el día 1 de octubre de 1999.</w:t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t>Máximo Pacheco Gómez   Hernán Salgado Pesantes</w:t>
        <w:br/>
        <w:br/>
        <w:br/>
        <w:t>Oliver Jackman   Alirio Abreu Burelli</w:t>
        <w:br/>
        <w:br/>
        <w:br/>
        <w:t>Sergio García Ramírez  Carlos Vicente de Roux Rengifo</w:t>
        <w:br/>
        <w:br/>
        <w:br/>
        <w:t xml:space="preserve">                           Alfonso Novales Aguirre</w:t>
        <w:br/>
        <w:t xml:space="preserve">                                 Juez ad hoc</w:t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t>Comuníquese y ejecútese,</w:t>
        <w:br/>
        <w:br/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t>-----------------------</w:t>
        <w:br/>
        <w:t>[1]   Caso  Blake,  Reparaciones  (Art.  63.1  Convención  Americana   sobre</w:t>
        <w:br/>
        <w:t>Derechos Humanos), Sentencia de 22 de enero de 1999.  Serie C No. 48,  párr.</w:t>
        <w:br/>
        <w:t>49.</w:t>
        <w:br/>
        <w:br/>
        <w:t>[2]   Caso  Velásquez  Rodríguez,  Interpretación   de   la   Sentencia   de</w:t>
        <w:br/>
        <w:t>Indemnización Compensatoria (Art. 67  Convención  Americana  sobre  Derechos</w:t>
        <w:br/>
        <w:t>Humanos), Sentencia de 17 de agosto de 1990.  Serie C  No.  9,  párr.  26  y</w:t>
        <w:br/>
        <w:t>Caso  Godínez  Cruz,  Interpretación  de  la  Sentencia   de   Indemnización</w:t>
        <w:br/>
        <w:t>Compensatoria  (Art.  67  Convención  Americana  sobre  Derechos   Humanos),</w:t>
        <w:br/>
        <w:t>Sentencia de 17 de agosto de 1990.  Serie C No. 10, párr. 26.</w:t>
        <w:br/>
        <w:br/>
        <w:t>[3] Eur. Court H. R., Allenet de Ribemont v. France Case (Interpretation  of</w:t>
        <w:br/>
        <w:t>the Judgment of 7 August 1996) y Eur. Court H. R., Hentrich v.  France  Case</w:t>
        <w:br/>
        <w:t>(Interpretation of the Judgment of 3 July 1997),  Reports  o  Judgments  and</w:t>
        <w:br/>
        <w:t>Decisions 1997-IV.</w:t>
        <w:br/>
        <w:t>[4]   Caso El  Amparo,  Solicitud  de  Interpretación  de  la  Sentencia  de</w:t>
        <w:br/>
        <w:t>Reparaciones de 14 de septiembre de 1996, Resolución de la Corte  de  16  de</w:t>
        <w:br/>
        <w:t>abril de 1997, Informe Anual 1997, p. 133, considerando primero.</w:t>
        <w:br/>
        <w:t>[5] Caso Garrido y Baigorria, Reparaciones (Art. 63.1  Convención  Americana</w:t>
        <w:br/>
        <w:t>sobre Derechos Humanos), Sentencia de 27 de agosto de  1998.   Serie  C  No.</w:t>
        <w:br/>
        <w:t>39, párr. 81.</w:t>
        <w:br/>
        <w:br/>
        <w:t>[6]  Cfr. Caso Garrido y Baigorria, Reparaciones, supra nota  5,  párr.  79;</w:t>
        <w:br/>
        <w:t>Caso Loayza Tamayo,  Reparaciones  (Art.  63.1  Convención  Americana  sobre</w:t>
        <w:br/>
        <w:t>Derechos Humanos), Sentencia de 27 de noviembre de 1998.  Serie  C  No.  42,</w:t>
        <w:br/>
        <w:t>párr.  176;  Caso  Suárez  Rosero,  Interpretación  de  la  Sentencia  sobre</w:t>
        <w:br/>
        <w:t>Reparaciones  (Art.  67  Convención  Americana  sobre   Derechos   Humanos),</w:t>
        <w:br/>
        <w:t>Sentencia de 29 de mayo de 1999.  Serie C No. 51, párr.  40  y  Caso  Loayza</w:t>
        <w:br/>
        <w:t>Tamayo,  Interpretación  de  la  Sentencia  sobre  Reparaciones   (Art.   67</w:t>
        <w:br/>
        <w:t>Convención Americana sobre Derechos Humanos), Sentencia de  3  de  junio  de</w:t>
        <w:br/>
        <w:t>1999.  Serie C No. 53, párr. 24.</w:t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