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del Caracazo Vs. Venezuela</w:t>
        <w:br/>
        <w:br/>
        <w:br/>
        <w:t xml:space="preserve">                    Sentencia de 11 de noviembre de 1999</w:t>
        <w:br/>
        <w:t xml:space="preserve">                                   (Fondo)</w:t>
        <w:br/>
        <w:br/>
        <w:br/>
        <w:t>En el caso del Caracazo,</w:t>
        <w:br/>
        <w:br/>
        <w:t>la  Corte  Interamericana  de  Derechos  Humanos  (en  adelante  “la   Corte</w:t>
        <w:br/>
        <w:t>Interamericana” o “la Corte”), integrada por los siguientes Jueces(():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 y</w:t>
        <w:br/>
        <w:t xml:space="preserve">      Carlos Vicente de Roux Rengifo, Juez;</w:t>
        <w:br/>
        <w:br/>
        <w:t>presentes, además:</w:t>
        <w:br/>
        <w:br/>
        <w:t xml:space="preserve">      Manuel E. Ventura Robles, Secretario; y</w:t>
        <w:br/>
        <w:t xml:space="preserve">      Renzo Pomi, Secretario adjunto</w:t>
        <w:br/>
        <w:br/>
        <w:t>de acuerdo con los artículos 55 y 57  de  su  Reglamento  de  la  Corte  (en</w:t>
        <w:br/>
        <w:t>adelante “el Reglamento”), dicta la siguiente sentencia  sobre  el  presente</w:t>
        <w:br/>
        <w:t>caso, sometido por  la  Comisión  Interamericana  de  Derechos  Humanos  (en</w:t>
        <w:br/>
        <w:t>adelante “la Comisión” o “la Comisión Interamericana”) contra  la  República</w:t>
        <w:br/>
        <w:t>de Venezuela (en adelante “Venezuela” o “el Estado”).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7 de junio de 1999 la Comisión presentó ante la  Corte  la  demanda</w:t>
        <w:br/>
        <w:t>en este caso, en la cual invocó los artículos  50  y  51  de  la  Convención</w:t>
        <w:br/>
        <w:t>Americana  sobre  Derechos  Humanos  (en  adelante  “la  Convención”  o  “la</w:t>
        <w:br/>
        <w:t>Convención Americana”) y los artículos 32 y siguientes del  Reglamento.   La</w:t>
        <w:br/>
        <w:t>Comisión lo sometió con el fin de que la Corte decidiera si hubo  violación,</w:t>
        <w:br/>
        <w:t>por parte de Venezuela,  de  los  artículos  4.1  (Derecho  a  la  Vida),  5</w:t>
        <w:br/>
        <w:t>(Derecho a la Integridad Personal), 7 (Derecho a la Libertad Personal),  8.1</w:t>
        <w:br/>
        <w:t>(Garantías  Judiciales),  25.1  y  25.2.a.  (Protección  Judicial)  y   27.3</w:t>
        <w:br/>
        <w:t>(Suspensión de Garantías) en concordancia con los artículos 1.1  (Obligación</w:t>
        <w:br/>
        <w:t>de Respetar los Derechos) y 2 (Deber de  Adoptar  Disposiciones  de  Derecho</w:t>
        <w:br/>
        <w:t>Interno), de la Convención Americana, en  razón  de  los  sucesos  ocurridos</w:t>
        <w:br/>
        <w:t>durante los meses de febrero y marzo  de  1989  en  la  ciudad  de  Caracas,</w:t>
        <w:br/>
        <w:t>Venezuela.</w:t>
        <w:br/>
        <w:br/>
        <w:t>En consecuencia, solicitó a la  Corte  que  declarara  que  Venezuela  había</w:t>
        <w:br/>
        <w:t>violado:</w:t>
        <w:br/>
        <w:br/>
        <w:t xml:space="preserve">      a)    el derecho a la vida en perjuicio de  las  siguientes  personas:</w:t>
        <w:br/>
        <w:t xml:space="preserve">      Miguel Angel Aguilera La Rosa, Armando Antonio Castellanos  Canelones,</w:t>
        <w:br/>
        <w:t xml:space="preserve">      Luis Manuel Colmenares,  Juan  José  Garrido  Blanco,  Daniel  Guevara</w:t>
        <w:br/>
        <w:t xml:space="preserve">      Ramos, Gustavo Pedro Guía Laya, Mercedes Hernández Gonzáles,  Crisanto</w:t>
        <w:br/>
        <w:t xml:space="preserve">      Mederos, Francisco Antonio Moncada Gutiérrez,  Héctor  Ortega  Zapata,</w:t>
        <w:br/>
        <w:t xml:space="preserve">      Richard José Páez Páez, Carlos Elías  Ojeda  Parra,  José  del  Carmen</w:t>
        <w:br/>
        <w:t xml:space="preserve">      Pirela León, José Vicente Pérez Rivas, Jorge Daniel Quintana, Wolfgang</w:t>
        <w:br/>
        <w:t xml:space="preserve">      Waldemar  Quintana Vivas, Yurima Milagros  Ramos  Mendoza,  Iván  Rey,</w:t>
        <w:br/>
        <w:t xml:space="preserve">      Rubén Javier Rojas Campos, Esteban Luciano  Rosillo  García,  Leobardo</w:t>
        <w:br/>
        <w:t xml:space="preserve">      Antonio Salas Guillén, Tirso Cruz Tezara Álvarez, José Miguel  Liscano</w:t>
        <w:br/>
        <w:t xml:space="preserve">      Betancourt, Juan Acasio Mena Bello, Benito del Carmen Aldana Bastidas,</w:t>
        <w:br/>
        <w:t xml:space="preserve">      Jesús Calixto Blanco, Boris Eduardo  Bolívar  Marcano,  Jesús  Alberto</w:t>
        <w:br/>
        <w:t xml:space="preserve">      Cartaya,  Julio  César  Freites,  Héctor  Lugo  Cabriles,  José  Ramón</w:t>
        <w:br/>
        <w:t xml:space="preserve">      Montenegro, Elsa Ramírez Caminero, Sabas  Reyes  Gómez,  Fidel  Romero</w:t>
        <w:br/>
        <w:t xml:space="preserve">      Castro, Alís Flores Torres, Roberto  Valbuena  Borjas  y  José  Valero</w:t>
        <w:br/>
        <w:t xml:space="preserve">      Suárez;</w:t>
        <w:br/>
        <w:br/>
        <w:br/>
        <w:t xml:space="preserve">      b)    el  derecho  a  la  libertad  individual  en  perjuicio  de  las</w:t>
        <w:br/>
        <w:t xml:space="preserve">      siguientes personas: Luis Manuel  Colmenares,  Boris  Eduardo  Bolívar</w:t>
        <w:br/>
        <w:t xml:space="preserve">      Marcano, José Ramón Montenegro, Juan Acasio Mena Bello y  José  Miguel</w:t>
        <w:br/>
        <w:t xml:space="preserve">      Liscano Betancourt;</w:t>
        <w:br/>
        <w:br/>
        <w:br/>
        <w:t xml:space="preserve">      c)    el  derecho  a  la  integridad  personal  en  perjuicio  de  las</w:t>
        <w:br/>
        <w:t xml:space="preserve">      siguientes personas: Gregoria Matilde Castillo, Henry Herrera  Hurtado</w:t>
        <w:br/>
        <w:t xml:space="preserve">      y Noraima Sosa Ríos;</w:t>
        <w:br/>
        <w:br/>
        <w:br/>
        <w:t xml:space="preserve">      d)    el derecho a las garantías judiciales y a la protección judicial</w:t>
        <w:br/>
        <w:t xml:space="preserve">      en perjuicio de las 44 víctimas  en  el  presente  caso,  ya  que  sus</w:t>
        <w:br/>
        <w:t xml:space="preserve">      familiares y abogados no fueron escuchados con las debidas garantías y</w:t>
        <w:br/>
        <w:t xml:space="preserve">      dentro de un plazo razonable por los tribunales competentes  al  estar</w:t>
        <w:br/>
        <w:t xml:space="preserve">      por más de diez años en secreto sumarial los  expedientes  judiciales.</w:t>
        <w:br/>
        <w:t xml:space="preserve">      Las víctimas  y  sus  familiares  no  tuvieron  acceso  a  un  recurso</w:t>
        <w:br/>
        <w:t xml:space="preserve">      sencillo, rápido y efectivo  contra  las  acciones  que  violaron  sus</w:t>
        <w:br/>
        <w:t xml:space="preserve">      derechos fundamentales;</w:t>
        <w:br/>
        <w:br/>
        <w:br/>
        <w:t xml:space="preserve">      e)    el artículo 27.3 (Suspensión de Garantías) ya que no cumplió con</w:t>
        <w:br/>
        <w:t xml:space="preserve">      informar a los demás Estados Partes de la Convención,  por  medio  del</w:t>
        <w:br/>
        <w:t xml:space="preserve">      Secretario General de la Organización de los  Estados  Americanos,  la</w:t>
        <w:br/>
        <w:t xml:space="preserve">      suspensión  de  garantías  constitucionales  durante  los  sucesos  de</w:t>
        <w:br/>
        <w:t xml:space="preserve">      febrero y marzo de 1989; y</w:t>
        <w:br/>
        <w:br/>
        <w:br/>
        <w:t xml:space="preserve">      f)    las obligaciones de respeto de los derechos humanos y  garantías</w:t>
        <w:br/>
        <w:t xml:space="preserve">      impuestas por el artículo 1.1 de  la  Convención,  como  el  deber  de</w:t>
        <w:br/>
        <w:t xml:space="preserve">      adoptar disposiciones de derecho interno establecido en el artículo  2</w:t>
        <w:br/>
        <w:t xml:space="preserve">      de la misma.</w:t>
        <w:br/>
        <w:br/>
        <w:br/>
        <w:t>Además, la Comisión  solicitó  a  la  Corte  que  ordenara  a  Venezuela  lo</w:t>
        <w:br/>
        <w:t>siguiente:</w:t>
        <w:br/>
        <w:br/>
        <w:t xml:space="preserve">      a)    realizar una investigación a  fin  de  identificar,  procesar  y</w:t>
        <w:br/>
        <w:t xml:space="preserve">      sancionar  penalmente  a   los   responsables   de   las   ejecuciones</w:t>
        <w:br/>
        <w:t xml:space="preserve">      extrajudiciales de 35 personas, de dos desaparecidas y tres lesionadas</w:t>
        <w:br/>
        <w:t xml:space="preserve">      durante los sucesos de febrero y marzo de 1989.  Asimismo,  investigar</w:t>
        <w:br/>
        <w:t xml:space="preserve">      los hechos relativos a los  señores  Jesús  Cedeño,  Abelardo  Antonio</w:t>
        <w:br/>
        <w:t xml:space="preserve">      Pérez, Andrés Eloy Suárez Sánchez y Jesús Rafael Villalobos en los que</w:t>
        <w:br/>
        <w:t xml:space="preserve">      el Estado no es responsable en forma directa;</w:t>
        <w:br/>
        <w:br/>
        <w:br/>
        <w:t xml:space="preserve">      b)    adoptar las medidas necesarias para que los  familiares  de  las</w:t>
        <w:br/>
        <w:t xml:space="preserve">      personas  fallecidas,  desaparecidas   y   lesionadas   con   carácter</w:t>
        <w:br/>
        <w:t xml:space="preserve">      permanente durante los sucesos de febrero y marzo de 1989 reciban  una</w:t>
        <w:br/>
        <w:t xml:space="preserve">      adecuada reparación, que comprenda  una  plena  satisfacción  por  las</w:t>
        <w:br/>
        <w:t xml:space="preserve">      violaciones de los derechos humanos establecidas en el presente  caso,</w:t>
        <w:br/>
        <w:t xml:space="preserve">      como el pago de una justa  indemnización  por  daños  patrimoniales  y</w:t>
        <w:br/>
        <w:t xml:space="preserve">      extrapatrimoniales, incluyendo el daño moral;</w:t>
        <w:br/>
        <w:br/>
        <w:br/>
        <w:t xml:space="preserve">      c)    realizar una investigación a  fin  de  identificar,  procesar  y</w:t>
        <w:br/>
        <w:t xml:space="preserve">      sancionar   disciplinaria,   administrativa   y   penalmente   a   los</w:t>
        <w:br/>
        <w:t xml:space="preserve">      responsables del entierro ilegal de cadáveres en las fosas comunes del</w:t>
        <w:br/>
        <w:t xml:space="preserve">      sector La Peste del Cementerio  General  del  Sur;  continuar  con  el</w:t>
        <w:br/>
        <w:t xml:space="preserve">      proceso de exhumación de cadáveres paralizado desde 1991;  identificar</w:t>
        <w:br/>
        <w:t xml:space="preserve">      los 65 cadáveres restantes; determinar mediante necropcias las  causas</w:t>
        <w:br/>
        <w:t xml:space="preserve">      de la muerte e informar a las respectivas familias para  que  les  den</w:t>
        <w:br/>
        <w:t xml:space="preserve">      sepultura;</w:t>
        <w:br/>
        <w:br/>
        <w:br/>
        <w:t xml:space="preserve">      d)    entregar inmediatamente los  restos  a  los  familiares  de  las</w:t>
        <w:br/>
        <w:t xml:space="preserve">      víctimas cuyos casos indiquen que, a pesar de  tener  conocimiento  de</w:t>
        <w:br/>
        <w:t xml:space="preserve">      las muertes, todavía el Estado no ha cumplido con la  entrega  de  los</w:t>
        <w:br/>
        <w:t xml:space="preserve">      mismos;</w:t>
        <w:br/>
        <w:br/>
        <w:br/>
        <w:t xml:space="preserve">      e)    informar a la ciudadanía venezolana la  lista  oficial  con  los</w:t>
        <w:br/>
        <w:t xml:space="preserve">      nombres y  apellidos  de  las  276  personas  fallecidas  durante  los</w:t>
        <w:br/>
        <w:t xml:space="preserve">      indicados sucesos, así como las circunstancias de su muerte.   Además,</w:t>
        <w:br/>
        <w:t xml:space="preserve">      realizar una investigación a fin de identificar, procesar y  sancionar</w:t>
        <w:br/>
        <w:t xml:space="preserve">      disciplinaria, administrativa y penalmente a los  agentes  del  Estado</w:t>
        <w:br/>
        <w:t xml:space="preserve">      que resulten involucrados en la muerte de esas 276 personas.  Una  vez</w:t>
        <w:br/>
        <w:t xml:space="preserve">      probada la participación de  los  agentes  del  Estado,  pagar  a  los</w:t>
        <w:br/>
        <w:t xml:space="preserve">      familiares   una   justa   indemnización   compensatoria   por   daños</w:t>
        <w:br/>
        <w:t xml:space="preserve">      patrimoniales y extrapatrimoniales, incluyendo el daño moral;</w:t>
        <w:br/>
        <w:br/>
        <w:br/>
        <w:t xml:space="preserve">      f)    levantar inmediatamente el secreto sumarial de los casos que  se</w:t>
        <w:br/>
        <w:t xml:space="preserve">      encuentran pendientes, tanto en la jurisdicción ordinaria como  en  la</w:t>
        <w:br/>
        <w:t xml:space="preserve">      jurisdicción militar.  Los tribunales de justicia deberán  ubicar  -en</w:t>
        <w:br/>
        <w:t xml:space="preserve">      coordinación de las  organizaciones  no  gubernamentales  de  derechos</w:t>
        <w:br/>
        <w:t xml:space="preserve">      humanos- a los familiares de las víctimas, a fin de que colaboren  con</w:t>
        <w:br/>
        <w:t xml:space="preserve">      información adicional para el esclarecimiento de los hechos; y</w:t>
        <w:br/>
        <w:br/>
        <w:br/>
        <w:t xml:space="preserve">      g)    efectuar el pago de costas y reembolsar  los  gastos  incurridos</w:t>
        <w:br/>
        <w:t xml:space="preserve">      por los representantes de las víctimas para litigar  este  caso  tanto</w:t>
        <w:br/>
        <w:t xml:space="preserve">      nacional como internacionalmente.</w:t>
        <w:br/>
        <w:br/>
        <w:br/>
        <w:t xml:space="preserve">                                     II</w:t>
        <w:br/>
        <w:t xml:space="preserve">                                   Hechos</w:t>
        <w:br/>
        <w:br/>
        <w:t>2.    La Comisión efectuó, en la sección III de su demanda,  una  exposición</w:t>
        <w:br/>
        <w:t>de los hechos que constituyeron el origen de esta  causa.   En  ese  sentido</w:t>
        <w:br/>
        <w:t>señaló que:</w:t>
        <w:br/>
        <w:br/>
        <w:t xml:space="preserve">      a.    el 16 de febrero de 1989 el entonces  Presidente  de  Venezuela,</w:t>
        <w:br/>
        <w:t xml:space="preserve">      Carlos Andrés Pérez, anunció una serie de medidas de ajuste  económico</w:t>
        <w:br/>
        <w:t xml:space="preserve">      para refinanciar  la  deuda  externa  a  través  del  Fondo  Monetario</w:t>
        <w:br/>
        <w:t xml:space="preserve">      Internacional, las cuales se pusieron en práctica el 27 de los  mismos</w:t>
        <w:br/>
        <w:t xml:space="preserve">      mes y año;</w:t>
        <w:br/>
        <w:br/>
        <w:br/>
        <w:t xml:space="preserve">      b.    el 27 de febrero de 1989 un  número  indeterminado  de  personas</w:t>
        <w:br/>
        <w:t xml:space="preserve">      provenientes  de  los  estratos  populares  iniciaron  una  serie   de</w:t>
        <w:br/>
        <w:t xml:space="preserve">      disturbios  en  la  ciudad  de  Garenas,  Estado  de   Miranda,   como</w:t>
        <w:br/>
        <w:t xml:space="preserve">      consecuencia del aumento de las tarifas de transporte urbano y  de  la</w:t>
        <w:br/>
        <w:t xml:space="preserve">      falta de reconocimiento del pasaje preferencial estudiantil por  parte</w:t>
        <w:br/>
        <w:t xml:space="preserve">      del Poder Ejecutivo.  Dichos disturbios se propagaron después “a otras</w:t>
        <w:br/>
        <w:t xml:space="preserve">      zonas del área metropolitana de  Caracas  como  Caricuao,  La  Guaira,</w:t>
        <w:br/>
        <w:t xml:space="preserve">      Maracay, Valencia, Barquisimeto,  Guayana,  Mérida,  Maracaibo  y  las</w:t>
        <w:br/>
        <w:t xml:space="preserve">      zonas adyacentes a la terminal de transportes”;</w:t>
        <w:br/>
        <w:br/>
        <w:br/>
        <w:t xml:space="preserve">      c.    los  disturbios  consistieron  principalmente  en  la  quema  de</w:t>
        <w:br/>
        <w:t xml:space="preserve">      vehículos destinados  al  transporte  urbano  y  en  el  saqueo  y  la</w:t>
        <w:br/>
        <w:t xml:space="preserve">      destrucción de locales comerciales, hechos que  produjeron  cuantiosos</w:t>
        <w:br/>
        <w:t xml:space="preserve">      daños a propiedades públicas y privadas;</w:t>
        <w:br/>
        <w:br/>
        <w:br/>
        <w:t xml:space="preserve">      d.    el 27 de febrero de 1989 un sector de la  Policía  Metropolitana</w:t>
        <w:br/>
        <w:t xml:space="preserve">      se encontraba en huelga, razón por la cual no intervino  oportunamente</w:t>
        <w:br/>
        <w:t xml:space="preserve">      para controlar  los  disturbios.   Según  declaraciones  del  entonces</w:t>
        <w:br/>
        <w:t xml:space="preserve">      Presidente de la República, publicadas en el diario El Nacional el  10</w:t>
        <w:br/>
        <w:t xml:space="preserve">      de junio de 1990, “no había una organización para prevenir y afrontar,</w:t>
        <w:br/>
        <w:t xml:space="preserve">      al comienzo, lo que estaba sucediendo”, y en dicha declaración  señaló</w:t>
        <w:br/>
        <w:t xml:space="preserve">      también que “luego de regresar desde la ciudad de Barquisimeto, cuando</w:t>
        <w:br/>
        <w:t xml:space="preserve">      pasó por una zona de Caracas cercana al Palacio  Presidencial  llamada</w:t>
        <w:br/>
        <w:t xml:space="preserve">      El Silencio, [vio] las vitrinas destrozadas, al  llegar  a  Miraflores</w:t>
        <w:br/>
        <w:t xml:space="preserve">      llamó al  Ministro  de  Defensa  y  le  ordenó  que  procediera  a  la</w:t>
        <w:br/>
        <w:t xml:space="preserve">      movilización de los efectivos militares”;</w:t>
        <w:br/>
        <w:br/>
        <w:br/>
        <w:t xml:space="preserve">      e.    el control de la situación se  encomendó  a  fuerzas  militares,</w:t>
        <w:br/>
        <w:t xml:space="preserve">      para lo cual se trajeron del interior del país, aproximadamente  nueve</w:t>
        <w:br/>
        <w:t xml:space="preserve">      mil  efectivos.   Dichas  fuerzas  militares  estaban  integradas  por</w:t>
        <w:br/>
        <w:t xml:space="preserve">      jóvenes  de  17  y  18  años  reclutados  en  febrero  de  1989.    De</w:t>
        <w:br/>
        <w:t xml:space="preserve">      declaraciones de altos  oficiales  del  Ejército,  de  Exministros  de</w:t>
        <w:br/>
        <w:t xml:space="preserve">      Estado y del Expresidente  de  la  República,  se  desprende  que  las</w:t>
        <w:br/>
        <w:t xml:space="preserve">      fuerzas armadas no estaban preparadas para asumir el control del orden</w:t>
        <w:br/>
        <w:t xml:space="preserve">      público  y  los  jóvenes  que  se  enviaron,   por   su   juventud   e</w:t>
        <w:br/>
        <w:t xml:space="preserve">      inexperiencia, constituían un peligro para la vida e integridad física</w:t>
        <w:br/>
        <w:t xml:space="preserve">      de las personas.  De igual manera  se  desprende  que  dichos  jóvenes</w:t>
        <w:br/>
        <w:t xml:space="preserve">      fueron equipados con armas de asalto (FAL o Fusil  Automático  Ligero,</w:t>
        <w:br/>
        <w:t xml:space="preserve">      7.62mm) para controlar la población civil y vehículos  blindados  AMX-</w:t>
        <w:br/>
        <w:t xml:space="preserve">      13.  Los oficiales usaron pistolas de gran potencia calibre 9mm;</w:t>
        <w:br/>
        <w:br/>
        <w:br/>
        <w:t xml:space="preserve">      f.    el 28 de febrero de 1989 el Poder Ejecutivo emitió el Decreto Nº</w:t>
        <w:br/>
        <w:t xml:space="preserve">      49,  el  cual  ordenó  la  suspensión  de  las  siguientes   garantías</w:t>
        <w:br/>
        <w:t xml:space="preserve">      establecidas  en  la  Constitución  venezolana:   libertad  individual</w:t>
        <w:br/>
        <w:t xml:space="preserve">      (artículo 60.1, 2, 6 y 10); inviolabilidad de domicilio (artículo 62);</w:t>
        <w:br/>
        <w:t xml:space="preserve">      libertad de tránsito (artículo 64); libertad  de  expresión  (artículo</w:t>
        <w:br/>
        <w:t xml:space="preserve">      66); derecho a reunión (artículo 71)  y  derecho  a  la  manifestación</w:t>
        <w:br/>
        <w:t xml:space="preserve">      pacífica  (artículo  115).    Según   la   Comisión,   las   garantías</w:t>
        <w:br/>
        <w:t xml:space="preserve">      constitucionales fueron restablecidas el 22 de marzo de 1989;</w:t>
        <w:br/>
        <w:br/>
        <w:br/>
        <w:t xml:space="preserve">      g.    las fuerzas armadas de Venezuela durante los 23 días que duró la</w:t>
        <w:br/>
        <w:t xml:space="preserve">      suspensión de garantías y,  particularmente, a partir del 1  de  marzo</w:t>
        <w:br/>
        <w:t xml:space="preserve">      de 1989, tuvieron el control del territorio y de la población; también</w:t>
        <w:br/>
        <w:t xml:space="preserve">      dispusieron para los primeros días un toque de queda que obligaba a la</w:t>
        <w:br/>
        <w:t xml:space="preserve">      personas a permanecer en sus casas entre las 6 p.m. y 6 a.m.;</w:t>
        <w:br/>
        <w:br/>
        <w:br/>
        <w:t xml:space="preserve">      h.    durante el período de excepción los  órganos  de  seguridad  del</w:t>
        <w:br/>
        <w:t xml:space="preserve">      Estado,  conjuntamente  con  la  Policía  Metropolitana,  la   Guardia</w:t>
        <w:br/>
        <w:t xml:space="preserve">      Nacional y el Ejército, realizaron una serie de operativos  tendientes</w:t>
        <w:br/>
        <w:t xml:space="preserve">      a reprimir los actos de violencia;</w:t>
        <w:br/>
        <w:br/>
        <w:br/>
        <w:t xml:space="preserve">      i.    los sucesos de febrero y marzo de 1989, según cifras  oficiales,</w:t>
        <w:br/>
        <w:t xml:space="preserve">      dejaron  un  saldo  de  276  muertos,  numerosos  lesionados,   varios</w:t>
        <w:br/>
        <w:t xml:space="preserve">      desaparecidos y cuantiosas pérdidas materiales.   Sin  embargo,  dicha</w:t>
        <w:br/>
        <w:t xml:space="preserve">      lista fue desvirtuada por la posterior aparición de fosas comunes;</w:t>
        <w:br/>
        <w:br/>
        <w:br/>
        <w:t xml:space="preserve">      j.    a partir del 28 de febrero de 1989  se  aplicó  a  la  población</w:t>
        <w:br/>
        <w:t xml:space="preserve">      civil un plan  militar  secreto  denominado  Ávila.   Dicho  plan  fue</w:t>
        <w:br/>
        <w:t xml:space="preserve">      concebido en los años sesenta, época en que según el Exministro de  la</w:t>
        <w:br/>
        <w:t xml:space="preserve">      Defensa, Ítalo  del  Valle  Alliegro,  existían  en  Venezuela  grupos</w:t>
        <w:br/>
        <w:t xml:space="preserve">      armados irregulares.  Según sus palabras, dicho  plan  se  “cumplió  a</w:t>
        <w:br/>
        <w:t xml:space="preserve">      pesar del largo tiempo sin ponerlo  en  práctica”  pero  “debería  ser</w:t>
        <w:br/>
        <w:t xml:space="preserve">      revisado y actualizado en atención a las nuevas realidades”;</w:t>
        <w:br/>
        <w:br/>
        <w:br/>
        <w:t xml:space="preserve">      k.     dos   organizaciones   no   gubernamentales   que   practicaron</w:t>
        <w:br/>
        <w:t xml:space="preserve">      investigaciones   in   situ,   así   como   peritos   internacionales,</w:t>
        <w:br/>
        <w:t xml:space="preserve">      coincidieron en manifestar  que  la  mayoría  de  las  muertes  fueron</w:t>
        <w:br/>
        <w:t xml:space="preserve">      ocasionadas por disparos indiscriminados realizados  por  agentes  del</w:t>
        <w:br/>
        <w:t xml:space="preserve">      Estado  venezolano  mientras  que  otras  fueron   el   resultado   de</w:t>
        <w:br/>
        <w:t xml:space="preserve">      ejecuciones  extrajudiciales.   También  coincidieron   en   que   los</w:t>
        <w:br/>
        <w:t xml:space="preserve">      efectivos del Ejército  abrieron  fuego  contra  multitudes  y  contra</w:t>
        <w:br/>
        <w:t xml:space="preserve">      viviendas, por lo que fallecieron numerosos niños y personas inocentes</w:t>
        <w:br/>
        <w:t xml:space="preserve">      que no participaron en hechos delictivos;</w:t>
        <w:br/>
        <w:br/>
        <w:br/>
        <w:t xml:space="preserve">      l.    entre las víctimas se incluyen a siete menores y cinco  mujeres.</w:t>
        <w:br/>
        <w:t xml:space="preserve">      De los 44 casos, 18 ocurrieron el 1 de marzo de 1989 o después, cuando</w:t>
        <w:br/>
        <w:t xml:space="preserve">      los sucesos habían cesado desde el 28 de febrero del mismo año, cuando</w:t>
        <w:br/>
        <w:t xml:space="preserve">      según informes del  gobierno  de  Venezuela,  se  tenía  completamente</w:t>
        <w:br/>
        <w:t xml:space="preserve">      controlada la situación; 11 de las víctimas fueron  ultimadas  en  sus</w:t>
        <w:br/>
        <w:t xml:space="preserve">      casas, cinco de éstas en horas de toque de queda  y  los  otros  siete</w:t>
        <w:br/>
        <w:t xml:space="preserve">      casos corresponden  típicamente  a  ejecuciones  extrajudiciales.   En</w:t>
        <w:br/>
        <w:t xml:space="preserve">      cuanto a las  circunstancias  de  las  muertes,  14  de  las  víctimas</w:t>
        <w:br/>
        <w:t xml:space="preserve">      murieron como consecuencia de heridas de arma de fuego en  el  cráneo,</w:t>
        <w:br/>
        <w:t xml:space="preserve">      tres de ellas recibieron impactos en el cuello, 14 en el tórax o en el</w:t>
        <w:br/>
        <w:t xml:space="preserve">      abdomen, y cinco fueron víctimas de disparos por  la  espalda.   Otras</w:t>
        <w:br/>
        <w:t xml:space="preserve">      cuatro víctimas desaparecieron de la zona controlada por el Ejército y</w:t>
        <w:br/>
        <w:t xml:space="preserve">      la Policía Metropolitana, sin que a la fecha se tenga noticias  de  su</w:t>
        <w:br/>
        <w:t xml:space="preserve">      paradero.  Asimismo, 32 de  estos  casos  estaban  pendientes  en  los</w:t>
        <w:br/>
        <w:t xml:space="preserve">      tribunales militares o fueron conocidos por los tribunales militares (</w:t>
        <w:br/>
        <w:t xml:space="preserve">      sin perjuicio de que algunos de ellos se tramitaban  también  ante  la</w:t>
        <w:br/>
        <w:t xml:space="preserve">      jurisdicción civil) y en ningún  caso  ha  habido  una  sentencia  que</w:t>
        <w:br/>
        <w:t xml:space="preserve">      identifique  a   los   responsables   y   establezca   las   sanciones</w:t>
        <w:br/>
        <w:t xml:space="preserve">      correpondientes;</w:t>
        <w:br/>
        <w:br/>
        <w:br/>
        <w:t xml:space="preserve">      m.    en los casos objeto de la presente  demanda  existió  un  patrón</w:t>
        <w:br/>
        <w:t xml:space="preserve">      común de comportamiento caracterizado por el uso  desproporcionado  de</w:t>
        <w:br/>
        <w:t xml:space="preserve">      la fuerza armada  en  los  barrios  populares.   Dicho  comportamiento</w:t>
        <w:br/>
        <w:t xml:space="preserve">      incluyó el ocultamiento y destrucción de evidencia, así como el empleo</w:t>
        <w:br/>
        <w:t xml:space="preserve">      de mecanismos institucionales que han asegurado la  impunidad  de  los</w:t>
        <w:br/>
        <w:t xml:space="preserve">      hechos;</w:t>
        <w:br/>
        <w:br/>
        <w:br/>
        <w:t xml:space="preserve">      n.    en los días subsiguientes a los sucesos,  el  Estado  ordenó,  a</w:t>
        <w:br/>
        <w:t xml:space="preserve">      través del Poder Ejecutivo, que se procediera a la  inhumación  de  un</w:t>
        <w:br/>
        <w:t xml:space="preserve">      número aún no determinado de cadáveres en fosas comunes ubicadas en el</w:t>
        <w:br/>
        <w:t xml:space="preserve">      sector denominado “La Peste I y II del Cementerio General del  Sur  de</w:t>
        <w:br/>
        <w:t xml:space="preserve">      Caracas, para el cumplimiento de instrucciones  precisas  de  carácter</w:t>
        <w:br/>
        <w:t xml:space="preserve">      sanitario´”;</w:t>
        <w:br/>
        <w:br/>
        <w:br/>
        <w:t xml:space="preserve">      o.    después de nueve años de haberse  practicado  las  exhumaciones,</w:t>
        <w:br/>
        <w:t xml:space="preserve">      las investigaciones permanecen en la etapa sumarial  del  proceso,  la</w:t>
        <w:br/>
        <w:t xml:space="preserve">      cual, al momento de la presentación de la  demanda,  era  de  carácter</w:t>
        <w:br/>
        <w:t xml:space="preserve">      secreto, “todo lo cual significa que diez años  después  de  ocurridos</w:t>
        <w:br/>
        <w:t xml:space="preserve">      los hechos, los familiares de las víctimas no han podido acceder a las</w:t>
        <w:br/>
        <w:t xml:space="preserve">      actas que forman parte del expediente ni pueden  conocer  la  decisión</w:t>
        <w:br/>
        <w:t xml:space="preserve">      interlocutoria que pueda haber emitido el tribunal de la  causa”.  Una</w:t>
        <w:br/>
        <w:t xml:space="preserve">      vez informados los  familiares  de  las  víctimas  de  la  inhumación,</w:t>
        <w:br/>
        <w:t xml:space="preserve">      acudieron  de  forma  inmediata  ante   las   autoridades   nacionales</w:t>
        <w:br/>
        <w:t xml:space="preserve">      competentes a fin de buscar y reclamar  los  cadáveres.   Funcionarios</w:t>
        <w:br/>
        <w:t xml:space="preserve">      del Estado inicialmente negaron  públicamente  la  existencia  de  las</w:t>
        <w:br/>
        <w:t xml:space="preserve">      fosas comunes, pero los familiares de las  víctimas  presentaron  ante</w:t>
        <w:br/>
        <w:t xml:space="preserve">      los órganos  jurisdiccionales  internos  de  Venezuela  una  serie  de</w:t>
        <w:br/>
        <w:t xml:space="preserve">      pruebas  que  demostraban  la  existencia  de  fosas  comunes  en   el</w:t>
        <w:br/>
        <w:t xml:space="preserve">      Cementerio General del Sur;</w:t>
        <w:br/>
        <w:br/>
        <w:br/>
        <w:t xml:space="preserve">      p.    el 5 de noviembre de 1990 el Juzgado Décimo de Primera Instancia</w:t>
        <w:br/>
        <w:t xml:space="preserve">      en lo Penal de la Circunscripción Judicial del Área  Metropolitana  de</w:t>
        <w:br/>
        <w:t xml:space="preserve">      Caracas, practicó una inspección judicial en el Cementerio del Sur,  a</w:t>
        <w:br/>
        <w:t xml:space="preserve">      fin de determinar presuntas  irregularidades  en  la  tramitación  del</w:t>
        <w:br/>
        <w:t xml:space="preserve">      ingreso de cadáveres inhumados en las fosas  comunes,  y  en  el  acta</w:t>
        <w:br/>
        <w:t xml:space="preserve">      correspondiente dejó “constancia que en  los  libros  de  registro  no</w:t>
        <w:br/>
        <w:t xml:space="preserve">      aparecen registradas las víctimas enterradas en el sector Norte 6 (“la</w:t>
        <w:br/>
        <w:t xml:space="preserve">      Peste”) de los sucesos del 27/2/89...”; y</w:t>
        <w:br/>
        <w:br/>
        <w:br/>
        <w:t xml:space="preserve">      q.    el 28 de noviembre de 1990 se dio a conocer a la opinión pública</w:t>
        <w:br/>
        <w:t xml:space="preserve">      que habían aparecido los primeros restos en  la  parcela  número  seis</w:t>
        <w:br/>
        <w:t xml:space="preserve">      norte del Cementerio General del Sur, de la ciudad de Caracas.  Así se</w:t>
        <w:br/>
        <w:t xml:space="preserve">      efectuaron 130 exhumaciones  de  cadáveres,  de  los  cuales  sólo  68</w:t>
        <w:br/>
        <w:t xml:space="preserve">      correspondían a personas cuya fecha de muerte era febrero y  marzo  de</w:t>
        <w:br/>
        <w:t xml:space="preserve">      1989.  El 30 de mayo de 1991  el  Cómite  de  los  Familiares  de  las</w:t>
        <w:br/>
        <w:t xml:space="preserve">      víctimas de los Sucesos de  Febrero  y  Marzo  de  1989  (en  adelante</w:t>
        <w:br/>
        <w:t xml:space="preserve">      “COFAVIC”), formuló una denuncia ante el  Juzgado  Décimo  de  Primera</w:t>
        <w:br/>
        <w:t xml:space="preserve">      Instancia en lo Penal, debido a un incendio ocurrido en la zona de las</w:t>
        <w:br/>
        <w:t xml:space="preserve">      fosas comunes.</w:t>
        <w:br/>
        <w:br/>
        <w:br/>
        <w:br/>
        <w:br/>
        <w:t xml:space="preserve">                                     III</w:t>
        <w:br/>
        <w:t xml:space="preserve">                           Competencia de la Corte</w:t>
        <w:br/>
        <w:br/>
        <w:t>3.    La Corte es competente para conocer del presente caso.   Venezuela  es</w:t>
        <w:br/>
        <w:t>Estado Parte en la Convención Americana desde el  9  de  agosto  de  1977  y</w:t>
        <w:br/>
        <w:t>reconoció la competencia obligatoria de la Corte el 24 de junio de 1981.</w:t>
        <w:br/>
        <w:br/>
        <w:br/>
        <w:t xml:space="preserve">                                     IV</w:t>
        <w:br/>
        <w:t xml:space="preserve">                       Procedimiento ante la Comisión</w:t>
        <w:br/>
        <w:br/>
        <w:t>4.    Como resultado de una denuncia presentada el 28 de marzo  de  1995  la</w:t>
        <w:br/>
        <w:t>Comisión, mediante nota del 29 de marzo de 1995, inició la  tramitación  del</w:t>
        <w:br/>
        <w:t>caso y solicitó la información pertinente a Venezuela.</w:t>
        <w:br/>
        <w:br/>
        <w:t>5.    En nota de 5 de junio de 1995 el Estado  solicitó  a  la  Comisión  un</w:t>
        <w:br/>
        <w:t>plazo adicional para  dar  respuesta  a  la  solicitud  de  información,  la</w:t>
        <w:br/>
        <w:t>solicitud que fue acogida 13 de junio de 1995.</w:t>
        <w:br/>
        <w:br/>
        <w:t>6.    Mediante nota de 16 de  agosto  de  1995  el  Estado  respondió  a  la</w:t>
        <w:br/>
        <w:t>Comisión con el envío de un examen preliminar sobre el  caso  y  en  el  que</w:t>
        <w:br/>
        <w:t>señaló, entre otras cosas, que “dada la complejidad de este caso,  así  como</w:t>
        <w:br/>
        <w:t>el número de reclamantes, el Gobierno Nacional  continuar[ía]  suministrando</w:t>
        <w:br/>
        <w:t>sucesivamente información complementaria, en la medida en que se  avance  en</w:t>
        <w:br/>
        <w:t>la investigación de cada uno de los casos individualmente considerados”.</w:t>
        <w:br/>
        <w:br/>
        <w:t>7.    Por nota de 18  de  agosto  de  1995  la  Comisión  transmitió  a  los</w:t>
        <w:br/>
        <w:t>peticionarios la respuesta del Estado.  En comunicación de 11 de  septiembre</w:t>
        <w:br/>
        <w:t>del mismo año los peticionarios solicitaron una prórroga  para  responder  a</w:t>
        <w:br/>
        <w:t>las observaciones de Venezuela, la cual fue otorgada por la Comisión.</w:t>
        <w:br/>
        <w:br/>
        <w:t>8.    En fecha 24 de agosto de 1995  el  Estado  suministró  a  la  Comisión</w:t>
        <w:br/>
        <w:t>información adicional sobre el caso, la  que  consistía  en  una  copia  del</w:t>
        <w:br/>
        <w:t>Informe del Fiscal General de la República de Venezuela del año 1990  y  dos</w:t>
        <w:br/>
        <w:t>comunicaciones del Exfiscal General de 20 de  diciembre  de  1989  y  31  de</w:t>
        <w:br/>
        <w:t>enero de 1990.  Según la Comisión  “la  información  adicional  suministrada</w:t>
        <w:br/>
        <w:t>por el Gobierno de Venezuela fue recibida por la Secretaría Ejecutiva de  la</w:t>
        <w:br/>
        <w:t>Comisión en  fecha  18  de  septiembre  de  1995”.   Dicha  información  fue</w:t>
        <w:br/>
        <w:t>transmitida a los peticionarios el 20 de los mismos mes y año.</w:t>
        <w:br/>
        <w:br/>
        <w:t>9.    El 12 de agosto de 1996 los peticionarios solicitaron  a  la  Comisión</w:t>
        <w:br/>
        <w:t>una audiencia pública  para  comparecer  en  su  93º  Período  Ordinario  de</w:t>
        <w:br/>
        <w:t>Sesiones.  Mediante notas de 6 de septiembre de 1996 la Comisión comunicó  a</w:t>
        <w:br/>
        <w:t>las partes la celebración de una audiencia pública el 7 de octubre de 1996.</w:t>
        <w:br/>
        <w:br/>
        <w:t>10.   En nota de 22 de octubre de 1996 la Comisión se puso a disposición  de</w:t>
        <w:br/>
        <w:t>las partes para la  búsqueda de una solución amistosa  en  el  caso.   Dicho</w:t>
        <w:br/>
        <w:t>procedimiento resultó infructuoso.</w:t>
        <w:br/>
        <w:br/>
        <w:t>11.   El 4 de marzo  de  1997  se  celebró  una  segunda  audiencia  pública</w:t>
        <w:br/>
        <w:t>durante el 95º Período Ordinario  de  Sesiones  de  la  Comisión.   En  ésta</w:t>
        <w:br/>
        <w:t>rindió testimonio la señora Yris Medina Cova,  esposa  de  Wolfang  Waldemar</w:t>
        <w:br/>
        <w:t>Quintana, fallecido el  2  de  marzo  de  1989.   Además,  comparecieron  en</w:t>
        <w:br/>
        <w:t>calidad  de  representantes  de  las  víctimas  la  señora  Liliana  Ortega,</w:t>
        <w:br/>
        <w:t>directora  de  COFAVIC,  el  señor  Ariel  Dulitzky  y  la  señora   Viviana</w:t>
        <w:br/>
        <w:t>Krsticevic del Centro  por  la  Justicia  y  el  Derecho  Internacional  (en</w:t>
        <w:br/>
        <w:t>adelante “CEJIL”)  y  el  señor  Héctor  Faúndez  Ledesma.   Por  el  Estado</w:t>
        <w:br/>
        <w:t>asistieron los señores Francisco Paparoni y Raúl Arrieta.</w:t>
        <w:br/>
        <w:br/>
        <w:t>12.   El 1 de septiembre de 1997 y el 29 de mayo de 1998  los  peticionarios</w:t>
        <w:br/>
        <w:t>remitieron a la Comisión información adicional, la que  fue  transmitida  al</w:t>
        <w:br/>
        <w:t>Estado.  Venezuela no formuló observaciones al respecto.</w:t>
        <w:br/>
        <w:br/>
        <w:t>13.   El 1  de  octubre  de  1998  la  Comisión,  durante  su  100º  Período</w:t>
        <w:br/>
        <w:t>Ordinario de Sesiones, aprobó el Informe 83/98 y lo transmitió al Estado  el</w:t>
        <w:br/>
        <w:t>7 de diciembre del mismo año, con la solicitud de que, dentro  de  un  plazo</w:t>
        <w:br/>
        <w:t>de dos meses,  adoptara  las  recomendaciones  correspondientes.   En  dicho</w:t>
        <w:br/>
        <w:t>informe, la Comisión recomendó al Estado</w:t>
        <w:br/>
        <w:br/>
        <w:br/>
        <w:t xml:space="preserve">            477.   ...[R]ealizar  una  exhaustiva  investigación  a  fin  de</w:t>
        <w:br/>
        <w:t xml:space="preserve">      identificar, procesar y sancionar a los responsables de las muertes de</w:t>
        <w:br/>
        <w:t xml:space="preserve">      Miguel Angel Aguilera La Rosa, Armando Antonio Castellanos  Canelones,</w:t>
        <w:br/>
        <w:t xml:space="preserve">      Luis Manuel Colmenares,  Juan  José  Garrido  Blanco,  Daniel  Guevara</w:t>
        <w:br/>
        <w:t xml:space="preserve">      Ramos, Gustavo Pedro Guía Laya, Mercedes Hernández Gonzáles,  Crisanto</w:t>
        <w:br/>
        <w:t xml:space="preserve">      Mederos, Francisco Antonio Moncada Gutiérrez,  Héctor  Ortega  Zapata,</w:t>
        <w:br/>
        <w:t xml:space="preserve">      Richard José Páez Páez, Carlos Elías  Ojeda  Parra,  José  del  Carmen</w:t>
        <w:br/>
        <w:t xml:space="preserve">      Pirela León, José Vicente Pérez Rivas, Jorge Daniel Quintana, Wolfgang</w:t>
        <w:br/>
        <w:t xml:space="preserve">      Waldemar  Quintana Vivas, Yurima Milagros  Ramos  Mendoza,  Iván  Rey,</w:t>
        <w:br/>
        <w:t xml:space="preserve">      Rubén Javier Rojas Campos, Esteban Luciano  Rosillo  García,  Leobaldo</w:t>
        <w:br/>
        <w:t xml:space="preserve">      Antonio Salas Guillén, Tirso Cruz Tezara Álvarez,  Benito  del  Carmen</w:t>
        <w:br/>
        <w:t xml:space="preserve">      Aldana Bastidas, Jesús Calixto Blanco, Boris Eduardo Bolívar  Marcano,</w:t>
        <w:br/>
        <w:t xml:space="preserve">      Jesús Alberto Cartaya, Julio César Freites, Héctor Lugo Cabriles, José</w:t>
        <w:br/>
        <w:t xml:space="preserve">      Ramón Montenegro, Elsa Ramírez  Caminero,  Sabas  Reyes  Gómez,  Fidel</w:t>
        <w:br/>
        <w:t xml:space="preserve">      Romero Castro, Alís  Flores  Torres,  Roberto  Valbuena  Borjas,  José</w:t>
        <w:br/>
        <w:t xml:space="preserve">      Valero Suárez y Jesús Cedeño.  El  Estado  también  deberá  pagar  una</w:t>
        <w:br/>
        <w:t xml:space="preserve">      justa indemnización compensatoria a los  familiares  de  las  víctimas</w:t>
        <w:br/>
        <w:t xml:space="preserve">      arriba citadas  por  los  daños  patrimoniales  y  extrapatrimoniales,</w:t>
        <w:br/>
        <w:t xml:space="preserve">      incluyendo el daño moral.</w:t>
        <w:br/>
        <w:br/>
        <w:br/>
        <w:t xml:space="preserve">            478.  ...[R]ealizar una exhaustiva investigación a  fin  de  dar</w:t>
        <w:br/>
        <w:t xml:space="preserve">      con el paradero de Abelardo Antonio Pérez, Andrés Eloy Suárez Sánchez,</w:t>
        <w:br/>
        <w:t xml:space="preserve">      José Miguel Liscano Betancourt, Juan Acasio Mena Bello, y Jesús Rafael</w:t>
        <w:br/>
        <w:t xml:space="preserve">      Villalobos, quienes  se  encuentran  hasta  la  fecha  en  calidad  de</w:t>
        <w:br/>
        <w:t xml:space="preserve">      desaparecidos.  En caso que se determine la muerte de alguna de  estas</w:t>
        <w:br/>
        <w:t xml:space="preserve">      personas, el Estado deberá identificar y sancionar a los  responsables</w:t>
        <w:br/>
        <w:t xml:space="preserve">      del hecho punible.  Asimismo, si alguna de estas personas ha fallecido</w:t>
        <w:br/>
        <w:t xml:space="preserve">      como consecuencia de acciones directas de agentes del Estado,  se  les</w:t>
        <w:br/>
        <w:t xml:space="preserve">      deberá pagar una justa indemnización compensatoria  a  sus  familiares</w:t>
        <w:br/>
        <w:t xml:space="preserve">      por los daños patrimoniales y extrapatrimoniales, incluyendo  el  daño</w:t>
        <w:br/>
        <w:t xml:space="preserve">      moral.</w:t>
        <w:br/>
        <w:br/>
        <w:br/>
        <w:t xml:space="preserve">            479.   ...[R]ealizar  una  exhaustiva  investigación  a  fin  de</w:t>
        <w:br/>
        <w:t xml:space="preserve">      identificar, procesar y sancionar a los responsables de  las  lesiones</w:t>
        <w:br/>
        <w:t xml:space="preserve">      ocasionadas  a  Gregoria  Matilde  Castillo,  Henry  Eduardo   Herrera</w:t>
        <w:br/>
        <w:t xml:space="preserve">      Hurtado, y Noraima Sosa  Ríos,  quienes  sufrieron  violaciones  a  su</w:t>
        <w:br/>
        <w:t xml:space="preserve">      integridad física durante los sucesos del 27 de febrero de  1989.   El</w:t>
        <w:br/>
        <w:t xml:space="preserve">      Estado  deberá  pagar  a  esta  personas   una   justa   indemnización</w:t>
        <w:br/>
        <w:t xml:space="preserve">      compensatoria  por  los  daños  patrimoniales  y   extrapatrimoniales,</w:t>
        <w:br/>
        <w:t xml:space="preserve">      incluyendo el daño moral.</w:t>
        <w:br/>
        <w:br/>
        <w:br/>
        <w:t xml:space="preserve">             480.   Realizar  una  exhaustiva   investigación   a   fin   de</w:t>
        <w:br/>
        <w:t xml:space="preserve">      identificar, procesar y  sancionar  disciplinaria,  administrativa,  y</w:t>
        <w:br/>
        <w:t xml:space="preserve">      penalmente a los responsables del  entierro  ilegal  de  cadáveres  en</w:t>
        <w:br/>
        <w:t xml:space="preserve">      fosas comunes del sector La Peste del Cementerio General del Sur.   En</w:t>
        <w:br/>
        <w:t xml:space="preserve">      este sentido, el Estado deberá continuar de  forma  inmediata  con  el</w:t>
        <w:br/>
        <w:t xml:space="preserve">      proceso de exhumación de  cadáveres  que  quedó  paralizado  en  1991.</w:t>
        <w:br/>
        <w:t xml:space="preserve">      También deberá identificar los 65 cadáveres  restantes,  y  determinar</w:t>
        <w:br/>
        <w:t xml:space="preserve">      mediante necropsias de ley las causales de muerte  e  informar  a  las</w:t>
        <w:br/>
        <w:t xml:space="preserve">      respectivas familias para que procedan a dar sepultura.</w:t>
        <w:br/>
        <w:br/>
        <w:br/>
        <w:t xml:space="preserve">            481.  Entregar de forma inmediata los restos a los familiares de</w:t>
        <w:br/>
        <w:t xml:space="preserve">      las víctimas cuyos casos indiquen que a pesar de tener conocimiento de</w:t>
        <w:br/>
        <w:t xml:space="preserve">      las muertes todavía el Estado no ha cumplido con  la  entrega  de  los</w:t>
        <w:br/>
        <w:t xml:space="preserve">      mismos.</w:t>
        <w:br/>
        <w:br/>
        <w:br/>
        <w:t xml:space="preserve">            482.  Informar a la ciudadanía venezolana la lista  oficial  con</w:t>
        <w:br/>
        <w:t xml:space="preserve">      los nombres y apellidos de las 276  personas  fallecidas  durante  los</w:t>
        <w:br/>
        <w:t xml:space="preserve">      sucesos de febrero y  marzo  de  1989,  así  como  las  circunstancias</w:t>
        <w:br/>
        <w:t xml:space="preserve">      particulares en que perecieron.  Asimismo, el Estado  deberá  realizar</w:t>
        <w:br/>
        <w:t xml:space="preserve">      una exhaustiva  investigación,  a  fin  de  identificar,  procesar,  y</w:t>
        <w:br/>
        <w:t xml:space="preserve">      sancionar  personalmente  a  los  agentes  del  Estado  que   resulten</w:t>
        <w:br/>
        <w:t xml:space="preserve">      involucrados en las muertes de esas 276 personas.  Una vez probada  la</w:t>
        <w:br/>
        <w:t xml:space="preserve">      participación de agentes  del  Estado,  se  les  deberá  pagar  a  los</w:t>
        <w:br/>
        <w:t xml:space="preserve">      familiares de las víctimas una justa indemnización  compensatoria  por</w:t>
        <w:br/>
        <w:t xml:space="preserve">      los daños  patrimoniales  y  extrapatrimoniales,  incluyendo  el  daño</w:t>
        <w:br/>
        <w:t xml:space="preserve">      moral.</w:t>
        <w:br/>
        <w:br/>
        <w:br/>
        <w:t xml:space="preserve">            483.  Levantar de forma inmediata el secreto sumarial de los  44</w:t>
        <w:br/>
        <w:t xml:space="preserve">      casos que se encuentren pendientes tanto en la jurisdicción  ordinaria</w:t>
        <w:br/>
        <w:t xml:space="preserve">      como militar, ya que ello impide que los familiares de las víctimas  y</w:t>
        <w:br/>
        <w:t xml:space="preserve">      sus  abogados  tengan  un  genuino  acceso  a  los  recursos   de   la</w:t>
        <w:br/>
        <w:t xml:space="preserve">      jurisdicción interna.  En este sentido, los respectivos tribunales  de</w:t>
        <w:br/>
        <w:t xml:space="preserve">      justicia deberán ubicar -con coordinación  de  las  organizaciones  no</w:t>
        <w:br/>
        <w:t xml:space="preserve">      gubernamentales de derechos humanos- a los familiares de las víctimas,</w:t>
        <w:br/>
        <w:t xml:space="preserve">      a  fin  de  que  colaboren   con   información   adicional   para   el</w:t>
        <w:br/>
        <w:t xml:space="preserve">      esclarecimiento de los hechos.</w:t>
        <w:br/>
        <w:br/>
        <w:br/>
        <w:t xml:space="preserve">            484.  Otorgar mayores recursos materiales y humanos a la  Morgue</w:t>
        <w:br/>
        <w:t xml:space="preserve">      Central de Caracas, a fin de evitar situaciones como las vividas el 27</w:t>
        <w:br/>
        <w:t xml:space="preserve">      de  febrero  de  1989.   En  ese  mismo  sentido,  el  Estado   deberá</w:t>
        <w:br/>
        <w:t xml:space="preserve">      reorganizar y modernizar la  Dirección  General  de  Identificación  y</w:t>
        <w:br/>
        <w:t xml:space="preserve">      Extranjería.</w:t>
        <w:br/>
        <w:br/>
        <w:br/>
        <w:t xml:space="preserve">            485.  Otorgar  al  Instituto  de  Medicina  Legal  los  recursos</w:t>
        <w:br/>
        <w:t xml:space="preserve">      humanos y materiales necesarios con el objeto de que se lleven a  cabo</w:t>
        <w:br/>
        <w:t xml:space="preserve">      sus funciones con efectividad y celeridad.</w:t>
        <w:br/>
        <w:br/>
        <w:br/>
        <w:t xml:space="preserve">            486.  Iniciar un proceso exhaustivo de entrenamiento  -  llámase</w:t>
        <w:br/>
        <w:t xml:space="preserve">      seminarios, cursos, etc.- en materia de derechos humanos   -incluyendo</w:t>
        <w:br/>
        <w:t xml:space="preserve">      cuestiones relativas a la suspensión de garantías  constitucionales  y</w:t>
        <w:br/>
        <w:t xml:space="preserve">      los derechos  que  no  pueden  ser  objeto  de  suspensión-  para  los</w:t>
        <w:br/>
        <w:t xml:space="preserve">      diferentes organismos de seguridad del Estado venezolano.</w:t>
        <w:br/>
        <w:br/>
        <w:br/>
        <w:t xml:space="preserve">            487.  Ratificar la Convención Interamericana sobre  Desaparición</w:t>
        <w:br/>
        <w:t xml:space="preserve">      Forzada de Personas, instrumento internacional que fue suscrito por el</w:t>
        <w:br/>
        <w:t xml:space="preserve">      Estado venezolano el 10 de junio de 1994, durante el  vigésimo  cuarto</w:t>
        <w:br/>
        <w:t xml:space="preserve">      período  ordinario  de  sesiones  de  la  Asamblea   General   de   la</w:t>
        <w:br/>
        <w:t xml:space="preserve">      Organización de los Estados Americanos.</w:t>
        <w:br/>
        <w:br/>
        <w:br/>
        <w:t>Asimismo, la Comisión acordó:</w:t>
        <w:br/>
        <w:br/>
        <w:br/>
        <w:t xml:space="preserve">            1.    Transmitir el presente informe al Estado de  Venezuela  --</w:t>
        <w:br/>
        <w:t xml:space="preserve">      quien no está  facultado  para  publicarlo--  de  conformidad  con  el</w:t>
        <w:br/>
        <w:t xml:space="preserve">      artículo 50 de la Convención Americana sobre Derechos Humanos.</w:t>
        <w:br/>
        <w:br/>
        <w:br/>
        <w:t xml:space="preserve">            2.    Otorgar al Estado de Venezuela un plazo de  dos  meses  --</w:t>
        <w:br/>
        <w:t xml:space="preserve">      contados a partir de la fecha de remisión del presente informe--  para</w:t>
        <w:br/>
        <w:t xml:space="preserve">      que cumpla las recomendaciones previstas en  los  párrafos  477,  478,</w:t>
        <w:br/>
        <w:t xml:space="preserve">      479, 480, 481, 482, 483, 484, 485, 486, y 487, e informe a la Comisión</w:t>
        <w:br/>
        <w:t xml:space="preserve">      Interamericana de Derechos Humanos sobre las  medidas  adoptadas  para</w:t>
        <w:br/>
        <w:t xml:space="preserve">      solucionar  las  diferentes  situaciones  infringidas,  todo  ello  de</w:t>
        <w:br/>
        <w:t xml:space="preserve">      conformidad con el artículo 50.(3) de la Convención Americana.</w:t>
        <w:br/>
        <w:br/>
        <w:br/>
        <w:t xml:space="preserve">            3.    Notificar a los peticionarios  de  la  aprobación,  en  el</w:t>
        <w:br/>
        <w:t xml:space="preserve">      presente caso, de un informe bajo el  artículo  50  de  la  Convención</w:t>
        <w:br/>
        <w:t xml:space="preserve">      Americana sobre Derechos Humanos.</w:t>
        <w:br/>
        <w:br/>
        <w:t>14.   En nota de 12 de octubre de  1998  Venezuela  solicitó  una  audiencia</w:t>
        <w:br/>
        <w:t>ante la Comisión, la cual no fue concedida porque  ésta  ya  había  adoptado</w:t>
        <w:br/>
        <w:t>una decisión sobre el caso.</w:t>
        <w:br/>
        <w:br/>
        <w:t>15.   En nota de 12 de febrero de 1999 el Estado solicitó “una  prórroga  de</w:t>
        <w:br/>
        <w:t>sesenta días adicionales a los dos meses  otorgados  por  la  Comisión  para</w:t>
        <w:br/>
        <w:t>poner en conocimiento del nuevo Gobierno el informe dictado por la  Comisión</w:t>
        <w:br/>
        <w:t>y  en  consecuencia  conocer  cuales  ser[ía]n  sus  directrices  para   dar</w:t>
        <w:br/>
        <w:t>cumplimiento a las recomendaciones que formul[ó] la Comisión  al  Estado  en</w:t>
        <w:br/>
        <w:t>su informe”.  En nota de 23 de febrero de 1999 la Comisión acusó  recibo  de</w:t>
        <w:br/>
        <w:t>dicha solicitud, en la cual  manifestó  que  consideraría  la  solicitud  de</w:t>
        <w:br/>
        <w:t>prórroga, siempre que el Estado  estuviera  de  acuerdo  en  interrumpir  el</w:t>
        <w:br/>
        <w:t>plazo establecido en el artículo 51.1 de la Convención.</w:t>
        <w:br/>
        <w:br/>
        <w:t>16.   El 24 de febrero de  1999  Venezuela  manifestó  su  acuerdo  con  los</w:t>
        <w:br/>
        <w:t>términos planteados por la Comisión e indicó que aceptaba que a partir  “del</w:t>
        <w:br/>
        <w:t>7 de marzo de  1999  qued[ara]  interrumpido  el  lapso  establecido  en  el</w:t>
        <w:br/>
        <w:t>artículo 51(1) de la Convención, y que [fuera] a partir de dicha  fecha  que</w:t>
        <w:br/>
        <w:t>se comput[ara] la  prórroga  de  dos  meses  solicitada  por  el  Estado  de</w:t>
        <w:br/>
        <w:t>Venezuela para dar cumplimiento a las recomendaciones por la Comisión en  su</w:t>
        <w:br/>
        <w:t>informe”.  Al respecto, mediante nota de 2 de marzo  de  1999,  la  Comisión</w:t>
        <w:br/>
        <w:t>informó al Estado que los dos meses adicionales vencerían el 7  de  mayo  de</w:t>
        <w:br/>
        <w:t>1999 y que el plazo  establecido  en  el  artículo  51.1  de  la  Convención</w:t>
        <w:br/>
        <w:t>vencería el 7 de junio del mismo año.</w:t>
        <w:br/>
        <w:br/>
        <w:t>17.   En nota de 9 de marzo de 1999 el Presidente de Venezuela, Hugo  Chávez</w:t>
        <w:br/>
        <w:t>Frías, se dirigió al Presidente de la  Comisión  en  la  que  señaló,  inter</w:t>
        <w:br/>
        <w:t>alia, que “instru[yó] al Agente  del  Estado  para  que  [...]  acuerde  los</w:t>
        <w:br/>
        <w:t>mejores términos, para que con la participación de la Comisión se  llegue  a</w:t>
        <w:br/>
        <w:t>una solución honorable, plena y satisfactoria  con  los  familiares  de  las</w:t>
        <w:br/>
        <w:t>víctimas que sufrieron los excesos de algún funcionario de la policía  o  de</w:t>
        <w:br/>
        <w:t>los cuerpos de seguridad del Estado”.</w:t>
        <w:br/>
        <w:br/>
        <w:t>18.   En nota de 24 de marzo de 1999 la Comisión acusó  recibo  de  la  nota</w:t>
        <w:br/>
        <w:t>indicada anteriormente, e informó que “proceder[ía] a dar traslado  de  esta</w:t>
        <w:br/>
        <w:t>posición del Ilustre Gobierno de Venezuela a los peticionarios  en  el  caso</w:t>
        <w:br/>
        <w:t>11.455, con el propósito de explorar la posibilidad de un  arreglo  amistoso</w:t>
        <w:br/>
        <w:t>fundado en el respeto de los derechos humanos consagrados en  la  Convención</w:t>
        <w:br/>
        <w:t>Americana”.  El 7 de abril de 1999 la Comisión dio traslado  de  la  nota  a</w:t>
        <w:br/>
        <w:t>los peticionarios.</w:t>
        <w:br/>
        <w:br/>
        <w:t>19.   El 7 de mayo de 1999 los peticionarios, en respuesta  a  la  nota  del</w:t>
        <w:br/>
        <w:t>Estado de 9 de marzo del mismo año, señalaron, inter alia, que “la  gravedad</w:t>
        <w:br/>
        <w:t>de los hechos denunciados en el presente caso no permite que éste  se  pueda</w:t>
        <w:br/>
        <w:t>resolver  amigablemente,  de  manera  compatible  con   la   Convención”   y</w:t>
        <w:br/>
        <w:t>solicitaron “respetuosamente a la Comisión que, de una vez por todas, y  sin</w:t>
        <w:br/>
        <w:t>acceder a nuevas maniobras dilatorias por parte del  Estado  venezolano,  en</w:t>
        <w:br/>
        <w:t>uso de sus atribuciones, decida si este caso se va  a  someter  o  no  a  la</w:t>
        <w:br/>
        <w:t>Corte Interamericana...”.</w:t>
        <w:br/>
        <w:br/>
        <w:t>20.   El mismo 7 de mayo de 1999, luego de una reunión entre las  partes  en</w:t>
        <w:br/>
        <w:t>la que no se logró solucionar el caso, la Comisión durante su  103º  Período</w:t>
        <w:br/>
        <w:t>Extraordinario de Sesiones decidió someter el presente caso a la Corte.</w:t>
        <w:br/>
        <w:br/>
        <w:t>21.   En nota de 23 de mayo  de  1999  Venezuela  presentó  un  escrito  con</w:t>
        <w:br/>
        <w:t>anexos  mediante  el  cual  “notific[ó]  formalmente  a   la   Comisión   el</w:t>
        <w:br/>
        <w:t>cumplimiento por parte  del  Estado  de  Venezuela  de  las  recomendaciones</w:t>
        <w:br/>
        <w:t>contenidas en el informe” No. 83/98.  Ese mismo día,  la  Secretaría  de  la</w:t>
        <w:br/>
        <w:t>Comisión envió dicho documento vía correo especial  a  los  miembros  de  la</w:t>
        <w:br/>
        <w:t>Comisión para el análisis  correspondiente.   El  3  de  junio  de  1999  el</w:t>
        <w:br/>
        <w:t>Presidente de la Comisión, Robert K. Goldman, y el Secretario  Ejecutivo  de</w:t>
        <w:br/>
        <w:t>la misma, Jorge E. Taiana, se  comunicaron  con  el  Primer  Vicepresidente,</w:t>
        <w:br/>
        <w:t>Hélio  Bicudo,  el  Segundo  Vicepresidente,   Claudio   Grossman,   y   los</w:t>
        <w:br/>
        <w:t>comisionados Jean Joseph  Exumé  y  Alvaro  Tirado  Mejía,  miembros  de  la</w:t>
        <w:br/>
        <w:t>Comisión, para solicitarles su opinión al respecto.</w:t>
        <w:br/>
        <w:br/>
        <w:t>22.   La Comisión valoró la voluntad expresada por Venezuela  por  medio  de</w:t>
        <w:br/>
        <w:t>su representante, pero consideró que el escrito del Estado no constituía  un</w:t>
        <w:br/>
        <w:t>cumplimiento  apropiado  de  las  recomendaciones  de  la  Comisión  y,   en</w:t>
        <w:br/>
        <w:t>consecuencia, unánimemente, decidió confirmar el sometimiento  del  presente</w:t>
        <w:br/>
        <w:t>caso a la Corte.</w:t>
        <w:br/>
        <w:br/>
        <w:br/>
        <w:t xml:space="preserve">                                      V</w:t>
        <w:br/>
        <w:t xml:space="preserve">                         Procedimiento ante la Corte</w:t>
        <w:br/>
        <w:br/>
        <w:t>23.   La demanda en este caso fue sometida al conocimiento de la Corte el  7</w:t>
        <w:br/>
        <w:t>de junio de 1999.</w:t>
        <w:br/>
        <w:br/>
        <w:t>24.   La Comisión designó como delegados a los señores Hélio Bicudo y  Oscar</w:t>
        <w:br/>
        <w:t>Luján Fappiano;  como  abogados  a  los  señores  Hernando  Valencia  Villa,</w:t>
        <w:br/>
        <w:t>Secretario Ejecutivo Adjunto de la Comisión, y  Milton  Castillo  Rodríguez,</w:t>
        <w:br/>
        <w:t>Especialista principal de la Secretaría;  y  como  asistentes  a  la  señora</w:t>
        <w:br/>
        <w:t>Liliana Ortega Mendoza y al señor Héctor Faúndez Ledesma, en  representación</w:t>
        <w:br/>
        <w:t>de COFAVIC; a las señoras Viviana Krsticevic  y  María  Claudia  Pulido,  en</w:t>
        <w:br/>
        <w:t>representación de CEJIL; y José Miguel Vivanco en  representación  de  Human</w:t>
        <w:br/>
        <w:t>Rights Watch/Americas.  De conformidad con lo previsto en el  artículo  22.2</w:t>
        <w:br/>
        <w:t>del Reglamento, la Comisión informó que los asistentes representaban  a  los</w:t>
        <w:br/>
        <w:t>familiares de las víctimas.</w:t>
        <w:br/>
        <w:br/>
        <w:t>25.   El 17 de junio de 1999 la Secretaría de  la  Corte  (en  adelante  “la</w:t>
        <w:br/>
        <w:t>Secretaría”),  siguiendo  instrucciones  del  Presidente  de  la  Corte  (en</w:t>
        <w:br/>
        <w:t>adelante “el Presidente”), de conformidad con lo dispuesto en los  artículos</w:t>
        <w:br/>
        <w:t>33 y 34 del  Reglamento,  solicitó  a  la  Comisión  que  subsanara  ciertos</w:t>
        <w:br/>
        <w:t>defectos constatados en el examen preliminar de la demanda, para lo cual  se</w:t>
        <w:br/>
        <w:t>le otorgó un plazo de 20 días.  El 22 y 28 de  junio  de  1999  la  Comisión</w:t>
        <w:br/>
        <w:t>subsanó los defectos relacionados con la demanda y  remitió  las  copias  de</w:t>
        <w:br/>
        <w:t>las pruebas solicitadas.</w:t>
        <w:br/>
        <w:br/>
        <w:t>26.   El 30  de  junio  de  1999  la  Comisión  remitió  veinte  fotografías</w:t>
        <w:br/>
        <w:t>relativas a los sucesos de febrero y marzo de 1989  en  Venezuela  e  indicó</w:t>
        <w:br/>
        <w:t>que las mismas formaban parte de la prueba documental de la demanda.</w:t>
        <w:br/>
        <w:br/>
        <w:t>27.   Mediante nota de 5 de julio de 1999 la Secretaría notificó  al  Estado</w:t>
        <w:br/>
        <w:t>la demanda y sus anexos, previo  examen  de  los  mismos  realizado  por  el</w:t>
        <w:br/>
        <w:t>Presidente.  Asimismo, le informó al Estado que  disponía  de  un  mes  para</w:t>
        <w:br/>
        <w:t>nombrar agente y agente alterno, dos para someter  excepciones  preliminares</w:t>
        <w:br/>
        <w:t>y cuatro para responder la demanda.</w:t>
        <w:br/>
        <w:br/>
        <w:t>28.   El 11 de agosto de 1999  el  Estado  designó  al  señor  Raúl  Arrieta</w:t>
        <w:br/>
        <w:t>Cuevas como agente y al Embajador Noel García Gómez como agente alterno.</w:t>
        <w:br/>
        <w:br/>
        <w:t>29.   El 26 de agosto de 1999  la  Secretaría  remitió  al  Estado  toda  la</w:t>
        <w:br/>
        <w:t>documentación contenida en el  anexo  35  de  la  demanda,  relativa  a  los</w:t>
        <w:br/>
        <w:t>poderes de representación legal otorgados por las supuestas víctimas  o  sus</w:t>
        <w:br/>
        <w:t>familiares.</w:t>
        <w:br/>
        <w:br/>
        <w:t>30.   El 26 de agosto de 1999 Venezuela solicitó a la Corte que</w:t>
        <w:br/>
        <w:br/>
        <w:t xml:space="preserve">      se sirv[iera] convocar a las partes a una Audiencia Formal, durante el</w:t>
        <w:br/>
        <w:t xml:space="preserve">      próximo período de sesiones, para que en ella  el  Agente  del  Estado</w:t>
        <w:br/>
        <w:t xml:space="preserve">      pu[diera] informar a la Corte la  forma  en  que  el  Estado  est[aba]</w:t>
        <w:br/>
        <w:t xml:space="preserve">      ejecutando las recomendaciones formuladas por la Comisión para de esta</w:t>
        <w:br/>
        <w:t xml:space="preserve">      manera buscar con la participación activa de la  Corte  Interamericana</w:t>
        <w:br/>
        <w:t xml:space="preserve">      una solución honorable, plena y satisfactoria al presente caso,  y  de</w:t>
        <w:br/>
        <w:t xml:space="preserve">      manera particular, un acuerdo con los familiares de  las  víctimas  de</w:t>
        <w:br/>
        <w:t xml:space="preserve">      los sucesos en cuestión.</w:t>
        <w:br/>
        <w:br/>
        <w:t>Asimismo, adjuntó un escrito de fecha 24 de mayo de 1999, presentado por  el</w:t>
        <w:br/>
        <w:t>Estado ante la Comisión, en el cual informaba sobre el cumplimiento  de  las</w:t>
        <w:br/>
        <w:t>recomendaciones formuladas en el Informe No. 83/98.</w:t>
        <w:br/>
        <w:br/>
        <w:t>31.   El 27 de agosto de 1999 el Presidente emitió una  resolución  mediante</w:t>
        <w:br/>
        <w:t>la cual convocó a las partes a una audiencia pública que  se  celebraría  en</w:t>
        <w:br/>
        <w:t>la sede de la Corte el 22 de septiembre de 1999.</w:t>
        <w:br/>
        <w:br/>
        <w:t>32.   El 2 de septiembre de 1999 la Comisión solicitó a la Corte que</w:t>
        <w:br/>
        <w:br/>
        <w:t xml:space="preserve">      [tuviera] a bien postergar la audiencia pública de este caso en virtud</w:t>
        <w:br/>
        <w:t xml:space="preserve">      de que el 21 de septiembre al 8 de octubre de 1999 se celebra[ría]  en</w:t>
        <w:br/>
        <w:t xml:space="preserve">      la ciudad de Washington D.C. el 104º período ordinario de sesiones  de</w:t>
        <w:br/>
        <w:t xml:space="preserve">      la CIDH  y  su  Primer  Vicepresidente,  Hélio  Bicudo  [...]  deb[ía]</w:t>
        <w:br/>
        <w:t xml:space="preserve">      presidir varias audiencias en fechas subsiguientes, por lo cual  sería</w:t>
        <w:br/>
        <w:t xml:space="preserve">      imposible su asistencia a la audiencia pública del presente caso.  Por</w:t>
        <w:br/>
        <w:t xml:space="preserve">      otra parte, el Presidente de la República de  Venezuela,  Hugo  Chávez</w:t>
        <w:br/>
        <w:t xml:space="preserve">      Frías, [había] solicit[ado] audiencia ante la CIDH [...  la  cual]  se</w:t>
        <w:br/>
        <w:t xml:space="preserve">      llevar[ía] a cabo a las 9:00 horas del 22 de septiembre de 1999.</w:t>
        <w:br/>
        <w:br/>
        <w:t>33.   El 6 de septiembre de 1999 el  Estado  informó  a  la  Corte  que  “no</w:t>
        <w:br/>
        <w:t>[tenía]  inconvenientes  para  que   se   prorrog[ara]   la   audiencia...”.</w:t>
        <w:br/>
        <w:t>Asimismo, solicitó una prórroga de 60 días  para  presentar  el  escrito  de</w:t>
        <w:br/>
        <w:t>contestación de la demanda.  El  7  de  los  mismos  mes  y  año,  siguiendo</w:t>
        <w:br/>
        <w:t>instrucciones del Presidente, la Secretaría concedió al Estado  plazo  hasta</w:t>
        <w:br/>
        <w:t>el 12 de enero del 2000 para contestar la demanda.</w:t>
        <w:br/>
        <w:br/>
        <w:t>34.   El 9 de septiembre de 1999 el Presidente resolvió dejar sin efecto  su</w:t>
        <w:br/>
        <w:t>resolución de 27  de  agosto  de  1999  y  convocar,  oportunamente,  a  los</w:t>
        <w:br/>
        <w:t>representantes del Estado y de la Comisión a una audiencia  pública  que  se</w:t>
        <w:br/>
        <w:t>celebraría en la sede de la Corte  durante  su  XLVI  Período  Ordinario  de</w:t>
        <w:br/>
        <w:t>Sesiones.</w:t>
        <w:br/>
        <w:br/>
        <w:t>35.   El 13 de octubre de 1999 el Presidente convocó  a  Venezuela  y  a  la</w:t>
        <w:br/>
        <w:t>Comisión Interamericana a una audiencia pública por celebrarse  en  la  sede</w:t>
        <w:br/>
        <w:t>de la Corte el día 10 de noviembre de 1999.</w:t>
        <w:br/>
        <w:br/>
        <w:t>36.   El 10 de noviembre de 1999 se celebró la audiencia  pública  sobre  el</w:t>
        <w:br/>
        <w:t>presente caso.</w:t>
        <w:br/>
        <w:br/>
        <w:br/>
        <w:t>Comparecieron ante la Corte</w:t>
        <w:br/>
        <w:br/>
        <w:br/>
        <w:t xml:space="preserve">      por el Estado de Venezuela:</w:t>
        <w:br/>
        <w:br/>
        <w:br/>
        <w:t xml:space="preserve">        Raúl Arrieta Cuevas, agente; y</w:t>
        <w:br/>
        <w:t xml:space="preserve">        Noel García Gómez, agente alterno;</w:t>
        <w:br/>
        <w:br/>
        <w:br/>
        <w:br/>
        <w:br/>
        <w:t xml:space="preserve">      por la Comisión Interamericana:</w:t>
        <w:br/>
        <w:br/>
        <w:br/>
        <w:t xml:space="preserve">        Oscar Luján Fappiano, delegado;</w:t>
        <w:br/>
        <w:t xml:space="preserve">        Milton Castillo Rodríguez, abogado;</w:t>
        <w:br/>
        <w:t xml:space="preserve">        Liliana Ortega Mendoza, asistente; y</w:t>
        <w:br/>
        <w:t xml:space="preserve">        María Claudia Pulido, asistente.</w:t>
        <w:br/>
        <w:br/>
        <w:br/>
        <w:br/>
        <w:t xml:space="preserve">                                     VI</w:t>
        <w:br/>
        <w:t xml:space="preserve">                                allanamiento</w:t>
        <w:br/>
        <w:br/>
        <w:t>37.   En  la  audiencia  pública  de  10  de  noviembre  de  1999  Venezuela</w:t>
        <w:br/>
        <w:t>reconoció los hechos expuestos por la Comisión  en  la  sección  III  de  su</w:t>
        <w:br/>
        <w:t>demanda, los cuales se encuentran resumidos en el párrafo 2 de  la  presente</w:t>
        <w:br/>
        <w:t>sentencia.</w:t>
        <w:br/>
        <w:br/>
        <w:t>Venezuela aceptó también las consecuencias  jurídicas  que  derivan  de  los</w:t>
        <w:br/>
        <w:t>hechos  mencionados   (supra,   párr.   2)   y   reconoció   plenamente   su</w:t>
        <w:br/>
        <w:t>responsabilidad internacional en el presente caso.</w:t>
        <w:br/>
        <w:br/>
        <w:t>En la misma audiencia el Estado presentó 79  documentos  como  elementos  de</w:t>
        <w:br/>
        <w:t>información referentes al caso.</w:t>
        <w:br/>
        <w:br/>
        <w:t>38.   El artículo 52.2 del Reglamento establece que</w:t>
        <w:br/>
        <w:br/>
        <w:t xml:space="preserve">      [s]i el  demandado  comunicare  a  la  Corte  su  allanamiento  a  las</w:t>
        <w:br/>
        <w:t xml:space="preserve">      pretensiones de la parte demandante, la Corte, oído el parecer de ésta</w:t>
        <w:br/>
        <w:t xml:space="preserve">      y de los representantes de las víctimas o de sus familiares, resolverá</w:t>
        <w:br/>
        <w:t xml:space="preserve">      sobre la procedencia del allanamiento y  sus  efectos  jurídicos.   En</w:t>
        <w:br/>
        <w:t xml:space="preserve">      este supuesto, la Corte  fijará  las  reparaciones  e  indemnizaciones</w:t>
        <w:br/>
        <w:t xml:space="preserve">      correspondientes.</w:t>
        <w:br/>
        <w:br/>
        <w:t>39.   En el curso de la audiencia pública el agente del Estado manifestó</w:t>
        <w:br/>
        <w:br/>
        <w:t xml:space="preserve">      [...] que el Estado de Venezuela  incumplió  la  Convención  Americana</w:t>
        <w:br/>
        <w:t xml:space="preserve">      sobre protección de los Derechos Humanos y  como  lo  ha  señalado  la</w:t>
        <w:br/>
        <w:t xml:space="preserve">      propia Corte Suprema  [de  Justicia  de  Venezuela]  hubo  un  retardo</w:t>
        <w:br/>
        <w:t xml:space="preserve">      aberrante y una denegación de  justicia  injustificable  para  que  se</w:t>
        <w:br/>
        <w:t xml:space="preserve">      determinara las circunstancias, los hechos, las personas que  murieron</w:t>
        <w:br/>
        <w:t xml:space="preserve">      y los responsables de ello.</w:t>
        <w:br/>
        <w:br/>
        <w:br/>
        <w:t xml:space="preserve">      [... que] ofre[cía] a esta Ilustrísima  Corte  hacer  entrega  de  las</w:t>
        <w:br/>
        <w:t xml:space="preserve">      sentencias de la Corte Suprema en las cuales queda claramente plasmada</w:t>
        <w:br/>
        <w:t xml:space="preserve">      la voluntad del Estado  de  cumplir  con  las  recomendaciones  de  la</w:t>
        <w:br/>
        <w:t xml:space="preserve">      Comisión en el informe que  sobre  este  particular  emitiera,  en  el</w:t>
        <w:br/>
        <w:t xml:space="preserve">      sentido de  realizar  todas  las  reparaciones  que  no  solamente  el</w:t>
        <w:br/>
        <w:t xml:space="preserve">      ordenamiento jurídico internacional exige, sino que  además,  [exigen]</w:t>
        <w:br/>
        <w:t xml:space="preserve">      la propia Convención y el ordenamiento jurídico interno. Para ello, la</w:t>
        <w:br/>
        <w:t xml:space="preserve">      Corte Suprema se ha avocado al conocimiento de todas las causas, tanto</w:t>
        <w:br/>
        <w:t xml:space="preserve">      las que se encontraban en [el] ordenamiento penal ordinario  como  las</w:t>
        <w:br/>
        <w:t xml:space="preserve">      que se encontraban  ante  la  justicia  militar.   Ha  desglosado  los</w:t>
        <w:br/>
        <w:t xml:space="preserve">      expedientes de acuerdo al nombre con que aparecen las víctimas y  para</w:t>
        <w:br/>
        <w:t xml:space="preserve">      ello ha estado dictando una serie de decisiones en las  cuales  ordena</w:t>
        <w:br/>
        <w:t xml:space="preserve">      reiniciar toda la  actividad  tendiente  a  esclarecer  los  hechos  y</w:t>
        <w:br/>
        <w:t xml:space="preserve">      sancionar a los culpables. Igualmente la  Corte  Suprema  ha  ido  más</w:t>
        <w:br/>
        <w:t xml:space="preserve">      lejos y ha ordenado al Consejo de la Judicatura y al  Ministro  de  la</w:t>
        <w:br/>
        <w:t xml:space="preserve">      Defensa la apertura de los procedimientos necesarios  para  establecer</w:t>
        <w:br/>
        <w:t xml:space="preserve">      la responsabilidad de los Jueces y  de  los  Fiscales  del  Ministerio</w:t>
        <w:br/>
        <w:t xml:space="preserve">      Público responsables de esta tardanza aberrante  que  ha  señalado  la</w:t>
        <w:br/>
        <w:t xml:space="preserve">      Corte Suprema de Justicia.</w:t>
        <w:br/>
        <w:br/>
        <w:br/>
        <w:t xml:space="preserve">      [...] que  como  consecuencia  del  incumplimiento  de  la  Convención</w:t>
        <w:br/>
        <w:t xml:space="preserve">      [...e]l Estado reconoce el derecho de los familiares de  las  víctimas</w:t>
        <w:br/>
        <w:t xml:space="preserve">      de recibir una indemnización justa por los  daños  que  han  recibido,</w:t>
        <w:br/>
        <w:t xml:space="preserve">      consecuentemente sólo [...] queda solicitar a esta  Ilustrísima  Corte</w:t>
        <w:br/>
        <w:t xml:space="preserve">      que  abra  el  procedimiento  y  ordene  [...]  la  reparación  y  las</w:t>
        <w:br/>
        <w:t xml:space="preserve">      indemnizaciones de acuerdo a su propia jurisprudencia, y en cada caso,</w:t>
        <w:br/>
        <w:t xml:space="preserve">      de acuerdo a la responsabilidad que determine del Estado.</w:t>
        <w:br/>
        <w:br/>
        <w:br/>
        <w:t>Por último, agregó que “[e]l Estado ha decidido no controvertir  los  hechos</w:t>
        <w:br/>
        <w:t>y, consecuentemente, asume la consecuencia de ello, que es la  reparación  y</w:t>
        <w:br/>
        <w:t>la indemnización”.</w:t>
        <w:br/>
        <w:br/>
        <w:t>40.   Al respecto, el delegado de la Comisión Interamericana señaló  que,  a</w:t>
        <w:br/>
        <w:t>juicio de la Comisión, las manifestaciones del Estado</w:t>
        <w:br/>
        <w:br/>
        <w:t xml:space="preserve">      son el reconocimiento de los hechos  y  del  derecho  expuesto  en  la</w:t>
        <w:br/>
        <w:t xml:space="preserve">      demanda  por  la  Comisión   [...]   y   el   reconocimiento   de   la</w:t>
        <w:br/>
        <w:t xml:space="preserve">      responsabilidad  del  Estado.  O  sea,  en  definitiva,  la   Comisión</w:t>
        <w:br/>
        <w:t xml:space="preserve">      considera que el Ilustrado Gobierno de Venezuela se ha allanado  a  la</w:t>
        <w:br/>
        <w:t xml:space="preserve">      demanda en todas sus partes y en consecuencia solicita  a  esta  Corte</w:t>
        <w:br/>
        <w:t xml:space="preserve">      que así lo declare.</w:t>
        <w:br/>
        <w:br/>
        <w:t>41.   Con base en las manifestaciones de las partes en la audiencia  pública</w:t>
        <w:br/>
        <w:t>de 10 de noviembre de 1999, y dado el reconocimiento de los hechos y  de  la</w:t>
        <w:br/>
        <w:t>responsabilidad por parte de Venezuela, la Corte considera que ha cesado  la</w:t>
        <w:br/>
        <w:t>controversia entre el Estado y la  Comisión  en  cuanto  a  los  hechos  que</w:t>
        <w:br/>
        <w:t>dieron origen al presente caso (Cfr. Caso Benavides Cevallos,  Sentencia  de</w:t>
        <w:br/>
        <w:t>19 de junio de 1998.  Serie C No. 38, párr. 42; Caso  Garrido  y  Baigorria,</w:t>
        <w:br/>
        <w:t>Sentencia de 2 de febrero de 1996.  Serie  C  No.  26,  párr.  27;  Caso  El</w:t>
        <w:br/>
        <w:t>Amparo, Sentencia de 18 de enero de 1995.  Serie C No. 19 , párr. 20 y  Caso</w:t>
        <w:br/>
        <w:t>Aloeboetoe y otros, Sentencia de 4 de diciembre de 1991.  Serie  C  No.  11,</w:t>
        <w:br/>
        <w:t>párr. 23).</w:t>
        <w:br/>
        <w:br/>
        <w:t>42.   En consecuencia, la Corte tiene por demostrados los hechos  a  que  se</w:t>
        <w:br/>
        <w:t>refiere el párrafo 2 de la presente sentencia.  La Corte  concluye,  además,</w:t>
        <w:br/>
        <w:t>que, tal como fue expresamente reconocido por el Estado, éste  ha  incurrido</w:t>
        <w:br/>
        <w:t>en responsabilidad internacional por violaciones de los derechos  protegidos</w:t>
        <w:br/>
        <w:t>por los artículos 4.1 (Derecho a  la  Vida),  5  (Derecho  a  la  Integridad</w:t>
        <w:br/>
        <w:t>Personal), 7 (Derecho a la Libertad Personal), 8.1  (Garantías  Judiciales),</w:t>
        <w:br/>
        <w:t>25.1 y 25.2.a. (Protección Judicial) y 27.3  (Suspensión  de  Garantías)  en</w:t>
        <w:br/>
        <w:t>concordancia con los artículos 1.1 (Obligación de Respetar los  Derechos)  y</w:t>
        <w:br/>
        <w:t>2 (Deber de Adoptar Disposiciones  de  Derecho  Interno)  de  la  Convención</w:t>
        <w:br/>
        <w:t>Americana, en perjuicio de las personas citadas en  el  párrafo  1  de  esta</w:t>
        <w:br/>
        <w:t>sentencia, en los términos establecidos en el mismo.</w:t>
        <w:br/>
        <w:br/>
        <w:t>43.   La Corte reconoce el allanamiento  efectuado  por  Venezuela  como  un</w:t>
        <w:br/>
        <w:t>aporte positivo al desarrollo de  este  proceso  y  a  la  vigencia  de  los</w:t>
        <w:br/>
        <w:t>principios que inspiran la Convención Americana sobre Derechos Humanos.</w:t>
        <w:br/>
        <w:br/>
        <w:t>44.   Dado el reconocimiento de  responsabilidad  efectuado  por  Venezuela,</w:t>
        <w:br/>
        <w:t>procede pasar a la etapa de reparaciones y costas, (Cfr. Caso  Aloeboetoe  y</w:t>
        <w:br/>
        <w:t>otros, supra 41, párr. 23; Caso  El  Amparo,  supra  41,  párr.  21  y  Caso</w:t>
        <w:br/>
        <w:t>Garrido y Baigorria, supra 41, párr. 30), en el marco de la  cual  la  Corte</w:t>
        <w:br/>
        <w:t>examinará las peticiones de la Comisión pertinentes a aquella etapa.</w:t>
        <w:br/>
        <w:br/>
        <w:br/>
        <w:t xml:space="preserve">                                     VII</w:t>
        <w:br/>
        <w:br/>
        <w:br/>
        <w:t>Por tanto,</w:t>
        <w:br/>
        <w:br/>
        <w:t>LA CORTE,</w:t>
        <w:br/>
        <w:br/>
        <w:t>DECIDE:</w:t>
        <w:br/>
        <w:br/>
        <w:t>por unanimidad,</w:t>
        <w:br/>
        <w:br/>
        <w:t>1.    Tomar nota del reconocimiento efectuado por  el  Estado  de  Venezuela</w:t>
        <w:br/>
        <w:t>acerca de los hechos señalados en la demanda y  declara  que  ha  cesado  la</w:t>
        <w:br/>
        <w:t>controversia sobre los mismos.</w:t>
        <w:br/>
        <w:br/>
        <w:t>2.     Tomar  nota,  igualmente,  del  reconocimiento   de   responsabilidad</w:t>
        <w:br/>
        <w:t>efectuado por el Estado de Venezuela, y declara, conforme a los términos  de</w:t>
        <w:br/>
        <w:t>dicho reconocimiento, que el Estado violó,  en  perjuicio  de  las  personas</w:t>
        <w:br/>
        <w:t>citadas en el párrafo 1 de esta sentencia, y en  los  términos  establecidos</w:t>
        <w:br/>
        <w:t>en el mismo, los derechos protegidos por los artículos 4.1, 5, 7, 8.1,  25.1</w:t>
        <w:br/>
        <w:t>y 25.2.a., 27.3, en concordancia con los artículos 1.1 y 2 de la  Convención</w:t>
        <w:br/>
        <w:t>Americana sobre Derechos Humanos.</w:t>
        <w:br/>
        <w:br/>
        <w:t>3.    Tomar nota, además, de la manifestación del  Estado  de  Venezuela  en</w:t>
        <w:br/>
        <w:t>cuanto a las investigaciones iniciadas  con  el  propósito  de  identificar,</w:t>
        <w:br/>
        <w:t>procesar y sancionar a los  responsables  de  los  hechos  señalados  en  la</w:t>
        <w:br/>
        <w:t>demanda, y urge al Estado a que continúe con las mismas.</w:t>
        <w:br/>
        <w:br/>
        <w:t>4.    Abrir el procedimiento sobre reparaciones y  costas,  y  comisiona  al</w:t>
        <w:br/>
        <w:t>Presidente para que adopte las medidas procedimentales correspondientes.</w:t>
        <w:br/>
        <w:br/>
        <w:t>Redactada en español e inglés, haciendo fe  el  texto  en  español,  en  San</w:t>
        <w:br/>
        <w:t>José, Costa Rica, el 11 de noviembre de 1999.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br/>
        <w:t>Oliver Jackman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( Los Jueces Alirio Abreu Burelli y Sergio García Ramírez  informaron  a  la</w:t>
        <w:br/>
        <w:t>Corte que por motivos de fuerza mayor  no  podrían  estar  presentes  en  la</w:t>
        <w:br/>
        <w:t>audiencia pública de 10 de noviembre de 1999, la  deliberación  final  y  la</w:t>
        <w:br/>
        <w:t>firma de esta sentencia.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