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Corte Interamericana de Derechos Humanos</w:t>
        <w:br/>
        <w:br/>
        <w:br/>
        <w:t xml:space="preserve">                   Caso Castillo Petruzzi y otros Vs. Perú</w:t>
        <w:br/>
        <w:br/>
        <w:br/>
        <w:t xml:space="preserve">                    Resolución de 17 de noviembre de 1999</w:t>
        <w:br/>
        <w:t xml:space="preserve">                         (Cumplimiento de Sentencia)</w:t>
        <w:br/>
        <w:br/>
        <w:br/>
        <w:br/>
        <w:t>VISTOS:</w:t>
        <w:br/>
        <w:br/>
        <w:t>1.    La sentencia de  la  Corte  Interamericana  de  Derechos  Humanos  (en</w:t>
        <w:br/>
        <w:t>adelante “la Corte”, “la Corte Interamericana” o “el  Tribunal”)  de  30  de</w:t>
        <w:br/>
        <w:t>mayo de 1999 sobre el fondo en el caso Castillo  Petruzzi  y  otros,  en  la</w:t>
        <w:br/>
        <w:t>cual:</w:t>
        <w:br/>
        <w:br/>
        <w:t xml:space="preserve">      por unanimidad,</w:t>
        <w:br/>
        <w:br/>
        <w:br/>
        <w:t xml:space="preserve">      1.    declar[ó] que el Estado  no  violó,  en  el  presente  caso,  el</w:t>
        <w:br/>
        <w:t xml:space="preserve">      artículo 20 de la Convención Americana sobre Derechos Humanos.</w:t>
        <w:br/>
        <w:br/>
        <w:br/>
        <w:t xml:space="preserve">      por unanimidad,</w:t>
        <w:br/>
        <w:br/>
        <w:br/>
        <w:t xml:space="preserve">      2.    declar[ó] que el Estado violó el artículo 7.5 de  la  Convención</w:t>
        <w:br/>
        <w:t xml:space="preserve">      Americana sobre Derechos Humanos.</w:t>
        <w:br/>
        <w:br/>
        <w:br/>
        <w:t xml:space="preserve">      por siete votos contra uno,</w:t>
        <w:br/>
        <w:br/>
        <w:br/>
        <w:t xml:space="preserve">      3.    declar[ó] que el Estado violó el artículo  9  de  la  Convención</w:t>
        <w:br/>
        <w:t xml:space="preserve">      Americana sobre Derechos Humanos.</w:t>
        <w:br/>
        <w:t xml:space="preserve">      Disi[ntió] el Juez Vidal Ramírez.</w:t>
        <w:br/>
        <w:br/>
        <w:br/>
        <w:t xml:space="preserve">      por unanimidad,</w:t>
        <w:br/>
        <w:br/>
        <w:br/>
        <w:t xml:space="preserve">      4.    declar[ó] que el Estado violó el artículo 8.1 de  la  Convención</w:t>
        <w:br/>
        <w:t xml:space="preserve">      Americana sobre Derechos Humanos.</w:t>
        <w:br/>
        <w:br/>
        <w:br/>
        <w:t xml:space="preserve">      por unanimidad,</w:t>
        <w:br/>
        <w:br/>
        <w:br/>
        <w:t xml:space="preserve">      5.    declar[ó] que el Estado violó el artículo 8.2.b, c, d y f de  la</w:t>
        <w:br/>
        <w:t xml:space="preserve">      Convención Americana sobre Derechos Humanos.</w:t>
        <w:br/>
        <w:br/>
        <w:br/>
        <w:t xml:space="preserve">      por siete votos contra uno,</w:t>
        <w:br/>
        <w:br/>
        <w:br/>
        <w:t xml:space="preserve">      6.    declar[ó] que el Estado violó el artículo 8.2.h de la Convención</w:t>
        <w:br/>
        <w:t xml:space="preserve">      Americana sobre Derechos Humanos.</w:t>
        <w:br/>
        <w:t xml:space="preserve">      Disi[ntió] el Juez Vidal Ramírez.</w:t>
        <w:br/>
        <w:br/>
        <w:br/>
        <w:t xml:space="preserve">      por unanimidad,</w:t>
        <w:br/>
        <w:br/>
        <w:br/>
        <w:t xml:space="preserve">      7.    declar[ó] que, en el presente caso, no fue probado que el Estado</w:t>
        <w:br/>
        <w:t xml:space="preserve">      haya violado el artículo 8.3 de la Convención Americana sobre Derechos</w:t>
        <w:br/>
        <w:t xml:space="preserve">      Humanos.</w:t>
        <w:br/>
        <w:br/>
        <w:br/>
        <w:t xml:space="preserve">      por siete votos contra uno,</w:t>
        <w:br/>
        <w:br/>
        <w:br/>
        <w:t xml:space="preserve">      8.    declar[ó] que el Estado violó el artículo 8.5 de  la  Convención</w:t>
        <w:br/>
        <w:t xml:space="preserve">      Americana sobre Derechos Humanos.</w:t>
        <w:br/>
        <w:t xml:space="preserve">      Disi[ntió] el Juez Vidal Ramírez.</w:t>
        <w:br/>
        <w:br/>
        <w:br/>
        <w:t xml:space="preserve">      por unanimidad,</w:t>
        <w:br/>
        <w:br/>
        <w:br/>
        <w:t xml:space="preserve">      9.    declar[ó] que el Estado violó los  artículos  25  y  7.6  de  la</w:t>
        <w:br/>
        <w:t xml:space="preserve">      Convención Americana sobre Derechos Humanos.</w:t>
        <w:br/>
        <w:br/>
        <w:br/>
        <w:t xml:space="preserve">      por siete votos contra uno,</w:t>
        <w:br/>
        <w:br/>
        <w:br/>
        <w:t xml:space="preserve">      10.   declar[ó] que el Estado violó el artículo  5  de  la  Convención</w:t>
        <w:br/>
        <w:t xml:space="preserve">      Americana sobre Derechos Humanos.</w:t>
        <w:br/>
        <w:t xml:space="preserve">      Disi[ntió] el Juez Vidal Ramírez.</w:t>
        <w:br/>
        <w:br/>
        <w:br/>
        <w:t xml:space="preserve">      por unanimidad,</w:t>
        <w:br/>
        <w:br/>
        <w:br/>
        <w:t xml:space="preserve">      11.   declar[ó] que el Estado violó  los  artículos  1.1  y  2  de  la</w:t>
        <w:br/>
        <w:t xml:space="preserve">      Convención Americana sobre Derechos Humanos.</w:t>
        <w:br/>
        <w:br/>
        <w:br/>
        <w:t xml:space="preserve">      por unanimidad,</w:t>
        <w:br/>
        <w:br/>
        <w:br/>
        <w:t xml:space="preserve">      12.   declar[ó] que, en el presente caso, es innecesario considerar la</w:t>
        <w:br/>
        <w:t xml:space="preserve">      presunta violación del artículo 51.2 de la Convención Americana  sobre</w:t>
        <w:br/>
        <w:t xml:space="preserve">      Derechos Humanos por parte del Estado.</w:t>
        <w:br/>
        <w:br/>
        <w:br/>
        <w:t xml:space="preserve">      por unanimidad,</w:t>
        <w:br/>
        <w:br/>
        <w:br/>
        <w:t xml:space="preserve">      13.   declar[ó] la invalidez, por ser incompatible con  la  Convención</w:t>
        <w:br/>
        <w:t xml:space="preserve">      Americana sobre Derechos Humanos, del proceso en contra de los señores</w:t>
        <w:br/>
        <w:t xml:space="preserve">      Jaime  Francisco  Sebastián  Castillo   Petruzzi,   María   Concepción</w:t>
        <w:br/>
        <w:t xml:space="preserve">      Pincheira Sáez, Lautaro Enrique  Mellado  Saavedra  y  Alejandro  Luis</w:t>
        <w:br/>
        <w:t xml:space="preserve">      Astorga Valdez y orden[ó] que se les garantice un nuevo juicio con  la</w:t>
        <w:br/>
        <w:t xml:space="preserve">      plena observancia del debido proceso legal.</w:t>
        <w:br/>
        <w:br/>
        <w:br/>
        <w:t xml:space="preserve">      por unanimidad,</w:t>
        <w:br/>
        <w:br/>
        <w:br/>
        <w:t xml:space="preserve">      14.   orden[ó] al Estado adoptar las medidas apropiadas para  reformar</w:t>
        <w:br/>
        <w:t xml:space="preserve">      las normas que  han  sido  declaradas  violatorias  de  la  Convención</w:t>
        <w:br/>
        <w:t xml:space="preserve">      Americana sobre Derechos Humanos en la presente sentencia  y  asegurar</w:t>
        <w:br/>
        <w:t xml:space="preserve">      el goce de los derechos consagrados en la Convención  Americana  sobre</w:t>
        <w:br/>
        <w:t xml:space="preserve">      Derechos Humanos a todas  las  personas  que  se  encuentran  bajo  su</w:t>
        <w:br/>
        <w:t xml:space="preserve">      jurisdicción, sin excepción alguna.</w:t>
        <w:br/>
        <w:t xml:space="preserve">      por unanimidad,</w:t>
        <w:br/>
        <w:br/>
        <w:br/>
        <w:t xml:space="preserve">      15.   orden[ó] al Estado pagar una suma total  de  US$10.000.00  (diez</w:t>
        <w:br/>
        <w:t xml:space="preserve">      mil dólares de los Estados Unidos de América),  o  su  equivalente  en</w:t>
        <w:br/>
        <w:t xml:space="preserve">      moneda nacional  peruana,  a  los  familiares  de  los  señores  Jaime</w:t>
        <w:br/>
        <w:t xml:space="preserve">      Francisco Sebastián  Castillo  Petruzzi,  María  Concepción  Pincheira</w:t>
        <w:br/>
        <w:t xml:space="preserve">      Sáez, Lautaro  Enrique  Mellado  Saavedra  y  Alejandro  Luis  Astorga</w:t>
        <w:br/>
        <w:t xml:space="preserve">      Valdez, que acrediten haber hecho las erogaciones  correspondientes  a</w:t>
        <w:br/>
        <w:t xml:space="preserve">      los gastos y las costas con ocasión del presente caso.   Para  efectos</w:t>
        <w:br/>
        <w:t xml:space="preserve">      de este caso, se procederá de acuerdo al procedimiento descrito en  el</w:t>
        <w:br/>
        <w:t xml:space="preserve">      párrafo 224 de la […] sentencia.</w:t>
        <w:br/>
        <w:br/>
        <w:br/>
        <w:t xml:space="preserve">      por unanimidad,</w:t>
        <w:br/>
        <w:br/>
        <w:br/>
        <w:t xml:space="preserve">      16.   [...] decid[ió] supervisar el cumplimiento [de] lo dispuesto  en</w:t>
        <w:br/>
        <w:t xml:space="preserve">      esta sentencia.</w:t>
        <w:br/>
        <w:br/>
        <w:t>2.    El escrito del Estado del Perú (en adelante “el Estado” o  “el  Perú”)</w:t>
        <w:br/>
        <w:t>de 15 de junio de 1999, mediante el cual adjuntó la Resolución  de  la  Sala</w:t>
        <w:br/>
        <w:t>Plena del Consejo Supremo de Justicia Militar de 11 de junio  de  1999,  que</w:t>
        <w:br/>
        <w:t>resolvió que la sentencia de la Corte de 30  de  mayo  de  1999  “carece  de</w:t>
        <w:br/>
        <w:t>imparcialidad y vulnera la Constitución  Política  del  Estado,  siendo  por</w:t>
        <w:br/>
        <w:t>ende de imposible ejecución”.</w:t>
        <w:br/>
        <w:br/>
        <w:t>3.    La comunicación de 21 de  julio  de  1999  del  señor  César  Gaviria,</w:t>
        <w:br/>
        <w:t>Secretario  General  de  la  Organización  de  los  Estados  Americanos  (en</w:t>
        <w:br/>
        <w:t>adelante “la OEA”), a la cual adjuntó la  nota  número  7-5-M/276  de  1  de</w:t>
        <w:br/>
        <w:t>julio  de  1999  que  le  presentara  la  señora  Beatriz  M.   Ramacciotti,</w:t>
        <w:br/>
        <w:t>Representante Permanente del Perú ante la  OEA.   Esta  nota  expresó,  como</w:t>
        <w:br/>
        <w:t>posición del Perú, lo siguiente:</w:t>
        <w:br/>
        <w:br/>
        <w:t xml:space="preserve">      a)    que la sentencia de la Corte pretende  invalidar  y  ordenar  la</w:t>
        <w:br/>
        <w:t xml:space="preserve">      modificación de normas constitucionales y legales,  que  escapa  a  su</w:t>
        <w:br/>
        <w:t xml:space="preserve">      competencia establecida en los artículos 63.1 y 64.2 de la  Convención</w:t>
        <w:br/>
        <w:t xml:space="preserve">      Americana sobre Derechos Humanos, los cuales sólo facultan al Tribunal</w:t>
        <w:br/>
        <w:t xml:space="preserve">      para pronunciarse sobre la  compatibilidad  del  derecho  interno  con</w:t>
        <w:br/>
        <w:t xml:space="preserve">      dicha Convención, siempre que un país lo solicite;</w:t>
        <w:br/>
        <w:br/>
        <w:br/>
        <w:t xml:space="preserve">      b)    que como la Corte no puede ordenar al Perú  la  modificación  de</w:t>
        <w:br/>
        <w:t xml:space="preserve">      sus normas, si éste iniciara un nuevo proceso tendría que aplicar  las</w:t>
        <w:br/>
        <w:t xml:space="preserve">      normas vigentes, las que ordenan el juzgamiento en el  fuero  militar.</w:t>
        <w:br/>
        <w:t xml:space="preserve">      En consecuencia, la Corte Interamericana podría  declarar  la  nulidad</w:t>
        <w:br/>
        <w:t xml:space="preserve">      del proceso y la libertad de los procesados;</w:t>
        <w:br/>
        <w:br/>
        <w:br/>
        <w:t xml:space="preserve">      c)    que si se cumpliera la sentencia  de  la  Corte  se  crearía  la</w:t>
        <w:br/>
        <w:t xml:space="preserve">      posibilidad  de  que  otros  individuos  puedan  acudir   al   sistema</w:t>
        <w:br/>
        <w:t xml:space="preserve">      interamericano, a pesar de haber transcurrido el plazo de caducidad de</w:t>
        <w:br/>
        <w:t xml:space="preserve">      seis  meses  establecido  en  el  artículo  46.1.b  de  la  Convención</w:t>
        <w:br/>
        <w:t xml:space="preserve">      Americana sobre Derechos Humanos, para presentar las denuncias ante la</w:t>
        <w:br/>
        <w:t xml:space="preserve">      Comisión Interamericana de Derechos Humanos;</w:t>
        <w:br/>
        <w:br/>
        <w:br/>
        <w:t xml:space="preserve">      d)    que la “orden” de la Corte de modificar la Constitución Política</w:t>
        <w:br/>
        <w:t xml:space="preserve">      del Perú y su derecho interno, afecta la soberanía del Estado, ya  que</w:t>
        <w:br/>
        <w:t xml:space="preserve">      esta “orden” obliga a los Congresistas a votar en determinado sentido;</w:t>
        <w:br/>
        <w:br/>
        <w:br/>
        <w:t xml:space="preserve">      e)     que  como  las  sentencias  de  la  Corte  son  definitivas   e</w:t>
        <w:br/>
        <w:t xml:space="preserve">      inapelables, una solicitud de interpretación o aclaración de la  misma</w:t>
        <w:br/>
        <w:t xml:space="preserve">      no modificaría “sus peligrosos alcances”;</w:t>
        <w:br/>
        <w:br/>
        <w:br/>
        <w:t xml:space="preserve">      f)    que la sentencia sobre el fondo dictada por la Corte en el  caso</w:t>
        <w:br/>
        <w:t xml:space="preserve">      Castillo Petruzzi y  otros  es  inconsistente  con  su  jurisprudencia</w:t>
        <w:br/>
        <w:t xml:space="preserve">      anterior, emitida en los casos Loayza Tamayo y Genie Lacayo, y</w:t>
        <w:br/>
        <w:br/>
        <w:br/>
        <w:t xml:space="preserve">      g)    que la Corte no otorgó la garantía del debido  proceso,  ya  que</w:t>
        <w:br/>
        <w:t xml:space="preserve">      admitió que en la demanda se comprendieran extremos no  contenidos  en</w:t>
        <w:br/>
        <w:t xml:space="preserve">      el informe del artículo 50 de la Convención Americana  sobre  Derechos</w:t>
        <w:br/>
        <w:t xml:space="preserve">      Humanos  y  se  pronunció  sobre  extremos  no  demandados   y   sobre</w:t>
        <w:br/>
        <w:t xml:space="preserve">      pretensiones invocadas por  la  Comisión  Interamericana  de  Derechos</w:t>
        <w:br/>
        <w:t xml:space="preserve">      Humanos en  los  alegatos  finales,  imposibilitándole  al  Estado  el</w:t>
        <w:br/>
        <w:t xml:space="preserve">      adecuado derecho de defensa.</w:t>
        <w:br/>
        <w:br/>
        <w:t>4.    El escrito de 26 de julio de 1999 de  la  Comisión  Interamericana  de</w:t>
        <w:br/>
        <w:t>Derechos  Humanos  (en  adelante  “la   Comisión   Interamericana”   o   “la</w:t>
        <w:br/>
        <w:t>Comisión”), en el cual presentó sus observaciones  a  la  Resolución  de  la</w:t>
        <w:br/>
        <w:t>Sala Plena del Consejo Supremo de Justicia Militar de 11 de junio  de  1999.</w:t>
        <w:br/>
        <w:t>En dicha comunicación, la Comisión señaló que:</w:t>
        <w:br/>
        <w:br/>
        <w:t xml:space="preserve">      a)    tras haberse obligado a respetar las  normas  de  la  Convención</w:t>
        <w:br/>
        <w:t xml:space="preserve">           Americana sobre Derechos Humanos y después de haber  participado</w:t>
        <w:br/>
        <w:t xml:space="preserve">           como parte en el caso Castillo Petruzzi y otros,  el  Perú  debe</w:t>
        <w:br/>
        <w:t xml:space="preserve">           cumplir sus obligaciones internacionales de buena fe;</w:t>
        <w:br/>
        <w:br/>
        <w:br/>
        <w:t xml:space="preserve">      b)    el artículo 67 de la Convención Americana sobre Derechos Humanos</w:t>
        <w:br/>
        <w:t xml:space="preserve">           establece en forma inequívoca que las sentencias  dictadas  como</w:t>
        <w:br/>
        <w:t xml:space="preserve">           resultado  de  un  proceso  contencioso  ante   la   Corte   son</w:t>
        <w:br/>
        <w:t xml:space="preserve">           inapelables;</w:t>
        <w:br/>
        <w:br/>
        <w:br/>
        <w:t xml:space="preserve">      c)    el incumplimiento del Estado constituye un desafío  al  artículo</w:t>
        <w:br/>
        <w:t xml:space="preserve">           68.1 de la Convención Americana sobre Derechos Humanos, el  cual</w:t>
        <w:br/>
        <w:t xml:space="preserve">           establece la obligatoriedad de las sentencias de la Corte y;  de</w:t>
        <w:br/>
        <w:t xml:space="preserve">           manera inequívoca, la obligación de los Estados Partes en  dicha</w:t>
        <w:br/>
        <w:t xml:space="preserve">           Convención de cumplir con lo ordenado en sus decisiones;</w:t>
        <w:br/>
        <w:br/>
        <w:br/>
        <w:t xml:space="preserve">      d)    es un deber del Estado cumplir sus  obligaciones  convencionales</w:t>
        <w:br/>
        <w:t xml:space="preserve">           de buena fe; principio este al cual se refiere el artículo 31 de</w:t>
        <w:br/>
        <w:t xml:space="preserve">           la Convención de Viena sobre el Derecho de los Tratados de 1969;</w:t>
        <w:br/>
        <w:br/>
        <w:t xml:space="preserve">      e)    al ratificar la Convención Americana sobre Derechos Humanos, los</w:t>
        <w:br/>
        <w:t xml:space="preserve">           Estados Partes contraen obligaciones de protección  respecto  de</w:t>
        <w:br/>
        <w:t xml:space="preserve">           todos los individuos bajo sus  respectivas  jurisdicciones.   De</w:t>
        <w:br/>
        <w:t xml:space="preserve">           ahí surge el deber de cumplir y hacer cumplir de  buena  fe  las</w:t>
        <w:br/>
        <w:t xml:space="preserve">           decisiones del órgano judicial que establece dicha Convención;</w:t>
        <w:br/>
        <w:br/>
        <w:br/>
        <w:t xml:space="preserve">      f)    “el objeto y fin de la Convención es el de establecer un sistema</w:t>
        <w:br/>
        <w:t xml:space="preserve">           interamericano de protección donde  los  derechos  y  libertades</w:t>
        <w:br/>
        <w:t xml:space="preserve">           allí enumerados se hagan plenamente efectivos, según sugiere  su</w:t>
        <w:br/>
        <w:t xml:space="preserve">           preámbulo.  Por ende, los órganos del Estado están  obligados  a</w:t>
        <w:br/>
        <w:t xml:space="preserve">           respetarlos y garantizarlos según surge del artículo 1(1) de  la</w:t>
        <w:br/>
        <w:t xml:space="preserve">           Convención”;</w:t>
        <w:br/>
        <w:br/>
        <w:t xml:space="preserve">      g)    las sentencias de la Corte deben ser acatadas en forma inmediata</w:t>
        <w:br/>
        <w:t xml:space="preserve">           e integral;  si  tuviesen  que  ajustarse  a  los  ordenamientos</w:t>
        <w:br/>
        <w:t xml:space="preserve">           internos  de  los  Estados  Partes  para  ser  ejecutables,   la</w:t>
        <w:br/>
        <w:t xml:space="preserve">           protección del Derecho Internacional  de  los  Derechos  Humanos</w:t>
        <w:br/>
        <w:t xml:space="preserve">           resultaría ilusoria y quedaría a la entera discreción del Estado</w:t>
        <w:br/>
        <w:t xml:space="preserve">           y  no  del  órgano  supranacional  cuyas  decisiones  deben  ser</w:t>
        <w:br/>
        <w:t xml:space="preserve">           cumplidas por los Estados con base en la buena fe;</w:t>
        <w:br/>
        <w:br/>
        <w:br/>
        <w:t xml:space="preserve">      h)    la supremacía de las  obligaciones  internacionales  del  Estado</w:t>
        <w:br/>
        <w:t xml:space="preserve">           sobre el derecho interno  constituye  uno  de  los  pilares  del</w:t>
        <w:br/>
        <w:t xml:space="preserve">           derecho internacional,  consagrado  en  el  artículo  27  de  la</w:t>
        <w:br/>
        <w:t xml:space="preserve">           Convención de Viena sobre el Derecho de los Tratados de 1969, y</w:t>
        <w:br/>
        <w:br/>
        <w:t xml:space="preserve">      i)    la Ley 23506 de Hábeas Corpus y Amparo y  la  Ley  Orgánica  del</w:t>
        <w:br/>
        <w:t xml:space="preserve">           Poder Judicial, ambas vigentes en el Perú,  “sugieren”  que  las</w:t>
        <w:br/>
        <w:t xml:space="preserve">           sentencias de la Corte tienen validez y eficacia jurídica  plena</w:t>
        <w:br/>
        <w:t xml:space="preserve">           en la jurisdicción interna del  Estado  y  son  ejecutables  sin</w:t>
        <w:br/>
        <w:t xml:space="preserve">           necesidad de revisar su compatibilidad con el derecho interno.</w:t>
        <w:br/>
        <w:br/>
        <w:t>Por lo anterior, la Comisión solicitó a la Corte:</w:t>
        <w:br/>
        <w:br/>
        <w:t xml:space="preserve">      a)    que rechace por improcedente la Resolución del Estado y exija la</w:t>
        <w:br/>
        <w:t xml:space="preserve">           plena,  pronta  e  incondicional   ejecución   de   las   partes</w:t>
        <w:br/>
        <w:t xml:space="preserve">           resolutorias de la sentencia de 30 de mayo de 1999  que  no  han</w:t>
        <w:br/>
        <w:t xml:space="preserve">           sido ejecutadas, y</w:t>
        <w:br/>
        <w:br/>
        <w:br/>
        <w:t xml:space="preserve">      b)    que sin perjuicio de lo previsto  en  los  artículos  65  de  la</w:t>
        <w:br/>
        <w:t xml:space="preserve">           Convención Americana sobre Derechos Humanos y 30 del Estatuto de</w:t>
        <w:br/>
        <w:t xml:space="preserve">           la Corte, proceda inmediatamente a informar sobre este asunto al</w:t>
        <w:br/>
        <w:t xml:space="preserve">           Secretario General de la OEA y a los  Estados  Partes  en  dicha</w:t>
        <w:br/>
        <w:t xml:space="preserve">           Convención.</w:t>
        <w:br/>
        <w:br/>
        <w:t>5.    El escrito de 23 de julio de 1999 de  los  señores  Verónica  Reyna  y</w:t>
        <w:br/>
        <w:t>Nelson Caucoto, representantes de las víctimas en el caso Castillo  Petruzzi</w:t>
        <w:br/>
        <w:t>y otros, mediante el cual presentaron sus observaciones a la  Resolución  de</w:t>
        <w:br/>
        <w:t>la Sala Plena del Consejo Supremo de Justicia Militar  de  11  de  junio  de</w:t>
        <w:br/>
        <w:t>1999.  Al respecto, dichas personas manifestaron que:</w:t>
        <w:br/>
        <w:br/>
        <w:t xml:space="preserve">      a)    el Estado no comprendió el fallo, los alcances de su vinculación</w:t>
        <w:br/>
        <w:t xml:space="preserve">           con la Convención Americana sobre Derechos Humanos, ni el  papel</w:t>
        <w:br/>
        <w:t xml:space="preserve">           que le cabe en el sistema interamericano de  protección  de  los</w:t>
        <w:br/>
        <w:t xml:space="preserve">           derechos humanos a la Comisión y a la Corte;</w:t>
        <w:br/>
        <w:br/>
        <w:br/>
        <w:t xml:space="preserve">      b)    la  sentencia  de  la  Corte  se  ajusta  a  los  procedimientos</w:t>
        <w:br/>
        <w:t xml:space="preserve">           contenidos en la Convención Americana sobre Derechos  Humanos  y</w:t>
        <w:br/>
        <w:t xml:space="preserve">           en su Estatuto;</w:t>
        <w:br/>
        <w:br/>
        <w:br/>
        <w:t xml:space="preserve">      c)    no es posible afirmar  que  en  el  caso  en  cuestión  hubo  un</w:t>
        <w:br/>
        <w:t xml:space="preserve">           enjuiciamiento acorde con los cánones  que  fija  la  Convención</w:t>
        <w:br/>
        <w:t xml:space="preserve">           Americana  sobre  Derechos  Humanos.   Es  un  hecho  probado  e</w:t>
        <w:br/>
        <w:t xml:space="preserve">           incuestionable que los condenados no pudieron gozar de garantías</w:t>
        <w:br/>
        <w:t xml:space="preserve">           judiciales mínimas y que carecieron  de  un  debido  y  racional</w:t>
        <w:br/>
        <w:t xml:space="preserve">           proceso;</w:t>
        <w:br/>
        <w:br/>
        <w:br/>
        <w:t xml:space="preserve">      d)    considerar que la justicia  del  Perú  “no  es  independiente  e</w:t>
        <w:br/>
        <w:t xml:space="preserve">           imparcial es un hecho de la causa, adecuadamente probado”;</w:t>
        <w:br/>
        <w:br/>
        <w:br/>
        <w:t xml:space="preserve">      e)    lo dispuesto en el artículo 2 de la Convención  Americana  sobre</w:t>
        <w:br/>
        <w:t xml:space="preserve">           Derechos Humanos (Deber  de  Adoptar  Disposiciones  de  Derecho</w:t>
        <w:br/>
        <w:t xml:space="preserve">           Interno) es una norma categórica que no admite desconocimiento;</w:t>
        <w:br/>
        <w:br/>
        <w:br/>
        <w:t xml:space="preserve">      f)    conforme  al  artículo  33  de  la  Convención  Americana  sobre</w:t>
        <w:br/>
        <w:t xml:space="preserve">           Derechos Humanos le corresponde a  la  Comisión  y  a  la  Corte</w:t>
        <w:br/>
        <w:t xml:space="preserve">           conocer de los asuntos relacionados con el cumplimiento  de  los</w:t>
        <w:br/>
        <w:t xml:space="preserve">           compromisos  contraídos  por  los  Estados   Partes   de   dicha</w:t>
        <w:br/>
        <w:t xml:space="preserve">           Convención;</w:t>
        <w:br/>
        <w:br/>
        <w:br/>
        <w:t xml:space="preserve">      g)    no se puede  considerar  que  la  Corte  actuó  con  control  de</w:t>
        <w:br/>
        <w:t xml:space="preserve">           legalidad e incluso de constitucionalidad del derecho interno;</w:t>
        <w:br/>
        <w:br/>
        <w:br/>
        <w:t xml:space="preserve">      h)    la Convención Americana sobre Derechos Humanos no establece  una</w:t>
        <w:br/>
        <w:t xml:space="preserve">           prohibición a la  existencia  de  la  Justicia  Militar  en  los</w:t>
        <w:br/>
        <w:t xml:space="preserve">           Estados suscriptores.  Es “obvio que esa judicatura o cualquiera</w:t>
        <w:br/>
        <w:t xml:space="preserve">           otra que ejerza la función jurisdiccional debe sujetarse en  sus</w:t>
        <w:br/>
        <w:t xml:space="preserve">           actuaciones y procedimientos a los  principios  que  encarna  la</w:t>
        <w:br/>
        <w:t xml:space="preserve">           Convención Americana sobre Derechos Humanos”.  En  consecuencia,</w:t>
        <w:br/>
        <w:t xml:space="preserve">           la Corte cuestionó la “judicatura militar” por no ajustarse a lo</w:t>
        <w:br/>
        <w:t xml:space="preserve">           prescrito en dicha Convención y no su existencia;</w:t>
        <w:br/>
        <w:br/>
        <w:t xml:space="preserve">      i)    no todos los medios son permisibles para que un Estado ejerza el</w:t>
        <w:br/>
        <w:t xml:space="preserve">           legítimo  derecho  a  la  defensa  de  su  propia  integridad  y</w:t>
        <w:br/>
        <w:t xml:space="preserve">           sociedad.  Para atacar un mal no  puede  usarse  otro  mal  como</w:t>
        <w:br/>
        <w:t xml:space="preserve">           remedio;</w:t>
        <w:br/>
        <w:br/>
        <w:t xml:space="preserve">      j)    la Corte,  mediante  su  sentencia,  pretende  que  se  haga  un</w:t>
        <w:br/>
        <w:t xml:space="preserve">           juzgamiento acorde con la Convención  Americana  sobre  Derechos</w:t>
        <w:br/>
        <w:t xml:space="preserve">           Humanos, y</w:t>
        <w:br/>
        <w:br/>
        <w:t xml:space="preserve">      k)    el argumento del Perú  de  que,  para  hacer  un  nuevo  juicio,</w:t>
        <w:br/>
        <w:t xml:space="preserve">           debería reformarse la Constitución y las leyes  internas  no  es</w:t>
        <w:br/>
        <w:t xml:space="preserve">           atendible, pues debe existir, en la justicia ordinaria o  común,</w:t>
        <w:br/>
        <w:t xml:space="preserve">           algún tipo penal en el que queden comprendidas  las  respectivas</w:t>
        <w:br/>
        <w:t xml:space="preserve">           conductas de los imputados.</w:t>
        <w:br/>
        <w:br/>
        <w:br/>
        <w:t>CONSIDERANDO:</w:t>
        <w:br/>
        <w:br/>
        <w:t>1.    Que el 11 de junio de 1999  la  Sala  Plena  del  Consejo  Supremo  de</w:t>
        <w:br/>
        <w:t>Justicia  Militar  emitió  una  resolución  que  declaró   inejecutable   la</w:t>
        <w:br/>
        <w:t>sentencia de este Tribunal.</w:t>
        <w:br/>
        <w:br/>
        <w:t>2.    Que el artículo 67 de la Convención Americana sobre  Derechos  Humanos</w:t>
        <w:br/>
        <w:t>establece que “[e]l fallo de la Corte  será  definitivo  e  inapelable.   En</w:t>
        <w:br/>
        <w:t>caso de desacuerdo sobre el  sentido  o  alcance  del  fallo,  la  Corte  lo</w:t>
        <w:br/>
        <w:t>interpretará a solicitud de cualquiera de  las  partes,  siempre  que  dicha</w:t>
        <w:br/>
        <w:t>solicitud se presente dentro de los noventa días a partir de la fecha de  la</w:t>
        <w:br/>
        <w:t>notificación del fallo.”</w:t>
        <w:br/>
        <w:br/>
        <w:t>3.    Que el  artículo  68.1  de  la  Convención  Americana  sobre  Derechos</w:t>
        <w:br/>
        <w:t>Humanos estipula que “[l]os Estados Partes en la Convención  se  comprometen</w:t>
        <w:br/>
        <w:t>a cumplir la decisión de la Corte en todo caso en  que  sean  partes.”   Las</w:t>
        <w:br/>
        <w:t>obligaciones convencionales de los  Estados  Partes  vinculan  a  todos  los</w:t>
        <w:br/>
        <w:t>poderes y órganos del Estado.</w:t>
        <w:br/>
        <w:br/>
        <w:t>4.    Que esta obligación corresponde a un principio básico del  derecho  de</w:t>
        <w:br/>
        <w:t>la   responsabilidad   internacional   del   Estado,   respaldado   por   la</w:t>
        <w:br/>
        <w:t>jurisprudencia internacional, según el cual los Estados  deben  cumplir  sus</w:t>
        <w:br/>
        <w:t>obligaciones convencionales de buena fe (pacta sunt servanda) y, como ya  ha</w:t>
        <w:br/>
        <w:t>señalado esta Corte, no pueden por razones de orden interno dejar de  asumir</w:t>
        <w:br/>
        <w:t>la  responsabilidad  internacional  ya  establecida  (cfr.   Responsabilidad</w:t>
        <w:br/>
        <w:t>internacional por  expedición  y  aplicación  de  leyes  violatorias  de  la</w:t>
        <w:br/>
        <w:t>Convención (arts. 1  y  2  Convención  Americana  sobre  Derechos  Humanos),</w:t>
        <w:br/>
        <w:t>Opinión Consultiva OC-14/94 del 9 de diciembre de 1994.   Serie  A  No.  14,</w:t>
        <w:br/>
        <w:t>párr. 35).</w:t>
        <w:br/>
        <w:br/>
        <w:t>5.    Que, al respecto, el artículo 27 de la Convención de  Viena  sobre  el</w:t>
        <w:br/>
        <w:t>Derecho de los Tratados de 1969 codifica un  principio  básico  del  derecho</w:t>
        <w:br/>
        <w:t>internacional general al advertir que</w:t>
        <w:br/>
        <w:br/>
        <w:t xml:space="preserve">      [u]na parte no podrá invocar las disposiciones de su  derecho  interno</w:t>
        <w:br/>
        <w:t xml:space="preserve">      como justificación del incumplimiento de un tratado.[...]</w:t>
        <w:br/>
        <w:br/>
        <w:t>6.    Que, en virtud del carácter definitivo e inapelable de las  sentencias</w:t>
        <w:br/>
        <w:t>de la Corte, éstas deben ser prontamente cumplidas por el  Estado  en  forma</w:t>
        <w:br/>
        <w:t>íntegra.</w:t>
        <w:br/>
        <w:br/>
        <w:br/>
        <w:t>POR TANTO:</w:t>
        <w:br/>
        <w:br/>
        <w:t>LA CORTE INTERAMERICANA DE DERECHOS HUMANOS,</w:t>
        <w:br/>
        <w:br/>
        <w:t>de conformidad con los artículos 67 y 68.1 de la Convención Americana  sobre</w:t>
        <w:br/>
        <w:t>Derechos Humanos, el artículo 25 del Estatuto de la Corte y el  artículo  29</w:t>
        <w:br/>
        <w:t>del Reglamento de la Corte,</w:t>
        <w:br/>
        <w:br/>
        <w:t>RESUELVE:</w:t>
        <w:br/>
        <w:br/>
        <w:t>1.    Declarar que, de acuerdo con el principio básico pacta sunt  servanda,</w:t>
        <w:br/>
        <w:t>y de conformidad con lo dispuesto en  el  artículo  68.1  de  la  Convención</w:t>
        <w:br/>
        <w:t>Americana sobre Derechos Humanos, el Estado tiene el  deber  de  dar  pronto</w:t>
        <w:br/>
        <w:t>cumplimiento a la sentencia de 30 de mayo  de  1999  dictada  por  la  Corte</w:t>
        <w:br/>
        <w:t>Interamericana de Derechos Humanos en el caso Castillo Petruzzi y otros.</w:t>
        <w:br/>
        <w:br/>
        <w:t>2.     Notificar  la  presente  resolución  al   Estado,   a   la   Comisión</w:t>
        <w:br/>
        <w:t>Interamericana de Derechos Humanos y a los representantes de las víctimas.</w:t>
        <w:br/>
        <w:br/>
        <w:br/>
        <w:t xml:space="preserve">                         Antônio A. Cançado Trindade</w:t>
        <w:br/>
        <w:t xml:space="preserve">                                 Presidente</w:t>
        <w:br/>
        <w:br/>
        <w:t>Máximo Pacheco Gómez   Hernán Salgado Pesantes</w:t>
        <w:br/>
        <w:br/>
        <w:br/>
        <w:t>Oliver Jackman   Alirio Abreu Burelli</w:t>
        <w:br/>
        <w:br/>
        <w:br/>
        <w:br/>
        <w:t xml:space="preserve">                       Carlos Vicente de Roux Rengifo</w:t>
        <w:br/>
        <w:br/>
        <w:br/>
        <w:br/>
        <w:br/>
        <w:t xml:space="preserve">                          Manuel E. Ventura Robles</w:t>
        <w:br/>
        <w:t xml:space="preserve">                                 Secretario</w:t>
        <w:br/>
        <w:br/>
        <w:br/>
        <w:br/>
        <w:t>Comuníquese y ejecútese,</w:t>
        <w:br/>
        <w:br/>
        <w:br/>
        <w:t xml:space="preserve">                         Antônio A. Cançado Trindade</w:t>
        <w:br/>
        <w:t xml:space="preserve">                                 Presidente</w:t>
        <w:br/>
        <w:br/>
        <w:br/>
        <w:t xml:space="preserve">                          Manuel E. Ventura Robles</w:t>
        <w:br/>
        <w:t xml:space="preserve">                                 Secretario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