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Caso Baena Ricardo y otros Vs. Panamá</w:t>
        <w:br/>
        <w:br/>
        <w:br/>
        <w:br/>
        <w:t xml:space="preserve">                    Sentencia de 18 de noviembre de 1999</w:t>
        <w:br/>
        <w:t xml:space="preserve">                         (Excepciones Preliminares)</w:t>
        <w:br/>
        <w:br/>
        <w:br/>
        <w:br/>
        <w:t>En el caso Baena Ricardo y otros,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 y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 acuerdo  con  el  artículo  36.6  de  su  Reglamento  (en  adelante  “el</w:t>
        <w:br/>
        <w:t>Reglamento”),  dicta  la   siguiente   sentencia   sobre   las   excepciones</w:t>
        <w:br/>
        <w:t>preliminares interpuestas por el Estado de Panamá (en adelante  “el  Estado”</w:t>
        <w:br/>
        <w:t>o “Panamá”).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Este caso fue sometido a la Corte por la  Comisión  Interamericana  de</w:t>
        <w:br/>
        <w:t>Derechos Humanos (en adelante “la Comisión” o “la Comisión  Interamericana”)</w:t>
        <w:br/>
        <w:t>el 16 de enero de 1998.  Se originó en la denuncia número  11.325,  recibida</w:t>
        <w:br/>
        <w:t>en la Secretaría de la Comisión el 22 de febrero de 1994.</w:t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En los siguientes párrafos, la Corte resume aquellos  hechos  alegados</w:t>
        <w:br/>
        <w:t>por la Comisión en el escrito de demanda, relevantes para  la  consideración</w:t>
        <w:br/>
        <w:t>de las excepciones preliminares:</w:t>
        <w:br/>
        <w:br/>
        <w:t xml:space="preserve">      a)    el 16 de octubre  de  1990  la  Coordinadora  de  Sindicatos  de</w:t>
        <w:br/>
        <w:t xml:space="preserve">      Empresas Estatales presentó al Gobierno de Panamá,  presidido  en  ese</w:t>
        <w:br/>
        <w:t xml:space="preserve">      entonces por el señor Guillermo Endara, un  pliego  de  peticiones  de</w:t>
        <w:br/>
        <w:t xml:space="preserve">      carácter laboral relativo a ciertos cambios propuestos en su  programa</w:t>
        <w:br/>
        <w:t xml:space="preserve">      político de  gobierno,  los  cuales,  según  la  dirigencia  sindical,</w:t>
        <w:br/>
        <w:t xml:space="preserve">      afectaban a la clase trabajadora;</w:t>
        <w:br/>
        <w:br/>
        <w:br/>
        <w:t xml:space="preserve">      b)    el  16  de  noviembre  de  1990  el  Estado  rechazó  todas  las</w:t>
        <w:br/>
        <w:t xml:space="preserve">      solicitudes a que hace referencia el aparte  anterior,  razón  por  la</w:t>
        <w:br/>
        <w:t xml:space="preserve">      cual la Coordinadora de Sindicatos de Empresas Estatales convocó a una</w:t>
        <w:br/>
        <w:t xml:space="preserve">      marcha el 4 de diciembre de 1990 y a un paro laboral de 24  horas  que</w:t>
        <w:br/>
        <w:t xml:space="preserve">      se efectuaría al día siguiente.   Estas  acciones  fueron  tomadas  en</w:t>
        <w:br/>
        <w:t xml:space="preserve">      carácter de “movimiento reivindicativo”, producto del rechazo  de  las</w:t>
        <w:br/>
        <w:t xml:space="preserve">      solicitudes realizadas al Presidente de la República;</w:t>
        <w:br/>
        <w:br/>
        <w:br/>
        <w:t xml:space="preserve">      c)    el 4 de diciembre de  1990  se  realizó  la  marcha  programada.</w:t>
        <w:br/>
        <w:t xml:space="preserve">      Paralelamente, el ex jefe de  la  Policía  Nacional,  Coronel  Eduardo</w:t>
        <w:br/>
        <w:t xml:space="preserve">      Herrera Hassán, y otros militares detenidos, escaparon de la cárcel de</w:t>
        <w:br/>
        <w:t xml:space="preserve">      la “isla prisión de Flamenco” y tomaron el  cuartel  principal  de  la</w:t>
        <w:br/>
        <w:t xml:space="preserve">      Policía Nacional  durante  la  noche  de  ese  día  y  parte  del  día</w:t>
        <w:br/>
        <w:t xml:space="preserve">      siguiente.  El Estado vinculó este hecho con la marcha organizada  por</w:t>
        <w:br/>
        <w:t xml:space="preserve">      los  dirigentes  sindicales,  razón  por  la  cual  éstos   decidieron</w:t>
        <w:br/>
        <w:t xml:space="preserve">      suspender el paro el 5 de diciembre de 1990 a las 7:30 de  la  mañana.</w:t>
        <w:br/>
        <w:t xml:space="preserve">      A pesar de ello, el Estado consideró que la acción sindical  fue  “una</w:t>
        <w:br/>
        <w:t xml:space="preserve">      participación  cómplice”  con  el  fin  de   derrocar   al   “Gobierno</w:t>
        <w:br/>
        <w:t xml:space="preserve">      constitucionalmente instalado” y propuso el despido  masivo  de  todos</w:t>
        <w:br/>
        <w:t xml:space="preserve">      los trabajadores que habían participado en la  marcha,  para  lo  cual</w:t>
        <w:br/>
        <w:t xml:space="preserve">      remitió un proyecto de ley a la Asamblea Legislativa;</w:t>
        <w:br/>
        <w:br/>
        <w:br/>
        <w:t xml:space="preserve">      d)    el 10 de diciembre de 1990[1], sin  esperar  la  aprobación  por</w:t>
        <w:br/>
        <w:t xml:space="preserve">      parte de la Asamblea Legislativa y, en su caso, la entrada en vigencia</w:t>
        <w:br/>
        <w:t xml:space="preserve">      de dicha ley, el Estado comenzó una “sistemática política de  despidos</w:t>
        <w:br/>
        <w:t xml:space="preserve">      masivos de trabajadores de empresas  públicas,  que  concluyó  con  la</w:t>
        <w:br/>
        <w:t xml:space="preserve">      destitución de las 270 personas peticionarias en  el  presente  caso”,</w:t>
        <w:br/>
        <w:t xml:space="preserve">      las  cuales  trabajaban  en  las  siguientes  instituciones  públicas:</w:t>
        <w:br/>
        <w:t xml:space="preserve">      Autoridad Portuaria  Nacional,  Empresa  Estatal  de  Cemento  Bayano,</w:t>
        <w:br/>
        <w:t xml:space="preserve">      Instituto  Nacional  de  Telecomunicaciones,  Instituto  Nacional   de</w:t>
        <w:br/>
        <w:t xml:space="preserve">      Recursos Naturales Renovables, Instituto  de  Recursos  Hidráulicos  y</w:t>
        <w:br/>
        <w:t xml:space="preserve">      Electrificación, Instituto de Acueductos y Alcantarillados, Ministerio</w:t>
        <w:br/>
        <w:t xml:space="preserve">      de Obras Públicas y Ministerio de Educación;</w:t>
        <w:br/>
        <w:br/>
        <w:t xml:space="preserve">      e)    el 14 de diciembre de 1990 la  Asamblea  Legislativa  aprobó  el</w:t>
        <w:br/>
        <w:t xml:space="preserve">      proyecto de ley enviado por el Poder Ejecutivo  y  le  llamó  Ley  25,</w:t>
        <w:br/>
        <w:t xml:space="preserve">      según el cual “se adoptan medidas tendientes a proteger la  democracia</w:t>
        <w:br/>
        <w:t xml:space="preserve">      y el orden jurídico constitucional en las  entidades  gubernamentales”</w:t>
        <w:br/>
        <w:t xml:space="preserve">      con carácter retroactivo a diciembre de  1990  (artículo  5,  Ley  25)</w:t>
        <w:br/>
        <w:t xml:space="preserve">      (cfr: Proyecto de Ley, anexo 14 a la demanda).  En razón de  ello,  el</w:t>
        <w:br/>
        <w:t xml:space="preserve">      procedimiento de carácter laboral en un Juzgado de Trabajo  que  debía</w:t>
        <w:br/>
        <w:t xml:space="preserve">      seguirse conforme  a  la  normativa  vigente  en  el  momento  en  que</w:t>
        <w:br/>
        <w:t xml:space="preserve">      ocurrieron los hechos (incluso en el momento en que se  produjeron  la</w:t>
        <w:br/>
        <w:t xml:space="preserve">      mayoría de los despidos) se  reemplazó  por  “un  reclamo  contencioso</w:t>
        <w:br/>
        <w:t xml:space="preserve">      administrativo extraordinario totalmente  ajeno  al  ámbito  laboral”.</w:t>
        <w:br/>
        <w:t xml:space="preserve">      Los  reclamos  fueron  desestimados  en  su  totalidad  por  la   Sala</w:t>
        <w:br/>
        <w:t xml:space="preserve">      Contencioso-Administrativa de la Corte Suprema.</w:t>
        <w:br/>
        <w:br/>
        <w:t xml:space="preserve">      f)     los  270  trabajadores  destituidos  presentaron  sus  reclamos</w:t>
        <w:br/>
        <w:t xml:space="preserve">      ajustándose a las leyes vigentes; sin embargo, estos  reclamos  fueron</w:t>
        <w:br/>
        <w:t xml:space="preserve">      tramitados conforme al procedimiento creado  en  la  Ley  25  bajo  el</w:t>
        <w:br/>
        <w:t xml:space="preserve">      argumento de que  dichas  leyes  habían  sido  dejadas  sin  efecto  o</w:t>
        <w:br/>
        <w:t xml:space="preserve">      modificadas parcialmente.</w:t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3.    El 22 de febrero de 1994 la Comisión  recibió  en  su  Secretaría  una</w:t>
        <w:br/>
        <w:t>denuncia hecha por el Comité Panameño por los Derechos Humanos en  favor  de</w:t>
        <w:br/>
        <w:t>270 empleados públicos destituidos como consecuencia de la Ley 25 de  14  de</w:t>
        <w:br/>
        <w:t>diciembre de 1990.  El 6 de julio de 1994 la Comisión comunicó  la  denuncia</w:t>
        <w:br/>
        <w:t>al Estado y le solicitó que presentara la información correspondiente en  un</w:t>
        <w:br/>
        <w:t>plazo de 90 días.</w:t>
        <w:br/>
        <w:br/>
        <w:t>4.    El 24 de julio y el 19 de  octubre  de  1994,  la  Comisión  envió  al</w:t>
        <w:br/>
        <w:t>Estado información adicional presentada por el reclamante y,  en  el  último</w:t>
        <w:br/>
        <w:t>envío, le solicitó que adoptara las  medidas  pertinentes  para  que  en  un</w:t>
        <w:br/>
        <w:t>plazo de 60 días le presentara todos sus informes.</w:t>
        <w:br/>
        <w:br/>
        <w:t>5.    El 9  de  septiembre  de  1994  Panamá  presentó  su  respuesta  a  la</w:t>
        <w:br/>
        <w:t>Comisión, quien se la remitió al reclamante el 25 de octubre de ese  año  y,</w:t>
        <w:br/>
        <w:t>el 24 de enero de 1995, el reclamante presentó  sus  observaciones  a  dicho</w:t>
        <w:br/>
        <w:t>escrito, las cuales se transmitieron al Estado el 31 de enero de 1995.</w:t>
        <w:br/>
        <w:br/>
        <w:t>6.    El 14 de febrero de 1995 el Estado presentó  sus  observaciones  a  la</w:t>
        <w:br/>
        <w:t>información adicional que la Comisión le había remitido el 19 de octubre  de</w:t>
        <w:br/>
        <w:t>1994 y, el 1 de marzo de 1995, la Comisión las transmitió al reclamante.</w:t>
        <w:br/>
        <w:br/>
        <w:t>7.    El 7 de abril de 1995 la Comisión se puso a disposición de las  partes</w:t>
        <w:br/>
        <w:t>para procurar una solución amistosa.  A pesar de que tanto  el  Estado  como</w:t>
        <w:br/>
        <w:t>los peticionarios le manifestaron a la Comisión el interés en llegar  a  una</w:t>
        <w:br/>
        <w:t>solución amistosa, después de casi tres años en  los  cuales  se  celebraron</w:t>
        <w:br/>
        <w:t>tres reuniones con el fin de intentar el  arreglo,  “la  Comisión  consideró</w:t>
        <w:br/>
        <w:t>agotada  la  vía  de  la  conciliación  y  continuó   con   la   tramitación</w:t>
        <w:br/>
        <w:t>contenciosa” del caso.</w:t>
        <w:br/>
        <w:br/>
        <w:t>8.    El 16 de octubre de 1997, durante su  97o.  Período  de  Sesiones,  la</w:t>
        <w:br/>
        <w:t>Comisión aprobó el Informe No. 37/97, el cual fue transmitido al  Estado  el</w:t>
        <w:br/>
        <w:t>17 de los mismos mes y año.  En dicho Informe, la Comisión concluyó:</w:t>
        <w:br/>
        <w:br/>
        <w:t xml:space="preserve">      148.  Que los actos de los Poderes Públicos del  Estado  mediante  los</w:t>
        <w:br/>
        <w:t xml:space="preserve">      cuales la Asamblea Legislativa aprobó la Ley 25 de 14 de diciembre  de</w:t>
        <w:br/>
        <w:t xml:space="preserve">      1990; el Poder Judicial la declaró constitucional en casi su totalidad</w:t>
        <w:br/>
        <w:t xml:space="preserve">      y el Poder Ejecutivo le dio aplicación, en base a lo cual se  violaron</w:t>
        <w:br/>
        <w:t xml:space="preserve">      los derechos humanos de los peticionarios y se  rechazaron  todos  sus</w:t>
        <w:br/>
        <w:t xml:space="preserve">      reclamos, son incompatibles con las  disposiciones  de  la  Convención</w:t>
        <w:br/>
        <w:t xml:space="preserve">      Americana sobre Derechos Humanos.</w:t>
        <w:br/>
        <w:br/>
        <w:br/>
        <w:t xml:space="preserve">      149.  Que respecto de las 270 personas en cuyo nombre se  promueve  el</w:t>
        <w:br/>
        <w:t xml:space="preserve">      presente caso, el Estado de  Panamá  ha  dejado  de  cumplir  con  sus</w:t>
        <w:br/>
        <w:t xml:space="preserve">      obligaciones en relación con las siguientes normas  de  la  Convención</w:t>
        <w:br/>
        <w:t xml:space="preserve">      Americana sobre Derechos Humanos: artículo 8, derecho a las  garantías</w:t>
        <w:br/>
        <w:t xml:space="preserve">      judiciales; artículo 9, principio de legalidad y de  irretroactividad;</w:t>
        <w:br/>
        <w:t xml:space="preserve">      artículo 10, derecho a indemnización; artículo 15, derecho a  reunión;</w:t>
        <w:br/>
        <w:t xml:space="preserve">      artículo 16, derecho a la libertad de asociación; artículo 24, derecho</w:t>
        <w:br/>
        <w:t xml:space="preserve">      a la igualdad ante la  ley;  artículo  25,  derecho  a  la  protección</w:t>
        <w:br/>
        <w:t xml:space="preserve">      judicial.</w:t>
        <w:br/>
        <w:br/>
        <w:br/>
        <w:t xml:space="preserve">      150.  Que respecto de las mismas personas,  el  Estado  de  Panamá  ha</w:t>
        <w:br/>
        <w:t xml:space="preserve">      dejado de cumplir con su obligación  de  reconocer  y  garantizar  los</w:t>
        <w:br/>
        <w:t xml:space="preserve">      derechos contenidos en los artículos 8  y  25,  en  conexión  con  los</w:t>
        <w:br/>
        <w:t xml:space="preserve">      artículos 1.1 y 2, de la Convención Americana sobre Derechos  Humanos,</w:t>
        <w:br/>
        <w:t xml:space="preserve">      de la cual Panamá es Estado Parte.</w:t>
        <w:br/>
        <w:br/>
        <w:br/>
        <w:t xml:space="preserve">      151.  Que el Estado no ha dado cumplimiento a las normas contenidas en</w:t>
        <w:br/>
        <w:t xml:space="preserve">      el artículo 2 de la Convención Americana sobre  Derechos  Humanos,  en</w:t>
        <w:br/>
        <w:t xml:space="preserve">      virtud de que no ha adaptado su legislación  a  las  disposiciones  de</w:t>
        <w:br/>
        <w:t xml:space="preserve">      dicha Convención.</w:t>
        <w:br/>
        <w:br/>
        <w:t>Asimismo, la Comisión dispuso:</w:t>
        <w:br/>
        <w:br/>
        <w:t xml:space="preserve">      1.    Recomendar al Estado panameño que disponga la reincorporación de</w:t>
        <w:br/>
        <w:t xml:space="preserve">      los trabajadores despedidos por la Ley 25 de 14 de diciembre  de  1990</w:t>
        <w:br/>
        <w:t xml:space="preserve">      identificados en el párrafo Vº del presente  informe,  a  sus  puestos</w:t>
        <w:br/>
        <w:t xml:space="preserve">      respectivos o a otros en las mismas condiciones en las  que  prestaban</w:t>
        <w:br/>
        <w:t xml:space="preserve">      servicios al  momento  de  ser  destituidos;  que  les  reconozca  los</w:t>
        <w:br/>
        <w:t xml:space="preserve">      salarios caídos y los demás beneficios  laborales  a  los  que  tienen</w:t>
        <w:br/>
        <w:t xml:space="preserve">      derecho; y que se les pague una indemnización por los  daños  causados</w:t>
        <w:br/>
        <w:t xml:space="preserve">      por el despido injustificado del que fueron objeto.</w:t>
        <w:br/>
        <w:br/>
        <w:br/>
        <w:t xml:space="preserve">      2.    Recomendar al Estado adoptar con arreglo  a  sus  procedimientos</w:t>
        <w:br/>
        <w:t xml:space="preserve">      constitucionales y  legislativos  vigentes,  las  medidas  que  fueran</w:t>
        <w:br/>
        <w:t xml:space="preserve">      necesarias para hacer efectivos a plenitud los  derechos  y  garantías</w:t>
        <w:br/>
        <w:t xml:space="preserve">      contenidos en la Convención Americana sobre Derechos Humanos.</w:t>
        <w:br/>
        <w:br/>
        <w:br/>
        <w:t xml:space="preserve">      3.    Recomendar al Estado modificar, derogar o  en  definitiva  dejar</w:t>
        <w:br/>
        <w:t xml:space="preserve">      sin efecto la referida ley 25.</w:t>
        <w:br/>
        <w:br/>
        <w:br/>
        <w:t xml:space="preserve">      4.    Recomendar al Estado que la expresión “penar sin previo  juicio”</w:t>
        <w:br/>
        <w:t xml:space="preserve">      del artículo 33 de la Constitución Política de Panamá sea  debidamente</w:t>
        <w:br/>
        <w:t xml:space="preserve">      interpretada, para dar  cumplimiento  al  compromiso  asumido  por  la</w:t>
        <w:br/>
        <w:t xml:space="preserve">      República de Panamá de adecuar las normas de su legislación interna  a</w:t>
        <w:br/>
        <w:t xml:space="preserve">      las de la Convención.</w:t>
        <w:br/>
        <w:br/>
        <w:br/>
        <w:t xml:space="preserve">      5.    RECOMENDAR QUE LA NORMA  CONTENIDA  EN  EL  ARTÍCULO  43  DE  LA</w:t>
        <w:br/>
        <w:t xml:space="preserve">      CONSTITUCIÓN POLÍTICA DE PANAMÁ, LA CUAL PERMITE LA RETROACTIVIDAD  DE</w:t>
        <w:br/>
        <w:t xml:space="preserve">      LAS LEYES POR RAZONES DE  “ORDEN  PÚBLICO”  O  “INTERÉS  SOCIAL”,  SEA</w:t>
        <w:br/>
        <w:t xml:space="preserve">      ENMENDADA Y/O INTERPRETADA, EN CONFORMIDAD CON EL  ARTÍCULO  9  DE  LA</w:t>
        <w:br/>
        <w:t xml:space="preserve">      CONVENCIÓN AMERICANA, EN EL SENTIDO DE QUE “NADIE PUEDE SER  CONDENADO</w:t>
        <w:br/>
        <w:t xml:space="preserve">      POR ACCIONES U OMISIONES QUE EN EL  MOMENTO  DE  COMETERSE  NO  FUERAN</w:t>
        <w:br/>
        <w:t xml:space="preserve">      DELICTIVAS SEGÚN EL DERECHO APLICABLE”.</w:t>
        <w:br/>
        <w:br/>
        <w:br/>
        <w:t xml:space="preserve">      6.    La Comisión decide transmitir el presente informe al Estado,  el</w:t>
        <w:br/>
        <w:t xml:space="preserve">      que no estará autorizado para publicarlo, otorgándole el  plazo  de  2</w:t>
        <w:br/>
        <w:t xml:space="preserve">      meses  para  adoptar  las  recomendaciones  precedentes.   El  término</w:t>
        <w:br/>
        <w:t xml:space="preserve">      comenzará  a  contarse  a  partir  del  día  en  que  el  informe  sea</w:t>
        <w:br/>
        <w:t xml:space="preserve">      transmitido.</w:t>
        <w:br/>
        <w:br/>
        <w:br/>
        <w:t xml:space="preserve">      7.    Comunicar al peticionario acerca de la adopción en [el] presente</w:t>
        <w:br/>
        <w:t xml:space="preserve">      caso de un informe artículo 50.</w:t>
        <w:br/>
        <w:br/>
        <w:t>LA COMISIÓN TRANSMITIÓ EL CITADO INFORME AL ESTADO, AL CUAL OTORGÓ EL  PLAZO</w:t>
        <w:br/>
        <w:t>DE SESENTA DÍAS PARA QUE LE COMUNICARA  LAS  MEDIDAS  QUE  HUBIESE  ADOPTADO</w:t>
        <w:br/>
        <w:t>PARA DAR CUMPLIMIENTO A LAS RECOMENDACIONES CITADAS.</w:t>
        <w:br/>
        <w:br/>
        <w:t>9.    El 10 de diciembre  de  1997  el  Estado  rechazó  el  informe  de  la</w:t>
        <w:br/>
        <w:t>Comisión aduciendo “obstáculos, motivaciones y  fundamentos  jurídicos  …[de</w:t>
        <w:br/>
        <w:t>derecho interno que le impedían] ejecutar las recomendaciones  emitidas  por</w:t>
        <w:br/>
        <w:t>la Honorable Comisión Interamericana de Derechos Humanos”.</w:t>
        <w:br/>
        <w:br/>
        <w:t>10.   El 14 de enero de 1998  la  Comisión,  mediante  acta  de  conferencia</w:t>
        <w:br/>
        <w:t>telefónica, decidió presentar el caso ante la Corte.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11.   El 16 de enero de 1998 la Comisión presentó la demanda ante la  Corte,</w:t>
        <w:br/>
        <w:t>en la cual invocó los artículos 50 y 51 de  la  Convención  Americana  sobre</w:t>
        <w:br/>
        <w:t>Derechos Humanos (en adelante “la Convención” o “la Convención  Americana”),</w:t>
        <w:br/>
        <w:t>2, 26 y siguientes del Reglamento de la Corte.   La  Comisión  sometió  este</w:t>
        <w:br/>
        <w:t>caso para que la  Corte  decidiera  si  hubo  violación  de  los  siguientes</w:t>
        <w:br/>
        <w:t>artículos de la  Convención:  8  (Garantías  Judiciales);  9  (Principio  de</w:t>
        <w:br/>
        <w:t>Legalidad y de Retroactividad); 10 (Derecho a  Indemnización);  15  (Derecho</w:t>
        <w:br/>
        <w:t>de Reunión); 16 (Libertad de Asociación);  y  25  (Protección  Judicial)  en</w:t>
        <w:br/>
        <w:t>relación con el artículo 1.1; 2; y 33 y 50.2 (Deber del  Estado  de  cumplir</w:t>
        <w:br/>
        <w:t>de buena fe las recomendaciones emitidas por la Comisión en sus Informes).</w:t>
        <w:br/>
        <w:br/>
        <w:t>Asimismo, le solicitó a la Corte que declare  que  la  Ley  25  y  la  norma</w:t>
        <w:br/>
        <w:t>contenida en el artículo 43  de  la  Constitución  Política  de  Panamá  son</w:t>
        <w:br/>
        <w:t>contrarias a la Convención, por permitir la retroactividad de  las  leyes  y</w:t>
        <w:br/>
        <w:t>que,  en  consecuencia,  deben  ser  modificadas  o  derogadas  conforme  al</w:t>
        <w:br/>
        <w:t>artículo 2 de dicha Convención.  La Comisión también  solicitó  a  la  Corte</w:t>
        <w:br/>
        <w:t>que requiera al Estado que restablezca en el ejercicio  de  sus  derechos  a</w:t>
        <w:br/>
        <w:t>los  270  trabajadores  y  repare  e  indemnice  a  las  víctimas  o  a  sus</w:t>
        <w:br/>
        <w:t>familiares, por  los  hechos  cometidos  por  sus  agentes,  conforme  a  lo</w:t>
        <w:br/>
        <w:t>establecido en el artículo 63.1 de la Convención.</w:t>
        <w:br/>
        <w:br/>
        <w:t>Finalmente, la Comisión solicitó que se condene al Estado  al  pago  de  las</w:t>
        <w:br/>
        <w:t>costas y gastos de este proceso.</w:t>
        <w:br/>
        <w:br/>
        <w:t>12.   La Comisión designó como sus delegados  a  los  señores  Carlos  Ayala</w:t>
        <w:br/>
        <w:t>Corao y Hélio Bicudo, como sus asesores a los  señores  Jorge  E.  Taiana  y</w:t>
        <w:br/>
        <w:t>Manuel Velasco-Clark, y como sus asistentes a  los  señores  Minerva  Gómez,</w:t>
        <w:br/>
        <w:t>Ariel Dulitzky, Viviana  Krsticevic  y  Marcela  Matamoros.   Mediante  nota</w:t>
        <w:br/>
        <w:t>recibida el 18 de junio de 1998 en la Secretaría de la  Corte  (en  adelante</w:t>
        <w:br/>
        <w:t>“la  Secretaría”),  la  señora  Matamoros  comunicó   su   renuncia   a   la</w:t>
        <w:br/>
        <w:t>participación en el presente caso.</w:t>
        <w:br/>
        <w:br/>
        <w:t>13.   El 28 de enero de 1998 la Secretaría, previo examen preliminar  de  la</w:t>
        <w:br/>
        <w:t>demanda realizado por  su  Presidente  (en  adelante  “el  Presidente”),  la</w:t>
        <w:br/>
        <w:t>notificó al Estado, al cual  informó  sobre  los  plazos  para  contestarla,</w:t>
        <w:br/>
        <w:t>oponer excepciones preliminares y nombrar su representación.   Asimismo,  se</w:t>
        <w:br/>
        <w:t>invitó al Estado a designar Juez ad hoc.</w:t>
        <w:br/>
        <w:br/>
        <w:t>14.   El 20 de febrero de 1998 Panamá designó al señor Rolando Adolfo  Reyna</w:t>
        <w:br/>
        <w:t>Rodríguez como Juez ad hoc.</w:t>
        <w:br/>
        <w:br/>
        <w:t>15.   El 27 de febrero de 1998 el Estado  designó  al  señor  Carlos  Vargas</w:t>
        <w:br/>
        <w:t>Pizarro como agente.</w:t>
        <w:br/>
        <w:br/>
        <w:t>16.   Después de  haber  solicitado  dos  prórrogas  en  el  plazo  para  la</w:t>
        <w:br/>
        <w:t>presentación de las excepciones preliminares, el 17  de  abril  de  1998  el</w:t>
        <w:br/>
        <w:t>Estado interpuso las siguientes:</w:t>
        <w:br/>
        <w:br/>
        <w:t xml:space="preserve">      1.     Inadmisibilidad  de  la  demanda  por  incumplimiento   de   lo</w:t>
        <w:br/>
        <w:t xml:space="preserve">      establecido en el artículo  51  de  la  Convención,  vía  el  cual  la</w:t>
        <w:br/>
        <w:t xml:space="preserve">      Comisión para enviar un caso contencioso a la Corte  debe  de  adoptar</w:t>
        <w:br/>
        <w:t xml:space="preserve">      una resolución al respecto;</w:t>
        <w:br/>
        <w:br/>
        <w:br/>
        <w:t xml:space="preserve">      2.    Inadmisibilidad de la demanda porque la  materia  objeto  de  la</w:t>
        <w:br/>
        <w:t xml:space="preserve">      misma, es  la  reproducción  de  una  petición  ya  examinada  por  la</w:t>
        <w:br/>
        <w:t xml:space="preserve">      Organización Internacional del Trabajo ( en adelante “la OIT”);</w:t>
        <w:br/>
        <w:br/>
        <w:br/>
        <w:t xml:space="preserve">      3.    Inadmisibilidad de la demanda por violación de la  regla  de  la</w:t>
        <w:br/>
        <w:t xml:space="preserve">      confidencialidad por parte  de  la  Comisión,  al  remitir  copia  del</w:t>
        <w:br/>
        <w:t xml:space="preserve">      Informe No. 37/97 a los peticionarios;</w:t>
        <w:br/>
        <w:br/>
        <w:br/>
        <w:t xml:space="preserve">      4.    Caducidad de la demanda interpuesta ante la Corte;</w:t>
        <w:br/>
        <w:br/>
        <w:br/>
        <w:t>y solicitó que la Corte declarara inadmisible la  demanda  y  dispusiera  el</w:t>
        <w:br/>
        <w:t>archivo del expediente.</w:t>
        <w:br/>
        <w:br/>
        <w:t>17.   El 20 de mayo de 1998 la Comisión presentó sus observaciones,  en  las</w:t>
        <w:br/>
        <w:t>cuales solicitó que la Corte desestimara  “por  infundadas  y  extemporáneas</w:t>
        <w:br/>
        <w:t>las  excepciones   preliminares   interpuestas”   y   que   dispusiera   “la</w:t>
        <w:br/>
        <w:t>continuación del procedimiento sobre el fondo del caso”.</w:t>
        <w:br/>
        <w:br/>
        <w:t>18.   El 29 de junio de 1998  el  Estado  presentó  la  contestación  de  la</w:t>
        <w:br/>
        <w:t>demanda.</w:t>
        <w:br/>
        <w:br/>
        <w:t>19.   El 14 de diciembre de 1998 el Presidente convocó  al  Estado  y  a  la</w:t>
        <w:br/>
        <w:t>Comisión a una audiencia pública, que se celebraría el 27 de enero de  1999,</w:t>
        <w:br/>
        <w:t>para  conocer  sus  puntos  de  vista  sobre  las  excepciones  preliminares</w:t>
        <w:br/>
        <w:t>interpuestas  por  el  primero.   Asimismo,  el  Presidente  citó  a   dicha</w:t>
        <w:br/>
        <w:t>audiencia al señor Antonio  Ducreux  Sánchez,  Viceministro  de  Trabajo  de</w:t>
        <w:br/>
        <w:t>Panamá y testigo ofrecido por el Estado, para que  rindiera  su  declaración</w:t>
        <w:br/>
        <w:t>en el curso de la audiencia mencionada.</w:t>
        <w:br/>
        <w:br/>
        <w:t>20.   El 19 de enero de 1999 el Estado designó como agente alterno al  señor</w:t>
        <w:br/>
        <w:t>Jorge Federico Lee.</w:t>
        <w:br/>
        <w:br/>
        <w:t>21.   El 19 de enero de 1999 el señor Rolando Adolfo Reyna Rodríguez, en  su</w:t>
        <w:br/>
        <w:t>condición de juez ad hoc  en  el  caso,  informó  a  la  Corte  que  “tuv[o]</w:t>
        <w:br/>
        <w:t>actuación […] [en] la demanda JORGE A. MARTÍNEZ -vs- INSTITUTO  DE  RECURSOS</w:t>
        <w:br/>
        <w:t>HIDRÁULICOS Y ELECTRIFICACIÓN, la cual recha[zó] por falta  de  jurisdicción</w:t>
        <w:br/>
        <w:t>sin entrar a conocer el  caso.”   Además,  informó  que  “desempeñar[ía]  el</w:t>
        <w:br/>
        <w:t>cargo de Asuntos Marítimos Internacionales en la República de Panamá”.</w:t>
        <w:br/>
        <w:br/>
        <w:t>Finalmente, solicitó a la Corte que “determine si [los hechos señalados  con</w:t>
        <w:br/>
        <w:t>anterioridad] son causales de impedimento”.</w:t>
        <w:br/>
        <w:br/>
        <w:t>22.   El 19 de enero de 1999, la  Secretaría,  siguiendo  instrucciones  del</w:t>
        <w:br/>
        <w:t>Tribunal, solicitó al señor Rolando Adolfo  Reyna  Rodríguez  que  informara</w:t>
        <w:br/>
        <w:t>sobre “[las c]aracterísticas y objeto del proceso  identificado  como  Jorge</w:t>
        <w:br/>
        <w:t>A. Martínez -vs- Instituto de Recursos Hidráulicos y Electrificación, en  el</w:t>
        <w:br/>
        <w:t>cual […] tuvo participación como Presidente de la Junta  de  Conciliación  y</w:t>
        <w:br/>
        <w:t>Decisión No.4” y sobre la “[u]bicación,  en  la  estructura  del  Estado  de</w:t>
        <w:br/>
        <w:t>Panamá, de la oficina o repartición ‘Asuntos Marítimos Internacionales’”.</w:t>
        <w:br/>
        <w:br/>
        <w:t>23.   El 22 de enero  de  1999  el  señor  Rolando  Adolfo  Reyna  Rodríguez</w:t>
        <w:br/>
        <w:t>informó a la Corte, en respuesta a la solicitud del  día  anterior,  que  el</w:t>
        <w:br/>
        <w:t>proceso en el cual participó como Presidente de la Junta de  Conciliación  y</w:t>
        <w:br/>
        <w:t>Decisión Laboral No.4, se  basó  en  una  demanda  laboral  interpuesta  por</w:t>
        <w:br/>
        <w:t>varios trabajadores despedidos por la Ley 25, la cual rechazó por  falta  de</w:t>
        <w:br/>
        <w:t>jurisdicción.  Asimismo, informó que la “autoridad  marítima  es  en  Panamá</w:t>
        <w:br/>
        <w:t>una institución autónoma que se dedica a todo lo relacionado con  las  naves</w:t>
        <w:br/>
        <w:t>mercantes”.</w:t>
        <w:br/>
        <w:br/>
        <w:t>24.   Ese mismo día la Corte dictó una resolución mediante la cual decidió:</w:t>
        <w:br/>
        <w:br/>
        <w:t xml:space="preserve">      1.    Declarar que  el  señor  Rolando  Adolfo  Reyna  Rodríguez  está</w:t>
        <w:br/>
        <w:t xml:space="preserve">      impedido para el ejercicio del cargo de Juez ad  hoc  en  el  presente</w:t>
        <w:br/>
        <w:t xml:space="preserve">      caso.</w:t>
        <w:br/>
        <w:br/>
        <w:br/>
        <w:t xml:space="preserve">      2.    Continuar con el  conocimiento  del  mismo  con  su  composición</w:t>
        <w:br/>
        <w:t xml:space="preserve">      actual.</w:t>
        <w:br/>
        <w:br/>
        <w:br/>
        <w:t xml:space="preserve">      3.    Notificar la presente Resolución al señor Rolando  Adolfo  Reyna</w:t>
        <w:br/>
        <w:t xml:space="preserve">      Rodríguez.</w:t>
        <w:br/>
        <w:br/>
        <w:t>25.   La audiencia pública sobre excepciones preliminares fue  celebrada  en</w:t>
        <w:br/>
        <w:t>la sede de la Corte Suprema de Justicia de la República de Costa Rica el  27</w:t>
        <w:br/>
        <w:t>de enero de 1999.</w:t>
        <w:br/>
        <w:br/>
        <w:t>Comparecieron</w:t>
        <w:br/>
        <w:br/>
        <w:t>por la República de Panamá:</w:t>
        <w:br/>
        <w:br/>
        <w:t xml:space="preserve">      Carlos Vargas Pizarro, agente;</w:t>
        <w:br/>
        <w:t xml:space="preserve">      Jorge Federico Lee, agente alterno;</w:t>
        <w:br/>
        <w:t xml:space="preserve">      Isabel Damian K., Embajadora de la República de Panamá en Costa Rica;</w:t>
        <w:br/>
        <w:t xml:space="preserve">      Ángela Álvarez Oller, Cónsul de la República de Panamá en Costa Rica;</w:t>
        <w:br/>
        <w:t xml:space="preserve">      Santiago E. O  Donnell,  Ministro  Consejero  de  la  Embajada  de  la</w:t>
        <w:br/>
        <w:t xml:space="preserve">      República de Panamá en Costa Rica;</w:t>
        <w:br/>
        <w:t xml:space="preserve">      Jorge Ruiz, Vicepresidente Administrativo del Instituto de Recursos</w:t>
        <w:br/>
        <w:t xml:space="preserve">      Hidráulicos y Electrificación; y</w:t>
        <w:br/>
        <w:t xml:space="preserve">      Sofía Escalante Trejos, asistente;</w:t>
        <w:br/>
        <w:br/>
        <w:t>por la Comisión Interamericana de Derechos Humanos:</w:t>
        <w:br/>
        <w:br/>
        <w:t xml:space="preserve">      Hélio Bicudo, delegado;</w:t>
        <w:br/>
        <w:t xml:space="preserve">      Manuel Velasco Clark, abogado;</w:t>
        <w:br/>
        <w:t xml:space="preserve">      Viviana Krsticevic, asistente; y</w:t>
        <w:br/>
        <w:t xml:space="preserve">      Soraya Long, asistente;</w:t>
        <w:br/>
        <w:br/>
        <w:t>testigo propuesto por el Estado:</w:t>
        <w:br/>
        <w:br/>
        <w:t xml:space="preserve">      Antonio Ducreux Sánchez.</w:t>
        <w:br/>
        <w:br/>
        <w:t>26.   A continuación la Corte sintetiza la declaración del testigo:</w:t>
        <w:br/>
        <w:br/>
        <w:t xml:space="preserve">      a.    Testimonio del señor Antonio Ducreux Sánchez</w:t>
        <w:br/>
        <w:t xml:space="preserve">      (Viceministro del Ministerio de Trabajo y  Desarrollo  Laboral  de  la</w:t>
        <w:br/>
        <w:t xml:space="preserve">      República de Panamá, Embajador de Panamá  ante  la  OIT,  Miembro  del</w:t>
        <w:br/>
        <w:t xml:space="preserve">      Comité de Libertad Sindical, Presidente de la Comisión de  Finanzas  y</w:t>
        <w:br/>
        <w:t xml:space="preserve">      Presupuesto de  la  OIT  y  Presidente  del  Comité  de  Quejas  sobre</w:t>
        <w:br/>
        <w:t xml:space="preserve">      Latinoamérica en los casos que  no  tienen  cabida  en  el  Comité  de</w:t>
        <w:br/>
        <w:t xml:space="preserve">      Libertad Sindical).</w:t>
        <w:br/>
        <w:br/>
        <w:br/>
        <w:t xml:space="preserve">      Como Embajador de Panamá ante el Consejo de Administración de  la  OIT</w:t>
        <w:br/>
        <w:t xml:space="preserve">      le correspondía verificar las quejas que se presentaban contra Panamá,</w:t>
        <w:br/>
        <w:t xml:space="preserve">      siendo una de ellas la  establecida  en  1991  por  algunos  empleados</w:t>
        <w:br/>
        <w:t xml:space="preserve">      despedidos del SITIRHE y SITINTEL.</w:t>
        <w:br/>
        <w:br/>
        <w:br/>
        <w:t xml:space="preserve">      En relación con el trámite que se dio a  la  queja  ante  la  OIT,  el</w:t>
        <w:br/>
        <w:t xml:space="preserve">      Comité de Libertad Sindical examinó la  documentación  presentada  por</w:t>
        <w:br/>
        <w:t xml:space="preserve">      los querellantes y por el Estado y recomendó a Panamá,  a  finales  de</w:t>
        <w:br/>
        <w:t xml:space="preserve">      1992, que adoptara las medidas necesarias para que  se  restituyera  a</w:t>
        <w:br/>
        <w:t xml:space="preserve">      los empleados de las dos instituciones  del  Estado  que  habían  sido</w:t>
        <w:br/>
        <w:t xml:space="preserve">      despedidos con base en la Ley 25 de 1990; que enmendara las leyes  que</w:t>
        <w:br/>
        <w:t xml:space="preserve">      violan algunos preceptos de los Convenios  87  y  98;  que  no  tomara</w:t>
        <w:br/>
        <w:t xml:space="preserve">      acciones contrarias al debido proceso; que no se limitara la  libertad</w:t>
        <w:br/>
        <w:t xml:space="preserve">      de  asociación  a  ningún  sindicato  y,  que  le  restituyera  a  los</w:t>
        <w:br/>
        <w:t xml:space="preserve">      trabajadores el derecho a la organización sindical, la  inviolabilidad</w:t>
        <w:br/>
        <w:t xml:space="preserve">      de locales sindicales y la gestión de cuotas sindicales.</w:t>
        <w:br/>
        <w:br/>
        <w:br/>
        <w:t xml:space="preserve">      A pesar de que un fallo de la Corte  Suprema  de  Justicia  de  Panamá</w:t>
        <w:br/>
        <w:t xml:space="preserve">      declaró que no eran ilegales los despidos con base en la  Ley  25,  el</w:t>
        <w:br/>
        <w:t xml:space="preserve">      gobierno que asumió el mando en 1994 acató la recomendación de la  OIT</w:t>
        <w:br/>
        <w:t xml:space="preserve">      y restituyó a la mayoría de los trabajadores, pero no en su totalidad.</w:t>
        <w:br/>
        <w:t xml:space="preserve">       Panamá no ha sido  objeto  de  sanciones  internacionales  por  haber</w:t>
        <w:br/>
        <w:t xml:space="preserve">      cumplido parcialmente.</w:t>
        <w:br/>
        <w:br/>
        <w:br/>
        <w:t xml:space="preserve">      El Comité de Libertad Sindical se concretó a solicitarle al Estado que</w:t>
        <w:br/>
        <w:t xml:space="preserve">      “a medida de sus necesidades restituyera a los trabajadores”.   Panamá</w:t>
        <w:br/>
        <w:t xml:space="preserve">      ha cumplido las recomendaciones de la OIT de acuerdo con su  capacidad</w:t>
        <w:br/>
        <w:t xml:space="preserve">      económica.   El  hecho  de  que  un  Estado  comience  a  cumplir  las</w:t>
        <w:br/>
        <w:t xml:space="preserve">      recomendaciones paraliza la oportunidad de declarar que ha incumplido.</w:t>
        <w:br/>
        <w:br/>
        <w:br/>
        <w:t xml:space="preserve">      Cuando la OIT emitió el informe que  incluía  sus  recomendaciones  al</w:t>
        <w:br/>
        <w:t xml:space="preserve">      Estado, éste estaba obligado a mantener informada a la OIT  sobre  los</w:t>
        <w:br/>
        <w:t xml:space="preserve">      avances de  las  recomendaciones,  obligación  que  Panamá  ha  venido</w:t>
        <w:br/>
        <w:t xml:space="preserve">      realizando desde 1992.</w:t>
        <w:br/>
        <w:t xml:space="preserve">      La OIT es la única instancia internacional con capacidad para absorber</w:t>
        <w:br/>
        <w:t xml:space="preserve">      reclamaciones laborales.  Las quejas  tienen  que  ser  presentadas  a</w:t>
        <w:br/>
        <w:t xml:space="preserve">      través de un organismo gremial internacional  ya  que  no  pueden  ser</w:t>
        <w:br/>
        <w:t xml:space="preserve">      presentadas directamente por los  sindicatos  y  son  canalizadas  por</w:t>
        <w:br/>
        <w:t xml:space="preserve">      medio de la Dirección de Normas de la OIT.  Posteriormente, de acuerdo</w:t>
        <w:br/>
        <w:t xml:space="preserve">      con la magnitud de  las  quejas,  estas  se  trasladan  al  Comité  de</w:t>
        <w:br/>
        <w:t xml:space="preserve">      Libertad Sindical, a la Comisión de Expertos o al Comité Tripartito de</w:t>
        <w:br/>
        <w:t xml:space="preserve">      Quejas.</w:t>
        <w:br/>
        <w:br/>
        <w:br/>
        <w:t xml:space="preserve">      Los sindicatos SITIRHE y SITINTEL fueron los que presentaron la  queja</w:t>
        <w:br/>
        <w:t xml:space="preserve">      ante el Comité de Libertad Sindical,  a  través  de  la  Confederación</w:t>
        <w:br/>
        <w:t xml:space="preserve">      Internacional de Organizaciones Sindicales  Libres  (CIOSL-ORIT).   El</w:t>
        <w:br/>
        <w:t xml:space="preserve">      número de trabajadores no fue definido ante la  OIT,  ya  que  en  los</w:t>
        <w:br/>
        <w:t xml:space="preserve">      diversos informes que se  manejaron  variaba  el  número  de  personas</w:t>
        <w:br/>
        <w:t xml:space="preserve">      afectadas,   las   cuales   no   fueron   individualizadas   en    las</w:t>
        <w:br/>
        <w:t xml:space="preserve">      recomendaciones del Comité de Libertad Sindical.   La  queja  sólo  se</w:t>
        <w:br/>
        <w:t xml:space="preserve">      refirió a los trabajadores del SITIRHE y del SITINTEL, sindicatos  que</w:t>
        <w:br/>
        <w:t xml:space="preserve">      la presentaron, y no  mencionó  al  resto  de  trabajadores  de  otros</w:t>
        <w:br/>
        <w:t xml:space="preserve">      sindicatos que  se  vieron  afectados  por  la  Ley  25,  alegando  la</w:t>
        <w:br/>
        <w:t xml:space="preserve">      violación de los Convenios 87  y  98  de  la  OIT,  los  cuales  hacen</w:t>
        <w:br/>
        <w:t xml:space="preserve">      referencia a la libertad sindical.</w:t>
        <w:br/>
        <w:t xml:space="preserve">      La queja ante el Comité de Libertad Sindical se limita  a  los  hechos</w:t>
        <w:br/>
        <w:t xml:space="preserve">      ocurridos en diciembre  de  1990.   La  OIT  conoce  lo  estrictamente</w:t>
        <w:br/>
        <w:t xml:space="preserve">      laboral, razón por la cual el debido proceso legal no fue  tratado  en</w:t>
        <w:br/>
        <w:t xml:space="preserve">      la OIT, por no ser de su competencia.</w:t>
        <w:br/>
        <w:br/>
        <w:br/>
        <w:t xml:space="preserve">      Sin embargo, es incorrecto el punto  planteado  referente  a  que  los</w:t>
        <w:br/>
        <w:t xml:space="preserve">      tribunales laborales de Panamá se negaron a aceptar  las  demandas  de</w:t>
        <w:br/>
        <w:t xml:space="preserve">      los trabajadores sin ningún tipo de justificación  legal,  puesto  que</w:t>
        <w:br/>
        <w:t xml:space="preserve">      había procesos ante esa instancia interpuestos  por  los  trabajadores</w:t>
        <w:br/>
        <w:t xml:space="preserve">      que se consideraron injustamente despedidos.</w:t>
        <w:br/>
        <w:br/>
        <w:t>La declaración del testigo señor Antonio Ducreux Sánchez  no  fue  objetada,</w:t>
        <w:br/>
        <w:t>en consecuencia, la Corte tiene por probados los hechos por él declarados.</w:t>
        <w:br/>
        <w:br/>
        <w:br/>
        <w:t xml:space="preserve">                                      V</w:t>
        <w:br/>
        <w:br/>
        <w:t xml:space="preserve">                                 Competencia</w:t>
        <w:br/>
        <w:br/>
        <w:br/>
        <w:t>27.   Panamá es Estado Parte en la  Convención  Americana  desde  el  22  de</w:t>
        <w:br/>
        <w:t>junio de 1978 y reconoció la competencia contenciosa de la  Corte  el  9  de</w:t>
        <w:br/>
        <w:t>mayo de 1990.  Por lo tanto, la Corte es competente,  en  los  términos  del</w:t>
        <w:br/>
        <w:t>artículo 62.3 de la Convención, para conocer  las  excepciones  preliminares</w:t>
        <w:br/>
        <w:t>interpuestas en el presente caso.</w:t>
        <w:br/>
        <w:br/>
        <w:br/>
        <w:br/>
        <w:t xml:space="preserve">                                     VI</w:t>
        <w:br/>
        <w:br/>
        <w:br/>
        <w:t xml:space="preserve">                        Primera y cuarta excepciones:</w:t>
        <w:br/>
        <w:br/>
        <w:br/>
        <w:br/>
        <w:t xml:space="preserve">          Incumplimiento del Artículo 51 y Caducidad de la Demanda</w:t>
        <w:br/>
        <w:br/>
        <w:br/>
        <w:t>28.   La primera excepción interpuesta por el Estado se refiere al  supuesto</w:t>
        <w:br/>
        <w:t>incumplimiento de la Comisión a lo estipulado  en  la  Convención  y  en  el</w:t>
        <w:br/>
        <w:t>Reglamento de la Comisión, relativo a la decisión de enviar  un  caso  a  la</w:t>
        <w:br/>
        <w:t>Corte.</w:t>
        <w:br/>
        <w:br/>
        <w:t>29.   Para fundamentar dicha excepción, el Estado  presentó  los  argumentos</w:t>
        <w:br/>
        <w:t>sobre los hechos y de derecho que la Corte sintetiza a continuación:</w:t>
        <w:br/>
        <w:t xml:space="preserve">      a)    que el 17 de octubre de 1997, durante su 97o. Período  Ordinario</w:t>
        <w:br/>
        <w:t xml:space="preserve">      de Sesiones, la Comisión  remitió  a  Panamá  el  Informe  No.  37/97,</w:t>
        <w:br/>
        <w:t xml:space="preserve">      relativo al caso 11.325, adoptado el día anterior;</w:t>
        <w:br/>
        <w:br/>
        <w:br/>
        <w:t xml:space="preserve">      b)    que la Comisión no actuó de conformidad con las  reglas  que  al</w:t>
        <w:br/>
        <w:t xml:space="preserve">      efecto establecen los  artículos  51  de  la  Convención;  46  incisos</w:t>
        <w:br/>
        <w:t xml:space="preserve">      2,3,4,5, y 6; 50.1; 47.2; y 73.1.b del Reglamento de la  Comisión,  en</w:t>
        <w:br/>
        <w:t xml:space="preserve">      el procedimiento de remisión de un caso a la Corte, ya que  no  consta</w:t>
        <w:br/>
        <w:t xml:space="preserve">      acuerdo resolutivo de la Comisión decidiendo dicha remisión;</w:t>
        <w:br/>
        <w:br/>
        <w:t xml:space="preserve">      c)    que existen dos diferentes informes que deben ser elaborados por</w:t>
        <w:br/>
        <w:t xml:space="preserve">      la Comisión en aplicación de los artículos 50 y 51 de  la  Convención.</w:t>
        <w:br/>
        <w:t xml:space="preserve">      En el presente caso, la Comisión solamente aprobó y emitió el  informe</w:t>
        <w:br/>
        <w:t xml:space="preserve">      a que se refiere el artículo 50.  El informe al  cual  se  refiere  el</w:t>
        <w:br/>
        <w:t xml:space="preserve">      artículo 51.1 de  la  Convención,  según  el  Estado,  tiene  carácter</w:t>
        <w:br/>
        <w:t xml:space="preserve">      definitivo y es el único instrumento  por  medio  del  cual  se  puede</w:t>
        <w:br/>
        <w:t xml:space="preserve">      disponer el envío de un caso a la Corte;</w:t>
        <w:br/>
        <w:br/>
        <w:br/>
        <w:t xml:space="preserve">      d)    que en ningún momento la Comisión procedió conforme a las normas</w:t>
        <w:br/>
        <w:t xml:space="preserve">      procedimentales antes citadas, pues acordó enviar el caso 11.325 a  la</w:t>
        <w:br/>
        <w:t xml:space="preserve">      Corte “al amparo de una evidente interpretación errónea y de  mala  fe</w:t>
        <w:br/>
        <w:t xml:space="preserve">      de las  normas  procesales”,  mediante  un  procedimiento  informal  e</w:t>
        <w:br/>
        <w:t xml:space="preserve">      irregular basado en una consulta hecha vía telefónica a cinco  de  sus</w:t>
        <w:br/>
        <w:t xml:space="preserve">      siete miembros, titulada “Acta de la conferencia telefónica entre  los</w:t>
        <w:br/>
        <w:t xml:space="preserve">      miembros de  la  Comisión  Interamericana  de  Derechos  Humanos  para</w:t>
        <w:br/>
        <w:t xml:space="preserve">      decidir envío a la Corte Interamericana de Derechos Humanos  del  caso</w:t>
        <w:br/>
        <w:t xml:space="preserve">      de trabajadores del Estado de Panamá destituidos  por  la  ley  25  de</w:t>
        <w:br/>
        <w:t xml:space="preserve">      1990”; y</w:t>
        <w:br/>
        <w:br/>
        <w:br/>
        <w:t xml:space="preserve">      e)    que el  Acta  de  Conferencia  Telefónica  realizada  entre  los</w:t>
        <w:br/>
        <w:t xml:space="preserve">      miembros  de   la   Comisión   no   cumplió   con   las   formalidades</w:t>
        <w:br/>
        <w:t xml:space="preserve">      procedimentales, por lo que violenta las normas de la Convención y sus</w:t>
        <w:br/>
        <w:t xml:space="preserve">      Reglamentos, debido a que no existe ninguna atribución que  permita  a</w:t>
        <w:br/>
        <w:t xml:space="preserve">      la Comisión celebrar una “Sesión-Conferencia” vía telefónica, tomar un</w:t>
        <w:br/>
        <w:t xml:space="preserve">      acuerdo a distancia y remitir un caso contencioso a la Corte  de  esta</w:t>
        <w:br/>
        <w:t xml:space="preserve">      manera.</w:t>
        <w:br/>
        <w:br/>
        <w:br/>
        <w:t>30.   La Corte sintetiza a continuación los argumentos de la Comisión  sobre</w:t>
        <w:br/>
        <w:t>la primera excepción interpuesta por el Estado:</w:t>
        <w:br/>
        <w:br/>
        <w:t xml:space="preserve">      a)    que el artículo 51 de la Convención establece dos  alternativas:</w:t>
        <w:br/>
        <w:t xml:space="preserve">      la introducción del caso  a  la  Corte  o  la  redacción  del  informe</w:t>
        <w:br/>
        <w:t xml:space="preserve">      correspondiente.  La adopción de una de estas dos vías  excluye  a  la</w:t>
        <w:br/>
        <w:t xml:space="preserve">      otra;</w:t>
        <w:br/>
        <w:br/>
        <w:t xml:space="preserve">      b)    que reconoce expresamente que, en el presente caso, no adoptó el</w:t>
        <w:br/>
        <w:t xml:space="preserve">      informe del artículo 51 de la Convención, pues esto  no  correspondía,</w:t>
        <w:br/>
        <w:t xml:space="preserve">      por haberse presentado el caso ante la Corte;</w:t>
        <w:br/>
        <w:br/>
        <w:br/>
        <w:t xml:space="preserve">      c)    que la decisión de la Comisión tuvo que tomarse mientras ésta no</w:t>
        <w:br/>
        <w:t xml:space="preserve">      se encontraba sesionando, pues de lo contrario se hubiese  vencido  el</w:t>
        <w:br/>
        <w:t xml:space="preserve">      plazo de tres meses;</w:t>
        <w:br/>
        <w:br/>
        <w:br/>
        <w:t xml:space="preserve">      d)    que tomó la decisión de enviar el caso a  la  Corte  dentro  del</w:t>
        <w:br/>
        <w:t xml:space="preserve">      plazo de tres meses a partir de la remisión de su informe  al  Estado,</w:t>
        <w:br/>
        <w:t xml:space="preserve">      de acuerdo con la letra de la Convención y  la  jurisprudencia  de  la</w:t>
        <w:br/>
        <w:t xml:space="preserve">      Corte;</w:t>
        <w:br/>
        <w:br/>
        <w:t xml:space="preserve">      e)     que  procedió,  tal  como  lo  hace  reiteradamente  en   casos</w:t>
        <w:br/>
        <w:t xml:space="preserve">      similares, a celebrar una conferencia telefónica, participando en esta</w:t>
        <w:br/>
        <w:t xml:space="preserve">      ocasión cinco de sus siete miembros;</w:t>
        <w:br/>
        <w:br/>
        <w:br/>
        <w:t xml:space="preserve">      f)    que Panamá en ningún momento ha cuestionado la autenticidad  del</w:t>
        <w:br/>
        <w:t xml:space="preserve">      acta de la Comisión en la que consta su decisión de remitir el caso  a</w:t>
        <w:br/>
        <w:t xml:space="preserve">      la Corte.  Únicamente ha cuestionado la forma en que se llevó  a  cabo</w:t>
        <w:br/>
        <w:t xml:space="preserve">      la adopción de la decisión;</w:t>
        <w:br/>
        <w:br/>
        <w:br/>
        <w:t xml:space="preserve">      g)    que utilizó los procedimientos establecidos en las disposiciones</w:t>
        <w:br/>
        <w:t xml:space="preserve">      convencionales y reglamentarias, utilizando para ello sus  modalidades</w:t>
        <w:br/>
        <w:t xml:space="preserve">      internas de trabajo y las facilidades que brinda la moderna tecnología</w:t>
        <w:br/>
        <w:t xml:space="preserve">      de las telecomunicaciones (cfr.  Caso  Paniagua  Morales,  Excepciones</w:t>
        <w:br/>
        <w:t xml:space="preserve">      Preliminares, Sentencia de 25 de enero de 1996.  Serie C No. 23, párr.</w:t>
        <w:br/>
        <w:t xml:space="preserve">      35);</w:t>
        <w:br/>
        <w:br/>
        <w:br/>
        <w:t xml:space="preserve">      h)    que los Comisionados no residen en la sede de la Comisión y  por</w:t>
        <w:br/>
        <w:t xml:space="preserve">      no ser ésta  un  órgano  permanente,  la  realización  de  una  sesión</w:t>
        <w:br/>
        <w:t xml:space="preserve">      extraordinaria resulta difícil e innecesaria, sobre todo si  se  tiene</w:t>
        <w:br/>
        <w:t xml:space="preserve">      en cuenta la posibilidad de vencimiento del plazo  para  presentar  la</w:t>
        <w:br/>
        <w:t xml:space="preserve">      demanda;</w:t>
        <w:br/>
        <w:br/>
        <w:br/>
        <w:t xml:space="preserve">      i)    que adaptó e  interpretó  sus  disposiciones  reglamentarias  de</w:t>
        <w:br/>
        <w:t xml:space="preserve">      acuerdo con las necesidades que le imponen los plazos establecidos  en</w:t>
        <w:br/>
        <w:t xml:space="preserve">      la Convención y la circunstancia de no ser un órgano permanente;</w:t>
        <w:br/>
        <w:br/>
        <w:t xml:space="preserve">      j)    que ni la Convención ni el Reglamento de la  Comisión  o  de  la</w:t>
        <w:br/>
        <w:t xml:space="preserve">      Corte exigen que la Comisión adopte una decisión de remisión del  caso</w:t>
        <w:br/>
        <w:t xml:space="preserve">      a la Corte mediante un informe  especial  adoptado  con  la  presencia</w:t>
        <w:br/>
        <w:t xml:space="preserve">      física de todos los Comisionados, sino que la expresión de voluntad de</w:t>
        <w:br/>
        <w:t xml:space="preserve">      remitir un caso a la Corte es la interposición de la demanda;</w:t>
        <w:br/>
        <w:br/>
        <w:t xml:space="preserve">      k)    que cumplió con las formalidades establecidas en  el  Reglamento</w:t>
        <w:br/>
        <w:t xml:space="preserve">      de la Comisión: que el Presidente someta el tema a consideración de la</w:t>
        <w:br/>
        <w:t xml:space="preserve">      Comisión, que en las  deliberaciones  participen  la  mayoría  de  los</w:t>
        <w:br/>
        <w:t xml:space="preserve">      miembros de la misma, que las decisiones se adopten por mayoría de los</w:t>
        <w:br/>
        <w:t xml:space="preserve">      participantes y que la Secretaría levante un acta;</w:t>
        <w:br/>
        <w:br/>
        <w:br/>
        <w:t xml:space="preserve">      l)    que no podía decidir la remisión del caso a la Corte en su  97o.</w:t>
        <w:br/>
        <w:t xml:space="preserve">      Período de Sesiones cuando adoptó el informe del  artículo  50  de  la</w:t>
        <w:br/>
        <w:t xml:space="preserve">      Convención,  porque  hubiera  prejuzgado  sobre  el   cumplimiento   o</w:t>
        <w:br/>
        <w:t xml:space="preserve">      incumplimiento de Panamá a sus recomendaciones;</w:t>
        <w:br/>
        <w:br/>
        <w:br/>
        <w:t xml:space="preserve">      m)    que el Estado sabía que al no cumplir con las recomendaciones de</w:t>
        <w:br/>
        <w:t xml:space="preserve">      la Comisión para efectuar reparaciones e  indemnizaciones  dentro  del</w:t>
        <w:br/>
        <w:t xml:space="preserve">      plazo de tres meses, se exponía a que la Comisión remitiera el caso  a</w:t>
        <w:br/>
        <w:t xml:space="preserve">      la Corte o elaborara un informe de conformidad con el artículo  51  de</w:t>
        <w:br/>
        <w:t xml:space="preserve">      la Convención;</w:t>
        <w:br/>
        <w:br/>
        <w:br/>
        <w:t xml:space="preserve">      n)    que el criterio de la  Corte  en  materia  de  supuestos  vicios</w:t>
        <w:br/>
        <w:t xml:space="preserve">      formales es que, en relación con la protección  internacional  de  los</w:t>
        <w:br/>
        <w:t xml:space="preserve">      derechos humanos, las formalidades ante los organismos internacionales</w:t>
        <w:br/>
        <w:t xml:space="preserve">      no están llamadas a jugar el  mismo  papel  que  ante  los  tribunales</w:t>
        <w:br/>
        <w:t xml:space="preserve">      locales;</w:t>
        <w:br/>
        <w:br/>
        <w:br/>
        <w:t xml:space="preserve">      o)    que de conformidad con la teoría de los poderes implícitos,  los</w:t>
        <w:br/>
        <w:t xml:space="preserve">      propios órganos de control pueden utilizar aquellas facultades que  si</w:t>
        <w:br/>
        <w:t xml:space="preserve">      bien no se señalan en forma expresa en los textos  fundamentales,  son</w:t>
        <w:br/>
        <w:t xml:space="preserve">      inherentes al órgano en consideración a sus fines; y</w:t>
        <w:br/>
        <w:br/>
        <w:br/>
        <w:t xml:space="preserve">      p)    que consideraciones de tipo formal no pueden ir en detrimento de</w:t>
        <w:br/>
        <w:t xml:space="preserve">      la realización de la justicia.</w:t>
        <w:br/>
        <w:br/>
        <w:t>31.   La cuarta  excepción  interpuesta  por  el  Estado  se  refiere  a  la</w:t>
        <w:br/>
        <w:t>caducidad de la demanda de la Comisión interpuesta ante la Corte.</w:t>
        <w:br/>
        <w:br/>
        <w:t>32.   Para fundamentar dicha excepción, Panamá presentó  los  argumentos  de</w:t>
        <w:br/>
        <w:t>hecho y de derecho que a continuación se resumen:</w:t>
        <w:br/>
        <w:br/>
        <w:t xml:space="preserve">      a)    que la Comisión  nunca  aprobó  en  la  forma  y  procedimientos</w:t>
        <w:br/>
        <w:t xml:space="preserve">      estipulados tanto en la Convención como en los Reglamentos  atinentes,</w:t>
        <w:br/>
        <w:t xml:space="preserve">      el informe de remisión de un caso a la  Corte  a  que  se  refiere  el</w:t>
        <w:br/>
        <w:t xml:space="preserve">      artículo 51.1 de la Convención.  Por el contrario, realizó “una  serie</w:t>
        <w:br/>
        <w:t xml:space="preserve">      de llamadas telefónicas a cinco miembros de la Comisión  [consignadas]</w:t>
        <w:br/>
        <w:t xml:space="preserve">      en un documento informal y poco solemne que LA COMISION  [ha  llamado]</w:t>
        <w:br/>
        <w:t xml:space="preserve">      ‘ACTA DE CONFERENCIA TELEFONICA...’”;</w:t>
        <w:br/>
        <w:br/>
        <w:t xml:space="preserve">      b)    que la demanda contra Panamá  adolece  de  un  vicio  formal  de</w:t>
        <w:br/>
        <w:t xml:space="preserve">      legalidad, que “anula” la remisión del caso 11.325 a la  Corte  porque</w:t>
        <w:br/>
        <w:t xml:space="preserve">      se venció el plazo de tres meses, sin que el  informe  correspondiente</w:t>
        <w:br/>
        <w:t xml:space="preserve">      se haya hecho y presentado conforme a lo que la Convención  establece.</w:t>
        <w:br/>
        <w:t xml:space="preserve">      Es por ello que el derecho de la Comisión de remitir el presente  caso</w:t>
        <w:br/>
        <w:t xml:space="preserve">      a la Corte caducó;</w:t>
        <w:br/>
        <w:br/>
        <w:br/>
        <w:t xml:space="preserve">      c)    que la Comisión remitió el caso  a  la  Corte  basándose  en  el</w:t>
        <w:br/>
        <w:t xml:space="preserve">      Informe No. 37/97 de 16 de octubre de  1997,  en  el  cual  en  ningún</w:t>
        <w:br/>
        <w:t xml:space="preserve">      momento se establece la posibilidad de que en caso de no  cumplimiento</w:t>
        <w:br/>
        <w:t xml:space="preserve">      por parte del Estado se pueda enviar el caso a la Corte;</w:t>
        <w:br/>
        <w:br/>
        <w:br/>
        <w:t xml:space="preserve">      d)     que  la  Corte  no  puede  dejar  que   la   Comisión   utilice</w:t>
        <w:br/>
        <w:t xml:space="preserve">      arbitrariamente los plazos y menos si son de los  contemplados  en  la</w:t>
        <w:br/>
        <w:t xml:space="preserve">      Convención; y</w:t>
        <w:br/>
        <w:br/>
        <w:br/>
        <w:t xml:space="preserve">      e)    que dentro de los límites de temporalidad  y  razonabilidad,  el</w:t>
        <w:br/>
        <w:t xml:space="preserve">      plazo de tres meses dado a la  Comisión  para  que  presente  el  caso</w:t>
        <w:br/>
        <w:t xml:space="preserve">      11.325 a la Corte, en aplicación de lo establecido en el artículo 51.1</w:t>
        <w:br/>
        <w:t xml:space="preserve">      de la Convención y en el artículo 43 del Reglamento  de  la  Comisión,</w:t>
        <w:br/>
        <w:t xml:space="preserve">      caducó después del día 16 de enero de 1998.</w:t>
        <w:br/>
        <w:br/>
        <w:br/>
        <w:t>33.   Por su parte la Comisión argumentó:</w:t>
        <w:br/>
        <w:br/>
        <w:t xml:space="preserve">      a)    que esta excepción preliminar se encuentra íntimamente ligada  a</w:t>
        <w:br/>
        <w:t xml:space="preserve">      la primera y parte del error conceptual del  Estado  de  equiparar  el</w:t>
        <w:br/>
        <w:t xml:space="preserve">      informe del artículo 51 de la Convención con el escrito de la demanda;</w:t>
        <w:br/>
        <w:br/>
        <w:br/>
        <w:t xml:space="preserve">      b)    que la Convención no requiere  que  se  prepare  un  informe  de</w:t>
        <w:br/>
        <w:t xml:space="preserve">      remisión del caso a la Corte sino que por el contrario exige tan  sólo</w:t>
        <w:br/>
        <w:t xml:space="preserve">      que se presente la demanda, la cual fue presentada dentro del plazo de</w:t>
        <w:br/>
        <w:t xml:space="preserve">      tres meses calendario contados a partir de la fecha  de  remisión  del</w:t>
        <w:br/>
        <w:t xml:space="preserve">      Informe No. 37/97 al Estado; y</w:t>
        <w:br/>
        <w:br/>
        <w:br/>
        <w:t xml:space="preserve">      c)    que al no darse los presupuestos de hecho que fundamentarían  la</w:t>
        <w:br/>
        <w:t xml:space="preserve">      caducidad del derecho de la Comisión a interponer la demanda, la Corte</w:t>
        <w:br/>
        <w:t xml:space="preserve">      debe rechazar la excepción interpuesta.</w:t>
        <w:br/>
        <w:br/>
        <w:t xml:space="preserve">                                    * * *</w:t>
        <w:br/>
        <w:br/>
        <w:t>34.   La  Corte  procede  a  considerar  la  primera  y  cuarta  excepciones</w:t>
        <w:br/>
        <w:t>preliminares.</w:t>
        <w:br/>
        <w:br/>
        <w:t>35.    El  Estado  manifestó  que  la  Comisión  no  actuó  conforme  a   lo</w:t>
        <w:br/>
        <w:t>establecido en la Convención y en su Reglamento, respecto del  envío  de  un</w:t>
        <w:br/>
        <w:t>caso a la Corte, ya que el informe a que se refiere el artículo 51.1  de  la</w:t>
        <w:br/>
        <w:t>Convención tiene carácter definitivo y es el  único  instrumento  por  medio</w:t>
        <w:br/>
        <w:t>del cual se puede disponer el envío de un caso a la Corte.</w:t>
        <w:br/>
        <w:br/>
        <w:t>36.   El artículo 51 de la Convención señala que:</w:t>
        <w:br/>
        <w:br/>
        <w:t xml:space="preserve">      1.    Si en el plazo de tres meses, a partir  de  la 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t>37.   El artículo 50 de la Convención se refiere a la emisión, por parte de</w:t>
        <w:br/>
        <w:t>la Comisión, de un informe que se le  transmite  al  Estado,  con  carácter</w:t>
        <w:br/>
        <w:t>reservado, para que cumpla una serie  de  recomendaciones  y  solucione  el</w:t>
        <w:br/>
        <w:t>asunto.  Si dentro de los tres meses siguientes a la remisión  del  informe</w:t>
        <w:br/>
        <w:t>al Estado, el asunto no se ha solucionado y la Comisión considera que aquel</w:t>
        <w:br/>
        <w:t>no cumplió, ésta tendrá dos opciones: enviar el caso a la Corte mediante la</w:t>
        <w:br/>
        <w:t>interposición de la demanda o emitir el  informe  del  artículo  51  de  la</w:t>
        <w:br/>
        <w:t>Convención, el cual, mediante votación de mayoría absoluta de sus miembros,</w:t>
        <w:br/>
        <w:t>contendrá su opinión  y  conclusiones  sobre  la  cuestión  sometida  a  su</w:t>
        <w:br/>
        <w:t>consideración.  Al igual que en el informe del artículo 50, en  el  informe</w:t>
        <w:br/>
        <w:t>del artículo 51 la Comisión debe fijar un plazo dentro del cual  el  Estado</w:t>
        <w:br/>
        <w:t>deberá tomar las medidas pertinentes para cumplir  las  recomendaciones  y,</w:t>
        <w:br/>
        <w:t>por  ende,  remediar  la  situación   examinada.    Finalmente,   una   vez</w:t>
        <w:br/>
        <w:t>transcurrido el plazo, la Comisión evaluará si el Estado cumplió y,  en  su</w:t>
        <w:br/>
        <w:t>caso, decidirá si publica o no dicho informe (cfr: artículos 50 y 51 de  la</w:t>
        <w:br/>
        <w:t>Convención).  La Corte ya ha dicho que esta decisión  no  es  discrecional,</w:t>
        <w:br/>
        <w:t>sino que “debe apoyarse en la alternativa que sea  más  favorable  para  la</w:t>
        <w:br/>
        <w:t>tutela de los derechos humanos” establecidos  en  la  Convención.  (Ciertas</w:t>
        <w:br/>
        <w:t>atribuciones de la Comisión Interamericana de Derechos Humanos  (arts.  41,</w:t>
        <w:br/>
        <w:t>42, 44, 46, 47, 50 y 51 de la Convención Americana sobre Derechos Humanos),</w:t>
        <w:br/>
        <w:t>Opinión Consultiva OC-13/93 de 16 de julio de 1993.  Serie A No. 13,  párr.</w:t>
        <w:br/>
        <w:t>54).</w:t>
        <w:br/>
        <w:br/>
        <w:t>38.   Una vez que se ha introducido un caso a la Corte no se pueden aplicar</w:t>
        <w:br/>
        <w:t>las disposiciones del artículo 51 de la Convención, ya que la interposición</w:t>
        <w:br/>
        <w:t>de la demanda está sujeta a la condición de que no  se  haya  publicado  el</w:t>
        <w:br/>
        <w:t>informe del artículo citado.  Si la Comisión prepara o publica  el  informe</w:t>
        <w:br/>
        <w:t>del artículo 51, a pesar de  haber  presentado  el  caso  a  la  Corte,  se</w:t>
        <w:br/>
        <w:t>desprende que aplicó  indebidamente  la  Convención.   Por  estas  razones,</w:t>
        <w:br/>
        <w:t>Panamá interpretó erróneamente la normativa aplicable.</w:t>
        <w:br/>
        <w:br/>
        <w:t>39.    La  Corte  considera  que  es  evidente  la   confusión   entre   la</w:t>
        <w:br/>
        <w:t>interposición de la demanda y la emisión del informe del artículo 51 de  la</w:t>
        <w:br/>
        <w:t>Convención.  Como ya la Corte señaló (supra, párr. 38), estas dos  opciones</w:t>
        <w:br/>
        <w:t>son excluyentes una de la otra y no se requiere de ambas para que se  pueda</w:t>
        <w:br/>
        <w:t>interponer un caso ante este Tribunal.</w:t>
        <w:br/>
        <w:br/>
        <w:t>40.   Según el Estado, el “Acta de  la  conferencia  telefónica  entre  los</w:t>
        <w:br/>
        <w:t>miembros de la Comisión Interamericana de  Derechos  Humanos  para  decidir</w:t>
        <w:br/>
        <w:t>[el] envío a la Corte  Interamericana  de  Derechos  Humanos  del  caso  de</w:t>
        <w:br/>
        <w:t>trabajadores del Estado de Panamá destituidos por la ley 25 de  1990”,  “es</w:t>
        <w:br/>
        <w:t>un procedimiento informal e irregular basado en una evidente interpretación</w:t>
        <w:br/>
        <w:t>errónea y de mala fe de las normas procesales”.  Al respecto,  la  Comisión</w:t>
        <w:br/>
        <w:t>señaló que tuvo que tomar la decisión de esa forma pues, de  lo  contrario,</w:t>
        <w:br/>
        <w:t>hubiere vencido el plazo de tres meses y que lo  hizo  de  acuerdo  con  la</w:t>
        <w:br/>
        <w:t>letra de la Convención y su Reglamento y  la  jurisprudencia  de  la  Corte</w:t>
        <w:br/>
        <w:t>(supra, párr. 30.c, e, g y j).</w:t>
        <w:br/>
        <w:br/>
        <w:t>41.   La Corte procede  a  analizar  la  validez  del  acta  de  conferencia</w:t>
        <w:br/>
        <w:t>telefónica  de  la  Comisión.   La  Corte  ha  advertido,  en  cuanto  a  la</w:t>
        <w:br/>
        <w:t>observancia  de  ciertas  formalidades,  que  es  esencial   preservar   las</w:t>
        <w:br/>
        <w:t>condiciones necesarias para la plena vigencia de los derechos  procesales  y</w:t>
        <w:br/>
        <w:t>para que se alcancen los fines para los cuales  han  sido  establecidos  los</w:t>
        <w:br/>
        <w:t>procedimientos en la Convención y los reglamentos de la Comisión y la  Corte</w:t>
        <w:br/>
        <w:t>(cfr: Caso Castillo Petruzzi, Excepciones Preliminares. Sentencia  de  4  de</w:t>
        <w:br/>
        <w:t>septiembre de 1998. Serie C No.  41,  párr.  77;  Caso  Paniagua  Morales  y</w:t>
        <w:br/>
        <w:t>Otros, Excepciones Preliminares. Sentencia de 25 de enero de 1996.  Serie  C</w:t>
        <w:br/>
        <w:t>No. 23, párr. 42; Caso Gangaram Panday, Excepciones Preliminares.  Sentencia</w:t>
        <w:br/>
        <w:t>de 4 de diciembre de 1991. Serie C No. 12,  párr.  18;  Caso  Godínez  Cruz.</w:t>
        <w:br/>
        <w:t>Excepciones Preliminares. Sentencia de 26 de junio de 1987.  Serie C No.  3,</w:t>
        <w:br/>
        <w:t>párr. 36; Caso Fairén Garbi  y  Solís  Corrales,  Excepciones  Preliminares.</w:t>
        <w:br/>
        <w:t>Sentencia de 26 de junio de 1987.  Serie C No. 2, párr. 38;  Caso  Velásquez</w:t>
        <w:br/>
        <w:t>Rodríguez, Excepciones Preliminares. Sentencia  de  26  de  junio  de  1987.</w:t>
        <w:br/>
        <w:t>Serie C No. 1, párr., 33).</w:t>
        <w:br/>
        <w:br/>
        <w:t>42.   Asimismo, este Tribunal ha señalado que</w:t>
        <w:br/>
        <w:br/>
        <w:t xml:space="preserve">      [l]a Corte debe guardar un justo equilibrio entre la protección de los</w:t>
        <w:br/>
        <w:t xml:space="preserve">      derechos humanos, fin último del sistema, y la  seguridad  jurídica  y</w:t>
        <w:br/>
        <w:t xml:space="preserve">      equidad procesal que aseguran la estabilidad  y  confiabilidad  de  la</w:t>
        <w:br/>
        <w:t xml:space="preserve">      tutela internacional [porque de lo contrario] acarrearía la pérdida de</w:t>
        <w:br/>
        <w:t xml:space="preserve">      la autoridad y credibilidad indispensables en los  órganos  encargados</w:t>
        <w:br/>
        <w:t xml:space="preserve">      de administrar el sistema de  protección  de  derechos  humanos  (Caso</w:t>
        <w:br/>
        <w:t xml:space="preserve">      Cayara, Excepciones Preliminares. Sentencia de 3 de febrero  de  1993.</w:t>
        <w:br/>
        <w:t xml:space="preserve">      Serie C  No.  14,  párr.  63  y  Caso  Caballero  Delgado  y  Santana,</w:t>
        <w:br/>
        <w:t xml:space="preserve">      Excepciones Preliminares. Sentencia de 21 de enero de 1994.   Serie  C</w:t>
        <w:br/>
        <w:t xml:space="preserve">      No. 17, párr. 44).</w:t>
        <w:br/>
        <w:br/>
        <w:t>43.   No hay disposición alguna en la Convención ni en los  Reglamentos  de</w:t>
        <w:br/>
        <w:t>la Corte y de la Comisión que determine la manera  cómo  la  Comisión  debe</w:t>
        <w:br/>
        <w:t>decidir el envío de un caso a  la  Corte.   Ante  ese  vacío  normativo  la</w:t>
        <w:br/>
        <w:t>Comisión dispone de un cierto margen de  discrecionalidad  para  actuar,  a</w:t>
        <w:br/>
        <w:t>condición de que se respeten los derechos procesales de las  partes.   Este</w:t>
        <w:br/>
        <w:t>Tribunal considera que, en el presente caso, la Comisión  cumplió  con  los</w:t>
        <w:br/>
        <w:t>presupuestos básicos de la Convención al respecto.  La  justicia  no  puede</w:t>
        <w:br/>
        <w:t>ser sacrificada por meras formalidades.  Es importante  que  un  órgano  no</w:t>
        <w:br/>
        <w:t>permanente como la Comisión, siga el ritmo de vida contemporáneo y se valga</w:t>
        <w:br/>
        <w:t>de los  avances  tecnológicos  y  los  medios  electrónicos  modernos  para</w:t>
        <w:br/>
        <w:t>facilitar sus comunicaciones, de modo que las mismas operen con la  fluidez</w:t>
        <w:br/>
        <w:t>y celeridad debidas, sin menoscabo de la seguridad jurídica  y  la  equidad</w:t>
        <w:br/>
        <w:t>procesal. (cfr. Caso Paniagua Morales. Excepciones Preliminares, supra  41,</w:t>
        <w:br/>
        <w:t>párr. 35).</w:t>
        <w:br/>
        <w:br/>
        <w:t>44.   En consecuencia, la  Corte  desestima  por  improcedente  la  primera</w:t>
        <w:br/>
        <w:t>excepción preliminar.</w:t>
        <w:br/>
        <w:br/>
        <w:t>45.   En relación con la cuarta excepción, el Estado la interpuso aduciendo</w:t>
        <w:br/>
        <w:t>que como la Comisión no adoptó el informe del artículo 51 de la Convención,</w:t>
        <w:br/>
        <w:t>la demanda adolece de un vicio que anula y que causa la caducidad del plazo</w:t>
        <w:br/>
        <w:t>de tres meses para  su  interposición.   Esta  excepción  está  íntimamente</w:t>
        <w:br/>
        <w:t>ligada con la primera.</w:t>
        <w:br/>
        <w:br/>
        <w:t>46.   En razón de que este Tribunal consideró válida el acta de conferencia</w:t>
        <w:br/>
        <w:t>telefónica  y,  por  ende,  la  interposición  de  la  demanda,  procede  a</w:t>
        <w:br/>
        <w:t>desestimar también la cuarta excepción preliminar, al considerar que  dicha</w:t>
        <w:br/>
        <w:t>demanda se interpuso dentro del plazo establecido al efecto.</w:t>
        <w:br/>
        <w:br/>
        <w:br/>
        <w:br/>
        <w:t xml:space="preserve">                                     VII</w:t>
        <w:br/>
        <w:br/>
        <w:t xml:space="preserve">                             Segunda excepción:</w:t>
        <w:br/>
        <w:br/>
        <w:br/>
        <w:t xml:space="preserve">                               Litispendencia</w:t>
        <w:br/>
        <w:br/>
        <w:br/>
        <w:t>47.   La segunda excepción  interpuesta  por  el  Estado  se  refiere  a  la</w:t>
        <w:br/>
        <w:t>supuesta duplicidad de procedimientos internacionales.</w:t>
        <w:br/>
        <w:br/>
        <w:t>48.   Al respecto, el Estado alegó:</w:t>
        <w:br/>
        <w:br/>
        <w:t>A. Argumentos sobre los hechos:</w:t>
        <w:br/>
        <w:t xml:space="preserve">           1.    que  los  Sindicatos  de  Trabajadores  del  Instituto  de</w:t>
        <w:br/>
        <w:t xml:space="preserve">      Recursos Hidráulicos y Electrificación (en adelante “SITIRHE”)  y  del</w:t>
        <w:br/>
        <w:t xml:space="preserve">      Instituto Nacional  de  Telecomunicaciones  (en  adelante  “SITINTEL”)</w:t>
        <w:br/>
        <w:t xml:space="preserve">      denunciaron al Estado ante la OIT por emitir la Ley No. 25 de  1990  y</w:t>
        <w:br/>
        <w:t xml:space="preserve">      por el supuesto despido indiscriminado y masivo  de  trabajadores  del</w:t>
        <w:br/>
        <w:t xml:space="preserve">      sector público que participaron  en  un  paro  laboral  el  día  5  de</w:t>
        <w:br/>
        <w:t xml:space="preserve">      diciembre de 1990;</w:t>
        <w:br/>
        <w:t xml:space="preserve">           2.    que la OIT encontró culpable a Panamá por la violación  de</w:t>
        <w:br/>
        <w:t xml:space="preserve">      una serie de normas internacionales del trabajo;</w:t>
        <w:br/>
        <w:t xml:space="preserve">           3.    que la OIT emitió una resolución recomendando una serie de</w:t>
        <w:br/>
        <w:t xml:space="preserve">      medidas que debían ser cumplidas bajo la  pena  de  la  aplicación  de</w:t>
        <w:br/>
        <w:t xml:space="preserve">      sanciones internacionales por la violación de los Convenios de la OIT;</w:t>
        <w:br/>
        <w:t xml:space="preserve">           4.    que luego los peticionarios presentaron idénticos reclamos</w:t>
        <w:br/>
        <w:t xml:space="preserve">      ante la Comisión el 18 de enero de 1994; y</w:t>
        <w:br/>
        <w:t xml:space="preserve">           5.    que la Comisión no declaró inadmisible el  caso  11.325  a</w:t>
        <w:br/>
        <w:t xml:space="preserve">      sabiendas  de  que  la  OIT  había  emitido  una  resolución  en  1995</w:t>
        <w:br/>
        <w:t xml:space="preserve">      condenando a Panamá por  el  despido  masivo  de  trabajadores  y  que</w:t>
        <w:br/>
        <w:t xml:space="preserve">      posteriormente omitió de “mala fe” informar en su escrito  de  demanda</w:t>
        <w:br/>
        <w:t xml:space="preserve">      ante  la  Corte,  la  existencia  de  este  procedimiento  de  arreglo</w:t>
        <w:br/>
        <w:t xml:space="preserve">      internacional.</w:t>
        <w:br/>
        <w:br/>
        <w:t>B. Fundamentos de derecho:</w:t>
        <w:br/>
        <w:t xml:space="preserve">           1.     que  la  Comisión  no  debió  de  aceptar   la   denuncia</w:t>
        <w:br/>
        <w:t xml:space="preserve">      presentada, pero  que,  pese  a  que  conocía  la  existencia  de  una</w:t>
        <w:br/>
        <w:t xml:space="preserve">      duplicidad de procedimientos, no sólo admitió dicha petición sino  que</w:t>
        <w:br/>
        <w:t xml:space="preserve">      emitió el Informe No. 37/97 y remitió el caso a la Corte;</w:t>
        <w:br/>
        <w:t xml:space="preserve">           2.    que la existencia de  esta  duplicidad  de  procedimientos</w:t>
        <w:br/>
        <w:t xml:space="preserve">      afecta la admisibilidad  del  caso  11.325,  al  haberse  violado  los</w:t>
        <w:br/>
        <w:t xml:space="preserve">      artículos 46.1.c, 47.d y 62.3 de la Convención;</w:t>
        <w:br/>
        <w:t xml:space="preserve">           3.    que según los artículos antes mencionados  y  el  artículo</w:t>
        <w:br/>
        <w:t xml:space="preserve">      39, incisos 1.a y 1.b del Reglamento de la Comisión, no puede  existir</w:t>
        <w:br/>
        <w:t xml:space="preserve">      una duplicidad de procedimientos de arreglo internacional, relacionada</w:t>
        <w:br/>
        <w:t xml:space="preserve">      tanto con la materia como con los sujetos de la denuncia;</w:t>
        <w:br/>
        <w:t xml:space="preserve">           4.    que la Comisión Europea de Derechos Humanos,  al  analizar</w:t>
        <w:br/>
        <w:t xml:space="preserve">      casos presentados al amparo  del  artículo  27.1.b  de  la  Convención</w:t>
        <w:br/>
        <w:t xml:space="preserve">      Europea de Derechos Humanos, que en sustancia y redacción  es  similar</w:t>
        <w:br/>
        <w:t xml:space="preserve">      al artículo 46.1 de la Convención  Americana,  ha  sido  constante  en</w:t>
        <w:br/>
        <w:t xml:space="preserve">      rechazar la admisión de un caso cuando ha sido previamente sometido  a</w:t>
        <w:br/>
        <w:t xml:space="preserve">      la OIT; y</w:t>
        <w:br/>
        <w:t xml:space="preserve">           5.    que la Comisión actuó fuera del  marco  de  las  normas  y</w:t>
        <w:br/>
        <w:t xml:space="preserve">      procedimientos interamericanos ya citados  desde  el  momento  en  que</w:t>
        <w:br/>
        <w:t xml:space="preserve">      sabía que se había presentado la misma petición ante la OIT.</w:t>
        <w:br/>
        <w:br/>
        <w:t>49.   Por último, el Estado  solicitó  a  la  Corte  considerar,  revisar  y</w:t>
        <w:br/>
        <w:t>reevaluar  la  totalidad  de  los  hechos   involucrados   en   este   caso,</w:t>
        <w:br/>
        <w:t>particularmente los referidos a la duplicidad de procedimientos que  se  han</w:t>
        <w:br/>
        <w:t>dado a partir de la remisión del caso a la OIT y a  la  Comisión;  acoger  y</w:t>
        <w:br/>
        <w:t>declarar fundada la excepción preliminar deducida;  rechazar  la  demanda  y</w:t>
        <w:br/>
        <w:t>archivar el expediente del caso.</w:t>
        <w:br/>
        <w:br/>
        <w:t>50.   Por su parte, la Comisión argumentó:</w:t>
        <w:br/>
        <w:br/>
        <w:t xml:space="preserve">      a)    que los artículos 47.d de la Convención y 39.1.b del  Reglamento</w:t>
        <w:br/>
        <w:t xml:space="preserve">      de la Comisión se refieren al tema de la litispendencia al utilizar el</w:t>
        <w:br/>
        <w:t xml:space="preserve">      término “sustancialmente la reproducción”;</w:t>
        <w:br/>
        <w:br/>
        <w:br/>
        <w:t xml:space="preserve">      b)    que la jurisprudencia internacional ha establecido que hay  tres</w:t>
        <w:br/>
        <w:t xml:space="preserve">      elementos para determinar si una petición es sustancialmente la  misma</w:t>
        <w:br/>
        <w:t xml:space="preserve">      que una previamente decidida, a saber: la víctima debe ser  la  misma,</w:t>
        <w:br/>
        <w:t xml:space="preserve">      la petición debe basarse sobre los mismos hechos y la base legal  debe</w:t>
        <w:br/>
        <w:t xml:space="preserve">      ser la misma;</w:t>
        <w:br/>
        <w:br/>
        <w:br/>
        <w:t xml:space="preserve">        c) que ninguno de estos tres elementos se encuentran  presentes  en</w:t>
        <w:br/>
        <w:t xml:space="preserve">           el caso que está  bajo  el  conocimiento  de  la  Corte,  porque</w:t>
        <w:br/>
        <w:t xml:space="preserve">           existen las siguientes diferencias entre ambos procesos:</w:t>
        <w:br/>
        <w:br/>
        <w:br/>
        <w:t xml:space="preserve">           1.    el objeto de la demanda ante la Corte  hace  referencia  a</w:t>
        <w:br/>
        <w:t xml:space="preserve">           270 víctimas específicas, mientras que en el procedimiento  ante</w:t>
        <w:br/>
        <w:t xml:space="preserve">           el Comité de Libertad Sindical en ningún momento se hace mención</w:t>
        <w:br/>
        <w:t xml:space="preserve">           del nombre de ninguna de las víctimas que constituyen el  objeto</w:t>
        <w:br/>
        <w:t xml:space="preserve">           de la presente demanda;  por  lo  tanto,  ninguna  de  ellas  ha</w:t>
        <w:br/>
        <w:t xml:space="preserve">           obtenido  una  respuesta  particularizada,  que  le  diera   una</w:t>
        <w:br/>
        <w:t xml:space="preserve">           satisfacción personal por parte del Comité de Libertad Sindical;</w:t>
        <w:br/>
        <w:br/>
        <w:br/>
        <w:t xml:space="preserve">           2.    el caso  ante  la  Corte  se  refiere  también  al  debido</w:t>
        <w:br/>
        <w:t xml:space="preserve">           proceso, lo cual no constituyó objeto de pronunciamiento  ni  de</w:t>
        <w:br/>
        <w:t xml:space="preserve">           estudio por parte del Comité de Libertad Sindical,  pues  muchas</w:t>
        <w:br/>
        <w:t xml:space="preserve">           de las decisiones cuestionadas se emitieron con posterioridad al</w:t>
        <w:br/>
        <w:t xml:space="preserve">           pronunciamiento de la OIT.  Ante el  Comité,  las  denuncias  se</w:t>
        <w:br/>
        <w:t xml:space="preserve">           referían a violaciones a la libertad sindical, y ante la  Corte,</w:t>
        <w:br/>
        <w:t xml:space="preserve">           la demanda se refiere a violaciones de la Convención; y</w:t>
        <w:br/>
        <w:br/>
        <w:br/>
        <w:t xml:space="preserve">           3.    los derechos invocados ante el Comité (relacionados con la</w:t>
        <w:br/>
        <w:t xml:space="preserve">           libertad  sindical,  especialmente  por  la  violación   a   los</w:t>
        <w:br/>
        <w:t xml:space="preserve">           Convenios 87 y 98 de la OIT) no coinciden con  aquellos  que  se</w:t>
        <w:br/>
        <w:t xml:space="preserve">           invocaron  ante  la  Corte  (relacionados  con   las   garantías</w:t>
        <w:br/>
        <w:t xml:space="preserve">           judiciales, el debido proceso, la presunción  de  inocencia,  el</w:t>
        <w:br/>
        <w:t xml:space="preserve">           principio de legalidad y de irretroactividad, el  derecho  a  la</w:t>
        <w:br/>
        <w:t xml:space="preserve">           indemnización, el derecho de reunión, la libertad de asociación,</w:t>
        <w:br/>
        <w:t xml:space="preserve">           el derecho a la protección judicial,  el  deber  de  cumplir  de</w:t>
        <w:br/>
        <w:t xml:space="preserve">           buena fe las recomendaciones de la Comisión y las  disposiciones</w:t>
        <w:br/>
        <w:t xml:space="preserve">           generales de los artículos 1.1  y  2  de  la  Convención)  y  no</w:t>
        <w:br/>
        <w:t xml:space="preserve">           constituyeron ni el objeto de la petición ante la Comisión ni el</w:t>
        <w:br/>
        <w:t xml:space="preserve">           de la demanda ante la Corte;</w:t>
        <w:br/>
        <w:br/>
        <w:t xml:space="preserve">      d)    que el Comité de Derechos Humanos  de  las  Naciones  Unidas  ha</w:t>
        <w:br/>
        <w:t xml:space="preserve">      indicado que si no se individualiza a una víctima, particularmente  en</w:t>
        <w:br/>
        <w:t xml:space="preserve">      la petición original, no puede considerarse que exista  duplicidad  si</w:t>
        <w:br/>
        <w:t xml:space="preserve">      su nombre aparece de manera determinada  y  especial  en  una  segunda</w:t>
        <w:br/>
        <w:t xml:space="preserve">      petición;</w:t>
        <w:br/>
        <w:br/>
        <w:br/>
        <w:t xml:space="preserve">   e) que el Estado  renunció  tácitamente  a  interponer  la  excepción  de</w:t>
        <w:br/>
        <w:t xml:space="preserve">      duplicidad, pues no la alegó ante la Comisión, con lo cual precluyó su</w:t>
        <w:br/>
        <w:t xml:space="preserve">      derecho.  Según la Comisión, la posición del Estado de que la Comisión</w:t>
        <w:br/>
        <w:t xml:space="preserve">      debió rechazar la denuncia por  conocer  supuestamente  la  causal  de</w:t>
        <w:br/>
        <w:t xml:space="preserve">      duplicidad, a pesar de que Panamá no se opuso ante ella, es totalmente</w:t>
        <w:br/>
        <w:t xml:space="preserve">      inaceptable pues es contraria a los principios procesales  que  emanan</w:t>
        <w:br/>
        <w:t xml:space="preserve">      de la Convención y de la jurisprudencia del Tribunal;</w:t>
        <w:br/>
        <w:br/>
        <w:t xml:space="preserve">      f)    que la inadmisibilidad del caso no era manifiesta ni evidente  y</w:t>
        <w:br/>
        <w:t xml:space="preserve">      que el Estado tenía, tanto el  derecho  como  la  carga  procesal,  de</w:t>
        <w:br/>
        <w:t xml:space="preserve">      oponer la excepción  de  duplicidad  de  procedimientos  y  probar  su</w:t>
        <w:br/>
        <w:t xml:space="preserve">      procedencia;</w:t>
        <w:br/>
        <w:br/>
        <w:br/>
        <w:t xml:space="preserve">      g)    que la falta de alegación en tiempo por parte de Panamá  impidió</w:t>
        <w:br/>
        <w:t xml:space="preserve">      a la Comisión y a las víctimas ejercer su derecho de defensa  respecto</w:t>
        <w:br/>
        <w:t xml:space="preserve">      de ésta;</w:t>
        <w:br/>
        <w:br/>
        <w:br/>
        <w:t xml:space="preserve">      h)    que en virtud de los principios de buena fe e igualdad procesal,</w:t>
        <w:br/>
        <w:t xml:space="preserve">      el Estado no puede introducir tardía y extemporáneamente una  cuestión</w:t>
        <w:br/>
        <w:t xml:space="preserve">      de admisibilidad no alegada ante la Comisión; e</w:t>
        <w:br/>
        <w:br/>
        <w:br/>
        <w:t xml:space="preserve">      i)    que el  Estado  tuvo  amplias  oportunidades  para  responder  e</w:t>
        <w:br/>
        <w:t xml:space="preserve">      interponer  la  excepción  de  duplicidad,  pero  en  ninguna  de  sus</w:t>
        <w:br/>
        <w:t xml:space="preserve">      comparecencias la invocó, por lo que en razón  de  los  principios  de</w:t>
        <w:br/>
        <w:t xml:space="preserve">      buena fe y de igualdad procesal, se presume su renuncia  tácita  y  es</w:t>
        <w:br/>
        <w:t xml:space="preserve">      extemporánea su interposición en esta etapa procesal ante la Corte.</w:t>
        <w:br/>
        <w:br/>
        <w:br/>
        <w:t xml:space="preserve">                                    * * *</w:t>
        <w:br/>
        <w:br/>
        <w:t>51.   La Corte procede a considerar la segunda excepción preliminar.</w:t>
        <w:br/>
        <w:br/>
        <w:t>52.   El artículo 47 de la Convención Americana señala que:</w:t>
        <w:br/>
        <w:br/>
        <w:t xml:space="preserve">      La  Comisión  declarará  inadmisible  toda  petición  o   comunicación</w:t>
        <w:br/>
        <w:t xml:space="preserve">      presentada de acuerdo con los artículos 44 ó 45 cuando:</w:t>
        <w:br/>
        <w:br/>
        <w:br/>
        <w:br/>
        <w:br/>
        <w:t xml:space="preserve">      d.    sea sustancialmente la reproducción de petición  o  comunicación</w:t>
        <w:br/>
        <w:t xml:space="preserve">      anterior ya examinada por la Comisión u otro organismo internacional.</w:t>
        <w:br/>
        <w:br/>
        <w:br/>
        <w:br/>
        <w:t>53.   La frase “sustancialmente la reproducción” significa que debe  existir</w:t>
        <w:br/>
        <w:t>identidad entre los casos.  Para que exista dicha identidad se  requiere  la</w:t>
        <w:br/>
        <w:t>presencia de tres elementos, a saber: que las partes sean  las  mismas,  que</w:t>
        <w:br/>
        <w:t>el objeto sea el mismo y que la base legal sea  idéntica.   En  el  presente</w:t>
        <w:br/>
        <w:t>caso no hay duplicidad de procedimientos.</w:t>
        <w:br/>
        <w:br/>
        <w:t>54.   En relación con el sujeto, la Corte ha señalado que  “el  concepto  de</w:t>
        <w:br/>
        <w:t>‘personas’ tiene que ver con los sujetos activos y pasivos de la  violación,</w:t>
        <w:br/>
        <w:t>y principalmente con estos últimos, es decir, las víctimas”.   (Caso  Durand</w:t>
        <w:br/>
        <w:t>y Ugarte, Excepciones Preliminares. Sentencia de 28 de mayo de  1999.  Serie</w:t>
        <w:br/>
        <w:t>C No. 50, párr. 43)  En el presente  caso,  únicamente  la  parte  demandada</w:t>
        <w:br/>
        <w:t>ante el Comité de Libertad Sindical de la OIT y la Corte  es  la  misma,  el</w:t>
        <w:br/>
        <w:t>Estado panameño.  La parte demandante (peticionarios) no es idéntica  puesto</w:t>
        <w:br/>
        <w:t>que ante el Comité de Libertad Sindical lo fue SITIRHE y SITINTEL  a  través</w:t>
        <w:br/>
        <w:t>de  la  Confederación  Internacional  de  Organizaciones  Sindicales  Libres</w:t>
        <w:br/>
        <w:t>(CIOSL-ORIT) y ante la Comisión Interamericana lo fue el Comité Panameño  de</w:t>
        <w:br/>
        <w:t>los Derechos Humanos. Tampoco hay identidad en cuanto  a  las  víctimas,  ya</w:t>
        <w:br/>
        <w:t>que el Comité de Libertad Sindical  hace  referencia  a  la  generalidad  de</w:t>
        <w:br/>
        <w:t>trabajadores y dirigentes  sindicales  de  SITIRHE  y  SITINTEL  que  fueron</w:t>
        <w:br/>
        <w:t>despedidos, sin  individualizar  los  mismos  en  forma  concreta.   Por  el</w:t>
        <w:br/>
        <w:t>contrario, en la demanda ante la Corte,  la  Comisión  individualiza  a  270</w:t>
        <w:br/>
        <w:t>presuntas víctimas.   Además,  las  presuntas  víctimas  del  caso  ante  el</w:t>
        <w:br/>
        <w:t>sistema interamericano son trabajadores  de  todas  las  empresas  estatales</w:t>
        <w:br/>
        <w:t>panameñas que se vieron afectados por la aplicación de la Ley 25, y no  sólo</w:t>
        <w:br/>
        <w:t>del Instituto Nacional de  Recursos  Hidráulicos  y  Electrificación  y  del</w:t>
        <w:br/>
        <w:t>Instituto Nacional de Telecomunicaciones, como sucedió ante la  OIT  (supra,</w:t>
        <w:br/>
        <w:t>párr. 2.d).</w:t>
        <w:br/>
        <w:br/>
        <w:t>55.   Respecto del objeto, la Corte, al referirse al concepto  de  “hechos”,</w:t>
        <w:br/>
        <w:t>ha establecido que corresponde “a la conducta o  el  suceso  que  implicaron</w:t>
        <w:br/>
        <w:t>violación  de  un  derecho  humano”  (Caso  Durand  y  Ugarte,   Excepciones</w:t>
        <w:br/>
        <w:t>Preliminares, supra 54, párr. 43).  En  el  presente  caso,  el   Comité  de</w:t>
        <w:br/>
        <w:t>Libertad Sindical no conoció hechos que surgieron  con  posterioridad  a  su</w:t>
        <w:br/>
        <w:t>pronunciamiento, hechos que sí fueron  planteados  en  la  demanda  ante  la</w:t>
        <w:br/>
        <w:t>Corte, tal como los procesos  ante  el  Poder  Judicial  panameño.   Además,</w:t>
        <w:br/>
        <w:t>observa esta Corte que el  señor  Antonio  Ducreux  Sánchez  señaló,  en  la</w:t>
        <w:br/>
        <w:t>audiencia pública sobre excepciones preliminares celebrada el  27  de  enero</w:t>
        <w:br/>
        <w:t>de 1999, que la queja  ante  el  Comité  de  Libertad  Sindical  se  refería</w:t>
        <w:br/>
        <w:t>únicamente a lo sucedido en diciembre de 1990.</w:t>
        <w:br/>
        <w:br/>
        <w:t>56.   En cuanto al fundamento legal, tampoco hay identidad, ya  que,  en  la</w:t>
        <w:br/>
        <w:t>demanda ante la Corte, se alegan violaciones a los siguientes  artículos  de</w:t>
        <w:br/>
        <w:t>la  Convención  Americana:  8  (Garantías  Judiciales);  9   (Principio   de</w:t>
        <w:br/>
        <w:t>Legalidad y de Retroactividad); 10 (Derecho a  Indemnización);  15  (Derecho</w:t>
        <w:br/>
        <w:t>de Reunión); 16 (Libertad de Asociación)  y  25  (Protección  Judicial),  en</w:t>
        <w:br/>
        <w:t>relación con el artículo 1.1; 2; 33 y 50.2.  La denuncia presentada ante  el</w:t>
        <w:br/>
        <w:t>Comité de Libertad Sindical se basó en las violaciones a  los  Convenios  87</w:t>
        <w:br/>
        <w:t>(Convenio sobre  la  Libertad  Sindical  y  la  Protección  del  Derecho  de</w:t>
        <w:br/>
        <w:t>Sindicación) y 98 (Convenio sobre el Derecho de  Sindicación  y  Negociación</w:t>
        <w:br/>
        <w:t>Colectiva) de la OIT.  Por ello que el objeto tampoco  es  el  mismo,  mucho</w:t>
        <w:br/>
        <w:t>menos cuando ante la OIT se conoció únicamente lo relativo al derecho  a  la</w:t>
        <w:br/>
        <w:t>libertad sindical y sobre el derecho laboral en general y,  ante  la  Corte,</w:t>
        <w:br/>
        <w:t>se planteó la violación de una serie  de  derechos  no  comprendidos  en  la</w:t>
        <w:br/>
        <w:t>denuncia interpuesta ante el Comité de Libertad Sindical, tal  como  lo  es,</w:t>
        <w:br/>
        <w:t>entre otros, el derecho al debido proceso legal.</w:t>
        <w:br/>
        <w:br/>
        <w:t>57.   Además, la  naturaleza  de  las  recomendaciones  emitidas  por  dicho</w:t>
        <w:br/>
        <w:t>Comité  es  diferente  a  la  de  las  sentencias  emitidas  por  la   Corte</w:t>
        <w:br/>
        <w:t>Interamericana.  En el primer caso se trata de un acto propio de  un  órgano</w:t>
        <w:br/>
        <w:t>de la OIT con el efecto jurídico propio de una recomendación a los  Estados.</w:t>
        <w:br/>
        <w:t xml:space="preserve"> En el segundo caso se trata de una sentencia que, en  los  términos  de  la</w:t>
        <w:br/>
        <w:t>Convención, es definitiva e  inapelable  (artículo  67),  y  de  obligatorio</w:t>
        <w:br/>
        <w:t>cumplimiento (artículo 68.1).</w:t>
        <w:br/>
        <w:br/>
        <w:t>58.   En razón de las consideraciones anteriores, no  existe  duplicidad  de</w:t>
        <w:br/>
        <w:t>procedimientos en el presente caso.</w:t>
        <w:br/>
        <w:br/>
        <w:t>59.   Por lo tanto, la Corte desestima la segunda excepción preliminar.</w:t>
        <w:br/>
        <w:br/>
        <w:br/>
        <w:t xml:space="preserve">                                    VIII</w:t>
        <w:br/>
        <w:t xml:space="preserve">                             Tercera excepción:</w:t>
        <w:br/>
        <w:br/>
        <w:br/>
        <w:t xml:space="preserve">                        Violación de Confidencialidad</w:t>
        <w:br/>
        <w:br/>
        <w:br/>
        <w:t>60.   La tercera excepción  interpuesta  por  el  Estado  se  refiere  a  la</w:t>
        <w:br/>
        <w:t>violación de la regla de la confidencialidad por parte de  la  Comisión,  al</w:t>
        <w:br/>
        <w:t>transmitirle copia del informe a que hace referencia el artículo  50  de  la</w:t>
        <w:br/>
        <w:t>Convención a los peticionarios.</w:t>
        <w:br/>
        <w:br/>
        <w:t>61.   La Corte resume los  argumentos  del  Estado  para  fundamentar  dicha</w:t>
        <w:br/>
        <w:t>excepción de la siguiente manera:</w:t>
        <w:br/>
        <w:br/>
        <w:t xml:space="preserve">      a)    que el 16 de octubre de 1997 la Comisión aprobó el  Informe  No.</w:t>
        <w:br/>
        <w:t xml:space="preserve">      37/97 y lo remitió con carácter eminentemente confidencial a Panamá el</w:t>
        <w:br/>
        <w:t xml:space="preserve">      día 17 de los mismos mes y año;</w:t>
        <w:br/>
        <w:br/>
        <w:br/>
        <w:t xml:space="preserve">      b)    que la confidencialidad  del  informe  está  establecida  en  el</w:t>
        <w:br/>
        <w:t xml:space="preserve">      artículo  50.2  de  la  Convención,  así  como  en   las   normas   de</w:t>
        <w:br/>
        <w:t xml:space="preserve">      procedimiento de la Corte;</w:t>
        <w:br/>
        <w:br/>
        <w:br/>
        <w:t xml:space="preserve">      c)    que a pesar de la regla  de  la  confidencialidad,  la  Comisión</w:t>
        <w:br/>
        <w:t xml:space="preserve">      facilitó a los miembros del SITIRHE una copia de la demanda  planteada</w:t>
        <w:br/>
        <w:t xml:space="preserve">      ante la Corte contra Panamá;</w:t>
        <w:br/>
        <w:br/>
        <w:br/>
        <w:t xml:space="preserve">      d)    que, según el artículo 50.2 de la Convención, la  violación  del</w:t>
        <w:br/>
        <w:t xml:space="preserve">      principio de confidencialidad por la  Comisión,  es  contraria  a  los</w:t>
        <w:br/>
        <w:t xml:space="preserve">      artículos 62.3 y 63.1 de la  Convención  y  al  derecho  internacional</w:t>
        <w:br/>
        <w:t xml:space="preserve">      general.  Además, señaló que  si  la  Corte  no  rechaza  la  demanda,</w:t>
        <w:br/>
        <w:t xml:space="preserve">      “estaríamos en presencia de una doble sanción contra Panamá, prohibida</w:t>
        <w:br/>
        <w:t xml:space="preserve">      no solo en el marco del sistema interamericano, sino  también  por  el</w:t>
        <w:br/>
        <w:t xml:space="preserve">      derecho internacional general”; y</w:t>
        <w:br/>
        <w:br/>
        <w:br/>
        <w:t xml:space="preserve">      e)    que la violación al principio de confidencialidad  ha  provocado</w:t>
        <w:br/>
        <w:t xml:space="preserve">      una “nulidad absoluta” de lo actuado por la Comisión ante la Corte.</w:t>
        <w:br/>
        <w:br/>
        <w:t>62.    La  Corte  sintetiza  los  argumentos  de  la  Comisión  sobre  dicha</w:t>
        <w:br/>
        <w:t>excepción de la siguiente manera:</w:t>
        <w:br/>
        <w:br/>
        <w:t xml:space="preserve">   a) que el Estado está confundiendo nuevamente el informe del artículo  50</w:t>
        <w:br/>
        <w:t xml:space="preserve">      de la Convención con la demanda ante la Corte;</w:t>
        <w:br/>
        <w:br/>
        <w:br/>
        <w:t xml:space="preserve">      b)    que en ningún momento transmitió a los peticionarios  copia  del</w:t>
        <w:br/>
        <w:t xml:space="preserve">      Informe No. 37/97 correspondiente al artículo 50 de  la  Convención  y</w:t>
        <w:br/>
        <w:t xml:space="preserve">      que sí les transmitió, de acuerdo con el objeto y fin de la Convención</w:t>
        <w:br/>
        <w:t xml:space="preserve">      y  sus  disposiciones  reglamentarias,  una  copia   de   la   demanda</w:t>
        <w:br/>
        <w:t xml:space="preserve">      interpuesta ante la Corte y les solicitó sus comentarios a la misma;</w:t>
        <w:br/>
        <w:t xml:space="preserve">      c)    que en ningún punto de la Convención o de los Reglamentos de  la</w:t>
        <w:br/>
        <w:t xml:space="preserve">      Corte o de la Comisión se señala que la demanda sea confidencial o que</w:t>
        <w:br/>
        <w:t xml:space="preserve">      no puede ser transmitida a los peticionarios para  su  conocimiento  y</w:t>
        <w:br/>
        <w:t xml:space="preserve">      que no existe norma alguna sobre la confidencialidad del procedimiento</w:t>
        <w:br/>
        <w:t xml:space="preserve">      ante la Comisión o la Corte y solamente de manera  expresa  se  señala</w:t>
        <w:br/>
        <w:t xml:space="preserve">      que el informe del artículo  50  de  la  Convención  se  transmite  al</w:t>
        <w:br/>
        <w:t xml:space="preserve">      Estado, el cual no está autorizado para publicarlo;</w:t>
        <w:br/>
        <w:br/>
        <w:br/>
        <w:t xml:space="preserve">      d)    que los artículos 35  del  Reglamento  de  la  Corte  y  75  del</w:t>
        <w:br/>
        <w:t xml:space="preserve">      Reglamento de la Comisión contemplan la notificación de la  demanda  a</w:t>
        <w:br/>
        <w:t xml:space="preserve">      los peticionarios;</w:t>
        <w:br/>
        <w:br/>
        <w:br/>
        <w:t xml:space="preserve">      e)     que  el  Estado  interpretó  erróneamente  lo  referente  a  la</w:t>
        <w:br/>
        <w:t xml:space="preserve">      aplicación de los artículos 62 y 63 de la Convención, pues éstos no se</w:t>
        <w:br/>
        <w:t xml:space="preserve">      refieren al derecho de defensa, sino a  los  derechos  de  la  persona</w:t>
        <w:br/>
        <w:t xml:space="preserve">      humana.  Asimismo, señaló que el  Estado  no  ha  demostrado  cómo  la</w:t>
        <w:br/>
        <w:t xml:space="preserve">      notificación de la demanda a los peticionarios (no la del Informe  No.</w:t>
        <w:br/>
        <w:t xml:space="preserve">      37/97 que equivocadamente  señala)  afectó  sus  derechos  procesales,</w:t>
        <w:br/>
        <w:t xml:space="preserve">      presupuesto esencial para que proceda una excepción preliminar; y</w:t>
        <w:br/>
        <w:br/>
        <w:br/>
        <w:t xml:space="preserve">      f)    que la demanda debe notificarse a los peticionarios  por  varias</w:t>
        <w:br/>
        <w:t xml:space="preserve">      razones, entre ellas, asegurar la garantía individual de  defensa  del</w:t>
        <w:br/>
        <w:t xml:space="preserve">      peticionario.</w:t>
        <w:br/>
        <w:br/>
        <w:t xml:space="preserve">                                    * * *</w:t>
        <w:br/>
        <w:br/>
        <w:t>63.   LA CORTE PROCEDE A CONSIDERAR LA TERCERA EXCEPCIÓN PRELIMINAR.</w:t>
        <w:br/>
        <w:br/>
        <w:t>64.   LA CORTE  OBSERVA  QUE  DE  LA  PRUEBA,  QUE  APORTÓ  EL  ESTADO  PARA</w:t>
        <w:br/>
        <w:t>FUNDAMENTAR SU ALEGATO, SE DESPRENDE CON CLARIDAD QUE  LO  QUE  LA  COMISIÓN</w:t>
        <w:br/>
        <w:t>TRANSMITIÓ A LOS PETICIONARIOS NO FUE EL INFORME NO. 37/97, SINO EL  ESCRITO</w:t>
        <w:br/>
        <w:t>DE DEMANDA UNA VEZ QUE HABÍA DECIDIDO ENVIARLO A LA  CORTE  (CFR.  NOTA  DEL</w:t>
        <w:br/>
        <w:t>SINDICATO  DE  TRABAJADORES  DEL  INSTITUTO  DE   RECURSOS   HIDRÁULICOS   Y</w:t>
        <w:br/>
        <w:t>ELECTRIFICACIÓN DE PANAMÁ DE 23 DE FEBRERO DE 1998; NOTA  DEL  SINDICATO  DE</w:t>
        <w:br/>
        <w:t>TRABAJADORES DEL INSTITUTO DE  RECURSOS  HIDRÁULICOS  Y  ELECTRIFICACIÓN  DE</w:t>
        <w:br/>
        <w:t>PANAMÁ DE 17 DE FEBRERO DE  1998).   DICHA  GESTIÓN  FUE  REALIZADA  POR  LA</w:t>
        <w:br/>
        <w:t>COMISIÓN  EN  CUMPLIMIENTO  DE  LO  DISPUESTO  EN  EL  ARTÍCULO  75  DE   SU</w:t>
        <w:br/>
        <w:t>REGLAMENTO, DE ACUERDO CON EL CUAL</w:t>
        <w:br/>
        <w:br/>
        <w:t xml:space="preserve">      [c]uando la Comisión decida referir un caso a la Corte, el  Secretario</w:t>
        <w:br/>
        <w:t xml:space="preserve">      Ejecutivo notificará de inmediato al  peticionario  y  a  la  presunta</w:t>
        <w:br/>
        <w:t xml:space="preserve">      víctima la decisión de la Comisión,  ofreciéndole  la  oportunidad  de</w:t>
        <w:br/>
        <w:t xml:space="preserve">      formular sus observaciones por escrito sobre la solicitud presentada a</w:t>
        <w:br/>
        <w:t xml:space="preserve">      la Corte.  La Comisión decidirá sobre la acción  que  habrá  de  tomar</w:t>
        <w:br/>
        <w:t xml:space="preserve">      respecto de estas observaciones.</w:t>
        <w:br/>
        <w:br/>
        <w:t>65.   Asimismo, la Corte advierte que dicho procedimiento es acorde  con  lo</w:t>
        <w:br/>
        <w:t>establecido en el artículo 35.1.e de su Reglamento, de acuerdo con  el  cual</w:t>
        <w:br/>
        <w:t>el Secretario de la Corte comunicará la demanda al denunciante  original  si</w:t>
        <w:br/>
        <w:t>se conoce y a la víctima o sus familiares, si fuere el caso.</w:t>
        <w:br/>
        <w:br/>
        <w:t>66.   Por consiguiente, no cabe argumentar, como lo ha hecho el Estado,  que</w:t>
        <w:br/>
        <w:t>el  envío  de  la  demanda  al  peticionario,  por  parte  de  la  Comisión,</w:t>
        <w:br/>
        <w:t>contravenga  alguna  disposición  del  procedimiento  ante  la  Corte  o  la</w:t>
        <w:br/>
        <w:t>Comisión.</w:t>
        <w:br/>
        <w:br/>
        <w:t>67.   Por lo expuesto anteriormente, la Corte desestima por improcedente  la</w:t>
        <w:br/>
        <w:t>tercera excepción preliminar.</w:t>
        <w:br/>
        <w:br/>
        <w:br/>
        <w:t xml:space="preserve">                                     IX</w:t>
        <w:br/>
        <w:t xml:space="preserve">                             Puntos Resolutivos</w:t>
        <w:br/>
        <w:br/>
        <w:t>68.   Por tanto,</w:t>
        <w:br/>
        <w:br/>
        <w:br/>
        <w:t>La Corte</w:t>
        <w:br/>
        <w:br/>
        <w:br/>
        <w:t>resuelve</w:t>
        <w:br/>
        <w:br/>
        <w:t>por unanimidad,</w:t>
        <w:br/>
        <w:br/>
        <w:t>1. Desestimar las excepciones preliminares interpuestas por el Estado.</w:t>
        <w:br/>
        <w:br/>
        <w:t>2.    Continuar con el conocimiento del presente caso.</w:t>
        <w:br/>
        <w:br/>
        <w:t>Redactada en español y en inglés, haciendo fe el texto en  español,  en  San</w:t>
        <w:br/>
        <w:t>José, Costa Rica, el día 18 de noviembre de 1999.</w:t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>Oliver Jackman   Alirio Abreu Burelli</w:t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* El Juez Sergio García Ramírez informó  a  la  Corte  que  por  motivos  de</w:t>
        <w:br/>
        <w:t>fuerza mayor no podría participar en la elaboración,  deliberación  y  firma</w:t>
        <w:br/>
        <w:t>de esta sentencia.</w:t>
        <w:br/>
        <w:t>[1] Según el folio 3 de la demanda presentada por  la  Comisión,  “a  partir</w:t>
        <w:br/>
        <w:t>del 10 de diciembre comenzó una sistemática política de despidos masivos  de</w:t>
        <w:br/>
        <w:t>trabajadores..” mientras que en la pág. 4 del  mismo  documento  consta  que</w:t>
        <w:br/>
        <w:t>“Las víctimas [fueron] despedidas a partir del 6 de diciembre de 1990”.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