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Caso de los “Niños de la Calle” (Villagrán Morales y otros) Vs. Guatemala</w:t>
        <w:br/>
        <w:br/>
        <w:br/>
        <w:t xml:space="preserve">                      Sentencia de 19 de noviembre 1999</w:t>
        <w:br/>
        <w:t xml:space="preserve">                                   (Fondo)</w:t>
        <w:br/>
        <w:br/>
        <w:br/>
        <w:t>En el caso Villagrán Morales y otros (caso de los “niños de la calle”*),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jueces**:</w:t>
        <w:br/>
        <w:br/>
        <w:t xml:space="preserve">      Antônio A. Cançado Trindade, Presidente</w:t>
        <w:br/>
        <w:t xml:space="preserve">      Máximo Pacheco Gómez, Vicepresidente</w:t>
        <w:br/>
        <w:t xml:space="preserve">      Hernán Salgado Pesantes, Juez</w:t>
        <w:br/>
        <w:t xml:space="preserve">      Oliver Jackman, Juez</w:t>
        <w:br/>
        <w:t xml:space="preserve">      Alirio Abreu Burelli, Juez y</w:t>
        <w:br/>
        <w:t xml:space="preserve">      Carlos Vicente de Roux Rengifo, Juez</w:t>
        <w:br/>
        <w:br/>
        <w:t>presentes, además,</w:t>
        <w:br/>
        <w:br/>
        <w:br/>
        <w:t xml:space="preserve">      Manuel E. Ventura Robles, Secretario y</w:t>
        <w:br/>
        <w:t xml:space="preserve">      Renzo Pomi, Secretario adjunto,</w:t>
        <w:br/>
        <w:br/>
        <w:t>de  acuerdo  con  los  artículos  55  y  57  del  Reglamento  de  la   Corte</w:t>
        <w:br/>
        <w:t>Interamericana de Derechos Humanos (en adelante “el Reglamento”),  dicta  la</w:t>
        <w:br/>
        <w:t>siguiente sentencia.</w:t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br/>
        <w:t>1.    El 30 de enero de 1997 la Comisión Interamericana de Derechos  Humanos</w:t>
        <w:br/>
        <w:t>(en adelante “la Comisión” o “la Comisión Interamericana”), sometió ante  la</w:t>
        <w:br/>
        <w:t>Corte una demanda contra la República de Guatemala (en adelante “el  Estado”</w:t>
        <w:br/>
        <w:t>o “Guatemala”) que se originó en una denuncia (No. 11.383)  recibida  en  la</w:t>
        <w:br/>
        <w:t>Secretaría de la Comisión el 15 de septiembre de 1994.</w:t>
        <w:br/>
        <w:br/>
        <w:t>2.    Al presentar el caso ante la Corte, la Comisión invocó  los  artículos</w:t>
        <w:br/>
        <w:t>50 y 51 de la Convención Americana sobre Derechos Humanos (en  adelante  “la</w:t>
        <w:br/>
        <w:t>Convención” o “la Convención Americana”) y 32 y siguientes  del  Reglamento.</w:t>
        <w:br/>
        <w:t>La Comisión sometió este caso para que la Corte decidiera si hubo  violación</w:t>
        <w:br/>
        <w:t>por parte de Guatemala de los  siguientes  artículos  de  la  Convención:  1</w:t>
        <w:br/>
        <w:t>(Obligación de Respetar los Derechos), 4 (Derecho a la Vida), 5  (Derecho  a</w:t>
        <w:br/>
        <w:t>la Integridad Personal), 7 (Derecho a la Libertad  Personal),  8  (Garantías</w:t>
        <w:br/>
        <w:t>Judiciales) y 25 (Protección Judicial).  Dichas violaciones  se  produjeron,</w:t>
        <w:br/>
        <w:t>según la demanda, por:</w:t>
        <w:br/>
        <w:br/>
        <w:t xml:space="preserve">      el secuestro, la tortura y el asesinato de Henry  Giovanni  Contreras,</w:t>
        <w:br/>
        <w:t xml:space="preserve">      Federico Clemente Figueroa Túnchez,  Julio  Roberto  Caal  Sandoval  y</w:t>
        <w:br/>
        <w:t xml:space="preserve">      Jovito  Josué  Juárez  Cifuentes;  el  asesinato  de  Anstraum  [Aman]</w:t>
        <w:br/>
        <w:t xml:space="preserve">      Villagrán Morales; y la omisión de los mecanismos del Estado de tratar</w:t>
        <w:br/>
        <w:t xml:space="preserve">      dichas violaciones  como  correspondía,  y  de  brindar  acceso  a  la</w:t>
        <w:br/>
        <w:t xml:space="preserve">      justicia a las familias de las víctimas.</w:t>
        <w:br/>
        <w:br/>
        <w:br/>
        <w:t>3.    Como dos de las víctimas, Julio Roberto Caal Sandoval y  Jovito  Josué</w:t>
        <w:br/>
        <w:t>Juárez  Cifuentes,  eran  menores  de  edad  cuando   fueron   secuestrados,</w:t>
        <w:br/>
        <w:t>torturados y muertos, y Anstraum Aman Villagrán Morales era  menor  de  edad</w:t>
        <w:br/>
        <w:t>cuando se le dio muerte, la  Comisión  alegó  que  Guatemala  también  había</w:t>
        <w:br/>
        <w:t>violado el artículo 19 (Derechos  del  Niño)  de  la  Convención  Americana.</w:t>
        <w:br/>
        <w:t>Además, la Comisión solicitó que la Corte ordenara que el Estado tomara  las</w:t>
        <w:br/>
        <w:t>medidas  necesarias  para  completar  una  pronta,  imparcial   y   efectiva</w:t>
        <w:br/>
        <w:t>investigación de los hechos “a fin  de  que  [pudieran]  detallarse  en  una</w:t>
        <w:br/>
        <w:t>reseña oficialmente sancionada” las responsabilidades individuales  por  las</w:t>
        <w:br/>
        <w:t>violaciones alegadas y que “haga objeto a  [las]  personas  responsables  de</w:t>
        <w:br/>
        <w:t>adecuadas sanciones”.  Solicitó también que  la  Corte  ordenara  al  Estado</w:t>
        <w:br/>
        <w:t>“reivindicar los nombres de las víctimas así  como  el  pago  de  una  justa</w:t>
        <w:br/>
        <w:t>indemnización a quienes se vieron perjudicados en virtud de las  violaciones</w:t>
        <w:br/>
        <w:t>de  derechos  precedentemente  mencionad[o]s”  y  pagar  las  costas  a  las</w:t>
        <w:br/>
        <w:t>víctimas y sus representantes.  En su demanda, la Comisión  invocó,  además,</w:t>
        <w:br/>
        <w:t>la violación de los artículos 1, 6 y 8 de la Convención Interamericana  para</w:t>
        <w:br/>
        <w:t>Prevenir  y  Sancionar  la  Tortura  (en  adelante  “Convención  contra   la</w:t>
        <w:br/>
        <w:t>Tortura”).</w:t>
        <w:br/>
        <w:br/>
        <w:br/>
        <w:t xml:space="preserve">                                     II</w:t>
        <w:br/>
        <w:br/>
        <w:t xml:space="preserve">                           Competencia de la Corte</w:t>
        <w:br/>
        <w:br/>
        <w:br/>
        <w:t>4.    La Corte es competente para conocer del presente  caso.  Guatemala  es</w:t>
        <w:br/>
        <w:t>Estado Parte en la Convención  Americana  desde  el  25  de  mayo  de  1978,</w:t>
        <w:br/>
        <w:t>reconoció la competencia contenciosa de la Corte el 9 de  marzo  de  1987  y</w:t>
        <w:br/>
        <w:t>ratificó la Convención contra la Tortura el 29 de enero de 1987.</w:t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br/>
        <w:t>5.    El 15 de septiembre de 1994 el Centro por la  Justicia  y  el  Derecho</w:t>
        <w:br/>
        <w:t>Internacional  (CEJIL)  y  Casa  Alianza  presentaron  la  denuncia   formal</w:t>
        <w:br/>
        <w:t>correspondiente a este caso ante la Comisión  Interamericana.   La  denuncia</w:t>
        <w:br/>
        <w:t>misma se basó  en “la muerte de cinco jóvenes y la  supuesta  denegación  de</w:t>
        <w:br/>
        <w:t>justicia en el caso interno”.  El 20  de  septiembre  de  1994  la  Comisión</w:t>
        <w:br/>
        <w:t>abrió el caso No. 11.383, transmitió al Estado las partes pertinentes de  la</w:t>
        <w:br/>
        <w:t>denuncia y  le  solicitó  que  suministrara  información  sobre  los  hechos</w:t>
        <w:br/>
        <w:t>materia de dicha comunicación dentro de un plazo de 90 días.</w:t>
        <w:br/>
        <w:br/>
        <w:t>6.    La Comisión celebró, durante su 87º  Período  Ordinario  de  Sesiones,</w:t>
        <w:br/>
        <w:t>realizado entre los días 19 y 30 de septiembre de 1994, una audiencia  sobre</w:t>
        <w:br/>
        <w:t>el caso.   En  esta  oportunidad,  Guatemala  presentó  su  respuesta  a  la</w:t>
        <w:br/>
        <w:t>denuncia.</w:t>
        <w:br/>
        <w:br/>
        <w:t>7.    El 15 de diciembre de 1994 el Estado  presentó  un  informe  adicional</w:t>
        <w:br/>
        <w:t>relacionado con la solicitud de la Comisión de 20 de septiembre de 1994.</w:t>
        <w:br/>
        <w:br/>
        <w:t>8.    El 17 de  enero  de  1995  la  Comisión  recibió  la  réplica  de  los</w:t>
        <w:br/>
        <w:t>peticionarios a la respuesta presentada por el Estado a la Comisión.</w:t>
        <w:br/>
        <w:br/>
        <w:t>9.    El 20 de enero de 1995 la Comisión transmitió a los peticionarios  las</w:t>
        <w:br/>
        <w:t>partes pertinentes del informe adicional que el Estado  presentó  el  15  de</w:t>
        <w:br/>
        <w:t>diciembre de 1994.</w:t>
        <w:br/>
        <w:br/>
        <w:t>10.   El 1 de febrero de 1995 fue transmitida al Estado la  réplica  de  los</w:t>
        <w:br/>
        <w:t>peticionarios.</w:t>
        <w:br/>
        <w:br/>
        <w:t>11.   Guatemala respondió a la réplica de los peticionarios el 29  de  marzo</w:t>
        <w:br/>
        <w:t>de 1995 y la Comisión transmitió las partes pertinentes de esa  comunicación</w:t>
        <w:br/>
        <w:t>a los peticionarios al día siguiente.</w:t>
        <w:br/>
        <w:br/>
        <w:t>12.   El 17 de mayo de 1995 la Comisión  recibió  una  comunicación  de  los</w:t>
        <w:br/>
        <w:t>peticionarios, contestando al informe del Estado de 15 de diciembre de  1994</w:t>
        <w:br/>
        <w:t>y a la respuesta de 29 de marzo de 1995.  La información fue  transmitida  a</w:t>
        <w:br/>
        <w:t>Guatemala el 24 de mayo de 1995.</w:t>
        <w:br/>
        <w:br/>
        <w:t>13.   El 27 de junio de 1995 la Comisión recibió del Estado  un  informe  en</w:t>
        <w:br/>
        <w:t>respuesta a la comunicación de los peticionarios de 17 de mayo de 1995.   El</w:t>
        <w:br/>
        <w:t>19 de julio de 1995 la Comisión envió las  partes  pertinentes  del  informe</w:t>
        <w:br/>
        <w:t>del Estado a los peticionarios.</w:t>
        <w:br/>
        <w:br/>
        <w:t>14.    El  19  de  septiembre  de  1995  los  peticionarios  presentaron  su</w:t>
        <w:br/>
        <w:t>respuesta a la Comisión y el 29 de septiembre de 1995  la  Comisión  remitió</w:t>
        <w:br/>
        <w:t>las partes pertinentes de esa respuesta al Estado.</w:t>
        <w:br/>
        <w:t>15.   El 6  de  noviembre  de  1995  el  Estado  transmitió  a  la  Comisión</w:t>
        <w:br/>
        <w:t>información adicional  consistente  en  copias  de  sentencias  dictadas  en</w:t>
        <w:br/>
        <w:t>distintas  instancias  durante  la  tramitación  del  proceso  interno.   La</w:t>
        <w:br/>
        <w:t>Comisión  transmitió  esa  documentación  a  los  peticionarios  el  13   de</w:t>
        <w:br/>
        <w:t>noviembre de 1995.</w:t>
        <w:br/>
        <w:br/>
        <w:t>16.    Los  peticionarios  también  enviaron  a  la   Comisión   información</w:t>
        <w:br/>
        <w:t>adicional el 5 de diciembre de 1995 y el 15 de enero de 1996,  cuyas  partes</w:t>
        <w:br/>
        <w:t>pertinentes se remitieron al Estado el 13 de diciembre de 1995 y  el  29  de</w:t>
        <w:br/>
        <w:t>enero de 1996, respectivamente.</w:t>
        <w:br/>
        <w:br/>
        <w:t>17.   El 18  de  enero  de  1996  Guatemala  presentó  una  respuesta  a  la</w:t>
        <w:br/>
        <w:t>información enviada por el peticionario el 5 de diciembre de 1995.</w:t>
        <w:br/>
        <w:br/>
        <w:t>18.   El 22 de febrero de 1996 durante su 91º Período Ordinario de  Sesiones</w:t>
        <w:br/>
        <w:t>la Comisión celebró una segunda  audiencia  sobre  el  caso.   En  ella,  la</w:t>
        <w:br/>
        <w:t>Comisión  se  puso  a  disposición  de  las  partes  para  llevar   a   cabo</w:t>
        <w:br/>
        <w:t>negociaciones  de  solución  amistosa.   Los  peticionarios  declararon   su</w:t>
        <w:br/>
        <w:t>voluntad de considerar una solución amistosa, aunque tenían reservas  acerca</w:t>
        <w:br/>
        <w:t>de la posibilidad de llegar a la misma en este caso.   Guatemala  afirmó  su</w:t>
        <w:br/>
        <w:t>intención de manifestarse en cuanto a este punto posteriormente.</w:t>
        <w:br/>
        <w:br/>
        <w:t>19.   Los peticionarios confirmaron  su  disposición  de  participar  en  un</w:t>
        <w:br/>
        <w:t>proceso de solución amistosa a través de un escrito recibido en la  Comisión</w:t>
        <w:br/>
        <w:t>el 1 de marzo de 1996.</w:t>
        <w:br/>
        <w:br/>
        <w:t>20.   Ese mismo día, la Comisión recibió una comunicación del Estado  en  la</w:t>
        <w:br/>
        <w:t>cual afirmó que ya había remitido todos los  informes  pertinentes  en  este</w:t>
        <w:br/>
        <w:t>caso.</w:t>
        <w:br/>
        <w:br/>
        <w:t>21.   El 18 de marzo de 1996 los peticionarios enviaron a  la  Comisión  una</w:t>
        <w:br/>
        <w:t>comunicación adicional en relación al caso.  Al día siguiente,  la  Comisión</w:t>
        <w:br/>
        <w:t>transmitió las partes pertinentes de ésta al Estado.</w:t>
        <w:br/>
        <w:br/>
        <w:t>22.   El 20 de marzo de 1996 la Comisión transmitió una nota  al  Estado  en</w:t>
        <w:br/>
        <w:t>la cual se ponía de nuevo a disposición de las  partes  para  llegar  a  una</w:t>
        <w:br/>
        <w:t>solución amistosa.</w:t>
        <w:br/>
        <w:br/>
        <w:t>23.   El 8 de mayo de 1996 la Comisión recibió la respuesta del  Estado,  en</w:t>
        <w:br/>
        <w:t>la cual indicó que, a su juicio,  “no  sería  necesario  llevar  a  cabo  un</w:t>
        <w:br/>
        <w:t>proceso de solución amistosa”.</w:t>
        <w:br/>
        <w:br/>
        <w:t>24.   El 24 de  junio  de  1996  la  Comisión  envió  una  nota  al  Estado,</w:t>
        <w:br/>
        <w:t>preguntándole sobre el estado de los procedimientos judiciales del  caso  en</w:t>
        <w:br/>
        <w:t>la jurisdicción interna.</w:t>
        <w:br/>
        <w:br/>
        <w:t>25.   El  8  de  julio  de  1996  el  Estado  presentó  a  la  Comisión  una</w:t>
        <w:br/>
        <w:t>comunicación en  la  que  transmitía  copia  de  una  nota  de  la  Comisión</w:t>
        <w:br/>
        <w:t>Presidencial Coordinadora  de  la  Política  del  Ejecutivo  en  Materia  de</w:t>
        <w:br/>
        <w:t>Derechos Humanos (COPREDEH) dirigida a los peticionarios.  El 9 de julio  de</w:t>
        <w:br/>
        <w:t>1996 se transmitió a  los  peticionarios  las  partes  pertinentes  de  esta</w:t>
        <w:br/>
        <w:t>comunicación.</w:t>
        <w:br/>
        <w:br/>
        <w:t>26.   Los peticionarios enviaron respuesta al Estado el 23 de julio de  1996</w:t>
        <w:br/>
        <w:t>y el 12 de agosto de 1996 remitieron copia de la misma a la Comisión.</w:t>
        <w:br/>
        <w:br/>
        <w:t>27.   El 23 de julio de 1996 la Comisión solicitó al  Estado  información  y</w:t>
        <w:br/>
        <w:t>documentación  específicas  y  adicionales  para  el  mejor  estudio  de  la</w:t>
        <w:br/>
        <w:t>denuncia.  El 29 de agosto de 1996 Guatemala respondió a dicha  solicitud  y</w:t>
        <w:br/>
        <w:t>envió los documentos requeridos.</w:t>
        <w:br/>
        <w:br/>
        <w:t>28.    El  1  de  octubre  de  1996  el  Estado  transmitió  a  la  Comisión</w:t>
        <w:br/>
        <w:t>información adicional como respuesta a la nota de 23 de julio  de  1996.   A</w:t>
        <w:br/>
        <w:t>su vez, esa información fue transmitida a los peticionarios el 8 de  octubre</w:t>
        <w:br/>
        <w:t>de 1996.</w:t>
        <w:br/>
        <w:br/>
        <w:t>29.   En su 93º Período Ordinario de Sesiones, en sesión celebrada el 16  de</w:t>
        <w:br/>
        <w:t>octubre de 1996, la Comisión  aprobó  el  Informe  No.  33/96,  en  el  cual</w:t>
        <w:br/>
        <w:t>declaró admisible la denuncia presentada en este caso y estableció:</w:t>
        <w:br/>
        <w:br/>
        <w:t xml:space="preserve">      [q]ue, vista la información y las observaciones expuestas,  el  Estado</w:t>
        <w:br/>
        <w:t xml:space="preserve">      de Guatemala violó los derechos humanos del niño y los derechos  a  la</w:t>
        <w:br/>
        <w:t xml:space="preserve">      vida, la integridad personal, la libertad  personal  y  a  un  proceso</w:t>
        <w:br/>
        <w:t xml:space="preserve">      justo y a la protección judicial consagrados en los artículos 4, 5, 7,</w:t>
        <w:br/>
        <w:t xml:space="preserve">      19, 8 y 25 de la Convención Americana e incumplió con sus obligaciones</w:t>
        <w:br/>
        <w:t xml:space="preserve">      prescritas en el artículo 1.</w:t>
        <w:br/>
        <w:br/>
        <w:br/>
        <w:t xml:space="preserve">      QUE EL ESTADO DE GUATEMALA  VIOLÓ  LOS  ARTÍCULOS  1,  2  Y  6  DE  LA</w:t>
        <w:br/>
        <w:t xml:space="preserve">      CONVENCIÓN INTERAMERICANA PARA PREVENIR Y SANCIONAR LA TORTURA.</w:t>
        <w:br/>
        <w:br/>
        <w:t>30.   Asimismo, en el  informe  citado,  la  Comisión  hizo  al  Estado  las</w:t>
        <w:br/>
        <w:t>siguientes recomendaciones:</w:t>
        <w:br/>
        <w:br/>
        <w:t xml:space="preserve">      [q]ue […] realice una investigación pronta, imparcial  y  efectiva  de</w:t>
        <w:br/>
        <w:t xml:space="preserve">      los  hechos   denunciados   para   que   las   circunstancias   y   la</w:t>
        <w:br/>
        <w:t xml:space="preserve">      responsabilidad de las violaciones  ocurridas  puedan  ser  cabalmente</w:t>
        <w:br/>
        <w:t xml:space="preserve">      establecidas en relación  a  los  delitos  cometidos  contra  Anstraum</w:t>
        <w:br/>
        <w:t xml:space="preserve">      [Aman] Villagrán Morales, Henry Giovanni Contreras, Federico  Clemente</w:t>
        <w:br/>
        <w:t xml:space="preserve">      Figueroa Túnchez, Julio Roberto Caal Sandoval y [Jovito] Josué  Juárez</w:t>
        <w:br/>
        <w:t xml:space="preserve">      Cifuentes.</w:t>
        <w:br/>
        <w:br/>
        <w:br/>
        <w:t xml:space="preserve">      Que […] adopte las medidas necesarias para someter a los  responsables</w:t>
        <w:br/>
        <w:t xml:space="preserve">      de las violaciones materia  del  caso  presente  al  proceso  judicial</w:t>
        <w:br/>
        <w:t xml:space="preserve">      apropiado, el cual debe  fundarse  en  una  investigación  completa  y</w:t>
        <w:br/>
        <w:t xml:space="preserve">      efectiva del caso y  comprender  un  examen  cuidadoso  de  todas  las</w:t>
        <w:br/>
        <w:t xml:space="preserve">      pruebas pertinentes, con absoluta observancia del debido proceso y  de</w:t>
        <w:br/>
        <w:t xml:space="preserve">      la ley.</w:t>
        <w:br/>
        <w:br/>
        <w:t xml:space="preserve">      Que […] repare las consecuencias de las violaciones  de  los  derechos</w:t>
        <w:br/>
        <w:t xml:space="preserve">      enumerados, incluyendo el  pago  de  una  indemnización  justa  a  los</w:t>
        <w:br/>
        <w:t xml:space="preserve">      familiares  de  Anstraum  [Aman]  Villagrán  Morales,  Henry  Giovanni</w:t>
        <w:br/>
        <w:t xml:space="preserve">      Contreras, Federico Clemente  Figueroa  Túnchez,  Julio  Roberto  Caal</w:t>
        <w:br/>
        <w:t xml:space="preserve">      Sandoval y [Jovito] Josué Juárez Cifuentes.</w:t>
        <w:br/>
        <w:br/>
        <w:br/>
        <w:t xml:space="preserve">      QUE […] INSTITUYA LAS MEDIDAS DEBIDAS PARA QUE NO OCURRAN EN EL FUTURO</w:t>
        <w:br/>
        <w:t xml:space="preserve">      VIOLACIONES DE LOS DERECHOS HUMANOS DE LOS NIÑOS DE LA  CALLE.   ESTAS</w:t>
        <w:br/>
        <w:t xml:space="preserve">      MEDIDAS  DEBEN  INCLUIR,  ENTRE   OTRAS,   SU   PROTECCIÓN   EFECTIVA,</w:t>
        <w:br/>
        <w:t xml:space="preserve">      PARTICULARMENTE DE LOS MENORES Y LA CAPACITACIÓN Y SUPERVISIÓN DE  LOS</w:t>
        <w:br/>
        <w:t xml:space="preserve">      AGENTES DE POLICÍA PARA QUE NO COMETAN ABUSOS CONTRA LOS NIÑOS  DE  LA</w:t>
        <w:br/>
        <w:t xml:space="preserve">      CALLE.</w:t>
        <w:br/>
        <w:br/>
        <w:t>FINALMENTE, LA COMISIÓN  DECIDIÓ  “TRANSMITIR  ESTE  INFORME  AL  ESTADO  DE</w:t>
        <w:br/>
        <w:t>GUATEMALA Y FIJARLE UN PLAZO DE DOS MESES, A PARTIR DE  LA  TRANSMISIÓN  DEL</w:t>
        <w:br/>
        <w:t>INFORME,  PARA  QUE  [PUSIERA]  EN   PRÁCTICA   LAS   RECOMENDACIONES   AQUÍ</w:t>
        <w:br/>
        <w:t>CONTENIDAS.  DURANTE  DICHO  PLAZO  EL  ESTADO  NO  PODR[ÍA]  PUBLICAR  ESTE</w:t>
        <w:br/>
        <w:t>INFORME, COMO LO DISPONE EL ARTÍCULO 50 DE LA CONVENCIÓN”.</w:t>
        <w:br/>
        <w:br/>
        <w:t>31.   El 30 de octubre de 1996 la Comisión remitió al Estado el Informe  No.</w:t>
        <w:br/>
        <w:t>33/96, solicitándole además información  respecto  de  las  medidas  tomadas</w:t>
        <w:br/>
        <w:t>para el cumplimiento de las recomendaciones.</w:t>
        <w:br/>
        <w:br/>
        <w:t>32.    El 30 de diciembre de 1996  el  Estado  solicitó  una  prórroga  para</w:t>
        <w:br/>
        <w:t>presentar su respuesta al informe de la Comisión.  El 31 de los  mismos  mes</w:t>
        <w:br/>
        <w:t>y año, la Comisión informó al Estado que la  prórroga  había  sido  otorgada</w:t>
        <w:br/>
        <w:t>hasta el 6 de enero de 1997.</w:t>
        <w:br/>
        <w:br/>
        <w:t>33.   El 7 de enero de 1997 la Comisión  decidió  presentar  el  caso  a  la</w:t>
        <w:br/>
        <w:t>Corte Interamericana.</w:t>
        <w:br/>
        <w:br/>
        <w:t>34.   El 9 de enero de 1997 el Estado presentó su respuesta al  Informe  No.</w:t>
        <w:br/>
        <w:t>33/96.  En esta oportunidad, Guatemala  afirmó  que  enviaría  documentación</w:t>
        <w:br/>
        <w:t>adicional en los próximos días, lo que, sin  embargo,  no  ocurrió.   Aunque</w:t>
        <w:br/>
        <w:t>extemporánea, la respuesta del Estado fue admitida por la Comisión.</w:t>
        <w:br/>
        <w:br/>
        <w:br/>
        <w:br/>
        <w:t xml:space="preserve">                                     IV</w:t>
        <w:br/>
        <w:br/>
        <w:br/>
        <w:t xml:space="preserve">                         Procedimiento ante la Corte</w:t>
        <w:br/>
        <w:br/>
        <w:br/>
        <w:br/>
        <w:t>35.   La Comisión presentó la demanda ante la Corte el 30 de enero de  1997.</w:t>
        <w:br/>
        <w:t xml:space="preserve"> En ella designó como delegados a  los  señores  John  Donaldson  y  Claudio</w:t>
        <w:br/>
        <w:t>Grossman, como abogados a los señores David J. Padilla y Elizabeth  H.  Abi-</w:t>
        <w:br/>
        <w:t>Mershed y como asistentes a los señores Ariel Dulitzky, Viviana  Krsticevic,</w:t>
        <w:br/>
        <w:t>Alejandro Valencia Villa, Francisco Cox Vial y José Miguel Vivanco.</w:t>
        <w:br/>
        <w:br/>
        <w:t>36.   El 12 de febrero de 1997 la Secretaría de la Corte  (en  adelante  “la</w:t>
        <w:br/>
        <w:t>Secretaría”), informó a la Comisión que, una vez “recib[ida] la  demanda  en</w:t>
        <w:br/>
        <w:t>idioma castellano,  proceder[ía]  a  notificar  la  [misma]  formalmente  al</w:t>
        <w:br/>
        <w:t>Gobierno de Guatemala”, ya que había sido enviada  originalmente  en  idioma</w:t>
        <w:br/>
        <w:t>inglés.</w:t>
        <w:br/>
        <w:br/>
        <w:t>37.   El 4 de marzo de 1997 la Comisión envió por vía facsimilar la  demanda</w:t>
        <w:br/>
        <w:t>traducida al idioma español, en una versión que contenía varios  errores  de</w:t>
        <w:br/>
        <w:t>traducción.</w:t>
        <w:br/>
        <w:br/>
        <w:br/>
        <w:t>38.   Mediante nota de 6 de marzo de 1997 la Secretaría notificó la  demanda</w:t>
        <w:br/>
        <w:t>en idioma inglés al Estado y le informó que disponía de  cuatro  meses  para</w:t>
        <w:br/>
        <w:t>responderla, de dos meses para oponer excepciones preliminares y de  un  mes</w:t>
        <w:br/>
        <w:t>para nombrar agente y agente alterno; todos estos plazos contados  a  partir</w:t>
        <w:br/>
        <w:t>de la notificación de la demanda.  Por comunicación de  la  misma  fecha  se</w:t>
        <w:br/>
        <w:t>invitó al Estado a designar Juez ad hoc.</w:t>
        <w:br/>
        <w:br/>
        <w:t>39.   Por nota adicional  de  la  misma  fecha,  6  de  marzo  de  1997,  la</w:t>
        <w:br/>
        <w:t>Secretaría  solicitó  a  la  Comisión  el  envío  del  expediente   original</w:t>
        <w:br/>
        <w:t>tramitado ante la Comisión, así  como  de  fotografías  que  figuraban  como</w:t>
        <w:br/>
        <w:t>anexos 42, 43, 44, 59, 60, 61 y 62 de la demanda,  las  direcciones  de  los</w:t>
        <w:br/>
        <w:t>denunciantes originales y los  representantes  de  las  víctimas  o  de  sus</w:t>
        <w:br/>
        <w:t>familiares, con sus respectivos poderes y, además, los  anexos  faltantes  e</w:t>
        <w:br/>
        <w:t>ilegibles.</w:t>
        <w:br/>
        <w:br/>
        <w:t>40.   El 11 de marzo de 1997 la Corte recibió la traducción  de  la  demanda</w:t>
        <w:br/>
        <w:t>al español corregida y las fotografías que figuraban como anexos 59 a 62.</w:t>
        <w:br/>
        <w:br/>
        <w:t>41.   El 14 de marzo de 1997 la Secretaría  de  la  Corte  envió  al  Estado</w:t>
        <w:br/>
        <w:t>copia de la traducción de la demanda al español corregida y  de  los  anexos</w:t>
        <w:br/>
        <w:t>mencionados.  Asimismo, en esta fecha la Corte solicitó  a  la  Comisión  el</w:t>
        <w:br/>
        <w:t>envío de los anexos aún faltantes.</w:t>
        <w:br/>
        <w:br/>
        <w:t>42.   El 30 de marzo de 1997 Guatemala comunicó a la  Corte  la  designación</w:t>
        <w:br/>
        <w:t>del  señor  Julio  Gándara  Valenzuela,  Embajador  de  Guatemala  ante   la</w:t>
        <w:br/>
        <w:t>República de Costa Rica, como agente en el caso.</w:t>
        <w:br/>
        <w:br/>
        <w:t>43.   El 2 de abril de 1997 Guatemala presentó un escrito mediante  el  cual</w:t>
        <w:br/>
        <w:t>interpuso  cuatro  excepciones  preliminares  y  solicitó   que   la   Corte</w:t>
        <w:br/>
        <w:t>“prorrog[ara] el  plazo  de  contestación  de  la  demanda  hasta  que  [las</w:t>
        <w:br/>
        <w:t>excepciones preliminares] se [hubiesen] resuelto”.</w:t>
        <w:br/>
        <w:br/>
        <w:t>44.   Por Resolución de 16 de abril de 1997 la Corte  declaró  “improcedente</w:t>
        <w:br/>
        <w:t>la solicitud del Estado de Guatemala de prorrogar el plazo  de  contestación</w:t>
        <w:br/>
        <w:t>de la demanda” en el presente caso y resolvió “continuar con la  tramitación</w:t>
        <w:br/>
        <w:t>de éste en sus respectivas etapas procesales”.</w:t>
        <w:br/>
        <w:br/>
        <w:t>45.   El 18 de abril de 1997 el Estado informó a la Corte  sobre  un  “error</w:t>
        <w:br/>
        <w:t>de hecho en el  escrito  de  excepciones  preliminares”  (mayúsculas  en  el</w:t>
        <w:br/>
        <w:t>original) y solicitó que lo tuviese “por  no  presentado  [de  manera  que,]</w:t>
        <w:br/>
        <w:t>consecuentemente, se dej[ase] sin efecto  la  resolución  de  la  Corte,  de</w:t>
        <w:br/>
        <w:t>fecha 16 de abril de 1997” (mayúsculas en el original).</w:t>
        <w:br/>
        <w:br/>
        <w:t>46.   Por Resolución de 18 de abril  de  1997  el  Presidente  de  la  Corte</w:t>
        <w:br/>
        <w:t>decidió “tener por no presentado el escrito de excepciones  preliminares  de</w:t>
        <w:br/>
        <w:t>2 de abril de 1997”.</w:t>
        <w:br/>
        <w:br/>
        <w:t>47.   El 6  de  mayo  de  1997,  de  conformidad  con  el  artículo  36  del</w:t>
        <w:br/>
        <w:t>Reglamento,  el  Estado  presentó,  dentro  del  plazo  correspondiente,  un</w:t>
        <w:br/>
        <w:t>escrito mediante  el  cual  interpuso  una  sola  excepción  preliminar  que</w:t>
        <w:br/>
        <w:t>denominó: “Incompetencia de la Honorable Corte  Interamericana  de  Derechos</w:t>
        <w:br/>
        <w:t>Humanos para conocer […] el presente caso” (mayúsculas en el original).</w:t>
        <w:br/>
        <w:br/>
        <w:t>48.   El 21 de mayo de 1997 la Comisión presentó parte de  la  documentación</w:t>
        <w:br/>
        <w:t>solicitada.</w:t>
        <w:br/>
        <w:br/>
        <w:t>49.   El 4 de julio de 1997 el Estado presentó su  escrito  de  contestación</w:t>
        <w:br/>
        <w:t>de la demanda, cuya copia fue transmitida a la Comisión el 8 de  los  mismos</w:t>
        <w:br/>
        <w:t>mes y año.</w:t>
        <w:br/>
        <w:br/>
        <w:t>50.    El  11  de  septiembre  de  1997  la  Corte  emitió  sentencia  sobre</w:t>
        <w:br/>
        <w:t>excepciones preliminares, en la cual resolvió, por  unanimidad,  “[d]esechar</w:t>
        <w:br/>
        <w:t>por  improcedente  la  excepción  preliminar  formulada  por  el  Estado  de</w:t>
        <w:br/>
        <w:t>Guatemala” y “[c]ontinuar con el conocimiento del caso”.</w:t>
        <w:br/>
        <w:br/>
        <w:t>51.   EL 15 DE ABRIL DE 1998 GUATEMALA COMUNICÓ A LA  CORTE  LA  DESIGNACIÓN</w:t>
        <w:br/>
        <w:t>DE GUILLERMO ARGUETA VILLAGRÁN, EMBAJADOR DE GUATEMALA ANTE EL  GOBIERNO  DE</w:t>
        <w:br/>
        <w:t>COSTA RICA, COMO AGENTE DEL ESTADO PARA ESTE CASO, EN SUSTITUCIÓN DEL  SEÑOR</w:t>
        <w:br/>
        <w:t>JULIO GÁNDARA VALENZUELA.</w:t>
        <w:br/>
        <w:br/>
        <w:t>52.   El 6 de noviembre de 1998 la Comisión comunicó a la Corte  que  en  el</w:t>
        <w:br/>
        <w:t>futuro el señor Claudio Grossman actuaría como su  único  delegado  en  este</w:t>
        <w:br/>
        <w:t>caso dejando sin efecto, por ende,  la  designación  en  dicha  calidad  del</w:t>
        <w:br/>
        <w:t>señor John Donaldson.</w:t>
        <w:br/>
        <w:br/>
        <w:t>53.   El 9 de diciembre de 1998 la Comisión envió  la  lista  definitiva  de</w:t>
        <w:br/>
        <w:t>testigos y peritos ofrecidos para el caso.</w:t>
        <w:br/>
        <w:br/>
        <w:t>54.   El 14 de diciembre de 1998 el Presidente convocó  al  Estado  y  a  la</w:t>
        <w:br/>
        <w:t>Comisión a una audiencia pública que se celebraría en la sede  de  la  Corte</w:t>
        <w:br/>
        <w:t>el 28 de enero de 1999, con el propósito de  recibir  las  declaraciones  de</w:t>
        <w:br/>
        <w:t>los testigos y los dictámenes de los peritos  propuestos  por  la  Comisión.</w:t>
        <w:br/>
        <w:t>Asimismo, el Presidente instruyó a la Secretaría para que comunicase  a  las</w:t>
        <w:br/>
        <w:t>partes que, inmediatamente después  de  recibidas  dichas  pruebas,  podrían</w:t>
        <w:br/>
        <w:t>presentar los alegatos finales orales sobre el fondo del caso.</w:t>
        <w:br/>
        <w:br/>
        <w:t>55.   El 28 de diciembre de 1998 la Comisión presentó los poderes  otorgados</w:t>
        <w:br/>
        <w:t>por las  señoras  Matilde  Reyna  Morales  García,  Ana  María  Contreras  y</w:t>
        <w:br/>
        <w:t>Margarita Urbina Sandoval, familiares de tres de las víctimas.</w:t>
        <w:br/>
        <w:br/>
        <w:t>56.   Los días 28 y 29 de enero  de  1999  la  Corte  recibió  en  audiencia</w:t>
        <w:br/>
        <w:t>pública sobre el fondo del caso las declaraciones  de  los  testigos  y  los</w:t>
        <w:br/>
        <w:t>dictámenes de los peritos ofrecidos por la Comisión y escuchó  los  alegatos</w:t>
        <w:br/>
        <w:t>finales orales de las partes.</w:t>
        <w:br/>
        <w:br/>
        <w:t>Comparecieron ante la Corte</w:t>
        <w:br/>
        <w:br/>
        <w:t>por el Estado de Guatemala:</w:t>
        <w:br/>
        <w:br/>
        <w:t xml:space="preserve">      Guillermo Argueta Villagrán, agente;</w:t>
        <w:br/>
        <w:t xml:space="preserve">      Dennis Alonzo Mazariegos, agente alterno; y</w:t>
        <w:br/>
        <w:t xml:space="preserve">      Alejandro Sánchez Garrido, asesor.</w:t>
        <w:br/>
        <w:br/>
        <w:br/>
        <w:t>Por la Comisión Interamericana:</w:t>
        <w:br/>
        <w:br/>
        <w:t xml:space="preserve">      Claudio Grossman, delegado;</w:t>
        <w:br/>
        <w:t xml:space="preserve">      Elizabeth H. Abi-Mershed, abogada;</w:t>
        <w:br/>
        <w:t xml:space="preserve">      Viviana Krsticevic, asistente;</w:t>
        <w:br/>
        <w:t xml:space="preserve">      Luguely Cunillera, asistente;</w:t>
        <w:br/>
        <w:t xml:space="preserve">      Ana María Méndez, asistente; y</w:t>
        <w:br/>
        <w:t xml:space="preserve">      Héctor Dionisio, asistente.</w:t>
        <w:br/>
        <w:t>Como testigos propuestos por la Comisión Interamericana:</w:t>
        <w:br/>
        <w:br/>
        <w:t xml:space="preserve">      Ana María Contreras;</w:t>
        <w:br/>
        <w:t xml:space="preserve">      Matilde Reyna Morales García;</w:t>
        <w:br/>
        <w:t xml:space="preserve">      Bruce Harris;</w:t>
        <w:br/>
        <w:t xml:space="preserve">      Rosa Angélica Vega;</w:t>
        <w:br/>
        <w:t xml:space="preserve">      Julia Griselda Ramírez López;</w:t>
        <w:br/>
        <w:t xml:space="preserve">      Osbelí Arcadio Joaquín Tema;</w:t>
        <w:br/>
        <w:t xml:space="preserve">      Delfino Hernández García;</w:t>
        <w:br/>
        <w:t xml:space="preserve">      Roberto Marroquín Urbina; y</w:t>
        <w:br/>
        <w:t xml:space="preserve">      Ayende Anselmo Ardiano Paz.</w:t>
        <w:br/>
        <w:br/>
        <w:br/>
        <w:t>Como peritos propuestos por la Comisión Interamericana:</w:t>
        <w:br/>
        <w:br/>
        <w:t xml:space="preserve">      Roberto Carlos Bux; y</w:t>
        <w:br/>
        <w:t xml:space="preserve">      Alberto Bovino.</w:t>
        <w:br/>
        <w:br/>
        <w:br/>
        <w:t>57.   El 3 de agosto de 1999 la Secretaría envió  la  versión  final  de  la</w:t>
        <w:br/>
        <w:t>transcripción de las audiencias públicas  a  las  partes,  indicándoles  que</w:t>
        <w:br/>
        <w:t>disponían de un mes de plazo  para  que  presentaran  sus  alegatos  finales</w:t>
        <w:br/>
        <w:t>escritos.  Este plazo fue extendido en dos oportunidades en virtud de  otras</w:t>
        <w:br/>
        <w:t>tantas solicitudes presentadas por la Comisión.</w:t>
        <w:br/>
        <w:br/>
        <w:t>58.   El 21 de septiembre de 1999 Guatemala presentó sus  alegatos  finales.</w:t>
        <w:br/>
        <w:t>La Comisión hizo lo propio el 20 de septiembre en idioma inglés, y el 10  de</w:t>
        <w:br/>
        <w:t>noviembre en idioma español[1].</w:t>
        <w:br/>
        <w:br/>
        <w:br/>
        <w:t xml:space="preserve">                                      V</w:t>
        <w:br/>
        <w:br/>
        <w:t xml:space="preserve">                               Sobre la Prueba</w:t>
        <w:br/>
        <w:br/>
        <w:br/>
        <w:br/>
        <w:t xml:space="preserve">                            a) Prueba Documental</w:t>
        <w:br/>
        <w:br/>
        <w:br/>
        <w:t>59.   Como anexos al escrito  de  demanda,  y  en  calidad  de  pruebas,  la</w:t>
        <w:br/>
        <w:t>Comisión presentó copia de documentos relacionados con lo siguiente:</w:t>
        <w:br/>
        <w:br/>
        <w:t xml:space="preserve">      a.    Las actuaciones judiciales internas referentes a los  homicidios</w:t>
        <w:br/>
        <w:t xml:space="preserve">      de Henry Giovanni Contreras, Federico Clemente Figueroa Túnchez, Julio</w:t>
        <w:br/>
        <w:t xml:space="preserve">      Roberto Caal Sandoval y Jovito Josué Juárez Cifuentes, y al  homicidio</w:t>
        <w:br/>
        <w:t xml:space="preserve">      de Anstraum Aman Villagrán Morales.</w:t>
        <w:br/>
        <w:br/>
        <w:br/>
        <w:t>Al respecto, se presentaron  copias  de  los  expedientes  formados  en  los</w:t>
        <w:br/>
        <w:t>procesos judiciales realizados por los siguientes juzgados:</w:t>
        <w:br/>
        <w:br/>
        <w:t xml:space="preserve">      -     Juzgado Primero de Paz de Mixco (Departamento de Guatemala)[2];</w:t>
        <w:br/>
        <w:br/>
        <w:br/>
        <w:t xml:space="preserve">      -     Juzgado de Primera Instancia de  Instrucción  del  Municipio  de</w:t>
        <w:br/>
        <w:t xml:space="preserve">          Mixco (Departamento de Guatemala)[3];</w:t>
        <w:br/>
        <w:t xml:space="preserve">      -      Juzgado   Primero  de  Primera  Instancia  del  Ramo  Penal  de</w:t>
        <w:br/>
        <w:t xml:space="preserve">          Instrucción (Ciudad de Guatemala)[4];</w:t>
        <w:br/>
        <w:br/>
        <w:br/>
        <w:t xml:space="preserve">      -     Juzgado de Paz Penal de Turno[5] (Ciudad de Guatemala);</w:t>
        <w:br/>
        <w:br/>
        <w:br/>
        <w:t xml:space="preserve">      -      Juzgado  Segundo  de  Primera  Instancia  del  Ramo  Penal   de</w:t>
        <w:br/>
        <w:t xml:space="preserve">          Instrucción[6] (Ciudad de Guatemala);</w:t>
        <w:br/>
        <w:t xml:space="preserve">      -      Juzgado  Tercero  de  Primera  Instancia  del  Ramo  Penal   de</w:t>
        <w:br/>
        <w:t xml:space="preserve">          Sentencia[7] (Ciudad de Guatemala);</w:t>
        <w:br/>
        <w:t xml:space="preserve">      -     Sala Cuarta de la Corte de Apelaciones de Guatemala[8]; y</w:t>
        <w:br/>
        <w:br/>
        <w:br/>
        <w:t xml:space="preserve">      -     Cámara Penal de la Corte Suprema de Justicia  de  Guatemala  (en</w:t>
        <w:br/>
        <w:t xml:space="preserve">          adelante “Corte Suprema”)[9];</w:t>
        <w:br/>
        <w:br/>
        <w:br/>
        <w:t xml:space="preserve">      b.    El trámite del caso ante la Comisión Interamericana de  Derechos</w:t>
        <w:br/>
        <w:t xml:space="preserve">      Humanos[10].</w:t>
        <w:br/>
        <w:br/>
        <w:br/>
        <w:t xml:space="preserve">      c.    La problemática de los “niños de la calle” en Guatemala  durante</w:t>
        <w:br/>
        <w:t xml:space="preserve">      la época en la  cual  ocurrieron  los  hechos  que  dieron  origen  al</w:t>
        <w:br/>
        <w:t xml:space="preserve">      presente caso[11].</w:t>
        <w:br/>
        <w:br/>
        <w:t>60.   Los documentos presentados por la Comisión  no  fueron  controvertidos</w:t>
        <w:br/>
        <w:t>ni objetados, ni su autenticidad puesta en duda por el Estado,  por  lo  que</w:t>
        <w:br/>
        <w:t>la Corte los tiene como válidos.</w:t>
        <w:br/>
        <w:br/>
        <w:t>61.   Por su parte, el Estado no presentó pruebas en la contestación  de  la</w:t>
        <w:br/>
        <w:t>demanda ni  en  ningún  otro  momento  durante  las  etapas  de  excepciones</w:t>
        <w:br/>
        <w:t>preliminares o de fondo.</w:t>
        <w:br/>
        <w:br/>
        <w:t>62.   La Comisión Interamericana  presentó,  durante  la  audiencia  pública</w:t>
        <w:br/>
        <w:t>sobre el fondo del presente caso, realizada el día  28  de  enero  de  1999,</w:t>
        <w:br/>
        <w:t>copias de 14 documentos que fueron recibidos por la Secretaría de la  Corte.</w:t>
        <w:br/>
        <w:t xml:space="preserve"> Dichos documentos fueron entregados también al Estado en el  curso  de  esa</w:t>
        <w:br/>
        <w:t>audiencia.</w:t>
        <w:br/>
        <w:br/>
        <w:t>63.   El artículo 43 del Reglamento establece que</w:t>
        <w:br/>
        <w:br/>
        <w:t xml:space="preserve">      [l]as pruebas promovidas por las partes sólo serán  admitidas  si  son</w:t>
        <w:br/>
        <w:t xml:space="preserve">      señaladas en la demanda y en su contestación  y  en  su  caso,  en  el</w:t>
        <w:br/>
        <w:t xml:space="preserve">      escrito  de   excepciones   preliminares   y   en   su   contestación.</w:t>
        <w:br/>
        <w:t xml:space="preserve">      Excepcionalmente la Corte podrá admitir una prueba si  alguna  de  las</w:t>
        <w:br/>
        <w:t xml:space="preserve">      partes  alegare  fuerza  mayor,  un   impedimento   grave   o   hechos</w:t>
        <w:br/>
        <w:t xml:space="preserve">      supervinientes en momento distinto a los antes señalados, siempre  que</w:t>
        <w:br/>
        <w:t xml:space="preserve">      se garantice a la parte contraria el derecho de defensa.</w:t>
        <w:br/>
        <w:br/>
        <w:br/>
        <w:t>Esta disposición otorga un carácter excepcional a la posibilidad de  admitir</w:t>
        <w:br/>
        <w:t>medios de prueba en momento distinto de los señalados.   La  correspondiente</w:t>
        <w:br/>
        <w:t>excepción se configura únicamente cuando la parte proponente  alegue  fuerza</w:t>
        <w:br/>
        <w:t>mayor, impedimento grave o hechos supervinientes, lo cual no ha ocurrido  en</w:t>
        <w:br/>
        <w:t>el presente caso.</w:t>
        <w:br/>
        <w:br/>
        <w:t>64.   La Corte advierte, por lo demás, que los  documentos  presentados  por</w:t>
        <w:br/>
        <w:t>la Comisión en la audiencia pública ya habían sido agregados  al  expediente</w:t>
        <w:br/>
        <w:t>como anexos de la demanda (supra, párrs. 49 y 56) y ya  formaban  parte  del</w:t>
        <w:br/>
        <w:t>acervo probatorio del caso, por lo que una segunda  incorporación  al  mismo</w:t>
        <w:br/>
        <w:t>resulta redundante.</w:t>
        <w:br/>
        <w:br/>
        <w:br/>
        <w:br/>
        <w:br/>
        <w:br/>
        <w:t xml:space="preserve">                            b) Prueba Testimonial</w:t>
        <w:br/>
        <w:br/>
        <w:br/>
        <w:t>65.   La Corte  recibió,  en  audiencia  pública,  los  testimonios  que  se</w:t>
        <w:br/>
        <w:t>reseñan a continuación:</w:t>
        <w:br/>
        <w:br/>
        <w:t xml:space="preserve">      a.    Testimonio de Ana  María  Contreras,  madre  de  Henry  Giovanni</w:t>
        <w:br/>
        <w:t xml:space="preserve">      Contreras</w:t>
        <w:br/>
        <w:br/>
        <w:t xml:space="preserve">      Declaró que durante algunos períodos, durante los años 1989 y 1990, su</w:t>
        <w:br/>
        <w:t xml:space="preserve">      hijo vivió en las calles de la ciudad de Guatemala, específicamente en</w:t>
        <w:br/>
        <w:t xml:space="preserve">      las calles 18, 9 y 17.  En junio  de  1990,  cuando  fue  secuestrado,</w:t>
        <w:br/>
        <w:t xml:space="preserve">      pasaba períodos con ella en su casa y otros en Casa Alianza.   En  ese</w:t>
        <w:br/>
        <w:t xml:space="preserve">      tiempo, además, su hijo trabajaba en un taller de serigrafía.</w:t>
        <w:br/>
        <w:br/>
        <w:br/>
        <w:t xml:space="preserve">      El 15 de junio de 1990, entre las nueve y diez  de  la  mañana,  Henry</w:t>
        <w:br/>
        <w:t xml:space="preserve">      Giovanni  Contreras  salió  de  su  casa  para  sacar  su  cédula   de</w:t>
        <w:br/>
        <w:t xml:space="preserve">      identificación, ya que había cumplido 18 años recientemente.   Pasados</w:t>
        <w:br/>
        <w:t xml:space="preserve">      aproximadamente 15 días sin que hubiera regresado, la  testigo  fue  a</w:t>
        <w:br/>
        <w:t xml:space="preserve">      buscarlo “a las calles”.  Preguntó en una cafetería ubicada  frente  a</w:t>
        <w:br/>
        <w:t xml:space="preserve">      un lugar llamado “el Zócalo”, en la 18 calle, mostrando una fotografía</w:t>
        <w:br/>
        <w:t xml:space="preserve">      de su hijo.  La mujer que trabajaba en la cafetería le dijo que “se lo</w:t>
        <w:br/>
        <w:t xml:space="preserve">      llevaron con otros muchachos en una camioneta”.</w:t>
        <w:br/>
        <w:br/>
        <w:br/>
        <w:t xml:space="preserve">      Al día siguiente, fue a la Policía Nacional de Guatemala (en  adelante</w:t>
        <w:br/>
        <w:t xml:space="preserve">      “Policía Nacional”), donde le confirmaron la muerte de Henry  Giovanni</w:t>
        <w:br/>
        <w:t xml:space="preserve">      Contreras y le enseñaron una fotografía de “medio cuerpo [de su  hijo]</w:t>
        <w:br/>
        <w:t xml:space="preserve">      con un balazo”.  Además, le indicaron que se dirigiera a Mixco,  donde</w:t>
        <w:br/>
        <w:t xml:space="preserve">      podría  averiguar  más  detalles  sobre  el  suceso.   En  Mixco,   le</w:t>
        <w:br/>
        <w:t xml:space="preserve">      explicaron que Henry Giovanni Contreras había aparecido muerto en  los</w:t>
        <w:br/>
        <w:t xml:space="preserve">      Bosques de San Nicolás y la interrogaron sobre el hecho.   Afirmó  que</w:t>
        <w:br/>
        <w:t xml:space="preserve">      también fue citada por un juzgado o tribunal al que  sólo  se  refirió</w:t>
        <w:br/>
        <w:t xml:space="preserve">      como “corte”, donde le “hicieron preguntas” relativas a su  hijo,  las</w:t>
        <w:br/>
        <w:t xml:space="preserve">      que no recuerda con exactitud.</w:t>
        <w:br/>
        <w:br/>
        <w:br/>
        <w:t xml:space="preserve">      Expresó que no pudo enterrar a su hijo,  porque  se  requerían  muchos</w:t>
        <w:br/>
        <w:t xml:space="preserve">      trámites burocráticos para retirar su cuerpo y ella “ya estaba un poco</w:t>
        <w:br/>
        <w:t xml:space="preserve">      enferma de la cabeza y luego empe[zó] a empeorar”.  Informó a  su  vez</w:t>
        <w:br/>
        <w:t xml:space="preserve">      que, como consecuencia de lo sucedido con su hijo, tuvo una  parálisis</w:t>
        <w:br/>
        <w:t xml:space="preserve">      en la cara que le “costó un año en el hospital”.</w:t>
        <w:br/>
        <w:br/>
        <w:br/>
        <w:t xml:space="preserve">      Agregó que  posteriormente  a  sus  declaraciones  ante  la  justicia,</w:t>
        <w:br/>
        <w:t xml:space="preserve">      recibió una carta anónima que contenía amenazas.  Tuvo  miedo  en  esa</w:t>
        <w:br/>
        <w:t xml:space="preserve">      oportunidad, y manifestó que también tenía miedo de  estar  declarando</w:t>
        <w:br/>
        <w:t xml:space="preserve">      ante la Corte Interamericana sobre los hechos.</w:t>
        <w:br/>
        <w:br/>
        <w:br/>
        <w:t xml:space="preserve">      Señaló que no sabe quiénes fueron los responsables de la muerte de  su</w:t>
        <w:br/>
        <w:t xml:space="preserve">      hijo, ni cuáles fueron los móviles  de  su  homicidio.   Solamente  se</w:t>
        <w:br/>
        <w:t xml:space="preserve">      enteró por la prensa que habían arrestado a los  presuntos  autores  y</w:t>
        <w:br/>
        <w:t xml:space="preserve">      que después los habían dejado libres.  No la  han  vuelto  a  convocar</w:t>
        <w:br/>
        <w:t xml:space="preserve">      para rendir declaraciones en los tribunales.</w:t>
        <w:br/>
        <w:br/>
        <w:br/>
        <w:t xml:space="preserve">      Manifestó que Henry Giovanni Contreras consumía drogas y licor  y  que</w:t>
        <w:br/>
        <w:t xml:space="preserve">      fue detenido en distintas ocasiones “[p]or vagancia en las calles”.</w:t>
        <w:br/>
        <w:br/>
        <w:br/>
        <w:t xml:space="preserve">      b.    Testimonio de Matilde Reyna Morales García,  madre  de  Anstraum</w:t>
        <w:br/>
        <w:t xml:space="preserve">      Aman Villagrán Morales</w:t>
        <w:br/>
        <w:br/>
        <w:br/>
        <w:t xml:space="preserve">      Declaró que Anstraum Aman Villagrán Morales asistió a la escuela hasta</w:t>
        <w:br/>
        <w:t xml:space="preserve">      sexto año y, a los 15 años,  empezó  a  trabajar  en  el  mercado  “La</w:t>
        <w:br/>
        <w:t xml:space="preserve">      Parroquia”, interrumpiendo sus estudios. A  partir  de  entonces,  les</w:t>
        <w:br/>
        <w:t xml:space="preserve">      ayudaba económicamente y era como  el  varón  de  la  casa.   En  1990</w:t>
        <w:br/>
        <w:t xml:space="preserve">      Villagrán Morales “vivía” con  ella  y  sus  hermanos.   Sin  embargo,</w:t>
        <w:br/>
        <w:t xml:space="preserve">      señaló que dejó  de  vivir  “permanentemente”  con  ellos,  desde  que</w:t>
        <w:br/>
        <w:t xml:space="preserve">      comenzó a trabajar.  Además, dijo que fue detenido una vez.</w:t>
        <w:br/>
        <w:br/>
        <w:br/>
        <w:t xml:space="preserve">      En la madrugada del 26 de junio de 1990 su hija le comunicó que  había</w:t>
        <w:br/>
        <w:t xml:space="preserve">      sido informada por empleados de la morgue que Anstraum Aman  Villagrán</w:t>
        <w:br/>
        <w:t xml:space="preserve">      Morales había muerto.  Fue a la morgue con su  hija  e  identificó  su</w:t>
        <w:br/>
        <w:t xml:space="preserve">      cadáver.  No recibieron información alguna sobre las circunstancias de</w:t>
        <w:br/>
        <w:t xml:space="preserve">      su muerte.  Cuando salía de la morgue, un joven de aproximadamente  17</w:t>
        <w:br/>
        <w:t xml:space="preserve">      años se le acercó y le dijo que era amigo de su hijo.  Le  contó  que,</w:t>
        <w:br/>
        <w:t xml:space="preserve">      cuando estaba tomando una taza de café en un sector de  la  18  calle,</w:t>
        <w:br/>
        <w:t xml:space="preserve">      vio pasar a tres hombres disparando a Anstraum Aman Villagrán  Morales</w:t>
        <w:br/>
        <w:t xml:space="preserve">      y que una de esas balas le dio muerte.</w:t>
        <w:br/>
        <w:br/>
        <w:br/>
        <w:t xml:space="preserve">      En el mes de agosto, prestó declaración ante un juzgado.  Allí tampoco</w:t>
        <w:br/>
        <w:t xml:space="preserve">      le dieron información sobre la muerte de su hijo y nunca fue informada</w:t>
        <w:br/>
        <w:t xml:space="preserve">      sobre los resultados del proceso judicial.</w:t>
        <w:br/>
        <w:br/>
        <w:br/>
        <w:t xml:space="preserve">      No hizo ninguna gestión ante las autoridades porque temía que lo mismo</w:t>
        <w:br/>
        <w:t xml:space="preserve">      que le pasó a Anstraum Aman Villagrán Morales pudiera pasarle a ella o</w:t>
        <w:br/>
        <w:t xml:space="preserve">      a sus otros hijos y porque, al momento de la muerte  de  aquél,  tenía</w:t>
        <w:br/>
        <w:t xml:space="preserve">      dos meses de embarazo.</w:t>
        <w:br/>
        <w:br/>
        <w:br/>
        <w:br/>
        <w:br/>
        <w:br/>
        <w:t xml:space="preserve">      c.    Testimonio de  Bruce  Harris,  director  regional  para  América</w:t>
        <w:br/>
        <w:t xml:space="preserve">      Latina de Casa Alianza</w:t>
        <w:br/>
        <w:br/>
        <w:br/>
        <w:t xml:space="preserve">      Declaró que Casa Alianza es una organización que realiza programas  de</w:t>
        <w:br/>
        <w:t xml:space="preserve">      educación y apoyo para “niños  de  la  calle”  en  México,  Guatemala,</w:t>
        <w:br/>
        <w:t xml:space="preserve">      Honduras y Nicaragua.  Él tuvo conocimiento del  caso  de  los  cuatro</w:t>
        <w:br/>
        <w:t xml:space="preserve">      cadáveres encontrados en los Bosques de San Nicolás por  Aída  Cámbara</w:t>
        <w:br/>
        <w:t xml:space="preserve">      Cruz, una “niña de la calle” que formaba  parte  del  programa  de  la</w:t>
        <w:br/>
        <w:t xml:space="preserve">      organización.   Conocía  a   las   víctimas   porque   también   ellas</w:t>
        <w:br/>
        <w:t xml:space="preserve">      participaban en los programas de Casa Alianza.  Declaró  que  Anstraum</w:t>
        <w:br/>
        <w:t xml:space="preserve">      Aman Villagrán Morales y los cuatro jóvenes que fueron  asesinados  en</w:t>
        <w:br/>
        <w:t xml:space="preserve">      los Bosques de San Nicolás formaban un grupo de amigos que frecuentaba</w:t>
        <w:br/>
        <w:t xml:space="preserve">      la 18 calle.</w:t>
        <w:br/>
        <w:br/>
        <w:br/>
        <w:t xml:space="preserve">      Con respecto a los hechos relacionados con el secuestro y homicidio de</w:t>
        <w:br/>
        <w:t xml:space="preserve">      los cuatro jóvenes declaró que, por lo que vio en fotografías  que  le</w:t>
        <w:br/>
        <w:t xml:space="preserve">      mostraron cuando identificó a las víctimas ante la  Policía  Nacional,</w:t>
        <w:br/>
        <w:t xml:space="preserve">      “habían sufrido tremendamente [...], había tortura, maltrato  [...]  y</w:t>
        <w:br/>
        <w:t xml:space="preserve">      [...] les habían [disparado varias veces] en  la  cabeza”.   El  señor</w:t>
        <w:br/>
        <w:t xml:space="preserve">      Byron Gutiérrez,  un  investigador  de  la  Procuraduría  de  Derechos</w:t>
        <w:br/>
        <w:t xml:space="preserve">      Humanos, le dijo que los muchachos  presentaban  señales  de  “tortura</w:t>
        <w:br/>
        <w:t xml:space="preserve">      típica de las fuerzas de seguridad del Estado”. Informó también que la</w:t>
        <w:br/>
        <w:t xml:space="preserve">      zona conocida como “Las Casetas”, en la calle 18, es  reconocida  como</w:t>
        <w:br/>
        <w:t xml:space="preserve">      una zona muy peligrosa y que supo, por los educadores de la  calle  de</w:t>
        <w:br/>
        <w:t xml:space="preserve">      Casa Alianza,  que  Anstraum  Aman  Villagrán  Morales  “aparentemente</w:t>
        <w:br/>
        <w:t xml:space="preserve">      estaba tomando cerveza con dos  señores  que  fueron  identificados  o</w:t>
        <w:br/>
        <w:t xml:space="preserve">      reconocidos como agentes de  la  policía  del  Quinto  Cuerpo,  [hubo]</w:t>
        <w:br/>
        <w:t xml:space="preserve">      aparentemente algún tipo de discusión, se escuch[aron] disparos y  los</w:t>
        <w:br/>
        <w:t xml:space="preserve">      dos hombres [se]  fueron  corriendo  y  él  Anstraum  […]  murió  allí</w:t>
        <w:br/>
        <w:t xml:space="preserve">      baleado.”</w:t>
        <w:br/>
        <w:br/>
        <w:br/>
        <w:t xml:space="preserve">      Agregó además, que la zona de “Las Casetas” se encuentra en el  centro</w:t>
        <w:br/>
        <w:t xml:space="preserve">      de la ciudad, donde probablemente había por lo menos 300  personas  al</w:t>
        <w:br/>
        <w:t xml:space="preserve">      momento de los hechos, entre los  cuales  seguramente  se  encontraban</w:t>
        <w:br/>
        <w:t xml:space="preserve">      Gustavo Adolfo Cóncaba Cisneros, conocido como “Toby”, Julia  Griselda</w:t>
        <w:br/>
        <w:t xml:space="preserve">      Ramírez López, Rosa Angélica Vega y Micaela Solís Ramírez, todos ellos</w:t>
        <w:br/>
        <w:t xml:space="preserve">      también “niños de la calle”.</w:t>
        <w:br/>
        <w:br/>
        <w:br/>
        <w:t xml:space="preserve">      Con base en la información recibida de Aída Cámbara Cruz,  el  testigo</w:t>
        <w:br/>
        <w:t xml:space="preserve">      hizo la denuncia de lo sucedido  el  18  de  julio  de  1990  ante  el</w:t>
        <w:br/>
        <w:t xml:space="preserve">      Ministerio Público, la Procuraduría de Derechos  Humanos,  la  Policía</w:t>
        <w:br/>
        <w:t xml:space="preserve">      Nacional y el Juzgado de Paz de Mixco.</w:t>
        <w:br/>
        <w:br/>
        <w:br/>
        <w:t xml:space="preserve">      Afirmó que los expedientes ante el Juzgado de Paz de  Mixco  constaban</w:t>
        <w:br/>
        <w:t xml:space="preserve">      de “unas pocas hojas” y no hacían referencia alguna a las torturas que</w:t>
        <w:br/>
        <w:t xml:space="preserve">      había percibido en las fotografías de  identificación  de  la  Policía</w:t>
        <w:br/>
        <w:t xml:space="preserve">      Nacional.   Tampoco  el  informe  policial  de  4  de  marzo  de  1991</w:t>
        <w:br/>
        <w:t xml:space="preserve">      mencionaba las marcas de tortura encontradas en  los  cuerpos  de  las</w:t>
        <w:br/>
        <w:t xml:space="preserve">      víctimas.</w:t>
        <w:br/>
        <w:br/>
        <w:br/>
        <w:t xml:space="preserve">      Mientras fue el  acusador  privado  en  el  caso  -posteriormente  fue</w:t>
        <w:br/>
        <w:t xml:space="preserve">      sustituido por Rosa Carlota Sandoval,  madre  de  Julio  Roberto  Caal</w:t>
        <w:br/>
        <w:t xml:space="preserve">      Sandoval- nunca fue citado por el juez.  Además, no todos los testigos</w:t>
        <w:br/>
        <w:t xml:space="preserve">      ofrecidos por él fueron citados y tampoco las informaciones que aportó</w:t>
        <w:br/>
        <w:t xml:space="preserve">      al proceso fueron aprovechadas para la investigación.  De los testigos</w:t>
        <w:br/>
        <w:t xml:space="preserve">      que ofreció en su denuncia, solamente fueron llamados  a  declarar  la</w:t>
        <w:br/>
        <w:t xml:space="preserve">      mitad, aproximadamente.</w:t>
        <w:br/>
        <w:br/>
        <w:br/>
        <w:t xml:space="preserve">      Señaló que tanto el Poder Judicial como la Policía  Nacional  tardaron</w:t>
        <w:br/>
        <w:t xml:space="preserve">      un tiempo excesivo para investigar los hechos.</w:t>
        <w:br/>
        <w:br/>
        <w:br/>
        <w:t xml:space="preserve">      Manifestó que sintió temor a raíz de las denuncias presentadas  en  el</w:t>
        <w:br/>
        <w:t xml:space="preserve">      caso.  Tres compañeros de Casa Alianza debieron irse a Canadá por  las</w:t>
        <w:br/>
        <w:t xml:space="preserve">      amenazas sufridas durante las investigaciones.  En julio de 1991  tres</w:t>
        <w:br/>
        <w:t xml:space="preserve">      hombres llegaron en un vehículo blindado sin placas a buscarlo y, como</w:t>
        <w:br/>
        <w:t xml:space="preserve">      él no se encontraba en Casa Alianza, “cubrieron la fachada de  nuestro</w:t>
        <w:br/>
        <w:t xml:space="preserve">      programa  con  balas”.   Agregó  que  Rosa  Carlota  Sandoval,  muerta</w:t>
        <w:br/>
        <w:t xml:space="preserve">      posteriormente en un  accidente  de  tránsito,  aparentemente  recibía</w:t>
        <w:br/>
        <w:t xml:space="preserve">      amenazas.  Gustavo Adolfo Cóncaba Cisneros, alias “Toby”, un “niño  de</w:t>
        <w:br/>
        <w:t xml:space="preserve">      la calle” que había sido testigo presencial en el caso de los  Bosques</w:t>
        <w:br/>
        <w:t xml:space="preserve">      de San Nicolás y que había identificado a  uno  de  los  policías  que</w:t>
        <w:br/>
        <w:t xml:space="preserve">      presumiblemente había  participado  en  el  atentado,  también  murió,</w:t>
        <w:br/>
        <w:t xml:space="preserve">      aparentemente apuñalado por otro “niño de la calle”.</w:t>
        <w:br/>
        <w:br/>
        <w:br/>
        <w:t xml:space="preserve">      Añadió que Casa Alianza maneja 392 casos de supuestos  delitos  contra</w:t>
        <w:br/>
        <w:t xml:space="preserve">      “niños de  la  calle”,  de  los  cuales  aproximadamente  50  son  por</w:t>
        <w:br/>
        <w:t xml:space="preserve">      homicidio.  De esos 392 casos menos del cinco por ciento han llegado a</w:t>
        <w:br/>
        <w:t xml:space="preserve">      una conclusión ante los tribunales, habiendo sido archivados  casi  la</w:t>
        <w:br/>
        <w:t xml:space="preserve">      mitad de ellos.  La mayoría de  los  autores  de  estos  delitos  eran</w:t>
        <w:br/>
        <w:t xml:space="preserve">      policías nacionales u otros miembros de las fuerzas de  seguridad  del</w:t>
        <w:br/>
        <w:t xml:space="preserve">      Estado, o policías privados que también  estaban  bajo  la  égida  del</w:t>
        <w:br/>
        <w:t xml:space="preserve">      Ministerio de Gobernación.  No tiene conocimiento de la existencia  de</w:t>
        <w:br/>
        <w:t xml:space="preserve">      programas de entrenamiento dirigidos a agentes de policía relativos al</w:t>
        <w:br/>
        <w:t xml:space="preserve">      tratamiento de los niños en Guatemala.</w:t>
        <w:br/>
        <w:br/>
        <w:t xml:space="preserve">      d.    Testimonio de Rosa Angélica Vega, “niña de la calle” en la época</w:t>
        <w:br/>
        <w:t xml:space="preserve">      en la cual se produjeron los hechos</w:t>
        <w:br/>
        <w:br/>
        <w:br/>
        <w:t xml:space="preserve">      Declaró que era amiga de los cinco jóvenes involucrados en este  caso.</w:t>
        <w:br/>
        <w:t xml:space="preserve">      En 1990 trabajaba de noche en el puesto de  venta  de  Julia  Griselda</w:t>
        <w:br/>
        <w:t xml:space="preserve">      Ramírez López, en la 18 calle.  El día de los  hechos  vio  como  tres</w:t>
        <w:br/>
        <w:t xml:space="preserve">      policías secuestraron a los cuatro jóvenes hallados muertos  luego  en</w:t>
        <w:br/>
        <w:t xml:space="preserve">      los Bosques de San Nicolás.  Afirmó  que  los  encañonaron  y  se  los</w:t>
        <w:br/>
        <w:t xml:space="preserve">      llevaron en un “pick-up” negro.   Los  policías  estaban  vestidos  de</w:t>
        <w:br/>
        <w:t xml:space="preserve">      civil, pero ella sabía que eran policías por  el  tipo  de  armas  que</w:t>
        <w:br/>
        <w:t xml:space="preserve">      portaban, de grueso calibre.   Posteriormente  a  los  hechos  fue  al</w:t>
        <w:br/>
        <w:t xml:space="preserve">      Gabinete  de  Identificación  de  la  Policía  Nacional  a   ver   las</w:t>
        <w:br/>
        <w:t xml:space="preserve">      fotografías de los cadáveres.</w:t>
        <w:br/>
        <w:br/>
        <w:br/>
        <w:t xml:space="preserve">      Manifestó que en la noche de la  muerte  de  Anstraum  Aman  Villagrán</w:t>
        <w:br/>
        <w:t xml:space="preserve">      Morales, lo vio tomando cerveza con un  muchacho  “colocho”  [de  pelo</w:t>
        <w:br/>
        <w:t xml:space="preserve">      enrulado] que vestía “pantalón de lona pegado, cargaba botas” y que no</w:t>
        <w:br/>
        <w:t xml:space="preserve">      lo conocía.  El muchacho apremiaba a Villagrán  Morales  para  que  se</w:t>
        <w:br/>
        <w:t xml:space="preserve">      fueran, después los dos caminaron hasta  la  esquina  y  ella  oyó  un</w:t>
        <w:br/>
        <w:t xml:space="preserve">      disparo.  Cuando salió de su puesto para ver lo que  pasaba,  vio  que</w:t>
        <w:br/>
        <w:t xml:space="preserve">      Villagrán Morales corría, y que luego “topó en unas tablas y allí cayó</w:t>
        <w:br/>
        <w:t xml:space="preserve">      boca arriba”.  Ella esperó, por temor, a que se acercara la  gente  al</w:t>
        <w:br/>
        <w:t xml:space="preserve">      cuerpo de Villagrán Morales, para poder  ella  también  verlo.   Julia</w:t>
        <w:br/>
        <w:t xml:space="preserve">      Griselda Ramírez López y ella se acercaron al cuerpo y  vieron,  entre</w:t>
        <w:br/>
        <w:t xml:space="preserve">      los que estaban observando, a un niño conocido como “Pelé”.  Entonces,</w:t>
        <w:br/>
        <w:t xml:space="preserve">      un hombre que estaba en el lugar, al retirarse del mismo pateó la mano</w:t>
        <w:br/>
        <w:t xml:space="preserve">      de Villagrán Morales y “Pelé”  comentó  “allí  va  ese  mendigo”.   Al</w:t>
        <w:br/>
        <w:t xml:space="preserve">      escuchar estas palabras el hombre se dio vuelta, con la pistola en  la</w:t>
        <w:br/>
        <w:t xml:space="preserve">      mano, y preguntó quién las había dicho y “que  si  no  quería  uno  él</w:t>
        <w:br/>
        <w:t xml:space="preserve">      también”.  Cuando ella volvía a su puesto, vio que ahí estaba el mismo</w:t>
        <w:br/>
        <w:t xml:space="preserve">      hombre tomando cerveza, acompañado de otra  persona.   Gustavo  Adolfo</w:t>
        <w:br/>
        <w:t xml:space="preserve">      Cóncaba Cisneros, alias “Toby”, estaba también  en  el  lugar  de  los</w:t>
        <w:br/>
        <w:t xml:space="preserve">      hechos.  Según la testigo podrían haber  sido  tres  los  hombres  que</w:t>
        <w:br/>
        <w:t xml:space="preserve">      participaron del homicidio de  Villagrán  Morales,  ya  que  no  puede</w:t>
        <w:br/>
        <w:t xml:space="preserve">      afirmar si el hombre que tomaba cerveza con la víctima  previamente  a</w:t>
        <w:br/>
        <w:t xml:space="preserve">      los hechos era uno de los dos que vio posteriormente en las  cercanías</w:t>
        <w:br/>
        <w:t xml:space="preserve">      de su cadáver.</w:t>
        <w:br/>
        <w:br/>
        <w:br/>
        <w:t xml:space="preserve">      La declarante tenía miedo de  las  amenazas  de  la  Policía  Nacional</w:t>
        <w:br/>
        <w:t xml:space="preserve">      cuando  era  “niña  de  la  calle”,  y  hasta  hoy  le  da  miedo  dar</w:t>
        <w:br/>
        <w:t xml:space="preserve">      declaraciones sobre el caso, como por ejemplo ante  esta  Corte.   Por</w:t>
        <w:br/>
        <w:t xml:space="preserve">      eso, cuando el 12 de abril de 1991 prestó  declaración  ante  el  Juez</w:t>
        <w:br/>
        <w:t xml:space="preserve">      Segundo  de  Primera  Instancia  del  Ramo  Penal  de  Instrucción  de</w:t>
        <w:br/>
        <w:t xml:space="preserve">      Guatemala, no dijo nada sobre lo que presenció  porque  temía  por  su</w:t>
        <w:br/>
        <w:t xml:space="preserve">      vida y en el presente también teme por las de sus hijos.  Declaró  que</w:t>
        <w:br/>
        <w:t xml:space="preserve">      ante ese juzgado reconoció, por medio de fotografías,  al  hombre  que</w:t>
        <w:br/>
        <w:t xml:space="preserve">      acompañaba a Anstraum  Aman  Villagrán  Morales  en  el  puesto.   Sin</w:t>
        <w:br/>
        <w:t xml:space="preserve">      embargo, en esa oportunidad declaró que sería más adecuado hacerlo por</w:t>
        <w:br/>
        <w:t xml:space="preserve">      reconocimiento personal.</w:t>
        <w:br/>
        <w:br/>
        <w:br/>
        <w:t xml:space="preserve">      Seguidamente, se refirió a la  señora  Rosa  Trinidad  Morales  Pérez,</w:t>
        <w:br/>
        <w:t xml:space="preserve">      quien igualmente trabajaba en una caseta de la 18 calle.  Al  respecto</w:t>
        <w:br/>
        <w:t xml:space="preserve">      declaró que esta  señora  maltrataba  a  los  niños,  tirándoles  agua</w:t>
        <w:br/>
        <w:t xml:space="preserve">      caliente y café.  En una oportunidad la escuchó  amenazar  a  Anstraum</w:t>
        <w:br/>
        <w:t xml:space="preserve">      Aman Villagrán Morales diciéndole que  “si  no  quería  él  seguir  el</w:t>
        <w:br/>
        <w:t xml:space="preserve">      camino que llevaban los otros cuatro [niños muertos en los Bosques  de</w:t>
        <w:br/>
        <w:t xml:space="preserve">      San Nicolás] mejor que no se metiera con ella”.  Agregó que la  señora</w:t>
        <w:br/>
        <w:t xml:space="preserve">      Rosa Trinidad Morales Pérez tenía muchos amigos que eran policías, los</w:t>
        <w:br/>
        <w:t xml:space="preserve">      que la visitaban en la caseta donde trabajaba.</w:t>
        <w:br/>
        <w:t xml:space="preserve">      En general, sobre su experiencia como “niña de la calle”, declaró  que</w:t>
        <w:br/>
        <w:t xml:space="preserve">      tenía miedo de los policías porque ellos le decían  a  ella  y  a  sus</w:t>
        <w:br/>
        <w:t xml:space="preserve">      compañeros que “si no […] desaparecía[n] de allí,  [los iban a llevar]</w:t>
        <w:br/>
        <w:t xml:space="preserve">      presos”, que les iban a pegar y que “como [ellos]  no  [servían]  para</w:t>
        <w:br/>
        <w:t xml:space="preserve">      nada”, era mejor que  estuvieran  muertos.   Finalmente  expresó  que,</w:t>
        <w:br/>
        <w:t xml:space="preserve">      efectivamente, la llevaron presa “unas dos veces” cuando “estaba  bien</w:t>
        <w:br/>
        <w:t xml:space="preserve">      pequeña”.</w:t>
        <w:br/>
        <w:br/>
        <w:t xml:space="preserve">      e.    Testimonio de Julia Griselda Ramírez López, quien  trabajaba  en</w:t>
        <w:br/>
        <w:t xml:space="preserve">      una caseta en la 18 calle de Ciudad de Guatemala</w:t>
        <w:br/>
        <w:br/>
        <w:br/>
        <w:t xml:space="preserve">      Declaró que es hija de Julia Consuelo  López  de  Ramírez  y  en  1990</w:t>
        <w:br/>
        <w:t xml:space="preserve">      trabajaba en una caseta de venta de comida, conocida como  “La  Caseta</w:t>
        <w:br/>
        <w:t xml:space="preserve">      Pepsi-Cola”, ubicada en la 18 calle de Ciudad de Guatemala,  frente  a</w:t>
        <w:br/>
        <w:t xml:space="preserve">      una cafetería llamada “El Zócalo”.  Su turno de trabajo era desde  las</w:t>
        <w:br/>
        <w:t xml:space="preserve">      siete de la noche hasta las siete de la mañana.  En el  mismo  negocio</w:t>
        <w:br/>
        <w:t xml:space="preserve">      trabajaba la señora Rosa Trinidad Morales Pérez, quien cubría el turno</w:t>
        <w:br/>
        <w:t xml:space="preserve">      diurno.  Conocía a las cinco víctimas, pero sólo presenció lo sucedido</w:t>
        <w:br/>
        <w:t xml:space="preserve">      a Anstraum Aman Villagrán Morales.</w:t>
        <w:br/>
        <w:br/>
        <w:br/>
        <w:t xml:space="preserve">      La noche en la cual fue asesinado Anstraum Aman Villagrán  Morales  la</w:t>
        <w:br/>
        <w:t xml:space="preserve">      testigo estaba recibiendo su turno de la señora Rosa Trinidad  Morales</w:t>
        <w:br/>
        <w:t xml:space="preserve">      Pérez.  Alrededor de las siete de la noche  llegó  Villagrán  Morales.</w:t>
        <w:br/>
        <w:t xml:space="preserve">      La señora Morales Pérez en ese momento le dijo al muchacho: “vos vas a</w:t>
        <w:br/>
        <w:t xml:space="preserve">      aparecer muerto como  aparecieron  tus  amigos,  los  demás”.   En  el</w:t>
        <w:br/>
        <w:t xml:space="preserve">      transcurso de la noche, Villagrán Morales se quedó en las cercanías de</w:t>
        <w:br/>
        <w:t xml:space="preserve">      la caseta  donde  ella  trabajaba.   Aproximadamente  a  media  noche,</w:t>
        <w:br/>
        <w:t xml:space="preserve">      Villagrán Morales volvió a la caseta acompañado de un señor  “colocho”</w:t>
        <w:br/>
        <w:t xml:space="preserve">      que llevaba un pantalón de  lona  negro.   Posteriormente,  se  fueron</w:t>
        <w:br/>
        <w:t xml:space="preserve">      juntos a una caseta que vendía carne asada, en  frente  de  la  caseta</w:t>
        <w:br/>
        <w:t xml:space="preserve">      donde ella estaba.  El señor le dijo a Villagrán Morales que se tomara</w:t>
        <w:br/>
        <w:t xml:space="preserve">      la cerveza rápidamente;  en  seguida,  Villagrán  Morales  se  fue  al</w:t>
        <w:br/>
        <w:t xml:space="preserve">      callejón y el señor lo siguió.  Unos cinco o diez minutos  más  tarde,</w:t>
        <w:br/>
        <w:t xml:space="preserve">      oyó uno o dos disparos.  En ese momento  ella  estaba  acompañada  por</w:t>
        <w:br/>
        <w:t xml:space="preserve">      Rosa Angélica Vega, conocida como “Chochi”, quien le  estaba  ayudando</w:t>
        <w:br/>
        <w:t xml:space="preserve">      en su caseta.  Cuando sonaron los disparos asomaron  la  cabeza  desde</w:t>
        <w:br/>
        <w:t xml:space="preserve">      donde estaban y pudieron ver  como  Anstraum  Aman  Villagrán  Morales</w:t>
        <w:br/>
        <w:t xml:space="preserve">      “rebotó” contra uno de los negocios y luego cayó al suelo, como a unos</w:t>
        <w:br/>
        <w:t xml:space="preserve">      10 metros de su caseta.  Las  dos  esperaron,  por  miedo,  a  que  se</w:t>
        <w:br/>
        <w:t xml:space="preserve">      acercara la gente al cadáver.  Cuando esto sucedió, ellas  también  se</w:t>
        <w:br/>
        <w:t xml:space="preserve">      acercaron.   Luego la testigo regresó a su caseta, a  la  que  también</w:t>
        <w:br/>
        <w:t xml:space="preserve">      llegaron dos hombres, uno de los cuales era el que había acompañado  a</w:t>
        <w:br/>
        <w:t xml:space="preserve">      Villagrán Morales al callejón, y pidieron dos cervezas.  Uno de  ellos</w:t>
        <w:br/>
        <w:t xml:space="preserve">      estaba armado.</w:t>
        <w:br/>
        <w:br/>
        <w:br/>
        <w:t xml:space="preserve">      Más tarde ella fue nuevamente al  lugar  donde  estaba  el  cuerpo  de</w:t>
        <w:br/>
        <w:t xml:space="preserve">      Villagrán Morales.  Estando allí, los dos hombres mencionados  pasaron</w:t>
        <w:br/>
        <w:t xml:space="preserve">      por el callejón y un niño conocido como “Pelé” les dijo “ahí van  esos</w:t>
        <w:br/>
        <w:t xml:space="preserve">      mendigos”.  Ante esto, uno de los hombres se dio vuelta con la pistola</w:t>
        <w:br/>
        <w:t xml:space="preserve">      en la mano y preguntó “¿quién dijo eso? ¿No quieren  un  tiro  ustedes</w:t>
        <w:br/>
        <w:t xml:space="preserve">      también?”.  Al retirarse pateó la mano de Villagrán Morales.</w:t>
        <w:br/>
        <w:br/>
        <w:br/>
        <w:t xml:space="preserve">      Agregó que posteriormente, llegó la  Policía  Nacional  a  recoger  el</w:t>
        <w:br/>
        <w:t xml:space="preserve">      cadáver de Anstraum Aman Villagrán Morales y le preguntaron si sabía o</w:t>
        <w:br/>
        <w:t xml:space="preserve">      había visto algo; sin embargo, se negó a contestar porque tenía miedo.</w:t>
        <w:br/>
        <w:br/>
        <w:br/>
        <w:t xml:space="preserve">      Varios  días  después  de  la  muerte  de  Villagrán  Morales,   llegó</w:t>
        <w:br/>
        <w:t xml:space="preserve">      nuevamente a la caseta el señor que lo había acompañado en la noche en</w:t>
        <w:br/>
        <w:t xml:space="preserve">      que fue asesinado.  Llegó vestido con el uniforme del Quinto Cuerpo de</w:t>
        <w:br/>
        <w:t xml:space="preserve">      la Policía Nacional, en una camioneta azul con  identificación  de  la</w:t>
        <w:br/>
        <w:t xml:space="preserve">      misma  policía  y  acompañado  de  otros  policías,  quienes   estaban</w:t>
        <w:br/>
        <w:t xml:space="preserve">      realizando una “redada”.  Este señor estaba buscando a  su  madre,  la</w:t>
        <w:br/>
        <w:t xml:space="preserve">      señora Julia Consuelo López de Ramírez, quien también trabajaba en  la</w:t>
        <w:br/>
        <w:t xml:space="preserve">      caseta.</w:t>
        <w:br/>
        <w:br/>
        <w:br/>
        <w:t xml:space="preserve">      Le comentó a su  madre  que  agentes  de  policía  la  buscaban.   Fue</w:t>
        <w:br/>
        <w:t xml:space="preserve">      entonces cuando esta última,  quien  temía  por  su  propia  vida,  le</w:t>
        <w:br/>
        <w:t xml:space="preserve">      aconsejó que declarara sobre lo que había visto.   Afirmó  que  fue  a</w:t>
        <w:br/>
        <w:t xml:space="preserve">      declarar ante la Policía Nacional y, después de eso, su madre se fue a</w:t>
        <w:br/>
        <w:t xml:space="preserve">      los Estados Unidos “por temor a que le [pasara] algo”.  Manifestó  que</w:t>
        <w:br/>
        <w:t xml:space="preserve">      también declaró ante los “tribunales” y que el Estado no tomó  ninguna</w:t>
        <w:br/>
        <w:t xml:space="preserve">      medida de protección de su seguridad o la de su madre.</w:t>
        <w:br/>
        <w:br/>
        <w:br/>
        <w:t xml:space="preserve">      El 26 de marzo de 1991 prestó declaración  ante  un  juez.   El  9  de</w:t>
        <w:br/>
        <w:t xml:space="preserve">      octubre de 1990 lo había  hecho  ante  investigadores  de  la  Policía</w:t>
        <w:br/>
        <w:t xml:space="preserve">      Nacional.  Identificó como partícipe en el homicidio a un policía,  de</w:t>
        <w:br/>
        <w:t xml:space="preserve">      nombre Néstor Fonseca López, en unos “kardex”, es decir, tarjetas  con</w:t>
        <w:br/>
        <w:t xml:space="preserve">      fotografías para reconocimiento.  Con  respecto  al  procedimiento  de</w:t>
        <w:br/>
        <w:t xml:space="preserve">      reconocimiento personal, afirmó que “[la] llevaron a  varios  lugares,</w:t>
        <w:br/>
        <w:t xml:space="preserve">      pero no estaba [Néstor Fonseca López] allí” y que  nunca  la  llamaron</w:t>
        <w:br/>
        <w:t xml:space="preserve">      para reconocer personalmente al señor  Samuel  Rocael  Valdez  Zúñiga.</w:t>
        <w:br/>
        <w:t xml:space="preserve">      Declaró que una persona de apellido Valdez Zúñiga, a quien vio en otra</w:t>
        <w:br/>
        <w:t xml:space="preserve">      de las fotografías, se parecía  al  hombre  que  acompañaba  al  señor</w:t>
        <w:br/>
        <w:t xml:space="preserve">      Fonseca López el día de los hechos.  Uno de  estos  hombres  tenía  un</w:t>
        <w:br/>
        <w:t xml:space="preserve">      diente de oro.</w:t>
        <w:br/>
        <w:br/>
        <w:br/>
        <w:t xml:space="preserve">      Finalmente, manifestó que  tiene  miedo  de  declarar  ante  la  Corte</w:t>
        <w:br/>
        <w:t xml:space="preserve">      Interamericana.</w:t>
        <w:br/>
        <w:br/>
        <w:br/>
        <w:t xml:space="preserve">      f.    Testimonio de Osbelí Arcadio Joaquín Tema, ex investigador de la</w:t>
        <w:br/>
        <w:t xml:space="preserve">      Policía Nacional de Guatemala</w:t>
        <w:br/>
        <w:br/>
        <w:br/>
        <w:t xml:space="preserve">      Declaró que en 1990  trabajaba  como  investigador  en  la  Unidad  de</w:t>
        <w:br/>
        <w:t xml:space="preserve">      Homicidios de la Policía Nacional y actualmente es Oficial Segundo  de</w:t>
        <w:br/>
        <w:t xml:space="preserve">      la misma.  Era su  responsabilidad  “recoger  las  pruebas  físicas  y</w:t>
        <w:br/>
        <w:t xml:space="preserve">      entrevistar  a  las  personas  presentes”.   Estuvo  a  cargo  de   la</w:t>
        <w:br/>
        <w:t xml:space="preserve">      investigación  preliminar  en  el  caso  de  Anstraum  Aman  Villagrán</w:t>
        <w:br/>
        <w:t xml:space="preserve">      Morales.  Se presentó en la  escena  del  crimen,  vestido  de  civil,</w:t>
        <w:br/>
        <w:t xml:space="preserve">      aproximadamente a la una de la mañana.  En el lugar,  encontró  a  “la</w:t>
        <w:br/>
        <w:t xml:space="preserve">      unidad de la Policía […], la unidad  del  Gabinete  de  Identificación</w:t>
        <w:br/>
        <w:t xml:space="preserve">      [ambos de la Policía Nacional] y la  unidad  donde  se  encontraba  el</w:t>
        <w:br/>
        <w:t xml:space="preserve">      señor juez”.</w:t>
        <w:br/>
        <w:br/>
        <w:br/>
        <w:t xml:space="preserve">      Manifestó que  pudo  observar  cuando  una  persona  del  Gabinete  de</w:t>
        <w:br/>
        <w:t xml:space="preserve">      Identificación de la Policía Nacional encontró una ojiva  “de  calibre</w:t>
        <w:br/>
        <w:t xml:space="preserve">      ignorado” aproximadamente a un metro de  distancia  del  cadáver.   No</w:t>
        <w:br/>
        <w:t xml:space="preserve">      tuvo acceso al resultado de las pruebas balísticas porque no era parte</w:t>
        <w:br/>
        <w:t xml:space="preserve">      de su trabajo, pero según las características del orificio de  entrada</w:t>
        <w:br/>
        <w:t xml:space="preserve">      de la bala, estimó que pudo haber sido calibre .30 o .38.  La  Policía</w:t>
        <w:br/>
        <w:t xml:space="preserve">      Nacional usaba, en esa época, el revólver .38 especial.  El disparo se</w:t>
        <w:br/>
        <w:t xml:space="preserve">      habría producido desde una distancia de cinco  a  seis  metros  de  la</w:t>
        <w:br/>
        <w:t xml:space="preserve">      víctima.  Declaró que el estudio y el análisis  de  la  ojiva  podrían</w:t>
        <w:br/>
        <w:t xml:space="preserve">      determinar el  arma  utilizada.   Preguntado  sobre  el  procedimiento</w:t>
        <w:br/>
        <w:t xml:space="preserve">      seguido en Guatemala  en  casos  como  el  presente,  en  el  cual  se</w:t>
        <w:br/>
        <w:t xml:space="preserve">      identificara que la ojiva pertenecía al arma de  un  policía,  declaró</w:t>
        <w:br/>
        <w:t xml:space="preserve">      que, de acuerdo con las leyes, la  autoridad  judicial  dispondría  la</w:t>
        <w:br/>
        <w:t xml:space="preserve">      detención de la persona sospechosa.</w:t>
        <w:br/>
        <w:br/>
        <w:br/>
        <w:t xml:space="preserve">      Señaló que entrevistó a tres menores que se encontraban en  la  escena</w:t>
        <w:br/>
        <w:t xml:space="preserve">      del crimen, así como a una señora que atendía una  caseta  de  comida.</w:t>
        <w:br/>
        <w:t xml:space="preserve">      Sin embargo, nadie pudo identificar al fallecido y nadie informó haber</w:t>
        <w:br/>
        <w:t xml:space="preserve">      visto directamente al autor del hecho.  En ese momento,  concluyó  que</w:t>
        <w:br/>
        <w:t xml:space="preserve">      entre los niños mismos pudo haber ocurrido algún suceso que  condujera</w:t>
        <w:br/>
        <w:t xml:space="preserve">      al crimen.</w:t>
        <w:br/>
        <w:br/>
        <w:br/>
        <w:t xml:space="preserve">      Agregó que las personas que continuaron la investigación con  base  en</w:t>
        <w:br/>
        <w:t xml:space="preserve">      el informe rendido por él  no  le  informaron  sobre  sus  posteriores</w:t>
        <w:br/>
        <w:t xml:space="preserve">      hallazgos u observaciones.</w:t>
        <w:br/>
        <w:br/>
        <w:t xml:space="preserve">      g.    Testimonio de Delfino Hernández García, ex técnico del  Gabinete</w:t>
        <w:br/>
        <w:t xml:space="preserve">      de Identificación de la Policía Nacional</w:t>
        <w:br/>
        <w:br/>
        <w:br/>
        <w:t xml:space="preserve">      Declaró que era, en los años 1990 y  1991,  técnico  del  Gabinete  de</w:t>
        <w:br/>
        <w:t xml:space="preserve">      Identificación de la Policía Nacional.</w:t>
        <w:br/>
        <w:br/>
        <w:br/>
        <w:t xml:space="preserve">      El 26 de junio de 1990, pasada la media noche, él y  un  fotógrafo  se</w:t>
        <w:br/>
        <w:t xml:space="preserve">      constituyeron en el lugar del homicidio  de  Anstraum  Aman  Villagrán</w:t>
        <w:br/>
        <w:t xml:space="preserve">      Morales.   Su  tarea   fue   recabar   datos   relacionados   con   la</w:t>
        <w:br/>
        <w:t xml:space="preserve">      identificación de la persona y ficharla.  Cuando llegó a la escena del</w:t>
        <w:br/>
        <w:t xml:space="preserve">      crimen tomó huellas digitales del cadáver y recibió una ojiva de  bala</w:t>
        <w:br/>
        <w:t xml:space="preserve">      de revólver de manos del juez.</w:t>
        <w:br/>
        <w:br/>
        <w:br/>
        <w:t xml:space="preserve">      Manifestó que fue llamado en una ocasión a declarar ante un tribunal.</w:t>
        <w:br/>
        <w:br/>
        <w:br/>
        <w:t xml:space="preserve">      h.    Testimonio de Roberto Marroquín Urbina, ex jefe de la Sección de</w:t>
        <w:br/>
        <w:t xml:space="preserve">      Menores de la Policía Nacional</w:t>
        <w:br/>
        <w:br/>
        <w:br/>
        <w:t xml:space="preserve">      Declaró que su función, cuando era Jefe de la Sección de Menores de la</w:t>
        <w:br/>
        <w:t xml:space="preserve">      Policía Nacional, era investigar  tanto  abusos  contra  menores  como</w:t>
        <w:br/>
        <w:t xml:space="preserve">      transgresiones cometidas por éstos.  El inició  la  investigación  del</w:t>
        <w:br/>
        <w:t xml:space="preserve">      caso de los Bosques de San Nicolás.  En el marco de estas actuaciones,</w:t>
        <w:br/>
        <w:t xml:space="preserve">      entrevistó a María Eugenia Rodríguez, quien era “niña de la  calle”  y</w:t>
        <w:br/>
        <w:t xml:space="preserve">      relató haber sido secuestrada junto con otros “niños de la calle” días</w:t>
        <w:br/>
        <w:t xml:space="preserve">      antes del  secuestro  de  los  cuatro  jóvenes  cuyos  cuerpos  fueron</w:t>
        <w:br/>
        <w:t xml:space="preserve">      encontrados en los Bosques de San Nicolás.   María  Eugenia  Rodríguez</w:t>
        <w:br/>
        <w:t xml:space="preserve">      describió una serie de lugares y también de personas.  Para corroborar</w:t>
        <w:br/>
        <w:t xml:space="preserve">      estos dichos, afirmó que se visitaron los lugares  y  se  interrogó  a</w:t>
        <w:br/>
        <w:t xml:space="preserve">      varias personas mencionadas por la menor de  referencia,  pero  no  se</w:t>
        <w:br/>
        <w:t xml:space="preserve">      pudo corroborar su versión y, por ello, descartó la  veracidad  de  la</w:t>
        <w:br/>
        <w:t xml:space="preserve">      misma.  Posteriormente, delegó la investigación a  los  investigadores</w:t>
        <w:br/>
        <w:t xml:space="preserve">      subalternos, señores  Ayende  Anselmo  Ardiano  Paz  y  Edgar  Alberto</w:t>
        <w:br/>
        <w:t xml:space="preserve">      Mayorga Mazariegos.</w:t>
        <w:br/>
        <w:br/>
        <w:br/>
        <w:t xml:space="preserve">      También estuvo a cargo de las investigaciones  del  caso  de  Anstraum</w:t>
        <w:br/>
        <w:t xml:space="preserve">      Aman Villagrán Morales y declaró que dos testigos, una madre y su hija</w:t>
        <w:br/>
        <w:t xml:space="preserve">      que se encontraban en la 18 calle, habían identificado a  los  agentes</w:t>
        <w:br/>
        <w:t xml:space="preserve">      policiales del Quinto Cuerpo de la Policía  Nacional,  Néstor  Fonseca</w:t>
        <w:br/>
        <w:t xml:space="preserve">      López y Samuel Rocael Valdez Zúñiga, como responsables del  homicidio.</w:t>
        <w:br/>
        <w:t xml:space="preserve">      Manifestó que, con la identificación de los responsables por  testigos</w:t>
        <w:br/>
        <w:t xml:space="preserve">      y  la  prueba  de  balística,  se  llegó  a  la   conclusión   de   la</w:t>
        <w:br/>
        <w:t xml:space="preserve">      responsabilidad de los agentes incriminados, y que  las  informaciones</w:t>
        <w:br/>
        <w:t xml:space="preserve">      recabadas y firmadas por él en tal sentido fueron  remitidas  al  Jefe</w:t>
        <w:br/>
        <w:t xml:space="preserve">      del Departamento  de  Investigaciones  Criminológicas  de  la  Policía</w:t>
        <w:br/>
        <w:t xml:space="preserve">      Nacional.  Informó que al hacer la comparación de las ojivas,  una  de</w:t>
        <w:br/>
        <w:t xml:space="preserve">      prueba y la otra relacionada con el caso de  Anstraum  Aman  Villagrán</w:t>
        <w:br/>
        <w:t xml:space="preserve">      Morales, el técnico determinó que ambas ojivas fueron  disparadas  por</w:t>
        <w:br/>
        <w:t xml:space="preserve">      el mismo revólver.  Agregó que cuando un  policía  está  de  descanso,</w:t>
        <w:br/>
        <w:t xml:space="preserve">      debe depositar su arma en la armería, lo que se registra en  un  libro</w:t>
        <w:br/>
        <w:t xml:space="preserve">      en el cual consta el nombre, firma y fecha de quien entrega el equipo.</w:t>
        <w:br/>
        <w:br/>
        <w:br/>
        <w:t xml:space="preserve">      Investigó también otro caso de homicidio de un  “niño  de  la  calle”,</w:t>
        <w:br/>
        <w:t xml:space="preserve">      Nahamán Carmona López, ocurrido en 1994, cometido por  agentes  de  la</w:t>
        <w:br/>
        <w:t xml:space="preserve">      Policía Nacional.  Añadió que había otros casos de abusos y homicidios</w:t>
        <w:br/>
        <w:t xml:space="preserve">      contra “niños de la calle” cuyos responsables  fueron  agentes  de  la</w:t>
        <w:br/>
        <w:t xml:space="preserve">      policía.</w:t>
        <w:br/>
        <w:br/>
        <w:t xml:space="preserve">      i.    Testimonio de Ayende Anselmo Ardiano  Paz,  investigador  de  la</w:t>
        <w:br/>
        <w:t xml:space="preserve">      Policía Nacional</w:t>
        <w:br/>
        <w:br/>
        <w:br/>
        <w:t xml:space="preserve">      Declaró que elaboró un informe sobre su investigación del homicidio de</w:t>
        <w:br/>
        <w:t xml:space="preserve">      Anstraum Aman Villagrán Morales.  Participó en el  reconocimiento  del</w:t>
        <w:br/>
        <w:t xml:space="preserve">      lugar donde se  produjo  el  mismo.   Entrevistó  a  la  señora  Julia</w:t>
        <w:br/>
        <w:t xml:space="preserve">      Griselda Ramírez López, quien le manifestó que, el día de  su  muerte,</w:t>
        <w:br/>
        <w:t xml:space="preserve">      Villagrán Morales había estado en la  caseta  “Pepsi-Cola”,  donde  la</w:t>
        <w:br/>
        <w:t xml:space="preserve">      entrevistada trabajaba.  En ese lugar Villagrán  Morales  se  encontró</w:t>
        <w:br/>
        <w:t xml:space="preserve">      con Rosa Trinidad Morales Pérez, quien lo amenazó diciéndole  que  “se</w:t>
        <w:br/>
        <w:t xml:space="preserve">      retirara del lugar porque si no le iba a pasar  lo  mismo  que  a  los</w:t>
        <w:br/>
        <w:t xml:space="preserve">      otros, sus compañeros”.  Señaló que él  condujo  el  procedimiento  de</w:t>
        <w:br/>
        <w:t xml:space="preserve">      reconocimiento fotográfico de los policías Samuel Rocael Valdez Zúñiga</w:t>
        <w:br/>
        <w:t xml:space="preserve">      y Néstor Fonseca López, realizado por Griselda  Ramírez  López,  quien</w:t>
        <w:br/>
        <w:t xml:space="preserve">      reconoció a los mencionados.  Además, entrevistó  a  la  madre  de  la</w:t>
        <w:br/>
        <w:t xml:space="preserve">      señora Ramírez López, la señora Julia Consuelo López de Ramírez, quien</w:t>
        <w:br/>
        <w:t xml:space="preserve">      le contó que había recibido amenazas de  muerte  de  parte  de  Samuel</w:t>
        <w:br/>
        <w:t xml:space="preserve">      Rocael Valdez Zúñiga y Néstor Fonseca López, hecho que  no  se  ordenó</w:t>
        <w:br/>
        <w:t xml:space="preserve">      investigar.  Indicó que, de acuerdo con la prueba balística, la  ojiva</w:t>
        <w:br/>
        <w:t xml:space="preserve">      encontrada cerca  del  cadáver  de  Anstraum  Aman  Villagrán  Morales</w:t>
        <w:br/>
        <w:t xml:space="preserve">      coincidía con astillas que tenía el revólver del señor  Samuel  Rocael</w:t>
        <w:br/>
        <w:t xml:space="preserve">      Valdez Zúñiga.  Concluyó en su informe  que  Néstor  Fonseca  López  y</w:t>
        <w:br/>
        <w:t xml:space="preserve">      Samuel Rocael Valdez Zúñiga eran los  responsables  del  asesinato  de</w:t>
        <w:br/>
        <w:t xml:space="preserve">      Anstraum Aman Villagrán Morales “en virtud de las entrevistas y de  la</w:t>
        <w:br/>
        <w:t xml:space="preserve">      firmeza de las personas que entrevist[ó] y  a  través  también  de  la</w:t>
        <w:br/>
        <w:t xml:space="preserve">      prueba balística del arma que [Samuel Rocael Valdez  Zúñiga]  portaba,</w:t>
        <w:br/>
        <w:t xml:space="preserve">      pues había suficientes elementos como para asegurar que  sí  él  había</w:t>
        <w:br/>
        <w:t xml:space="preserve">      sido”.  Agregó al informe que Rosa Trinidad Morales Pérez también  era</w:t>
        <w:br/>
        <w:t xml:space="preserve">      una posible sospechosa de la muerte de Villagrán Morales, ya  que  “no</w:t>
        <w:br/>
        <w:t xml:space="preserve">      se llevaba bien con [los] niños”.  Indicó que él  fue  citado  por  el</w:t>
        <w:br/>
        <w:t xml:space="preserve">      juez únicamente cuando se dictaron las órdenes de captura  contra  los</w:t>
        <w:br/>
        <w:t xml:space="preserve">      supuestos  responsables  y  cuando  entregaron  el  informe  policial.</w:t>
        <w:br/>
        <w:t xml:space="preserve">      Declaró que no es una práctica normal  en  Guatemala  que  el  oficial</w:t>
        <w:br/>
        <w:t xml:space="preserve">      encargado de una investigación no aparezca ante el tribunal  para  ser</w:t>
        <w:br/>
        <w:t xml:space="preserve">      interrogado.</w:t>
        <w:br/>
        <w:br/>
        <w:br/>
        <w:br/>
        <w:br/>
        <w:br/>
        <w:t xml:space="preserve">                             c) Prueba Pericial</w:t>
        <w:br/>
        <w:br/>
        <w:br/>
        <w:t>66.   La Corte escuchó, en audiencia pública, los  informes  periciales  que</w:t>
        <w:br/>
        <w:t>se reseñan a continuación:</w:t>
        <w:br/>
        <w:br/>
        <w:t xml:space="preserve">      a.    Peritaje de Roberto Carlos Bux, subdirector del  centro  forense</w:t>
        <w:br/>
        <w:t xml:space="preserve">      para el Condado de Bay, San Antonio, Texas</w:t>
        <w:br/>
        <w:br/>
        <w:br/>
        <w:t xml:space="preserve">      Señaló que practica medicina forense desde hace 14 años,  durante  los</w:t>
        <w:br/>
        <w:t xml:space="preserve">      cuales ha realizado “más de 4.000 autopsias,  necropsias  y  1.200  de</w:t>
        <w:br/>
        <w:t xml:space="preserve">      ellas eran por homicidios”.</w:t>
        <w:br/>
        <w:br/>
        <w:br/>
        <w:t xml:space="preserve">      Respecto de los  jóvenes  hallados  muertos  en  los  Bosques  de  San</w:t>
        <w:br/>
        <w:t xml:space="preserve">      Nicolás, señaló que el informe del análisis forense  realizado  en  el</w:t>
        <w:br/>
        <w:t xml:space="preserve">      caso contiene información importante, como por ejemplo, la relativa al</w:t>
        <w:br/>
        <w:t xml:space="preserve">      hecho de que a los muchachos no se les había dado muerte en  el  sitio</w:t>
        <w:br/>
        <w:t xml:space="preserve">      donde  se  encontraron  los  cadáveres.   Según  afirmó,  dos  de  las</w:t>
        <w:br/>
        <w:t xml:space="preserve">      víctimas, las que fueron encontradas el 16 de junio de  1990,  habrían</w:t>
        <w:br/>
        <w:t xml:space="preserve">      muerto ese mismo día antes de las 3:30 y, como máximo, a las  5:30  de</w:t>
        <w:br/>
        <w:t xml:space="preserve">      la mañana; las otras dos, cuyos cadáveres fueron descubiertos  al  día</w:t>
        <w:br/>
        <w:t xml:space="preserve">      siguiente, también fueron asesinadas el 16  de  junio  de  1990,  pero</w:t>
        <w:br/>
        <w:t xml:space="preserve">      después de las 3:30 de la mañana, aproximadamente  12  horas  después.</w:t>
        <w:br/>
        <w:t xml:space="preserve">      Afirmó que los dos grupos de  jóvenes,  conforme  fueron  encontrados,</w:t>
        <w:br/>
        <w:t xml:space="preserve">      murieron en horarios diferentes.  Señaló que consta en el  estudio  de</w:t>
        <w:br/>
        <w:t xml:space="preserve">      necropsia sobre Henry Giovanni Contreras que  fueron  producidas  tres</w:t>
        <w:br/>
        <w:t xml:space="preserve">      heridas por arma de fuego, pero podrían también haber  sido  cuatro  o</w:t>
        <w:br/>
        <w:t xml:space="preserve">      cinco.  Indicó que en una de las fotografías se puede ver que, por  la</w:t>
        <w:br/>
        <w:t xml:space="preserve">      herida producida, el arma de fuego estaba  a  “menos  de  6  pulgadas,</w:t>
        <w:br/>
        <w:t xml:space="preserve">      digamos, de distancia, estaba muy cerca”.  Agregó que hay  señales  de</w:t>
        <w:br/>
        <w:t xml:space="preserve">      que el disparo se realizó cuando el joven se encontraba con  vida,  no</w:t>
        <w:br/>
        <w:t xml:space="preserve">      después.  Sobre el modus operandi empleado  en  el  homicidio  de  las</w:t>
        <w:br/>
        <w:t xml:space="preserve">      supuestas víctimas, manifestó que fue el mismo  en  todos  los  casos,</w:t>
        <w:br/>
        <w:t xml:space="preserve">      “porque tienen  tiros  múltiples  en  la  cabeza”.   Además,  ante  la</w:t>
        <w:br/>
        <w:t xml:space="preserve">      pregunta sobre si estos jóvenes murieron en el desarrollo de una lucha</w:t>
        <w:br/>
        <w:t xml:space="preserve">      en que ellos hubieran podido defenderse  y  atacar  a  su  vez  a  sus</w:t>
        <w:br/>
        <w:t xml:space="preserve">      agresores, advirtió que no hay evidencia en este sentido y que lo  más</w:t>
        <w:br/>
        <w:t xml:space="preserve">      probable  es  que  se  les  haya  disparado  desde  corta   distancia.</w:t>
        <w:br/>
        <w:t xml:space="preserve">      Asimismo, señaló que Henry Giovanni Contreras “recibió  tres  disparos</w:t>
        <w:br/>
        <w:t xml:space="preserve">      [por] detrás”.</w:t>
        <w:br/>
        <w:br/>
        <w:br/>
        <w:t xml:space="preserve">      Agregó que, contrariamente a la práctica común  en  su  profesión,  en</w:t>
        <w:br/>
        <w:t xml:space="preserve">      este caso no se adoptaron medidas para localizar y  registrar  ciertos</w:t>
        <w:br/>
        <w:t xml:space="preserve">      datos que pudieran haber ayudado en la identificación, tales como toma</w:t>
        <w:br/>
        <w:t xml:space="preserve">      de fotografías, huellas digitales o estudios dentales.  Manifestó  que</w:t>
        <w:br/>
        <w:t xml:space="preserve">      los informes médicos forenses  elaborados  en  el  caso  son  de  mala</w:t>
        <w:br/>
        <w:t xml:space="preserve">      calidad, porque existían heridas visibles en las  fotografías  que  no</w:t>
        <w:br/>
        <w:t xml:space="preserve">      estaban registradas en el informe y porque no  es  posible  relacionar</w:t>
        <w:br/>
        <w:t xml:space="preserve">      las fotografías de los cadáveres con el número  de  protocolo  de  los</w:t>
        <w:br/>
        <w:t xml:space="preserve">      informes que reseñan las autopsias.  Además señaló que las fotografías</w:t>
        <w:br/>
        <w:t xml:space="preserve">      son solamente del rostro, de tal modo que no es  posible  ver  si  hay</w:t>
        <w:br/>
        <w:t xml:space="preserve">      heridas en el resto del cuerpo. Observó  que  las  necropsias  de  las</w:t>
        <w:br/>
        <w:t xml:space="preserve">      víctimas se realizaron en 30 minutos cada una, y  que  no  es  posible</w:t>
        <w:br/>
        <w:t xml:space="preserve">      hacerlas bien en un período de tiempo tan  corto.   Concluyó  diciendo</w:t>
        <w:br/>
        <w:t xml:space="preserve">      que, por lo que se ve en los  informes,  hubo  intencionalidad  en  el</w:t>
        <w:br/>
        <w:t xml:space="preserve">      homicidio de los jóvenes.</w:t>
        <w:br/>
        <w:br/>
        <w:br/>
        <w:t xml:space="preserve">      Respecto al caso de Anstraum Aman Villagrán  Morales,  señaló  que  la</w:t>
        <w:br/>
        <w:t xml:space="preserve">      víctima se encontraba en el suelo cuando recibió el disparo, de lo que</w:t>
        <w:br/>
        <w:t xml:space="preserve">      dedujo que este homicidio también fue un acto intencional.</w:t>
        <w:br/>
        <w:br/>
        <w:t xml:space="preserve">      b.    Peritaje de Alberto Bovino, experto en  derecho  penal,  derecho</w:t>
        <w:br/>
        <w:t xml:space="preserve">      penal procesal y derechos humanos</w:t>
        <w:br/>
        <w:br/>
        <w:t xml:space="preserve">      Informó que, en el momento de la  audiencia,  trabajaba  en  un  libro</w:t>
        <w:br/>
        <w:t xml:space="preserve">      sobre los derechos de la víctima en el proceso penal guatemalteco y el</w:t>
        <w:br/>
        <w:t xml:space="preserve">      derecho costarricense, y que conoce con bastante detalle el expediente</w:t>
        <w:br/>
        <w:t xml:space="preserve">      judicial en el presente caso y  el  Código  Procesal  Penal  derogado,</w:t>
        <w:br/>
        <w:t xml:space="preserve">      aplicable en la época del procesamiento del mismo.</w:t>
        <w:br/>
        <w:br/>
        <w:br/>
        <w:t xml:space="preserve">      Manifestó que la investigación policial que se llevó a cabo en el caso</w:t>
        <w:br/>
        <w:t xml:space="preserve">      no fue de ningún modo exhaustiva, y que no  cumplió  con  los  deberes</w:t>
        <w:br/>
        <w:t xml:space="preserve">      establecidos por el Código Procesal Penal guatemalteco  aplicable,  ya</w:t>
        <w:br/>
        <w:t xml:space="preserve">      que no se citó a reconocimiento personal  a  todos  los  testigos  que</w:t>
        <w:br/>
        <w:t xml:space="preserve">      podrían haber identificado a los sospechosos (sólo citaron a cuatro de</w:t>
        <w:br/>
        <w:t xml:space="preserve">      ellos) y tampoco se investigaron todos  los  hechos  denunciados  (por</w:t>
        <w:br/>
        <w:t xml:space="preserve">      ejemplo, las  amenazas  que  habían  recibido  varios  testigos  y  la</w:t>
        <w:br/>
        <w:t xml:space="preserve">      tortura).  Indicó, como ejemplo de las deficiencias, que no  se  trató</w:t>
        <w:br/>
        <w:t xml:space="preserve">      de establecer la identidad de “Pelé”, un niño que, de acuerdo con  las</w:t>
        <w:br/>
        <w:t xml:space="preserve">      declaraciones de varios testigos, presenció el homicidio de  Villagrán</w:t>
        <w:br/>
        <w:t xml:space="preserve">      Morales.</w:t>
        <w:br/>
        <w:br/>
        <w:br/>
        <w:t xml:space="preserve">      Señaló otros datos que demuestran la negligencia en la  investigación,</w:t>
        <w:br/>
        <w:t xml:space="preserve">      como, por ejemplo, el hecho de que el juez emitió  la  orden  para  la</w:t>
        <w:br/>
        <w:t xml:space="preserve">      investigación en el caso de Anstraum Aman Villagrán Morales seis meses</w:t>
        <w:br/>
        <w:t xml:space="preserve">      después de ocurrido el homicidio; no se  ordenó  el  allanamiento  del</w:t>
        <w:br/>
        <w:t xml:space="preserve">      domicilio de los imputados, lo que podría haber permitido encontrar el</w:t>
        <w:br/>
        <w:t xml:space="preserve">      arma del señor Néstor Fonseca López; a pesar de  que  varios  testigos</w:t>
        <w:br/>
        <w:t xml:space="preserve">      habían declarado que la señora Rosa Trinidad Morales Pérez  tenía  una</w:t>
        <w:br/>
        <w:t xml:space="preserve">      relación amorosa con uno de los  sospechosos,  tampoco  se  ordenó  el</w:t>
        <w:br/>
        <w:t xml:space="preserve">      allanamiento de su morada.</w:t>
        <w:br/>
        <w:br/>
        <w:br/>
        <w:t xml:space="preserve">      Añadió que no se investigaron las contradicciones existentes entre  el</w:t>
        <w:br/>
        <w:t xml:space="preserve">      registro de la armería de la Policía Nacional, en el cual constaba que</w:t>
        <w:br/>
        <w:t xml:space="preserve">      la noche del homicidio el arma presuntamente utilizada estaba allí,  y</w:t>
        <w:br/>
        <w:t xml:space="preserve">      la prueba balística, que daba como demostrado que el arma  citada  fue</w:t>
        <w:br/>
        <w:t xml:space="preserve">      la que se usó para dar muerte a la víctima.  También señaló  que  hubo</w:t>
        <w:br/>
        <w:t xml:space="preserve">      contradicción respecto de la hora a la que se retiró del cuartel de la</w:t>
        <w:br/>
        <w:t xml:space="preserve">      Policía Nacional el señor Samuel Rocael Valdez Zúñiga, sin que el juez</w:t>
        <w:br/>
        <w:t xml:space="preserve">      tomara medida alguna para aclararla; el juez  no  tuvo  en  cuenta  lo</w:t>
        <w:br/>
        <w:t xml:space="preserve">      expresado en dos oficios que indicaban que el 15 de junio de 1990,  el</w:t>
        <w:br/>
        <w:t xml:space="preserve">      día del secuestro de los cuatro jóvenes, el  señor  Fonseca  López  se</w:t>
        <w:br/>
        <w:t xml:space="preserve">      escapó a las 17:00 horas de la escuela de la  Policía  Nacional  junto</w:t>
        <w:br/>
        <w:t xml:space="preserve">      con otra persona, y que regresaron juntos a las  6:00  horas  del  día</w:t>
        <w:br/>
        <w:t xml:space="preserve">      siguiente.</w:t>
        <w:br/>
        <w:br/>
        <w:br/>
        <w:t xml:space="preserve">      Señaló que el juez tenía  una  obligación  positiva  de  proseguir  la</w:t>
        <w:br/>
        <w:t xml:space="preserve">      investigación judicial en lo  que  hubiera  quedado  pendiente  en  el</w:t>
        <w:br/>
        <w:t xml:space="preserve">      sumario; que no tomó las medidas necesarias para suplir las faltas  de</w:t>
        <w:br/>
        <w:t xml:space="preserve">      la investigación policial del presente caso; que  no  se  citó  a  los</w:t>
        <w:br/>
        <w:t xml:space="preserve">      testigos  que  no   habían   tenido   la   oportunidad   de   declarar</w:t>
        <w:br/>
        <w:t xml:space="preserve">      anteriormente, lo que hubiera permitido, por ejemplo, corroborar si la</w:t>
        <w:br/>
        <w:t xml:space="preserve">      señora Rosa Trinidad Morales Pérez  estaba  trabajando  en  su  caseta</w:t>
        <w:br/>
        <w:t xml:space="preserve">      cuando sucedieron los hechos.</w:t>
        <w:br/>
        <w:br/>
        <w:br/>
        <w:t xml:space="preserve">      Afirmó que no hubo investigación alguna referente a las  denuncias  de</w:t>
        <w:br/>
        <w:t xml:space="preserve">      tortura.</w:t>
        <w:br/>
        <w:t xml:space="preserve">      Indicó que, durante la etapa de sentencia, el juez se caracterizó  por</w:t>
        <w:br/>
        <w:t xml:space="preserve">      su parcialidad al rechazar toda medida de prueba  que  tendiera  a  la</w:t>
        <w:br/>
        <w:t xml:space="preserve">      averiguación de la verdad.  Por ejemplo, no interrogó a  los  testigos</w:t>
        <w:br/>
        <w:t xml:space="preserve">      sobre la corona de oro que supuestamente tenía uno de los sospechosos.</w:t>
        <w:br/>
        <w:t xml:space="preserve">       Esto a pesar de que el Código Procesal Penal vigente en aquel momento</w:t>
        <w:br/>
        <w:t xml:space="preserve">      establecía de manera expresa la obligación del tribunal de  aprovechar</w:t>
        <w:br/>
        <w:t xml:space="preserve">      cualquier seña particular que tuviera un imputado para  establecer  su</w:t>
        <w:br/>
        <w:t xml:space="preserve">      identidad.</w:t>
        <w:br/>
        <w:br/>
        <w:br/>
        <w:t xml:space="preserve">      Manifestó que tampoco se realizó el reconocimiento personal del  señor</w:t>
        <w:br/>
        <w:t xml:space="preserve">      Valdez Zúñiga, que fue detenido cuando el caso ya estaba en  la  etapa</w:t>
        <w:br/>
        <w:t xml:space="preserve">      de juicio. Expresó su asombro acerca de la interpretación que el  juez</w:t>
        <w:br/>
        <w:t xml:space="preserve">      hizo del Código Procesal Penal mencionado, según la  cual  sólo  sería</w:t>
        <w:br/>
        <w:t xml:space="preserve">      procedente someter a una persona a reconocimiento personal cuando ésta</w:t>
        <w:br/>
        <w:t xml:space="preserve">      se presenta al inicio de la investigación, pero no en caso de  captura</w:t>
        <w:br/>
        <w:t xml:space="preserve">      posterior.  De esta manera, se pondría en mejor posición a la  persona</w:t>
        <w:br/>
        <w:t xml:space="preserve">      prófuga que a la persona que se somete al procedimiento.</w:t>
        <w:br/>
        <w:br/>
        <w:br/>
        <w:t xml:space="preserve">      Afirmó que, el juez descalificó un gran número de  los  testimonios  a</w:t>
        <w:br/>
        <w:t xml:space="preserve">      raíz  de  su  parcialidad,  decidiendo  la  descalificación   mediante</w:t>
        <w:br/>
        <w:t xml:space="preserve">      afirmaciones dogmáticas, en violación de su obligación de  fundar  las</w:t>
        <w:br/>
        <w:t xml:space="preserve">      sentencias; como  ejemplos  advirtió  que  dicho  funcionario  rechazó</w:t>
        <w:br/>
        <w:t xml:space="preserve">      testigos  por  el  sólo  hecho  de  ser  madres   de   las   víctimas,</w:t>
        <w:br/>
        <w:t xml:space="preserve">      procedimiento que no correspondía a la  regla  guatemalteca.   En  ese</w:t>
        <w:br/>
        <w:t xml:space="preserve">      sentido señaló que “ha[bía] precedentes en Guatemala, entre  ellos  el</w:t>
        <w:br/>
        <w:t xml:space="preserve">      caso Mack, un caso bastante conocido y de  similares  características,</w:t>
        <w:br/>
        <w:t xml:space="preserve">      donde se acusa por la muerte de una persona a agentes estatales […  y]</w:t>
        <w:br/>
        <w:t xml:space="preserve">      no se tacha absolutamente ni a la denunciante, ni a la  madre  [de  la</w:t>
        <w:br/>
        <w:t xml:space="preserve">      víctima]” ni siquiera por no haber tenido conocimiento directo de  los</w:t>
        <w:br/>
        <w:t xml:space="preserve">      hechos.  Concluyó, por lo tanto,  que  en  el  caso  ante  el  Juzgado</w:t>
        <w:br/>
        <w:t xml:space="preserve">      Tercero de Primera Instancia Penal de Sentencia “el tribunal [… abusó]</w:t>
        <w:br/>
        <w:t xml:space="preserve">      de las tachas para eliminar toda la  prueba  relevante  que  se  había</w:t>
        <w:br/>
        <w:t xml:space="preserve">      logrado, a pesar de la deficiencia en la investigación”.  Mencionó que</w:t>
        <w:br/>
        <w:t xml:space="preserve">      el tribunal rechazó, de igual manera, el testimonio  del  señor  Bruce</w:t>
        <w:br/>
        <w:t xml:space="preserve">      Harris, por ser éste director  de  Casa  Alianza,  y  desestimó  otros</w:t>
        <w:br/>
        <w:t xml:space="preserve">      testimonios por no ser relevantes, considerando el tribunal únicamente</w:t>
        <w:br/>
        <w:t xml:space="preserve">      los testimonios de personas que estuvieron presentes en el momento  en</w:t>
        <w:br/>
        <w:t xml:space="preserve">      el cual la bala que produjo la muerte de la víctima  salió  del  arma.</w:t>
        <w:br/>
        <w:t xml:space="preserve">      Finalmente, estableció en relación al informe balístico  que  la  bala</w:t>
        <w:br/>
        <w:t xml:space="preserve">      homicida fue disparada por el revólver perteneciente al  señor  Samuel</w:t>
        <w:br/>
        <w:t xml:space="preserve">      Rocael Valdez Zúñiga, pese a lo cual el juez  descalificó  el  informe</w:t>
        <w:br/>
        <w:t xml:space="preserve">      debido a que dicho señor salió de servicio ese día a las  ocho  de  la</w:t>
        <w:br/>
        <w:t xml:space="preserve">      noche.</w:t>
        <w:br/>
        <w:br/>
        <w:br/>
        <w:t xml:space="preserve">      Manifestó  que  el  juez  no  valoró  los  informes   policiales,   en</w:t>
        <w:br/>
        <w:t xml:space="preserve">      contradicción con una regla expresa del Código; que no se  tomaron  en</w:t>
        <w:br/>
        <w:t xml:space="preserve">      cuenta las amenazas dirigidas contra varios testigos que podrían haber</w:t>
        <w:br/>
        <w:t xml:space="preserve">      influido en sus declaraciones, ni ordenó medida alguna  de  protección</w:t>
        <w:br/>
        <w:t xml:space="preserve">      en su favor.  Afirmó que, por ejemplo, el juez debió haber  notado  la</w:t>
        <w:br/>
        <w:t xml:space="preserve">      incoherencia de la declaración de la  señora  Julia  Griselda  Ramírez</w:t>
        <w:br/>
        <w:t xml:space="preserve">      López, quien había reconocido al señor Fonseca López por  fotografías,</w:t>
        <w:br/>
        <w:t xml:space="preserve">      pero no pudo hacerlo durante la diligencia de reconocimiento personal.</w:t>
        <w:br/>
        <w:t xml:space="preserve">       Tampoco reconoció, en esa oportunidad, a su compañera de  trabajo  y,</w:t>
        <w:br/>
        <w:t xml:space="preserve">      ante esa contradicción, el juez debió haber interrogado  a  la  señora</w:t>
        <w:br/>
        <w:t xml:space="preserve">      Ramírez López para cerciorarse de que no hubiese sido amenazada por su</w:t>
        <w:br/>
        <w:t xml:space="preserve">      participación en el proceso.</w:t>
        <w:br/>
        <w:br/>
        <w:br/>
        <w:t xml:space="preserve">      Observó que la justicia  en  segunda  instancia  y  la  Corte  Suprema</w:t>
        <w:br/>
        <w:t xml:space="preserve">      confirmaron la sentencia de primera instancia con base en  los  mismos</w:t>
        <w:br/>
        <w:t xml:space="preserve">      argumentos dogmáticos.</w:t>
        <w:br/>
        <w:br/>
        <w:br/>
        <w:t xml:space="preserve">      Manifestó que sería posible un nuevo proceso en cuanto a las denuncias</w:t>
        <w:br/>
        <w:t xml:space="preserve">      de tortura, no así respecto de  los  homicidios,  porque  existe  cosa</w:t>
        <w:br/>
        <w:t xml:space="preserve">      juzgada.</w:t>
        <w:br/>
        <w:br/>
        <w:br/>
        <w:t xml:space="preserve">      Señaló que, a partir de la prueba producida, se podría  haber  fundado</w:t>
        <w:br/>
        <w:t xml:space="preserve">      la responsabilidad de los señores Samuel Rocael Valdez Zúñiga y Néstor</w:t>
        <w:br/>
        <w:t xml:space="preserve">      Fonseca López por la muerte de Anstraum Aman Villagrán  Morales,  pero</w:t>
        <w:br/>
        <w:t xml:space="preserve">      no por la de los jóvenes asesinados en los Bosques de  San  Nicolás  y</w:t>
        <w:br/>
        <w:t xml:space="preserve">      que, en relación con  la  señora  Rosa  Trinidad  Morales  Pérez,  los</w:t>
        <w:br/>
        <w:t xml:space="preserve">      elementos probatorios no hubieran sido  suficientes  para  fundamentar</w:t>
        <w:br/>
        <w:t xml:space="preserve">      una condena.</w:t>
        <w:br/>
        <w:br/>
        <w:br/>
        <w:t xml:space="preserve">                                     VI</w:t>
        <w:br/>
        <w:br/>
        <w:t xml:space="preserve">                           Valoración de la Prueba</w:t>
        <w:br/>
        <w:br/>
        <w:br/>
        <w:t>67.   En este  caso  el  Estado  no  controvirtió  directamente  los  hechos</w:t>
        <w:br/>
        <w:t>alegados por la Comisión ni las imputaciones de violación de  los  artículos</w:t>
        <w:br/>
        <w:t>7, 4 y 5 de la Convención Americana y de los  artículos  1,  6  y  8  de  la</w:t>
        <w:br/>
        <w:t>Convención contra la Tortura.  Tanto en la contestación de la  demanda  como</w:t>
        <w:br/>
        <w:t>en los alegatos finales Guatemala concentró su defensa en  el  argumento  de</w:t>
        <w:br/>
        <w:t>que los  hechos  del  caso  habían  sido  investigados  por  los  tribunales</w:t>
        <w:br/>
        <w:t>internos, los cuales habían emitido al respecto un  conjunto  de  decisiones</w:t>
        <w:br/>
        <w:t>-incluida una sentencia de la Corte Suprema- que no  pueden  ser  discutidas</w:t>
        <w:br/>
        <w:t>por otros órganos públicos, en virtud del principio de la  independencia  de</w:t>
        <w:br/>
        <w:t>la judicatura.</w:t>
        <w:br/>
        <w:br/>
        <w:t>68.   Al respecto, la Corte considera, como ya lo ha hecho en  otros  casos,</w:t>
        <w:br/>
        <w:t>que cuando el Estado  no  contesta  la  demanda  de  manera  específica,  se</w:t>
        <w:br/>
        <w:t>presumen como verdaderos  los  hechos  sobre  los  cuales  guardó  silencio,</w:t>
        <w:br/>
        <w:t>siempre que  de  las  pruebas  existentes  se  puedan  inferir  conclusiones</w:t>
        <w:br/>
        <w:t>consistentes sobre los  mismos[12].   No  obstante,  la  Corte  procederá  a</w:t>
        <w:br/>
        <w:t>examinar y valorar el conjunto de los  elementos  que  conforman  el  acervo</w:t>
        <w:br/>
        <w:t>probatorio del caso.</w:t>
        <w:br/>
        <w:br/>
        <w:t>69.   La Corte fallará el presente caso basándose tanto en pruebas  directas</w:t>
        <w:br/>
        <w:t>-testimonial, pericial o documental, inter alia-  como  indirectas  y,  dado</w:t>
        <w:br/>
        <w:t>que la ponderación y aprovechamiento de estas  últimas  ofrece  complejidad,</w:t>
        <w:br/>
        <w:t>el Tribunal estima pertinente dejar  sentados  ciertos  criterios  sobre  el</w:t>
        <w:br/>
        <w:t>particular.  Al igual que los tribunales internos, la  Corte  también  puede</w:t>
        <w:br/>
        <w:t>fundamentar  sus  sentencias  en  pruebas  indirectas  -como   las   pruebas</w:t>
        <w:br/>
        <w:t>circunstanciales, los indicios y las presunciones-  cuando  son  coherentes,</w:t>
        <w:br/>
        <w:t>se confirman entre sí y permiten  inferir  conclusiones  sólidas  sobre  los</w:t>
        <w:br/>
        <w:t>hechos que se examinan[13].</w:t>
        <w:br/>
        <w:br/>
        <w:t>70.   En casos anteriores al presente, la Corte concedió valor indiciario  o</w:t>
        <w:br/>
        <w:t>circunstancial  a  los  informes  policiales  previos  a  la   investigación</w:t>
        <w:br/>
        <w:t>judicial,   porque   éstos   contenían    interrogatorios,    declaraciones,</w:t>
        <w:br/>
        <w:t>descripciones de lugares y hechos y registro de los resultados de  prácticas</w:t>
        <w:br/>
        <w:t>de ley como las relativas al levantamiento de  cadáveres  de  las  víctimas,</w:t>
        <w:br/>
        <w:t>que  permitían  llegar  a  formarse,  en  unión  con  elementos  probatorios</w:t>
        <w:br/>
        <w:t>concurrentes, una convicción bien fundada sobre los hechos[14].</w:t>
        <w:br/>
        <w:br/>
        <w:t>71.   En el presente caso, la Corte considera que  los  informes  policiales</w:t>
        <w:br/>
        <w:t>que constan en el expediente son útiles  porque,  aparte  de  los  elementos</w:t>
        <w:br/>
        <w:t>mencionados  en  el  párrafo  anterior,  incluyen  reseñas  de  autopsias  y</w:t>
        <w:br/>
        <w:t>peritajes balísticos  e  informes  que  atribuyen  responsabilidades,  entre</w:t>
        <w:br/>
        <w:t>otros, y porque, además, fueron presentados en la  vía  judicial  interna  y</w:t>
        <w:br/>
        <w:t>debidamente reconocidos incluso ante esta Corte.  Vistos en conjunto con  el</w:t>
        <w:br/>
        <w:t>resto de la prueba y de acuerdo con las reglas  de  la  sana  crítica  y  la</w:t>
        <w:br/>
        <w:t>experiencia,  posibilitan  inferir  conclusiones  consistentes   sobre   los</w:t>
        <w:br/>
        <w:t>hechos.</w:t>
        <w:br/>
        <w:br/>
        <w:t>72.   A su vez, refiriéndose a la prueba testimonial, esta  Corte  ha  dicho</w:t>
        <w:br/>
        <w:t>que</w:t>
        <w:br/>
        <w:br/>
        <w:t xml:space="preserve">      los criterios de valoración de la prueba ante un tribunal de  derechos</w:t>
        <w:br/>
        <w:t xml:space="preserve">      humanos revisten características especiales, pues la determinación  de</w:t>
        <w:br/>
        <w:t xml:space="preserve">      la  responsabilidad  internacional  de  un  Estado  por  violación  de</w:t>
        <w:br/>
        <w:t xml:space="preserve">      derechos de la persona humana, permite al Tribunal una mayor  amplitud</w:t>
        <w:br/>
        <w:t xml:space="preserve">      en la valoración de la prueba testimonial rendida ante  él  sobre  los</w:t>
        <w:br/>
        <w:t xml:space="preserve">      hechos pertinentes, de acuerdo con las reglas de la lógica y con  base</w:t>
        <w:br/>
        <w:t xml:space="preserve">      en la experiencia[15].</w:t>
        <w:br/>
        <w:br/>
        <w:br/>
        <w:t>73.   En particular, en cuanto  a  las  declaraciones  de  los  testigos  no</w:t>
        <w:br/>
        <w:t>presenciales, la Corte ha considerado pertinente apreciarlas en  un  sentido</w:t>
        <w:br/>
        <w:t>amplio como fuentes de información del contexto general de  los  hechos  del</w:t>
        <w:br/>
        <w:t>correspondiente caso[16].</w:t>
        <w:br/>
        <w:br/>
        <w:t>74.   Por lo que respecta específicamente a las pruebas de  la  tortura,  la</w:t>
        <w:br/>
        <w:t>Corte estima pertinente señalar que, en orden a  establecer  si  se  les  ha</w:t>
        <w:br/>
        <w:t>cometido y cuáles son  sus  alcances,  deben  tenerse  presentes  todas  las</w:t>
        <w:br/>
        <w:t>circunstancias del caso, como por ejemplo, la naturaleza y  el  contexto  de</w:t>
        <w:br/>
        <w:t>las agresiones de que se trata,  la  manera  y  método  de  ejecutarlas,  su</w:t>
        <w:br/>
        <w:t>duración, sus efectos físicos y mentales y, en algunos casos,  el  sexo,  la</w:t>
        <w:br/>
        <w:t>edad y el estado de salud de las víctimas[17].</w:t>
        <w:br/>
        <w:br/>
        <w:t>75.   Finalmente, la Corte ha sostenido que</w:t>
        <w:br/>
        <w:br/>
        <w:t xml:space="preserve">      [p]ara establecer que se ha producido una violación  de  los  derechos</w:t>
        <w:br/>
        <w:t xml:space="preserve">      consagrados en la Convención, no se requiere determinar,  como  ocurre</w:t>
        <w:br/>
        <w:t xml:space="preserve">      en el derecho penal interno, la  culpabilidad  de  sus  autores  o  su</w:t>
        <w:br/>
        <w:t xml:space="preserve">      intencionalidad y tampoco es preciso identificar individualmente a los</w:t>
        <w:br/>
        <w:t xml:space="preserve">      agentes a los cuales se atribuye los hechos violatorios. Es suficiente</w:t>
        <w:br/>
        <w:t xml:space="preserve">      la demostración de que ha habido apoyo o tolerancia del poder  público</w:t>
        <w:br/>
        <w:t xml:space="preserve">      en la  infracción  de  los  derechos  reconocidos  en  la  Convención.</w:t>
        <w:br/>
        <w:t xml:space="preserve">      Además, también se compromete  la  responsabilidad  internacional  del</w:t>
        <w:br/>
        <w:t xml:space="preserve">      Estado cuando éste no realice las actividades necesarias,  de  acuerdo</w:t>
        <w:br/>
        <w:t xml:space="preserve">      con su derecho interno, para identificar y, en su  caso,  sancionar  a</w:t>
        <w:br/>
        <w:t xml:space="preserve">      los autores de las propias violaciones[18].</w:t>
        <w:br/>
        <w:br/>
        <w:br/>
        <w:t xml:space="preserve">                                     VII</w:t>
        <w:br/>
        <w:br/>
        <w:t xml:space="preserve">                               Hechos Probados</w:t>
        <w:br/>
        <w:br/>
        <w:br/>
        <w:t>76.   Del examen de los documentos, de las declaraciones de los  testigos  y</w:t>
        <w:br/>
        <w:t>de los informes periciales, así como de las manifestaciones del Estado y  de</w:t>
        <w:br/>
        <w:t>la Comisión en el curso del procedimiento, la Corte considera  probados  los</w:t>
        <w:br/>
        <w:t>hechos a los que se va a hacer referencia en este acápite.</w:t>
        <w:br/>
        <w:br/>
        <w:t>77.   Las presuntas víctimas, Henry Giovanni Contreras, de 18 años de  edad;</w:t>
        <w:br/>
        <w:t>Federico  Clemente  Figueroa  Túnchez,  de  20  años;  Julio  Roberto   Caal</w:t>
        <w:br/>
        <w:t>Sandoval, de 15, Jovito Josué Juárez  Cifuentes,  de  17,  y  Anstraum  Aman</w:t>
        <w:br/>
        <w:t>Villagrán Morales, también de 17 años, eran  “niños  de  la  calle”,  amigos</w:t>
        <w:br/>
        <w:t>entre sí y vivían en la 18 calle, entre la 4ª y 5ª avenidas, en  la  zona  1</w:t>
        <w:br/>
        <w:t>de la Ciudad de Guatemala; dentro de ese área  frecuentaban  particularmente</w:t>
        <w:br/>
        <w:t>el sector conocido como “Las Casetas”,  ocupado  por  puestos  de  venta  de</w:t>
        <w:br/>
        <w:t>alimentos y bebidas, sector que fue el escenario de los hechos del  presente</w:t>
        <w:br/>
        <w:t>caso.</w:t>
        <w:br/>
        <w:br/>
        <w:t>78.   En el período en que ocurrieron los hechos, la zona de  “Las  Casetas”</w:t>
        <w:br/>
        <w:t>era notoria por tener una alta tasa de delincuencia y criminalidad y  además</w:t>
        <w:br/>
        <w:t>abrigaba un gran número de “niños de la calle”.</w:t>
        <w:br/>
        <w:br/>
        <w:t>79.   En la época en que sucedieron los  hechos,  existía  en  Guatemala  un</w:t>
        <w:br/>
        <w:t>patrón común de acciones al margen de la ley,  perpetradas  por  agentes  de</w:t>
        <w:br/>
        <w:t>seguridad estatales, en contra de los “niños de  la  calle”;  esta  práctica</w:t>
        <w:br/>
        <w:t>incluía amenazas, detenciones, tratos crueles,  inhumanos  y  degradantes  y</w:t>
        <w:br/>
        <w:t>homicidios como medio para contrarrestar la delincuencia y vagancia  juvenil</w:t>
        <w:br/>
        <w:t>(supra, párr. 59.c).</w:t>
        <w:br/>
        <w:br/>
        <w:t xml:space="preserve">      a.    Secuestro y homicidio  de  Henry  Giovanni  Contreras,  Federico</w:t>
        <w:br/>
        <w:t xml:space="preserve">      Clemente Figueroa Túnchez, Julio Roberto Caal Sandoval y Jovito  Josué</w:t>
        <w:br/>
        <w:t xml:space="preserve">      Juárez Cifuentes</w:t>
        <w:br/>
        <w:br/>
        <w:t>80.   En horas diurnas del  15  de  junio  de  1990,  en  el  área  de  “Las</w:t>
        <w:br/>
        <w:t>Casetas”,  una  camioneta  se  acercó  a  los  jóvenes  Contreras,  Figueroa</w:t>
        <w:br/>
        <w:t>Túnchez, Caal  Sandoval  y  Juárez  Cifuentes;  de  dicho  vehículo  bajaron</w:t>
        <w:br/>
        <w:t>hombres armados, que obligaron a los jóvenes a  subir  al  mismo  y  se  los</w:t>
        <w:br/>
        <w:t>llevaron.</w:t>
        <w:br/>
        <w:br/>
        <w:t>81.   Los cuerpos de los jóvenes Juárez Cifuentes y Figueroa Túnchez  fueron</w:t>
        <w:br/>
        <w:t>encontrados en los Bosques de San Nicolás el 16  de  junio  de  1990  y  los</w:t>
        <w:br/>
        <w:t>cadáveres de los jóvenes Contreras y Caal Sandoval  fueron  descubiertos  en</w:t>
        <w:br/>
        <w:t>el mismo lugar el día siguiente.  La causa de  la  muerte  fue  oficialmente</w:t>
        <w:br/>
        <w:t>atribuida, en todos los casos, a lesiones producidas por disparos  de  armas</w:t>
        <w:br/>
        <w:t>de fuego en el cráneo.</w:t>
        <w:br/>
        <w:br/>
        <w:br/>
        <w:t xml:space="preserve">      b.    Torturas a Henry Giovanni Contreras, Federico Clemente Figueroa</w:t>
        <w:br/>
        <w:t xml:space="preserve">      Túnchez, Jovito Josué Juárez Cifuentes y Julio Roberto Caal Sandoval</w:t>
        <w:br/>
        <w:br/>
        <w:br/>
        <w:t>82.   Los jóvenes Juárez Cifuentes y  Figueroa  Túnchez  permanecieron  como</w:t>
        <w:br/>
        <w:t>mínimo 10 horas en poder de los secuestradores y los otros dos, Contreras  y</w:t>
        <w:br/>
        <w:t>Caal Sandoval, estuvieron retenidos al menos 21 horas por aquéllos.</w:t>
        <w:br/>
        <w:br/>
        <w:br/>
        <w:t xml:space="preserve">      c.    Homicidio de Anstraum Aman Villagrán Morales</w:t>
        <w:br/>
        <w:br/>
        <w:br/>
        <w:t>83.   Aproximadamente a la medianoche del  día  25  de  junio  de  1990  fue</w:t>
        <w:br/>
        <w:t>muerto Anstraum Aman Villagrán Morales,  mediante  un  disparo  de  arma  de</w:t>
        <w:br/>
        <w:t>fuego, en el sector de “Las Casetas”.</w:t>
        <w:br/>
        <w:br/>
        <w:t xml:space="preserve">      d.    Proceso Judicial sobre  el  homicidio  de  Jovito  Josué  Juárez</w:t>
        <w:br/>
        <w:t xml:space="preserve">      Cifuentes, Federico Clemente  Figueroa  Túnchez,  Julio  Roberto  Caal</w:t>
        <w:br/>
        <w:t xml:space="preserve">      Sandoval y Henry Giovanni Contreras ante el Juzgado Primero de Paz  de</w:t>
        <w:br/>
        <w:t xml:space="preserve">      Mixco (Departamento de Guatemala).</w:t>
        <w:br/>
        <w:br/>
        <w:t>84.   El 16 de junio de 1990 el juzgado en mención ordenó la  iniciación  de</w:t>
        <w:br/>
        <w:t>la instrucción penal basado en el  hallazgo,  a  las  17:30  horas,  de  dos</w:t>
        <w:br/>
        <w:t>cadáveres en la finca los Bosques de San Nicolás -a la postre, esos  cuerpos</w:t>
        <w:br/>
        <w:t>fueron identificados como los cadáveres de  los  jóvenes  Federico  Clemente</w:t>
        <w:br/>
        <w:t>Figueroa Túnchez y Jovito Josué Juárez Cifuentes-.</w:t>
        <w:br/>
        <w:br/>
        <w:t>85.   El 17 de junio de 1990, el mismo juzgado ordenó la  iniciación  de  la</w:t>
        <w:br/>
        <w:t>instrucción correspondiente al hallazgo, a las 14:00 horas  aproximadamente,</w:t>
        <w:br/>
        <w:t>de otros dos cadáveres de personas cuyas  identidades  tampoco  se  conocían</w:t>
        <w:br/>
        <w:t>-tiempo después se estableció que se trataba de Henry Giovanni  Contreras  y</w:t>
        <w:br/>
        <w:t>Julio Roberto Caal Sandoval-.</w:t>
        <w:br/>
        <w:br/>
        <w:t xml:space="preserve">      e.   Proceso Judicial sobre  el  homicidio  de  Jovito  Josué  Juárez</w:t>
        <w:br/>
        <w:t xml:space="preserve">      Cifuentes, Federico Clemente Figueroa  Túnchez,  Julio  Roberto  Caal</w:t>
        <w:br/>
        <w:t xml:space="preserve">      Sandoval y Henry  Giovanni  Contreras  ante  el  Juzgado  de  Primera</w:t>
        <w:br/>
        <w:t xml:space="preserve">      Instancia de Instrucción del  Municipio  de  Mixco  (Departamento  de</w:t>
        <w:br/>
        <w:t xml:space="preserve">      Guatemala) (causa No. 2.782)</w:t>
        <w:br/>
        <w:br/>
        <w:t>86.   Habiéndose agotado la competencia del Juzgado de Paz, las  actuaciones</w:t>
        <w:br/>
        <w:t>fueron  remitidas  al  Juzgado  de  Primera  Instancia  de  Instrucción  del</w:t>
        <w:br/>
        <w:t>Municipio de Mixco[19].</w:t>
        <w:br/>
        <w:br/>
        <w:t>87.   Ante este juzgado, fueron oídos los testigos  Ana  María  Contreras  y</w:t>
        <w:br/>
        <w:t>Rosa Carlota Sandoval.</w:t>
        <w:br/>
        <w:br/>
        <w:t>88.   Realizadas las autopsias de las cuatro víctimas se estableció  que  la</w:t>
        <w:br/>
        <w:t>causa de la muerte de los jóvenes fueron heridas penetrantes en  el  cráneo,</w:t>
        <w:br/>
        <w:t>producidas por proyectiles de arma de fuego.</w:t>
        <w:br/>
        <w:br/>
        <w:t>89.   El  26  de  junio  de  1999  el  juzgado  envió  oficio  al  Jefe  del</w:t>
        <w:br/>
        <w:t>Departamento de  Investigaciones  Criminológicas  de  la  Policía  Nacional,</w:t>
        <w:br/>
        <w:t>requiriéndole que investigara los hechos delictivos  en  desarrollo  de  los</w:t>
        <w:br/>
        <w:t>cuales fallecieron los cuatro jóvenes.</w:t>
        <w:br/>
        <w:br/>
        <w:t>90.   El 21 de marzo de 1991  fue  recibida  en  este  juzgado  “Información</w:t>
        <w:br/>
        <w:t>Preliminar” sobre el inicio  de  las  investigaciones  policiales.  En  este</w:t>
        <w:br/>
        <w:t>informe  constaba:  a)  la  plena  identificación  de  las  cuatro  víctimas</w:t>
        <w:br/>
        <w:t>(nombre, edad, nombres de los padres, domicilio de éstos, apodos,  situación</w:t>
        <w:br/>
        <w:t>en los archivos  de  delincuencia  del  Gabinete  de  Identificación  de  la</w:t>
        <w:br/>
        <w:t>Policía  Nacional,  características  físicas,  vestimenta  que  tenían   los</w:t>
        <w:br/>
        <w:t>cadáveres y descripción de las  lesiones);  b)  la  indicación  de  que  fue</w:t>
        <w:br/>
        <w:t>encontrado un “cascabillo” calibre 9 mm. junto al occiso  Juárez  Cifuentes,</w:t>
        <w:br/>
        <w:t>que quedó en poder de la Policía Nacional; c) una reseña de los  testimonios</w:t>
        <w:br/>
        <w:t>recogidos por los investigadores policiales, y rendidos  por  María  Eugenia</w:t>
        <w:br/>
        <w:t>Rodríguez, Ana María Contreras,  Margarita  Sandoval  Urbina,  Rosa  Carlota</w:t>
        <w:br/>
        <w:t>Sandoval, Marta Isabel Túnchez Palencia, Julia Consuelo  López  de  Ramírez,</w:t>
        <w:br/>
        <w:t>Julia  Griselda  Ramírez  López,  Pantaleón  Tocay  Punay,  Gloria  Angélica</w:t>
        <w:br/>
        <w:t>Jiménez Alvarado, Emma Josefina Jiménez  Alvarado,  Alcira  Yolanda  Jiménez</w:t>
        <w:br/>
        <w:t>Alvarado y Rubén Castellanos Avalos; d) el señalamiento de tres  sospechosos</w:t>
        <w:br/>
        <w:t>de la autoría de  los  homicidios,  a  saber:  los  agentes  de  la  Policía</w:t>
        <w:br/>
        <w:t>Nacional Néstor Fonseca López y Samuel Rocael  Valdez  Zúñiga  y  la  señora</w:t>
        <w:br/>
        <w:t>Rosa Trinidad Morales Pérez; e)  el  detalle  de  los  antecedentes  de  los</w:t>
        <w:br/>
        <w:t>sospechosos -constaba en el informe que  Valdez  Zúñiga  tenía  antecedentes</w:t>
        <w:br/>
        <w:t>por el delito de hurto y que la  señora  Morales  Pérez  tenía  antecedentes</w:t>
        <w:br/>
        <w:t>criminales  varios  por  la  práctica  de  prostitución,  comercio   sexual,</w:t>
        <w:br/>
        <w:t>hechicería, riña mutua y ebriedad-; y f) la descripción  de  los  resultados</w:t>
        <w:br/>
        <w:t>de tres reconocimientos fotográficos, en los cuales Julia  Griselda  Ramírez</w:t>
        <w:br/>
        <w:t>López identificó a Néstor Fonseca López y Samuel Rocael Valdez  Zúñiga  como</w:t>
        <w:br/>
        <w:t>responsables por los delitos.</w:t>
        <w:br/>
        <w:br/>
        <w:t xml:space="preserve">      f.    Proceso Judicial sobre el homicidio de Anstraum  Aman  Villagrán</w:t>
        <w:br/>
        <w:t xml:space="preserve">      Morales ante el Juzgado de Paz Penal de Turno (Ciudad de Guatemala)</w:t>
        <w:br/>
        <w:br/>
        <w:t>91.   El 26 de junio de 1990 el juzgado en mención ordenó la  iniciación  de</w:t>
        <w:br/>
        <w:t>la instrucción penal respecto  del  homicidio  de  Villagrán  Morales,  cuya</w:t>
        <w:br/>
        <w:t>identidad no se conocía en ese momento.</w:t>
        <w:br/>
        <w:br/>
        <w:t>92.   En la misma fecha, el  Tercer Cuerpo de la  Policía  Nacional  dirigió</w:t>
        <w:br/>
        <w:t>al Juzgado de Paz Penal de Turno un informe, en el cual  se  establecía  que</w:t>
        <w:br/>
        <w:t>la víctima había fallecido a consecuencia de herida de arma de fuego  y  que</w:t>
        <w:br/>
        <w:t>“tenía incrustada una ojiva calibre ignorado” (mayúsculas en el original).</w:t>
        <w:br/>
        <w:br/>
        <w:br/>
        <w:br/>
        <w:br/>
        <w:br/>
        <w:t xml:space="preserve">      g.    Proceso Judicial sobre el homicidio de Anstraum  Aman  Villagrán</w:t>
        <w:br/>
        <w:t xml:space="preserve">      Morales ante el Juzgado Segundo de Primera Instancia del Ramo Penal de</w:t>
        <w:br/>
        <w:t xml:space="preserve">      Instrucción (Ciudad de Guatemala) (causa No. 1.712/90)</w:t>
        <w:br/>
        <w:br/>
        <w:t>93.   El 26 de junio de 1990, habiéndose agotado la competencia del  Juzgado</w:t>
        <w:br/>
        <w:t>de Paz Penal de Turno, las actuaciones fueron remitidas a este juzgado.</w:t>
        <w:br/>
        <w:br/>
        <w:t>94.   Ante este juzgado, fueron oídos los  testigos  Bruce  Harris,  Matilde</w:t>
        <w:br/>
        <w:t>Reyna Morales García, Gustavo Adolfo Cóncaba Cisneros, José Méndez  Sánchez,</w:t>
        <w:br/>
        <w:t>Aida Patricia Cámbara Cruz, Julia Griselda  Ramírez  López,  Ayende  Anselmo</w:t>
        <w:br/>
        <w:t>Ardiano Paz, Edgar Alberto Mayorga Mazariegos, Rember Aroldo  Larios  Tobar,</w:t>
        <w:br/>
        <w:t>Delfino Hernández García, Micaela Solís Ramírez y Rosa Angélica Vega.</w:t>
        <w:br/>
        <w:br/>
        <w:t>95.   El informe de la autopsia médico forense de  la  víctima  aportado  al</w:t>
        <w:br/>
        <w:t>expediente, señaló que la causa de la muerte del  joven  fue  una  “[h]erida</w:t>
        <w:br/>
        <w:t>penetrante de abdomen producida por proyectil de arma de fuego”.</w:t>
        <w:br/>
        <w:br/>
        <w:t>96.   El 17 de enero de 1991 el juzgado envió oficio al Director General  de</w:t>
        <w:br/>
        <w:t>la Policía Nacional, mediante el cual requirió que se investigara la  muerte</w:t>
        <w:br/>
        <w:t>violenta de Anstraum Aman Villagrán Morales.</w:t>
        <w:br/>
        <w:br/>
        <w:t>97.   Informes de peritajes balísticos al proyectil que  fue  encontrado  en</w:t>
        <w:br/>
        <w:t>el suelo cuando se removió el cuerpo de Villagrán Morales, y al arma con  la</w:t>
        <w:br/>
        <w:t>cual fue disparado,  establecieron  que  dicho  proyectil  tenía  9  mm.  de</w:t>
        <w:br/>
        <w:t>diámetro y que provenía del revólver marca Taurus, calibre .38  de  pulgada,</w:t>
        <w:br/>
        <w:t>registro No. 1481127.</w:t>
        <w:br/>
        <w:br/>
        <w:t>98.   El 25 de marzo de 1991 fue enviada al  juzgado  información  detallada</w:t>
        <w:br/>
        <w:t>respecto de la  investigación  realizada  por  la  Sección  de  Menores  del</w:t>
        <w:br/>
        <w:t>Departamento de Investigaciones Criminológicas de  la  Policía  Nacional  en</w:t>
        <w:br/>
        <w:t>relación con la  muerte  de  Anstraum  Aman  Villagrán  Morales  y  con  los</w:t>
        <w:br/>
        <w:t>homicidios de Henry Giovanni Contreras, Federico Clemente Figueroa  Túnchez,</w:t>
        <w:br/>
        <w:t>Julio Roberto Caal Sandoval y  Jovito  Josué  Juárez  Cifuentes.   En  dicha</w:t>
        <w:br/>
        <w:t>información  se   consignó   que   habían   sido   entrevistadas   por   los</w:t>
        <w:br/>
        <w:t>investigadores las siguientes personas: Gaspar Xep  Castro,  Julia  Consuelo</w:t>
        <w:br/>
        <w:t>López de Ramírez, Julia Griselda Ramírez  López  y  Gustavo  Adolfo  Cóncaba</w:t>
        <w:br/>
        <w:t>Cisneros.   El   informe   policial   mencionado   señaló   como   presuntos</w:t>
        <w:br/>
        <w:t>responsables de los homicidios a Néstor Fonseca López, Samuel Rocael  Valdez</w:t>
        <w:br/>
        <w:t>Zúñiga y Rosa Trinidad Morales Pérez.</w:t>
        <w:br/>
        <w:br/>
        <w:t>99.   El Informe policial concluyó que</w:t>
        <w:br/>
        <w:br/>
        <w:t xml:space="preserve">      A través de la investigación realizada y el informe  del  Gabinete  de</w:t>
        <w:br/>
        <w:t xml:space="preserve">      Identificación se comprueba que uno de los responsables  directos  del</w:t>
        <w:br/>
        <w:t xml:space="preserve">      Asesinato de Anstraum Aman  Villagrán  Morales,  es  el  ex-agente  de</w:t>
        <w:br/>
        <w:t xml:space="preserve">      policía SAMUEL ROCAEL  VALDEZ  ZÚÑIGA  y  presuntos  cómplices  NÉSTOR</w:t>
        <w:br/>
        <w:t xml:space="preserve">      FONSECA LÓPEZ y la señora ROSA TRINIDAD MORALES PÉREZ, ya que  siempre</w:t>
        <w:br/>
        <w:t xml:space="preserve">      fue observada por las entrevistadas JULIA CONSUELO LÓPEZ DE RAMÍREZ  y</w:t>
        <w:br/>
        <w:t xml:space="preserve">      JULIA GRISELDA RAMÍREZ LÓPEZ que  frecuentemente  conversaba  con  los</w:t>
        <w:br/>
        <w:t xml:space="preserve">      sindicados, teniendo relaciones amorosas con  uno  de  ellos.  También</w:t>
        <w:br/>
        <w:t xml:space="preserve">      antes que asesinaran a ANSTRAUM habló con  él  diciéndole  que  no  le</w:t>
        <w:br/>
        <w:t xml:space="preserve">      dirigiera la palabra porque también lo iban a matar de la misma  forma</w:t>
        <w:br/>
        <w:t xml:space="preserve">      como murieron sus compañeros.</w:t>
        <w:br/>
        <w:br/>
        <w:br/>
        <w:t xml:space="preserve">      ROSA TRINIDAD [Morales Pérez], también se relaciona en el secuestro  y</w:t>
        <w:br/>
        <w:t xml:space="preserve">      asesinato de cuatro supuestos menores, hecho ocurrido en el mismo  mes</w:t>
        <w:br/>
        <w:t xml:space="preserve">      de junio de 1990, en la 18 calle  Plazuela  Bolívar  zona  1,  ya  que</w:t>
        <w:br/>
        <w:t xml:space="preserve">      odiaba a los menores que se mantenían en  ese  lugar,  al  extremo  de</w:t>
        <w:br/>
        <w:t xml:space="preserve">      tirarles café caliente para que se alejaran de la caseta  PEPSI  COLA,</w:t>
        <w:br/>
        <w:t xml:space="preserve">      lugar donde ella trabaja, pero el día 05 de  junio  aproximadamente  a</w:t>
        <w:br/>
        <w:t xml:space="preserve">      las 10:00 horas como cosa extraña ROSA [Trinidad Morales Pérez] reunió</w:t>
        <w:br/>
        <w:t xml:space="preserve">      a todos los adolescentes de la calle en el lado exterior de la  caseta</w:t>
        <w:br/>
        <w:t xml:space="preserve">      y les sirvió caldo, diciéndoles coman mucha en un momento regreso solo</w:t>
        <w:br/>
        <w:t xml:space="preserve">      voy al baño, pero aproximadamente a  los  diez  minutos  frente  a  la</w:t>
        <w:br/>
        <w:t xml:space="preserve">      referida caseta se estacionó un vehículo  del  cual  descendieron  dos</w:t>
        <w:br/>
        <w:t xml:space="preserve">      individuos vestidos de civil portando armas de fuego  y  con  lujo  de</w:t>
        <w:br/>
        <w:t xml:space="preserve">      fuerza introdujeron a varios supuestos menores, entre ellos:</w:t>
        <w:br/>
        <w:br/>
        <w:t xml:space="preserve">      01. -HENRY GEOVANY CONTRERAS, alias SORULLO.</w:t>
        <w:br/>
        <w:t xml:space="preserve">      02. -FEDERICO CLEMENTE FIGUEROA TÚNCHEZ, alias CATRACHO o CONDORITO</w:t>
        <w:br/>
        <w:t xml:space="preserve">      03. -JULIO ROBERTO CAAL SANDOVAL, alias CATRACHITO</w:t>
        <w:br/>
        <w:t xml:space="preserve">      04. -JOVITO JOSUÉ JUÁREZ CIFUENTES alias EL CANARIO</w:t>
        <w:br/>
        <w:br/>
        <w:br/>
        <w:t xml:space="preserve">      Los días 16 y 17 de junio sus  cadáveres  fueron  localizados  en  los</w:t>
        <w:br/>
        <w:t xml:space="preserve">      Bosques San Nicolás zona 4 del Municipio de Mixco,  presumiéndose  ser</w:t>
        <w:br/>
        <w:t xml:space="preserve">      los responsables los mismos que le  dieron  muerte  a  ANSTRAUM  [Aman</w:t>
        <w:br/>
        <w:t xml:space="preserve">      Villagrán Morales].</w:t>
        <w:br/>
        <w:br/>
        <w:t>100.  El 26 de marzo de 1991 Julia Griselda Ramírez  López  reconoció  ante</w:t>
        <w:br/>
        <w:t>este juzgado, por medio de fotografías, a los acusados Néstor Fonseca López</w:t>
        <w:br/>
        <w:t>y Samuel Rocael Valdez Zúñiga.  El 18 de abril del mismo año Gustavo Adolfo</w:t>
        <w:br/>
        <w:t>Cóncaba Cisneros reconoció personalmente,  también  ante  este  juzgado,  a</w:t>
        <w:br/>
        <w:t>Fonseca López.</w:t>
        <w:br/>
        <w:br/>
        <w:t>101.  Según informe enviado por la  Policía  Nacional  al  juzgado,  por  la</w:t>
        <w:br/>
        <w:t>época de los hechos Néstor Fonseca López “se encontraba de  servicio  en  la</w:t>
        <w:br/>
        <w:t>Unidad de Seguridad de Funcionarios con sede  en  las  instalaciones  de  la</w:t>
        <w:br/>
        <w:t>Escuela de la Policía Nacional, unidad que actualmente no  existe  [ya  que]</w:t>
        <w:br/>
        <w:t>fue disuelta, [… en razón de lo cual] no fue posible establecer el  tipo  de</w:t>
        <w:br/>
        <w:t>arma que tenía asignada para ese entonces”. Agrega el Informe Policial que</w:t>
        <w:br/>
        <w:br/>
        <w:t xml:space="preserve">      por no haber registros de la ahora disuelta unidad,  se  desconoce  si</w:t>
        <w:br/>
        <w:t xml:space="preserve">      para el 25 de junio de  1990  se  le  haya  nombrado  algún  servicio,</w:t>
        <w:br/>
        <w:t xml:space="preserve">      lográndose establecer únicamente que NÉSTOR FONSECA LÓPEZ en  compañía</w:t>
        <w:br/>
        <w:t xml:space="preserve">      del agente REGINALDO [...] ÁLVAREZ que prestaban sus servicios  en  la</w:t>
        <w:br/>
        <w:t xml:space="preserve">      referida unidad, a las 17:00 horas del día 15  de  junio  de  1990  se</w:t>
        <w:br/>
        <w:t xml:space="preserve">      evadieron de las instalaciones de la Escuela de  la  Policía  Nacional</w:t>
        <w:br/>
        <w:t xml:space="preserve">      ignorando el rumbo que hayan tomado, retornando dichos elementos a las</w:t>
        <w:br/>
        <w:t xml:space="preserve">      06:00 horas del día 16 de junio de ese año, olorosos a licor.</w:t>
        <w:br/>
        <w:br/>
        <w:t>102.  Según el mismo informe de la Policía Nacional,  en  la  época  de  los</w:t>
        <w:br/>
        <w:t>hechos Samuel Rocael Valdez Zúñiga se encontraba de servicio  en  el  Quinto</w:t>
        <w:br/>
        <w:t>Cuerpo de la Policía Nacional y “tenía  asignado  como  equipo  el  revólver</w:t>
        <w:br/>
        <w:t>marca Taurus calibre .38 mm., con número de registro 1481127 y  la  carabina</w:t>
        <w:br/>
        <w:t>X-1 calibre .30 con registro 4030075”. De acuerdo  con  ese  mismo  informe,</w:t>
        <w:br/>
        <w:t>por otra  parte,  a  dicho  agente  le  “fue  nombrado  turno  de  24  horas</w:t>
        <w:br/>
        <w:t>consecutivas a partir de las 12:00 horas del día  24-6-90,  para  las  12:00</w:t>
        <w:br/>
        <w:t>horas del 25-6-90, [… día  en  el  cual]  después  de  haber  finalizado  su</w:t>
        <w:br/>
        <w:t>servicio deposit[ó] en la armería del Quinto Cuerpo del ramo el  equipo  que</w:t>
        <w:br/>
        <w:t>tenía asignado”, que fue ya descrito.</w:t>
        <w:br/>
        <w:br/>
        <w:t>103.  El 19 de abril de 1991 se acumularon a esta  causa,   las  actuaciones</w:t>
        <w:br/>
        <w:t>realizadas por el Juzgado Primero de Primera Instancia  del  Ramo  Penal  de</w:t>
        <w:br/>
        <w:t>Instrucción, referentes a la muerte violenta de los jóvenes  Henry  Giovanni</w:t>
        <w:br/>
        <w:t>Contreras, Federico Clemente Figueroa Túnchez, Julio Roberto  Caal  Sandoval</w:t>
        <w:br/>
        <w:t>y Jovito Josué Juárez Cifuentes.</w:t>
        <w:br/>
        <w:br/>
        <w:t xml:space="preserve">      h.    Proceso Judicial ante el Juzgado Tercero  de  Primera  Instancia</w:t>
        <w:br/>
        <w:t xml:space="preserve">      del Ramo Penal de Sentencia (Ciudad de Guatemala) sobre  el  homicidio</w:t>
        <w:br/>
        <w:t xml:space="preserve">      de Jovito Josué Juárez Cifuentes, Federico Clemente Figueroa  Túnchez,</w:t>
        <w:br/>
        <w:t xml:space="preserve">      Julio Roberto Caal Sandoval, Henry Giovanni Contreras  y  de  Anstraum</w:t>
        <w:br/>
        <w:t xml:space="preserve">      Aman Villagrán Morales (causa No. 145-4-91)</w:t>
        <w:br/>
        <w:br/>
        <w:t>104.  Concluido el sumario por el Juzgado Segundo de Primera  Instancia  del</w:t>
        <w:br/>
        <w:t>Ramo Penal de Instrucción, la Corte Suprema designó al  Juzgado  Tercero  de</w:t>
        <w:br/>
        <w:t>Primera Instancia del Ramo Penal de  Sentencia  para  seguir  conociendo  el</w:t>
        <w:br/>
        <w:t>proceso.</w:t>
        <w:br/>
        <w:br/>
        <w:t>105.  Este juzgado abrió juicio penal en contra  de  Néstor  Fonseca  López,</w:t>
        <w:br/>
        <w:t>agente de la Policía Nacional, de Samuel  Rocael  Valdez  Zúñiga,  para  ese</w:t>
        <w:br/>
        <w:t>entonces ex agente de la misma Policía, y de Rosa Trinidad Morales  Pérez  y</w:t>
        <w:br/>
        <w:t>formuló contra ellos cargos por cinco delitos de homicidio.</w:t>
        <w:br/>
        <w:br/>
        <w:t>106.  El Centro de Operaciones Conjuntas  de  la  Dirección  General  de  la</w:t>
        <w:br/>
        <w:t>Policía Nacional informó al juzgado que,  entre los días 25 y  26  de  junio</w:t>
        <w:br/>
        <w:t>de 1990, el agente Néstor Fonseca López no tenía  asignado  ningún  servicio</w:t>
        <w:br/>
        <w:t>por parte de esa jefatura.</w:t>
        <w:br/>
        <w:br/>
        <w:t>107.  En el auto de apertura de  pruebas,  el  Juzgado  Tercero  de  Primera</w:t>
        <w:br/>
        <w:t>Instancia del Ramo Penal de Sentencia, en atención a lo  solicitado  por  el</w:t>
        <w:br/>
        <w:t>Ministerio Público y por la parte  defensora,  ordenó  la  práctica  de  las</w:t>
        <w:br/>
        <w:t>siguientes pruebas: declaración de  numerosos  testigos  y  práctica  de  un</w:t>
        <w:br/>
        <w:t>“reconocimiento  judicial  complementado  con  reconstrucción   de   hechos”</w:t>
        <w:br/>
        <w:t>(mayúsculas en el original), para el cual se solicitó la  presencia  de  los</w:t>
        <w:br/>
        <w:t>“sindicados” y de testigos.</w:t>
        <w:br/>
        <w:br/>
        <w:t>108.  En ese mismo acto, el juzgado rechazó la práctica  de  las  siguientes</w:t>
        <w:br/>
        <w:t>pruebas  previamente  solicitadas:  reconocimiento  personal  de  los   tres</w:t>
        <w:br/>
        <w:t>imputados y producción de informes certificados sobre los turnos y  horarios</w:t>
        <w:br/>
        <w:t>de entrada y salida del servicio de Néstor Valdez Zúñiga, y sobre  el  hecho</w:t>
        <w:br/>
        <w:t>de si al salir de descanso  dejó  en  depósito  el  arma  que  se  le  tenía</w:t>
        <w:br/>
        <w:t>asignada.</w:t>
        <w:br/>
        <w:br/>
        <w:t>109.  Asimismo, el juzgado guardó silencio sobre el  pedido  del  Ministerio</w:t>
        <w:br/>
        <w:t>Público de que se  practicara,  en  cumplimiento  de  un  “auto  para  mejor</w:t>
        <w:br/>
        <w:t>fallar”, el reconocimiento médico-dental de Néstor Fonseca López.</w:t>
        <w:br/>
        <w:br/>
        <w:t>110.  El juzgado rechazó, posteriormente, la  solicitud  presentada  por  el</w:t>
        <w:br/>
        <w:t>Ministerio Público a efectos de que se fijara nueva fecha  para  realización</w:t>
        <w:br/>
        <w:t>de la “reconstrucción de los hechos”, ya ordenada en el auto de apertura  de</w:t>
        <w:br/>
        <w:t>pruebas, pero no realizada; al proceder en tal sentido,  el  juzgado  señaló</w:t>
        <w:br/>
        <w:t>que  “si fuere necesario, se ordenar[ía] en auto para mejor fallar”.</w:t>
        <w:br/>
        <w:br/>
        <w:t>111.  En su alegato final, el Ministerio Público  solicitó  que  se  dictara</w:t>
        <w:br/>
        <w:t>sentencia condenatoria contra los procesados varones y  que  se  practicaran</w:t>
        <w:br/>
        <w:t>las siguientes diligencias como “auto para mejor fallar”: a)  reconocimiento</w:t>
        <w:br/>
        <w:t>médico-dental a los  procesados  varones  para  determinar  si  portaban  la</w:t>
        <w:br/>
        <w:t>corona de oro mencionada por algunos testigos;  b)  reconocimiento  personal</w:t>
        <w:br/>
        <w:t>de Néstor Valdez Zúñiga por María Eugenia Rodríguez; y c)  requerimiento  de</w:t>
        <w:br/>
        <w:t>información a la Policía Nacional sobre las armas que portaban  los  varones</w:t>
        <w:br/>
        <w:t>acusados y si las portaban los días 25 y 26  de  junio  de  1990,  indicando</w:t>
        <w:br/>
        <w:t>además  si  estaban  “de  franco”,  así  como  si  dejaron  en  depósito  el</w:t>
        <w:br/>
        <w:t>respectivo equipo.</w:t>
        <w:br/>
        <w:br/>
        <w:t>112.  En su sentencia de 26 de diciembre de 1991, el juzgado estableció,  en</w:t>
        <w:br/>
        <w:t>relación con la prueba testimonial recaudada, lo siguiente:</w:t>
        <w:br/>
        <w:br/>
        <w:br/>
        <w:t xml:space="preserve">      no se aprecian en la valoración de pruebas las  declaraciones  de  las</w:t>
        <w:br/>
        <w:t xml:space="preserve">      señoras Matilde Reyna Morales  GarcIa,  Ana  MarIa  Contreras  y  Rosa</w:t>
        <w:br/>
        <w:t xml:space="preserve">      Carlota Sandoval, porque por ser madres  de  ANSTRAUM  AMAN  VILLAGRAN</w:t>
        <w:br/>
        <w:t xml:space="preserve">      MORALES, HENRY GIOVANNI  CONTRERAS  y  JULIO  ROBERTO  CAAL  SANDOVAL,</w:t>
        <w:br/>
        <w:t xml:space="preserve">      respectivamente, adolecen de tacha absoluta.</w:t>
        <w:br/>
        <w:br/>
        <w:br/>
        <w:t xml:space="preserve">      También la de BRUCE CAMBELL  HARRIS  LLOYD,  pues  en  su  calidad  de</w:t>
        <w:br/>
        <w:t xml:space="preserve">      Director Ejecutivo de la Asociación Casa Alianza, se deduce  en  falta</w:t>
        <w:br/>
        <w:t xml:space="preserve">      de imparcialidad, ya que esa institución de asistencia social abriga y</w:t>
        <w:br/>
        <w:t xml:space="preserve">      presta protección a niños de la calle, entre los  que  se  encontraban</w:t>
        <w:br/>
        <w:t xml:space="preserve">      los fallecidos, por lo que es susceptible de tacha relativa.</w:t>
        <w:br/>
        <w:br/>
        <w:br/>
        <w:t xml:space="preserve">      [...]</w:t>
        <w:br/>
        <w:br/>
        <w:br/>
        <w:t xml:space="preserve">      En lo que se refiriere a las deposiciones de MARIA  EUGENIA  RODRIGUEZ</w:t>
        <w:br/>
        <w:t xml:space="preserve">      (menor de edad), GUSTAVO ADOLFO CONCABA CISNEROS (menor de edad), AIDA</w:t>
        <w:br/>
        <w:t xml:space="preserve">      PATRICIA CAMBARA CRUZ, JUAN JOSE MENDEZ SANCHEZ (menor de edad), JULIA</w:t>
        <w:br/>
        <w:t xml:space="preserve">      GRISELDA RAMIREZ, MICAELA SOLIS RAMIREZ y ROSA  ANGELICA  VEGA,  [...]</w:t>
        <w:br/>
        <w:t xml:space="preserve">      ninguno  de  ellos  señal[a]  en  forma  directa   a   los   acusados,</w:t>
        <w:br/>
        <w:t xml:space="preserve">      necesitándose de otros medios convictivos para que [...] se llegue  al</w:t>
        <w:br/>
        <w:t xml:space="preserve">      convencimiento jurídico de que [los sindicados] son  los  responsables</w:t>
        <w:br/>
        <w:t xml:space="preserve">      de los hechos [investigados].</w:t>
        <w:br/>
        <w:br/>
        <w:br/>
        <w:t xml:space="preserve">      [...]</w:t>
        <w:br/>
        <w:br/>
        <w:br/>
        <w:t xml:space="preserve">      En  las  mismas  condiciones  que  las  anteriores   se   hallan   las</w:t>
        <w:br/>
        <w:t xml:space="preserve">      declaraciones de los investigadores [… policiales],  pues  directa  ni</w:t>
        <w:br/>
        <w:t xml:space="preserve">      indirectamente señalan como autores de los execrables crímenes  a  los</w:t>
        <w:br/>
        <w:t xml:space="preserve">      inculpados.</w:t>
        <w:br/>
        <w:br/>
        <w:br/>
        <w:t>113.  En la misma sentencia, el juzgado hizo  referencia  a  los  siguientes</w:t>
        <w:br/>
        <w:t>documentos: a) informe de investigación realizada por  la  Policía  Nacional</w:t>
        <w:br/>
        <w:t>en donde  se  consigna,  entre  otras  circunstancias,  que  Julia  Griselda</w:t>
        <w:br/>
        <w:t>Ramírez López “por medio de [k]ardex del personal de ese cuerpo reconoció  a</w:t>
        <w:br/>
        <w:t>Néstor Fonseca López y Samuel Rocael  Valdez  Zúñiga”,  y  los  señaló  como</w:t>
        <w:br/>
        <w:t>responsables del homicidio de Anstraum Aman Villagrán Morales; se  establece</w:t>
        <w:br/>
        <w:t>que Fonseca López y Valdez Zúñiga prestaban  sus  servicios  en  la  Policía</w:t>
        <w:br/>
        <w:t>Nacional; se informa que Valdez Zúñiga tenía como equipo un “revólver  marca</w:t>
        <w:br/>
        <w:t>Taurus calibre treinta y ocho, registro número [...] (1481127)”  y  que  “el</w:t>
        <w:br/>
        <w:t>proyectil  cuya  ojiva  fue  hallada  al  reconocer  el  cadáver  del  menor</w:t>
        <w:br/>
        <w:t>Villagrán Morales, fue disparado por el arma en  mención”;  b)  informe  del</w:t>
        <w:br/>
        <w:t>Segundo Jefe del Quinto Cuerpo de la Policía  Nacional  del  que  surge  que</w:t>
        <w:br/>
        <w:t>del 25 al 26 de junio de 1990 el agente Valdez Zúñiga  “salió  con  goce  de</w:t>
        <w:br/>
        <w:t>descanso a  las  ocho  horas  de  ese  cuerpo”;  c)  informe  del  Jefe  del</w:t>
        <w:br/>
        <w:t>Departamento de Investigaciones Criminológicas de la Policía Nacional en  el</w:t>
        <w:br/>
        <w:t>que se reitera que Samuel Rocael Valdez Zúñiga y Néstor Fonseca  López  eran</w:t>
        <w:br/>
        <w:t>miembros de dicha Policía y que no se estableció el tipo de arma  que  tenía</w:t>
        <w:br/>
        <w:t>asignada Fonseca López; y d) actas descriptivas del  reconocimiento  de  los</w:t>
        <w:br/>
        <w:t>cadáveres de que se trata, “correspondientes a  personas  muertas  en  forma</w:t>
        <w:br/>
        <w:t>violenta por heridas de arma de fuego”.  En  relación  con  el  conjunto  de</w:t>
        <w:br/>
        <w:t>estos elementos, concluye  la  sentencia  del  Juzgado  Tercero  de  Primera</w:t>
        <w:br/>
        <w:t>Instancia del Ramo Penal  de  Sentencia,  que  “lo  anterior  no  es  prueba</w:t>
        <w:br/>
        <w:t>suficiente como para tener por cierta la participación  de  los  sindicados,</w:t>
        <w:br/>
        <w:t>en los ilícitos penales que se les atribuyen”.</w:t>
        <w:br/>
        <w:br/>
        <w:t>114.  Finalmente, la sentencia de primera instancia afirmó que</w:t>
        <w:br/>
        <w:br/>
        <w:br/>
        <w:t xml:space="preserve">      Lo  mismo  sucede  con  las  diligencias  de  reconocimiento  judicial</w:t>
        <w:br/>
        <w:t xml:space="preserve">      personal practicadas [...] de las que se desprende que  Walter  Anibal</w:t>
        <w:br/>
        <w:t xml:space="preserve">      Choc Teni, Julia Griselda Ramirez Lopez y Micaela  Solis  Ramirez,  no</w:t>
        <w:br/>
        <w:t xml:space="preserve">      reconocieron entre las personas que se les puso  a  la  vista,  a  los</w:t>
        <w:br/>
        <w:t xml:space="preserve">      presuntos responsables, únicamente el menor  Gustavo  Adolfo  Cisneros</w:t>
        <w:br/>
        <w:t xml:space="preserve">      Concaba [sic], hizo ver que  entre  esas  personas  se  encontraba  el</w:t>
        <w:br/>
        <w:t xml:space="preserve">      implicado Nestor Fonseca López, pero tal extremo no cambia tal  estado</w:t>
        <w:br/>
        <w:t xml:space="preserve">      de cosas.</w:t>
        <w:br/>
        <w:br/>
        <w:t>115.  La sentencia de primera instancia  concluye  emitiendo  un  “fallo  de</w:t>
        <w:br/>
        <w:t>carácter ABSOLUTORIO” en favor de los inculpados.</w:t>
        <w:br/>
        <w:t>116.  El  Ministerio  Público  interpuso  recurso  de  apelación  contra  la</w:t>
        <w:br/>
        <w:t>sentencia en el momento en que le  fue  notificada;  el  juzgado  otorgó  el</w:t>
        <w:br/>
        <w:t>recurso y remitió los autos a la Sala Cuarta de la Corte de Apelaciones.</w:t>
        <w:br/>
        <w:br/>
        <w:t xml:space="preserve">      i.    Proceso Judicial ante la Sala Cuarta de la Corte de  Apelaciones</w:t>
        <w:br/>
        <w:t xml:space="preserve">      de Guatemala (Causa No. 175-92)</w:t>
        <w:br/>
        <w:br/>
        <w:t>117.  El Ministerio Público pidió nuevamente  ante  la  Sala  Cuarta  de  la</w:t>
        <w:br/>
        <w:t>Corte de Apelaciones que se practicaran, en  cumplimiento  de  “[a]uto  para</w:t>
        <w:br/>
        <w:t>[m]ejor [f]allar”, las diligencias probatorias que había solicitado ante  el</w:t>
        <w:br/>
        <w:t>Juzgado Tercero de Primera Instancia del Ramo Penal de Sentencia,  y  agregó</w:t>
        <w:br/>
        <w:t>la petición de que se ordenaran otras, a saber: a)  reconocimiento  judicial</w:t>
        <w:br/>
        <w:t>en el libro de registros de la Armería  del  Quinto  Cuerpo  de  la  Policía</w:t>
        <w:br/>
        <w:t>Nacional, con el fin de determinar si dicho libro fue alterado en  los  días</w:t>
        <w:br/>
        <w:t>25 y 26 de junio de 1990, así como  de  establecer  quién  utilizó  el  arma</w:t>
        <w:br/>
        <w:t>marca Taurus mencionada anteriormente, usada en  el  homicidio  de  Anstraum</w:t>
        <w:br/>
        <w:t>Aman Villagrán Morales;  b)  requerimiento  a  la  Policía  Nacional  de  un</w:t>
        <w:br/>
        <w:t>peritaje balístico de la ojiva encontrada junto al cuerpo  de  Jovito  Josué</w:t>
        <w:br/>
        <w:t>Juárez  Cifuentes  en  los  Bosques  de  San  Nicolás,  para  determinar  si</w:t>
        <w:br/>
        <w:t>pertenecía al equipo correspondiente al acusado Néstor Fonseca López;  y  c)</w:t>
        <w:br/>
        <w:t>“[r]econstrucción del hecho a llevarse a cabo en la  dieciocho  calle  entre</w:t>
        <w:br/>
        <w:t>cuarta y quinta avenidas de la zona uno”.</w:t>
        <w:br/>
        <w:br/>
        <w:t>118.  La Sala Cuarta de la Corte de Apelaciones se negó a expedir  el  “Auto</w:t>
        <w:br/>
        <w:t>para Mejor Fallar” solicitado por el Ministerio Público.</w:t>
        <w:br/>
        <w:br/>
        <w:t>119.  El 25 de marzo de 1992 la Sala  Cuarta  de  la  Corte  de  Apelaciones</w:t>
        <w:br/>
        <w:t>confirmó la sentencia del Juzgado Tercero  de  Primera  Instancia  del  Ramo</w:t>
        <w:br/>
        <w:t>Penal de  Sentencia,  reiterando  los  criterios  de  valoración  de  prueba</w:t>
        <w:br/>
        <w:t>utilizados  en  esa  oportunidad   y   agregó   los   siguientes   elementos</w:t>
        <w:br/>
        <w:t>considerativos:</w:t>
        <w:br/>
        <w:br/>
        <w:t xml:space="preserve">      [L]a menor María  Eugenia  Rodríguez,  por  ser  persona  directamente</w:t>
        <w:br/>
        <w:t xml:space="preserve">      ofendida [adolece de tacha absoluta].</w:t>
        <w:br/>
        <w:br/>
        <w:br/>
        <w:t xml:space="preserve">      [...]</w:t>
        <w:br/>
        <w:br/>
        <w:br/>
        <w:t xml:space="preserve">      [Las declaraciones de varios testigos] incurren [en]  imprecisiones  y</w:t>
        <w:br/>
        <w:t xml:space="preserve">      contradicciones, tales como la del menor Cóncaba Cisneros, en la  cual</w:t>
        <w:br/>
        <w:t xml:space="preserve">      no recuerda la fecha en que ocurrieron los hechos; así como las [… de]</w:t>
        <w:br/>
        <w:t xml:space="preserve">      los menores Cámbara Cruz y Méndez Sánchez puesto que el primero afirma</w:t>
        <w:br/>
        <w:t xml:space="preserve">      que el hecho ocurrió el día  domingo  veintiseis  de  [j]ulio  de  mil</w:t>
        <w:br/>
        <w:t xml:space="preserve">      novecientos noventa, es  decir  un  mes  después  de  haber  fallecido</w:t>
        <w:br/>
        <w:t xml:space="preserve">      Anstraum Aman Villagrán Morales, y el segundo  o  sea  Méndez  Sánchez</w:t>
        <w:br/>
        <w:t xml:space="preserve">      indicó que todo sucedió hace aproximadamente un año, contando desde el</w:t>
        <w:br/>
        <w:t xml:space="preserve">      veinticinco de octubre de mil novecientos noventa que fue la fecha  en</w:t>
        <w:br/>
        <w:t xml:space="preserve">      que prestó su declaración testimonial.  En los  testimonios  de  Julia</w:t>
        <w:br/>
        <w:t xml:space="preserve">      Griselda Ramírez, Micaela Solís Ramírez  y  Rosa  Angélica  Vega;  las</w:t>
        <w:br/>
        <w:t xml:space="preserve">      imprecisiones también son manifiestas en cuanto a la fecha del  suceso</w:t>
        <w:br/>
        <w:t xml:space="preserve">      y reconocimiento de las personas que perpetraron el mismo, lo que hace</w:t>
        <w:br/>
        <w:t xml:space="preserve">      estar afectados de tacia [sic] absoluta y  no  ser  apreciados  en  la</w:t>
        <w:br/>
        <w:t xml:space="preserve">      valoración de la prueba.</w:t>
        <w:br/>
        <w:t xml:space="preserve">      Es  de  advertir  que  dentro  de  las  actuaciones  quedó  plenamente</w:t>
        <w:br/>
        <w:t xml:space="preserve">      demostrado que el proyectil encontrado  al  reconocer  el  cadáver  de</w:t>
        <w:br/>
        <w:t xml:space="preserve">      Anstraum Villagrán Morales, fue disparado por el arma  tipo  revólver,</w:t>
        <w:br/>
        <w:t xml:space="preserve">      marca Taurus, calibre treinta y ocho, con número de registro un millón</w:t>
        <w:br/>
        <w:t xml:space="preserve">      cuatrocientos  ochent[a  y  un]  mil  ciento  veintisiete,  arma   que</w:t>
        <w:br/>
        <w:t xml:space="preserve">      pertenecía al equipo del procesado Samuel Rocael Valdez  Zúñiga,  pero</w:t>
        <w:br/>
        <w:t xml:space="preserve">      dicha prueba no confirma que el sindicado Valdez Zúñiga  hubiere  sido</w:t>
        <w:br/>
        <w:t xml:space="preserve">      la persona que accionó el arma de mérito, toda vez que  según  informe</w:t>
        <w:br/>
        <w:t xml:space="preserve">      del Segundo Jefe del Quinto Cuerpo de la Policía Nacional, indica  que</w:t>
        <w:br/>
        <w:t xml:space="preserve">      del día veinticinco al veintiséis de junio  del  año  mil  novecientos</w:t>
        <w:br/>
        <w:t xml:space="preserve">      noventa, el ex-agente Samuel Rocael Valdez Zúñiga, salió  a  las  ocho</w:t>
        <w:br/>
        <w:t xml:space="preserve">      horas de dicho cuerpo en  goce  de  descanso,  para  retornar  el  día</w:t>
        <w:br/>
        <w:t xml:space="preserve">      siguiente  a  la  misma  hora;  […]  resulta  insuficiente  como  para</w:t>
        <w:br/>
        <w:t xml:space="preserve">      atribuirle responsabilidad alguna al incoado.</w:t>
        <w:br/>
        <w:br/>
        <w:br/>
        <w:t xml:space="preserve">      En lo tocante a las deposiciones de los investigadores […  policiales]</w:t>
        <w:br/>
        <w:t xml:space="preserve">      y los testigos Gaspar  Xep  Castro,  Amanda  Pelén  Hernández,  Walter</w:t>
        <w:br/>
        <w:t xml:space="preserve">      Anibal Choc Teni, por irrelevantes no se entran  a  considerar  en  la</w:t>
        <w:br/>
        <w:t xml:space="preserve">      apreciación de la prueba.</w:t>
        <w:br/>
        <w:br/>
        <w:t xml:space="preserve">      j.    Recurso de Casación ante la Cámara Penal de la Corte Suprema  de</w:t>
        <w:br/>
        <w:t xml:space="preserve">      Justicia de Guatemala</w:t>
        <w:br/>
        <w:br/>
        <w:t>120.  El Ministerio Público  presentó  un  recurso  de  casación  contra  la</w:t>
        <w:br/>
        <w:t>sentencia de la Sala  Cuarta  de  la  Corte  de  Apelaciones,  aduciendo  lo</w:t>
        <w:br/>
        <w:t>siguiente: a) que se  había  violado  el  artículo  28  de  la  Constitución</w:t>
        <w:br/>
        <w:t>Política de Guatemala, que consagra la garantía constitucional de  petición,</w:t>
        <w:br/>
        <w:t>por no haberse expedido “auto para mejor fallar” a efectos de  producir  las</w:t>
        <w:br/>
        <w:t>pruebas solicitadas por el propio Ministerio  Público;  b)  al  omitirse  la</w:t>
        <w:br/>
        <w:t>expedición del “auto para mejor fallar” se había violado también el  numeral</w:t>
        <w:br/>
        <w:t>III del artículo 746 del Código Procesal Penal, que consagra la  procedencia</w:t>
        <w:br/>
        <w:t>del recurso de casación cuando se hubiere denegado  algún  medio  de  prueba</w:t>
        <w:br/>
        <w:t>que pudiera influir en las decisiones de primera y segunda instancia;  y  c)</w:t>
        <w:br/>
        <w:t>que la Sala Cuarta de la Corte de Apelaciones incurrió en error de hecho  en</w:t>
        <w:br/>
        <w:t>la estimación de la prueba al  omitir  darle  valor  a  las  siguientes:  1)</w:t>
        <w:br/>
        <w:t>reconocimiento personal del acusado Néstor Fonseca López por Gustavo  Adolfo</w:t>
        <w:br/>
        <w:t>Cóncaba Cisneros; 2) reconocimiento fotográfico  judicial  de  este  acusado</w:t>
        <w:br/>
        <w:t>por Julia Griselda Ramírez López; 3) oficios contradictorios de  la  Policía</w:t>
        <w:br/>
        <w:t>Nacional que indicaban, uno, que el procesado Samuel  Rocael  Valdez  Zúñiga</w:t>
        <w:br/>
        <w:t>había sido asignado al turno de 24 horas que comenzó a las 12:00  horas  del</w:t>
        <w:br/>
        <w:t>día 24 de junio de 1990 y que por lo tanto había salido a gozar de  descanso</w:t>
        <w:br/>
        <w:t>el día 25 de junio de 1990 a la misma hora, y, otro, que señalaba que  había</w:t>
        <w:br/>
        <w:t>salido  de  descanso  a  las  08:00  horas  del  día  25;  4)  declaraciones</w:t>
        <w:br/>
        <w:t>judiciales de los funcionarios policiales que investigaron los  hechos,  por</w:t>
        <w:br/>
        <w:t>orden de los juzgados, las cuales fueron desestimadas por la Sala Cuarta  de</w:t>
        <w:br/>
        <w:t>la Corte de Apelaciones por “irrelevantes”; y  5)  informes  resultantes  de</w:t>
        <w:br/>
        <w:t>las investigaciones policiales ordenadas por los juzgados.</w:t>
        <w:br/>
        <w:br/>
        <w:t>121.  La Corte Suprema confirmó la sentencia de la Sala Cuarta de  la  Corte</w:t>
        <w:br/>
        <w:t>de Apelaciones, sosteniendo, inter alia, lo siguiente: a) que “el auto  para</w:t>
        <w:br/>
        <w:t>mejor fallar constituye una facultad discrecional que el legislador dejó  al</w:t>
        <w:br/>
        <w:t>juez, para que [...]  llegado el momento de  pronunciar  sentencia,  [pueda,</w:t>
        <w:br/>
        <w:t>si lo] estima  necesario[,]  practicar  algunas  diligencias  para  resolver</w:t>
        <w:br/>
        <w:t>mejor en cuanto al hecho investigado”; b) que el reconocimiento personal  no</w:t>
        <w:br/>
        <w:t>está previsto en el artículo 643 del Código Procesal  Penal  como  medio  de</w:t>
        <w:br/>
        <w:t>prueba autónomo  sino  como  accesorio  al  testimonio,  y  que  al  haberse</w:t>
        <w:br/>
        <w:t>desestimado la declaración testimonial de quien lo realizó,  quedó  afectada</w:t>
        <w:br/>
        <w:t>la validez de dicho reconocimiento; c) que la prueba  de  reconstrucción  de</w:t>
        <w:br/>
        <w:t>los hechos delictivos fue ordenada  por  la  autoridad  judicial  competente</w:t>
        <w:br/>
        <w:t>pero no se llevó a cabo porque no “fueron presentados los  acusados”;  y  d)</w:t>
        <w:br/>
        <w:t>que en la  apreciación  de  los  testimonios  que  fueron  calificados  como</w:t>
        <w:br/>
        <w:t>irrelevantes, de la  prueba  balística  y  de  los  oficios  de  la  Policía</w:t>
        <w:br/>
        <w:t>Nacional,  no  hubo  error  de  hecho,  “porque  no  exist[ió]  una  omisión</w:t>
        <w:br/>
        <w:t>valorativa,  [y]  tampoco  tergiversación  del  contenido  de  esos   medios</w:t>
        <w:br/>
        <w:t>probatorios [… la cual sólo se produce] cuando el juez al estimar  el  medio</w:t>
        <w:br/>
        <w:t>de prueba [,] dice todo lo contrario de lo que la prueba demuestra”.</w:t>
        <w:br/>
        <w:br/>
        <w:br/>
        <w:t xml:space="preserve">                                    VIII</w:t>
        <w:br/>
        <w:t xml:space="preserve">                          Violación del Artículo 7</w:t>
        <w:br/>
        <w:br/>
        <w:t xml:space="preserve">                      (Derecho a la Libertad Personal)</w:t>
        <w:br/>
        <w:br/>
        <w:t>122.  La Comisión,  en  el  escrito  de  demanda,  alegó  la  violación  del</w:t>
        <w:br/>
        <w:t>artículo 7 de la Convención en  virtud  de  que  Henry  Giovanni  Contreras,</w:t>
        <w:br/>
        <w:t>Federico Clemente Figueroa Túnchez, Julio Roberto  Caal  Sandoval  y  Jovito</w:t>
        <w:br/>
        <w:t>Josué Juárez Cifuentes fueron privados ilegítima  y  arbitrariamente  de  su</w:t>
        <w:br/>
        <w:t>libertad por parte de agentes de la Policía Nacional.</w:t>
        <w:br/>
        <w:br/>
        <w:t>123.  Con ocasión de la contestación de  la  demanda,  el  Estado  no  adujo</w:t>
        <w:br/>
        <w:t>defensa alguna en relación con la violación del artículo 7 de la  Convención</w:t>
        <w:br/>
        <w:t>(supra, párrs. 67 y 68).</w:t>
        <w:br/>
        <w:br/>
        <w:t>124.  En los alegatos finales, la  Comisión  manifestó  que,  a  partir  del</w:t>
        <w:br/>
        <w:t>secuestro de  estos  cuatro  jóvenes,  el  Estado  contravino  no  sólo  los</w:t>
        <w:br/>
        <w:t>requerimientos de la  Convención  sino  también  del  derecho  interno,  más</w:t>
        <w:br/>
        <w:t>específicamente, del artículo 6 de la Constitución Política de Guatemala.</w:t>
        <w:br/>
        <w:br/>
        <w:t>125.  En concreto, la Comisión señaló  que  los  entonces  oficiales  Néstor</w:t>
        <w:br/>
        <w:t>Fonseca López y Samuel  Rocael  Valdez  Zúñiga,  autores  materiales,  a  su</w:t>
        <w:br/>
        <w:t>entender, del secuestro y retención, no dieron a  conocer  las  detenciones,</w:t>
        <w:br/>
        <w:t>no presentaron a los jóvenes ante la autoridad judicial  competente  y,  por</w:t>
        <w:br/>
        <w:t>tanto, no les permitieron interponer un recurso de hábeas corpus.   Destacó,</w:t>
        <w:br/>
        <w:t>asimismo, que el derecho a la libertad personal constituye un  prerrequisito</w:t>
        <w:br/>
        <w:t>para el goce de otros derechos  fundamentales  y  que,  como  las  presuntas</w:t>
        <w:br/>
        <w:t>víctimas fueron retenidas en la clandestinidad,  se  encontraron  indefensas</w:t>
        <w:br/>
        <w:t>ante la violación, que también padecieron, de  los  derechos  a  recibir  un</w:t>
        <w:br/>
        <w:t>tratamiento humano y a la vida.</w:t>
        <w:br/>
        <w:br/>
        <w:t>126.  En sus alegatos finales, el Estado tampoco se  pronunció  al  respecto</w:t>
        <w:br/>
        <w:t>(supra, párrs. 67 y 68).</w:t>
        <w:br/>
        <w:br/>
        <w:t>127.  El artículo 7 de la Convención dispone:</w:t>
        <w:br/>
        <w:br/>
        <w:t xml:space="preserve">      1.    Toda persona tiene derecho  a  la  libertad  y  a  la  seguridad</w:t>
        <w:br/>
        <w:t>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[…]</w:t>
        <w:br/>
        <w:br/>
        <w:br/>
        <w:t xml:space="preserve">      5.    Toda persona detenida o retenida debe ser llevada,  sin  demora,</w:t>
        <w:br/>
        <w:t xml:space="preserve">      ante un juez u otro funcionario autorizado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  Su  libertad  podrá  estar  condicionada  a  garantías  que</w:t>
        <w:br/>
        <w:t xml:space="preserve">      aseguren su comparecencia en juicio.</w:t>
        <w:br/>
        <w:br/>
        <w:br/>
        <w:t xml:space="preserve">      6.    Toda persona privada de libertad tiene derecho a  recurrir  ante</w:t>
        <w:br/>
        <w:t xml:space="preserve">      un juez o tribunal competente, a fin de que éste decida,  sin  demora,</w:t>
        <w:br/>
        <w:t xml:space="preserve">      sobre la legalidad de su arresto o detención y ordene su  libertad  si</w:t>
        <w:br/>
        <w:t xml:space="preserve">      el arresto o la detención fueran  ilegales.   En  los  Estados  partes</w:t>
        <w:br/>
        <w:t xml:space="preserve">      cuyas leyes prevén que toda persona que  se  viera  amenazada  de  ser</w:t>
        <w:br/>
        <w:t xml:space="preserve">      privada de su libertad tiene derecho a recurrir a un juez  o  tribunal</w:t>
        <w:br/>
        <w:t xml:space="preserve">      competente a fin de que éste decida sobre la legalidad de tal amenaza,</w:t>
        <w:br/>
        <w:t xml:space="preserve">      dicho recurso no puede  ser  restringido  ni  abolido.   Los  recursos</w:t>
        <w:br/>
        <w:t xml:space="preserve">      podrán interponerse por sí o por otra persona.</w:t>
        <w:br/>
        <w:br/>
        <w:t xml:space="preserve">      […]</w:t>
        <w:br/>
        <w:br/>
        <w:t>128.  Existen, en el presente caso, evidencias numerosas y  concurrentes  de</w:t>
        <w:br/>
        <w:t>que los secuestros de los cuatro jóvenes fueron perpetrados por agentes  del</w:t>
        <w:br/>
        <w:t>Estado y, más concretamente,  por  miembros  de  la  Policía  Nacional.   En</w:t>
        <w:br/>
        <w:t>efecto:</w:t>
        <w:br/>
        <w:br/>
        <w:t xml:space="preserve">         * según testigos, quienes los privaron de la libertad  actuaron  a</w:t>
        <w:br/>
        <w:t xml:space="preserve">           plena luz del día, en la vía pública, sin ocultar sus rostros  y</w:t>
        <w:br/>
        <w:t xml:space="preserve">           se movieron con toda  desenvoltura,  a  la  vista  de  numerosas</w:t>
        <w:br/>
        <w:t xml:space="preserve">           personas;</w:t>
        <w:br/>
        <w:br/>
        <w:br/>
        <w:t xml:space="preserve">         *  los  secuestradores  dispusieron  de   medios   eficientes   de</w:t>
        <w:br/>
        <w:t xml:space="preserve">           movilización y agresión: llegaron al lugar en una camioneta tipo</w:t>
        <w:br/>
        <w:t xml:space="preserve">           “pick-up”, provistos de  armas  de  fuego  que  utilizaron  para</w:t>
        <w:br/>
        <w:t xml:space="preserve">           amedrentar a los jóvenes, y se alejaron del sitio en ese   mismo</w:t>
        <w:br/>
        <w:t xml:space="preserve">           vehículo, llevándose a los secuestrados;</w:t>
        <w:br/>
        <w:br/>
        <w:br/>
        <w:t xml:space="preserve">         * varios testigos,  que  declararon  en  los  procesos  judiciales</w:t>
        <w:br/>
        <w:t xml:space="preserve">           internos  proporcionaron  a  los  investigadores   descripciones</w:t>
        <w:br/>
        <w:t xml:space="preserve">           físicas detalladas y coincidentes sobre  los  secuestradores,  y</w:t>
        <w:br/>
        <w:t xml:space="preserve">           los   identificaron   en   procedimientos   de    reconocimiento</w:t>
        <w:br/>
        <w:t xml:space="preserve">           fotográfico o personal.   Las  personas  identificadas  por  los</w:t>
        <w:br/>
        <w:t xml:space="preserve">           testigos eran miembros de la Policía  Nacional.  Varios  de  los</w:t>
        <w:br/>
        <w:t xml:space="preserve">           declarantes pusieron de presente que estos agentes  frecuentaban</w:t>
        <w:br/>
        <w:t xml:space="preserve">           la zona de “Las Casetas”, y eran amigos de la administradora  de</w:t>
        <w:br/>
        <w:t xml:space="preserve">           un kiosco, que se caracterizaba por su animadversión contra  los</w:t>
        <w:br/>
        <w:t xml:space="preserve">           “niños de  la  calle”  del  sector.   Algunos  de  los  aludidos</w:t>
        <w:br/>
        <w:t xml:space="preserve">           testigos corroboraron sus declaraciones ante esta Corte; y</w:t>
        <w:br/>
        <w:br/>
        <w:br/>
        <w:t xml:space="preserve">         * una testigo declaró que  los  agentes  de  la  Policía  Nacional</w:t>
        <w:br/>
        <w:t xml:space="preserve">           identificados como autores de la detención de los jóvenes habían</w:t>
        <w:br/>
        <w:t xml:space="preserve">           participado pocos días antes en un secuestro similar  de  “niños</w:t>
        <w:br/>
        <w:t xml:space="preserve">           de la calle” de la zona de “Las Casetas”, del que ella  fue  una</w:t>
        <w:br/>
        <w:t xml:space="preserve">           de las víctimas (supra, párr. 119).</w:t>
        <w:br/>
        <w:br/>
        <w:t>129.  Las investigaciones de la  propia  Policía  Nacional,  efectuadas  por</w:t>
        <w:br/>
        <w:t>orden de los jueces internos, y  que  fueron  aportadas  a  los  respectivos</w:t>
        <w:br/>
        <w:t>procesos judiciales, arribaron a la conclusión de que la aprehensión de  los</w:t>
        <w:br/>
        <w:t>cuatro jóvenes había sido realizada por los dos  agentes  identificados  por</w:t>
        <w:br/>
        <w:t>los testigos.  Esta conclusión no ha sido desvirtuada por  el  Estado,  sino</w:t>
        <w:br/>
        <w:t>más bien confirmada por él, pues al referirse al tema en la contestación  de</w:t>
        <w:br/>
        <w:t>demanda sostuvo que “la interacción  de  los  distintos  órganos  estatales,</w:t>
        <w:br/>
        <w:t>demuestr[a] perfectamente que el sistema  jurídico  realizó  su  función,  a</w:t>
        <w:br/>
        <w:t>través del principio del contradictorio  [y  que  la]  investigación  de  la</w:t>
        <w:br/>
        <w:t>Policía Nacional [...] respaldó la acusación presentada  por  el  Ministerio</w:t>
        <w:br/>
        <w:t>Público”.</w:t>
        <w:br/>
        <w:br/>
        <w:t>130.  La  aludida  conclusión  se  confirma  con  abundante  información  de</w:t>
        <w:br/>
        <w:t>contexto disponible en documentos que forman  parte  del  acervo  probatorio</w:t>
        <w:br/>
        <w:t>(supra, párr. 59.c) y que describen las actuaciones ilegítimas y  violentas,</w:t>
        <w:br/>
        <w:t>de diversos tipos de agentes de seguridad del Estado, contra los  “niños  de</w:t>
        <w:br/>
        <w:t>la calle”.  Entre esas actuaciones se encuentran varias que se asemejan  muy</w:t>
        <w:br/>
        <w:t>estrechamente a las que constituyen los hechos del presente caso.</w:t>
        <w:br/>
        <w:br/>
        <w:t>131.  Con referencia a las detenciones, la Corte ha dicho que</w:t>
        <w:br/>
        <w:br/>
        <w:t xml:space="preserve">      [el artículo 7] contiene como garantías específicas, descritas en  sus</w:t>
        <w:br/>
        <w:t xml:space="preserve">      incisos 2 y 3, la prohibición de detenciones  o  arrestos  ilegales  o</w:t>
        <w:br/>
        <w:t xml:space="preserve">      arbitrarios, respectivamente. Según  el  primero  de  tales  supuestos</w:t>
        <w:br/>
        <w:t xml:space="preserve">      normativos, nadie puede verse privado de  la  libertad  sino  por  las</w:t>
        <w:br/>
        <w:t xml:space="preserve">      causas, casos o circunstancias  expresamente  tipificadas  en  la  ley</w:t>
        <w:br/>
        <w:t xml:space="preserve">      (aspecto  material),  pero,  además,  con  estricta  sujeción  a   los</w:t>
        <w:br/>
        <w:t xml:space="preserve">      procedimientos objetivamente definidos en la misma  (aspecto  formal).</w:t>
        <w:br/>
        <w:t xml:space="preserve">      En el segundo supuesto, se está en presencia de una condición según la</w:t>
        <w:br/>
        <w:t xml:space="preserve">      cual nadie puede ser sometido a detención o encarcelamiento por causas</w:t>
        <w:br/>
        <w:t xml:space="preserve">      y métodos que -aún  calificados  de  legales-  puedan  reputarse  como</w:t>
        <w:br/>
        <w:t xml:space="preserve">      incompatibles  con  el  respeto  a  los  derechos  fundamentales   del</w:t>
        <w:br/>
        <w:t xml:space="preserve">      individuo por ser, entre otras cosas,  irrazonables,  imprevisibles  o</w:t>
        <w:br/>
        <w:t xml:space="preserve">      faltos de proporcionalidad[20].</w:t>
        <w:br/>
        <w:br/>
        <w:br/>
        <w:t>132.  Es evidente que, en contravención con lo dispuesto en el artículo  7.2</w:t>
        <w:br/>
        <w:t>de la Convención, los cuatro jóvenes fueron detenidos sin  que  se  hubieran</w:t>
        <w:br/>
        <w:t>configurado las  causas  y  condiciones  establecidas  por  la  Constitución</w:t>
        <w:br/>
        <w:t>Política de Guatemala, en vigor desde el 14 de enero  de  1986.   Dicha  Ley</w:t>
        <w:br/>
        <w:t>Fundamental preveía, en el artículo 6,  que  sólo  se  podía  privar  de  la</w:t>
        <w:br/>
        <w:t>libertad a una persona “en virtud de orden librada con apego a  la  ley  por</w:t>
        <w:br/>
        <w:t>autoridad judicial competente” o por haber sido sorprendida in  fraganti  en</w:t>
        <w:br/>
        <w:t>la comisión de un delito o falta.  Ninguno de los dos extremos  se  presentó</w:t>
        <w:br/>
        <w:t>en este caso.</w:t>
        <w:br/>
        <w:br/>
        <w:t>133.  Tampoco  fueron  “puestos  a  disposición  de  la  autoridad  judicial</w:t>
        <w:br/>
        <w:t>competente en un plazo que no exced[iera] de seis horas”, como lo ordena  el</w:t>
        <w:br/>
        <w:t>mencionado artículo 6 de la Constitución Política  de  Guatemala.   A  mayor</w:t>
        <w:br/>
        <w:t>abundamiento, este artículo establece en forma  expresa  que  los  detenidos</w:t>
        <w:br/>
        <w:t>“no podrán  quedar  sujetos  a  ninguna  otra  autoridad”.   Comparando  los</w:t>
        <w:br/>
        <w:t>acontecimientos del  caso  con  esa  regulación  procesal  básica,  se  hace</w:t>
        <w:br/>
        <w:t>evidente que ésta no fue atendida.</w:t>
        <w:br/>
        <w:br/>
        <w:t>134.  En consecuencia, puede concluirse que en la detención  de  los  cuatro</w:t>
        <w:br/>
        <w:t>jóvenes no fue observado ni el aspecto material ni el aspecto formal de  los</w:t>
        <w:br/>
        <w:t>presupuestos legales de la detención.</w:t>
        <w:br/>
        <w:br/>
        <w:t>135.  La Corte Europea de Derechos Humanos (en adelante “Corte Europea”)  ha</w:t>
        <w:br/>
        <w:t>remarcado que el énfasis  en  la  prontitud  del  control  judicial  de  las</w:t>
        <w:br/>
        <w:t>detenciones asume particular importancia para la prevención  de  detenciones</w:t>
        <w:br/>
        <w:t>arbitrarias.  La pronta intervención judicial es la que permitiría  detectar</w:t>
        <w:br/>
        <w:t>y prevenir amenazas contra  la  vida  o  serios  malos  tratos,  que  violan</w:t>
        <w:br/>
        <w:t>garantías fundamentales también contenidas en el Convenio  Europeo  para  la</w:t>
        <w:br/>
        <w:t>Protección de los Derechos Humanos y de  las  Libertades  Fundamentales  (en</w:t>
        <w:br/>
        <w:t>adelante “Convención Europea”)[21] y en la Convención Americana.   Están  en</w:t>
        <w:br/>
        <w:t>juego tanto la protección de la libertad física de los  individuos  como  la</w:t>
        <w:br/>
        <w:t>seguridad personal, en un contexto en el que la ausencia de garantías  puede</w:t>
        <w:br/>
        <w:t>resultar en la subversión de la regla de derecho y en  la  privación  a  los</w:t>
        <w:br/>
        <w:t>detenidos de las formas mínimas de protección legal.  En  este  sentido,  la</w:t>
        <w:br/>
        <w:t>Corte Europea destacó especialmente que la falta  de  reconocimiento  de  la</w:t>
        <w:br/>
        <w:t>detención de un individuo es una completa negación de esas garantías  y  una</w:t>
        <w:br/>
        <w:t>más grave violación del artículo en cuestión.</w:t>
        <w:br/>
        <w:br/>
        <w:t>136.  En consecuencia de lo anteriormente expuesto, concluye  este  Tribunal</w:t>
        <w:br/>
        <w:t>que el Estado violó el artículo 7 de la Convención Americana sobre  Derechos</w:t>
        <w:br/>
        <w:t>Humanos, en conexión con el artículo 1.1 de la misma, en perjuicio de  Henry</w:t>
        <w:br/>
        <w:t>Giovanni Contreras, Federico Clemente Figueroa Túnchez, Julio  Roberto  Caal</w:t>
        <w:br/>
        <w:t>Sandoval y Jovito Josué Juárez Cifuentes.</w:t>
        <w:br/>
        <w:br/>
        <w:br/>
        <w:t xml:space="preserve">                                     IX</w:t>
        <w:br/>
        <w:t xml:space="preserve">                          Violación del Artículo 4</w:t>
        <w:br/>
        <w:br/>
        <w:t xml:space="preserve">                             (Derecho a la Vida)</w:t>
        <w:br/>
        <w:br/>
        <w:t>137.  La Comisión sostuvo en la  demanda  que  Guatemala  había  violado  el</w:t>
        <w:br/>
        <w:t>artículo 4 de la Convención  porque  dos  agentes  de  la  Policía  Nacional</w:t>
        <w:br/>
        <w:t>dieron  muerte  a  Henry  Giovanni  Contreras,  Federico  Clemente  Figueroa</w:t>
        <w:br/>
        <w:t>Túnchez, Julio Roberto  Caal  Sandoval,  Jovito  Josué  Juárez  Cifuentes  y</w:t>
        <w:br/>
        <w:t>Anstraum Aman Villagrán Morales.  Recalcó la Comisión que  “[e]l  derecho  a</w:t>
        <w:br/>
        <w:t>la vida es inderogable” y que “[l]a violación de esa norma [...] no ha  sido</w:t>
        <w:br/>
        <w:t>objeto de correctivo alguno”.</w:t>
        <w:br/>
        <w:br/>
        <w:t>138.  El Estado no ofreció defensa referida a este punto en su  contestación</w:t>
        <w:br/>
        <w:t>a la demanda (supra, párrs. 67 y 68).</w:t>
        <w:br/>
        <w:br/>
        <w:t>139.  En los alegatos finales, la Comisión destacó  las  características  de</w:t>
        <w:br/>
        <w:t>ius cogens del derecho a la vida y  el  hecho  de  que  constituye  la  base</w:t>
        <w:br/>
        <w:t>esencial del ejercicio de los demás derechos.  La  Comisión  señaló  que  el</w:t>
        <w:br/>
        <w:t>cumplimiento  del  artículo  4  relacionado  con  el  artículo  1.1  de   la</w:t>
        <w:br/>
        <w:t>Convención, no sólo presupone que ninguna persona sea  privada  de  su  vida</w:t>
        <w:br/>
        <w:t>arbitrariamente (obligación negativa), sino  que  además  requiere  que  los</w:t>
        <w:br/>
        <w:t>Estados tomen todas las medidas apropiadas  para  proteger  y  preservar  el</w:t>
        <w:br/>
        <w:t>derecho a la vida (obligación positiva).  Concluyó, entonces, que el  Estado</w:t>
        <w:br/>
        <w:t>había violado los dos aspectos del mencionado derecho porque  al  tiempo  en</w:t>
        <w:br/>
        <w:t>que los hechos tuvieron lugar, los  “niños  de  la  calle”  eran  objeto  de</w:t>
        <w:br/>
        <w:t>diversas  formas  de  persecución,  incluyendo   amenazas,   hostigamientos,</w:t>
        <w:br/>
        <w:t>torturas y homicidios.  Como consecuencia de esta situación, hubo un  número</w:t>
        <w:br/>
        <w:t>sustancial de denuncias  a  las  que  el  Estado  ha  debido  responder  con</w:t>
        <w:br/>
        <w:t>investigaciones efectivas,  persecuciones  y  sanciones;  sin  embargo,  los</w:t>
        <w:br/>
        <w:t>agentes estatales responsables fueron raramente  investigados  o  condenados</w:t>
        <w:br/>
        <w:t>dando lugar a una impunidad de facto que  permitía,  y  hasta  alentaba,  la</w:t>
        <w:br/>
        <w:t>persistencia  de  estas  violaciones  contra  los  “niños  de   la   calle”,</w:t>
        <w:br/>
        <w:t>haciéndolos aún más vulnerables.</w:t>
        <w:br/>
        <w:br/>
        <w:t>140.  El Estado guardó silencio sobre este punto  en  los  alegatos  finales</w:t>
        <w:br/>
        <w:t>(supra, párrs. 67 y 68).</w:t>
        <w:br/>
        <w:br/>
        <w:t>141.  El artículo 4.1 de la Convención establece:</w:t>
        <w:br/>
        <w:br/>
        <w:t xml:space="preserve">      Toda persona tiene derecho a que se  respete  su  vida.  Este  derecho</w:t>
        <w:br/>
        <w:t xml:space="preserve">      estará protegido por la ley y, en general, a partir del momento de  la</w:t>
        <w:br/>
        <w:t xml:space="preserve">      concepción. Nadie puede ser privado de la vida arbitrariamente.</w:t>
        <w:br/>
        <w:br/>
        <w:t>142.  Existen en el presente caso evidencias  numerosas  y  concurrentes  de</w:t>
        <w:br/>
        <w:t>que fueron agentes del Estado y, más concretamente, miembros de  la  Policía</w:t>
        <w:br/>
        <w:t>Nacional,  quienes  dieron  muerte  a  Henry  Giovanni  Contreras,  Federico</w:t>
        <w:br/>
        <w:t>Clemente Figueroa Túnchez, Julio Roberto Caal Sandoval, Jovito Josué  Juárez</w:t>
        <w:br/>
        <w:t>Cifuentes y Anstraum Aman Villagrán Morales.  En efecto:</w:t>
        <w:br/>
        <w:br/>
        <w:br/>
        <w:t xml:space="preserve">         * fueron agentes del Estado quienes  aprehendieron  a  los  cuatro</w:t>
        <w:br/>
        <w:t xml:space="preserve">           jóvenes cuyos  cadáveres  aparecieron  en  los  Bosques  de  San</w:t>
        <w:br/>
        <w:t xml:space="preserve">           Nicolás.  Los hechos posteriores a la aprehensión, que remataron</w:t>
        <w:br/>
        <w:t xml:space="preserve">           en el homicidio de los  jóvenes,  implicaron  un  despliegue  de</w:t>
        <w:br/>
        <w:t xml:space="preserve">           medios  de  movilización  y  agresión  muy  semejantes,  si   no</w:t>
        <w:br/>
        <w:t xml:space="preserve">           idénticos, a los utilizados para realizar el secuestro;</w:t>
        <w:br/>
        <w:br/>
        <w:br/>
        <w:t xml:space="preserve">         * según varios testigos, los homicidas de Anstraum Aman  Villagrán</w:t>
        <w:br/>
        <w:t xml:space="preserve">           Morales actuaron -como los secuestradores de los cuatro jóvenes-</w:t>
        <w:br/>
        <w:t xml:space="preserve">           en la vía pública,  sin  ocultar  sus  rostros,  moviéndose  con</w:t>
        <w:br/>
        <w:t xml:space="preserve">           parsimonia, a la vista de numerosas personas, hasta el punto  de</w:t>
        <w:br/>
        <w:t xml:space="preserve">           que, después de haber ultimado a la  víctima,  permanecieron  en</w:t>
        <w:br/>
        <w:t xml:space="preserve">           los  alrededores  consumiendo  cerveza  y  antes  de   retirarse</w:t>
        <w:br/>
        <w:t xml:space="preserve">           definitivamente del lugar regresaron  a  las  inmediaciones  del</w:t>
        <w:br/>
        <w:t xml:space="preserve">           cadáver y amenazaron a los eventuales testigos;</w:t>
        <w:br/>
        <w:br/>
        <w:br/>
        <w:t xml:space="preserve">         * Anstraum Aman Villagrán  Morales  era  amigo  y  frecuentaba  la</w:t>
        <w:br/>
        <w:t xml:space="preserve">           compañía de  los  cuatro  jóvenes  secuestrados,  y  había  sido</w:t>
        <w:br/>
        <w:t xml:space="preserve">           advertido en  la  misma  noche  de  los  hechos  y  en  términos</w:t>
        <w:br/>
        <w:t xml:space="preserve">           amenazadores, por la administradora de un kiosco, amiga  de  los</w:t>
        <w:br/>
        <w:t xml:space="preserve">           homicidas, de que también se le daría muerte;</w:t>
        <w:br/>
        <w:br/>
        <w:br/>
        <w:t xml:space="preserve">         * diferentes testigos que declararon  ante  los  investigadores  y</w:t>
        <w:br/>
        <w:t xml:space="preserve">           jueces internos, algunos de los cuales rindieron testimonio ante</w:t>
        <w:br/>
        <w:t xml:space="preserve">           esta Corte, manifestaron que los secuestradores  de  los  cuatro</w:t>
        <w:br/>
        <w:t xml:space="preserve">           jóvenes y los homicidas de Anstraum Aman Villagrán Morales  eran</w:t>
        <w:br/>
        <w:t xml:space="preserve">           las mismas personas;</w:t>
        <w:br/>
        <w:br/>
        <w:br/>
        <w:t xml:space="preserve">         * tanto en  el  lugar  donde  aparecieron  los  cadáveres  de  los</w:t>
        <w:br/>
        <w:t xml:space="preserve">           primeros cuatro jóvenes como en el sitio en que cayó  herido  de</w:t>
        <w:br/>
        <w:t xml:space="preserve">           muerte  Anstraum  Aman  Villagrán  Morales,  fueron  encontrados</w:t>
        <w:br/>
        <w:t xml:space="preserve">           elementos de  proyectiles  disparados  por  armas  de  fuego  de</w:t>
        <w:br/>
        <w:t xml:space="preserve">           dotación policial. En el caso de los elementos encontrados cerca</w:t>
        <w:br/>
        <w:t xml:space="preserve">           del  cadáver   de   Villagrán   Morales   se   pudo   establecer</w:t>
        <w:br/>
        <w:t xml:space="preserve">           pericialmente, que el proyectil  había  sido  disparado  por  el</w:t>
        <w:br/>
        <w:t xml:space="preserve">           revólver de dotación de uno de los agentes de policía reconocido</w:t>
        <w:br/>
        <w:t xml:space="preserve">           por los testigos como autor de los hechos;</w:t>
        <w:br/>
        <w:br/>
        <w:br/>
        <w:t xml:space="preserve">         * las investigaciones realizadas  por  la  Policía  Nacional,  por</w:t>
        <w:br/>
        <w:t xml:space="preserve">           orden de los jueces internos,  y  que  fueron  aportadas  a  los</w:t>
        <w:br/>
        <w:t xml:space="preserve">           procesos judiciales correspondientes, llegaron a  la  conclusión</w:t>
        <w:br/>
        <w:t xml:space="preserve">           de que los homicidas de los jóvenes cuyos cuerpos aparecieron en</w:t>
        <w:br/>
        <w:t xml:space="preserve">           los Bosques de San Nicolás y de Anstraum Aman Villagrán  Morales</w:t>
        <w:br/>
        <w:t xml:space="preserve">           eran los dos agentes identificados por los testigos; y</w:t>
        <w:br/>
        <w:br/>
        <w:br/>
        <w:t xml:space="preserve">         * las informaciones fidedignas de contexto a  las  que  ya  se  ha</w:t>
        <w:br/>
        <w:t xml:space="preserve">           hecho referencia (supra, párr. 59.c) y  que  se  refieren  a  un</w:t>
        <w:br/>
        <w:t xml:space="preserve">           patrón generalizado de violencia contra los “niños de la  calle”</w:t>
        <w:br/>
        <w:t xml:space="preserve">           por parte de agentes de los cuerpos  de  seguridad  del  Estado,</w:t>
        <w:br/>
        <w:t xml:space="preserve">           comprenden,  en  particular,  actos  de  homicidio  colectivo  e</w:t>
        <w:br/>
        <w:t xml:space="preserve">           individualizado y abandono de cadáveres en zonas deshabitadas.</w:t>
        <w:br/>
        <w:br/>
        <w:t>143.  Como consecuencia de haber sido perpetrados por agentes estatales,  la</w:t>
        <w:br/>
        <w:t>Corte  debe  concluir,  necesariamente,  que  los   cinco   homicidios   son</w:t>
        <w:br/>
        <w:t>imputables al Estado[22].</w:t>
        <w:br/>
        <w:br/>
        <w:t>144.  El derecho a la vida es un derecho humano fundamental,  cuyo  goce  es</w:t>
        <w:br/>
        <w:t>un prerrequisito para el disfrute de todos los demás derechos  humanos.   De</w:t>
        <w:br/>
        <w:t>no ser respetado, todos los derechos  carecen  de  sentido.   En  razón  del</w:t>
        <w:br/>
        <w:t>carácter fundamental del derecho a  la  vida,  no  son  admisibles  enfoques</w:t>
        <w:br/>
        <w:t>restrictivos del mismo.  En  esencia,  el  derecho  fundamental  a  la  vida</w:t>
        <w:br/>
        <w:t>comprende, no sólo el derecho de todo ser humano de no  ser  privado  de  la</w:t>
        <w:br/>
        <w:t>vida arbitrariamente, sino también el derecho a  que  no  se  le  impida  el</w:t>
        <w:br/>
        <w:t>acceso a las condiciones  que  le  garanticen  una  existencia  digna.   Los</w:t>
        <w:br/>
        <w:t>Estados tienen la obligación de garantizar la creación  de  las  condiciones</w:t>
        <w:br/>
        <w:t>que se requieran para que no se produzcan violaciones de ese derecho  básico</w:t>
        <w:br/>
        <w:t>y, en particular, el deber de impedir que sus agentes atenten contra él.</w:t>
        <w:br/>
        <w:br/>
        <w:t>145.  Como bien ha establecido el Comité de Derechos Humanos, creado por  el</w:t>
        <w:br/>
        <w:t>Pacto Internacional de Derechos Civiles y Políticos de Naciones Unidas,</w:t>
        <w:br/>
        <w:br/>
        <w:t xml:space="preserve">      [l]a protección contra la privación arbitraria  de  la  vida,  que  es</w:t>
        <w:br/>
        <w:t xml:space="preserve">      explícitamente exigida por el tercer párrafo  del  artículo  6.1  [del</w:t>
        <w:br/>
        <w:t xml:space="preserve">      Pacto Internacional de Derechos Civiles y  Políticos]  es  de  suprema</w:t>
        <w:br/>
        <w:t xml:space="preserve">      importancia.  El Comité considera que los Estados Partes  deben  tomar</w:t>
        <w:br/>
        <w:t xml:space="preserve">      medidas no sólo para prevenir y  castigar  la  privación  de  la  vida</w:t>
        <w:br/>
        <w:t xml:space="preserve">      [causada  por]  actos  criminales  sino  también  para  prevenir   los</w:t>
        <w:br/>
        <w:t xml:space="preserve">      homicidios  arbitrarios  [cometidos  por]  sus  propias   fuerzas   de</w:t>
        <w:br/>
        <w:t xml:space="preserve">      seguridad.  La privación de la vida por autoridades del Estado es  una</w:t>
        <w:br/>
        <w:t xml:space="preserve">      cuestión  de  suma  gravedad.   En  consecuencia,  [el  Estado]   debe</w:t>
        <w:br/>
        <w:t xml:space="preserve">      controlar y limitar estrictamente las  circunstancias  en  las  cuales</w:t>
        <w:br/>
        <w:t xml:space="preserve">      [una persona] puede ser privada de su vida por tales autoridades[23].</w:t>
        <w:br/>
        <w:br/>
        <w:br/>
        <w:t>146.  La Corte no puede dejar de señalar la especial  gravedad  que  reviste</w:t>
        <w:br/>
        <w:t>el presente caso por tratarse las víctimas de jóvenes, tres de ellos  niños,</w:t>
        <w:br/>
        <w:t>y por el hecho de que la conducta estatal  no  solamente  viola  la  expresa</w:t>
        <w:br/>
        <w:t>disposición del artículo  4  de  la  Convención  Americana,  sino  numerosos</w:t>
        <w:br/>
        <w:t>instrumentos  internacionales,  ampliamente  aceptados  por   la   comunidad</w:t>
        <w:br/>
        <w:t>internacional, que hacen recaer en el Estado el  deber  de  adoptar  medidas</w:t>
        <w:br/>
        <w:t>especiales de protección  y  asistencia  en  favor  de  los  niños  bajo  su</w:t>
        <w:br/>
        <w:t>jurisdicción (infra, párr. 191).</w:t>
        <w:br/>
        <w:br/>
        <w:t>147.  Con base en todo lo anterior, la Corte concluye que  el  Estado  violó</w:t>
        <w:br/>
        <w:t>el artículo  4  de  la  Convención  Americana  sobre  Derechos  Humanos,  en</w:t>
        <w:br/>
        <w:t>conexión con el artículo 1.1 de la misma, en  perjuicio  de  Henry  Giovanni</w:t>
        <w:br/>
        <w:t>Contreras, Federico Clemente Figueroa Túnchez, Julio Roberto Caal  Sandoval,</w:t>
        <w:br/>
        <w:t>Jovito Josué Juárez Cifuentes y Anstraum Aman Villagrán Morales.</w:t>
        <w:br/>
        <w:br/>
        <w:br/>
        <w:t xml:space="preserve">                                      X</w:t>
        <w:br/>
        <w:t xml:space="preserve">                          Violación del Artículo 5</w:t>
        <w:br/>
        <w:br/>
        <w:t xml:space="preserve">                     (Derecho a la Integridad Personal)</w:t>
        <w:br/>
        <w:br/>
        <w:t>148.  En el escrito de demanda,  la  Comisión  alegó  que  el  Estado  había</w:t>
        <w:br/>
        <w:t>violado el artículo 5 de la  Convención  Americana  en  perjuicio  de  Henry</w:t>
        <w:br/>
        <w:t>Giovanni Contreras, Federico Clemente Figueroa Túnchez, Julio  Roberto  Caal</w:t>
        <w:br/>
        <w:t>Sandoval y Jovito Josué Juárez Cifuentes como  consecuencia  de  haber  sido</w:t>
        <w:br/>
        <w:t>secuestrados por agentes  del  Estado,  quienes  “eran  responsables  de  la</w:t>
        <w:br/>
        <w:t>integridad física de las víctimas mientras estaban [bajo] su custodia”.</w:t>
        <w:br/>
        <w:br/>
        <w:t>149.  Remarcó la Comisión que por la época en que ocurrieron los  hechos  de</w:t>
        <w:br/>
        <w:t>este caso, los llamados “niños de la calle” eran sometidos a  varias  formas</w:t>
        <w:br/>
        <w:t>de “abusos y persecuciones” por parte de “agentes  de  determinadas  fuerzas</w:t>
        <w:br/>
        <w:t>de seguridad”  del  Estado,  circunstancia  que  ya  había  sido  puesta  de</w:t>
        <w:br/>
        <w:t>manifiesto por parte de  ese  organismo  interamericano  en  varios  de  sus</w:t>
        <w:br/>
        <w:t>informes.</w:t>
        <w:br/>
        <w:br/>
        <w:t>150.  Por su parte, en la oportunidad procesal de contestar la  demanda,  el</w:t>
        <w:br/>
        <w:t>Estado no esgrimió ninguna defensa relacionada con la violación del  derecho</w:t>
        <w:br/>
        <w:t>a la integridad  personal  consagrado  en  la  Convención  Americana  y,  en</w:t>
        <w:br/>
        <w:t>particular, no  controvirtió  que  las  víctimas  hubieran  sido  torturadas</w:t>
        <w:br/>
        <w:t>(supra, párrs. 67 y 68).</w:t>
        <w:br/>
        <w:br/>
        <w:t>151.  En sus alegatos finales la Comisión sostuvo  que  los  cuatro  jóvenes</w:t>
        <w:br/>
        <w:t>víctimas de tortura fueron retenidos e incomunicados, situación que  por  sí</w:t>
        <w:br/>
        <w:t>misma necesariamente produce “gran ansiedad y sufrimiento”.</w:t>
        <w:br/>
        <w:br/>
        <w:t>152.  A continuación, hizo especial  referencia  a  la  corta  edad  de  las</w:t>
        <w:br/>
        <w:t>víctimas de las torturas, dos de ellas menores, Julio Roberto Caal  Sandoval</w:t>
        <w:br/>
        <w:t>de 15 años y Jovito Josué Juárez Cifuentes de 17 años de edad,  y  al  hecho</w:t>
        <w:br/>
        <w:t>de que vivían en las calles.</w:t>
        <w:br/>
        <w:t>153.  La Comisión agregó, en esta oportunidad, que para las familias de  las</w:t>
        <w:br/>
        <w:t>víctimas las circunstancias que rodearon la muerte de estos  jóvenes  habían</w:t>
        <w:br/>
        <w:t>sido una  causa  de  sufrimiento.   La  forma  en  que  los  cuerpos  fueron</w:t>
        <w:br/>
        <w:t>abandonados y la falta de respuestas acerca de  lo  sucedido  causó  en  los</w:t>
        <w:br/>
        <w:t>familiares angustia y miedo.  A criterio de la Comisión, surge de la  prueba</w:t>
        <w:br/>
        <w:t>que las autoridades no intentaron comunicarse  con  las  familias  o  darles</w:t>
        <w:br/>
        <w:t>mayor información una vez que se iniciaron las actuaciones.</w:t>
        <w:br/>
        <w:br/>
        <w:t>154.  En sus alegatos finales el  Estado  no  se  pronunció  sobre  el  tema</w:t>
        <w:br/>
        <w:t>(supra, párrs. 67 y 68).</w:t>
        <w:br/>
        <w:br/>
        <w:t>155.  El artículo 5 de la Convención Americana establece que</w:t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degradantes. Toda persona privada de libertad será tratada</w:t>
        <w:br/>
        <w:t xml:space="preserve">      con el respecto debido a la dignidad inherente al ser humano.</w:t>
        <w:br/>
        <w:br/>
        <w:br/>
        <w:t xml:space="preserve">      […]</w:t>
        <w:br/>
        <w:br/>
        <w:t>156.  La Corte considera que debe proceder al análisis de  la  violación  de</w:t>
        <w:br/>
        <w:t>este artículo desde dos diversos ángulos.  En primer  lugar,  debe  examinar</w:t>
        <w:br/>
        <w:t>si existió o no violación del  artículo  5.1  y  5.2  en  perjuicio  de  los</w:t>
        <w:br/>
        <w:t>jóvenes Contreras, Figueroa Túnchez, Juárez Cifuentes y Caal  Sandoval.   En</w:t>
        <w:br/>
        <w:t>segundo lugar, la Corte valorará si los familiares de las  víctimas  fueron,</w:t>
        <w:br/>
        <w:t>por su parte, objeto de tratos crueles, inhumanos o degradantes.</w:t>
        <w:br/>
        <w:br/>
        <w:t>157.  Existen en el presente caso evidencias  numerosas  y  concurrentes  de</w:t>
        <w:br/>
        <w:t>que la integridad personal de los cuatro jóvenes mencionados  fue  vulnerada</w:t>
        <w:br/>
        <w:t>y de que ellos fueron víctimas de graves maltratos y de torturas  físicas  y</w:t>
        <w:br/>
        <w:t>psicológicas por parte de agentes  del  Estado  y,  más  concretamente,  por</w:t>
        <w:br/>
        <w:t>miembros de la Policía Nacional, antes de sufrir la muerte.</w:t>
        <w:br/>
        <w:br/>
        <w:t>158.  Los cuerpos de los jóvenes fueron  encontrados  sin  vida  con  marcas</w:t>
        <w:br/>
        <w:t>graves de violencia física que el Estado no ha podido  explicar.   Obran  en</w:t>
        <w:br/>
        <w:t>el expediente fotografías de las caras y los cuellos  de  los  cadáveres  de</w:t>
        <w:br/>
        <w:t>los jóvenes.  En  esas  fotografías  son  bien  visibles  diversas  heridas,</w:t>
        <w:br/>
        <w:t>incluidas las que dejaron los proyectiles que  les  causaron  la  muerte,  y</w:t>
        <w:br/>
        <w:t>otras  marcas  de  violencia  física.  Las  cuatro  autopsias  mencionan  la</w:t>
        <w:br/>
        <w:t>ubicación aproximada de las heridas de bala y en dos casos hacen  referencia</w:t>
        <w:br/>
        <w:t>a otras lesiones evidentes  en  las  fotografías,  o  localizadas  en  otras</w:t>
        <w:br/>
        <w:t>partes  de  los  cuerpos,  atribuyéndolas  genéricamente  a  “mordeduras  de</w:t>
        <w:br/>
        <w:t>animales”.  No se precisa el tamaño de las heridas, su profundidad, el  tipo</w:t>
        <w:br/>
        <w:t>de animal que pudo haberlas producido, ni la circunstancia de si  ocurrieron</w:t>
        <w:br/>
        <w:t>antes o después de las muertes.  Sobre las heridas en  los  cuerpos  de  los</w:t>
        <w:br/>
        <w:t>otros dos jóvenes no existe en las autopsias ningún tipo de explicación.</w:t>
        <w:br/>
        <w:br/>
        <w:t>159.  En un informe de  Amnistía  Internacional  incorporado  al  expediente</w:t>
        <w:br/>
        <w:t>(supra, párr. 59.c), que no fue objetado por el Estado, se señala que</w:t>
        <w:br/>
        <w:br/>
        <w:t xml:space="preserve">      los cadáveres presentaban signos de tortura: se les habían cortado las</w:t>
        <w:br/>
        <w:t xml:space="preserve">      orejas y la lengua, y se les habían quemado o  extraído  los  ojos.  A</w:t>
        <w:br/>
        <w:t xml:space="preserve">      [Caal Sandoval], además, parece que le  habían  echado  algún  líquido</w:t>
        <w:br/>
        <w:t xml:space="preserve">      hirviendo  sobre  el  pecho  y  la  barbilla.  Según  la  oficina  del</w:t>
        <w:br/>
        <w:t xml:space="preserve">      Procurador General, las mutilaciones de que  habían  sido  objeto  los</w:t>
        <w:br/>
        <w:t xml:space="preserve">      cuatro se corresponden con el trato al  que  habitualmente  somete  la</w:t>
        <w:br/>
        <w:t xml:space="preserve">      policía a los  que  informan  contra  este  cuerpo  de  seguridad.  La</w:t>
        <w:br/>
        <w:t xml:space="preserve">      mutilación de las orejas, los  ojos  y  la  lengua  significa  que  la</w:t>
        <w:br/>
        <w:t xml:space="preserve">      persona había oído, visto o hablado sobre algo inconveniente.</w:t>
        <w:br/>
        <w:br/>
        <w:t>160.  Por su parte, uno  de  los  peritos  que  intervino  ante  esta  Corte</w:t>
        <w:br/>
        <w:t>(supra, párr. 66.a) remarcó que no se tomaron fotografías de  cuerpo  entero</w:t>
        <w:br/>
        <w:t>de ninguna de las cuatro víctimas.  Sobre el daño en los ojos en  todos  los</w:t>
        <w:br/>
        <w:t>casos, el perito afirmó, basándose en  lo  que  alcanzaba  a  verse  en  las</w:t>
        <w:br/>
        <w:t>fotografías, que era producto de los disparos recibidos en  las  cabezas;  y</w:t>
        <w:br/>
        <w:t>sobre la lengua de Federico Clemente Figueroa Túnchez, la única  visible  en</w:t>
        <w:br/>
        <w:t>las fotografías, y eso que “un poco  afuera  del  foco”,  manifestó  que  no</w:t>
        <w:br/>
        <w:t>podía aseverar que hubiera  sido  mutilada  de  manera  alguna.   El  perito</w:t>
        <w:br/>
        <w:t>destacó, en relación con dos cadáveres, que “ha[bía] heridas aquí que no  se</w:t>
        <w:br/>
        <w:t>[encontraban]  en  la  necropsia  y  […que  estaban]  claramente  en   la[s]</w:t>
        <w:br/>
        <w:t>foto[grafías]”.  De otro lado, señaló  que  no  había  rastros  de  que  los</w:t>
        <w:br/>
        <w:t>jóvenes hubiesen intentado defenderse.</w:t>
        <w:br/>
        <w:br/>
        <w:t>161.  Una testigo que declaró en los procesos  internos,  cuyos  expedientes</w:t>
        <w:br/>
        <w:t>forman parte del acervo probatorio en este caso, se refirió  a  hechos  que,</w:t>
        <w:br/>
        <w:t>conjuntamente con lo declarado por otros testigos y  con  lo  que  surge  de</w:t>
        <w:br/>
        <w:t>otros documentos allegados, permiten inferir  la  existencia  de  un  patrón</w:t>
        <w:br/>
        <w:t>general de violencia en contra de los “niños de la  calle”.   Dicha  testigo</w:t>
        <w:br/>
        <w:t>describió un secuestro anterior al que constituye los  hechos  del  presente</w:t>
        <w:br/>
        <w:t>caso, del cual fue víctima junto a dos de los jóvenes cuyos  cuerpos  fueron</w:t>
        <w:br/>
        <w:t>encontrados  en  los  Bosques  de  San  Nicolás,  Juárez  Cifuentes  y  Caal</w:t>
        <w:br/>
        <w:t>Sandoval.  En su declaración narró que fueron llevados  a  un  cementerio  y</w:t>
        <w:br/>
        <w:t>proporcionó  información  sobre  los  dolorosos  maltratos  a   que   fueron</w:t>
        <w:br/>
        <w:t>sometidos (supra, párr. 59.a).</w:t>
        <w:br/>
        <w:br/>
        <w:t>162.    Debe   tenerse   presente   que   los   jóvenes   fueron   retenidos</w:t>
        <w:br/>
        <w:t>clandestinamente por sus captores entre 10 y 21  horas.   Este  lapso  medió</w:t>
        <w:br/>
        <w:t>entre dos circunstancias de extrema violencia: la aprehensión forzada  y  la</w:t>
        <w:br/>
        <w:t>muerte por impactos de arma de  fuego  en  estado  de  indefensión,  que  el</w:t>
        <w:br/>
        <w:t>Tribunal ya ha declarado probadas (supra, párr. 82).  Es razonable  inferir,</w:t>
        <w:br/>
        <w:t>aunque  no  mediaran  otras  evidencias  al  respecto,  que  el  trato   que</w:t>
        <w:br/>
        <w:t>recibieron durante esas horas fue agresivo en extremo.</w:t>
        <w:br/>
        <w:br/>
        <w:t>163.  Durante el tiempo de su retención  los  cuatro  jóvenes  permanecieron</w:t>
        <w:br/>
        <w:t>aislados del mundo exterior y seguramente estaban  conscientes  de  que  sus</w:t>
        <w:br/>
        <w:t>vidas corrían grave peligro.  Es razonable inferir que  durante  esas  horas</w:t>
        <w:br/>
        <w:t>pasaron,  por  esa  sola  circunstancia,  por  una  situación   de   extremo</w:t>
        <w:br/>
        <w:t>sufrimiento psicológico y moral.</w:t>
        <w:br/>
        <w:br/>
        <w:t>164.  Es pertinente poner de presente, al efecto,  que  la  Corte  ha  dicho</w:t>
        <w:br/>
        <w:t>anteriormente que el mero hecho de ser introducido  en  la  maletera  de  un</w:t>
        <w:br/>
        <w:t>vehículo</w:t>
        <w:br/>
        <w:br/>
        <w:t xml:space="preserve">      constituye una infracción al artículo 5 de la Convención que tutela la</w:t>
        <w:br/>
        <w:t xml:space="preserve">      integridad personal, ya que, aún cuando  no  hubiesen  existido  otros</w:t>
        <w:br/>
        <w:t xml:space="preserve">      maltratos físicos o de otra  índole,  esa  acción  por  sí  sola  debe</w:t>
        <w:br/>
        <w:t xml:space="preserve">      considerarse claramente contraria al  respeto  debido  a  la  dignidad</w:t>
        <w:br/>
        <w:t xml:space="preserve">      inherente al ser humano[24].</w:t>
        <w:br/>
        <w:br/>
        <w:t>y que en los eventos en los cuales la privación de la libertad es legítima</w:t>
        <w:br/>
        <w:br/>
        <w:t xml:space="preserve">      [u]na de las razones por las cuales  la  incomunicación  es  concebida</w:t>
        <w:br/>
        <w:t xml:space="preserve">      como un instrumento excepcional es por los graves  efectos  que  tiene</w:t>
        <w:br/>
        <w:t xml:space="preserve">      sobre el detenido.  En  efecto,  el  aislamiento  del  mundo  exterior</w:t>
        <w:br/>
        <w:t xml:space="preserve">      produce en cualquier persona  sufrimientos  morales  y  perturbaciones</w:t>
        <w:br/>
        <w:t xml:space="preserve">      psíquicas, la coloca en una situación de particular  vulnerabilidad  y</w:t>
        <w:br/>
        <w:t xml:space="preserve">      acrecienta el riesgo de agresión y arbitrariedad en las cárceles.[25].</w:t>
        <w:br/>
        <w:br/>
        <w:t>165.  En sentido similar, la Corte Europea ha sostenido que la mera  amenaza</w:t>
        <w:br/>
        <w:t>de  una  conducta  prohibida  por  el  precepto  de  la  Convención  Europea</w:t>
        <w:br/>
        <w:t>(artículo 3), correspondiente al artículo  5  de  la  Convención  Americana,</w:t>
        <w:br/>
        <w:t>cuando sea suficientemente real e inminente, puede  en  sí  misma  estar  en</w:t>
        <w:br/>
        <w:t>conflicto con la norma de que  se  trata.   En  otras  palabras:  crear  una</w:t>
        <w:br/>
        <w:t>situación amenazadora  o  amenazar  a  un  individuo  con  torturarlo  puede</w:t>
        <w:br/>
        <w:t>constituir, en algunas circunstancias, al menos, tratamiento inhumano[26].</w:t>
        <w:br/>
        <w:br/>
        <w:t>166.  Merece advertirse asimismo que, como ya lo  ha  dicho  este  Tribunal,</w:t>
        <w:br/>
        <w:t>una persona ilegalmente detenida (supra, párr.  134)  se  encuentra  en  una</w:t>
        <w:br/>
        <w:t>situación agravada de vulnerabilidad, de la cual surge un riesgo  cierto  de</w:t>
        <w:br/>
        <w:t>que se le vulneren otros derechos, como el derecho a la integridad física  y</w:t>
        <w:br/>
        <w:t>a ser tratada con dignidad[27].</w:t>
        <w:br/>
        <w:br/>
        <w:t>167.  Por último, de los documentos y testimonios que  obran  en  el  acervo</w:t>
        <w:br/>
        <w:t>probatorio resulta evidente, como ya se ha afirmado, que los hechos de  este</w:t>
        <w:br/>
        <w:t>caso se produjeron en un contexto de mucha  violencia  contra  los  niños  y</w:t>
        <w:br/>
        <w:t>jóvenes que vivían en las calles (supra, párr. 79), violencia  que  incluía,</w:t>
        <w:br/>
        <w:t>como un componente muy  frecuente,  diversas  formas  de  torturas  y  malos</w:t>
        <w:br/>
        <w:t>tratos[28].</w:t>
        <w:br/>
        <w:br/>
        <w:t>168.  Sustentado el hecho de que la integridad  física  y  psíquica  de  los</w:t>
        <w:br/>
        <w:t>jóvenes Contreras, Figueroa Túnchez, Caal Sandoval y  Juárez  Cifuentes  fue</w:t>
        <w:br/>
        <w:t>vulnerada y de que  éstos  fueron  víctimas  de  malos  tratos  y  torturas,</w:t>
        <w:br/>
        <w:t>procede la Corte a definir lo relativo a la imputación de responsabilidad.</w:t>
        <w:br/>
        <w:br/>
        <w:t>169.  La Corte estima que los malos tratos  y  torturas  fueron  practicados</w:t>
        <w:br/>
        <w:t>por las mismas personas que secuestraron y dieron muerte a los jóvenes.   La</w:t>
        <w:br/>
        <w:t>Corte al haber establecido que los responsables de estas  últimas  conductas</w:t>
        <w:br/>
        <w:t>eran miembros de la Policía Nacional (supra, párrs. 128 y 142) es  del  caso</w:t>
        <w:br/>
        <w:t>concluir que los autores de los malos tratos y torturas  que  se  produjeron</w:t>
        <w:br/>
        <w:t>en el lapso que medió entre la captura  y  la  muerte,  fueron  agentes  del</w:t>
        <w:br/>
        <w:t>Estado, ya  se  trate  de  los  investigados  y  acusados  en  los  procesos</w:t>
        <w:br/>
        <w:t>internos, o de otros.</w:t>
        <w:br/>
        <w:br/>
        <w:t>170.  Debe tenerse en cuenta, al respecto, la presunción establecida por  la</w:t>
        <w:br/>
        <w:t>Corte Europea al considerar responsable al Estado por los malos  tratos  que</w:t>
        <w:br/>
        <w:t>exhibe una persona que ha estado bajo la custodia de agentes  estatales,  si</w:t>
        <w:br/>
        <w:t>las autoridades son incapaces de demostrar que estos agentes no  incurrieron</w:t>
        <w:br/>
        <w:t>en tales conductas[29].</w:t>
        <w:br/>
        <w:br/>
        <w:t>171.  La  Comisión  señaló,  en  sus  alegatos  finales  escritos,  que  las</w:t>
        <w:br/>
        <w:t>circunstancias de la muerte de las víctimas, así como la falta de  actuación</w:t>
        <w:br/>
        <w:t>del Estado, habían provocado en los familiares de  las  mismas  “angustia  y</w:t>
        <w:br/>
        <w:t>también considerable temor”.  La Corte considera que el hecho  de  que  este</w:t>
        <w:br/>
        <w:t>punto haya sido planteado tan sólo en los alegatos finales, no  impide,  per</w:t>
        <w:br/>
        <w:t>se, el examen y decisión sobre el mismo.</w:t>
        <w:br/>
        <w:br/>
        <w:t>172.  De las constancias de autos y, en particular, de las declaraciones  de</w:t>
        <w:br/>
        <w:t>testigos que intervinieron en los procesos internos y  ante  este  Tribunal,</w:t>
        <w:br/>
        <w:t>se colige que:</w:t>
        <w:br/>
        <w:br/>
        <w:t xml:space="preserve">         * Matilde Reyna Morales García, madre de Anstraum  Aman  Villagrán</w:t>
        <w:br/>
        <w:t xml:space="preserve">           Morales, se enteró de su muerte a través de su hija Lorena y  el</w:t>
        <w:br/>
        <w:t xml:space="preserve">           cadáver de su hijo no había sido reconocido hasta  que  ella  se</w:t>
        <w:br/>
        <w:t xml:space="preserve">           hizo presente en la morgue.  Pudo darle sepultura el día  27  de</w:t>
        <w:br/>
        <w:t xml:space="preserve">           junio de 1990.  Al momento de los hechos,  estaba  embarazada  y</w:t>
        <w:br/>
        <w:t xml:space="preserve">           temía por su vida y por la de sus otros hijos, aunque  negó  que</w:t>
        <w:br/>
        <w:t xml:space="preserve">           alguna vez la hubieran amenazado.  Asimismo, afirmó  que  no  ha</w:t>
        <w:br/>
        <w:t xml:space="preserve">           recibido información oficial sobre el caso;</w:t>
        <w:br/>
        <w:br/>
        <w:br/>
        <w:t xml:space="preserve">         * Ana María Contreras, madre de Henry Giovanni Contreras, supo  de</w:t>
        <w:br/>
        <w:t xml:space="preserve">           la muerte de su hijo unos 15 días  después  de  ocurrida  porque</w:t>
        <w:br/>
        <w:t xml:space="preserve">           salió a buscarlo con una fotografía. Cuando se enteró, el  joven</w:t>
        <w:br/>
        <w:t xml:space="preserve">           ya había sido enterrado como XX; en ese momento comenzó a  hacer</w:t>
        <w:br/>
        <w:t xml:space="preserve">           los trámites de exhumación pero “estaba un poco  enferma  de  la</w:t>
        <w:br/>
        <w:t xml:space="preserve">           cabeza y luego empe[zó] a empeorar” (supra,  párr.  65.a)  y  no</w:t>
        <w:br/>
        <w:t xml:space="preserve">           pudo concluirlos.  Sufrió una parálisis facial por la que  debió</w:t>
        <w:br/>
        <w:t xml:space="preserve">           permanecer  internada  durante  un  año,   perdiéndolo   “todo”.</w:t>
        <w:br/>
        <w:t xml:space="preserve">           Aseguró que fue amenazada mediante una carta anónima en  la  que</w:t>
        <w:br/>
        <w:t xml:space="preserve">           le aconsejaban “que dejara las  cosas  como  estaban”.   También</w:t>
        <w:br/>
        <w:t xml:space="preserve">           manifestó que no le informaron oficialmente sobre el  desarrollo</w:t>
        <w:br/>
        <w:t xml:space="preserve">           de las actuaciones judiciales;</w:t>
        <w:br/>
        <w:br/>
        <w:br/>
        <w:t xml:space="preserve">         * Rosa Carlota Sandoval, madre de  Julio  Roberto  Caal  Sandoval,</w:t>
        <w:br/>
        <w:t xml:space="preserve">           tuvo conocimiento de lo ocurrido ocho días después de los hechos</w:t>
        <w:br/>
        <w:t xml:space="preserve">           a través de la versión de  otros  dos  menores.   Consta  en  el</w:t>
        <w:br/>
        <w:t xml:space="preserve">           expediente que  la  señora  Sandoval  realizó  los  trámites  de</w:t>
        <w:br/>
        <w:t xml:space="preserve">           exhumación pertinentes,  ya  que  su  hijo  también  había  sido</w:t>
        <w:br/>
        <w:t xml:space="preserve">           enterrado como XX, y que fue acusadora privada en el caso  hasta</w:t>
        <w:br/>
        <w:t xml:space="preserve">           que falleció el  25  de  julio  de  1991.   Julio  Roberto  Caal</w:t>
        <w:br/>
        <w:t xml:space="preserve">           Sandoval solía vivir con su abuela, Margarita  Sandoval  Urbina,</w:t>
        <w:br/>
        <w:t xml:space="preserve">           quien también participó en los procesos internos;</w:t>
        <w:br/>
        <w:br/>
        <w:br/>
        <w:t xml:space="preserve">         * Marta  Isabel  Túnchez  Palencia,  madre  de  Federico  Clemente</w:t>
        <w:br/>
        <w:t xml:space="preserve">           Figueroa Túnchez, se enteró del secuestro de  su  hijo  por  los</w:t>
        <w:br/>
        <w:t xml:space="preserve">           dichos de dos menores, el mismo 15 de junio. El 18 de  junio  de</w:t>
        <w:br/>
        <w:t xml:space="preserve">           1990 supo, a través de la  prensa,  que  varios  menores  habían</w:t>
        <w:br/>
        <w:t xml:space="preserve">           aparecido muertos y se presentó en el Gabinete de Identificación</w:t>
        <w:br/>
        <w:t xml:space="preserve">           de  la  Policía  Nacional  para   realizar   el   reconocimiento</w:t>
        <w:br/>
        <w:t xml:space="preserve">           respectivo;</w:t>
        <w:br/>
        <w:br/>
        <w:br/>
        <w:t xml:space="preserve">         * no hay constancias en autos sobre diligencias que pudieran haber</w:t>
        <w:br/>
        <w:t xml:space="preserve">           realizado los familiares de Jovito Josué Juárez Cifuentes.</w:t>
        <w:br/>
        <w:br/>
        <w:t>173.  Es evidente, asimismo,  que  las  autoridades  nacionales  no  tomaron</w:t>
        <w:br/>
        <w:t>providencias para establecer  la  identidad  de  las  víctimas,  las  cuales</w:t>
        <w:br/>
        <w:t>permanecieron registradas como XX hasta que sus familiares se apersonaron  a</w:t>
        <w:br/>
        <w:t>reconocerlos, a pesar de que tres de los jóvenes (Henry Giovanni  Contreras,</w:t>
        <w:br/>
        <w:t>Federico Clemente Figueroa Túnchez y Jovito Josué Juárez  Cifuentes)  tenían</w:t>
        <w:br/>
        <w:t>antecedentes penales consignados  en  los  “archivos  delincuenciales”.   La</w:t>
        <w:br/>
        <w:t>negligencia por parte del Estado así puesta de manifiesto, debe  sumarse  al</w:t>
        <w:br/>
        <w:t>hecho de que las autoridades no hicieron esfuerzos adecuados para  localizar</w:t>
        <w:br/>
        <w:t>a los parientes inmediatos  de  las  víctimas,  notificarles  la  muerte  de</w:t>
        <w:br/>
        <w:t>éstas, entregarles los cadáveres  y  proporcionarles  información  sobre  el</w:t>
        <w:br/>
        <w:t>desarrollo de las investigaciones.  El conjunto de esas  omisiones  postergó</w:t>
        <w:br/>
        <w:t>y, en algunos casos, negó a los familiares  la  oportunidad  de  dar  a  los</w:t>
        <w:br/>
        <w:t>jóvenes una sepultura acorde con sus tradiciones,  valores  o  creencias  y,</w:t>
        <w:br/>
        <w:t>por  lo  tanto,  intensificó  sus  sufrimientos.   A  ello  se   agrega   el</w:t>
        <w:br/>
        <w:t>sentimiento de inseguridad e impotencia que le causó  a  esos  parientes  la</w:t>
        <w:br/>
        <w:t>abstención de  las  autoridades  públicas  en  investigar  a  cabalidad  los</w:t>
        <w:br/>
        <w:t>correspondientes delitos y castigar a sus responsables.</w:t>
        <w:br/>
        <w:br/>
        <w:t>174.  La Corte debe destacar entre las conductas de  los  agentes  estatales</w:t>
        <w:br/>
        <w:t>que intervinieron en los hechos del caso y que produjeron un  impacto  sobre</w:t>
        <w:br/>
        <w:t>sus familiares, la correspondiente al tratamiento que se dio a  los  cuerpos</w:t>
        <w:br/>
        <w:t>de los jóvenes cuyos cadáveres aparecieron en los Bosques  de  San  Nicolás,</w:t>
        <w:br/>
        <w:t>Henry Giovanni Contreras, Federico Clemente Figueroa Túnchez, Julio  Roberto</w:t>
        <w:br/>
        <w:t>Caal Sandoval y Jovito Josué  Juárez  Cifuentes.   Estas  personas  no  sólo</w:t>
        <w:br/>
        <w:t>fueron víctimas de la violencia extrema  correspondiente  a  su  eliminación</w:t>
        <w:br/>
        <w:t>física, sino que, además,  sus  cuerpos  fueron  abandonados  en  un  paraje</w:t>
        <w:br/>
        <w:t>deshabitado, quedaron expuestos a  las  inclemencias  del  tiempo   y  a  la</w:t>
        <w:br/>
        <w:t>acción de los animales y  hubieran  podido  permanecer  así  durante  varios</w:t>
        <w:br/>
        <w:t>días, si no hubieran sido encontrados fortuitamente.  En el  presente  caso,</w:t>
        <w:br/>
        <w:t>es evidente que el tratamiento que se dio a los restos de las víctimas,  que</w:t>
        <w:br/>
        <w:t>eran sagrados para sus deudos y, en particular, para sus madres,  constituyó</w:t>
        <w:br/>
        <w:t>para éstas un trato cruel e inhumano.</w:t>
        <w:br/>
        <w:br/>
        <w:t>175.  En un caso reciente, ha sostenido la Corte que</w:t>
        <w:br/>
        <w:br/>
        <w:t xml:space="preserve">      la incineración de los restos mortales del señor Nicholas Blake,  para</w:t>
        <w:br/>
        <w:t xml:space="preserve">      destruir todo rastro que pudiera revelar su  paradero,  atenta  contra</w:t>
        <w:br/>
        <w:t xml:space="preserve">      los valores culturales, prevalecientes en  la  sociedad  guatemalteca,</w:t>
        <w:br/>
        <w:t xml:space="preserve">      transmitidos de generación a generación, en cuanto al respeto debido a</w:t>
        <w:br/>
        <w:t xml:space="preserve">      los  muertos.  [Esta  acción]  intensificó  el  sufrimiento   de   los</w:t>
        <w:br/>
        <w:t xml:space="preserve">      familiares del señor Nicholas Blake[30].</w:t>
        <w:br/>
        <w:br/>
        <w:t>176.  La Corte Europea  ha  tenido  oportunidad  de  pronunciarse  sobre  la</w:t>
        <w:br/>
        <w:t>condición de víctima de tratamientos inhumanos y degradantes  de  una  madre</w:t>
        <w:br/>
        <w:t>como resultado de la detención y desaparición de su  hijo  a  manos  de  las</w:t>
        <w:br/>
        <w:t>autoridades.  Para determinar si se había violado o no el artículo 3  de  la</w:t>
        <w:br/>
        <w:t>Convención  Europea,  correspondiente  al  artículo  5  de   la   Convención</w:t>
        <w:br/>
        <w:t>Americana, la Corte Europea ha valorado  las  circunstancias  del  caso,  la</w:t>
        <w:br/>
        <w:t>gravedad del maltrato y el hecho de no contar con información  oficial  para</w:t>
        <w:br/>
        <w:t>esclarecer el mismo.  En virtud de esas consideraciones y de que se  trataba</w:t>
        <w:br/>
        <w:t>de la madre de la víctima de una violación de  derechos  humanos,  la  Corte</w:t>
        <w:br/>
        <w:t>Europea concluyó que también ella había sido víctima y  que  el  Estado  era</w:t>
        <w:br/>
        <w:t>responsable de la violación del artículo 3 mencionado[31].</w:t>
        <w:br/>
        <w:br/>
        <w:t>177.  En virtud de todo lo expuesto, la Corte concluye que el  Estado  violó</w:t>
        <w:br/>
        <w:t>el artículo 5.1 y 5.2 de la Convención Americana sobre Derechos Humanos,  en</w:t>
        <w:br/>
        <w:t>conexión con el artículo 1.1 de la misma, en  perjuicio  de  Henry  Giovanni</w:t>
        <w:br/>
        <w:t>Contreras,  Federico  Clemente  Figueroa  Túnchez,   Jovito   Josué   Juárez</w:t>
        <w:br/>
        <w:t>Cifuentes y Julio Roberto Caal Sandoval, y  violó  el  artículo  5.2  de  la</w:t>
        <w:br/>
        <w:t>Convención, en conexión con el artículo 1.1 de la  misma,  en  perjuicio  de</w:t>
        <w:br/>
        <w:t>las ascendientes de los mismos, Ana María Contreras, Matilde  Reyna  Morales</w:t>
        <w:br/>
        <w:t>García, Rosa Carlota  Sandoval,  Margarita  Sandoval  Urbina,  Marta  Isabel</w:t>
        <w:br/>
        <w:t>Túnchez Palencia y Noemí Cifuentes.</w:t>
        <w:br/>
        <w:br/>
        <w:br/>
        <w:br/>
        <w:br/>
        <w:br/>
        <w:br/>
        <w:br/>
        <w:t xml:space="preserve">                                     XI</w:t>
        <w:br/>
        <w:br/>
        <w:t xml:space="preserve">                          Violación del Artículo 19</w:t>
        <w:br/>
        <w:br/>
        <w:t xml:space="preserve">                             (Derechos del Niño)</w:t>
        <w:br/>
        <w:br/>
        <w:t>178.  La Comisión alegó  en  la  demanda  que  Guatemala  había  violado  el</w:t>
        <w:br/>
        <w:t>artículo 19 de la Convención Americana al omitir tomar medidas adecuadas  de</w:t>
        <w:br/>
        <w:t>prevención y protección en favor de  Julio  Roberto  Caal  Sandoval,  de  15</w:t>
        <w:br/>
        <w:t>años, Jovito Josué Juárez Cifuentes, de 17 años, y Anstraum  Aman  Villagrán</w:t>
        <w:br/>
        <w:t>Morales, también de 17 años de edad.</w:t>
        <w:br/>
        <w:br/>
        <w:t>179.  La Comisión sostuvo que los delitos cometidos  contra  dichos  menores</w:t>
        <w:br/>
        <w:t>“constituye[n] un ejemplo de las graves violaciones de derechos  humanos  de</w:t>
        <w:br/>
        <w:t>que fueron objeto niños de la calle guatemaltecos en el  período  de  tiempo</w:t>
        <w:br/>
        <w:t>de que se trata en la denuncia de este caso”.</w:t>
        <w:br/>
        <w:br/>
        <w:t>180.  A lo anteriormente expuesto se suma, en opinión  de  la  Comisión,  el</w:t>
        <w:br/>
        <w:t>“grave riesgo para el desarrollo e inclusive para la  vida  […]  mism[a]”  a</w:t>
        <w:br/>
        <w:t>que se ven expuestos los “niños de la calle” por su abandono  y  marginación</w:t>
        <w:br/>
        <w:t>por la sociedad, situación que “se ve  agravada  en  algunos  casos  por  la</w:t>
        <w:br/>
        <w:t>exterminación y la tortura de que son objeto menores por escuadrones  de  la</w:t>
        <w:br/>
        <w:t>muerte y por la Policía misma”.</w:t>
        <w:br/>
        <w:br/>
        <w:t>181.  Estimó, en  particular,  la  Comisión,  que  el  Estado  omitió  tomar</w:t>
        <w:br/>
        <w:t>medidas destinadas a “salvaguardar la formación y la vida de las  víctimas”,</w:t>
        <w:br/>
        <w:t>a investigar y poner fin a los abusos, a castigar a los  responsables,  y  a</w:t>
        <w:br/>
        <w:t>“capacitar e imponer adecuadas medidas  disciplinarias  y  sanciones  a  sus</w:t>
        <w:br/>
        <w:t>agentes”.  Todo ello a pesar de tener conocimiento,  a  partir  de  informes</w:t>
        <w:br/>
        <w:t>presentados al Estado por parte de varios organismos  internacionales  y  de</w:t>
        <w:br/>
        <w:t>denuncias realizadas por  organizaciones  no  gubernamentales,  de  que  los</w:t>
        <w:br/>
        <w:t>“niños de la calle” eran objeto de actos  de  violencia,  especialmente  por</w:t>
        <w:br/>
        <w:t>parte de miembros de la policía.</w:t>
        <w:br/>
        <w:br/>
        <w:t>182.  En la contestación de demanda, el Estado guardó  silencio  sobre  este</w:t>
        <w:br/>
        <w:t>punto (supra, párrs. 67 y 68).</w:t>
        <w:br/>
        <w:br/>
        <w:t>183.  En sus alegatos finales, la Comisión señaló  que  Guatemala  firmó  la</w:t>
        <w:br/>
        <w:t>Convención de las Naciones Unidas sobre los Derechos del Niño  (en  adelante</w:t>
        <w:br/>
        <w:t>“Convención sobre los Derechos del Niño”) el 26 de enero de 1990 y  depositó</w:t>
        <w:br/>
        <w:t>el respectivo instrumento de ratificación  el  9  de  junio  de  1990  -esta</w:t>
        <w:br/>
        <w:t>Convención entró en vigor  el  2  de  septiembre  de  1990[32]-.   En  1995,</w:t>
        <w:br/>
        <w:t>durante el desarrollo de las audiencias ante el Comité de los  Derechos  del</w:t>
        <w:br/>
        <w:t>Niño, órgano de supervisión creado por dicha Convención, Guatemala  presentó</w:t>
        <w:br/>
        <w:t>un informe en el que manifestó que “podría sólo  informar  de  la  situación</w:t>
        <w:br/>
        <w:t>[de los “niños de la calle”] desde 1994” y agregó que “aunque el  número  de</w:t>
        <w:br/>
        <w:t>quejas relativas a brutalidades policiales sufridas  por  los  niños  de  la</w:t>
        <w:br/>
        <w:t>calle ha[bía] disminuido, el problema no ha[bía] sido resuelto y el  aparato</w:t>
        <w:br/>
        <w:t>policial no ha[bía] sido  completamente  reestructurado”.   Además,  expresó</w:t>
        <w:br/>
        <w:t>que existía en ese país “una cultura violenta y ‘que la policía  no  recibía</w:t>
        <w:br/>
        <w:t>entrenamiento  para  tratar  a  estos  niños’”.   Por  último,   el   Estado</w:t>
        <w:br/>
        <w:t>“reconoció que en los primeros tres meses de  1996,  84  niños  habían  sido</w:t>
        <w:br/>
        <w:t>asesinados y que de acuerdo a la información  disponible  había  sólo  siete</w:t>
        <w:br/>
        <w:t>[condenas]”.  La Comisión aseveró que esta declaración  constituyó  un  acto</w:t>
        <w:br/>
        <w:t>unilateral  de  reconocimiento  de  hechos   que   generan   responsabilidad</w:t>
        <w:br/>
        <w:t>internacional.</w:t>
        <w:br/>
        <w:br/>
        <w:t>184.  La Comisión describió a los tres niños víctimas de los hechos de  este</w:t>
        <w:br/>
        <w:t>caso como personas que vivían en condiciones socioeconómicas  extremadamente</w:t>
        <w:br/>
        <w:t>precarias y que luchaban por sobrevivir solos y temerosos  en  una  sociedad</w:t>
        <w:br/>
        <w:t>que no los acogía, sino que los excluía.  Además afirmó que, como el  Estado</w:t>
        <w:br/>
        <w:t>se abstuvo de  tomar  medidas  de  investigación  efectivas  y  perseguir  y</w:t>
        <w:br/>
        <w:t>castigar a los responsables, exacerbó el riesgo de violaciones  de  derechos</w:t>
        <w:br/>
        <w:t>en perjuicio de los “niños de la calle” en general  y  de  las  víctimas  de</w:t>
        <w:br/>
        <w:t>este caso en particular.</w:t>
        <w:br/>
        <w:br/>
        <w:t>185.  La Comisión sostuvo que  la  razón  de  ser  del  artículo  19  de  la</w:t>
        <w:br/>
        <w:t>Convención radica en la vulnerabilidad de los  niños  y  en  su  incapacidad</w:t>
        <w:br/>
        <w:t>para asegurar por sí mismos el respeto de sus derechos.  Igualmente,  afirmó</w:t>
        <w:br/>
        <w:t>que  mientras  que  las   consecuentes   responsabilidades   de   protección</w:t>
        <w:br/>
        <w:t>corresponden en principio a la familia, en el caso de  niños  en  riesgo  se</w:t>
        <w:br/>
        <w:t>requieren medidas que emanen del  Estado.   Según  la  Comisión  este  deber</w:t>
        <w:br/>
        <w:t>estatal  especial  abarca  el  amparo  de  una  amplia  gama  de  intereses,</w:t>
        <w:br/>
        <w:t>sociales, económicos, civiles y políticos, del niño.</w:t>
        <w:br/>
        <w:br/>
        <w:t>186.  El Estado no se pronunció  sobre  el  tema  en  los  alegatos  finales</w:t>
        <w:br/>
        <w:t>(supra, párrs. 67 y 68).</w:t>
        <w:br/>
        <w:br/>
        <w:t>187.  El artículo 19 de la  Convención  establece  que  “[t]odo  niño  tiene</w:t>
        <w:br/>
        <w:t>derecho a las medidas de protección que su condición de menor requieren  por</w:t>
        <w:br/>
        <w:t>parte de su familia, de la sociedad y del Estado”.</w:t>
        <w:br/>
        <w:br/>
        <w:t>188.  El artículo 19 de la Convención Americana no define  qué  se  entiende</w:t>
        <w:br/>
        <w:t>como “niño”.  Por su parte, la Convención sobre Derechos del Niño  considera</w:t>
        <w:br/>
        <w:t>como tal (artículo 1) a todo ser humano que no haya cumplido  los  18  años,</w:t>
        <w:br/>
        <w:t>“salvo que, en virtud de la ley que le sea aplicable, haya  alcanzado  antes</w:t>
        <w:br/>
        <w:t>la mayoría  de  edad”.   De  conformidad  con  la  legislación  guatemalteca</w:t>
        <w:br/>
        <w:t>vigente para la época en  que  ocurrieron  los  hechos  del  presente  caso,</w:t>
        <w:br/>
        <w:t>igualmente eran menores, quienes no habían cumplido los  18  años  de  edad.</w:t>
        <w:br/>
        <w:t>Según  esos  criterios  sólo  tres  de  las  víctimas,  Julio  Roberto  Caal</w:t>
        <w:br/>
        <w:t>Sandoval, Jovito  Josué  Juárez  Cifuentes  y  Anstraum  Villagrán  Morales,</w:t>
        <w:br/>
        <w:t>tenían la condición de  niños.   Sin  embargo,  la  Corte  emplea,  en  esta</w:t>
        <w:br/>
        <w:t>sentencia, la expresión coloquial “niños de la calle”, para referirse a  las</w:t>
        <w:br/>
        <w:t>cinco víctimas en el presente caso, que vivían en las calles,  en  situación</w:t>
        <w:br/>
        <w:t>de riesgo.</w:t>
        <w:br/>
        <w:br/>
        <w:t>189.  La Corte también ha reconocido como hecho público y notorio, en  esta</w:t>
        <w:br/>
        <w:t>misma sentencia, que para la  época  de  los  sucesos  que  constituyen  la</w:t>
        <w:br/>
        <w:t>materia de este caso, existía en  Guatemala  una  práctica  sistemática  de</w:t>
        <w:br/>
        <w:t>agresiones en contra de los “niños de la calle”, ejercida por  miembros  de</w:t>
        <w:br/>
        <w:t>las  fuerzas  de   seguridad   del   Estado,   que   comprendía   amenazas,</w:t>
        <w:br/>
        <w:t>persecuciones,  torturas,  desapariciones  forzadas  y  homicidios  (supra,</w:t>
        <w:br/>
        <w:t>párrs. 59.c y 79).</w:t>
        <w:br/>
        <w:br/>
        <w:t>190.  La Corte, al considerar los diversos informes  sobre  la  problemática</w:t>
        <w:br/>
        <w:t>de  los  “niños  de  la  calle”  en  Guatemala,  y  las  características   y</w:t>
        <w:br/>
        <w:t>circunstancias del presente caso, estima que los hechos que  culminaron  con</w:t>
        <w:br/>
        <w:t>la muerte de  los  menores  Caal  Sandoval,  Juárez  Cifuentes  y  Villagrán</w:t>
        <w:br/>
        <w:t>Morales se vinculan con el patrón de violencia contra “niños  de  la  calle”</w:t>
        <w:br/>
        <w:t>en Guatemala, vigente en el período en que ocurrieron esos hechos.</w:t>
        <w:br/>
        <w:br/>
        <w:t>191.  A la luz del artículo 19 de la  Convención  Americana  la  Corte  debe</w:t>
        <w:br/>
        <w:t>constatar la especial gravedad que reviste el  que  pueda  atribuirse  a  un</w:t>
        <w:br/>
        <w:t>Estado Parte en dicha Convención el cargo de haber aplicado  o  tolerado  en</w:t>
        <w:br/>
        <w:t>su territorio  una  práctica  sistemática  de  violencia  contra   niños  en</w:t>
        <w:br/>
        <w:t>situación de riesgo. Cuando  los  Estados  violan,  en  esos  términos,  los</w:t>
        <w:br/>
        <w:t>derechos de los niños en situación de riesgo, como los “niños de la  calle”,</w:t>
        <w:br/>
        <w:t>los hacen víctimas de una doble agresión.  En primer lugar, los  Estados  no</w:t>
        <w:br/>
        <w:t>evitan que sean lanzados a la  miseria,  privándolos  así  de  unas  mínimas</w:t>
        <w:br/>
        <w:t>condiciones de vida digna e impidiéndoles el “pleno y  armonioso  desarrollo</w:t>
        <w:br/>
        <w:t>de su personalidad”[33], a pesar de que todo niño tiene  derecho  a  alentar</w:t>
        <w:br/>
        <w:t>un proyecto de vida que  debe  ser  cuidado  y  fomentado  por  los  poderes</w:t>
        <w:br/>
        <w:t>públicos para que se desarrolle en su beneficio y en el de la sociedad a  la</w:t>
        <w:br/>
        <w:t>que pertenece.  En segundo  lugar,  atentan  contra  su  integridad  física,</w:t>
        <w:br/>
        <w:t>psíquica y moral, y hasta contra su propia vida.</w:t>
        <w:br/>
        <w:br/>
        <w:t>192.  Esta Corte ha dicho que “al dar interpretación a un  tratado  no  sólo</w:t>
        <w:br/>
        <w:t>se toman en cuenta los acuerdos e instrumentos formalmente relacionados  con</w:t>
        <w:br/>
        <w:t>éste (inciso segundo del artículo  31  de  la  Convención  de  Viena),  sino</w:t>
        <w:br/>
        <w:t>también el sistema dentro del cual se inscribe (inciso tercero del  artículo</w:t>
        <w:br/>
        <w:t>31)”[34].  De conformidad con esta postura, la  Corte  también  ha  afirmado</w:t>
        <w:br/>
        <w:t>que</w:t>
        <w:br/>
        <w:br/>
        <w:t xml:space="preserve">      a manera  de  interpretación  autorizada,  los  Estados  miembros  han</w:t>
        <w:br/>
        <w:t xml:space="preserve">      entendido que [la Declaración Americana] contiene  y  define  aquellos</w:t>
        <w:br/>
        <w:t xml:space="preserve">      derechos humanos esenciales a los que la Carta [de la Organización] se</w:t>
        <w:br/>
        <w:t xml:space="preserve">      refiere, de manera que no se puede interpretar y aplicar [esta última]</w:t>
        <w:br/>
        <w:t xml:space="preserve">      en materia de derechos humanos, sin integrar las normas pertinentes en</w:t>
        <w:br/>
        <w:t xml:space="preserve">      ella con las correspondientes disposiciones de la Declaración[35].</w:t>
        <w:br/>
        <w:br/>
        <w:t>193.  El Tribunal ha  señalado  anteriormente  que  esta  orientación  tiene</w:t>
        <w:br/>
        <w:t>particular  importancia  para  el  Derecho  Internacional  de  los  Derechos</w:t>
        <w:br/>
        <w:t>Humanos, el que  ha  avanzado  sustancialmente  mediante  la  interpretación</w:t>
        <w:br/>
        <w:t>evolutiva de los  instrumentos  internacionales  de  protección.   Sobre  el</w:t>
        <w:br/>
        <w:t>particular, esta Corte ha entendido que</w:t>
        <w:br/>
        <w:br/>
        <w:t xml:space="preserve">      [t]al interpretación evolutiva es consecuente con las reglas generales</w:t>
        <w:br/>
        <w:t xml:space="preserve">      de interpretación de los tratados  consagradas  en  la  Convención  de</w:t>
        <w:br/>
        <w:t xml:space="preserve">      Viena de 1969. Tanto esta Corte […] como la Corte Europea  [...],  han</w:t>
        <w:br/>
        <w:t xml:space="preserve">      señalado que los tratados de derechos humanos son instrumentos  vivos,</w:t>
        <w:br/>
        <w:t xml:space="preserve">      cuya interpretación tiene que acompañar la evolución de los tiempos  y</w:t>
        <w:br/>
        <w:t xml:space="preserve">      las condiciones de vida actuales.[36]</w:t>
        <w:br/>
        <w:br/>
        <w:t>194.  Tanto la Convención Americana como la Convención  sobre  los  Derechos</w:t>
        <w:br/>
        <w:t>del Niño forman parte de un muy comprensivo corpus  juris  internacional  de</w:t>
        <w:br/>
        <w:t>protección de los  niños  que  debe  servir  a  esta  Corte  para  fijar  el</w:t>
        <w:br/>
        <w:t>contenido y los alcances de la disposición general definida en  el  artículo</w:t>
        <w:br/>
        <w:t>19 de la Convención Americana.</w:t>
        <w:br/>
        <w:br/>
        <w:t>195.   La  Convención  sobre  los  Derechos  del  Niño   contiene   diversas</w:t>
        <w:br/>
        <w:t>disposiciones que guardan relación con la situación  de  los  “niños  de  la</w:t>
        <w:br/>
        <w:t>calle” que se examina en este caso y pueden arrojar luz, en conexión con  el</w:t>
        <w:br/>
        <w:t>artículo 19 de la Convención Americana, sobre  la  conducta  que  el  Estado</w:t>
        <w:br/>
        <w:t>debió haber observado ante la misma.  Dichas disposiciones  son  transcritas</w:t>
        <w:br/>
        <w:t>a continuación:</w:t>
        <w:br/>
        <w:br/>
        <w:t xml:space="preserve">                                 ARTICULO 2</w:t>
        <w:br/>
        <w:br/>
        <w:br/>
        <w:t xml:space="preserve">      1.    Los Estados Partes respetarán  los  derechos  enunciados  en  la</w:t>
        <w:br/>
        <w:t xml:space="preserve">      presente Convención y asegurarán su aplicación a cada niño sujeto a su</w:t>
        <w:br/>
        <w:t xml:space="preserve">      jurisdicción, sin distinción alguna, independientemente de la raza, el</w:t>
        <w:br/>
        <w:t xml:space="preserve">      color, el sexo, el idioma, la religión, la opinión política o de  otra</w:t>
        <w:br/>
        <w:t xml:space="preserve">      índole, el origen nacional, étnico o social,  la  posición  económica,</w:t>
        <w:br/>
        <w:t xml:space="preserve">      los impedimentos físicos, el nacimiento o cualquier otra condición del</w:t>
        <w:br/>
        <w:t xml:space="preserve">      niño, de sus padres o de sus representantes legales.</w:t>
        <w:br/>
        <w:br/>
        <w:br/>
        <w:t xml:space="preserve">      2.    Los Estados Partes tomarán todas  las  medidas  apropiadas  para</w:t>
        <w:br/>
        <w:t xml:space="preserve">      garantizar  que  el  niño  se  vea  protegido  contra  toda  forma  de</w:t>
        <w:br/>
        <w:t xml:space="preserve">      discriminación o castigo por causa de la condición,  las  actividades,</w:t>
        <w:br/>
        <w:t xml:space="preserve">      las opiniones expresadas o las creencias de sus padres, o sus  tutores</w:t>
        <w:br/>
        <w:t xml:space="preserve">      o de sus familiares.</w:t>
        <w:br/>
        <w:br/>
        <w:br/>
        <w:t xml:space="preserve">                                 ARTICULO 3</w:t>
        <w:br/>
        <w:br/>
        <w:br/>
        <w:t xml:space="preserve">      […]</w:t>
        <w:br/>
        <w:br/>
        <w:br/>
        <w:t xml:space="preserve">      2.    Los  Estados  Partes  se  comprometen  a  asegurar  al  niño  la</w:t>
        <w:br/>
        <w:t xml:space="preserve">      protección y  el  cuidado  que  sean  necesarios  para  su  bienestar,</w:t>
        <w:br/>
        <w:t xml:space="preserve">      teniendo en cuenta los derechos y deberes de  sus  padres,  tutores  u</w:t>
        <w:br/>
        <w:t xml:space="preserve">      otras personas responsables de él ante la ley y, con ese fin,  tomarán</w:t>
        <w:br/>
        <w:t xml:space="preserve">      todas las medidas legislativas y administrativas adecuadas.</w:t>
        <w:br/>
        <w:br/>
        <w:br/>
        <w:t xml:space="preserve">                                 ARTICULO 6</w:t>
        <w:br/>
        <w:br/>
        <w:br/>
        <w:t xml:space="preserve">      1.    Los  Estados  Partes  reconocen  que  todo  niño  tiene  derecho</w:t>
        <w:br/>
        <w:t xml:space="preserve">      intrínseco a la vida.</w:t>
        <w:br/>
        <w:br/>
        <w:br/>
        <w:t xml:space="preserve">      2.    Los Estados Partes garantizarán en la máxima medida  posible  la</w:t>
        <w:br/>
        <w:t xml:space="preserve">      supervivencia y el desarrollo del niño.</w:t>
        <w:br/>
        <w:br/>
        <w:br/>
        <w:t xml:space="preserve">                                 ARTICULO 20</w:t>
        <w:br/>
        <w:br/>
        <w:br/>
        <w:t xml:space="preserve">      1.    Los niños  temporal  o  permanentemente  privados  de  su  medio</w:t>
        <w:br/>
        <w:t xml:space="preserve">      familiar, o cuyo superior interés exija  que  no  permanezcan  en  ese</w:t>
        <w:br/>
        <w:t xml:space="preserve">      medio, tendrán derecho a la protección  y  asistencia  especiales  del</w:t>
        <w:br/>
        <w:t xml:space="preserve">      Estado.</w:t>
        <w:br/>
        <w:br/>
        <w:br/>
        <w:t xml:space="preserve">      2.    Los Estados Partes garantizarán, de conformidad  con  sus  leyes</w:t>
        <w:br/>
        <w:t xml:space="preserve">      nacionales, otros tipos de cuidado para esos niños.</w:t>
        <w:br/>
        <w:br/>
        <w:br/>
        <w:t xml:space="preserve">      […]</w:t>
        <w:br/>
        <w:br/>
        <w:br/>
        <w:t xml:space="preserve">                                 ARTICULO 27</w:t>
        <w:br/>
        <w:br/>
        <w:br/>
        <w:t xml:space="preserve">      1.    Los Estados Partes reconocen el derecho de todo niño a un  nivel</w:t>
        <w:br/>
        <w:t xml:space="preserve">      de vida adecuado para su desarrollo físico, mental, espiritual,  moral</w:t>
        <w:br/>
        <w:t xml:space="preserve">      y social.</w:t>
        <w:br/>
        <w:t xml:space="preserve">      […]</w:t>
        <w:br/>
        <w:br/>
        <w:br/>
        <w:t xml:space="preserve">      3.    Los Estados Partes, de acuerdo con las condiciones nacionales  y</w:t>
        <w:br/>
        <w:t xml:space="preserve">      con arreglo a sus medios, adoptarán medidas apropiadas para  ayudar  a</w:t>
        <w:br/>
        <w:t xml:space="preserve">      los padres  y  a  otras  personas  responsables  por  el  niño  a  dar</w:t>
        <w:br/>
        <w:t xml:space="preserve">      efectividad a  este  derecho  y,  en  caso  necesario,  proporcionarán</w:t>
        <w:br/>
        <w:t xml:space="preserve">      asistencia material y programas de apoyo, particularmente con respecto</w:t>
        <w:br/>
        <w:t xml:space="preserve">      a la nutrición, el vestuario y la vivienda.</w:t>
        <w:br/>
        <w:br/>
        <w:br/>
        <w:t xml:space="preserve">                                 ARTICULO 37</w:t>
        <w:br/>
        <w:br/>
        <w:br/>
        <w:t xml:space="preserve">      Los Estados Partes velarán por que:</w:t>
        <w:br/>
        <w:br/>
        <w:br/>
        <w:t xml:space="preserve">        a)  Ningún niño sea sometido a torturas ni a otros  tratos  o  penas</w:t>
        <w:br/>
        <w:t xml:space="preserve">      crueles, inhumanos o degradantes.  No se impondrá la pena  capital  ni</w:t>
        <w:br/>
        <w:t xml:space="preserve">      la de prisión perpetua sin posibilidad de  excarcelación  por  delitos</w:t>
        <w:br/>
        <w:t xml:space="preserve">      cometidos por menores de 18 años de edad;</w:t>
        <w:br/>
        <w:t xml:space="preserve">        b)  Ningún niño sea privado de su libertad ilegal o arbitrariamente.</w:t>
        <w:br/>
        <w:t xml:space="preserve">       La detención, el encarcelamiento o la prisión de un niño se llevará a</w:t>
        <w:br/>
        <w:t xml:space="preserve">      cabo de conformidad con la ley y se utilizará tan sólo como medida  de</w:t>
        <w:br/>
        <w:t xml:space="preserve">      último recurso y durante el período más breve que proceda;</w:t>
        <w:br/>
        <w:t xml:space="preserve">        c)  Todo niño privado de libertad sea tratado con la humanidad y  el</w:t>
        <w:br/>
        <w:t xml:space="preserve">      respeto que merece la dignidad inherente a la  persona  humana,  y  de</w:t>
        <w:br/>
        <w:t xml:space="preserve">      manera que se tengan en cuenta las necesidades de las personas  de  su</w:t>
        <w:br/>
        <w:t xml:space="preserve">      edad.  En particular, todo niño privado de libertad estará separado de</w:t>
        <w:br/>
        <w:t xml:space="preserve">      los adultos, a menos  que  ello  se  considere  contrario  al  interés</w:t>
        <w:br/>
        <w:t xml:space="preserve">      superior del niño, y tendrá derecho a mantener contacto con su familia</w:t>
        <w:br/>
        <w:t xml:space="preserve">      por medio de correspondencia y de  visitas,  salvo  en  circunstancias</w:t>
        <w:br/>
        <w:t xml:space="preserve">      excepcionales;</w:t>
        <w:br/>
        <w:t xml:space="preserve">        d)  Todo niño privado de su libertad  tendrá  derecho  a  un  pronto</w:t>
        <w:br/>
        <w:t xml:space="preserve">      acceso a la asistencia jurídica y otra asistencia adecuada,  así  como</w:t>
        <w:br/>
        <w:t xml:space="preserve">      derecho a impugnar la legalidad de la privación de su libertad ante un</w:t>
        <w:br/>
        <w:t xml:space="preserve">      tribunal u otra autoridad competente, independiente e  imparcial  y  a</w:t>
        <w:br/>
        <w:t xml:space="preserve">      una pronta decisión sobre dicha acción.</w:t>
        <w:br/>
        <w:br/>
        <w:br/>
        <w:t>196.  Las normas transcritas permiten  precisar,  en  variadas  direcciones,</w:t>
        <w:br/>
        <w:t>los alcances de las “medidas de protección” a que alude el  artículo  19  de</w:t>
        <w:br/>
        <w:t>la Convención Americana.  Entre ellas merecen ser destacadas las  referentes</w:t>
        <w:br/>
        <w:t>a la no discriminación, a la asistencia especial a los niños privados de  su</w:t>
        <w:br/>
        <w:t>medio familiar, a la garantía de la supervivencia y el desarrollo del  niño,</w:t>
        <w:br/>
        <w:t>al derecho a un nivel de vida adecuado y a la  reinserción  social  de  todo</w:t>
        <w:br/>
        <w:t>niño víctima de abandono o explotación. Es claro para  esta  Corte  que  los</w:t>
        <w:br/>
        <w:t>actos perpetrados contra las víctimas en el presente caso,  en  los  que  se</w:t>
        <w:br/>
        <w:t>vieron involucrados agentes del Estado, contravienen estas previsiones.</w:t>
        <w:br/>
        <w:br/>
        <w:t>197.  Existen en el expediente referencias documentales al hecho de que  uno</w:t>
        <w:br/>
        <w:t>de los tres niños de los que trata el presente  caso,  Jovito  Josué  Juárez</w:t>
        <w:br/>
        <w:t>Cifuentes, estaba registrado en “archivos delincuenciales” del  Gabinete  de</w:t>
        <w:br/>
        <w:t>Identificación de la Policía Nacional.   Al  respecto,  la  Corte  considera</w:t>
        <w:br/>
        <w:t>pertinente destacar que, si los Estados tienen elementos para creer que  los</w:t>
        <w:br/>
        <w:t>“niños de la calle” están afectados por factores  que  pueden  inducirlos  a</w:t>
        <w:br/>
        <w:t>cometer actos ilícitos, o disponen de elementos para concluir  que  los  han</w:t>
        <w:br/>
        <w:t>cometido, en casos concretos, deben extremar las medidas de  prevención  del</w:t>
        <w:br/>
        <w:t>delito[37] y de la  reincidencia.   Cuando  el  aparato  estatal  tenga  que</w:t>
        <w:br/>
        <w:t>intervenir ante infracciones cometidas por menores de edad, debe  hacer  los</w:t>
        <w:br/>
        <w:t>mayores esfuerzos para garantizar la rehabilitación de los mismos, en  orden</w:t>
        <w:br/>
        <w:t>a “permitirles que desempeñen un  papel  constructivo  y  productivo  en  la</w:t>
        <w:br/>
        <w:t>sociedad”[38]. Es evidente que, en el presente  caso,  el  Estado  actuó  en</w:t>
        <w:br/>
        <w:t>grave contravención de esas directrices.</w:t>
        <w:br/>
        <w:br/>
        <w:t>198.  Por todo lo anterior,  la  Corte  concluye  que  el  Estado  violó  el</w:t>
        <w:br/>
        <w:t>artículo 19 de la Convención Americana sobre Derechos Humanos,  en  conexión</w:t>
        <w:br/>
        <w:t>con el artículo 1.1 de la misma, en perjuicio de los menores  Julio  Roberto</w:t>
        <w:br/>
        <w:t>Caal Sandoval, Jovito Josué  Juárez  Cifuentes  y  Anstraum  Aman  Villagrán</w:t>
        <w:br/>
        <w:t>Morales.</w:t>
        <w:br/>
        <w:br/>
        <w:br/>
        <w:br/>
        <w:t xml:space="preserve">                                     XII</w:t>
        <w:br/>
        <w:br/>
        <w:t xml:space="preserve">                   Violación de los Artículos 25, 8 y 1.1</w:t>
        <w:br/>
        <w:br/>
        <w:t xml:space="preserve">                (Protección judicial y Garantías judiciales)</w:t>
        <w:br/>
        <w:br/>
        <w:t>199.  La Comisión sostuvo, en el escrito de  demanda,  que  Guatemala  había</w:t>
        <w:br/>
        <w:t>violado los artículos 25, 8 y 1.1  de  la  Convención  en  contra  de  Henry</w:t>
        <w:br/>
        <w:t>Giovanni  Contreras,  Julio  Roberto  Caal  Sandoval,  Jovito  Josué  Juárez</w:t>
        <w:br/>
        <w:t>Cifuentes, Federico Clemente Figueroa  Túnchez  y  Anstraum  Aman  Villagrán</w:t>
        <w:br/>
        <w:t>Morales, porque cuando se ha violado un derecho protegido, “el  Estado  está</w:t>
        <w:br/>
        <w:t>obligado a responder sua sponte con determinadas medidas  de  investigación,</w:t>
        <w:br/>
        <w:t>actos encaminados a sancionar y castigar a los perpetradores,  y  mecanismos</w:t>
        <w:br/>
        <w:t>que garanticen el acceso a la  indemnización”  y,  “[a]l  mismo  tiempo,  la</w:t>
        <w:br/>
        <w:t>víctima tiene un  derecho  directo  a  procurarse  protección  y  reparación</w:t>
        <w:br/>
        <w:t>judicial”.   El  Estado  no  cumplió  esas  obligaciones  ni  respetó  estos</w:t>
        <w:br/>
        <w:t>derechos en el presente caso, a criterio de la Comisión.</w:t>
        <w:br/>
        <w:br/>
        <w:t>200.  En primer lugar, en lo concerniente a la violación  del  artículo  25,</w:t>
        <w:br/>
        <w:t>la Comisión estimó que “[l]a investigación judicial  se  realizó  de  manera</w:t>
        <w:br/>
        <w:t>arbitraria”, advirtiendo que  “las  autoridades  judiciales  encargadas  del</w:t>
        <w:br/>
        <w:t>caso de autos omitieron  realizar,  o  se  rehusaron  a  cumplir,  numerosas</w:t>
        <w:br/>
        <w:t>tareas de investigación decisivas y  obvias”,  tanto  en  primera  instancia</w:t>
        <w:br/>
        <w:t>como en las instancias sucesivas.</w:t>
        <w:br/>
        <w:br/>
        <w:t>201.  En segundo lugar, respecto al artículo 8.1, la Comisión consideró  que</w:t>
        <w:br/>
        <w:t>“el Juzgado [Tercero de Primera Instancia  de  Sentencia]  omitió  tener  en</w:t>
        <w:br/>
        <w:t>cuenta o evaluar gran parte de las pruebas que  se  habían  presentado  ante</w:t>
        <w:br/>
        <w:t>[él], o se rehusó a hacerlo, [… dando] lugar a una  denegación  de  justicia</w:t>
        <w:br/>
        <w:t>adjetiva y sustancial”.</w:t>
        <w:br/>
        <w:br/>
        <w:t>202.  La Comisión advirtió que  “[n]o  es  la  función  de  los  órganos  de</w:t>
        <w:br/>
        <w:t>supervisión del sistema  interamericano  de  derechos  humanos  brindar  una</w:t>
        <w:br/>
        <w:t>especie de instancia de apelación judicial o de ámbito de revisión  judicial</w:t>
        <w:br/>
        <w:t>de las sentencias emitidas por tribunales nacionales” sino que  “[l]a  tarea</w:t>
        <w:br/>
        <w:t>de la Corte consiste en determinar si los  procedimientos,  considerados  en</w:t>
        <w:br/>
        <w:t>conjunto, incluida la manera en que se  ha  obtenido  la  prueba,  han  sido</w:t>
        <w:br/>
        <w:t>justos”.  En este caso, la Comisión encontró que no lo habían sido.</w:t>
        <w:br/>
        <w:br/>
        <w:t>203.  En tercer lugar, y  con  referencia  tanto  al  artículo  25  como  al</w:t>
        <w:br/>
        <w:t>artículo 8 de la Convención, la Comisión sostuvo que el juzgado desechó  por</w:t>
        <w:br/>
        <w:t>completo las declaraciones  de  Matilde  Reyna  Morales  García,  Ana  María</w:t>
        <w:br/>
        <w:t>Contreras y Rosa Carlota Sandoval, basándose exclusivamente en que eran  las</w:t>
        <w:br/>
        <w:t>madres de tres de las víctimas.   Al  respecto,  la  Comisión  concluyó  que</w:t>
        <w:br/>
        <w:t>“[u]na interpretación de la ley como la aplicada en este caso, que impida  a</w:t>
        <w:br/>
        <w:t>las cortes per se aceptar y evaluar  el  testimonio  de  familiares  de  las</w:t>
        <w:br/>
        <w:t>víctimas, constituye una violación, por parte del  Estado,  del  derecho  de</w:t>
        <w:br/>
        <w:t>esas personas de ser oídas y obtener acceso a la justicia”.</w:t>
        <w:br/>
        <w:br/>
        <w:t>204.  Al aludir a la violación del artículo 1.1, la Comisión  consideró  que</w:t>
        <w:br/>
        <w:t>“[c]omo resultado de las fallas del procedimiento judicial  interno,  a  las</w:t>
        <w:br/>
        <w:t>familias de las víctimas se les negó su derecho a conocer  y  comprender  la</w:t>
        <w:br/>
        <w:t>verdad [... y] los derechos que trataban de  reivindicar  a  través  de  los</w:t>
        <w:br/>
        <w:t>tribunales”.  Además,  agregó  que  “debido  a  las  imperfecciones  del  […</w:t>
        <w:br/>
        <w:t>proceso], no se ha determinado responsabilidad alguna  con  respecto  a  las</w:t>
        <w:br/>
        <w:t>imputaciones penales” y “a  las  familias  de  las  víctimas  se  les  sigue</w:t>
        <w:br/>
        <w:t>negando su derecho  a  recibir  una  indemnización  civil”  conforme  a  los</w:t>
        <w:br/>
        <w:t>artículos 25 y 8 de la Convención.</w:t>
        <w:br/>
        <w:br/>
        <w:t>205.  Al contestar la demanda, el Estado alegó que la  Comisión  excedió  el</w:t>
        <w:br/>
        <w:t>marco de la Convención Americana al someter este caso ante la  Corte  porque</w:t>
        <w:br/>
        <w:t>existía una decisión de la Corte Suprema, la máxima autoridad  judicial  del</w:t>
        <w:br/>
        <w:t>país, cuyo fondo no  puede  discutirse.   Al  respecto,  aseveró  que  “[e]l</w:t>
        <w:br/>
        <w:t>Estado en virtud de sus obligaciones de acatar  los  fallos  judiciales,  no</w:t>
        <w:br/>
        <w:t>tiene la facultad legal de dirimir  discusión  alguna  sobre  el  fondo  del</w:t>
        <w:br/>
        <w:t>asunto [porque] devendría en una interferencia de  un  poder  del  Estado  a</w:t>
        <w:br/>
        <w:t>otro” (supra, párr. 49).</w:t>
        <w:br/>
        <w:br/>
        <w:t>206.  Siguiendo este orden de ideas, el Estado resaltó que  “[u]n  resultado</w:t>
        <w:br/>
        <w:t>negativo a las pretensiones  procesales  no  es  un  acto  que  implique  la</w:t>
        <w:br/>
        <w:t>violación de  Derechos  garantizados  [por]  la  Convención”  y  que  “[l]os</w:t>
        <w:br/>
        <w:t>principios  procesales  de  inmediación  en  la  recolección  de  la  prueba</w:t>
        <w:br/>
        <w:t>aseguran a las jurisdicciones internas una  apreciación  directa  de  [dicha</w:t>
        <w:br/>
        <w:t>prueba]”.</w:t>
        <w:br/>
        <w:br/>
        <w:t>207.  Asimismo, alegó que no se cumplió con la regla del agotamiento de  los</w:t>
        <w:br/>
        <w:t>recursos internos porque “subsistía el proceso constitucional de amparo,  en</w:t>
        <w:br/>
        <w:t>caso [que] los interesados lo estimaran procedente”  y  “[d]esde  la  óptica</w:t>
        <w:br/>
        <w:t>del Derecho Civil […], no ha sido iniciada ninguna acción judicial”.</w:t>
        <w:br/>
        <w:br/>
        <w:t>208.  En los alegatos finales, la Comisión replicó al Estado que  “desde  el</w:t>
        <w:br/>
        <w:t>punto de vista del derecho internacional no se puede excluir las  decisiones</w:t>
        <w:br/>
        <w:t>judiciales” del ámbito de la responsabilidad internacional.</w:t>
        <w:br/>
        <w:br/>
        <w:t>209.  Sostuvo la Comisión, con referencia a los artículos 25 y 8, que a  los</w:t>
        <w:br/>
        <w:t>cuatro jóvenes secuestrados no se les permitió  ejercer  sus  derechos  para</w:t>
        <w:br/>
        <w:t>buscar protección judicial pronta y efectiva a través  de  la  interposición</w:t>
        <w:br/>
        <w:t>de un hábeas  corpus  y,  dado  que  estaban  bajo  el  control  de  agentes</w:t>
        <w:br/>
        <w:t>estatales,  era  el  Estado  el  que  tenía  la  obligación  de  crear   las</w:t>
        <w:br/>
        <w:t>condiciones necesarias para  asegurar  que  este  recurso  pudiera  producir</w:t>
        <w:br/>
        <w:t>resultados efectivos.   A  esto  se  sumó  el  hecho  de  que  los  recursos</w:t>
        <w:br/>
        <w:t>judiciales utilizados en el presente caso probaron ser  ilusorios  para  los</w:t>
        <w:br/>
        <w:t>efectos de proveer a las familias de las  víctimas  la  protección  judicial</w:t>
        <w:br/>
        <w:t>efectiva de sus derechos.  En este orden de razonamiento, la Comisión  llamó</w:t>
        <w:br/>
        <w:t>la atención sobre la circunstancia de que, en los años noventa,  testigos  o</w:t>
        <w:br/>
        <w:t>sujetos  procesales  relacionados  con  casos  de   derechos   humanos   -en</w:t>
        <w:br/>
        <w:t>particular cuando estaban implicados agentes estatales-  con  frecuencia  se</w:t>
        <w:br/>
        <w:t>convertían ellos mismos en objeto de violaciones.</w:t>
        <w:br/>
        <w:br/>
        <w:t>210.   Con  referencia  a  la  actuación  del  Juzgado  Tercero  de  Primera</w:t>
        <w:br/>
        <w:t>Instancia Penal de Sentencia, la Comisión recogió  la  opinión  del  experto</w:t>
        <w:br/>
        <w:t>Alberto Bovino, según la cual  el  juzgado  actuó  en  forma  arbitraria  al</w:t>
        <w:br/>
        <w:t>interpretar y aplicar  de  manera  parcial  los  artículos  pertinentes  del</w:t>
        <w:br/>
        <w:t>Código de Procedimiento Penal haciéndolo, en concreto, al descartar toda  la</w:t>
        <w:br/>
        <w:t>evidencia que tenía ante sí que señalaba a  los  imputados  como  culpables.</w:t>
        <w:br/>
        <w:t>Para sustentar esta afirmación, la Comisión citó los artículos 654 y 655  de</w:t>
        <w:br/>
        <w:t>dicho Código.</w:t>
        <w:br/>
        <w:br/>
        <w:t>211.  Seguidamente, la Comisión hizo un análisis del proceso  judicial  como</w:t>
        <w:br/>
        <w:t>un todo orgánico y concluyó que fue llevado a cabo  de  una  manera  que  no</w:t>
        <w:br/>
        <w:t>satisfizo los estándares previstos por la legislación interna y,  por  ende,</w:t>
        <w:br/>
        <w:t>fue arbitrario.  En este sentido, la Comisión señaló  que  para  ver  si  un</w:t>
        <w:br/>
        <w:t>proceso ha sido justo en su desenvolvimiento se debe analizar, entre  otros,</w:t>
        <w:br/>
        <w:t>la manera en que fue ofrecida y producida  la  prueba,  la  oportunidad  que</w:t>
        <w:br/>
        <w:t>tuvo la parte ofendida de participar en el proceso y la omisión del juez  de</w:t>
        <w:br/>
        <w:t>proveer un fundamento a sus decisiones cuando se pronuncia sobre  cuestiones</w:t>
        <w:br/>
        <w:t>de prueba.</w:t>
        <w:br/>
        <w:br/>
        <w:t>212.  Recordó también la Comisión que el Estado sostuvo  durante  un  tiempo</w:t>
        <w:br/>
        <w:t>que las autoridades estaban investigando para descubrir a  los  “verdaderos”</w:t>
        <w:br/>
        <w:t>autores, pero que en realidad, ninguna otra persona  ha  sido  procesada  en</w:t>
        <w:br/>
        <w:t>conexión con este caso.  Señaló, además, que  las  víctimas  no  han  podido</w:t>
        <w:br/>
        <w:t>tener acceso a una indemnización civil y que tanto el derecho a  un  proceso</w:t>
        <w:br/>
        <w:t>destinado a identificar y sancionar a los  responsables  de  violaciones  de</w:t>
        <w:br/>
        <w:t>derechos  humanos  como  el  derecho  de  acceder  a  un  proceso  civil  de</w:t>
        <w:br/>
        <w:t>reparación, se han visto frustrados en este caso.</w:t>
        <w:br/>
        <w:br/>
        <w:t>213.  Con referencia al artículo 1.1 la Comisión destacó,  en  sus  alegatos</w:t>
        <w:br/>
        <w:t>finales, que Guatemala era responsable por los actos cometidos  por  agentes</w:t>
        <w:br/>
        <w:t>del Estado al privar, arbitraria e ilegalmente, a las cinco víctimas  de  su</w:t>
        <w:br/>
        <w:t>derecho a la vida y, a cuatro de ellas, también de su derecho a la  libertad</w:t>
        <w:br/>
        <w:t>e integridad física.  A esto se suma, según la Comisión, la  responsabilidad</w:t>
        <w:br/>
        <w:t>del  Estado  por  haber  omitido  tomar  medidas  adecuadas  para   proteger</w:t>
        <w:br/>
        <w:t>especialmente a los tres menores involucrados en este caso.</w:t>
        <w:br/>
        <w:br/>
        <w:t>214.  Por su parte, en los alegatos finales, el  Estado  volvió  a  destacar</w:t>
        <w:br/>
        <w:t>que “[e]l  propósito  básico  de  la  Comisión  e[ra]  la  revisión  de  los</w:t>
        <w:br/>
        <w:t>resultados del proceso judicial guatemalteco”; que, de hecho,  “[e]l  perito</w:t>
        <w:br/>
        <w:t>Alberto Bovino [… había hecho] una crítica  de  la  aplicación  del  derecho</w:t>
        <w:br/>
        <w:t>interno guatemalteco en el proceso que se tramitó con motivo  de  la  muerte</w:t>
        <w:br/>
        <w:t>violenta de [los cinco jóvenes]”; que, en realidad, en el ámbito  del  Poder</w:t>
        <w:br/>
        <w:t>Judicial Nacional “se produjo  una  duda  razonable  sobre  algunas  de  las</w:t>
        <w:br/>
        <w:t>pruebas aportadas” y que una de las  “características  propias  del  derecho</w:t>
        <w:br/>
        <w:t>penal [... es] la  rigurosidad  de  la  prueba,  toda  vez  que  ella  puede</w:t>
        <w:br/>
        <w:t>conducir a la limitación del derecho a la libertad”.</w:t>
        <w:br/>
        <w:br/>
        <w:t>215.  En los mencionados alegatos el  Estado  indicó  que  en  Guatemala,  a</w:t>
        <w:br/>
        <w:t>partir de 1996, “se inició todo un proceso de creación de una nueva  Policía</w:t>
        <w:br/>
        <w:t>Nacional Civil [que …] va a culminar en el año 2000”.  Afirmó,  además,  que</w:t>
        <w:br/>
        <w:t>“un caso de esta naturaleza [tendría] otro carácter muy distinto  a  la  luz</w:t>
        <w:br/>
        <w:t>de la situación actual”.  En virtud de lo expuesto, el Estado  solicitó  que</w:t>
        <w:br/>
        <w:t>“se desestim[ara] la demanda”.</w:t>
        <w:br/>
        <w:br/>
        <w:t>216.  El artículo 25 de la Convención establece que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a.    a garantizar que la autoridad competente prevista por el sistema</w:t>
        <w:br/>
        <w:t xml:space="preserve">      legal del Estado decidirá sobre  los  derechos  de  toda  persona  que</w:t>
        <w:br/>
        <w:t xml:space="preserve">      interponga tal recurso;</w:t>
        <w:br/>
        <w:br/>
        <w:br/>
        <w:t xml:space="preserve">      b.    a desarrollar las posibilidades de recurso judicial, y</w:t>
        <w:br/>
        <w:br/>
        <w:br/>
        <w:t xml:space="preserve">      c.    a garantizar el cumplimiento, por las  autoridades  competentes,</w:t>
        <w:br/>
        <w:t xml:space="preserve">      de toda decisión en que se haya estimado procedente el recurso.</w:t>
        <w:br/>
        <w:br/>
        <w:br/>
        <w:br/>
        <w:t>217.  A su vez, el artículo 8 de la Convención dispone en lo pertinente: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[...]</w:t>
        <w:br/>
        <w:br/>
        <w:t>218.  El artículo 1.1 de la Convención Americana establece que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219.  La Corte  advierte,  en  primer  lugar,  que  el  artículo  62  de  la</w:t>
        <w:br/>
        <w:t>Convención Americana le atribuye competencia para  conocer  todo  caso  que,</w:t>
        <w:br/>
        <w:t>sometido a su jurisdicción, esté relacionado  con  la  interpretación  y  la</w:t>
        <w:br/>
        <w:t>aplicación de las disposiciones de esta Convención.  Por  lo  tanto,  es  su</w:t>
        <w:br/>
        <w:t>función resolver si  se  produjeron,  en  el  presente  caso,  las  alegadas</w:t>
        <w:br/>
        <w:t>violaciones de los artículos 25 y 8 de la Convención Americana, en  conexión</w:t>
        <w:br/>
        <w:t>con el 1.1.</w:t>
        <w:br/>
        <w:br/>
        <w:t>220.   Es  un  principio  básico   del   derecho   de   la   responsabilidad</w:t>
        <w:br/>
        <w:t>internacional del Estado, recogido  por  el  Derecho  Internacional  de  los</w:t>
        <w:br/>
        <w:t>Derechos Humanos, que todo  Estado  es  internacionalmente  responsable  por</w:t>
        <w:br/>
        <w:t>todo y cualquier acto u omisión de cualesquiera de sus poderes u órganos  en</w:t>
        <w:br/>
        <w:t>violación de los derechos internacionalmente consagrados.  El  artículo  1.1</w:t>
        <w:br/>
        <w:t>de la Convención Americana es de importancia fundamental en ese sentido.</w:t>
        <w:br/>
        <w:br/>
        <w:t>Los artículos 25 y 8 de  la  Convención  concretan,  con  referencia  a  las</w:t>
        <w:br/>
        <w:t>actuaciones y omisiones de los órganos  judiciales  internos,  los  alcances</w:t>
        <w:br/>
        <w:t>del mencionado principio de generación de responsabilidad por los  actos  de</w:t>
        <w:br/>
        <w:t>todos los órganos del Estado.</w:t>
        <w:br/>
        <w:br/>
        <w:t>221.   De lo expuesto se colige que  Guatemala  no  puede  excusarse  de  la</w:t>
        <w:br/>
        <w:t>responsabilidad relacionada con los actos u  omisiones  de  sus  autoridades</w:t>
        <w:br/>
        <w:t>judiciales, ya que tal actitud resultaría contraria a lo  dispuesto  por  el</w:t>
        <w:br/>
        <w:t>artículo 1.1 en conexión con los artículos 25 y 8 de la Convención.</w:t>
        <w:br/>
        <w:br/>
        <w:t>222.   El esclarecimiento de si el Estado ha violado o no  sus  obligaciones</w:t>
        <w:br/>
        <w:t>internacionales por virtud de las actuaciones  de  sus  órganos  judiciales,</w:t>
        <w:br/>
        <w:t>puede conducir a que el Tribunal deba ocuparse de examinar  los  respectivos</w:t>
        <w:br/>
        <w:t>procesos internos.  Al respecto, la Corte Europea ha señalado que  se  deben</w:t>
        <w:br/>
        <w:t>considerar los procedimientos como un todo,  incluyendo  las  decisiones  de</w:t>
        <w:br/>
        <w:t>los tribunales de apelación, y que la función del tribunal internacional  es</w:t>
        <w:br/>
        <w:t>determinar si la integralidad de los procedimientos, así como  la  forma  en</w:t>
        <w:br/>
        <w:t>que fue producida la prueba, fueron justos[39].</w:t>
        <w:br/>
        <w:br/>
        <w:t>223.   Como  lo  ha  señalado  en  otras  ocasiones  [40],  la  Corte  tiene</w:t>
        <w:br/>
        <w:t>atribuciones, no para investigar y sancionar la conducta individual  de  los</w:t>
        <w:br/>
        <w:t>agentes del Estado que hubiesen participado en esas violaciones,  sino  para</w:t>
        <w:br/>
        <w:t>establecer la responsabilidad internacional de los Estados con motivo de  la</w:t>
        <w:br/>
        <w:t>violación de derechos humanos.  A  esta  Corte  le  compete  determinar  las</w:t>
        <w:br/>
        <w:t>violaciones de los derechos consagrados en la  Convención  en  perjuicio  de</w:t>
        <w:br/>
        <w:t>Henry Giovanni Contreras, Julio Roberto Caal Sandoval, Jovito  Josué  Juárez</w:t>
        <w:br/>
        <w:t>Cifuentes, Federico Clemente Figueroa  Túnchez  y  Anstraum  Aman  Villagrán</w:t>
        <w:br/>
        <w:t>Morales, o sus familiares.</w:t>
        <w:br/>
        <w:br/>
        <w:t>224.   Para  tales  efectos,  dadas  las  especificidades  del  caso  y   la</w:t>
        <w:br/>
        <w:t>naturaleza de las infracciones alegadas  por  la  Comisión,  la  Corte  debe</w:t>
        <w:br/>
        <w:t>efectuar un examen del conjunto de las actuaciones judiciales internas  para</w:t>
        <w:br/>
        <w:t>obtener una percepción  integral  de  tales  actuaciones,  y  establecer  si</w:t>
        <w:br/>
        <w:t>resulta o no evidente que dichas  actuaciones  contravienen  los  estándares</w:t>
        <w:br/>
        <w:t>sobre deber de investigar y derecho a ser oído y a un recurso  efectivo  que</w:t>
        <w:br/>
        <w:t>emergen de los artículos 1.1, 8 y 25 de la Convención.</w:t>
        <w:br/>
        <w:br/>
        <w:t>225.   Precisado, así, el alcance de su competencia, debe la  Corte  señalar</w:t>
        <w:br/>
        <w:t>que, del artículo 1.1, se desprende  claramente  la  obligación  estatal  de</w:t>
        <w:br/>
        <w:t>investigar y sancionar toda violación de  los  derechos  reconocidos  en  la</w:t>
        <w:br/>
        <w:t>Convención como medio para garantizar tales  derechos,  obligación  que,  en</w:t>
        <w:br/>
        <w:t>las circunstancias del presente  caso,  se  encuentra  relacionada  con  los</w:t>
        <w:br/>
        <w:t>derechos a ser oído por los tribunales y a un  recurso  rápido  y  efectivo,</w:t>
        <w:br/>
        <w:t>que consagran los artículos 8 y 25 de la Convención.</w:t>
        <w:br/>
        <w:br/>
        <w:t>226.  Esta Corte ha señalado con claridad que la  obligación  de  investigar</w:t>
        <w:br/>
        <w:t>debe cumplirse</w:t>
        <w:br/>
        <w:br/>
        <w:t xml:space="preserve">      con seriedad y no como una simple formalidad condenada de  antemano  a</w:t>
        <w:br/>
        <w:t xml:space="preserve">      ser infructuosa. Debe tener un sentido y ser  asumida  por  el  Estado</w:t>
        <w:br/>
        <w:t xml:space="preserve">      como un deber  jurídico  propio  y  no  como  una  simple  gestión  de</w:t>
        <w:br/>
        <w:t xml:space="preserve">      intereses particulares, que dependa de la iniciativa  procesal  de  la</w:t>
        <w:br/>
        <w:t xml:space="preserve">      víctima o de sus familiares o de la aportación  privada  de  elementos</w:t>
        <w:br/>
        <w:t xml:space="preserve">      probatorios, sin que la  autoridad  pública  busque  efectivamente  la</w:t>
        <w:br/>
        <w:t xml:space="preserve">      verdad[41].</w:t>
        <w:br/>
        <w:br/>
        <w:t>227.   POR OTRA PARTE, DEL ARTÍCULO 8 DE LA CONVENCIÓN SE DESPRENDE QUE  LAS</w:t>
        <w:br/>
        <w:t>VÍCTIMAS DE LAS VIOLACIONES DE  LOS  DERECHOS  HUMANOS,  O  SUS  FAMILIARES,</w:t>
        <w:br/>
        <w:t>DEBEN CONTAR CON  AMPLIAS  POSIBILIDADES  DE  SER  OÍDOS  Y  ACTUAR  EN  LOS</w:t>
        <w:br/>
        <w:t>RESPECTIVOS PROCESOS, TANTO EN PROCURA DEL ESCLARECIMIENTO DE LOS  HECHOS  Y</w:t>
        <w:br/>
        <w:t>DEL CASTIGO DE LOS RESPONSABLES, COMO EN BUSCA DE UNA DEBIDA REPARACIÓN.</w:t>
        <w:br/>
        <w:br/>
        <w:t>228.  AL CONFRONTAR LOS HECHOS DE ESTE CASO CON LO  EXPUESTO  ANTERIORMENTE,</w:t>
        <w:br/>
        <w:t>SE  PUEDE  CONSTATAR  QUE  GUATEMALA  HA  REALIZADO   DIVERSAS   ACTUACIONES</w:t>
        <w:br/>
        <w:t>JUDICIALES SOBRE AQUÉLLOS.  SIN EMBARGO, ES EVIDENTE  QUE  LOS  RESPONSABLES</w:t>
        <w:br/>
        <w:t>DE  TALES  HECHOS  SE  ENCUENTRAN  EN  LA  IMPUNIDAD,  PORQUE  NO  HAN  SIDO</w:t>
        <w:br/>
        <w:t>IDENTIFICADOS NI  SANCIONADOS  MEDIANTE  ACTOS  JUDICIALES  QUE  HAYAN  SIDO</w:t>
        <w:br/>
        <w:t>EJECUTADOS.  ESTA SOLA CONSIDERACIÓN BASTA PARA CONCLUIR QUE  EL  ESTADO  HA</w:t>
        <w:br/>
        <w:t>VIOLADO EL ARTÍCULO 1.1 DE  LA  CONVENCIÓN,  PUES  NO  HA  CASTIGADO  A  LOS</w:t>
        <w:br/>
        <w:t>AUTORES DE LOS CORRESPONDIENTES DELITOS.  AL  RESPECTO,  NO  VIENE  AL  CASO</w:t>
        <w:br/>
        <w:t>DISCUTIR SI LAS PERSONAS ACUSADAS EN LOS PROCESOS  INTERNOS  DEBIERON  O  NO</w:t>
        <w:br/>
        <w:t>SER ABSUELTAS.  LO IMPORTANTES ES QUE, CON INDEPENDENCIA DE SI FUERON  O  NO</w:t>
        <w:br/>
        <w:t>ELLAS LAS RESPONSABLES DE LOS ILÍCITOS, EL ESTADO HA  DEBIDO  IDENTIFICAR  Y</w:t>
        <w:br/>
        <w:t>CASTIGAR A QUIENES EN REALIDAD LO FUERON, Y NO LO HIZO.</w:t>
        <w:br/>
        <w:br/>
        <w:t>229.  EN EL EXPEDIENTE EXISTEN ABUNDANTES  CONSTANCIAS  QUE  DEMUESTRAN  QUE</w:t>
        <w:br/>
        <w:t>LAS AUTORIDADES JUDICIALES QUE CONDUJERON LAS ACTUACIONES ORIGINADAS  EN  EL</w:t>
        <w:br/>
        <w:t>SECUESTRO, TORTURA Y HOMICIDIO DE HENRY GIOVANNI  CONTRERAS,  JULIO  ROBERTO</w:t>
        <w:br/>
        <w:t>CAAL SANDOVAL, JOVITO JOSUÉ JUÁREZ  CIFUENTES,  FEDERICO  CLEMENTE  FIGUEROA</w:t>
        <w:br/>
        <w:t>TÚNCHEZ Y EN EL HOMICIDIO DE ANSTRAUM AMAN VILLAGRÁN  MORALES,  FALTARON  AL</w:t>
        <w:br/>
        <w:t>DEBER DE ADELANTAR UNA INVESTIGACIÓN Y UN  PROCESO  JUDICIAL  ADECUADOS  QUE</w:t>
        <w:br/>
        <w:t>LLEVARAN AL CASTIGO DE LOS RESPONSABLES,  Y  AFECTARON  EL  DERECHO  DE  LOS</w:t>
        <w:br/>
        <w:t>FAMILIARES DE LAS VÍCTIMAS[42] A SER OÍDOS  Y  A  TRAMITAR  SUS  ACUSACIONES</w:t>
        <w:br/>
        <w:t>ANTE UN TRIBUNAL INDEPENDIENTE E IMPARCIAL.</w:t>
        <w:br/>
        <w:br/>
        <w:t>230.  Al respecto, observa la Corte que  los  procesos  judiciales  internos</w:t>
        <w:br/>
        <w:t>revelan dos tipos de deficiencias graves: en primer  lugar,  se  omitió  por</w:t>
        <w:br/>
        <w:t>completo la investigación de los delitos  de  secuestro  y  tortura  (supra,</w:t>
        <w:br/>
        <w:t>párr. 66.b).  En segundo lugar, se dejaron de ordenar, practicar  o  valorar</w:t>
        <w:br/>
        <w:t>pruebas  que  hubieran  sido   de   mucha   importancia   para   el   debido</w:t>
        <w:br/>
        <w:t>esclarecimiento de los homicidios (supra, párrs. 104-121).</w:t>
        <w:br/>
        <w:br/>
        <w:t>231.  En relación con el esclarecimiento de  los  homicidios  es  pertinente</w:t>
        <w:br/>
        <w:t>destacar, por ejemplo, que  las  autopsias  quedaron  incompletas  y  fueron</w:t>
        <w:br/>
        <w:t>practicadas de manera muy poco técnicas; no se  registraron  ni  conservaron</w:t>
        <w:br/>
        <w:t>las huellas digitales de  los  cadáveres,  ni  éstos  fueron  retratados  de</w:t>
        <w:br/>
        <w:t>cuerpo entero; no se decretó el reconocimiento personal por testigos de  uno</w:t>
        <w:br/>
        <w:t>de los acusados de los homicidios;  no  se  llamó  a  declarar  a  presuntos</w:t>
        <w:br/>
        <w:t>testigos presenciales de los hechos, mencionados por otros testigos;  no  se</w:t>
        <w:br/>
        <w:t>decretó un peritaje dental para determinar si uno de los acusados tenía  una</w:t>
        <w:br/>
        <w:t>seña particular que fue descrita por  varios  testigos;  no  se  realizó  la</w:t>
        <w:br/>
        <w:t>reconstrucción de los hechos en relación con el homicidio de  Anstraum  Aman</w:t>
        <w:br/>
        <w:t>Villagrán Morales; no se practicó allanamiento  a  las  residencias  de  los</w:t>
        <w:br/>
        <w:t>sindicados; no se investigó si habían sido adulterados los  registros  sobre</w:t>
        <w:br/>
        <w:t>entradas y salidas de los presuntos homicidas al servicio  y  los  registros</w:t>
        <w:br/>
        <w:t>de entrada y salida de sus armas de dotación de las armerías; no  se  indagó</w:t>
        <w:br/>
        <w:t>por el vehículo en que se  movilizaron  los  secuestradores  de  los  cuatro</w:t>
        <w:br/>
        <w:t>jóvenes cuyos cuerpos aparecieron sin vida en los Bosques de San Nicolás,  a</w:t>
        <w:br/>
        <w:t>pesar de que una testigo proporcionó el número de  su  placa;  las  amenazas</w:t>
        <w:br/>
        <w:t>que  sufrieron  algunos  testigos   y   que   obviamente   entorpecían   las</w:t>
        <w:br/>
        <w:t>investigaciones, no fueron objeto de pesquisa alguna.</w:t>
        <w:br/>
        <w:br/>
        <w:t>232.  En lo referente a la apreciación de las pruebas, se  observa  que  los</w:t>
        <w:br/>
        <w:t>tribunales internos desestimaron por  irrelevantes  o  tacharon  absoluta  o</w:t>
        <w:br/>
        <w:t>parcialmente  ciertos  testimonios  importantes,  aplicando  criterios   que</w:t>
        <w:br/>
        <w:t>merecen reparos.  Así, por ejemplo, las  madres  de  tres  de  las  víctimas</w:t>
        <w:br/>
        <w:t>fueron descalificadas como declarantes por su vínculo  familiar  con  éstas.</w:t>
        <w:br/>
        <w:t>La testigo que declaró haber sido sometida a un secuestro y a  malos  tratos</w:t>
        <w:br/>
        <w:t>similares a los que padecieron cuatro de  los  jóvenes  de  que  trata  este</w:t>
        <w:br/>
        <w:t>caso, fue desechada por  haber  sido  víctima  de  los  propios  hechos  que</w:t>
        <w:br/>
        <w:t>describía.  Varios testimonios fueron declarados “irrelevantes” sin  ninguna</w:t>
        <w:br/>
        <w:t>explicación, a pesar de que proporcionaban elementos  reveladores  sobre  la</w:t>
        <w:br/>
        <w:t>forma como ocurrieron los hechos y contribuían a la  identificación  de  los</w:t>
        <w:br/>
        <w:t>responsables de los mismos.   El  informe  resultante  de  la  investigación</w:t>
        <w:br/>
        <w:t>policial ordenada por los propios jueces, para dar soporte  a  los  procesos</w:t>
        <w:br/>
        <w:t>judiciales, fue descartado por no ser “prueba suficiente”.   También  fueron</w:t>
        <w:br/>
        <w:t>desestimadas las  declaraciones  testimoniales  de  los  autores  de  dichos</w:t>
        <w:br/>
        <w:t>informes, porque ni “directa ni indirectamente señalan  como  [responsables]</w:t>
        <w:br/>
        <w:t>a los inculpados” -vale aclarar que tanto las conclusiones de esos  informes</w:t>
        <w:br/>
        <w:t>como las declaraciones de los investigadores policiales que los  elaboraron,</w:t>
        <w:br/>
        <w:t>ante  las  autoridades  judiciales  internas  y  ante  esta  Corte,   fueron</w:t>
        <w:br/>
        <w:t>contundentes en afirmar que los autores de los homicidios  habían  sido  los</w:t>
        <w:br/>
        <w:t>dos agentes de la policía identificados por los testigos-.   La  declaración</w:t>
        <w:br/>
        <w:t>de otro testigo fue dejada de lado porque se  trataba  de  una  persona  que</w:t>
        <w:br/>
        <w:t>trabajaba por el bienestar de los “niños de la calle”, lo cual revelaría  un</w:t>
        <w:br/>
        <w:t>supuesto interés directo en la causa.  Las imprecisiones en que  incurrieron</w:t>
        <w:br/>
        <w:t>ciertos testigos -cuyas declaraciones fueron tomadas  muchos  meses  después</w:t>
        <w:br/>
        <w:t>de  ocurridos  los  hechos-  sobre  las  circunstancias  de  tiempo  en  que</w:t>
        <w:br/>
        <w:t>sucedieron  estos  últimos,  fueron  utilizadas  como  fundamento  para  una</w:t>
        <w:br/>
        <w:t>desestimación  total  de  dichas  declaraciones,  a  pesar  de   que   éstas</w:t>
        <w:br/>
        <w:t>proporcionaban, de manera consistente y coincidente,  información  relevante</w:t>
        <w:br/>
        <w:t>sobre  otros  aspectos  de  los  acontecimientos  objeto  de  investigación.</w:t>
        <w:br/>
        <w:t>Frente a la prueba balística, de acuerdo con la cual el  proyectil  que  fue</w:t>
        <w:br/>
        <w:t>encontrado junto al cadáver de Anstraum Aman Villagrán  Morales  había  sido</w:t>
        <w:br/>
        <w:t>disparado por el arma de dotación de  uno  de  los  policías  acusados,  los</w:t>
        <w:br/>
        <w:t>jueces nacionales razonaron diciendo que eso no constituía evidencia de  que</w:t>
        <w:br/>
        <w:t>el arma hubiera sido accionada  por  el  imputado.   Puestos  frente  a  dos</w:t>
        <w:br/>
        <w:t>oficios policiales divergentes sobre si ese mismo sindicado estaba o  no  de</w:t>
        <w:br/>
        <w:t>servicio cuando fue cometido el homicidio del joven Villagrán  Morales,  los</w:t>
        <w:br/>
        <w:t>mencionados  jueces  se  atuvieron,  sin  más  fórmulas,  al  que  resultaba</w:t>
        <w:br/>
        <w:t>favorable a los intereses de la  defensa  de  los  policías  imputados,  sin</w:t>
        <w:br/>
        <w:t>indagar por las explicaciones de la contradicción.</w:t>
        <w:br/>
        <w:br/>
        <w:t>233.  Visto en su conjunto el proceder de aquellos jueces, se hace  evidente</w:t>
        <w:br/>
        <w:t>que fragmentaron el acervo probatorio y  luego  pretendieron  enervar,  caso</w:t>
        <w:br/>
        <w:t>por caso, los alcances de todos y cada uno de los elementos  probatorios  de</w:t>
        <w:br/>
        <w:t>la responsabilidad de los imputados.  Esto  contraviene  los  principios  de</w:t>
        <w:br/>
        <w:t>valoración de la prueba, de acuerdo con los cuales las evidencias deben  ser</w:t>
        <w:br/>
        <w:t>apreciadas en su integralidad, es decir, teniendo en cuenta  sus  relaciones</w:t>
        <w:br/>
        <w:t>mutuas, y la forma como se prestan soporte unas a otras o dejan de  hacerlo.</w:t>
        <w:br/>
        <w:t xml:space="preserve"> De esa manera el Estado dejó de cumplir con  la  obligación  de  investigar</w:t>
        <w:br/>
        <w:t>efectiva y adecuadamente los hechos  de  que  se  trata,  en  violación  del</w:t>
        <w:br/>
        <w:t>artículo 1.1 de la Convención Americana, en conexión con el  artículo  8  de</w:t>
        <w:br/>
        <w:t>la misma.</w:t>
        <w:br/>
        <w:br/>
        <w:t>234.  En cuanto a la violación del artículo  1.1,  en  concordancia  con  el</w:t>
        <w:br/>
        <w:t>artículo 25 de  la  Convención  Americana,  este  Tribunal  ha  señalado  en</w:t>
        <w:br/>
        <w:t>diversas ocasiones que toda persona tiene el derecho a un  recurso  sencillo</w:t>
        <w:br/>
        <w:t>y rápido o a  cualquier  recurso  efectivo  ante  los  jueces  o  tribunales</w:t>
        <w:br/>
        <w:t>competentes  que  la  ampare  contra   actos   que   violen   sus   derechos</w:t>
        <w:br/>
        <w:t>fundamentales, “lo cual constituye uno de los pilares básicos,  no  sólo  de</w:t>
        <w:br/>
        <w:t>la Convención Americana, sino del propio Estado de Derecho en  una  sociedad</w:t>
        <w:br/>
        <w:t>democrática en el sentido de la Convención[43]”.</w:t>
        <w:br/>
        <w:br/>
        <w:t>235.  También ha afirmado que</w:t>
        <w:br/>
        <w:br/>
        <w:t xml:space="preserve">      LA INEXISTENCIA DE UN RECURSO EFECTIVO CONTRA LAS  VIOLACIONES  A  LOS</w:t>
        <w:br/>
        <w:t xml:space="preserve">      DERECHOS RECONOCIDOS POR LA CONVENCIÓN CONSTITUYE UNA TRANSGRESIÓN  DE</w:t>
        <w:br/>
        <w:t xml:space="preserve">      LA MISMA POR EL ESTADO PARTE EN  EL  CUAL  SEMEJANTE  SITUACIÓN  TENGA</w:t>
        <w:br/>
        <w:t xml:space="preserve">      LUGAR. EN ESE SENTIDO  DEBE  SUBRAYARSE  QUE,  PARA  QUE  TAL  RECURSO</w:t>
        <w:br/>
        <w:t xml:space="preserve">      EXISTA, NO BASTA CON QUE ESTÉ PREVISTO POR LA CONSTITUCIÓN O LA LEY  O</w:t>
        <w:br/>
        <w:t xml:space="preserve">      CON QUE SEA FORMALMENTE  ADMISIBLE,  SINO  QUE  SE  REQUIERE  QUE  SEA</w:t>
        <w:br/>
        <w:t xml:space="preserve">      REALMENTE IDÓNEO PARA ESTABLECER SI SE HA INCURRIDO EN UNA VIOLACIÓN A</w:t>
        <w:br/>
        <w:t xml:space="preserve">      LOS DERECHOS HUMANOS Y PROVEER LO NECESARIO PARA REMEDIARLA[44].</w:t>
        <w:br/>
        <w:br/>
        <w:t>236.  EN EL CASO CONCRETO, LA CORTE CONSIDERÓ  PROBADO  QUE  HENRY  GIOVANNI</w:t>
        <w:br/>
        <w:t>CONTRERAS, JULIO ROBERTO CAAL SANDOVAL,  JOVITO  JOSUÉ  JUÁREZ  CIFUENTES  Y</w:t>
        <w:br/>
        <w:t>FEDERICO CLEMENTE FIGUEROA  TÚNCHEZ  FUERON  SECUESTRADOS  POR  AGENTES  DEL</w:t>
        <w:br/>
        <w:t>ESTADO EL DÍA 15 DE JUNIO DE 1990 (SUPRA, PÁRR.  80).   ELLOS  PERMANECIERON</w:t>
        <w:br/>
        <w:t>DETENIDOS CLANDESTINAMENTE POR VARIAS HORAS, HASTA QUE  FUERON  MUERTOS,  EN</w:t>
        <w:br/>
        <w:t>EL TRANSCURSO DEL  DÍA  SIGUIENTE.   CON  BASE  EN  LO  ANTERIOR,  LA  CORTE</w:t>
        <w:br/>
        <w:t>CONCLUYE QUE A ESTAS VÍCTIMAS SE LES IMPIDIÓ EJERCER,  POR  SÍ  MISMAS  O  A</w:t>
        <w:br/>
        <w:t>TRAVÉS DE SUS REPRESENTANTES, SU DERECHO  A  UN  RECURSO  EFECTIVO  ANTE  LA</w:t>
        <w:br/>
        <w:t>INSTANCIA  NACIONAL  COMPETENTE,  CONSAGRADO  EN  EL  ARTÍCULO  25   DE   LA</w:t>
        <w:br/>
        <w:t>CONVENCIÓN,  DEBIDO  A  QUE  ESTUVIERON  DETENIDOS  BAJO  CIRCUNSTANCIAS  DE</w:t>
        <w:br/>
        <w:t>ILEGALIDAD Y CLANDESTINIDAD.</w:t>
        <w:br/>
        <w:br/>
        <w:t>237.  Este Tribunal ha  establecido  que  “[e]l  artículo  25  se  encuentra</w:t>
        <w:br/>
        <w:t>íntimamente ligado  con  la  obligación  general  del  artículo  1.1  de  la</w:t>
        <w:br/>
        <w:t>Convención  Americana,  al  atribuir  funciones  de  protección  al  derecho</w:t>
        <w:br/>
        <w:t>interno de los Estados Partes”[45], de lo cual se desprende  que  el  Estado</w:t>
        <w:br/>
        <w:t>tiene la responsabilidad de diseñar y consagrar  normativamente  un  recurso</w:t>
        <w:br/>
        <w:t>eficaz, pero también la de asegurar la debida aplicación  de  dicho  recurso</w:t>
        <w:br/>
        <w:t>por parte de sus autoridades judiciales.</w:t>
        <w:br/>
        <w:br/>
        <w:t>238.  Por todo lo expuesto, la  Corte  concluye  que  el  Estado  violó  los</w:t>
        <w:br/>
        <w:t>artículos 8.1 y 25 de la Convención Americana  sobre  Derechos  Humanos,  en</w:t>
        <w:br/>
        <w:t>conexión con el artículo 1.1 de la misma, en  perjuicio  de  Henry  Giovanni</w:t>
        <w:br/>
        <w:t>Contreras, Julio Roberto  Caal  Sandoval,  Jovito  Josué  Juárez  Cifuentes,</w:t>
        <w:br/>
        <w:t>Federico Clemente Figueroa Túnchez, Anstraum Aman  Villagrán  Morales  y  de</w:t>
        <w:br/>
        <w:t>sus familiares inmediatos y que violó,  asimismo,  el  artículo  1.1  de  la</w:t>
        <w:br/>
        <w:t>Convención Americana en lo relativo al deber de investigar.</w:t>
        <w:br/>
        <w:br/>
        <w:br/>
        <w:br/>
        <w:t xml:space="preserve">                                    XIII</w:t>
        <w:br/>
        <w:br/>
        <w:t xml:space="preserve">     Violación de los Artículos 1, 6 y 8 de la Convención Interamericana</w:t>
        <w:br/>
        <w:t xml:space="preserve">                    para Prevenir y Sancionar la Tortura</w:t>
        <w:br/>
        <w:br/>
        <w:t>239.  La Comisión alegó en su demanda, que el Estado también  había  violado</w:t>
        <w:br/>
        <w:t>en  perjuicio  de  Henry  Giovanni  Contreras,  Federico  Clemente  Figueroa</w:t>
        <w:br/>
        <w:t>Túnchez, Julio Roberto Caal Sandoval y Jovito Josué  Juárez  Cifuentes,  los</w:t>
        <w:br/>
        <w:t>artículos 1, 6 y 8 de la Convención contra la Tortura, que “define en  forma</w:t>
        <w:br/>
        <w:t>más precisa y amplía  los  mecanismos  de  protección  establecidos  por  el</w:t>
        <w:br/>
        <w:t>artículo  5  de  la  Convención  Americana”.   Asimismo,   agregó   que   en</w:t>
        <w:br/>
        <w:t>contravención a lo dispuesto en la Convención contra la Tortura,  “jamás  se</w:t>
        <w:br/>
        <w:t>inició una investigación, ni se procesó ni  se  sancionó  a  quienes  habían</w:t>
        <w:br/>
        <w:t>perpetrado” este delito  a  pesar  de  que  se  tuvo  conocimiento  pleno  y</w:t>
        <w:br/>
        <w:t>oportuno  de  los  hechos  a  través  de  “[l]as  autoridades   [nacionales]</w:t>
        <w:br/>
        <w:t>competentes” que “examinaron y recuperaron los cadáveres en el lugar de  los</w:t>
        <w:br/>
        <w:t>Bosques de San Nicolás”; e incluso a pesar de que “el Ministerio Público  lo</w:t>
        <w:br/>
        <w:t>planteó como un hecho relevante en el marco de  la  investigación  judicial”</w:t>
        <w:br/>
        <w:t>interna por homicidio.</w:t>
        <w:br/>
        <w:br/>
        <w:t>240.  Así como el Estado no  hizo  referencia  alguna  a  la  violación  del</w:t>
        <w:br/>
        <w:t>artículo 5 de la Convención Americana en  la  contestación  de  la  demanda,</w:t>
        <w:br/>
        <w:t>tampoco hizo alusión a la violación  de  los  artículos  1,  6  y  8  de  la</w:t>
        <w:br/>
        <w:t>Convención contra la Tortura, ni ofreció ni aportó  ningún  tipo  de  prueba</w:t>
        <w:br/>
        <w:t>que  demostrara   que   las   denuncias   correspondientes   hubieran   sido</w:t>
        <w:br/>
        <w:t>efectivamente investigadas (supra, párrs. 67 y 68).</w:t>
        <w:br/>
        <w:br/>
        <w:t>241.  En los alegatos finales, la Comisión destacó nuevamente  la  falta  de</w:t>
        <w:br/>
        <w:t>investigación de la tortura y destacó que no se tomaron medidas adecuadas  a</w:t>
        <w:br/>
        <w:t>la naturaleza de la prueba que se tenía ante sí.  En concreto, mencionó  que</w:t>
        <w:br/>
        <w:t>no fueron  hechas  “autopsias  completas”  siendo  ésta  “una  facultad  del</w:t>
        <w:br/>
        <w:t>Estado”; que no se sacaron “fotos del conjunto de los cuerpos” e  inclusive,</w:t>
        <w:br/>
        <w:t>a pesar de que algunas  fotografías  muestran  claras  marcas  de  violencia</w:t>
        <w:br/>
        <w:t>física, que  éstas  no  fueron  registradas  o  descritas  en  los  informes</w:t>
        <w:br/>
        <w:t>correspondientes.  En igual orden de ideas, estimó la Comisión  que,  en  el</w:t>
        <w:br/>
        <w:t>marco  de  las  investigaciones  llevadas  a  cabo  a  raíz  de  los   cinco</w:t>
        <w:br/>
        <w:t>homicidios, el reconocimiento de dos agentes de policía por  testigos  junto</w:t>
        <w:br/>
        <w:t>con las pruebas balísticas,  hubiera  permitido  concluir  con  certeza,  en</w:t>
        <w:br/>
        <w:t>instancia nacional, que el oficial de policía Néstor Fonseca López y  el  ex</w:t>
        <w:br/>
        <w:t>oficial de policía Samuel Valdez Zúñiga fueron  los  responsables  de  estas</w:t>
        <w:br/>
        <w:t>muertes y, por lógica consecuencia, de los actos  de  tortura  contra  Henry</w:t>
        <w:br/>
        <w:t>Giovanni Contreras, Federico Clemente Figueroa Túnchez, Julio  Roberto  Caal</w:t>
        <w:br/>
        <w:t>Sandoval y Jovito Josué Juárez Cifuentes.</w:t>
        <w:br/>
        <w:br/>
        <w:t>242.  Asimismo, citó la Comisión varias  disposiciones  que  establecen  las</w:t>
        <w:br/>
        <w:t>obligaciones de investigar, perseguir y  castigar  a  los  responsables  del</w:t>
        <w:br/>
        <w:t>delito de tortura, a saber: la Convención contra la Tortura y  Otros  Tratos</w:t>
        <w:br/>
        <w:t>o Penas Crueles, Inhumanos o Degradantes[46] de Naciones  Unidas,  artículos</w:t>
        <w:br/>
        <w:t>7 y 12; la Declaración sobre la Protección de Todas las Personas  contra  la</w:t>
        <w:br/>
        <w:t>Tortura y  Otros  Tratos  o  Penas  Crueles,  Inhumanos  o  Degradantes[47],</w:t>
        <w:br/>
        <w:t>artículos 9 y 10; el Conjunto de Principios para la Protección de Todas  las</w:t>
        <w:br/>
        <w:t>Personas Sometidas a Cualquier Forma de Detención o Prisión[48].</w:t>
        <w:br/>
        <w:br/>
        <w:t>243.  En sus alegatos finales el  Estado  no  se  pronunció  sobre  el  tema</w:t>
        <w:br/>
        <w:t>(supra, párrs. 67 y 68).</w:t>
        <w:br/>
        <w:br/>
        <w:br/>
        <w:t>244.  El artículo 1 de la Convención contra la Tortura dispone:</w:t>
        <w:br/>
        <w:br/>
        <w:t xml:space="preserve">      Los Estados partes se obligan a prevenir y a sancionar la  tortura  en</w:t>
        <w:br/>
        <w:t xml:space="preserve">      los términos de la presente Convención.</w:t>
        <w:br/>
        <w:br/>
        <w:t>245.  POR SU PARTE, EL  ARTÍCULO  6  DE  LA  CONVENCIÓN  CONTRA  LA  TORTURA</w:t>
        <w:br/>
        <w:t>ESTABLECE QUE</w:t>
        <w:br/>
        <w:br/>
        <w:t xml:space="preserve">      De conformidad con lo dispuesto en el artículo 1, los  Estados  partes</w:t>
        <w:br/>
        <w:t xml:space="preserve">      tomarán medidas efectivas para prevenir y sancionar la tortura  en  el</w:t>
        <w:br/>
        <w:t xml:space="preserve">      ámbito de su jurisdicción.</w:t>
        <w:br/>
        <w:br/>
        <w:br/>
        <w:t xml:space="preserve">      Los Estados Partes se asegurarán de que todos los actos de  tortura  y</w:t>
        <w:br/>
        <w:t xml:space="preserve">      los intentos de cometer tales actos constituyan delitos conforme a  su</w:t>
        <w:br/>
        <w:t xml:space="preserve">      derecho penal, estableciendo para castigarlos  sanciones  severas  que</w:t>
        <w:br/>
        <w:t xml:space="preserve">      tengan en cuenta su gravedad.</w:t>
        <w:br/>
        <w:br/>
        <w:br/>
        <w:t xml:space="preserve">      Igualmente, los Estados partes tomarán medidas efectivas para prevenir</w:t>
        <w:br/>
        <w:t xml:space="preserve">      y sancionar,  además,  otros  tratos  o  penas  crueles,  inhumanos  o</w:t>
        <w:br/>
        <w:t xml:space="preserve">      degradantes en el ámbito de su jurisdicción.</w:t>
        <w:br/>
        <w:br/>
        <w:t>246.  Finalmente, el artículo 8 de la Convención contra la Tortura añade:</w:t>
        <w:br/>
        <w:br/>
        <w:t xml:space="preserve">      Los Estados Partes garantizarán a toda persona que denuncie haber sido</w:t>
        <w:br/>
        <w:t xml:space="preserve">      sometida a tortura en el ámbito de su jurisdicción el derecho a que el</w:t>
        <w:br/>
        <w:t xml:space="preserve">      caso sea examinado imparcialmente.</w:t>
        <w:br/>
        <w:br/>
        <w:br/>
        <w:t xml:space="preserve">      ASIMISMO, CUANDO EXISTA DENUNCIA O RAZÓN FUNDADA PARA CREER QUE SE  HA</w:t>
        <w:br/>
        <w:t xml:space="preserve">      COMETIDO UN ACTO DE TORTURA EN  EL  ÁMBITO  DE  SU  JURISDICCIÓN,  LOS</w:t>
        <w:br/>
        <w:t xml:space="preserve">      ESTADOS PARTES GARANTIZARÁN QUE SUS RESPECTIVAS AUTORIDADES PROCEDERÁN</w:t>
        <w:br/>
        <w:t xml:space="preserve">      DE OFICIO Y DE INMEDIATO A REALIZAR UNA INVESTIGACIÓN SOBRE EL CASO  Y</w:t>
        <w:br/>
        <w:t xml:space="preserve">      A INICIAR, CUANDO CORRESPONDA, EL RESPECTIVO PROCESO PENAL.</w:t>
        <w:br/>
        <w:br/>
        <w:br/>
        <w:t xml:space="preserve">      UNA VEZ AGOTADO EL ORDENAMIENTO JURÍDICO INTERNO DEL RESPECTIVO ESTADO</w:t>
        <w:br/>
        <w:t xml:space="preserve">      Y LOS RECURSOS QUE ÉSTE PREVÉ, EL CASO PODRÁ SER SOMETIDO A INSTANCIAS</w:t>
        <w:br/>
        <w:t xml:space="preserve">      INTERNACIONALES CUYA COMPETENCIA HAYA SIDO ACEPTADA POR ESE ESTADO.</w:t>
        <w:br/>
        <w:br/>
        <w:t>247.  EN PRIMER LUGAR, LA CORTE CONSIDERA OPORTUNO  REFERIRSE  A  SU  PROPIA</w:t>
        <w:br/>
        <w:t>COMPETENCIA PARA INTERPRETAR Y APLICAR LA CONVENCIÓN  CONTRA  LA  TORTURA  Y</w:t>
        <w:br/>
        <w:t>DECLARAR LA RESPONSABILIDAD DE UN ESTADO QUE  HAYA  DADO  SU  CONSENTIMIENTO</w:t>
        <w:br/>
        <w:t>PARA OBLIGARSE POR ESTA CONVENCIÓN Y HAYA ACEPTADO, ADEMÁS,  LA  COMPETENCIA</w:t>
        <w:br/>
        <w:t>DE LA CORTE INTERAMERICANA  DE  DERECHOS  HUMANOS.   COMO  TODAVÍA  EXISTÍAN</w:t>
        <w:br/>
        <w:t>ALGUNOS PAÍSES MIEMBROS DE LA ORGANIZACIÓN DE LOS ESTADOS AMERICANOS QUE  NO</w:t>
        <w:br/>
        <w:t>ERAN PARTES EN LA CONVENCIÓN AMERICANA Y NO HABÍAN ACEPTADO  LA  COMPETENCIA</w:t>
        <w:br/>
        <w:t>DE LA CORTE, LOS REDACTORES DE LA CONVENCIÓN CONTRA  LA  TORTURA  DECIDIERON</w:t>
        <w:br/>
        <w:t>NO INCLUIR EN ÉSTA UN ARTÍCULO QUE HICIERA REFERENCIA EXPRESA Y EXCLUSIVA  A</w:t>
        <w:br/>
        <w:t>LA CORTE INTERAMERICANA PARA NO VINCULARLOS INDIRECTAMENTE A LA  PRIMERA  DE</w:t>
        <w:br/>
        <w:t>DICHAS CONVENCIONES Y AL ÓRGANO JURISDICCIONAL MENCIONADO[49].</w:t>
        <w:br/>
        <w:br/>
        <w:t>248.  Con una cláusula general se abrió la posibilidad de que  ratifiquen  o</w:t>
        <w:br/>
        <w:t>se adhieran a la Convención contra la Tortura el mayor  número  de  Estados.</w:t>
        <w:br/>
        <w:t>Lo que se consideró importante fue atribuir la competencia para  aplicar  la</w:t>
        <w:br/>
        <w:t>Convención contra la Tortura a un órgano internacional, ya se trate  de  una</w:t>
        <w:br/>
        <w:t>comisión, un comité o un tribunal existente o de  uno  que  se  cree  en  el</w:t>
        <w:br/>
        <w:t>futuro.   En  el  presente  caso,  sometido  a  la  Corte  por  la  Comisión</w:t>
        <w:br/>
        <w:t>Interamericana, corresponde  a  este  Tribunal  ejercer  dicha  competencia.</w:t>
        <w:br/>
        <w:t>Guatemala aceptó la competencia de esta Corte  el  9  de  marzo  de  1987  y</w:t>
        <w:br/>
        <w:t>ratificó la Convención contra la Tortura el 29 de enero de 1987,  Convención</w:t>
        <w:br/>
        <w:t>que entró en vigor el 28 de febrero de 1987.</w:t>
        <w:br/>
        <w:br/>
        <w:t>249.  A mayor abundamiento, esta Corte ya ha tenido oportunidad  de  aplicar</w:t>
        <w:br/>
        <w:t>la Convención contra la Tortura y  de  declarar  la  responsabilidad  de  un</w:t>
        <w:br/>
        <w:t>Estado en virtud de su violación[50].</w:t>
        <w:br/>
        <w:br/>
        <w:t>250.  Según se desprende de los documentos, los testimonios y  los  informes</w:t>
        <w:br/>
        <w:t>periciales que existen en el expediente, las autoridades  administrativas  y</w:t>
        <w:br/>
        <w:t>judiciales guatemaltecas no adoptaron decisión formal  alguna  para  iniciar</w:t>
        <w:br/>
        <w:t>una investigación penal en torno  a  la  presunta  comisión  del  delito  de</w:t>
        <w:br/>
        <w:t>tortura y tampoco lo investigaron, en  la  práctica,  a  pesar  de  que,  al</w:t>
        <w:br/>
        <w:t>indagar por los homicidios, se recogieron varias y  concurrentes  evidencias</w:t>
        <w:br/>
        <w:t>sobre tratamientos crueles y torturas a las víctimas.</w:t>
        <w:br/>
        <w:br/>
        <w:t>251.  El artículo 8 de la Convención contra la  Tortura  consagra  en  forma</w:t>
        <w:br/>
        <w:t>expresa la obligación del Estado de proceder de oficio y en forma  inmediata</w:t>
        <w:br/>
        <w:t>en casos como el presente, y la Corte ha  sostenido  que  “en  los  procesos</w:t>
        <w:br/>
        <w:t>sobre violaciones de los derechos humanos, la defensa del  Estado  no  puede</w:t>
        <w:br/>
        <w:t>descansar sobre la imposibilidad del demandante de allegar pruebas  que,  en</w:t>
        <w:br/>
        <w:t>muchos casos, no pueden obtenerse sin la cooperación  del  Estado”[51].   El</w:t>
        <w:br/>
        <w:t>Estado, sin embargo, no actuó con arreglo a esas previsiones.</w:t>
        <w:br/>
        <w:br/>
        <w:t>252.  Por lo tanto, la Corte concluye que el Estado violó los  artículos  1,</w:t>
        <w:br/>
        <w:t>6 y 8 de la Convención Interamericana para Prevenir y Sancionar  la  Tortura</w:t>
        <w:br/>
        <w:t>en  perjuicio  de  Henry  Giovanni  Contreras,  Federico  Clemente  Figueroa</w:t>
        <w:br/>
        <w:t>Túnchez, Julio Roberto Caal Sandoval y Jovito Josué Juárez Cifuentes.</w:t>
        <w:br/>
        <w:br/>
        <w:br/>
        <w:t xml:space="preserve">                                     XIV</w:t>
        <w:br/>
        <w:br/>
        <w:t xml:space="preserve">                             Puntos Resolutivos</w:t>
        <w:br/>
        <w:br/>
        <w:br/>
        <w:t>253.  Por tanto,</w:t>
        <w:br/>
        <w:br/>
        <w:t xml:space="preserve">      LA CORTE</w:t>
        <w:br/>
        <w:br/>
        <w:t xml:space="preserve">      DECIDE</w:t>
        <w:br/>
        <w:br/>
        <w:t>por unanimidad,</w:t>
        <w:br/>
        <w:br/>
        <w:t>1.    declarar que el Estado violó el artículo 7 de la Convención  Americana</w:t>
        <w:br/>
        <w:t>sobre Derechos Humanos, en conexión con el artículo  1.1  de  la  misma,  en</w:t>
        <w:br/>
        <w:t>perjuicio de Henry Giovanni Contreras, Federico Clemente  Figueroa  Túnchez,</w:t>
        <w:br/>
        <w:t>Julio Roberto Caal Sandoval y Jovito Josué Juárez Cifuentes;</w:t>
        <w:br/>
        <w:br/>
        <w:t>2.    declarar que el Estado violó el artículo 4 de la Convención  Americana</w:t>
        <w:br/>
        <w:t>sobre Derechos Humanos, en conexión con el artículo  1.1  de  la  misma,  en</w:t>
        <w:br/>
        <w:t>perjuicio de Henry Giovanni Contreras, Federico Clemente  Figueroa  Túnchez,</w:t>
        <w:br/>
        <w:t>Julio Roberto Caal Sandoval, Jovito Josué Juárez Cifuentes y  Anstraum  Aman</w:t>
        <w:br/>
        <w:t>Villagrán Morales;</w:t>
        <w:br/>
        <w:br/>
        <w:t>3.    declarar que el Estado violó el artículo 5.1 y 5.2  de  la  Convención</w:t>
        <w:br/>
        <w:t>Americana sobre Derechos Humanos, en conexión con  el  artículo  1.1  de  la</w:t>
        <w:br/>
        <w:t>misma, en perjuicio de Henry Giovanni Contreras, Federico Clemente  Figueroa</w:t>
        <w:br/>
        <w:t>Túnchez, Jovito Josué Juárez Cifuentes y Julio Roberto Caal Sandoval;</w:t>
        <w:br/>
        <w:br/>
        <w:t>4.    declarar que  el  Estado  violó  el  artículo  5.2  de  la  Convención</w:t>
        <w:br/>
        <w:t>Americana sobre Derechos Humanos, en conexión con  el  artículo  1.1  de  la</w:t>
        <w:br/>
        <w:t>misma, en  perjuicio  de  las  ascendientes  de  Henry  Giovanni  Contreras,</w:t>
        <w:br/>
        <w:t>Federico Clemente Figueroa Túnchez, Jovito Josué Juárez  Cifuentes  y  Julio</w:t>
        <w:br/>
        <w:t>Roberto Caal Sandoval,  las  señoras  Ana  María  Contreras,  Matilde  Reyna</w:t>
        <w:br/>
        <w:t>Morales García, Rosa Carlota  Sandoval,  Margarita  Sandoval  Urbina,  Marta</w:t>
        <w:br/>
        <w:t>Isabel Túnchez Palencia y Noemí Cifuentes;</w:t>
        <w:br/>
        <w:br/>
        <w:t>5.    declarar  que  el  Estado  violó  el  artículo  19  de  la  Convención</w:t>
        <w:br/>
        <w:t>Americana sobre Derechos Humanos, en conexión con  el  artículo  1.1  de  la</w:t>
        <w:br/>
        <w:t>misma, en perjuicio de Julio Roberto  Caal  Sandoval,  Jovito  Josué  Juárez</w:t>
        <w:br/>
        <w:t>Cifuentes y Anstraum Aman Villagrán Morales;</w:t>
        <w:br/>
        <w:br/>
        <w:t>6.    declarar que el Estado violó los artículos 8.1 y 25 de  la  Convención</w:t>
        <w:br/>
        <w:t>Americana sobre Derechos Humanos, en conexión con  el  artículo  1.1  de  la</w:t>
        <w:br/>
        <w:t>misma,  en  perjuicio  de  Henry  Giovanni  Contreras,  Julio  Roberto  Caal</w:t>
        <w:br/>
        <w:t>Sandoval, Jovito Josué Juárez Cifuentes, Federico Clemente Figueroa  Túnchez</w:t>
        <w:br/>
        <w:t>y Anstraum Aman Villagrán Morales y de sus familiares inmediatos;</w:t>
        <w:br/>
        <w:br/>
        <w:t>7.    declarar que el Estado violó los artículos 1, 6 y 8 de  la  Convención</w:t>
        <w:br/>
        <w:t>Interamericana para Prevenir y Sancionar la Tortura en  perjuicio  de  Henry</w:t>
        <w:br/>
        <w:t>Giovanni Contreras, Federico Clemente Figueroa Túnchez, Julio  Roberto  Caal</w:t>
        <w:br/>
        <w:t>Sandoval y Jovito Josué Juárez Cifuentes;</w:t>
        <w:br/>
        <w:br/>
        <w:t>8.    declarar que  el  Estado  violó  el  artículo  1.1  de  la  Convención</w:t>
        <w:br/>
        <w:t>Americana sobre Derechos Humanos en lo relativo al deber de investigar,  que</w:t>
        <w:br/>
        <w:t>el Estado debe realizar una investigación real y  efectiva  para  determinar</w:t>
        <w:br/>
        <w:t>las personas responsables de las violaciones de los derechos humanos  a  que</w:t>
        <w:br/>
        <w:t>se ha hecho referencia en esta Sentencia y, eventualmente, sancionarlas; y</w:t>
        <w:br/>
        <w:br/>
        <w:t>9.    abrir la etapa de reparaciones y costas, y  comisionar  al  Presidente</w:t>
        <w:br/>
        <w:t>para que adopte las medidas procedimentales correspondientes.</w:t>
        <w:br/>
        <w:br/>
        <w:t>Los Jueces Cançado Trindade y Abreu Burelli hicieron conocer a la  Corte  su</w:t>
        <w:br/>
        <w:t>Voto Concurrente Conjunto, el cual acompaña a esta Sentencia.</w:t>
        <w:br/>
        <w:br/>
        <w:t>Redactada en español e inglés, haciendo fe  el  texto  en  español,  en  San</w:t>
        <w:br/>
        <w:t>José, Costa Rica, el día 19 de noviembre de 1999.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br/>
        <w:t>Oliver Jackman   Alirio Abreu Burelli</w:t>
        <w:br/>
        <w:br/>
        <w:br/>
        <w:t xml:space="preserve">                       Carlos Vicente de Roux Rengifo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                 VOTO CONCURRENTE CONJUNTO DE LOS JUECES</w:t>
        <w:br/>
        <w:t xml:space="preserve">                  A.A. CANÇADO TRINDADE Y A. ABREU BURELLI</w:t>
        <w:br/>
        <w:br/>
        <w:br/>
        <w:t>1.    Quiso el destino que la última Sentencia de la  Corte  Interamericana</w:t>
        <w:br/>
        <w:t>de Derechos Humanos en este año, en el umbral del año 2000, recayera  sobre</w:t>
        <w:br/>
        <w:t>una situación que afecta a  un  sector  particularmente  vulnerable  de  la</w:t>
        <w:br/>
        <w:t>población de los países de América Latina:  la de los padecimientos de  los</w:t>
        <w:br/>
        <w:t>niños en la calle.  El párrafo 144 de  la  presente  Sentencia,  a  nuestro</w:t>
        <w:br/>
        <w:t>juicio, refleja con fidelidad el estado actual de evolución del  derecho  a</w:t>
        <w:br/>
        <w:t>la vida en el marco del Derecho Internacional de los  Derechos  Humanos  en</w:t>
        <w:br/>
        <w:t>general, y bajo la Convención Americana sobre Derechos Humanos (artículo 4)</w:t>
        <w:br/>
        <w:t>en particular.  Afirma el carácter fundamental del derecho a la vida,  que,</w:t>
        <w:br/>
        <w:t>además de inderogable, requiere medidas positivas de protección  por  parte</w:t>
        <w:br/>
        <w:t>del Estado (artículo 1.1 de la Convención Americana).</w:t>
        <w:br/>
        <w:br/>
        <w:t>2.    El derecho a la vida implica no solo la  obligación  negativa  de  no</w:t>
        <w:br/>
        <w:t>privar a nadie de la  vida  arbitrariamente,  sino  también  la  obligación</w:t>
        <w:br/>
        <w:t>positiva de tomar las medidas necesarias para asegurar que no  sea  violado</w:t>
        <w:br/>
        <w:t>aquel derecho básico.  Dicha interpretación del derecho a la vida, de  modo</w:t>
        <w:br/>
        <w:t>que abarque medidas positivas de protección por parte del Estado, encuentra</w:t>
        <w:br/>
        <w:t>respaldo hoy día tanto  en  la  jurisprudencia  internacional  como  en  la</w:t>
        <w:br/>
        <w:t>doctrina1.  Ya no puede haber duda de que el derecho fundamental a la  vida</w:t>
        <w:br/>
        <w:t>pertenece al dominio del jus cogens2 .</w:t>
        <w:br/>
        <w:br/>
        <w:t>3.     El  derecho  a  la   vida   no   puede   seguir   siendo   concebido</w:t>
        <w:br/>
        <w:t>restrictivamente, como lo fue en el pasado, referido sólo a la  prohibición</w:t>
        <w:br/>
        <w:t>de la privación arbitraria de la vida física.   Creemos  que  hay  diversos</w:t>
        <w:br/>
        <w:t>modos de privar a una  persona  arbitrariamente  de  la  vida:   cuando  es</w:t>
        <w:br/>
        <w:t>provocada su muerte directamente por el hecho ilícito  del  homicidio,  así</w:t>
        <w:br/>
        <w:t>como cuando no se evitan las circunstancias que igualmente  conducen  a  la</w:t>
        <w:br/>
        <w:t>muerte de personas como en el cas d’espèce.  En el presente caso  Villagrán</w:t>
        <w:br/>
        <w:t>Morales versus Guatemala (Fondo), atinente a la muerte de niños por agentes</w:t>
        <w:br/>
        <w:t>policiales del Estado, hay la circunstancia agravante de que la vida de los</w:t>
        <w:br/>
        <w:t>niños ya carecía de cualquier sentido; es decir, los niños victimados ya se</w:t>
        <w:br/>
        <w:t>encontraban privados de crear y desarrollar un proyecto de vida  y  aun  de</w:t>
        <w:br/>
        <w:t>procurar un sentido para su propia existencia.</w:t>
        <w:br/>
        <w:br/>
        <w:t>4.     El  deber  del  Estado  de  tomar  medidas  positivas   se   acentúa</w:t>
        <w:br/>
        <w:t>precisamente  en  relación  con  la  protección  de  la  vida  de  personas</w:t>
        <w:br/>
        <w:t>vulnerables e indefensas, en situación de riesgo, como son los niños en  la</w:t>
        <w:br/>
        <w:t>calle.  La privación arbitraria de la vida no se limita, pues,  al  ilícito</w:t>
        <w:br/>
        <w:t>del homicidio; se extiende igualmente a la privación del derecho  de  vivir</w:t>
        <w:br/>
        <w:t>con dignidad.   Esta  visión  conceptualiza  el  derecho  a  la  vida  como</w:t>
        <w:br/>
        <w:t>perteneciente, al mismo tiempo,  al  dominio  de  los  derechos  civiles  y</w:t>
        <w:br/>
        <w:t>políticos, así como al de los derechos económicos, sociales  y  culturales,</w:t>
        <w:br/>
        <w:t>ilustrando así la interrelación e indivisibilidad  de  todos  los  derechos</w:t>
        <w:br/>
        <w:t>humanos.</w:t>
        <w:br/>
        <w:br/>
        <w:t>5.    La Corte Interamericana ha señalado, tanto en la  presente  Sentencia</w:t>
        <w:br/>
        <w:t>(párr. 193), como en su 16a. Opinión Consultiva,  sobre  El  Derecho  a  la</w:t>
        <w:br/>
        <w:t>Información sobre la Asistencia Consular en el marco de las  Garantías  del</w:t>
        <w:br/>
        <w:t>Debido Proceso Legal (1999)3 , que  la  interpretación  de  un  instrumento</w:t>
        <w:br/>
        <w:t>internacional de protección debe “acompañar la evolución de los  tiempos  y</w:t>
        <w:br/>
        <w:t>las condiciones de vida actuales”, y que  dicha  interpretación  evolutiva,</w:t>
        <w:br/>
        <w:t>consecuente con las reglas generales de interpretación de los tratados,  ha</w:t>
        <w:br/>
        <w:t>contribuido decisivamente a los avances del Derecho  Internacional  de  los</w:t>
        <w:br/>
        <w:t>Derechos Humanos.</w:t>
        <w:br/>
        <w:br/>
        <w:t>6.    Nuestra concepción del derecho a la vida bajo la Convención Americana</w:t>
        <w:br/>
        <w:t>(artículo 4, en conexión con el artículo  1.1)  es  manifestación  de  esta</w:t>
        <w:br/>
        <w:t>interpretación evolutiva de la normativa internacional de protección de los</w:t>
        <w:br/>
        <w:t>derechos  del  ser  humano.   En  los  últimos  años,  se  han  deteriorado</w:t>
        <w:br/>
        <w:t>notoriamente las condiciones de vida de amplios segmentos de  la  población</w:t>
        <w:br/>
        <w:t>de los Estados Partes en la Convención Americana, y una interpretación  del</w:t>
        <w:br/>
        <w:t>derecho a la vida no puede hacer abstracción de esta realidad,  sobre  todo</w:t>
        <w:br/>
        <w:t>cuando se trata de los niños en  situación  de  riesgo  en  las  calles  de</w:t>
        <w:br/>
        <w:t>nuestros países de América Latina.</w:t>
        <w:br/>
        <w:br/>
        <w:t>7.    Las necesidades de protección de los más débiles, - como los niños en</w:t>
        <w:br/>
        <w:t>la calle, - requieren en definitiva una interpretación  del  derecho  a  la</w:t>
        <w:br/>
        <w:t>vida de modo que comprenda las condiciones mínimas de una vida  digna.   De</w:t>
        <w:br/>
        <w:t>ahí la vinculación inexorable que constatamos, en  las  circunstancias  del</w:t>
        <w:br/>
        <w:t>presente caso, entre los artículos 4 (derecho a la vida) y 19 (derechos del</w:t>
        <w:br/>
        <w:t>niño) de la Convención Americana, tan bien articulada por la Corte  en  los</w:t>
        <w:br/>
        <w:t>párrafos 144 y 191 de la presente Sentencia.</w:t>
        <w:br/>
        <w:br/>
        <w:t>8.    Creemos que el proyecto de vida es consustancial  del  derecho  a  la</w:t>
        <w:br/>
        <w:t>existencia, y requiere para su desarrollo condiciones  de  vida  digna,  de</w:t>
        <w:br/>
        <w:t>seguridad e integridad de la persona  humana.   En  nuestro  Voto  Razonado</w:t>
        <w:br/>
        <w:t>Conjunto  en  el  caso  Loayza  Tamayo  versus  Perú  (Reparaciones,  1998)</w:t>
        <w:br/>
        <w:t>sostuvimos que el daño al proyecto de vida debe ser integrado  al  universo</w:t>
        <w:br/>
        <w:t>conceptual de las reparaciones bajo  el  artículo  63.1  de  la  Convención</w:t>
        <w:br/>
        <w:t>Americana.  Ahí expresamos que</w:t>
        <w:br/>
        <w:br/>
        <w:t xml:space="preserve">      El proyecto de vida  se  encuentra  indisolublemente  vinculado  a  la</w:t>
        <w:br/>
        <w:t xml:space="preserve">      libertad, como derecho de cada persona a  elegir  su  propio  destino.</w:t>
        <w:br/>
        <w:t xml:space="preserve">      (...)  El  proyecto  de  vida  envuelve  plenamente  el  ideal  de  la</w:t>
        <w:br/>
        <w:t xml:space="preserve">      Declaración Americana [de los Derechos y Deberes del Hombre]  de  1948</w:t>
        <w:br/>
        <w:t xml:space="preserve">      de exaltar el espíritu como finalidad suprema y categoría máxima de la</w:t>
        <w:br/>
        <w:t xml:space="preserve">      existencia humana4.</w:t>
        <w:br/>
        <w:br/>
        <w:t>9.    Una persona que en su infancia vive, como en tantos países de América</w:t>
        <w:br/>
        <w:t>Latina, en la humillación de la miseria, sin la menor condición siquiera de</w:t>
        <w:br/>
        <w:t>crear  su  proyecto  de  vida,  experimenta  un  estado   de   padecimiento</w:t>
        <w:br/>
        <w:t>equivalente a una muerte espiritual; la muerte física que a ésta sigue,  en</w:t>
        <w:br/>
        <w:t>tales circunstancias, es la culminación de la  destrucción  total  del  ser</w:t>
        <w:br/>
        <w:t>humano.  Estos agravios  hacen  víctimas  no  sólo  a  quienes  los  sufren</w:t>
        <w:br/>
        <w:t>directamente, en su espíritu y en su cuerpo; se proyectan dolorosamente  en</w:t>
        <w:br/>
        <w:t>sus seres queridos, en particular en sus  madres,  que  comúnmente  también</w:t>
        <w:br/>
        <w:t>padecen el estado de abandono.  Al sufrimiento de la  pérdida  violenta  de</w:t>
        <w:br/>
        <w:t>sus hijos se añade la indiferencia con que son tratados los restos mortales</w:t>
        <w:br/>
        <w:t>de éstos.</w:t>
        <w:br/>
        <w:br/>
        <w:t>10.   En circunstancias como las del presente caso, como lo  ha  reconocido</w:t>
        <w:br/>
        <w:t>esta Corte (párrs. 174-177), es imposible no incluir, en la noción ampliada</w:t>
        <w:br/>
        <w:t>de víctima,  a  las  madres  de  los  niños  asesinados5.   La  visión  que</w:t>
        <w:br/>
        <w:t>sostenemos corresponde a creencias profundamente arraigadas en las culturas</w:t>
        <w:br/>
        <w:t>de los pueblos de América Latina, en el sentido de que la muerte definitiva</w:t>
        <w:br/>
        <w:t>de un ser humano en el orden espiritual sólo se consuma con el olvido.  Los</w:t>
        <w:br/>
        <w:t>niños asesinados en una calle y en un bosque (irónicamente el bosque de San</w:t>
        <w:br/>
        <w:t>Nicolás, de tanto simbolismo para muchos niños), no tuvieron la oportunidad</w:t>
        <w:br/>
        <w:t>de conciliarse con la idea de su entrega a la eternidad; el respeto  a  los</w:t>
        <w:br/>
        <w:t>restos mortales de los niños contribuye a proporcionar  a  las  madres,  al</w:t>
        <w:br/>
        <w:t>menos, la oportunidad de mantener viva, dentro de sí,  la  memoria  de  sus</w:t>
        <w:br/>
        <w:t>hijos prematuramente desaparecidos.</w:t>
        <w:br/>
        <w:br/>
        <w:t>11.   Frente al imperativo de la protección de la  vida  humana,  y  a  las</w:t>
        <w:br/>
        <w:t>inquietudes y reflexiones suscitadas por la muerte, es muy difícil  separar</w:t>
        <w:br/>
        <w:t>dogmáticamente las consideraciones de orden jurídico de las de orden moral:</w:t>
        <w:br/>
        <w:t xml:space="preserve"> estamos ante un orden de valores superiores,  - substratum de  las  normas</w:t>
        <w:br/>
        <w:t>jurídicas, - que nos ayudan a buscar el sentido  de  la  existencia  y  del</w:t>
        <w:br/>
        <w:t>destino de cada ser humano.   El  Derecho  Internacional  de  los  Derechos</w:t>
        <w:br/>
        <w:t>Humanos, en su evolución, en el umbral del año 2000, no debe en  definitiva</w:t>
        <w:br/>
        <w:t>permanecer insensible o indiferente a estas interrogantes.</w:t>
        <w:br/>
        <w:br/>
        <w:br/>
        <w:br/>
        <w:br/>
        <w:t xml:space="preserve">      Antônio Augusto Cançado Trindade       Alirio Abreu Burelli</w:t>
        <w:br/>
        <w:t xml:space="preserve">      Juez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   -----------------------</w:t>
        <w:br/>
        <w:t>* Sobre la  utilización  de  la  expresión  “niños  de  la  calle”  en  esta</w:t>
        <w:br/>
        <w:t>Sentencia, véase párr. 188.</w:t>
        <w:br/>
        <w:br/>
        <w:t>** El Juez Sergio García Ramírez no pudo  participar  en  la  elaboración  y</w:t>
        <w:br/>
        <w:t>adopción de esta Sentencia por motivos de fuerza mayor.</w:t>
        <w:br/>
        <w:br/>
        <w:t>[1]La organización Childrights International Research Institute presentó  un</w:t>
        <w:br/>
        <w:t>escrito de amicus curiae el 21 de enero de 1999.</w:t>
        <w:br/>
        <w:br/>
        <w:t>[2]Cfr. Informe de 16 de junio de 1990 del Juzgado Primero de Paz de  Mixco,</w:t>
        <w:br/>
        <w:t>referente al hallazgo de dos  cadáveres  en  los  Bosques  de  San  Nicolás;</w:t>
        <w:br/>
        <w:t>Informe de 17 de  junio  de  1990  del  Juzgado  Primero  de  Paz  de  Mixco</w:t>
        <w:br/>
        <w:t>referente al hallazgo de dos cadáveres en los Bosques de San Nicolás;  orden</w:t>
        <w:br/>
        <w:t>judicial de 26 de junio de 1990  por  la  que  se  dispone  que  la  Policía</w:t>
        <w:br/>
        <w:t>Nacional investigue las circunstancias que dieron lugar al hallazgo  de  los</w:t>
        <w:br/>
        <w:t>cadáveres los días 16 y 17 de junio; Informe Forense de 20 de junio de  1990</w:t>
        <w:br/>
        <w:t>referente a un cadáver encontrado el 17 de junio de  1990;  Informe  Forense</w:t>
        <w:br/>
        <w:t>de 19 de junio de 1990 referente a un cadáver encontrado  el  17  de  junio;</w:t>
        <w:br/>
        <w:t>carta de 28 de junio de 1990 de la policía al  Juzgado  Primero  de  Paz  de</w:t>
        <w:br/>
        <w:t>Mixco, referente a la identificación de los cadáveres encontrados  los  días</w:t>
        <w:br/>
        <w:t>16 y 17 de junio de  1990;  Certificado  de  nacimiento  de  Henry  Giovanni</w:t>
        <w:br/>
        <w:t>Contreras; Acta certificada extendida por  el  Secretario  del  Gabinete  de</w:t>
        <w:br/>
        <w:t>Identificación de la Policía Nacional el día 13 de  julio  de  1990,  en  la</w:t>
        <w:br/>
        <w:t>cual consta la identificación de Julio Roberto Caal  Sandoval  como  uno  de</w:t>
        <w:br/>
        <w:t>los cuerpos encontrados el día 17 de junio de 1990; orden de  exhumación  de</w:t>
        <w:br/>
        <w:t>27 de julio de 1990 del Juzgado de Primera Instancia  Penal  de  Instrucción</w:t>
        <w:br/>
        <w:t>solicitada por Rosa  Carlota  Sandoval;  oficio  del  Cuarto  Cuerpo  de  la</w:t>
        <w:br/>
        <w:t>Policía Nacional de 15 de agosto de 1990 en el que  se  deja  constancia  de</w:t>
        <w:br/>
        <w:t>que se llevó a cabo la exhumación de un cuerpo, el cual fue  reconocido  por</w:t>
        <w:br/>
        <w:t>la señora Rosa Carlota Sandoval, quien manifestó que se trataba de su  hijo,</w:t>
        <w:br/>
        <w:t>Julio Roberto Caal Sandoval.  Luego se procedió a la inhumación del  cuerpo;</w:t>
        <w:br/>
        <w:t>nueva orden del Juez de Paz  de  9  de  agosto  de  1990  para  realizar  la</w:t>
        <w:br/>
        <w:t>diligencia de exhumación y constancia de diligencia de exhumación de  14  de</w:t>
        <w:br/>
        <w:t>agosto de 1990 extendida por el Juez Noveno de Paz del Ramo Penal.</w:t>
        <w:br/>
        <w:br/>
        <w:t>[3]Cfr. Informe Forense de 26 de  junio  de  1990  referente  a  un  cadáver</w:t>
        <w:br/>
        <w:t>encontrado el 16 de junio 1990; Certificado de Nacimiento de  Julio  Roberto</w:t>
        <w:br/>
        <w:t>Caal  Sandoval; declaración de 19 de julio de 1990  de  la  madre  de  Henry</w:t>
        <w:br/>
        <w:t>Giovanni  Contreras  ante  el  Juzgado  de  Primera   Instancia   Penal   de</w:t>
        <w:br/>
        <w:t>Instrucción del Municipio de Mixco; declaración de 20 de julio  de  1990  de</w:t>
        <w:br/>
        <w:t>Rosa Carlota Sandoval ante el Juez Primero de  Primera  Instancia  del  Ramo</w:t>
        <w:br/>
        <w:t>Penal de Instrucción; Informe de 4 de marzo  de  1991  del  Departamento  de</w:t>
        <w:br/>
        <w:t>Investigaciones Criminales de la Policía Nacional en el caso de los  jóvenes</w:t>
        <w:br/>
        <w:t>encontrados en los Bosques de San Nicolás [Informe de  los  Bosques  de  San</w:t>
        <w:br/>
        <w:t>Nicolás];  fotocopias  de  fotografías  que  relacionan  y   documentan   el</w:t>
        <w:br/>
        <w:t>testimonio de María Eugenia Rodríguez, tomadas por Bruce Harris;  fotocopias</w:t>
        <w:br/>
        <w:t>de fotografías referentes al hallazgo de los cadáveres de cuatro jóvenes  en</w:t>
        <w:br/>
        <w:t>los Bosques de San Nicolás, tomadas por la Policía Nacional;  fotocopias  de</w:t>
        <w:br/>
        <w:t>fotografías que muestran lugares relacionados con el descubrimiento  de  los</w:t>
        <w:br/>
        <w:t>cadáveres de cuatro jóvenes en los Bosques de San Nicolás,  tomadas  por  la</w:t>
        <w:br/>
        <w:t>Policía Nacional; fotografías de Jovito Josué Juárez  Cifuentes;  fotografía</w:t>
        <w:br/>
        <w:t>de Julio Roberto Caal Sandoval; fotografía  de  Federico  Clemente  Figueroa</w:t>
        <w:br/>
        <w:t>Túnchez; telegrama oficial del 12 de septiembre de 1990 del Juez Primero  de</w:t>
        <w:br/>
        <w:t>Primera Instancia Penal de Instrucción al Juez de  Primera  Instancia  Penal</w:t>
        <w:br/>
        <w:t>de Instrucción del Municipio de Mixco y Constancia  de  estudios  académicos</w:t>
        <w:br/>
        <w:t>de 8 de julio de 1991 de Samuel Rocael Valdez Zúñiga.</w:t>
        <w:br/>
        <w:br/>
        <w:t>[4]Cfr. declaración de 18 de julio de 1990 de Bruce Harris ante  la  Sección</w:t>
        <w:br/>
        <w:t>de Procuraduría de Menores del Ministerio  Público;  declaración  de  20  de</w:t>
        <w:br/>
        <w:t>agosto de 1990 de Bruce Harris ante el Juez  Primero  de  Primera  Instancia</w:t>
        <w:br/>
        <w:t>del Ramo Penal de Instrucción; ampliación de la declaración de Bruce  Harris</w:t>
        <w:br/>
        <w:t>de 20 de agosto, tomada el  11  de  septiembre  de  1990,  ante  el  Juzgado</w:t>
        <w:br/>
        <w:t>Primero de Primera  Instancia  del  Ramo  Penal  de  Instrucción  ofreciendo</w:t>
        <w:br/>
        <w:t>prueba testimonial; declaración  de  11  de  septiembre  de  1990  de  María</w:t>
        <w:br/>
        <w:t>Eugenia Rodríguez ante el Juzgado Primero  de  Primera  Instancia  del  Ramo</w:t>
        <w:br/>
        <w:t>Penal de Instrucción; declaración de 19 de septiembre  de  1990  de  Gustavo</w:t>
        <w:br/>
        <w:t>Adolfo Cóncaba Cisneros ante el Juzgado Primero  de  Primera  Instancia  del</w:t>
        <w:br/>
        <w:t>Ramo Penal de Instrucción; escrito del Ministerio Público de 23 de julio  de</w:t>
        <w:br/>
        <w:t>1990 al Juez Primero de Primera Instancia del Ramo Penal de  Instrucción  en</w:t>
        <w:br/>
        <w:t>el que se ratifica  la  denuncia  hecha  por  Bruce  Harris,  y  además,  se</w:t>
        <w:br/>
        <w:t>solicita tener apersonado al Ministerio Público en el proceso  por  iniciar;</w:t>
        <w:br/>
        <w:t>escrito de 25 de julio de 1990  (ref.  C-2599-90-50)  del  Juez  Primero  de</w:t>
        <w:br/>
        <w:t>Primera  Instancia  Penal  de  Instrucción  en  el  que  ordena  iniciar  la</w:t>
        <w:br/>
        <w:t>averiguación sumaria de los hechos denunciados.</w:t>
        <w:br/>
        <w:br/>
        <w:t>[5]Cfr. Informe de 26 de junio de 1990 del Juzgado de  Paz  Penal  de  Turno</w:t>
        <w:br/>
        <w:t>sobre remoción de un cadáver (Anstraum Aman Villagrán Morales);  Informe  de</w:t>
        <w:br/>
        <w:t>26 de junio de 1990 del Juzgado de Paz Penal de Turno  sobre  reconocimiento</w:t>
        <w:br/>
        <w:t>judicial de un cadáver (Anstraum Aman Villagrán Morales); Informe de  26  de</w:t>
        <w:br/>
        <w:t>junio de 1990 de la Policía  Nacional,  sobre  el  hallazgo  de  un  cadáver</w:t>
        <w:br/>
        <w:t>(Anstraum Villagrán Morales); Informe de autopsia de 27  de  junio  de  1990</w:t>
        <w:br/>
        <w:t>(Anstraum Aman Villagrán Morales);  Informe  de  3  de  julio  de  1990  del</w:t>
        <w:br/>
        <w:t>Gabinete de Identificación de la Policía Nacional sobre prueba balística.</w:t>
        <w:br/>
        <w:br/>
        <w:t>[6]Cfr. declaración de 27 de julio de 1990 de Bruce Harris ante  el  Juzgado</w:t>
        <w:br/>
        <w:t>Segundo de Primera Instancia del Ramo Penal de Instrucción;  declaración  de</w:t>
        <w:br/>
        <w:t>29 de agosto de 1990 de Matilde Reyna  Morales  García  (madre  de  Anstraum</w:t>
        <w:br/>
        <w:t>Aman Villagrán Morales) ante el Juzgado Segundo  de  Primera  Instancia  del</w:t>
        <w:br/>
        <w:t>Ramo Penal de Instrucción; declaración de 31 de agosto   de  1990  de  Bruce</w:t>
        <w:br/>
        <w:t>Harris ante el Juzgado Segundo  de  Primera  Instancia  del  Ramo  Penal  de</w:t>
        <w:br/>
        <w:t>Instrucción; copia de la declaración de 31 de agosto  de  1990  del  testigo</w:t>
        <w:br/>
        <w:t>Gustavo  Adolfo  Cóncaba  Cisneros  ante  el  Juzgado  Segundo  de   Primera</w:t>
        <w:br/>
        <w:t>Instancia del Ramo Penal de Instrucción;  declaración  de  la  testigo  Aída</w:t>
        <w:br/>
        <w:t>Patricia Cámbara Cruz ante el Juzgado Segundo de Primera Instancia del  Ramo</w:t>
        <w:br/>
        <w:t>Penal de Instrucción; orden de 17 de enero de 1991 del  Juzgado  Segundo  de</w:t>
        <w:br/>
        <w:t>Primera Instancia del Ramo Penal de Instrucción al Director  de  la  Policía</w:t>
        <w:br/>
        <w:t>Nacional, para que procedan a investigar  la  muerte  violenta  de  Anstraum</w:t>
        <w:br/>
        <w:t>Villagrán Morales; Informe del Gabinete  de  Identificación  de  la  Policía</w:t>
        <w:br/>
        <w:t>Nacional de 27 de febrero de 1991 sobre prueba balística; Informe de  25  de</w:t>
        <w:br/>
        <w:t>marzo de 1991 del  Departamento  de  Investigaciones  Criminológicas  de  la</w:t>
        <w:br/>
        <w:t>Policía Nacional sobre el asesinato de Anstraum Villagrán  Morales  [Informe</w:t>
        <w:br/>
        <w:t>Policial sobre Villagrán]; carta de 3 de febrero de 1991 del  Quinto  Cuerpo</w:t>
        <w:br/>
        <w:t>de la Policía Nacional referente al servicio de Samuel Rocael Valdez  Zúñiga</w:t>
        <w:br/>
        <w:t>durante los días 25 y 26 de junio de  1990;  Certificado  de  nacimiento  de</w:t>
        <w:br/>
        <w:t>Anstraum Villagrán Morales; Informe del Gabinete  de  Identificación  de  la</w:t>
        <w:br/>
        <w:t>Policía Nacional de 15 de marzo de 1991 sobre prueba balística;  declaración</w:t>
        <w:br/>
        <w:t>de 26 de marzo de 1991 de la testigo Julia Griselda Ramírez  López  ante  el</w:t>
        <w:br/>
        <w:t>Juzgado  Segundo  de  Primera  Instancia  del  Ramo  Penal  de  Instrucción;</w:t>
        <w:br/>
        <w:t>declaración de 27 de marzo de 1991 del investigador policial Ayende  Anselmo</w:t>
        <w:br/>
        <w:t>Ardiano Paz ante el Juzgado Segundo de Primera Instancia del Ramo  Penal  de</w:t>
        <w:br/>
        <w:t>Instrucción; declaración de 27 de marzo de 1991  del  investigador  policial</w:t>
        <w:br/>
        <w:t>Edgar  Alberto  Mayorga  Mazariegos  ante  el  Juzgado  Segundo  de  Primera</w:t>
        <w:br/>
        <w:t>Instancia del Ramo Penal de Instrucción; declaración de 27 de marzo de  1991</w:t>
        <w:br/>
        <w:t>del investigador  policial  Rember  Aroldo  Larios  Tobar  ante  el  Juzgado</w:t>
        <w:br/>
        <w:t>Segundo de Primera Instancia del Ramo Penal de Instrucción; carta  de  5  de</w:t>
        <w:br/>
        <w:t>abril  de  1991  (ref.  1251-91)   del   Departamento   de   Investigaciones</w:t>
        <w:br/>
        <w:t>Criminológicas  de  la  Policía  Nacional  al  Juzgado  Segundo  de  Primera</w:t>
        <w:br/>
        <w:t>Instancia del Ramo Penal de Instrucción  confirmando  la  situación  de  los</w:t>
        <w:br/>
        <w:t>oficiales Fonseca y Valdez; carta de 30 de marzo de 1991 de un Inspector  de</w:t>
        <w:br/>
        <w:t>la Policía Nacional al Quinto Cuerpo confirmando que el revólver  registrado</w:t>
        <w:br/>
        <w:t>con el  número  1481127  había  sido  entregado  al  agente  Valdez  Zúñiga;</w:t>
        <w:br/>
        <w:t>declaración de 11  de  abril  de  1991  del  investigador  policial  Delfino</w:t>
        <w:br/>
        <w:t>Hernández García ante el Juzgado  Segundo  de  Primera  Instancia  del  Ramo</w:t>
        <w:br/>
        <w:t>Penal de Instrucción; declaración de 12 de  abril  de  1991  de  la  testigo</w:t>
        <w:br/>
        <w:t>Micaela Solís Ramírez ante el Juzgado Segundo de Primera Instancia del  Ramo</w:t>
        <w:br/>
        <w:t>Penal de Instrucción; declaración de 12 de abril de  1991  ante  el  Juzgado</w:t>
        <w:br/>
        <w:t>Segundo de Primera Instancia del Ramo Penal de  Instrucción  de  la  testigo</w:t>
        <w:br/>
        <w:t>Rosa Angélica Vega; Acta de  18  de  abril  de  1991  del  Procedimiento  de</w:t>
        <w:br/>
        <w:t>Reconocimiento Judicial [fila] con los testigos  Walter  Aníbal  Choc  Teni,</w:t>
        <w:br/>
        <w:t>Julia  Griselda  Ramírez  López,  Micaela  Solís  Ramírez,  Gustavo   Adolfo</w:t>
        <w:br/>
        <w:t>Cisneros Cóncaba; carta de 24 de abril de 1991 de  la  Policía  Nacional  al</w:t>
        <w:br/>
        <w:t>Juez Segundo de Primera Instancia del Ramo Penal  de  Instrucción  referente</w:t>
        <w:br/>
        <w:t>al horario de trabajo de Néstor Fonseca y carta  de  22  de  abril  de  1991</w:t>
        <w:br/>
        <w:t>(ref. 2810) de la Policía Nacional al Juez Segundo de Primera Instancia  del</w:t>
        <w:br/>
        <w:t>Ramo Penal de Instrucción referente a la destitución de su cargo  de  Samuel</w:t>
        <w:br/>
        <w:t>Rocael Valdez Zúñiga.</w:t>
        <w:br/>
        <w:br/>
        <w:t>[7]Cfr. carta de 18 de abril de 1991 de la Policía Nacional  al  Juzgado  de</w:t>
        <w:br/>
        <w:t>Paz Octavo Penal, informando sobre el  arresto  del  agente  Néstor  Fonseca</w:t>
        <w:br/>
        <w:t>López; certificado de defunción de Rosa Carlota Sandoval; declaración de  18</w:t>
        <w:br/>
        <w:t>de septiembre de 1991 de María Eugenia Rodríguez, en virtud de una  citación</w:t>
        <w:br/>
        <w:t>especial ante el Juzgado Tercero de Primera Instancia  Penal  de  Sentencia;</w:t>
        <w:br/>
        <w:t>declaración de 16 de octubre de 1991 de Micaela Solís Ramírez, en virtud  de</w:t>
        <w:br/>
        <w:t>una citación especial ante  el  Juzgado  Tercero  de  Primera  Instancia  de</w:t>
        <w:br/>
        <w:t>Sentencia; Certificado de defunción de Gustavo Adolfo  Cóncaba;  declaración</w:t>
        <w:br/>
        <w:t>indagatoria de Néstor Fonseca López  ante  el  Juzgado  Tercero  de  Primera</w:t>
        <w:br/>
        <w:t>Instancia del Ramo Penal de  Instrucción  del  día  11  de  abril  de  1991;</w:t>
        <w:br/>
        <w:t>Sentencia de 26  de  diciembre  de  1991  del  Juzgado  Tercero  de  Primera</w:t>
        <w:br/>
        <w:t>Instancia  Penal  de  Sentencia;  escrito  de  recurso  de  revocatoria  con</w:t>
        <w:br/>
        <w:t>apelación en subsidio de 26 de abril  1991  interpuesto  por  Rosa  Trinidad</w:t>
        <w:br/>
        <w:t>Morales ante el Juzgado Tercero de Primera Instancia Penal de Sentencia  por</w:t>
        <w:br/>
        <w:t>la apertura  del  juicio  y  auto  de  prisión  provisional  en  su  contra;</w:t>
        <w:br/>
        <w:t>pronunciamiento del reo Néstor Fonseca López de 6 de mayo de  1991  ante  el</w:t>
        <w:br/>
        <w:t>Juez Tercero de Primera Instancia Penal de Sentencia,  en  el  cual  rechaza</w:t>
        <w:br/>
        <w:t>los hechos que se le imputan; escrito del Ministerio Público de 24  de  mayo</w:t>
        <w:br/>
        <w:t>de 1991 dirigido al Juez Tercero de Primera Instancia  Penal  de  Sentencia,</w:t>
        <w:br/>
        <w:t>por el proceso No.145-4-91  seguido  contra  Néstor  Fonseca  López  y  Rosa</w:t>
        <w:br/>
        <w:t>Trinidad Morales Pérez, en el cual solicita abrir a prueba el proceso y  que</w:t>
        <w:br/>
        <w:t>se produzcan las que en ese mismo acto ofrece; escrito del investigador  III</w:t>
        <w:br/>
        <w:t>de Policía de 29 de mayo de 1991, en el cual pone a disposición del Juez  de</w:t>
        <w:br/>
        <w:t>Primera Instancia de Instrucción del Juzgado Segundo al  reo  Samuel  Rocael</w:t>
        <w:br/>
        <w:t>Valdez Zúñiga; declaración indagatoria del reo Samuel Rocael  Valdez  Zúñiga</w:t>
        <w:br/>
        <w:t>de 30 de mayo de 1991 ante el Juzgado Tercero de Primera Instancia Penal  de</w:t>
        <w:br/>
        <w:t>Sentencia; ampliación de la declaración indagatoria del  reo  Samuel  Rocael</w:t>
        <w:br/>
        <w:t>Valdez Zúñiga de 31 de  mayo  de  1991  ante  el  Juez  Tercero  de  Primera</w:t>
        <w:br/>
        <w:t>Instancia  Penal  de  Sentencia;  auto  de  apertura  a  juicio  y   prisión</w:t>
        <w:br/>
        <w:t>provisional en contra de  Rosa  Trinidad  Morales  y  Néstor  Fonseca  López</w:t>
        <w:br/>
        <w:t>dictado por el Juzgado Tercero de Primera Instancia Penal  de  Sentencia  en</w:t>
        <w:br/>
        <w:t>fecha 24 de abril de 1991; resolución de 31 de  mayo  de  1991  del  Juzgado</w:t>
        <w:br/>
        <w:t>Tercero de Primera Instancia Penal de  Sentencia,  en  la  cual  se  decreta</w:t>
        <w:br/>
        <w:t>prisión  provisional  contra  Samuel  Rocael  Valdez  Zúñiga;   escrito   de</w:t>
        <w:br/>
        <w:t>revocatoria del auto de prisión provisional presentado por  el  defensor  de</w:t>
        <w:br/>
        <w:t>Néstor Fonseca López, en fecha 22 de abril de  1991;  resolución  de  31  de</w:t>
        <w:br/>
        <w:t>mayo de 1991 del Juzgado Tercero de Primera Instancia Penal de Sentencia  en</w:t>
        <w:br/>
        <w:t>la cual amplía el auto de apertura a juicio; resolución de  3  de  junio  de</w:t>
        <w:br/>
        <w:t>1991 del Juzgado Tercero de Primera Instancia Penal de Sentencia en la  cual</w:t>
        <w:br/>
        <w:t>se rechaza el reconocimiento de la  personería  de  Zoila  Eugenia  Ligorria</w:t>
        <w:br/>
        <w:t>González  de  Monterroso;  escrito  que  otorga  el  recurso  de   apelación</w:t>
        <w:br/>
        <w:t>interpuesto por Rosa Trinidad Morales el 4 de junio de 1991 ante el  Juzgado</w:t>
        <w:br/>
        <w:t>Tercero de Primera Instancia Penal de Sentencia el 26  de  abril  contra  el</w:t>
        <w:br/>
        <w:t>auto de apertura a juicio de 24 de abril de  1991;  ofrecimiento  de  prueba</w:t>
        <w:br/>
        <w:t>testimonial de 5 de junio  de  1991  por  parte  de  Néstor  Fonseca  López;</w:t>
        <w:br/>
        <w:t>ofrecimiento de prueba testimonial de 5 de junio de 1991 de la Defensora  de</w:t>
        <w:br/>
        <w:t>Oficio de Néstor  Fonseca  López;  pronunciamiento  del  reo  Samuel  Rocael</w:t>
        <w:br/>
        <w:t>Valdez Zúñiga de 7 junio de 1991; nombramiento de 13 de junio de 1991 de  la</w:t>
        <w:br/>
        <w:t>Licda. Mayra Yojana Veliz López  como  defensora  de  Samuel  Rocael  Valdez</w:t>
        <w:br/>
        <w:t>Zúñiga; Informe socio-económico de 20 de junio  de  1991  de  Rosa  Trinidad</w:t>
        <w:br/>
        <w:t>Morales Pérez, elaborado por el Servicio de  Información  Social  del  Poder</w:t>
        <w:br/>
        <w:t>Judicial;  ofrecimiento  de  prueba  del  Ministerio  Público,  Sección   de</w:t>
        <w:br/>
        <w:t>Procuraduría de Menores de 19 de junio de 1991; Informe  socio-económico  de</w:t>
        <w:br/>
        <w:t>24 de junio de 1991 de Néstor Fonseca López elaborado  por  el  Servicio  de</w:t>
        <w:br/>
        <w:t>Información Social del Poder Judicial; ampliación de proposición  de  prueba</w:t>
        <w:br/>
        <w:t>de Néstor Fonseca López de 2 de julio de 1991; Informe socio-económico de  3</w:t>
        <w:br/>
        <w:t>de julio de 1991 de Samuel Rocael Valdez Zúñiga, elaborado por  el  Servicio</w:t>
        <w:br/>
        <w:t>de Información Social del Poder Judicial; ofrecimiento de  prueba  de  Mayra</w:t>
        <w:br/>
        <w:t>Yojana Veliz López, abogada de Samuel Rocael  Valdez  Zúñiga;  certificación</w:t>
        <w:br/>
        <w:t>de antecedentes policíacos de Samuel Rocael Valdez Zúñiga de 13 de marzo  de</w:t>
        <w:br/>
        <w:t>1991; revocatoria del auto de prisión provisional de Rosa  Trinidad  Morales</w:t>
        <w:br/>
        <w:t>Pérez de 22 de julio de 1991; oficio  de  23  de  julio  de  1991  del  Juez</w:t>
        <w:br/>
        <w:t>Tercero de Primera instancia Penal  de  Sentencia  al  Director  General  de</w:t>
        <w:br/>
        <w:t>Migración, en el cual se comunica la prohibición de salida del país de  Rosa</w:t>
        <w:br/>
        <w:t>Trinidad Morales Pérez; escrito de 30 de julio  de  1991  de  evacuación  de</w:t>
        <w:br/>
        <w:t>audiencia de la abogada defensora de Rosa Trinidad Morales  Pérez;  auto  de</w:t>
        <w:br/>
        <w:t>apertura a prueba de 30 de agosto de 1991 del  Juzgado  Tercero  de  Primera</w:t>
        <w:br/>
        <w:t>Instancia Penal de Sentencia;  declaración  de  19  de  septiembre  de  1991</w:t>
        <w:br/>
        <w:t>mediante llamamiento especial del reo Néstor Fonseca  López;  diligencia  de</w:t>
        <w:br/>
        <w:t>reconocimiento judicial de 17  de  octubre  de  1991  sin  complementar  con</w:t>
        <w:br/>
        <w:t>reconstrucción  de  hechos;  escrito  del  Ministerio  Público   solicitando</w:t>
        <w:br/>
        <w:t>nuevamente  practicar  la  diligencia   de   reconocimiento   judicial   con</w:t>
        <w:br/>
        <w:t>reconstrucción de hechos, del día 18 de  octubre  de  1991;  Resolución  del</w:t>
        <w:br/>
        <w:t>Juzgado Tercero de Primera Instancia del Ramo Penal de Sentencia  de  21  de</w:t>
        <w:br/>
        <w:t>octubre de 1991 en la  que  se  rechaza  la  diligencia  solicitada  por  el</w:t>
        <w:br/>
        <w:t>Ministerio Público para realizar reconocimiento judicial con  reconstrucción</w:t>
        <w:br/>
        <w:t>de hechos; interrogatorio de  19  de  junio  de  1991  mediante  llamamiento</w:t>
        <w:br/>
        <w:t>especial del reo Samuel Rocael Valdez Zúñiga; declaración de 18  de  octubre</w:t>
        <w:br/>
        <w:t>de 1991 mediante llamamiento especial del reo Samuel Rocael  Valdez  Zúñiga;</w:t>
        <w:br/>
        <w:t>escritos de alegatos del  Ministerio  Público  presentado  ante  el  Juzgado</w:t>
        <w:br/>
        <w:t>Tercero de Primera Instancia del Ramo Penal de Instrucción de 30 de  octubre</w:t>
        <w:br/>
        <w:t>de 1991; escrito de 30 de octubre de 1991 de la defensora de Néstor  Fonseca</w:t>
        <w:br/>
        <w:t>López, en el cual presenta alegatos de defensa en su  favor  y  comunicación</w:t>
        <w:br/>
        <w:t>de 3 de abril de 1992  del  Juez  Tercero  de  Primera  Instancia  Penal  de</w:t>
        <w:br/>
        <w:t>Sentencia al Supervisor General de Instrucción en el  cual  informa  que  la</w:t>
        <w:br/>
        <w:t>sentencia absolutoria de 26 de  diciembre  del  Juzgado  Tercero  de  Primer</w:t>
        <w:br/>
        <w:t>Instancia Penal de Sentencia  en  favor  de  Rosa  Trinidad  Morales  Pérez,</w:t>
        <w:br/>
        <w:t>Néstor Fonseca López y Samuel Rocael Valdez Zúñiga, fue  confirmada  por  la</w:t>
        <w:br/>
        <w:t>Sala Cuarta  de  la  Corte  de  Apelaciones  y  los  procesados  puestos  en</w:t>
        <w:br/>
        <w:t>libertad.</w:t>
        <w:br/>
        <w:br/>
        <w:t>[8]Cfr. Sentencia de 25 de marzo de 1992 de la Sala Cuarta de  la  Corte  de</w:t>
        <w:br/>
        <w:t>Apelaciones de Guatemala y acto  de  interposición  verbal  del  recurso  de</w:t>
        <w:br/>
        <w:t>apelación por parte del Ministerio Público de 21 de enero de 1992.</w:t>
        <w:br/>
        <w:br/>
        <w:t>[9]Cfr. Sentencia de la Cámara Penal de la  Corte  Suprema  de  Justicia  de</w:t>
        <w:br/>
        <w:t>Guatemala  de 21 de julio de 1993 sobre el recurso de  casación  interpuesto</w:t>
        <w:br/>
        <w:t>por el Ministerio Público, contra la sentencia dictada por  la  Sala  Cuarta</w:t>
        <w:br/>
        <w:t>de la Corte de Apelaciones de 25 de marzo de 1992 y recurso de  casación  de</w:t>
        <w:br/>
        <w:t>4 de mayo de 1992 interpuesto por el Ministerio Público contra la  sentencia</w:t>
        <w:br/>
        <w:t>de la Sala Cuarta de la Corte de Apelaciones de Guatemala.</w:t>
        <w:br/>
        <w:br/>
        <w:t>[10]Cfr. escrito de denuncia, dirigido por la Asociación  Casa  Alianza,  el</w:t>
        <w:br/>
        <w:t>Centro por la Justicia y el Derecho Internacional  (CEJIL)  y  Human  Rights</w:t>
        <w:br/>
        <w:t>Watch/Americas a la Secretaria Ejecutiva de la  Comisión  Interamericana  de</w:t>
        <w:br/>
        <w:t>Derechos  Humanos;  copia  del  oficio  No.  948.94  de  la   Representación</w:t>
        <w:br/>
        <w:t>Permanente de Guatemala ante la  Organización  de  los  Estados  Americanos;</w:t>
        <w:br/>
        <w:t>copia del Informe No. 33/96 de  16  de  octubre  de  1996,  emitido  por  la</w:t>
        <w:br/>
        <w:t>Comisión Interamericana durante su  93°  Período  Ordinario  de  Sesiones  y</w:t>
        <w:br/>
        <w:t>expediente tramitado ante la Comisión Interamericana.</w:t>
        <w:br/>
        <w:br/>
        <w:t>[11]Cfr. Amnistía Internacional, Informe Guatemala: Los Niños  de  la  Calle</w:t>
        <w:br/>
        <w:t>(1990) y Casa Alianza, Informe Report to the Committee  against  Torture  on</w:t>
        <w:br/>
        <w:t>the Torture of Guatemala Street Children: 1990 – 1995 (1995).</w:t>
        <w:br/>
        <w:br/>
        <w:t>[12]Cfr. Caso Godínez Cruz. Sentencia de 20 de enero de 1989.  Serie  C  No.</w:t>
        <w:br/>
        <w:t>5, párr. 144 y Caso Velásquez Rodríguez. Sentencia de 29 de julio  de  1988.</w:t>
        <w:br/>
        <w:t>Serie C No. 4, párr. 138.</w:t>
        <w:br/>
        <w:br/>
        <w:t>[13]Cfr. Caso Castillo Petruzzi y otros. Sentencia de 30 de  mayo  de  1999.</w:t>
        <w:br/>
        <w:t>Serie C No. 52, párr. 62; en igual sentido Caso Paniagua  Morales  y  otros.</w:t>
        <w:br/>
        <w:t>Sentencia de 8 de marzo de 1998. Serie C No. 37,  párr.  72;  Caso  Gangaram</w:t>
        <w:br/>
        <w:t>Panday. Sentencia de 21 de enero de 1994. Serie C No.  16,  párr.  49;  Caso</w:t>
        <w:br/>
        <w:t>Fairén Garbi y Solís Corrales. Sentencia de 15 de marzo  de  1989.  Serie  C</w:t>
        <w:br/>
        <w:t>No. 6, párrs. 130-133; Caso Godínez Cruz, supra nota 12,  párrs.  133-136  y</w:t>
        <w:br/>
        <w:t>Caso Velásquez Rodríguez, supra nota 12, párrs. 127-130.</w:t>
        <w:br/>
        <w:br/>
        <w:t>[14]Cfr. Caso Paniagua Morales y otros, supra nota 13, párr. 81.</w:t>
        <w:br/>
        <w:br/>
        <w:t>[15]Caso Castillo Páez. Sentencia de 3 de noviembre de  1997.  Serie  C  No.</w:t>
        <w:br/>
        <w:t>34, párr. 39 y Caso Loayza Tamayo. Sentencia de 17 de  septiembre  de  1997.</w:t>
        <w:br/>
        <w:t>Serie C No. 33, párr. 42.</w:t>
        <w:br/>
        <w:br/>
        <w:t>[16]Cfr. Caso Blake. Sentencia de 24 de enero  de  1998.  Serie  C  No.  36,</w:t>
        <w:br/>
        <w:t>párr. 46.</w:t>
        <w:br/>
        <w:br/>
        <w:t>[17]Cfr. Eur. Court H. R., Costello-Roberts v. the United  Kingdom  Judgment</w:t>
        <w:br/>
        <w:t>of 25 March 1993, Serie A no. 247-C, p. 59, § 30; Eur.  Court  H.  R.,  Case</w:t>
        <w:br/>
        <w:t>Soering v. the United Kingdom, Judgment of 7 July 1989, Series  A  no.  161,</w:t>
        <w:br/>
        <w:t>p. 39, § 100; Eur.  Court  H.  R.,  Case  Ireland  v.  the  United  Kingdom,</w:t>
        <w:br/>
        <w:t>Judgment of 18 January 1978, Series A no. 25, p. 65, § 162, y Eur. Court  H.</w:t>
        <w:br/>
        <w:t>R., Case Tyrer v. the United Kingdom, Judgment of 25 April  1978,  Series  A</w:t>
        <w:br/>
        <w:t>no. 26, pp. 14-15, §§ 29-30.</w:t>
        <w:br/>
        <w:br/>
        <w:t>[18]Caso Paniagua Morales y otros, supra nota 13, párr. 91.</w:t>
        <w:br/>
        <w:br/>
        <w:t>[19]El Juzgado Primero de Primera Instancia del Ramo  Penal  de  Instrucción</w:t>
        <w:br/>
        <w:t>dio inicio a una instrucción penal sobre hechos que coincidían  parcialmente</w:t>
        <w:br/>
        <w:t>con los de este caso, a partir de una denuncia formulada por el señor  Bruce</w:t>
        <w:br/>
        <w:t>Harris. En  este  proceso  se  recibieron  declaraciones  del  propio  Bruce</w:t>
        <w:br/>
        <w:t>Harris, de María Eugenia Rodríguez y de  Gustavo  Adolfo  Cóncaba  Cisneros.</w:t>
        <w:br/>
        <w:t>Las actuaciones del juzgado mencionado fueron  acumuladas  posteriormente  a</w:t>
        <w:br/>
        <w:t>la causa No. 1.712/90 del Juzgado Segundo  de  Primera  Instancia  del  Ramo</w:t>
        <w:br/>
        <w:t>Penal de Instrucción, a la cual se  hace  referencia  más  adelante  (infra,</w:t>
        <w:br/>
        <w:t>párrs. 93-103).</w:t>
        <w:br/>
        <w:br/>
        <w:t>[20]Caso Gangaram Panday, supra nota 13, párr. 47.</w:t>
        <w:br/>
        <w:br/>
        <w:t>[21]Cfr. Eur. Court HR, Aksoy  v.  Turkey  judgment  of  18  December  1996,</w:t>
        <w:br/>
        <w:t>Reports of Judgments and Decisions 1996-VI, p.  2282,  §  76  y  Brogan  and</w:t>
        <w:br/>
        <w:t>Others Judgment of 29 November 1988, Serie A no. 145-B, p. 32, § 58  y  Eur.</w:t>
        <w:br/>
        <w:t>Court HR, Kurt v. Turkey judgment of 25 May 1998, Reports of  Judgments  and</w:t>
        <w:br/>
        <w:t>Decisions 1998-III, p. 1185, §§ 123-124.</w:t>
        <w:br/>
        <w:br/>
        <w:t>[22]Cfr. Caso Paniagua Morales y otros, supra nota 13, párr. 120.</w:t>
        <w:br/>
        <w:br/>
        <w:t>[23]Comité de  Derechos  Humanos  de  Naciones  Unidas,  Comentario  General</w:t>
        <w:br/>
        <w:t>6/1982, párr. 3 (la traducción es de la Corte)  y  cfr.  también  Comentario</w:t>
        <w:br/>
        <w:t>General 14/1984, párr. 1.</w:t>
        <w:br/>
        <w:br/>
        <w:t>[24]Caso Castillo Páez, supra nota 15, párr. 66.</w:t>
        <w:br/>
        <w:br/>
        <w:t>[25]Caso Suárez Rosero. Sentencia de 12 de noviembre de  1997.  Serie  C  No</w:t>
        <w:br/>
        <w:t>35, párr. 90.</w:t>
        <w:br/>
        <w:br/>
        <w:t>[26]Cfr. Eur. Court. H. R, Campbell  and  Cosans  judgment  of  25  February</w:t>
        <w:br/>
        <w:t>1982, Serie A, no. 48, p. 12, § 26.</w:t>
        <w:br/>
        <w:br/>
        <w:t>[27]Cfr. Caso Loayza Tamayo, supra nota 15, párr. 57.</w:t>
        <w:br/>
        <w:br/>
        <w:t>[28] En informes, anexados al acervo probatorio en  este  caso,  supra  nota</w:t>
        <w:br/>
        <w:t>11, de Casa Alianza y Amnistía Internacional, se mencionan  como  formas  de</w:t>
        <w:br/>
        <w:t>tortura y malos tratos dirigidos a los “niños de  la  calle”  en  Guatemala,</w:t>
        <w:br/>
        <w:t>las heridas de bala, las quemaduras con cigarrillos,  las  patadas  y  otros</w:t>
        <w:br/>
        <w:t>golpes contundentes, el derrame de pegamento en las  cabezas,  las  mordidas</w:t>
        <w:br/>
        <w:t>de perros amaestrados y diversas formas  de  humillación  de  palabra  y  de</w:t>
        <w:br/>
        <w:t>obra.</w:t>
        <w:br/>
        <w:br/>
        <w:t>[29]Cfr. Eur. Court H. R., Aksoy v. Turkey, supra nota 21, p. 2278,  §  61;.</w:t>
        <w:br/>
        <w:t>Eur. Court HR, Ribitsch v. Austria judgment of 4  December  1995,  Serie  A,</w:t>
        <w:br/>
        <w:t>no. 336, p. 26 y ss, § 34 y Eur. Court H. R. case of Tomasi v. France of  27</w:t>
        <w:br/>
        <w:t>August 1992, Series A no. 241-A, pp. 40-41, §§ 108-111.</w:t>
        <w:br/>
        <w:br/>
        <w:t>[30]Caso Blake, supra nota 16, párr. 115.</w:t>
        <w:br/>
        <w:br/>
        <w:t>[31]Eur. Court HR, Kurt v. Turkey, supra nota  21,  pp.  1187,  §§  130-134.</w:t>
        <w:br/>
        <w:t>Véase en el mismo sentido,  Comité  de  Derechos  Humanos  de  las  Naciones</w:t>
        <w:br/>
        <w:t>Unidas, Quinteros  v.  Uruguay,  21  de  julio  de  1983  (19.º  período  de</w:t>
        <w:br/>
        <w:t>sesiones) Comunicación Nº 107/1981,  párr.  14.  En  este  caso,  el  Comité</w:t>
        <w:br/>
        <w:t>afirmó que “comprend[ía] el profundo pesar y la angustia  que  padec[ió]  la</w:t>
        <w:br/>
        <w:t>autora de la comunicación como consecuencia de la desaparición de su hija  y</w:t>
        <w:br/>
        <w:t>la continua incertidumbre sobre su suerte y su paradero.   La  autora  tiene</w:t>
        <w:br/>
        <w:t>derecho a saber lo que ha sucedido a su hija.  En  ese  sentido  es  también</w:t>
        <w:br/>
        <w:t>una víctima de las violaciones del Pacto [Internacional de Derechos  Civiles</w:t>
        <w:br/>
        <w:t>y Políticos], en particular del artículo 7 [correspondiente  al  artículo  5</w:t>
        <w:br/>
        <w:t>de la Convención Americana], soportadas por su hija”.</w:t>
        <w:br/>
        <w:br/>
        <w:t>[32]En relación a este punto, la  Comisión  explicó  que,  anteriormente  al</w:t>
        <w:br/>
        <w:t>momento de  los  hechos,  Guatemala  había  expresado  su  consentimiento  a</w:t>
        <w:br/>
        <w:t>obligarse a respetar los términos de la Convención sobre  los  Derechos  del</w:t>
        <w:br/>
        <w:t>Niño y que, consecuentemente,  de  conformidad  con  el  art.  18.b)  de  la</w:t>
        <w:br/>
        <w:t>Convención de Viena sobre el Derecho de los Tratados,  que  dispone  que  un</w:t>
        <w:br/>
        <w:t>Estado está obligado a no realizar  actos  que  pudieran  ir  en  contra  el</w:t>
        <w:br/>
        <w:t>objeto y el propósito del tratado que ha firmado, Guatemala estaba  obligada</w:t>
        <w:br/>
        <w:t>a respetar los términos de la Convención sobre los Derechos del Niño  en  el</w:t>
        <w:br/>
        <w:t>mes de junio de 1990.</w:t>
        <w:br/>
        <w:br/>
        <w:t>[33]Convención sobre los Derechos del Niño, Preámbulo, párr. 6.</w:t>
        <w:br/>
        <w:br/>
        <w:t>[34]El Derecho a la Información sobre la Asistencia Consular en el marco  de</w:t>
        <w:br/>
        <w:t>las Garantías del Debido Proceso Legal. Opinión Consultiva OC-16/99 de 1  de</w:t>
        <w:br/>
        <w:t>octubre de 1999. Serie A No. 16, párr. 113.</w:t>
        <w:br/>
        <w:br/>
        <w:t>[35]Interpretación de la Declaración Americana de  los  Derechos  y  Deberes</w:t>
        <w:br/>
        <w:t>del Hombre en el Marco del Artículo 64  de  la  Convención  Americana  sobre</w:t>
        <w:br/>
        <w:t>Derechos Humanos. Opinión Consultiva OC-10/89  del  14  de  julio  de  1989.</w:t>
        <w:br/>
        <w:t>Serie A No. 10, párr. 43.</w:t>
        <w:br/>
        <w:br/>
        <w:t>[36]El Derecho a la Información sobre la  Asistencia  Consular,  supra  nota</w:t>
        <w:br/>
        <w:t>34, párr. 114.</w:t>
        <w:br/>
        <w:br/>
        <w:t>[37]Cfr. Directrices de  las  Naciones  Unidas  para  la  prevención  de  la</w:t>
        <w:br/>
        <w:t>delincuencia juvenil (Directrices de Riad). Adoptadas y proclamadas  por  la</w:t>
        <w:br/>
        <w:t>Asamblea General de la ONU en su resolución 45/112  de  4  de  diciembre  de</w:t>
        <w:br/>
        <w:t>1990, Capítulo III, párr. 9.</w:t>
        <w:br/>
        <w:br/>
        <w:t>[38]Cfr. Reglas mínimas de las Naciones Unidas para la administración de  la</w:t>
        <w:br/>
        <w:t>justicia de menores  (“Reglas  de  Beijing”).   Adoptadas  por  la  Asamblea</w:t>
        <w:br/>
        <w:t>General de Naciones Unidas en su resolución 40/33, de  29  de  noviembre  de</w:t>
        <w:br/>
        <w:t>1985, Quinta Parte, Tratamiento en  establecimientos  penitenciarios,  párr.</w:t>
        <w:br/>
        <w:t>26.1</w:t>
        <w:br/>
        <w:br/>
        <w:t>[39]Cfr. inter alia,  Eur.  Court  H.  R.,  Edward  v.  the  United  Kingdom</w:t>
        <w:br/>
        <w:t>judgment of 16 December 1992, Series A no. 247-B, pp. 34-35,  §  34  y  Eur.</w:t>
        <w:br/>
        <w:t>Court H. R., Vidal v. Belgium judgment of 22 April 1992, Series A  no.  235-</w:t>
        <w:br/>
        <w:t>B, pp. 32-33, § 33.</w:t>
        <w:br/>
        <w:br/>
        <w:t>[40]Cfr. Caso Castillo Petruzzi y otros,  supra  nota  13,  párr.  90;  Caso</w:t>
        <w:br/>
        <w:t>Paniagua Morales y otros, supra nota  13,  párr.  71;  Caso  Suárez  Rosero,</w:t>
        <w:br/>
        <w:t>supra nota 25, párr. 37 y Caso Velásquez Rodríguez,  supra  nota  12,  párr.</w:t>
        <w:br/>
        <w:t>134;</w:t>
        <w:br/>
        <w:br/>
        <w:t>[41]Caso Godínez Cruz, supra nota 12, párr. 188 y Caso Velásquez  Rodríguez,</w:t>
        <w:br/>
        <w:t>supra nota 12, párr. 177.</w:t>
        <w:br/>
        <w:br/>
        <w:t>[42]Cfr. Caso Loayza Tamayo. Reparaciones (art.  63.1  Convención  Americana</w:t>
        <w:br/>
        <w:t>sobre Derechos Humanos). Sentencia de 27 de noviembre de 1998.  Serie C  No.</w:t>
        <w:br/>
        <w:t>42, párr. 92.</w:t>
        <w:br/>
        <w:br/>
        <w:t>[43]Cfr. Caso Cesti Hurtado. Sentencia de 29 de septiembre de 1999. Serie  C</w:t>
        <w:br/>
        <w:t>No. 56, párr. 121; Caso Castillo Petruzzi y  otros,  supra  nota  13,  párr.</w:t>
        <w:br/>
        <w:t>184; Caso Paniagua Morales y otros, supra nota 13, párr.  164;  Caso  Blake,</w:t>
        <w:br/>
        <w:t>supra nota 16, párr. 102; Caso Suárez Rosero, supra  nota  25,  párr.  65  y</w:t>
        <w:br/>
        <w:t>Caso Castillo Páez, supra nota 15, párr. 82.</w:t>
        <w:br/>
        <w:br/>
        <w:t>[44]Caso Cesti Hurtado, supra nota 43, párr. 125; Caso Castillo  Petruzzi  y</w:t>
        <w:br/>
        <w:t>otros, supra nota  13,  párr  185  y  Garantías  judiciales  en  Estados  de</w:t>
        <w:br/>
        <w:t>Emergencia (arts.27.2, 25 y 8 Convención Americana sobre Derechos  Humanos).</w:t>
        <w:br/>
        <w:t>Opinión Consultiva OC-9/87 del 6 de octubre de 1987. Serie A  No.  9,  párr.</w:t>
        <w:br/>
        <w:t>24.</w:t>
        <w:br/>
        <w:br/>
        <w:t>[45]Caso Cesti Hurtado, supra nota 43, párr. 121; Caso Castillo  Petruzzi  y</w:t>
        <w:br/>
        <w:t>otros, supra nota 13, párr. 184; Caso Paniagua Morales y otros,  supra  nota</w:t>
        <w:br/>
        <w:t>13, párr. 164; Caso Blake, supra nota 16, párr.  102;  Caso  Suárez  Rosero,</w:t>
        <w:br/>
        <w:t>supra nota 25, párr. 65 y Caso Castillo Páez, supra nota 15, párr. 83.</w:t>
        <w:br/>
        <w:br/>
        <w:t>[46]Adoptada y abierta a la firma, ratificación y adhesión por  la  Asamblea</w:t>
        <w:br/>
        <w:t>General de Naciones Unidas en su resolución 39/46, de  10  de  diciembre  de</w:t>
        <w:br/>
        <w:t>1984; entró en vigor el 26 de junio de 1987.  Guatemala  es  parte  en  esta</w:t>
        <w:br/>
        <w:t>Convención desde febrero de 1990.</w:t>
        <w:br/>
        <w:br/>
        <w:t>[47]Adoptada por la Asamblea General de Naciones  Unidas  en  su  resolución</w:t>
        <w:br/>
        <w:t>3452 (XXX), de 9 de diciembre de 1975.</w:t>
        <w:br/>
        <w:br/>
        <w:t>[48]Adoptado por la Asamblea General de Naciones  Unidas  en  su  resolución</w:t>
        <w:br/>
        <w:t>43/173, de 9 de diciembre de 1988.</w:t>
        <w:br/>
        <w:br/>
        <w:t>[49]Organization of  American  States,  Permanent  Council,  Report  of  the</w:t>
        <w:br/>
        <w:t>Committee on  Juridical  and  Political  affairs  on  the  Draft  Convention</w:t>
        <w:br/>
        <w:t>Defining Torture as an International Crime, OEA/Ser. G CP/doc.  1524/84,  18</w:t>
        <w:br/>
        <w:t>October 1984, Original: Spanish, Appendix VIII, p. 61 y Appendix IX, p. 71.</w:t>
        <w:br/>
        <w:br/>
        <w:t>[50]Cfr. Caso Paniagua Morales y otros, supra nota 13, párr. 136.</w:t>
        <w:br/>
        <w:br/>
        <w:t>[51]Caso Gangaram Panday, supra nota 13, párr. 49; Caso Godínez Cruz,  supra</w:t>
        <w:br/>
        <w:t>nota 12, párr. 141 y Caso Velásquez Rodríguez, supra nota 12,  párr. 135.</w:t>
        <w:br/>
        <w:br/>
        <w:t>1   Cf., al respecto, v.g., B. G. Ramcharan (ed.),  The  Right  to  Life  in</w:t>
        <w:br/>
        <w:t>International Law, Dordrecht,  Nijhoff,  1985,  pp.  1-314;  J.  G.  C.  van</w:t>
        <w:br/>
        <w:t>Aggelen, Le rôle des organisations internationales  dans  la  protection  du</w:t>
        <w:br/>
        <w:t>droit à la vie, Bruxelles, E. Story-Scientia, 1986, pp. 1-104; D. Prémont  y</w:t>
        <w:br/>
        <w:t>F. Montant (eds.), Actes du Symposium sur le droit à la vie  - Quarante  ans</w:t>
        <w:br/>
        <w:t>après l’adoption de  la  Déclaration  Universelle  des  Droits  de  l’Homme:</w:t>
        <w:br/>
        <w:t>Evolution conceptuelle, normative et jurisprudentielle, Genève,  CID,  1992,</w:t>
        <w:br/>
        <w:t>pp. 1-91; A.A. Cançado Trindade, “Human Rights and the  Environment”,  Human</w:t>
        <w:br/>
        <w:t>Rights:  New Dimensions and Challenges (ed. J. Symonides),  Paris/Aldershot,</w:t>
        <w:br/>
        <w:t>UNESCO/Dartmouth, 1998, pp. 117-153; F. Przetacznik, “The Right to  Life  as</w:t>
        <w:br/>
        <w:t>a Basic Human Right”, 9 Revue des droits  de  l’homme/Human  Rights  Journal</w:t>
        <w:br/>
        <w:t>(1976) pp. 585-609.  Y cf. los comentarios generales ns.  6/1982  y  14/1984</w:t>
        <w:br/>
        <w:t>del Comité de  Derechos  Humanos,  bajo  el  Pacto  de  Derechos  Civiles  y</w:t>
        <w:br/>
        <w:t>Políticos de Naciones Unidas, reproducidos in:  United Nations,  Compilation</w:t>
        <w:br/>
        <w:t>of General Comments and General  Recommendations  Adopted  by  Human  Rights</w:t>
        <w:br/>
        <w:t>Treaty Bodies, U.N. doc. HRI/GEN/1/Rev. 3, de 15.08.1997, pp. 6-7 y 18-19.</w:t>
        <w:br/>
        <w:br/>
        <w:t>2  Cf., al respecto, v.g., W. Paul Gormley, “The Right to Life and the  Rule</w:t>
        <w:br/>
        <w:t>of Non-Derogability:  Peremptory Norms of Jus Cogens”,  The  Right  to  Life</w:t>
        <w:br/>
        <w:t>in International Law, op. cit. supra  n.  (1),  pp.  120-159;  Y.  Dinstein,</w:t>
        <w:br/>
        <w:t>“The Erga Omnes Applicability of Human Rights”, 30 Archiv  des  Völkerrechts</w:t>
        <w:br/>
        <w:t>(1992) pp. 16-37; y cf., en  general,  inter  alia,  Alfred  Verdross,  “Jus</w:t>
        <w:br/>
        <w:t>Dispositivum and Jus Cogens  in International Law”, 60 American  Journal  of</w:t>
        <w:br/>
        <w:t>International Law  (1966), pp. 55-63; Charles de Visscher,  “Positivisme  et</w:t>
        <w:br/>
        <w:t>jus cogens”, 75 Revue générale de Droit international public (1971)  pp.  5-</w:t>
        <w:br/>
        <w:t>11; y cf. también:  International Court of Justice, South West Africa  Cases</w:t>
        <w:br/>
        <w:t xml:space="preserve"> (2a. fase, Etiopía y Liberia versus África del  Sur),  Voto  Disidente  del</w:t>
        <w:br/>
        <w:t>Juez K.  Tanaka,  ICJ  Reports   (1966)  p.  298:   “(...)  surely  the  law</w:t>
        <w:br/>
        <w:t>concerning the protection of human rights may be  considered  to  belong  to</w:t>
        <w:br/>
        <w:t>the jus cogens”.</w:t>
        <w:br/>
        <w:br/>
        <w:t>3  Corte Interamericana de Derechos Humanos, El  Derecho  a  la  Información</w:t>
        <w:br/>
        <w:t>sobre la Asistencia Consular  en  el  marco  de  las  Garantías  del  Debido</w:t>
        <w:br/>
        <w:t>Proceso Legal  -  Opinión Consultiva OC-16/99, de 01.10. 1999, Serie  A,  n.</w:t>
        <w:br/>
        <w:t>16, párr. 114.</w:t>
        <w:br/>
        <w:br/>
        <w:t>4  Corte Interamericana de Derechos Humanos, caso Loayza Tamayo versus  Perú</w:t>
        <w:br/>
        <w:t>(Reparaciones), Sentencia de 27.11.1998,  Serie  C,  n.  42,  Voto  Razonado</w:t>
        <w:br/>
        <w:t>Conjunto de los Jueces A.A. Cançado Trindade y A. Abreu Burelli, párrs.  15-</w:t>
        <w:br/>
        <w:t>16.</w:t>
        <w:br/>
        <w:br/>
        <w:t>5  En relación con el artículo 5.2 de la Convención Americana sobre</w:t>
        <w:br/>
        <w:t>Derechos Humanos.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