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Cesti Hurtado Vs. Perú</w:t>
        <w:br/>
        <w:br/>
        <w:br/>
        <w:t xml:space="preserve">                      Sentencia de 29 de enero de 2000</w:t>
        <w:br/>
        <w:br/>
        <w:t xml:space="preserve">                  (Interpretación de la Sentencia de Fondo)</w:t>
        <w:br/>
        <w:br/>
        <w:br/>
        <w:br/>
        <w:t>En el caso Cesti Hurtado,</w:t>
        <w:br/>
        <w:br/>
        <w:t>la Corte Interamericana de Derechos Humanos (en adelante “la  Corte”  o  “la</w:t>
        <w:br/>
        <w:t>Corte Interamericana”), integrada por los siguientes jueces(():</w:t>
        <w:br/>
        <w:br/>
        <w:t xml:space="preserve">     Antônio A. Cançado Trindade, Presidente</w:t>
        <w:br/>
        <w:t xml:space="preserve">     Máximo Pacheco Gómez, Vicepresidente</w:t>
        <w:br/>
        <w:t xml:space="preserve">     Oliver Jackman, Juez</w:t>
        <w:br/>
        <w:t xml:space="preserve">     Alirio Abreu Burelli, Juez</w:t>
        <w:br/>
        <w:t xml:space="preserve">     Sergio García Ramírez, Juez y</w:t>
        <w:br/>
        <w:t xml:space="preserve">     Carlos Vicente de Roux Rengifo, Juez;</w:t>
        <w:br/>
        <w:br/>
        <w:t>presentes, además,</w:t>
        <w:br/>
        <w:br/>
        <w:t xml:space="preserve">     Manuel E. Ventura Robles, Secretario y</w:t>
        <w:br/>
        <w:t xml:space="preserve">     Renzo Pomi, Secretario adjunto</w:t>
        <w:br/>
        <w:br/>
        <w:t>de acuerdo con el artículo 67 de  la  Convención  Americana  sobre  Derechos</w:t>
        <w:br/>
        <w:t>Humanos (en adelante “la Convención”  o  “la  Convención  Americana”)  y  el</w:t>
        <w:br/>
        <w:t>artículo 58 del  Reglamento  de  la  Corte  (en  adelante  “el  Reglamento”)</w:t>
        <w:br/>
        <w:t>resuelve sobre la  demanda  de  interpretación  de  la  sentencia  de  fondo</w:t>
        <w:br/>
        <w:t>emitida por la Corte el 29 de septiembre de 1999 en el  caso  Cesti  Hurtado</w:t>
        <w:br/>
        <w:t>(en adelante “la sentencia de fondo”), presentada por  el  Estado  del  Perú</w:t>
        <w:br/>
        <w:t>(en adelante “el Estado”, “el Estado peruano” o “el Perú”) el 13 de  octubre</w:t>
        <w:br/>
        <w:t>de 1999.</w:t>
        <w:br/>
        <w:br/>
        <w:br/>
        <w:t xml:space="preserve">                                      I</w:t>
        <w:br/>
        <w:t xml:space="preserve">                    Competencia y Composición de la corte</w:t>
        <w:br/>
        <w:br/>
        <w:t>1.    El artículo 67 de la Convención establece que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De  conformidad  con  el  artículo  citado,  la  Corte  es  competente  para</w:t>
        <w:br/>
        <w:t>interpretar sus fallos, y para el examen de  la  demanda  de  interpretación</w:t>
        <w:br/>
        <w:t>debe tener, si es posible, la misma  composición  que  tenía  al  dictar  la</w:t>
        <w:br/>
        <w:t>sentencia respectiva (artículo 58.3 del Reglamento).  En  esta  ocasión,  la</w:t>
        <w:br/>
        <w:t>Corte se integra con los jueces que dictaron la  sentencia  de  fondo,  cuya</w:t>
        <w:br/>
        <w:t>interpretación ha sido solicitada por el Perú.</w:t>
        <w:br/>
        <w:br/>
        <w:br/>
        <w:t xml:space="preserve">                                     II</w:t>
        <w:br/>
        <w:t xml:space="preserve">                Introducción de la demanda de interpretación</w:t>
        <w:br/>
        <w:br/>
        <w:t>2.    El 13 de octubre de 1999 el Estado presentó,  de  conformidad  con  el</w:t>
        <w:br/>
        <w:t>artículo 67 de la Convención Americana y el artículo 58 del Reglamento,  una</w:t>
        <w:br/>
        <w:t>demanda de interpretación de la sentencia  de  fondo.    Asimismo,  el  Perú</w:t>
        <w:br/>
        <w:t>manifestó que “la suspensión en la ejecución de la sentencia  prohibida  por</w:t>
        <w:br/>
        <w:t>el artículo 58.4 del Reglamento de la Corte,  no  resulta[ba]  aplicable  al</w:t>
        <w:br/>
        <w:t>presente  caso  [...]  en  la  medida  en  que  la   presente   demanda   de</w:t>
        <w:br/>
        <w:t>interpretación y aclaración t[enía] que ver [...] con aspectos  relativos  a</w:t>
        <w:br/>
        <w:t>la ejecución de la sentencia”.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3.    Mediante nota de 15 de octubre de  1999  la  Secretaría  de  la  Corte</w:t>
        <w:br/>
        <w:t>transmitió  copia  de  la  demanda   de   interpretación   a   la   Comisión</w:t>
        <w:br/>
        <w:t>Interamericana  de  Derechos  Humanos  (en  adelante  “la  Comisión”  o  “la</w:t>
        <w:br/>
        <w:t>Comisión Interamericana”)  y,  de  conformidad  con  el  artículo  58.2  del</w:t>
        <w:br/>
        <w:t>Reglamento, le invitó a presentar, a más  tardar  el  15  de  diciembre  del</w:t>
        <w:br/>
        <w:t>mismo año, sus observaciones sobre la demanda de interpretación  interpuesta</w:t>
        <w:br/>
        <w:t>por el Perú.</w:t>
        <w:br/>
        <w:br/>
        <w:t>4.    El 27 de octubre de 1999 la Comisión presentó un  escrito  en  el  que</w:t>
        <w:br/>
        <w:t>solicitó a  la  Corte  tener  en  consideración  el  “incumplimiento  de  la</w:t>
        <w:br/>
        <w:t>sentencia [de fondo] en que v[enía] incurriendo  el  Estado”  debido  a  que</w:t>
        <w:br/>
        <w:t>hasta la fecha, éste no había liberado al señor Cesti  Hurtado  ni  cumplido</w:t>
        <w:br/>
        <w:t>con lo ordenado por la Corte  en  dicha  sentencia.   En  este  sentido,  la</w:t>
        <w:br/>
        <w:t>Comisión manifestó que el Estado, al no cumplir la  sentencia  de  fondo  de</w:t>
        <w:br/>
        <w:t>inmediato, tampoco debía alegar “la interposición de  la  [...]  demanda  de</w:t>
        <w:br/>
        <w:t>interpretación  porque  ello  est[aba  ...]  absolutamente  negado  por   lo</w:t>
        <w:br/>
        <w:t>preceptuado en el art. 58.4 del Reglamento de la H[onorable] Corte”.</w:t>
        <w:br/>
        <w:br/>
        <w:br/>
        <w:t>5.    El 19 de noviembre de 1999 la Corte dictó,  de  conformidad  con  los</w:t>
        <w:br/>
        <w:t>artículos 29.2 y 58 del Reglamento, una resolución en la que declaró que la</w:t>
        <w:br/>
        <w:t>demanda de interpretación sometida por el Estado peruano  no  suspendía  la</w:t>
        <w:br/>
        <w:t>ejecución de la sentencia de fondo y comisionó a  su  Presidente  para  que</w:t>
        <w:br/>
        <w:t>convocara a las partes a una audiencia pública sobre dicha interpretación.</w:t>
        <w:br/>
        <w:br/>
        <w:br/>
        <w:t>6.    El 6 de diciembre de 1999 el Presidente de la Corte (en adelante  “el</w:t>
        <w:br/>
        <w:t>Presidente”) dictó una resolución mediante la cual convocó al Estado y a la</w:t>
        <w:br/>
        <w:t>Comisión a una audiencia pública por celebrarse el 25 de enero de  2000  en</w:t>
        <w:br/>
        <w:t>la sede de este Tribunal con el objeto de escuchar los puntos de  vista  de</w:t>
        <w:br/>
        <w:t>ambos acerca de la demanda de  interpretación  de  la  sentencia  de  fondo</w:t>
        <w:br/>
        <w:t>interpuesta por el Estado peruano.</w:t>
        <w:br/>
        <w:br/>
        <w:br/>
        <w:t>7.    El 14 de diciembre de 1999 la  Comisión  Interamericana  presentó  sus</w:t>
        <w:br/>
        <w:t>alegaciones escritas sobre la demanda de interpretación.</w:t>
        <w:br/>
        <w:br/>
        <w:t>8.    El 10 de enero de 2000 el Estado presentó un escrito  de  fecha  6  de</w:t>
        <w:br/>
        <w:t>los mismos mes y año, por medio del cual solicitó a la Corte  “disponer,  si</w:t>
        <w:br/>
        <w:t>así lo tuviere a bien, la suspensión de [la] audiencia”, en razón de que:</w:t>
        <w:br/>
        <w:br/>
        <w:t xml:space="preserve">      1)     El  señor  Gustavo  Cesti  Hurtado  se  encuentra  gozando   de</w:t>
        <w:br/>
        <w:t xml:space="preserve">      irrestricta libertad[;]</w:t>
        <w:br/>
        <w:t xml:space="preserve">      2)    Se ha levantado el impedimento de salida  del  país  que  pesaba</w:t>
        <w:br/>
        <w:t xml:space="preserve">      contra el mencionado señor Cesti[;]</w:t>
        <w:br/>
        <w:t xml:space="preserve">      3)    El gobierno del Perú se  encuentra  abocado  en  el  estudio  de</w:t>
        <w:br/>
        <w:t xml:space="preserve">      soluciones amistosas orientadas a  poner  fin  a  todos  los  procesos</w:t>
        <w:br/>
        <w:t xml:space="preserve">      relativos a los derechos humanos</w:t>
        <w:br/>
        <w:br/>
        <w:br/>
        <w:t>y pidió un “lapso prudencial que [le] permit[iera] afinar los  mecanismos  a</w:t>
        <w:br/>
        <w:t>poner en marcha, con la finalidad de lograr su propósito”.</w:t>
        <w:br/>
        <w:br/>
        <w:t>9.    El 17 de enero de 2000 el Presidente dictó una resolución mediante  la</w:t>
        <w:br/>
        <w:t>cual decidió mantener la audiencia pública por celebrarse el 25 de enero  de</w:t>
        <w:br/>
        <w:t>2000.</w:t>
        <w:br/>
        <w:br/>
        <w:t>10.   El 25 de enero de 2000 se  celebró  una  audiencia  pública  sobre  la</w:t>
        <w:br/>
        <w:t>demanda de interpretación de la sentencia de fondo en la sede de la Corte.</w:t>
        <w:br/>
        <w:br/>
        <w:t>Comparecieron</w:t>
        <w:br/>
        <w:br/>
        <w:t>por el Estado peruano:</w:t>
        <w:br/>
        <w:br/>
        <w:t>Rolando Eyzaguirre, agente alterno; y</w:t>
        <w:br/>
        <w:t>Alberto Cortez, asesor.</w:t>
        <w:br/>
        <w:br/>
        <w:t>Por la Comisión Interamericana de Derechos Humanos:</w:t>
        <w:br/>
        <w:br/>
        <w:t>Christina Cerna, abogada; y</w:t>
        <w:br/>
        <w:t>Alberto Borea Odría, asesor.</w:t>
        <w:br/>
        <w:br/>
        <w:br/>
        <w:br/>
        <w:t xml:space="preserve">                                     IV</w:t>
        <w:br/>
        <w:br/>
        <w:t xml:space="preserve">                            Objeto de la demanda</w:t>
        <w:br/>
        <w:br/>
        <w:t>11.   En la demanda  de  interpretación,  el  Estado  solicitó  a  la  Corte</w:t>
        <w:br/>
        <w:t>aclarar algunas cuestiones relativas al  “sentido  y  los  alcances”  de  la</w:t>
        <w:br/>
        <w:t>sentencia de fondo.   La  Corte  procederá  a  examinar  en  los  siguientes</w:t>
        <w:br/>
        <w:t>capítulos los diferentes puntos objeto de la demanda de interpretación.</w:t>
        <w:br/>
        <w:br/>
        <w:br/>
        <w:t xml:space="preserve">                                      V</w:t>
        <w:br/>
        <w:t xml:space="preserve">                                Admisibilidad</w:t>
        <w:br/>
        <w:br/>
        <w:t>12.    El  artículo  67  de  la  Convención  exige,  como   presupuesto   de</w:t>
        <w:br/>
        <w:t>admisibilidad de la  demanda  de  interpretación  de  sentencia,  que  dicha</w:t>
        <w:br/>
        <w:t>demanda sea presentada “dentro de los noventa días a partir de la  fecha  de</w:t>
        <w:br/>
        <w:t>la notificación del fallo”.  La Corte ha  constatado  que  la  sentencia  de</w:t>
        <w:br/>
        <w:t>fondo en el presente caso se notificó al Estado el 4  de  octubre  de  1999.</w:t>
        <w:br/>
        <w:t>Por lo tanto, la demanda  de  interpretación  fue  presentada  oportunamente</w:t>
        <w:br/>
        <w:t>(supra 2).  También lo fueron las alegaciones de la Comisión.</w:t>
        <w:br/>
        <w:br/>
        <w:t>13.   Corresponde ahora a la Corte estudiar si  los  aspectos  substanciales</w:t>
        <w:br/>
        <w:t>de la demanda de interpretación cumplen las normas aplicables.  El  artículo</w:t>
        <w:br/>
        <w:t>58 del Reglamento establece, en lo conducente, que</w:t>
        <w:br/>
        <w:br/>
        <w:t xml:space="preserve">      [l]a demanda de interpretación a que se refiere el artículo 67  de 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>De conformidad con este artículo, la Corte procederá a interpretar  aquellos</w:t>
        <w:br/>
        <w:t>aspectos de su fallo en los que exista duda sobre su sentido o alcance.</w:t>
        <w:br/>
        <w:br/>
        <w:br/>
        <w:t xml:space="preserve">                                     VI</w:t>
        <w:br/>
        <w:t xml:space="preserve">                     La libertad del señor Cesti Hurtado</w:t>
        <w:br/>
        <w:br/>
        <w:t>14.   En la demanda de interpretación, el Estado solicitó la  interpretación</w:t>
        <w:br/>
        <w:t>del punto resolutivo 1 de la sentencia de fondo en  relación  con  el  punto</w:t>
        <w:br/>
        <w:t>resolutivo 8 de la misma.  Sobre este particular, el Estado  solicitó  a  la</w:t>
        <w:br/>
        <w:t>Corte interpretar si la sentencia de fondo</w:t>
        <w:br/>
        <w:br/>
        <w:t xml:space="preserve">      ha[bía] dispuesto la libertad inmediata del Capitán  Cesti  Hurtado  o</w:t>
        <w:br/>
        <w:t xml:space="preserve">      [si],  de  lo  contrario,  [...]  no  imp[edía]  que  los   agraviados</w:t>
        <w:br/>
        <w:t xml:space="preserve">      interp[usieran] la denuncia en el Fuero  que  ha[bía]  sido  declarado</w:t>
        <w:br/>
        <w:t xml:space="preserve">      como el competente por la misma con anterioridad a  su  liberación  de</w:t>
        <w:br/>
        <w:t xml:space="preserve">      manera de impedir que la ejecución de  la  sentencia  propici[ara]  el</w:t>
        <w:br/>
        <w:t xml:space="preserve">      escenario para una irreversible evasión de la justicia por el  Capitán</w:t>
        <w:br/>
        <w:t xml:space="preserve">      Cesti Hurtado.</w:t>
        <w:br/>
        <w:br/>
        <w:t>En la audiencia pública el Estado peruano solicitó a la Corte una  precisión</w:t>
        <w:br/>
        <w:t>sobre el punto resolutivo 8 de dicha sentencia con respecto al  párrafo  129</w:t>
        <w:br/>
        <w:t>de la misma.</w:t>
        <w:br/>
        <w:br/>
        <w:t>15.   Al respecto, en el punto resolutivo 1 la Corte declaró que</w:t>
        <w:br/>
        <w:br/>
        <w:t xml:space="preserve">      [...] el Estado peruano violó, en perjuicio del señor  Gustavo  Adolfo</w:t>
        <w:br/>
        <w:t xml:space="preserve">      Cesti Hurtado, los artículos 7.6 y 25 de la Convención Americana sobre</w:t>
        <w:br/>
        <w:t xml:space="preserve">      Derechos Humanos, en los términos señalados en los párrafos 123 a  133</w:t>
        <w:br/>
        <w:t xml:space="preserve">      de la presente sentencia, y orden[ó al Perú  dar]  cumplimiento  a  la</w:t>
        <w:br/>
        <w:t xml:space="preserve">      resolución dictada por la Sala Especializada  de  Derecho  Público  de</w:t>
        <w:br/>
        <w:t xml:space="preserve">      Lima el 12 de febrero de 1997,  sobre  el  recurso  de  hábeas  corpus</w:t>
        <w:br/>
        <w:t xml:space="preserve">      interpuesto por el señor Cesti Hurtado.</w:t>
        <w:br/>
        <w:br/>
        <w:t>En el punto resolutivo 8, la Corte declaró</w:t>
        <w:br/>
        <w:br/>
        <w:br/>
        <w:t xml:space="preserve">      [...] que el juicio seguido  contra  el  señor  Gustavo  Adolfo  Cesti</w:t>
        <w:br/>
        <w:t xml:space="preserve">      Hurtado en el fuero  militar  e[ra]  incompatible  con  la  Convención</w:t>
        <w:br/>
        <w:t xml:space="preserve">      Americana sobre Derechos Humanos  y  orden[ó]  al  Estado  anular  tal</w:t>
        <w:br/>
        <w:t xml:space="preserve">      proceso, así como todos los efectos que de él se deriva[ron].</w:t>
        <w:br/>
        <w:br/>
        <w:br/>
        <w:t>En el párrafo 129 la Corte manifestó que</w:t>
        <w:br/>
        <w:br/>
        <w:t xml:space="preserve">      [l]a decisión tomada por la Sala Especializada de Derecho Público, con</w:t>
        <w:br/>
        <w:t xml:space="preserve">      respecto a la situación del señor Cesti Hurtado, puso fin al tema  que</w:t>
        <w:br/>
        <w:t xml:space="preserve">      concierne a esta Corte en relación con los artículos  7  y  25  de  la</w:t>
        <w:br/>
        <w:t xml:space="preserve">      Convención, puesto que un tribunal competente en materia de  garantías</w:t>
        <w:br/>
        <w:t xml:space="preserve">      adoptó una decisión final e inapelable concediendo el hábeas corpus al</w:t>
        <w:br/>
        <w:t xml:space="preserve">      solicitante y protegiéndolo de la amenaza objetiva a su  libertad  que</w:t>
        <w:br/>
        <w:t xml:space="preserve">      derivaba de los procedimientos iniciados en la  jurisdicción  militar.</w:t>
        <w:br/>
        <w:t xml:space="preserve">      Esta determinación no impide que las autoridades competentes  adopten,</w:t>
        <w:br/>
        <w:t xml:space="preserve">      en su caso, decisiones acerca de la responsabilidad  penal  del  señor</w:t>
        <w:br/>
        <w:t xml:space="preserve">      Cesti Hurtado con respecto a los hechos ilícitos que se le  atribuyen.</w:t>
        <w:br/>
        <w:t xml:space="preserve">      La resolución sobre éstos no incumbe a la Corte, sino a los tribunales</w:t>
        <w:br/>
        <w:t xml:space="preserve">      nacionales competentes.</w:t>
        <w:br/>
        <w:br/>
        <w:t>16.   En relación con la primera interrogante,  la  Comisión  Interamericana</w:t>
        <w:br/>
        <w:t>indicó que se encontraba fuera del marco de competencia de la Corte  y,  por</w:t>
        <w:br/>
        <w:t>consiguiente,  no  correspondía  pronunciamiento  alguno  acerca  de   ella.</w:t>
        <w:br/>
        <w:t>Asimismo, la Comisión manifestó que la sentencia de fondo se  refería  a  un</w:t>
        <w:br/>
        <w:t>hecho -la liberación del señor Cesti Hurtado- que  debió  producirse  cuando</w:t>
        <w:br/>
        <w:t>se pronunció la Sala de Derecho Público sobre el recurso de hábeas corpus  a</w:t>
        <w:br/>
        <w:t>su favor, por lo que cualquier  otra  consideración  no  formaba  parte  del</w:t>
        <w:br/>
        <w:t>objeto de este proceso.</w:t>
        <w:br/>
        <w:br/>
        <w:t>17.   Esta Corte considera que la sentencia de fondo es clara en  cuanto  a</w:t>
        <w:br/>
        <w:t>su sentido y  alcance  al  ordenar  al  Estado  “d[ar]  cumplimiento  a  la</w:t>
        <w:br/>
        <w:t>resolución dictada por la Sala Especializada de Derecho Público de Lima  el</w:t>
        <w:br/>
        <w:t>12 de febrero de 1997, sobre el recurso de hábeas corpus interpuesto por el</w:t>
        <w:br/>
        <w:t>señor Cesti  Hurtado”  y  “anular  [el]  proceso  [seguido  ante  el  fuero</w:t>
        <w:br/>
        <w:t>militar], así como todos los efectos que de él se deriva[ron]”, por lo  que</w:t>
        <w:br/>
        <w:t>el Estado peruano debe dar cumplimiento inmediato a lo ordenado.  Por  otra</w:t>
        <w:br/>
        <w:t>parte, ya la Corte aclaró debidamente en su sentencia de fondo que  “[e]sta</w:t>
        <w:br/>
        <w:t>determinación no impide  que  las  autoridades  competentes  adopten  [...]</w:t>
        <w:br/>
        <w:t>decisiones acerca de la responsabilidad penal del señor Cesti  Hurtado  con</w:t>
        <w:br/>
        <w:t>respecto a los hechos ilícitos que se le atribuyen”.</w:t>
        <w:br/>
        <w:br/>
        <w:br/>
        <w:t xml:space="preserve">                                     VII</w:t>
        <w:br/>
        <w:t xml:space="preserve">                  Embargos decretados sobre los bienes del</w:t>
        <w:br/>
        <w:t xml:space="preserve">                             señor Cesti Hurtado</w:t>
        <w:br/>
        <w:br/>
        <w:t>18.   En su segundo punto, el  Estado  solicitó  a  la  Corte  aclarar  si,</w:t>
        <w:br/>
        <w:t>conforme a los párrafos 183 y 197 de la  sentencia  de  fondo  y  al  punto</w:t>
        <w:br/>
        <w:t>resolutivo 8 de la misma, los embargos decretados respecto  de  los  bienes</w:t>
        <w:br/>
        <w:t>del señor Cesti Hurtado debían  ser  levantados  como  consecuencia  de  la</w:t>
        <w:br/>
        <w:t>sentencia de fondo o “si deb[ía] proceder a una decisión sobre tal  materia</w:t>
        <w:br/>
        <w:t>a resultas de la  sentencia  de  reparaciones  que  se  expid[iera]  en  su</w:t>
        <w:br/>
        <w:t>oportunidad”.</w:t>
        <w:br/>
        <w:br/>
        <w:t>19.   El párrafo 183 de la sentencia de fondo señala que</w:t>
        <w:br/>
        <w:br/>
        <w:t xml:space="preserve">      [l]a Corte estima que, en el marco del artículo 21  de  la  Convención</w:t>
        <w:br/>
        <w:t xml:space="preserve">      Americana, no se comprobó que hubo una violación, per se, del  derecho</w:t>
        <w:br/>
        <w:t xml:space="preserve">      del señor Cesti  Hurtado  sobre  su  propiedad.  Los  efectos  que  su</w:t>
        <w:br/>
        <w:t xml:space="preserve">      detención, procesamiento y condena  hubieran  podido  producir  en  su</w:t>
        <w:br/>
        <w:t xml:space="preserve">      patrimonio o en su capacidad de trabajo derivarían de la violación  de</w:t>
        <w:br/>
        <w:t xml:space="preserve">      los artículos 7, 8 y 25 de la Convención, por lo que la Corte  reserva</w:t>
        <w:br/>
        <w:t xml:space="preserve">      su pronunciamiento sobre dichos efectos para la etapa de reparaciones,</w:t>
        <w:br/>
        <w:t xml:space="preserve">      en su caso.</w:t>
        <w:br/>
        <w:br/>
        <w:br/>
        <w:t xml:space="preserve">      El párrafo 197 de la sentencia de fondo establece que</w:t>
        <w:br/>
        <w:br/>
        <w:t xml:space="preserve">      las consecuencias  patrimoniales  de  la  detención,  procesamiento  y</w:t>
        <w:br/>
        <w:t xml:space="preserve">      condena del señor Cesti Hurtado, en particular los gravámenes sufridos</w:t>
        <w:br/>
        <w:t xml:space="preserve">      sobre  sus  bienes,  son  materia  por  considerar  en  la  etapa   de</w:t>
        <w:br/>
        <w:t xml:space="preserve">      reparaciones.</w:t>
        <w:br/>
        <w:br/>
        <w:t>20.   Sobre este punto, la Comisión manifestó que la expresión  “todos”  es</w:t>
        <w:br/>
        <w:t>suficientemente clara y abarca la totalidad de las consecuencias  jurídicas</w:t>
        <w:br/>
        <w:t>derivadas del proceso indebido seguido contra el señor Cesti  Hurtado  ante</w:t>
        <w:br/>
        <w:t>la jurisdicción militar.</w:t>
        <w:br/>
        <w:br/>
        <w:t>21.   En el punto resolutivo 8 de la sentencia de fondo (supra 15) la Corte</w:t>
        <w:br/>
        <w:t>ordenó al Estado “anular tal proceso, así como todos los efectos que de  él</w:t>
        <w:br/>
        <w:t>se derivan”.  Este Tribunal observa que la anulación de un proceso  implica</w:t>
        <w:br/>
        <w:t>la invalidación de todas las consecuencias jurídicas de éste.   Tal  es  el</w:t>
        <w:br/>
        <w:t>caso de los embargos decretados sobre los bienes del señor Cesti Hurtado.</w:t>
        <w:br/>
        <w:br/>
        <w:br/>
        <w:t xml:space="preserve">                                    VIII</w:t>
        <w:br/>
        <w:t xml:space="preserve">             Vía procesal idónea para establecer la competencia</w:t>
        <w:br/>
        <w:br/>
        <w:t>22.   Los puntos 3  y  4  de  la  demanda  de  interpretación  se  refieren</w:t>
        <w:br/>
        <w:t>esencialmente a  la  misma  materia,  por  lo  que  la  Corte  procederá  a</w:t>
        <w:br/>
        <w:t>examinarlos conjuntamente.</w:t>
        <w:br/>
        <w:br/>
        <w:t>23.   En efecto, en el tercer punto, el Estado hizo referencia  al  párrafo</w:t>
        <w:br/>
        <w:t>130 de la sentencia de fondo y consultó a la Corte si se podía sostener que</w:t>
        <w:br/>
        <w:t>dicha sentencia constituía un precedente de posible  aplicación  futura  en</w:t>
        <w:br/>
        <w:t>casos similares que se produjeran en las jurisdicciones nacionales  de  los</w:t>
        <w:br/>
        <w:t>Estados Parte y en la jurisdicción internacional, en el sentido de  que  el</w:t>
        <w:br/>
        <w:t>hábeas corpus constituía la vía procesal idónea para el cuestionamiento  de</w:t>
        <w:br/>
        <w:t>la jurisdicción militar cuando se producía el supuesto de la  privación  de</w:t>
        <w:br/>
        <w:t>la libertad o amenaza de la misma.</w:t>
        <w:br/>
        <w:br/>
        <w:t>24.   En su cuarto punto, el Estado solicitó una interpretación del párrafo</w:t>
        <w:br/>
        <w:t>132 de la sentencia de fondo para saber cuál sería la  manera  correcta  de</w:t>
        <w:br/>
        <w:t>actuar en caso de que, por ejemplo, un imputado de  terrorismo  agravado  o</w:t>
        <w:br/>
        <w:t>traición a la patria cuestionase, vía la interposición de un hábeas corpus,</w:t>
        <w:br/>
        <w:t>la competencia del fuero militar cuando éste hubiera iniciado  juzgamiento;</w:t>
        <w:br/>
        <w:t>y “[q]ué otras vías habría tenido el [f]uero militar para ‘insistir  en  su</w:t>
        <w:br/>
        <w:t>propia competencia’”.</w:t>
        <w:br/>
        <w:br/>
        <w:t>25.   El párrafo 130 de la sentencia establece que</w:t>
        <w:br/>
        <w:br/>
        <w:t xml:space="preserve">      [l]a legislación peruana  consagra,  como  lo  ha  alegado  el  Estado</w:t>
        <w:br/>
        <w:t xml:space="preserve">      peruano, recursos distintos del  hábeas  corpus  dirigidos  a  dirimir</w:t>
        <w:br/>
        <w:t xml:space="preserve">      conflictos de competencia entre distintos órganos  judiciales.  No  es</w:t>
        <w:br/>
        <w:t xml:space="preserve">      menos cierto, sin embargo, que según  la  Convención  Americana  y  la</w:t>
        <w:br/>
        <w:t xml:space="preserve">      propia legislación peruana, hay un margen de acción para que  el  juez</w:t>
        <w:br/>
        <w:t xml:space="preserve">      del hábeas corpus se ocupe de la competencia del  funcionario  que  ha</w:t>
        <w:br/>
        <w:t xml:space="preserve">      ordenado la privación de libertad. Efectivamente, en el marco  de  los</w:t>
        <w:br/>
        <w:t xml:space="preserve">      hechos a que se  refiere  el  presente  caso,  la  autoridad  judicial</w:t>
        <w:br/>
        <w:t xml:space="preserve">      encargada de resolver sobre el hábeas corpus, debía apreciar los datos</w:t>
        <w:br/>
        <w:t xml:space="preserve">      conducentes a definir si la detención que se pretendía realizar  tenía</w:t>
        <w:br/>
        <w:t xml:space="preserve">      el carácter de arbitraria. Entre esos datos figuraba necesariamente la</w:t>
        <w:br/>
        <w:t xml:space="preserve">      competencia  de  la  autoridad  emisora  de  la  orden  de  detención,</w:t>
        <w:br/>
        <w:t xml:space="preserve">      considerando los hechos imputados y las circunstancias de la persona a</w:t>
        <w:br/>
        <w:t xml:space="preserve">      la que éstos se atribuían  y,  en  consecuencia,  la  regularidad  del</w:t>
        <w:br/>
        <w:t xml:space="preserve">      proceso en el que dicho mandamiento sería dictado.</w:t>
        <w:br/>
        <w:br/>
        <w:br/>
        <w:t>El párrafo 132 de la sentencia señala “que  la  decisión  sobre  el  hábeas</w:t>
        <w:br/>
        <w:t>corpus no privó nunca al fuero militar de la posibilidad de insistir en  su</w:t>
        <w:br/>
        <w:t>propia  competencia,  por  la  vía  legal  adecuada,  a  fin  de  que  esta</w:t>
        <w:br/>
        <w:t>controversia tuviera, en su momento, solución definitiva”.</w:t>
        <w:br/>
        <w:br/>
        <w:t>26.   La Comisión Interamericana expresó que el párrafo 130 de la sentencia</w:t>
        <w:br/>
        <w:t>de fondo resolvía claramente la cuestión planteada por  el  Estado  en  sus</w:t>
        <w:br/>
        <w:t>puntos 3 y 4, por lo que no correspondía a la Corte pronunciarse sobre  los</w:t>
        <w:br/>
        <w:t>mismos.</w:t>
        <w:br/>
        <w:br/>
        <w:t>27.   La Corte estima que la legislación interna suele establecer  una  vía</w:t>
        <w:br/>
        <w:t>procesal idónea para resolver los conflictos de competencia.  El juez de un</w:t>
        <w:br/>
        <w:t>recurso de hábeas corpus, por  su  parte,  resuelve  si  una  privación  de</w:t>
        <w:br/>
        <w:t>libertad tiene carácter de arbitraria.  Solamente  a  esto  se  refirió  la</w:t>
        <w:br/>
        <w:t>sentencia de fondo.  No resulta procedente  para  esta  Corte  pronunciarse</w:t>
        <w:br/>
        <w:t>respecto a la  aplicabilidad  de  sus  fallos  en  hipotéticas  situaciones</w:t>
        <w:br/>
        <w:t>futuras.</w:t>
        <w:br/>
        <w:br/>
        <w:br/>
        <w:t xml:space="preserve">                                     IX</w:t>
        <w:br/>
        <w:t xml:space="preserve">                         Jurisprudencia de la corte</w:t>
        <w:br/>
        <w:br/>
        <w:t>28.   En el quinto punto, el Estado solicitó a la  Corte  que  aclarara  si</w:t>
        <w:br/>
        <w:t>debía considerar que la sentencia de fondo corrobora o modifica el criterio</w:t>
        <w:br/>
        <w:t>sustentado en los  casos  Genie  Lacayo  y  Loayza  Tamayo  o  el  criterio</w:t>
        <w:br/>
        <w:t>sustentado en el caso Castillo Petruzzi y otros, en lo que concierne  a  la</w:t>
        <w:br/>
        <w:t>jurisdicción militar respecto a civiles.</w:t>
        <w:br/>
        <w:br/>
        <w:t>29.    La  Comisión  manifestó  que  los  casos  citados  por   el   Estado</w:t>
        <w:br/>
        <w:t>involucraban situaciones específicas substancialmente diferentes a  la  del</w:t>
        <w:br/>
        <w:t>señor Cesti Hurtado, por lo que no era necesario discutir los mismos.</w:t>
        <w:br/>
        <w:br/>
        <w:t>30.   La Corte expresa sus consideraciones y  criterios  a  través  de  sus</w:t>
        <w:br/>
        <w:t>sentencias y  resoluciones.   El  análisis  de  las  mismas  y  el  estudio</w:t>
        <w:br/>
        <w:t>comparativo de su jurisprudencia  es  una  tarea  eminentemente  académica,</w:t>
        <w:br/>
        <w:t>ajena a las funciones de esta Corte.  La  quinta  consulta  del  Estado  no</w:t>
        <w:br/>
        <w:t>constituye materia de una demanda de interpretación de la sentencia en  sí,</w:t>
        <w:br/>
        <w:t>sino de ésta en comparación con otras sentencias emitidas por  esta  Corte.</w:t>
        <w:br/>
        <w:t>Esta tarea comparativa es ajena a lo previsto por  el  artículo  67  de  la</w:t>
        <w:br/>
        <w:t>Convención.   Por  esta  razón,  la  Corte  estima  que  no  es  procedente</w:t>
        <w:br/>
        <w:t>interpretar este punto y por ello, no se pronunciará sobre el particular.</w:t>
        <w:br/>
        <w:br/>
        <w:br/>
        <w:t xml:space="preserve">                                      X</w:t>
        <w:br/>
        <w:t xml:space="preserve">                      Intervención de los Amici Curiae</w:t>
        <w:br/>
        <w:br/>
        <w:t>31.   En el último punto de su demanda, el Estado hizo referencia a que  el</w:t>
        <w:br/>
        <w:t>señor Heriberto Manuel Benítez Rivas había presentado un escrito en calidad</w:t>
        <w:br/>
        <w:t>de amicus curiae  y a su vez había participado en el proceso en calidad  de</w:t>
        <w:br/>
        <w:t>testigo a propuesta de la Comisión Interamericana, y preguntó  a  la  Corte</w:t>
        <w:br/>
        <w:t>sobre la “legitimidad” de que una persona actuara en esa doble condición en</w:t>
        <w:br/>
        <w:t>un proceso ante este Tribunal.</w:t>
        <w:br/>
        <w:br/>
        <w:t>32.   Refiriéndose a este punto, la  Comisión  manifestó  que,  si  bien  la</w:t>
        <w:br/>
        <w:t>Corte hacía referencia a las  presentaciones  hechas  en  calidad  de  amici</w:t>
        <w:br/>
        <w:t>curiae,  “de  ningún  modo   expresa[ba]   que   las   ha[bía]   tomado   en</w:t>
        <w:br/>
        <w:t>consideración; mucho menos, que se ha[bía]  valido  de  sus  argumentaciones</w:t>
        <w:br/>
        <w:t>para motivar su sentencia.  Esa referencia [fue], entonces, a simple  título</w:t>
        <w:br/>
        <w:t>informativo”.</w:t>
        <w:br/>
        <w:br/>
        <w:br/>
        <w:t xml:space="preserve">    33. La Corte considera que la sexta solicitud  del  Estado  peruano  es</w:t>
        <w:br/>
        <w:t xml:space="preserve">        ajena a la materia de interpretación de sentencia contemplada en el</w:t>
        <w:br/>
        <w:t xml:space="preserve">        artículo 67 de la Convención Americana y  en  el  artículo  58  del</w:t>
        <w:br/>
        <w:t xml:space="preserve">        Reglamento.  Por lo tanto, este Tribunal no  se  pronunciará  sobre</w:t>
        <w:br/>
        <w:t xml:space="preserve">        dicha cuestión.</w:t>
        <w:br/>
        <w:br/>
        <w:br/>
        <w:br/>
        <w:t xml:space="preserve">                                     XI</w:t>
        <w:br/>
        <w:br/>
        <w:br/>
        <w:br/>
        <w:t>Por las razones expuestas,</w:t>
        <w:br/>
        <w:br/>
        <w:t xml:space="preserve">      La Corte Interamericana de Derechos Humanos</w:t>
        <w:br/>
        <w:br/>
        <w:t>de conformidad con el artículo 67 de la Convención  y  el  artículo  58  del</w:t>
        <w:br/>
        <w:t>Reglamento</w:t>
        <w:br/>
        <w:br/>
        <w:br/>
        <w:t xml:space="preserve">      decide:</w:t>
        <w:br/>
        <w:br/>
        <w:t xml:space="preserve">      por unanimidad,</w:t>
        <w:br/>
        <w:br/>
        <w:t>1.    Que la demanda de interpretación de la sentencia de 29  de  septiembre</w:t>
        <w:br/>
        <w:t>de 1999 en el caso Cesti Hurtado, interpuesta por el  Estado  del  Perú,  es</w:t>
        <w:br/>
        <w:t>admisible únicamente en lo que se refiere a  los  puntos  primero,  segundo,</w:t>
        <w:br/>
        <w:t>tercero y cuarto de la misma.</w:t>
        <w:br/>
        <w:br/>
        <w:t>2.    Que los puntos resolutivos 1 y 8 de la sentencia de 29  de  septiembre</w:t>
        <w:br/>
        <w:t>de 1999, mediante los cuales la Corte  Interamericana  de  Derechos  Humanos</w:t>
        <w:br/>
        <w:t>ordenó al Estado peruano dar cumplimiento a la  resolución  dictada  por  la</w:t>
        <w:br/>
        <w:t>Sala Especializada de Derecho Público de Lima de 12 de  febrero  de  1997  y</w:t>
        <w:br/>
        <w:t>anular tal proceso, así como todos los efectos que de él se derivan,  tienen</w:t>
        <w:br/>
        <w:t>carácter obligatorio y, por lo tanto, deben ser cumplidos de inmediato,  sin</w:t>
        <w:br/>
        <w:t>que ello impida que las autoridades competentes  adopten  decisiones  acerca</w:t>
        <w:br/>
        <w:t>de la responsabilidad penal del señor  Cesti  Hurtado  con  respecto  a  los</w:t>
        <w:br/>
        <w:t>hechos ilícitos que se le atribuyen.</w:t>
        <w:br/>
        <w:br/>
        <w:t>3.    Que el punto resolutivo 8 de la  sentencia  de  29  de  septiembre  de</w:t>
        <w:br/>
        <w:t>1999, mediante el cual la Corte Interamericana de  Derechos  Humanos  ordenó</w:t>
        <w:br/>
        <w:t>la anulación del proceso seguido contra el señor Cesti Hurtado,  implica  la</w:t>
        <w:br/>
        <w:t>invalidación de todas  las  consecuencias  jurídicas  de  éste,  incluyendo,</w:t>
        <w:br/>
        <w:t>entre otras, la invalidación de los embargos decretados sobre sus bienes.</w:t>
        <w:br/>
        <w:br/>
        <w:t>4.    Que no resulta procedente para la  Corte  Interamericana  de  Derechos</w:t>
        <w:br/>
        <w:t>Humanos  pronunciarse  respecto  a  la  aplicabilidad  de  sus   fallos   en</w:t>
        <w:br/>
        <w:t>hipotéticas situaciones futuras, y que,  para  los  efectos  de  este  caso,</w:t>
        <w:br/>
        <w:t>quedó clara y debidamente establecido por la Corte en su sentencia de 29  de</w:t>
        <w:br/>
        <w:t>septiembre de 1999, la idoneidad del  recurso  de  hábeas  corpus  como  vía</w:t>
        <w:br/>
        <w:t>procesal para definir si la detención  del  señor  Cesti  Hurtado  tenía  el</w:t>
        <w:br/>
        <w:t>carácter de arbitraria.</w:t>
        <w:br/>
        <w:br/>
        <w:t>Redactada en español e inglés haciendo fe el texto en español,  en  la  sede</w:t>
        <w:br/>
        <w:t>de la Corte en San José, Costa Rica, el día 29 de enero de 2000.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Oliver Jackman</w:t>
        <w:br/>
        <w:br/>
        <w:br/>
        <w:t xml:space="preserve">    Alirio Abreu Burelli     Sergio García Ramírez</w:t>
        <w:br/>
        <w:br/>
        <w:br/>
        <w:br/>
        <w:br/>
        <w:t xml:space="preserve">                     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(     El Juez  Hernán  Salgado  Pesantes  se  excusó  de  participar  en  la</w:t>
        <w:br/>
        <w:t>elaboración y adopción de esta sentencia por no haber formado  parte  de  la</w:t>
        <w:br/>
        <w:t>composición de la Corte en la sentencia de fondo  de  29  de  septiembre  de</w:t>
        <w:br/>
        <w:t>1999.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