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Caso de la Comunidad Mayagna (Sumo) Awas Tingni Vs. Nicaragua</w:t>
        <w:br/>
        <w:br/>
        <w:br/>
        <w:t xml:space="preserve">                      Sentencia de 1 de febrero de 2000</w:t>
        <w:br/>
        <w:t xml:space="preserve">                         (Excepciones Preliminares)</w:t>
        <w:br/>
        <w:br/>
        <w:br/>
        <w:br/>
        <w:br/>
        <w:t>En el caso de la Comunidad Mayagna  (Sumo)  Awas  Tingni  (en  adelante  “la</w:t>
        <w:br/>
        <w:t>Comunidad” o “la Comunidad Mayagna”),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Antônio A. Cançado Trindade, Presidente</w:t>
        <w:br/>
        <w:t xml:space="preserve">      Máximo Pacheco Gómez, Vicepresidente</w:t>
        <w:br/>
        <w:t xml:space="preserve">      Hernán Salgado Pesantes,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 y</w:t>
        <w:br/>
        <w:t xml:space="preserve">      Alejandro Montiel Argüello, Juez ad hoc;</w:t>
        <w:br/>
        <w:br/>
        <w:t>presentes, además,</w:t>
        <w:br/>
        <w:br/>
        <w:t xml:space="preserve">      Manuel E. Ventura Robles, Secretario y</w:t>
        <w:br/>
        <w:t xml:space="preserve">      Renzo Pomi, Secretario adjunto</w:t>
        <w:br/>
        <w:br/>
        <w:t>de  acuerdo  con  el  artículo  36.6  de  su  Reglamento  (en  adelante  “el</w:t>
        <w:br/>
        <w:t>Reglamento”), dicta la siguiente sentencia  sobre  la  excepción  preliminar</w:t>
        <w:br/>
        <w:t>interpuesta  por  el  Estado  de  Nicaragua  (en  adelante  “el  Estado”   o</w:t>
        <w:br/>
        <w:t>“Nicaragua”).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t xml:space="preserve">     1. Este caso fue sometido a la Corte por la Comisión Interamericana de</w:t>
        <w:br/>
        <w:t xml:space="preserve">        Derechos  Humanos  (en  adelante  “la  Comisión”  o  “la   Comisión</w:t>
        <w:br/>
        <w:t xml:space="preserve">        Interamericana”) el 4 de junio de 1998.  Se originó en la  denuncia</w:t>
        <w:br/>
        <w:t xml:space="preserve">        11.577, recibida en la Secretaría de la Comisión el 2 de octubre de</w:t>
        <w:br/>
        <w:t xml:space="preserve">        1995.</w:t>
        <w:br/>
        <w:br/>
        <w:br/>
        <w:br/>
        <w:br/>
        <w:t xml:space="preserve">                                     II</w:t>
        <w:br/>
        <w:br/>
        <w:t xml:space="preserve">                       Hechos Expuestos en la Demanda</w:t>
        <w:br/>
        <w:br/>
        <w:t>2.    En los siguientes párrafos, la Corte resume los  hechos  alegados  por</w:t>
        <w:br/>
        <w:t>la Comisión en el escrito de demanda, relevantes para  la  consideración  de</w:t>
        <w:br/>
        <w:t>la excepción preliminar:</w:t>
        <w:br/>
        <w:br/>
        <w:t xml:space="preserve">      a)    La Comunidad Mayagna de Awas Tingni es  una  comunidad  indígena</w:t>
        <w:br/>
        <w:t xml:space="preserve">      Mayagna o Sumo de la Costa Atlántica o Caribeña de Nicaragua.  Con 142</w:t>
        <w:br/>
        <w:t xml:space="preserve">      familias  aproximadamente,  la  Comunidad  tiene  una   población   de</w:t>
        <w:br/>
        <w:t xml:space="preserve">      alrededor de 630 individuos y su aldea principal se encuentra sobre el</w:t>
        <w:br/>
        <w:t xml:space="preserve">      río Wawa, dentro del  Municipio  de  Waspan,  en  la  Región  Autónoma</w:t>
        <w:br/>
        <w:t xml:space="preserve">      Atlántico Norte (RAAN);</w:t>
        <w:br/>
        <w:br/>
        <w:t xml:space="preserve">       b)     los  miembros  de  la  Comunidad  dialogan   entre   sí   casi</w:t>
        <w:br/>
        <w:t xml:space="preserve">      exclusivamente en el idioma mayagna, aunque la mayoría  puede  también</w:t>
        <w:br/>
        <w:t xml:space="preserve">      comunicarse en español;</w:t>
        <w:br/>
        <w:br/>
        <w:t xml:space="preserve">       c)     la  Comunidad  funciona  bajo  una  estructura  de   liderazgo</w:t>
        <w:br/>
        <w:t xml:space="preserve">      tradicional, basada en la costumbre, reconocida por los artículos 89 y</w:t>
        <w:br/>
        <w:t xml:space="preserve">      180 de la Constitución nicaragüense y 11(4) del Estatuto de  Autonomía</w:t>
        <w:br/>
        <w:t xml:space="preserve">      de las Regiones de la Costa Atlántica de  Nicaragua,  Ley  No.  28  de</w:t>
        <w:br/>
        <w:t xml:space="preserve">      1987;</w:t>
        <w:br/>
        <w:br/>
        <w:t xml:space="preserve">      d)    el liderazgo de  la  Comunidad  está  compuesto  por  una  Junta</w:t>
        <w:br/>
        <w:t xml:space="preserve">      Directiva  Comunal,  cuyos  miembros  son  elegidos  por  la  misma  y</w:t>
        <w:br/>
        <w:t xml:space="preserve">      responden directamente a ella.  La Comunidad  subsiste  principalmente</w:t>
        <w:br/>
        <w:t xml:space="preserve">      de la agricultura familiar y  comunal,  la  recolección  de  frutas  y</w:t>
        <w:br/>
        <w:t xml:space="preserve">      plantas medicinales, la caza y la pesca, actividades llevadas  a  cabo</w:t>
        <w:br/>
        <w:t xml:space="preserve">      dentro de determinado espacio territorial, de acuerdo con  un  sistema</w:t>
        <w:br/>
        <w:t xml:space="preserve">      tradicional  de  tenencia  de  la  tierra  que  está  vinculado  a  la</w:t>
        <w:br/>
        <w:t xml:space="preserve">      organización socio-política de la Comunidad;</w:t>
        <w:br/>
        <w:br/>
        <w:t xml:space="preserve">      e)    el 28 de junio de 1995 la Junta Directiva del  Consejo  Regional</w:t>
        <w:br/>
        <w:t xml:space="preserve">      de la RAAN emitió una disposición administrativa, por medio de la cual</w:t>
        <w:br/>
        <w:t xml:space="preserve">      “recon[oció un] convenio firmado entre el Gobierno Regional Autónomo y</w:t>
        <w:br/>
        <w:t xml:space="preserve">      la Empresa Solcarsa S.A.” para “iniciar operaciones  forestales  [...]</w:t>
        <w:br/>
        <w:t xml:space="preserve">      en la zona de Wakambay”;</w:t>
        <w:br/>
        <w:br/>
        <w:t xml:space="preserve">      f)    el 11 de julio de 1995 el representante legal  de  la  Comunidad</w:t>
        <w:br/>
        <w:t xml:space="preserve">      envió una  carta  al  Ministerio  de  Ambiente  y  Recursos  Naturales</w:t>
        <w:br/>
        <w:t xml:space="preserve">      (MARENA), en la cual la Comunidad protestaba  en  contra  del  posible</w:t>
        <w:br/>
        <w:t xml:space="preserve">      otorgamiento  de  una  concesión  en  sus  tierras,  sin  haber   sido</w:t>
        <w:br/>
        <w:t xml:space="preserve">      previamente consultada, a la compañía Sol del Caribe, S.A. (SOLCARSA);</w:t>
        <w:br/>
        <w:br/>
        <w:t xml:space="preserve">      g)    el 11 de septiembre de 1995 la  Comunidad  interpuso  un  primer</w:t>
        <w:br/>
        <w:t xml:space="preserve">      recurso de amparo ante el Tribunal  de  Apelaciones  de  Matagalpa  en</w:t>
        <w:br/>
        <w:t xml:space="preserve">      contra del MARENA  para  tratar  de  detener  el  otorgamiento  de  la</w:t>
        <w:br/>
        <w:t xml:space="preserve">      concesión.   Dicho  recurso  fue  declarado  improcedente  el  19   de</w:t>
        <w:br/>
        <w:t xml:space="preserve">      septiembre de 1995 por no  haber  sido  presentado  dentro  del  plazo</w:t>
        <w:br/>
        <w:t xml:space="preserve">      legal, el cual consistía en un período de 30 días  contados  a  partir</w:t>
        <w:br/>
        <w:t xml:space="preserve">      del momento en que la Comunidad se enteró de que la  concesión  estaba</w:t>
        <w:br/>
        <w:t xml:space="preserve">      en trámite.  Dos días más tarde la Comunidad presentó  un  recurso  de</w:t>
        <w:br/>
        <w:t xml:space="preserve">      amparo por la  vía  de  hecho  ante  la  Corte  Suprema  de  Justicia,</w:t>
        <w:br/>
        <w:t xml:space="preserve">      solicitando la revisión de la decisión del  Tribunal  de  Apelaciones,</w:t>
        <w:br/>
        <w:t xml:space="preserve">      pero ésta no se pronunció hasta un año y medio más tarde, rechazándolo</w:t>
        <w:br/>
        <w:t xml:space="preserve">      por extemporáneo el 27 de febrero de 1997;</w:t>
        <w:br/>
        <w:br/>
        <w:t xml:space="preserve">      h)    el 13 de marzo de 1996 el Estado, a través  del  MARENA,  otorgó</w:t>
        <w:br/>
        <w:t xml:space="preserve">      una concesión por 30 años a  SOLCARSA  para  explotar  aproximadamente</w:t>
        <w:br/>
        <w:t xml:space="preserve">      62,000 hectáreas de selva tropical en la región de la Costa Atlántica,</w:t>
        <w:br/>
        <w:t xml:space="preserve">      dentro de las tierras reclamadas por la Comunidad;</w:t>
        <w:br/>
        <w:br/>
        <w:t xml:space="preserve">      i)    el 20 de marzo de 1996 los abogados  del  MARENA  comunicaron  a</w:t>
        <w:br/>
        <w:t xml:space="preserve">      los abogados de la Comunidad que  la  concesión  otorgada  a  SOLCARSA</w:t>
        <w:br/>
        <w:t xml:space="preserve">      había sido aprobada por el  Consejo  Regional  de  la  RAAN,  que  las</w:t>
        <w:br/>
        <w:t xml:space="preserve">      comunidades indígenas de la región no gozaban en sí de personalidad  o</w:t>
        <w:br/>
        <w:t xml:space="preserve">      existencia legal independiente, sino que estaban representadas por  el</w:t>
        <w:br/>
        <w:t xml:space="preserve">      Consejo Regional  y  que,  como  éste  había  aprobado  la  concesión,</w:t>
        <w:br/>
        <w:t xml:space="preserve">      entonces la misma era válida;</w:t>
        <w:br/>
        <w:br/>
        <w:t xml:space="preserve">      j)    el 21 de marzo de 1996 los líderes de la  Comunidad  presentaron</w:t>
        <w:br/>
        <w:t xml:space="preserve">      una solicitud ante el pleno del  Consejo  Regional  para  que  se  les</w:t>
        <w:br/>
        <w:t xml:space="preserve">      asistiera en la demarcación de sus tierras ancestrales y para  detener</w:t>
        <w:br/>
        <w:t xml:space="preserve">      el avance de la  concesión  otorgada  sin  el  consentimiento  de  las</w:t>
        <w:br/>
        <w:t xml:space="preserve">      comunidades;</w:t>
        <w:br/>
        <w:br/>
        <w:t xml:space="preserve">      k)    el 22 de marzo de 1996 la Junta Directiva del  Consejo  Regional</w:t>
        <w:br/>
        <w:t xml:space="preserve">      indicó a los abogados de la Comunidad que la resolución  adoptada  por</w:t>
        <w:br/>
        <w:t xml:space="preserve">      ella el 25 (sic) de junio de 1995 estaba  sujeta  a  ratificación  por</w:t>
        <w:br/>
        <w:t xml:space="preserve">      parte del pleno del Consejo Regional, ratificación  que  no  se  había</w:t>
        <w:br/>
        <w:t xml:space="preserve">      producido, y que la Junta Directiva en sí misma no había otorgado,  ni</w:t>
        <w:br/>
        <w:t xml:space="preserve">      otorgaría, el consentimiento requerido para una concesión;</w:t>
        <w:br/>
        <w:br/>
        <w:t xml:space="preserve">      l)    el 29 de marzo de 1996 dos miembros del Consejo Regional  de  la</w:t>
        <w:br/>
        <w:t xml:space="preserve">      RAAN interpusieron un recurso de  amparo  ante  la  Corte  Suprema  en</w:t>
        <w:br/>
        <w:t xml:space="preserve">      contra de la concesión a SOLCARSA.  Esta acción fue entablada  con  el</w:t>
        <w:br/>
        <w:t xml:space="preserve">      fundamento de que la concesión no era  válida  porque  no  había  sido</w:t>
        <w:br/>
        <w:t xml:space="preserve">      aprobada por el  pleno  del  Consejo  Regional,   como  lo  exigía  el</w:t>
        <w:br/>
        <w:t xml:space="preserve">      artículo 181 de la Constitución nicaragüense.   La  Corte  Suprema  de</w:t>
        <w:br/>
        <w:t xml:space="preserve">      Justicia  se  pronunció  en  favor  de  este  recurso  y  declaró   la</w:t>
        <w:br/>
        <w:t xml:space="preserve">      inconstitucionalidad de la concesión el 27 de febrero de 1997;</w:t>
        <w:br/>
        <w:br/>
        <w:t xml:space="preserve">      m)    posteriormente, funcionarios  del  Estado  realizaron  gestiones</w:t>
        <w:br/>
        <w:t xml:space="preserve">      para que la concesión fuese  sometida  a  la  aprobación  del  Consejo</w:t>
        <w:br/>
        <w:t xml:space="preserve">      Regional de la RAAN.  El 8 de octubre de  1997  la  mayoría  de  dicho</w:t>
        <w:br/>
        <w:t xml:space="preserve">      Consejo votó a favor de la concesión.  En virtud de lo anterior, el  7</w:t>
        <w:br/>
        <w:t xml:space="preserve">      de noviembre de 1997, la Comunidad interpuso  un  segundo  recurso  de</w:t>
        <w:br/>
        <w:t xml:space="preserve">      amparo, esta vez en contra de “los miembros” de la Junta Directiva que</w:t>
        <w:br/>
        <w:t xml:space="preserve">      inicialmente habían votado a favor de la concesión y de “los miembros”</w:t>
        <w:br/>
        <w:t xml:space="preserve">      que, el 8 de octubre de 1997, formaron la mayoría del Consejo Regional</w:t>
        <w:br/>
        <w:t xml:space="preserve">      y aprobaron la concesión referida.   En  este  recurso,  la  Comunidad</w:t>
        <w:br/>
        <w:t xml:space="preserve">      denunció a los miembros mencionados por haber  aprobado  la  concesión</w:t>
        <w:br/>
        <w:t xml:space="preserve">      sin haber considerado los derechos de  las  comunidades  indígenas,  a</w:t>
        <w:br/>
        <w:t xml:space="preserve">      pesar de existir una solicitud formal al respecto hecha  por  ella  al</w:t>
        <w:br/>
        <w:t xml:space="preserve">      Consejo Regional;</w:t>
        <w:br/>
        <w:br/>
        <w:t xml:space="preserve">      n)    el 12 de  noviembre  de  1997  el  Tribunal  de  Apelaciones  de</w:t>
        <w:br/>
        <w:t xml:space="preserve">      Matagalpa admitió el segundo recurso de amparo, mandó  a  notificar  a</w:t>
        <w:br/>
        <w:t xml:space="preserve">      los demandados para que presentaran sus informes a la Corte Suprema de</w:t>
        <w:br/>
        <w:t xml:space="preserve">      Justicia  y  negó  la  solicitud  de   la   Comunidad   de   suspender</w:t>
        <w:br/>
        <w:t xml:space="preserve">      inmediatamente la concesión a SOLCARSA; y</w:t>
        <w:br/>
        <w:br/>
        <w:t xml:space="preserve">      o)    el 12 de febrero  de  1998  la  Corte  Suprema  de  Justicia  de</w:t>
        <w:br/>
        <w:t xml:space="preserve">      Nicaragua emitió una orden de ejecutoria de  la  sentencia  de  27  de</w:t>
        <w:br/>
        <w:t xml:space="preserve">      febrero de 1997 a favor de los miembros del  Consejo  Regional  de  la</w:t>
        <w:br/>
        <w:t xml:space="preserve">      RAAN que habían interpuesto el recurso  de  amparo  arriba  mencionado</w:t>
        <w:br/>
        <w:t xml:space="preserve">      (supra l).</w:t>
        <w:br/>
        <w:br/>
        <w:br/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t>3.    El 2 de octubre de 1995 la  Comisión  recibió  en  su  Secretaría  una</w:t>
        <w:br/>
        <w:t>denuncia hecha por el señor Jaime Castillo Felipe,  dirigente  principal  de</w:t>
        <w:br/>
        <w:t>la Comunidad, por sí mismo y en representación de la Comunidad.</w:t>
        <w:br/>
        <w:br/>
        <w:t>4.     El  3  de  diciembre  de  1995  la  Comisión  recibió  una  solicitud</w:t>
        <w:br/>
        <w:t>suplementaria sobre medidas cautelares, en virtud de que el Estado estaba  a</w:t>
        <w:br/>
        <w:t>punto de otorgar la concesión a SOLCARSA para  comenzar  la  explotación  de</w:t>
        <w:br/>
        <w:t>madera en las tierras comunales.</w:t>
        <w:br/>
        <w:br/>
        <w:t>5.    El 19 de enero de 1996 los peticionarios  solicitaron  a  la  Comisión</w:t>
        <w:br/>
        <w:t>una audiencia para participar  en  su  91º  período  de  sesiones,  pero  la</w:t>
        <w:br/>
        <w:t>Comisión les informó que no sería posible acceder a su solicitud.</w:t>
        <w:br/>
        <w:br/>
        <w:t>6.    El 5 de febrero de 1996 la Comisión inició la tramitación del  caso  y</w:t>
        <w:br/>
        <w:t>envió al Estado las partes pertinentes de  la  petición,  solicitándole  que</w:t>
        <w:br/>
        <w:t>suministrara la información correspondiente en un plazo de 90 días.</w:t>
        <w:br/>
        <w:br/>
        <w:t>7.    El 13 de marzo de  1996  la  Comunidad  presentó  a  la  Comisión  dos</w:t>
        <w:br/>
        <w:t>artículos de prensa que “señalaban el  otorgamiento  de  [la]  concesión”  a</w:t>
        <w:br/>
        <w:t>SOLCARSA y una carta del  Ministro  de  Ambiente  y  Recursos  Naturales  al</w:t>
        <w:br/>
        <w:t>presidente  de  SOLCARSA,  informándole  que  “su  solicitud  de   concesión</w:t>
        <w:br/>
        <w:t>forestal estaba en trámite, lo que faltaba era  firmar  el  contrato  de  su</w:t>
        <w:br/>
        <w:t>concesión”, y estableciendo que el obstáculo  principal  lo  constituía  las</w:t>
        <w:br/>
        <w:t>reclamaciones de la Comunidad.</w:t>
        <w:br/>
        <w:br/>
        <w:t>8.    Mediante comunicación de  28  de  marzo  de  1996,  los  peticionarios</w:t>
        <w:br/>
        <w:t>enviaron a la Comisión un  proyecto  de  memorándum  de  entendimiento  para</w:t>
        <w:br/>
        <w:t>llegar a una solución en el caso, documento que había sido presentado a  los</w:t>
        <w:br/>
        <w:t>Ministros de Relaciones Exteriores y de Ambiente y Recursos Naturales.</w:t>
        <w:br/>
        <w:br/>
        <w:t>9.    El 17 de abril de 1996  los  peticionarios  presentaron  un  documento</w:t>
        <w:br/>
        <w:t>mediante el cual otras comunidades indígenas de  la  RAAN  y  el  Movimiento</w:t>
        <w:br/>
        <w:t>Indígena de la Región Autónoma Atlántico  Sur  se  adherían  a  la  petición</w:t>
        <w:br/>
        <w:t>presentada ante la Comisión.</w:t>
        <w:br/>
        <w:br/>
        <w:t>10.   El 3 de mayo de 1996 se realizó una reunión informal entre las  partes</w:t>
        <w:br/>
        <w:t>y la Comisión con el fin de llegar a una solución amistosa en el caso; el  6</w:t>
        <w:br/>
        <w:t>de los mismos mes y año, la Comisión se puso a  disposición  de  las  partes</w:t>
        <w:br/>
        <w:t>para lograr este objetivo y  les  otorgó  un  plazo  de  30  días  para  que</w:t>
        <w:br/>
        <w:t>emitieran su respuesta al  respecto.   El  8  y  20  de  mayo  de  1996  los</w:t>
        <w:br/>
        <w:t>peticionarios y el Estado, respectivamente, accedieron a dicha propuesta.</w:t>
        <w:br/>
        <w:br/>
        <w:t>11.   El 20 de junio de 1996  se  celebró  una  segunda  reunión  entre  las</w:t>
        <w:br/>
        <w:t>partes y la Comisión.  En esta reunión,  Nicaragua  rechazó  el  acuerdo  de</w:t>
        <w:br/>
        <w:t>entendimiento  presentado  por   los   peticionarios.    A   su   vez,   los</w:t>
        <w:br/>
        <w:t>peticionarios solicitaron al Estado que  presentara  un  procedimiento  para</w:t>
        <w:br/>
        <w:t>delimitar las  tierras  de  la  Comunidad  y  que,  mientras  esto  ocurría,</w:t>
        <w:br/>
        <w:t>suspendiera la concesión  otorgada  a  SOLCARSA;  informaron  que  se  había</w:t>
        <w:br/>
        <w:t>iniciado la construcción de carreteras hacia las tierras de la Comunidad;  y</w:t>
        <w:br/>
        <w:t>propusieron que  la  Comisión  visitara  Nicaragua  para  dialogar  con  las</w:t>
        <w:br/>
        <w:t>partes.</w:t>
        <w:br/>
        <w:br/>
        <w:t>12.   El 3 de octubre de 1996  se  celebró  la  tercera  reunión  entre  las</w:t>
        <w:br/>
        <w:t>partes y la Comisión.  En ella, los peticionarios solicitaron al Estado  que</w:t>
        <w:br/>
        <w:t>no otorgara  más  concesiones  en  la  zona,  que  iniciara  el  proceso  de</w:t>
        <w:br/>
        <w:t>demarcación de las tierras de la Comunidad y que diferenciara éstas  de  las</w:t>
        <w:br/>
        <w:t>tierras estatales. Por su parte, el Estado presentó  documentos  probatorios</w:t>
        <w:br/>
        <w:t>y anunció la creación de la Comisión Nacional de  Demarcación,  invitando  a</w:t>
        <w:br/>
        <w:t>los peticionarios a participar en la misma.</w:t>
        <w:br/>
        <w:br/>
        <w:t>13.   El 5 de marzo de 1997 los peticionarios reiteraron a  la  Comisión  su</w:t>
        <w:br/>
        <w:t>solicitud de medidas cautelares, frente a  la  amenaza  del  inicio  de  las</w:t>
        <w:br/>
        <w:t>operaciones forestales en las tierras indígenas y el 12 de los mismos mes  y</w:t>
        <w:br/>
        <w:t>año la Comisión solicitó al Estado que le informara al respecto en un  plazo</w:t>
        <w:br/>
        <w:t>de 15 días.  El 20 de marzo de 1997 Nicaragua  solicitó  a  la  Comisión  un</w:t>
        <w:br/>
        <w:t>plazo de 30 días para responder a su solicitud y ésta lo concedió.</w:t>
        <w:br/>
        <w:br/>
        <w:t>14.   El 3 de abril de 1997  los  peticionarios  informaron  a  la  Comisión</w:t>
        <w:br/>
        <w:t>sobre el fallo de la Corte  Suprema  de  Justicia  de  Nicaragua  de  27  de</w:t>
        <w:br/>
        <w:t>febrero de 1997, el cual resolvió  el  recurso  de  amparo  interpuesto  por</w:t>
        <w:br/>
        <w:t>miembros del Consejo Regional de la RAAN y declaró  la  inconstitucionalidad</w:t>
        <w:br/>
        <w:t>de la concesión otorgada por MARENA, debido a que  la  misma  no  reunía  el</w:t>
        <w:br/>
        <w:t>requisito  del  artículo  181  de  la  Constitución  nicaragüense.   También</w:t>
        <w:br/>
        <w:t>informaron que el Estado no había suspendido la actividad forestal  bajo  la</w:t>
        <w:br/>
        <w:t>concesión.</w:t>
        <w:br/>
        <w:br/>
        <w:t>15.   El 23 de abril de 1997 el Estado solicitó a la Comisión que  desechara</w:t>
        <w:br/>
        <w:t>las medidas  cautelares  solicitadas  por  los  peticionarios  debido  a  la</w:t>
        <w:br/>
        <w:t>expedición de la sentencia de la Corte Suprema de Justicia, que el mismo  se</w:t>
        <w:br/>
        <w:t>comprometía a cumplir.  Sin embargo, el 11  de  junio  del  mismo  año,  los</w:t>
        <w:br/>
        <w:t>peticionarios informaron a la Comisión que, a pesar de la  sentencia  de  la</w:t>
        <w:br/>
        <w:t>Corte Suprema de Justicia, el Estado y SOLCARSA  continuaban  actuando  como</w:t>
        <w:br/>
        <w:t>si la concesión fuera válida.</w:t>
        <w:br/>
        <w:br/>
        <w:t>16.    En  audiencia  de  8  de  octubre  de  1997  ante  la  Comisión,  los</w:t>
        <w:br/>
        <w:t>peticionarios señalaron que proseguían las  operaciones  forestales  en  las</w:t>
        <w:br/>
        <w:t>tierras de la Comunidad y pidieron a la Comisión que observara la  situación</w:t>
        <w:br/>
        <w:t>in situ.  El 27 de octubre del mismo año,  tres  días  antes  de  la  visita</w:t>
        <w:br/>
        <w:t>programada por la Comisión a Nicaragua, el Estado  le  informó  que  no  era</w:t>
        <w:br/>
        <w:t>necesaria la visita  debido  a  que  se  estaba  preparando  un  escrito  de</w:t>
        <w:br/>
        <w:t>información adicional al respecto.</w:t>
        <w:br/>
        <w:br/>
        <w:t>17.   El 31 de octubre de 1997 la Comisión solicitó al  Estado  la  adopción</w:t>
        <w:br/>
        <w:t>de medidas cautelares  tendientes  a  suspender  la  concesión  otorgada   a</w:t>
        <w:br/>
        <w:t>SOLCARSA y fijó un plazo de 30 días  para  que  el  Estado  informase  sobre</w:t>
        <w:br/>
        <w:t>ellas.  Ese mismo día, la Comisión reiteró al Estado que diera su  respuesta</w:t>
        <w:br/>
        <w:t>con respecto a la solicitud de 5  de  febrero  de  1996  con  motivo  de  la</w:t>
        <w:br/>
        <w:t>iniciación del procedimiento y le  otorgó  un  plazo  de  30  días  a  tales</w:t>
        <w:br/>
        <w:t>efectos.</w:t>
        <w:br/>
        <w:br/>
        <w:t>18.   El 5 de noviembre de  1997  el  Estado  solicitó  a  la  Comisión  que</w:t>
        <w:br/>
        <w:t>cerrara el caso ya que el Consejo Regional de la RAAN  había  ratificado  la</w:t>
        <w:br/>
        <w:t>aprobación de  la  concesión  a  SOLCARSA,  subsanando  el  error  de  forma</w:t>
        <w:br/>
        <w:t>cometido y, por ende, quedando así vigente la concesión.</w:t>
        <w:br/>
        <w:br/>
        <w:t>19.   El 17 de noviembre de  1997  los  peticionarios  manifestaron  que  el</w:t>
        <w:br/>
        <w:t>aspecto central de la denuncia era la  falta  de  protección  por  parte  de</w:t>
        <w:br/>
        <w:t>Nicaragua de los derechos de la Comunidad  sobre  sus  tierras  ancestrales,</w:t>
        <w:br/>
        <w:t>situación  que  aún  permanecía  vigente.   Asimismo,  con  respecto  a   la</w:t>
        <w:br/>
        <w:t>ratificación del Consejo Regional de la RAAN,  señalaron  que  este  Consejo</w:t>
        <w:br/>
        <w:t>era parte de la organización político-administrativa del Estado y que  había</w:t>
        <w:br/>
        <w:t>actuado sin tomar en cuenta los  derechos  territoriales  de  la  Comunidad.</w:t>
        <w:br/>
        <w:t>Por último, solicitaron a la Comisión que procediera a rendir un informe  de</w:t>
        <w:br/>
        <w:t>acuerdo con el artículo 50 de la Convención.</w:t>
        <w:br/>
        <w:br/>
        <w:t>20.   El 4 de diciembre de 1997  el  Estado  envió  una  comunicación  a  la</w:t>
        <w:br/>
        <w:t>Comisión señalando  que  los  peticionarios  habían  interpuesto,  el  7  de</w:t>
        <w:br/>
        <w:t>noviembre de  1997,  un  recurso  de  amparo,  solicitando  al  Tribunal  de</w:t>
        <w:br/>
        <w:t>Apelaciones de Matagalpa que declarara nula la concesión a SOLCARSA, por  lo</w:t>
        <w:br/>
        <w:t>que no se habían agotado los recursos internos e  invocó  la  aplicación  de</w:t>
        <w:br/>
        <w:t>los artículos 46 de la Convención  y  37  del  Reglamento  de  la  Comisión,</w:t>
        <w:br/>
        <w:t>posición que el Estado reiteró el 19 de diciembre de 1997.</w:t>
        <w:br/>
        <w:br/>
        <w:t>21.   El 2 de marzo de 1998  el  Estado  comunicó  a  la  Comisión  que  los</w:t>
        <w:br/>
        <w:t>peticionarios  habían  presentado,  el  22  de  enero  del  mismo  año,  una</w:t>
        <w:br/>
        <w:t>solicitud ante la Corte Suprema de Justicia de ejecución de la sentencia  de</w:t>
        <w:br/>
        <w:t>27 de febrero de 1997 dictada por ese  tribunal.   En  esta  oportunidad  el</w:t>
        <w:br/>
        <w:t>Estado reiteró su  posición  de  que  no  se  habían  agotado  los  recursos</w:t>
        <w:br/>
        <w:t>internos debido a los recursos de amparo interpuestos  por  la  Comunidad  y</w:t>
        <w:br/>
        <w:t>solicitó a la Comisión que se abstuviera de continuar conociendo del caso.</w:t>
        <w:br/>
        <w:br/>
        <w:t>22.   El 3 de marzo de 1998 la Comisión  Interamericana  aprobó  el  Informe</w:t>
        <w:br/>
        <w:t>No. 27/98, el cual fue transmitido al Estado el 6 de los mismos mes  y  año.</w:t>
        <w:br/>
        <w:t>En dicho Informe, la Comisión concluyó:</w:t>
        <w:br/>
        <w:br/>
        <w:t xml:space="preserve">      141.  Sobre la base de las acciones y omisiones examinadas, (...)  que</w:t>
        <w:br/>
        <w:t xml:space="preserve">      el Estado de Nicaragua no ha cumplido con  sus  obligaciones  bajo  la</w:t>
        <w:br/>
        <w:t xml:space="preserve">      Convención Americana sobre Derechos Humanos.  El Estado  de  Nicaragua</w:t>
        <w:br/>
        <w:t xml:space="preserve">      no ha demarcado las tierras comunales de la Comunidad Awas Tingni,  ni</w:t>
        <w:br/>
        <w:t xml:space="preserve">      de otras comunidades indígenas.  Tampoco ha tomado  medidas  efectivas</w:t>
        <w:br/>
        <w:t xml:space="preserve">      que aseguren los derechos de propiedad de la Comunidad en sus tierras.</w:t>
        <w:br/>
        <w:t xml:space="preserve">       Esta omisión por parte del Estado  constituye  una  violación  a  los</w:t>
        <w:br/>
        <w:t xml:space="preserve">      artículos 1, 2, y 21 de la  Convención,  los  cuales  en  su  conjunto</w:t>
        <w:br/>
        <w:t xml:space="preserve">      establecen el derecho a dichas medidas efectivas.  Los artículos 1 y 2</w:t>
        <w:br/>
        <w:t xml:space="preserve">      obligan a los Estados a tomar las medidas necesarias para  implementar</w:t>
        <w:br/>
        <w:t xml:space="preserve">      los derechos contenidos en la Convención.</w:t>
        <w:br/>
        <w:br/>
        <w:t xml:space="preserve">      142.  El Estado  de  Nicaragua,  es  responsable  por  violaciones  al</w:t>
        <w:br/>
        <w:t xml:space="preserve">      derecho a la propiedad en forma activa, consagrado en el  artículo  21</w:t>
        <w:br/>
        <w:t xml:space="preserve">      de la Convención, al otorgar una concesión a la compañía SOLCARSA para</w:t>
        <w:br/>
        <w:t xml:space="preserve">      realizar en las  tierras  Awas  Tingni  trabajos  de  construcción  de</w:t>
        <w:br/>
        <w:t xml:space="preserve">      carreteras y de explotación maderera,  sin  el  consentimiento  de  la</w:t>
        <w:br/>
        <w:t xml:space="preserve">      Comunidad Awas Tingni.</w:t>
        <w:br/>
        <w:br/>
        <w:t xml:space="preserve">      143.  [...] el Estado de Nicaragua no garantizó  un  recurso  efectivo</w:t>
        <w:br/>
        <w:t xml:space="preserve">      para responder a las reclamaciones de la Comunidad Awas  Tingni  sobre</w:t>
        <w:br/>
        <w:t xml:space="preserve">      sus derechos a  tierras  y  recursos  naturales,  de  acuerdo  con  el</w:t>
        <w:br/>
        <w:t xml:space="preserve">      artículo 25 de la Convención.</w:t>
        <w:br/>
        <w:br/>
        <w:t>Asimismo, la Comisión recomendó a Nicaragua que:</w:t>
        <w:br/>
        <w:br/>
        <w:t xml:space="preserve">      a.    Estable[ciera] un procedimiento  en  su  ordenamiento  jurídico,</w:t>
        <w:br/>
        <w:t xml:space="preserve">      aceptable a las comunidades indígenas involucradas, que t[uviera] como</w:t>
        <w:br/>
        <w:t xml:space="preserve">      resultado la  pronta  demarcación  y  el  reconocimiento  oficial  del</w:t>
        <w:br/>
        <w:t xml:space="preserve">      territorio de Awas Tingni y de los territorios de otras comunidades de</w:t>
        <w:br/>
        <w:t xml:space="preserve">      la Costa Atlántica;</w:t>
        <w:br/>
        <w:br/>
        <w:t xml:space="preserve">      b.    Suspend[iera] a la mayor brevedad, toda actividad relativa a  la</w:t>
        <w:br/>
        <w:t xml:space="preserve">      concesión maderera otorgada a SOLCARSA por el  Estado  dentro  de  las</w:t>
        <w:br/>
        <w:t xml:space="preserve">      tierras comunales de Awas Tingni, hasta que la cuestión de la tenencia</w:t>
        <w:br/>
        <w:t xml:space="preserve">      de la tierra que afecta a las  comunidades  indígenas  h[ubiera]  sido</w:t>
        <w:br/>
        <w:t xml:space="preserve">      resuelta, o que se h[ubiera]  llegado a un acuerdo específico entre el</w:t>
        <w:br/>
        <w:t xml:space="preserve">      Estado y la Comunidad Awas Tingni; [y]</w:t>
        <w:br/>
        <w:br/>
        <w:t xml:space="preserve">      c.    Iniciar[a] en el plazo de un mes un  diálogo  con  la  Comunidad</w:t>
        <w:br/>
        <w:t xml:space="preserve">      Awas Tingni, a fin de determinar bajo qué circunstancias se  pu[diera]</w:t>
        <w:br/>
        <w:t xml:space="preserve">      llegar a un acuerdo entre el Estado y la Comunidad Awas Tingni.</w:t>
        <w:br/>
        <w:br/>
        <w:t>Al transmitir dicho informe al Estado, la Comisión otorgó  el  plazo  de  60</w:t>
        <w:br/>
        <w:t>días para que le comunicara  las  medidas  que  hubiese  adoptado  para  dar</w:t>
        <w:br/>
        <w:t>cumplimiento a las recomendaciones citadas.</w:t>
        <w:br/>
        <w:br/>
        <w:t>23.   El 7 de mayo de 1998 la Comisión recibió la respuesta del Estado,  con</w:t>
        <w:br/>
        <w:t>fecha del día anterior. La Comisión señaló que, aunque dicha  respuesta  fue</w:t>
        <w:br/>
        <w:t>presentada extemporáneamente,  analizaría  su  contenido  para  agregarse  a</w:t>
        <w:br/>
        <w:t>autos. Con respecto a las recomendaciones  de  la  Comisión  Interamericana,</w:t>
        <w:br/>
        <w:t>Nicaragua manifestó que:</w:t>
        <w:br/>
        <w:br/>
        <w:br/>
        <w:t xml:space="preserve">      a)     A fin de dar cumplimiento a las recomendaciones de la  CIDH  en</w:t>
        <w:br/>
        <w:t xml:space="preserve">      relación a  establecer  un  procedimiento  jurídico  aceptable  a  las</w:t>
        <w:br/>
        <w:t xml:space="preserve">      comunidades indígenas involucradas que  t[uviera]  como  resultado  la</w:t>
        <w:br/>
        <w:t xml:space="preserve">      demarcación y el reconocimiento oficial del territorio de Awas  Tingni</w:t>
        <w:br/>
        <w:t xml:space="preserve">      y de otras comunidades de la Costa Atlántica, el Gobierno de Nicaragua</w:t>
        <w:br/>
        <w:t xml:space="preserve">      cuenta con una Comisión Nacional para la demarcación de las tierras de</w:t>
        <w:br/>
        <w:t xml:space="preserve">      las Comunidades Indígenas de la Costa Atlántica.</w:t>
        <w:br/>
        <w:t xml:space="preserve">      Con este mismo objetivo, se [procedió] a preparar un Proyecto  de  Ley</w:t>
        <w:br/>
        <w:t xml:space="preserve">      de Propiedad Comunal Indígena que tiene tres componentes:</w:t>
        <w:br/>
        <w:br/>
        <w:br/>
        <w:t xml:space="preserve">      1.    Establecer lo relativo a  la  acreditación  de  las  comunidades</w:t>
        <w:br/>
        <w:t xml:space="preserve">           indígenas y de sus autoridades.</w:t>
        <w:br/>
        <w:t xml:space="preserve">      2.    Proceder a la delimitación y titulación de las propiedades.</w:t>
        <w:br/>
        <w:t xml:space="preserve">      3.    Solución del conflicto.</w:t>
        <w:br/>
        <w:br/>
        <w:br/>
        <w:t xml:space="preserve">      Este proyecto de ley, presupone dar una solución legal de la propiedad</w:t>
        <w:br/>
        <w:t xml:space="preserve">      indígena o de minorías étnicas.  Dicho proyecto será consultado con la</w:t>
        <w:br/>
        <w:t xml:space="preserve">      sociedad civil y una vez consensuado será  presentado  a  la  Asamblea</w:t>
        <w:br/>
        <w:t xml:space="preserve">      Nacional para su discusión y posterior aprobación.  El plazo  estimado</w:t>
        <w:br/>
        <w:t xml:space="preserve">      para todo este proceso es de unos tres meses a partir de esta fecha.</w:t>
        <w:br/>
        <w:br/>
        <w:br/>
        <w:t xml:space="preserve">      b)    En relación a  la  recomendación  de  suspender  toda  actividad</w:t>
        <w:br/>
        <w:t xml:space="preserve">      relativa a la concesión maderera otorgada a SOLCARSA y cumplir con  la</w:t>
        <w:br/>
        <w:t xml:space="preserve">      sentencia de la Corte Suprema de Justicia, el  Gobierno  de  Nicaragua</w:t>
        <w:br/>
        <w:t xml:space="preserve">      canceló el 16 de febrero de 1998 dicha concesión y notificó  el  mismo</w:t>
        <w:br/>
        <w:t xml:space="preserve">      día al Señor Michael Kang, Gerente General de SOLCARSA[,] que a partir</w:t>
        <w:br/>
        <w:t xml:space="preserve">      de  esa  fecha  la  concesión  quedaba  sin  efecto  y  valor  alguno.</w:t>
        <w:br/>
        <w:t xml:space="preserve">      Igualmente, se le comunicó que ordenara la suspensión de toda  acción,</w:t>
        <w:br/>
        <w:t xml:space="preserve">      bajo apercibimiento de violar  el  artículo  167  de  la  Constitución</w:t>
        <w:br/>
        <w:t xml:space="preserve">      Política y hacerse merecedor de entablar en su contra  indistintamente</w:t>
        <w:br/>
        <w:t xml:space="preserve">      la acción civil y penal.</w:t>
        <w:br/>
        <w:br/>
        <w:br/>
        <w:t xml:space="preserve">      c)    Respecto a  la  recomendación  de  iniciar  un  diálogo  con  la</w:t>
        <w:br/>
        <w:t xml:space="preserve">      [C]omunidad de Awas Tingni, el Gobierno de Nicaragua  tiene  la  firme</w:t>
        <w:br/>
        <w:t xml:space="preserve">      voluntad de dar una solución global a todas las comunidades  indígenas</w:t>
        <w:br/>
        <w:t xml:space="preserve">      de la [C]osta [A]tlántica, en  el  marco  del  proyecto  de  [L]ey  de</w:t>
        <w:br/>
        <w:t xml:space="preserve">      [P]ropiedad [C]omunal,  para  lo  cual  se  hará  también  una  amplia</w:t>
        <w:br/>
        <w:t xml:space="preserve">      consulta con dichas comunidades.</w:t>
        <w:br/>
        <w:br/>
        <w:br/>
        <w:t>En relación con las conclusiones contenidas en  el  Informe  No.  27/98,  el</w:t>
        <w:br/>
        <w:t>Estado nicaragüense  expresó  su  reconocimiento  de  los  derechos  de  las</w:t>
        <w:br/>
        <w:t>comunidades   indígenas,   consagrados   en   su   Constitución   y   normas</w:t>
        <w:br/>
        <w:t>legislativas.  Además, señaló que</w:t>
        <w:br/>
        <w:br/>
        <w:t xml:space="preserve">      el [G]obierno de Nicaragua ha dado fiel cumplimiento a las  anteriores</w:t>
        <w:br/>
        <w:t xml:space="preserve">      disposiciones legales, y por consiguiente, su actuación ha sido acorde</w:t>
        <w:br/>
        <w:t xml:space="preserve">      con el ordenamiento jurídico nacional y lo que establecen las normas y</w:t>
        <w:br/>
        <w:t xml:space="preserve">      procedimientos de la Convención [Americana  sobre]  Derechos  Humanos.</w:t>
        <w:br/>
        <w:t xml:space="preserve">      Por su parte,  la  Comunidad  de  Awas  Tingni  ejerció  sus  derechos</w:t>
        <w:br/>
        <w:t xml:space="preserve">      consignados en la ley y tuvo acceso a los recursos  que  la  misma  le</w:t>
        <w:br/>
        <w:t xml:space="preserve">      confiere.</w:t>
        <w:br/>
        <w:br/>
        <w:t>Por  último,  Nicaragua  solicitó  a  la  Comisión  Interamericana  dar  por</w:t>
        <w:br/>
        <w:t>concluido el presente caso.</w:t>
        <w:br/>
        <w:br/>
        <w:t>24.   El 28 de mayo de 1998 la Comisión decidió presentar el  caso  ante  la</w:t>
        <w:br/>
        <w:t>Corte.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25.   El 4 de junio de 1998 la Comisión presentó la demanda ante  la  Corte,</w:t>
        <w:br/>
        <w:t>en la cual invocó los artículos 50 y 51 de  la  Convención  Americana  sobre</w:t>
        <w:br/>
        <w:t>Derechos Humanos (en adelante “la Convención” o “la  Convención  Americana”)</w:t>
        <w:br/>
        <w:t>y 32 y siguientes del Reglamento de la  Corte.   La  Comisión  sometió  este</w:t>
        <w:br/>
        <w:t>caso para que la  Corte  decidiera  si  hubo  violación  de  los  siguientes</w:t>
        <w:br/>
        <w:t>artículos de la Convención:  1 (Obligación  de  Respetar  los  Derechos),  2</w:t>
        <w:br/>
        <w:t>(Deber de Adoptar Disposiciones  de  Derecho  Interno),  21  (Derecho  a  la</w:t>
        <w:br/>
        <w:t>Propiedad Privada) y 25 (Protección Judicial).</w:t>
        <w:br/>
        <w:br/>
        <w:t>26.   Asimismo, la Comisión solicitó a la Corte que declarara que el  Estado</w:t>
        <w:br/>
        <w:t>está  obligado  a  establecer  y  aplicar  un  procedimiento  jurídico  para</w:t>
        <w:br/>
        <w:t>demarcar las tierras de la Comunidad, a abstenerse  de  otorgar  concesiones</w:t>
        <w:br/>
        <w:t>en las mismas hasta que la cuestión de su tenencia haya sido  resuelta  y  a</w:t>
        <w:br/>
        <w:t>indemnizar a la Comunidad.  Finalmente, la Comisión solicitó que se  condene</w:t>
        <w:br/>
        <w:t>a Nicaragua al pago de las costas y gastos de este proceso.</w:t>
        <w:br/>
        <w:br/>
        <w:t>27.   La Comisión designó como sus delegados a los señores Claudio  Grossman</w:t>
        <w:br/>
        <w:t>y Helio Bicudo, como sus asesores a  los  señores  David  Padilla,  Hernando</w:t>
        <w:br/>
        <w:t>Valencia y la señora Bertha Santoscoy, y sus asistentes a los señores  James</w:t>
        <w:br/>
        <w:t>Anaya y Todd Crider y a la señora María Luisa Acosta.</w:t>
        <w:br/>
        <w:br/>
        <w:t>28.   El 19 de junio de 1998 la Secretaría de  la  Corte  (en  adelante  “la</w:t>
        <w:br/>
        <w:t>Secretaría”), previo examen  preliminar  de  la  demanda  realizado  por  su</w:t>
        <w:br/>
        <w:t>Presidente (en adelante “el Presidente”), la notificó  al  Estado,  al  cual</w:t>
        <w:br/>
        <w:t>informó sobre los plazos para contestarla.  Asimismo, se invitó al Estado  a</w:t>
        <w:br/>
        <w:t>designar Juez ad hoc.</w:t>
        <w:br/>
        <w:br/>
        <w:t>29.   El 2 de julio de 1998 Nicaragua designó  al  señor  Alejandro  Montiel</w:t>
        <w:br/>
        <w:t>Argüello como Juez ad hoc y al señor Edmundo Castillo Salazar como agente.</w:t>
        <w:br/>
        <w:br/>
        <w:t>30.   El mismo día la Comisión presentó a la Corte copias de los  anexos  de</w:t>
        <w:br/>
        <w:t>la demanda solicitados por la Secretaría, las direcciones y los  poderes  de</w:t>
        <w:br/>
        <w:t>los representantes de las víctimas, con excepción del poder del  señor  Todd</w:t>
        <w:br/>
        <w:t>Crider, el cual fue aportado el 24 de los mismos mes y año.</w:t>
        <w:br/>
        <w:br/>
        <w:t>31.   El 18 de agosto de 1998 el Estado acreditó como sus  asesores  legales</w:t>
        <w:br/>
        <w:t>a los señores Rosenaldo J. Castro S. y Bertha Marina Argüello.</w:t>
        <w:br/>
        <w:br/>
        <w:t>32.   El 19 de agosto de 1998 Nicaragua interpuso la   excepción  preliminar</w:t>
        <w:br/>
        <w:t>de  no  agotamiento  de  los  recursos  de  la  jurisdicción   interna,   de</w:t>
        <w:br/>
        <w:t>conformidad con los artículos 46 y 47 de la Convención, y  solicitó  que  la</w:t>
        <w:br/>
        <w:t>Corte declarara inadmisible la demanda.</w:t>
        <w:br/>
        <w:br/>
        <w:t>33.   El 25 de septiembre de 1998 la Comisión presentó sus  observaciones  a</w:t>
        <w:br/>
        <w:t>la excepción preliminar interpuesta por el Estado.</w:t>
        <w:br/>
        <w:br/>
        <w:br/>
        <w:t>34.   El 19 de octubre de 1998 el Estado  presentó  la  contestación  de  la</w:t>
        <w:br/>
        <w:t>demanda.</w:t>
        <w:br/>
        <w:br/>
        <w:t>35.   El 19 de febrero de 1999 el  Presidente  convocó  al  Estado  y  a  la</w:t>
        <w:br/>
        <w:t>Comisión Interamericana a una audiencia pública, que se celebraría el 31  de</w:t>
        <w:br/>
        <w:t>mayo de 1999 en la sede de la Corte, para conocer sus puntos de vista  sobre</w:t>
        <w:br/>
        <w:t>la excepción preliminar interpuesta por el primero.</w:t>
        <w:br/>
        <w:br/>
        <w:t>36.   El 15 de marzo de 1999 la Secretaría solicitó al Estado  el  envío  de</w:t>
        <w:br/>
        <w:t>algunos documentos faltantes en  sus  escritos  de  excepción  preliminar  y</w:t>
        <w:br/>
        <w:t>contestación de la demanda, los cuales fueron presentados el 26 de mayo  del</w:t>
        <w:br/>
        <w:t>mismo año.</w:t>
        <w:br/>
        <w:br/>
        <w:t>37.   La audiencia pública sobre excepciones preliminares se celebró  en  la</w:t>
        <w:br/>
        <w:t>sede de la Corte el 31 de mayo de 1999.</w:t>
        <w:br/>
        <w:br/>
        <w:t>Comparecieron</w:t>
        <w:br/>
        <w:br/>
        <w:br/>
        <w:t>por la República de Nicaragua:</w:t>
        <w:br/>
        <w:br/>
        <w:t xml:space="preserve">      Edmundo Castillo Salazar, agente;</w:t>
        <w:br/>
        <w:t xml:space="preserve">      Rosenaldo Castro, asesor; y</w:t>
        <w:br/>
        <w:t xml:space="preserve">      Bertha Marina Argüello, asesora.</w:t>
        <w:br/>
        <w:br/>
        <w:br/>
        <w:t>por la Comisión Interamericana de Derechos Humanos:</w:t>
        <w:br/>
        <w:br/>
        <w:t xml:space="preserve">      Claudio Grossman, delegado;</w:t>
        <w:br/>
        <w:t xml:space="preserve">      Verónica Gómez, abogada;</w:t>
        <w:br/>
        <w:t xml:space="preserve">      James Anaya, asistente;</w:t>
        <w:br/>
        <w:t xml:space="preserve">      María Luisa Acosta, asistente; y</w:t>
        <w:br/>
        <w:t xml:space="preserve">      Todd Crider, asistente.</w:t>
        <w:br/>
        <w:br/>
        <w:br/>
        <w:t xml:space="preserve">                                      V</w:t>
        <w:br/>
        <w:br/>
        <w:t xml:space="preserve">                                 Competencia</w:t>
        <w:br/>
        <w:br/>
        <w:t>38.   Nicaragua es Estado Parte en la Convención Americana desde  el  25  de</w:t>
        <w:br/>
        <w:t>septiembre de 1979 y reconoció la competencia contenciosa de la Corte el  12</w:t>
        <w:br/>
        <w:t>de febrero de 1991.  Por lo tanto, la Corte es competente, en  los  términos</w:t>
        <w:br/>
        <w:t>del artículo 62.3 de la Convención, para conocer del presente caso.</w:t>
        <w:br/>
        <w:br/>
        <w:br/>
        <w:br/>
        <w:t xml:space="preserve">                                     VI</w:t>
        <w:br/>
        <w:br/>
        <w:t xml:space="preserve">          Excepción Preliminar: no agotamiento de recursos internos</w:t>
        <w:br/>
        <w:br/>
        <w:t>39.   La Corte pasa a considerar la  excepción  de  no  agotamiento  de  los</w:t>
        <w:br/>
        <w:t>recursos de la jurisdicción interna interpuesta por  Nicaragua  en  el  caso</w:t>
        <w:br/>
        <w:t>sub judice.</w:t>
        <w:br/>
        <w:br/>
        <w:t>40.   Al respecto, el Estado ha argumentado que la Comunidad  no  agotó  los</w:t>
        <w:br/>
        <w:t>recursos internos existentes debido a que ésta:</w:t>
        <w:br/>
        <w:br/>
        <w:t xml:space="preserve">             a)     incurrió  en  una  serie  de  omisiones  y   actuaciones</w:t>
        <w:br/>
        <w:t xml:space="preserve">      procesales defectuosas en la  impugnación  de  la  concesión  forestal</w:t>
        <w:br/>
        <w:t xml:space="preserve">      otorgada por el Gobierno a la  empresa  SOLCARSA;  no  usó  todos  los</w:t>
        <w:br/>
        <w:t xml:space="preserve">      recursos jurisdiccionales existentes  y,  con  su  actuación  procesal</w:t>
        <w:br/>
        <w:t xml:space="preserve">      deficiente, incidió  negativamente  en  la  provisión  de  un  remedio</w:t>
        <w:br/>
        <w:t xml:space="preserve">      judicial oportuno; y</w:t>
        <w:br/>
        <w:br/>
        <w:br/>
        <w:t xml:space="preserve">            b)    no formuló petición alguna de titulación a las autoridades</w:t>
        <w:br/>
        <w:t xml:space="preserve">      competentes de la  Administración  Central,  sino  que  se  dirigió  a</w:t>
        <w:br/>
        <w:t xml:space="preserve">      terceras instituciones que carecían de competencia para ello.</w:t>
        <w:br/>
        <w:br/>
        <w:t>41.   Sobre el primero  de  sus  argumentos,  el  Estado  manifestó  que  la</w:t>
        <w:br/>
        <w:t>Comunidad,  no  obstante  haber  tenido  a  su  disposición   los   recursos</w:t>
        <w:br/>
        <w:t>administrativos y constitucionales para oponerse e  impugnar  la  concesión,</w:t>
        <w:br/>
        <w:t>omitió hacerlo en su oportunidad procesal, incurriendo en extemporaneidad  o</w:t>
        <w:br/>
        <w:t>dejando precluir su derecho.</w:t>
        <w:br/>
        <w:br/>
        <w:t>42.   Agregó  también  que  la  Comunidad  formuló  una  petición  “oscura”,</w:t>
        <w:br/>
        <w:t>incumpliendo así “los principios de substanciación de la petición y  de  las</w:t>
        <w:br/>
        <w:t>normas violadas contenidas en la Ley de Amparo” y que  omitió  solicitar  la</w:t>
        <w:br/>
        <w:t>suspensión  del  acto  administrativo  impugnado  en  la  interposición  del</w:t>
        <w:br/>
        <w:t>Recurso de Amparo por la Vía de Hecho.</w:t>
        <w:br/>
        <w:br/>
        <w:t>43.   Por último, señaló que la Comunidad no hizo uso de todos los  recursos</w:t>
        <w:br/>
        <w:t>existentes debido a que no interpuso un recurso de  inconstitucionalidad  en</w:t>
        <w:br/>
        <w:t>contra de la  concesión  forestal,  siendo  éste  interpuesto  por  terceras</w:t>
        <w:br/>
        <w:t>personas, lo que no subsana el hecho de que la  Comunidad  no  haya  agotado</w:t>
        <w:br/>
        <w:t>los  recursos  jurisdiccionales  existentes  en  el  ordenamiento   jurídico</w:t>
        <w:br/>
        <w:t>nacional.    En  este  sentido,  Nicaragua  indicó  que  la  actitud  de  la</w:t>
        <w:br/>
        <w:t>Comunidad incidió negativamente en la provisión de un  remedio  judicial  en</w:t>
        <w:br/>
        <w:t>un plazo razonable.</w:t>
        <w:br/>
        <w:br/>
        <w:t>44.   Sobre el segundo de sus argumentos, Nicaragua señaló que la  Comunidad</w:t>
        <w:br/>
        <w:t>incurrió en una serie de omisiones y actuaciones  negligentes  al  no  haber</w:t>
        <w:br/>
        <w:t>dirigido una solicitud de titulación de tierras a la  autoridad  competente,</w:t>
        <w:br/>
        <w:t>esto es, al Instituto Nicaragüense de Reforma Agraria (INRA), sino  que,  en</w:t>
        <w:br/>
        <w:t>su lugar, dirigió una petición a un  órgano  incompetente  en  razón  de  la</w:t>
        <w:br/>
        <w:t>materia, el Consejo Regional de la RAAN. Manifestó también que  no  constaba</w:t>
        <w:br/>
        <w:t>en  los  archivos  de  la  Comisión  Nacional  de   Demarcación,   instancia</w:t>
        <w:br/>
        <w:t>administrativa auxiliar creada para  agilizar  el  proceso  de  demarcación,</w:t>
        <w:br/>
        <w:t>petición formal alguna de titulación de parte de la Comunidad.</w:t>
        <w:br/>
        <w:br/>
        <w:t>45.   En sus  observaciones  de  25  de  septiembre  de  1998,  la  Comisión</w:t>
        <w:br/>
        <w:t>Interamericana manifestó que la  excepción  preliminar  interpuesta  por  el</w:t>
        <w:br/>
        <w:t>Estado debía ser declarada inadmisible debido a que  éste  había  reconocido</w:t>
        <w:br/>
        <w:t>su responsabilidad al señalar,  en  diferentes  comunicaciones  de  mayo  de</w:t>
        <w:br/>
        <w:t>1998, la manera cómo estaba cumpliendo las recomendaciones de la Comisión  y</w:t>
        <w:br/>
        <w:t>al solicitar, a su vez, una suspensión de 12 meses para informar  sobre  las</w:t>
        <w:br/>
        <w:t>medidas que habría adoptado para implementar dichas recomendaciones.</w:t>
        <w:br/>
        <w:br/>
        <w:t>46.   La Comisión indicó además que la excepción de no  agotamiento  de  los</w:t>
        <w:br/>
        <w:t>recursos internos debía ser declarada inadmisible  debido  a  que  Nicaragua</w:t>
        <w:br/>
        <w:t>había renunciado a ella tácitamente al no plantearla  oportunamente  durante</w:t>
        <w:br/>
        <w:t>el procedimiento ante la Comisión, al asumir  actitudes  inconsistentes  con</w:t>
        <w:br/>
        <w:t>sus fundamentos y al no probar que existían  recursos  internos  por  agotar</w:t>
        <w:br/>
        <w:t>que fueran efectivos y adecuados.  Asimismo, la  Comisión  expresó  que  los</w:t>
        <w:br/>
        <w:t>fundamentos del Estado eran argumentos relacionados en parte  con  el  fondo</w:t>
        <w:br/>
        <w:t>de la demanda y no específicamente con la excepción planteada,  por  lo  que</w:t>
        <w:br/>
        <w:t>la Corte no debería declarar la inadmisibilidad de la demanda.</w:t>
        <w:br/>
        <w:br/>
        <w:t>47.   En cuanto a las gestiones tendientes a la titulación de  sus  tierras,</w:t>
        <w:br/>
        <w:t>la Comisión señaló que representantes de la Comunidad se  habían  presentado</w:t>
        <w:br/>
        <w:t>en varias ocasiones a esos efectos ante oficiales del INRA, pero  éstos  les</w:t>
        <w:br/>
        <w:t>habían indicado que dicho Instituto  no  era  competente  para  resolver  un</w:t>
        <w:br/>
        <w:t>asunto de tierras comunales. La Comisión manifestó, además,  que  el  MARENA</w:t>
        <w:br/>
        <w:t>hizo saber a la Comunidad que existía un vacío en el  marco  administrativo-</w:t>
        <w:br/>
        <w:t>legal pertinente. Por último, la Comisión expresó que  cuando  la  Comunidad</w:t>
        <w:br/>
        <w:t>presentó una solicitud al  Consejo  Regional  de  la  RAAN,  éste  la  había</w:t>
        <w:br/>
        <w:t>recibido y había reconocido su competencia al respecto.</w:t>
        <w:br/>
        <w:br/>
        <w:t xml:space="preserve">                                      *</w:t>
        <w:br/>
        <w:t xml:space="preserve">                                   *     *</w:t>
        <w:br/>
        <w:br/>
        <w:t>48.   La Corte procederá a analizar la oportunidad  del  planteamiento,  por</w:t>
        <w:br/>
        <w:t>parte del Estado, de la excepción de no agotamiento de los  recursos  de  la</w:t>
        <w:br/>
        <w:t>jurisdicción interna.</w:t>
        <w:br/>
        <w:br/>
        <w:t>49.   Al respecto, Nicaragua declaró que había planteado y  reiterado  a  la</w:t>
        <w:br/>
        <w:t>Comisión la excepción de no agotamiento de los recursos internos “desde  los</w:t>
        <w:br/>
        <w:t>mismos inicios” del procedimiento ante la Comisión</w:t>
        <w:br/>
        <w:br/>
        <w:t xml:space="preserve">      específicamente,  en  su  respuesta  al  memorándum  de  entendimiento</w:t>
        <w:br/>
        <w:t xml:space="preserve">      presentado por los peticionarios dentro del marco de solución amistosa</w:t>
        <w:br/>
        <w:t xml:space="preserve">      y, en reiterados escritos a lo largo de la tramitación del caso, entre</w:t>
        <w:br/>
        <w:t xml:space="preserve">      ellos:  los de fecha 5 de noviembre, 4 y 19 de diciembre de  1997,  14</w:t>
        <w:br/>
        <w:t xml:space="preserve">      de febrero y 2 de marzo de 1998.  Aún más, esta posición fue expresada</w:t>
        <w:br/>
        <w:t xml:space="preserve">      por representantes del Gobierno en audiencias celebradas en la sede de</w:t>
        <w:br/>
        <w:t xml:space="preserve">      la Comisión el pasado 4 de marzo de 1997 y posteriormente, en  el  mes</w:t>
        <w:br/>
        <w:t xml:space="preserve">      de octubre del mismo año.</w:t>
        <w:br/>
        <w:br/>
        <w:br/>
        <w:t>Así, Nicaragua manifestó  que  estas  comunicaciones  evidenciaban  que,  en</w:t>
        <w:br/>
        <w:t>ningún momento, había renunciado, en forma tácita o expresa, a su derecho  a</w:t>
        <w:br/>
        <w:t>hacer valer dicha excepción.</w:t>
        <w:br/>
        <w:br/>
        <w:t>50.   Sobre este  aspecto,  la  Comisión  señaló  que,  de  acuerdo  con  el</w:t>
        <w:br/>
        <w:t>principio de estoppel, el Estado estaba impedido para  alegar  la  excepción</w:t>
        <w:br/>
        <w:t>de no agotamiento de recursos internos ya que después de  un  largo  proceso</w:t>
        <w:br/>
        <w:t>de encuentro con la Comisión y la Comunidad, “e[ra] la  primera  vez  en  la</w:t>
        <w:br/>
        <w:t>historia de este  caso  que  el  Estado  presenta[ba]  el  argumento  de  no</w:t>
        <w:br/>
        <w:t>agotamiento por error procesal  de  las  víctimas”.   Asimismo,  indicó  que</w:t>
        <w:br/>
        <w:t>“[c]omunicaciones posteriores del Estado que argumentaban el no  agotamiento</w:t>
        <w:br/>
        <w:t>de recursos internos no llegaron a la Comisión hasta noviembre  de  1997,  y</w:t>
        <w:br/>
        <w:t>no hicieron referencia al primer recurso de amparo de la  Comunidad  sino  a</w:t>
        <w:br/>
        <w:t>su segundo recurso y a recursos de amparo interpuestos por otras  partes  en</w:t>
        <w:br/>
        <w:t>oposición al otorgamiento de la concesión a SOLCARSA”. Agregó que el  Estado</w:t>
        <w:br/>
        <w:t>no podía plantear una excepción  de  no  agotamiento  de  recursos  internos</w:t>
        <w:br/>
        <w:t>después de haber  participado  en  el  procedimiento  de  solución  amistosa</w:t>
        <w:br/>
        <w:t>durante dos años.</w:t>
        <w:br/>
        <w:br/>
        <w:t>51.   Además, la Comisión  Interamericana  expresó  que  aún  si  el  Estado</w:t>
        <w:br/>
        <w:t>hubiera evitado la renuncia tácita por silencio, su respuesta de 7  de  mayo</w:t>
        <w:br/>
        <w:t>de 1998 al Informe No. 27/98 de la Comisión no planteaba  excepción  alguna,</w:t>
        <w:br/>
        <w:t>sino más bien se dedicaba a responder a las recomendaciones de la  Comisión,</w:t>
        <w:br/>
        <w:t>aceptando así su responsabilidad.  De esta manera, la Comisión concluyó  que</w:t>
        <w:br/>
        <w:t>la conducta del Estado constituía una renuncia de cualquier excepción de  no</w:t>
        <w:br/>
        <w:t>agotamiento de recursos internos que hubiere intentado anteriormente.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52.   El artículo 46.1.a  de  la  Convención  establece  que  para  que  una</w:t>
        <w:br/>
        <w:t>petición o comunicación presentada a la Comisión Interamericana  de  acuerdo</w:t>
        <w:br/>
        <w:t>con los artículos 44 ó 45 de la Convención resulte admisible,  es  necesario</w:t>
        <w:br/>
        <w:t>que se hayan interpuesto y agotado los recursos de la jurisdicción  interna.</w:t>
        <w:br/>
        <w:t xml:space="preserve"> La Corte estima necesario destacar que, en relación con la  materia  a  que</w:t>
        <w:br/>
        <w:t>hace referencia  la  excepción  planteada  por  el  Estado,  ha  establecido</w:t>
        <w:br/>
        <w:t>criterios que deben tomarse en consideración en este caso.</w:t>
        <w:br/>
        <w:br/>
        <w:t>53.   En efecto, de los principios  de  derecho  internacional  generalmente</w:t>
        <w:br/>
        <w:t>reconocidos, a los cuales  se  refiere  la  regla  del  agotamiento  de  los</w:t>
        <w:br/>
        <w:t>recursos internos, resulta, en primer lugar, que el Estado  demandado  puede</w:t>
        <w:br/>
        <w:t>renunciar en forma expresa  o  tácita  la  invocación  de  esa  regla  (Caso</w:t>
        <w:br/>
        <w:t>Castillo Páez, Excepciones Preliminares. Sentencia de 30 de enero  de  1996.</w:t>
        <w:br/>
        <w:t>Serie C No. 24, párr. 40;  Caso  Loayza  Tamayo,  Excepciones  Preliminares.</w:t>
        <w:br/>
        <w:t>Sentencia de 31 de enero de 1996.  Serie C No. 25,  párr.  40).  En  segundo</w:t>
        <w:br/>
        <w:t>lugar, la excepción de no agotamiento de los  recursos  internos,  para  ser</w:t>
        <w:br/>
        <w:t>oportuna, debe plantearse en las primeras etapas del procedimiento, a  falta</w:t>
        <w:br/>
        <w:t>de lo cual se presume la renuncia tácita a valerse de  la  misma  por  parte</w:t>
        <w:br/>
        <w:t>del Estado interesado (Caso Castillo Páez, Excepciones  Preliminares.  Ibid,</w:t>
        <w:br/>
        <w:t>párr. 40; Caso Loayza Tamayo, Excepciones  Preliminares.   Ibid,  párr.  40;</w:t>
        <w:br/>
        <w:t>Caso  Castillo  Petruzzi,  Excepciones  Preliminares.   Sentencia  de  4  de</w:t>
        <w:br/>
        <w:t>septiembre de 1998. Serie C No. 41, párr. 56). En tercer  lugar,  el  Estado</w:t>
        <w:br/>
        <w:t>que alega el no agotamiento debe señalar los  recursos  internos  que  deben</w:t>
        <w:br/>
        <w:t>agotarse y proporcionar la prueba de su  efectividad  (Caso  Castillo  Páez,</w:t>
        <w:br/>
        <w:t>Excepciones Preliminares. Ibid, párr. 40; Caso  Loayza  Tamayo,  Excepciones</w:t>
        <w:br/>
        <w:t>Preliminares.  Ibid,  párr.  40;  Caso   Cantoral   Benavides,   Excepciones</w:t>
        <w:br/>
        <w:t>Preliminares. Sentencia de 3 de septiembre de 1998.  Serie C No.  40,  párr.</w:t>
        <w:br/>
        <w:t>31; Caso Durand y Ugarte, Excepciones Preliminares. Sentencia de 28 de  mayo</w:t>
        <w:br/>
        <w:t>de 1999.  Serie C No. 50, párr. 33).</w:t>
        <w:br/>
        <w:br/>
        <w:t>54.    La  Corte  considera,  de   acuerdo   con   los   criterios   citados</w:t>
        <w:br/>
        <w:t>anteriormente, que para  oponerse  válidamente  a  la  admisibilidad  de  la</w:t>
        <w:br/>
        <w:t>denuncia,  presentada  el  2  de  octubre   de   1995   ante   la   Comisión</w:t>
        <w:br/>
        <w:t>Interamericana, el Estado debía haber invocado de manera expresa y  oportuna</w:t>
        <w:br/>
        <w:t>la regla de no agotamiento de los recursos internos.</w:t>
        <w:br/>
        <w:br/>
        <w:t>55.   Si bien es verdad que en los escritos presentados por  Nicaragua  ante</w:t>
        <w:br/>
        <w:t>la Comisión durante la tramitación del asunto se señaló, entre otros  datos,</w:t>
        <w:br/>
        <w:t>el desarrollo de los procesos seguidos ante los  tribunales  internos  y  la</w:t>
        <w:br/>
        <w:t>voluntad del Estado de cumplir con  los  fallos  emitidos  por  los  mismos,</w:t>
        <w:br/>
        <w:t>resulta evidente que éste no opuso la excepción de  no  agotamiento  de  los</w:t>
        <w:br/>
        <w:t>recursos internos de manera clara en las primeras etapas  del  procedimiento</w:t>
        <w:br/>
        <w:t>ante la Comisión. No consta en  el  expediente  que  dicha  excepción  fuera</w:t>
        <w:br/>
        <w:t>invocada  de   manera   expresa   sino   hasta   finales   del   año   1997,</w:t>
        <w:br/>
        <w:t>específicamente, mediante nota del Estado de 4  de  diciembre  de  1997,  la</w:t>
        <w:br/>
        <w:t>cual fue recibida al día siguiente en la Comisión.</w:t>
        <w:br/>
        <w:br/>
        <w:t>56.   De lo anterior se  concluye  que  el  Estado  renunció  tácitamente  a</w:t>
        <w:br/>
        <w:t>interponer la excepción de no agotamiento de recursos  internos,  porque  no</w:t>
        <w:br/>
        <w:t>la hizo valer oportunamente ante la Comisión.</w:t>
        <w:br/>
        <w:br/>
        <w:t>57.   A su vez, la Corte observa que, en su escrito de 6 de  mayo  de  1998,</w:t>
        <w:br/>
        <w:t>en  contestación  al   Informe   No.   27/98   emitido   por   la   Comisión</w:t>
        <w:br/>
        <w:t>Interamericana, Nicaragua expresó  de  qué  manera  se  encontraba  “da[ndo]</w:t>
        <w:br/>
        <w:t>cumplimiento a las recomendaciones [de la Comisión]” y  nuevamente  dejó  de</w:t>
        <w:br/>
        <w:t>alegar la falta de agotamiento de los recursos internos, por  lo  cual  está</w:t>
        <w:br/>
        <w:t>impedida para plantearla ahora (estoppel).</w:t>
        <w:br/>
        <w:br/>
        <w:t>58.    Por  las  razones  anteriores,  la  Corte  desestima   la   excepción</w:t>
        <w:br/>
        <w:t>interpuesta por Nicaragua.</w:t>
        <w:br/>
        <w:br/>
        <w:t>59.    Debido  a  que  la  excepción  interpuesta  por  el  Estado  ha  sido</w:t>
        <w:br/>
        <w:t>desestimada por extemporánea, la Corte no considera  necesario  pronunciarse</w:t>
        <w:br/>
        <w:t>acerca  de  la  cuestión  de  la  efectividad  de  los   recursos   internos</w:t>
        <w:br/>
        <w:t>mencionados en la excepción.</w:t>
        <w:br/>
        <w:br/>
        <w:br/>
        <w:br/>
        <w:t xml:space="preserve">                                     VII</w:t>
        <w:br/>
        <w:br/>
        <w:br/>
        <w:br/>
        <w:t>60.   Por tanto,</w:t>
        <w:br/>
        <w:br/>
        <w:t>La  Corte</w:t>
        <w:br/>
        <w:br/>
        <w:t>decide</w:t>
        <w:br/>
        <w:br/>
        <w:t>por unanimidad,</w:t>
        <w:br/>
        <w:br/>
        <w:t>1.    Desestimar la  excepción  preliminar  interpuesta  por  el  Estado  de</w:t>
        <w:br/>
        <w:t>Nicaragua.</w:t>
        <w:br/>
        <w:br/>
        <w:t>2.    Continuar con el conocimiento del presente caso.</w:t>
        <w:br/>
        <w:br/>
        <w:t>El Juez  Alejandro  Montiel  Argüello  hizo  conocer  a  la  Corte  su  Voto</w:t>
        <w:br/>
        <w:t>Concurrente, el cual acompaña a esta Sentencia.</w:t>
        <w:br/>
        <w:t>Redactada en español y en inglés, haciendo fe el texto en  español,  en  San</w:t>
        <w:br/>
        <w:t>José, Costa Rica, el día 1 de febrero de 2000.</w:t>
        <w:br/>
        <w:br/>
        <w:br/>
        <w:br/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br/>
        <w:t xml:space="preserve">      Oliver Jackman   Alirio Abreu Burelli</w:t>
        <w:br/>
        <w:br/>
        <w:br/>
        <w:t>Sergio García Ramírez  Carlos Vicente de Roux Rengifo</w:t>
        <w:br/>
        <w:br/>
        <w:br/>
        <w:br/>
        <w:t xml:space="preserve">                         Alejandro Montiel Argüello</w:t>
        <w:br/>
        <w:t xml:space="preserve">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VOTO CONCURRENTE DEL JUEZ MONTIEL ARGÜELLO</w:t>
        <w:br/>
        <w:br/>
        <w:br/>
        <w:t>1.    La jurisprudencia de la Corte ha dejado establecido que  la  excepción</w:t>
        <w:br/>
        <w:t>preliminar del no agotamiento de los recursos internos puede ser  renunciada</w:t>
        <w:br/>
        <w:t>(Caso Viviana Gallardo y otros.  Decisión del 3 de noviembre de 1981,  párr.</w:t>
        <w:br/>
        <w:t>26 y abundante jurisprudencia  posterior)  y  que  la  renuncia  se  presume</w:t>
        <w:br/>
        <w:t>cuando no se invoca la excepción en las  primeras  fases  del  procedimiento</w:t>
        <w:br/>
        <w:t>ante la Comisión (Caso Velásquez Rodríguez.  Sentencia del 26  de  junio  de</w:t>
        <w:br/>
        <w:t>1987, párr. 88 y abundante jurisprudencia posterior).</w:t>
        <w:br/>
        <w:br/>
        <w:t>2.    Estoy completamente de acuerdo  con  la  jurisprudencia  de  la  Corte</w:t>
        <w:br/>
        <w:t>sintetizada en el párrafo anterior y por esa razón  he  votado  a  favor  de</w:t>
        <w:br/>
        <w:t>desestimar la excepción en el caso presente, tomando  en  consideración  que</w:t>
        <w:br/>
        <w:t>ella no fue opuesta por el  Estado  sino  en  una  etapa  muy  avanzada  del</w:t>
        <w:br/>
        <w:t>procedimiento ante la Comisión que de ninguna manera podría ser  considerada</w:t>
        <w:br/>
        <w:t>como una de las primeras etapas.</w:t>
        <w:br/>
        <w:br/>
        <w:t>3.    Sin embargo, opino que existe imprecisión en la expresión de  primeras</w:t>
        <w:br/>
        <w:t>etapas, pues ninguno de los instrumentos que regulan  el  procedimiento  que</w:t>
        <w:br/>
        <w:t>debe aplicarse a una petición  ante  la  Comisión  define  cuáles  son  esas</w:t>
        <w:br/>
        <w:t>primeras etapas.</w:t>
        <w:br/>
        <w:br/>
        <w:t>4.    La Convención Americana sobre Derechos Humanos  señala  los  casos  en</w:t>
        <w:br/>
        <w:t>que la Comisión debe declarar  inadmisible  una  petición  (artículo  47)  y</w:t>
        <w:br/>
        <w:t>después que si se le  reconoce  como  admisible  solicitará  información  al</w:t>
        <w:br/>
        <w:t>Gobierno del Estado (artículo 48  1.a.).   Este  reconocimiento  que  en  la</w:t>
        <w:br/>
        <w:t>generalidad de los casos queda al arbitrio de la  Secretaría  por  no  estar</w:t>
        <w:br/>
        <w:t>reunida la Comisión,  es  indudablemente  prima  facie,  como  sería  si  se</w:t>
        <w:br/>
        <w:t>alegara la violación de los derechos no reconocidos por la Convención  y  no</w:t>
        <w:br/>
        <w:t>prejuzga el derecho del Estado a oponer una causal de inadmisibilidad.</w:t>
        <w:br/>
        <w:br/>
        <w:t>5.    La práctica casi constante de la Comisión ha sido la de  continuar  la</w:t>
        <w:br/>
        <w:t>tramitación de la petición sin dictar una declaración de admisibilidad y  la</w:t>
        <w:br/>
        <w:t>Corte se ha pronunciado en el sentido de que la falta de esa declaración  no</w:t>
        <w:br/>
        <w:t>constituye  un  requisito  capaz  de  impedir  el  normal   desarrollo   del</w:t>
        <w:br/>
        <w:t>procedimiento ante la Comisión y, por  consiguiente,  la  consideración  del</w:t>
        <w:br/>
        <w:t>caso por la Corte.   (Caso  Velásquez  Rodríguez,  ibidem,  párrs.  39-41  y</w:t>
        <w:br/>
        <w:t>jurisprudencia posterior).</w:t>
        <w:br/>
        <w:br/>
        <w:t>6.    Con el fin de garantizar  la  seguridad  jurídica  sería  conveniente,</w:t>
        <w:br/>
        <w:t>desde todo punto de vista, que la  Comisión  reformara  su  Reglamento  para</w:t>
        <w:br/>
        <w:t>precisar cuáles son las primeras etapas del  procedimiento  en  que  podrían</w:t>
        <w:br/>
        <w:t>oponerse excepciones preliminares contra la admisibilidad de la  petición  y</w:t>
        <w:br/>
        <w:t>que esas primeras etapas culminaran en todos los casos  con  una  resolución</w:t>
        <w:br/>
        <w:t>formal sobre la admisibilidad.  Esto ha sido ya señalado en varios  trabajos</w:t>
        <w:br/>
        <w:t>sobre el perfeccionamiento  del  sistema  interamericano  de  protección  de</w:t>
        <w:br/>
        <w:t>derechos humanos, incluso en documentos oficiales de la OEA y es  de  desear</w:t>
        <w:br/>
        <w:t>que llegue a ser una  realidad.   Ya  en  casos  recientes  la  Comisión  ha</w:t>
        <w:br/>
        <w:t>procedido a considerar la admisibilidad en  forma  previa  y  separarla  del</w:t>
        <w:br/>
        <w:t>examen del fondo del asunto.</w:t>
        <w:br/>
        <w:br/>
        <w:t xml:space="preserve">                         Alejandro Montiel Argüello</w:t>
        <w:br/>
        <w:t xml:space="preserve">                           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