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br/>
        <w:t xml:space="preserve">                       Caso Las Palmeras Vs. Colombia</w:t>
        <w:br/>
        <w:br/>
        <w:br/>
        <w:t xml:space="preserve">                      Sentencia de 4 de febrero de 2000</w:t>
        <w:br/>
        <w:br/>
        <w:t xml:space="preserve">                         (Excepciones Preliminares)</w:t>
        <w:br/>
        <w:br/>
        <w:br/>
        <w:br/>
        <w:br/>
        <w:br/>
        <w:br/>
        <w:t>En el caso Las Palmeras,</w:t>
        <w:br/>
        <w:br/>
        <w:t>la Corte Interamericana de Derechos Humanos (en adelante “la  Corte”  o  “la</w:t>
        <w:br/>
        <w:t>Corte Interamericana”), integrada de la siguiente manera:*</w:t>
        <w:br/>
        <w:br/>
        <w:t xml:space="preserve">      Antônio A. Cançado Trindade, Presidente;</w:t>
        <w:br/>
        <w:t xml:space="preserve">      Máximo Pacheco Gómez, Vicepresidente;</w:t>
        <w:br/>
        <w:t xml:space="preserve">      Hernán Salgado Pesantes, Juez;</w:t>
        <w:br/>
        <w:t xml:space="preserve">      Oliver Jackman, Juez;</w:t>
        <w:br/>
        <w:t xml:space="preserve">      Alirio Abreu Burelli, Juez;</w:t>
        <w:br/>
        <w:t xml:space="preserve">      Sergio García Ramírez, Juez, y</w:t>
        <w:br/>
        <w:t xml:space="preserve">      Julio A. Barberis, Juez ad hoc;</w:t>
        <w:br/>
        <w:br/>
        <w:t>presentes, además,</w:t>
        <w:br/>
        <w:br/>
        <w:t xml:space="preserve">      Manuel E. Ventura Robles, Secretario, y</w:t>
        <w:br/>
        <w:t xml:space="preserve">      Renzo Pomi, Secretario adjunto,</w:t>
        <w:br/>
        <w:br/>
        <w:t>de  acuerdo  con  el  artículo  36.6  de  su  Reglamento  (en  adelante  “el</w:t>
        <w:br/>
        <w:t>Reglamento”),  dicta  la   siguiente   sentencia   sobre   las   excepciones</w:t>
        <w:br/>
        <w:t>preliminares interpuestas por la República  de  Colombia  (en  adelante  “el</w:t>
        <w:br/>
        <w:t>Estado” o “Colombia”).</w:t>
        <w:br/>
        <w:br/>
        <w:br/>
        <w:t xml:space="preserve">                                      I</w:t>
        <w:br/>
        <w:br/>
        <w:t xml:space="preserve">                           introducciÓn a la causa</w:t>
        <w:br/>
        <w:br/>
        <w:br/>
        <w:t>1.     El  presente  caso  fue  sometido  a  la  Corte   por   la   Comisión</w:t>
        <w:br/>
        <w:t>Interamericana  de  Derechos  Humanos  (en  adelante  “la  Comisión”  o  “la</w:t>
        <w:br/>
        <w:t>Comisión Interamericana”) el 6 de julio de 1998.  La demanda de la  Comisión</w:t>
        <w:br/>
        <w:t>tiene su origen en una denuncia (No. 11.237) recibida  en  su  Secretaría  y</w:t>
        <w:br/>
        <w:t>fechada en Bogotá el 27 de enero de 1994.</w:t>
        <w:br/>
        <w:br/>
        <w:br/>
        <w:t xml:space="preserve">                                     II</w:t>
        <w:br/>
        <w:t xml:space="preserve">                       hechos expuestos en la demanda</w:t>
        <w:br/>
        <w:br/>
        <w:t>2.    La Comisión Interamericana expuso en su  demanda  los  hechos  en  que</w:t>
        <w:br/>
        <w:t>funda su reclamación.</w:t>
        <w:br/>
        <w:br/>
        <w:t>El 23 de enero  de  1991  el  Comandante  Departamental  de  la  Policía  de</w:t>
        <w:br/>
        <w:t>Putumayo habría ordenado a miembros de la Policía  Nacional  llevar  a  cabo</w:t>
        <w:br/>
        <w:t>una operación armada en la localidad de Las Palmeras,  Municipio  de  Mocoa,</w:t>
        <w:br/>
        <w:t>Departamento  de  Putumayo.   La  Policía  Nacional  estaría   apoyada   por</w:t>
        <w:br/>
        <w:t>efectivos del Ejército.</w:t>
        <w:br/>
        <w:br/>
        <w:t>En la mañana de ese mismo día, se encontrarían en la escuela  rural  de  Las</w:t>
        <w:br/>
        <w:t>Palmeras  unos  niños  que  esperaban  el  comienzo  de  las  clases  y  dos</w:t>
        <w:br/>
        <w:t>trabajadores que reparaban un tanque.  Estos serían  Julio  Milcíades  Cerón</w:t>
        <w:br/>
        <w:t>Gómez y Artemio Pantoja.  En un terreno lindero se  hallarían  los  hermanos</w:t>
        <w:br/>
        <w:t>William y Edebraiz Cerón ordeñando  una  vaca.   El  maestro  Hernán  Javier</w:t>
        <w:br/>
        <w:t>Cuarán Muchavisoy estaría por llegar a la escuela.</w:t>
        <w:br/>
        <w:br/>
        <w:t>Las fuerzas del Ejército  habrían  abierto  fuego  desde  un  helicóptero  y</w:t>
        <w:br/>
        <w:t>habrían herido al niño Enio Quinayas Molina, de seis años, que se dirigía  a</w:t>
        <w:br/>
        <w:t>la escuela.</w:t>
        <w:br/>
        <w:br/>
        <w:t>La Policía habría detenido en la escuela y en  sus  alrededores  al  maestro</w:t>
        <w:br/>
        <w:t>Cuarán Muchavisoy, a los trabajadores Cerón Gómez y Pantoja, a los  hermanos</w:t>
        <w:br/>
        <w:t>William y Edebraiz Cerón y a otra persona no  identificada  que  podría  ser</w:t>
        <w:br/>
        <w:t>Moisés Ojeda o Hernán  Lizcano  Jacanamejoy.   La  Policía  Nacional  habría</w:t>
        <w:br/>
        <w:t>ejecutado extrajudicialmente por lo menos a seis de estas personas.</w:t>
        <w:br/>
        <w:br/>
        <w:t>Los miembros de  la  Policía  Nacional  y  del  Ejército  habrían  realizado</w:t>
        <w:br/>
        <w:t>numerosos esfuerzos para justificar su conducta.  En este  orden  de  ideas,</w:t>
        <w:br/>
        <w:t>se habría vestido con uniformes militares los cadáveres de  algunas  de  las</w:t>
        <w:br/>
        <w:t>personas ejecutadas, se habría quemado sus ropas y se habría  amedrentado  a</w:t>
        <w:br/>
        <w:t>los testigos del caso.  Igualmente, la Policía  Nacional  habría  presentado</w:t>
        <w:br/>
        <w:t>siete cadáveres como pertenecientes a subversivos  muertos  en  un  presunto</w:t>
        <w:br/>
        <w:t>enfrentamiento.  Entre esos cadáveres se encontrarían seis  cuerpos  de  las</w:t>
        <w:br/>
        <w:t>personas detenidas por la Policía y  un  séptimo,  cuyas  circunstancias  de</w:t>
        <w:br/>
        <w:t>muerte no habrían sido esclarecidas.</w:t>
        <w:br/>
        <w:br/>
        <w:t>Como consecuencia de los hechos descritos, se habrían iniciado  procesos  de</w:t>
        <w:br/>
        <w:t>carácter disciplinario, administrativo y penal.   El  proceso  disciplinario</w:t>
        <w:br/>
        <w:t>realizado por el Comandante de la Policía Nacional  de  Putumayo  se  habría</w:t>
        <w:br/>
        <w:t>fallado en cinco días y se habría absuelto a todos los que  participaron  en</w:t>
        <w:br/>
        <w:t>los hechos de la localidad de Las Palmeras.  Asimismo, se  habrían  iniciado</w:t>
        <w:br/>
        <w:t>dos procesos administrativos en los que se  habría  reconocido  expresamente</w:t>
        <w:br/>
        <w:t>que las víctimas del operativo armado no pertenecían a ningún  grupo  armado</w:t>
        <w:br/>
        <w:t>y que el día de los hechos estaban realizando sus tareas  habituales.   Esos</w:t>
        <w:br/>
        <w:t>procesos  habrían  permitido  comprobar  que  la  Policía  Nacional   habría</w:t>
        <w:br/>
        <w:t>ejecutado extrajudicialmente a las víctimas  cuando  estaban  en  estado  de</w:t>
        <w:br/>
        <w:t>indefensión.  En cuanto al proceso penal militar, después de siete años  aún</w:t>
        <w:br/>
        <w:t>se encontraría en la etapa de investigación y todavía no se  habría  acusado</w:t>
        <w:br/>
        <w:t>formalmente a ninguno de los responsables de los hechos.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3.    El 27 de enero de 1994 la Comisión recibió una denuncia por  supuestas</w:t>
        <w:br/>
        <w:t>violaciones de derechos humanos en agravio de los  señores  Artemio  Pantoja</w:t>
        <w:br/>
        <w:t>Ordóñez, Hernán Javier  Cuarán  Muchavisoy,  Julio  Milcíades  Cerón  Gómez,</w:t>
        <w:br/>
        <w:t>Edebraiz  Cerón  Rojas,  William  Hamilton  Cerón  Rojas,  una  persona   no</w:t>
        <w:br/>
        <w:t>identificada, que podría ser Moisés Ojeda o Hernán  Lizcano  Jacanamejoy,  y</w:t>
        <w:br/>
        <w:t>otra persona que tampoco ha sido identificada y que murió en  circunstancias</w:t>
        <w:br/>
        <w:t>desconocidas.  El 16 de febrero siguiente la Comisión remitió al Estado  las</w:t>
        <w:br/>
        <w:t>partes pertinentes de la denuncia y solicitó la correspondiente respuesta.</w:t>
        <w:br/>
        <w:br/>
        <w:t>4.     El  Estado  respondió  el  25  de  mayo  de  1994.   El  escrito  fue</w:t>
        <w:br/>
        <w:t>transmitido a los peticionarios, quienes presentaron  su  réplica  el  6  de</w:t>
        <w:br/>
        <w:t>octubre de 1994.  El 3 de noviembre siguiente la Comisión  trasladó  ésta  a</w:t>
        <w:br/>
        <w:t>Colombia, que dio respuesta el 15 de  diciembre.   Tanto  los  peticionarios</w:t>
        <w:br/>
        <w:t>como el Estado remitieron a  la  Comisión  otros  escritos  relativos  a  la</w:t>
        <w:br/>
        <w:t>situación de las investigaciones  y  los  procesos  judiciales  internos,  y</w:t>
        <w:br/>
        <w:t>aquélla transmitió las porciones pertinentes a cada contraparte.</w:t>
        <w:br/>
        <w:br/>
        <w:t>5.    El 8 de octubre de 1996 la Comisión celebró una audiencia  en  la  que</w:t>
        <w:br/>
        <w:t>las partes formularon verbalmente sus argumentos acerca de los hechos  y  el</w:t>
        <w:br/>
        <w:t>derecho aplicable al presente caso.</w:t>
        <w:br/>
        <w:br/>
        <w:t>6.    El 20 de febrero de 1998 la Comisión aprobó el Informe No. 10/98 y  lo</w:t>
        <w:br/>
        <w:t>transmitió al Estado el 6 de marzo del mismo año.  En la  parte  dispositiva</w:t>
        <w:br/>
        <w:t>de dicho Informe, la Comisión recomendó:</w:t>
        <w:br/>
        <w:br/>
        <w:t xml:space="preserve">      119.  Que el  Estado  colombiano  emprenda  una  investigación  seria,</w:t>
        <w:br/>
        <w:t xml:space="preserve">      imparcial y efectiva de los hechos denunciados, para poder aclarar los</w:t>
        <w:br/>
        <w:t xml:space="preserve">      hechos del 23 de enero de 1991 y determinar en todos sus  detalles  en</w:t>
        <w:br/>
        <w:t xml:space="preserve">      un relato oficial las  circunstancias  y  la  responsabilidad  en  las</w:t>
        <w:br/>
        <w:t xml:space="preserve">      violaciones cometidas.</w:t>
        <w:br/>
        <w:br/>
        <w:br/>
        <w:t xml:space="preserve">      120.  Que el Estado de  Colombia  someta  a  los  procesos  judiciales</w:t>
        <w:br/>
        <w:t xml:space="preserve">      pertinentes, a todos los responsables de las violaciones a efectos  de</w:t>
        <w:br/>
        <w:t xml:space="preserve">      que sean sancionados.</w:t>
        <w:br/>
        <w:br/>
        <w:br/>
        <w:t xml:space="preserve">      121.   Que  el  Estado  de  Colombia  adopte  medidas   para   reparar</w:t>
        <w:br/>
        <w:t xml:space="preserve">      debidamente las violaciones comprobadas,  incluida  una  indemnización</w:t>
        <w:br/>
        <w:t xml:space="preserve">      compensatoria a los familiares de las víctimas que  aún  no  la  hayan</w:t>
        <w:br/>
        <w:t xml:space="preserve">      recibido.</w:t>
        <w:br/>
        <w:br/>
        <w:br/>
        <w:t>7.    El 11 de mayo de 1998 la Comisión recibió una nota del Estado,  de  30</w:t>
        <w:br/>
        <w:t>de abril del mismo año, mediante la cual éste solicitó  un  plazo  adicional</w:t>
        <w:br/>
        <w:t>de 45 días para responder al Informe No. 10/98.  El 14 de los mismos  mes  y</w:t>
        <w:br/>
        <w:t>año la Comisión manifestó a las partes que  había  concedido  al  Estado  un</w:t>
        <w:br/>
        <w:t>plazo adicional de diez días.</w:t>
        <w:br/>
        <w:br/>
        <w:t>8.    El 22 de mayo de 1998 el Estado  formuló  una  propuesta  de  solución</w:t>
        <w:br/>
        <w:t>amistosa, que fue transmitida a los peticionarios, quienes  presentaron  sus</w:t>
        <w:br/>
        <w:t>observaciones el 29 del mismo mes.  En la misma propuesta, el Estado  señaló</w:t>
        <w:br/>
        <w:t>que no compartía “en su totalidad” las consideraciones  y  conclusiones  del</w:t>
        <w:br/>
        <w:t>Informe No. 10/98, particularmente en lo que se refiere  al  agotamiento  de</w:t>
        <w:br/>
        <w:t>los recursos internos y a la aplicación de normas de  derecho  internacional</w:t>
        <w:br/>
        <w:t>humanitario.  Asimismo, indicó que proponía la  creación  de  un  Comité  de</w:t>
        <w:br/>
        <w:t>Impulso de la investigación penal.</w:t>
        <w:br/>
        <w:br/>
        <w:t>9.    El 2 de junio de 1998 el Estado y los peticionarios comunicaron  a  la</w:t>
        <w:br/>
        <w:t>Comisión  que  habían  convenido  un  plazo  de   30   días   para   iniciar</w:t>
        <w:br/>
        <w:t>negociaciones destinadas a alcanzar una solución  amistosa  y  suspender  el</w:t>
        <w:br/>
        <w:t>curso de los plazos del artículo  51.1  de  la  Convención  Americana  sobre</w:t>
        <w:br/>
        <w:t>Derechos Humanos (en adelante “la Convención Americana” o “la Convención”).</w:t>
        <w:br/>
        <w:br/>
        <w:t>10.   El 1 de julio de 1998 los peticionarios informaron a la  Comisión  que</w:t>
        <w:br/>
        <w:t>no  existían,  por  el  momento,  condiciones  para  alcanzar  una  solución</w:t>
        <w:br/>
        <w:t>amistosa, y solicitaron que continuara el trámite del caso  y  se  reanudara</w:t>
        <w:br/>
        <w:t>el curso de los plazos suspendidos.  Dicha información  fue  transmitida  al</w:t>
        <w:br/>
        <w:t>Estado.</w:t>
        <w:br/>
        <w:br/>
        <w:t>11.   El 6 de julio de 1998 la Comisión  presentó  el  caso  ante  la  Corte</w:t>
        <w:br/>
        <w:t>Interamericana (supra 1).</w:t>
        <w:br/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12.   La Comisión Interamericana expuso la conclusión y el petitorio  de  su</w:t>
        <w:br/>
        <w:t>demanda en los términos siguientes:</w:t>
        <w:br/>
        <w:br/>
        <w:t xml:space="preserve">      La Comisión solicita respetuosamente a la Corte que:</w:t>
        <w:br/>
        <w:br/>
        <w:t xml:space="preserve">           Concluya y declare que el  Estado  de  Colombia  ha  violado  el</w:t>
        <w:br/>
        <w:t xml:space="preserve">      derecho a la vida, consagrado en el artículo 4 de la Convención, y  el</w:t>
        <w:br/>
        <w:t xml:space="preserve">      artículo 3 común  de  las  Convenciones  de  Ginebra  de  1949[1],  en</w:t>
        <w:br/>
        <w:t xml:space="preserve">      perjuicio de seis personas:  Artemio Pantoja  Ordóñez,  Hernán  Javier</w:t>
        <w:br/>
        <w:t xml:space="preserve">      Cuarán Muchavisoy, Julio Milcíades Cerón Gómez, Edebraiz Cerón  Rojas,</w:t>
        <w:br/>
        <w:t xml:space="preserve">      William  Hamilton  Cerón  Rojas  y  otra   persona   (Hernán   Lizcano</w:t>
        <w:br/>
        <w:t xml:space="preserve">      Jacanamejoy o Moisés Ojeda).</w:t>
        <w:br/>
        <w:br/>
        <w:br/>
        <w:t xml:space="preserve">           Establezca las  circunstancias  de  la  muerte  de  una  séptima</w:t>
        <w:br/>
        <w:t xml:space="preserve">      persona,  presuntamente   fallecida   en   combate   (Hernán   Lizcano</w:t>
        <w:br/>
        <w:t xml:space="preserve">      Jacanamejoy o Moisés Ojeda), a fin  de  determinar  si  el  Estado  de</w:t>
        <w:br/>
        <w:t xml:space="preserve">      Colombia ha violado  en  perjuicio  de  ella  el  derecho  a  la  vida</w:t>
        <w:br/>
        <w:t xml:space="preserve">      consagrado en el artículo 4 de la Convención y el artículo 3 común  de</w:t>
        <w:br/>
        <w:t xml:space="preserve">      las Convenciones de Ginebra de 1949.</w:t>
        <w:br/>
        <w:br/>
        <w:br/>
        <w:t xml:space="preserve">           Concluya y declare que el Estado  de  Colombia  ha  violado  las</w:t>
        <w:br/>
        <w:t xml:space="preserve">      garantías judiciales establecidas en el artículo 8 y el derecho  a  la</w:t>
        <w:br/>
        <w:t xml:space="preserve">      protección judicial establecido en el artículo 25 de la Convención  en</w:t>
        <w:br/>
        <w:t xml:space="preserve">      perjuicio de Artemio Pantoja Ordóñez, Hernán Javier Cuarán Muchavisoy,</w:t>
        <w:br/>
        <w:t xml:space="preserve">      Julio Milcíades Cerón Gómez, Edebraiz Cerón  Rojas,  William  Hamilton</w:t>
        <w:br/>
        <w:t xml:space="preserve">      Cerón Rojas, Hernán Lizcano Jacanamejoy  y  Moisés  Ojeda,  y  de  sus</w:t>
        <w:br/>
        <w:t xml:space="preserve">      familiares.</w:t>
        <w:br/>
        <w:br/>
        <w:br/>
        <w:t xml:space="preserve">           Concluya y declare que, como consecuencia de las  violaciones  a</w:t>
        <w:br/>
        <w:t xml:space="preserve">      los derechos a la vida, a la protección  y  garantías  judiciales,  el</w:t>
        <w:br/>
        <w:t xml:space="preserve">      Estado de Colombia también ha violado  su  obligación  de  respetar  y</w:t>
        <w:br/>
        <w:t xml:space="preserve">      garantizar los derechos consagrados  en  la  Convención,  conforme  al</w:t>
        <w:br/>
        <w:t xml:space="preserve">      artículo 1.1 de aquélla.</w:t>
        <w:br/>
        <w:br/>
        <w:br/>
        <w:t xml:space="preserve">           Ordene al Estado de Colombia:</w:t>
        <w:br/>
        <w:br/>
        <w:br/>
        <w:t xml:space="preserve">      a)    Que lleve a cabo una investigación judicial rápida, imparcial  y</w:t>
        <w:br/>
        <w:t xml:space="preserve">           efectiva de los  hechos  denunciados  y  sancione  a  todos  los</w:t>
        <w:br/>
        <w:t xml:space="preserve">           responsables.</w:t>
        <w:br/>
        <w:br/>
        <w:t xml:space="preserve">      b)     Que  identifique  exactamente  si  la  otra  persona  ejecutada</w:t>
        <w:br/>
        <w:t xml:space="preserve">           extrajudicialmente el 23 de enero de 1991  por  miembros  de  la</w:t>
        <w:br/>
        <w:t xml:space="preserve">           Policía Nacional fue Hernán Lizcano Jacanemejoy o Moisés  Ojeda.</w:t>
        <w:br/>
        <w:t xml:space="preserve">           Asimismo, se solicita a la Honorable Corte que ordene al  Estado</w:t>
        <w:br/>
        <w:t xml:space="preserve">           de Colombia realizar una  investigación  seria  con  el  fin  de</w:t>
        <w:br/>
        <w:t xml:space="preserve">           aclarar las circunstancias en las  cuales  falleció  la  séptima</w:t>
        <w:br/>
        <w:t xml:space="preserve">           víctima fatal sobre cuya muerte la Comisión no se pronunció.</w:t>
        <w:br/>
        <w:br/>
        <w:t xml:space="preserve">      c)    Que otorgue una reparación integral  a  los  familiares  de  las</w:t>
        <w:br/>
        <w:t xml:space="preserve">           víctimas, entre  otras,  el  pago  de  una  indemnización  justa</w:t>
        <w:br/>
        <w:t xml:space="preserve">           (deducido lo ya pagado por concepto de indemnización  pecuniaria</w:t>
        <w:br/>
        <w:t xml:space="preserve">           conforme a las sentencias contencioso administrativas a favor de</w:t>
        <w:br/>
        <w:t xml:space="preserve">           Artemio Pantoja Ordóñez, Hernán Javier Cuarán Muchavisoy,  Julio</w:t>
        <w:br/>
        <w:t xml:space="preserve">           Milcíades Cerón Gómez, Edebraiz Cerón Rojas y  William  Hamilton</w:t>
        <w:br/>
        <w:t xml:space="preserve">           Cerón Rojas) y la recuperación de la memoria  histórica  de  las</w:t>
        <w:br/>
        <w:t xml:space="preserve">           víctimas.</w:t>
        <w:br/>
        <w:br/>
        <w:t xml:space="preserve">      d)    Que adopte las reformas necesarias a los reglamentos y programas</w:t>
        <w:br/>
        <w:t xml:space="preserve">           de entrenamiento de las Fuerzas Armadas de Colombia,  a  fin  de</w:t>
        <w:br/>
        <w:t xml:space="preserve">           que se conduzcan todas las operaciones militares de acuerdo  con</w:t>
        <w:br/>
        <w:t xml:space="preserve">           los instrumentos internacionales y la  costumbre  internacional,</w:t>
        <w:br/>
        <w:t xml:space="preserve">           aplicables a los conflictos armados de carácter interno.</w:t>
        <w:br/>
        <w:br/>
        <w:t xml:space="preserve">      e)    Se imponga al Estado colombiano el pago de las costas  y  gastos</w:t>
        <w:br/>
        <w:t xml:space="preserve">           en que han incurrido los familiares de las víctimas para litigar</w:t>
        <w:br/>
        <w:t xml:space="preserve">           este caso tanto en ámbito interno como ante  la  Comisión  y  la</w:t>
        <w:br/>
        <w:t xml:space="preserve">           Corte, y los honorarios razonables de sus abogados.</w:t>
        <w:br/>
        <w:br/>
        <w:br/>
        <w:t>13.   La Comisión designó como delegados a los señores Robert K.  Goldman  y</w:t>
        <w:br/>
        <w:t>Carlos Ayala Corao, y como asesores a la señora Verónica Gómez  y  al  señor</w:t>
        <w:br/>
        <w:t>David Padilla.  Asimismo, la Comisión acreditó en calidad  de  asistentes  y</w:t>
        <w:br/>
        <w:t>peticionarios a la señora Luz Marina Monzón y a los señores Gustavo  Gallón,</w:t>
        <w:br/>
        <w:t>Carlos Rodríguez, y como asistentes al señor Pablo Saavedra y  a  la  señora</w:t>
        <w:br/>
        <w:t>Viviana Krsticevic.</w:t>
        <w:br/>
        <w:br/>
        <w:t>14.   El 15 de julio de 1998 la Secretaría de  la  Corte  (en  adelante  “la</w:t>
        <w:br/>
        <w:t>Secretaría”), previo examen  preliminar  de  la  demanda  realizado  por  el</w:t>
        <w:br/>
        <w:t>Presidente de la Corte (en adelante “el  Presidente”),  la  notificó,  junto</w:t>
        <w:br/>
        <w:t>con sus anexos, al Estado, y le informó sobre los plazos  para  contestarla,</w:t>
        <w:br/>
        <w:t>oponer excepciones preliminares y designar su representación en el  proceso.</w:t>
        <w:br/>
        <w:br/>
        <w:br/>
        <w:t>15.   El 14 de agosto de 1998 Colombia  designó  como  agente  a  la  señora</w:t>
        <w:br/>
        <w:t>Marcela Briceño-Donn y como  agente  alterno  al  señor  Héctor  A.  Sintura</w:t>
        <w:br/>
        <w:t>Varela.</w:t>
        <w:br/>
        <w:br/>
        <w:t>16.   El  14  de  septiembre  de  1998  Colombia  interpuso  las  siguientes</w:t>
        <w:br/>
        <w:t>excepciones preliminares:</w:t>
        <w:br/>
        <w:br/>
        <w:br/>
        <w:t>Primera:</w:t>
        <w:br/>
        <w:br/>
        <w:br/>
        <w:t xml:space="preserve">      Violación del debido proceso por grave omisión de información.</w:t>
        <w:br/>
        <w:br/>
        <w:br/>
        <w:br/>
        <w:br/>
        <w:t>Segunda:</w:t>
        <w:br/>
        <w:br/>
        <w:br/>
        <w:t xml:space="preserve">      La Comisión Interamericana de Derechos Humanos carece  de  competencia</w:t>
        <w:br/>
        <w:t xml:space="preserve">      para aplicar el derecho internacional  humanitario  y  otros  tratados</w:t>
        <w:br/>
        <w:t xml:space="preserve">      internacionales.</w:t>
        <w:br/>
        <w:br/>
        <w:br/>
        <w:t>Tercera:</w:t>
        <w:br/>
        <w:br/>
        <w:br/>
        <w:t xml:space="preserve">      La Corte Interamericana de  Derechos  Humanos  carece  de  competencia</w:t>
        <w:br/>
        <w:t xml:space="preserve">      para aplicar el derecho internacional  humanitario  y  otros  tratados</w:t>
        <w:br/>
        <w:t xml:space="preserve">      internacionales.</w:t>
        <w:br/>
        <w:br/>
        <w:br/>
        <w:t>Cuarta:</w:t>
        <w:br/>
        <w:br/>
        <w:br/>
        <w:t xml:space="preserve">      La Corte Interamericana de Derechos Humanos carece de competencia para</w:t>
        <w:br/>
        <w:t xml:space="preserve">      conocer  un  asunto  cuando  no  se  han  agotado  los   recursos   de</w:t>
        <w:br/>
        <w:t xml:space="preserve">      jurisdicción interna.</w:t>
        <w:br/>
        <w:br/>
        <w:br/>
        <w:t>Quinta:</w:t>
        <w:br/>
        <w:br/>
        <w:br/>
        <w:t xml:space="preserve">      La Corte Interamericana de Derechos Humanos carece de competencia para</w:t>
        <w:br/>
        <w:t xml:space="preserve">      actuar como tribunal de instrucción de hechos particulares.</w:t>
        <w:br/>
        <w:br/>
        <w:br/>
        <w:t>17.   El 21 de septiembre de 1998, la  Secretaría  notificó  a  la  Comisión</w:t>
        <w:br/>
        <w:t>Interamericana el escrito sobre interposición de excepciones,  al  que  ésta</w:t>
        <w:br/>
        <w:t>respondió el 5 de noviembre de 1998.</w:t>
        <w:br/>
        <w:br/>
        <w:t>18.   El 10 de diciembre de 1998 el Presidente invitó a Colombia a  designar</w:t>
        <w:br/>
        <w:t>juez ad hoc, en razón de que el Juez Carlos  Vicente  de  Roux  Rengifo,  de</w:t>
        <w:br/>
        <w:t>nacionalidad colombiana, se excusó de conocer el presente  caso  de  acuerdo</w:t>
        <w:br/>
        <w:t>con los artículos 19 del Estatuto y 19 del Reglamento de la Corte.</w:t>
        <w:br/>
        <w:br/>
        <w:t>19.   El 15 de diciembre de 1998 Colombia presentó  la  contestación  de  la</w:t>
        <w:br/>
        <w:t>demanda.</w:t>
        <w:br/>
        <w:br/>
        <w:t>20.   El 12 de enero de 1999 el Estado colombiano nombró como  Juez  ad  hoc</w:t>
        <w:br/>
        <w:t>al señor Julio A. Barberis.</w:t>
        <w:br/>
        <w:br/>
        <w:t>21.   El 19 de febrero de 1999 el Presidente resolvió convocar a las  partes</w:t>
        <w:br/>
        <w:t>a una audiencia pública que se celebraría en la sede de ésta el 31  de  mayo</w:t>
        <w:br/>
        <w:t>de 1999, para escuchar alegatos sobre las excepciones preliminares.</w:t>
        <w:br/>
        <w:br/>
        <w:t>22.   La audiencia pública tuvo lugar en la sede de la  Corte  en  la  fecha</w:t>
        <w:br/>
        <w:t>prevista.</w:t>
        <w:br/>
        <w:br/>
        <w:t>Comparecieron:</w:t>
        <w:br/>
        <w:br/>
        <w:t>por el Estado de Colombia:</w:t>
        <w:br/>
        <w:br/>
        <w:t xml:space="preserve">      Marcela Briceño-Donn, agente;</w:t>
        <w:br/>
        <w:t xml:space="preserve">      Héctor Sintura Varela, agente alterno; y</w:t>
        <w:br/>
        <w:t xml:space="preserve">      Felipe Piquero Villegas, asesor.</w:t>
        <w:br/>
        <w:br/>
        <w:t>Por la Comisión Interamericana de Derechos Humanos:</w:t>
        <w:br/>
        <w:br/>
        <w:t xml:space="preserve">      Robert K. Goldman, delegado;</w:t>
        <w:br/>
        <w:t xml:space="preserve">      Verónica Gómez, abogada;</w:t>
        <w:br/>
        <w:t xml:space="preserve">      Viviana Krsticevic, asistente;</w:t>
        <w:br/>
        <w:t xml:space="preserve">      Marina Monzón Cifuentes, asistente; y</w:t>
        <w:br/>
        <w:t xml:space="preserve">      Carlos Rodríguez Mejía, asistente.</w:t>
        <w:br/>
        <w:br/>
        <w:br/>
        <w:br/>
        <w:br/>
        <w:t xml:space="preserve">                                      V</w:t>
        <w:br/>
        <w:t xml:space="preserve">                                 competencia</w:t>
        <w:br/>
        <w:br/>
        <w:t>23.   Colombia es Estado Parte en la Convención Americana  desde  el  31  de</w:t>
        <w:br/>
        <w:t>julio de 1973.  El 21 de junio de 1985 reconoció la competencia  contenciosa</w:t>
        <w:br/>
        <w:t>de la Corte.  Por  lo  tanto,  ésta  es  competente,  en  los  términos  del</w:t>
        <w:br/>
        <w:t>artículo 62.3 de la Convención, para conocer  las  excepciones  preliminares</w:t>
        <w:br/>
        <w:t>presentadas por el Estado.</w:t>
        <w:br/>
        <w:br/>
        <w:br/>
        <w:br/>
        <w:t xml:space="preserve">                                     VI</w:t>
        <w:br/>
        <w:br/>
        <w:t xml:space="preserve">                           consideraciones previas</w:t>
        <w:br/>
        <w:br/>
        <w:t>24.   Las  excepciones  planteadas  por  Colombia  se  presentan,  reúnen  y</w:t>
        <w:br/>
        <w:t>analizan bajo los conceptos procesales a los que se  refieren,  como  sigue:</w:t>
        <w:br/>
        <w:t>a) violación del debido proceso  por  grave  omisión  de  información  (cfr.</w:t>
        <w:br/>
        <w:t>primera excepción), b) incompetencia de la Corte Interamericana de  Derechos</w:t>
        <w:br/>
        <w:t>Humanos y de la Comisión Interamericana de Derechos Humanos para aplicar  el</w:t>
        <w:br/>
        <w:t>derecho internacional humanitario y  otros  tratados  internacionales  (cfr.</w:t>
        <w:br/>
        <w:t>tercera y segunda excepciones,  respectivamente),  c)  incompetencia  de  la</w:t>
        <w:br/>
        <w:t>Corte para conocer un asunto cuando  no  se  han  agotado  los  recursos  de</w:t>
        <w:br/>
        <w:t>jurisdicción interna (cfr. cuarta  excepción),  y  d)  incompetencia  de  la</w:t>
        <w:br/>
        <w:t>Corte para actuar como tribunal de instrucción de hechos particulares  (cfr.</w:t>
        <w:br/>
        <w:t>quinta excepción).</w:t>
        <w:br/>
        <w:br/>
        <w:br/>
        <w:t xml:space="preserve">                                     VII</w:t>
        <w:br/>
        <w:t xml:space="preserve">                        primera excepciÓn preliminar:</w:t>
        <w:br/>
        <w:t xml:space="preserve">                        violaciÓn del debido proceso</w:t>
        <w:br/>
        <w:br/>
        <w:t>25.   En su primera excepción preliminar, Colombia sostuvo que  la  Comisión</w:t>
        <w:br/>
        <w:t>omitió en la demanda  brindar  una  información  completa  sobre  el  estado</w:t>
        <w:br/>
        <w:t>actual de la causa en la jurisdicción  interna,  lo  cual  constituiría  una</w:t>
        <w:br/>
        <w:t>violación del debido proceso.</w:t>
        <w:br/>
        <w:br/>
        <w:t>La omisión fundamental en que la Comisión habría incurrido  consiste  en  no</w:t>
        <w:br/>
        <w:t>haber expresado en la demanda que  la  causa  interna  había  pasado  de  la</w:t>
        <w:br/>
        <w:t>jurisdicción del sistema penal militar a la Unidad de  Derechos  Humanos  de</w:t>
        <w:br/>
        <w:t>la Fiscalía General de la  Nación.   Colombia  estimó  que  este  cambio  de</w:t>
        <w:br/>
        <w:t>jurisdicción es un “hecho nuevo y trascendental”.  El Estado  presentó  como</w:t>
        <w:br/>
        <w:t>prueba principal la  nota  que  envió  el  22  de  mayo  de  1998  al  señor</w:t>
        <w:br/>
        <w:t>Secretario Ejecutivo de la Comisión en que consta esa circunstancia.</w:t>
        <w:br/>
        <w:br/>
        <w:t>El Estado consideró que la  Comisión  tenía  el  deber  de  informar  en  la</w:t>
        <w:br/>
        <w:t>demanda sobre la realidad  del  estado  de  la  causa  en  el  procedimiento</w:t>
        <w:br/>
        <w:t>interno y que esta omisión constituiría un  hecho  grave  que  afectaría  el</w:t>
        <w:br/>
        <w:t>equilibrio procesal y su situación frente a la Corte.</w:t>
        <w:br/>
        <w:br/>
        <w:t>Colombia afirmó que esta situación impide a la  Corte  conocer  del  caso  y</w:t>
        <w:br/>
        <w:t>fallar sobre él.  En otro pasaje de su escrito de oposición de  excepciones,</w:t>
        <w:br/>
        <w:t>expresó que existía un “error insubsanable” pues la oportunidad de  corregir</w:t>
        <w:br/>
        <w:t>la demanda ya ha precluido.</w:t>
        <w:br/>
        <w:br/>
        <w:t>En consecuencia de lo expuesto, el Estado solicitó  que  el  expediente  sea</w:t>
        <w:br/>
        <w:t>devuelto a la  Comisión  para  que  ésta  emita  un  informe  definitivo  en</w:t>
        <w:br/>
        <w:t>cumplimiento de lo establecido en la Convención.  En la audiencia,  Colombia</w:t>
        <w:br/>
        <w:t>solicitó que la Corte declarara la inadmisibilidad  de  la  demanda  por  la</w:t>
        <w:br/>
        <w:t>grave omisión de información por parte de la Comisión.</w:t>
        <w:br/>
        <w:br/>
        <w:t>26.   La Comisión expresó que la demanda presentada ante la Corte  el  6  de</w:t>
        <w:br/>
        <w:t>julio de 1998 fue elaborada en base a los hechos articulados en  el  Informe</w:t>
        <w:br/>
        <w:t>No. 10/98, que fue aprobado el 20 de febrero de 1998.  Por  esa  razón,  los</w:t>
        <w:br/>
        <w:t>hechos invocados por Colombia no han sido  incluidos  en  la  demanda.   Por</w:t>
        <w:br/>
        <w:t>otra parte, la Comisión señaló que, según el  Reglamento  de  la  Corte,  el</w:t>
        <w:br/>
        <w:t>procedimiento es  contradictorio  y  cada  parte  tiene  la  oportunidad  de</w:t>
        <w:br/>
        <w:t>ejercer su derecho de defensa.  Por  ello,  una  omisión  por  parte  de  la</w:t>
        <w:br/>
        <w:t>Comisión no podría afectar los derechos procesales de  Colombia  y  solicitó</w:t>
        <w:br/>
        <w:t>el rechazo de la excepción interpuesta.</w:t>
        <w:br/>
        <w:br/>
        <w:t>27.   El procedimiento ante esta Corte, tal  como  lo  señala  la  Comisión,</w:t>
        <w:br/>
        <w:t>tiene carácter contradictorio.  Este Tribunal, por su parte, falla según  lo</w:t>
        <w:br/>
        <w:t>alegado y probado por cada parte.  Por ello,  la  circunstancia  de  que  la</w:t>
        <w:br/>
        <w:t>parte demandante haya omitido la mención de determinados  hechos  no  impide</w:t>
        <w:br/>
        <w:t>que la parte demandada los alegue y presente las  pruebas  correspondientes.</w:t>
        <w:br/>
        <w:t>Esta Corte no alcanza a comprender en qué medida la conducta de la  Comisión</w:t>
        <w:br/>
        <w:t>ha afectado el derecho de  debido  proceso  que  corresponde  a  Colombia  y</w:t>
        <w:br/>
        <w:t>considera que la excepción interpuesta carece de fundamento,  razón  por  la</w:t>
        <w:br/>
        <w:t>cual la desestima.</w:t>
        <w:br/>
        <w:br/>
        <w:br/>
        <w:t xml:space="preserve">                                    VIII</w:t>
        <w:br/>
        <w:t xml:space="preserve">                        tercera Excepción preliminar:</w:t>
        <w:br/>
        <w:t xml:space="preserve">                      falta de competencia de la corte</w:t>
        <w:br/>
        <w:br/>
        <w:br/>
        <w:t>28.   En la demanda presentada por la Comisión,  solicitó  a  la  Corte  que</w:t>
        <w:br/>
        <w:t>“concluya y declare que el Estado de Colombia ha violado  el  derecho  a  la</w:t>
        <w:br/>
        <w:t>vida, consagrado en el artículo 4 de la Convención, y el  artículo  3  común</w:t>
        <w:br/>
        <w:t>de las Convenciones de Ginebra de 1949...”.  Ante  esta  petición,  Colombia</w:t>
        <w:br/>
        <w:t>opuso  una  excepción  preliminar  sosteniendo  que  la  Corte  “carece   de</w:t>
        <w:br/>
        <w:t>competencia para  aplicar  el  derecho  internacional  humanitario  y  otros</w:t>
        <w:br/>
        <w:t>tratados internacionales”.</w:t>
        <w:br/>
        <w:br/>
        <w:t>En este sentido,  el  Estado  afirmó  que  los  artículos  33  y  62  de  la</w:t>
        <w:br/>
        <w:t>Convención limitan su competencia a  la  aplicación  de  lo  establecido  en</w:t>
        <w:br/>
        <w:t>ella.  Invocó asimismo la Opinión Consultiva OC-1 del 24  de  septiembre  de</w:t>
        <w:br/>
        <w:t>1982 (párrafos 21  y  22)  y  manifestó  que  la  Corte  “debe  pronunciarse</w:t>
        <w:br/>
        <w:t>únicamente sobre las competencias que  le  han  sido  atribuidas  de  manera</w:t>
        <w:br/>
        <w:t>taxativa en la Convención”.</w:t>
        <w:br/>
        <w:br/>
        <w:t>29.   La Comisión prefirió, en su escrito,  responder  conjuntamente  a  las</w:t>
        <w:br/>
        <w:t>excepciones relativas a su propia competencia y a la de la  Corte  sobre  la</w:t>
        <w:br/>
        <w:t>aplicación del derecho humanitario y otros  tratados.   Antes  de  pasar  al</w:t>
        <w:br/>
        <w:t>análisis  de  la  cuestión,  la  Comisión  expresó,  como   declaración   de</w:t>
        <w:br/>
        <w:t>principio, que el presente caso debería  ser  decidido  a  la  luz  de  “las</w:t>
        <w:br/>
        <w:t>normas consagradas tanto en la  Convención  Americana  como  en  el  derecho</w:t>
        <w:br/>
        <w:t>internacional humanitario consuetudinario  aplicable  a  conflictos  armados</w:t>
        <w:br/>
        <w:t>internos y plasmado en el artículo 3 común de las  Convenciones  de  Ginebra</w:t>
        <w:br/>
        <w:t>de 1949”.  La Comisión reiteró su convencimiento de  que,  tanto  ella  como</w:t>
        <w:br/>
        <w:t>esta Corte, tenían competencia para aplicar esa normativa.</w:t>
        <w:br/>
        <w:br/>
        <w:t>La Comisión expresó, como punto de partida de su razonamiento, que  Colombia</w:t>
        <w:br/>
        <w:t>no ha objetado lo dicho por ella en el sentido de que, en el momento en  que</w:t>
        <w:br/>
        <w:t>se produjo la pérdida de vidas relatada en la demanda,  se  desarrollaba  en</w:t>
        <w:br/>
        <w:t>su territorio un conflicto armado no internacional  y  tampoco  ha  objetado</w:t>
        <w:br/>
        <w:t>que dicho conflicto corresponde a la definición prevista en  el  artículo  3</w:t>
        <w:br/>
        <w:t>común de los Convenios de Ginebra.</w:t>
        <w:br/>
        <w:br/>
        <w:t>Prosiguió la Comisión diciendo que la existencia de un conflicto  armado  no</w:t>
        <w:br/>
        <w:t>exime a Colombia de respetar el derecho a la vida.  Ahora bien, la  Comisión</w:t>
        <w:br/>
        <w:t>consideró que, en un conflicto armado, hay casos en  que  un  enemigo  puede</w:t>
        <w:br/>
        <w:t>ser muerto legítimamente, en tanto que, en otros, ello está  prohibido.   La</w:t>
        <w:br/>
        <w:t>Comisión afirmó que la Convención Americana no contiene ninguna  norma  para</w:t>
        <w:br/>
        <w:t>distinguir una hipótesis de la otra y,  por  esa  razón,  debe  aplicar  los</w:t>
        <w:br/>
        <w:t>Convenios de Ginebra.  La Comisión también invocó a su favor  un  pasaje  de</w:t>
        <w:br/>
        <w:t>la Opinión Consultiva  de  la  Corte  Internacional  de  Justicia  sobre  La</w:t>
        <w:br/>
        <w:t>Legalidad de la Amenaza o Uso de Armas Nucleares, a saber:</w:t>
        <w:br/>
        <w:br/>
        <w:t xml:space="preserve">      In principle, the right not arbitrarily to be deprived of  one’s  life</w:t>
        <w:br/>
        <w:t xml:space="preserve">      applies also in  hostilities.   The  test  of  what  is  an  arbitrary</w:t>
        <w:br/>
        <w:t xml:space="preserve">      deprivation of life, however, then  falls  to  be  determined  by  the</w:t>
        <w:br/>
        <w:t xml:space="preserve">      applicable lex specialis, namely, the law applicable in armed conflict</w:t>
        <w:br/>
        <w:t xml:space="preserve">      which is designed  to  regulate  the  conduct  of  hostilities.   Thus</w:t>
        <w:br/>
        <w:t xml:space="preserve">      whether a particular loss of life, through the use of a certain weapon</w:t>
        <w:br/>
        <w:t xml:space="preserve">      in warfare, is to be  considered  an  arbitrary  deprivation  of  life</w:t>
        <w:br/>
        <w:t xml:space="preserve">      contrary to Article  6  of  the  Covenant,  can  only  be  decided  by</w:t>
        <w:br/>
        <w:t xml:space="preserve">      reference to the law applicable in armed conflict and not deduced from</w:t>
        <w:br/>
        <w:t xml:space="preserve">      the terms of the Covenant itself.[2]</w:t>
        <w:br/>
        <w:br/>
        <w:t>La Comisión expresó que, en el presente caso,  ha  determinado  primeramente</w:t>
        <w:br/>
        <w:t>si el artículo 3 común de los Convenios de Ginebra  había  sido  violado  y,</w:t>
        <w:br/>
        <w:t>una vez comprobado esto, recién  averiguó  si  había  habido  violación  del</w:t>
        <w:br/>
        <w:t>artículo 4 de la Convención Americana.</w:t>
        <w:br/>
        <w:br/>
        <w:t>La parte demandante expuso también en su escrito la naturaleza  del  derecho</w:t>
        <w:br/>
        <w:t>internacional humanitario y su relación con los derechos humanos.</w:t>
        <w:br/>
        <w:br/>
        <w:t>Finalmente, la Comisión invocó el artículo 25 de  la  Convención  Americana.</w:t>
        <w:br/>
        <w:t>Este artículo fue interpretado por la Comisión  en  el  sentido  de  que  se</w:t>
        <w:br/>
        <w:t>trata de una norma que le permite aplicar el derecho humanitario.</w:t>
        <w:br/>
        <w:br/>
        <w:t>La Comisión manifestó que, a  su  criterio,  la  excepción  interpuesta  por</w:t>
        <w:br/>
        <w:t>Colombia  no  es  una  objeción  jurisdiccional  que  afecte  los  elementos</w:t>
        <w:br/>
        <w:t>requeridos para que la Corte  ejerza  su  competencia.   Afirmó  que  quizás</w:t>
        <w:br/>
        <w:t>resulte  prematuro  considerar  la  objeción  del  Estado  en  cuanto  a  la</w:t>
        <w:br/>
        <w:t>invocación de los Convenios de Ginebra, dado que este tema está vinculado  a</w:t>
        <w:br/>
        <w:t>la cuestión de fondo.  Sin embargo, en  la  conclusión  de  su  escrito,  la</w:t>
        <w:br/>
        <w:t>Comisión  solicitó  a  la  Corte  que  rechazara  la  excepción   preliminar</w:t>
        <w:br/>
        <w:t>interpuesta y que declarara que tiene competencia para  aplicar  el  derecho</w:t>
        <w:br/>
        <w:t>internacional humanitario y otros tratados internacionales.</w:t>
        <w:br/>
        <w:br/>
        <w:t>30.   En la audiencia pública  celebrada,  Colombia  trató  de  refutar  los</w:t>
        <w:br/>
        <w:t>argumentos expuestos por la Comisión  en  su  escrito.   En  este  orden  de</w:t>
        <w:br/>
        <w:t>ideas, el Estado subrayó  la  importancia  que,  en  derecho  internacional,</w:t>
        <w:br/>
        <w:t>tiene el principio del consentimiento.  Sin el  consentimiento  del  Estado,</w:t>
        <w:br/>
        <w:t>la Corte no podría aplicar los Convenios de Ginebra.</w:t>
        <w:br/>
        <w:br/>
        <w:t>El representante del Estado sostuvo, luego, que ni  el  artículo  25  ni  el</w:t>
        <w:br/>
        <w:t>artículo 27.1 de la  Convención  Americana  pueden  ser  interpretados  como</w:t>
        <w:br/>
        <w:t>normas que autorizan a la Corte a aplicar los Convenios de Ginebra.</w:t>
        <w:br/>
        <w:br/>
        <w:t>Por último, Colombia  estableció  la  distinción  entre  “interpretación”  y</w:t>
        <w:br/>
        <w:t>“aplicación”.  La Corte podría  interpretar  los  Convenios  de  Ginebra  al</w:t>
        <w:br/>
        <w:t>igual que otros  tratados  internacionales,  pero  sólo  podría  aplicar  la</w:t>
        <w:br/>
        <w:t>Convención Americana.</w:t>
        <w:br/>
        <w:br/>
        <w:t>31.   En la audiencia, la Comisión efectuó una detallada  exposición  de  su</w:t>
        <w:br/>
        <w:t>tesis acerca de la aplicabilidad del derecho internacional  humanitario  por</w:t>
        <w:br/>
        <w:t>parte de la Corte, en la cual manifestó que es inexacta “la premisa  de  que</w:t>
        <w:br/>
        <w:t>la Comisión y la Corte están llamadas a determinar  si  los  Estados  Partes</w:t>
        <w:br/>
        <w:t>han violado la Convención Americana, en forma excluyente  de  otras  fuentes</w:t>
        <w:br/>
        <w:t>de derecho internacional”.</w:t>
        <w:br/>
        <w:br/>
        <w:t>La Comisión sostuvo en su alegato que existe una relación  particular  entre</w:t>
        <w:br/>
        <w:t>el artículo 4 de la Convención Americana  y  el  artículo  3  común  de  los</w:t>
        <w:br/>
        <w:t>Convenios de Ginebra y que,</w:t>
        <w:br/>
        <w:br/>
        <w:t xml:space="preserve">      como ha entendido […] el objeto y fin y la  necesidad  de  aplicar  en</w:t>
        <w:br/>
        <w:t xml:space="preserve">      forma efectiva la Convención Americana sustentan la competencia de los</w:t>
        <w:br/>
        <w:t xml:space="preserve">      órganos del sistema para decidir sobre las violaciones al  artículo  4</w:t>
        <w:br/>
        <w:t xml:space="preserve">      en forma coextensiva con la norma  de  derecho  internacional  general</w:t>
        <w:br/>
        <w:t xml:space="preserve">      recogida en el artículo 3 común de las Convenciones de Ginebra.</w:t>
        <w:br/>
        <w:br/>
        <w:t xml:space="preserve">      [...]</w:t>
        <w:br/>
        <w:br/>
        <w:t xml:space="preserve">      Dada su especificidad y  relevancia  para  el  caso  particular  y  su</w:t>
        <w:br/>
        <w:t xml:space="preserve">      contexto,  la  Comisión  considera  que  el  artículo  3   común   fue</w:t>
        <w:br/>
        <w:t xml:space="preserve">      considerado en su carácter de  norma  de  derecho  internacional,  que</w:t>
        <w:br/>
        <w:t xml:space="preserve">      obliga al Ilustre Estado y que  incluso  forma  parte  integrante  del</w:t>
        <w:br/>
        <w:t xml:space="preserve">      derecho interno colombiano.  La  Comisión  considera  que  ignorar  el</w:t>
        <w:br/>
        <w:t xml:space="preserve">      contenido y el alcance de  ciertas  obligaciones  internacionales  del</w:t>
        <w:br/>
        <w:t xml:space="preserve">      Estado, y renunciar a la tarea de armonizarlos con la  competencia  de</w:t>
        <w:br/>
        <w:t xml:space="preserve">      los órganos del sistema  interamericano  en  un  contexto  integral  y</w:t>
        <w:br/>
        <w:t xml:space="preserve">      teleológico, implicaría traicionar el bien jurídico y ético  promovido</w:t>
        <w:br/>
        <w:t xml:space="preserve">      por el artículo 29, vale decir, la mejor y más  progresiva  aplicación</w:t>
        <w:br/>
        <w:t xml:space="preserve">      de la Convención Americana.</w:t>
        <w:br/>
        <w:br/>
        <w:t xml:space="preserve">      [...]</w:t>
        <w:br/>
        <w:br/>
        <w:t xml:space="preserve">      Como consecuencia, las alegadas  violaciones  al  derecho  a  la  vida</w:t>
        <w:br/>
        <w:t xml:space="preserve">      cometidas en un contexto de un conflicto armado  interno,  no  siempre</w:t>
        <w:br/>
        <w:t xml:space="preserve">      pueden ser resueltas por  la  Comisión,  sobre  la  base  de  la  sola</w:t>
        <w:br/>
        <w:t xml:space="preserve">      invocación del artículo 4 de la Convención Americana.   La  Convención</w:t>
        <w:br/>
        <w:t xml:space="preserve">      Americana  no  hace  expresa   remisión   al   derecho   internacional</w:t>
        <w:br/>
        <w:t xml:space="preserve">      humanitario en estas circunstancias, sin embargo, dado el  estatus  de</w:t>
        <w:br/>
        <w:t xml:space="preserve">      esa rama del derecho internacional, y su  reconocida  interrelación  y</w:t>
        <w:br/>
        <w:t xml:space="preserve">      complementariedad con los derechos humanos, es claro que no  se  trata</w:t>
        <w:br/>
        <w:t xml:space="preserve">      de una omisión deliberada, sino de una laguna que  afecta  un  derecho</w:t>
        <w:br/>
        <w:t xml:space="preserve">      fundamental no suspendible.</w:t>
        <w:br/>
        <w:br/>
        <w:t xml:space="preserve">      [...]</w:t>
        <w:br/>
        <w:br/>
        <w:t xml:space="preserve">      La Comisión considera,  que  su  conclusión  sobre  la  violación  del</w:t>
        <w:br/>
        <w:t xml:space="preserve">      artículo 4, en forma coextensiva con el  artículo  3  común,  en  este</w:t>
        <w:br/>
        <w:t xml:space="preserve">      caso, no sólo no excedió sus competencias, sino que  constituye  parte</w:t>
        <w:br/>
        <w:t xml:space="preserve">      de su mandato como  órgano  al  que  se  ha  encomendado  asegurar  la</w:t>
        <w:br/>
        <w:t xml:space="preserve">      observancia de los derechos fundamentales de  las  personas,  bajo  la</w:t>
        <w:br/>
        <w:t xml:space="preserve">      jurisdicción de los Estados Partes.  Se  trata  de  una  determinación</w:t>
        <w:br/>
        <w:t xml:space="preserve">      basada en la  aplicación  de  una  norma  convencional  universalmente</w:t>
        <w:br/>
        <w:t xml:space="preserve">      ratificada que codifica el derecho internacional general.</w:t>
        <w:br/>
        <w:br/>
        <w:t xml:space="preserve">      [...]</w:t>
        <w:br/>
        <w:br/>
        <w:t xml:space="preserve">      La Comisión considera, que las conclusiones […] respecto de esa  norma</w:t>
        <w:br/>
        <w:t xml:space="preserve">      de derecho internacional humanitario, en relación al artículo 4 de  la</w:t>
        <w:br/>
        <w:t xml:space="preserve">      Convención en el presente caso, conllevan una interpretación proactiva</w:t>
        <w:br/>
        <w:t xml:space="preserve">      y justificada del mandato de los órganos del sistema, consistente  con</w:t>
        <w:br/>
        <w:t xml:space="preserve">      el objeto y fin del derecho internacional de los derechos humanos, y a</w:t>
        <w:br/>
        <w:t xml:space="preserve">      la vez respetuosa, en esencia, de la regla del  consentimiento  y  del</w:t>
        <w:br/>
        <w:t xml:space="preserve">      valor de las normas imperativas del derecho internacional.</w:t>
        <w:br/>
        <w:br/>
        <w:br/>
        <w:t>Por último, la Comisión estimó que la excepción interpuesta por Colombia  no</w:t>
        <w:br/>
        <w:t>era una objeción jurisdiccional y que la cuestión se encuentra ligada  a  la</w:t>
        <w:br/>
        <w:t>determinación de hecho y de derecho vinculada con el fondo del asunto.</w:t>
        <w:br/>
        <w:br/>
        <w:t>32.   La Convención Americana es un tratado internacional según el cual  los</w:t>
        <w:br/>
        <w:t>Estados Partes se obligan a respetar los derechos y  libertades  reconocidos</w:t>
        <w:br/>
        <w:t>en  ella  y  a  garantizar  su  ejercicio  a  toda  persona  sujeta   a   su</w:t>
        <w:br/>
        <w:t>jurisdicción.   La   Convención   prevé   la   existencia   de   una   Corte</w:t>
        <w:br/>
        <w:t>Interamericana para “conocer de cualquier caso relativo a la  interpretación</w:t>
        <w:br/>
        <w:t>y aplicación” de sus disposiciones (artículo 62.3).</w:t>
        <w:br/>
        <w:br/>
        <w:t>Cuando un Estado es Parte de  la  Convención  Americana  y  ha  aceptado  la</w:t>
        <w:br/>
        <w:t>competencia de la Corte en materia contenciosa, se da la posibilidad de  que</w:t>
        <w:br/>
        <w:t>ésta analice la conducta del Estado  para  determinar  si  la  misma  se  ha</w:t>
        <w:br/>
        <w:t>ajustado o no a las  disposiciones  de  aquella  Convención  aún  cuando  la</w:t>
        <w:br/>
        <w:t>cuestión haya sido definitivamente  resuelta  en  el  ordenamiento  jurídico</w:t>
        <w:br/>
        <w:t>interno.  La Corte es asimismo competente para decidir  si  cualquier  norma</w:t>
        <w:br/>
        <w:t>del derecho interno o internacional aplicada por un Estado,  en  tiempos  de</w:t>
        <w:br/>
        <w:t>paz o de conflicto armado, es compatible o no con la  Convención  Americana.</w:t>
        <w:br/>
        <w:t>En esta actividad la Corte no tiene  ningún  límite  normativo:  toda  norma</w:t>
        <w:br/>
        <w:t>jurídica es susceptible de ser sometida a este examen de compatibilidad.</w:t>
        <w:br/>
        <w:br/>
        <w:t>33.   Para realizar dicho examen la Corte interpreta la norma en cuestión  y</w:t>
        <w:br/>
        <w:t>la analiza a la luz de las disposiciones de la Convención.  El resultado  de</w:t>
        <w:br/>
        <w:t>esta operación será siempre un juicio en el que se dirá si tal norma  o  tal</w:t>
        <w:br/>
        <w:t>hecho es o no compatible con la Convención Americana.  Esta última  sólo  ha</w:t>
        <w:br/>
        <w:t>atribuido competencia a la Corte para determinar la  compatibilidad  de  los</w:t>
        <w:br/>
        <w:t>actos o de las normas de los Estados con la propia Convención, y no con  los</w:t>
        <w:br/>
        <w:t>Convenios de Ginebra de 1949.</w:t>
        <w:br/>
        <w:br/>
        <w:t>Por  ello,  la  Corte  decide  admitir  la  tercera   excepción   preliminar</w:t>
        <w:br/>
        <w:t>interpuesta por el Estado.</w:t>
        <w:br/>
        <w:br/>
        <w:br/>
        <w:t xml:space="preserve">                                     IX</w:t>
        <w:br/>
        <w:t xml:space="preserve">             segunda excepciÓn preliminar: falta de competencia</w:t>
        <w:br/>
        <w:t xml:space="preserve">                               de la comisiÓn</w:t>
        <w:br/>
        <w:br/>
        <w:t>34.   Colombia opuso  como  excepción  preliminar  la  incompetencia  de  la</w:t>
        <w:br/>
        <w:t>Comisión para aplicar el derecho internacional humanitario y otros  tratados</w:t>
        <w:br/>
        <w:t>internacionales.  Al respecto, el Estado señaló que la Convención  Americana</w:t>
        <w:br/>
        <w:t>restringe la competencia ratione materiae a  los  derechos  consagrados  por</w:t>
        <w:br/>
        <w:t>ella y no lo hace extensivo a los consagrados en  ninguna  otra  convención.</w:t>
        <w:br/>
        <w:t>Agregó, que la Corte nunca se ha pronunciado sobre la facultad que tiene  la</w:t>
        <w:br/>
        <w:t>Corte o la Comisión de asumir  el  conocimiento  de  asuntos  fuera  de  las</w:t>
        <w:br/>
        <w:t>atribuciones de competencia señaladas en la Convención, para lo cual  invocó</w:t>
        <w:br/>
        <w:t>la Opinión Consultiva OC-1 y el artículo 33 de la Convención.  El  hecho  de</w:t>
        <w:br/>
        <w:t>que los Estados miembros de la Organización de los Estados Americanos  deban</w:t>
        <w:br/>
        <w:t>observar de buena fe los Convenios  de  Ginebra  y  ajustar  su  legislación</w:t>
        <w:br/>
        <w:t>interna al cumplimiento de esos instrumentos no le  confiere  competencia  a</w:t>
        <w:br/>
        <w:t>la Comisión para deducir responsabilidad del Estado con base en ellos.</w:t>
        <w:br/>
        <w:br/>
        <w:t>En  audiencia  pública,  el  Estado  señaló  que  estaba  de   acuerdo   con</w:t>
        <w:br/>
        <w:t>interpretar armónicamente la Convención con otros tratados, pero no  admitió</w:t>
        <w:br/>
        <w:t>la aplicación del artículo 3 común como una norma  infringida  por  Colombia</w:t>
        <w:br/>
        <w:t>en un caso individual.  Tanto el artículo 25 como el 27.1 y  29.b),  por  su</w:t>
        <w:br/>
        <w:t>ubicación en el texto de la Convención,  no  pueden  ser  considerados  como</w:t>
        <w:br/>
        <w:t>normas atributivas de competencia; son normas que establecen derechos  y  la</w:t>
        <w:br/>
        <w:t>última, es una norma de interpretación.</w:t>
        <w:br/>
        <w:br/>
        <w:t>Las excepciones preliminares interpuestas  in  limine  litis  por  la  parte</w:t>
        <w:br/>
        <w:t>demandada, tal como se desprende del derecho y la práctica  internacionales,</w:t>
        <w:br/>
        <w:t>tienen, básicamente, los siguientes propósitos: objetar la admisibilidad  de</w:t>
        <w:br/>
        <w:t>las peticiones  de  la  parte  demandante  o  limitar  o  negar,  parcial  o</w:t>
        <w:br/>
        <w:t>totalmente, la competencia del órgano jurisdiccional internacional.</w:t>
        <w:br/>
        <w:br/>
        <w:t>Si bien la Comisión Interamericana tiene amplias facultades como  órgano  de</w:t>
        <w:br/>
        <w:t>promoción y protección de los derechos humanos, de la  Convención  Americana</w:t>
        <w:br/>
        <w:t>se desprende, con toda claridad, que  el  procedimiento  iniciado  en  casos</w:t>
        <w:br/>
        <w:t>contenciosos ante la Comisión que culmine en  una  demanda  ante  la  Corte,</w:t>
        <w:br/>
        <w:t>debe referirse precisamente a los derechos protegidos por  dicha  Convención</w:t>
        <w:br/>
        <w:t>(cfr. artículos 33, 44, 48.1 y 48).  Se exceptúan de esta regla,  los  casos</w:t>
        <w:br/>
        <w:t>en que otra Convención, ratificada por el Estado, confiere competencia a  la</w:t>
        <w:br/>
        <w:t>Comisión o a la Corte Interamericanas para conocer  de  violaciones  de  los</w:t>
        <w:br/>
        <w:t>derechos protegidos por dicha Convención, como, por ejemplo,  la  Convención</w:t>
        <w:br/>
        <w:t>Interamericana sobre Desaparición Forzada de Personas[3].</w:t>
        <w:br/>
        <w:br/>
        <w:t>Por  ello,  la  Corte  decide  admitir  la  segunda   excepción   preliminar</w:t>
        <w:br/>
        <w:t>interpuesta por el Estado.</w:t>
        <w:br/>
        <w:br/>
        <w:br/>
        <w:t xml:space="preserve">                                      X</w:t>
        <w:br/>
        <w:t xml:space="preserve">                 cuarta Excepción preliminar: no agotamiento</w:t>
        <w:br/>
        <w:t xml:space="preserve">                          de los recursos internos</w:t>
        <w:br/>
        <w:br/>
        <w:t>35.   Colombia afirmó en su escrito de oposición  de  excepciones  que  esta</w:t>
        <w:br/>
        <w:t>Corte carece de competencia para conocer en este asunto  porque  no  se  han</w:t>
        <w:br/>
        <w:t>agotado aún los recursos de jurisdicción interna.  El  Estado  presentó  una</w:t>
        <w:br/>
        <w:t>relación de las actuaciones procesales que  tuvieron  lugar  entre  enero  y</w:t>
        <w:br/>
        <w:t>agosto  de  1998  que,  a  su  juicio,  “modifica[ban]  sustancialmente”  la</w:t>
        <w:br/>
        <w:t>situación.  Colombia sostuvo que la  gestión  efectuada  por  la  Unidad  de</w:t>
        <w:br/>
        <w:t>Derechos  Humanos  de  la  Fiscalía  General  de  la  Nación  demuestra  “la</w:t>
        <w:br/>
        <w:t>existencia de un recurso adecuado, idóneo y efectivo en el  presente  caso”.</w:t>
        <w:br/>
        <w:t>En virtud de lo expuesto, el Estado solicitó a la Corte  que  se  abstuviera</w:t>
        <w:br/>
        <w:t>de seguir conociendo en esta causa.</w:t>
        <w:br/>
        <w:br/>
        <w:t>La Comisión expresó en su contestación escrita  que  oportunamente  presentó</w:t>
        <w:br/>
        <w:t>esta demanda fundándose en el  artículo  46.2  de  la  Convención  Americana</w:t>
        <w:br/>
        <w:t>debido a que, cuando aprobó el Informe No. 10/98,  habían  pasado  ya  siete</w:t>
        <w:br/>
        <w:t>años desde la producción de los hechos y la causa se encontraba  aún  en  su</w:t>
        <w:br/>
        <w:t>fase preliminar en el  ámbito  de  la  justicia  penal  militar.   La  parte</w:t>
        <w:br/>
        <w:t>demandante rechazó la idea de que el cambio  de  jurisdicción  en  que  esta</w:t>
        <w:br/>
        <w:t>causa tramita constituye una circunstancia que modifique sustancialmente  la</w:t>
        <w:br/>
        <w:t>situación.  La Comisión sostuvo que los recursos  internos  interpuestos  no</w:t>
        <w:br/>
        <w:t>han sido adecuados ni efectivos en el presente caso.</w:t>
        <w:br/>
        <w:br/>
        <w:t>36.   El tema del no agotamiento de los recursos  internos  fue  considerado</w:t>
        <w:br/>
        <w:t>más detenidamente en la audiencia pública celebrada ante la Corte el  31  de</w:t>
        <w:br/>
        <w:t>mayo de 1999.</w:t>
        <w:br/>
        <w:br/>
        <w:t>Colombia hizo énfasis en el carácter subsidiario que tiene  la  jurisdicción</w:t>
        <w:br/>
        <w:t>internacional de los derechos humanos frente a la jurisdicción interna.   En</w:t>
        <w:br/>
        <w:t>el  presente  caso,  el  Estado   sostuvo   que   la   acción   contencioso-</w:t>
        <w:br/>
        <w:t>administrativa se agotó y fue idónea, en tanto que la acción  penal  aún  no</w:t>
        <w:br/>
        <w:t>estaba agotada y va “evolucionando de una manera frente a  las  dificultades</w:t>
        <w:br/>
        <w:t>probatorias que  se  han  tenido”.   El  Estado  solicitó  a  la  Corte  que</w:t>
        <w:br/>
        <w:t>declarara no admisible la demanda “por cuanto aún existen recursos  internos</w:t>
        <w:br/>
        <w:t>que no se han agotado”.</w:t>
        <w:br/>
        <w:br/>
        <w:t>La Comisión recordó que los hechos  que  constituyeron  el  origen  de  esta</w:t>
        <w:br/>
        <w:t>causa ocurrieron el 23 de enero de  1991  y  que  hasta  marzo  de  1998  el</w:t>
        <w:br/>
        <w:t>proceso tramitó ante la justicia penal militar sin que se lograra  completar</w:t>
        <w:br/>
        <w:t>la instrucción.  En comparación con esta causa, manifestó que  en  abril  de</w:t>
        <w:br/>
        <w:t>1993 el Tribunal contencioso-administrativo del Departamento  de  Nariño  ya</w:t>
        <w:br/>
        <w:t>había dictado sentencia sobre la  responsabilidad  de  los  miembros  de  la</w:t>
        <w:br/>
        <w:t>Policía Nacional, la que fue  confirmada  por  el  Consejo  de  Estado.   La</w:t>
        <w:br/>
        <w:t>Comisión  mencionó  igualmente  que  el  proceso  en  que  se  absolvió   de</w:t>
        <w:br/>
        <w:t>responsabilidad disciplinaria a los policías  participantes  en  los  hechos</w:t>
        <w:br/>
        <w:t>duró sólo una semana.   La  Comisión  consideró  luego  la  conducta  de  la</w:t>
        <w:br/>
        <w:t>justicia penal militar en Colombia y dijo  que  “no  reúne  las  condiciones</w:t>
        <w:br/>
        <w:t>para constituir un  tribunal  independiente  e  imparcial,  conforme  a  los</w:t>
        <w:br/>
        <w:t>requerimientos  de  la  ley,  de  las  normas  internacionales  de  derechos</w:t>
        <w:br/>
        <w:t>humanos”.  Se refirió finalmente a los alcances  que  debería  tener  en  el</w:t>
        <w:br/>
        <w:t>presente caso la acción contencioso-administrativa.</w:t>
        <w:br/>
        <w:br/>
        <w:t>37.   Una de las condiciones requeridas por  la  Convención  Americana  para</w:t>
        <w:br/>
        <w:t>que una petición o comunicación sea admitida por  la  Comisión  es  que  “se</w:t>
        <w:br/>
        <w:t>hayan interpuesto y agotado los recursos de jurisdicción  interna,  conforme</w:t>
        <w:br/>
        <w:t>a  los  principios  del  Derecho  internacional  generalmente   reconocidos”</w:t>
        <w:br/>
        <w:t>(artículo 46.1.a).  Esta regla admite algunas  excepciones,  entre  las  que</w:t>
        <w:br/>
        <w:t>figura el “retardo injustificado” en la decisión (artículo 46.2.c).</w:t>
        <w:br/>
        <w:br/>
        <w:t>38.   En el presente caso, las  partes  coinciden  en  que  los  hechos  que</w:t>
        <w:br/>
        <w:t>originaron esta causa tuvieron lugar en enero de  1991.   El  Estado  no  ha</w:t>
        <w:br/>
        <w:t>dado  ninguna  explicación  satisfactoria  acerca   del   trámite   procesal</w:t>
        <w:br/>
        <w:t>desarrollado entre esa fecha y el inicio de 1998.  El  silencio  del  Estado</w:t>
        <w:br/>
        <w:t>debe ser apreciado tomando en cuenta que durante los siete primeros años  el</w:t>
        <w:br/>
        <w:t>trámite procesal no pasó de la etapa indagatoria.   Colombia  ha  mencionado</w:t>
        <w:br/>
        <w:t>los avances que ocurrieron desde que la Unidad de  Derechos  Humanos  de  la</w:t>
        <w:br/>
        <w:t>Fiscalía General de la Nación tomó a su cargo esta causa.  Pero el  tema  en</w:t>
        <w:br/>
        <w:t>cuestión no es lo que sucedió en 1998, sino en los  primeros  siete  años  a</w:t>
        <w:br/>
        <w:t>partir de los hechos.  Este  tiempo  es  más  que  suficiente  para  que  un</w:t>
        <w:br/>
        <w:t>tribunal dicte sentencia.  Al considerarlo así, la Corte no se aparta de  su</w:t>
        <w:br/>
        <w:t>jurisprudencia anterior.  En el caso Genie Lacayo, el  Tribunal  estimó  que</w:t>
        <w:br/>
        <w:t>un período de cinco años transcurrido desde el momento del auto de  apertura</w:t>
        <w:br/>
        <w:t>del proceso rebasaba los límites de la razonabilidad[4].  Este  criterio  ha</w:t>
        <w:br/>
        <w:t>sido reiterado  por  la  Corte  en  otras  ocasiones[5].  El  Estado  no  ha</w:t>
        <w:br/>
        <w:t>proporcionado ninguna explicación convincente para justificar la  demora  en</w:t>
        <w:br/>
        <w:t>el presente caso.</w:t>
        <w:br/>
        <w:br/>
        <w:t>39.   En consecuencia, la Corte desestima esta excepción.</w:t>
        <w:br/>
        <w:br/>
        <w:br/>
        <w:br/>
        <w:t xml:space="preserve">                                     XI</w:t>
        <w:br/>
        <w:t xml:space="preserve">  quinta Excepción preliminar: falta de competencia de la corte para actuar</w:t>
        <w:br/>
        <w:t xml:space="preserve">                        como tribunal de instrucciÓn</w:t>
        <w:br/>
        <w:br/>
        <w:t>40.   Colombia presentó  también,  a  título  de  excepción  preliminar,  el</w:t>
        <w:br/>
        <w:t>argumento de que esta Corte carece de competencia para actuar como  tribunal</w:t>
        <w:br/>
        <w:t>de instrucción de hechos particulares.  El Estado señaló, en su  escrito  de</w:t>
        <w:br/>
        <w:t>interposición de excepciones, que la Comisión solicitó que se  establecieran</w:t>
        <w:br/>
        <w:t>las circunstancias del fallecimiento de una séptima  persona,  presuntamente</w:t>
        <w:br/>
        <w:t>muerta en combate, a fin de determinar si se había violado el derecho  a  la</w:t>
        <w:br/>
        <w:t>vida.  Colombia sostuvo que esta solicitud va más allá de la competencia  de</w:t>
        <w:br/>
        <w:t>la Corte pues ésta no puede transformarse en un tribunal  de  instrucción  o</w:t>
        <w:br/>
        <w:t>en un cuerpo técnico de la policía para investigar la muerte de una  persona</w:t>
        <w:br/>
        <w:t>porque su función consiste sólo en “conocer de los asuntos relacionados  con</w:t>
        <w:br/>
        <w:t>el cumplimiento de los compromisos contraídos por los Estados Partes  en  la</w:t>
        <w:br/>
        <w:t>Convención Americana”.  El Estado reiteró que esta Corte  no  es  competente</w:t>
        <w:br/>
        <w:t>para el análisis de conductas individuales y que su función está limitada  a</w:t>
        <w:br/>
        <w:t>ser “Juez de Estados” y no “Juez de particulares”.</w:t>
        <w:br/>
        <w:br/>
        <w:t>En la audiencia, Colombia insistió en la misma argumentación. Afirmó que  no</w:t>
        <w:br/>
        <w:t>pretende limitar la facultad probatoria que posee la  Corte,  pero  que  las</w:t>
        <w:br/>
        <w:t>pruebas deben tender sólo a probar la  responsabilidad  de  un  Estado.   En</w:t>
        <w:br/>
        <w:t>este sentido, expresó que “la competencia de los órganos  de  la  Convención</w:t>
        <w:br/>
        <w:t>Americana  es  para   establecer   responsabilidades   de   Estados   y   no</w:t>
        <w:br/>
        <w:t>responsabilidades individuales”.</w:t>
        <w:br/>
        <w:br/>
        <w:t>41.    En  el  presente  caso,  la  Comisión  consideró  que  el  Estado  es</w:t>
        <w:br/>
        <w:t>internacionalmente responsable de la muerte de una séptima persona y  ofrece</w:t>
        <w:br/>
        <w:t>las  pruebas  para  demostrarlo.   No  se  trata  aquí  de   determinar   la</w:t>
        <w:br/>
        <w:t>responsabilidad penal de la persona que dio muerte a  este  individuo,  sino</w:t>
        <w:br/>
        <w:t>la responsabilidad internacional del Estado, pues la  Comisión  sostuvo  que</w:t>
        <w:br/>
        <w:t>dicho individuo fue privado de la vida por un agente del  Estado,  esto  es,</w:t>
        <w:br/>
        <w:t>por alguien cuya conducta resulta imputable  a  Colombia.   Para  ello  debe</w:t>
        <w:br/>
        <w:t>averiguar en qué circunstancias murió la séptima víctima y si en  ese  hecho</w:t>
        <w:br/>
        <w:t>participó un órgano del Estado colombiano.   Al  hacerlo,  la  Corte  no  se</w:t>
        <w:br/>
        <w:t>erige en juez de individuos, sino de Estados.</w:t>
        <w:br/>
        <w:br/>
        <w:t>42.    Por  las  razones  expuestas,  la  excepción  preliminar   debe   ser</w:t>
        <w:br/>
        <w:t>desestimada.</w:t>
        <w:br/>
        <w:br/>
        <w:br/>
        <w:t xml:space="preserve">                                     XII</w:t>
        <w:br/>
        <w:br/>
        <w:t>43.   Por tanto,</w:t>
        <w:br/>
        <w:br/>
        <w:t xml:space="preserve">      la corte,</w:t>
        <w:br/>
        <w:br/>
        <w:t xml:space="preserve">      decide:</w:t>
        <w:br/>
        <w:br/>
        <w:t xml:space="preserve">      por unanimidad</w:t>
        <w:br/>
        <w:br/>
        <w:t xml:space="preserve">      1.    Desestimar la primera, cuarta y quinta excepciones  preliminares</w:t>
        <w:br/>
        <w:t xml:space="preserve">           interpuestas por el Estado de Colombia.</w:t>
        <w:br/>
        <w:br/>
        <w:br/>
        <w:t xml:space="preserve">      por unanimidad</w:t>
        <w:br/>
        <w:br/>
        <w:br/>
        <w:t xml:space="preserve">      2.    Admitir la  tercera  excepción  preliminar  interpuesta  por  el</w:t>
        <w:br/>
        <w:t xml:space="preserve">           Estado de Colombia.</w:t>
        <w:br/>
        <w:br/>
        <w:br/>
        <w:t xml:space="preserve">      por seis votos contra uno</w:t>
        <w:br/>
        <w:br/>
        <w:br/>
        <w:t xml:space="preserve">      3.    Admitir la  segunda  excepción  preliminar  interpuesta  por  el</w:t>
        <w:br/>
        <w:t xml:space="preserve">           Estado de Colombia.</w:t>
        <w:br/>
        <w:br/>
        <w:br/>
        <w:t xml:space="preserve">            Disiente el Juez Jackman</w:t>
        <w:br/>
        <w:br/>
        <w:br/>
        <w:t xml:space="preserve">      por unanimidad</w:t>
        <w:br/>
        <w:br/>
        <w:br/>
        <w:t xml:space="preserve">      4.    Continuar con el conocimiento del presente caso.</w:t>
        <w:br/>
        <w:br/>
        <w:br/>
        <w:br/>
        <w:br/>
        <w:t>Los Jueces Cançado Trindade y García Ramírez hicieron  conocer  a  la  Corte</w:t>
        <w:br/>
        <w:t>sus respectivos Votos Razonados, y el  Juez  Jackman  su  Voto  Parcialmente</w:t>
        <w:br/>
        <w:t>Disidente, los cuales acompañan esta sentencia.</w:t>
        <w:br/>
        <w:br/>
        <w:t>Redactada en castellano y en inglés, haciendo fe el texto en castellano,  en</w:t>
        <w:br/>
        <w:t>San José, Costa Rica, el día 4 de febrero de 2000.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t xml:space="preserve">      Oliver Jackman   Alirio Abreu Burelli</w:t>
        <w:br/>
        <w:br/>
        <w:t>Sergio García Ramírez  Julio A. Barberis</w:t>
        <w:br/>
        <w:t xml:space="preserve">      Juez ad hoc</w:t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VOTO RAZONADO DEL JUEZ A. A. CANÇADO TRINDADE</w:t>
        <w:br/>
        <w:br/>
        <w:br/>
        <w:t>1.    He concurrido con mi Voto a la adopción de la  presente  Sentencia  de</w:t>
        <w:br/>
        <w:t>la Corte Interamericana de Derechos Humanos sobre  Excepciones  Preliminares</w:t>
        <w:br/>
        <w:t>en el caso Las Palmeras relativo a Colombia, mediante la cual  la  Corte  ha</w:t>
        <w:br/>
        <w:t>desestimado la primera, cuarta y  quinta  excepciones,  y  ha  sostenido  la</w:t>
        <w:br/>
        <w:t>tercera y  segunda  excepciones  preliminares  interpuestas  por  el  Estado</w:t>
        <w:br/>
        <w:t>demandado.  Entiendo  que  la  Corte  ha  llegado  a   una   decisión   bien</w:t>
        <w:br/>
        <w:t>fundamentada y  en  plena  conformidad  con  las  normas  relevantes  de  la</w:t>
        <w:br/>
        <w:t>Convención Americana sobre  Derechos  Humanos.  Como,  además,  los  debates</w:t>
        <w:br/>
        <w:t>sobre el caso  en  audiencia  pública  ante  la  Corte  han  trascendido  la</w:t>
        <w:br/>
        <w:t>cuestión de la aplicación de dichas normas y han planteado  puntos  teóricos</w:t>
        <w:br/>
        <w:t>de epistemología jurídica de gran relevancia, me veo  en  la  obligación  de</w:t>
        <w:br/>
        <w:t>dejar constancia de  mis  reflexiones  personales  al  respecto,  orientadas</w:t>
        <w:br/>
        <w:t>hacia el desarrollo progresivo del Derecho  Internacional  de  los  Derechos</w:t>
        <w:br/>
        <w:t>Humanos.</w:t>
        <w:br/>
        <w:br/>
        <w:t>2.    En la audiencia pública del 31 de mayo de 1999 ante la Corte sobre  el</w:t>
        <w:br/>
        <w:t>presente caso Las Palmeras, la Comisión Interamericana de Derechos  Humanos,</w:t>
        <w:br/>
        <w:t>al  buscar  sostener  una  interpretación  y  aplicación  coextensivas   del</w:t>
        <w:br/>
        <w:t>artículo 4 de la Convención Americana sobre Derechos Humanos y del  artículo</w:t>
        <w:br/>
        <w:t>3 común a las cuatro Convenciones de  Ginebra  sobre  Derecho  Internacional</w:t>
        <w:br/>
        <w:t>Humanitario  (de  1949),  relacionó  este  punto  con  la  cuestión  de   la</w:t>
        <w:br/>
        <w:t>existencia y observancia de las obligaciones erga  omnes  de  protección[6].</w:t>
        <w:br/>
        <w:t>Este es un tema que me es particularmente grato, pues hace ya  algún  tiempo</w:t>
        <w:br/>
        <w:t>vengo sosteniendo, en el seno  de  la  Corte,  la  apremiante  necesidad  de</w:t>
        <w:br/>
        <w:t>promover el desarrollo doctrinal y jurisprudencial del régimen  jurídico  de</w:t>
        <w:br/>
        <w:t>las obligaciones erga omnes de protección de los  derechos  del  ser  humano</w:t>
        <w:br/>
        <w:t>con miras a asegurar su aplicación en la práctica, lo que habrá de  fomentar</w:t>
        <w:br/>
        <w:t>en mucho la evolución futura  del  Derecho  Internacional  de  los  Derechos</w:t>
        <w:br/>
        <w:t>Humanos[7].</w:t>
        <w:br/>
        <w:t>3.    Los alegatos de la Comisión Interamericana en la mencionada  audiencia</w:t>
        <w:br/>
        <w:t>pública ante la Corte de  31.05.1999  en  el  presente  caso  Las  Palmeras,</w:t>
        <w:br/>
        <w:t>relativo a Colombia, corresponden, así, a las inquietudes que ya expresé  en</w:t>
        <w:br/>
        <w:t>la Corte - sobre todo en  el  caso  Blake  versus  Guatemala  (1998-1999)  -</w:t>
        <w:br/>
        <w:t>acerca de la necesidad de mayor atención  a  esta  temática[8].  En  aquella</w:t>
        <w:br/>
        <w:t>memorable audiencia en el presente caso Las Palmeras, no  hubo  discrepancia</w:t>
        <w:br/>
        <w:t>entre la Comisión y el Estado  demandado  -  en  notable  demostración,  por</w:t>
        <w:br/>
        <w:t>parte de ambos, de cooperación  y  lealtad  procesales  -  en  cuanto  a  la</w:t>
        <w:br/>
        <w:t>posibilidad  de  tomar  en  cuenta  el  artículo  3  común  a   las   cuatro</w:t>
        <w:br/>
        <w:t>Convenciones  de  Ginebra  sobre  Derecho  Internacional  Humanitario   como</w:t>
        <w:br/>
        <w:t>elemento  de  interpretación  para  la  aplicación  del  artículo  4  de  la</w:t>
        <w:br/>
        <w:t>Convención Americana sobre Derechos Humanos.</w:t>
        <w:br/>
        <w:br/>
        <w:t>4.    Pero hasta ahí fue la concordancia,  sobre  el  particular,  entre  la</w:t>
        <w:br/>
        <w:t>Comisión y  el  Estado  en  la  referida  audiencia  pública.  En  realidad,</w:t>
        <w:br/>
        <w:t>difícilmente podría haber sido de otra  forma,  por  cuanto  la  interacción</w:t>
        <w:br/>
        <w:t>interpretativa entre distintos instrumentos  internacionales  de  protección</w:t>
        <w:br/>
        <w:t>internacional de los derechos de la persona humana  es  convalidada  por  el</w:t>
        <w:br/>
        <w:t>artículo  29(b)  de  la  Convención  Americana  (referente   a   normas   de</w:t>
        <w:br/>
        <w:t>interpretación).   En   efecto,   tal   ejercicio   de   interpretación   es</w:t>
        <w:br/>
        <w:t>perfectamente viable, y conducente a la afirmación del  derecho  a  "no  ser</w:t>
        <w:br/>
        <w:t>privado de  la  vida  arbitrariamente"  (un  derecho  inderogable,  bajo  el</w:t>
        <w:br/>
        <w:t>artículo 4(1) de la Convención Americana)  en  cualesquiera  circunstancias,</w:t>
        <w:br/>
        <w:t>tanto en tiempo de paz como de conflicto  armado  no-internacional  (en  los</w:t>
        <w:br/>
        <w:t>términos del artículo 3 común a las Convenciones de Ginebra de 1949).</w:t>
        <w:br/>
        <w:br/>
        <w:t>5.    Hay, sin  embargo,  una  distancia  entre  el  referido  ejercicio  de</w:t>
        <w:br/>
        <w:t>interpretación, - incluida  aquí  la  interacción  interpretativa,  -  y  la</w:t>
        <w:br/>
        <w:t>aplicación de la normativa internacional de protección de  los  derechos  de</w:t>
        <w:br/>
        <w:t>la persona humana, estando la Corte habilitada a interpretar  y  aplicar  la</w:t>
        <w:br/>
        <w:t>Convención Americana sobre Derechos Humanos (Estatuto de la Corte,  artículo</w:t>
        <w:br/>
        <w:t>1[9]). Al caracterizar la segunda y tercera excepciones interpuestas por  el</w:t>
        <w:br/>
        <w:t>Estado demandado en el presente caso más bien como excepciones  preliminares</w:t>
        <w:br/>
        <w:t>propiamente dichas (antes de competencia que  de  admisibilidad),  que  como</w:t>
        <w:br/>
        <w:t>defensas en cuanto al fondo, procedió la Corte a  decidirlas,  a  mi  juicio</w:t>
        <w:br/>
        <w:t>correctamente,  in  limine  litis[10],  -  por  un   imperativo   tanto   de</w:t>
        <w:br/>
        <w:t>estabilidad  jurídica  como  de  "prudencia  y  economía   de   la   función</w:t>
        <w:br/>
        <w:t>judicial"[11].</w:t>
        <w:br/>
        <w:br/>
        <w:t>6.     En  el  plano  sustantivo,  las  consideraciones  vertidas  sobre  la</w:t>
        <w:br/>
        <w:t>protección  del  derecho  fundamental  a  la  vida   nos   hacen   ingresar,</w:t>
        <w:br/>
        <w:t>inequívocamente, en el dominio del jus cogens[12], con las  correspondientes</w:t>
        <w:br/>
        <w:t>obligaciones erga omnes de protección[13], a las cuales se  hizo  referencia</w:t>
        <w:br/>
        <w:t>en la audiencia pública.  A propósito, a pesar de compartir la  preocupación</w:t>
        <w:br/>
        <w:t>externada por la Comisión Interamericana en la  referida  audiencia  pública</w:t>
        <w:br/>
        <w:t>del 31.05.1999 ante esta Corte, mi línea  de  razonamiento  al  respecto  es</w:t>
        <w:br/>
        <w:t>distinta.</w:t>
        <w:br/>
        <w:br/>
        <w:t>7.    Al sostener, como lo vengo  haciendo,  hace  años,  las  convergencias</w:t>
        <w:br/>
        <w:t>entre el corpus juris de los derechos humanos y  del  Derecho  Internacional</w:t>
        <w:br/>
        <w:t>Humanitario  (en  los  planos  normativo,  hermenéutico  y   operativo)[14],</w:t>
        <w:br/>
        <w:t>pienso, sin embargo, que el propósito concreto y específico  del  desarrollo</w:t>
        <w:br/>
        <w:t>de  las  obligaciones  erga  omnes  de  protección  (cuya  necesidad   vengo</w:t>
        <w:br/>
        <w:t>igualmente sosteniendo hace tiempo) puede ser mejor servido,  más  bien  por</w:t>
        <w:br/>
        <w:t>la identificación y cumplimiento de la obligación general  de  garantía  del</w:t>
        <w:br/>
        <w:t>ejercicio de los derechos de  la  persona  humana,  común  a  la  Convención</w:t>
        <w:br/>
        <w:t>Americana y las Convenciones de Ginebra (infra),  que  por  una  correlación</w:t>
        <w:br/>
        <w:t>entre normas sustantivas - relativas a derechos protegidos, como el  derecho</w:t>
        <w:br/>
        <w:t>a la vida - de la Convención Americana y las Convenciones de Ginebra.</w:t>
        <w:br/>
        <w:br/>
        <w:t>8.    Aquella  obligación  general  se  encuentra  consagrada  tanto  en  el</w:t>
        <w:br/>
        <w:t>artículo 1.1 de la Convención  Americana  como  en  el  artículo  1  de  las</w:t>
        <w:br/>
        <w:t>Convenciones de Ginebra y el artículo 1 del Protocolo Adicional I (de  1977)</w:t>
        <w:br/>
        <w:t>a las Convenciones de Ginebra. Su tenor es el mismo: trátase de  respetar  y</w:t>
        <w:br/>
        <w:t>hacer respetar las normas de protección, en  todas  las  circunstancias.  Es</w:t>
        <w:br/>
        <w:t>este, a mi modo de ver, el denominador común (que curiosamente parece  haber</w:t>
        <w:br/>
        <w:t>pasado desapercibido en el alegato  de  la  Comisión)  entre  la  Convención</w:t>
        <w:br/>
        <w:t>Americana  y  las  Convenciones  de  Ginebra,  capaz  de  conducirnos  a  la</w:t>
        <w:br/>
        <w:t>consolidación de las obligaciones  erga  omnes  de  protección  del  derecho</w:t>
        <w:br/>
        <w:t>fundamental a la vida, en cualesquiera circunstancias, tanto  en  tiempo  de</w:t>
        <w:br/>
        <w:t>paz como de conflicto armado interno. Es sorprendente que  ni  la  doctrina,</w:t>
        <w:br/>
        <w:t>ni  la  jurisprudencia,  hayan  desarrollado   este   punto   suficiente   y</w:t>
        <w:br/>
        <w:t>satisfactoriamente hasta la fecha; ¿hasta cuándo  tendremos  que  esperar  a</w:t>
        <w:br/>
        <w:t>que despierten de una aparente y prolongada inercia o letargia mental?</w:t>
        <w:br/>
        <w:br/>
        <w:t>9.    Ya es tiempo, en pleno año 2000, de desarrollar con determinación  las</w:t>
        <w:br/>
        <w:t>primeras formulaciones jurisprudenciales sobre la materia, avanzadas por  la</w:t>
        <w:br/>
        <w:t>Corte  Internacional   de   Justicia   hace   precisamente   tres   décadas,</w:t>
        <w:br/>
        <w:t>particularmente en el cas célèbre de la Barcelona Traction  (Bélgica  versus</w:t>
        <w:br/>
        <w:t>España,  1970)[15].  Ya  es  tiempo,  en  este  umbral  del  siglo  XXI,  de</w:t>
        <w:br/>
        <w:t>desarrollar sistemáticamente el  contenido,  el  alcance  y  los  efectos  o</w:t>
        <w:br/>
        <w:t>consecuencias jurídicas de las obligaciones erga omnes de protección  en  el</w:t>
        <w:br/>
        <w:t>ámbito del Derecho Internacional de los Derechos Humanos, teniendo  presente</w:t>
        <w:br/>
        <w:t>el gran  potencial  de  aplicación  de  la  noción  de  garantía  colectiva,</w:t>
        <w:br/>
        <w:t>subyacente a todos los tratados  de  derechos  humanos,  y  responsable  por</w:t>
        <w:br/>
        <w:t>algunos avances ya alcanzados en este dominio.</w:t>
        <w:br/>
        <w:br/>
        <w:t>10.   El concepto de obligaciones erga omnes ya ha marcado presencia  en  la</w:t>
        <w:br/>
        <w:t>jurisprudencia internacional[16], como lo ilustran, en lo  que  concierne  a</w:t>
        <w:br/>
        <w:t>la Corte Internacional de Justicia,  sus  Sentencias  en  los  casos  de  la</w:t>
        <w:br/>
        <w:t>Barcelona Traction (1970), de los Ensayos  Nucleares  (1974),  de  Nicaragua</w:t>
        <w:br/>
        <w:t>versus Estados Unidos (1986),  del  Timor  Oriental  (1995),  y  de  Bosnia-</w:t>
        <w:br/>
        <w:t>Herzegovina versus Yugoslavia (1996), y los argumentos de las partes en  los</w:t>
        <w:br/>
        <w:t>casos del Camerún Septentrional (1963) y  de  África  Sudoccidental  (1966),</w:t>
        <w:br/>
        <w:t>así como su  Opinión  Consultiva  sobre  Namibia  (1971)  y  los  argumentos</w:t>
        <w:br/>
        <w:t>(escritos y orales) atinentes a las  dos  Opiniones  Consultivas  sobre  las</w:t>
        <w:br/>
        <w:t>Armas Nucleares (1994-1995)[17]. Sin embargo, a  pesar  de  las  referencias</w:t>
        <w:br/>
        <w:t>distintas a las obligaciones erga omnes en la  jurisprudencia  de  la  Corte</w:t>
        <w:br/>
        <w:t>Internacional  de  Justicia,  esta  última  no  ha  extraído   todavía   las</w:t>
        <w:br/>
        <w:t>consecuencias de la afirmación de la existencia de  tales  obligaciones,  ni</w:t>
        <w:br/>
        <w:t>de sus violaciones, y tampoco ha definido su régimen jurídico[18].</w:t>
        <w:br/>
        <w:br/>
        <w:t>11.    Pero  si,  por  un  lado,  no  hemos  todavía  logrado  alcanzar   la</w:t>
        <w:br/>
        <w:t>oponibilidad de una obligación de protección a  la  comunidad  internacional</w:t>
        <w:br/>
        <w:t>como un todo, por  otro  lado  el  Derecho  Internacional  de  los  Derechos</w:t>
        <w:br/>
        <w:t>Humanos hoy nos proporciona  los  elementos  para  la  consolidación  de  la</w:t>
        <w:br/>
        <w:t>oponibilidad de obligaciones de protección a todos  los  Estados  Partes  en</w:t>
        <w:br/>
        <w:t>tratados de derechos humanos  (obligaciones  erga  omnes  partes[19]  -  cf.</w:t>
        <w:br/>
        <w:t>infra). Así, diversos  tratados,  tanto  de  derechos  humanos[20]  como  de</w:t>
        <w:br/>
        <w:t>Derecho Internacional Humanitario[21], disponen sobre la obligación  general</w:t>
        <w:br/>
        <w:t>de los Estados Partes de garantizar el ejercicio de los  derechos  en  ellos</w:t>
        <w:br/>
        <w:t>consagrados y su observancia.</w:t>
        <w:br/>
        <w:br/>
        <w:t>12.   Como correctamente señaló el Institut de Droit International,  en  una</w:t>
        <w:br/>
        <w:t>resolución adoptada en la sesión de Santiago  de  Compostela  de  1989,  tal</w:t>
        <w:br/>
        <w:t>obligación es aplicable erga omnes, por cuanto cada Estado tiene un  interés</w:t>
        <w:br/>
        <w:t>legal en la salvaguardia de los derechos humanos (artículo  1)[22].  Así,  a</w:t>
        <w:br/>
        <w:t>la par de la obligación  de  todos  los  Estados  Partes  en  la  Convención</w:t>
        <w:br/>
        <w:t>Americana de proteger los derechos  en  ésta  consagrados  y  garantizar  su</w:t>
        <w:br/>
        <w:t>libre y  pleno  ejercicio  a  todos  los  individuos  bajo  sus  respectivas</w:t>
        <w:br/>
        <w:t>jurisdicciones, existe la obligación de  los  Estados  Partes  inter  se  de</w:t>
        <w:br/>
        <w:t>asegurar la integridad y efectividad de la Convención:  este  deber  general</w:t>
        <w:br/>
        <w:t>de protección (la garantía colectiva) es de interés directo de  cada  Estado</w:t>
        <w:br/>
        <w:t>Parte, y de todos ellos en conjunto (obligación erga omnes partes).  Y  esto</w:t>
        <w:br/>
        <w:t>es válido en tiempos tanto de paz[23] como de conflicto armado[24].</w:t>
        <w:br/>
        <w:br/>
        <w:t>13.   Algunos tratados  de  derechos  humanos  establecen  un  mecanismo  de</w:t>
        <w:br/>
        <w:t>peticiones o comunicaciones que comprenden,  a  la  par  de  las  peticiones</w:t>
        <w:br/>
        <w:t>individuales, también  las  interestatales;  estas  últimas  constituyen  un</w:t>
        <w:br/>
        <w:t>mecanismo par excellence de acción de garantía colectiva. El  hecho  de  que</w:t>
        <w:br/>
        <w:t>no hayan sido usadas con frecuencia[25] (jamás en el sistema  interamericano</w:t>
        <w:br/>
        <w:t>de protección, hasta la  fecha)  sugiere  que  los  Estados  Partes  no  han</w:t>
        <w:br/>
        <w:t>revelado todavía su determinación de construir  un  verdadero  ordre  public</w:t>
        <w:br/>
        <w:t>internacional basado en el respeto por los derechos humanos. Pero podrían  -</w:t>
        <w:br/>
        <w:t>y deberían - hacerlo en el futuro, con su creciente  concientización  de  la</w:t>
        <w:br/>
        <w:t>necesidad  de  lograr  mayor   cohesión   e   institucionalización   en   el</w:t>
        <w:br/>
        <w:t>ordenamiento jurídico internacional, sobre todo en el  presente  dominio  de</w:t>
        <w:br/>
        <w:t>protección.</w:t>
        <w:br/>
        <w:br/>
        <w:t>14.    De  todos  modos,  difícilmente  podría  haber  mejores  ejemplos  de</w:t>
        <w:br/>
        <w:t>mecanismo para aplicación de las obligaciones erga omnes de  protección  (al</w:t>
        <w:br/>
        <w:t>menos en las relaciones de los Estados Partes inter se) que los  métodos  de</w:t>
        <w:br/>
        <w:t>supervisión previstos en los propios tratados de derechos humanos,  para  el</w:t>
        <w:br/>
        <w:t>ejercicio de la garantía colectiva de los derechos protegidos[26]. En  otras</w:t>
        <w:br/>
        <w:t>palabras, los mecanismos para aplicación  de  las  obligaciones  erga  omnes</w:t>
        <w:br/>
        <w:t>partes de protección ya existen, y lo que urge  es  desarrollar  su  régimen</w:t>
        <w:br/>
        <w:t>jurídico,  con  atención  especial  a  las  obligaciones  positivas  y   las</w:t>
        <w:br/>
        <w:t>consecuencias jurídicas de las violaciones de tales obligaciones.</w:t>
        <w:br/>
        <w:br/>
        <w:t>15.   En fin, la prohibición absoluta  de  violaciones  graves  de  derechos</w:t>
        <w:br/>
        <w:t>humanos fundamentales - empezando por el derecho fundamental a la vida -  se</w:t>
        <w:br/>
        <w:t>extiende en efecto, en mi juicio, más allá  del  derecho  de  los  tratados,</w:t>
        <w:br/>
        <w:t>incorporada, como se  encuentra,  igualmente  en  el  derecho  internacional</w:t>
        <w:br/>
        <w:t>consuetudinario contemporáneo. Tal prohibición da realce a las  obligaciones</w:t>
        <w:br/>
        <w:t>erga omnes, debidas  a  la  comunidad  internacional  como  un  todo.  Estas</w:t>
        <w:br/>
        <w:t>últimas  trascienden  claramente  el  consentimiento   individual   de   los</w:t>
        <w:br/>
        <w:t>Estados[27],   sepultando   en   definitiva   la   concepción   positivista-</w:t>
        <w:br/>
        <w:t>voluntarista del Derecho Internacional, y anunciando el advenimiento  de  un</w:t>
        <w:br/>
        <w:t>nuevo ordenamiento jurídico internacional comprometido  con  la  prevalencia</w:t>
        <w:br/>
        <w:t>de valores comunes superiores, y con imperativos morales  y  jurídicos,  tal</w:t>
        <w:br/>
        <w:t>como el de la protección del ser humano en cualesquiera  circunstancias,  en</w:t>
        <w:br/>
        <w:t>tiempos tanto de paz como de conflicto armado.</w:t>
        <w:br/>
        <w:br/>
        <w:br/>
        <w:br/>
        <w:br/>
        <w:br/>
        <w:br/>
        <w:t xml:space="preserve">                      Antônio Augusto Cançado Trindade</w:t>
        <w:br/>
        <w:t xml:space="preserve">                                    Juez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VOTO CONCURRENTE RAZONADO DEL</w:t>
        <w:br/>
        <w:t xml:space="preserve">                         JUEZ SERGIO GARCÍA RAMÍREZ</w:t>
        <w:br/>
        <w:br/>
        <w:br/>
        <w:br/>
        <w:t>1.    Concurro con la mayoría  de  los  integrantes  de  esta  Corte  en  la</w:t>
        <w:br/>
        <w:t>argumentación   y   resolución   sobre    las    excepciones    preliminares</w:t>
        <w:br/>
        <w:t>correspondientes al Caso Las Palmeras (sentencia del 4 de febrero de  2000).</w:t>
        <w:br/>
        <w:t>Sin embargo, considero conveniente ampliar los razonamientos relativos a  la</w:t>
        <w:br/>
        <w:t>segunda excepción preliminar opuesta por el Estado (falta de competencia  de</w:t>
        <w:br/>
        <w:t>la Comisión, párrs. 16, segunda, y 34, y punto resolutivo 3), que  la  Corte</w:t>
        <w:br/>
        <w:t>admitió. Esta decisión es consecuente con la adoptada acerca de  la  tercera</w:t>
        <w:br/>
        <w:t>excepción  (falta  de  competencia  de  la  Corte,  párrs.  28-33,  y  punto</w:t>
        <w:br/>
        <w:t>resolutivo 2), que se razona ampliamente en la sentencia.</w:t>
        <w:br/>
        <w:br/>
        <w:t>2.    En este  Voto  Concurrente  recojo  elementos  de  juicio  específicos</w:t>
        <w:br/>
        <w:t>relativos a la tercera excepción, sin perjuicio de  los  datos  comunes  que</w:t>
        <w:br/>
        <w:t>sustentan la decisión tomada por la Corte con respecto a ambas  excepciones.</w:t>
        <w:br/>
        <w:br/>
        <w:br/>
        <w:t>3.    Es posible discutir la naturaleza  de  los  planteamientos  formulados</w:t>
        <w:br/>
        <w:t>por el Estado a título de excepciones preliminares. En  el  examen  de  este</w:t>
        <w:br/>
        <w:t>punto es preciso tomar en cuenta que los medios  de  defensa  caracterizados</w:t>
        <w:br/>
        <w:t>como excepciones preliminares sirven a los objetivos de impedir,  detener  o</w:t>
        <w:br/>
        <w:t>limitar el ejercicio de  la  jurisdicción.  En  cambio,  las  excepciones  o</w:t>
        <w:br/>
        <w:t>defensas de naturaleza sustantiva atañen  al  fondo  del  asunto,  pretenden</w:t>
        <w:br/>
        <w:t>desvirtuar la pretensión del actor y se  proponen  sustentar  una  sentencia</w:t>
        <w:br/>
        <w:t>desestimatoria.</w:t>
        <w:br/>
        <w:br/>
        <w:t>4.    En mi opinión --y con el mayor respeto a otros puntos de  vista--  las</w:t>
        <w:br/>
        <w:t>defensas procesales opuestas por  el  Estado  revisten  las  características</w:t>
        <w:br/>
        <w:t>mencionadas en primer término, independientemente de su procedencia y de  la</w:t>
        <w:br/>
        <w:t>posibilidad de que el problema que plantean pudiera ser abordado,  en  algún</w:t>
        <w:br/>
        <w:t>caso, desde otra perspectiva. En  lo  que  respecta  a  la  excepción  sobre</w:t>
        <w:br/>
        <w:t>competencia  de  la  Comisión,  el  propósito  perseguido  es   detener   un</w:t>
        <w:br/>
        <w:t>procedimiento que se inició, a juicio del Estado, fuera de las  atribuciones</w:t>
        <w:br/>
        <w:t>del órgano respectivo. El hecho de que para este fin pudiera bastar  con  la</w:t>
        <w:br/>
        <w:t>excepción de incompetencia de  la  Corte,  no  priva  de  su  naturaleza  de</w:t>
        <w:br/>
        <w:t>excepción preliminar al argumento aducido en relación con la competencia  de</w:t>
        <w:br/>
        <w:t>la Comisión. Así lo consideró la Corte, y procedió a  resolver  sobre  ambas</w:t>
        <w:br/>
        <w:t>excepciones.</w:t>
        <w:br/>
        <w:br/>
        <w:t>5.    En la segunda excepción  preliminar  analizada  en  la  sentencia,  el</w:t>
        <w:br/>
        <w:t>Estado sostuvo --y la Corte aceptó-- que la Comisión  no  tiene  competencia</w:t>
        <w:br/>
        <w:t>para  aplicar  el  Derecho  internacional  humanitario  y   otros   tratados</w:t>
        <w:br/>
        <w:t>internacionales. Aquí se alude a la competencia en un sentido  amplio,  como</w:t>
        <w:br/>
        <w:t>sinónimo de atribución o  facultad  de  una  autoridad,  no  en  un  sentido</w:t>
        <w:br/>
        <w:t>estricto, como ámbito dentro del que se ejerce la jurisdicción; esto  último</w:t>
        <w:br/>
        <w:t>sólo sería aplicable a un órgano  jurisdiccional,  que  es  el  caso  de  la</w:t>
        <w:br/>
        <w:t>Corte, no así de la Comisión.</w:t>
        <w:br/>
        <w:br/>
        <w:t>6.     Por  lo  anterior  resulta   pertinente   examinar   brevemente   las</w:t>
        <w:br/>
        <w:t>atribuciones de la Comisión, en lo que  concierne  al  presente  caso.  Este</w:t>
        <w:br/>
        <w:t>importante órgano del sistema interamericano tiene  una  función  principal,</w:t>
        <w:br/>
        <w:t>de alcance genérico: "promover la observancia y la defensa de  los  derechos</w:t>
        <w:br/>
        <w:t>humanos" (artículo 41, párrafo inicial, de  la  Convención  Americana  sobre</w:t>
        <w:br/>
        <w:t>Derechos Humanos, en adelante "la Convención").</w:t>
        <w:br/>
        <w:br/>
        <w:t>7.     Dentro  de  esa  atribución  genérica,  la  Comisión  posee  diversas</w:t>
        <w:br/>
        <w:t>facultades  específicas,  que  constituyen  otras   tantas   expresiones   o</w:t>
        <w:br/>
        <w:t>vertientes de su "competencia". Es útil distinguir entre: a)  las  funciones</w:t>
        <w:br/>
        <w:t>que la Comisión realiza para  la  observancia  y  defensa  de  los  derechos</w:t>
        <w:br/>
        <w:t>humanos, in genere, que no desembocan  en  un  procedimiento  jurisdiccional</w:t>
        <w:br/>
        <w:t>contencioso mediante demanda ante  la  Corte  Interamericana  (artículo  41,</w:t>
        <w:br/>
        <w:t>incisos a, b, c, d y g, de la Convención); y b) la función  que  culmina  en</w:t>
        <w:br/>
        <w:t>una demanda ante el tribunal interamericano (idem, inciso f).  Cada  una  de</w:t>
        <w:br/>
        <w:t>esas funciones cuenta con naturaleza, regulación y efectos propios,  en  los</w:t>
        <w:br/>
        <w:t>términos de la Convención.</w:t>
        <w:br/>
        <w:br/>
        <w:t>8.    Por lo que toca a la atribución o "competencia" mencionada sub b),  el</w:t>
        <w:br/>
        <w:t>inciso f del artículo 41 formula  una  remisión  específica,  a  la  que  es</w:t>
        <w:br/>
        <w:t>preciso atenerse para establecer los supuestos, las  características  y  las</w:t>
        <w:br/>
        <w:t>consecuencias  jurídicas   correspondientes:   "actuar   respecto   de   las</w:t>
        <w:br/>
        <w:t>peticiones  y  otras  comunicaciones  en  ejercicio  de  su   autoridad   de</w:t>
        <w:br/>
        <w:t>conformidad con lo dispuesto en los artículos 44 al 51 de esta Convención".</w:t>
        <w:br/>
        <w:br/>
        <w:t>9.    Como se advierte, la competencia asignada a la Comisión por el  inciso</w:t>
        <w:br/>
        <w:t>f del artículo 41 abarca los diversos actos que culminan en la  presentación</w:t>
        <w:br/>
        <w:t>de  una  demanda  ante  la  Corte  para  recabar  de  ésta  una   resolución</w:t>
        <w:br/>
        <w:t>jurisdiccional. Se refiere, por ende, a un ámbito en el  que  se  actualizan</w:t>
        <w:br/>
        <w:t>las atribuciones de la Comisión y de la Corte, en sus respectivos  momentos.</w:t>
        <w:br/>
        <w:br/>
        <w:br/>
        <w:t>10.   El primer precepto invocado expresamente por el inciso f del  artículo</w:t>
        <w:br/>
        <w:t>41  contempla  dos  temas   fundamentales,   uno   de   carácter   subjetivo</w:t>
        <w:br/>
        <w:t>(legitimación en el procedimiento) y otro de  índole  objetiva  (competencia</w:t>
        <w:br/>
        <w:t>material): a) la legitimación para formular denuncias o quejas  y  poner  en</w:t>
        <w:br/>
        <w:t>movimiento, de esta forma, el procedimiento que culminará en  el  despliegue</w:t>
        <w:br/>
        <w:t>de la competencia  contenciosa  de  la  Corte;  y  b)  la  materia  de  esas</w:t>
        <w:br/>
        <w:t>denuncias o quejas, que lo es también del respectivo procedimiento  ante  la</w:t>
        <w:br/>
        <w:t>Comisión y ante la Corte: conductas  que  constituyan   "violación  de  esta</w:t>
        <w:br/>
        <w:t>Convención por un Estado parte". La misma acotación existe, por  cierto,  en</w:t>
        <w:br/>
        <w:t>el artículo 45.1, que regula el supuesto de demanda de un  Estado  parte  en</w:t>
        <w:br/>
        <w:t>contra  de  otro,  con  motivo  de  "violaciones  de  los  derechos  humanos</w:t>
        <w:br/>
        <w:t>establecidos en esta Convención".</w:t>
        <w:br/>
        <w:br/>
        <w:t>11.   Idéntico señalamiento, en cuanto a la materia de la queja o  denuncia,</w:t>
        <w:br/>
        <w:t>del procedimiento que ésta pone en movimiento y de la  posible  demanda  que</w:t>
        <w:br/>
        <w:t>la Comisión formulará ante  la  Corte,  aparece  en  diversos  extremos  del</w:t>
        <w:br/>
        <w:t>artículo  48.1:  párrafo  inicial,  que  se  refiere  a  "una   petición   o</w:t>
        <w:br/>
        <w:t>comunicación en la que se alegue la violación de cualquiera de los  derechos</w:t>
        <w:br/>
        <w:t>que consagra esta Convención"; e inciso f, que alude a la solución  amistosa</w:t>
        <w:br/>
        <w:t>fundada  en  el  respeto  "a  los  derechos  humanos  reconocidos  en   esta</w:t>
        <w:br/>
        <w:t>Convención".</w:t>
        <w:br/>
        <w:br/>
        <w:t>12.    En  el  ordenamiento  total  aplicable  a  la  Comisión   hay   otras</w:t>
        <w:br/>
        <w:t>disposiciones relevantes para  el  asunto  que  ahora  me  ocupa,  a  saber:</w:t>
        <w:br/>
        <w:t>artículos 1 y 23.1 del Estatuto y 31, 41 b y 45.1 del Reglamento.</w:t>
        <w:br/>
        <w:br/>
        <w:t>13.   Es así que se promueve el ejercicio de la competencia  contenciosa  de</w:t>
        <w:br/>
        <w:t>la Corte. En los términos de la Convención,  esta  competencia  se  extiende</w:t>
        <w:br/>
        <w:t>sobre la interpretación o aplicación de la  Convención  Americana  (artículo</w:t>
        <w:br/>
        <w:t>62.1 y 3), que en la especie se concreta  en  los  asuntos  relativos  a  la</w:t>
        <w:br/>
        <w:t>"violación  de  un  derecho  o  libertad  protegidos  en  esta   Convención"</w:t>
        <w:br/>
        <w:t>(artículo 63.1). La Corte tiene así previsto, igualmente, el  ámbito  de  su</w:t>
        <w:br/>
        <w:t>competencia material en cuestiones contenciosas.</w:t>
        <w:br/>
        <w:br/>
        <w:t>14.    Obviamente,   las   actividades   preparatorias   del   procedimiento</w:t>
        <w:br/>
        <w:t>contencioso ante la Corte y la participación en este mismo,  no  agotan,  en</w:t>
        <w:br/>
        <w:t>lo absoluto, las atribuciones de la Comisión y del Tribunal.  Aquélla  puede</w:t>
        <w:br/>
        <w:t>llevar a cabo, como en  efecto  lo  ha  hecho,  otras  actividades  de  suma</w:t>
        <w:br/>
        <w:t>relevancia para la promoción  y  la  defensa  de  los  derechos  humanos,  e</w:t>
        <w:br/>
        <w:t>incluso procurar la ampliación del  régimen  interamericano  de  tutela,  lo</w:t>
        <w:br/>
        <w:t>cual se desprende, particularmente, de los últimos incisos del  artículo  19</w:t>
        <w:br/>
        <w:t>de su Estatuto. Por su parte, la competencia consultiva de la  Corte  abarca</w:t>
        <w:br/>
        <w:t>tanto la Convención  Americana  como  "otros  tratados  concernientes  a  la</w:t>
        <w:br/>
        <w:t>protección de los derechos humanos  en  los  Estados  Americanos"  (artículo</w:t>
        <w:br/>
        <w:t>64.1).</w:t>
        <w:br/>
        <w:br/>
        <w:t>15.   Planteada así la regla para la intervención de la  Comisión  y  de  la</w:t>
        <w:br/>
        <w:t>Corte en asuntos de los que ésta conocerá por la  vía  contenciosa,  procede</w:t>
        <w:br/>
        <w:t>señalar que hay excepciones a este límite en la competencia  material.  Esas</w:t>
        <w:br/>
        <w:t>excepciones se localizan en otros instrumentos de  nuestro  sistema  tutelar</w:t>
        <w:br/>
        <w:t>de derechos humanos.</w:t>
        <w:br/>
        <w:br/>
        <w:t>16.   Una excepción de ese carácter  es  la  que  figura  en  la  Convención</w:t>
        <w:br/>
        <w:t>Interamericana para Prevenir y Sancionar la Tortura,  cuyo  artículo  8,  in</w:t>
        <w:br/>
        <w:t>fine, autoriza el acceso  "a  instancias  internacionales  cuya  competencia</w:t>
        <w:br/>
        <w:t>haya sido aceptada por (el) Estado" al  que  se  atribuye  la  violación  de</w:t>
        <w:br/>
        <w:t>dicho tratado. La Corte ha tenido la oportunidad de pronunciarse sobre  este</w:t>
        <w:br/>
        <w:t>punto en los Casos Paniagua Morales y Otros (sentencia del  8  de  marzo  de</w:t>
        <w:br/>
        <w:t>1998, párrs.  136  y  punto  resolutivo  3)  y  Villagrán  Morales  y  Otros</w:t>
        <w:br/>
        <w:t>(sentencia del 19 de noviembre de 1999, párrs. 247-252  y  punto  resolutivo</w:t>
        <w:br/>
        <w:t>7).</w:t>
        <w:br/>
        <w:br/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br/>
        <w:t xml:space="preserve">                VOTO PARCIALMENTE DISIDENTE DEL JUEZ JACKMAN</w:t>
        <w:br/>
        <w:br/>
        <w:br/>
        <w:br/>
        <w:t xml:space="preserve">      No puedo unirme con la mayoría de la Corte en su decisión  de  admitir</w:t>
        <w:br/>
        <w:t>la segunda excepción preliminar interpuesta por el  Estado  en  el  presente</w:t>
        <w:br/>
        <w:t>caso.</w:t>
        <w:br/>
        <w:br/>
        <w:t xml:space="preserve">      Por medio de la moción en cuestión, el Estado ha  pedido  a  la  Corte</w:t>
        <w:br/>
        <w:t>que sostenga que la Comisión Interamericana de Derechos Humanos  “carece  de</w:t>
        <w:br/>
        <w:t>competencia para  aplicar  el  derecho  internacional  humanitario  y  otros</w:t>
        <w:br/>
        <w:t>tratados internacionales...”  Así lo ha sostenido la Corte.</w:t>
        <w:br/>
        <w:br/>
        <w:t xml:space="preserve">      Es la sumisión  respetuosa  mía  que  la  moción  debería  haber  sido</w:t>
        <w:br/>
        <w:t>desestimada por  ser  impertinente  e  improcedente,  y  por  no  poseer  el</w:t>
        <w:br/>
        <w:t>carácter jurídico de una excepción preliminar.</w:t>
        <w:br/>
        <w:br/>
        <w:br/>
        <w:t xml:space="preserve">      Si bien el artículo 36 del Reglamento de la Corte no define el término</w:t>
        <w:br/>
        <w:t>“excepción preliminar”,  el  alcance  y  propósito  de  tales  peticiones  o</w:t>
        <w:br/>
        <w:t>mociones son bastante evidentes en el derecho internacional y  su  práctica.</w:t>
        <w:br/>
        <w:t>El Dictionnaire  de  la  terminologie  du  droit  international  propone  la</w:t>
        <w:br/>
        <w:t>siguiente definición:</w:t>
        <w:br/>
        <w:br/>
        <w:br/>
        <w:t xml:space="preserve">      “Método empleado en la fase preliminar del proceso con fin de  obtener</w:t>
        <w:br/>
        <w:t xml:space="preserve">      una decisión del tribunal en cuanto a un asunto  preliminar  antes  de</w:t>
        <w:br/>
        <w:t xml:space="preserve">      entrar en un análisis del fondo del caso, el propósito de la moción es</w:t>
        <w:br/>
        <w:t xml:space="preserve">      más frecuente  para  prevenir  que  el  asunto  pase  a  la  fase  del</w:t>
        <w:br/>
        <w:t xml:space="preserve">      fondo.”[28]</w:t>
        <w:br/>
        <w:br/>
        <w:br/>
        <w:t xml:space="preserve">      El entendido escritor Shabtai Rosenne (The Law  and  Practice  of  the</w:t>
        <w:br/>
        <w:t>International Court, 1985, pág. 457) mantiene que</w:t>
        <w:br/>
        <w:br/>
        <w:br/>
        <w:t xml:space="preserve">      “No es suficiente que una parte titule un  documento  como  ‘excepción</w:t>
        <w:br/>
        <w:t xml:space="preserve">      preliminar’... Además de su calidad técnica,  la  petición  tiene  que</w:t>
        <w:br/>
        <w:t xml:space="preserve">      demostrar las características jurídicas primordiales que le dieran  su</w:t>
        <w:br/>
        <w:t xml:space="preserve">      carácter preliminar en el caso concreto, las cuales demuestran que, en</w:t>
        <w:br/>
        <w:t xml:space="preserve">      el caso concreto, consiste en un cuestionamiento a la  competencia  de</w:t>
        <w:br/>
        <w:t xml:space="preserve">      la Corte.  Puesto que el efecto esperado de un fallo en relación a una</w:t>
        <w:br/>
        <w:t xml:space="preserve">      excepión preliminar es determinar si el proceso  en  cuanto  al  fondo</w:t>
        <w:br/>
        <w:t xml:space="preserve">      será continuado o no, si la petición no tiene ese efecto esperado,  no</w:t>
        <w:br/>
        <w:t xml:space="preserve">      será una auténtica excepción preliminar... [C]uando  se  presenta,  la</w:t>
        <w:br/>
        <w:t xml:space="preserve">      petición tiene que relacionarse con la  competencia  de  la  Corte  en</w:t>
        <w:br/>
        <w:t xml:space="preserve">      cuanto al fondo del caso...” (Enfasis no es del original).</w:t>
        <w:br/>
        <w:br/>
        <w:br/>
        <w:t xml:space="preserve">      La presente excepción pretende cuestionar, no  la  competencia  de  la</w:t>
        <w:br/>
        <w:t>Corte, que es el tribunal responsable para el caso, sino la  competencia  de</w:t>
        <w:br/>
        <w:t>la Comisión, que a partir del momento en el que presente  un  caso  ante  la</w:t>
        <w:br/>
        <w:t>Corte ya no tiene ningún papel jurídico en el asunto aparte  de  lo  que  le</w:t>
        <w:br/>
        <w:t>asigna el artículo 57 de la Convención Americana de  Derechos  Humanos:  “La</w:t>
        <w:br/>
        <w:t>Comisión comparecerá en todos los casos ante la Corte.”</w:t>
        <w:br/>
        <w:br/>
        <w:br/>
        <w:t xml:space="preserve">      Por lo tanto, la cuestión de si la Comisión  tiene  o  no  competencia</w:t>
        <w:br/>
        <w:t>para aplicar el derecho internacional humanitario es, a lo más,  discutible,</w:t>
        <w:br/>
        <w:t>y en el peor de los casos impertinente e improcedente, porque una  respuesta</w:t>
        <w:br/>
        <w:t>afirmativa no afectaría de ninguna manera la competencia de  la  Corte  para</w:t>
        <w:br/>
        <w:t>conocer el caso.  Aunque apoyo completamente el criterio de que ni la  Corte</w:t>
        <w:br/>
        <w:t>ni la Comisión tienen la autoridad para  aplicar  el  derecho  internacional</w:t>
        <w:br/>
        <w:t>humanitario, según  lo  dispuesto  en  la  Convención,  encuentro  imposible</w:t>
        <w:br/>
        <w:t>sostener que la  naturaleza  y  propósito  de  la  petición  del  Estado  se</w:t>
        <w:br/>
        <w:t>enmarquen dentro de los límites  claramente  definidos  de  las  excepciones</w:t>
        <w:br/>
        <w:t>preliminares en el derecho internacional.</w:t>
        <w:br/>
        <w:br/>
        <w:br/>
        <w:br/>
        <w:br/>
        <w:br/>
        <w:br/>
        <w:br/>
        <w:br/>
        <w:br/>
        <w:br/>
        <w:br/>
        <w:br/>
        <w:t xml:space="preserve">                               Oliver Jackman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 xml:space="preserve">                           -----------------------</w:t>
        <w:br/>
        <w:t>*     El Juez Carlos Vicente de Roux Rengifo,  de  nacionalidad  colombiana,</w:t>
        <w:br/>
        <w:t>se excusó de conocer en el presente caso.</w:t>
        <w:br/>
        <w:t>[1]   En adelante en esta sentencia se alude a las Convenciones  de  Ginebra</w:t>
        <w:br/>
        <w:t>de 1949 como “Convenios de Ginebra” o “Convenios de Ginebra de 1949”</w:t>
        <w:br/>
        <w:t>[2]   “En principio, el derecho a no ser arbitrariamente privado de la  vida</w:t>
        <w:br/>
        <w:t>se aplica también  durante  hostilidades.   El  examen  de  lo  que  es  una</w:t>
        <w:br/>
        <w:t>privación arbitraria de la vida, sin embargo, debe ser  determinado  por  la</w:t>
        <w:br/>
        <w:t>lex specialis aplicable, a saber,  el  derecho  aplicable  en  un  conflicto</w:t>
        <w:br/>
        <w:t>armado  el  cual  está  designado  para  regular  la  conducta  durante  las</w:t>
        <w:br/>
        <w:t>hostilidades.  Así, si la pérdida de una  vida  particular  por  el  uso  de</w:t>
        <w:br/>
        <w:t>cierta arma en guerra, es considerada una privación arbitraria  de  la  vida</w:t>
        <w:br/>
        <w:t>contraria al artículo 6 del Pacto, sólo puede ser decidido  remitiéndose  al</w:t>
        <w:br/>
        <w:t>derecho aplicable durante los conflictos armados y no por deducción  de  los</w:t>
        <w:br/>
        <w:t>términos  de  la  Convención  misma”  (Traducción  de   la   Secretaría   al</w:t>
        <w:br/>
        <w:t>castellano). Legality of the Threat or  Use  of  Nuclear  Weapons,  Advisory</w:t>
        <w:br/>
        <w:t>Opinion, I.C.J. Reports 1996, p. 240.</w:t>
        <w:br/>
        <w:t>[3]   En los casos Paniagua Morales y otros. Sentencia  de  8  de  marzo  de</w:t>
        <w:br/>
        <w:t>1998.  Serie C No. 37, párr. 136 y Villagrán Morales y otros.  Sentencia  de</w:t>
        <w:br/>
        <w:t>12 de noviembre de 1999.  Serie C No. 63, párr. 252,  la  Corte  declaró  la</w:t>
        <w:br/>
        <w:t>violación de la Convención  Interamericana  para  Prevenir  y  Sancionar  la</w:t>
        <w:br/>
        <w:t>Tortura, la cual  atribuye  competencia  a  la  Comisión  Interamericana  de</w:t>
        <w:br/>
        <w:t>Derechos Humanos.</w:t>
        <w:br/>
        <w:t>[4]   Caso Genie Lacayo. Sentencia de 29 de enero de 1997.  Serie C No.  23,</w:t>
        <w:br/>
        <w:t>párr. 81.</w:t>
        <w:br/>
        <w:t>[5]   Caso Suárez Rosero. Sentencia de 12 de noviembre  de  1997.   Serie  C</w:t>
        <w:br/>
        <w:t>No. 35, párr. 73 y Caso Paniagua Morales y otros, supra nota 3, párr. 155.</w:t>
        <w:br/>
        <w:t xml:space="preserve">    [6].    Cf. Corte Interamericana de Derechos Humanos, Caso Las  Palmeras</w:t>
        <w:br/>
        <w:t>- Transcripción de la Audiencia Pública sobre las  Excepciones  Preliminares</w:t>
        <w:br/>
        <w:t>celebrada el 31 de Mayo de 1999 en la Sede de la Corte, pp.  19-20  y  35-38</w:t>
        <w:br/>
        <w:t>(mecanografiado - circulación interna).</w:t>
        <w:br/>
        <w:br/>
        <w:t xml:space="preserve">    [7].    Así, por ejemplo, en mi Voto Razonado  en  la  Sentencia  de  la</w:t>
        <w:br/>
        <w:t>Corte (de 24.01.1998) en el caso Blake versus Guatemala (Fondo), ponderé:  -</w:t>
        <w:br/>
        <w:t>"La  consagración  de  obligaciones   erga   omnes   de   protección,   como</w:t>
        <w:br/>
        <w:t>manifestación de la propia emergencia  de  normas  imperativas  del  derecho</w:t>
        <w:br/>
        <w:t>internacional, representaría la  superación  del  patrón  erigido  sobre  la</w:t>
        <w:br/>
        <w:t>autonomía de la voluntad del Estado. El carácter absoluto  de  la  autonomía</w:t>
        <w:br/>
        <w:t>de la voluntad ya no puede ser invocado ante la existencia de normas de  jus</w:t>
        <w:br/>
        <w:t>cogens. No es razonable que el derecho contemporáneo de  los  tratados  siga</w:t>
        <w:br/>
        <w:t>apegándose a un patrón del cual él propio buscó gradualmente  liberarse,  al</w:t>
        <w:br/>
        <w:t>consagrar el concepto de jus cogens en las dos Convenciones de  Viena  sobre</w:t>
        <w:br/>
        <w:t>Derecho de los Tratados. (...)" (párrafo 28). - Posteriormente, en  mi  Voto</w:t>
        <w:br/>
        <w:t>Razonado en la Sentencia de la Corte (de 22.01.1999) en el mismo caso  Blake</w:t>
        <w:br/>
        <w:t>versus Guatemala (Reparaciones), agregué: - "Nuestro propósito debe  residir</w:t>
        <w:br/>
        <w:t>precisamente en el desarrollo doctrinal  y  jurisprudencial  de  las  normas</w:t>
        <w:br/>
        <w:t>perentorias   del   Derecho   Internacional   (jus   cogens)   y   de    las</w:t>
        <w:br/>
        <w:t>correspondientes obligaciones erga omnes de protección del  ser  humano.  Es</w:t>
        <w:br/>
        <w:t>por medio del desarrollo en  este  sentido  que  lograremos  transponer  los</w:t>
        <w:br/>
        <w:t>obstáculos de los dogmas del pasado, así como las actuales inadecuaciones  y</w:t>
        <w:br/>
        <w:t>ambigüedades del derecho de los tratados,  de  modo  a  aproximarnos  de  la</w:t>
        <w:br/>
        <w:t>plenitud de la protección internacional del ser humano." (párrafo 40).</w:t>
        <w:br/>
        <w:br/>
        <w:t xml:space="preserve">    [8].    Cf. citas in nota (2), supra.</w:t>
        <w:br/>
        <w:br/>
        <w:t xml:space="preserve">    [9].    Cf. también el Estatuto de la Comisión, artículo 1(2).</w:t>
        <w:br/>
        <w:br/>
        <w:t xml:space="preserve">    [10].   Cf., sobre la necesidad de decidir excepciones  preliminares  in</w:t>
        <w:br/>
        <w:t>limine litis,  mis  Votos  Razonados  en  el  caso  Gangaram  Panday  versus</w:t>
        <w:br/>
        <w:t>Suriname (Sentencia del 04.12.1991), párrafo 3; en  el  caso  Castillo  Páez</w:t>
        <w:br/>
        <w:t>versus Perú (Sentencia del 30.01.1996), párrafo  4;  y  en  el  caso  Loayza</w:t>
        <w:br/>
        <w:t>Tamayo versus Perú (Sentencia del 31.01.1996), párrafo 4.</w:t>
        <w:br/>
        <w:br/>
        <w:t xml:space="preserve">    [11].   G. Abi-Saab, Les exceptions préliminaires dans la  procédure  de</w:t>
        <w:br/>
        <w:t>la Cour Internationale, París, Pédone, 1967, pp. 182-183;  cf.  también,  al</w:t>
        <w:br/>
        <w:t>respecto, S. Rosenne, The Law and Practice of the International  Court,  2a.</w:t>
        <w:br/>
        <w:t>ed. rev., Dordrecht, Nijhoff, 1985, p. 464.</w:t>
        <w:br/>
        <w:br/>
        <w:t xml:space="preserve">    [12].    Corte  Interamericana  de  Derechos  Humanos,  caso   Villagrán</w:t>
        <w:br/>
        <w:t>Morales y Otros  versus  Guatemala  (caso  de  los  "Niños  de  la  Calle"),</w:t>
        <w:br/>
        <w:t>Sentencia de 19.11.1999,  Voto  Concurrente  Conjunto  de  los  Jueces  A.A.</w:t>
        <w:br/>
        <w:t>Cançado Trindade y A. Abreu Burelli, párrafo 2: - "Ya no  puede  haber  duda</w:t>
        <w:br/>
        <w:t>de que el derecho fundamental  a  la  vida  pertenece  al  dominio  del  jus</w:t>
        <w:br/>
        <w:t>cogens".</w:t>
        <w:br/>
        <w:br/>
        <w:t xml:space="preserve">    [13].   Sobre la relación entre  jus  cogens  y  las  obligaciones  erga</w:t>
        <w:br/>
        <w:t>omnes, cf., inter alia: M. Byers, "Conceptualising the Relationship  between</w:t>
        <w:br/>
        <w:t>Jus Cogens and Erga Omnes Rules", 66 Nordic  Journal  of  International  Law</w:t>
        <w:br/>
        <w:t>(1997) pp. 211-239; A.J.J. de Hoogh, "The Relationship between  Jus  Cogens,</w:t>
        <w:br/>
        <w:t>Obligations  Erga  Omnes  and  International  Crimes:  Peremptory  Norms  in</w:t>
        <w:br/>
        <w:t>Perspective", 42 Austrian Journal of Public  and  International  Law  (1991)</w:t>
        <w:br/>
        <w:t>pp. 183-214.</w:t>
        <w:br/>
        <w:br/>
        <w:t xml:space="preserve">    [14].    Tal  como  he  desarrollado,   inter   alia,   en   mi   ensayo</w:t>
        <w:br/>
        <w:t>"Aproximaciones o Convergencias entre el Derecho  Internacional  Humanitario</w:t>
        <w:br/>
        <w:t>y la  Protección  Internacional  de  los  Derechos  Humanos",  in  Seminario</w:t>
        <w:br/>
        <w:t>Interamericano  sobre  la  Protección  de  la  Persona  en  Situaciones   de</w:t>
        <w:br/>
        <w:t>Emergencia - Memoria (Santa Cruz de la Sierra, Bolivia, junio de 1995),  San</w:t>
        <w:br/>
        <w:t>José, CICR/ACNUR/Gob. Suiza, 1996, pp. 33-88.</w:t>
        <w:br/>
        <w:br/>
        <w:t xml:space="preserve">    [15].   Cabe recordar que, en aquel  caso,  la  Corte  Internacional  de</w:t>
        <w:br/>
        <w:t>Justicia  por  primera  vez  distinguió,  por  un  lado,  las   obligaciones</w:t>
        <w:br/>
        <w:t>interestatales (propias del contentieux diplomatique),  y,  por  otro  lado,</w:t>
        <w:br/>
        <w:t>las obligaciones de un Estado vis-à-vis la comunidad internacional  como  un</w:t>
        <w:br/>
        <w:t>todo (obligaciones erga omnes). Estas últimas - agregó la Corte  -  derivan,</w:t>
        <w:br/>
        <w:t>v.g., en  el  derecho  internacional   contemporáneo,  inter  alia,  de  los</w:t>
        <w:br/>
        <w:t>"principios y reglas concernientes a los  derechos  básicos  de  la  persona</w:t>
        <w:br/>
        <w:t>humana", - ocurriendo que ciertos derechos de protección "han  ingresado  en</w:t>
        <w:br/>
        <w:t>el corpus del derecho internacional general", y  otros  "son  otorgados  por</w:t>
        <w:br/>
        <w:t>instrumentos internacionales de carácter universal o  casi-universal";  caso</w:t>
        <w:br/>
        <w:t>de la Barcelona Traction (Bélgica versus  España,  2a.  fase),  ICJ  Reports</w:t>
        <w:br/>
        <w:t>(1970) p. 32, párr. 34, y cf. también párr. 33.</w:t>
        <w:br/>
        <w:br/>
        <w:t xml:space="preserve">    [16].   Inclusive con una  referencia  a  ellas  en  la  décima  Opinión</w:t>
        <w:br/>
        <w:t>Consultiva (de 1989) de la Corte Interamericana de Derechos  Humanos,  sobre</w:t>
        <w:br/>
        <w:t>la Interpretación de la Declaración Americana sobre Derechos y  Deberes  del</w:t>
        <w:br/>
        <w:t>Hombre (párrafo 38).</w:t>
        <w:br/>
        <w:br/>
        <w:t xml:space="preserve">    [17].   Cf. M. Ragazzi, The Concept of  International  Obligations  Erga</w:t>
        <w:br/>
        <w:t>Omnes, Oxford, Clarendon Press, 1997, pp. 12-13;  C.  Annacker,  "The  Legal</w:t>
        <w:br/>
        <w:t>Regime of Erga Omnes Obligations in International Law", 46 Austrian  Journal</w:t>
        <w:br/>
        <w:t>of Public and International Law (1994), pp. 132-133, y cf. 131-166.</w:t>
        <w:br/>
        <w:br/>
        <w:t xml:space="preserve">    [18].   La Corte de la Haya tuvo una ocasión única para  hacerlo  en  el</w:t>
        <w:br/>
        <w:t>caso del Timor Oriental (1995), habiendo lamentablemente  desperdiciado  tal</w:t>
        <w:br/>
        <w:t>oportunidad, al relacionar las obligaciones erga omnes con  algo  antitético</w:t>
        <w:br/>
        <w:t>a  ellas:  el  consentimiento  estatal  como  base  del  ejercicio   de   su</w:t>
        <w:br/>
        <w:t>jurisdicción en materia contenciosa. Nada podría ser  más  incompatible  con</w:t>
        <w:br/>
        <w:t>la existencia misma  de  las  obligaciones  erga  omnes  que  la  concepción</w:t>
        <w:br/>
        <w:t>positivista-voluntarista del  Derecho  Internacional  y  el  énfasis  en  el</w:t>
        <w:br/>
        <w:t>consentimiento estatal como fundamento  del  ejercicio  de  la  jurisdicción</w:t>
        <w:br/>
        <w:t>internacional.</w:t>
        <w:br/>
        <w:br/>
        <w:t xml:space="preserve">    [19].    Sobre  el  sentido  de  las  obligaciones  erga  omnes  partes,</w:t>
        <w:br/>
        <w:t>oponibles  a  todos  los  Estados  Partes  en  ciertos  tratados  o  a   una</w:t>
        <w:br/>
        <w:t>determinada comunidad de Estados, cf. C. Annacker, op. cit. supra  n.  (12),</w:t>
        <w:br/>
        <w:t>p. 135; y cf. M. Ragazzi, op. cit. supra n. (12), pp. 201-202.</w:t>
        <w:br/>
        <w:br/>
        <w:t xml:space="preserve">    [20].    Cf.,  v.g.,  Convención  Americana  sobre   Derechos   Humanos,</w:t>
        <w:br/>
        <w:t>artículo 1(1); Pacto de Derechos Civiles y  Políticos  de  Naciones  Unidas,</w:t>
        <w:br/>
        <w:t>artículo 2(1); Convención de Naciones Unidas sobre los  Derechos  del  Niño,</w:t>
        <w:br/>
        <w:t>artículo 2(1).</w:t>
        <w:br/>
        <w:br/>
        <w:t xml:space="preserve">    [21].   Artículo 1 común a las  cuatro  Convenciones  de  Ginebra  sobre</w:t>
        <w:br/>
        <w:t>Derecho Internacional Humanitario  de  1949,  y  artículo  1  del  Protocolo</w:t>
        <w:br/>
        <w:t>Adicional I de 1977 a las Convenciones de Ginebra de 1949.</w:t>
        <w:br/>
        <w:br/>
        <w:t xml:space="preserve">    [22].   Cf. I.D.I., 63 Annuaire de  l'Institut  de  Droit  International</w:t>
        <w:br/>
        <w:t>(1989)-II, pp. 286 y 288-289.</w:t>
        <w:br/>
        <w:br/>
        <w:t xml:space="preserve">    [23].   En cuanto al deber general de  garantía  del  ejercicio  de  los</w:t>
        <w:br/>
        <w:t>derechos humanos protegidos, cf. los argumentos de  Irlanda  ante  la  Corte</w:t>
        <w:br/>
        <w:t>Europea de Derechos Humanos (CEDH), en el caso Irlanda versus  Reino  Unido,</w:t>
        <w:br/>
        <w:t>in: CEDH, Ireland versus United Kingdom case  (1976-1978),  Pleadings,  Oral</w:t>
        <w:br/>
        <w:t>Arguments and Documents, Strasbourg, 1981, vol. 23-II, pp.  21-23  y  27,  y</w:t>
        <w:br/>
        <w:t>vol. 23-III, pp. 17-19 y 21-26.</w:t>
        <w:br/>
        <w:br/>
        <w:t xml:space="preserve">    [24].   Así, un Estado Parte en las Convenciones de Ginebra  de  1949  y</w:t>
        <w:br/>
        <w:t>su Protocolo  Adicional  I  de  1977,  aunque  no  esté  involucrado  en  un</w:t>
        <w:br/>
        <w:t>determinado conflicto armado, está habilitado  a  exigir  de  otros  Estados</w:t>
        <w:br/>
        <w:t>Partes - que lo estén - el cumplimiento de sus  obligaciones  convencionales</w:t>
        <w:br/>
        <w:t>de cuño humanitario; L. Condorelli y L.  Boisson  de  Chazournes,  "Quelques</w:t>
        <w:br/>
        <w:t>remarques à  propos  de  l'obligation  des  États  de  ‘respecter  et  faire</w:t>
        <w:br/>
        <w:t>respecter' le droit international humanitaire  ‘en  toutes  circonstances'",</w:t>
        <w:br/>
        <w:t>in Études et essais sur  le  droit  international  humanitaire  et  sur  les</w:t>
        <w:br/>
        <w:t>principes de la Croix-Rouge en l'honneur de Jean Pictet (ed. C.  Swinarski),</w:t>
        <w:br/>
        <w:t>Genève/La Haye, CICR/Nijhoff, 1984, pp. 29 y 32-33.</w:t>
        <w:br/>
        <w:br/>
        <w:t xml:space="preserve">    [25].   Para un estudio de este punto  en  particular,  cf.  S.  Leckie,</w:t>
        <w:br/>
        <w:t>"The Inter-State Complaint Procedure  in  International  Human  Rights  Law:</w:t>
        <w:br/>
        <w:t>Hopeful Prospects or Wishful Thinking?", 10 Human  Rights  Quarterly  (1988)</w:t>
        <w:br/>
        <w:t>pp. 249-301.</w:t>
        <w:br/>
        <w:br/>
        <w:t xml:space="preserve">    [26].   Y. Dinstein, "The Erga Omnes Applicability of Human Rights",  30</w:t>
        <w:br/>
        <w:t>Archiv des Völkerrechts (1992) pp. 16 y 22, y cf. 16-37;  y  cf.  M.  Byers,</w:t>
        <w:br/>
        <w:t>op. cit. supra n. (8), pp. 234-235; M. Ragazzi, op. cit. supra n. (12),  pp.</w:t>
        <w:br/>
        <w:t>135 y 213.</w:t>
        <w:br/>
        <w:br/>
        <w:t xml:space="preserve">    [27].    C.  Tomuschat,  "Obligations  Arising  for  States  Without  or</w:t>
        <w:br/>
        <w:t>Against  Their  Will",  241  Recueil  des  Cours  de  l'Académie  de   Droit</w:t>
        <w:br/>
        <w:t>International de La Haye (1993) p. 365.</w:t>
        <w:br/>
        <w:br/>
        <w:t>[28]  Traducido por la Secretaría de la Corte.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