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Caso Durand y Ugarte Vs. Perú</w:t>
        <w:br/>
        <w:br/>
        <w:br/>
        <w:t xml:space="preserve">                      Sentencia de 16 de agosto de 2000</w:t>
        <w:br/>
        <w:t xml:space="preserve">                                   (Fondo)</w:t>
        <w:br/>
        <w:br/>
        <w:br/>
        <w:br/>
        <w:br/>
        <w:t>En el caso Durand y Ugarte,</w:t>
        <w:br/>
        <w:br/>
        <w:t>la Corte Interamericana de Derechos Humanos (en adelante “la  Corte”  o  “la</w:t>
        <w:br/>
        <w:t>Corte Interamericana”), integrada por los siguientes jueces: *</w:t>
        <w:br/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 y</w:t>
        <w:br/>
        <w:t xml:space="preserve">      Fernando Vidal Ramírez, Juez ad hoc;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adjunto,</w:t>
        <w:br/>
        <w:br/>
        <w:t>de acuerdo con los artículos 29 y 55  de  su  Reglamento  (en  adelante  “el</w:t>
        <w:br/>
        <w:t>Reglamento”), dicta la siguiente sentencia: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Al presentar la demanda ante la Corte, la Comisión  Interamericana  de</w:t>
        <w:br/>
        <w:t>Derechos Humanos (en adelante “la Comisión” o “la Comisión  Interamericana”)</w:t>
        <w:br/>
        <w:t>invocó los artículos 50 y 51  de  la  Convención  Americana  sobre  Derechos</w:t>
        <w:br/>
        <w:t>Humanos (en adelante “la Convención” o “la Convención  Americana”)  y  26  y</w:t>
        <w:br/>
        <w:t>siguientes del Reglamento entonces vigente.[1]   La  Comisión  planteó  este</w:t>
        <w:br/>
        <w:t>caso para que la Corte decidiera si el Estado  del  Perú  (en  adelante  “el</w:t>
        <w:br/>
        <w:t>Estado”  o  “el  Perú”)  había  violado  los  siguientes  artículos  de   la</w:t>
        <w:br/>
        <w:t>Convención: 1.1 (Obligación de Respetar los Derechos), 2 (Deber  de  Adoptar</w:t>
        <w:br/>
        <w:t>Disposiciones de Derecho Interno), 4 (Derecho a la Vida), 7.6 (Derecho a  la</w:t>
        <w:br/>
        <w:t>Libertad Personal), 8.1 (Garantías Judiciales), 25.1  (Protección  Judicial)</w:t>
        <w:br/>
        <w:t>y 27.2 (Suspensión de Garantías),  en  perjuicio  de  los  señores  Nolberto</w:t>
        <w:br/>
        <w:t>Durand Ugarte y Gabriel Pablo Ugarte Rivera.  La Comisión  solicitó  que  la</w:t>
        <w:br/>
        <w:t>Corte ordenara al Perú llevar a cabo  las  investigaciones  necesarias  para</w:t>
        <w:br/>
        <w:t>identificar,  juzgar  y  sancionar  a  los  culpables  de  las   violaciones</w:t>
        <w:br/>
        <w:t>cometidas; informar sobre el paradero de los restos mortales de los  señores</w:t>
        <w:br/>
        <w:t>Durand Ugarte y Ugarte Rivera, y entregar éstos  a  los  familiares  de  los</w:t>
        <w:br/>
        <w:t>fallecidos.  Finalmente la Comisión pidió que la Corte  ordenase  al  Estado</w:t>
        <w:br/>
        <w:t>que</w:t>
        <w:br/>
        <w:br/>
        <w:t xml:space="preserve">      repare e indemnice plenamente tanto material como  moralmente,  a  los</w:t>
        <w:br/>
        <w:t xml:space="preserve">      familiares de Nolberto Durand Ugarte y Gabriel  Pablo  Ugarte  por  el</w:t>
        <w:br/>
        <w:t xml:space="preserve">      grave daño sufrido a consecuencia de las múltiples violaciones  a  los</w:t>
        <w:br/>
        <w:t xml:space="preserve">      derechos consagrados en la Convención [y que] pagu[e]  los  gastos  en</w:t>
        <w:br/>
        <w:t xml:space="preserve">      que han incurrido los familiares  y  representantes  de  las  víctimas</w:t>
        <w:br/>
        <w:t xml:space="preserve">      tanto en su desempeño en la Comisión como en la  Corte  Interamericana</w:t>
        <w:br/>
        <w:t xml:space="preserve">      en la tramitación de este caso.</w:t>
        <w:br/>
        <w:br/>
        <w:br/>
        <w:t>En el escrito de alegato final la Comisión alegó la supuesta  violación  del</w:t>
        <w:br/>
        <w:t>artículo 5.2 de la Convención Americana.</w:t>
        <w:br/>
        <w:br/>
        <w:br/>
        <w:t xml:space="preserve">                                     II</w:t>
        <w:br/>
        <w:t xml:space="preserve">                           Competencia de la Corte</w:t>
        <w:br/>
        <w:br/>
        <w:t>2.    La Corte es competente para conocer del presente  caso.   El  Perú  es</w:t>
        <w:br/>
        <w:t>Estado Parte en la Convención Americana desde el  28  de  julio  de  1978  y</w:t>
        <w:br/>
        <w:t>reconoció la competencia obligatoria de la Corte el 21 de enero de 1981.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El 27 de abril de 1987 la Comisión recibió una denuncia por  supuestas</w:t>
        <w:br/>
        <w:t>violaciones de derechos humanos en agravio de los señores  Durand  Ugarte  y</w:t>
        <w:br/>
        <w:t>Ugarte Rivera.  El 19 de mayo del mismo año remitió  al  Estado  las  partes</w:t>
        <w:br/>
        <w:t>pertinentes de la denuncia, de acuerdo con el artículo 34 del Reglamento  de</w:t>
        <w:br/>
        <w:t>la Comisión, y le solicitó información sobre el agotamiento de los  recursos</w:t>
        <w:br/>
        <w:t>internos.</w:t>
        <w:br/>
        <w:br/>
        <w:t>4.    El 19 de enero de 1988 la Comisión reiteró al Estado la  solicitud  de</w:t>
        <w:br/>
        <w:t>que presentara la información  correspondiente  al  caso.   El  8  de  junio</w:t>
        <w:br/>
        <w:t>siguiente insistió en la solicitud, indicando que, de no recibir  respuesta,</w:t>
        <w:br/>
        <w:t>consideraría la aplicación del artículo 42 de  su  Reglamento,  que  dispone</w:t>
        <w:br/>
        <w:t>que</w:t>
        <w:br/>
        <w:br/>
        <w:t xml:space="preserve">      [s]e presumirán verdaderos los hechos relatados en la petición y cuyas</w:t>
        <w:br/>
        <w:t xml:space="preserve">      partes pertinentes hayan  sido  trasmitidos  al  Gobierno  del  Estado</w:t>
        <w:br/>
        <w:t xml:space="preserve">      aludido si, en el plazo máximo fijado por la Comisión  de  conformidad</w:t>
        <w:br/>
        <w:t xml:space="preserve">      con el artículo 34, párrafo  5,  dicho  Gobierno  no  suministrare  la</w:t>
        <w:br/>
        <w:t xml:space="preserve">      información correspondiente, siempre y cuando de  otros  elementos  de</w:t>
        <w:br/>
        <w:t xml:space="preserve">      convicción no resultare una conclusión diversa.</w:t>
        <w:br/>
        <w:br/>
        <w:t>El 23 de febrero de 1989 la Comisión requirió la información  una  vez  más.</w:t>
        <w:br/>
        <w:t>El 31 de mayo siguiente, los peticionarios  pidieron  que  se  tuvieran  por</w:t>
        <w:br/>
        <w:t>ciertos los hechos denunciados.</w:t>
        <w:br/>
        <w:br/>
        <w:t>5.    El Perú presentó un escrito fechado el 29 de septiembre  de  1989,  en</w:t>
        <w:br/>
        <w:t>el cual manifestó que</w:t>
        <w:br/>
        <w:br/>
        <w:t xml:space="preserve">      [e]n lo que respecta a los casos 10.009 y 10.078, los que, como es  de</w:t>
        <w:br/>
        <w:t xml:space="preserve">      dominio público, se encuentran  en  proceso  judicial  ante  el  Fuero</w:t>
        <w:br/>
        <w:t xml:space="preserve">      Privativo Militar del Perú de conformidad con las leyes  vigentes,  se</w:t>
        <w:br/>
        <w:t xml:space="preserve">      debe señalar que no se ha agotado la jurisdicción interna del  Estado,</w:t>
        <w:br/>
        <w:t xml:space="preserve">      por lo que sería conveniente que la CIDH aguarde la culminación de  la</w:t>
        <w:br/>
        <w:t xml:space="preserve">      misma antes de pronunciarse de manera definitiva sobre los mencionados</w:t>
        <w:br/>
        <w:t xml:space="preserve">      casos.</w:t>
        <w:br/>
        <w:br/>
        <w:t>6.    El 7 de junio de 1990  la  Comisión  solicitó  al  Estado  información</w:t>
        <w:br/>
        <w:t>sobre el agotamiento de los recursos internos, el proceso  en  trámite  ante</w:t>
        <w:br/>
        <w:t>el fuero militar y el  paradero  de  los  señores  Durand  Ugarte  y  Ugarte</w:t>
        <w:br/>
        <w:t>Rivera.  El Estado no respondió a este requerimiento.</w:t>
        <w:br/>
        <w:br/>
        <w:t>7.    El 5 de marzo de 1996 la Comisión aprobó el  Informe  No.  15/96,  que</w:t>
        <w:br/>
        <w:t>transmitió al Estado el 8 de mayo del mismo año.  En  la  parte  dispositiva</w:t>
        <w:br/>
        <w:t>de dicho Informe, la Comisión resolvió:</w:t>
        <w:br/>
        <w:br/>
        <w:t xml:space="preserve">            1.    DECLARAR que el Estado  del  Perú  es  responsable  de  la</w:t>
        <w:br/>
        <w:t xml:space="preserve">      violación en perjuicio de Gabriel Pablo Ugarte Rivera y de  [Nolberto]</w:t>
        <w:br/>
        <w:t xml:space="preserve">      Durand Ugarte, del derecho a la libertad personal, a la vida y  a  una</w:t>
        <w:br/>
        <w:t xml:space="preserve">      efectiva protección judicial, así como de las garantías judiciales del</w:t>
        <w:br/>
        <w:t xml:space="preserve">      debido proceso legal que reconocen, respectivamente, los artículos  7,</w:t>
        <w:br/>
        <w:t xml:space="preserve">      4, 25 y 8 de la Convención Americana y que, asimismo, en  el  presente</w:t>
        <w:br/>
        <w:t xml:space="preserve">      caso el Estado peruano no ha cumplido con la  obligación  de  respetar</w:t>
        <w:br/>
        <w:t xml:space="preserve">      los  derechos  y  garantías  que  establece  el  artículo  1.1  de  la</w:t>
        <w:br/>
        <w:t xml:space="preserve">      Convención Americana.</w:t>
        <w:br/>
        <w:br/>
        <w:br/>
        <w:t xml:space="preserve">            2.    RECOMENDAR al Estado del  Perú  que  pague  una  adecuada,</w:t>
        <w:br/>
        <w:t xml:space="preserve">      pronta y efectiva indemnización compensatoria a los familiares de  las</w:t>
        <w:br/>
        <w:t xml:space="preserve">      víctimas por el daño moral y material causado como consecuencia de los</w:t>
        <w:br/>
        <w:t xml:space="preserve">      hechos denunciados y comprobados  por  la  Comisión  y  por  la  Corte</w:t>
        <w:br/>
        <w:t xml:space="preserve">      Interamericana de Derechos Humanos.</w:t>
        <w:br/>
        <w:br/>
        <w:br/>
        <w:t xml:space="preserve">            3.    SOLICITAR al Gobierno del Perú que en el plazo de 60  días</w:t>
        <w:br/>
        <w:t xml:space="preserve">      a partir de la notificación  del  presente  informe,  comunique  a  la</w:t>
        <w:br/>
        <w:t xml:space="preserve">      Comisión Interamericana de Derechos Humanos, las medidas  que  hubiera</w:t>
        <w:br/>
        <w:t xml:space="preserve">      adoptado en el presente caso, de conformidad con  las  recomendaciones</w:t>
        <w:br/>
        <w:t xml:space="preserve">      contenidas en el párrafo anterior.</w:t>
        <w:br/>
        <w:br/>
        <w:br/>
        <w:t xml:space="preserve">            4.    TRANSMITIR el presente Informe de acuerdo con el  artículo</w:t>
        <w:br/>
        <w:t xml:space="preserve">      50 de la Convención Americana y comunicar al Gobierno del Perú que  no</w:t>
        <w:br/>
        <w:t xml:space="preserve">      está autorizado a publicarlo.</w:t>
        <w:br/>
        <w:br/>
        <w:t xml:space="preserve">            5.    SOMETER el presente  caso  a  consideración  de  la  Corte</w:t>
        <w:br/>
        <w:t xml:space="preserve">      Interamericana de Derechos Humanos si, en un plazo de sesenta días, el</w:t>
        <w:br/>
        <w:t xml:space="preserve">      Estado peruano no diese cumplimiento  a  la  recomendación  a  que  se</w:t>
        <w:br/>
        <w:t xml:space="preserve">      refiere el párrafo 2.</w:t>
        <w:br/>
        <w:br/>
        <w:br/>
        <w:t>8.    El 5 de julio de 1996 el Estado remitió a la Comisión  una  copia  del</w:t>
        <w:br/>
        <w:t>Informe preparado por un Equipo de Trabajo  constituido  por  representantes</w:t>
        <w:br/>
        <w:t>de diversas dependencias del Estado.  De ese Informe se desprende, según  la</w:t>
        <w:br/>
        <w:t>Comisión, que el Perú no había dado cumplimiento a sus recomendaciones.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9.    La demanda fue presentada ante la Corte el 8 de agosto  de  1996.   La</w:t>
        <w:br/>
        <w:t>Comisión designó como delegado al señor John  S.  Donaldson,  como  delegado</w:t>
        <w:br/>
        <w:t>suplente al señor Álvaro Tirado Mejía y como  asesor  al  señor  Domingo  E.</w:t>
        <w:br/>
        <w:t>Acevedo; por su parte, los  señores  Ronald  Gamarra,  Katya  Salazar,  José</w:t>
        <w:br/>
        <w:t>Miguel Vivanco, Viviana  Krsticevic,  Ariel  Dulitzky  y  Marcela  Matamoros</w:t>
        <w:br/>
        <w:t>fueron nombrados como asistentes.   El  9  de  marzo  de  1998  la  Comisión</w:t>
        <w:br/>
        <w:t>designó como sus nuevos delegados a los señores Helio Bicudo  y  Domingo  E.</w:t>
        <w:br/>
        <w:t>Acevedo.  Por nota recibida el 18 de  junio  de  1998  la  señora  Matamoros</w:t>
        <w:br/>
        <w:t>comunicó a la Corte su renuncia a la participación en el presente caso.</w:t>
        <w:br/>
        <w:br/>
        <w:t>10.   El 23 de agosto de 1996 la Secretaría de la  Corte  (en  adelante  “la</w:t>
        <w:br/>
        <w:t>Secretaría”), previo examen  preliminar  de  la  demanda  realizado  por  el</w:t>
        <w:br/>
        <w:t>Presidente de la Corte (en adelante “el Presidente”), notificó la  misma  al</w:t>
        <w:br/>
        <w:t>Estado.</w:t>
        <w:br/>
        <w:br/>
        <w:t>11.   El 6 de septiembre de 1996 el Perú comunicó a la Corte la  designación</w:t>
        <w:br/>
        <w:t>del señor Jorge Hawie Soret como agente.</w:t>
        <w:br/>
        <w:br/>
        <w:t>12.   El 19 de septiembre de 1996 el Presidente,  a  solicitud  del  Estado,</w:t>
        <w:br/>
        <w:t>amplió el plazo para la designación del juez ad hoc hasta el  8  de  octubre</w:t>
        <w:br/>
        <w:t>de 1996.  El 4 de los mismos mes y año, el  Perú  designó  Juez  ad  hoc  al</w:t>
        <w:br/>
        <w:t>señor Fernando Vidal Ramírez.</w:t>
        <w:br/>
        <w:br/>
        <w:t>13.   El 20 de septiembre de 1996 el Estado presentó un escrito en  el  cual</w:t>
        <w:br/>
        <w:t>interpuso siete excepciones preliminares y solicitó a la Corte,  de  acuerdo</w:t>
        <w:br/>
        <w:t>con las excepciones deducidas, que dispusiera el archivo de la demanda.</w:t>
        <w:br/>
        <w:br/>
        <w:t>14.   El 29 de octubre de 1996 la Comisión presentó la  contestación  a  las</w:t>
        <w:br/>
        <w:t>excepciones preliminares y solicitó a la Corte que  las  desestimara  en  su</w:t>
        <w:br/>
        <w:t>totalidad.</w:t>
        <w:br/>
        <w:br/>
        <w:t>15.   El 22 de noviembre de 1996 el Estado solicitó una prórroga  del  plazo</w:t>
        <w:br/>
        <w:t>para la contestación de la demanda, la cual fue concedida  hasta  el  20  de</w:t>
        <w:br/>
        <w:t>diciembre de 1996.  El 26  de  noviembre  de  1996  el  Estado  presentó  su</w:t>
        <w:br/>
        <w:t>contestación a la demanda, en la cual  solicitó  que  se  le  concediera  la</w:t>
        <w:br/>
        <w:t>posibilidad  de  “hacer  llegar  en   escrito   complementario,   suficiente</w:t>
        <w:br/>
        <w:t>documentación  que  servir[ía]  para  comprobar  [sus]  aseveraciones”.   Al</w:t>
        <w:br/>
        <w:t>respecto, el 3 de diciembre de 1996 el Presidente  de  la  Corte  le  otorgó</w:t>
        <w:br/>
        <w:t>plazo hasta el 6 de enero de 1997.</w:t>
        <w:br/>
        <w:br/>
        <w:t>16.   El 6 de enero de 1997 el Perú presentó una  nota  relacionada  con  el</w:t>
        <w:br/>
        <w:t>ofrecimiento de pruebas y el 15 de enero de 1997 remitió “dos folletines  de</w:t>
        <w:br/>
        <w:t>corte subversivo [titulados Pronunciamientos y ¡Día de  la  Heroicidad!]  en</w:t>
        <w:br/>
        <w:t>[los] que aparecen los nombres de Nolberto Durand Ugarte y  [Gabriel]  Pablo</w:t>
        <w:br/>
        <w:t>Durand Rivera, como participantes que no se rindieron en el motín”  ocurrido</w:t>
        <w:br/>
        <w:t>en el penal San Juan Bautista, conocido como El  Frontón  (en  adelante  “El</w:t>
        <w:br/>
        <w:t>Frontón”), y solicitó  que  la  Corte  admitiera  dicha  documentación  como</w:t>
        <w:br/>
        <w:t>prueba.</w:t>
        <w:br/>
        <w:br/>
        <w:t>17.    El  22  de  enero  de  1997  la  Comisión   Interamericana   presentó</w:t>
        <w:br/>
        <w:t>observaciones al escrito del Estado de 6 de enero de 1997, y señaló  que  el</w:t>
        <w:br/>
        <w:t>mismo  constituía  “una  ampliación  de  la  contestación  de   la   demanda</w:t>
        <w:br/>
        <w:t>interpuesta por la CIDH, lo que no  se  compadece  con  lo  previsto  en  el</w:t>
        <w:br/>
        <w:t>Reglamento de la Corte, particularmente en el artículo 37”.</w:t>
        <w:br/>
        <w:br/>
        <w:t>18.   El 18 de marzo de 1997 la Secretaría solicitó al Perú, a pedido de  la</w:t>
        <w:br/>
        <w:t>Comisión, que  remitiera  la  siguiente  documentación:  lista  de  internos</w:t>
        <w:br/>
        <w:t>entregada por el Jefe de Identificación del Penal San Juan Bautista al  2do.</w:t>
        <w:br/>
        <w:t>Juzgado de Instrucción Permanente de Marina; resolución de 17  de  julio  de</w:t>
        <w:br/>
        <w:t>1987 dictada por el 6to. Tribunal Correccional  de  Lima;  y  dictámenes  de</w:t>
        <w:br/>
        <w:t>mayoría y minoría emitidos por la Comisión Investigadora  del  Congreso  del</w:t>
        <w:br/>
        <w:t>Perú sobre los sucesos acaecidos el 18 y 19 de junio  de  1986.   El  19  de</w:t>
        <w:br/>
        <w:t>mayo de 1997 el Estado informó que  tenía  dificultades  para  localizar  la</w:t>
        <w:br/>
        <w:t>resolución del 17 de julio de 1987, en vista de que en 1993  había  ocurrido</w:t>
        <w:br/>
        <w:t>un incendio que destruyó el  archivo  del  Sexto  Tribunal  Correccional  de</w:t>
        <w:br/>
        <w:t>Lima, pero que iba a tratar de localizar una copia, o bien  presentaría  una</w:t>
        <w:br/>
        <w:t>constancia de  la  Corte  Superior  de  Justicia  de  Lima  en  la  cual  se</w:t>
        <w:br/>
        <w:t>acreditara la destrucción del archivo.  El 20 de  mayo  de  1997  el  Estado</w:t>
        <w:br/>
        <w:t>presentó  la  lista  y  los  dictámenes  solicitados.   A  la  fecha  no  ha</w:t>
        <w:br/>
        <w:t>presentado  la  resolución  de  17  de  julio  de  1987.   En  documentación</w:t>
        <w:br/>
        <w:t>presentada el 24 de enero de 1999, aparece una nota de fecha 6 de  enero  de</w:t>
        <w:br/>
        <w:t>1998,  en  la  que  se  indica  que  “la  Sexta  Sala  actualmente  ha  sido</w:t>
        <w:br/>
        <w:t>desactivada, [y] personal que laboró en la misma señala que los Libros  Toma</w:t>
        <w:br/>
        <w:t>razón del año 1988 se quemaron en el incendio ocurrido hace algunos años  en</w:t>
        <w:br/>
        <w:t>el altillo de las Mesas de Partes, no pudiendo  precisar  si  el  Expediente</w:t>
        <w:br/>
        <w:t>fue remitido al Archivo de la Corte o al Juzgado de Origen”.</w:t>
        <w:br/>
        <w:br/>
        <w:t>19.   El 28 de septiembre de 1998 el Estado presentó una  nota  referente  a</w:t>
        <w:br/>
        <w:t>la situación judicial de los señores Nolberto Durand Ugarte y Gabriel  Pablo</w:t>
        <w:br/>
        <w:t>Ugarte Rivera.</w:t>
        <w:br/>
        <w:br/>
        <w:t>20.   El 26 de octubre de  1998  el  Estado,  a  pedido  de  la  Secretaría,</w:t>
        <w:br/>
        <w:t>presentó una nota referente a  la  situación  judicial  del  señor  Nolberto</w:t>
        <w:br/>
        <w:t>Durand Ugarte.</w:t>
        <w:br/>
        <w:br/>
        <w:t>21.   El 9 de noviembre de 1998 la Secretaría, siguiendo  instrucciones  del</w:t>
        <w:br/>
        <w:t>Presidente, solicitó al Estado,  de  conformidad  con  el  artículo  44  del</w:t>
        <w:br/>
        <w:t>Reglamento, la remisión de cierta documentación referente a los recursos  de</w:t>
        <w:br/>
        <w:t>hábeas corpus interpuestos y al proceso por terrorismo iniciado  contra  los</w:t>
        <w:br/>
        <w:t>señores Durand Ugarte y Ugarte Rivera, como prueba para mejor resolver.</w:t>
        <w:br/>
        <w:br/>
        <w:t>22.   El 27 de noviembre de 1998, mediante  Resolución  del  Presidente,  se</w:t>
        <w:br/>
        <w:t>requirió a la Comisión Interamericana, en  vista  de  la  solicitud  en  tal</w:t>
        <w:br/>
        <w:t>sentido efectuada en el escrito de demanda, información detallada sobre  los</w:t>
        <w:br/>
        <w:t>documentos del acervo probatorio  producido  en  el  caso  Neira  Alegría  y</w:t>
        <w:br/>
        <w:t>otros, que solicitaba se incorporasen al acervo probatorio  en  el  presente</w:t>
        <w:br/>
        <w:t>caso.</w:t>
        <w:br/>
        <w:br/>
        <w:t>23.   El 14 de diciembre de 1998 la Comisión remitió un escrito mediante  el</w:t>
        <w:br/>
        <w:t>cual señaló los documentos, de la prueba producida en el Caso Neira  Alegría</w:t>
        <w:br/>
        <w:t>y otros, que deseaba que se incorporasen al acervo probatorio  del  presente</w:t>
        <w:br/>
        <w:t>caso.  El 11 de enero de 1999  la  Secretaría  transmitió  al  Estado  dicho</w:t>
        <w:br/>
        <w:t>escrito y le concedió plazo hasta el 22 de los mismos mes  y  año  para  que</w:t>
        <w:br/>
        <w:t>presentara las observaciones que estimase pertinentes.  A  la  fecha  no  ha</w:t>
        <w:br/>
        <w:t>presentado escrito alguno a este respecto.</w:t>
        <w:br/>
        <w:br/>
        <w:t>24.   El 6 de enero de 1999 el Estado solicitó una prórroga  para  presentar</w:t>
        <w:br/>
        <w:t>la prueba para mejor resolver que se le  solicitara,  prórroga  que  le  fue</w:t>
        <w:br/>
        <w:t>concedida hasta el 22 de enero del mismo año.  El 24 de  enero  de  1999  el</w:t>
        <w:br/>
        <w:t>Perú presentó un pronunciamiento de 28 de octubre de 1986  del  Tribunal  de</w:t>
        <w:br/>
        <w:t>Garantías  Constitucionales  referente  a  la  acción   de   hábeas   corpus</w:t>
        <w:br/>
        <w:t>interpuesta, documentación referente a  las  diversas  gestiones  realizadas</w:t>
        <w:br/>
        <w:t>para localizar los actuados referidos a los recursos de hábeas corpus  y  el</w:t>
        <w:br/>
        <w:t>proceso sobre terrorismo, así como documentación proporcionada por  la  Sala</w:t>
        <w:br/>
        <w:t>Penal Corporativa Nacional para Casos de Terrorismo,  en  relación  con  los</w:t>
        <w:br/>
        <w:t>señores Durand Ugarte y Ugarte Rivera.  El 3 de marzo de  1999  se  solicitó</w:t>
        <w:br/>
        <w:t>nuevamente al  Estado  la  prueba  para  mejor  resolver  que  se  le  había</w:t>
        <w:br/>
        <w:t>requerido.  A la fecha de esta sentencia el Estado no  había  presentado  el</w:t>
        <w:br/>
        <w:t>expediente tramitado por el delito de terrorismo contra los  señores  Durand</w:t>
        <w:br/>
        <w:t>Ugarte y Ugarte Rivera ni la documentación relativa  al  recurso  de  hábeas</w:t>
        <w:br/>
        <w:t>corpus interpuesto a favor de éstos en febrero de 1986.</w:t>
        <w:br/>
        <w:br/>
        <w:t>25.   El 7 de abril de 1999 la Corte solicitó al Secretario  General  de  la</w:t>
        <w:br/>
        <w:t>OEA información referente a la notificación por  parte  del  Perú  sobre  el</w:t>
        <w:br/>
        <w:t>estado de emergencia o suspensión de  garantías  decretado  entre  el  1  de</w:t>
        <w:br/>
        <w:t>junio de 1986 y el 20 de julio de 1987.  El 19 de mayo de 1999  el  Director</w:t>
        <w:br/>
        <w:t>del Departamento de Derecho Internacional de la  Secretaría  General  de  la</w:t>
        <w:br/>
        <w:t>OEA,  señor  Jean-Michel  Arrighi,  informó  que  no   se   había   recibido</w:t>
        <w:br/>
        <w:t>notificación alguna al respecto.</w:t>
        <w:br/>
        <w:br/>
        <w:t>26.   El 28 de  mayo  de  1999  la  Corte  dictó  sentencia  de  excepciones</w:t>
        <w:br/>
        <w:t>preliminares.</w:t>
        <w:br/>
        <w:br/>
        <w:t>27.   El 10 de junio de 1999 la Secretaría solicitó a la Comisión  la  lista</w:t>
        <w:br/>
        <w:t>definitiva de testigos y peritos que debían ser convocados  a  la  audiencia</w:t>
        <w:br/>
        <w:t>pública.  El 29 de junio de 1999 la Comisión  informó  que  comparecerían  a</w:t>
        <w:br/>
        <w:t>dicha audiencia la señora Virginia Ugarte Rivera y  la  perito  Robin  Kirk.</w:t>
        <w:br/>
        <w:t>El 15 de septiembre  de  1999  la  Comisión  informó  que  la  perito  antes</w:t>
        <w:br/>
        <w:t>mencionada no comparecería “por razones fuera de su control”.</w:t>
        <w:br/>
        <w:br/>
        <w:t>28.   El 25 de junio de 1999  la  Secretaría,  siguiendo  instrucciones  del</w:t>
        <w:br/>
        <w:t>Presidente, solicitó al Estado información sobre el fundamento  de  hecho  y</w:t>
        <w:br/>
        <w:t>de derecho de la “Resolución de NO HABER MÉRITO PARA JUICIO  ORAL”  indicada</w:t>
        <w:br/>
        <w:t>en los oficios No. 544.98.INPE-CR-1 de  18  de  septiembre  de  1998  y  No.</w:t>
        <w:br/>
        <w:t>635.98.INPE-CR-P de 21 de octubre de 1998, y reiteró la solicitud  de  envío</w:t>
        <w:br/>
        <w:t>del expediente relacionado con el proceso seguido contra los inculpados  por</w:t>
        <w:br/>
        <w:t>el delito de terrorismo.</w:t>
        <w:br/>
        <w:br/>
        <w:t>29.   Mediante Resolución del Presidente de 4 de agosto de 1999  se  convocó</w:t>
        <w:br/>
        <w:t>a la Comisión Interamericana y al Estado a  una  audiencia  pública  que  se</w:t>
        <w:br/>
        <w:t>celebraría en la sede de la Corte el 20  de  septiembre  siguiente,  con  el</w:t>
        <w:br/>
        <w:t>propósito de recibir la declaración de la testigo ofrecida por  la  Comisión</w:t>
        <w:br/>
        <w:t>y se comunicó a las  partes  que  podrían  presentar  sus  alegatos  finales</w:t>
        <w:br/>
        <w:t>verbales sobre el fondo del caso, inmediatamente después de  recibida  dicha</w:t>
        <w:br/>
        <w:t>prueba.</w:t>
        <w:br/>
        <w:br/>
        <w:t>30.   El 20 de septiembre de 1999 la Corte recibió en audiencia  pública  la</w:t>
        <w:br/>
        <w:t>declaración de la testigo propuesta por la Comisión Interamericana.</w:t>
        <w:br/>
        <w:br/>
        <w:br/>
        <w:br/>
        <w:t>Comparecieron ante la Corte:</w:t>
        <w:br/>
        <w:br/>
        <w:t>por la Comisión Interamericana de Derechos Humanos:</w:t>
        <w:br/>
        <w:br/>
        <w:t xml:space="preserve">      Domingo E. Acevedo, delegado;</w:t>
        <w:br/>
        <w:t xml:space="preserve">      Viviana Krsticevic, asistente;</w:t>
        <w:br/>
        <w:t xml:space="preserve">      María Claudia Pulido, asistente; y</w:t>
        <w:br/>
        <w:t xml:space="preserve">      Carmen Herrera, asistente.</w:t>
        <w:br/>
        <w:br/>
        <w:t>Como testigo propuesta por la Comisión Interamericana:</w:t>
        <w:br/>
        <w:br/>
        <w:t xml:space="preserve">      Virginia Ugarte Rivera.</w:t>
        <w:br/>
        <w:br/>
        <w:t>El Estado no participó en la  audiencia  pública,  no  obstante  haber  sido</w:t>
        <w:br/>
        <w:t>convocado al efecto.</w:t>
        <w:br/>
        <w:br/>
        <w:t>31.   El 21 de septiembre de 1999  la  Secretaría,  siguiendo  instrucciones</w:t>
        <w:br/>
        <w:t>del Presidente, con base en las atribuciones conferidas en  el  artículo  44</w:t>
        <w:br/>
        <w:t>del Reglamento de la Corte, solicitó a la Comisión, como prueba  para  mejor</w:t>
        <w:br/>
        <w:t>resolver, información relativa al proceso seguido por terrorismo contra  los</w:t>
        <w:br/>
        <w:t>señores Nolberto Durand Ugarte y Gabriel Pablo Ugarte Rivera entre el 18  de</w:t>
        <w:br/>
        <w:t>junio de 1986 y el 17 de julio de 1987 y, en particular, toda información  o</w:t>
        <w:br/>
        <w:t>documentación  acerca  de  la  participación  del  señor   Miguel   Talavera</w:t>
        <w:br/>
        <w:t>Rospigliosi, abogado de las supuestas víctimas en dicho proceso, durante  el</w:t>
        <w:br/>
        <w:t>período mencionado.  El  4  de  octubre  de  1999  la  Comisión  remitió  la</w:t>
        <w:br/>
        <w:t>información relacionada anteriormente.</w:t>
        <w:br/>
        <w:br/>
        <w:br/>
        <w:t>32.   El 20 de septiembre de 1999 el Presidente informó a  la  Comisión  que</w:t>
        <w:br/>
        <w:t>contaba con un plazo de 30 días para presentar los alegatos finales.</w:t>
        <w:br/>
        <w:br/>
        <w:t>33.   El 20 de octubre de 1999 la Comisión presentó su escrito  de  alegatos</w:t>
        <w:br/>
        <w:t>finales.</w:t>
        <w:br/>
        <w:br/>
        <w:t>34.   El 10 de enero de 2000  la  Secretaría,  siguiendo  instrucciones  del</w:t>
        <w:br/>
        <w:t>Presidente, comunicó al Estado que se le  concedía  plazo  hasta  el  11  de</w:t>
        <w:br/>
        <w:t>febrero del mismo año para presentar  alegatos  finales  escritos  sobre  el</w:t>
        <w:br/>
        <w:t>fondo del caso.  En la fecha señalada  el  Estado  presentó  su  escrito  de</w:t>
        <w:br/>
        <w:t>alegatos finales.</w:t>
        <w:br/>
        <w:br/>
        <w:t>35.   El 9 de junio de 2000 el  Presidente  resolvió  incorporar  al  acervo</w:t>
        <w:br/>
        <w:t>probatorio del presente caso parte de la prueba producida en el  caso  Neira</w:t>
        <w:br/>
        <w:t>Alegría y otros (infra párr. 38).</w:t>
        <w:br/>
        <w:br/>
        <w:br/>
        <w:br/>
        <w:t xml:space="preserve">                                      V</w:t>
        <w:br/>
        <w:br/>
        <w:br/>
        <w:t xml:space="preserve">                             PRUEBA  DOCUMENTAL</w:t>
        <w:br/>
        <w:br/>
        <w:br/>
        <w:t>36.    Con  el  escrito  de  demanda,  la  Comisión  presentó  copia  de  11</w:t>
        <w:br/>
        <w:t>documentos contenidos en igual número de anexos.[2]</w:t>
        <w:br/>
        <w:br/>
        <w:t>37.   Al presentar su contestación de la demanda, el  Estado  adjuntó  copia</w:t>
        <w:br/>
        <w:t>de dos folletos.[3]</w:t>
        <w:br/>
        <w:br/>
        <w:t>38.   Se incorporaron al acervo probatorio del presente caso las  siguientes</w:t>
        <w:br/>
        <w:t>pruebas documental y testifical producidas en el caso Neira Alegría y  otros</w:t>
        <w:br/>
        <w:t>(supra párr. 35): Dictamen en  Minoría  de  la  Comisión  Investigadora  del</w:t>
        <w:br/>
        <w:t>Congreso de la República del Perú sobre los Sucesos acaecidos el 18 y 19  de</w:t>
        <w:br/>
        <w:t>junio de 1986 en los Penales de Lurigancho,  El  Frontón  y   Santa  Bárbara</w:t>
        <w:br/>
        <w:t>(Lima, Diciembre de  1987),  que  contiene  una  evaluación  de  los  hechos</w:t>
        <w:br/>
        <w:t>ocurridos en los penales San Juan  Bautista  (ex  Frontón),  San  Pedro  (ex</w:t>
        <w:br/>
        <w:t>Lurigancho), y Santa Bárbara, y de las decisiones tomadas  por  el  Gobierno</w:t>
        <w:br/>
        <w:t>al respecto; artículos de prensa sobre los hechos ocurridos en  los  penales</w:t>
        <w:br/>
        <w:t>San Juan Bautista (ex Frontón), San Pedro (ex Lurigancho), y Santa  Bárbara;</w:t>
        <w:br/>
        <w:t>autopsias realizadas por los médicos Augusto Yamada, Juan  Herver  Kruger  y</w:t>
        <w:br/>
        <w:t>José Ráez Gonzáles a los cadáveres de algunos internos de  “El  Frontón”;  y</w:t>
        <w:br/>
        <w:t>expediente  tramitado  en  el  Fuero  Privativo  Militar   relativo   a   la</w:t>
        <w:br/>
        <w:t>investigación de los sucesos ocurridos en el Establecimiento Penal San  Juan</w:t>
        <w:br/>
        <w:t>Bautista los días 18 y 19 de junio de 1986.  Asimismo  se  incorporaron  las</w:t>
        <w:br/>
        <w:t>siguientes  declaraciones  e  informes  periciales  rendidos   durante   las</w:t>
        <w:br/>
        <w:t>audiencias públicas celebradas en la sede de la Corte entre los días 6 y  10</w:t>
        <w:br/>
        <w:t>de julio de 1993 sobre el fondo del caso Neira Alegría y otros:</w:t>
        <w:br/>
        <w:br/>
        <w:t xml:space="preserve">      a)    Testimonio de Sonia Goldenberg (periodista)</w:t>
        <w:br/>
        <w:br/>
        <w:br/>
        <w:t xml:space="preserve">      Como periodista, entrevistó a Jesús Mejía Huerta, quien le informó que</w:t>
        <w:br/>
        <w:t xml:space="preserve">      después del bombardeo del penal quedaron con vida unos 70 presos;  que</w:t>
        <w:br/>
        <w:t xml:space="preserve">      los  llamaban  en  grupos  y  que  ocurrieron  fusilamientos;  que  el</w:t>
        <w:br/>
        <w:t xml:space="preserve">      entrevistado tenía ocho o diez heridas de  bala  y  fue  arrojado  con</w:t>
        <w:br/>
        <w:t xml:space="preserve">      otros heridos en una fosa. Posteriormente fue dinamitado  el  Pabellón</w:t>
        <w:br/>
        <w:t xml:space="preserve">      Azul.  Así mismo,  la  señora  Goldenberg  entrevistó  a  Juan  Tulich</w:t>
        <w:br/>
        <w:t xml:space="preserve">      Morales, quien le informó que sabía  que  a  los  detenidos  que  eran</w:t>
        <w:br/>
        <w:t xml:space="preserve">      cabecillas del motín los llevaron a la  base  naval  de  San  Lorenzo,</w:t>
        <w:br/>
        <w:t xml:space="preserve">      donde los fusilaron.</w:t>
        <w:br/>
        <w:br/>
        <w:br/>
        <w:t xml:space="preserve">      b)    Testimonio de Pilar Coll (asistente social)</w:t>
        <w:br/>
        <w:br/>
        <w:t xml:space="preserve">      En agosto de 1987, estaba adscrita a una  oficina  encargada,  por  la</w:t>
        <w:br/>
        <w:t xml:space="preserve">      Comisión Investigadora del Parlamento, de recibir testimonios  de  los</w:t>
        <w:br/>
        <w:t xml:space="preserve">      familiares  de  los  detenidos   en   los   penales   y   de   algunos</w:t>
        <w:br/>
        <w:t xml:space="preserve">      sobrevivientes; por ello entrevistó a Jesús  Mejía  Huerta,  quien  le</w:t>
        <w:br/>
        <w:t xml:space="preserve">      informó, con mayor amplitud, lo que ya había declarado  a  la  testigo</w:t>
        <w:br/>
        <w:t xml:space="preserve">      anterior.  Señaló que algunos familiares de los detenidos  sabían  que</w:t>
        <w:br/>
        <w:t xml:space="preserve">      varios sobrevivientes habían desaparecido.</w:t>
        <w:br/>
        <w:br/>
        <w:br/>
        <w:t xml:space="preserve">      c)    Dictamen de Guillermo Tamayo Pinto Bazurco (ingeniero civil)</w:t>
        <w:br/>
        <w:br/>
        <w:br/>
        <w:t xml:space="preserve">      En 1987  el  Centro  de  Proyectos  y  Construcciones,  del  cual  era</w:t>
        <w:br/>
        <w:t xml:space="preserve">      Presidente,  fue  contratado  por  la  comisión   del   Congreso   que</w:t>
        <w:br/>
        <w:t xml:space="preserve">      investigaba los sucesos de los penales para  evaluar  técnicamente  lo</w:t>
        <w:br/>
        <w:t xml:space="preserve">      que había sucedido en el Pabellón Azul desde el punto de vista  de  la</w:t>
        <w:br/>
        <w:t xml:space="preserve">      ingeniería.   Visitó  El  Frontón,  cuyo  Pabellón  Azul  había   sido</w:t>
        <w:br/>
        <w:t xml:space="preserve">      demolido.  La demolición total se había producido mediante  explosivos</w:t>
        <w:br/>
        <w:t xml:space="preserve">      plásticos colocados al pie de las  columnas.   El  declarante  observó</w:t>
        <w:br/>
        <w:t xml:space="preserve">      huellas de la onda expansiva por  fuera  del  edificio,  así  como  la</w:t>
        <w:br/>
        <w:t xml:space="preserve">      existencia de 20 metros de túneles, que no afectaron la solidez de  la</w:t>
        <w:br/>
        <w:t xml:space="preserve">      estructura; no había vestigios  de  que  en  ellos  hubieran  ocurrido</w:t>
        <w:br/>
        <w:t xml:space="preserve">      explosiones.</w:t>
        <w:br/>
        <w:br/>
        <w:t xml:space="preserve">      d)    Dictamen de Enrique Bernardo Cangahuala (ingeniero civil)</w:t>
        <w:br/>
        <w:br/>
        <w:t xml:space="preserve">      El declarante señaló que fue contratado por  la  comisión  del  Senado</w:t>
        <w:br/>
        <w:t xml:space="preserve">      para hacer una evaluación, desde el punto de vista  de  la  ingeniería</w:t>
        <w:br/>
        <w:t xml:space="preserve">      civil, sobre el problema que se había presentado en el penal San  Juan</w:t>
        <w:br/>
        <w:t xml:space="preserve">      Bautista. Después de visitar el sitio y reunir antecedentes, participó</w:t>
        <w:br/>
        <w:t xml:space="preserve">      en la elaboración de un informe. El Colegio de Ingenieros hizo suyo el</w:t>
        <w:br/>
        <w:t xml:space="preserve">      informe.   Encontraron  túneles  que  no  ofrecían  continuidad  hacia</w:t>
        <w:br/>
        <w:t xml:space="preserve">      aberturas en la costa, ni evidencia de explosivos en las columnas  del</w:t>
        <w:br/>
        <w:t xml:space="preserve">      Pabellón.  Con el trabajo de diez peones se hubieran  podido  eliminar</w:t>
        <w:br/>
        <w:t xml:space="preserve">      los escombros en el pabellón en el curso de un mes.  Si  la  intención</w:t>
        <w:br/>
        <w:t xml:space="preserve">      de usar explosivos hubiera  sido  ingresar  al  Pabellón,  se  habrían</w:t>
        <w:br/>
        <w:t xml:space="preserve">      colocado en los muros.  A su juicio, los explosivos se colocaron  para</w:t>
        <w:br/>
        <w:t xml:space="preserve">      demoler el edificio.  No hay  evidencia  de  que  hubiera  habido  una</w:t>
        <w:br/>
        <w:t xml:space="preserve">      explosión en el interior  del  edificio.   Un  explosivo  plástico  no</w:t>
        <w:br/>
        <w:t xml:space="preserve">      podría  provocar  una  explosión  de  dinamita  por  simpatía.   Había</w:t>
        <w:br/>
        <w:t xml:space="preserve">      posibilidad de que la gente se refugiara en los túneles,  pero  no  de</w:t>
        <w:br/>
        <w:t xml:space="preserve">      que pudieran salir de éstos.</w:t>
        <w:br/>
        <w:br/>
        <w:br/>
        <w:t xml:space="preserve">      e)    Testimonio de Ricardo Aurelio Chumbes Paz (abogado y juez penal)</w:t>
        <w:br/>
        <w:br/>
        <w:t xml:space="preserve">      En la época de los hechos era Juez Instructor del  Callao.  El  18  de</w:t>
        <w:br/>
        <w:t xml:space="preserve">      junio de 1986 escuchó por la radio la noticia de  los  motines  en  El</w:t>
        <w:br/>
        <w:t xml:space="preserve">      Frontón, y, alrededor de la una de la tarde, el Presidente de la Corte</w:t>
        <w:br/>
        <w:t xml:space="preserve">      Suprema lo comisionó para observar los hechos, sin poder de  decisión,</w:t>
        <w:br/>
        <w:t xml:space="preserve">      para luego informarlo.   Las  autoridades  de  la  Marina  le  negaron</w:t>
        <w:br/>
        <w:t xml:space="preserve">      facilidades para trasladarse a la Isla Penal.  Como a las tres y media</w:t>
        <w:br/>
        <w:t xml:space="preserve">      o cuatro de la tarde ingresó  a  su  despacho  un  hábeas  corpus  que</w:t>
        <w:br/>
        <w:t xml:space="preserve">      presentaron los abogados de los internos del penal, y alrededor de las</w:t>
        <w:br/>
        <w:t xml:space="preserve">      nueve y media de la noche se le facilitó una lancha que lo trasladó  a</w:t>
        <w:br/>
        <w:t xml:space="preserve">      la Isla.  Entrevistó al Director del Penal, quien le comunicó  que  la</w:t>
        <w:br/>
        <w:t xml:space="preserve">      Isla  estaba  bajo  el  control  de  la  Marina  de  Guerra.   También</w:t>
        <w:br/>
        <w:t xml:space="preserve">      entrevistó al Viceministro del  Interior  quien  le  comunicó  que  el</w:t>
        <w:br/>
        <w:t xml:space="preserve">      Gobierno, por intermedio del Consejo de Ministros, había  encargado  a</w:t>
        <w:br/>
        <w:t xml:space="preserve">      las Fuerzas Armadas la debelación de los motines. A continuación  hubo</w:t>
        <w:br/>
        <w:t xml:space="preserve">      un apagón y explosiones.  Se acercó a una reja localizada  como  a  50</w:t>
        <w:br/>
        <w:t xml:space="preserve">      metros del penal y gritó que salieran delegados de los internos,  pero</w:t>
        <w:br/>
        <w:t xml:space="preserve">      no obtuvo ninguna respuesta.  Se le impidió hablar con el Comandante a</w:t>
        <w:br/>
        <w:t xml:space="preserve">      cargo del operativo militar.  Al abordar una lancha  en  la  madrugada</w:t>
        <w:br/>
        <w:t xml:space="preserve">      para retirarse, oyó explosiones, y al tercer día supo por  los  medios</w:t>
        <w:br/>
        <w:t xml:space="preserve">      de  difusión  sobre  los  muertos  habidos  como  consecuencia  de  la</w:t>
        <w:br/>
        <w:t xml:space="preserve">      debelación del motín.  Intentó dirigirse de nuevo al  penal  y  se  le</w:t>
        <w:br/>
        <w:t xml:space="preserve">      impidió hacerlo, diciéndosele que era Zona  Militar  Restringida.   En</w:t>
        <w:br/>
        <w:t xml:space="preserve">      otros casos de motines ha habido  debelación  sin  necesidad  de  usar</w:t>
        <w:br/>
        <w:t xml:space="preserve">      medios letales.  Los  internos  de  El  Frontón  no  pudieron  haberse</w:t>
        <w:br/>
        <w:t xml:space="preserve">      fugado.  Los recursos de garantía o  de  hábeas  corpus,  en  el  caso</w:t>
        <w:br/>
        <w:t xml:space="preserve">      concreto de El Frontón, fueron ineficaces para la tutela de  la  vida,</w:t>
        <w:br/>
        <w:t xml:space="preserve">      la integridad física y los derechos fundamentales de las personas.  Al</w:t>
        <w:br/>
        <w:t xml:space="preserve">      hacerse levantamientos de cadáveres se toman  las  huellas  digitales,</w:t>
        <w:br/>
        <w:t xml:space="preserve">      las huellas de los dientes y en algunos casos las huellas de los pies,</w:t>
        <w:br/>
        <w:t xml:space="preserve">      y cuando un prisionero entra a la cárcel se le toman huellas digitales</w:t>
        <w:br/>
        <w:t xml:space="preserve">      y fotografías.</w:t>
        <w:br/>
        <w:br/>
        <w:br/>
        <w:t xml:space="preserve">      f)    Testimonio de José Antonio Burneo Labrín (abogado y profesor del</w:t>
        <w:br/>
        <w:t xml:space="preserve">           curso de derechos humanos en la Universidad Mayor de San Marcos)</w:t>
        <w:br/>
        <w:br/>
        <w:br/>
        <w:br/>
        <w:br/>
        <w:t xml:space="preserve">      En el año 1986 era Director del Departamento Jurídico de  la  Comisión</w:t>
        <w:br/>
        <w:t xml:space="preserve">      Episcopal de Acción Social (CEAS) de la Iglesia Católica.  Dos o  tres</w:t>
        <w:br/>
        <w:t xml:space="preserve">      semanas después de los hechos,  acudieron  a  esa  oficina  la  señora</w:t>
        <w:br/>
        <w:t xml:space="preserve">      Alegría, madre de Victor Neira Alegría, y el padre  de  Edgar  Zenteno</w:t>
        <w:br/>
        <w:t xml:space="preserve">      Escobar y  William  Zenteno  Escobar,  pidiendo  que  les  ayudaran  a</w:t>
        <w:br/>
        <w:t xml:space="preserve">      conseguir información sobre el paradero de sus familiares.  Planteó un</w:t>
        <w:br/>
        <w:t xml:space="preserve">      recurso  de  hábeas  corpus  ante  el  Vigésimo  Primer   Juzgado   de</w:t>
        <w:br/>
        <w:t xml:space="preserve">      Instrucción de Lima, el día 16 de julio de 1986.   El  Presidente  del</w:t>
        <w:br/>
        <w:t xml:space="preserve">      Comando Conjunto de las Fuerzas Armadas y el Comandante General de  la</w:t>
        <w:br/>
        <w:t xml:space="preserve">      Marina declararon que la información debía pedirse a  las  autoridades</w:t>
        <w:br/>
        <w:t xml:space="preserve">      penitenciarias o al Juez Especial de la Marina que estaba  practicando</w:t>
        <w:br/>
        <w:t xml:space="preserve">      el levantamiento de los cadáveres.  El Presidente del Consejo Nacional</w:t>
        <w:br/>
        <w:t xml:space="preserve">      Penitenciario entregó al juez una lista de los detenidos en El Frontón</w:t>
        <w:br/>
        <w:t xml:space="preserve">      el día de los hechos, en la cual aparecían 152 internos,  entre  ellos</w:t>
        <w:br/>
        <w:t xml:space="preserve">      Víctor Raúl Neira Alegría y los hermanos Zenteno, e informó que habían</w:t>
        <w:br/>
        <w:t xml:space="preserve">      puesto a su disposición 27 detenidos sanos y salvos y  siete  heridos.</w:t>
        <w:br/>
        <w:t xml:space="preserve">      El juez resolvió que no procedía el hábeas corpus, resolución que  fue</w:t>
        <w:br/>
        <w:t xml:space="preserve">      apelada, y el Tribunal Correccional de Lima, por dos votos contra uno,</w:t>
        <w:br/>
        <w:t xml:space="preserve">      decidió no haber lugar a la  apelación.   El  25  de  agosto  de  1986</w:t>
        <w:br/>
        <w:t xml:space="preserve">      interpuso recurso de nulidad ante la Corte Suprema, y la Sala Penal de</w:t>
        <w:br/>
        <w:t xml:space="preserve">      ese Tribunal resolvió que no había nulidad.  La CEAS interpuso recurso</w:t>
        <w:br/>
        <w:t xml:space="preserve">      de casación ante el Tribunal de Garantías Constitucionales,  y  cuatro</w:t>
        <w:br/>
        <w:t xml:space="preserve">      miembros de éste votaron en favor de la casación, es decir,  faltó  un</w:t>
        <w:br/>
        <w:t xml:space="preserve">      voto para obtener la casación porque se requieren cinco favorables,  y</w:t>
        <w:br/>
        <w:t xml:space="preserve">      en esa forma quedó agotada  la  instancia  nacional.   Aconsejó  a  la</w:t>
        <w:br/>
        <w:t xml:space="preserve">      familia recurrir a la Comisión Interamericana.</w:t>
        <w:br/>
        <w:br/>
        <w:br/>
        <w:t xml:space="preserve">      g)    Testimonio de César Delgado Barreto (abogado)</w:t>
        <w:br/>
        <w:br/>
        <w:br/>
        <w:t xml:space="preserve">      El testigo fue elegido Senador en 1985 y fungió  como  miembro  de  la</w:t>
        <w:br/>
        <w:t xml:space="preserve">      Comisión de Justicia de Derechos Humanos del Senado.  Después  de  los</w:t>
        <w:br/>
        <w:t xml:space="preserve">      acontecimientos en los penales, el Congreso nombró,  a  solicitud  del</w:t>
        <w:br/>
        <w:t xml:space="preserve">      Presidente de la República,  una comisión  investigadora  bicameral  y</w:t>
        <w:br/>
        <w:t xml:space="preserve">      multipartidaria de trece miembros, de la que el declarante formó parte</w:t>
        <w:br/>
        <w:t xml:space="preserve">      y que sesionó durante cuatro meses.  En el motín de El  Frontón  actuó</w:t>
        <w:br/>
        <w:t xml:space="preserve">      inicialmente la Guardia Republicana y después la Infantería de Marina;</w:t>
        <w:br/>
        <w:t xml:space="preserve">      primero se dispararon tres cohetes y luego  se  utilizaron  explosivos</w:t>
        <w:br/>
        <w:t xml:space="preserve">      plásticos.   En  su  opinión,  hubo  desproporción   en   los   medios</w:t>
        <w:br/>
        <w:t xml:space="preserve">      utilizados, pues no había necesidad de  haber  usado  explosivos.   La</w:t>
        <w:br/>
        <w:t xml:space="preserve">      comisión contó con el apoyo de un grupo de ingenieros, que elaboró  un</w:t>
        <w:br/>
        <w:t xml:space="preserve">      informe sobre la demolición.  No sabe de alguna investigación que haya</w:t>
        <w:br/>
        <w:t xml:space="preserve">      logrado determinar  el  paradero  de  Neira  Alegría  y  los  hermanos</w:t>
        <w:br/>
        <w:t xml:space="preserve">      Zenteno.  Los  informes  de  mayoría  y  de  minoría  de  la  comisión</w:t>
        <w:br/>
        <w:t xml:space="preserve">      coinciden en cuanto a los hechos y difieren desde el  punto  de  vista</w:t>
        <w:br/>
        <w:t xml:space="preserve">      político constitucional sobre la responsabilidad de los Ministros  que</w:t>
        <w:br/>
        <w:t xml:space="preserve">      aprobaron la participación del Comando Conjunto en la  debelación  del</w:t>
        <w:br/>
        <w:t xml:space="preserve">      motín.  Uno de los sobrevivientes informó a una  tercera  persona  que</w:t>
        <w:br/>
        <w:t xml:space="preserve">      hubo ejecuciones de amotinados después de que se habían rendido,  pero</w:t>
        <w:br/>
        <w:t xml:space="preserve">      al ser requerido por la comisión para ratificar su versión, se negó  a</w:t>
        <w:br/>
        <w:t xml:space="preserve">      hacerlo.</w:t>
        <w:br/>
        <w:br/>
        <w:br/>
        <w:t xml:space="preserve">      h)    Testimonio  de  Rolando  Ames  Cobián  (licenciado  en  Ciencias</w:t>
        <w:br/>
        <w:t xml:space="preserve">           Políticas)</w:t>
        <w:br/>
        <w:br/>
        <w:br/>
        <w:t xml:space="preserve">      En 1987 era Senador, y fue designado presidente  de  la  comisión  del</w:t>
        <w:br/>
        <w:t xml:space="preserve">      Congreso para investigar los sucesos en los tres  penales  donde  hubo</w:t>
        <w:br/>
        <w:t xml:space="preserve">      motines.  La  comisión  hizo  la  investigación  con  el  mayor  rigor</w:t>
        <w:br/>
        <w:t xml:space="preserve">      posible.  Los informes de mayoría y de minoría coinciden en  cuanto  a</w:t>
        <w:br/>
        <w:t xml:space="preserve">      los hechos; la diferencia está en el grado de responsabilidad que cada</w:t>
        <w:br/>
        <w:t xml:space="preserve">      uno señala en el más alto nivel del Gobierno, por lo que respecta a la</w:t>
        <w:br/>
        <w:t xml:space="preserve">      represión en los penales.  El Gobierno declaró no tomar la rebelión en</w:t>
        <w:br/>
        <w:t xml:space="preserve">      los tres penales como un problema de índole policial,  sino  “como  la</w:t>
        <w:br/>
        <w:t xml:space="preserve">      gran confrontación entre el Gobierno y Sendero Luminoso ... porque los</w:t>
        <w:br/>
        <w:t xml:space="preserve">      comunicados  públicos  y  las  declaraciones  del  Presidente  de   la</w:t>
        <w:br/>
        <w:t xml:space="preserve">      República son netas en definir así las cosas, Sendero Luminoso  versus</w:t>
        <w:br/>
        <w:t xml:space="preserve">      el Gobierno”.  Esto  motivó  que  la  debelación  se  hiciera  lo  más</w:t>
        <w:br/>
        <w:t xml:space="preserve">      rápidamente posible por medio del  Comando  Conjunto  de  las  Fuerzas</w:t>
        <w:br/>
        <w:t xml:space="preserve">      Armadas. Las dos terceras partes del Pabellón Azul que estaban en  pie</w:t>
        <w:br/>
        <w:t xml:space="preserve">      fueron demolidas por cargas de  dinamita  colocadas  en  las  columnas</w:t>
        <w:br/>
        <w:t xml:space="preserve">      exteriores,  lo  que  produjo  un  número  de  muertos   absolutamente</w:t>
        <w:br/>
        <w:t xml:space="preserve">      innecesario entre reclusos que no estaban haciendo resistencia activa.</w:t>
        <w:br/>
        <w:t xml:space="preserve">       No hubo interés en buscar heridos ni personas en los túneles,  ni  se</w:t>
        <w:br/>
        <w:t xml:space="preserve">      permitió la entrada al penal sino hasta un año después.  Neira Alegría</w:t>
        <w:br/>
        <w:t xml:space="preserve">      y los hermanos  Zenteno  no  estaban  entre  los  prisioneros  que  se</w:t>
        <w:br/>
        <w:t xml:space="preserve">      rindieron, pero figuraban  en  la  lista  que  el  Instituto  Nacional</w:t>
        <w:br/>
        <w:t xml:space="preserve">      Penitenciario proporcionó a la comisión.  Los  sobrevivientes  de  los</w:t>
        <w:br/>
        <w:t xml:space="preserve">      motines se negaron a declarar ante la comisión.  El Congreso aprobó el</w:t>
        <w:br/>
        <w:t xml:space="preserve">      informe de mayoría de la comisión investigadora.  La  explosión  final</w:t>
        <w:br/>
        <w:t xml:space="preserve">      que demolió el penal se produjo cuando no estaba ocurriendo un  ataque</w:t>
        <w:br/>
        <w:t xml:space="preserve">      intenso, sino cuando  éste  ya  había  concluido,  y  no  ocurrió  por</w:t>
        <w:br/>
        <w:t xml:space="preserve">      simpatía de dinamita, sino por voladura de las columnas que  sostenían</w:t>
        <w:br/>
        <w:t xml:space="preserve">      el edificio.  Además de los 28 internos que se rindieron el mismo  día</w:t>
        <w:br/>
        <w:t xml:space="preserve">      de los acontecimientos, un día después aparecieron uno o  dos  más,  y</w:t>
        <w:br/>
        <w:t xml:space="preserve">      tres días después aparecieron otros tantos.  La comisión investigadora</w:t>
        <w:br/>
        <w:t xml:space="preserve">      solicitó información sobre  la  investigación  que  hacía  el  Consejo</w:t>
        <w:br/>
        <w:t xml:space="preserve">      Supremo de  Justicia  Militar,  pero  la  Sala  Naval  no  proporcionó</w:t>
        <w:br/>
        <w:t xml:space="preserve">      ninguna, e incluso se negó a suministrar los nombres de los  oficiales</w:t>
        <w:br/>
        <w:t xml:space="preserve">      que tuvieron a su cargo  la  operación.   La  comisión  no  contó  con</w:t>
        <w:br/>
        <w:t xml:space="preserve">      evidencia de que los internos del penal tuvieran dinamita, y trató  de</w:t>
        <w:br/>
        <w:t xml:space="preserve">      informarse sobre el motivo de que se no  se  usaran  medios  diversos,</w:t>
        <w:br/>
        <w:t xml:space="preserve">      como gases lacrimógenos o enervantes y se le dijo que no  hubo  tiempo</w:t>
        <w:br/>
        <w:t xml:space="preserve">      de aplicarlos por la urgencia de acabar con el motín esa misma  noche.</w:t>
        <w:br/>
        <w:t xml:space="preserve">      No había ninguna posibilidad de fuga por parte de los amotinados.</w:t>
        <w:br/>
        <w:br/>
        <w:br/>
        <w:t xml:space="preserve">      i)    Testimonio de José Ráez González (médico cirujano)</w:t>
        <w:br/>
        <w:br/>
        <w:br/>
        <w:t xml:space="preserve">      A solicitud de la Marina de Guerra se pidió al Instituto  de  Medicina</w:t>
        <w:br/>
        <w:t xml:space="preserve">      Legal designar dos expertos para hacer estudios en restos  cadavéricos</w:t>
        <w:br/>
        <w:t xml:space="preserve">      en El Frontón, y en esa condición trabajó en  la  isla  desde  febrero</w:t>
        <w:br/>
        <w:t xml:space="preserve">      hasta abril de 1987 y examinó más o menos 90 cadáveres.   El  objetivo</w:t>
        <w:br/>
        <w:t xml:space="preserve">      del médico legista es determinar la causa de la muerte y ayudar  a  la</w:t>
        <w:br/>
        <w:t xml:space="preserve">      identificación;  los  cadáveres  habían  pasado  toda  la   etapa   de</w:t>
        <w:br/>
        <w:t xml:space="preserve">      putrefacción primaria, algunos estaban en momificación y otros  habían</w:t>
        <w:br/>
        <w:t xml:space="preserve">      perdido todas las partes  blandas  y  sólo  había  fragmentos  de  los</w:t>
        <w:br/>
        <w:t xml:space="preserve">      cuerpos; en muchos casos no se pudo determinar la causa de  la  muerte</w:t>
        <w:br/>
        <w:t xml:space="preserve">      por tratarse sólo de  restos  óseos,  en  otros  se  determinó  muerte</w:t>
        <w:br/>
        <w:t xml:space="preserve">      causada por fracturas múltiples.  En algunos casos se describieron los</w:t>
        <w:br/>
        <w:t xml:space="preserve">      restos de ropa, la talla, el sexo, la edad y los restos dentales.   No</w:t>
        <w:br/>
        <w:t xml:space="preserve">      es función del médico ponerse en contacto con los  familiares  de  las</w:t>
        <w:br/>
        <w:t xml:space="preserve">      víctimas para tratar de identificar los cadáveres;  la  identificación</w:t>
        <w:br/>
        <w:t xml:space="preserve">      corresponde al Departamento de Investigaciones.  De algunos  cadáveres</w:t>
        <w:br/>
        <w:t xml:space="preserve">      pudo tomar huellas digitales.  La  mayoría  de  las  muertes  fue  por</w:t>
        <w:br/>
        <w:t xml:space="preserve">      aplastamiento.   Una  vez  concluidos  los  peritajes,  el  declarante</w:t>
        <w:br/>
        <w:t xml:space="preserve">      entregó los protocolos, resúmenes y comentarios al Juez Naval y  firmó</w:t>
        <w:br/>
        <w:t xml:space="preserve">      los certificados de defunción.  Son muchos los  factores  que  impiden</w:t>
        <w:br/>
        <w:t xml:space="preserve">      tomar huellas dactilares  a  un  cadáver.   No  recuerda  haber  visto</w:t>
        <w:br/>
        <w:t xml:space="preserve">      quemaduras en los cadáveres.</w:t>
        <w:br/>
        <w:br/>
        <w:br/>
        <w:t xml:space="preserve">      j)     Testimonio  de  Augusto  Yamada   Yamada   (Médico   Jefe   del</w:t>
        <w:br/>
        <w:t xml:space="preserve">           Departamento de Anatomía Patológica del Hospital Naval,  oficial</w:t>
        <w:br/>
        <w:t xml:space="preserve">           de la Marina con el rango de Capitán de Fragata Sanidad Naval)</w:t>
        <w:br/>
        <w:br/>
        <w:t xml:space="preserve">      Los días 19 y 20 de junio de 1986 comenzó a  hacer  necropsias  en  El</w:t>
        <w:br/>
        <w:t xml:space="preserve">      Frontón.  Los de la policía tomaron huellas digitales, y un odontólogo</w:t>
        <w:br/>
        <w:t xml:space="preserve">      los odontogramas.  Hizo los protocolos de necropsia y los certificados</w:t>
        <w:br/>
        <w:t xml:space="preserve">      de defunción y actuó bajo las órdenes del juez de la Marina.   De  las</w:t>
        <w:br/>
        <w:t xml:space="preserve">      38 necropsias que suscribió, en 17 se indica herida de arma  de  fuego</w:t>
        <w:br/>
        <w:t xml:space="preserve">      como causa de muerte, y en 21, aplastamiento;  en  algunos  casos  las</w:t>
        <w:br/>
        <w:t xml:space="preserve">      heridas de bala eran múltiples y los disparos no  se  habían  hecho  a</w:t>
        <w:br/>
        <w:t xml:space="preserve">      corta distancia.  La identificación estaba a cargo de  la  Policía  de</w:t>
        <w:br/>
        <w:t xml:space="preserve">      Investigación.  En cuatro certificados de defunción  se  pusieron  los</w:t>
        <w:br/>
        <w:t xml:space="preserve">      nombres de los difuntos, que le fueron suministrados por el juez.   No</w:t>
        <w:br/>
        <w:t xml:space="preserve">      encontró esquirlas en los cadáveres.  Los cuerpos que examinó  estaban</w:t>
        <w:br/>
        <w:t xml:space="preserve">      más o menos enteros,  salvo  tres  que  no  tenían  cabeza.   Practicó</w:t>
        <w:br/>
        <w:t xml:space="preserve">      necropsias los días 19 y 20 de junio, varias en julio, y cinco  el  22</w:t>
        <w:br/>
        <w:t xml:space="preserve">      de enero de 1989.</w:t>
        <w:br/>
        <w:br/>
        <w:br/>
        <w:t xml:space="preserve">      k)    Testimonio de Juan Kruger Párraga (médico anátomo-patólogo)</w:t>
        <w:br/>
        <w:br/>
        <w:br/>
        <w:t xml:space="preserve">      Hasta el año 89 fue Jefe del  Departamento  de  Patología  del  Centro</w:t>
        <w:br/>
        <w:t xml:space="preserve">      Médico Naval, con el grado de Capitán  de  Navío.   El  objeto  de  la</w:t>
        <w:br/>
        <w:t xml:space="preserve">      necropsia, entre otros, es  determinar  la  causa  de  la  muerte,  la</w:t>
        <w:br/>
        <w:t xml:space="preserve">      identificación de los cadáveres no compete al médico sino a la Policía</w:t>
        <w:br/>
        <w:t xml:space="preserve">      de Investigaciones.  Fue llamado a practicar necropsias en El Frontón.</w:t>
        <w:br/>
        <w:t xml:space="preserve">       La primera vez que estuvo allí fue el  5  de  julio  de  1986,  y  la</w:t>
        <w:br/>
        <w:t xml:space="preserve">      última, el 22 de enero de 1987.  Hizo 23 necropsias y en la mayoría de</w:t>
        <w:br/>
        <w:t xml:space="preserve">      ellas señaló el “estado de putrefacción” en  que  se  encontraban  los</w:t>
        <w:br/>
        <w:t xml:space="preserve">      cadáveres,  y  que  muchos  cuerpos  tenían  fracturas  múltiples  por</w:t>
        <w:br/>
        <w:t xml:space="preserve">      aplastamiento; ninguno de los protocolos  de  autopsia  que  él  firmó</w:t>
        <w:br/>
        <w:t xml:space="preserve">      identifica a la persona.  En las necropsias intervinieron  odontólogos</w:t>
        <w:br/>
        <w:t xml:space="preserve">      que hicieron odontogramas en los casos en que  se  encontraron  piezas</w:t>
        <w:br/>
        <w:t xml:space="preserve">      dentales.  Los dictámenes fueron entregados al Juez de Marina. Algunos</w:t>
        <w:br/>
        <w:t xml:space="preserve">      cadáveres tenían ropas civiles, pero en  los  protocolos  no  consignó</w:t>
        <w:br/>
        <w:t xml:space="preserve">      estos datos.  No encontró en los cadáveres rastros de heridas por arma</w:t>
        <w:br/>
        <w:t xml:space="preserve">      de fuego.  Por el estado de los cadáveres, no podía determinar  si  el</w:t>
        <w:br/>
        <w:t xml:space="preserve">      fallecimiento ocurrió el 18 o el 19.  Cada necropsia duraba dos  horas</w:t>
        <w:br/>
        <w:t xml:space="preserve">      o más.  En pocos cadáveres encontró signos de quemaduras.</w:t>
        <w:br/>
        <w:br/>
        <w:br/>
        <w:t xml:space="preserve">      l)    Dictamen de Robert H. Kirschner (médico y patólogo forense)</w:t>
        <w:br/>
        <w:br/>
        <w:t xml:space="preserve">      Al rendir su declaración era Sub-Jefe Médico Examinador y suplente del</w:t>
        <w:br/>
        <w:t xml:space="preserve">      principal del Condado de Cook, Illinois, en Chicago. En  el  ejercicio</w:t>
        <w:br/>
        <w:t xml:space="preserve">      de su profesión ha hecho más de 7.000 autopsias.  En  el  caso  de  El</w:t>
        <w:br/>
        <w:t xml:space="preserve">      Frontón,  las  autoridades  debían,  como  es  usual,  tener   huellas</w:t>
        <w:br/>
        <w:t xml:space="preserve">      digitales de los internos, y hubiera sido fácil compararlas con las de</w:t>
        <w:br/>
        <w:t xml:space="preserve">      los cadáveres, lo mismo que los odontogramas,  tatuajes  y  cicatrices</w:t>
        <w:br/>
        <w:t xml:space="preserve">      antiguas, para lo cual la ayuda de la familia es muy  importante.   El</w:t>
        <w:br/>
        <w:t xml:space="preserve">      20 de junio hubiera sido muy fácil, teniendo la información necesaria,</w:t>
        <w:br/>
        <w:t xml:space="preserve">      identificar todos los cadáveres.   Es  muy  importante  fotografiar  y</w:t>
        <w:br/>
        <w:t xml:space="preserve">      hacer diagramas del  sitio  de  un  desastre  antes  de  levantar  los</w:t>
        <w:br/>
        <w:t xml:space="preserve">      cadáveres, incluso  para  determinar  la  causa  de  la  muerte.   Las</w:t>
        <w:br/>
        <w:t xml:space="preserve">      necropsias fueron hechas profesionalmente, pero hubo omisión por parte</w:t>
        <w:br/>
        <w:t xml:space="preserve">      de los encargados  de  las  identificaciones;  incluso  ahora  podrían</w:t>
        <w:br/>
        <w:t xml:space="preserve">      hacerse muchas identificaciones, aún sin exhumación, especialmente  si</w:t>
        <w:br/>
        <w:t xml:space="preserve">      hay cooperación de los familiares. Son pocos los casos en  que  no  se</w:t>
        <w:br/>
        <w:t xml:space="preserve">      logra  la  identificación.  Una  explosión  interna  dejaría   huellas</w:t>
        <w:br/>
        <w:t xml:space="preserve">      perceptibles en el cuerpo.</w:t>
        <w:br/>
        <w:br/>
        <w:t xml:space="preserve">      m)    Dictamen de Clyde C. Snow (médico y antropólogo-forense)</w:t>
        <w:br/>
        <w:br/>
        <w:br/>
        <w:t xml:space="preserve">      A partir de 1984, ha sido llamado muchas veces fuera  de  los  Estados</w:t>
        <w:br/>
        <w:t xml:space="preserve">      Unidos, para investigar en casos de desapariciones  o  ejecuciones  en</w:t>
        <w:br/>
        <w:t xml:space="preserve">      masa en Argentina,  Bolivia,  Chile,  Guatemala,  El  Salvador,  Irak,</w:t>
        <w:br/>
        <w:t xml:space="preserve">      Kurdistán y la ex Yugoslavia.  Muchos de esos casos eran más difíciles</w:t>
        <w:br/>
        <w:t xml:space="preserve">      que el de El Frontón, porque en éste se contaba con una lista  de  los</w:t>
        <w:br/>
        <w:t xml:space="preserve">      internos y en los registros penitenciarios debió  haber  descripciones</w:t>
        <w:br/>
        <w:t xml:space="preserve">      físicas, huellas digitales, evidencia dental,  etc.   La  momificación</w:t>
        <w:br/>
        <w:t xml:space="preserve">      facilita, en cierto modo, la identificación,  en  particular  por  las</w:t>
        <w:br/>
        <w:t xml:space="preserve">      huellas digitales y marcas en la piel.  Estadísticamente es improbable</w:t>
        <w:br/>
        <w:t xml:space="preserve">      que un médico haya encontrado 17 cadáveres con heridas de  bala  entre</w:t>
        <w:br/>
        <w:t xml:space="preserve">      96, y los otros dos  médicos  no  hayan  encontrado  ninguno.   En  un</w:t>
        <w:br/>
        <w:t xml:space="preserve">      edificio más grande que el Pabellón Azul el levantamiento de cadáveres</w:t>
        <w:br/>
        <w:t xml:space="preserve">      e identificación se hizo en dos o tres semanas.  Si  él  hubiera  sido</w:t>
        <w:br/>
        <w:t xml:space="preserve">      llamado para identificar los cadáveres de El Frontón,  habría  reunido</w:t>
        <w:br/>
        <w:t xml:space="preserve">      primero todos los datos sobre las víctimas y luego  fotografiado  cada</w:t>
        <w:br/>
        <w:t xml:space="preserve">      cadáver en el sitio en que fue encontrado.  Aún  siete  meses  después</w:t>
        <w:br/>
        <w:t xml:space="preserve">      del suceso se hubiera podido hacer la identificación de más de 90  por</w:t>
        <w:br/>
        <w:t xml:space="preserve">      ciento de los muertos, e  incluso  ahora  sería  posible  practicarla,</w:t>
        <w:br/>
        <w:t xml:space="preserve">      reuniendo los datos sobre huellas  dactilares  y  odontogramas,  y  en</w:t>
        <w:br/>
        <w:t xml:space="preserve">      algunos casos exhumando los cadáveres.</w:t>
        <w:br/>
        <w:br/>
        <w:t>39.   A  solicitud  de  la  Comisión,  la  Corte  pidió  al  Estado  ciertos</w:t>
        <w:br/>
        <w:t>documentos relacionados con el caso, de los cuales el Estado  presentó  sólo</w:t>
        <w:br/>
        <w:t>algunos (supra párr. 18).[4]</w:t>
        <w:br/>
        <w:br/>
        <w:t>40.   El Estado presentó dos oficios referentes a la situación  jurídica  de</w:t>
        <w:br/>
        <w:t>Durand y Ugarte.[5]</w:t>
        <w:br/>
        <w:br/>
        <w:t>41.   La Comisión, a pedido del Presidente, presentó como prueba para  mejor</w:t>
        <w:br/>
        <w:t>resolver un documento con información referente al  proceso  por  terrorismo</w:t>
        <w:br/>
        <w:t>seguido contra los señores Durand Ugarte y Ugarte Rivera y  respecto  a  los</w:t>
        <w:br/>
        <w:t>recursos de hábeas corpus interpuestos  con  ocasión  del  debelamiento  del</w:t>
        <w:br/>
        <w:t>motín.[6]</w:t>
        <w:br/>
        <w:br/>
        <w:t>42.   La Comisión presentó un escrito mediante el cual adjuntó  un  artículo</w:t>
        <w:br/>
        <w:t>periodístico fuera de los supuestos del artículo 43 del Reglamento.[7]</w:t>
        <w:br/>
        <w:br/>
        <w:br/>
        <w:t xml:space="preserve">                                     VI</w:t>
        <w:br/>
        <w:t xml:space="preserve">                             PRUEBA TESTIMONIAL</w:t>
        <w:br/>
        <w:br/>
        <w:t>43.   La Corte recibió, en audiencia pública celebrada el 20  de  septiembre</w:t>
        <w:br/>
        <w:t>de  1999,  la  declaración  de  la  testigo   ofrecida   por   la   Comisión</w:t>
        <w:br/>
        <w:t>Interamericana, que se resume a continuación:</w:t>
        <w:br/>
        <w:br/>
        <w:t xml:space="preserve">      Testimonio de Virginia Ugarte Rivera,  madre  y  hermana  de  Nolberto</w:t>
        <w:br/>
        <w:t xml:space="preserve">      Durand Ugarte y Gabriel Pablo Ugarte Rivera, respectivamente.</w:t>
        <w:br/>
        <w:br/>
        <w:t>Su hermano Gabriel Pablo fue detenido en su departamento, el 14  de  febrero</w:t>
        <w:br/>
        <w:t>de 1986, a las dos de la mañana.  No supo quién lo detuvo.  Se enteró de  la</w:t>
        <w:br/>
        <w:t>captura cuando, luego de encontrar la  casa  donde  habitaba  desordenada  y</w:t>
        <w:br/>
        <w:t>revuelta, un vecino le dijo que policías vestidos  de  civil  se  lo  habían</w:t>
        <w:br/>
        <w:t>llevado en un carro.  Los vecinos tenían temor de  avisarle,  porque  habían</w:t>
        <w:br/>
        <w:t>sido amenazados por  los  captores.   Fue  a  buscarlo  a  la  Comisaría  de</w:t>
        <w:br/>
        <w:t>Tahuantisuyu, pero allí le dijeron que  no  estaba,  por  lo  cual  continuó</w:t>
        <w:br/>
        <w:t>buscando sin éxito en las comisarías de Independencia,  Cachitá,  Rimac,  la</w:t>
        <w:br/>
        <w:t>Comisaría Sexta y de Breña.  Ese mismo día, cuando regresó  a  su  casa,  su</w:t>
        <w:br/>
        <w:t>sobrina le dijo que los policías -algunos vestidos  de  civil  y  otros  con</w:t>
        <w:br/>
        <w:t>traje de milicia- se habían llevado a su  hijo  Nolberto  en  una  camioneta</w:t>
        <w:br/>
        <w:t>blanca, junto con otras personas, a las 11 de la mañana,  mientras  laboraba</w:t>
        <w:br/>
        <w:t>como vendedor.  No supo donde se encontraba su hijo  sino  hasta  ocho  días</w:t>
        <w:br/>
        <w:t>después  de  la  detención,  cuando  se  entrevistó  con  la  alcaldesa   de</w:t>
        <w:br/>
        <w:t>Independencia, Esther Moreno, quién la envió donde su alcalde, el que  a  su</w:t>
        <w:br/>
        <w:t>vez la remitió al senador Genaro Ledezma.   El  senador  la  envió  con  una</w:t>
        <w:br/>
        <w:t>carta a la DINCOTE para  buscarlos,  y  posteriormente  la  acompañó  a  ese</w:t>
        <w:br/>
        <w:t>lugar.  En ese momento se enteró de su paradero, y  hasta  15  días  después</w:t>
        <w:br/>
        <w:t>los  vio,  en  la  DINCOTE,  maltratados,  con  los  rostros   hinchados   y</w:t>
        <w:br/>
        <w:t>desfigurados, como producto de los  golpes  que  ahí  recibieron,  según  le</w:t>
        <w:br/>
        <w:t>dijeron su hijo y su hermano.  Estos permanecieron en la DINCOTE entre 15  y</w:t>
        <w:br/>
        <w:t>18 días.  De ahí pasaron a la Sexta Comisaría, luego al Palacio de  Justicia</w:t>
        <w:br/>
        <w:t>de Lima, y por último fueron trasladados a El Frontón, a finales del mes  de</w:t>
        <w:br/>
        <w:t>febrero.  Los iba a visitar los sábados y domingos, en la sección de  presos</w:t>
        <w:br/>
        <w:t>políticos  de  la  prisión  El  Frontón.   Los  guardias  amenazaban  a  los</w:t>
        <w:br/>
        <w:t>familiares que visitaban a los  presos.   Gracias  a  la  recomendación  del</w:t>
        <w:br/>
        <w:t>párroco de su comunidad, consiguió  que  el  doctor  Miguel  Talavera  fuese</w:t>
        <w:br/>
        <w:t>abogado de sus familiares.  Interpuso dos acciones  de  hábeas  corpus  para</w:t>
        <w:br/>
        <w:t>lograr la libertad de éstos.  Se enteró  por  la  radio  del  motín  que  se</w:t>
        <w:br/>
        <w:t>produjo en El Frontón el 18 de junio  de  1986.   Cuando  llegó  al  Callao,</w:t>
        <w:br/>
        <w:t>muchos familiares de presos gritaban para que no los mataran. Desde allí  se</w:t>
        <w:br/>
        <w:t>veía que salía mucho humo de la isla.  Alrededor de las diez de  la  mañana,</w:t>
        <w:br/>
        <w:t>la policía  y  el  ejército  sacaron  en  camionetas,  encapuchados,  a  los</w:t>
        <w:br/>
        <w:t>familiares de los presos que estaban en el Callao.  Ella estuvo así todo  el</w:t>
        <w:br/>
        <w:t>día hasta las 3:00 ó 4:00 de la tarde.  No supo por ningún medio  acerca  de</w:t>
        <w:br/>
        <w:t>la suerte que corrieron sus familiares en el suceso.  Su abogado  le  indicó</w:t>
        <w:br/>
        <w:t>que tal vez los habían trasladado a  San  Lorenzo  o  los  habían  liberado.</w:t>
        <w:br/>
        <w:t>Interpusieron un hábeas corpus ante la Corte del Callao.  Buscó sus  nombres</w:t>
        <w:br/>
        <w:t>en las listas de las personas muertas en el motín, que  habían  colocado  en</w:t>
        <w:br/>
        <w:t>el Palacio de Justicia, pero  no  figuraban  en  ellas.   Fue  a  la  Morgue</w:t>
        <w:br/>
        <w:t>Central, donde se encontraban cadáveres de personas muertas en el motín,  no</w:t>
        <w:br/>
        <w:t>así  los  de  sus  familiares.  Aquéllos  estaban  “todos  quemados,   todos</w:t>
        <w:br/>
        <w:t>resecados las cabezas, todo rojo, este quemado los pelos todo,  destrozados,</w:t>
        <w:br/>
        <w:t>algunos  todos  deshechos”.   Tampoco  los  encontró  en  el  cementerio  de</w:t>
        <w:br/>
        <w:t>Huachipa,  donde  los  buscó  entre  los  cadáveres  amontonados.    Ninguna</w:t>
        <w:br/>
        <w:t>autoridad le dio explicación alguna  sobre  la  suerte  de  sus  familiares.</w:t>
        <w:br/>
        <w:t>Nunca le entregaron sus cuerpos.  Supo por  el  periódico  que  después  del</w:t>
        <w:br/>
        <w:t>motín  su  hijo  y  hermano  fueron  judicialmente   declarados   inocentes.</w:t>
        <w:br/>
        <w:t>Posteriormente  sufrió  de  una  parálisis  parcial  del  cuerpo,  y  estuvo</w:t>
        <w:br/>
        <w:t>hospitalizada durante varios meses.  Manifestó temor por lo que  le  pudiera</w:t>
        <w:br/>
        <w:t>pasar a raíz de su declaración ante la Corte.</w:t>
        <w:br/>
        <w:br/>
        <w:br/>
        <w:t xml:space="preserve">                                     VII</w:t>
        <w:br/>
        <w:t xml:space="preserve">                           VALORACIÓN DE LA PRUEBA</w:t>
        <w:br/>
        <w:br/>
        <w:t>44.   Una vez descritas  las  pruebas  recibidas,  la  Corte  precisará  los</w:t>
        <w:br/>
        <w:t>criterios generales sobre la valoración  de  la  prueba  en  este  caso,  la</w:t>
        <w:br/>
        <w:t>mayoría de los cuales han sido ya desarrollados  por  la  jurisprudencia  de</w:t>
        <w:br/>
        <w:t>este Tribunal.</w:t>
        <w:br/>
        <w:br/>
        <w:t>45.   En un  tribunal  internacional  cuyo  fin  es  la  protección  de  los</w:t>
        <w:br/>
        <w:t>derechos humanos, como es la Corte Interamericana, el procedimiento  reviste</w:t>
        <w:br/>
        <w:t>particularidades que lo  diferencian  de  un  proceso  de  derecho  interno.</w:t>
        <w:br/>
        <w:t>Aquél es menos formal y más flexible que éste, sin  descuidar  la  seguridad</w:t>
        <w:br/>
        <w:t>jurídica y el equilibrio procesal entre las partes.[8]</w:t>
        <w:br/>
        <w:br/>
        <w:t>46.   Por otro  lado,  es  necesario  tener  presente  que  la  jurisdicción</w:t>
        <w:br/>
        <w:t>internacional de los derechos humanos difiere de  la  justicia  penal  y  no</w:t>
        <w:br/>
        <w:t>debe confundirse con ésta.  Cuando los Estados comparecen ante la  Corte  no</w:t>
        <w:br/>
        <w:t>lo hacen como sujetos de un proceso penal, pues aquélla no  impone  penas  a</w:t>
        <w:br/>
        <w:t>las personas culpables  de  violar  los  derechos  humanos;  su  función  es</w:t>
        <w:br/>
        <w:t>declarar, en su caso, que se ha violado un  derecho  humano  en  agravio  de</w:t>
        <w:br/>
        <w:t>ciertas personas, proteger a la víctima y determinar la  reparación  de  los</w:t>
        <w:br/>
        <w:t>daños  ocasionados  por   los   Estados   sujetos   a   la   responsabilidad</w:t>
        <w:br/>
        <w:t>internacional que se deriva de la violación.[9]</w:t>
        <w:br/>
        <w:br/>
        <w:t>47.   Además de la prueba directa, sea testimonial, pericial  o  documental,</w:t>
        <w:br/>
        <w:t>los tribunales internacionales -al igual que los internos- pueden fundar  la</w:t>
        <w:br/>
        <w:t>sentencia en pruebas circunstanciales, indicios y presunciones, siempre  que</w:t>
        <w:br/>
        <w:t>de ellos puedan inferirse conclusiones sólidas sobre los  hechos  sujetos  a</w:t>
        <w:br/>
        <w:t>examen.  Al respecto, la Corte ha dicho que</w:t>
        <w:br/>
        <w:br/>
        <w:t xml:space="preserve">      en ejercicio de su función jurisdiccional, tratándose de la  obtención</w:t>
        <w:br/>
        <w:t xml:space="preserve">      y valoración de las pruebas necesarias para la decisión de  los  casos</w:t>
        <w:br/>
        <w:t xml:space="preserve">      que conoce puede, en determinadas circunstancias, utilizar  tanto  las</w:t>
        <w:br/>
        <w:t xml:space="preserve">      pruebas circunstanciales como los indicios  o  las  presunciones  como</w:t>
        <w:br/>
        <w:t xml:space="preserve">      base de sus pronunciamientos,  cuando  de  aquéllas  puedan  inferirse</w:t>
        <w:br/>
        <w:t xml:space="preserve">      conclusiones consistentes sobre los hechos.[10]</w:t>
        <w:br/>
        <w:br/>
        <w:t>48.   Asimismo, como ha señalado la Corte, los criterios de  apreciación  de</w:t>
        <w:br/>
        <w:t>la prueba ante un tribunal internacional de derechos  humanos  tienen  mayor</w:t>
        <w:br/>
        <w:t>amplitud, pues la determinación de la responsabilidad  internacional  de  un</w:t>
        <w:br/>
        <w:t>Estado por violación de derechos de  la  persona  permite  al  tribunal  una</w:t>
        <w:br/>
        <w:t>mayor flexibilidad en la valoración de la prueba rendida ante él  sobre  los</w:t>
        <w:br/>
        <w:t>hechos pertinentes, de acuerdo con las reglas de la lógica y con base en  la</w:t>
        <w:br/>
        <w:t>experiencia.[11]</w:t>
        <w:br/>
        <w:br/>
        <w:t>49.   Corresponde a la Corte,  en  particular,  apreciar  el  valor  de  los</w:t>
        <w:br/>
        <w:t>documentos y del testimonio presentados en el presente caso.</w:t>
        <w:br/>
        <w:br/>
        <w:t>50.   En cuanto a la prueba documental aportada por la  Comisión  y  por  el</w:t>
        <w:br/>
        <w:t>Estado (supra párrs. 36 y 37), la Corte reconoce el valor probatorio de  los</w:t>
        <w:br/>
        <w:t>documentos presentados, que, por  lo  demás,  no  fueron  controvertidos  ni</w:t>
        <w:br/>
        <w:t>objetados.</w:t>
        <w:br/>
        <w:br/>
        <w:t>51.   Esta Corte considera que las  partes  deben  allegar  al  Tribunal  la</w:t>
        <w:br/>
        <w:t>prueba solicitada por éste, sea documental, testimonial, pericial o de  otra</w:t>
        <w:br/>
        <w:t>índole.  La Comisión  y  el  Estado  deben  facilitar  todos  los  elementos</w:t>
        <w:br/>
        <w:t>probatorios requeridos -de oficio, como  prueba  para  mejor  resolver  o  a</w:t>
        <w:br/>
        <w:t>petición de parte- a fin de que el Tribunal cuente con el  mayor  número  de</w:t>
        <w:br/>
        <w:t>elementos de juicio para conocer los hechos y motivar sus  resoluciones.   A</w:t>
        <w:br/>
        <w:t>este respecto, es  preciso  tomar  en  cuenta  que  en  los  procesos  sobre</w:t>
        <w:br/>
        <w:t>violaciones de derechos humanos puede ocurrir que el  demandante  no  cuente</w:t>
        <w:br/>
        <w:t>con la posibilidad de allegar pruebas  que  sólo  puedan  obtenerse  con  la</w:t>
        <w:br/>
        <w:t>cooperación del Estado.[12]</w:t>
        <w:br/>
        <w:br/>
        <w:t>52.   En el presente caso, el Estado omitió  aportar  documentación  que  le</w:t>
        <w:br/>
        <w:t>fue solicitada en  varias  oportunidades.  Así,  no  aportó  los  siguientes</w:t>
        <w:br/>
        <w:t>documentos:  expediente tramitado por el delito  de  terrorismo  contra  los</w:t>
        <w:br/>
        <w:t>señores Ugarte Rivera y Durand Ugarte; resolución de 17 de julio de 1987,  e</w:t>
        <w:br/>
        <w:t>información sobre el fundamento de hecho  y  de  derecho  de  la  resolución</w:t>
        <w:br/>
        <w:t>indicada en los oficios No. 544.98.INPE-CR-P del Ministerio  de  Justicia  y</w:t>
        <w:br/>
        <w:t>No. 635.98.INPE-CR-P del Ministerio de Justicia,  de  18  de  septiembre  de</w:t>
        <w:br/>
        <w:t>1998 y 31 de octubre de 1998, respectivamente.  En tal virtud, el  Perú  fue</w:t>
        <w:br/>
        <w:t>omiso en hacer llegar al Tribunal documentación  que  podría  ser  relevante</w:t>
        <w:br/>
        <w:t>para el conocimiento de los hechos.</w:t>
        <w:br/>
        <w:br/>
        <w:t>53.    El  testimonio  de  la  señora  Virginia  Ugarte  Rivera  se   admite</w:t>
        <w:br/>
        <w:t>únicamente en cuanto concuerde con el objeto  del  interrogatorio  propuesto</w:t>
        <w:br/>
        <w:t>por la Comisión, y se valorará  dentro  del  conjunto  de  pruebas  de  este</w:t>
        <w:br/>
        <w:t>proceso, de acuerdo con el principio de la sana crítica.</w:t>
        <w:br/>
        <w:br/>
        <w:t>54.   La prueba producida en el caso Neira Alegría y otros,  incorporada  al</w:t>
        <w:br/>
        <w:t>acervo  probatorio  del  presente  caso  (supra  párr.  38),   se   valorará</w:t>
        <w:br/>
        <w:t>igualmente en el contexto de las pruebas correspondientes a este  proceso  y</w:t>
        <w:br/>
        <w:t>conforme a las reglas de la sana crítica.</w:t>
        <w:br/>
        <w:br/>
        <w:t>55.   La prueba documental presentada por la Comisión,  a  solicitud  de  la</w:t>
        <w:br/>
        <w:t>Corte, como  prueba  para  mejor  resolver,  será  valorada  en  los  mismos</w:t>
        <w:br/>
        <w:t>términos señalados en los párrafos anteriores.</w:t>
        <w:br/>
        <w:br/>
        <w:t>56.   En cuanto  a  los  oficios  No.  544.98.INPE-CR-P  del  Ministerio  de</w:t>
        <w:br/>
        <w:t>Justicia y No.  635.98.INPE-CR-P  del  Ministerio  de  Justicia,  de  18  de</w:t>
        <w:br/>
        <w:t>septiembre de 1998 y 31 de octubre  de  1998,  respectivamente,  que  fueron</w:t>
        <w:br/>
        <w:t>presentados por el  Estado  en  forma  extemporánea,  la  Corte  estima  que</w:t>
        <w:br/>
        <w:t>constituyen prueba documental útil, en la medida que  contienen  información</w:t>
        <w:br/>
        <w:t>sobre el proceso de terrorismo seguido contra Durand Ugarte y Ugarte  Rivera</w:t>
        <w:br/>
        <w:t>en el Perú, por lo que los incorpora al acervo probatorio, con  base  en  el</w:t>
        <w:br/>
        <w:t>artículo 44 de su Reglamento, y los valorará dentro del conjunto de  pruebas</w:t>
        <w:br/>
        <w:t>del presente caso y conforme al principio de la sana crítica.</w:t>
        <w:br/>
        <w:br/>
        <w:t>57.   Las consideraciones formuladas en el párrafo  precedente  son  también</w:t>
        <w:br/>
        <w:t>aplicables al artículo periodístico presentado en forma extemporánea por  la</w:t>
        <w:br/>
        <w:t>Comisión, el 22 de enero de 1997, que contiene información  relacionada  con</w:t>
        <w:br/>
        <w:t>la situación de los señores Durand Ugarte y Ugarte Rivera.</w:t>
        <w:br/>
        <w:br/>
        <w:t>58.   La Constitución  Política  del  Perú  de  1979,  la  Ley  Orgánica  de</w:t>
        <w:br/>
        <w:t>Justicia Militar (Decreto Ley No. 23201) y el  Código  de  Justicia  Militar</w:t>
        <w:br/>
        <w:t>(Decreto-Ley No. 23214) son  consideradas  útiles  para  la  resolución  del</w:t>
        <w:br/>
        <w:t>presente  caso,  por  lo  cual  son  agregados  al  acervo  probatorio,   en</w:t>
        <w:br/>
        <w:t>aplicación de lo dispuesto en el artículo 44.1 del Reglamento.[13]</w:t>
        <w:br/>
        <w:br/>
        <w:br/>
        <w:t xml:space="preserve">                                    VIII</w:t>
        <w:br/>
        <w:t xml:space="preserve">                               Hechos probados</w:t>
        <w:br/>
        <w:br/>
        <w:t>59.   Del examen de los documentos y de la declaración de  la  testigo,  así</w:t>
        <w:br/>
        <w:t>como de las manifestaciones formuladas por el Estado y la  Comisión,  en  el</w:t>
        <w:br/>
        <w:t>curso de los procedimientos, esta Corte considera  probados  los  siguientes</w:t>
        <w:br/>
        <w:t>hechos:</w:t>
        <w:br/>
        <w:br/>
        <w:t xml:space="preserve">      a.    el 14 y 15 de febrero de 1986 fueron detenidos  Nolberto  Durand</w:t>
        <w:br/>
        <w:t xml:space="preserve">      Ugarte y Gabriel Pablo Ugarte Rivera, respectivamente,  por  efectivos</w:t>
        <w:br/>
        <w:t xml:space="preserve">      de la Dirección contra el Terrorismo -DIRCOTE- bajo sospecha de  haber</w:t>
        <w:br/>
        <w:t xml:space="preserve">      participado en actos de terrorismo;[14]</w:t>
        <w:br/>
        <w:br/>
        <w:t xml:space="preserve">      b.    Nolberto Durand Ugarte y  Gabriel  Pablo  Ugarte  Rivera  fueron</w:t>
        <w:br/>
        <w:t xml:space="preserve">      detenidos sin mediar orden judicial alguna ni haber  sido  encontrados</w:t>
        <w:br/>
        <w:t xml:space="preserve">      en flagrante delito;[15]</w:t>
        <w:br/>
        <w:br/>
        <w:t xml:space="preserve">      c.    se negó al señor Gabriel  Pablo  Ugarte  Rivera  el  derecho  de</w:t>
        <w:br/>
        <w:t xml:space="preserve">      contar con un  abogado  defensor,  porque  fue  obligado  a  renunciar</w:t>
        <w:br/>
        <w:t xml:space="preserve">      expresamente a este derecho;[16]</w:t>
        <w:br/>
        <w:br/>
        <w:t xml:space="preserve">      d.    realizada la investigación policial, Nolberto  Durand  Ugarte  y</w:t>
        <w:br/>
        <w:t xml:space="preserve">      Gabriel Pablo Ugarte Rivera fueron  puestos  a  disposición  del  39o.</w:t>
        <w:br/>
        <w:t xml:space="preserve">      Juzgado de Instrucción de Lima el 4 de marzo de 1986,  cuando  se  les</w:t>
        <w:br/>
        <w:t xml:space="preserve">      inició un proceso  penal  por  la  presunta  comisión  del  delito  de</w:t>
        <w:br/>
        <w:t xml:space="preserve">      terrorismo, para lo cual  se  abrió  el  expediente  No.  83-86.   Los</w:t>
        <w:br/>
        <w:t xml:space="preserve">      señores Durand Ugarte y Ugarte Rivera  fueron  trasladados  por  orden</w:t>
        <w:br/>
        <w:t xml:space="preserve">      judicial a El Frontón;[17]</w:t>
        <w:br/>
        <w:br/>
        <w:br/>
        <w:t xml:space="preserve">      e.    los días 25 y 26 de febrero  de  1986,  Virginia  Ugarte  Rivera</w:t>
        <w:br/>
        <w:t xml:space="preserve">      interpuso dos recursos de  hábeas  corpus  ante  el  46o.  Juzgado  de</w:t>
        <w:br/>
        <w:t xml:space="preserve">      Instrucción de Lima, uno a favor de su hijo Nolberto Durand  Ugarte  y</w:t>
        <w:br/>
        <w:t xml:space="preserve">      otro de su hermano Gabriel Pablo Ugarte Rivera, en los que solicitó la</w:t>
        <w:br/>
        <w:t xml:space="preserve">      protección de la integridad física, el  libre  acceso  de  un  abogado</w:t>
        <w:br/>
        <w:t xml:space="preserve">      defensor y la libertad inmediata de  los  detenidos.  Dichos  recursos</w:t>
        <w:br/>
        <w:t xml:space="preserve">      fueron declarados infundados;[18]</w:t>
        <w:br/>
        <w:br/>
        <w:t xml:space="preserve">      f.    el 18 de junio de 1986 se produjeron motines simultáneos en tres</w:t>
        <w:br/>
        <w:t xml:space="preserve">      centros penitenciarios de Lima: el Centro de Readaptación Social -CRAS-</w:t>
        <w:br/>
        <w:t xml:space="preserve">       “Santa Bárbara”, el Centro de Readaptación Social  -CRAS-  San  Pedro</w:t>
        <w:br/>
        <w:t xml:space="preserve">      (ex-“Lurigancho”) y el Pabellón Azul del CRAS San Juan Bautista,  (ex-</w:t>
        <w:br/>
        <w:t xml:space="preserve">      El Frontón). En este último se encontraban detenidos  Nolberto  Durand</w:t>
        <w:br/>
        <w:t xml:space="preserve">      Ugarte y Gabriel Pablo Ugarte Rivera;[19]</w:t>
        <w:br/>
        <w:br/>
        <w:t xml:space="preserve">      g.    los presos asumieron el control  de  los  pabellones,  luego  de</w:t>
        <w:br/>
        <w:t xml:space="preserve">      haber tomado a efectivos de la Guardia Republicana como rehenes  y  de</w:t>
        <w:br/>
        <w:t xml:space="preserve">      haberse apoderado de las armas de fuego que portaban algunos de ellos.</w:t>
        <w:br/>
        <w:t xml:space="preserve">       Ante esta situación, las autoridades penitenciarias, en  coordinación</w:t>
        <w:br/>
        <w:t xml:space="preserve">      con las autoridades judiciales  competentes,  iniciaron  negociaciones</w:t>
        <w:br/>
        <w:t xml:space="preserve">      con  los  amotinados,  en  las  que  se  avanzó  hasta   conocer   sus</w:t>
        <w:br/>
        <w:t xml:space="preserve">      reclamos;[20]</w:t>
        <w:br/>
        <w:br/>
        <w:t xml:space="preserve">      h.    el Presidente de la República del Perú  convocó  al  Consejo  de</w:t>
        <w:br/>
        <w:t xml:space="preserve">      Ministros a una sesión extraordinaria el día 18 de junio de 1986,  con</w:t>
        <w:br/>
        <w:t xml:space="preserve">      participación del Comando  Conjunto  de  las  Fuerzas  Armadas.   Esta</w:t>
        <w:br/>
        <w:t xml:space="preserve">      reunión se realizó dentro del marco jurídico señalado por  el  Decreto</w:t>
        <w:br/>
        <w:t xml:space="preserve">      Supremo No. 012-86-IN, de 2 de  junio  de  1986,  que  “prorrog[ó]  el</w:t>
        <w:br/>
        <w:t xml:space="preserve">      Estado de Emergencia… en la  Provincia  de  Lima  y  en  la  Provincia</w:t>
        <w:br/>
        <w:t xml:space="preserve">      Constitucional  del  Callao  [y  decretó  que  las]  Fuerzas   Armadas</w:t>
        <w:br/>
        <w:t xml:space="preserve">      continuaran con el control del orden interno”  en  dichas  provincias.</w:t>
        <w:br/>
        <w:t xml:space="preserve">      En la citada reunión se decidió que después de la intervención  de  la</w:t>
        <w:br/>
        <w:t xml:space="preserve">      Comisión de Paz para  obtener  la  rendición  de  los  amotinados,  se</w:t>
        <w:br/>
        <w:t xml:space="preserve">      ordenara al  Comando  Conjunto  de  las  Fuerzas  Armadas  debelar  el</w:t>
        <w:br/>
        <w:t xml:space="preserve">      motín;[21]</w:t>
        <w:br/>
        <w:br/>
        <w:t xml:space="preserve">      i.    el 19 de junio de 1986 el Presidente de la  República  dictó  el</w:t>
        <w:br/>
        <w:t xml:space="preserve">      Decreto- Supremo No. 006-86-JUS, mediante el cual declaró los  penales</w:t>
        <w:br/>
        <w:t xml:space="preserve">      como “zona  militar  restringida”  y  los  dejó  formalmente  bajo  la</w:t>
        <w:br/>
        <w:t xml:space="preserve">      jurisdicción del Comando Conjunto de  las  Fuerzas  Armadas,  mientras</w:t>
        <w:br/>
        <w:t xml:space="preserve">      durara el estado de emergencia prorrogado conforme al Decreto  Supremo</w:t>
        <w:br/>
        <w:t xml:space="preserve">      No. 012-86-IN.  Esta norma impidió el ingreso de autoridades civiles y</w:t>
        <w:br/>
        <w:t xml:space="preserve">      judiciales a El Frontón, y dio a la  Marina  de  Guerra  del  Perú  el</w:t>
        <w:br/>
        <w:t xml:space="preserve">      control absoluto del penal.  El citado decreto se publicó en el diario</w:t>
        <w:br/>
        <w:t xml:space="preserve">      oficial al día siguiente, 20 de  junio  de  1986,  con  la  indicación</w:t>
        <w:br/>
        <w:t xml:space="preserve">      expresa de que regiría desde su promulgación (que  ocurrió  el  19  de</w:t>
        <w:br/>
        <w:t xml:space="preserve">      junio de 1986), aun cuando los operativos militares realizados el 18 y</w:t>
        <w:br/>
        <w:t xml:space="preserve">      19 de junio ya habían concluido y los motines estaban controlados;[22]</w:t>
        <w:br/>
        <w:br/>
        <w:t xml:space="preserve">      j.    el develamiento del motín del penal El Frontón fue encomendado a</w:t>
        <w:br/>
        <w:t xml:space="preserve">      la Marina de Guerra y la Guardia  Republicana  bajo  las  órdenes  del</w:t>
        <w:br/>
        <w:t xml:space="preserve">      Comando Conjunto.  El operativo comenzó a las 3:00  horas  del  19  de</w:t>
        <w:br/>
        <w:t xml:space="preserve">      junio.  La Fuerza de  Operaciones  Especiales  (FOES)  procedió  a  la</w:t>
        <w:br/>
        <w:t xml:space="preserve">      demolición del Pabellón Azul, lo que produjo la muerte o lesiones a un</w:t>
        <w:br/>
        <w:t xml:space="preserve">      gran número de reclusos.  El Pabellón Azul era una  área  aislada  del</w:t>
        <w:br/>
        <w:t xml:space="preserve">      establecimiento penal, en la que ocurrieron los  hechos.  Existió  una</w:t>
        <w:br/>
        <w:t xml:space="preserve">      evidente desproporción entre el peligro que suponía  el  motín  y  las</w:t>
        <w:br/>
        <w:t xml:space="preserve">      acciones que se realizaron para debelarlo;[23]</w:t>
        <w:br/>
        <w:br/>
        <w:br/>
        <w:t xml:space="preserve">      k.     el  Decreto  Supremo  No.  006-86-JUS  permitió  que  el  fuero</w:t>
        <w:br/>
        <w:t xml:space="preserve">      privativo militar se avocase al conocimiento de los sucesos  derivados</w:t>
        <w:br/>
        <w:t xml:space="preserve">      del debelamiento del motín, sin excluir de su  conocimiento  al  fuero</w:t>
        <w:br/>
        <w:t xml:space="preserve">      común.  El 27 de agosto de 1986, la Corte Suprema dirimió la contienda</w:t>
        <w:br/>
        <w:t xml:space="preserve">      de  competencia  y  resolvió  que  el  fuero   militar   asumiría   el</w:t>
        <w:br/>
        <w:t xml:space="preserve">      conocimiento del proceso;[24]</w:t>
        <w:br/>
        <w:br/>
        <w:t xml:space="preserve">      l.    el 2o. Juzgado de Instrucción  Permanente  de  Marina  abrió  un</w:t>
        <w:br/>
        <w:t xml:space="preserve">      proceso para  determinar  la  posible  responsabilidad  penal  de  los</w:t>
        <w:br/>
        <w:t xml:space="preserve">      miembros de la Marina que debelaron el motín.  El 6 de junio  de  1987</w:t>
        <w:br/>
        <w:t xml:space="preserve">      se sobreseyó la causa  y se determinó la  no  responsabilidad  de  los</w:t>
        <w:br/>
        <w:t xml:space="preserve">      encausados, decisión que fue confirmada el 16 del mismo mes y año  por</w:t>
        <w:br/>
        <w:t xml:space="preserve">      el Consejo de Guerra Permanente de Marina.  El proceso  fue  reabierto</w:t>
        <w:br/>
        <w:t xml:space="preserve">      por decisión del Consejo Supremo de  Justicia  Militar  para  realizar</w:t>
        <w:br/>
        <w:t xml:space="preserve">      diligencias que faltaban, ninguna de las cuales tenía relación con  la</w:t>
        <w:br/>
        <w:t xml:space="preserve">      identificación de los detenidos.  Concluyó definitivamente  el  20  de</w:t>
        <w:br/>
        <w:t xml:space="preserve">      julio de 1989 con la decisión  de  que  no  había  responsabilidad  de</w:t>
        <w:br/>
        <w:t xml:space="preserve">      quienes intervinieron en la debelación del motín;[25]</w:t>
        <w:br/>
        <w:br/>
        <w:t xml:space="preserve">      ll.   según el proceso ventilado en el fuero militar, hubo 111 muertos</w:t>
        <w:br/>
        <w:t xml:space="preserve">      (restos óseos de 14 personas y  97  cadáveres)  y  34  sobrevivientes,</w:t>
        <w:br/>
        <w:t xml:space="preserve">      quienes se rindieron, lo que da un total de 145 personas, mientras que</w:t>
        <w:br/>
        <w:t xml:space="preserve">      la lista extraoficial entregada por el Presidente del Consejo Nacional</w:t>
        <w:br/>
        <w:t xml:space="preserve">      Penitenciario comprende 152 reclusos antes del motín.  La remoción  de</w:t>
        <w:br/>
        <w:t xml:space="preserve">      los escombros se efectuó entre el 20 de junio de 1986 y el 31 de marzo</w:t>
        <w:br/>
        <w:t xml:space="preserve">      de 1987;[26]</w:t>
        <w:br/>
        <w:br/>
        <w:br/>
        <w:t xml:space="preserve">      m.    no se usó la diligencia necesaria para la identificación de  los</w:t>
        <w:br/>
        <w:t xml:space="preserve">      cadáveres luego de la debelación del motín, ni se solicitó la ayuda de</w:t>
        <w:br/>
        <w:t xml:space="preserve">      los familiares  de  las  víctimas  para  ese  propósito.   De  los  97</w:t>
        <w:br/>
        <w:t xml:space="preserve">      cadáveres  a  los  que  se  practicó  necropsia,  sólo  siete   fueron</w:t>
        <w:br/>
        <w:t xml:space="preserve">      identificados. El aplastamiento y traumatismos múltiples aparecen,  en</w:t>
        <w:br/>
        <w:t xml:space="preserve">      muchos de los protocolos de necropsia, como las causas  de  muerte  de</w:t>
        <w:br/>
        <w:t xml:space="preserve">      los reclusos. Nolberto Durand Ugarte y Gabriel Pablo Ugarte Rivera  no</w:t>
        <w:br/>
        <w:t xml:space="preserve">      figuran en la lista de sobrevivientes y  sus  cadáveres  nunca  fueron</w:t>
        <w:br/>
        <w:t xml:space="preserve">      identificados;[27]</w:t>
        <w:br/>
        <w:br/>
        <w:t xml:space="preserve">      n.    el Congreso Nacional del Perú designó una comisión investigadora</w:t>
        <w:br/>
        <w:t xml:space="preserve">      sobre los sucesos ocurridos en el Frontón y los otros dos penales,  la</w:t>
        <w:br/>
        <w:t xml:space="preserve">      cual se instaló formalmente el 7 de agosto de 1987.  En  diciembre  de</w:t>
        <w:br/>
        <w:t xml:space="preserve">      este último año, la  comisión  presentó  al  Congreso  un  informe  de</w:t>
        <w:br/>
        <w:t xml:space="preserve">      mayoría y otro de minoría;[28]</w:t>
        <w:br/>
        <w:br/>
        <w:br/>
        <w:t xml:space="preserve">      ñ.    de acuerdo con la  Ley  Orgánica  de  Justicia  Militar  peruana</w:t>
        <w:br/>
        <w:t xml:space="preserve">      (Decreto-Ley  Nº  23.201),  los  “Tribunales   de   Justicia   Militar</w:t>
        <w:br/>
        <w:t xml:space="preserve">      constituyen un alto Organismo de los Institutos Armados”.  Los  jueces</w:t>
        <w:br/>
        <w:t xml:space="preserve">      del Fuero Privativo Militar  son  asimismo  miembros  de  las  Fuerzas</w:t>
        <w:br/>
        <w:t xml:space="preserve">      Armadas que se encuentran  en  servicio  activo  de  acuerdo  con  los</w:t>
        <w:br/>
        <w:t xml:space="preserve">      artículos 6, 22 y 31 del mencionado Decreto-Ley.  No se  requiere  ser</w:t>
        <w:br/>
        <w:t xml:space="preserve">      abogado para integrar el fuero militar, excepto  cuando  se  trate  de</w:t>
        <w:br/>
        <w:t xml:space="preserve">      quienes forman parte del Cuerpo Jurídico Militar;[29]</w:t>
        <w:br/>
        <w:br/>
        <w:t xml:space="preserve">      o.    el 26 de junio de 1986 Virginia Ugarte interpuso un  recurso  de</w:t>
        <w:br/>
        <w:t xml:space="preserve">      hábeas corpus ante el Primer Juzgado de Instrucción del Callao a favor</w:t>
        <w:br/>
        <w:t xml:space="preserve">      de su hijo Nolberto Durand Ugarte y de su hermano Gabriel Pablo Ugarte</w:t>
        <w:br/>
        <w:t xml:space="preserve">      Rivera, en el cual solicitó la investigación y el  esclarecimiento  de</w:t>
        <w:br/>
        <w:t xml:space="preserve">      su paradero, así como el respeto  a  los  siguientes  derechos:  vida,</w:t>
        <w:br/>
        <w:t xml:space="preserve">      integridad personal y a no ser incomunicado;[30]</w:t>
        <w:br/>
        <w:br/>
        <w:t xml:space="preserve">      p.    el hábeas  corpus  interpuesto  señalaba  como  responsables  al</w:t>
        <w:br/>
        <w:t xml:space="preserve">      Director del Instituto Nacional Penitenciario y al Director  del  CRAS</w:t>
        <w:br/>
        <w:t xml:space="preserve">      San Juan Bautista (ex-“El Frontón”), y en  el  trámite  del  mismo  se</w:t>
        <w:br/>
        <w:t xml:space="preserve">      produjeron los siguientes actos:</w:t>
        <w:br/>
        <w:br/>
        <w:br/>
        <w:t xml:space="preserve">           i)    el 27 de junio de 1986 el Primer  Juzgado  de  Instrucción</w:t>
        <w:br/>
        <w:t xml:space="preserve">           del Callao declaró improcedente el recurso;</w:t>
        <w:br/>
        <w:t xml:space="preserve">           ii)   el 15 de julio de 1986 el Primer Tribunal Correccional  de</w:t>
        <w:br/>
        <w:t xml:space="preserve">           la Corte Superior de Justicia del Callao confirmó la sentencia;</w:t>
        <w:br/>
        <w:t xml:space="preserve">           iii)  el 13 de agosto de 1986 la Primera Sala Penal de la  Corte</w:t>
        <w:br/>
        <w:t xml:space="preserve">           Suprema declaró “no haber nulidad” en la sentencia expedida  por</w:t>
        <w:br/>
        <w:t xml:space="preserve">           el Tribunal Correccional que confirmó el fallo del 27  de  junio</w:t>
        <w:br/>
        <w:t xml:space="preserve">           de 1986;</w:t>
        <w:br/>
        <w:t xml:space="preserve">           iv)   el  28  de  octubre  de  1986  el  Tribunal  de  Garantías</w:t>
        <w:br/>
        <w:t xml:space="preserve">           Constitucionales  se  limitó  “a   declarar   que   permanec[ía]</w:t>
        <w:br/>
        <w:t xml:space="preserve">           inalterable la resolución de la Corte Suprema de Justicia venida</w:t>
        <w:br/>
        <w:t xml:space="preserve">           en  casación  y  subsistente  el  derecho  del   demandante   de</w:t>
        <w:br/>
        <w:t xml:space="preserve">           replantear la acción”;[31]</w:t>
        <w:br/>
        <w:br/>
        <w:br/>
        <w:t xml:space="preserve">      q.    los Decretos Supremos No. 012-86-IN  de  2  de  junio  de  1986,</w:t>
        <w:br/>
        <w:t xml:space="preserve">      mediante el cual  se  “prorrog[ó]  el  Estado  de  Emergencia…  en  la</w:t>
        <w:br/>
        <w:t xml:space="preserve">      Provincia de Lima y en  la  Provincia  Constitucional  del  Callao  [y</w:t>
        <w:br/>
        <w:t xml:space="preserve">      decretó que las] Fuerzas Armadas continuarían con el control del orden</w:t>
        <w:br/>
        <w:t xml:space="preserve">      interno” en dichas provincias, y No. 006-86 JUS  de  19  de  junio  de</w:t>
        <w:br/>
        <w:t xml:space="preserve">      1986, mediante el cual se</w:t>
        <w:br/>
        <w:br/>
        <w:br/>
        <w:t xml:space="preserve">           declar[ó]  zona  militar  restringida  bajo  la  competencia   y</w:t>
        <w:br/>
        <w:t xml:space="preserve">           jurisdicción del Comando Conjunto de  las  Fuerzas  Armadas  los</w:t>
        <w:br/>
        <w:t xml:space="preserve">           Establecimientos Penitenciarios de “San  Juan  Bautista”  (ex-El</w:t>
        <w:br/>
        <w:t xml:space="preserve">           Frontón), “San Pedro”  (ex-Lurigancho)  y  “Santa  Barbara”  del</w:t>
        <w:br/>
        <w:t xml:space="preserve">           Callao,  mientras  dure  el  Estado  de  Emergencia   prorrogado</w:t>
        <w:br/>
        <w:t xml:space="preserve">           mediante el Decreto Supremo No. 012-86-IN de 2 de junio de 1986</w:t>
        <w:br/>
        <w:br/>
        <w:t xml:space="preserve">      no suspendieron de manera expresa el recurso de  hábeas  corpus,  pero</w:t>
        <w:br/>
        <w:t xml:space="preserve">      éste fue ineficaz, porque se dispuso que los jueces civiles no  podían</w:t>
        <w:br/>
        <w:t xml:space="preserve">      ingresar a los penales por ser zonas militares restringidas, y  porque</w:t>
        <w:br/>
        <w:t xml:space="preserve">      esas disposiciones impedían investigar y determinar el paradero de las</w:t>
        <w:br/>
        <w:t xml:space="preserve">      personas a favor de las cuales  se  hubiera  interpuesto  el  recurso;</w:t>
        <w:br/>
        <w:t xml:space="preserve">      y[32]</w:t>
        <w:br/>
        <w:br/>
        <w:t xml:space="preserve">      r.    Nolberto Durand Ugarte y Gabriel Ugarte Rivera  fueron  eximidos</w:t>
        <w:br/>
        <w:t xml:space="preserve">      de responsabilidad y se  ordenó  su  libertad.   Dicha  orden  resultó</w:t>
        <w:br/>
        <w:t xml:space="preserve">      ineficaz pues en ese  momento  dichas  personas  habían  desaparecido,</w:t>
        <w:br/>
        <w:t xml:space="preserve">      situación que se mantiene hasta el presente.[33]</w:t>
        <w:br/>
        <w:br/>
        <w:br/>
        <w:br/>
        <w:br/>
        <w:br/>
        <w:t xml:space="preserve">                                     IX</w:t>
        <w:br/>
        <w:br/>
        <w:t xml:space="preserve">                   Consideraciones previas sobre el fondo</w:t>
        <w:br/>
        <w:br/>
        <w:t>60.   El Estado señaló en sus alegatos finales que la Comisión  y  la  Corte</w:t>
        <w:br/>
        <w:t>incurrieron en “un  error  evidente”  al  no  haber  acumulado  el  presente</w:t>
        <w:br/>
        <w:t>procedimiento al caso Neira Alegría y otros (No. 10.078), lo  que  determina</w:t>
        <w:br/>
        <w:t>que “el primero que se califique, prejuzgue sobre el otro  por  tratarse  de</w:t>
        <w:br/>
        <w:t>los mismos hechos”.  En consecuencia, “[e]ste  prejuzgamiento  determina  la</w:t>
        <w:br/>
        <w:t>imposibilidad [de] que el mismo Colegiado nuevamente  vuelva  a  sentenciar,</w:t>
        <w:br/>
        <w:t>por  haber  encasillado  su  criterio  a  lo  calificado   precedentemente”.</w:t>
        <w:br/>
        <w:t>Asimismo, señaló que en el caso Neira Alegría y  otros  “No  se  analizó  de</w:t>
        <w:br/>
        <w:t>manera individual cómo, supuestamente, se violaron los derechos  humanos  de</w:t>
        <w:br/>
        <w:t>los causantes que originaron la apertura de dicho  caso”.   Agregó  que  “la</w:t>
        <w:br/>
        <w:t>Comisión  Interamericana  en  el  presente  caso  [ha]  dejado  de  ser  una</w:t>
        <w:br/>
        <w:t>instancia imparcial, objetiva y de deliberación y en consecuencia  la  Corte</w:t>
        <w:br/>
        <w:t>Interamericana, al  avalar  esa  omisión,  también  ha  dejado  de  ser  una</w:t>
        <w:br/>
        <w:t>instancia imparcial, objetiva, de controversia y juzgamiento.”</w:t>
        <w:br/>
        <w:br/>
        <w:t>De esta forma la Corte, al pronunciarse sobre el fondo  del  presente  caso,</w:t>
        <w:br/>
        <w:t>estaría violando el principio non bis in idem.</w:t>
        <w:br/>
        <w:br/>
        <w:t xml:space="preserve">    61. La Corte considera que este punto ha sido resuelto en la  sentencia</w:t>
        <w:br/>
        <w:t xml:space="preserve">        sobre excepciones preliminares dictada el 18 de mayo de  1999,  que</w:t>
        <w:br/>
        <w:t xml:space="preserve">        es definitiva e inapelable, y por ello desestima el alegato.</w:t>
        <w:br/>
        <w:br/>
        <w:br/>
        <w:br/>
        <w:br/>
        <w:t xml:space="preserve">                                      X</w:t>
        <w:br/>
        <w:t xml:space="preserve">                         Violación del artículo 4.1</w:t>
        <w:br/>
        <w:br/>
        <w:br/>
        <w:br/>
        <w:br/>
        <w:t xml:space="preserve">                              Derecho a la vida</w:t>
        <w:br/>
        <w:br/>
        <w:br/>
        <w:t>62.   En cuanto a la  violación  del  artículo  4.1  de  la  Convención,  la</w:t>
        <w:br/>
        <w:t>Comisión alegó que:</w:t>
        <w:br/>
        <w:br/>
        <w:t xml:space="preserve">      a)    los señores Nolberto Durand Ugarte y Gabriel Pablo Ugarte Rivera</w:t>
        <w:br/>
        <w:t xml:space="preserve">      estaban internados en el penal El Frontón el  18  de  junio  de  1986,</w:t>
        <w:br/>
        <w:t xml:space="preserve">      cuando se debeló el motín, como consta en la nómina presentada por  el</w:t>
        <w:br/>
        <w:t xml:space="preserve">      Presidente del Consejo Nacional Penitenciario al Juez  Instructor  del</w:t>
        <w:br/>
        <w:t xml:space="preserve">      21o. Juzgado de Lima.  Esto mismo consta en la lista  entregada por el</w:t>
        <w:br/>
        <w:t xml:space="preserve">      Jefe de  Identificación  del  Penal  al  2o.  Juzgado  de  Instrucción</w:t>
        <w:br/>
        <w:t xml:space="preserve">      Permanente de Marina y en el  testimonio de los familiares y abogados;</w:t>
        <w:br/>
        <w:br/>
        <w:br/>
        <w:t xml:space="preserve">      b)    luego de debelado el motín, los señores Durand Ugarte  y  Ugarte</w:t>
        <w:br/>
        <w:t xml:space="preserve">      Rivera no aparecieron en poder de  las  autoridades,  ni  sus  nombres</w:t>
        <w:br/>
        <w:t xml:space="preserve">      figuraron en la lista de sobrevivientes, por lo que  podría  deducirse</w:t>
        <w:br/>
        <w:t xml:space="preserve">      que, como resultado  del  bombardeo  del  penal  y  en  virtud  de  lo</w:t>
        <w:br/>
        <w:t xml:space="preserve">      establecido  en  las  autopsias  realizadas   a   los   cadáveres   no</w:t>
        <w:br/>
        <w:t xml:space="preserve">      identificados, dichas personas fallecieron por aplastamiento;</w:t>
        <w:br/>
        <w:br/>
        <w:br/>
        <w:t xml:space="preserve">      c)    “si bien el Estado tenía el derecho y deber de debelar el motín,</w:t>
        <w:br/>
        <w:t xml:space="preserve">      la sofocación del mismo se realizó haciendo uso desproporcionado de la</w:t>
        <w:br/>
        <w:t xml:space="preserve">      fuerza[...lo  que]  hace  al  Estado  responsable  de   la   privación</w:t>
        <w:br/>
        <w:t xml:space="preserve">      arbitraria de la vida de aquellas personas que fallecieron con  motivo</w:t>
        <w:br/>
        <w:t xml:space="preserve">      de la demolición del penal San Juan Bautista y, en particular, por  la</w:t>
        <w:br/>
        <w:t xml:space="preserve">      violación del derecho a la vida en perjuicio de Nolberto Durand Ugarte</w:t>
        <w:br/>
        <w:t xml:space="preserve">      y Gabriel [Pablo] Ugarte Rivera”;</w:t>
        <w:br/>
        <w:br/>
        <w:br/>
        <w:t xml:space="preserve">      d)    existió la decisión de la Marina de Guerra del  Perú  y  de  las</w:t>
        <w:br/>
        <w:t xml:space="preserve">      fuerzas policiales de terminar “a como diera lugar” con el motín y con</w:t>
        <w:br/>
        <w:t xml:space="preserve">      los prisioneros amotinados.  El tipo de ataque militar que se  realizó</w:t>
        <w:br/>
        <w:t xml:space="preserve">      contra  el   Pabellón   Azul   de   El   Frontón   fue   absolutamente</w:t>
        <w:br/>
        <w:t xml:space="preserve">      desproporcionado  en  relación  con  el   peligro   que   suponía   el</w:t>
        <w:br/>
        <w:t xml:space="preserve">      amotinamiento, pues se dispuso la demolición de aquél a  sabiendas  de</w:t>
        <w:br/>
        <w:t xml:space="preserve">      que podía haber internos que se hubieran rendido, heridos o refugiados</w:t>
        <w:br/>
        <w:t xml:space="preserve">      en el edificio; y</w:t>
        <w:br/>
        <w:br/>
        <w:br/>
        <w:t xml:space="preserve">      e)    las violaciones al derecho a la vida cometidas por los  miembros</w:t>
        <w:br/>
        <w:t xml:space="preserve">      de la Marina de Guerra del Perú en  contra  de  los  reclusos  que  se</w:t>
        <w:br/>
        <w:t xml:space="preserve">      encontraban en El Frontón, se produjeron de  tres  maneras  distintas:</w:t>
        <w:br/>
        <w:t xml:space="preserve">      como consecuencia de la desproporción de los  medios  utilizados  para</w:t>
        <w:br/>
        <w:t xml:space="preserve">      restablecer el orden en el penal; por ejecuciones sumarias  por  parte</w:t>
        <w:br/>
        <w:t xml:space="preserve">      de efectivos de la Marina del Perú, con posterioridad a la  rendición,</w:t>
        <w:br/>
        <w:t xml:space="preserve">      y mediante la demolición del Pabellón Azul del penal.</w:t>
        <w:br/>
        <w:br/>
        <w:br/>
        <w:t>63.   Por su parte, el Estado alegó que:</w:t>
        <w:br/>
        <w:br/>
        <w:t xml:space="preserve">      a)    la Comisión, en todos  los  supuestos  esgrimidos,  sólo  ofrece</w:t>
        <w:br/>
        <w:t xml:space="preserve">      alegaciones insuficientes y pretende trasladar al Estado la  carga  de</w:t>
        <w:br/>
        <w:t xml:space="preserve">      la prueba  para  desvirtuar  las  alegaciones  carentes  de  contenido</w:t>
        <w:br/>
        <w:t xml:space="preserve">      probatorio;</w:t>
        <w:br/>
        <w:br/>
        <w:br/>
        <w:t xml:space="preserve">      b)    el debelamiento a cargo de la Marina de Guerra del Perú se  hizo</w:t>
        <w:br/>
        <w:t xml:space="preserve">      en diversas etapas, tomando en cuenta que</w:t>
        <w:br/>
        <w:br/>
        <w:br/>
        <w:t xml:space="preserve">           agotados los métodos pacíficos de preservación  se consideró  la</w:t>
        <w:br/>
        <w:t xml:space="preserve">           necesidad de reducir el espacio de  distribución  del  penal  en</w:t>
        <w:br/>
        <w:t xml:space="preserve">           forma gradual, al punto de  encasillar  a  los  internos  en  un</w:t>
        <w:br/>
        <w:t xml:space="preserve">           espacio  manejable  y  reducido,  [...]  con  la  finalidad   de</w:t>
        <w:br/>
        <w:t xml:space="preserve">           disuadirlos [...]  La finalidad era siempre  de  reprimirlos  (a</w:t>
        <w:br/>
        <w:t xml:space="preserve">           todos) pero teniéndolos vivos y acorralados.</w:t>
        <w:br/>
        <w:br/>
        <w:br/>
        <w:t xml:space="preserve">      No hubo jamás desproporción de los medios empleados, sino ejecución de</w:t>
        <w:br/>
        <w:t xml:space="preserve">      un esquema de debelamiento preconcebido, que requirió de las  armas  y</w:t>
        <w:br/>
        <w:t xml:space="preserve">      personal de la  Marina  de  Guerra.   Las  operaciones  realizadas  se</w:t>
        <w:br/>
        <w:t xml:space="preserve">      hicieron dentro del marco legal y  convencional  que  faculta  a  todo</w:t>
        <w:br/>
        <w:t xml:space="preserve">      Estado a defender  el  principio  de  autoridad  y  seguridad  de  sus</w:t>
        <w:br/>
        <w:t xml:space="preserve">      ciudadanos;</w:t>
        <w:br/>
        <w:br/>
        <w:br/>
        <w:t xml:space="preserve">      c)    la existencia de 28 reclusos que resultaron ilesos luego de  las</w:t>
        <w:br/>
        <w:t xml:space="preserve">      operaciones de debelamiento del motín y el hecho  de  que  durante  el</w:t>
        <w:br/>
        <w:t xml:space="preserve">      operativo y en los días subsiguientes aparecieran cinco reclusos entre</w:t>
        <w:br/>
        <w:t xml:space="preserve">      los escombros, quienes fueron atendidos y posteriormente internados en</w:t>
        <w:br/>
        <w:t xml:space="preserve">      el centro  penitenciario  “Castro  Castro,”  corroboran  que  en  toda</w:t>
        <w:br/>
        <w:t xml:space="preserve">      circunstancia se respetó la vida e integridad física de  los  reclusos</w:t>
        <w:br/>
        <w:t xml:space="preserve">      que se entregaron, durante y después del debelamiento; y</w:t>
        <w:br/>
        <w:br/>
        <w:br/>
        <w:t xml:space="preserve">      d)    la imputación de que  el  debelamiento  del  motín  implicó  una</w:t>
        <w:br/>
        <w:t xml:space="preserve">      evidente desproporción  entre  el  peligro  que  éste  suponía  y  las</w:t>
        <w:br/>
        <w:t xml:space="preserve">      acciones que se realizaron para debelarlo, resulta ser falsa  por  los</w:t>
        <w:br/>
        <w:t xml:space="preserve">      siguientes motivos: la lucha antisubversiva realizada en esos años  se</w:t>
        <w:br/>
        <w:t xml:space="preserve">      produjo en diversos  niveles,  el  más  ostensible  de  éstos  fue  el</w:t>
        <w:br/>
        <w:t xml:space="preserve">      enfrentamiento entre elementos del orden y terroristas; la  ciudadanía</w:t>
        <w:br/>
        <w:t xml:space="preserve">      vivía momentos de gran tensión; los  cuadros  terroristas  demostraban</w:t>
        <w:br/>
        <w:t xml:space="preserve">      una  “crueldad y ferocidad increíble,” lo cual determinó que la nación</w:t>
        <w:br/>
        <w:t xml:space="preserve">      organizase sus mecanismos de defensa para  enfrentar  esta  situación;</w:t>
        <w:br/>
        <w:t xml:space="preserve">      los terroristas “intervenidos” e internados en el  penal  convirtieron</w:t>
        <w:br/>
        <w:t xml:space="preserve">      este recinto en una “zona de  nadie,”  en  la  que  se  desconocía  el</w:t>
        <w:br/>
        <w:t xml:space="preserve">      principio de autoridad.  Por todo  ello,  cuando  se  presentan  casos</w:t>
        <w:br/>
        <w:t xml:space="preserve">      extremos como éste, y se desborda a las fuerzas  civiles,  es  preciso</w:t>
        <w:br/>
        <w:t xml:space="preserve">      recurrir al apoyo de las fuerzas armadas.</w:t>
        <w:br/>
        <w:br/>
        <w:t xml:space="preserve">                                      *</w:t>
        <w:br/>
        <w:t xml:space="preserve">                                   *     *</w:t>
        <w:br/>
        <w:br/>
        <w:t>64.   El artículo 4 de la Convención establece, en lo conducente, que</w:t>
        <w:br/>
        <w:br/>
        <w:br/>
        <w:t xml:space="preserve">      1.    Toda persona tiene derecho a  que  se  respete  su  vida.   Este</w:t>
        <w:br/>
        <w:t xml:space="preserve">      derecho estará protegido por la  ley  y,  en  general,  a  partir  del</w:t>
        <w:br/>
        <w:t xml:space="preserve">      momento de  la  concepción.   Nadie  puede  ser  privado  de  la  vida</w:t>
        <w:br/>
        <w:t xml:space="preserve">      arbitrariamente.</w:t>
        <w:br/>
        <w:br/>
        <w:t>65.   En cuanto a la alegación del Estado sobre la carga de la prueba,  esta</w:t>
        <w:br/>
        <w:t>Corte ha dicho que “en los procesos sobre violaciones de  derechos  humanos,</w:t>
        <w:br/>
        <w:t>la defensa  del  Estado  no  puede  descansar  sobre  la  imposibilidad  del</w:t>
        <w:br/>
        <w:t>demandante de allegar pruebas que, en muchos casos, no pueden obtenerse  sin</w:t>
        <w:br/>
        <w:t>la cooperación del Estado”[34] y, en particular, ha señalado  que  “[e]s  el</w:t>
        <w:br/>
        <w:t>Estado quien tiene el control de los medios para  aclarar  hechos  ocurridos</w:t>
        <w:br/>
        <w:t>dentro de su territorio”.[35]   En ese sentido, la Corte  considera  que  en</w:t>
        <w:br/>
        <w:t>el presente caso no corresponde a la Comisión  Interamericana  demostrar  el</w:t>
        <w:br/>
        <w:t>paradero de los señores Durand Ugarte y Ugarte Rivera, porque los penales  y</w:t>
        <w:br/>
        <w:t>las investigaciones estuvieron bajo el exclusivo  control  del  Estado.   En</w:t>
        <w:br/>
        <w:t>consecuencia, sobre éste recae la carga de la prueba.</w:t>
        <w:br/>
        <w:br/>
        <w:t>66.   Según los hechos probados, los señores Durand Ugarte y  Ugarte  Rivera</w:t>
        <w:br/>
        <w:t>se encontraban detenidos por el delito de terrorismo  en  el  Pabellón  Azul</w:t>
        <w:br/>
        <w:t>del Centro Penitenciario El Frontón, el 18 de junio  de  1986  (supra  párr.</w:t>
        <w:br/>
        <w:t>59.f).</w:t>
        <w:br/>
        <w:br/>
        <w:t>67.   Para investigar  los  hechos  relacionados  con  el  debelamiento  del</w:t>
        <w:br/>
        <w:t>motín,  el  Congreso  de  la  República  del  Perú   nombró   una   Comisión</w:t>
        <w:br/>
        <w:t>Investigadora, la cual, al concluir su trabajo, presentó dos  informes,  uno</w:t>
        <w:br/>
        <w:t>en mayoría y otro en minoría.  El informe de mayoría, en el punto 14 de  sus</w:t>
        <w:br/>
        <w:t>conclusiones, indicó que “[d]el resultado logrado se infiere,  sin  embargo,</w:t>
        <w:br/>
        <w:t>la desproporción del potencial bélico empleado.  La demolición final,  luego</w:t>
        <w:br/>
        <w:t>de la rendición producida a las 14:30 horas del día diecinueve,  no  tendría</w:t>
        <w:br/>
        <w:t>explicación lógica y en consecuencia  sería  injustificada”.   Asimismo,  el</w:t>
        <w:br/>
        <w:t>informe de  minoría  señaló,  en  el  apartado  relativo  a  las  cuestiones</w:t>
        <w:br/>
        <w:t>previas, que</w:t>
        <w:br/>
        <w:br/>
        <w:t xml:space="preserve">      4.     [e]stá  demostrado  que  el  gobierno,  al  incumplir  con   su</w:t>
        <w:br/>
        <w:t xml:space="preserve">      obligación de proteger la vida humana, dio órdenes que  trajeron  como</w:t>
        <w:br/>
        <w:t xml:space="preserve">      consecuencia un injustificable número de muertes.</w:t>
        <w:br/>
        <w:t xml:space="preserve">      a. La opción tomada de debelar los  motines  a  través  de  la  fuerza</w:t>
        <w:br/>
        <w:t xml:space="preserve">      militar, en el plazo más breve  y  perentorio,  significaba  poner  en</w:t>
        <w:br/>
        <w:t xml:space="preserve">      grave e innecesario peligro la vida de los rehenes y los internos [y]</w:t>
        <w:br/>
        <w:t xml:space="preserve">      b. [l]a fuerza militar utilizada fue desproporcionada en  relación  al</w:t>
        <w:br/>
        <w:t xml:space="preserve">      peligro realmente existente  y  las  formas  de  ataque  implementadas</w:t>
        <w:br/>
        <w:t xml:space="preserve">      tampoco revelaron precaución alguna por reducir los costos humanos del</w:t>
        <w:br/>
        <w:t xml:space="preserve">      debelamiento.</w:t>
        <w:br/>
        <w:br/>
        <w:t>68.   De acuerdo con lo expuesto, y conforme a la declaración de testigos  y</w:t>
        <w:br/>
        <w:t>peritos, la Corte tiene por demostrado que el  Pabellón  Azul  fue  demolido</w:t>
        <w:br/>
        <w:t>por  las  fuerzas  de  la  Marina   peruana,   quienes   hicieron   un   uso</w:t>
        <w:br/>
        <w:t>desproporcionado de la fuerza en relación con el peligro  que  entrañaba  el</w:t>
        <w:br/>
        <w:t>motín (supra párr. 59.j), situación que provocó que muchos de los  detenidos</w:t>
        <w:br/>
        <w:t>murieran  por   aplastamiento,   según   se   revela   en   las   necropsias</w:t>
        <w:br/>
        <w:t>correspondientes.  Asimismo se logró determinar, como lo señala  el  informe</w:t>
        <w:br/>
        <w:t>de minoría del Congreso, que hubo desinterés, por parte de  las  autoridades</w:t>
        <w:br/>
        <w:t>correspondientes, en el rescate de  los  detenidos  que  quedaron  con  vida</w:t>
        <w:br/>
        <w:t>después de  la  demolición.   Además,  hubo  falta  de  diligencia  para  la</w:t>
        <w:br/>
        <w:t>identificación de los cadáveres, pues sólo un  reducido  número  de  cuerpos</w:t>
        <w:br/>
        <w:t>fue identificado en los días siguientes a la terminación  del  conflicto,  y</w:t>
        <w:br/>
        <w:t>el proceso de recuperación de los cadáveres duró alrededor de nueve meses.</w:t>
        <w:br/>
        <w:br/>
        <w:t>69.   Esta Corte ha señalado en otras oportunidades que</w:t>
        <w:br/>
        <w:br/>
        <w:t xml:space="preserve">      [e]stá más allá de toda duda que el Estado tiene el derecho y el deber</w:t>
        <w:br/>
        <w:t xml:space="preserve">      de garantizar su propia seguridad.  Tampoco puede discutirse que  toda</w:t>
        <w:br/>
        <w:t xml:space="preserve">      sociedad padece por las infracciones a su orden jurídico.   Pero,  por</w:t>
        <w:br/>
        <w:t xml:space="preserve">      graves que puedan ser ciertas acciones y por culpables que puedan  ser</w:t>
        <w:br/>
        <w:t xml:space="preserve">      los reos de determinados delitos, no cabe admitir que el  poder  pueda</w:t>
        <w:br/>
        <w:t xml:space="preserve">      ejercerse sin límite alguno o que el Estado pueda valerse de cualquier</w:t>
        <w:br/>
        <w:t xml:space="preserve">      procedimiento para alcanzar sus objetivos, sin sujeción al derecho o a</w:t>
        <w:br/>
        <w:t xml:space="preserve">      la moral.  Ninguna  actividad  del  Estado  puede  fundarse  sobre  el</w:t>
        <w:br/>
        <w:t xml:space="preserve">      desprecio a la dignidad humana.[36]</w:t>
        <w:br/>
        <w:br/>
        <w:t>70.   A pesar de aceptarse que los detenidos en el Pabellón Azul  del  penal</w:t>
        <w:br/>
        <w:t>El Frontón  podían  ser  responsables  de  delitos  sumamente  graves  y  se</w:t>
        <w:br/>
        <w:t>hallaban armados, estos hechos</w:t>
        <w:br/>
        <w:br/>
        <w:t xml:space="preserve">      no llega[ban] a constituir [...] elementos suficientes para justificar</w:t>
        <w:br/>
        <w:t xml:space="preserve">      el volumen de la fuerza que se usó en éste  y  en  los  otros  penales</w:t>
        <w:br/>
        <w:t xml:space="preserve">      amotinados y que se entendió como una confrontación política entre  el</w:t>
        <w:br/>
        <w:t xml:space="preserve">      Gobierno y los terroristas reales  o  presuntos  de  Sendero  Luminoso</w:t>
        <w:br/>
        <w:t xml:space="preserve">      [...] lo que probablemente indujo a la demolición  del  Pabellón,  con</w:t>
        <w:br/>
        <w:t xml:space="preserve">      todas  sus  consecuencias,  incluida  la  muerte  de   detenidos   que</w:t>
        <w:br/>
        <w:t xml:space="preserve">      eventualmente hubieran terminado rindiéndose y la clara negligencia en</w:t>
        <w:br/>
        <w:t xml:space="preserve">      buscar sobrevivientes y luego rescatar los cadáveres.[37]</w:t>
        <w:br/>
        <w:br/>
        <w:t>71.   De las circunstancias que rodearon  la  debelación  del  motín  en  El</w:t>
        <w:br/>
        <w:t>Frontón, especialmente en cuanto al uso desproporcionado de  la  fuerza  por</w:t>
        <w:br/>
        <w:t>parte de la Marina peruana, y del hecho de que desde hace  catorce  años  se</w:t>
        <w:br/>
        <w:t>desconoce el paradero de los señores Nolberto Durand Ugarte y Gabriel  Pablo</w:t>
        <w:br/>
        <w:t>Ugarte Rivera, se desprende la conclusión  razonable  de  que  éstos  fueron</w:t>
        <w:br/>
        <w:t>privados  arbitrariamente  de  su  vida  por  las  autoridades  peruanas  en</w:t>
        <w:br/>
        <w:t>violación del artículo 4 de la Convención.[38]</w:t>
        <w:br/>
        <w:br/>
        <w:t>72.   En consecuencia, la Corte concluye que el Estado violó,  en  perjuicio</w:t>
        <w:br/>
        <w:t>de los señores Nolberto Durand Ugarte y  Gabriel  Pablo  Ugarte  Rivera,  el</w:t>
        <w:br/>
        <w:t>artículo 4.1 de la Convención.</w:t>
        <w:br/>
        <w:br/>
        <w:t xml:space="preserve">                                     XI</w:t>
        <w:br/>
        <w:br/>
        <w:t xml:space="preserve">                                artículo 5.2</w:t>
        <w:br/>
        <w:br/>
        <w:t xml:space="preserve">                      derecho a la integridad personal</w:t>
        <w:br/>
        <w:br/>
        <w:t>73.   En cuanto a la violación del artículo 5.2 de la Convención, la</w:t>
        <w:br/>
        <w:t>Comisión alegó que:</w:t>
        <w:br/>
        <w:br/>
        <w:t xml:space="preserve">      a)    el Perú es responsable de la desaparición  forzada  de  Nolberto</w:t>
        <w:br/>
        <w:t xml:space="preserve">      Durand Ugarte y Gabriel Pablo Ugarte Rivera  y,  para  fundamentar  su</w:t>
        <w:br/>
        <w:t xml:space="preserve">      alegato, se remitió a  lo  señalado,  inter  alia,  en  la  Convención</w:t>
        <w:br/>
        <w:t xml:space="preserve">      Interamericana  sobre  Desaparición  Forzada  de   Personas,   en   la</w:t>
        <w:br/>
        <w:t xml:space="preserve">      Declaración sobre la Protección  de  todas  las  Personas  contra  las</w:t>
        <w:br/>
        <w:t xml:space="preserve">      Desapariciones Forzadas  aprobada  por  la  Asamblea  General  de  las</w:t>
        <w:br/>
        <w:t xml:space="preserve">      Naciones Unidas y en lo sostenido  por  el   Grupo  de  Trabajo  sobre</w:t>
        <w:br/>
        <w:t xml:space="preserve">      Desapariciones Forzadas o Involuntarias de las Naciones Unidas;</w:t>
        <w:br/>
        <w:br/>
        <w:br/>
        <w:t xml:space="preserve">      b)    está plenamente probado que los señores Nolberto Durand Ugarte y</w:t>
        <w:br/>
        <w:t xml:space="preserve">      Gabriel Pablo Ugarte Rivera se encontraban en el penal El  Frontón  el</w:t>
        <w:br/>
        <w:t xml:space="preserve">      día de los hechos, ya que sus nombres figuraban en  la  lista  oficial</w:t>
        <w:br/>
        <w:t xml:space="preserve">      del penal y sus familiares los habían visitado;</w:t>
        <w:br/>
        <w:br/>
        <w:br/>
        <w:t xml:space="preserve">      c)    la señora Virginia Ugarte Rivera interpuso el  26  de  junio  de</w:t>
        <w:br/>
        <w:t xml:space="preserve">      1986 un recurso de hábeas corpus en favor de su  hijo  y  su  hermano,</w:t>
        <w:br/>
        <w:t xml:space="preserve">      recurso que fue objeto de varias instancias y culminó el 28 de octubre</w:t>
        <w:br/>
        <w:t xml:space="preserve">      de 1986, cuando el  Tribunal  de  Garantías  Constitucionales  declaró</w:t>
        <w:br/>
        <w:t xml:space="preserve">      inalterable la resolución de la Corte Suprema de  Justicia  que  había</w:t>
        <w:br/>
        <w:t xml:space="preserve">      sostenido la improcedencia de la acción de hábeas corpus;</w:t>
        <w:br/>
        <w:br/>
        <w:br/>
        <w:t xml:space="preserve">      d)    los familiares perdieron comunicación  con  los  señores  Durand</w:t>
        <w:br/>
        <w:t xml:space="preserve">      Ugarte y Ugarte Rivera a partir del  ingreso  de  las  fuerzas  de  la</w:t>
        <w:br/>
        <w:t xml:space="preserve">      Marina y hasta la fecha desconocen su paradero, por lo que actualmente</w:t>
        <w:br/>
        <w:t xml:space="preserve">      tienen la calidad de desaparecidos.  Agregó  que,  en  todo  caso,  no</w:t>
        <w:br/>
        <w:t xml:space="preserve">      existió posibilidad alguna de que los reclusos pudieran fugarse; y</w:t>
        <w:br/>
        <w:br/>
        <w:br/>
        <w:t xml:space="preserve">      e)    en los alegatos finales relaciona la  desaparición  forzada  (la</w:t>
        <w:br/>
        <w:t xml:space="preserve">      cual incluye  el  trato  despiadado  de  los  detenidos,  vejámenes  y</w:t>
        <w:br/>
        <w:t xml:space="preserve">      torturas) con la violación del derecho a la integridad  personal.   En</w:t>
        <w:br/>
        <w:t xml:space="preserve">      razón de  lo  anterior  señaló  que  es  pertinente  declarar  que  la</w:t>
        <w:br/>
        <w:t xml:space="preserve">      desaparición forzada de los señores Durand Ugarte y Ugarte Rivera, por</w:t>
        <w:br/>
        <w:t xml:space="preserve">      parte de agentes del Estado, viola el artículo 5.2  de  la  Convención</w:t>
        <w:br/>
        <w:t xml:space="preserve">      Americana.</w:t>
        <w:br/>
        <w:br/>
        <w:t>74.   El  Estado  no  se  refirió  explícitamente  al  artículo  5.2  de  la</w:t>
        <w:br/>
        <w:t>Convención, pero mencionó que en toda circunstancia se  respetó  la  vida  e</w:t>
        <w:br/>
        <w:t>integridad física de los reclusos que se entregaron, durante y  después  del</w:t>
        <w:br/>
        <w:t>debelamiento.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75.   El artículo 5 de la Convención Americana, dispone que: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 degradantes.   Toda  persona  privada  de  libertad  será</w:t>
        <w:br/>
        <w:t xml:space="preserve">      tratada con el respeto debido a la dignidad inherente al ser humano.</w:t>
        <w:br/>
        <w:br/>
        <w:br/>
        <w:t>76.   LA CORTE ESTIMA QUE EL HECHO DE QUE LA VIOLACIÓN DEL ARTÍCULO  5.2  DE</w:t>
        <w:br/>
        <w:t>LA CONVENCIÓN NO FUESE ALEGADA EN EL ESCRITO DE DEMANDA DE  LA  COMISIÓN  NO</w:t>
        <w:br/>
        <w:t>IMPIDE QUE LA MISMA SEA EXAMINADA POR EL TRIBUNAL, EN  RAZÓN  DEL  PRINCIPIO</w:t>
        <w:br/>
        <w:t>GENERAL DE DERECHO IURA NOVIT CURIA, “DEL CUAL SE HA  VALIDO  REITERADAMENTE</w:t>
        <w:br/>
        <w:t>LA JURISPRUDENCIA INTERNACIONAL EN EL SENTIDO DE QUE EL  JUZGADOR  POSEE  LA</w:t>
        <w:br/>
        <w:t>FACULTAD E  INCLUSIVE  EL  DEBER  DE  APLICAR  LAS  DISPOSICIONES  JURÍDICAS</w:t>
        <w:br/>
        <w:t>PERTINENTES  EN  UNA  CAUSA,  AUN  CUANDO  LAS  PARTES   NO   LAS   INVOQUEN</w:t>
        <w:br/>
        <w:t>EXPRESAMENTE”.[39]</w:t>
        <w:br/>
        <w:br/>
        <w:t>77.   Como se expuso, la Comisión solicitó que la  Corte  declarara  que  la</w:t>
        <w:br/>
        <w:t>desaparición forzada de los señores Durand Ugarte y Ugarte Rivera por  parte</w:t>
        <w:br/>
        <w:t>de los agentes del Estado peruano produjo también la violación del  artículo</w:t>
        <w:br/>
        <w:t>5.2 de la Convención.  Esta Corte  observa  que  efectivamente  los  señores</w:t>
        <w:br/>
        <w:t>Durand Ugarte y Ugarte Rivera estaban encarcelados en el  Pabellón  Azul  de</w:t>
        <w:br/>
        <w:t>El Frontón y figuraban en la lista oficial del penal, y que luego del  motín</w:t>
        <w:br/>
        <w:t>los familiares no tuvieron conocimiento de su  paradero  y  las  autoridades</w:t>
        <w:br/>
        <w:t>del Estado se negaron a dar información sobre éste, así  como  a  establecer</w:t>
        <w:br/>
        <w:t>la identidad de las personas desaparecidas, a pesar de que estaban  bajo  su</w:t>
        <w:br/>
        <w:t>custodia.</w:t>
        <w:br/>
        <w:br/>
        <w:t>78.   La Corte manifiesta, como ya lo ha hecho en otro caso, que</w:t>
        <w:br/>
        <w:br/>
        <w:t xml:space="preserve">      si bien pudiera entenderse que cuando  se  priva  de  la  vida  a  una</w:t>
        <w:br/>
        <w:t xml:space="preserve">      persona también se lesiona su  integridad  personal,  no  es  este  el</w:t>
        <w:br/>
        <w:t xml:space="preserve">      sentido [del artículo 5] de la Convención que se refiere, en  esencia,</w:t>
        <w:br/>
        <w:t xml:space="preserve">      a que nadie debe ser sometido a torturas, ni a penas o tratos crueles,</w:t>
        <w:br/>
        <w:t xml:space="preserve">      inhumanos o degradantes, y a que toda persona privada de libertad debe</w:t>
        <w:br/>
        <w:t xml:space="preserve">      ser tratada con el respeto debido  a  la  dignidad  inherente  al  ser</w:t>
        <w:br/>
        <w:t xml:space="preserve">      humano.[40]</w:t>
        <w:br/>
        <w:br/>
        <w:t>79.   En el presente caso  no  está  demostrado  que  los  señores  Nolberto</w:t>
        <w:br/>
        <w:t>Durand Ugarte y Gabriel Pablo Ugarte Rivera hubiesen sido  objeto  de  malos</w:t>
        <w:br/>
        <w:t>tratos o que se hubiera lesionado su dignidad por parte de  las  autoridades</w:t>
        <w:br/>
        <w:t>peruanas durante el tiempo en  que  estuvieron  detenidas  en  el  penal  El</w:t>
        <w:br/>
        <w:t>Frontón.  A idéntica conclusión llegó la Corte en el caso  Neira  Alegría  y</w:t>
        <w:br/>
        <w:t>otros, en el que se alegaron los mismos hechos  a  los  que  se  refiere  la</w:t>
        <w:br/>
        <w:t>presente sentencia.  Resulta claro que hubo un uso  excesivo  de  la  fuerza</w:t>
        <w:br/>
        <w:t>para sofocar el motín,  lo  que  constituye  vulneración  del  principio  de</w:t>
        <w:br/>
        <w:t>proporcionalidad que debe  existir  entre  la  situación  que  se  trata  de</w:t>
        <w:br/>
        <w:t>resolver y los medios que para ello se utilizan (supra párrs. 67, 68 y  70).</w:t>
        <w:br/>
        <w:t xml:space="preserve"> Sin embargo, de esta desproporción no  se  puede  inferir  que  se  hubiese</w:t>
        <w:br/>
        <w:t>practicado tortura o trato  cruel,  inhumano  o  degradante,  conceptos  que</w:t>
        <w:br/>
        <w:t>poseen contenido jurídico propio y que no se deducen en  forma  necesaria  y</w:t>
        <w:br/>
        <w:t>automática de la privación arbitraria de  la  vida,  aún  en  circunstancias</w:t>
        <w:br/>
        <w:t>agravantes como las presentes.</w:t>
        <w:br/>
        <w:br/>
        <w:t>80.   En consecuencia, esta Corte considera que no se ha comprobado  que  el</w:t>
        <w:br/>
        <w:t>Estado violó, en perjuicio de los señores Nolberto Durand Ugarte  y  Gabriel</w:t>
        <w:br/>
        <w:t>Pablo Ugarte Rivera, el artículo 5.2 de la Convención Americana.</w:t>
        <w:br/>
        <w:br/>
        <w:br/>
        <w:br/>
        <w:t xml:space="preserve">                                     XII</w:t>
        <w:br/>
        <w:br/>
        <w:br/>
        <w:t xml:space="preserve">                      Violación del artículo 7.1 y 7.5</w:t>
        <w:br/>
        <w:br/>
        <w:t xml:space="preserve">                       derecho a la libertad personal</w:t>
        <w:br/>
        <w:br/>
        <w:t>81.   En cuanto a la violación del artículo 7.1 y 7.5 de la  Convención,  la</w:t>
        <w:br/>
        <w:t>Comisión alegó que los días 14 y 15  de  febrero  de  1986  Nolberto  Durand</w:t>
        <w:br/>
        <w:t>Ugarte y Gabriel Pablo Ugarte Rivera, respectivamente, fueron detenidos  por</w:t>
        <w:br/>
        <w:t>efectivos de la Dirección contra el Terrorismo, sin  mediar  orden  judicial</w:t>
        <w:br/>
        <w:t>alguna ni haber sido encontrados  en  flagrante  delito,  bajo  sospecha  de</w:t>
        <w:br/>
        <w:t>haber participado en actos de terrorismo.</w:t>
        <w:br/>
        <w:br/>
        <w:t>82.   Por  su  parte,  el  Estado  señaló  que  la  investigación  de  temas</w:t>
        <w:br/>
        <w:t>relacionados con la subversión implicaba  un  trabajo  de  inteligencia  que</w:t>
        <w:br/>
        <w:t>comprendía una labor de seguimiento  para  conocer  a  otros  terroristas  e</w:t>
        <w:br/>
        <w:t>identificar  a  personas  de  mayor  categoría  dentro  de  las  respectivas</w:t>
        <w:br/>
        <w:t>organizaciones.  Por ello consideró arbitrario que la Comisión exigiera</w:t>
        <w:br/>
        <w:br/>
        <w:t xml:space="preserve">      la mediación de una orden judicial puesto que a ese nivel  implica  el</w:t>
        <w:br/>
        <w:t xml:space="preserve">      agotamiento de las etapas previas de las investigaciones  a  nivel  de</w:t>
        <w:br/>
        <w:t xml:space="preserve">      inteligencia, a nivel policial y a nivel de Fiscalía en  la  que  debe</w:t>
        <w:br/>
        <w:t xml:space="preserve">      obviarse tomar la declaración al presunto autor, a fin  de  formalizar</w:t>
        <w:br/>
        <w:t xml:space="preserve">      la denuncia sin este importante elemento de investigación y  aperturar</w:t>
        <w:br/>
        <w:t xml:space="preserve">      instrucción con mandato de detención para, con dicha  orden  judicial,</w:t>
        <w:br/>
        <w:t xml:space="preserve">      recién poder intervenir al implicado [...]</w:t>
        <w:br/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>83.   El artículo 7 de la Convención Americana, en  lo  pertinente,  dispone</w:t>
        <w:br/>
        <w:t>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[...]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el juicio.</w:t>
        <w:br/>
        <w:br/>
        <w:br/>
        <w:t>84.   LA CORTE ESTIMA QUE AÚN CUANDO LA VIOLACIÓN DEL ARTÍCULO 7.1 Y 7.5  DE</w:t>
        <w:br/>
        <w:t>LA CONVENCIÓN NO FUESE ALEGADA EN EL ESCRITO  DE  DEMANDA  DE  LA  COMISIÓN,</w:t>
        <w:br/>
        <w:t>ELLO NO IMPIDE QUE LA MISMA SEA DECLARADA POR LA CORTE,  SI  DE  LOS  HECHOS</w:t>
        <w:br/>
        <w:t>PROBADOS  RESULTA  QUE  EN  EFECTO   SE   PRODUJO   DICHA   VIOLACIÓN.    EN</w:t>
        <w:br/>
        <w:t>CONSECUENCIA, EL TRIBUNAL ANALIZARÁ LA FORMA EN QUE SE PRODUJO LA CAPTURA  Y</w:t>
        <w:br/>
        <w:t>LA DURACIÓN DE LA DETENCIÓN HASTA EL MOMENTO EN  QUE  LOS  DETENIDOS  FUERON</w:t>
        <w:br/>
        <w:t>PUESTOS A DISPOSICIÓN DE UNA AUTORIDAD JUDICIAL.</w:t>
        <w:br/>
        <w:br/>
        <w:t>85.   En el presente caso, como lo expuso la Comisión,  los  señores  Durand</w:t>
        <w:br/>
        <w:t>Ugarte y Ugarte Rivera fueron detenidos  por  miembros  de  la  policía  sin</w:t>
        <w:br/>
        <w:t>mediar orden judicial ni haber  sido  encontrados  en  flagrante  delito,  y</w:t>
        <w:br/>
        <w:t>quedaron incomunicados por  ocho  días,  según  señaló  la  señora  Virginia</w:t>
        <w:br/>
        <w:t>Ugarte Rivera en la declaración rendida ante la Corte.   Al  respecto,  este</w:t>
        <w:br/>
        <w:t>Tribunal ha dicho que nadie puede ser privado de la libertad personal  “sino</w:t>
        <w:br/>
        <w:t>por las causas, casos o circunstancias expresamente tipificadas  en  la  ley</w:t>
        <w:br/>
        <w:t>(aspecto  material),   pero,   además,   con   estricta   sujeción   a   los</w:t>
        <w:br/>
        <w:t>procedimientos objetivamente definidos por la misma (aspecto formal)”.[41]</w:t>
        <w:br/>
        <w:br/>
        <w:t>86.   La detención del  señor  Nolberto  Durand  Ugarte  ocurrió  el  14  de</w:t>
        <w:br/>
        <w:t>febrero de 1986 y la del señor Gabriel Pablo Ugarte Rivera el 15  del  mismo</w:t>
        <w:br/>
        <w:t>mes  y  año.   Ambos  fueron  puestos  a  disposición  del  órgano  judicial</w:t>
        <w:br/>
        <w:t>competente el 4 de marzo de 1986, fecha que se tiene  por  cierta  debido  a</w:t>
        <w:br/>
        <w:t>que ese día se les inició el proceso penal (supra párr. 59.d)  y  a  que  el</w:t>
        <w:br/>
        <w:t>Estado no presentó documentación alguna que demostrase lo contrario.</w:t>
        <w:br/>
        <w:br/>
        <w:t>87.   La Corte observa que los señores Durand Ugarte y Ugarte Rivera  fueron</w:t>
        <w:br/>
        <w:t>detenidos por miembros  de  la  Dirección  contra  el  Terrorismo,  sin  que</w:t>
        <w:br/>
        <w:t>mediaran flagrancia u orden judicial.  El Estado alegó que la  detención  no</w:t>
        <w:br/>
        <w:t>había  sido  arbitraria.   La  Corte,  mediante  nota  de  Secretaría   CDH-</w:t>
        <w:br/>
        <w:t>10.009/178 de 25  de  junio  de  1999,  por  instrucciones  del  Presidente,</w:t>
        <w:br/>
        <w:t>solicitó al Estado el envío  del  expediente  iniciado  contra  los  señores</w:t>
        <w:br/>
        <w:t>Nolberto Durand Ugarte y Gabriel  Pablo  Ugarte  Rivera  por  el  delito  de</w:t>
        <w:br/>
        <w:t>terrorismo, pero el Estado  nunca  aportó  esta  prueba,  que  podría  haber</w:t>
        <w:br/>
        <w:t>acreditado la  existencia  de  una  orden  judicial  de  detención  y  otros</w:t>
        <w:br/>
        <w:t>elementos relevantes para la determinación de los  hechos  relacionados  con</w:t>
        <w:br/>
        <w:t>la misma. Cuando se refirió a los hechos lo hizo en  forma  ambigua  por  no</w:t>
        <w:br/>
        <w:t>precisar  la  norma  jurídica  que  pudo  servir  como  sustento  de   dicha</w:t>
        <w:br/>
        <w:t>detención.</w:t>
        <w:br/>
        <w:br/>
        <w:t>88.   Como ha sucedido en otros procesos  tramitados  ante  la  Corte,  ésta</w:t>
        <w:br/>
        <w:t>tiene que formular sus conclusiones “prescindiendo del  valioso  auxilio  de</w:t>
        <w:br/>
        <w:t>una participación más activa [del Estado], que le hubiera  significado,  por</w:t>
        <w:br/>
        <w:t>lo demás, proveer adecuadamente a su defensa”.[42]</w:t>
        <w:br/>
        <w:br/>
        <w:t>89.   Por ello, la Corte tiene por ciertos los hechos</w:t>
        <w:br/>
        <w:br/>
        <w:t xml:space="preserve">      en virtud del principio de que [...] el silencio del  demandado  o  su</w:t>
        <w:br/>
        <w:t xml:space="preserve">      contestación elusiva o ambigua pueden interpretarse como aceptación de</w:t>
        <w:br/>
        <w:t xml:space="preserve">      los hechos de la demanda,  por  lo  menos  mientras  lo  contrario  no</w:t>
        <w:br/>
        <w:t xml:space="preserve">      aparezca de los autos o no resulte de la convicción judicial.[43]</w:t>
        <w:br/>
        <w:br/>
        <w:t>90.   La Corte observa  que  el  artículo  2  inciso  20  literal  g  de  la</w:t>
        <w:br/>
        <w:t>Constitución Política del Perú de 1979, entonces vigente, disponía:</w:t>
        <w:br/>
        <w:br/>
        <w:br/>
        <w:t xml:space="preserve">      Nadie puede ser detenido sino por mandamiento escrito y  motivado  del</w:t>
        <w:br/>
        <w:t xml:space="preserve">      juez o por las autoridades policiales en flagrante delito.</w:t>
        <w:br/>
        <w:t xml:space="preserve">      En todo caso el detenido debe ser puesto, dentro de  las  veinticuatro</w:t>
        <w:br/>
        <w:t xml:space="preserve">      horas o en el término de la distancia, a disposición del  Juzgado  que</w:t>
        <w:br/>
        <w:t xml:space="preserve">      corresponde.</w:t>
        <w:br/>
        <w:t xml:space="preserve">      Se exceptúan los casos de terrorismo, espionaje y tráfico  ilícito  de</w:t>
        <w:br/>
        <w:t xml:space="preserve">      drogas en los  que  las  autoridades  policiales  pueden  efectuar  la</w:t>
        <w:br/>
        <w:t xml:space="preserve">      detención preventiva de los presuntos implicados  por  un  término  no</w:t>
        <w:br/>
        <w:t xml:space="preserve">      mayor de quince días naturales, con cargo de dar cuenta al  Ministerio</w:t>
        <w:br/>
        <w:t xml:space="preserve">      Público y al Juez, quien puede asumir jurisdicción  antes  de  vencido</w:t>
        <w:br/>
        <w:t xml:space="preserve">      dicho término.</w:t>
        <w:br/>
        <w:br/>
        <w:t>91.   La Corte estima que si bien es cierto que los hechos señalados  en  la</w:t>
        <w:br/>
        <w:t>demanda, en cuanto a que Nolberto  Durand  Ugarte  y  Gabriel  Pablo  Ugarte</w:t>
        <w:br/>
        <w:t>Rivera fueron detenidos sin mediar orden judicial ni haber sido  encontrados</w:t>
        <w:br/>
        <w:t>en flagrante delito, no fueron desvirtuados por el  Estado,  también  lo  es</w:t>
        <w:br/>
        <w:t>que la propia Constitución peruana exceptuaba de esta  regla  los  casos  de</w:t>
        <w:br/>
        <w:t>terrorismo.  Por otra parte, y en lo que respecta al  período  de  detención</w:t>
        <w:br/>
        <w:t>de los imputados, conviene observar que el  precepto  constitucional  citado</w:t>
        <w:br/>
        <w:t>sólo autorizaba la detención  por  un  término  no  mayor  de  15  días  con</w:t>
        <w:br/>
        <w:t>obligación de dar cuenta al Ministerio Público y  al  órgano  jurisdiccional</w:t>
        <w:br/>
        <w:t>competente.  Como se ha precisado anteriormente (supra párrs.  59.d  y  86),</w:t>
        <w:br/>
        <w:t>el señor Durand Ugarte fue puesto a disposición  del  órgano  jurisdiccional</w:t>
        <w:br/>
        <w:t>competente el 4  de  marzo  de  1986,  es  decir,  18  días  después  de  la</w:t>
        <w:br/>
        <w:t>detención, y el señor Ugarte Rivera ese mismo día, esto es, 17 días  después</w:t>
        <w:br/>
        <w:t>de la detención, en ambos casos luego de transcurrido el término de 15  días</w:t>
        <w:br/>
        <w:t>permitido por la Constitución Política  del  Perú  y,  en  consecuencia,  en</w:t>
        <w:br/>
        <w:t>violación del artículo 7.5 de la Convención.</w:t>
        <w:br/>
        <w:br/>
        <w:t>92.   En consecuencia, la Corte declara que el Estado  violó,  en  perjuicio</w:t>
        <w:br/>
        <w:t>de los señores Nolberto Durand Ugarte y  Gabriel  Pablo  Ugarte  Rivera,  el</w:t>
        <w:br/>
        <w:t>artículo 7.1 y 7.5 de la Convención Americana.</w:t>
        <w:br/>
        <w:br/>
        <w:br/>
        <w:t xml:space="preserve">                                    XIII</w:t>
        <w:br/>
        <w:t xml:space="preserve">                    VIOLACIÓN DE LOS ARTÍCULOS 7.6 Y 25.1</w:t>
        <w:br/>
        <w:t xml:space="preserve">                             PROTECCIÓN JUDICIAL</w:t>
        <w:br/>
        <w:br/>
        <w:t>93.   En  cuanto  a  la  violación  de  los  artículos  7.6  y  25.1  de  la</w:t>
        <w:br/>
        <w:t>Convención, la Comisión alegó que:</w:t>
        <w:br/>
        <w:br/>
        <w:t xml:space="preserve">      a)    la Corte ha interpretado el artículo 25 de la Convención  a  fin</w:t>
        <w:br/>
        <w:t xml:space="preserve">      de garantizar, inter alia, un recurso sencillo, rápido y efectivo para</w:t>
        <w:br/>
        <w:t xml:space="preserve">      la protección de los derechos fundamentales de la persona;</w:t>
        <w:br/>
        <w:br/>
        <w:br/>
        <w:t xml:space="preserve">      b)    el derecho a la tutela  efectiva  incluye  el  hábeas  corpus  o</w:t>
        <w:br/>
        <w:t xml:space="preserve">      amparo de la libertad, al permitir que una autoridad distinta a la que</w:t>
        <w:br/>
        <w:t xml:space="preserve">      ordena y ejecuta la privación de la libertad, determine  la  legalidad</w:t>
        <w:br/>
        <w:t xml:space="preserve">      de la detención.  Para que un recurso sea efectivo, el mismo  no  solo</w:t>
        <w:br/>
        <w:t xml:space="preserve">      debe ser idóneo para solucionar la violación alegada, sino que no debe</w:t>
        <w:br/>
        <w:t xml:space="preserve">      ser ilusorio.  En el caso concreto, aun cuando el hábeas corpus era el</w:t>
        <w:br/>
        <w:t xml:space="preserve">      recurso idóneo para que la autoridad judicial investigara y  conociera</w:t>
        <w:br/>
        <w:t xml:space="preserve">      el paradero de los desaparecidos, los tribunales peruanos se limitaron</w:t>
        <w:br/>
        <w:t xml:space="preserve">      a establecer la legalidad de la detención e  hicieron  a  un  lado  su</w:t>
        <w:br/>
        <w:t xml:space="preserve">      obligación de determinar el paradero  de  las  víctimas,  que  era  el</w:t>
        <w:br/>
        <w:t xml:space="preserve">      objetivo específico del recurso promovido por la señora Ugarte Rivera;</w:t>
        <w:br/>
        <w:br/>
        <w:br/>
        <w:t xml:space="preserve">      c)    el artículo 7.6 de la Convención garantiza el acceso a este tipo</w:t>
        <w:br/>
        <w:t xml:space="preserve">      de recursos para proteger el derecho  a  la  libertad  personal  y  el</w:t>
        <w:br/>
        <w:t xml:space="preserve">      artículo 27.2 de la Convención, relativo a la suspensión de  garantías</w:t>
        <w:br/>
        <w:t xml:space="preserve">      en estados de emergencia, excluye la posibilidad de dejar  sin  efecto</w:t>
        <w:br/>
        <w:t xml:space="preserve">      “las garantías judiciales indispensables” para la  protección  de  los</w:t>
        <w:br/>
        <w:t xml:space="preserve">      derechos inderogables, entre las que se  encuentran  las  acciones  de</w:t>
        <w:br/>
        <w:t xml:space="preserve">      hábeas corpus y de amparo;</w:t>
        <w:br/>
        <w:br/>
        <w:br/>
        <w:t xml:space="preserve">      d)    en lo que se refiere a las limitaciones al acceso a  un  recurso</w:t>
        <w:br/>
        <w:t xml:space="preserve">      sencillo y rápido, el caso de Nolberto Durand Ugarte y  Gabriel  Pablo</w:t>
        <w:br/>
        <w:t xml:space="preserve">      Ugarte Rivera ofrece una  situación  idéntica  a  la  del  caso  Neira</w:t>
        <w:br/>
        <w:t xml:space="preserve">      Alegría y otros.  En éste, la Corte señaló que el Estado había violado</w:t>
        <w:br/>
        <w:t xml:space="preserve">      “los artículos 7.6 y 27.2 de la Convención en virtud de la  aplicación</w:t>
        <w:br/>
        <w:t xml:space="preserve">      de los Decretos Supremos No. 012-86-IN y  No.  006-86-JUS  de  2  y  6</w:t>
        <w:br/>
        <w:t xml:space="preserve">      [rectius 19] de junio de 1986, que declararon el estado de  emergencia</w:t>
        <w:br/>
        <w:t xml:space="preserve">      en las provincias de Lima y del Callao y Zona Militar  Restringida  en</w:t>
        <w:br/>
        <w:t xml:space="preserve">      tres penales, entre ellos el de San Juan Bautista”.  Al  respecto,  la</w:t>
        <w:br/>
        <w:t xml:space="preserve">      Corte señaló que</w:t>
        <w:br/>
        <w:br/>
        <w:br/>
        <w:t xml:space="preserve">           si bien dichos decretos no suspendieron  de  manera  expresa  la</w:t>
        <w:br/>
        <w:t xml:space="preserve">           acción  o  recurso  de  hábeas   corpus[...],   de   hecho,   el</w:t>
        <w:br/>
        <w:t xml:space="preserve">           cumplimiento que se dio a ambos decretos produjo  la  ineficacia</w:t>
        <w:br/>
        <w:t xml:space="preserve">           del citado instrumento tutelar, y por tanto,  su  suspensión  en</w:t>
        <w:br/>
        <w:t xml:space="preserve">           perjuicio de las presuntas víctimas. El  hábeas  corpus  era  el</w:t>
        <w:br/>
        <w:t xml:space="preserve">           procedimiento idóneo para  que  la  autoridad  judicial  pudiese</w:t>
        <w:br/>
        <w:t xml:space="preserve">           investigar y conocer el paradero de las tres personas a  que  se</w:t>
        <w:br/>
        <w:t xml:space="preserve">           refiere este caso[44]; y</w:t>
        <w:br/>
        <w:br/>
        <w:br/>
        <w:t xml:space="preserve">      e)    la  Corte  debe  declarar,  en  este  caso,  que  el  Estado  es</w:t>
        <w:br/>
        <w:t xml:space="preserve">      responsable de la violación de los artículos 7.6, 25.1 y  27.2  de  la</w:t>
        <w:br/>
        <w:t xml:space="preserve">      Convención.</w:t>
        <w:br/>
        <w:br/>
        <w:t>94.   Por su parte, el Estado alegó que:</w:t>
        <w:br/>
        <w:br/>
        <w:t xml:space="preserve">      a)    el hábeas corpus,  tal  como  está  concebido  en  las  diversas</w:t>
        <w:br/>
        <w:t xml:space="preserve">      legislaciones, “regula los casos de DETENCION ARBITRARIA a la  que  en</w:t>
        <w:br/>
        <w:t xml:space="preserve">      forma alguna podían acogerse  los  [señores  Durand  Ugarte  y  Ugarte</w:t>
        <w:br/>
        <w:t xml:space="preserve">      Rivera]”,  puesto  que  se   han   precisado   en   la   investigación</w:t>
        <w:br/>
        <w:t xml:space="preserve">      correspondiente los  motivos  de  su  detención  y  había  un  mandato</w:t>
        <w:br/>
        <w:t xml:space="preserve">      judicial para proceder a su reclusión, por lo que  las  calificaciones</w:t>
        <w:br/>
        <w:t xml:space="preserve">      de orden jurisdiccional, en estos casos, resultaron adecuadas al marco</w:t>
        <w:br/>
        <w:t xml:space="preserve">      legal; y</w:t>
        <w:br/>
        <w:br/>
        <w:br/>
        <w:t xml:space="preserve">      b)    al no haberse ejercitado en el presente caso, por parte  de  los</w:t>
        <w:br/>
        <w:t xml:space="preserve">      familiares de los  ciudadanos  Durand  Ugarte  y  Ugarte  Rivera,  los</w:t>
        <w:br/>
        <w:t xml:space="preserve">      procedimientos de declaración de muerte presunta o  declaración  legal</w:t>
        <w:br/>
        <w:t xml:space="preserve">      de muerte, o no haberse dispuesto la apertura  de  la  sucesión  legal</w:t>
        <w:br/>
        <w:t xml:space="preserve">      para el ejercicio  de  las  acciones  resarcitorias  que  reconoce  el</w:t>
        <w:br/>
        <w:t xml:space="preserve">      ordenamiento legal peruano, no se ha agotado la vía  interna,  lo  que</w:t>
        <w:br/>
        <w:t xml:space="preserve">      determina la falta de competencia de la Corte.</w:t>
        <w:br/>
        <w:br/>
        <w:t xml:space="preserve">                                      *</w:t>
        <w:br/>
        <w:t xml:space="preserve">                                   *     *</w:t>
        <w:br/>
        <w:br/>
        <w:t>95.   El artículo 25.1 de la Convención Americana dispone que:</w:t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96.   El artículo 7.6 de la Convención Americana determina que:</w:t>
        <w:br/>
        <w:br/>
        <w:t xml:space="preserve">     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fueran ilegales.  En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restringido  ni  abolido.   Los  recursos  podrán</w:t>
        <w:br/>
        <w:t xml:space="preserve">      interponerse por sí o por otra persona.</w:t>
        <w:br/>
        <w:br/>
        <w:t>97.   POR SU PARTE, EL ARTÍCULO 27 DE LA CONVENCIÓN ESTABLECE QUE:</w:t>
        <w:br/>
        <w:br/>
        <w:t xml:space="preserve">            1.    En caso de guerra, de peligro público o de otra emergencia</w:t>
        <w:br/>
        <w:t xml:space="preserve">      que amenace la independencia o seguridad del Estado parte, éste  podrá</w:t>
        <w:br/>
        <w:t xml:space="preserve">      adoptar disposiciones que, en la medida y por el tiempo  estrictamente</w:t>
        <w:br/>
        <w:t xml:space="preserve">      limitados a las exigencias de la situación, suspendan las obligaciones</w:t>
        <w:br/>
        <w:t xml:space="preserve">      contraídas  en  virtud  de  esta   Convención,   siempre   que   tales</w:t>
        <w:br/>
        <w:t xml:space="preserve">      disposiciones no sean incompatibles con las demás obligaciones que les</w:t>
        <w:br/>
        <w:t xml:space="preserve">      impone el derecho internacional y no  entrañen  discriminación  alguna</w:t>
        <w:br/>
        <w:t xml:space="preserve">      fundada en motivos de raza, color, sexo,  idioma,  religión  u  origen</w:t>
        <w:br/>
        <w:t xml:space="preserve">      social.</w:t>
        <w:br/>
        <w:br/>
        <w:br/>
        <w:t xml:space="preserve">            2.    La disposición precedente no autoriza la suspensión de los</w:t>
        <w:br/>
        <w:t xml:space="preserve">      derechos determinados en  los  siguientes  artículos:  3  (Derecho  al</w:t>
        <w:br/>
        <w:t xml:space="preserve">      Reconocimiento de la Personalidad Jurídica); 4 (Derecho a la Vida);  5</w:t>
        <w:br/>
        <w:t xml:space="preserve">      (Derecho a la Integridad Personal); 6 (Prohibición de la Esclavitud  y</w:t>
        <w:br/>
        <w:t xml:space="preserve">      Servidumbre); 9 (Principio  de  Legalidad  y  de  Retroactividad);  12</w:t>
        <w:br/>
        <w:t xml:space="preserve">      (Libertad de Conciencia y de Religión); 17 (Protección a la  Familia);</w:t>
        <w:br/>
        <w:t xml:space="preserve">      18 (Derecho al Nombre); 19 (Derechos  del  Niño);  20  (Derecho  a  la</w:t>
        <w:br/>
        <w:t xml:space="preserve">      Nacionalidad),  y  23  (Derechos  Políticos),  ni  de  las   garantías</w:t>
        <w:br/>
        <w:t xml:space="preserve">      judiciales indispensables para la protección de tales derechos.</w:t>
        <w:br/>
        <w:br/>
        <w:t>98.   CUANDO OCURRIÓ EL MOTÍN EN EL FRONTÓN, EN EL  PERÚ  SE  APLICARON  LOS</w:t>
        <w:br/>
        <w:t>DECRETOS SUPREMOS NO. 012-86-IN Y NO. 006-86 JUS DE  2  Y  19  DE  JUNIO  DE</w:t>
        <w:br/>
        <w:t>1986, RESPECTIVAMENTE, QUE DECLARARON PRORROGADO EL ESTADO DE EMERGENCIA  EN</w:t>
        <w:br/>
        <w:t>LAS PROVINCIAS DE LIMA Y DEL  CALLAO,  Y  ESTABLECIERON  COMO  ZONA  MILITAR</w:t>
        <w:br/>
        <w:t>RESTRINGIDA, BAJO LA  JURISDICCIÓN  DEL  COMANDO  CONJUNTO  DE  LAS  FUERZAS</w:t>
        <w:br/>
        <w:t>ARMADAS, TRES ESTABLECIMIENTOS PENALES, ENTRE  ELLOS  EL  FRONTÓN,  MIENTRAS</w:t>
        <w:br/>
        <w:t>DURARA EL ESTADO DE EMERGENCIA.</w:t>
        <w:br/>
        <w:br/>
        <w:t>99.   En lo relativo a la suspensión de garantías o declaración  de  estados</w:t>
        <w:br/>
        <w:t>de emergencia en los casos de guerra, peligro público u otra emergencia,  es</w:t>
        <w:br/>
        <w:t>preciso remitirse al artículo 27 de la Convención Americana.   La  Corte  ha</w:t>
        <w:br/>
        <w:t>señalado que si se ha decretado  debidamente  la  suspensión  de  garantías,</w:t>
        <w:br/>
        <w:t>ésta no debe exceder la medida de lo estrictamente necesario, y que  resulta</w:t>
        <w:br/>
        <w:t>“ilegal toda  actuación  de  los  poderes  públicos  que  desborde  aquellos</w:t>
        <w:br/>
        <w:t>límites que deben estar precisamente  señalados  en  las  disposiciones  que</w:t>
        <w:br/>
        <w:t>decretan el estado de excepción”.[45]  Las limitaciones que se imponen a  la</w:t>
        <w:br/>
        <w:t>actuación del Estado responden a “la  necesidad  genérica  de  que  en  todo</w:t>
        <w:br/>
        <w:t>estado de  excepción  subsistan  medios  idóneos  para  el  control  de  las</w:t>
        <w:br/>
        <w:t>disposiciones que se dicten, a fin de que ellos se adecúen razonablemente  a</w:t>
        <w:br/>
        <w:t>las necesidades de la situación  y  no  excedan  de  los  límites  estrictos</w:t>
        <w:br/>
        <w:t>impuestos por la Convención o derivados de ella”.[46]</w:t>
        <w:br/>
        <w:br/>
        <w:t>100.  Los mencionados decretos supremos no suspendieron en forma expresa  la</w:t>
        <w:br/>
        <w:t>acción o recurso de  hábeas  corpus  que  dispone  el  artículo  7.6  de  la</w:t>
        <w:br/>
        <w:t>Convención Americana, pero el  cumplimiento  que  el  Estado  dio  a  dichos</w:t>
        <w:br/>
        <w:t>decretos produjo, de hecho, la ineficacia del mencionado recurso, en  virtud</w:t>
        <w:br/>
        <w:t>de que los jueces ordinarios no podían ingresar a los penales por ser  éstos</w:t>
        <w:br/>
        <w:t>zonas  militares  restringidas,  y  de  que  dichas  disposiciones  impedían</w:t>
        <w:br/>
        <w:t>investigar y determinar el paradero de las personas a favor  de  las  cuales</w:t>
        <w:br/>
        <w:t>se había interpuesto el recurso.  En este caso,  el  hábeas  corpus  era  el</w:t>
        <w:br/>
        <w:t>procedimiento idóneo, que pudo ser efectivo, para que la autoridad  judicial</w:t>
        <w:br/>
        <w:t>pudiese investigar y conocer el paradero de  los  señores  Durand  Ugarte  y</w:t>
        <w:br/>
        <w:t>Ugarte Rivera.  No es válido el alegato del Estado en el sentido de que  los</w:t>
        <w:br/>
        <w:t>familiares debieron haber ejercitado  los  procedimientos  que  reconoce  el</w:t>
        <w:br/>
        <w:t>ordenamiento legal interno, tales como la declaración de muerte  presunta  o</w:t>
        <w:br/>
        <w:t>la apertura de la correspondiente sucesión  legal,  ya  que  estos  recursos</w:t>
        <w:br/>
        <w:t>sirven a otros propósitos, relacionados con el régimen sucesorio, y  “no  al</w:t>
        <w:br/>
        <w:t>esclarecimiento   de   una   desaparición   violatoria   de   los   derechos</w:t>
        <w:br/>
        <w:t>humanos”.[47]</w:t>
        <w:br/>
        <w:br/>
        <w:t>101.  Asimismo, la Corte ha reiterado que el derecho de toda  persona  a  un</w:t>
        <w:br/>
        <w:t>recurso sencillo y rápido o a  cualquier  otro  recurso  efectivo  ante  los</w:t>
        <w:br/>
        <w:t>jueces o tribunales competentes que la ampare contra actos  que  violen  sus</w:t>
        <w:br/>
        <w:t>derechos fundamentales</w:t>
        <w:br/>
        <w:br/>
        <w:t xml:space="preserve">      constituye uno de los  pilares  básicos,  no  sólo  de  la  Convención</w:t>
        <w:br/>
        <w:t xml:space="preserve">      Americana,  sino  del  propio  Estado  de  Derecho  en  una   sociedad</w:t>
        <w:br/>
        <w:t xml:space="preserve">      democrática en el sentido de la Convención [...]  El  artículo  25  se</w:t>
        <w:br/>
        <w:t xml:space="preserve">      encuentra íntimamente ligado con la obligación  general  del  artículo</w:t>
        <w:br/>
        <w:t xml:space="preserve">      1.1 de la Convención Americana, al atribuir funciones de protección al</w:t>
        <w:br/>
        <w:t xml:space="preserve">      derecho interno de los Estados Partes.[48]</w:t>
        <w:br/>
        <w:br/>
        <w:br/>
        <w:t>102.  Además, la Corte ha señalado que</w:t>
        <w:br/>
        <w:br/>
        <w:t xml:space="preserve">      la inexistencia de un recurso efectivo contra las  violaciones  a  los</w:t>
        <w:br/>
        <w:t xml:space="preserve">      derechos reconocidos por la Convención constituye una transgresión  de</w:t>
        <w:br/>
        <w:t xml:space="preserve">      la misma por el Estado Parte en  el  cual  semejante  situación  tenga</w:t>
        <w:br/>
        <w:t xml:space="preserve">      lugar.  En ese sentido debe  subrayarse  que,  para  que  tal  recurso</w:t>
        <w:br/>
        <w:t xml:space="preserve">      exista, no basta con que esté previsto por la Constitución o la ley  o</w:t>
        <w:br/>
        <w:t xml:space="preserve">      con que sea formalmente  admisible,  sino  que  se  requiere  que  sea</w:t>
        <w:br/>
        <w:t xml:space="preserve">      realmente idóneo para establecer si se ha incurrido en una violación a</w:t>
        <w:br/>
        <w:t xml:space="preserve">      los derechos humanos y proveer lo necesario para remediarla.[49]</w:t>
        <w:br/>
        <w:br/>
        <w:br/>
        <w:t>103.  Lo  anteriormente  expuesto  no  sólo  es  válido  en  situaciones  de</w:t>
        <w:br/>
        <w:t>normalidad, sino también en circunstancias  excepcionales.   Dentro  de  las</w:t>
        <w:br/>
        <w:t>garantías judiciales inderogables, el  hábeas  corpus  representa  el  medio</w:t>
        <w:br/>
        <w:t>idóneo “para controlar el respeto a la vida  e  integridad  de  la  persona,</w:t>
        <w:br/>
        <w:t>para impedir su desaparición o la indeterminación de su lugar de  detención,</w:t>
        <w:br/>
        <w:t>así como para protegerla contra la tortura u otros tratos o  penas  crueles,</w:t>
        <w:br/>
        <w:t>inhumanos o degradantes”.[50]</w:t>
        <w:br/>
        <w:br/>
        <w:t>104.  La acción de hábeas corpus interpuesta por la señora  Virginia  Ugarte</w:t>
        <w:br/>
        <w:t>Rivera el 26 de junio de 1986 a favor de Nolberto Durand  Ugarte  y  Gabriel</w:t>
        <w:br/>
        <w:t>Pablo Ugarte Rivera, en la cual señalaba como responsables al  Director  del</w:t>
        <w:br/>
        <w:t>Instituto Nacional Penitenciario y al Director  del  penal  El  Frontón,  se</w:t>
        <w:br/>
        <w:t>fundamentó en que desconocía el paradero de su hijo y de  su  hermano  desde</w:t>
        <w:br/>
        <w:t>que se produjo la debelación del motín, y éstos podrían  estar  secuestrados</w:t>
        <w:br/>
        <w:t>o haber fallecido.  Este recurso fue declarado improcedente el 27  de  junio</w:t>
        <w:br/>
        <w:t>de 1986, por  considerar  el  juez  que  los  beneficiarios  se  encontraban</w:t>
        <w:br/>
        <w:t>procesados y detenidos en virtud de órdenes  emanadas  de  un  procedimiento</w:t>
        <w:br/>
        <w:t>regular, abierto el 4 de marzo de 1986 por el delito de  terrorismo,  en  la</w:t>
        <w:br/>
        <w:t>instrucción No. 83-86 ante el 39o. Juzgado de Instrucción de  Lima.   Además</w:t>
        <w:br/>
        <w:t>tomó en cuenta que, conforme al acta levantada el 18 de junio  de  1986  por</w:t>
        <w:br/>
        <w:t>el Director del penal El Frontón, se  había  ordenado  a  dicho  funcionario</w:t>
        <w:br/>
        <w:t>dejar la situación del penal a cargo del Comando  Conjunto  de  las  Fuerzas</w:t>
        <w:br/>
        <w:t>Armadas.</w:t>
        <w:br/>
        <w:br/>
        <w:t>105.  De acuerdo con lo expuesto, el 15 de julio de 1986 el Primer  Tribunal</w:t>
        <w:br/>
        <w:t>Correccional de la Corte Superior de Justicia del Callao,  considerando  que</w:t>
        <w:br/>
        <w:t>la restricción a la libertad fue impuesta  a  Nolberto  Durand  Ugarte  y  a</w:t>
        <w:br/>
        <w:t>Gabriel Pablo Ugarte Rivera “en mérito a una  orden  judicial  de  detención</w:t>
        <w:br/>
        <w:t>dictada dentro del  proceso  por  el  delito  de  terrorismo”,  confirmó  la</w:t>
        <w:br/>
        <w:t>resolución apelada  y  declaró  improcedente  la  acción  de  hábeas  corpus</w:t>
        <w:br/>
        <w:t>interpuesta en favor de dichas  personas.   El  13  de  agosto  de  1986  la</w:t>
        <w:br/>
        <w:t>Primera Sala Penal de la Corte Suprema declaró  “no  haber  nulidad”  de  la</w:t>
        <w:br/>
        <w:t>sentencia expedida por el  Tribunal  Correccional.   Finalmente,  el  28  de</w:t>
        <w:br/>
        <w:t>octubre de 1986 el Tribunal de Garantías Constitucionales, ante  el  que  se</w:t>
        <w:br/>
        <w:t>había  interpuesto  un  recurso  de  casación,  declaró  que   “permanec[ía]</w:t>
        <w:br/>
        <w:t>inalterable” la resolución de la Corte Suprema de Justicia.</w:t>
        <w:br/>
        <w:br/>
        <w:t>106.  La Corte ha interpretado los artículos 7.6 y 27.2  de  la  Convención.</w:t>
        <w:br/>
        <w:t>En la opinión consultiva OC-8, de 30 de enero  de  1987,  ha  sostenido  que</w:t>
        <w:br/>
        <w:t>“los procedimientos de hábeas corpus y  de  amparo  son  aquellas  garantías</w:t>
        <w:br/>
        <w:t>judiciales  indispensables  para  la  protección  de  varios  derechos  cuya</w:t>
        <w:br/>
        <w:t>suspensión  está  vedada  por  el  artículo  27.2  y  sirven,  además,  para</w:t>
        <w:br/>
        <w:t>preservar la legalidad en una sociedad democrática” [51].</w:t>
        <w:br/>
        <w:br/>
        <w:t>107.  En la opinión consultiva OC-9, este Tribunal ha sostenido que</w:t>
        <w:br/>
        <w:br/>
        <w:t xml:space="preserve">      las garantías judiciales indispensables  para  la  protección  de  los</w:t>
        <w:br/>
        <w:t xml:space="preserve">      derechos humanos no susceptibles de suspensión, según lo dispuesto  en</w:t>
        <w:br/>
        <w:t xml:space="preserve">      el artículo 27.2 de la Convención, son aquéllas  a  las  que  ésta  se</w:t>
        <w:br/>
        <w:t xml:space="preserve">      refiere expresamente en los artículos 7.6 y 25.1, consideradas  dentro</w:t>
        <w:br/>
        <w:t xml:space="preserve">      del marco y según  los  principios  del  artículo  8,  y  también  las</w:t>
        <w:br/>
        <w:t xml:space="preserve">      inherentes a la preservación  del  Estado  de  Derecho,  aun  bajo  la</w:t>
        <w:br/>
        <w:t xml:space="preserve">      legalidad excepcional que resulta de la suspensión de garantías.[52]</w:t>
        <w:br/>
        <w:br/>
        <w:t>108.  Los criterios contenidos en  las  citadas  opiniones  consultivas  son</w:t>
        <w:br/>
        <w:t>aplicables al presente  caso,  dado  que  la  aplicación  de  los  Decretos-</w:t>
        <w:br/>
        <w:t>Supremos No. 012-86-IN  y  No.  006-86-JUS,  que  declararon  el  estado  de</w:t>
        <w:br/>
        <w:t>emergencia y la zona militar restringida, así como el  control  efectivo  de</w:t>
        <w:br/>
        <w:t>las Fuerzas Armadas sobre el centro  penitenciario  El  Frontón,  produjeron</w:t>
        <w:br/>
        <w:t>implícitamente  la  suspensión  de  la   acción   de   hábeas   corpus,   en</w:t>
        <w:br/>
        <w:t>contravención de lo dispuesto en la Convención Americana.</w:t>
        <w:br/>
        <w:br/>
        <w:t>109.  En relación con lo anterior, puede afirmarse que  no fue  efectiva  la</w:t>
        <w:br/>
        <w:t>acción de hábeas corpus intentada el 26 de junio de 1986, a propósito de  la</w:t>
        <w:br/>
        <w:t>desaparición  de  los  señores  Durand  Ugarte   y   Ugarte   Rivera    como</w:t>
        <w:br/>
        <w:t>consecuencia de los hechos del 18 de junio de 1986.</w:t>
        <w:br/>
        <w:br/>
        <w:t>110.  Con base en las anteriores consideraciones, la Corte concluye  que  el</w:t>
        <w:br/>
        <w:t>Estado violó las disposiciones de los artículos 7.6 y 25.1 de la  Convención</w:t>
        <w:br/>
        <w:t>Americana, en perjuicio de Nolberto Durand Ugarte  y  Gabriel  Pablo  Ugarte</w:t>
        <w:br/>
        <w:t>Rivera.</w:t>
        <w:br/>
        <w:br/>
        <w:br/>
        <w:br/>
        <w:br/>
        <w:t xml:space="preserve">                                     XIV</w:t>
        <w:br/>
        <w:t xml:space="preserve">                    VIOLACIÓN DE LOS ARTÍCULOS 8.1 Y 25.1</w:t>
        <w:br/>
        <w:t xml:space="preserve">  DERECHO A SER OÍDO CON LAS DEBIDAS GARANTÍAS POR UN JUEZ INDEPENDIENTE E</w:t>
        <w:br/>
        <w:t xml:space="preserve">                  IMPARCIAL Y DERECHO A UN RECURSO EFECTIVO</w:t>
        <w:br/>
        <w:br/>
        <w:t>111.  En  cuanto  a  la  violación  de  los  artículos  8.1  y  25.1  de  la</w:t>
        <w:br/>
        <w:t>Convención, la Comisión alegó que:</w:t>
        <w:br/>
        <w:br/>
        <w:t xml:space="preserve">      a)    el artículo 8 de la Convención comprende diferentes  derechos  y</w:t>
        <w:br/>
        <w:t xml:space="preserve">      garantías que tienen como propósito  resguardar  el  derecho  de  toda</w:t>
        <w:br/>
        <w:t xml:space="preserve">      persona a  un  proceso  justo  y  asegurar  que  el  Estado  garantice</w:t>
        <w:br/>
        <w:t xml:space="preserve">      judicialmente los derechos;</w:t>
        <w:br/>
        <w:br/>
        <w:br/>
        <w:t xml:space="preserve">      b)    a Gabriel Pablo Ugarte Rivera se le negó el  derecho  de  contar</w:t>
        <w:br/>
        <w:t xml:space="preserve">      con un abogado cuando declaró ante la policía;</w:t>
        <w:br/>
        <w:br/>
        <w:br/>
        <w:t xml:space="preserve">      c)    los tribunales militares que  conocieron  el  caso  actuaron  en</w:t>
        <w:br/>
        <w:t xml:space="preserve">      “franca contradicción con los principios de autonomía e  imparcialidad</w:t>
        <w:br/>
        <w:t xml:space="preserve">      que deben informar [a los mismos] para conformarse con lo  establecido</w:t>
        <w:br/>
        <w:t xml:space="preserve">      en la Convención”.  La  independencia  e  imparcialidad  del  tribunal</w:t>
        <w:br/>
        <w:t xml:space="preserve">      constituyen  aspectos  centrales  de  las  garantías  mínimas  de   la</w:t>
        <w:br/>
        <w:t xml:space="preserve">      administración de justicia y el artículo 8 debe interpretarse  siempre</w:t>
        <w:br/>
        <w:t xml:space="preserve">      en los términos más amplios, de conformidad con el objeto  y  fin  del</w:t>
        <w:br/>
        <w:t xml:space="preserve">      tratado;</w:t>
        <w:br/>
        <w:br/>
        <w:br/>
        <w:t xml:space="preserve">      d)     los  tribunales   militares   no   son   órganos   competentes,</w:t>
        <w:br/>
        <w:t xml:space="preserve">      independientes e imparciales, porque forman parte, “de acuerdo con  la</w:t>
        <w:br/>
        <w:t xml:space="preserve">      Ley Orgánica de Justicia Militar peruana [Decreto-Ley No. 23.201]  del</w:t>
        <w:br/>
        <w:t xml:space="preserve">      Ministerio de Defensa;  es  decir,  se  trata  de  un  fuero  especial</w:t>
        <w:br/>
        <w:t xml:space="preserve">      subordinado a un órgano del Poder Ejecutivo.”  Los  jueces  del  fuero</w:t>
        <w:br/>
        <w:t xml:space="preserve">      privativo militar son, asimismo, miembros de las  Fuerzas  Armadas  en</w:t>
        <w:br/>
        <w:t xml:space="preserve">      servicio activo, lo cual constituye un requisito para formar parte  de</w:t>
        <w:br/>
        <w:t xml:space="preserve">      aquél (artículos 22 y 31 del Decreto-Ley No. 23.201).  Además,  no  es</w:t>
        <w:br/>
        <w:t xml:space="preserve">      necesario ser abogado para integrar un tribunal de este fuero. Resulta</w:t>
        <w:br/>
        <w:t xml:space="preserve">      lógico sostener que si el cargo judicial depende del grado  militar  o</w:t>
        <w:br/>
        <w:t xml:space="preserve">      de la condición de funcionario activo, las decisiones  que  adopte  el</w:t>
        <w:br/>
        <w:t xml:space="preserve">      juez o tribunal se verán afectadas por un interés incompatible con  la</w:t>
        <w:br/>
        <w:t xml:space="preserve">      justicia.  Esta posibilidad puede implicar que el funcionario  carezca</w:t>
        <w:br/>
        <w:t xml:space="preserve">      de la autonomía e imparcialidad necesarias para investigar hechos como</w:t>
        <w:br/>
        <w:t xml:space="preserve">      los sucedidos en El Frontón;</w:t>
        <w:br/>
        <w:br/>
        <w:br/>
        <w:t xml:space="preserve">      e)    el trámite ante el fuero privativo militar tampoco constituye un</w:t>
        <w:br/>
        <w:t xml:space="preserve">      recurso efectivo para proteger los derechos  de  las  víctimas  y  sus</w:t>
        <w:br/>
        <w:t xml:space="preserve">      familiares y remediar los daños causados.  En el presente caso  no  se</w:t>
        <w:br/>
        <w:t xml:space="preserve">      investigaron los hechos ni se sancionó a los culpables.   La  Sala  de</w:t>
        <w:br/>
        <w:t xml:space="preserve">      Guerra del Consejo Supremo de Justicia Militar concluyó que  no  había</w:t>
        <w:br/>
        <w:t xml:space="preserve">      responsabilidad de quienes intervinieron en la debelación  del  motín.</w:t>
        <w:br/>
        <w:t xml:space="preserve">      Por otra parte, las autoridades no hicieron lo necesario  para  salvar</w:t>
        <w:br/>
        <w:t xml:space="preserve">      la mayor cantidad de vidas que fuese posible después de la  demolición</w:t>
        <w:br/>
        <w:t xml:space="preserve">      del penal, ni aplicaron la diligencia adecuada para la  identificación</w:t>
        <w:br/>
        <w:t xml:space="preserve">      de los cadáveres;</w:t>
        <w:br/>
        <w:br/>
        <w:br/>
        <w:t xml:space="preserve">      f)    al haber dejado el Estado a las víctimas y sus  familiares  sólo</w:t>
        <w:br/>
        <w:t xml:space="preserve">      el procedimiento en el fuero privativo militar a fin de esclarecer los</w:t>
        <w:br/>
        <w:t xml:space="preserve">      hechos, identificar los cadáveres y hacer  justicia,  y  al  no  haber</w:t>
        <w:br/>
        <w:t xml:space="preserve">      investigado los sucesos de manera diligente, se negó  a  aquéllas,  de</w:t>
        <w:br/>
        <w:t xml:space="preserve">      hecho, el acceso a un recurso efectivo; y</w:t>
        <w:br/>
        <w:br/>
        <w:br/>
        <w:t xml:space="preserve">      g)    el 17 de julio de 1987, el 6o.  Tribunal  Correccional  de  Lima</w:t>
        <w:br/>
        <w:t xml:space="preserve">      decidió que Nolberto Durand Ugarte y Gabriel Pablo Ugarte Rivera  eran</w:t>
        <w:br/>
        <w:t xml:space="preserve">      “inocentes, resolviendo el archivo del proceso y la inmediata libertad</w:t>
        <w:br/>
        <w:t xml:space="preserve">      de los encausados”.  Dicha decisión resultó  ineficaz,  pues  aquéllos</w:t>
        <w:br/>
        <w:t xml:space="preserve">      habían desaparecido.</w:t>
        <w:br/>
        <w:br/>
        <w:t>112.  Por su parte, el Estado alegó que:</w:t>
        <w:br/>
        <w:br/>
        <w:t xml:space="preserve">      a)    carece de sustento probatorio el  argumento  de  que  se  habría</w:t>
        <w:br/>
        <w:t xml:space="preserve">      negado a los detenidos el derecho de contar con un abogado defensor  y</w:t>
        <w:br/>
        <w:t xml:space="preserve">      se  les  habría  obligado  a  renunciar  expresamente  a  él.   Consta</w:t>
        <w:br/>
        <w:t xml:space="preserve">      claramente, por escrito, que en este caso los  interesados  desecharon</w:t>
        <w:br/>
        <w:t xml:space="preserve">      esa posibilidad.  Corresponde al demandante la carga de la prueba para</w:t>
        <w:br/>
        <w:t xml:space="preserve">      desvirtuar ese hecho;</w:t>
        <w:br/>
        <w:br/>
        <w:br/>
        <w:t xml:space="preserve">      b)    en el presente caso, los inculpados fueron absueltos con base en</w:t>
        <w:br/>
        <w:t xml:space="preserve">      el principio in dubio pro reo, lo cual no equivale a  una  declaración</w:t>
        <w:br/>
        <w:t xml:space="preserve">      de inocencia, y</w:t>
        <w:br/>
        <w:br/>
        <w:t xml:space="preserve">      c)     la  justicia  militar  se  encargó   de   las   investigaciones</w:t>
        <w:br/>
        <w:t xml:space="preserve">      conducentes a determinar responsabilidades en los sucesos  examinados.</w:t>
        <w:br/>
        <w:t xml:space="preserve">      El proceso tuvo publicidad y respetó las garantías correspondientes.</w:t>
        <w:br/>
        <w:br/>
        <w:t xml:space="preserve">                                      *</w:t>
        <w:br/>
        <w:t xml:space="preserve">                                   *     *</w:t>
        <w:br/>
        <w:br/>
        <w:t>113.  El artículo 8.1 de la Convención Americana dispone que:</w:t>
        <w:br/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>114.  El artículo 25.1 de la Convención Americana establece que:</w:t>
        <w:br/>
        <w:br/>
        <w:t xml:space="preserve">      [t]oda persona tiene derecho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115.  La Corte examinará, en primer  término,  el  alegato  de  la  Comisión</w:t>
        <w:br/>
        <w:t>referido al proceso militar para investigar los hechos y  determinar  a  los</w:t>
        <w:br/>
        <w:t>posibles responsables de las acciones relacionadas con el  debelamiento  del</w:t>
        <w:br/>
        <w:t>motín ocurrido en El Frontón. Con  respecto  a  este  proceso,  la  Comisión</w:t>
        <w:br/>
        <w:t>señaló que los tribunales militares se encontraban en  franca  contradicción</w:t>
        <w:br/>
        <w:t>con los principios de autonomía e imparcialidad.</w:t>
        <w:br/>
        <w:br/>
        <w:t>116.  La Corte ha tenido la  oportunidad  de  referirse  a  la  jurisdicción</w:t>
        <w:br/>
        <w:t>militar y ha señalado que la misma</w:t>
        <w:br/>
        <w:br/>
        <w:t xml:space="preserve">      ha sido establecida por diversas legislaciones con el fin de  mantener</w:t>
        <w:br/>
        <w:t xml:space="preserve">      el orden y la disciplina dentro de las  fuerzas  armadas.   Inclusive,</w:t>
        <w:br/>
        <w:t xml:space="preserve">      esta jurisdicción funcional reserva su aplicación a los militares  que</w:t>
        <w:br/>
        <w:t xml:space="preserve">      hayan incurrido  en  delito  o  falta  dentro  del  ejercicio  de  sus</w:t>
        <w:br/>
        <w:t xml:space="preserve">      funciones y bajo ciertas circunstancias. En este sentido se definía en</w:t>
        <w:br/>
        <w:t xml:space="preserve">      la  propia  legislación  peruana  (artículo  282  de  la  Constitución</w:t>
        <w:br/>
        <w:t xml:space="preserve">      Política de 1979). [53]</w:t>
        <w:br/>
        <w:br/>
        <w:t>117.  En un Estado democrático de Derecho la jurisdicción penal  militar  ha</w:t>
        <w:br/>
        <w:t>de tener un alcance restrictivo  y  excepcional  y  estar  encaminada  a  la</w:t>
        <w:br/>
        <w:t>protección de intereses jurídicos especiales, vinculados con  las  funciones</w:t>
        <w:br/>
        <w:t>que la ley asigna a las fuerzas militares.  Así,  debe  estar  excluido  del</w:t>
        <w:br/>
        <w:t>ámbito de la jurisdicción militar el juzgamiento  de  civiles  y  sólo  debe</w:t>
        <w:br/>
        <w:t>juzgar a militares por la comisión de delitos o faltas  que  por  su  propia</w:t>
        <w:br/>
        <w:t>naturaleza atenten contra bienes jurídicos propios del orden militar.</w:t>
        <w:br/>
        <w:br/>
        <w:t>118.  En el presente caso, los militares encargados  de  la  debelación  del</w:t>
        <w:br/>
        <w:t>motín ocurrido en el penal El Frontón hicieron un  uso  desproporcionado  de</w:t>
        <w:br/>
        <w:t>la fuerza que excedió en mucho los límites de su función, lo que provocó  la</w:t>
        <w:br/>
        <w:t>muerte de un gran número de reclusos. Por lo tanto, los actos  que  llevaron</w:t>
        <w:br/>
        <w:t>a este desenlace no pueden ser considerados delitos militares, sino  delitos</w:t>
        <w:br/>
        <w:t>comunes, por lo que la investigación y sanción de  los  mismos  debió  haber</w:t>
        <w:br/>
        <w:t>recaído en la justicia ordinaria, independientemente de  que  los  supuestos</w:t>
        <w:br/>
        <w:t>autores hubieran sido militares o no.</w:t>
        <w:br/>
        <w:br/>
        <w:t>119.  Pese a lo dicho, el Estado dispuso que la justicia  militar  fuera  la</w:t>
        <w:br/>
        <w:t>encargada de la investigación de los graves hechos acaecidos en El  Frontón,</w:t>
        <w:br/>
        <w:t>la cual llevó adelante dicha investigación y sobreseyó  el  proceso  seguido</w:t>
        <w:br/>
        <w:t>contra los militares involucrados.</w:t>
        <w:br/>
        <w:br/>
        <w:t>120.  La Comisión alegó que  el  fuero  privativo  militar  no  ofrecía  las</w:t>
        <w:br/>
        <w:t>garantías mínimas de independencia e  imparcialidad  requeridas  de  acuerdo</w:t>
        <w:br/>
        <w:t>con lo dispuesto en el artículo 8.1 de la Convención y que,  por  lo  tanto,</w:t>
        <w:br/>
        <w:t>no constituía  un  recurso  efectivo  para  proteger  los  derechos  de  las</w:t>
        <w:br/>
        <w:t>víctimas y sus familiares y remediar los daños  causados,  violando  también</w:t>
        <w:br/>
        <w:t>lo dispuesto en el artículo 25 de la misma.</w:t>
        <w:br/>
        <w:br/>
        <w:t>121.  Esta Corte ha establecido que</w:t>
        <w:br/>
        <w:br/>
        <w:t xml:space="preserve">      [e]l artículo 25 se encuentra íntimamente  ligado  con  la  obligación</w:t>
        <w:br/>
        <w:t xml:space="preserve">      general del artículo 1.1  de  la  Convención  Americana,  al  atribuir</w:t>
        <w:br/>
        <w:t xml:space="preserve">      funciones de protección al derecho interno de los Estados  Partes,  de</w:t>
        <w:br/>
        <w:t xml:space="preserve">      lo cual se desprende que el Estado tiene la responsabilidad de diseñar</w:t>
        <w:br/>
        <w:t xml:space="preserve">      y consagrar normativamente un  recurso  eficaz,  pero  también  la  de</w:t>
        <w:br/>
        <w:t xml:space="preserve">      asegurar la debida aplicación  de  dicho  recurso  por  parte  de  sus</w:t>
        <w:br/>
        <w:t xml:space="preserve">      autoridades judiciales.[54]</w:t>
        <w:br/>
        <w:br/>
        <w:t>122.  De acuerdo con los hechos probados del presente caso, las  víctimas  o</w:t>
        <w:br/>
        <w:t>sus familiares no contaron con un recurso efectivo que  les  garantizara  el</w:t>
        <w:br/>
        <w:t>ejercicio de sus derechos, lo que dio lugar, entre otros  resultados,  a  la</w:t>
        <w:br/>
        <w:t>falta de identificación de los responsables en  el  trámite  seguido  en  el</w:t>
        <w:br/>
        <w:t>fuero militar y al no empleo de la  diligencia  debida  para  identificar  y</w:t>
        <w:br/>
        <w:t>establecer el paradero de  las  víctimas.  Los  datos  que  obran  en  autos</w:t>
        <w:br/>
        <w:t>permiten considerar que la  investigación  de  los  sucesos  de  El  Frontón</w:t>
        <w:br/>
        <w:t>adelantada por los tribunales militares fue meramente formal.</w:t>
        <w:br/>
        <w:br/>
        <w:t>123.  Al respecto, este Tribunal ha sostenido que, ante  toda  violación  de</w:t>
        <w:br/>
        <w:t>derechos protegidos por la Convención, el deber de investigar</w:t>
        <w:br/>
        <w:br/>
        <w:t xml:space="preserve">      debe  emprenderse  con  seriedad  y  no  como  una  simple  formalidad</w:t>
        <w:br/>
        <w:t xml:space="preserve">      condenada de antemano a ser infructuosa.  Debe tener un sentido y  ser</w:t>
        <w:br/>
        <w:t xml:space="preserve">      asumida por el Estado como un deber jurídico  propio  y  no  como  una</w:t>
        <w:br/>
        <w:t xml:space="preserve">      simple gestión de intereses particulares, que dependa de la iniciativa</w:t>
        <w:br/>
        <w:t xml:space="preserve">      procesal de la víctima o de sus familiares o de la aportación  privada</w:t>
        <w:br/>
        <w:t xml:space="preserve">      de  elementos  probatorios,  sin  que  la  autoridad  pública   busque</w:t>
        <w:br/>
        <w:t xml:space="preserve">      efectivamente la verdad.[55]</w:t>
        <w:br/>
        <w:br/>
        <w:t>124.  Este mismo criterio ha  sido  sostenido  por  el  Comité  de  Derechos</w:t>
        <w:br/>
        <w:t>Humanos de Naciones Unidas en  diversas  oportunidades,  en  las  cuales  ha</w:t>
        <w:br/>
        <w:t>señalado que</w:t>
        <w:br/>
        <w:br/>
        <w:t xml:space="preserve">      el Estado Parte tiene el deber de investigar  a  fondo  las  presuntas</w:t>
        <w:br/>
        <w:t xml:space="preserve">      violaciones de derechos  humanos,  en  particular  las  desapariciones</w:t>
        <w:br/>
        <w:t xml:space="preserve">      forzadas de personas y las violaciones del derecho a  la  vida,  y  de</w:t>
        <w:br/>
        <w:t xml:space="preserve">      encausar penalmente, juzgar y castigar  a  quienes  sean  considerados</w:t>
        <w:br/>
        <w:t xml:space="preserve">      responsables de esas violaciones. Este deber es aplicable  a  fortiori</w:t>
        <w:br/>
        <w:t xml:space="preserve">      en los  casos  en  que  los  autores  de  esas  violaciones  han  sido</w:t>
        <w:br/>
        <w:t xml:space="preserve">      identificados.[56]</w:t>
        <w:br/>
        <w:br/>
        <w:t>125.   Por  lo  que  respecta  a  la  afirmación  sobre  la  parcialidad   y</w:t>
        <w:br/>
        <w:t>dependencia  de  la  justicia  militar,  es  razonable  considerar  que  los</w:t>
        <w:br/>
        <w:t>funcionarios del fuero militar que  actuaron  en  el  proceso  encaminado  a</w:t>
        <w:br/>
        <w:t>investigar los  sucesos  de  El  Frontón  carecían  de  la  imparcialidad  e</w:t>
        <w:br/>
        <w:t>independencia  requeridas  por  el  artículo  8.1  de  la  Convención   para</w:t>
        <w:br/>
        <w:t>investigar los hechos de una manera eficaz y exhaustiva y  sancionar  a  los</w:t>
        <w:br/>
        <w:t>responsables por los mismos.</w:t>
        <w:br/>
        <w:br/>
        <w:t>126.  Como ha quedado establecido (supra párr.  59.ñ),  los  tribunales  que</w:t>
        <w:br/>
        <w:t>conocieron los hechos relacionados con dichos sucesos “constituyen  un  alto</w:t>
        <w:br/>
        <w:t>Organismo de los Institutos Armados”[57]  y  los  militares  que  integraban</w:t>
        <w:br/>
        <w:t>dichos tribunales eran, a  su  vez,  miembros  de  las  fuerzas  armadas  en</w:t>
        <w:br/>
        <w:t>servicio activo, requisito para formar parte de  los  tribunales  militares.</w:t>
        <w:br/>
        <w:t>Por tanto, estaban incapacitados para rendir  un  dictamen  independiente  e</w:t>
        <w:br/>
        <w:t>imparcial.</w:t>
        <w:br/>
        <w:br/>
        <w:t>127.  En otro orden de ideas, la Corte observa que, desde  la  fecha  de  la</w:t>
        <w:br/>
        <w:t>debelación del motín en el penal El Frontón, los familiares de  los  señores</w:t>
        <w:br/>
        <w:t>Nolberto Durand Ugarte y Gabriel Pablo Ugarte Rivera  desconocen  la  suerte</w:t>
        <w:br/>
        <w:t>que éstos han corrido  y  no  han  contado  con  un  recurso  efectivo  para</w:t>
        <w:br/>
        <w:t>investigar los hechos, identificar y sancionar a los  posibles  responsables</w:t>
        <w:br/>
        <w:t>de éstos.</w:t>
        <w:br/>
        <w:br/>
        <w:t>128.  La Corte  ha  dicho  que  “el  artículo  8.1  de  la  Convención  debe</w:t>
        <w:br/>
        <w:t>interpretarse de manera amplia de modo que  dicha  interpretación  se  apoye</w:t>
        <w:br/>
        <w:t>tanto  en  el  texto  literal  de  esa  norma  como  en  su   espíritu”[58].</w:t>
        <w:br/>
        <w:t>Interpretado de esa manera, el mencionado texto</w:t>
        <w:br/>
        <w:br/>
        <w:t xml:space="preserve">      comprende también el derecho de los familiares de  la  víctima  a  las</w:t>
        <w:br/>
        <w:t xml:space="preserve">      garantías judiciales, por cuanto “todo acto  de  desaparición  forzada</w:t>
        <w:br/>
        <w:t xml:space="preserve">      sustrae a la víctima de la protección de la  ley  y  le  causa  graves</w:t>
        <w:br/>
        <w:t xml:space="preserve">      sufrimientos, lo mismo que a  su  familia”  (Declaración  de  Naciones</w:t>
        <w:br/>
        <w:t xml:space="preserve">      Unidas  sobre  la  Protección  de  Todas  las  Personas   contra   las</w:t>
        <w:br/>
        <w:t xml:space="preserve">      Desapariciones Forzadas artículo 1.2). [59]</w:t>
        <w:br/>
        <w:br/>
        <w:br/>
        <w:t>129.  Este Tribunal ha también señalado que:</w:t>
        <w:br/>
        <w:br/>
        <w:t xml:space="preserve">      del artículo 8 de la Convención se desprende que las víctimas  de  las</w:t>
        <w:br/>
        <w:t xml:space="preserve">      violaciones de los derechos humanos, o sus  familiares,  deben  contar</w:t>
        <w:br/>
        <w:t xml:space="preserve">      con amplias posibilidades de ser oídos y  actuar  en  los  respectivos</w:t>
        <w:br/>
        <w:t xml:space="preserve">      procesos, tanto en procura del esclarecimiento de  los  hechos  y  del</w:t>
        <w:br/>
        <w:t xml:space="preserve">      castigo de los responsables, como en busca de una  debida  reparación.</w:t>
        <w:br/>
        <w:t xml:space="preserve">      [60]</w:t>
        <w:br/>
        <w:br/>
        <w:br/>
        <w:t>130.  En consecuencia, el  artículo  8.1  de  la  Convención  Americana,  en</w:t>
        <w:br/>
        <w:t>conexión con el artículo 25.1 de la misma, confiere a los familiares de  las</w:t>
        <w:br/>
        <w:t>víctimas el derecho a que la desaparición y muerte  de  estas  últimas  sean</w:t>
        <w:br/>
        <w:t>efectivamente investigadas por  las  autoridades  del  Estado;  se  siga  un</w:t>
        <w:br/>
        <w:t>proceso contra los responsables  de  estos  ilícitos;  en  su  caso  se  les</w:t>
        <w:br/>
        <w:t>impongan las sanciones pertinentes, y se reparen los daños y perjuicios  que</w:t>
        <w:br/>
        <w:t>dichos familiares han sufrido. Ninguno de estos derechos fue garantizado  en</w:t>
        <w:br/>
        <w:t>el presente caso a los familiares de los  señores  Durand  Ugarte  y  Ugarte</w:t>
        <w:br/>
        <w:t>Rivera.</w:t>
        <w:br/>
        <w:br/>
        <w:t>131.  Por todo lo expuesto, la Corte declara que el Estado violó,  tanto  en</w:t>
        <w:br/>
        <w:t>perjuicio de Nolberto Durand Ugarte y Gabriel Pablo Ugarte  Rivera  como  de</w:t>
        <w:br/>
        <w:t>sus familiares, los artículos 8.1 y 25.1 de la Convención Americana.</w:t>
        <w:br/>
        <w:br/>
        <w:br/>
        <w:t xml:space="preserve">                                     XV</w:t>
        <w:br/>
        <w:t xml:space="preserve">                   incumplimiento de los artículos 1.1 y 2</w:t>
        <w:br/>
        <w:t xml:space="preserve">   Obligación de Respetar los Derechos y Deber de Adoptar Disposiciones de</w:t>
        <w:br/>
        <w:t xml:space="preserve">                               Derecho Interno</w:t>
        <w:br/>
        <w:br/>
        <w:br/>
        <w:t>132.   En  cuanto  al  incumplimiento  de  los  artículos  1.1  y  2  de  la</w:t>
        <w:br/>
        <w:t>Convención, la Comisión alegó que:</w:t>
        <w:br/>
        <w:br/>
        <w:t xml:space="preserve">      a)    el Estado había violado la obligación de respetar  y  garantizar</w:t>
        <w:br/>
        <w:t xml:space="preserve">      los derechos protegidos en la Convención.  El Derecho Internacional de</w:t>
        <w:br/>
        <w:t xml:space="preserve">      los Derechos Humanos impone una obligación de no hacer,  que  consiste</w:t>
        <w:br/>
        <w:t xml:space="preserve">      en que los agentes del Estado deben abstenerse  de  realizar  acciones</w:t>
        <w:br/>
        <w:t xml:space="preserve">      que puedan invadir la esfera de libertad garantizada en  cada  uno  de</w:t>
        <w:br/>
        <w:t xml:space="preserve">      los derechos enumerados en el tratado, y una obligación de hacer, para</w:t>
        <w:br/>
        <w:t xml:space="preserve">      asegurar a cada persona el  pleno  goce  y  ejercicio  de  los  mismos</w:t>
        <w:br/>
        <w:t xml:space="preserve">      derechos;</w:t>
        <w:br/>
        <w:br/>
        <w:br/>
        <w:t xml:space="preserve">      b)    las violaciones a la Convención respecto  de  los  artículos  4,</w:t>
        <w:br/>
        <w:t xml:space="preserve">      7.6, 8, 25.1 y 27.2 implican la  violación  del  artículo  1.1  de  la</w:t>
        <w:br/>
        <w:t xml:space="preserve">      Convención; y</w:t>
        <w:br/>
        <w:br/>
        <w:br/>
        <w:t xml:space="preserve">      c)    la Convención en su artículo 2 explícitamente compromete  a  los</w:t>
        <w:br/>
        <w:t xml:space="preserve">      Estados a adoptar disposiciones legislativas o de  otro  carácter  que</w:t>
        <w:br/>
        <w:t xml:space="preserve">      fueren necesarias para  hacer  efectivos  los  derechos  y  libertades</w:t>
        <w:br/>
        <w:t xml:space="preserve">      consagrados en la Convención.  Dicha disposición obliga al Estado, por</w:t>
        <w:br/>
        <w:t xml:space="preserve">      un lado, a adoptar nuevas medidas  y,  por  otro,  a  derogar  aquella</w:t>
        <w:br/>
        <w:t xml:space="preserve">      legislación incompatible con la Convención.  En  consecuencia,  si  el</w:t>
        <w:br/>
        <w:t xml:space="preserve">      Perú mantiene  en  su  legislación  el  Decreto-Ley  No.  23.201  (Ley</w:t>
        <w:br/>
        <w:t xml:space="preserve">      Orgánica  de  Justicia   Militar),   que   contradice   los   derechos</w:t>
        <w:br/>
        <w:t xml:space="preserve">      garantizados en los artículos 8 y 25 de la Convención, viola  asimismo</w:t>
        <w:br/>
        <w:t xml:space="preserve">      sus obligaciones de acuerdo con lo establecido en el artículo 2 de  la</w:t>
        <w:br/>
        <w:t xml:space="preserve">      misma.</w:t>
        <w:br/>
        <w:br/>
        <w:t>133.  Por su parte, el Estado alegó que:</w:t>
        <w:br/>
        <w:br/>
        <w:t xml:space="preserve">      a)    el artículo 29 de la Declaración Universal de Derechos  Humanos,</w:t>
        <w:br/>
        <w:t xml:space="preserve">      los artículos 28 y 33  de  la  Declaración  Americana  de  Derechos  y</w:t>
        <w:br/>
        <w:t xml:space="preserve">      Deberes del Hombre, el artículo 2  de  la  Convención  Europea  y  los</w:t>
        <w:br/>
        <w:t xml:space="preserve">      artículos 29 y 32 de la Convención Americana, se deben tomar en cuenta</w:t>
        <w:br/>
        <w:t xml:space="preserve">      para delimitar y definir la consubstancialidad de los deberes  de  los</w:t>
        <w:br/>
        <w:t xml:space="preserve">      ciudadanos y los derechos reconocidos, en relación con el derecho a la</w:t>
        <w:br/>
        <w:t xml:space="preserve">      vida;</w:t>
        <w:br/>
        <w:br/>
        <w:br/>
        <w:t xml:space="preserve">      b)    el deber de respetar derechos y libertades fundamentales no sólo</w:t>
        <w:br/>
        <w:t xml:space="preserve">      se refiere a las autoridades públicas,  sino  a  todo  individuo.   Al</w:t>
        <w:br/>
        <w:t xml:space="preserve">      afirmarse el derecho fundamental del individuo a que se  reconozca  su</w:t>
        <w:br/>
        <w:t xml:space="preserve">      dignidad de persona humana, se le impone asimismo el deber fundamental</w:t>
        <w:br/>
        <w:t xml:space="preserve">      de tratar a sus semejantes del mismo modo. En ninguna circunstancia se</w:t>
        <w:br/>
        <w:t xml:space="preserve">      puede permitir el recurso a medios ilícitos.  Según  el  deber  de  no</w:t>
        <w:br/>
        <w:t xml:space="preserve">      abusar del derecho propio, cada individuo debe  ejercer  sus  derechos</w:t>
        <w:br/>
        <w:t xml:space="preserve">      teniendo en consideración, en una medida razonable, los  intereses  de</w:t>
        <w:br/>
        <w:t xml:space="preserve">      los demás y, en todo caso, no hacerlo con fines vejatorios. Existe,  a</w:t>
        <w:br/>
        <w:t xml:space="preserve">      su vez, un deber de igualdad según el cual nadie se erigirá  en  forma</w:t>
        <w:br/>
        <w:t xml:space="preserve">      arbitraria por encima de otra persona;</w:t>
        <w:br/>
        <w:br/>
        <w:br/>
        <w:t xml:space="preserve">      c)    los sucesos ocurridos los días 18 y 19 de junio de 1986  durante</w:t>
        <w:br/>
        <w:t xml:space="preserve">      el debelamiento del motín en El  Frontón,  se  encuentran  encuadrados</w:t>
        <w:br/>
        <w:t xml:space="preserve">      dentro del alcance de las normas de control interno que el Perú,  como</w:t>
        <w:br/>
        <w:t xml:space="preserve">      todo Estado soberano, está en la facultad y obligación de  ejercer  en</w:t>
        <w:br/>
        <w:t xml:space="preserve">      tutela del principio de autoridad y del bien común de sus  ciudadanos;</w:t>
        <w:br/>
        <w:t xml:space="preserve">      y</w:t>
        <w:br/>
        <w:br/>
        <w:br/>
        <w:t xml:space="preserve">      d)    hay que considerar las circunstancias en  que  se  desarrollaron</w:t>
        <w:br/>
        <w:t xml:space="preserve">      los hechos y que, al producirse el motín de reclusos, el Estado -luego</w:t>
        <w:br/>
        <w:t xml:space="preserve">      de agotadas las gestiones iniciales y desbordada la  participación  de</w:t>
        <w:br/>
        <w:t xml:space="preserve">      las  Fuerzas  Policiales-  dispuso  la  intervención  de  las  Fuerzas</w:t>
        <w:br/>
        <w:t xml:space="preserve">      Armadas, que resultaba necesaria.  No debe dejarse de considerar  como</w:t>
        <w:br/>
        <w:t xml:space="preserve">      premisa la peligrosidad de los delincuentes amotinados,  y  que  éstos</w:t>
        <w:br/>
        <w:t xml:space="preserve">      contaban con armamento, explosivos, provisiones y  material  médico  y</w:t>
        <w:br/>
        <w:t xml:space="preserve">      mantenían dos rehenes, uno  de  los  cuales  finalmente  murió  en  el</w:t>
        <w:br/>
        <w:t xml:space="preserve">      interior del edificio colapsado.</w:t>
        <w:br/>
        <w:br/>
        <w:t xml:space="preserve">                                      *</w:t>
        <w:br/>
        <w:t xml:space="preserve">                                   *     *</w:t>
        <w:br/>
        <w:br/>
        <w:t>134.  El artículo 1.1 de la Convención establece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135.  Por su parte, el artículo 2 de la Convención determina que</w:t>
        <w:br/>
        <w:br/>
        <w:t xml:space="preserve">      [s]i en el ejercicio de los derechos y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136.  Al respecto, la Corte ha dicho que</w:t>
        <w:br/>
        <w:br/>
        <w:t xml:space="preserve">      [e]n el derecho de gentes, una norma consuetudinaria prescribe que  un</w:t>
        <w:br/>
        <w:t xml:space="preserve">      Estado que ha celebrado un convenio internacional, debe introducir  en</w:t>
        <w:br/>
        <w:t xml:space="preserve">      su derecho interno las  modificaciones  necesarias  para  asegurar  la</w:t>
        <w:br/>
        <w:t xml:space="preserve">      ejecución de las obligaciones asumidas. Esta norma aparece como válida</w:t>
        <w:br/>
        <w:t xml:space="preserve">      universalmente y ha sido calificada  por  la  jurisprudencia  como  un</w:t>
        <w:br/>
        <w:t xml:space="preserve">      principio evidente (“principe allant de soi”; Echange des  populations</w:t>
        <w:br/>
        <w:t xml:space="preserve">      grecques et turques, avis consultatif, 1925, C.P.J.I.,  série  B,  no.</w:t>
        <w:br/>
        <w:t xml:space="preserve">      10, p. 20). En este orden de ideas, la Convención Americana  establece</w:t>
        <w:br/>
        <w:t xml:space="preserve">      la obligación de cada Estado Parte de adecuar su derecho interno a las</w:t>
        <w:br/>
        <w:t xml:space="preserve">      disposiciones de dicha Convención, para  garantizar  los  derechos  en</w:t>
        <w:br/>
        <w:t xml:space="preserve">      ella consagrados.[61]</w:t>
        <w:br/>
        <w:br/>
        <w:t>137.  En el mismo sentido, en otro caso el Tribunal manifestó que</w:t>
        <w:br/>
        <w:br/>
        <w:t xml:space="preserve">      [e]l deber general del artículo 2 de la Convención  Americana  implica</w:t>
        <w:br/>
        <w:t xml:space="preserve">      la adopción de medidas en dos vertientes.  Por una parte, la supresión</w:t>
        <w:br/>
        <w:t xml:space="preserve">      de las  normas  y  prácticas  de  cualquier  naturaleza  que  entrañen</w:t>
        <w:br/>
        <w:t xml:space="preserve">      violación a las garantías previstas en la Convención.  Por la otra, la</w:t>
        <w:br/>
        <w:t xml:space="preserve">      expedición de normas y el desarrollo de  prácticas  conducentes  a  la</w:t>
        <w:br/>
        <w:t xml:space="preserve">      efectiva observancia de dichas garantías.[62]</w:t>
        <w:br/>
        <w:br/>
        <w:t>138.  La Corte advierte que, de acuerdo con lo establecido  en  la  presente</w:t>
        <w:br/>
        <w:t>sentencia, el Estado violó los artículos 4.1, 7.1, 7.5, 7.6, 8.1 y  25.1  de</w:t>
        <w:br/>
        <w:t>la Convención Americana en perjuicio de los señores Nolberto  Durand  Ugarte</w:t>
        <w:br/>
        <w:t>y Gabriel Pablo Ugarte Rivera, por lo que el mismo no  ha  cumplido  con  su</w:t>
        <w:br/>
        <w:t>deber general de respetar los derechos y libertades reconocidos  en  aquélla</w:t>
        <w:br/>
        <w:t>y de garantizar su libre y pleno ejercicio, como lo  establece  el  artículo</w:t>
        <w:br/>
        <w:t>1.1 de la Convención.  Además, en el presente caso se violó  el  artículo  2</w:t>
        <w:br/>
        <w:t>de la Convención, por cuanto el Estado no ha tomado  las  medidas  adecuadas</w:t>
        <w:br/>
        <w:t>de derecho interno que permitan hacer efectivos los derechos consagrados  en</w:t>
        <w:br/>
        <w:t>la misma.</w:t>
        <w:br/>
        <w:br/>
        <w:t>139.  En consecuencia, la Corte concluye que el  Estado  ha  incumplido  las</w:t>
        <w:br/>
        <w:t>obligaciones generales de los artículos 1.1 y 2 de la  Convención  Americana</w:t>
        <w:br/>
        <w:t>sobre Derechos Humanos.</w:t>
        <w:br/>
        <w:br/>
        <w:br/>
        <w:t xml:space="preserve">                                     XVI</w:t>
        <w:br/>
        <w:t xml:space="preserve">                        aplicación del artículo 63.1</w:t>
        <w:br/>
        <w:br/>
        <w:t>140.  En cuanto a la aplicación del  artículo  63.1  de  la  Convención,  la</w:t>
        <w:br/>
        <w:t>Comisión solicitó a la Corte disponer que</w:t>
        <w:br/>
        <w:br/>
        <w:t xml:space="preserve">      a)    el Perú lleve a cabo una investigación para identificar,  juzgar</w:t>
        <w:br/>
        <w:t xml:space="preserve">      y sancionar a los responsables de las violaciones en el presente caso;</w:t>
        <w:br/>
        <w:br/>
        <w:br/>
        <w:t xml:space="preserve">      b)    el Perú informe sobre el paradero  de  los  restos  de  Nolberto</w:t>
        <w:br/>
        <w:t xml:space="preserve">      Durand Ugarte y Gabriel Pablo Ugarte  Rivera  y  los  entregue  a  sus</w:t>
        <w:br/>
        <w:t xml:space="preserve">      familiares;</w:t>
        <w:br/>
        <w:br/>
        <w:br/>
        <w:t xml:space="preserve">      c)    ordene al Perú reparar en forma adecuada,  tanto  material  como</w:t>
        <w:br/>
        <w:t xml:space="preserve">      moralmente, a los familiares de Nolberto Durand Ugarte y Gabriel Pablo</w:t>
        <w:br/>
        <w:t xml:space="preserve">      Ugarte  Rivera,  por  el  daño  sufrido  como  consecuencia   de   las</w:t>
        <w:br/>
        <w:t xml:space="preserve">      violaciones a los derechos consagrados en la Convención; y</w:t>
        <w:br/>
        <w:br/>
        <w:br/>
        <w:t xml:space="preserve">      d)    ordene al Perú el pago de los gastos en que  han  incurrido  los</w:t>
        <w:br/>
        <w:t xml:space="preserve">      familiares y representantes de las víctimas  por  su  actuación  tanto</w:t>
        <w:br/>
        <w:t xml:space="preserve">      ante la Comisión como ante la Corte.  Además, en sus alegatos  finales</w:t>
        <w:br/>
        <w:t xml:space="preserve">      pidió que se ordenara el pago de los gastos  en  que  incurrieron  los</w:t>
        <w:br/>
        <w:t xml:space="preserve">      familiares y los peticionarios en la sede interna.</w:t>
        <w:br/>
        <w:br/>
        <w:t>141.  Por su parte, el Estado no se refirió a las peticiones  anteriores  de</w:t>
        <w:br/>
        <w:t>la Comisión.</w:t>
        <w:br/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142.  El artículo 63.1 de la Convención Americana establece que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143.  La Corte considera que  el  Estado  está  obligado  a  investigar  los</w:t>
        <w:br/>
        <w:t>hechos que produjeron las violaciones.  Inclusive, en  el  supuesto  de  que</w:t>
        <w:br/>
        <w:t>las dificultades del orden interno impidiesen identificar a  los  individuos</w:t>
        <w:br/>
        <w:t>responsables por los delitos de esta naturaleza, subsiste el derecho de  los</w:t>
        <w:br/>
        <w:t>familiares de las víctimas a conocer el destino de éstas y, en su  caso,  el</w:t>
        <w:br/>
        <w:t>paradero de sus restos.  Corresponde al Estado, por tanto,  satisfacer  esas</w:t>
        <w:br/>
        <w:t>justas  expectativas  por  los  medios  a  su  alcance.   A  este  deber  de</w:t>
        <w:br/>
        <w:t>investigar se suma el de prevenir  la  posible  comisión  de  desapariciones</w:t>
        <w:br/>
        <w:t>forzadas  y  de  sancionar  a  los  responsables  de  las   mismas.    Tales</w:t>
        <w:br/>
        <w:t>obligaciones a cargo del Estado se mantendrán hasta su total cumplimiento.</w:t>
        <w:br/>
        <w:br/>
        <w:t>144.  Es evidente que, en el presente caso, la Corte no puede  disponer  que</w:t>
        <w:br/>
        <w:t>se garantice a los lesionados en  el  goce  de  sus  derechos  o  libertades</w:t>
        <w:br/>
        <w:t>conculcados.  En cambio, es procedente la reparación  de  las  consecuencias</w:t>
        <w:br/>
        <w:t>de  la  situación  que  ha  configurado  la  violación   de   los   derechos</w:t>
        <w:br/>
        <w:t>específicos, que debe comprender una justa indemnización y el  resarcimiento</w:t>
        <w:br/>
        <w:t>de los gastos en que hubieran incurrido los familiares  con  motivo  de  las</w:t>
        <w:br/>
        <w:t>gestiones relacionadas con este proceso.</w:t>
        <w:br/>
        <w:br/>
        <w:t>145.  Para  la  determinación  de  las  reparaciones,  la  Corte  necesitará</w:t>
        <w:br/>
        <w:t>información y elementos probatorios suficientes, por lo  que  procede  abrir</w:t>
        <w:br/>
        <w:t>la  etapa  procesal  correspondiente.   A  este  efecto,  comisiona   a   su</w:t>
        <w:br/>
        <w:t>Presidente para que adopte las medidas que sean necesarias.</w:t>
        <w:br/>
        <w:br/>
        <w:br/>
        <w:t xml:space="preserve">                                    XVII</w:t>
        <w:br/>
        <w:t xml:space="preserve">                             Puntos Resolutivos</w:t>
        <w:br/>
        <w:br/>
        <w:t>146.  Por tanto,</w:t>
        <w:br/>
        <w:br/>
        <w:t xml:space="preserve">      LA CORTE,</w:t>
        <w:br/>
        <w:br/>
        <w:t>por unanimidad,</w:t>
        <w:br/>
        <w:br/>
        <w:t>1.    declara que el Estado violó, en perjuicio de Nolberto Durand Ugarte  y</w:t>
        <w:br/>
        <w:t>Gabriel Pablo Ugarte Rivera, el artículo  4.1  de  la  Convención  Americana</w:t>
        <w:br/>
        <w:t>sobre Derechos Humanos.</w:t>
        <w:br/>
        <w:br/>
        <w:t>por seis votos contra uno,</w:t>
        <w:br/>
        <w:br/>
        <w:t>2.    declara que no se ha comprobado que el Estado violó, en  perjuicio  de</w:t>
        <w:br/>
        <w:t>Nolberto Durand Ugarte y Gabriel Pablo Ugarte Rivera, el artículo 5.2 de  la</w:t>
        <w:br/>
        <w:t>Convención Americana sobre Derechos Humanos.</w:t>
        <w:br/>
        <w:br/>
        <w:t>DISIENTE EL JUEZ CARLOS VICENTE DE ROUX RENGIFO.</w:t>
        <w:br/>
        <w:t>por unanimidad,</w:t>
        <w:br/>
        <w:br/>
        <w:t>3.    declara que el Estado violó, en perjuicio de Nolberto Durand Ugarte  y</w:t>
        <w:br/>
        <w:t>Gabriel Pablo Ugarte  Rivera,  el  artículo  7.1  y  7.5  de  la  Convención</w:t>
        <w:br/>
        <w:t>Americana sobre Derechos Humanos.</w:t>
        <w:br/>
        <w:br/>
        <w:t>por unanimidad,</w:t>
        <w:br/>
        <w:br/>
        <w:t>4.    declara que el Estado violó, en perjuicio de Nolberto Durand Ugarte  y</w:t>
        <w:br/>
        <w:t>Gabriel Pablo Ugarte Rivera,  los artículos 7.6  y  25.1  de  la  Convención</w:t>
        <w:br/>
        <w:t>Americana sobre Derechos Humanos.</w:t>
        <w:br/>
        <w:br/>
        <w:t>por unanimidad,</w:t>
        <w:br/>
        <w:br/>
        <w:t>5.    declara que el Estado violó, en perjuicio de Nolberto Durand Ugarte  y</w:t>
        <w:br/>
        <w:t>Gabriel Pablo Ugarte Rivera, así como de sus familiares, los  artículos  8.1</w:t>
        <w:br/>
        <w:t>y 25.1 de la Convención Americana sobre Derechos Humanos.</w:t>
        <w:br/>
        <w:br/>
        <w:t>por unanimidad,</w:t>
        <w:br/>
        <w:br/>
        <w:t>6.    declara que el Estado ha incumplido las obligaciones generales de  los</w:t>
        <w:br/>
        <w:t>artículos 1.1 y 2 de la  Convención  Americana  sobre  Derechos  Humanos  en</w:t>
        <w:br/>
        <w:t>conexión con las violaciones de los derechos sustantivos  señalados  en  los</w:t>
        <w:br/>
        <w:t>puntos resolutivos anteriores en la presente sentencia.</w:t>
        <w:br/>
        <w:br/>
        <w:t>por unanimidad,</w:t>
        <w:br/>
        <w:br/>
        <w:t>7.    decide que el Estado está obligado a hacer todo  el  esfuerzo  posible</w:t>
        <w:br/>
        <w:t>para localizar e identificar los restos de las víctimas y entregarlos a  sus</w:t>
        <w:br/>
        <w:t>familiares, así como para investigar los hechos y  procesar  y  sancionar  a</w:t>
        <w:br/>
        <w:t>los responsables.</w:t>
        <w:br/>
        <w:br/>
        <w:t>por unanimidad,</w:t>
        <w:br/>
        <w:br/>
        <w:t>8.    decide  que  el  Estado  debe  reparar  los  daños  causados  por  las</w:t>
        <w:br/>
        <w:t>violaciones.</w:t>
        <w:br/>
        <w:br/>
        <w:t>por unanimidad,</w:t>
        <w:br/>
        <w:br/>
        <w:t>9.    decide abrir la etapa de reparaciones, a cuyo efecto  comisiona  a  su</w:t>
        <w:br/>
        <w:t>Presidente para que oportunamente adopte las medidas que fuesen necesarias.</w:t>
        <w:br/>
        <w:br/>
        <w:br/>
        <w:t>El Juez Carlos Vicente de Roux Rengifo hizo  conocer  a  la  Corte  su  Voto</w:t>
        <w:br/>
        <w:t>Parcialmente Disidente y el Juez Fernando Vidal Ramírez hizo  conocer  a  la</w:t>
        <w:br/>
        <w:t>Corte su Voto Razonado, los cuales acompañan a esta Sentencia.</w:t>
        <w:br/>
        <w:br/>
        <w:br/>
        <w:t>Redactada en español y en inglés, haciendo fe el texto en  español,  en  San</w:t>
        <w:br/>
        <w:t>José, Costa Rica, el día 16 de agosto de 2000.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t xml:space="preserve">    Alirio Abreu Burelli     Sergio García Ramírez</w:t>
        <w:br/>
        <w:br/>
        <w:t>Carlos Vicente de Roux Rengifo    Fernando Vidal Ramírez</w:t>
        <w:br/>
        <w:t xml:space="preserve">     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Voto parcialmente disidente del Juez de Roux Rengifo</w:t>
        <w:br/>
        <w:br/>
        <w:br/>
        <w:br/>
        <w:br/>
        <w:br/>
        <w:t>Al realizar una ponderación probatoria relacionada con el artículo 5  de  la</w:t>
        <w:br/>
        <w:t>Convención Americana, la Corte ha concluido que</w:t>
        <w:br/>
        <w:br/>
        <w:t xml:space="preserve">      [e]n el presente caso no está  demostrado  que  los  señores  Nolberto</w:t>
        <w:br/>
        <w:t xml:space="preserve">      Durand Ugarte y Gabriel Pablo Ugarte Rivera hubiesen  sido  objeto  de</w:t>
        <w:br/>
        <w:t xml:space="preserve">      malos tratos o que se hubiera lesionado su dignidad por parte  de  las</w:t>
        <w:br/>
        <w:t xml:space="preserve">      autoridades peruanas durante el tiempo en que estuvieron detenidos  en</w:t>
        <w:br/>
        <w:t xml:space="preserve">      el penal El Frontón. […] Resulta claro que hubo un uso excesivo de  la</w:t>
        <w:br/>
        <w:t xml:space="preserve">      fuerza para sofocar el motín […] Sin embargo, de esta desproporción no</w:t>
        <w:br/>
        <w:t xml:space="preserve">      se puede inferir que se hubiese  practicado  tortura  o  trato  cruel,</w:t>
        <w:br/>
        <w:t xml:space="preserve">      inhumano o degradante, conceptos que poseen contenido jurídico  propio</w:t>
        <w:br/>
        <w:t xml:space="preserve">      y que no se deducen en forma necesaria y automática  de  la  privación</w:t>
        <w:br/>
        <w:t xml:space="preserve">      arbitraria de la vida,  aún  en  circunstancias  agravantes  como  las</w:t>
        <w:br/>
        <w:t xml:space="preserve">      presentes.</w:t>
        <w:br/>
        <w:br/>
        <w:t>Lamento tener que apartarme de la  conclusión  transcrita.  En  su  reciente</w:t>
        <w:br/>
        <w:t>jurisprudencia sobre valoración de la prueba (incluyendo la que obra  en  la</w:t>
        <w:br/>
        <w:t>sentencia a la que se refiere este voto) este Tribunal ha  dejado  sentados,</w:t>
        <w:br/>
        <w:t>entre otros, los siguientes tres criterios: 1) un tribunal internacional  de</w:t>
        <w:br/>
        <w:t>derechos humanos cuenta con un significativo margen de  flexibilidad  en  la</w:t>
        <w:br/>
        <w:t>valoración de la prueba, de acuerdo con las reglas de la lógica y  con  base</w:t>
        <w:br/>
        <w:t>en la experiencia;  2) los tribunales internacionales pueden fundar en  gran</w:t>
        <w:br/>
        <w:t>medida sus decisiones en pruebas circunstanciales o indirectas, en  indicios</w:t>
        <w:br/>
        <w:t>y presunciones, siempre que estos  medios  puedan  dar  pie  a  conclusiones</w:t>
        <w:br/>
        <w:t>sólidas sobre los hechos; 3) en los procesos  por  violaciones  de  derechos</w:t>
        <w:br/>
        <w:t>humanos la defensa del Estado no  puede  basarse  en  la  imposibilidad  del</w:t>
        <w:br/>
        <w:t>demandante de allegar pruebas dado que, muy frecuentemente, éstas no  pueden</w:t>
        <w:br/>
        <w:t>obtenerse sin la cooperación del propio Estado, que es quien dispone de  los</w:t>
        <w:br/>
        <w:t>medios necesarios para esclarecer los hechos  ocurridos  en  su  territorio.</w:t>
        <w:br/>
        <w:t>Considero  que,  si  estos  tres  criterios  se  aplican  con  rigor  a   la</w:t>
        <w:br/>
        <w:t>ponderación del material probatorio del presente caso,  se  arribará,  sobre</w:t>
        <w:br/>
        <w:t>el punto de que se trata, a una conclusión diferente a la de la Corte.</w:t>
        <w:br/>
        <w:br/>
        <w:t>Esta última tiene razón al afirmar que de la sola  desproporción  de  medios</w:t>
        <w:br/>
        <w:t>utilizados por el Estado para debelar el motín del penal El Frontón,  no  se</w:t>
        <w:br/>
        <w:t>puede inferir que hubo tratos crueles, inhumanos o  degradantes  contra  los</w:t>
        <w:br/>
        <w:t>señores Durand Ugarte y Ugarte Rivera. Sin embargo, en este caso no sólo  se</w:t>
        <w:br/>
        <w:t>sabe que hubo  desproporción  de  medios.  También  se  conoce,  con  cierta</w:t>
        <w:br/>
        <w:t>precisión,  qué tipo de fuerza emplearon los agentes del Estado  contra  los</w:t>
        <w:br/>
        <w:t>reclusos y de qué manera y en qué secuencia la utilizaron, y se  sabe  o  se</w:t>
        <w:br/>
        <w:t>puede colegir razonablemente qué tipo  de  efectos,  además  de  la  muerte,</w:t>
        <w:br/>
        <w:t>produjo la misma sobre las personas contra las que estaba dirigida.</w:t>
        <w:br/>
        <w:br/>
        <w:t>Atendidas las circunstancias del caso, es muy probable que entre el  momento</w:t>
        <w:br/>
        <w:t>en que los agentes del Estado emprendieron contra  los  presos  el  tipo  de</w:t>
        <w:br/>
        <w:t>ataque del que dan cuenta las pruebas recaudadas, y el momento en que  murió</w:t>
        <w:br/>
        <w:t>cada uno de los reclusos, casi todos, si no todos éstos, sufrieron  momentos</w:t>
        <w:br/>
        <w:t>–cuando no horas- de angustia, de la mayor  severidad.  A  buen  seguro,  la</w:t>
        <w:br/>
        <w:t>gran mayoría de los presos de El  Frontón  que  perdieron  la  vida  en  los</w:t>
        <w:br/>
        <w:t>hechos de este caso, no se limitaron a  percibir,  antes  de  fallecer,  que</w:t>
        <w:br/>
        <w:t>estaban  involucrados  en  una   situación   de   alto   riesgo,   como   la</w:t>
        <w:br/>
        <w:t>correspondiente a un motín carcelario típico.  También  alcanzaron  a  saber</w:t>
        <w:br/>
        <w:t>que se los estaba atacando a muerte, con medios despiadados, sin  dar  lugar</w:t>
        <w:br/>
        <w:t>a rendición ni escapatoria. Para quienes  sobrevivieron,  malheridos,  entre</w:t>
        <w:br/>
        <w:t>los escombros del demolido Pabellón Azul, durante algunas horas o días,  las</w:t>
        <w:br/>
        <w:t>cosas  fueron,  con  certeza,  mucho  peores.  En  cualquier  hipótesis,  la</w:t>
        <w:br/>
        <w:t>angustia y la zozobra  de  las  víctimas  alcanzaron,  con  toda  seguridad,</w:t>
        <w:br/>
        <w:t>niveles sumamente elevados.</w:t>
        <w:br/>
        <w:br/>
        <w:t>El valor de las pruebas  indirectas,  en  general,  y  las  indiciarias,  en</w:t>
        <w:br/>
        <w:t>particular, surge de un  juicio  de  probabilidad.  Es  posible  que  Durand</w:t>
        <w:br/>
        <w:t>Ugarte y Ugarte Rivera, hubieran caído de primeros, como  víctimas  de  unas</w:t>
        <w:br/>
        <w:t>balas certeras, sin alcanzar a barruntar cuál era la situación en la que  se</w:t>
        <w:br/>
        <w:t>encontraban atrapados. También es posible que hubieran  padecido  todas  las</w:t>
        <w:br/>
        <w:t>fases y manifestaciones de la cadena de  horrores  que  se  vivieron  en  el</w:t>
        <w:br/>
        <w:t>penal El Frontón y que hubieran muerto varios días después  de  iniciado  el</w:t>
        <w:br/>
        <w:t>alzamiento, en medio de las más atroces penalidades físicas y  síquicas.  No</w:t>
        <w:br/>
        <w:t>se sabe en qué punto, situado en alguno de esos  extremos,  o  en  medio  de</w:t>
        <w:br/>
        <w:t>ellos, se ubicó la situación de cada uno. Sin embargo,  si  se  aplican  los</w:t>
        <w:br/>
        <w:t>criterios de evaluación de la  prueba  arriba  reseñados,  se  dispondrá  de</w:t>
        <w:br/>
        <w:t>fundamentos para concluir con un alto grado de  certidumbre,  que  Durand  y</w:t>
        <w:br/>
        <w:t>Ugarte, sufrieron graves padecimientos psíquicos y morales, y  probablemente</w:t>
        <w:br/>
        <w:t>serios  sufrimientos  físicos,  antes  de  morir,  como  resultado   de   un</w:t>
        <w:br/>
        <w:t>tratamiento cruel e inhumano por  parte  del  Estado,  en  el  marco  de  la</w:t>
        <w:br/>
        <w:t>debelación del motín de El Frontón.</w:t>
        <w:br/>
        <w:br/>
        <w:t>Por tales motivos, no comparto la conclusión de la Corte en  el  segundo  de</w:t>
        <w:br/>
        <w:t>los puntos resolutivos de la sentencia. A mi  modo  de  ver,  ese  punto  ha</w:t>
        <w:br/>
        <w:t>debido ser formulado así:</w:t>
        <w:br/>
        <w:br/>
        <w:t>“LA CORTE,</w:t>
        <w:br/>
        <w:br/>
        <w:t>[…]</w:t>
        <w:br/>
        <w:br/>
        <w:t>2.    declara que el Estado violó, en perjuicio de Nolberto Durand Ugarte  y</w:t>
        <w:br/>
        <w:t>Gabriel Pablo Ugarte  Rivera,  el  artículo  5.1  y  5.2  de  la  Convención</w:t>
        <w:br/>
        <w:t>Americana sobre Derechos Humanos”.</w:t>
        <w:br/>
        <w:br/>
        <w:br/>
        <w:br/>
        <w:br/>
        <w:br/>
        <w:t xml:space="preserve">                       Carlos Vicente de Roux Rengifo</w:t>
        <w:br/>
        <w:t xml:space="preserve">                                    Juez</w:t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                 VOTO RAZONADO DEL JUEZ VIDAL RAMÍREZ</w:t>
        <w:br/>
        <w:br/>
        <w:br/>
        <w:t>Participo en el pronunciamiento de la sentencia razonando  mi  voto  con  la</w:t>
        <w:br/>
        <w:t>siguiente consideración:</w:t>
        <w:br/>
        <w:br/>
        <w:t>La designación del Juez ad hoc por el Estado notificado con  la  demanda  no</w:t>
        <w:br/>
        <w:t>implica que asuma su representación, pues pasa a integrar la Corte a  título</w:t>
        <w:br/>
        <w:t>personal, previo juramento.  La integración a título personal  del  Juez  ad</w:t>
        <w:br/>
        <w:t>hoc  se  fundamenta  en  la  necesidad  de  proteger  la   independencia   e</w:t>
        <w:br/>
        <w:t>imparcialidad de  la  Corte  Interamericana,  como  Tribunal  internacional.</w:t>
        <w:br/>
        <w:t>Para integrarme  a  la  Corte  como  Juez  ad  hoc  he  reunido  los  mismos</w:t>
        <w:br/>
        <w:t>requisitos que los de los jueces titulares y, por  eso,  he  sido  investido</w:t>
        <w:br/>
        <w:t>con sus mismos derechos, deberes y responsabilidades.</w:t>
        <w:br/>
        <w:br/>
        <w:t>Así resulta de las disposiciones de los artículos 55 y 52 de  la  Convención</w:t>
        <w:br/>
        <w:t>Americana y del artículo 10 del Estatuto de  la  Corte,  habiéndolo  también</w:t>
        <w:br/>
        <w:t>así establecido la resolución del 11 de septiembre de  1995  (caso  Paniagua</w:t>
        <w:br/>
        <w:t>Morales y otros vs. Gobierno de Guatemala).</w:t>
        <w:br/>
        <w:br/>
        <w:br/>
        <w:br/>
        <w:t xml:space="preserve">                           Fernando Vidal Ramírez</w:t>
        <w:br/>
        <w:t xml:space="preserve">                           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-----------------------</w:t>
        <w:br/>
        <w:t>*     El Juez Oliver Jackman se abstuvo  de  conocer  este  caso  por  haber</w:t>
        <w:br/>
        <w:t>participado en su  trámite  ante  la  Comisión  Interamericana  de  Derechos</w:t>
        <w:br/>
        <w:t>Humanos, cuando era miembro de ésta.</w:t>
        <w:br/>
        <w:br/>
        <w:t>[1]   Reglamento aprobado por la Corte en  su  XXIII  Período  Ordinario  de</w:t>
        <w:br/>
        <w:t>Sesiones, celebrado del 9 al 18 de enero de 1991; y reformado  los  días  25</w:t>
        <w:br/>
        <w:t>de enero y 16 de julio de 1993 y 2 de diciembre de 1995.</w:t>
        <w:br/>
        <w:br/>
        <w:t>[2]   cfr.“La barbarie no se combate  con  la  barbarie”.   Sucesos  de  los</w:t>
        <w:br/>
        <w:t>penales en junio de 1986.  Congreso de la República del Perú.   Alan  García</w:t>
        <w:br/>
        <w:t>Pérez, Dictamen en mayoría de la Comisión  Investigadora  del  Congreso  del</w:t>
        <w:br/>
        <w:t>Perú sobre los sucesos acaecidos el 18  y  19  de  junio  de  1986,  en  los</w:t>
        <w:br/>
        <w:t>penales de Lurigancho, El Frontón y Santa Bárbara; escrito de hábeas  corpus</w:t>
        <w:br/>
        <w:t>interpuesto el 26 de febrero de 1986 por Virginia Ugarte Rivera en favor  de</w:t>
        <w:br/>
        <w:t>su hermano Gabriel Ugarte Rivera; escrito de hábeas  corpus  interpuesto  el</w:t>
        <w:br/>
        <w:t>26 de junio de 1986 por Virginia Durand Ugarte en favor de su hijo  Nolberto</w:t>
        <w:br/>
        <w:t>Durand Ugarte y su hermano Gabriel Ugarte Rivera; sentencia de 27  de  junio</w:t>
        <w:br/>
        <w:t>de 1986 emitida por el Primer Juzgado de Instrucción del  Callao;  sentencia</w:t>
        <w:br/>
        <w:t>de 15 de julio de 1986 emitida  por  el  Primer  Tribunal  Correccional  del</w:t>
        <w:br/>
        <w:t>Callao de la Corte Superior de Justicia  del  Callao;  sentencia  de  13  de</w:t>
        <w:br/>
        <w:t>agosto de 1986 emitida por la Primera Sala Penal de  la  Corte  Suprema  del</w:t>
        <w:br/>
        <w:t>Callao; pronunciamiento de 28 de octubre de 1986 emitido por el Tribunal  de</w:t>
        <w:br/>
        <w:t>Garantías  Constitucionales;  relación   nominal   de   los   internos   por</w:t>
        <w:br/>
        <w:t>terrorismo; partida de nacimiento de  Nolberto  Durand  Ugarte;  partida  de</w:t>
        <w:br/>
        <w:t>nacimiento de Gabriel Pablo  Ugarte  Rivera;  e  Informe  preparado  por  el</w:t>
        <w:br/>
        <w:t>Equipo de Trabajo constituido  por  representantes  de  los  Ministerios  de</w:t>
        <w:br/>
        <w:t>Justicia,  Interior,  Defensa  y  Relaciones  Exteriores,   así   como   del</w:t>
        <w:br/>
        <w:t>Ministerio Público y del Poder Judicial de julio de 1996 en relación con  el</w:t>
        <w:br/>
        <w:t>caso CIDH 10.009 Nolberto Durand Ugarte y Gabriel Pablo Ugarte Rivera.</w:t>
        <w:br/>
        <w:br/>
        <w:t>[3]    cfr.  folletos  titulados   “Pronunciamientos”;   y   “¡Día   de   la</w:t>
        <w:br/>
        <w:t>Heroicidad!”.</w:t>
        <w:br/>
        <w:br/>
        <w:t>[4]   cfr. lista entregada por el Jefe de Identificación del Penal San  Juan</w:t>
        <w:br/>
        <w:t>Bautista al 2do. Juzgado de Instrucción Permanente de  Marina;  Dictamen  en</w:t>
        <w:br/>
        <w:t>mayoría de la  Comisión  Investigadora  del  Congreso  del  Perú  sobre  los</w:t>
        <w:br/>
        <w:t>sucesos acaecidos  el  18  y  19  de  junio  de  1986,  en  los  penales  de</w:t>
        <w:br/>
        <w:t>Lurigancho, El Frontón y Santa Bárbara, Lima, diciembre de 1987; y  Dictamen</w:t>
        <w:br/>
        <w:t>en minoría de la Comisión Investigadora del  Congreso  del  Perú  sobre  los</w:t>
        <w:br/>
        <w:t>sucesos acaecidos  el  18  y  19  de  junio  de  1986,  en  los  penales  de</w:t>
        <w:br/>
        <w:t>Lurigancho, El Frontón y Santa Bárbara, Lima, diciembre 1987.</w:t>
        <w:br/>
        <w:br/>
        <w:t>[5]   cfr. oficio No. 544.98.INPE-CR-P del Ministerio de Justicia de  18  de</w:t>
        <w:br/>
        <w:t>septiembre  de  1998;  y  oficio  No.  635.98.INPE-CR-P  del  Ministerio  de</w:t>
        <w:br/>
        <w:t>Justicia de 31 de octubre de 1998.</w:t>
        <w:br/>
        <w:br/>
        <w:t>[6]   cfr. nota de octubre de 1999 del Instituto de Defensa Legal.</w:t>
        <w:br/>
        <w:br/>
        <w:t>[7]   cfr. artículo titulado  “Tribunal  ordena  ‘libertad’  de  3  acusados</w:t>
        <w:br/>
        <w:t>muertos en El Frontón”,  aparecido  en  el  diario  “La  República”  el  día</w:t>
        <w:br/>
        <w:t>viernes 31 de julio de 1987.</w:t>
        <w:br/>
        <w:br/>
        <w:t>[8]   cfr. Caso Castillo Petruzzi y otros.   Sentencia  de  30  de  mayo  de</w:t>
        <w:br/>
        <w:t>1999.  Serie C No. 52, párr. 60;  Caso  Castillo  Páez.  Reparaciones  (art.</w:t>
        <w:br/>
        <w:t>63.1 Convención Americana  sobre  Derechos  Humanos).  Sentencia  de  27  de</w:t>
        <w:br/>
        <w:t>noviembre  de  1998.   Serie  C  No.  43,  párr.  38;  Caso  Loayza  Tamayo.</w:t>
        <w:br/>
        <w:t>Reparaciones  (art.  63.1  Convención  Americana  sobre  Derechos  Humanos).</w:t>
        <w:br/>
        <w:t>Sentencia de 27 de noviembre de 1998.   Serie  C  No.  42,  párr.  38;  Caso</w:t>
        <w:br/>
        <w:t>Paniagua Morales y otros.  Sentencia de 8 de marzo de  1998.   Serie  C  No.</w:t>
        <w:br/>
        <w:t>37, párr. 70; Caso Caballero Delgado y  Santana,  Excepciones  Preliminares.</w:t>
        <w:br/>
        <w:t>Sentencia de 21 de enero de 1994. Serie C No. 17, párr. 44; y  Caso  Cayara,</w:t>
        <w:br/>
        <w:t>Excepciones Preliminares. Sentencia de 3 de febrero de  1993.  Serie  C  No.</w:t>
        <w:br/>
        <w:t>14, párr. 42.</w:t>
        <w:br/>
        <w:br/>
        <w:t>[9]   cfr. Caso Paniagua Morales y otros,  supra  nota  8,  párr.  71;  Caso</w:t>
        <w:br/>
        <w:t>Suárez Rosero. Sentencia de 12 de noviembre de 1997.  Serie C No. 35,  párr.</w:t>
        <w:br/>
        <w:t>37; Caso Fairén Garbi y Solís Corrales.  Sentencia de 15 de marzo  de  1989.</w:t>
        <w:br/>
        <w:t>Serie C No. 6, párr. 136; y Caso Godínez. Cruz.  Sentencia de  20  de  enero</w:t>
        <w:br/>
        <w:t>de 1989.  Serie C No. 5, párr. 140; Caso Velásquez Rodríguez.  Sentencia  de</w:t>
        <w:br/>
        <w:t>29 de julio de 1988.  Serie C No. 4, párr. 134.</w:t>
        <w:br/>
        <w:br/>
        <w:t>[10]  cfr. Caso Villagrán Morales y otros.  Sentencia de 19 de noviembre  de</w:t>
        <w:br/>
        <w:t>1999.  Serie C No. 63, párr. 69; Caso Castillo Petruzzi y otros, supra  nota</w:t>
        <w:br/>
        <w:t>8, párr. 62; Caso Loayza Tamayo, supra  nota  8,  párr.  51;  Caso  Paniagua</w:t>
        <w:br/>
        <w:t>Morales y otros, supra nota 8, párr. 72; Caso  Blake.  Sentencia  de  24  de</w:t>
        <w:br/>
        <w:t>enero de 1998.  Serie C No. 36,  párrs.  47  y  49;  Caso  Gangaram  Panday.</w:t>
        <w:br/>
        <w:t>Sentencia de 21 de enero de 1994.  Serie C No. 16,  párr.  49;  Caso  Fairén</w:t>
        <w:br/>
        <w:t>Garbi y Solís Corrales, supra nota 9, párr. 133; Caso  Godínez  Cruz,  supra</w:t>
        <w:br/>
        <w:t>nota 9, párr. 136; Caso Velásquez Rodríguez, supra nota 9, párr. 130.</w:t>
        <w:br/>
        <w:br/>
        <w:t>[11]  cfr. Caso Villagrán Morales y otros, supra nota  10,  párr.  72;  Caso</w:t>
        <w:br/>
        <w:t>Castillo Petruzzi y otros, supra nota 8, párr. 83; Caso  Blake,  supra  nota</w:t>
        <w:br/>
        <w:t>10, párr. 50; Caso Castillo Páez. Sentencia  de  3  de  noviembre  de  1997.</w:t>
        <w:br/>
        <w:t>Serie C No. 34,  párr.  39;  y  Caso  Loayza  Tamayo.  Sentencia  de  17  de</w:t>
        <w:br/>
        <w:t>septiembre de 1997. Serie C No. 33, párr. 42.</w:t>
        <w:br/>
        <w:br/>
        <w:t>[12]  cfr. Caso Neira Alegría y otros. Sentencia de 19  de  enero  de  1995.</w:t>
        <w:br/>
        <w:t>Serie C No. 20, párr. 65; Caso Gangaram Panday, supra  nota  10,  párr.  49;</w:t>
        <w:br/>
        <w:t>Caso Godínez Cruz, supra  nota  9,  párrs.  141  y  142;  y  Caso  Velásquez</w:t>
        <w:br/>
        <w:t>Rodríguez, supra nota 9, párrs. 135 y 136.</w:t>
        <w:br/>
        <w:br/>
        <w:t>[13]  cfr. Constitución Política del Perú de 1979 aprobada el  12  de  junio</w:t>
        <w:br/>
        <w:t>de 1979, Ley Orgánica de Justicia Militar (Decreto Ley No. 23201) de  28  de</w:t>
        <w:br/>
        <w:t>julio de 1980; y Código de Justicia Militar (Decreto-Ley No.  23214)  de  24</w:t>
        <w:br/>
        <w:t>de julio de 1980.</w:t>
        <w:br/>
        <w:br/>
        <w:t>[14]  cfr. testimonio de Virginia Ugarte Rivera rendida ante la Corte el  20</w:t>
        <w:br/>
        <w:t>de septiembre de 1999 y escrito  de  hábeas  corpus  interpuesto  el  26  de</w:t>
        <w:br/>
        <w:t>febrero de 1986 por Virginia Ugarte Rivera en favor de  su  hermano  Gabriel</w:t>
        <w:br/>
        <w:t>Ugarte Rivera.</w:t>
        <w:br/>
        <w:br/>
        <w:t>[15]  cfr. escrito de hábeas corpus interpuesto el 26  de  febrero  de  1986</w:t>
        <w:br/>
        <w:t>por Virginia Ugarte Rivera en favor de su hermano Gabriel Ugarte Rivera.</w:t>
        <w:br/>
        <w:br/>
        <w:t>[16]  cfr. escrito de hábeas corpus interpuesto el 26  de  febrero  de  1986</w:t>
        <w:br/>
        <w:t>por Virginia Ugarte Rivera en favor de su hermano Gabriel Ugarte Rivera.</w:t>
        <w:br/>
        <w:br/>
        <w:t>[17]  cfr. lista entregada por el Jefe de Identificación del Penal San  Juan</w:t>
        <w:br/>
        <w:t>Bautista al 2º Juzgado de Instrucción Permanente de Marina  donde  se  había</w:t>
        <w:br/>
        <w:t>iniciado un proceso por los sucesos de El Frontón; escrito de hábeas  corpus</w:t>
        <w:br/>
        <w:t>interpuesto el 25 de febrero de 1986 por Virginia Ugarte Rivera;  testimonio</w:t>
        <w:br/>
        <w:t>de Virginia Ugarte Rivera rendida ante la  Corte  el  20  de  septiembre  de</w:t>
        <w:br/>
        <w:t>1999;  oficios  No.  544.98.INPE-CR-P  del  Ministerio  de  Justicia  y  No.</w:t>
        <w:br/>
        <w:t>635.98.INPE-CR-P del Ministerio de Justicia, de 18 de septiembre de  1998  y</w:t>
        <w:br/>
        <w:t>31 de octubre de 1998, respectivamente; y Sentencia del  Primer  Juzgado  de</w:t>
        <w:br/>
        <w:t>Instrucción del Callao del 27 de junio de 1986.</w:t>
        <w:br/>
        <w:br/>
        <w:t>[18]  cfr. escrito de hábeas corpus interpuesto el 26  de  febrero  de  1986</w:t>
        <w:br/>
        <w:t>por Virginia Ugarte Rivera en favor de su hermano Gabriel Ugarte  Rivera;  y</w:t>
        <w:br/>
        <w:t>escrito del Instituto de Defensa Legal de octubre de 1999.</w:t>
        <w:br/>
        <w:br/>
        <w:t>[19]  cfr. Dictamen en mayoría de la  Comisión  Investigadora  del  Congreso</w:t>
        <w:br/>
        <w:t>del Perú sobre los sucesos acaecidos el 18 y 19 de junio  de  1986,  en  los</w:t>
        <w:br/>
        <w:t>penales de Lurigancho, El Frontón y Santa Bárbara. Lima, diciembre de  1987,</w:t>
        <w:br/>
        <w:t>pág. 29; Dictamen en minoría de la Comisión Investigadora del  Congreso  del</w:t>
        <w:br/>
        <w:t>Perú sobre los sucesos acaecidos el 18  y  19  de  junio  de  1986,  en  los</w:t>
        <w:br/>
        <w:t>penales de Lurigancho, El Frontón y Santa Bárbara. Lima, diciembre de  1987,</w:t>
        <w:br/>
        <w:t>pág. 50; Testimonio de Virginia Ugarte Rivera rendida ante la  Corte  el  20</w:t>
        <w:br/>
        <w:t>de septiembre de 1999; lista entregada por el  Jefe  de  Identificación  del</w:t>
        <w:br/>
        <w:t>Penal San Juan Bautista al 2º Juzgado de Instrucción  Permanente  de  Marina</w:t>
        <w:br/>
        <w:t>donde se había iniciado un proceso por los sucesos de El Frontón.</w:t>
        <w:br/>
        <w:br/>
        <w:t>[20]  cfr. Dictamen en mayoría de la  Comisión  Investigadora  del  Congreso</w:t>
        <w:br/>
        <w:t>del Perú sobre los sucesos acaecidos el 18 y 19 de junio  de  1986,  en  los</w:t>
        <w:br/>
        <w:t>penales de Lurigancho, El Frontón y Santa Bárbara. Lima, diciembre de  1987,</w:t>
        <w:br/>
        <w:t>págs. 29, 110, 112, 115, 116, 121, 124 a 132; y Dictamen en  minoría  de  la</w:t>
        <w:br/>
        <w:t>Comisión Investigadora del Congreso Nacional  del  Perú  sobre  los  sucesos</w:t>
        <w:br/>
        <w:t>acaecidos el 18 y 19 de junio de 1986, en  los  penales  de  Lurigancho,  El</w:t>
        <w:br/>
        <w:t>Frontón y Santa Bárbara. Lima, diciembre de 1987, págs. 21, 131,  132,  133,</w:t>
        <w:br/>
        <w:t>135, 136, 142 a 153.</w:t>
        <w:br/>
        <w:br/>
        <w:t>[21]  cfr. Dictamen en mayoría de la Comisión Investigadora del Congreso  de</w:t>
        <w:br/>
        <w:t>Perú, sobre los sucesos acaecidos el 18 y  19  de  junio  de  1986,  en  los</w:t>
        <w:br/>
        <w:t>penales de Lurigancho, El Frontón y Santa Bárbara. Lima, diciembre de  1987,</w:t>
        <w:br/>
        <w:t>págs.  54-55,  228  y  253  a  257;  Dictamen  en  minoría  de  la  Comisión</w:t>
        <w:br/>
        <w:t>Investigadora del Congreso del Perú, sobre los sucesos acaecidos el 18 y  19</w:t>
        <w:br/>
        <w:t>de junio de 1986, en los penales de Lurigancho, El Frontón y Santa  Bárbara.</w:t>
        <w:br/>
        <w:t>Lima, diciembre de 1987, págs. 13, 22, 23, 28, 50 de  las  Observaciones  de</w:t>
        <w:br/>
        <w:t>Minoría y 158 y 257; y Decreto-Ley 012-86-JUS de 2 de junio de 1986.</w:t>
        <w:br/>
        <w:br/>
        <w:t>[22]  cfr. Decreto-Supremo Nº 006-86-JUS de 19 de  junio  de  1986;  Decreto</w:t>
        <w:br/>
        <w:t>Supremo 012-86-IN de 2 de junio de 1986; Dictamen en mayoría de la  Comisión</w:t>
        <w:br/>
        <w:t>Investigadora del Congreso de Perú, sobre los sucesos acaecidos el 18  y  19</w:t>
        <w:br/>
        <w:t>de junio de 1986, en los penales de Lurigancho, El Frontón y Santa  Bárbara.</w:t>
        <w:br/>
        <w:t>Lima, diciembre de 1987,  págs.  232  y  234;  Dictamen  en  minoría  de  la</w:t>
        <w:br/>
        <w:t>Comisión Investigadora del Congreso del Perú, sobre  los  sucesos  acaecidos</w:t>
        <w:br/>
        <w:t>el 18 y 19 de junio de 1986, en los penales  de  Lurigancho,  El  Frontón  y</w:t>
        <w:br/>
        <w:t>Santa Bárbara. Lima, diciembre de 1987, págs. 47 y 52 de  las  Observaciones</w:t>
        <w:br/>
        <w:t>de Minoría y 250, 251, 257 y 270;  testimonio  de  Ricardo  Aurelio  Chumbes</w:t>
        <w:br/>
        <w:t>Paz; y  peritajes  de  Guillermo  Tamayo  Pinto  Bazurco,  Enrique  Bernardo</w:t>
        <w:br/>
        <w:t>Cangahuala rendidos ante la Corte en el Caso Neira Alegría y otros.</w:t>
        <w:br/>
        <w:br/>
        <w:t>[23]  cfr. Dictamen en mayoría de la Comisión Investigadora del Congreso  de</w:t>
        <w:br/>
        <w:t>Perú, sobre los sucesos acaecidos el 18 y  19  de  junio  de  1986,  en  los</w:t>
        <w:br/>
        <w:t>penales de Lurigancho, El Frontón y Santa Bárbara. Lima, diciembre de  1987;</w:t>
        <w:br/>
        <w:t>págs. 134, 135 a 167, 238, 255 y 257; Dictamen en  minoría  de  la  Comisión</w:t>
        <w:br/>
        <w:t>Investigadora del Congreso del Perú, sobre los sucesos acaecidos el 18 y  19</w:t>
        <w:br/>
        <w:t>de junio de 1986, en los penales de Lurigancho, El Frontón y Santa  Bárbara.</w:t>
        <w:br/>
        <w:t>Lima, diciembre de 1987, págs. 48, 50 a 54 de las Observaciones  de  Minoría</w:t>
        <w:br/>
        <w:t>y 134, 156 a 189 y 277 a 281; Decreto Supremo No. 012-86-JUS de 2  de  junio</w:t>
        <w:br/>
        <w:t>de 1986; testimonios de Ricardo Aurelio Chumbes Paz, César Delgado  Barreto,</w:t>
        <w:br/>
        <w:t>Rolando Ames Cobián, Guillermo  Tamayo  Pinto  Bazurro  y  Enrique  Bernardo</w:t>
        <w:br/>
        <w:t>Cangahuala rendidos ante la Corte en  el  caso  Neira  Alegría  y  otros;  y</w:t>
        <w:br/>
        <w:t>artículos periodísticos sobre los hechos ocurridos en  los  penales  de  San</w:t>
        <w:br/>
        <w:t>Juan  Bautista  (ex-“El  Frontón”),  San  Pedro  (ex-Lurigancho”)  y   Santa</w:t>
        <w:br/>
        <w:t>Bárbara.</w:t>
        <w:br/>
        <w:br/>
        <w:t>[24]  cfr. Dictamen en mayoría de la Comisión Investigadora del Congreso  de</w:t>
        <w:br/>
        <w:t>Perú, sobre los sucesos acaecidos el 18 y  19  de  junio  de  1986,  en  los</w:t>
        <w:br/>
        <w:t>penales de Lurigancho, El Frontón y Santa Bárbara. Lima, diciembre de  1987,</w:t>
        <w:br/>
        <w:t>págs. 144, 153, 218, 235 y  257;  y  Dictamen  en  minoría  de  la  Comisión</w:t>
        <w:br/>
        <w:t>Investigadora del Congreso de Perú, sobre los sucesos acaecidos el 18  y  19</w:t>
        <w:br/>
        <w:t>de junio de 1986, en los penales de Lurigancho, El Frontón y Santa  Bárbara.</w:t>
        <w:br/>
        <w:t>Lima, diciembre de 1987, págs. 53 de las Observaciones de Minoría y 238.</w:t>
        <w:br/>
        <w:br/>
        <w:t>[25]   cfr.  proceso  tramitado  en  el  fuero  militar  sobre  la   posible</w:t>
        <w:br/>
        <w:t>responsabilidad penal de los miembros de la Marina que debelaron el motín.</w:t>
        <w:br/>
        <w:br/>
        <w:t>[26]  cfr. lista  entregada  el  18  de  junio  de  1986,  por  el  Jefe  de</w:t>
        <w:br/>
        <w:t>Identificación del Penal San Juan Bautista  al  2º  Juzgado  de  Instrucción</w:t>
        <w:br/>
        <w:t>Permanente de Marina donde se había iniciado un proceso por los  sucesos  de</w:t>
        <w:br/>
        <w:t>El  Frontón;  proceso  tramitado  en  el  fuero  militar  sobre  la  posible</w:t>
        <w:br/>
        <w:t>responsabilidad penal de los miembros de la Marina que debelaron  el  motín;</w:t>
        <w:br/>
        <w:t>autopsias realizadas a los cadáveres de los internos de El Frontón  por  los</w:t>
        <w:br/>
        <w:t>médicos Augusto Yamada, Juan Herver Kruger y José  Ráez  González;  Dictamen</w:t>
        <w:br/>
        <w:t>en mayoría de la Comisión Investigadora del  Congreso  de  Perú,  sobre  los</w:t>
        <w:br/>
        <w:t>sucesos acaecidos  el  18  y  19  de  junio  de  1986,  en  los  penales  de</w:t>
        <w:br/>
        <w:t>Lurigancho, El Frontón y Santa Bárbara. Lima, diciembre de 1987,  págs.  167</w:t>
        <w:br/>
        <w:t>y 168; y Dictamen en minoría de la Comisión Investigadora  del  Congreso  de</w:t>
        <w:br/>
        <w:t>Perú, sobre los sucesos acaecidos el 18 y  19  de  junio  de  1986,  en  los</w:t>
        <w:br/>
        <w:t>penales de Lurigancho, El Frontón y Santa Bárbara. Lima, diciembre de  1987,</w:t>
        <w:br/>
        <w:t>págs. 188, 189 y 283.</w:t>
        <w:br/>
        <w:br/>
        <w:t>[27]  cfr. Dictamen en minoría de la  Comisión  Investigadora  del  Congreso</w:t>
        <w:br/>
        <w:t>del Perú, sobre los sucesos acaecidos el 18 y 19 de junio de  1986,  en  los</w:t>
        <w:br/>
        <w:t>penales de Lurigancho, El Frontón y Santa Bárbara. Lima, diciembre de  1987,</w:t>
        <w:br/>
        <w:t>págs. 23 y 24 de las Observaciones de Minoría y 281 a  283;  testimonios  de</w:t>
        <w:br/>
        <w:t>Ricardo Aurelio Chumbes Paz, Augusto Yamada, Juan Herver Kruger y José  Ráez</w:t>
        <w:br/>
        <w:t>González y de las pericias de Robert H. Kirschner y Clyde C.  Snow  rendidos</w:t>
        <w:br/>
        <w:t>ante la Corte en el caso Neira Alegría y otros; las autopsias  realizadas  a</w:t>
        <w:br/>
        <w:t>los cadáveres de los internos de El Frontón por los médicos Augusto  Yamada,</w:t>
        <w:br/>
        <w:t>Juan Herver Kruger y José Ráez González;  y  relación  nominal  de  internos</w:t>
        <w:br/>
        <w:t>acusados de terrorismo evacuados del  penal  de  El  Frontón  luego  de  los</w:t>
        <w:br/>
        <w:t>sucesos del 18 de junio de 1986.</w:t>
        <w:br/>
        <w:br/>
        <w:t>[28]  Dictamen en mayoría de  la  Comisión  Investigadora  del  Congreso  de</w:t>
        <w:br/>
        <w:t>Perú, sobre los sucesos acaecidos el 18 y  19  de  junio  de  1986,  en  los</w:t>
        <w:br/>
        <w:t>penales de Lurigancho, El Frontón y Santa Bárbara. Lima, diciembre de  1987;</w:t>
        <w:br/>
        <w:t>y Dictamen en minoría de la Comisión Investigadora  del  Congreso  de  Perú,</w:t>
        <w:br/>
        <w:t>sobre los sucesos acaecidos el 18 y 19 de junio de 1986, en los  penales  de</w:t>
        <w:br/>
        <w:t>Lurigancho, El Frontón y Santa Bárbara. Lima, diciembre de 1987.</w:t>
        <w:br/>
        <w:br/>
        <w:t>[29]  cfr. Constitución Política del Perú de  1979;  Decreto-Ley  Nº  23.201</w:t>
        <w:br/>
        <w:t>Ley Orgánica de Justicia Militar del Perú; y Decreto-Ley No.  23.214  Código</w:t>
        <w:br/>
        <w:t>de Justicia Militar.</w:t>
        <w:br/>
        <w:br/>
        <w:t>[30]  cfr: escrito de hábeas corpus interpuesto el 26 de junio de  1986  por</w:t>
        <w:br/>
        <w:t>Virginia Ugarte Rivera en favor de su  hijo  Nolberto  Durand  Ugarte  y  su</w:t>
        <w:br/>
        <w:t>hermano Gabriel Ugarte Rivera originado en los sucesos de  los  penales  del</w:t>
        <w:br/>
        <w:t>18 y 19 de junio de 1986.</w:t>
        <w:br/>
        <w:br/>
        <w:t>[31]  cfr. Sentencia del 27 de junio de 1986 emitida por el  Primer  Juzgado</w:t>
        <w:br/>
        <w:t>de Instrucción del Callao; Sentencia del 15 de julio de 1986 emitida por  el</w:t>
        <w:br/>
        <w:t>Primer Tribunal Correccional del Callao; Sentencia del 13 de agosto de  1986</w:t>
        <w:br/>
        <w:t>emitida por la Primera Sala Penal de la  Corte  Suprema;  y  Pronunciamiento</w:t>
        <w:br/>
        <w:t>del  28  de  octubre  de  1986  emitido  por  el   Tribunal   de   Garantías</w:t>
        <w:br/>
        <w:t>Constitucionales.</w:t>
        <w:br/>
        <w:br/>
        <w:t>[32]  cfr. Decreto Supremo No. 012-86-IN y Decreto  Supremo  No.  006-86-JUS</w:t>
        <w:br/>
        <w:t>de 2 y 19 de junio de 1986, respectivamente, testimonio de  Ricardo  Aurelio</w:t>
        <w:br/>
        <w:t>Chumbes Paz rendido ante  la  Corte  en  el  caso  Neira  Alegría  y  otros;</w:t>
        <w:br/>
        <w:t>Dictamen en mayoría de la  Comisión  Investigadora  del  Congreso  de  Perú,</w:t>
        <w:br/>
        <w:t>sobre los sucesos acaecidos el 18 y 19 de junio de 1986, en los  penales  de</w:t>
        <w:br/>
        <w:t>Lurigancho, El Frontón y Santa Bárbara. Lima, diciembre de 1987,  págs.  144</w:t>
        <w:br/>
        <w:t>a 150; y Dictamen en minoría de la Comisión Investigadora  del  Congreso  de</w:t>
        <w:br/>
        <w:t>Perú, sobre los sucesos acaecidos el 18 y  19  de  junio  de  1986,  en  los</w:t>
        <w:br/>
        <w:t>penales de Lurigancho, El Frontón y Santa Bárbara. Lima, diciembre de  1987,</w:t>
        <w:br/>
        <w:t>págs. 165 a 170.</w:t>
        <w:br/>
        <w:br/>
        <w:t>[33]  cfr. artículo titulado  “Tribunal  ordena  ‘libertad’  de  3  acusados</w:t>
        <w:br/>
        <w:t>muertos en El Frontón”,  aparecido  en  el  diario  “La  República”  el  día</w:t>
        <w:br/>
        <w:t>viernes 31 de julio de 1987; testimonio de Virginia  Ugarte  Rivera  rendida</w:t>
        <w:br/>
        <w:t>ante la Corte el 20 de septiembre de 1999; y los oficios No. 544.98.INPE-CR-</w:t>
        <w:br/>
        <w:t>P del Ministerio de  Justicia  y  No.  635.98.INPE-CR-P  del  Ministerio  de</w:t>
        <w:br/>
        <w:t>Justicia,  de  18  de  septiembre  de  1998  y  31  de  octubre   de   1998,</w:t>
        <w:br/>
        <w:t>respectivamente.</w:t>
        <w:br/>
        <w:br/>
        <w:t>[34]  cfr. Caso Neira Alegría  y  otros,  supra  nota  12,  párr.  65;  Caso</w:t>
        <w:br/>
        <w:t>Gangaram Panday, supra nota. 10, párr. 49; Caso Godínez  Cruz,  supra  nota.</w:t>
        <w:br/>
        <w:t>9, párr. 141; y Caso Velásquez Rodríguez, supra nota. 9, párr. 135.</w:t>
        <w:br/>
        <w:br/>
        <w:t>[35]  cfr. Caso Neira Alegría  y  otros,  supra  nota  12,  párr.  65;  Caso</w:t>
        <w:br/>
        <w:t>Godínez Cruz, supra nota. 9, párr. 142; y Caso  Velásquez  Rodríguez,  supra</w:t>
        <w:br/>
        <w:t>nota. 9, párr. 136.</w:t>
        <w:br/>
        <w:br/>
        <w:t>[36]  cfr. Caso Godínez Cruz, supra nota 9,  párr.  162;  y  Caso  Velásquez</w:t>
        <w:br/>
        <w:t>Rodríguez, supra nota 9, párr. 154.</w:t>
        <w:br/>
        <w:br/>
        <w:t>[37]  Caso Neira Alegría y otros, supra nota 12, párr. 74.</w:t>
        <w:br/>
        <w:br/>
        <w:t>[38]  cfr. Caso  Castillo  Páez,  supra  nota  11,  párr.  72;  Caso  Blake,</w:t>
        <w:br/>
        <w:t>Excepciones Preliminares.  Sentencia de 2 de julio de  1996.   Serie  C  No.</w:t>
        <w:br/>
        <w:t>27, párr. 39; Caso Neira Alegría y otros, supra nota 12, párr.  76;  y  Caso</w:t>
        <w:br/>
        <w:t>Caballero Delgado y Santana, supra nota 8, párr. 56.</w:t>
        <w:br/>
        <w:br/>
        <w:t>[39]  cfr. Caso Castillo Petruzzi y otros, supra nota  8,  párr.  166;  Caso</w:t>
        <w:br/>
        <w:t>Blake, supra nota 10, párr. 112; Caso Godínez  Cruz,  supra  nota  9,  párr.</w:t>
        <w:br/>
        <w:t>172; y Caso Velásquez Rodríguez, supra nota 9, párr. 163.</w:t>
        <w:br/>
        <w:br/>
        <w:t>[40]  Caso Neira Alegría y otros, supra nota 12, párr. 86.</w:t>
        <w:br/>
        <w:br/>
        <w:t>[41]  Caso Gangaram Panday, supra nota 10, párr. 47.</w:t>
        <w:br/>
        <w:br/>
        <w:t>[42]  cfr. Caso Godínez Cruz, supra nota 9,  párr.  143;  y  Caso  Velásquez</w:t>
        <w:br/>
        <w:t>Rodríguez, supra nota 9, párr.137.</w:t>
        <w:br/>
        <w:br/>
        <w:t>[43]  cfr. Caso Godínez Cruz,  supra  nota  9,  párr.  144;  Caso  Velásquez</w:t>
        <w:br/>
        <w:t>Rodríguez, supra nota 9, párr. 138.</w:t>
        <w:br/>
        <w:br/>
        <w:t>[44]  Caso Neira Alegría y otros, supra nota 12, párr. 77.</w:t>
        <w:br/>
        <w:br/>
        <w:t>[45]  El hábeas corpus bajo Suspensión de Garantías, Opinión Consultiva  OC-</w:t>
        <w:br/>
        <w:t>8/87 de 30 de enero de 1987.  Serie A No. 8, párr. 38.</w:t>
        <w:br/>
        <w:br/>
        <w:t>[46]  Garantías judiciales en estados de emergencia, Opinión Consultiva  OC-</w:t>
        <w:br/>
        <w:t>9/87 de 6 de octubre de 1987.  Serie A No. 9, párr. 21.</w:t>
        <w:br/>
        <w:br/>
        <w:t>[47]  Caso Durand y Ugarte, Excepciones Preliminares.  Sentencia  de  28  de</w:t>
        <w:br/>
        <w:t>mayo de 1999.  Serie C  No. 50, párr. 35.</w:t>
        <w:br/>
        <w:br/>
        <w:t>[48]  cfr. Caso Castillo Petruzzi y otros, supra nota 8,  párr.  184.;  Caso</w:t>
        <w:br/>
        <w:t>Castillo Páez, supra nota 11, párrs.  82  y  83;  Caso  Paniagua  Morales  y</w:t>
        <w:br/>
        <w:t>otros, supra nota 8, párr. 164; Caso Blake, supra  nota  10,  párr.  102;  y</w:t>
        <w:br/>
        <w:t>Caso Suárez Rosero, supra nota 9, párr. 65.</w:t>
        <w:br/>
        <w:br/>
        <w:t>[49]  Garantías judiciales en estados de emergencia, supra  nota  46,  párr.</w:t>
        <w:br/>
        <w:t>24.</w:t>
        <w:br/>
        <w:br/>
        <w:t>[50]  cfr. El hábeas corpus bajo suspensión de  garantías,  supra  nota  45,</w:t>
        <w:br/>
        <w:t>párr. 35; Garantías Judiciales en Estados  de  Emergencia,  supra  nota  46,</w:t>
        <w:br/>
        <w:t>párr. 31; Caso Castillo Petruzzi y otros, supra  nota  8,  párr.  187;  Caso</w:t>
        <w:br/>
        <w:t>Suárez Rosero, supra nota 9, párr. 63; y Caso Neira Alegría y  otros,  supra</w:t>
        <w:br/>
        <w:t>nota 12, párr. 82.</w:t>
        <w:br/>
        <w:br/>
        <w:t>[51]  El hábeas corpus bajo suspensión de garantías, supra  nota  45,  párr.</w:t>
        <w:br/>
        <w:t>42.</w:t>
        <w:br/>
        <w:br/>
        <w:t>[52]  Garantías judiciales en estados de emergencia, supra  nota  46,  párr.</w:t>
        <w:br/>
        <w:t>38.</w:t>
        <w:br/>
        <w:br/>
        <w:t>[53]  Caso Castillo Petruzzi y otros, supra nota 8, párr. 128.</w:t>
        <w:br/>
        <w:br/>
        <w:t>[54]  cfr. Caso Villagrán Morales y otros, supra nota 10,  párr.  237;  Caso</w:t>
        <w:br/>
        <w:t>Cesti Hurtado.  Sentencia de 29 de septiembre de 1999.   Serie  C.  No.  56,</w:t>
        <w:br/>
        <w:t>párr. 121; Caso Castillo Petruzzi y otros, supra nota  8,  párr.  184;  Caso</w:t>
        <w:br/>
        <w:t>Castillo Páez, supra nota 11, párr.  83;  Caso  Paniagua  Morales  y  otros,</w:t>
        <w:br/>
        <w:t>supra nota 8, párr. 164; Caso Blake,  supra  nota  10,  párr.  102;  y  Caso</w:t>
        <w:br/>
        <w:t>Suárez Rosero, supra nota 9, párr. 65.</w:t>
        <w:br/>
        <w:br/>
        <w:t>[55]  Caso Villagrán Morales  y  otros,  supra  nota  10,  párr.  226;  Caso</w:t>
        <w:br/>
        <w:t>Godínez Cruz, supra nota 9, párr. 188; y  Caso  Velásquez  Rodríguez,  supra</w:t>
        <w:br/>
        <w:t>nota 9, párr. 177.</w:t>
        <w:br/>
        <w:br/>
        <w:t>[56]  Naciones Unidas. Comité de Derechos  Humanos.  Arhuacos  v.  Colombia,</w:t>
        <w:br/>
        <w:t>párr. 8.8, 19 de agosto,  1997,  CCPR/C/60/D/612/1995;  y  Naciones  Unidas.</w:t>
        <w:br/>
        <w:t>Comité  de  Derechos  Humanos.  Bautista  v.  Colombia,  párr.  8.6,  13  de</w:t>
        <w:br/>
        <w:t>noviembre, 1995, CCPR/C/55/D/563/1993.</w:t>
        <w:br/>
        <w:br/>
        <w:t>[57]  Decreto-Ley No. 23.201,  Ley  Orgánica  de  Justicia  Militar,  Título</w:t>
        <w:br/>
        <w:t>Preliminar I.</w:t>
        <w:br/>
        <w:br/>
        <w:t>[58]  Caso Blake, supra nota 10, párr. 96.</w:t>
        <w:br/>
        <w:br/>
        <w:t>[59]  Caso Blake, supra nota 10, párr. 97</w:t>
        <w:br/>
        <w:br/>
        <w:t>[60]  Caso Villagrán Morales y otros, supra nota 10, párr. 227.</w:t>
        <w:br/>
        <w:br/>
        <w:t>[61]  Caso Garrido y Baigorria. Reparaciones. Sentencia de 27 de  agosto  de</w:t>
        <w:br/>
        <w:t>1998.  Serie C No. 39, párr. 68.</w:t>
        <w:br/>
        <w:br/>
        <w:t>[62]  Caso Castillo Petruzzi y otros, supra nota 8, párr. 207.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