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    Caso Barrios Altos Vs. Perú</w:t>
        <w:br/>
        <w:br/>
        <w:br/>
        <w:t xml:space="preserve">                      Sentencia de 14 de marzo de 2001</w:t>
        <w:br/>
        <w:t xml:space="preserve">                                   (Fondo)</w:t>
        <w:br/>
        <w:br/>
        <w:br/>
        <w:t>En el caso Barrios Altos,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jueces:[1]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Alirio Abreu Burelli, Juez</w:t>
        <w:br/>
        <w:t xml:space="preserve">      Sergio García Ramírez, Juez y</w:t>
        <w:br/>
        <w:t xml:space="preserve">      Carlos Vicente de Roux Rengifo, Juez;</w:t>
        <w:br/>
        <w:br/>
        <w:t>presentes, además:</w:t>
        <w:br/>
        <w:br/>
        <w:t xml:space="preserve">      Manuel E. Ventura Robles, Secretario y</w:t>
        <w:br/>
        <w:t xml:space="preserve">      Renzo Pomi, Secretario adjunto,</w:t>
        <w:br/>
        <w:br/>
        <w:t>de acuerdo con los artículos 29, 55 y 57 del  Reglamento  de  la  Corte  (en</w:t>
        <w:br/>
        <w:t>adelante “el Reglamento”), dicta la presente Sentencia.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8 de junio de 2000 la Comisión Interamericana de  Derechos  Humanos</w:t>
        <w:br/>
        <w:t>(en adelante “la Comisión” o “la Comisión Interamericana”) presentó ante  la</w:t>
        <w:br/>
        <w:t>Corte la demanda en este caso, en la cual invocó  el  artículo  51.1  de  la</w:t>
        <w:br/>
        <w:t>Convención Americana sobre Derechos Humanos (en adelante “la  Convención”  o</w:t>
        <w:br/>
        <w:t>“la Convención Americana”) y el artículo 32  del  Reglamento.   La  Comisión</w:t>
        <w:br/>
        <w:t>sometió el caso con el fin de que la Corte  decidiera  que  hubo  violación,</w:t>
        <w:br/>
        <w:t>por parte del Estado del Perú  (en adelante  “el  Perú”,   “el   Estado”   o</w:t>
        <w:br/>
        <w:t>“el Estado</w:t>
        <w:br/>
        <w:t>peruano”), del artículo 4 (Derecho a la Vida) de  la  Convención  Americana,</w:t>
        <w:br/>
        <w:t>en perjuicio de Placentina Marcela Chumbipuma  Aguirre,  Luis  Alberto  Díaz</w:t>
        <w:br/>
        <w:t>Astovilca, Octavio Benigno Huamanyauri Nolazco,  Luis  Antonio  León  Borja,</w:t>
        <w:br/>
        <w:t>Filomeno León León, Máximo León León, Lucio  Quispe  Huanaco,  Tito  Ricardo</w:t>
        <w:br/>
        <w:t>Ramírez Alberto, Teobaldo  Ríos  Lira,  Manuel  Isaías  Ríos  Pérez,  Javier</w:t>
        <w:br/>
        <w:t>Manuel  Ríos  Rojas,  Alejandro  Rosales  Alejandro,  Nelly   María   Rubina</w:t>
        <w:br/>
        <w:t>Arquiñigo, Odar Mender Sifuentes Nuñez y Benedicta Yanque Churo.   Asimismo,</w:t>
        <w:br/>
        <w:t>pidió a la Corte que decidiera que el Estado violó el artículo 5 (Derecho  a</w:t>
        <w:br/>
        <w:t>la  Integridad  Personal)  de  la  Convención  Americana,  en  perjuicio  de</w:t>
        <w:br/>
        <w:t>Natividad Condorcahuana Chicaña, Felipe León León,  Tomás  Livias  Ortega  y</w:t>
        <w:br/>
        <w:t>Alfonso Rodas Alvítez.  Además, requirió al Tribunal que  decidiera  que  el</w:t>
        <w:br/>
        <w:t>Estado peruano violó los artículos 8 (Garantías Judiciales), 25  (Protección</w:t>
        <w:br/>
        <w:t>Judicial) y 13 (Libertad de Pensamiento y de  Expresión)  de  la  Convención</w:t>
        <w:br/>
        <w:t>Americana como consecuencia de la promulgación y aplicación de las leyes  de</w:t>
        <w:br/>
        <w:t>amnistía Nº  26479  y  Nº  26492.   Finalmente,  solicitó  a  la  Corte  que</w:t>
        <w:br/>
        <w:t>determinara que, como consecuencia de la promulgación y  aplicación  de  las</w:t>
        <w:br/>
        <w:t>leyes de amnistía Nº 26479 y Nº 26492 y  de  la  violación  a  los  derechos</w:t>
        <w:br/>
        <w:t>señalados, el Perú incumplió los artículos 1.1 (Obligación de  Respetar  los</w:t>
        <w:br/>
        <w:t>Derechos) y 2 (Deber de Adoptar Disposiciones  de  Derecho  Interno)  de  la</w:t>
        <w:br/>
        <w:t>Convención Americana sobre Derechos Humanos.</w:t>
        <w:br/>
        <w:br/>
        <w:t>La Comisión solicitó a la Corte, además, que ordenara al Perú que:</w:t>
        <w:br/>
        <w:br/>
        <w:t xml:space="preserve">      a)    reabra la investigación judicial sobre los hechos;</w:t>
        <w:br/>
        <w:br/>
        <w:br/>
        <w:t xml:space="preserve">      b)    otorgue una reparación integral adecuada por  concepto  de  daño</w:t>
        <w:br/>
        <w:t xml:space="preserve">      material y moral a los familiares de las  15  presuntas  víctimas  que</w:t>
        <w:br/>
        <w:t xml:space="preserve">      fueron ejecutadas y de las cuatro presuntas víctimas que se encuentran</w:t>
        <w:br/>
        <w:t xml:space="preserve">      con vida;</w:t>
        <w:br/>
        <w:br/>
        <w:br/>
        <w:t xml:space="preserve">      c)    derogue o deje sin efecto la Ley Nº 26479 que concede  “amnistía</w:t>
        <w:br/>
        <w:t xml:space="preserve">      general a personal militar, policial y civil para diversos casos” y la</w:t>
        <w:br/>
        <w:t xml:space="preserve">      Ley Nº 26492 que “[p]recisa …[la] interpretación y [los]  alcances  de</w:t>
        <w:br/>
        <w:t xml:space="preserve">      [la] amnistía otorgada por la Ley Nº 26479”; y</w:t>
        <w:br/>
        <w:br/>
        <w:br/>
        <w:t xml:space="preserve">      d)    pague las costas y gastos en que  han  incurrido  las  presuntas</w:t>
        <w:br/>
        <w:t xml:space="preserve">      víctimas y/o sus familiares, para litigar en este  caso  tanto  en  el</w:t>
        <w:br/>
        <w:t xml:space="preserve">      ámbito interno como ante la Comisión y ante la Corte, y los honorarios</w:t>
        <w:br/>
        <w:t xml:space="preserve">      razonables de sus abogados.</w:t>
        <w:br/>
        <w:br/>
        <w:br/>
        <w:br/>
        <w:br/>
        <w:t xml:space="preserve">                                     II</w:t>
        <w:br/>
        <w:t xml:space="preserve">                                   Hechos</w:t>
        <w:br/>
        <w:br/>
        <w:t>2.    La Comisión efectuó, en la sección III de su demanda,  una  exposición</w:t>
        <w:br/>
        <w:t>de los hechos que constituyeron el origen de esta  causa.   En  ella  señaló</w:t>
        <w:br/>
        <w:t>que:</w:t>
        <w:br/>
        <w:br/>
        <w:t xml:space="preserve">      a)    aproximadamente a las 22:30 horas del 3 de  noviembre  de  1991,</w:t>
        <w:br/>
        <w:t xml:space="preserve">      seis individuos fuertemente armados irrumpieron en el inmueble ubicado</w:t>
        <w:br/>
        <w:t xml:space="preserve">      en el Jirón Huanta No. 840 del vecindario conocido como Barrios  Altos</w:t>
        <w:br/>
        <w:t xml:space="preserve">      de  la  ciudad  de  Lima.   Al  producirse  la  irrupción,  se  estaba</w:t>
        <w:br/>
        <w:t xml:space="preserve">      celebrando una “pollada”, es decir, una fiesta  para  recaudar  fondos</w:t>
        <w:br/>
        <w:t xml:space="preserve">      con el objeto de hacer reparaciones en  el  edificio.   Los  atacantes</w:t>
        <w:br/>
        <w:t xml:space="preserve">      llegaron al sitio en dos vehículos, uno de marca jeep Cherokee y  otro</w:t>
        <w:br/>
        <w:t xml:space="preserve">      Mitsubishi.  Estos automóviles portaban luces  y  sirenas  policiales,</w:t>
        <w:br/>
        <w:t xml:space="preserve">      que fueron apagadas al llegar al lugar de los hechos;</w:t>
        <w:br/>
        <w:t xml:space="preserve">      b)    los individuos, cuyas edades oscilaban entre los 25 y  30  años,</w:t>
        <w:br/>
        <w:t xml:space="preserve">      encubrieron sus rostros con pasamontañas y obligaron a  las  presuntas</w:t>
        <w:br/>
        <w:t xml:space="preserve">      víctimas a arrojarse al suelo.  Una vez que éstas estaban en el suelo,</w:t>
        <w:br/>
        <w:t xml:space="preserve">      los  atacantes  les  dispararon  indiscriminadamente  por  un  período</w:t>
        <w:br/>
        <w:t xml:space="preserve">      aproximado de dos minutos, matando a 15 personas e hiriendo gravemente</w:t>
        <w:br/>
        <w:t xml:space="preserve">      a otras cuatro, quedando una de estas últimas,  Tomás  Livias  Ortega,</w:t>
        <w:br/>
        <w:t xml:space="preserve">      permanentemente incapacitada.  Posteriormente, con la misma  celeridad</w:t>
        <w:br/>
        <w:t xml:space="preserve">      con que habían llegado, los atacantes huyeron en  los  dos  vehículos,</w:t>
        <w:br/>
        <w:t xml:space="preserve">      haciendo sonar nuevamente las sirenas;</w:t>
        <w:br/>
        <w:br/>
        <w:br/>
        <w:t xml:space="preserve">      c)    las personas  sobrevivientes  declararon  que  las  detonaciones</w:t>
        <w:br/>
        <w:t xml:space="preserve">      sonaban  “apagadas”,  lo  cual  permite  suponer  que  se   utilizaron</w:t>
        <w:br/>
        <w:t xml:space="preserve">      silenciadores.  Durante la investigación, la policía  encontró  en  la</w:t>
        <w:br/>
        <w:t xml:space="preserve">      escena del crimen 111 cartuchos y 33 proyectiles  del  mismo  calibre,</w:t>
        <w:br/>
        <w:t xml:space="preserve">      correspondientes a pistolas ametralladoras;</w:t>
        <w:br/>
        <w:br/>
        <w:br/>
        <w:t xml:space="preserve">      d)    las investigaciones  judiciales  y  los  informes  periodísticos</w:t>
        <w:br/>
        <w:t xml:space="preserve">      revelaron que los involucrados trabajaban para  inteligencia  militar;</w:t>
        <w:br/>
        <w:t xml:space="preserve">      eran miembros del Ejército peruano que actuaban en  el  “escuadrón  de</w:t>
        <w:br/>
        <w:t xml:space="preserve">      eliminación” llamado “Grupo Colina”  que  llevaba  a  cabo  su  propio</w:t>
        <w:br/>
        <w:t xml:space="preserve">      programa antisubversivo.  Diversas informaciones señala que los hechos</w:t>
        <w:br/>
        <w:t xml:space="preserve">      del  presente  caso  se  realizaron  en  represalia  contra  presuntos</w:t>
        <w:br/>
        <w:t xml:space="preserve">      integrantes de Sendero Luminoso;</w:t>
        <w:br/>
        <w:br/>
        <w:br/>
        <w:t xml:space="preserve">      e)    una semana después del ataque el Congresista Javier Diez Canseco</w:t>
        <w:br/>
        <w:t xml:space="preserve">      presentó a  la  prensa  una  copia  de  un  documento  titulado  “Plan</w:t>
        <w:br/>
        <w:t xml:space="preserve">      Ambulante”, el cual describía un operativo de inteligencia  llevado  a</w:t>
        <w:br/>
        <w:t xml:space="preserve">      cabo en la escena del crimen.  Según dicho documento los “subversivos”</w:t>
        <w:br/>
        <w:t xml:space="preserve">      se habían estado reuniendo en el domicilio donde ocurrieron los hechos</w:t>
        <w:br/>
        <w:t xml:space="preserve">      del presente  caso  desde  enero  de  1989  y  se  encubrían  bajo  la</w:t>
        <w:br/>
        <w:t xml:space="preserve">      apariencia de vendedores ambulantes.  En  junio  de  1989  el  Sendero</w:t>
        <w:br/>
        <w:t xml:space="preserve">      Luminoso llevó a cabo, a unos 250 metros del lugar en  que  ocurrieron</w:t>
        <w:br/>
        <w:t xml:space="preserve">      los hechos en Barrios Altos,  un  ataque  en  el  que  varios  de  los</w:t>
        <w:br/>
        <w:t xml:space="preserve">      atacantes se disfrazaron de vendedores ambulantes;</w:t>
        <w:br/>
        <w:br/>
        <w:br/>
        <w:t xml:space="preserve">      f)    el 14 de noviembre de 1991 los Senadores de  la  República  Raúl</w:t>
        <w:br/>
        <w:t xml:space="preserve">      Ferrero  Costa,  Javier  Diez  Canseco  Cisneros,   Enrique   Bernales</w:t>
        <w:br/>
        <w:t xml:space="preserve">      Ballesteros, Javier  Alva  Orlandini,  Edmundo  Murrugarra  Florián  y</w:t>
        <w:br/>
        <w:t xml:space="preserve">      Gustavo Mohme Llona solicitaron al plenario del Senado de la República</w:t>
        <w:br/>
        <w:t xml:space="preserve">      que se esclarecieran los hechos relativos al crimen de Barrios  Altos.</w:t>
        <w:br/>
        <w:t xml:space="preserve">      El 15 de noviembre de ese año la  Cámara  de  Senadores  aprobó  dicho</w:t>
        <w:br/>
        <w:t xml:space="preserve">      petitorio y designó a los Senadores Róger  Cáceres  Velásquez,  Víctor</w:t>
        <w:br/>
        <w:t xml:space="preserve">      Arroyo Cuyubamba,  Javier  Diez  Canseco  Cisneros,  Francisco  Guerra</w:t>
        <w:br/>
        <w:t xml:space="preserve">      García  Cueva  y  José  Linares  Gallo  para  integrar  una   Comisión</w:t>
        <w:br/>
        <w:t xml:space="preserve">      investigadora, la cual se instaló el 27 de noviembre de 1991.   El  23</w:t>
        <w:br/>
        <w:t xml:space="preserve">      de diciembre de 1991 la Comisión efectuó una “inspección ocular” en el</w:t>
        <w:br/>
        <w:t xml:space="preserve">      inmueble donde sucedieron los hechos, entrevistó a cuatro personas,  y</w:t>
        <w:br/>
        <w:t xml:space="preserve">      realizó otras diligencias.  La  Comisión  senatorial  no  concluyó  su</w:t>
        <w:br/>
        <w:t xml:space="preserve">      investigación,  pues  el  “Gobierno  de  Emergencia  y  Reconstrucción</w:t>
        <w:br/>
        <w:t xml:space="preserve">      Nacional”, que se inició el 5 de abril de 1992, disolvió el Congreso y</w:t>
        <w:br/>
        <w:t xml:space="preserve">      el Congreso Constituyente Democrático elegido en noviembre de 1992  no</w:t>
        <w:br/>
        <w:t xml:space="preserve">      reanudó la investigación ni publicó lo ya investigado por la  Comisión</w:t>
        <w:br/>
        <w:t xml:space="preserve">      senatorial;</w:t>
        <w:br/>
        <w:br/>
        <w:br/>
        <w:t xml:space="preserve">      g)    aunque los hechos ocurrieron en 1991, las autoridades judiciales</w:t>
        <w:br/>
        <w:t xml:space="preserve">      no iniciaron una investigación seria del incidente sino  en  abril  de</w:t>
        <w:br/>
        <w:t xml:space="preserve">      1995, cuando la Fiscal de la Cuadragésima Primera Fiscalía  Provincial</w:t>
        <w:br/>
        <w:t xml:space="preserve">      Penal de Lima, Ana Cecilia Magallanes, denunció a cinco oficiales  del</w:t>
        <w:br/>
        <w:t xml:space="preserve">      Ejército como responsables de  los  hechos,  incluyendo  a  varios  ya</w:t>
        <w:br/>
        <w:t xml:space="preserve">      condenados en el caso La Cantuta.  Los cinco acusados eran el  General</w:t>
        <w:br/>
        <w:t xml:space="preserve">      de División Julio  Salazar  Monroe,  entonces  Jefe  del  Servicio  de</w:t>
        <w:br/>
        <w:t xml:space="preserve">      Inteligencia Nacional (SIN), el Mayor Santiago  Martín  Rivas,  y  los</w:t>
        <w:br/>
        <w:t xml:space="preserve">      Suboficiales Nelson Carbajal García, Juan Sosa Saavedra y  Hugo  Coral</w:t>
        <w:br/>
        <w:t xml:space="preserve">      Goycochea.  La mencionada Fiscal intentó en varias oportunidades,  sin</w:t>
        <w:br/>
        <w:t xml:space="preserve">      éxito, hacer comparecer a los acusados para que rindieran declaración.</w:t>
        <w:br/>
        <w:t xml:space="preserve">       Consecuentemente, formalizó la denuncia ante el 16º Juzgado Penal  de</w:t>
        <w:br/>
        <w:t xml:space="preserve">      Lima.  Los oficiales militares  respondieron  que  la  denuncia  debía</w:t>
        <w:br/>
        <w:t xml:space="preserve">      dirigirse a otra autoridad y  señalaron  que  el  Mayor  Rivas  y  los</w:t>
        <w:br/>
        <w:t xml:space="preserve">      suboficiales se encontraban bajo la jurisdicción del  Consejo  Supremo</w:t>
        <w:br/>
        <w:t xml:space="preserve">      de Justicia Militar.  Por su parte, el General Julio Salazar Monroe se</w:t>
        <w:br/>
        <w:t xml:space="preserve">      negó a responder  las  citaciones  argumentando  que  tenía  rango  de</w:t>
        <w:br/>
        <w:t xml:space="preserve">      Ministro de Estado y que, en consecuencia, gozaba de  los  privilegios</w:t>
        <w:br/>
        <w:t xml:space="preserve">      que tenían los Ministros;</w:t>
        <w:br/>
        <w:br/>
        <w:br/>
        <w:t xml:space="preserve">      h)    la Juez Antonia Saquicuray del 16º Juzgado Penal de Lima  inició</w:t>
        <w:br/>
        <w:t xml:space="preserve">      una investigación formal el 19 de  abril  de  1995.   Pese  a  que  la</w:t>
        <w:br/>
        <w:t xml:space="preserve">      mencionada Juez intentó tomar declaración a los presuntos  integrantes</w:t>
        <w:br/>
        <w:t xml:space="preserve">      del “Grupo Colina” en la cárcel, el Alto Mando Militar se lo  impidió.</w:t>
        <w:br/>
        <w:t xml:space="preserve">      El Consejo Supremo  de  Justicia  Militar  dictó  una  resolución  que</w:t>
        <w:br/>
        <w:t xml:space="preserve">      dispuso que los acusados y el Comandante General del Ejército  y  Jefe</w:t>
        <w:br/>
        <w:t xml:space="preserve">      del Comando Conjunto, Nicolás de Bari Hermoza Ríos, estaban  impedidos</w:t>
        <w:br/>
        <w:t xml:space="preserve">      de rendir declaración ante algún otro órgano  judicial,  dado  que  se</w:t>
        <w:br/>
        <w:t xml:space="preserve">      estaba procesando paralelamente una causa ante la justicia militar;</w:t>
        <w:br/>
        <w:br/>
        <w:br/>
        <w:t xml:space="preserve">      i)    tan pronto se inició la investigación de la Juez Saquicuray  los</w:t>
        <w:br/>
        <w:t xml:space="preserve">      tribunales militares interpusieron una petición ante la Corte  Suprema</w:t>
        <w:br/>
        <w:t xml:space="preserve">      reclamando competencia sobre el  caso,  alegando  que  se  trataba  de</w:t>
        <w:br/>
        <w:t xml:space="preserve">      oficiales militares en servicio activo.  Sin embargo, antes de que  la</w:t>
        <w:br/>
        <w:t xml:space="preserve">      Corte Suprema pudiera resolver el asunto, el Congreso peruano sancionó</w:t>
        <w:br/>
        <w:t xml:space="preserve">      una ley de amnistía, la Ley Nº 26479, que exoneraba de responsabilidad</w:t>
        <w:br/>
        <w:t xml:space="preserve">      a los militares, policías, y también a civiles, que hubieran cometido,</w:t>
        <w:br/>
        <w:t xml:space="preserve">      entre 1980 y 1995, violaciones a los derechos humanos o participado en</w:t>
        <w:br/>
        <w:t xml:space="preserve">      esas violaciones.  El proyecto de ley no fue anunciado públicamente ni</w:t>
        <w:br/>
        <w:t xml:space="preserve">      debatido, sino que fue aprobado tan pronto como fue presentado, en las</w:t>
        <w:br/>
        <w:t xml:space="preserve">      primeras horas del 14 de junio de 1995.   La  Ley  fue  promulgada  de</w:t>
        <w:br/>
        <w:t xml:space="preserve">      inmediato por el Presidente y entró en vigor el 15 de junio  de  1995.</w:t>
        <w:br/>
        <w:t xml:space="preserve">      El efecto  de  la  señalada  ley  fue  el  de  determinar  el  archivo</w:t>
        <w:br/>
        <w:t xml:space="preserve">      definitivo  de  las  investigaciones  judiciales  y  así   evitar   la</w:t>
        <w:br/>
        <w:t xml:space="preserve">      responsabilidad penal de los responsables de la masacre;</w:t>
        <w:br/>
        <w:br/>
        <w:br/>
        <w:t xml:space="preserve">      j)    la Ley Nº 26479 concedió una amnistía a todos los integrantes de</w:t>
        <w:br/>
        <w:t xml:space="preserve">      las fuerzas de seguridad y civiles que  fueran  objeto  de  denuncias,</w:t>
        <w:br/>
        <w:t xml:space="preserve">      investigaciones,  procedimientos  o   condenas,   o   que   estuvieran</w:t>
        <w:br/>
        <w:t xml:space="preserve">      cumpliendo sentencias en prisión, por violaciones de derechos humanos.</w:t>
        <w:br/>
        <w:t xml:space="preserve">       Las escasas condenas  impuestas  a  integrantes  de  las  fuerzas  de</w:t>
        <w:br/>
        <w:t xml:space="preserve">      seguridad por violaciones  de  derechos  humanos  fueron  dejadas  sin</w:t>
        <w:br/>
        <w:t xml:space="preserve">      efecto inmediatamente.  En consecuencia, se liberó a los ocho  hombres</w:t>
        <w:br/>
        <w:t xml:space="preserve">      recluidos por el caso conocido  como  “La  Cantuta”,  algunos  de  los</w:t>
        <w:br/>
        <w:t xml:space="preserve">      cuales estaban procesados en el caso Barrios Altos;</w:t>
        <w:br/>
        <w:br/>
        <w:br/>
        <w:t xml:space="preserve">      k)    de acuerdo con la Constitución del Perú, la cual señala que  los</w:t>
        <w:br/>
        <w:t xml:space="preserve">      jueces tienen el deber de no aplicar  aquellas  leyes  que  consideren</w:t>
        <w:br/>
        <w:t xml:space="preserve">      contrarias a las disposiciones de la Constitución, el 16 de  junio  de</w:t>
        <w:br/>
        <w:t xml:space="preserve">      1995 la Juez Antonia Saquicuray decidió que el artículo 1 de la Ley Nº</w:t>
        <w:br/>
        <w:t xml:space="preserve">      26479 no era aplicable a los procesos penales pendientes en su juzgado</w:t>
        <w:br/>
        <w:t xml:space="preserve">      contra los cinco miembros del Servicio de Inteligencia Nacional (SIN),</w:t>
        <w:br/>
        <w:t xml:space="preserve">      debido a que la amnistía violaba las garantías constitucionales y  las</w:t>
        <w:br/>
        <w:t xml:space="preserve">      obligaciones internacionales que la Convención  Americana  imponía  al</w:t>
        <w:br/>
        <w:t xml:space="preserve">      Perú.  Horas después de  emitida  dicha  decisión,  la  Fiscal  de  la</w:t>
        <w:br/>
        <w:t xml:space="preserve">      Nación, Blanca Nélida Colán, en una conferencia de prensa, afirmó  que</w:t>
        <w:br/>
        <w:t xml:space="preserve">      la decisión de la Juez Saquicuray constituía un error; que se  cerraba</w:t>
        <w:br/>
        <w:t xml:space="preserve">      el caso Barrios Altos; que la Ley de Amnistía tenía  estatuto  de  ley</w:t>
        <w:br/>
        <w:t xml:space="preserve">      constitucional; y que los Fiscales y Jueces que  no  obedecen  la  ley</w:t>
        <w:br/>
        <w:t xml:space="preserve">      pueden ser procesados por prevaricato;</w:t>
        <w:br/>
        <w:br/>
        <w:br/>
        <w:t xml:space="preserve">      l)    los abogados de los acusados en el caso Barrios  Altos  apelaron</w:t>
        <w:br/>
        <w:t xml:space="preserve">      la decisión de la Juez Saquicuray.  El caso pasó a conocimiento de  la</w:t>
        <w:br/>
        <w:t xml:space="preserve">      Undécima Sala Penal de la Corte Superior de Lima, cuyos tres  miembros</w:t>
        <w:br/>
        <w:t xml:space="preserve">      serían los encargados de revocar o confirmar la resolución.  El 27  de</w:t>
        <w:br/>
        <w:t xml:space="preserve">      junio de  1995  Carlos  Arturo  Mansilla  Gardella,  Fiscal  Superior,</w:t>
        <w:br/>
        <w:t xml:space="preserve">      defendió en todos sus extremos la resolución de la Juez Saquicuray que</w:t>
        <w:br/>
        <w:t xml:space="preserve">      declaraba que la Ley de Amnistía Nº  26479  era  inaplicable  al  caso</w:t>
        <w:br/>
        <w:t xml:space="preserve">      Barrios Altos.  Se fijó una audiencia para el 3 de julio de 1995 sobre</w:t>
        <w:br/>
        <w:t xml:space="preserve">      la aplicabilidad de la ley señalada;</w:t>
        <w:br/>
        <w:br/>
        <w:br/>
        <w:t xml:space="preserve">      m)    la negativa de la Juez Saquicuray de aplicar la Ley de  Amnistía</w:t>
        <w:br/>
        <w:t xml:space="preserve">      Nº 26479 provocó otra investigación por parte del Congreso.  Antes que</w:t>
        <w:br/>
        <w:t xml:space="preserve">      pudiera celebrarse la audiencia pública, el  Congreso  peruano  aprobó</w:t>
        <w:br/>
        <w:t xml:space="preserve">      una segunda ley de amnistía, la Ley Nº 26492, que “estaba  dirigida  a</w:t>
        <w:br/>
        <w:t xml:space="preserve">      interferir con las actuaciones judiciales  del  caso  Barrios  Altos”.</w:t>
        <w:br/>
        <w:t xml:space="preserve">      Dicha ley declaró que la amnistía no era “revisable” en sede  judicial</w:t>
        <w:br/>
        <w:t xml:space="preserve">      y que era de obligatoria aplicación.  Además, amplió el alcance de  la</w:t>
        <w:br/>
        <w:t xml:space="preserve">      Ley  Nº  26479,  concediendo  una  amnistía  general  para  todos  los</w:t>
        <w:br/>
        <w:t xml:space="preserve">      funcionarios militares, policiales o civiles que pudieran  ser  objeto</w:t>
        <w:br/>
        <w:t xml:space="preserve">      de procesamientos por violaciones de derechos humanos cometidas  entre</w:t>
        <w:br/>
        <w:t xml:space="preserve">      1980 y 1995, aunque no hubieran sido denunciadas.  El efecto  de  esta</w:t>
        <w:br/>
        <w:t xml:space="preserve">      segunda ley fue impedir  que  los  jueces  se  pronunciaran  sobre  la</w:t>
        <w:br/>
        <w:t xml:space="preserve">      legalidad o aplicabilidad de la primera ley de  amnistía,  invalidando</w:t>
        <w:br/>
        <w:t xml:space="preserve">      lo resuelto por la Juez Saquicuray e impidiendo  decisiones  similares</w:t>
        <w:br/>
        <w:t xml:space="preserve">      en el futuro; y</w:t>
        <w:br/>
        <w:br/>
        <w:br/>
        <w:t xml:space="preserve">      n)    el 14 de julio de 1995, la  Undécima  Sala  Penal  de  la  Corte</w:t>
        <w:br/>
        <w:t xml:space="preserve">      Superior de Justicia de Lima decidió la apelación en sentido contrario</w:t>
        <w:br/>
        <w:t xml:space="preserve">      a lo resuelto por la Juez de nivel inferior,  es  decir,  resolvió  el</w:t>
        <w:br/>
        <w:t xml:space="preserve">      archivo definitivo del proceso  en  el  caso  Barrios  Altos.   En  su</w:t>
        <w:br/>
        <w:t xml:space="preserve">      sentencia dicha Sala resolvió que la Ley de Amnistía no era antagónica</w:t>
        <w:br/>
        <w:t xml:space="preserve">      con  la  ley  fundamental  de  la  República  ni  con   los   tratados</w:t>
        <w:br/>
        <w:t xml:space="preserve">      internacionales de derechos humanos; que los jueces no podían  decidir</w:t>
        <w:br/>
        <w:t xml:space="preserve">      no aplicar leyes adoptadas por el Congreso porque ello iría contra  el</w:t>
        <w:br/>
        <w:t xml:space="preserve">      principio de separación de poderes; y ordenó que  la  Juez  Saquicuray</w:t>
        <w:br/>
        <w:t xml:space="preserve">      fuera investigada por el órgano judicial de control interno por  haber</w:t>
        <w:br/>
        <w:t xml:space="preserve">      interpretado las normas incorrectamente.</w:t>
        <w:br/>
        <w:br/>
        <w:br/>
        <w:br/>
        <w:br/>
        <w:br/>
        <w:t xml:space="preserve">                                     III</w:t>
        <w:br/>
        <w:br/>
        <w:t xml:space="preserve">                           Competencia de la Corte</w:t>
        <w:br/>
        <w:br/>
        <w:t>3.    La Corte es competente para conocer del presente  caso.   El  Perú  es</w:t>
        <w:br/>
        <w:t>Estado Parte en la Convención Americana desde el  28  de  julio  de  1978  y</w:t>
        <w:br/>
        <w:t>reconoció la competencia obligatoria de la Corte el 21 de enero de 1981.</w:t>
        <w:br/>
        <w:br/>
        <w:br/>
        <w:t xml:space="preserve">                                     IV</w:t>
        <w:br/>
        <w:t xml:space="preserve">                       Procedimiento ante la Comisión</w:t>
        <w:br/>
        <w:br/>
        <w:t>4.    Como resultado de una denuncia presentada el 30 de junio de  1995  por</w:t>
        <w:br/>
        <w:t>la Coordinadora Nacional de Derechos Humanos en contra del Perú por  otorgar</w:t>
        <w:br/>
        <w:t>una amnistía a agentes del Estado responsables del asesinato de 15  personas</w:t>
        <w:br/>
        <w:t>y de las heridas inferidas a otras cuatro, como consecuencia  del  incidente</w:t>
        <w:br/>
        <w:t>llamado Barrios Altos, la Comisión  inició  el  28  de  agosto  de  1995  la</w:t>
        <w:br/>
        <w:t>tramitación del caso,  el  cual  fue  registrado  bajo  el  Nº  11.528.   La</w:t>
        <w:br/>
        <w:t>Secretaría de la Comisión informó al Estado  y  le  solicitó  que  remitiera</w:t>
        <w:br/>
        <w:t>toda la información que considerase pertinente sobre los hechos en un  plazo</w:t>
        <w:br/>
        <w:t>de 90 días.</w:t>
        <w:br/>
        <w:br/>
        <w:t>5.    Previo al inicio de la tramitación del caso por la Comisión, el 10  de</w:t>
        <w:br/>
        <w:t>julio de 1995 los peticionarios solicitaron medidas cautelares  para  evitar</w:t>
        <w:br/>
        <w:t>la aplicación de la Ley Nº 26479 a los hechos motivo  del  presente  caso  y</w:t>
        <w:br/>
        <w:t>para proteger a Gloria Cano Legua, abogada de uno de los  sobrevivientes  de</w:t>
        <w:br/>
        <w:t>la masacre de Barrios Altos en el proceso penal iniciado contra  el  General</w:t>
        <w:br/>
        <w:t>del Ejército Julio Salazar Monroe y otras personas.  El  14  de  los  mismos</w:t>
        <w:br/>
        <w:t>mes  y  año  la  Comisión  solicitó  al  Estado  que  adoptara  las  medidas</w:t>
        <w:br/>
        <w:t>pertinentes para garantizar la integridad personal y el derecho  a  la  vida</w:t>
        <w:br/>
        <w:t>de todos los sobrevivientes, familiares y abogados relacionados con el  caso</w:t>
        <w:br/>
        <w:t>Barrios Altos.</w:t>
        <w:br/>
        <w:br/>
        <w:t>6.    El 31 de octubre de 1995 el Estado respondió  a  la  solicitud  de  la</w:t>
        <w:br/>
        <w:t>Comisión (supra párr. 4), la cual remitió, el 8 de noviembre  de  ese  mismo</w:t>
        <w:br/>
        <w:t>año, el respectivo escrito del Perú a los peticionarios y les  solicitó  que</w:t>
        <w:br/>
        <w:t>presentaran sus observaciones a dicha comunicación dentro de un plazo de  45</w:t>
        <w:br/>
        <w:t>días.  Unos días después, el 21 de noviembre, el Estado presentó un  escrito</w:t>
        <w:br/>
        <w:t>adicional a la Comisión, el cual fue transmitido a los peticionarios  el  30</w:t>
        <w:br/>
        <w:t>de noviembre  de  1995  para  que  presentaran  sus  observaciones  a  dicho</w:t>
        <w:br/>
        <w:t>documento dentro de un plazo de 45  días.   El  17  de  enero  de  1996  los</w:t>
        <w:br/>
        <w:t>peticionarios  presentaron  sus  observaciones  a  los  escritos  del  Perú,</w:t>
        <w:br/>
        <w:t>comunicaciones que le fueron transmitidas a éste el 28 de marzo de 1996.</w:t>
        <w:br/>
        <w:br/>
        <w:t>7.    El 29 de enero de 1996 la Asociación  Pro-Derechos  Humanos  (APRODEH)</w:t>
        <w:br/>
        <w:t>presentó una denuncia a la Comisión en nombre de los familiares  de  las  15</w:t>
        <w:br/>
        <w:t>personas muertas y las cuatro personas heridas en los  hechos  ocurridos  en</w:t>
        <w:br/>
        <w:t>Barrios Altos.  El 26 de marzo de 1996 la Comisión registró  dicha  denuncia</w:t>
        <w:br/>
        <w:t>como el caso Nº 11.601.</w:t>
        <w:br/>
        <w:br/>
        <w:t>Por su parte, el 23  de  mayo  de  1996  la  Comisión  de  Derechos  Humanos</w:t>
        <w:br/>
        <w:t>(COMISDEH) de la Coordinadora Nacional de Derechos Humanos presentó el  caso</w:t>
        <w:br/>
        <w:t>de  Filomeno  León  León  y  Natividad  Condorcahuana,  muerto   y   herida,</w:t>
        <w:br/>
        <w:t>respectivamente, en los incidentes de Barrios Altos.</w:t>
        <w:br/>
        <w:br/>
        <w:t>Esta información fue remitida al Estado el 21 de  junio  de  1996  para  que</w:t>
        <w:br/>
        <w:t>presentara sus observaciones.</w:t>
        <w:br/>
        <w:br/>
        <w:t>8.    El 29 de mayo de 1996 el Perú presentó a la Comisión su respuesta,  la</w:t>
        <w:br/>
        <w:t>cual fue transmitida a los peticionarios el 21 de junio  de  1996  para  que</w:t>
        <w:br/>
        <w:t>presentaran observaciones, quienes las presentaron el 1 de agosto  de  1996.</w:t>
        <w:br/>
        <w:t>El  15  de  octubre  de  1996  la  Comisión  comunicó  el  escrito  de   los</w:t>
        <w:br/>
        <w:t>peticionarios al Estado y le otorgó 30 días  para  la  presentación  de  sus</w:t>
        <w:br/>
        <w:t>observaciones.</w:t>
        <w:br/>
        <w:br/>
        <w:t>9.    El  23  de  septiembre  de  1996  la  Comisión  recibió  una  denuncia</w:t>
        <w:br/>
        <w:t>presentada por la Fundación Ecuménica para el Desarrollo y la Paz  (FEDEPAZ)</w:t>
        <w:br/>
        <w:t>de la Coordinadora Nacional de Derechos Humanos, a nombre de los  familiares</w:t>
        <w:br/>
        <w:t>de Javier Manuel Ríos  Rojas  y  Manuel  Isaías  Ríos  Pérez,  dos  personas</w:t>
        <w:br/>
        <w:t>muertas en los acontecimientos  de  Barrios  Altos.   Esta  información  fue</w:t>
        <w:br/>
        <w:t>transmitida al Perú el 12 de febrero de 1997.</w:t>
        <w:br/>
        <w:br/>
        <w:t>10.   El mismo 12 de  febrero  de  1997  la  Comisión  acumuló  la  denuncia</w:t>
        <w:br/>
        <w:t>presentada en el caso Nº 11.528 y las denuncias que formaron parte del  caso</w:t>
        <w:br/>
        <w:t>Nº 11.601, conformando todas parte del caso Nº 11.528.</w:t>
        <w:br/>
        <w:br/>
        <w:t>11.   El 4 de marzo de 1997, durante  el  95º  Período  de  Sesiones  de  la</w:t>
        <w:br/>
        <w:t>Comisión, se celebró una audiencia sobre el caso.</w:t>
        <w:br/>
        <w:br/>
        <w:t>12.   El 1 de mayo de 1997 el Estado respondió a la información  transmitida</w:t>
        <w:br/>
        <w:t>por la Comisión el 12 de febrero de ese mismo año (supra párr.  9),  escrito</w:t>
        <w:br/>
        <w:t>que fue remitido a los peticionarios el 27 de mayo de 1997.</w:t>
        <w:br/>
        <w:br/>
        <w:t>13.   Mediante comunicación  de  11  de  junio  de  1997  los  peticionarios</w:t>
        <w:br/>
        <w:t>solicitaron que se  incluyera  al  Centro  por  la  Justicia  y  el  Derecho</w:t>
        <w:br/>
        <w:t>Internacional (CEJIL) y  al  Instituto  de  Defensa  Legal  (IDL)  como  co-</w:t>
        <w:br/>
        <w:t>peticionarios en este caso.</w:t>
        <w:br/>
        <w:br/>
        <w:t>14.    El  22  de  junio  de  1997   los   peticionarios   presentaron   sus</w:t>
        <w:br/>
        <w:t>observaciones al escrito del Estado de 1 de mayo de 1997 (supra  párr.  12),</w:t>
        <w:br/>
        <w:t>que fueron remitidas al Perú el 28 de julio de 1997.</w:t>
        <w:br/>
        <w:br/>
        <w:t>15.   El 9 de octubre de 1997, durante el 97º  Período  de  Sesiones  de  la</w:t>
        <w:br/>
        <w:t>Comisión, se celebró otra audiencia sobre el caso.</w:t>
        <w:br/>
        <w:br/>
        <w:t>16.    El  7  de  enero  de  1999  la  Comisión  Interamericana  se  puso  a</w:t>
        <w:br/>
        <w:t>disposición de las partes con el objeto de  lograr  una  solución  amistosa;</w:t>
        <w:br/>
        <w:t>sin embargo, el Perú le solicitó que  desistiera  de  su  iniciativa  y  que</w:t>
        <w:br/>
        <w:t>declarara  inadmisible  el  caso  por  falta  de  agotamiento  de   recursos</w:t>
        <w:br/>
        <w:t>internos.</w:t>
        <w:br/>
        <w:br/>
        <w:t>17.   El 7 de marzo  de  2000  la  Comisión,  durante  su  106º  Período  de</w:t>
        <w:br/>
        <w:t>Sesiones y con base en el artículo 50 de la Convención,  aprobó  el  Informe</w:t>
        <w:br/>
        <w:t>Nº 28/00, el cual fue transmitido al Estado  al  día  siguiente.   En  dicho</w:t>
        <w:br/>
        <w:t>Informe, la Comisión recomendó al Estado que:</w:t>
        <w:br/>
        <w:br/>
        <w:t xml:space="preserve">      A.    […] deje sin efecto toda medida interna, legislativa o  de  otra</w:t>
        <w:br/>
        <w:t xml:space="preserve">      naturaleza, que tienda a impedir  la  investigación,  procesamiento  y</w:t>
        <w:br/>
        <w:t xml:space="preserve">      sanción de los responsables de los asesinatos y  lesiones  resultantes</w:t>
        <w:br/>
        <w:t xml:space="preserve">      de los hechos conocidos como operativo “Barrios Altos”.  Con ese  fin,</w:t>
        <w:br/>
        <w:t xml:space="preserve">      el Estado peruano debe dejar sin efecto las leyes  de  amnistías  Nos.</w:t>
        <w:br/>
        <w:t xml:space="preserve">      26479 y 26492.</w:t>
        <w:br/>
        <w:br/>
        <w:br/>
        <w:t xml:space="preserve">      B.    […] conduzca una investigación seria, imparcial  y  efectiva  de</w:t>
        <w:br/>
        <w:t xml:space="preserve">      los hechos, con el objeto de identificar a  los  responsables  de  los</w:t>
        <w:br/>
        <w:t xml:space="preserve">      asesinatos y lesiones de este caso, y continúe  con  el  procesamiento</w:t>
        <w:br/>
        <w:t xml:space="preserve">      judicial de los señores Julio Salazar Monroe, Santiago  Martín  Rivas,</w:t>
        <w:br/>
        <w:t xml:space="preserve">      Nelson Carbajal García, Juan Sosa Saavedra, y Hugo Coral Goycochea,  y</w:t>
        <w:br/>
        <w:t xml:space="preserve">      por la vía del  proceso  penal  correspondiente,  se  sancione  a  los</w:t>
        <w:br/>
        <w:t xml:space="preserve">      responsables de estos graves delitos, de acuerdo con la ley.</w:t>
        <w:br/>
        <w:br/>
        <w:t xml:space="preserve">      C.    […] proceda otorgar una reparación plena, lo que implica otorgar</w:t>
        <w:br/>
        <w:t xml:space="preserve">      la  correspondiente  indemnización   a   las   cuatro   víctimas   que</w:t>
        <w:br/>
        <w:t xml:space="preserve">      sobrevivieron y a los familiares de las 15 víctimas muertas,  por  las</w:t>
        <w:br/>
        <w:t xml:space="preserve">      violaciones de los derechos humanos señalados en este caso.</w:t>
        <w:br/>
        <w:br/>
        <w:t>Asimismo, la Comisión acordó:</w:t>
        <w:br/>
        <w:br/>
        <w:t xml:space="preserve">      transmitir este informe al Estado peruano y otorgarle un plazo de  dos</w:t>
        <w:br/>
        <w:t xml:space="preserve">      meses para dar cumplimiento a las recomendaciones  formuladas.   Dicho</w:t>
        <w:br/>
        <w:t xml:space="preserve">      plazo se contará a partir de la  fecha  de  transmisión  del  presente</w:t>
        <w:br/>
        <w:t xml:space="preserve">      informe al Estado,  el  cual  no  estará  facultado  para  publicarlo.</w:t>
        <w:br/>
        <w:t xml:space="preserve">      Igualmente la Comisión acuerda notificar a  los  peticionarios  de  la</w:t>
        <w:br/>
        <w:t xml:space="preserve">      aprobación de un informe según el artículo 50 de la Convención.</w:t>
        <w:br/>
        <w:br/>
        <w:t>18.   El 9 de mayo de 2000 el Perú transmitió su respuesta al Informe de  la</w:t>
        <w:br/>
        <w:t>Comisión, la cual señalaba que la promulgación y aplicación de las leyes  de</w:t>
        <w:br/>
        <w:t>amnistía Nº 26479 y Nº 26492, constituían  medidas  excepcionales  adoptadas</w:t>
        <w:br/>
        <w:t>en contra de la violencia terrorista.  Además, hizo notar  que  el  Tribunal</w:t>
        <w:br/>
        <w:t>Constitucional  peruano  había   declarado   improcedente   la   acción   de</w:t>
        <w:br/>
        <w:t>inconstitucionalidad interpuesta contra las referidas leyes, “pero en  forma</w:t>
        <w:br/>
        <w:t>expresa señaló la subsistencia de las acciones de reparación civil en  favor</w:t>
        <w:br/>
        <w:t>de los agraviados o sus familiares.”</w:t>
        <w:br/>
        <w:br/>
        <w:t>19.   El 10 de mayo de 2000 la Comisión decidió someter el caso a la Corte.</w:t>
        <w:br/>
        <w:br/>
        <w:br/>
        <w:t xml:space="preserve">                                      V</w:t>
        <w:br/>
        <w:t xml:space="preserve">                         Procedimiento ante la Corte</w:t>
        <w:br/>
        <w:br/>
        <w:t>20.   La demanda en este caso fue sometida al conocimiento de la Corte el  8</w:t>
        <w:br/>
        <w:t>de junio de 2000.</w:t>
        <w:br/>
        <w:br/>
        <w:t>21.   La Comisión designó como Delegados a los  señores  Juan  E.  Méndez  y</w:t>
        <w:br/>
        <w:t>Hélio Bicudo; como abogadas a  las  señoras  Christina  M.  Cerna  y  Andrea</w:t>
        <w:br/>
        <w:t>Galindo; y como asistentes a los señores Sofía Macher, Secretaria  Ejecutiva</w:t>
        <w:br/>
        <w:t>de la Coordinadora Nacional de Derechos Humanos; Germán Alvarez  Arbulú,  de</w:t>
        <w:br/>
        <w:t>la Asociación Pro-Derechos Humanos (APRODEH); Iván  Bazán  Chacón,  Director</w:t>
        <w:br/>
        <w:t>Ejecutivo de la Fundación Ecuménica para el Desarrollo y la  Paz  (FEDEPAZ);</w:t>
        <w:br/>
        <w:t>Ronald Gamarra Herrera, del Instituto de Defensa  Legal  (IDL);  Rocío  Gala</w:t>
        <w:br/>
        <w:t>Gálvez, de la Comisión de Derechos Humanos (COMISDEH);  Viviana  Krsticevic,</w:t>
        <w:br/>
        <w:t>Directora Ejecutiva del Centro por la Justicia y  el  Derecho  Internacional</w:t>
        <w:br/>
        <w:t>(CEJIL); y María Claudia Pulido, abogada del Centro por  la  Justicia  y  el</w:t>
        <w:br/>
        <w:t>Derecho Internacional (CEJIL).</w:t>
        <w:br/>
        <w:br/>
        <w:t>22.   El 4 de julio de 2000 la Secretaría  de  la  Corte  (en  adelante  “la</w:t>
        <w:br/>
        <w:t>Secretaría”),  siguiendo  instrucciones  del  Presidente  de  la  Corte  (en</w:t>
        <w:br/>
        <w:t>adelante “el Presidente”), de conformidad con lo dispuesto en los  artículos</w:t>
        <w:br/>
        <w:t>33 y 34 del Reglamento, solicitó a la Comisión que remitiera,  en  un  plazo</w:t>
        <w:br/>
        <w:t>de 20 días,  diversas  informaciones  y  documentación  faltante,  así  como</w:t>
        <w:br/>
        <w:t>ciertos anexos de la demanda que se  encontraban  incompletos  o  ilegibles.</w:t>
        <w:br/>
        <w:t>El 21 de  julio  de  2000  la  Comisión  envió  parte  de  la  documentación</w:t>
        <w:br/>
        <w:t>solicitada.  El 11 de agosto de 2000 la Secretaría solicitó  a  la  Comisión</w:t>
        <w:br/>
        <w:t>que enviara los documentos correspondientes a  anexos  que  no  habían  sido</w:t>
        <w:br/>
        <w:t>remitidos debidamente subsanados en su comunicación anterior.</w:t>
        <w:br/>
        <w:br/>
        <w:t>23.   El 14 de agosto de 2000  la  Secretaría  notificó  la  demanda  y  sus</w:t>
        <w:br/>
        <w:t>anexos al Estado.  Asimismo, informó a éste que se  había  solicitado  a  la</w:t>
        <w:br/>
        <w:t>Comisión que remitiera algunos anexos que aún  se  encontraban  defectuosos,</w:t>
        <w:br/>
        <w:t>los cuales le serían enviados tan pronto  como  fueran  recibidos.   Además,</w:t>
        <w:br/>
        <w:t>comunicó al Perú que disponía  de  un  mes  para  nombrar  agente  y  agente</w:t>
        <w:br/>
        <w:t>alterno y para designar juez ad hoc, y de cuatro  meses  para  responder  la</w:t>
        <w:br/>
        <w:t>demanda.</w:t>
        <w:br/>
        <w:br/>
        <w:t>24.   El 21 de agosto de 2000 la Comisión envió  parte  de  los  anexos  que</w:t>
        <w:br/>
        <w:t>habían sido solicitados por la Secretaría el 11 de  los  mismos  mes  y  año</w:t>
        <w:br/>
        <w:t>(supra párr. 22).  El 1 de septiembre de 2000 la  Secretaría  informó  a  la</w:t>
        <w:br/>
        <w:t>Comisión que todavía faltaban por remitir algunos folios correspondientes  a</w:t>
        <w:br/>
        <w:t>anexos de la demanda mencionados en el escrito de 18 de agosto de 2000.</w:t>
        <w:br/>
        <w:br/>
        <w:t>25.   El 24 de agosto de 2000 un representante de la Embajada del Perú  ante</w:t>
        <w:br/>
        <w:t>el Gobierno de la República de Costa Rica compareció en la sede de la  Corte</w:t>
        <w:br/>
        <w:t>para devolver la demanda del presente caso.  Dicho funcionario entregó a  la</w:t>
        <w:br/>
        <w:t>Secretaría la Nota No. 5-9-M/49 de 24 de agosto de 2000 de la  Embajada  del</w:t>
        <w:br/>
        <w:t>Perú, en la cual se manifiesta que</w:t>
        <w:br/>
        <w:br/>
        <w:br/>
        <w:t xml:space="preserve">      … por instrucciones de su Gobierno, procede a devolver a [la Corte] la</w:t>
        <w:br/>
        <w:t xml:space="preserve">      … notificación [de la demanda] y sus anexos, … por las consideraciones</w:t>
        <w:br/>
        <w:t xml:space="preserve">      expuestas a continuación:</w:t>
        <w:br/>
        <w:br/>
        <w:br/>
        <w:t xml:space="preserve">      1.- MEDIANTE RESOLUCIÓN LEGISLATIVA DE FECHA 8 DE JULIO DE 1999, …  EL</w:t>
        <w:br/>
        <w:t xml:space="preserve">      CONGRESO DE LA REPÚBLICA APROBÓ EL RETIRO  DEL  RECONOCIMIENTO  DE  LA</w:t>
        <w:br/>
        <w:t xml:space="preserve">      COMPETENCIA  CONTENCIOSA  DE  LA  CORTE  INTERAMERICANA  DE   DERECHOS</w:t>
        <w:br/>
        <w:t xml:space="preserve">      HUMANOS.</w:t>
        <w:br/>
        <w:br/>
        <w:br/>
        <w:t xml:space="preserve">      2.- El 9 de julio de 1999, el Gobierno de la República de la República</w:t>
        <w:br/>
        <w:t xml:space="preserve">      del Perú,  procedió  a  depositar  en  la  Secretaría  General  de  la</w:t>
        <w:br/>
        <w:t xml:space="preserve">      Organización de los Estados Americanos (OEA) el  instrumento  mediante</w:t>
        <w:br/>
        <w:t xml:space="preserve">      el cual declara que, de acuerdo  con  la  Convención  Americana  sobre</w:t>
        <w:br/>
        <w:t xml:space="preserve">      Derechos Humanos, la República  del  Perú  retira  la  Declaración  de</w:t>
        <w:br/>
        <w:t xml:space="preserve">      Reconocimiento  de  la  Cláusula  Facultativa  de  sometimiento  a  la</w:t>
        <w:br/>
        <w:t xml:space="preserve">      Competencia  Contenciosa  de  la  Corte  Interamericana  de   Derechos</w:t>
        <w:br/>
        <w:t xml:space="preserve">      Humanos…</w:t>
        <w:br/>
        <w:br/>
        <w:br/>
        <w:t xml:space="preserve">      3.- […E]l retiro del reconocimiento de la Competencia  Contenciosa  de</w:t>
        <w:br/>
        <w:t xml:space="preserve">      la Corte, produce efectos inmediatos a partir de la fecha del depósito</w:t>
        <w:br/>
        <w:t xml:space="preserve">      del mencionado instrumento ante la Secretaría General de la OEA,  esto</w:t>
        <w:br/>
        <w:t xml:space="preserve">      es, a partir del 9 de julio de 1999, y se aplica a todos los casos  en</w:t>
        <w:br/>
        <w:t xml:space="preserve">      los que el Perú no hubiese  contestado  la  demanda  incoada  ante  la</w:t>
        <w:br/>
        <w:t xml:space="preserve">      Corte.</w:t>
        <w:br/>
        <w:br/>
        <w:t>Por último, en ese mismo escrito el Estado manifestó que</w:t>
        <w:br/>
        <w:br/>
        <w:t xml:space="preserve">      la notificación contenida en la Nota CDH-11.528/002, de  fecha  11  de</w:t>
        <w:br/>
        <w:t xml:space="preserve">      agosto de 2000, se refiere a un caso en el que esa Honorable Corte  ya</w:t>
        <w:br/>
        <w:t xml:space="preserve">      no es competente para  conocer  de  demandas  interpuestas  contra  la</w:t>
        <w:br/>
        <w:t xml:space="preserve">      República del Perú al amparo de la Competencia Contenciosa prevista en</w:t>
        <w:br/>
        <w:t xml:space="preserve">      la Convención Americana [sobre] Derechos Humanos.</w:t>
        <w:br/>
        <w:br/>
        <w:t>26.   EL 19 DE OCTUBRE  DE  2000  LA  COMISIÓN  INTERAMERICANA  PRESENTÓ  UN</w:t>
        <w:br/>
        <w:t>ESCRITO REFERENTE A LA DEVOLUCIÓN, POR PARTE DEL PERÚ,  DE  LA  NOTIFICACIÓN</w:t>
        <w:br/>
        <w:t>DE LA DEMANDA Y SUS ANEXOS.  EN DICHO ESCRITO  LA  COMISIÓN  SOLICITÓ  A  LA</w:t>
        <w:br/>
        <w:t>CORTE QUE “RECHACE LA PRETENSIÓN DEL ESTADO DEL PERÚ Y DÉ CURSO  AL  TRÁMITE</w:t>
        <w:br/>
        <w:t>DE ESTE CASO”.</w:t>
        <w:br/>
        <w:br/>
        <w:t>27.   El 12 de noviembre de 2000 la Corte remitió  una  nota,  suscrita  por</w:t>
        <w:br/>
        <w:t>todos sus jueces, al Secretario General de la Organización  de  los  Estados</w:t>
        <w:br/>
        <w:t>Americanos, señor César Gaviria Trujillo, informándole  sobre  la  situación</w:t>
        <w:br/>
        <w:t>de algunos casos  tramitados  ante  el  Tribunal  referentes  al  Perú.   En</w:t>
        <w:br/>
        <w:t>relación con la devolución del Estado de  la  demanda  en  el  caso  Barrios</w:t>
        <w:br/>
        <w:t>Altos y sus anexos, la Corte le indicó que:</w:t>
        <w:br/>
        <w:br/>
        <w:t xml:space="preserve">      [la] decisión del Estado peruano es inadmisible, en razón  de  que  el</w:t>
        <w:br/>
        <w:t xml:space="preserve">      pretendido retiro del reconocimiento de la competencia contenciosa  de</w:t>
        <w:br/>
        <w:t xml:space="preserve">      la  Corte  Interamericana  por  parte  del  Perú  fue  rechazado   por</w:t>
        <w:br/>
        <w:t xml:space="preserve">      sentencias de competencia de este Tribunal de fecha 24  de  septiembre</w:t>
        <w:br/>
        <w:t xml:space="preserve">      de 1999 en los casos Ivcher Bronstein y  del  Tribunal  Constitucional</w:t>
        <w:br/>
        <w:t xml:space="preserve">      (Caso Ivcher Bronstein, Competencia. Sentencia de 24 de septiembre  de</w:t>
        <w:br/>
        <w:t xml:space="preserve">      1999. Serie C No. 54, y Caso del Tribunal Constitucional, Competencia.</w:t>
        <w:br/>
        <w:t xml:space="preserve">      Sentencia de 24 de septiembre de 1999. Serie C No. 55).</w:t>
        <w:br/>
        <w:br/>
        <w:br/>
        <w:t xml:space="preserve">      A criterio de la Corte Interamericana, esta actitud del Estado peruano</w:t>
        <w:br/>
        <w:t xml:space="preserve">      constituye un claro incumplimiento del artículo 68.1 de la Convención,</w:t>
        <w:br/>
        <w:t xml:space="preserve">      así como una violación del principio básico pacta sunt servanda  (Caso</w:t>
        <w:br/>
        <w:t xml:space="preserve">      Castillo Petruzzi y otros, Resolución de  17  de  noviembre  de  1999.</w:t>
        <w:br/>
        <w:t xml:space="preserve">      Cumplimiento de Sentencia.  Serie C No. 59, punto resolutivo 1, y Caso</w:t>
        <w:br/>
        <w:t xml:space="preserve">      Loayza Tamayo, Resolución de 17 de noviembre de 1999. Cumplimiento  de</w:t>
        <w:br/>
        <w:t xml:space="preserve">      Sentencia.  Serie C No. 60, punto resolutivo 1).</w:t>
        <w:br/>
        <w:br/>
        <w:t>28.   El 23 de enero de 2001 la Embajada del Perú ante  el  Gobierno  de  la</w:t>
        <w:br/>
        <w:t>República  de  Costa  Rica  remitió  copia  facsimilar  de   la   Resolución</w:t>
        <w:br/>
        <w:t>Legislativa No. 27401 de fecha 18 de enero de 2001, publicada en  el  Diario</w:t>
        <w:br/>
        <w:t>Oficial El Peruano el 19 de enero de 2001, mediante la cual se “derog[ó]  la</w:t>
        <w:br/>
        <w:t>Resolución Legislativa Nº 27152”, se  “encarg[ó]  al  Poder  Ejecutivo  [que</w:t>
        <w:br/>
        <w:t>realizara]  todas  las  acciones  necesarias  para  dejar  sin  efecto   los</w:t>
        <w:br/>
        <w:t>resultados  que  haya  generado  dicha   Resolución   Legislativa”,   y   se</w:t>
        <w:br/>
        <w:t>“restableci[ó] a plenitud para el Estado peruano la Competencia  Contenciosa</w:t>
        <w:br/>
        <w:t>de la Corte Interamericana de Derechos Humanos”.</w:t>
        <w:br/>
        <w:br/>
        <w:t>29.   El 9 de febrero de 2001 la Embajada del Perú ante el  Gobierno  de  la</w:t>
        <w:br/>
        <w:t>República de Costa Rica remitió copia de la  Resolución  Suprema  Nro.  062-</w:t>
        <w:br/>
        <w:t>2001-RE de 7 de febrero de 2001, publicada el día 8 de los mismos mes y  año</w:t>
        <w:br/>
        <w:t>en el Diario Oficial El Peruano, mediante la cual se designó a  los  señores</w:t>
        <w:br/>
        <w:t>Javier Ernesto Ciurlizza  Contreras  como  Agente  y  al  señor  César  Lino</w:t>
        <w:br/>
        <w:t>Azabache Caracciolo como Agente alterno.</w:t>
        <w:br/>
        <w:br/>
        <w:t>30.   El 16 de febrero de 2001 la Embajada del Perú en  Costa  Rica  remitió</w:t>
        <w:br/>
        <w:t>una nota del Agente y el Agente alterno, en  la  cual  informaron  sobre  su</w:t>
        <w:br/>
        <w:t>designación como agentes y  el  lugar  donde  se  tendrían  por  debidamente</w:t>
        <w:br/>
        <w:t>notificadas las comunicaciones en el presente caso.</w:t>
        <w:br/>
        <w:br/>
        <w:t>31.   El 19 de febrero de 2001 el Agente y el Agente alterno presentaron  un</w:t>
        <w:br/>
        <w:t>escrito mediante el cual informaron que el Estado:</w:t>
        <w:br/>
        <w:br/>
        <w:t xml:space="preserve">      1.    [R]econoce su responsabilidad internacional en el  caso  materia</w:t>
        <w:br/>
        <w:t xml:space="preserve">           del presente proceso, por lo que iniciará  un  procedimiento  de</w:t>
        <w:br/>
        <w:t xml:space="preserve">           solución amistosa ante la Comisión  Interamericana  de  Derechos</w:t>
        <w:br/>
        <w:t xml:space="preserve">           Humanos, así como ante los peticionarios en este caso.</w:t>
        <w:br/>
        <w:br/>
        <w:br/>
        <w:t xml:space="preserve">      2.    En virtud de este reconocimiento, […] cursará  comunicaciones  a</w:t>
        <w:br/>
        <w:t xml:space="preserve">           la  Comisión  Interamericana  de  Derechos  Humanos   y   a   la</w:t>
        <w:br/>
        <w:t xml:space="preserve">           Coordinadora  Nacional  de   Derechos   Humanos   para   iniciar</w:t>
        <w:br/>
        <w:t xml:space="preserve">           conversaciones formales y alcanzar el citado acuerdo.</w:t>
        <w:br/>
        <w:br/>
        <w:t>32.   El 21 de febrero  de  2001  el  Presidente  de  la  Corte  emitió  una</w:t>
        <w:br/>
        <w:t>Resolución, en la cual resolvió</w:t>
        <w:br/>
        <w:br/>
        <w:t xml:space="preserve">      [c]onvocar a los representantes del Estado del Perú y de  la  Comisión</w:t>
        <w:br/>
        <w:t xml:space="preserve">      Interamericana de Derechos Humanos a  una  audiencia  pública  que  se</w:t>
        <w:br/>
        <w:t xml:space="preserve">      celebrar[ía] en la sede de la Corte Interamericana de Derechos Humanos</w:t>
        <w:br/>
        <w:t xml:space="preserve">      a partir de las 9:00 horas del día 14 de marzo de 2001  a  efectos  de</w:t>
        <w:br/>
        <w:t xml:space="preserve">      escuchar a las partes con respecto a la posición del Estado transcrita</w:t>
        <w:br/>
        <w:t xml:space="preserve">      en el Visto 2 de [dicha] Resolución.</w:t>
        <w:br/>
        <w:br/>
        <w:br/>
        <w:t>ESTA RESOLUCIÓN FUE NOTIFICADA EL 22 DE FEBRERO DE 2001 TANTO AL  PERÚ  COMO</w:t>
        <w:br/>
        <w:t>A LA COMISIÓN.</w:t>
        <w:br/>
        <w:br/>
        <w:t>33.   El 14 de marzo de 2001  se  celebró  la  audiencia  pública  sobre  el</w:t>
        <w:br/>
        <w:t>presente caso.</w:t>
        <w:br/>
        <w:br/>
        <w:t>Comparecieron ante la Corte:</w:t>
        <w:br/>
        <w:br/>
        <w:br/>
        <w:t xml:space="preserve">      Por el Estado del Perú:</w:t>
        <w:br/>
        <w:br/>
        <w:br/>
        <w:t xml:space="preserve">           Javier Ernesto Ciurlizza Contreras, Agente; y</w:t>
        <w:br/>
        <w:t xml:space="preserve">           César Lino Azabache Caracciolo, Agente alterno.</w:t>
        <w:br/>
        <w:br/>
        <w:br/>
        <w:t xml:space="preserve">      Por la Comisión Interamericana de Derechos Humanos:</w:t>
        <w:br/>
        <w:br/>
        <w:br/>
        <w:t xml:space="preserve">           Juan E. Méndez, Delegado;</w:t>
        <w:br/>
        <w:t xml:space="preserve">           Christina M. Cerna, abogada;</w:t>
        <w:br/>
        <w:t xml:space="preserve">           Viviana Krsticevic, asistente;</w:t>
        <w:br/>
        <w:t xml:space="preserve">           Germán Alvarez Arbulú, asistente;</w:t>
        <w:br/>
        <w:t xml:space="preserve">           Robert Meza, asistente;</w:t>
        <w:br/>
        <w:t xml:space="preserve">           Rocío Gala Gálvez, asistente; y</w:t>
        <w:br/>
        <w:t xml:space="preserve">           Miguel Huerta, asistente.</w:t>
        <w:br/>
        <w:br/>
        <w:br/>
        <w:br/>
        <w:t xml:space="preserve">                                     VI</w:t>
        <w:br/>
        <w:br/>
        <w:t xml:space="preserve">                                allanamiento</w:t>
        <w:br/>
        <w:br/>
        <w:br/>
        <w:br/>
        <w:t>Alegatos del Estado</w:t>
        <w:br/>
        <w:br/>
        <w:br/>
        <w:t>34.   En su escrito de 19 de febrero de 2001 y en la  audiencia  pública  de</w:t>
        <w:br/>
        <w:t>14 de marzo de 2001, el Perú reconoció su responsabilidad  internacional  en</w:t>
        <w:br/>
        <w:t>el presente caso (supra párr. 31).</w:t>
        <w:br/>
        <w:br/>
        <w:t>35.   En el curso de la audiencia pública el Agente del Estado expresó que</w:t>
        <w:br/>
        <w:br/>
        <w:t xml:space="preserve">      el Gobierno [peruano] enfrenta  una  agenda  en  materia  de  derechos</w:t>
        <w:br/>
        <w:t xml:space="preserve">      humanos en extremo compleja[; como parte de ella,] el restablecimiento</w:t>
        <w:br/>
        <w:t xml:space="preserve">      y  normalización  de   las   relaciones   con   la   Honorable   Corte</w:t>
        <w:br/>
        <w:t xml:space="preserve">      Interamericana de Derechos Humanos ha sido, es y  será  una  prioridad</w:t>
        <w:br/>
        <w:t xml:space="preserve">      esencial…</w:t>
        <w:br/>
        <w:br/>
        <w:br/>
        <w:t xml:space="preserve">      … [E]l Estado peruano… formuló un allanamiento mediante escrito del 19</w:t>
        <w:br/>
        <w:t xml:space="preserve">      de febrero, en el cual se reconocía responsabilidad internacional  por</w:t>
        <w:br/>
        <w:t xml:space="preserve">      los hechos ocurridos el 3 de noviembre de 1991…</w:t>
        <w:br/>
        <w:br/>
        <w:br/>
        <w:t xml:space="preserve">      …[L]a estrategia gubernamental en materia de derechos humanos parte de</w:t>
        <w:br/>
        <w:t xml:space="preserve">      reconocer responsabilidades, pero más que nada  de  proponer  fórmulas</w:t>
        <w:br/>
        <w:t xml:space="preserve">      integrales de atención a las víctimas en  relación  a  tres  elementos</w:t>
        <w:br/>
        <w:t xml:space="preserve">      fundamentales: el derecho a la verdad, el derecho a la justicia  y  el</w:t>
        <w:br/>
        <w:t xml:space="preserve">      derecho a obtener una justa reparación.</w:t>
        <w:br/>
        <w:br/>
        <w:br/>
        <w:t xml:space="preserve">      …</w:t>
        <w:br/>
        <w:br/>
        <w:br/>
        <w:t xml:space="preserve">      [En  cuanto  al]  caso  Barrios  Altos[,  …]  se  han   tomado   pasos</w:t>
        <w:br/>
        <w:t xml:space="preserve">      sustanciales  para  asegurar  que   la   justicia   penal   tenga   un</w:t>
        <w:br/>
        <w:t xml:space="preserve">      pronunciamiento rápido sobre el tema.  Sin embargo, enfrentamos  …  un</w:t>
        <w:br/>
        <w:t xml:space="preserve">      obstáculo, … nos referimos a las leyes  de  amnistía.   Las  leyes  de</w:t>
        <w:br/>
        <w:t xml:space="preserve">      amnistía … implicaban directamente una vulneración al derecho de  toda</w:t>
        <w:br/>
        <w:t xml:space="preserve">      víctima a obtener no sólo justicia sino verdad.  … Por eso es  que  el</w:t>
        <w:br/>
        <w:t xml:space="preserve">      Gobierno del Perú planteó a los peticionarios originales, es decir,  a</w:t>
        <w:br/>
        <w:t xml:space="preserve">      la Coordinadora  Nacional  de  Derechos  Humanos,  la  posibilidad  de</w:t>
        <w:br/>
        <w:t xml:space="preserve">      avanzar en soluciones amistosas, que implicaran respuestas eficaces  a</w:t>
        <w:br/>
        <w:t xml:space="preserve">      este obstáculo procesal…</w:t>
        <w:br/>
        <w:br/>
        <w:br/>
        <w:t xml:space="preserve">      …</w:t>
        <w:br/>
        <w:br/>
        <w:br/>
        <w:t xml:space="preserve">      El Estado propuso a los peticionarios la  suscripción  de  un  acuerdo</w:t>
        <w:br/>
        <w:t xml:space="preserve">      marco de solución amistosa en el caso de Barrios  Altos…   El  acuerdo</w:t>
        <w:br/>
        <w:t xml:space="preserve">      marco  proponía  el  reconocimiento   explícito   de   responsabilidad</w:t>
        <w:br/>
        <w:t xml:space="preserve">      internacional sobre artículos concretos de  la  Convención  Americana.</w:t>
        <w:br/>
        <w:t xml:space="preserve">      En ese sentido se propuso poner por escrito, en  un  acuerdo  suscrito</w:t>
        <w:br/>
        <w:t xml:space="preserve">      por la  Comisión,  el  Estado  y  los  peticionarios,  que  el  Estado</w:t>
        <w:br/>
        <w:t xml:space="preserve">      reconocía  la  responsabilidad  internacional  por  la  violación  del</w:t>
        <w:br/>
        <w:t xml:space="preserve">      derecho a la vida, consagrado  en  el  artículo  4  de  la  Convención</w:t>
        <w:br/>
        <w:t xml:space="preserve">      Americana sobre Derechos Humanos, por la muerte de Placentina  Marcela</w:t>
        <w:br/>
        <w:t xml:space="preserve">      Chumbipuma Aguirre,  Luis  Alberto  Díaz  Astovilca,  Octavio  Benigno</w:t>
        <w:br/>
        <w:t xml:space="preserve">      Huamanyauri Nolazco, Luis Antonio  León  Borja,  Filomeno  León  León,</w:t>
        <w:br/>
        <w:t xml:space="preserve">      Máximo León León, Lucio Quispe Huanaco, Tito Ricardo Ramírez  Alberto,</w:t>
        <w:br/>
        <w:t xml:space="preserve">      Teobaldo Ríos Lira, Manuel  Isaías  Ríos  Pérez,  Javier  Manuel  Ríos</w:t>
        <w:br/>
        <w:t xml:space="preserve">      Rojas, Alejandro Rosales Alejandro, Nelly María Rubina Arquiñigo, Odar</w:t>
        <w:br/>
        <w:t xml:space="preserve">      Mender Sifuentes Nuñez y Benedicta Yanque Churo.  Asimismo, el  Estado</w:t>
        <w:br/>
        <w:t xml:space="preserve">      propuso  reconocer,  mediante  este  acuerdo  marco,   responsabilidad</w:t>
        <w:br/>
        <w:t xml:space="preserve">      internacional por la violación del derecho a la  integridad  personal,</w:t>
        <w:br/>
        <w:t xml:space="preserve">      consagrado en el artículo 5 de la Convención Americana sobre  Derechos</w:t>
        <w:br/>
        <w:t xml:space="preserve">      Humanos, por las graves lesiones producidas a Natividad  Condorcahuana</w:t>
        <w:br/>
        <w:t xml:space="preserve">      Chicaña, Felipe  León  León,  Tomás  Livias  Ortega  y  Alfonso  Rodas</w:t>
        <w:br/>
        <w:t xml:space="preserve">      Alvítez.    Finalmente,   el   Estado   reconocería    responsabilidad</w:t>
        <w:br/>
        <w:t xml:space="preserve">      internacional por la violación del derecho a la protección judicial  y</w:t>
        <w:br/>
        <w:t xml:space="preserve">      a las garantías judiciales, consagrados en los artículos 8 y 25 de  la</w:t>
        <w:br/>
        <w:t xml:space="preserve">      Convención Americana de Derechos Humanos, con ocasión de haber omitido</w:t>
        <w:br/>
        <w:t xml:space="preserve">      realizar una investigación exhaustiva de los  hechos  y  de  no  haber</w:t>
        <w:br/>
        <w:t xml:space="preserve">      sancionado debidamente a los responsables de los crímenes cometidos en</w:t>
        <w:br/>
        <w:t xml:space="preserve">      agravio de las personas mencionadas....</w:t>
        <w:br/>
        <w:br/>
        <w:br/>
        <w:t xml:space="preserve">      Con base en este reconocimiento de responsabilidades  …  se  planteaba</w:t>
        <w:br/>
        <w:t xml:space="preserve">      que las partes expresaran a la  Corte  su  disposición  a  iniciar  un</w:t>
        <w:br/>
        <w:t xml:space="preserve">      diálogo directo para arribar a un acuerdo  de  solución  amistosa  que</w:t>
        <w:br/>
        <w:t xml:space="preserve">      busque satisfacer las pretensiones  planteadas  en  relación  con  las</w:t>
        <w:br/>
        <w:t xml:space="preserve">      reparaciones.  Dicho  acuerdo,  como  es  obvio,  por  mandato  de  la</w:t>
        <w:br/>
        <w:t xml:space="preserve">      Convención y del  Reglamento  de  la  Corte,  sería  presentado  a  la</w:t>
        <w:br/>
        <w:t xml:space="preserve">      Honorable Corte para su  homologación.   …  Se  propuso,  además,  una</w:t>
        <w:br/>
        <w:t xml:space="preserve">      agenda preliminar que tuviera que ver con tres  puntos  substanciales:</w:t>
        <w:br/>
        <w:t xml:space="preserve">      identificación de mecanismos para  el  esclarecimiento  pleno  de  los</w:t>
        <w:br/>
        <w:t xml:space="preserve">      hechos materia de la denuncia, incluyendo  la  identificación  de  los</w:t>
        <w:br/>
        <w:t xml:space="preserve">      autores materiales e  intelectuales  del  crimen,  viabilidad  de  las</w:t>
        <w:br/>
        <w:t xml:space="preserve">      sanciones penales y administrativas  a  todos  aquellos  que  resulten</w:t>
        <w:br/>
        <w:t xml:space="preserve">      responsables, y propuestas y acuerdos específicos relacionados con los</w:t>
        <w:br/>
        <w:t xml:space="preserve">      asuntos vinculados a las reparaciones.</w:t>
        <w:br/>
        <w:br/>
        <w:br/>
        <w:t xml:space="preserve">      … Para tal efecto el Estado propuso que las partes  solicitaran  a  la</w:t>
        <w:br/>
        <w:t xml:space="preserve">      Corte Interamericana la emisión de sentencia de fondo  inmediatamente,</w:t>
        <w:br/>
        <w:t xml:space="preserve">      teniendo en cuenta el escrito de allanamiento presentado, en donde  se</w:t>
        <w:br/>
        <w:t xml:space="preserve">      estableciera la responsabilidad internacional que la Corte  tuviera  a</w:t>
        <w:br/>
        <w:t xml:space="preserve">      bien determinar.  Asimismo, se proponía que las partes sugirieran a la</w:t>
        <w:br/>
        <w:t xml:space="preserve">      Corte que se  suspendiera  el  pronunciamiento  sobre  el  inicio  del</w:t>
        <w:br/>
        <w:t xml:space="preserve">      procedimiento reparatorio, por  los  plazos  que  las  propias  partes</w:t>
        <w:br/>
        <w:t xml:space="preserve">      establecerían y que sean considerados conformes por la Corte.  Vencido</w:t>
        <w:br/>
        <w:t xml:space="preserve">      el plazo sin que se perfeccione el acuerdo, las partes se comprometían</w:t>
        <w:br/>
        <w:t xml:space="preserve">      a solicitar la emisión de la sentencia  correspondiente,  así  como  a</w:t>
        <w:br/>
        <w:t xml:space="preserve">      acatarla y ejecutarla en todos sus extremos.</w:t>
        <w:br/>
        <w:br/>
        <w:br/>
        <w:t xml:space="preserve">      …[E]l Estado reitera  su  disposición  de  poder  iniciar  un  diálogo</w:t>
        <w:br/>
        <w:t xml:space="preserve">      directo para llegar a una solución eficaz … para atacar la validez  de</w:t>
        <w:br/>
        <w:t xml:space="preserve">      los obstáculos procesales que impiden la investigación  y  sanción  de</w:t>
        <w:br/>
        <w:t xml:space="preserve">      aquéllos que resulten responsables en el caso materia de  la  presente</w:t>
        <w:br/>
        <w:t xml:space="preserve">      audiencia, en  particular  me  refiero  a  las  denominadas  leyes  de</w:t>
        <w:br/>
        <w:t xml:space="preserve">      amnistía.</w:t>
        <w:br/>
        <w:br/>
        <w:br/>
        <w:t xml:space="preserve">      …</w:t>
        <w:br/>
        <w:br/>
        <w:br/>
        <w:t xml:space="preserve">      …La fórmula de dejar sin efecto las medidas adoptadas dentro del marco</w:t>
        <w:br/>
        <w:t xml:space="preserve">      de la impunidad de este  caso,  es  en  nuestra  opinión  una  fórmula</w:t>
        <w:br/>
        <w:t xml:space="preserve">      suficiente para impulsar  un  procedimiento  serio  y  responsable  de</w:t>
        <w:br/>
        <w:t xml:space="preserve">      remoción de todos los obstáculos procesales vinculados a estos  hechos</w:t>
        <w:br/>
        <w:t xml:space="preserve">      y, sobre todo, la fórmula que permite,  y  es  este  nuestro  interés,</w:t>
        <w:br/>
        <w:t xml:space="preserve">      reivindicar las posibilidades procesales  y  judiciales  de  responder</w:t>
        <w:br/>
        <w:t xml:space="preserve">      conforme a la ley a los mecanismos de impunidad que  se  implementaron</w:t>
        <w:br/>
        <w:t xml:space="preserve">      en el Perú en el pasado reciente, y  abre  la  posibilidad…  de  poder</w:t>
        <w:br/>
        <w:t xml:space="preserve">      provocar en el derecho interno una resolución de  homologación  de  la</w:t>
        <w:br/>
        <w:t xml:space="preserve">      Corte Suprema, que permita que los esfuerzos que… [se] están  haciendo</w:t>
        <w:br/>
        <w:t xml:space="preserve">      para impulsar … esos casos, se puedan cumplir…</w:t>
        <w:br/>
        <w:br/>
        <w:br/>
        <w:br/>
        <w:br/>
        <w:t>Alegatos de la Comisión</w:t>
        <w:br/>
        <w:br/>
        <w:t>36.   Al respecto, el Delegado de  la  Comisión  Interamericana  comenzó  su</w:t>
        <w:br/>
        <w:t>intervención</w:t>
        <w:br/>
        <w:br/>
        <w:br/>
        <w:t xml:space="preserve">      felicitando al Gobierno del Perú por su actitud ante el  sistema,  por</w:t>
        <w:br/>
        <w:t xml:space="preserve">      su actitud ante los numerosos casos que está tratando de resolver ante</w:t>
        <w:br/>
        <w:t xml:space="preserve">      la Comisión, pero especialmente por su actitud ante este caso  que  es</w:t>
        <w:br/>
        <w:t xml:space="preserve">      paradigmático por una gran variedad de razones [,en particular] por la</w:t>
        <w:br/>
        <w:t xml:space="preserve">      actitud positiva del Gobierno de encontrarle soluciones, especialmente</w:t>
        <w:br/>
        <w:t xml:space="preserve">      porque esa actitud da a  la  Comisión  y  a  la  Honorable  Corte  una</w:t>
        <w:br/>
        <w:t xml:space="preserve">      oportunidad inédita, una  oportunidad  realmente  histórica  de  hacer</w:t>
        <w:br/>
        <w:t xml:space="preserve">      avanzar el Derecho Internacional de los Derechos Humanos a  partir  de</w:t>
        <w:br/>
        <w:t xml:space="preserve">      medidas del  derecho  interno  que  contribuyan  a  luchar  contra  la</w:t>
        <w:br/>
        <w:t xml:space="preserve">      impunidad, que es uno de los flagelos en nuestro continente,  al  cual</w:t>
        <w:br/>
        <w:t xml:space="preserve">      esta Corte y … la Comisión, le hemos dado una importancia fundamental.</w:t>
        <w:br/>
        <w:t xml:space="preserve">       Creo que nos da esta actitud del Gobierno del Perú la oportunidad  de</w:t>
        <w:br/>
        <w:t xml:space="preserve">      acompañar a los peruanos, a su Gobierno y a su  sociedad  civil,  para</w:t>
        <w:br/>
        <w:t xml:space="preserve">      encontrar soluciones  creativas  que  después  puedan  ser  objeto  de</w:t>
        <w:br/>
        <w:t xml:space="preserve">      emulación y de imitación en todo nuestro continente y aun más allá  de</w:t>
        <w:br/>
        <w:t xml:space="preserve">      nuestro continente.</w:t>
        <w:br/>
        <w:br/>
        <w:br/>
        <w:t xml:space="preserve">      …</w:t>
        <w:br/>
        <w:br/>
        <w:br/>
        <w:t xml:space="preserve">      [El presente] caso es fundamentalmente un caso gravísimo y  tristísimo</w:t>
        <w:br/>
        <w:t xml:space="preserve">      de ejecuciones extrajudiciales  cometidas  por  agentes  del  Gobierno</w:t>
        <w:br/>
        <w:t xml:space="preserve">      peruano, actuando en forma clandestina e  ilegal  …  Pero  es  también</w:t>
        <w:br/>
        <w:t xml:space="preserve">      sobre  …  la  imposición  deliberada  de  mecanismos  legislativos   y</w:t>
        <w:br/>
        <w:t xml:space="preserve">      judiciales para impedir el conocimiento de los hechos y  para  impedir</w:t>
        <w:br/>
        <w:t xml:space="preserve">      la sanción de los  responsables.   Es  por  eso  que  …[se  trata]  no</w:t>
        <w:br/>
        <w:t xml:space="preserve">      solamente sobre los  hechos  sangrientos  que  ocurrieron  en  Barrios</w:t>
        <w:br/>
        <w:t xml:space="preserve">      Altos, sino también sobre la actitud  del  ex  Gobierno  del  Perú  de</w:t>
        <w:br/>
        <w:t xml:space="preserve">      violentar sus  obligaciones  internacionales  sancionando  leyes  cuyo</w:t>
        <w:br/>
        <w:t xml:space="preserve">      único objeto era la impunidad. …[L]o que hay que hacer en las próximas</w:t>
        <w:br/>
        <w:t xml:space="preserve">      semanas, meses, días, es específicamente remover estos  obstáculos  en</w:t>
        <w:br/>
        <w:t xml:space="preserve">      la legislación peruana para que efectivamente las víctimas de  Barrios</w:t>
        <w:br/>
        <w:t xml:space="preserve">      Altos tengan acceso a la verdad y a la justicia y tengan recursos para</w:t>
        <w:br/>
        <w:t xml:space="preserve">      hacer valer sus derechos ante el Estado peruano.</w:t>
        <w:br/>
        <w:br/>
        <w:br/>
        <w:t xml:space="preserve">      …[E]stamos en condiciones de arribar, con el Gobierno del Perú,  a  un</w:t>
        <w:br/>
        <w:t xml:space="preserve">      acuerdo sobre los  significados  concretos,  las  conductas  concretas</w:t>
        <w:br/>
        <w:t xml:space="preserve">      emergentes del reconocimiento de responsabilidad que ellos han  hecho,</w:t>
        <w:br/>
        <w:t xml:space="preserve">      y que ese acuerdo de cumplimiento sea a la brevedad homologado por  la</w:t>
        <w:br/>
        <w:t xml:space="preserve">      Honorable Corte, de manera de constituir un instrumento que  luego  en</w:t>
        <w:br/>
        <w:t xml:space="preserve">      el derecho interno del Perú pueda servir de herramienta para  destruir</w:t>
        <w:br/>
        <w:t xml:space="preserve">      y remover los  últimos  obstáculos  que  hay  para  luchar  contra  la</w:t>
        <w:br/>
        <w:t xml:space="preserve">      impunidad en el Perú.</w:t>
        <w:br/>
        <w:br/>
        <w:br/>
        <w:t xml:space="preserve">      …</w:t>
        <w:br/>
        <w:br/>
        <w:br/>
        <w:t xml:space="preserve">      …[E]stamos frente a un momento histórico [y…] estamos muy  agradecidos</w:t>
        <w:br/>
        <w:t xml:space="preserve">      y muy honrados, no sólo de estar en presencia  de  la  Corte  sino  de</w:t>
        <w:br/>
        <w:t xml:space="preserve">      estar en presencia de un Gobierno que toma, que ha tomado y que  sigue</w:t>
        <w:br/>
        <w:t xml:space="preserve">      tomando medidas importantes para asegurar la  garantía  plena  de  los</w:t>
        <w:br/>
        <w:t xml:space="preserve">      derechos humanos…</w:t>
        <w:br/>
        <w:br/>
        <w:br/>
        <w:t xml:space="preserve">      …[E]l Sistema Interamericano ha cumplido  un  rol  fundamental  en  la</w:t>
        <w:br/>
        <w:t xml:space="preserve">      consecución de la democracia en el Perú.  La Comisión Interamericana y</w:t>
        <w:br/>
        <w:t xml:space="preserve">      la Corte Interamericana de Derechos Humanos fueron líderes  dentro  de</w:t>
        <w:br/>
        <w:t xml:space="preserve">      la comunidad internacional en la condena de las prácticas del  horror,</w:t>
        <w:br/>
        <w:t xml:space="preserve">      de la injusticia y de la impunidad que ocurrieron bajo el Gobierno  de</w:t>
        <w:br/>
        <w:t xml:space="preserve">      Fujimori.  Los presentes en esta audiencia reconocemos  el  anhelo  de</w:t>
        <w:br/>
        <w:t xml:space="preserve">      los familiares, y de la comunidad de derechos humanos del Perú  acerca</w:t>
        <w:br/>
        <w:t xml:space="preserve">      de la necesidad de lograr la justicia y la verdad en este país.   Este</w:t>
        <w:br/>
        <w:t xml:space="preserve">      es un anhelo compartido por todo el sistema interamericano, y  en  ese</w:t>
        <w:br/>
        <w:t xml:space="preserve">      sentido quisiéramos … solicitar a la Honorable Corte que …  en  virtud</w:t>
        <w:br/>
        <w:t xml:space="preserve">      del  allanamiento  por  parte  del  Estado,  no  sólo  establezca  las</w:t>
        <w:br/>
        <w:t xml:space="preserve">      violaciones en concreto de los artículos de la Convención en  las  que</w:t>
        <w:br/>
        <w:t xml:space="preserve">      ha incurrido  el  Estado…,  sino  que  también  establezca  de  manera</w:t>
        <w:br/>
        <w:t xml:space="preserve">      específica  en  el  resolutivo  de  la  sentencia,  la  necesidad   de</w:t>
        <w:br/>
        <w:t xml:space="preserve">      esclarecer los hechos, de modo de proteger el derecho a la verdad,  la</w:t>
        <w:br/>
        <w:t xml:space="preserve">      necesidad  de   investigar   y   castigar   a   los   culpables,   …la</w:t>
        <w:br/>
        <w:t xml:space="preserve">      incompatibilidad de las leyes de amnistía con las disposiciones de  la</w:t>
        <w:br/>
        <w:t xml:space="preserve">      Convención Americana, y … la obligación del Estado de dejar sin efecto</w:t>
        <w:br/>
        <w:t xml:space="preserve">      las leyes de amnistía.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37.   El artículo 52.2 del Reglamento establece que</w:t>
        <w:br/>
        <w:br/>
        <w:t xml:space="preserve">      [s]i el  demandado  comunicare  a  la  Corte  su  allanamiento  a  las</w:t>
        <w:br/>
        <w:t xml:space="preserve">      pretensiones de la parte demandante, la Corte, oído el parecer de ésta</w:t>
        <w:br/>
        <w:t xml:space="preserve">      y de los representantes de las víctimas o de sus familiares, resolverá</w:t>
        <w:br/>
        <w:t xml:space="preserve">      sobre la procedencia del allanamiento y  sus  efectos  jurídicos.   En</w:t>
        <w:br/>
        <w:t xml:space="preserve">      este supuesto, la Corte  fijará  las  reparaciones  e  indemnizaciones</w:t>
        <w:br/>
        <w:t xml:space="preserve">      correspondientes.</w:t>
        <w:br/>
        <w:br/>
        <w:t>38.   Con base en las manifestaciones de las partes en la audiencia  pública</w:t>
        <w:br/>
        <w:t>de 14  de  marzo  de  2001,  y  ante  la  aceptación  de  los  hechos  y  el</w:t>
        <w:br/>
        <w:t>reconocimiento de responsabilidad  internacional  por  parte  del  Perú,  la</w:t>
        <w:br/>
        <w:t>Corte considera que ha cesado la controversia entre el Estado y la  Comisión</w:t>
        <w:br/>
        <w:t>en cuanto a los hechos que dieron origen al presente caso.[2]</w:t>
        <w:br/>
        <w:br/>
        <w:t>39.   En consecuencia, la Corte tiene por admitidos  los  hechos  a  que  se</w:t>
        <w:br/>
        <w:t>refiere el párrafo 2 de la presente sentencia.  La Corte considera,  además,</w:t>
        <w:br/>
        <w:t>que tal como fue expresamente reconocido por el  Estado,  éste  incurrió  en</w:t>
        <w:br/>
        <w:t>responsabilidad internacional por la violación del artículo 4 (Derecho a  la</w:t>
        <w:br/>
        <w:t>Vida) de  la  Convención  Americana,  en  perjuicio  de  Placentina  Marcela</w:t>
        <w:br/>
        <w:t>Chumbipuma  Aguirre,  Luis   Alberto   Díaz   Astovilca,   Octavio   Benigno</w:t>
        <w:br/>
        <w:t>Huamanyauri Nolazco, Luis Antonio León Borja,  Filomeno  León  León,  Máximo</w:t>
        <w:br/>
        <w:t>León León, Lucio Quispe Huanaco,  Tito  Ricardo  Ramírez  Alberto,  Teobaldo</w:t>
        <w:br/>
        <w:t>Ríos Lira, Manuel Isaías Ríos Pérez, Javier  Manuel  Ríos  Rojas,  Alejandro</w:t>
        <w:br/>
        <w:t>Rosales Alejandro, Nelly  María  Rubina  Arquiñigo,  Odar  Mender  Sifuentes</w:t>
        <w:br/>
        <w:t>Nuñez y Benedicta Yanque Churo, y por la violación del artículo  5  (Derecho</w:t>
        <w:br/>
        <w:t>a la Integridad Personal)  de  la  Convención  Americana,  en  perjuicio  de</w:t>
        <w:br/>
        <w:t>Natividad Condorcahuana Chicaña, Felipe León León,  Tomás  Livias  Ortega  y</w:t>
        <w:br/>
        <w:t>Alfonso Rodas Alvítez.  Además, el Estado es responsable  por  la  violación</w:t>
        <w:br/>
        <w:t>de los artículos 8 (Garantías Judiciales) y 25 (Protección Judicial)  de  la</w:t>
        <w:br/>
        <w:t>Convención Americana como consecuencia de la promulgación  y  aplicación  de</w:t>
        <w:br/>
        <w:t>las leyes de amnistía Nº 26479 y Nº 26492.  Finalmente, es  responsable  por</w:t>
        <w:br/>
        <w:t>el  incumplimiento  de  los  artículos  1.1  (Obligación  de  Respetar   los</w:t>
        <w:br/>
        <w:t>Derechos) y 2 (Deber de Adoptar Disposiciones  de  Derecho  Interno)  de  la</w:t>
        <w:br/>
        <w:t>Convención  Americana  sobre  Derechos  Humanos  como  consecuencia  de   la</w:t>
        <w:br/>
        <w:t>promulgación y aplicación de las leyes de amnistía Nº 26479 y Nº 26492 y  de</w:t>
        <w:br/>
        <w:t>la violación a los artículos de la Convención señalados anteriormente.</w:t>
        <w:br/>
        <w:br/>
        <w:t>40.   La  Corte  reconoce  que  el  allanamiento  del  Perú  constituye  una</w:t>
        <w:br/>
        <w:t>contribución positiva al desarrollo de este proceso y a la vigencia  de  los</w:t>
        <w:br/>
        <w:t>principios que inspiran la Convención Americana sobre Derechos Humanos.</w:t>
        <w:br/>
        <w:br/>
        <w:br/>
        <w:t xml:space="preserve">                                     VII</w:t>
        <w:br/>
        <w:t xml:space="preserve">           Incompatibilidad de Leyes de Amnistía con la Convención</w:t>
        <w:br/>
        <w:br/>
        <w:t>41.   Esta  Corte  considera  que  son  inadmisibles  las  disposiciones  de</w:t>
        <w:br/>
        <w:t>amnistía,  las  disposiciones  de  prescripción  y  el  establecimiento   de</w:t>
        <w:br/>
        <w:t>excluyentes de responsabilidad que  pretendan  impedir  la  investigación  y</w:t>
        <w:br/>
        <w:t>sanción de los responsables  de  las  violaciones  graves  de  los  derechos</w:t>
        <w:br/>
        <w:t>humanos tales como la tortura,  las  ejecuciones  sumarias,  extralegales  o</w:t>
        <w:br/>
        <w:t>arbitrarias y  las  desapariciones  forzadas,  todas  ellas  prohibidas  por</w:t>
        <w:br/>
        <w:t>contravenir derechos inderogables reconocidos por el  Derecho  Internacional</w:t>
        <w:br/>
        <w:t>de los Derechos Humanos.</w:t>
        <w:br/>
        <w:br/>
        <w:t>42.   La Corte, conforme a lo alegado por la  Comisión  y  no  controvertido</w:t>
        <w:br/>
        <w:t>por el Estado, considera que las leyes de amnistía  adoptadas  por  el  Perú</w:t>
        <w:br/>
        <w:t>impidieron que los familiares de las víctimas y las víctimas  sobrevivientes</w:t>
        <w:br/>
        <w:t>en el presente caso fueran oídas por un juez, conforme a lo señalado  en  el</w:t>
        <w:br/>
        <w:t>artículo 8.1 de la Convención; violaron el derecho a la protección  judicial</w:t>
        <w:br/>
        <w:t>consagrado en el artículo 25 de la Convención; impidieron la  investigación,</w:t>
        <w:br/>
        <w:t>persecución, captura, enjuiciamiento y sanción de los  responsables  de  los</w:t>
        <w:br/>
        <w:t>hechos ocurridos en Barrios  Altos,  incumpliendo  el  artículo  1.1  de  la</w:t>
        <w:br/>
        <w:t>Convención, y  obstruyeron  el  esclarecimiento  de  los  hechos  del  caso.</w:t>
        <w:br/>
        <w:t>Finalmente, la adopción de las leyes de autoamnistía  incompatibles  con  la</w:t>
        <w:br/>
        <w:t>Convención incumplió la obligación de adecuar el derecho interno  consagrada</w:t>
        <w:br/>
        <w:t>en el artículo 2 de la misma.</w:t>
        <w:br/>
        <w:br/>
        <w:t>43.   La Corte estima necesario enfatizar que, a la luz de las  obligaciones</w:t>
        <w:br/>
        <w:t>generales consagradas en los artículos 1.1 y 2 de la  Convención  Americana,</w:t>
        <w:br/>
        <w:t>los Estados Partes tienen el deber de tomar las providencias de toda  índole</w:t>
        <w:br/>
        <w:t>para que nadie sea sustraído de la protección judicial y del  ejercicio  del</w:t>
        <w:br/>
        <w:t>derecho a un recurso sencillo y eficaz, en los términos de los  artículos  8</w:t>
        <w:br/>
        <w:t>y 25 de la Convención.  Es por ello que los Estados Partes en la  Convención</w:t>
        <w:br/>
        <w:t>que adopten leyes  que  tengan  este  efecto,  como  lo  son  las  leyes  de</w:t>
        <w:br/>
        <w:t>autoamnistía, incurren  en  una  violación  de  los  artículos  8  y  25  en</w:t>
        <w:br/>
        <w:t>concordancia con los artículos 1.1 y 2  de  la  Convención.   Las  leyes  de</w:t>
        <w:br/>
        <w:t>autoamnistía conducen a la indefensión de las víctimas y a  la  perpetuación</w:t>
        <w:br/>
        <w:t>de la impunidad, por lo que son manifiestamente incompatibles con  la  letra</w:t>
        <w:br/>
        <w:t>y el espíritu de la Convención Americana.  Este  tipo  de  leyes  impide  la</w:t>
        <w:br/>
        <w:t>identificación de los individuos  responsables  de  violaciones  a  derechos</w:t>
        <w:br/>
        <w:t>humanos, ya que se obstaculiza la investigación y el acceso a la justicia  e</w:t>
        <w:br/>
        <w:t>impide a las víctimas y a sus familiares conocer  la  verdad  y  recibir  la</w:t>
        <w:br/>
        <w:t>reparación correspondiente.</w:t>
        <w:br/>
        <w:br/>
        <w:t>44.   Como consecuencia de la manifiesta incompatibilidad  entre  las  leyes</w:t>
        <w:br/>
        <w:t>de autoamnistía y  la  Convención  Americana  sobre  Derechos  Humanos,  las</w:t>
        <w:br/>
        <w:t>mencionadas  leyes  carecen  de  efectos  jurídicos  y  no   pueden   seguir</w:t>
        <w:br/>
        <w:t>representando  un  obstáculo  para  la  investigación  de  los  hechos   que</w:t>
        <w:br/>
        <w:t>constituyen este caso  ni  para  la  identificación  y  el  castigo  de  los</w:t>
        <w:br/>
        <w:t>responsables, ni puedan tener igual o  similar  impacto  respecto  de  otros</w:t>
        <w:br/>
        <w:t>casos de violación de los derechos consagrados en  la  Convención  Americana</w:t>
        <w:br/>
        <w:t>acontecidos en el Perú.</w:t>
        <w:br/>
        <w:br/>
        <w:br/>
        <w:t xml:space="preserve">                                    VIII</w:t>
        <w:br/>
        <w:br/>
        <w:t xml:space="preserve">                Derecho a la Verdad y Garantías Judiciales en</w:t>
        <w:br/>
        <w:br/>
        <w:t xml:space="preserve">                            el Estado de Derecho</w:t>
        <w:br/>
        <w:br/>
        <w:t>Alegatos de la Comisión</w:t>
        <w:br/>
        <w:br/>
        <w:t>45.   La Comisión alegó que el derecho a la  verdad  se  fundamenta  en  los</w:t>
        <w:br/>
        <w:t>artículos  8  y  25  de  la  Convención,  en  la  medida   que   ambos   son</w:t>
        <w:br/>
        <w:t>“instrumentales”  en  el  establecimiento   judicial   de   los   hechos   y</w:t>
        <w:br/>
        <w:t>circunstancias  que  rodearon  la  violación  de  un  derecho   fundamental.</w:t>
        <w:br/>
        <w:t>Asimismo, señaló que este derecho se enraíza  en  el  artículo  13.1  de  la</w:t>
        <w:br/>
        <w:t>Convención, en cuanto reconoce el derecho a buscar  y  recibir  información.</w:t>
        <w:br/>
        <w:t>Agregó  que,  en  virtud  de  este  artículo,  sobre  el  Estado  recae  una</w:t>
        <w:br/>
        <w:t>obligación positiva de garantizar información esencial  para  preservar  los</w:t>
        <w:br/>
        <w:t>derechos de las víctimas, asegurar la transparencia de la gestión estatal  y</w:t>
        <w:br/>
        <w:t>la protección de los derechos humanos.</w:t>
        <w:br/>
        <w:br/>
        <w:t>Alegatos del Estado</w:t>
        <w:br/>
        <w:br/>
        <w:t>46.   El Estado no contendió lo alegado por la Comisión a  este  respecto  y</w:t>
        <w:br/>
        <w:t>señaló  que  su  estrategia  en  materia  de  derechos  humanos  partía   de</w:t>
        <w:br/>
        <w:t>“reconocer  responsabilidades,  pero  más  que  nada  de  proponer  fórmulas</w:t>
        <w:br/>
        <w:t>integrales  de  atención  a  las  víctimas  en  relación  a  tres  elementos</w:t>
        <w:br/>
        <w:t>fundamentales: el derecho a la  verdad,  el  derecho  a  la  justicia  y  el</w:t>
        <w:br/>
        <w:t>derecho a obtener una justa reparación”.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47.   En el presente caso, es incuestionable que se impidió a  las  víctimas</w:t>
        <w:br/>
        <w:t>sobrevivientes, sus familiares y  a  los  familiares  de  las  víctimas  que</w:t>
        <w:br/>
        <w:t>fallecieron, conocer la verdad acerca de los  hechos  ocurridos  en  Barrios</w:t>
        <w:br/>
        <w:t>Altos.</w:t>
        <w:br/>
        <w:br/>
        <w:t>48.   Pese a lo anterior,  en  las  circunstancias  del  presente  caso,  el</w:t>
        <w:br/>
        <w:t>derecho a la verdad se encuentra subsumido en el derecho  de  la  víctima  o</w:t>
        <w:br/>
        <w:t>sus  familiares  a  obtener  de  los  órganos  competentes  del  Estado   el</w:t>
        <w:br/>
        <w:t>esclarecimiento  de  los  hechos   violatorios   y   las   responsabilidades</w:t>
        <w:br/>
        <w:t>correspondientes,  a  través  de  la  investigación  y  el  juzgamiento  que</w:t>
        <w:br/>
        <w:t>previenen los artículos 8 y 25 de la Convención.[3]</w:t>
        <w:br/>
        <w:br/>
        <w:t>49.   Por lo tanto, esta cuestión ha quedado resuelta  al  haberse  señalado</w:t>
        <w:br/>
        <w:t>(supra párr. 39) que el Perú incurrió en la violación de los artículos  8  y</w:t>
        <w:br/>
        <w:t>25 de  la  Convención,  en  relación  con  las  garantías  judiciales  y  la</w:t>
        <w:br/>
        <w:t>protección judicial.</w:t>
        <w:br/>
        <w:br/>
        <w:br/>
        <w:t xml:space="preserve">                                     IX</w:t>
        <w:br/>
        <w:t xml:space="preserve">                    Apertura de la Etapa de Reparaciones</w:t>
        <w:br/>
        <w:br/>
        <w:t>50.   Dado el reconocimiento de responsabilidad efectuado por  el  Perú,  la</w:t>
        <w:br/>
        <w:t>Corte considera que procede pasar a la etapa de reparaciones.[4]   La  Corte</w:t>
        <w:br/>
        <w:t>considera apropiado que la determinación de  las  reparaciones  se  haga  de</w:t>
        <w:br/>
        <w:t>común acuerdo entre el Estado demandado, la Comisión  Interamericana  y  las</w:t>
        <w:br/>
        <w:t>víctimas, sus familiares o sus representantes debidamente acreditados,  para</w:t>
        <w:br/>
        <w:t>lo cual se establece un  plazo  de  tres  meses  contados  a  partir  de  la</w:t>
        <w:br/>
        <w:t>notificación  de  la  presente  Sentencia.   La  Corte   estima,   asimismo,</w:t>
        <w:br/>
        <w:t>pertinente señalar que el acuerdo a que llegaren las  partes  será  evaluado</w:t>
        <w:br/>
        <w:t>por  ésta  y  deberá  ser  en  un  todo  compatible  con  las  disposiciones</w:t>
        <w:br/>
        <w:t>relevantes de la Convención Americana.  En caso de que no  se  llegue  a  un</w:t>
        <w:br/>
        <w:t>acuerdo, la Corte determinará el alcance y monto de las reparaciones.</w:t>
        <w:br/>
        <w:br/>
        <w:br/>
        <w:br/>
        <w:t xml:space="preserve">                                      X</w:t>
        <w:br/>
        <w:br/>
        <w:br/>
        <w:t>51.   Por tanto,</w:t>
        <w:br/>
        <w:br/>
        <w:br/>
        <w:t>LA CORTE,</w:t>
        <w:br/>
        <w:br/>
        <w:t>DECIDE:</w:t>
        <w:br/>
        <w:br/>
        <w:t>por unanimidad,</w:t>
        <w:br/>
        <w:br/>
        <w:t>1.    Admitir el reconocimiento de responsabilidad  internacional  efectuado</w:t>
        <w:br/>
        <w:t>por el Estado.</w:t>
        <w:br/>
        <w:br/>
        <w:t>2.     Declarar,   conforme   a   los   términos   del   reconocimiento   de</w:t>
        <w:br/>
        <w:t>responsabilidad internacional efectuado por el Estado, que éste violó:</w:t>
        <w:br/>
        <w:br/>
        <w:t xml:space="preserve">      a)    el derecho  a  la  vida  consagrado  en  el  artículo  4  de  la</w:t>
        <w:br/>
        <w:t xml:space="preserve">           Convención Americana sobre Derechos  Humanos,  en  perjuicio  de</w:t>
        <w:br/>
        <w:t xml:space="preserve">           Placentina  Marcela  Chumbipuma  Aguirre,  Luis   Alberto   Díaz</w:t>
        <w:br/>
        <w:t xml:space="preserve">           Astovilca, Octavio Benigno  Huamanyauri  Nolazco,  Luis  Antonio</w:t>
        <w:br/>
        <w:t xml:space="preserve">           León Borja, Filomeno León León, Máximo León León,  Lucio  Quispe</w:t>
        <w:br/>
        <w:t xml:space="preserve">           Huanaco, Tito  Ricardo  Ramírez  Alberto,  Teobaldo  Ríos  Lira,</w:t>
        <w:br/>
        <w:t xml:space="preserve">           Manuel Isaías Ríos Pérez, Javier Manuel  Ríos  Rojas,  Alejandro</w:t>
        <w:br/>
        <w:t xml:space="preserve">           Rosales Alejandro, Nelly María  Rubina  Arquiñigo,  Odar  Mender</w:t>
        <w:br/>
        <w:t xml:space="preserve">           Sifuentes Nuñez y Benedicta Yanque Churo;</w:t>
        <w:br/>
        <w:br/>
        <w:br/>
        <w:t xml:space="preserve">      b)    el derecho a la integridad personal consagrado en el artículo  5</w:t>
        <w:br/>
        <w:t xml:space="preserve">           de la Convención Americana sobre Derechos Humanos, en  perjuicio</w:t>
        <w:br/>
        <w:t xml:space="preserve">           de Natividad Condorcahuana  Chicaña,  Felipe  León  León,  Tomás</w:t>
        <w:br/>
        <w:t xml:space="preserve">           Livias Ortega y Alfonso Rodas Alvítez; y</w:t>
        <w:br/>
        <w:br/>
        <w:br/>
        <w:t xml:space="preserve">      c)    el derecho a las garantías judiciales y a la protección judicial</w:t>
        <w:br/>
        <w:t xml:space="preserve">           consagrados en los artículos 8 y 25 de la  Convención  Americana</w:t>
        <w:br/>
        <w:t xml:space="preserve">           sobre Derechos  Humanos,  en  perjuicio  de  los  familiares  de</w:t>
        <w:br/>
        <w:t xml:space="preserve">           Placentina  Marcela  Chumbipuma  Aguirre,  Luis   Alberto   Díaz</w:t>
        <w:br/>
        <w:t xml:space="preserve">           Astovilca, Octavio Benigno  Huamanyauri  Nolazco,  Luis  Antonio</w:t>
        <w:br/>
        <w:t xml:space="preserve">           León Borja, Filomeno León León, Máximo León León,  Lucio  Quispe</w:t>
        <w:br/>
        <w:t xml:space="preserve">           Huanaco, Tito  Ricardo  Ramírez  Alberto,  Teobaldo  Ríos  Lira,</w:t>
        <w:br/>
        <w:t xml:space="preserve">           Manuel Isaías Ríos Pérez, Javier Manuel  Ríos  Rojas,  Alejandro</w:t>
        <w:br/>
        <w:t xml:space="preserve">           Rosales Alejandro, Nelly María  Rubina  Arquiñigo,  Odar  Mender</w:t>
        <w:br/>
        <w:t xml:space="preserve">           Sifuentes Nuñez, Benedicta  Yanque  Churo,  y  en  perjuicio  de</w:t>
        <w:br/>
        <w:t xml:space="preserve">           Natividad Condorcahuana Chicaña, Felipe León León, Tomás  Livias</w:t>
        <w:br/>
        <w:t xml:space="preserve">           Ortega  y  Alfonso  Rodas  Alvítez,  como  consecuencia  de   la</w:t>
        <w:br/>
        <w:t xml:space="preserve">           promulgación y aplicación de las leyes de amnistía Nº 26479 y Nº</w:t>
        <w:br/>
        <w:t xml:space="preserve">           26492.</w:t>
        <w:br/>
        <w:br/>
        <w:t>3.     Declarar,   conforme   a   los   términos   del   reconocimiento   de</w:t>
        <w:br/>
        <w:t>responsabilidad efectuado por el Estado, que éste  incumplió  los  artículos</w:t>
        <w:br/>
        <w:t>1.1 y 2 de la Convención Americana sobre Derechos Humanos como  consecuencia</w:t>
        <w:br/>
        <w:t>de la promulgación y aplicación de las leyes  de  amnistía  Nº  26479  y  Nº</w:t>
        <w:br/>
        <w:t>26492 y de la violación a los artículos de la  Convención  señalados  en  el</w:t>
        <w:br/>
        <w:t>punto resolutivo 2 de esta Sentencia.</w:t>
        <w:br/>
        <w:br/>
        <w:t>4.     Declarar  que  las  leyes  de  amnistía  Nº  26479  y  Nº  26492  son</w:t>
        <w:br/>
        <w:t>incompatibles con la Convención  Americana  sobre  Derechos  Humanos  y,  en</w:t>
        <w:br/>
        <w:t>consecuencia, carecen de efectos jurídicos.</w:t>
        <w:br/>
        <w:br/>
        <w:t>5.    DECLARAR QUE EL ESTADO  DEL  PERÚ  DEBE  INVESTIGAR  LOS  HECHOS  PARA</w:t>
        <w:br/>
        <w:t>DETERMINAR LAS PERSONAS RESPONSABLES DE  LAS  VIOLACIONES  DE  LOS  DERECHOS</w:t>
        <w:br/>
        <w:t>HUMANOS A LOS QUE SE  HA  HECHO  REFERENCIA  EN  ESTA  SENTENCIA,  ASÍ  COMO</w:t>
        <w:br/>
        <w:t>DIVULGAR PÚBLICAMENTE LOS RESULTADOS DE DICHA INVESTIGACIÓN  Y  SANCIONAR  A</w:t>
        <w:br/>
        <w:t>LOS RESPONSABLES.</w:t>
        <w:br/>
        <w:br/>
        <w:t>6.    Disponer que las reparaciones serán fijadas de común  acuerdo  por  el</w:t>
        <w:br/>
        <w:t>Estado demandado, la Comisión Interamericana y las víctimas, sus  familiares</w:t>
        <w:br/>
        <w:t>o sus representantes legales debidamente acreditados, dentro de un plazo  de</w:t>
        <w:br/>
        <w:t>tres meses contado a partir de la notificación de la presente Sentencia.</w:t>
        <w:br/>
        <w:br/>
        <w:t>7.    RESERVARSE LA FACULTAD DE REVISAR Y APROBAR EL ACUERDO SEÑALADO EN  EL</w:t>
        <w:br/>
        <w:t>PUNTO RESOLUTIVO PRECEDENTE Y, EN CASO DE QUE NO SE LLEGUE A  ÉL,  CONTINUAR</w:t>
        <w:br/>
        <w:t>EL PROCEDIMIENTO DE REPARACIONES.</w:t>
        <w:br/>
        <w:br/>
        <w:t>Los Jueces Cançado Trindade y García Ramírez hicieron  conocer  a  la  Corte</w:t>
        <w:br/>
        <w:t>sus Votos Concurrentes, los cuales acompañan esta Sentencia.</w:t>
        <w:br/>
        <w:br/>
        <w:br/>
        <w:t>Redactada en español e inglés, haciendo fe  el  texto  en  español,  en  San</w:t>
        <w:br/>
        <w:t>José, Costa Rica, el 14 de marzo de 2001.</w:t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>Máximo Pacheco Gómez   Hernán Salgado Pesantes</w:t>
        <w:br/>
        <w:br/>
        <w:t xml:space="preserve">    Alirio Abreu Burelli     Sergio García Ramírez</w:t>
        <w:br/>
        <w:br/>
        <w:br/>
        <w:br/>
        <w:t xml:space="preserve">                     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t xml:space="preserve">                          Manuel E. Ventura Robles</w:t>
        <w:br/>
        <w:t xml:space="preserve">                                 Secretario</w:t>
        <w:br/>
        <w:t xml:space="preserve">              VOTO CONCURRENTE DEL JUEZ A. A. CANÇADO TRINDADE</w:t>
        <w:br/>
        <w:br/>
        <w:br/>
        <w:t>1.    Voto a favor de la adopción, por la Corte Interamericana  de  Derechos</w:t>
        <w:br/>
        <w:t>Humanos, de la presente Sentencia,  de  trascendencia  histórica,  sobre  el</w:t>
        <w:br/>
        <w:t>fondo  en  el  caso  Barrios  Altos,  a   partir   del   reconocimiento   de</w:t>
        <w:br/>
        <w:t>responsabilidad internacional efectuado por  el  Estado  peruano.  Tal  como</w:t>
        <w:br/>
        <w:t>observó  la  Corte  (párr.  40),   dicho   reconocimiento   constituyó   una</w:t>
        <w:br/>
        <w:t>contribución  positiva  por  el  Estado  demandado  a  la  evolución  de  la</w:t>
        <w:br/>
        <w:t>aplicación de la normativa de protección de la  Convención  Americana  sobre</w:t>
        <w:br/>
        <w:t>Derechos Humanos.  Los  alegatos,  tanto  del  Estado  peruano  como  de  la</w:t>
        <w:br/>
        <w:t>Comisión Interamericana de Derechos Humanos, desarrollados en  la  memorable</w:t>
        <w:br/>
        <w:t>audiencia pública realizada el día de hoy, 14 de marzo de 2001, en  la  sede</w:t>
        <w:br/>
        <w:t>del Tribunal, abrieron una nueva perspectiva en la experiencia de  la  Corte</w:t>
        <w:br/>
        <w:t>en casos de allanamiento[5] por parte del demandado[6].</w:t>
        <w:br/>
        <w:br/>
        <w:t>2.    En razón de la alta relevancia de las  cuestiones  jurídicas  tratadas</w:t>
        <w:br/>
        <w:t>en la presente Sentencia, me veo en la obligación de dejar constancia,  bajo</w:t>
        <w:br/>
        <w:t>la presión siempre despiadada del tiempo, de mis reflexiones  personales  al</w:t>
        <w:br/>
        <w:t>respecto. La Corte, en cualesquiera circunstancias, e inclusive en casos  de</w:t>
        <w:br/>
        <w:t>allanamiento, a partir del reconocimiento por parte del Estado demandado  de</w:t>
        <w:br/>
        <w:t>su responsabilidad internacional por los hechos violatorios de los  derechos</w:t>
        <w:br/>
        <w:t>protegidos,  tiene  plena  facultad  para  determinar   motu   proprio   las</w:t>
        <w:br/>
        <w:t>consecuencias  jurídicas  de  dichos   hechos   lesivos,   sin   que   dicha</w:t>
        <w:br/>
        <w:t>determinación esté condicionada por los términos del allanamiento. La  Corte</w:t>
        <w:br/>
        <w:t>está, procediendo de ese modo, haciendo uso de los poderes inherentes  a  su</w:t>
        <w:br/>
        <w:t>función judicial[7]. Tal como siempre he sostenido en el seno del  Tribunal,</w:t>
        <w:br/>
        <w:t>en cualesquiera circunstancias la Corte es maestra de su jurisdicción[8].</w:t>
        <w:br/>
        <w:br/>
        <w:t>3.    En el presente caso Barrios Altos, haciendo uso libre  y  pleno,  como</w:t>
        <w:br/>
        <w:t>le corresponde, de los poderes inherentes a su función judicial,  la  Corte,</w:t>
        <w:br/>
        <w:t>por primera vez en un caso de allanamiento,  además  de  haber  admitido  el</w:t>
        <w:br/>
        <w:t>reconocimiento  de  responsabilidad  internacional  por  parte  del   Estado</w:t>
        <w:br/>
        <w:t>demandado, también ha  establecido  las  consecuencias  jurídicas  de  dicho</w:t>
        <w:br/>
        <w:t>allanamiento, tal como se desprende de los categóricos párrafos 41 y  43  de</w:t>
        <w:br/>
        <w:t>la presente Sentencia, que disponen de modo inequívoco el  entendimiento  de</w:t>
        <w:br/>
        <w:t>la Corte en el sentido de que</w:t>
        <w:br/>
        <w:br/>
        <w:br/>
        <w:t xml:space="preserve">      -  "(...)  Son  inadmisibles  las  disposiciones  de   amnistía,   las</w:t>
        <w:br/>
        <w:t xml:space="preserve">      disposiciones de prescripción y el establecimiento de  excluyentes  de</w:t>
        <w:br/>
        <w:t xml:space="preserve">      responsabilidad que pretendan impedir la investigación  y  sanción  de</w:t>
        <w:br/>
        <w:t xml:space="preserve">      los responsables de las violaciones graves  de  los  derechos  humanos</w:t>
        <w:br/>
        <w:t xml:space="preserve">      tales como  la  tortura,  las  ejecuciones  sumarias,  extralegales  o</w:t>
        <w:br/>
        <w:t xml:space="preserve">      arbitrarias y las desapariciones forzadas, todas ellas prohibidas  por</w:t>
        <w:br/>
        <w:t xml:space="preserve">      contravenir  derechos  inderogables   reconocidos   por   el   Derecho</w:t>
        <w:br/>
        <w:t xml:space="preserve">      Internacional de los Derechos Humanos.</w:t>
        <w:br/>
        <w:br/>
        <w:br/>
        <w:t xml:space="preserve">      (...) A la luz  de  las  obligaciones  generales  consagradas  en  los</w:t>
        <w:br/>
        <w:t xml:space="preserve">      artículos 1(1) y 2 de la  Convención  Americana,  los  Estados  Partes</w:t>
        <w:br/>
        <w:t xml:space="preserve">      tienen el deber de tomar las providencias  de  toda  índole  para  que</w:t>
        <w:br/>
        <w:t xml:space="preserve">      nadie sea sustraído de la protección  judicial  y  del  ejercicio  del</w:t>
        <w:br/>
        <w:t xml:space="preserve">      derecho a un recurso  sencillo  y  eficaz,  en  los  términos  de  los</w:t>
        <w:br/>
        <w:t xml:space="preserve">      artículos 8 y 25 de la Convención. Es por ello que los Estados  Partes</w:t>
        <w:br/>
        <w:t xml:space="preserve">      en la Convención que adopten leyes que tengan este efecto, como lo son</w:t>
        <w:br/>
        <w:t xml:space="preserve">      las leyes de autoamnistía, incurren en una violación de los  artículos</w:t>
        <w:br/>
        <w:t xml:space="preserve">      8 y 25 en concordancia con  los  artículos  1(1)  y  2,  todos  de  la</w:t>
        <w:br/>
        <w:t xml:space="preserve">      Convención. Las leyes de autoamnistía conducen a la indefensión de las</w:t>
        <w:br/>
        <w:t xml:space="preserve">      víctimas y  a  la  perpetuación  de  la  impunidad,  por  lo  que  son</w:t>
        <w:br/>
        <w:t xml:space="preserve">      manifiestamente incompatibles  con  la  letra  y  el  espíritu  de  la</w:t>
        <w:br/>
        <w:t xml:space="preserve">      Convención Americana. Este tipo de leyes impide la  identificación  de</w:t>
        <w:br/>
        <w:t xml:space="preserve">      los individuos responsables de violaciones de derechos humanos, ya que</w:t>
        <w:br/>
        <w:t xml:space="preserve">      se obstaculiza la investigación y el acceso a la justicia e  impide  a</w:t>
        <w:br/>
        <w:t xml:space="preserve">      las víctimas y a  sus  familiares  conocer  la  verdad  y  recibir  la</w:t>
        <w:br/>
        <w:t xml:space="preserve">      reparación correspondiente"[9].</w:t>
        <w:br/>
        <w:br/>
        <w:t>4.    Estas ponderaciones de la Corte Interamericana constituyen un nuevo  y</w:t>
        <w:br/>
        <w:t>gran salto cualitativo  en  su  jurisprudencia,  en  el  sentido  de  buscar</w:t>
        <w:br/>
        <w:t>superar un obstáculo que los órganos internacionales de supervisión  de  los</w:t>
        <w:br/>
        <w:t>derechos humanos todavía no han logrado transponer:  la  impunidad,  con  la</w:t>
        <w:br/>
        <w:t>consecuente erosión de la confianza de la  población  en  las  instituciones</w:t>
        <w:br/>
        <w:t>públicas[10].  Además,  atienden  a  un  clamor  que  en  nuestros  días  es</w:t>
        <w:br/>
        <w:t>verdaderamente  universal.  Recuérdese,  al  respecto,  que   el   principal</w:t>
        <w:br/>
        <w:t>documento adoptado por la II Conferencia Mundial de Derechos Humanos  (1993)</w:t>
        <w:br/>
        <w:t>exhortó a los Estados a "derogar la legislación que favorezca  la  impunidad</w:t>
        <w:br/>
        <w:t>de los responsables de violaciones graves de los derechos humanos,  (...)  y</w:t>
        <w:br/>
        <w:t>sancionar esas violaciones (...)"[11].</w:t>
        <w:br/>
        <w:br/>
        <w:t>5.    Las llamadas autoamnistías son, en suma, una  afrenta  inadmisible  al</w:t>
        <w:br/>
        <w:t>derecho a la verdad y al derecho a la  justicia  (empezando  por  el  propio</w:t>
        <w:br/>
        <w:t>acceso a la justicia)[12]. Son ellas manifiestamente incompatibles  con  las</w:t>
        <w:br/>
        <w:t>obligaciones generales -  indisociables  -  de  los  Estados  Partes  en  la</w:t>
        <w:br/>
        <w:t>Convención Americana de respetar y garantizar los derechos humanos por  ella</w:t>
        <w:br/>
        <w:t>protegidos,  asegurando el libre y pleno ejercicio de los  mismos   (en  los</w:t>
        <w:br/>
        <w:t>términos del artículo</w:t>
        <w:br/>
        <w:t>1(1) de la Convención),  así  como  de  adecuar  su  derecho  interno  a  la</w:t>
        <w:br/>
        <w:t>normativa internacional de protección (en los términos del artículo 2 de  la</w:t>
        <w:br/>
        <w:t>Convención). Además, afectan los derechos protegidos por la  Convención,  en</w:t>
        <w:br/>
        <w:t>particular los derechos a las garantías  judiciales  (artículo  8)  y  a  la</w:t>
        <w:br/>
        <w:t>protección judicial (artículo 25).</w:t>
        <w:br/>
        <w:br/>
        <w:t>6.    Hay que tener presente, en relación con  las  leyes  de  autoamnistía,</w:t>
        <w:br/>
        <w:t>que su legalidad en  el  plano  del  derecho  interno,  al  conllevar  a  la</w:t>
        <w:br/>
        <w:t>impunidad y la injusticia, encuéntrase en flagrante incompatibilidad con  la</w:t>
        <w:br/>
        <w:t>normativa de protección del Derecho Internacional de los  Derechos  Humanos,</w:t>
        <w:br/>
        <w:t>acarreando violaciones de jure de los derechos  de  la  persona  humana.  El</w:t>
        <w:br/>
        <w:t>corpus juris del Derecho Internacional  de  los  Derechos  Humanos  pone  de</w:t>
        <w:br/>
        <w:t>relieve que no todo lo que es legal en el ordenamiento jurídico  interno  lo</w:t>
        <w:br/>
        <w:t>es en el ordenamiento jurídico internacional, y  aún  más  cuando  están  en</w:t>
        <w:br/>
        <w:t>juego valores superiores (como la verdad y la  justicia).  En  realidad,  lo</w:t>
        <w:br/>
        <w:t>que se pasó a denominar leyes de amnistía, y  particularmente  la  modalidad</w:t>
        <w:br/>
        <w:t>perversa de las llamadas leyes de autoamnistía, aunque se  consideren  leyes</w:t>
        <w:br/>
        <w:t>bajo un determinado ordenamiento jurídico interno, no lo son  en  el  ámbito</w:t>
        <w:br/>
        <w:t>del Derecho Internacional de los Derechos Humanos.</w:t>
        <w:br/>
        <w:br/>
        <w:t>7.    Esta misma Corte observó, en una Opinión Consultiva de  1986,  que  la</w:t>
        <w:br/>
        <w:t>palabra "leyes" en los términos del artículo 30 de la  Convención  Americana</w:t>
        <w:br/>
        <w:t>significa  norma  jurídica  de  carácter  general,  ceñida  al  bien  común,</w:t>
        <w:br/>
        <w:t>elaborada  según  el  procedimiento  constitucionalmente  establecido,   por</w:t>
        <w:br/>
        <w:t>órganos  legislativos  constitucionalmente  previstos   y   democráticamente</w:t>
        <w:br/>
        <w:t>elegidos[13]. ¿Quién se atrevería a insinuar que una "ley"  de  autoamnistía</w:t>
        <w:br/>
        <w:t>satisface a todos estos requisitos? No veo cómo negar que  "leyes"  de  este</w:t>
        <w:br/>
        <w:t>tipo carecen de carácter general, por cuanto son  medidas  de  excepción.  Y</w:t>
        <w:br/>
        <w:t>ciertamente en nada contribuyen al  bien  común,  sino  todo  lo  contrario:</w:t>
        <w:br/>
        <w:t>configúranse como meros subterfugios para  encubrir  violaciones  graves  de</w:t>
        <w:br/>
        <w:t>los derechos humanos, impedir el conocimiento de la verdad (por  más  penosa</w:t>
        <w:br/>
        <w:t>que sea ésta) y obstaculizar el propio acceso a la  justicia  por  parte  de</w:t>
        <w:br/>
        <w:t>los victimados. En suma, no satisfacen  los  requisitos  de  "leyes"  en  el</w:t>
        <w:br/>
        <w:t>ámbito del Derecho Internacional de los Derechos Humanos.</w:t>
        <w:br/>
        <w:br/>
        <w:t>8.    En  mi  Voto  Disidente  en  el  caso  El  Amparo  (Interpretación  de</w:t>
        <w:br/>
        <w:t>Sentencia, 1997)[14], sostuve la tesis de  que  un  Estado  puede  tener  su</w:t>
        <w:br/>
        <w:t>responsabilidad internacional  comprometida  "por  la  simple  aprobación  y</w:t>
        <w:br/>
        <w:t>promulgación de una ley en desarmonía con  sus  obligaciones  convencionales</w:t>
        <w:br/>
        <w:t>internacionales de  protección"  (párrs.  22-23),  -  como  lo  son,  en  el</w:t>
        <w:br/>
        <w:t>presente caso Barrios Altos, las llamadas leyes  de  autoamnistía.  Mientras</w:t>
        <w:br/>
        <w:t>dichas leyes permanecen en vigor, confórmase  una  situación  continuada  de</w:t>
        <w:br/>
        <w:t>violación de las normas pertinentes de los tratados de derechos humanos  que</w:t>
        <w:br/>
        <w:t>vinculan el Estado en cuestión (en el presente caso, los artículos 8  y  25,</w:t>
        <w:br/>
        <w:t>en concordancia con los artículos 1(1) y 2 de la Convención).</w:t>
        <w:br/>
        <w:br/>
        <w:t>9.    Tal como me permití insistir en mi reciente  Voto  Concurrente  en  el</w:t>
        <w:br/>
        <w:t>caso "La Última Tentación de Cristo" (Olmedo  Bustos  y  Otros)  (2001)[15],</w:t>
        <w:br/>
        <w:t>hay toda una jurisprudencia internacional secular que se orienta  claramente</w:t>
        <w:br/>
        <w:t>en el sentido de que "el origen  de  la  responsabilidad  internacional  del</w:t>
        <w:br/>
        <w:t>Estado puede residir en cualquier acto u  omisión  de  cualesquiera  de  los</w:t>
        <w:br/>
        <w:t>poderes o agentes del Estado (sea del Ejecutivo, o del  Legislativo,  o  del</w:t>
        <w:br/>
        <w:t>Judicial)" (párr. 16).  Y  destaqué,  en  seguida,  en  conformidad  con  un</w:t>
        <w:br/>
        <w:t>principio general del derecho de la responsabilidad internacional,</w:t>
        <w:br/>
        <w:br/>
        <w:t xml:space="preserve">      "(...) La independencia de la caracterización de determinado  acto  (u</w:t>
        <w:br/>
        <w:t xml:space="preserve">      omisión)  como   ilícito   en   el   derecho   internacional   de   la</w:t>
        <w:br/>
        <w:t xml:space="preserve">      caracterización - similar o no - de tal acto por  el  derecho  interno</w:t>
        <w:br/>
        <w:t xml:space="preserve">      del Estado. El hecho  de  que  una  determinada  conducta  estatal  se</w:t>
        <w:br/>
        <w:t xml:space="preserve">      conforma con las disposiciones de derecho interno, o inclusive es  por</w:t>
        <w:br/>
        <w:t xml:space="preserve">      este último requerida, no significa que se  pueda  negar  su  carácter</w:t>
        <w:br/>
        <w:t xml:space="preserve">      internacionalmente ilícito, siempre y cuando constituya una  violación</w:t>
        <w:br/>
        <w:t xml:space="preserve">      de una obligación internacional (...)" (párr. 21).</w:t>
        <w:br/>
        <w:br/>
        <w:br/>
        <w:br/>
        <w:br/>
        <w:t>Y tanto en mi referido Voto Concurrente en el caso "La Última  Tentación  de</w:t>
        <w:br/>
        <w:t>Cristo" (Fondo, 2001, párrs. 96-98), como en mi anterior Voto  Disidente  en</w:t>
        <w:br/>
        <w:t>el caso Caballero Delgado y Santana  (Reparaciones,  1997,  párrs.  13-14  y</w:t>
        <w:br/>
        <w:t>20)[16], insistí en que  las  modificaciones  en  el  ordenamiento  jurídico</w:t>
        <w:br/>
        <w:t>interno requeridas para armonizarlo con la normativa  de  protección  de  la</w:t>
        <w:br/>
        <w:t>Convención Americana constituyen una forma de reparación no-pecuniaria  bajo</w:t>
        <w:br/>
        <w:t>la Convención.</w:t>
        <w:br/>
        <w:br/>
        <w:t>10.   Hay otro punto que me parece aún más grave en relación con  la  figura</w:t>
        <w:br/>
        <w:t>degenerada - un atentado en contra el propio Estado  de  Derecho  -  de  las</w:t>
        <w:br/>
        <w:t>llamadas leyes de autoamnistía. Como los hechos del  presente  caso  Barrios</w:t>
        <w:br/>
        <w:t>Altos lo revelan - al llevar la  Corte  a  declarar,  en  los  términos  del</w:t>
        <w:br/>
        <w:t>reconocimiento de responsabilidad  internacional  efectuado  por  el  Estado</w:t>
        <w:br/>
        <w:t>demandado, las violaciones de los derechos a la vida[17] y a  la  integridad</w:t>
        <w:br/>
        <w:t>personal[18], - dichas leyes afectan  derechos  inderogables  -  el  minimum</w:t>
        <w:br/>
        <w:t>universalmente reconocido, - que recaen en el ámbito del jus cogens.</w:t>
        <w:br/>
        <w:br/>
        <w:t>11.   Siendo así, las leyes de autoamnistía, además de  ser  manifiestamente</w:t>
        <w:br/>
        <w:t>incompatibles con la Convención Americana, y desprovistas, en  consecuencia,</w:t>
        <w:br/>
        <w:t>de efectos jurídicos, no tienen validez jurídica  alguna  a  la  luz  de  la</w:t>
        <w:br/>
        <w:t>normativa del Derecho Internacional de los Derechos Humanos.  Son  más  bien</w:t>
        <w:br/>
        <w:t>la fuente (fons et origo) de un acto ilícito internacional: a partir  de  su</w:t>
        <w:br/>
        <w:t>propia  adopción  (tempus  commisi  delicti),  e  independientemente  de  su</w:t>
        <w:br/>
        <w:t>aplicación  posterior,  comprometen  la  responsabilidad  internacional  del</w:t>
        <w:br/>
        <w:t>Estado.  Su  vigencia  crea  per  se  una  situación  que  afecta  de  forma</w:t>
        <w:br/>
        <w:t>continuada derechos inderogables, que pertenecen, como ya  lo  he  señalado,</w:t>
        <w:br/>
        <w:t>al dominio del jus cogens. Configurada, por la expedición de  dichas  leyes,</w:t>
        <w:br/>
        <w:t>la responsabilidad internacional del Estado, encuéntrase éste bajo el  deber</w:t>
        <w:br/>
        <w:t>de hacer cesar tal situación violatoria de los derechos fundamentales de  la</w:t>
        <w:br/>
        <w:t>persona humana (con la pronta derogación de aquellas leyes),  así  como,  en</w:t>
        <w:br/>
        <w:t>su caso, de reparar las consecuencias de la situación lesiva creada.</w:t>
        <w:br/>
        <w:br/>
        <w:t>12.   Por fin, - en  este  brevísimo  par  de  horas  de  que  dispuse  para</w:t>
        <w:br/>
        <w:t>escribir mi presente Voto  Concurrente  y  presentarlo  a  la  Corte,  -  me</w:t>
        <w:br/>
        <w:t>permito agregar una última reflexión. En este inicio del siglo XXI,  no  veo</w:t>
        <w:br/>
        <w:t>sentido alguno en intentar contraponer  antagónicamente  la  responsabilidad</w:t>
        <w:br/>
        <w:t>internacional  del  Estado  a  la  responsabilidad  penal  individual.   Los</w:t>
        <w:br/>
        <w:t>desarrollos, en relación a una y a otra, hoy se dan, a mi modo de ver,  pari</w:t>
        <w:br/>
        <w:t>passu. Los Estados (y cualquier otra forma de organización  político-social)</w:t>
        <w:br/>
        <w:t>son  compuestos  de  individuos,  gobernados  y  gobernantes,  siendo  estos</w:t>
        <w:br/>
        <w:t>últimos los que toman decisiones en nombre del respectivo Estado.</w:t>
        <w:br/>
        <w:br/>
        <w:t>13.   La responsabilidad internacional del Estado  por  violaciones  de  los</w:t>
        <w:br/>
        <w:t>derechos   humanos   internacionalmente   consagrados,   -   incluidas   las</w:t>
        <w:br/>
        <w:t>configuradas mediante la expedición y aplicación de leyes  de  autoamnistía,</w:t>
        <w:br/>
        <w:t>-  y  la  responsabilidad  penal  individual  de  agentes  perpetradores  de</w:t>
        <w:br/>
        <w:t>violaciones graves de los  derechos  humanos  y  del  Derecho  Internacional</w:t>
        <w:br/>
        <w:t>Humanitario, son dos faces de la misma  medalla,  en  la  lucha  contra  las</w:t>
        <w:br/>
        <w:t>atrocidades, la impunidad y la  injusticia.  Fue  necesario  esperar  muchos</w:t>
        <w:br/>
        <w:t>años para poder llegar a esta constatación, la  cual,  si  hoy  es  posible,</w:t>
        <w:br/>
        <w:t>también se debe, - me permito insistir en un punto que me es muy caro, -  al</w:t>
        <w:br/>
        <w:t>despertar de la conciencia jurídica  universal,  como  fuente  material  par</w:t>
        <w:br/>
        <w:t>excellence del propio Derecho Internacional.</w:t>
        <w:br/>
        <w:br/>
        <w:t>14.   Tal como me permití señalar al respecto en mi Voto Concurrente  en  la</w:t>
        <w:br/>
        <w:t>Opinión Consultiva de la Corte sobre El Derecho a la  Información  sobre  la</w:t>
        <w:br/>
        <w:t>Asistencia Consular en el Marco de las Garantías del  Debido  Proceso  Legal</w:t>
        <w:br/>
        <w:t>(1999)[19],</w:t>
        <w:br/>
        <w:br/>
        <w:t xml:space="preserve">      - "(...) Las propias emergencia y consolidación del corpus  juris  del</w:t>
        <w:br/>
        <w:t xml:space="preserve">      Derecho Internacional de los Derechos Humanos se deben a  la  reacción</w:t>
        <w:br/>
        <w:t xml:space="preserve">      de la  conciencia  jurídica  universal  ante  los  recurrentes  abusos</w:t>
        <w:br/>
        <w:t xml:space="preserve">      conmetidos contra los seres humanos, frecuentemente  convalidados  por</w:t>
        <w:br/>
        <w:t xml:space="preserve">      la ley positiva: con esto,  el  Derecho  vino  al  encuentro  del  ser</w:t>
        <w:br/>
        <w:t xml:space="preserve">      humano, destinatario último de sus normas de protección.</w:t>
        <w:br/>
        <w:t xml:space="preserve">      (...) Con  la  desmistificación  de  los  postulados  del  positivismo</w:t>
        <w:br/>
        <w:t xml:space="preserve">      voluntarista, se tornó  evidente  que  sólo  se  puede  encontrar  una</w:t>
        <w:br/>
        <w:t xml:space="preserve">      respuesta al problema de los fundamentos y de la validez  del  derecho</w:t>
        <w:br/>
        <w:t xml:space="preserve">      internacional general en la conciencia jurídica universal, a partir de</w:t>
        <w:br/>
        <w:t xml:space="preserve">      la  aserción  de  la  idea  de  una  justicia   objetiva.   Como   una</w:t>
        <w:br/>
        <w:t xml:space="preserve">      manifestación de esta última, se han afirmado  los  derechos  del  ser</w:t>
        <w:br/>
        <w:t xml:space="preserve">      humano,  emanados  directamente  del  derecho  internacional,   y   no</w:t>
        <w:br/>
        <w:t xml:space="preserve">      sometidos, por lo  tanto,  a  las  vicisitudes  del  derecho  interno"</w:t>
        <w:br/>
        <w:t xml:space="preserve">      (párrs. 4 y 14)[20].</w:t>
        <w:br/>
        <w:br/>
        <w:br/>
        <w:t>15.    Más  recientemente,  en  mi  Voto  Razonado   en   el   caso   Bámaca</w:t>
        <w:br/>
        <w:t>Velásquez[21], me permití  insistir  en  el  punto;   al  reiterar  que  los</w:t>
        <w:br/>
        <w:t>avances en el campo de la protección  internacional de</w:t>
        <w:br/>
        <w:br/>
        <w:t>los derechos de  la  persona  humana  se  deben  a  la  conciencia  jurídica</w:t>
        <w:br/>
        <w:t>universal (párr. 28), expresé mi entendimiento en el sentido de que</w:t>
        <w:br/>
        <w:br/>
        <w:t xml:space="preserve">      - "(...) en el campo de la ciencia del derecho, no veo cómo  dejar  de</w:t>
        <w:br/>
        <w:t xml:space="preserve">      afirmar  la  existencia   de   una   conciencia   jurídica   universal</w:t>
        <w:br/>
        <w:t xml:space="preserve">      (correspondiente a la opinio juris comunis),  que  constituye,  en  mi</w:t>
        <w:br/>
        <w:t xml:space="preserve">      entender, la fuente material por excelencia (más allá de  las  fuentes</w:t>
        <w:br/>
        <w:t xml:space="preserve">      formales) de todo el derecho de gentes, responsable  por  los  avances</w:t>
        <w:br/>
        <w:t xml:space="preserve">      del género humano no sólo en el plano  jurídico  sino  también  en  el</w:t>
        <w:br/>
        <w:t xml:space="preserve">      espiritual" (párr. 16).</w:t>
        <w:br/>
        <w:br/>
        <w:t>16.   En  mi  entender,  tanto  la  jurisprudencia  internacional,  como  la</w:t>
        <w:br/>
        <w:t>práctica  de  los  Estados  y  organismos  internacionales,  y  la  doctrina</w:t>
        <w:br/>
        <w:t>jurídica más lúcida,  proveen  elementos  de  los  cuales  se  desprende  el</w:t>
        <w:br/>
        <w:t>despertar  de  una  conciencia  jurídica   universal.   Esto   nos   permite</w:t>
        <w:br/>
        <w:t>reconstruir, en este inicio del siglo XXI, el propio Derecho  Internacional,</w:t>
        <w:br/>
        <w:t>con base en un nuevo paradigma, ya no  más  estatocéntrico,  sino  más  bien</w:t>
        <w:br/>
        <w:t>antropocéntrico, situando al ser  humano  en  posición  central  y  teniendo</w:t>
        <w:br/>
        <w:t>presentes los problemas que afectan a la humanidad como  un  todo.  Así,  en</w:t>
        <w:br/>
        <w:t>cuanto a la jurisprudencia internacional, el ejemplo  más  inmediato  reside</w:t>
        <w:br/>
        <w:t>en la jurisprudencia de  los  dos  tribunales  internacionales  de  derechos</w:t>
        <w:br/>
        <w:t>humanos hoy existentes, las Cortes  Europea  e  Interamericana  de  Derechos</w:t>
        <w:br/>
        <w:t>Humanos[22]. A ella se puede agregar la jurisprudencia emergente de los  dos</w:t>
        <w:br/>
        <w:t>Tribunales Penales Internacionales ad hoc, para la ex-Yugoslavia  y  Ruanda.</w:t>
        <w:br/>
        <w:t>Y la propia jurisprudencia de la Corte Internacional  de  Justicia  contiene</w:t>
        <w:br/>
        <w:t>elementos desarrollados  a  partir,  v.g.,  de  consideraciones  básicas  de</w:t>
        <w:br/>
        <w:t>humanidad[23].</w:t>
        <w:br/>
        <w:br/>
        <w:t>17.   En cuanto a la práctica internacional [24], la idea de una  conciencia</w:t>
        <w:br/>
        <w:t>jurídica universal ha marcado presencia en muchos debates  de  las  Naciones</w:t>
        <w:br/>
        <w:t>Unidas (sobre todo de la Sexta Comisión de  la  Asamblea  General),  en  los</w:t>
        <w:br/>
        <w:t>trabajos de las Conferencias de codificación del Derecho  Internacional  (el</w:t>
        <w:br/>
        <w:t>llamado "derecho de Viena") y los respectivos travaux  préparatoires  de  la</w:t>
        <w:br/>
        <w:t>Comisión  de   Derecho   Internacional   de   las   Naciones   Unidas;   más</w:t>
        <w:br/>
        <w:t>recientemente, ha ocupado un espacio importante en el ciclo de  Conferencias</w:t>
        <w:br/>
        <w:t>Mundiales de las Nacionales Unidas de la década de los noventa[25].</w:t>
        <w:br/>
        <w:br/>
        <w:t>18.   En cuanto a la doctrina más lúcida, cabe  recordar  que,  dos  décadas</w:t>
        <w:br/>
        <w:t>antes de la adopción  en  1948  de  la  Declaración  Universal  de  Derechos</w:t>
        <w:br/>
        <w:t>Humanos, ya en 1929,  en  los  memorables  debates  del  Institut  de  Droit</w:t>
        <w:br/>
        <w:t>International (sesión de Nueva York), - casi olvidados en nuestros  días,  -</w:t>
        <w:br/>
        <w:t>se ponderó, por ejemplo, que</w:t>
        <w:br/>
        <w:br/>
        <w:t xml:space="preserve">      - "(...) Dans la conscience du monde moderne, la souveraineté de  tous</w:t>
        <w:br/>
        <w:t xml:space="preserve">      les États doit être limitée par le but  commun  de  l'humanité.  (...)</w:t>
        <w:br/>
        <w:t xml:space="preserve">      L'État dans le monde n'est qu'un moyen en vue d'une fin, la perfection</w:t>
        <w:br/>
        <w:t xml:space="preserve">      de l'humanité (...). La protection des droits de l'homme est le devoir</w:t>
        <w:br/>
        <w:t xml:space="preserve">      de tout État envers la communauté internationale. (...)"[26].</w:t>
        <w:br/>
        <w:br/>
        <w:t>Al final de los referidos debates, el Institut (22a.  Comisión)  adoptó  una</w:t>
        <w:br/>
        <w:t>resolución  conteniendo  una  "Déclaration  des  droits  internationaux   de</w:t>
        <w:br/>
        <w:t>l'homme", cuyo primer considerandum afirmó con énfasis  que  "la  conscience</w:t>
        <w:br/>
        <w:t>juridique du monde civilisé exige la reconnaissance à l'individu  de  droits</w:t>
        <w:br/>
        <w:t>soustraits à toute atteinte de la part de l'État"[27].</w:t>
        <w:br/>
        <w:br/>
        <w:t>19.   En la síntesis de su pensamiento  filosófico  sobre  los  límites  del</w:t>
        <w:br/>
        <w:t>poder estatal, escrita en el período de 1939-1945 (en  plena  agonía  de  lo</w:t>
        <w:br/>
        <w:t>que se creía ser la "civilización"), Jacques Maritain  tomó  como  punto  de</w:t>
        <w:br/>
        <w:t>partida la existencia de  la  persona  humana,  que  tiene  su  raíz  en  el</w:t>
        <w:br/>
        <w:t>espíritu, sosteniendo que sólo hay un verdadero  progreso  de  la  humanidad</w:t>
        <w:br/>
        <w:t>cuando marcha en el sentido de la emancipación humana[28].  Al  afirmar  que</w:t>
        <w:br/>
        <w:t>"la persona humana trasciende el Estado", por tener "un destino superior  al</w:t>
        <w:br/>
        <w:t>tiempo", Maritain agregó que</w:t>
        <w:br/>
        <w:br/>
        <w:t xml:space="preserve">      - "(...) El Estado no tiene autoridad para  obligarme  a  reformar  el</w:t>
        <w:br/>
        <w:t xml:space="preserve">    juicio de mi conciencia, como tampoco tiene el poder de imponer  a  los</w:t>
        <w:br/>
        <w:t xml:space="preserve">    espíritus su criterio sobre el bien y el mal (...). Por eso,  cada  vez</w:t>
        <w:br/>
        <w:t xml:space="preserve">    que sale de sus límites naturales  para  penetrar,  en  nombre  de  las</w:t>
        <w:br/>
        <w:t xml:space="preserve">    reivindicaciones totalitarias, en el santuario  de  la  conciencia,  se</w:t>
        <w:br/>
        <w:t xml:space="preserve">    esfuerza en violar a ésta  por  medios  monstruosos  de  envenenamiento</w:t>
        <w:br/>
        <w:t xml:space="preserve">    psicológico, de mentira organizada y de terror.(...)"[29].</w:t>
        <w:br/>
        <w:br/>
        <w:t>20.   Transcurridas más de cuatro décadas, al final  de  los  años  ochenta,</w:t>
        <w:br/>
        <w:t>Giuseppe  Sperduti  no  vaciló  en  afirmar,  en  contundente   crítica   al</w:t>
        <w:br/>
        <w:t>positivismo jurídico, que</w:t>
        <w:br/>
        <w:br/>
        <w:t xml:space="preserve">      - "(...) la doctrine positiviste n'a pas été en mesure d'élaborer  une</w:t>
        <w:br/>
        <w:t xml:space="preserve">      conception du  droit  international  aboutissant  à  l'existence  d'un</w:t>
        <w:br/>
        <w:t xml:space="preserve">      véritable ordre juridique (...). Il faut voir  la  conscience  commune</w:t>
        <w:br/>
        <w:t xml:space="preserve">      des peuples, ou conscience universelle, la source des normes  suprêmes</w:t>
        <w:br/>
        <w:t xml:space="preserve">      du droit international"[30].</w:t>
        <w:br/>
        <w:br/>
        <w:t>21.   Referencias  del  género,  susceptibles  hoy  día  ciertamente  de  un</w:t>
        <w:br/>
        <w:t>desarrollo conceptual más amplio y profundizado,  no  se  limitan  al  plano</w:t>
        <w:br/>
        <w:t>doctrinal; figuran igualmente en  tratados  internacionales.  La  Convención</w:t>
        <w:br/>
        <w:t>contra el  Genocidio  de  1948,  v.g.,  se  refiere,  en  su  preámbulo,  al</w:t>
        <w:br/>
        <w:t>"espíritu" de las Naciones Unidas. Transcurrido medio  siglo,  el  preámbulo</w:t>
        <w:br/>
        <w:t>del Estatuto  de  Roma  de  1998  del  Tribunal  Penal  Internacional  tiene</w:t>
        <w:br/>
        <w:t>presente que, a lo largo del siglo XX,</w:t>
        <w:br/>
        <w:br/>
        <w:t xml:space="preserve">      - "(...) millones de niños, mujeres y hombres  han  sido  víctimas  de</w:t>
        <w:br/>
        <w:t xml:space="preserve">      atrocidades que desafían la imaginación y conmueven  profundamente  la</w:t>
        <w:br/>
        <w:t xml:space="preserve">      conciencia de la humanidad" (segundo considerandum).</w:t>
        <w:br/>
        <w:br/>
        <w:t>Y, a nivel regional, el preámbulo de la Convención  Interamericana  de  1994</w:t>
        <w:br/>
        <w:t>sobre la Desaparición Forzada de  Personas,  para  citar  otro  ejemplo,  se</w:t>
        <w:br/>
        <w:t>refiere a la "conciencia del hemisferio" (tercer considerandum).</w:t>
        <w:br/>
        <w:br/>
        <w:t>22.   Una cláusula de la mayor trascendencia  merece  destaque:  la  llamada</w:t>
        <w:br/>
        <w:t>cláusula Martens, que cuenta con más de un siglo de  trayectoria  histórica.</w:t>
        <w:br/>
        <w:t>Originalmente presentada por el Delegado de Rusia, Friedrich von Martens,  a</w:t>
        <w:br/>
        <w:t>la I Conferencia de Paz de La Haya (1899), fue insertada en  los  preámbulos</w:t>
        <w:br/>
        <w:t>de la II Convención de La Haya de 1899 (párr. 9) y de la  IV  Convención  de</w:t>
        <w:br/>
        <w:t>La Haya de 1907 (párr. 8), ambas relativas a las leyes y  costumbres  de  la</w:t>
        <w:br/>
        <w:t>guerra terrestre. Su propósito - conforme la sabia premonición  del  jurista</w:t>
        <w:br/>
        <w:t>y diplomático ruso - era el de extender jurídicamente la  protección  a  las</w:t>
        <w:br/>
        <w:t>personas civiles y a los combatientes en todas las  situaciones,  aunque  no</w:t>
        <w:br/>
        <w:t>contempladas por las  normas  convencionales;  con  este  fin,  la  cláusula</w:t>
        <w:br/>
        <w:t>Martens invocaba "los principios del derecho de gentes"  derivados  de  "los</w:t>
        <w:br/>
        <w:t>usos establecidos", así como "las leyes de humanidad" y "las  exigencias  de</w:t>
        <w:br/>
        <w:t>la conciencia pública".</w:t>
        <w:br/>
        <w:br/>
        <w:t>23.    Subsiguientemente,  la  cláusula  Martens  volvió  a  figurar  en  la</w:t>
        <w:br/>
        <w:t>disposición común, relativa a la denuncia, de  las  cuatro  Convenciones  de</w:t>
        <w:br/>
        <w:t>Ginebra  sobre  Derecho  Internacional   Humanitario   de   1949   (artículo</w:t>
        <w:br/>
        <w:t>63/62/142/158), así como en el Protocolo Adicional  I  (de  1977)  a  dichas</w:t>
        <w:br/>
        <w:t>Convenciones (artículo 1(2)),  -  para  citar  algunas  de  las  principales</w:t>
        <w:br/>
        <w:t>Convenciones de Derecho Internacional Humanitario. La  cláusula  Martens  se</w:t>
        <w:br/>
        <w:t>ha revestido, pues, a lo largo de más de un siglo,  de  validez  continuada,</w:t>
        <w:br/>
        <w:t>por cuanto, por más  avanzada  que  sea  la  codificación  de  la  normativa</w:t>
        <w:br/>
        <w:t>humanitaria, difícilmente podrá ser esta última  considerada  verdaderamente</w:t>
        <w:br/>
        <w:t>completa.</w:t>
        <w:br/>
        <w:br/>
        <w:t>24.   La cláusula Martens continúa, así, sirviendo de advertencia contra  la</w:t>
        <w:br/>
        <w:t>suposición  de  que  lo  que  no  esté  expresamente   prohibido   por   las</w:t>
        <w:br/>
        <w:t>Convenciones de Derecho Internacional Humanitario pudiera  estar  permitido;</w:t>
        <w:br/>
        <w:t>todo lo contrario, la cláusula Martens sostiene la aplicabilidad  continuada</w:t>
        <w:br/>
        <w:t>de los principios del derecho de  gentes,  las  leyes  de  humanidad  y  las</w:t>
        <w:br/>
        <w:t>exigencias de la conciencia pública, independientemente del  surgimiento  de</w:t>
        <w:br/>
        <w:t>nuevas situaciones y  del  desarrollo  de  la  tecnología[31].  La  cláusula</w:t>
        <w:br/>
        <w:t>Martens impide, pues, el non liquet,  y  ejerce  un  rol  importante  en  la</w:t>
        <w:br/>
        <w:t>hermenéutica de la normativa humanitaria.</w:t>
        <w:br/>
        <w:br/>
        <w:t>25.   El hecho de que los redactores de las Convenciones  de  1899,  1907  y</w:t>
        <w:br/>
        <w:t>1949,  y  del  Protocolo  I  de  1977,  hayan  reiteradamente  afirmado  los</w:t>
        <w:br/>
        <w:t>elementos de la cláusula Martens, sitúa  esta  última   en   el   plano   de</w:t>
        <w:br/>
        <w:t>las  propias  fuentes  materiales  del  Derecho  Internacional</w:t>
        <w:br/>
        <w:br/>
        <w:t>Humanitario[32].  De  ese  modo,  ejerce  una  influencia  continua  en   la</w:t>
        <w:br/>
        <w:t>formación  espontánea  del  contenido   de   nuevas   reglas   del   Derecho</w:t>
        <w:br/>
        <w:t>Internacional Humanitario[33]. La doctrina  jurídica  contemporánea  también</w:t>
        <w:br/>
        <w:t>ha  caracterizado  la  cláusula  Martens  como  fuente  del  propio  derecho</w:t>
        <w:br/>
        <w:t>internacional general[34]; y nadie  osaría  hoy  negar  que  las  "leyes  de</w:t>
        <w:br/>
        <w:t>humanidad" y las "exigencias de la  conciencia  pública"  invocadas  por  la</w:t>
        <w:br/>
        <w:t>cláusula Martens pertenecen al  dominio  del  jus  cogens[35].  La  referida</w:t>
        <w:br/>
        <w:t>cláusula, como un todo, ha sido  concebida  y  reiteradamente  afirmada,  en</w:t>
        <w:br/>
        <w:t>última instancia, en beneficio de todo el género humano, manteniendo así  su</w:t>
        <w:br/>
        <w:t>gran actualidad. Se puede considerarla como expresión  de  la  razón  de  la</w:t>
        <w:br/>
        <w:t>humanidad imponiendo límites a la razón de Estado (raison d'État).</w:t>
        <w:br/>
        <w:br/>
        <w:t>26.   No hay que olvidarse jamás que el Estado fue  originalmente  concebido</w:t>
        <w:br/>
        <w:t>para la realización del bien común. El Estado existe para el ser  humano,  y</w:t>
        <w:br/>
        <w:t>no viceversa. Ningún Estado  puede  considerarse  por  encima  del  Derecho,</w:t>
        <w:br/>
        <w:t>cuyas normas  tienen  por  destinatarios  últimos  los  seres  humanos.  Los</w:t>
        <w:br/>
        <w:t>desarrollos contemporáneos pari passu  del  derecho  de  la  responsabilidad</w:t>
        <w:br/>
        <w:t>internacional  del  Estado  y  del  derecho  penal   internacional   apuntan</w:t>
        <w:br/>
        <w:t>efectivamente en la dirección de la preeminencia del Derecho, tanto  en  las</w:t>
        <w:br/>
        <w:t>relaciones entre los Estados  y  los  seres  humanos  bajo  sus  respectivas</w:t>
        <w:br/>
        <w:t>jurisdicciones, como en  las  relaciones  interindividuales  (Drittwirkung).</w:t>
        <w:br/>
        <w:t>Hay que decirlo y repetirlo con firmeza, cuantas veces sea necesario: en  el</w:t>
        <w:br/>
        <w:t>dominio del Derecho Internacional de  los  Derechos  Humanos,  las  llamadas</w:t>
        <w:br/>
        <w:t>"leyes" de autoamnistía no son verdaderamente leyes: no  son  nada  más  que</w:t>
        <w:br/>
        <w:t>una aberración, una afrenta inadmisible  a  la  conciencia  jurídica  de  la</w:t>
        <w:br/>
        <w:t>humanidad.</w:t>
        <w:br/>
        <w:br/>
        <w:br/>
        <w:t xml:space="preserve">                      Antônio Augusto Cançado Trindade</w:t>
        <w:br/>
        <w:t xml:space="preserve">                                    Juez</w:t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VOTO CONCURRENTE DEL JUEZ SERGIO GARCÍA RAMÍREZ A LA SENTENCIA</w:t>
        <w:br/>
        <w:t xml:space="preserve">          DE LA CORTE INTERAMERICANA DE DERECHOS HUMANOS EN EL CASO</w:t>
        <w:br/>
        <w:t xml:space="preserve">                    BARRIOS ALTOS.  14 DE MARZO DE 2001.</w:t>
        <w:br/>
        <w:br/>
        <w:t>1.    Coincido con la sentencia de fondo adoptada por  unanimidad  de  votos</w:t>
        <w:br/>
        <w:t>de los integrantes de la Corte Interamericana  de  Derechos  Humanos  en  el</w:t>
        <w:br/>
        <w:t>caso Barrios Altos.  Agrego este Voto Concurrente en el que  recojo  algunas</w:t>
        <w:br/>
        <w:t>consideraciones que me sugiere esa sentencia con respecto a  los  siguientes</w:t>
        <w:br/>
        <w:t>puntos:  a)  características del allanamiento  y  calificación  jurídica  de</w:t>
        <w:br/>
        <w:t>los hechos examinados en el presente caso; y b)  oposición entre  las  leyes</w:t>
        <w:br/>
        <w:t>de autoamnistía a las  que  se  refiere  la  sentencia  y  las  obligaciones</w:t>
        <w:br/>
        <w:t>generales del Estado conforme  a  la  Convención  Americana  sobre  Derechos</w:t>
        <w:br/>
        <w:t>Humanos (artículos 1.1 y 2),  así  como  consecuencias  jurídicas  de  dicha</w:t>
        <w:br/>
        <w:t>oposición.</w:t>
        <w:br/>
        <w:br/>
        <w:t>2.    El Estado se allanó a las  pretensiones  del  demandante,  que  en  la</w:t>
        <w:br/>
        <w:t>especie  es  la  Comisión  Interamericana   de   Derechos   Humanos.    Este</w:t>
        <w:br/>
        <w:t>allanamiento   ocurrió   bajo   la   fórmula   de   reconocimiento   de   la</w:t>
        <w:br/>
        <w:t>responsabilidad internacional, en los términos del escrito de 15 de  febrero</w:t>
        <w:br/>
        <w:t>de 2001.  Así, quedó sin materia el  litigio  originalmente  planteado.   En</w:t>
        <w:br/>
        <w:t>otros términos, cesó la controversia principal expuesta  en  el  escrito  de</w:t>
        <w:br/>
        <w:t>demanda de la Comisión, sin  perjuicio  de  que  pudiera  plantearse  alguna</w:t>
        <w:br/>
        <w:t>cuestión contenciosa a propósito de las reparaciones.   En  tal  virtud,  el</w:t>
        <w:br/>
        <w:t>Tribunal debe analizar las características y  el  alcance  de  su  actividad</w:t>
        <w:br/>
        <w:t>jurisdiccional en el presente caso, que culmina en una sentencia de fondo.</w:t>
        <w:br/>
        <w:br/>
        <w:t>3.    El allanamiento, figura procesal  prevista  en  el  Reglamento  de  la</w:t>
        <w:br/>
        <w:t>Corte Interamericana, es un medio bien conocido de proveer a la  composición</w:t>
        <w:br/>
        <w:t>del litigio.  Por este medio, que implica un acto  unilateral  de  voluntad,</w:t>
        <w:br/>
        <w:t>de carácter dispositivo, la parte demandada acepta las  pretensiones  de  la</w:t>
        <w:br/>
        <w:t>actora y asume las obligaciones inherentes a dicha  admisión.   Ahora  bien,</w:t>
        <w:br/>
        <w:t>este acto  sólo  se  refiere  a  aquello  que  puede  ser  aceptado  por  el</w:t>
        <w:br/>
        <w:t>demandado, por hallarse en su ámbito natural de decisión y aceptación:   los</w:t>
        <w:br/>
        <w:t>hechos invocados en la demanda, de los que  deriva  la  responsabilidad  del</w:t>
        <w:br/>
        <w:t>demandado.  En la especie, se trata de hechos violatorios de un  instrumento</w:t>
        <w:br/>
        <w:t>vinculante  de  carácter  internacional,  la  Convención   Americana   sobre</w:t>
        <w:br/>
        <w:t>Derechos  Humanos,  de  los  que   deriva   una   responsabilidad   asimismo</w:t>
        <w:br/>
        <w:t>internacional, cuya apreciación y declaración incumben a la Corte.  En  esos</w:t>
        <w:br/>
        <w:t>hechos  se   sustentan   cierta   calificación   jurídica   y   determinadas</w:t>
        <w:br/>
        <w:t>consecuencias de la misma naturaleza.</w:t>
        <w:br/>
        <w:br/>
        <w:t>4.     En  los  términos  de  las  normas   aplicables   al   enjuiciamiento</w:t>
        <w:br/>
        <w:t>internacional sobre violaciones a derechos humanos, el allanamiento no  trae</w:t>
        <w:br/>
        <w:t>consigo, de manera necesaria, la conclusión del procedimiento  y  el  cierre</w:t>
        <w:br/>
        <w:t>del caso, ni determina, por sí mismo, el contenido de  la  resolución  final</w:t>
        <w:br/>
        <w:t>de la Corte.  En efecto,  hay  supuestos  en  que  ésta  puede  ordenar  que</w:t>
        <w:br/>
        <w:t>prosiga el juicio sobre el tema principal --la violación de  derechos--,  no</w:t>
        <w:br/>
        <w:t>obstante que el demandado se allanó a las  pretensiones  del  actor,  cuando</w:t>
        <w:br/>
        <w:t>así lo motiven “las responsabilidades que (...) incumben  (a  la  Corte)  de</w:t>
        <w:br/>
        <w:t>proteger los derechos humanos” (artículo 54 del  vigente  Reglamento  de  la</w:t>
        <w:br/>
        <w:t>Corte Interamericana de Derechos Humanos, aprobado el 16  de  septiembre  de</w:t>
        <w:br/>
        <w:t>1996).  Por ello, la Corte puede disponer que continúe  el  juicio  si  esta</w:t>
        <w:br/>
        <w:t>prosecución es conveniente  desde  la  perspectiva  de  la  tutela  judicial</w:t>
        <w:br/>
        <w:t>internacional de los derechos  humanos.   A  este  respecto,  la  valoración</w:t>
        <w:br/>
        <w:t>compete única y exclusivamente al Tribunal.</w:t>
        <w:br/>
        <w:br/>
        <w:t>5.    Aquellas “responsabilidades” de protección de derechos humanos  pueden</w:t>
        <w:br/>
        <w:t>actualizarse en diversas hipótesis.  Pudiera ocurrir que la versión  de  los</w:t>
        <w:br/>
        <w:t>hechos suministrada por  el  actor  y  admitida  por  el  demandado  resulte</w:t>
        <w:br/>
        <w:t>inaceptable para la Corte, que no  está  vinculada  --como  regularmente  lo</w:t>
        <w:br/>
        <w:t>estaría un tribunal nacional que conozca de contiendas de Derecho  privado--</w:t>
        <w:br/>
        <w:t>por la presentación de los hechos formulada y/o  aceptada  por  las  partes.</w:t>
        <w:br/>
        <w:t>En este ámbito  prevalecen  los  principios  de  verdad  material  y  tutela</w:t>
        <w:br/>
        <w:t>efectiva de los derechos subjetivos como medio para la observancia real  del</w:t>
        <w:br/>
        <w:t>Derecho objetivo, indispensable cuando se trata de  derechos  fundamentales,</w:t>
        <w:br/>
        <w:t>cuya puntual observancia no sólo interesa a sus titulares,  sino  también  a</w:t>
        <w:br/>
        <w:t>la sociedad --la comunidad internacional-- en su conjunto.</w:t>
        <w:br/>
        <w:br/>
        <w:t>6.     La  Corte  tampoco  está  vinculada  por  la  calificación   jurídica</w:t>
        <w:br/>
        <w:t>formulada y/o aceptada por las partes acerca  de  los  hechos,  calificación</w:t>
        <w:br/>
        <w:t>que implica el análisis de éstos a la luz del  Derecho  aplicable  al  caso,</w:t>
        <w:br/>
        <w:t>que está constituido por las disposiciones de la Convención  Americana.   En</w:t>
        <w:br/>
        <w:t>otros términos, compete a la Corte, y sólo a ella, calificar  la  naturaleza</w:t>
        <w:br/>
        <w:t>de los hechos como violatorios --o no-- de las disposiciones específicas  de</w:t>
        <w:br/>
        <w:t>la Convención, y, en consecuencia, de los derechos reconocidos  y  tutelados</w:t>
        <w:br/>
        <w:t>en éstas.  No basta con que exista un reconocimiento de hechos a través  del</w:t>
        <w:br/>
        <w:t>allanamiento  respectivo,  para  que  el   tribunal   deba   asignarles   la</w:t>
        <w:br/>
        <w:t>calificación que les  atribuye  el  actor  y  que  admite  o  no  refuta  al</w:t>
        <w:br/>
        <w:t>demandado.  La  aplicación  técnica  del  Derecho,  con  todo  lo  que  ello</w:t>
        <w:br/>
        <w:t>implica, constituye una  función  natural  del  tribunal,  expresión  de  su</w:t>
        <w:br/>
        <w:t>potestad  jurisdiccional,  que  no  puede  ser  excluida,   condicionada   o</w:t>
        <w:br/>
        <w:t>mediatizada por las partes.</w:t>
        <w:br/>
        <w:br/>
        <w:t>7.    Por lo tanto, corresponde al Tribunal examinar y resolver  si  ciertos</w:t>
        <w:br/>
        <w:t>hechos, admitidos por quien se allana --o bien, en otra hipótesis,  probados</w:t>
        <w:br/>
        <w:t>en el curso regular de un procedimiento contencioso-- entrañan la  violación</w:t>
        <w:br/>
        <w:t>de determinado derecho previsto en  un  artículo  de  la  Convención.   Esta</w:t>
        <w:br/>
        <w:t>calificación, inherente al quehacer del Tribunal, escapa  a  las  facultades</w:t>
        <w:br/>
        <w:t>dispositivas --unilaterales o bilaterales-- de las  partes,  que  elevan  la</w:t>
        <w:br/>
        <w:t>contienda al conocimiento del  Tribunal,  pero  no  se  sustituyen  a  éste.</w:t>
        <w:br/>
        <w:t>Expuesto de otra manera, la función de “decir  el  Derecho”  --estableciendo</w:t>
        <w:br/>
        <w:t>la relación que existe entre el  hecho  examinado  y  la  norma  aplicable--</w:t>
        <w:br/>
        <w:t>corresponde únicamente  al  órgano  jurisdiccional,  esto  es,  a  la  Corte</w:t>
        <w:br/>
        <w:t>Interamericana.</w:t>
        <w:br/>
        <w:br/>
        <w:t>8.    La Comisión Interamericana señaló la posible  violación  del  artículo</w:t>
        <w:br/>
        <w:t>13 en el presente caso, porque al sustraerse el asunto de la competencia  de</w:t>
        <w:br/>
        <w:t>las autoridades peruanas  (en  lo  relativo  a  investigación,  persecución,</w:t>
        <w:br/>
        <w:t>enjuiciamiento y sanción) se impidió  el  conocimiento  de  la  verdad.   La</w:t>
        <w:br/>
        <w:t>Corte no ha rechazado la posibilidad de que  se  invoque  el  derecho  a  la</w:t>
        <w:br/>
        <w:t>verdad al amparo del  artículo  13  de  la  Convención  Americana,  sino  ha</w:t>
        <w:br/>
        <w:t>considerado que en las circunstancias del  caso  justiciable  --similares  a</w:t>
        <w:br/>
        <w:t>otros planteados anteriormente al Tribunal--  el  derecho  a  la  verdad  se</w:t>
        <w:br/>
        <w:t>encuentra subsumido en el derecho que tienen la víctima y/o  sus  familiares</w:t>
        <w:br/>
        <w:t>de  obtener,  por  parte  de  los  órganos  competentes   del   Estado,   el</w:t>
        <w:br/>
        <w:t>esclarecimiento  de  los  hechos  violatorios  y  la  declaración   de   las</w:t>
        <w:br/>
        <w:t>responsabilidades correspondientes, conforme a los artículos 8 y  25  de  la</w:t>
        <w:br/>
        <w:t>propia Convención.  De ahí que no se haga declaración explícita en torno  al</w:t>
        <w:br/>
        <w:t>artículo 13, invocado por la Comisión, sino sobre los artículos 8 y 25,  que</w:t>
        <w:br/>
        <w:t>son los aplicables a  los  hechos  sujetos  al  conocimiento  de  la  Corte,</w:t>
        <w:br/>
        <w:t>conforme a la apreciación que ésta consideró procedente.</w:t>
        <w:br/>
        <w:br/>
        <w:t>9.    En cuanto a las leyes de amnistía números 26,479 y 26,492, a  las  que</w:t>
        <w:br/>
        <w:t>se hace referencia en este  caso,  estimo  pertinente  remitirme  a  lo  que</w:t>
        <w:br/>
        <w:t>anteriormente expuse, con cierta amplitud,  en  mi  Voto  Concurrente  a  la</w:t>
        <w:br/>
        <w:t>sentencia de reparaciones dictada por la Corte  Interamericana  en  el  caso</w:t>
        <w:br/>
        <w:t>Castillo Páez (Corte I.D.H., Caso  Castillo  Páez.   Reparaciones  (artículo</w:t>
        <w:br/>
        <w:t>63.1 de la Convención Americana sobre Derechos Humanos).   Sentencia  de  27</w:t>
        <w:br/>
        <w:t>de noviembre de 1998.  Serie C  No.  43,  pp.  60  y  ss.).   En  este  Voto</w:t>
        <w:br/>
        <w:t>Concurrente amplío las consideraciones que figuran en la  propia  sentencia,</w:t>
        <w:br/>
        <w:t>de  la  que  se  desprende  el  criterio  del  Tribunal   acerca   de   esos</w:t>
        <w:br/>
        <w:t>ordenamientos, criterio que es plenamente aplicable al presente caso.</w:t>
        <w:br/>
        <w:br/>
        <w:t>10.   En el citado Voto Concurrente me  referí  precisamente  a  la  ley  de</w:t>
        <w:br/>
        <w:t>amnistía no. 26,479, expedida por el Perú, correspondiente  a  la  categoría</w:t>
        <w:br/>
        <w:t>de las llamadas “autoamnistías”, que  son  “expedidas  a  favor  de  quienes</w:t>
        <w:br/>
        <w:t>ejercen la autoridad y por éstos mismos”, y difieren de las  amnistías  “que</w:t>
        <w:br/>
        <w:t>resultan de un proceso de pacificación con sustento democrático  y  alcances</w:t>
        <w:br/>
        <w:t>razonables,  que  excluyen  la  persecución  de  conductas  realizadas   por</w:t>
        <w:br/>
        <w:t>miembros de  los  diversos  grupos  en  contienda,  pero  dejan  abierta  la</w:t>
        <w:br/>
        <w:t>posibilidad de sancionar hechos gravísimos, que ninguno de aquéllos  aprueba</w:t>
        <w:br/>
        <w:t>o reconoce como adecuados” (párr. 9).</w:t>
        <w:br/>
        <w:br/>
        <w:t>11.    Ciertamente  no  desconozco  la  alta  conveniencia  de  alentar   la</w:t>
        <w:br/>
        <w:t>concordia  civil  a  través  de  normas  de  amnistía  que  contribuyan   al</w:t>
        <w:br/>
        <w:t>restablecimiento de la paz y a la apertura de  nuevas  etapas  constructivas</w:t>
        <w:br/>
        <w:t>en la vida de una nación.  Sin embargo, subrayo --como lo hace un  creciente</w:t>
        <w:br/>
        <w:t>sector de la doctrina, y ya lo ha hecho la Corte Interamericana--  que  esas</w:t>
        <w:br/>
        <w:t>disposiciones de olvido y  perdón  “no  pueden  poner  a  cubierto  las  más</w:t>
        <w:br/>
        <w:t>severas  violaciones  a  los  derechos  humanos,  que  significan  un  grave</w:t>
        <w:br/>
        <w:t>menosprecio de la dignidad del ser humano y repugnan a la conciencia  de  la</w:t>
        <w:br/>
        <w:t>humanidad”  (Voto cit., párr. 7).</w:t>
        <w:br/>
        <w:br/>
        <w:t>12.   Por ende, el ordenamiento nacional que impide la investigación de  las</w:t>
        <w:br/>
        <w:t>violaciones a los derechos humanos y  la  aplicación  de  las  consecuencias</w:t>
        <w:br/>
        <w:t>pertinentes, no satisface las obligaciones asumidas por un Estado  parte  en</w:t>
        <w:br/>
        <w:t>la Convención en el sentido de respetar los derechos fundamentales de  todas</w:t>
        <w:br/>
        <w:t>las personas sujetas a su jurisdicción  y  proveer  las  medidas  necesarias</w:t>
        <w:br/>
        <w:t>para tal fin (artículos 1.1 y 2).  La Corte ha sostenido que  el  Estado  no</w:t>
        <w:br/>
        <w:t>puede invocar “dificultades de orden interno” para sustraerse  al  deber  de</w:t>
        <w:br/>
        <w:t>investigar los hechos con los que se contravino la Convención y sancionar  a</w:t>
        <w:br/>
        <w:t>quienes resulten penalmente responsables de los mismos.</w:t>
        <w:br/>
        <w:br/>
        <w:t>13.   En la base de este razonamiento se halla la convicción, acogida en  el</w:t>
        <w:br/>
        <w:t>Derecho internacional de  los  derechos  humanos  y  en  las  más  recientes</w:t>
        <w:br/>
        <w:t>expresiones del Derecho  penal  internacional,  de  que  es  inadmisible  la</w:t>
        <w:br/>
        <w:t>impunidad de las  conductas  que  afectan  más  gravemente  los  principales</w:t>
        <w:br/>
        <w:t>bienes jurídicos sujetos a la tutela de ambas  manifestaciones  del  Derecho</w:t>
        <w:br/>
        <w:t>internacional.  La tipificación de  esas  conductas  y  el  procesamiento  y</w:t>
        <w:br/>
        <w:t>sanción de sus autores --así como de otros  participantes--  constituye  una</w:t>
        <w:br/>
        <w:t>obligación de los Estados, que no puede eludirse a través de  medidas  tales</w:t>
        <w:br/>
        <w:t>como la amnistía, la prescripción, la  admisión  de  causas  excluyentes  de</w:t>
        <w:br/>
        <w:t>incriminación y  otras  que  pudieran  llevar  a  los  mismos  resultados  y</w:t>
        <w:br/>
        <w:t>determinar  la  impunidad  de  actos  que  ofenden  gravemente  esos  bienes</w:t>
        <w:br/>
        <w:t>jurídicos primordiales.  Es así que debe proveerse  a  la  segura  y  eficaz</w:t>
        <w:br/>
        <w:t>sanción nacional e internacional  de  las  ejecuciones  extrajudiciales,  la</w:t>
        <w:br/>
        <w:t>desaparición forzada de personas, el  genocidio,  la  tortura,  determinados</w:t>
        <w:br/>
        <w:t>delitos de lesa humanidad y  ciertas  infracciones  gravísimas  del  Derecho</w:t>
        <w:br/>
        <w:t>humanitario.</w:t>
        <w:br/>
        <w:br/>
        <w:t>14.   El sistema  democrático  reclama  la  intervención  penal  mínima  del</w:t>
        <w:br/>
        <w:t>Estado, que lleva a la tipificación racional  de  conductas  ilícitas,  pero</w:t>
        <w:br/>
        <w:t>también  requiere  que  determinadas  conductas  de   suma   gravedad   sean</w:t>
        <w:br/>
        <w:t>invariablemente previstas en las normas punitivas, eficazmente  investigadas</w:t>
        <w:br/>
        <w:t>y  puntualmente  sancionadas.    Esta   necesidad   aparece   como   natural</w:t>
        <w:br/>
        <w:t>contrapartida del principio de mínima intervención penal.   Aquélla  y  éste</w:t>
        <w:br/>
        <w:t>constituyen, precisamente, dos formas de traducir  en  el  orden  penal  los</w:t>
        <w:br/>
        <w:t>requerimientos de la democracia y sostener  la  vigencia  efectiva  de  este</w:t>
        <w:br/>
        <w:t>sistema.</w:t>
        <w:br/>
        <w:br/>
        <w:t>15.   En la sentencia de la Corte se advierte que las leyes de  autoamnistía</w:t>
        <w:br/>
        <w:t>aludidas en el presente caso son incompatibles con la Convención  Americana,</w:t>
        <w:br/>
        <w:t>que el Perú suscribió y ratificó, y que por eso mismo es fuente  de  deberes</w:t>
        <w:br/>
        <w:t>internacionales del Estado, contraídos en el ejercicio de  la  soberanía  de</w:t>
        <w:br/>
        <w:t>éste.  En mi concepto, dicha incompatibilidad trae consigo la  invalidez  de</w:t>
        <w:br/>
        <w:t>aquellos   ordenamientos,   en   cuanto   pugnan   con    los    compromisos</w:t>
        <w:br/>
        <w:t>internacionales del Estado.   Por  ello,  no  pueden  producir  los  efectos</w:t>
        <w:br/>
        <w:t>jurídicos  inherentes  a  normas  legales  expedidas  de  manera  regular  y</w:t>
        <w:br/>
        <w:t>compatibles con las disposiciones  internacionales  y  constitucionales  que</w:t>
        <w:br/>
        <w:t>vinculan al Estado peruano.  La incompatibilidad determina la invalidez  del</w:t>
        <w:br/>
        <w:t>acto, y ésta implica que dicho acto no pueda producir efectos jurídicos.</w:t>
        <w:br/>
        <w:br/>
        <w:t>16.   En la sentencia se dispuso que el Estado, la  Comisión  Interamericana</w:t>
        <w:br/>
        <w:t>y las víctimas, sus familiares o sus  representantes  acreditados  fijen  de</w:t>
        <w:br/>
        <w:t>común acuerdo  las  reparaciones  correspondientes.   La  precisión  de  las</w:t>
        <w:br/>
        <w:t>reparaciones queda sujeta, pues, al acuerdo entre las partes --concepto  que</w:t>
        <w:br/>
        <w:t>incluye a las víctimas, puesto que se trata de actos relativos  a  la  etapa</w:t>
        <w:br/>
        <w:t>procesal de reparaciones, en la que aquéllas asumen la calidad de  parte  en</w:t>
        <w:br/>
        <w:t>el proceso--, que no es concluyente por sí mismo, sino debe ser  revisado  y</w:t>
        <w:br/>
        <w:t>aprobado  por  la  Corte.   Existe  aquí,  pues,   un  primer  límite  a  la</w:t>
        <w:br/>
        <w:t>dispositividad de las partes establecido en función de la equidad  que  debe</w:t>
        <w:br/>
        <w:t>prevalecer en los procedimientos tutelares de  derechos  humanos  y  que  se</w:t>
        <w:br/>
        <w:t>proyecta,  inclusive,  sobre  las  soluciones  amistosas  ante  la  Comisión</w:t>
        <w:br/>
        <w:t>Interamericana.</w:t>
        <w:br/>
        <w:br/>
        <w:t>17.   Evidentemente, el mencionado acuerdo acerca de las  reparaciones  sólo</w:t>
        <w:br/>
        <w:t>se extiende a materias sujetas, por su naturaleza, a la disposición  de  las</w:t>
        <w:br/>
        <w:t>partes --con la salvedad ya señalada--, no  así  a  los  asuntos  que  están</w:t>
        <w:br/>
        <w:t>sustraídos a aquélla, en virtud de la importancia y  trascendencia  sociales</w:t>
        <w:br/>
        <w:t>que revisten.  Esto implica otro límite a la dispositividad de  las  partes.</w:t>
        <w:br/>
        <w:t>Así, éstas pueden acordar las indemnizaciones, pero no  pueden  negociar  ni</w:t>
        <w:br/>
        <w:t>resolver reparaciones de otro carácter, como la  persecución  penal  de  los</w:t>
        <w:br/>
        <w:t>responsables de las violaciones reconocidas --salvo que se trate de  delitos</w:t>
        <w:br/>
        <w:t>cuya persecución se supedita a instancia privada, hipótesis  infrecuente  en</w:t>
        <w:br/>
        <w:t>este ámbito-- o  la  modificación  del  marco  legal  aplicable,  a  fin  de</w:t>
        <w:br/>
        <w:t>conformarlo a las estipulaciones de la Convención.  Estas  son  obligaciones</w:t>
        <w:br/>
        <w:t>que subsisten a cargo del Estado, en los términos de la Convención y  de  la</w:t>
        <w:br/>
        <w:t>sentencia de la Corte, independientemente de la  composición  pactada  entre</w:t>
        <w:br/>
        <w:t>las partes.</w:t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        -----------------------</w:t>
        <w:br/>
        <w:t>[1]   El Juez Oliver Jackman informó a la Corte que, por motivos  de  fuerza</w:t>
        <w:br/>
        <w:t>mayor, no podía estar presente en el XXV Período Extraordinario de  Sesiones</w:t>
        <w:br/>
        <w:t>del Tribunal, por lo que no participó en la deliberación  y  firma  de  esta</w:t>
        <w:br/>
        <w:t>Sentencia.</w:t>
        <w:br/>
        <w:t>[2]   Cfr. Caso Trujillo Oroza.  Sentencia de 26 de enero de 2000.  Serie  C</w:t>
        <w:br/>
        <w:t>No. 64, párr. 40; Caso del Caracazo.  Sentencia de 11 de noviembre de  1999.</w:t>
        <w:br/>
        <w:t xml:space="preserve"> Serie C No. 58, párr. 41; Caso Benavides  Cevallos.   Sentencia  de  19  de</w:t>
        <w:br/>
        <w:t>junio de 1998.  Serie  C  No.  38,  párr.  42;  Caso  Garrido  y  Baigorria.</w:t>
        <w:br/>
        <w:t>Sentencia de 2 de febrero de 1996.  Serie  C  No.  26,  párr.  27;  Caso  El</w:t>
        <w:br/>
        <w:t>Amparo.  Sentencia de 18 de enero de 1995.  Serie C  No.  19,  párr.  20;  y</w:t>
        <w:br/>
        <w:t>Caso Aloeboetoe y otros.  Sentencia de 4 de diciembre de 1991.  Serie C  No.</w:t>
        <w:br/>
        <w:t>11, párr. 23.</w:t>
        <w:br/>
        <w:t>[3]   Cfr. Caso Bámaca Vélasquez.  Sentencia de 25 de noviembre de 2000.</w:t>
        <w:br/>
        <w:t>Serie C No. 70, párr. 201.</w:t>
        <w:br/>
        <w:t>[4]   Cfr. Caso Trujillo Oroza, supra nota 1, párr. 43; Caso  del  Caracazo,</w:t>
        <w:br/>
        <w:t>supra nota 1, párr. 44; Caso Garrido y Baigorria, supra nota  1,  párr.  30;</w:t>
        <w:br/>
        <w:t>Caso El Amparo, supra nota 1, párr. 21; y Caso Aloeboetoe   y  otros,  supra</w:t>
        <w:br/>
        <w:t>nota 1, párr. 23.</w:t>
        <w:br/>
        <w:t>[5].  Artículo 52(2) del Reglamento vigente de la  Corte  Interamericana  de</w:t>
        <w:br/>
        <w:t>Derechos Humanos.</w:t>
        <w:br/>
        <w:br/>
        <w:t>[6].  Cf., anteriormente, los casos Aloeboetoe (1991), Serie C,  n.  11;  El</w:t>
        <w:br/>
        <w:t>Amparo (1995), Serie C, n. 19; Garrido y Baigorria (1996), Serie C,  n.  26;</w:t>
        <w:br/>
        <w:t>Benavides Cevallos (1998), Serie C, n. 38; Caracazo (1999), Serie C, n.  58;</w:t>
        <w:br/>
        <w:t>y Trujillo Oroza (2000), Serie C, n. 64.</w:t>
        <w:br/>
        <w:br/>
        <w:t>[7].  Cf., en ese sentido,  mi  Voto  Disidente  en  el  caso  Genie  Lacayo</w:t>
        <w:br/>
        <w:t>(Revisión de Sentencia, Resolución del 13.09.1997), Serie C,  n.  45,  párr.</w:t>
        <w:br/>
        <w:t>7.</w:t>
        <w:br/>
        <w:br/>
        <w:t>[8].  Cf., v.g., mi Voto Concurrente en la Opinión Consultiva n.  15,  sobre</w:t>
        <w:br/>
        <w:t>los Informes de la  Comisión  Interamericana  de  Derechos  Humanos  (1997),</w:t>
        <w:br/>
        <w:t>Serie A, n. 15, párrs. 5-7, 9 y 37; mi Voto  Concurrente  en  la  Resolución</w:t>
        <w:br/>
        <w:t>sobre Medidas Provisionales de Protección en el  caso  James  y  Otros,  del</w:t>
        <w:br/>
        <w:t>11.05.1999,  párrs.  6-8,  in  Corte  Interamericana  de  Derechos  Humanos,</w:t>
        <w:br/>
        <w:t>Compendio de Medidas Provisionales (Julio 1996/Junio 2000), Serie E,  n.  2,</w:t>
        <w:br/>
        <w:t>pp. 341-342.</w:t>
        <w:br/>
        <w:br/>
        <w:t>[9].  Y la Corte agrega, en el párrafo 44 de la presente Sentencia: -  "Como</w:t>
        <w:br/>
        <w:t>consecuencia  de  la  manifiesta  incompatibilidad  entre   las   leyes   de</w:t>
        <w:br/>
        <w:t>autoamnistía  y  la  Convención  Americana  sobre  Derechos   Humanos,   las</w:t>
        <w:br/>
        <w:t>mencionadas  leyes  carecen  de  efectos  jurídicos  y  no   pueden   seguir</w:t>
        <w:br/>
        <w:t>representando un obstáculo para la investigación  de  los  hechos  (...)  ni</w:t>
        <w:br/>
        <w:t>para la identificación y el castigo de los responsables (...)".</w:t>
        <w:br/>
        <w:br/>
        <w:t>[10].       Cf. las críticas a las "amnistías ignoradas" en  el  pasado,  in</w:t>
        <w:br/>
        <w:t>R.E. Norris, "Leyes de Impunidad y los Derechos  Humanos  en  las  Américas:</w:t>
        <w:br/>
        <w:t>Una Respuesta Legal", 15 Revista del Instituto  Interamericano  de  Derechos</w:t>
        <w:br/>
        <w:t>Humanos (1992) pp. 62-65.</w:t>
        <w:br/>
        <w:br/>
        <w:t>[11].       Naciones Unidas, Declaración  y  Programa  de  Acción  de  Viena</w:t>
        <w:br/>
        <w:t>(1993), parte II, párr. 60.</w:t>
        <w:br/>
        <w:br/>
        <w:t>[12].       Cf. el  Voto  Razonado  Conjunto  de  los  Jueces  A.A.  Cançado</w:t>
        <w:br/>
        <w:t>Trindade y A.  Abreu  Burelli,  en  el  caso  Loayza  Tamayo  (Reparaciones,</w:t>
        <w:br/>
        <w:t>Sentencia del 27.11.1998), Serie C, n. 42,  párrs.  2-4;  y  cf.  L.  Joinet</w:t>
        <w:br/>
        <w:t>(rapporteur), La Cuestión de la Impunidad de los Autores de  Violaciones  de</w:t>
        <w:br/>
        <w:t>los Derechos  Humanos  (Derechos  Civiles  y  Políticos)  -  Informe  Final,</w:t>
        <w:br/>
        <w:t>ONU/Comisión de Derechos Humanos, doc. E/CN.4/Sub.2/1997/20, de  26.06.1997,</w:t>
        <w:br/>
        <w:t>pp. 1-34.</w:t>
        <w:br/>
        <w:br/>
        <w:t>[13].       Corte  Interamericana  de  Derechos  Humanos  (CtIADH),  Opinión</w:t>
        <w:br/>
        <w:t>Consultiva sobre La Expresión "Leyes" en el Artículo  30  de  la  Convención</w:t>
        <w:br/>
        <w:t>Americana sobre Derechos Humanos (1986), Serie A, n. 6.   La  Corte  observó</w:t>
        <w:br/>
        <w:t>con acierto que  la  palabra  “leyes”  en  el  contexto  de  un  régimen  de</w:t>
        <w:br/>
        <w:t>protección de los derechos humanos “no puede desvincularse de la  naturaleza</w:t>
        <w:br/>
        <w:t>y del origen de tal régimen”, por cuanto “en la protección de  los  derechos</w:t>
        <w:br/>
        <w:t>humanos,  está  necesariamente  comprendida  la  noción  de  restricción  al</w:t>
        <w:br/>
        <w:t>ejercicio del poder estatal” (párr. 21).</w:t>
        <w:br/>
        <w:br/>
        <w:t>[14].       CtIADH, Resolución de 16.04.1997, Serie C, n. 46.</w:t>
        <w:br/>
        <w:br/>
        <w:t>[15].       CtIADH, Sentencia del 05.02.2001, Serie C, n. 73.</w:t>
        <w:br/>
        <w:br/>
        <w:t>[16].       CtIADH, Sentencia de 29.01.1997, Serie C, n. 31.</w:t>
        <w:br/>
        <w:br/>
        <w:t>[17].       Artículo 4 de la Convención Americana.</w:t>
        <w:br/>
        <w:br/>
        <w:t>[18].       Artículo 5 de la Convención Americana.</w:t>
        <w:br/>
        <w:br/>
        <w:t>[19].       CtIADH, Opinión Consultiva del 01.10.1999, Serie A, n. 16.</w:t>
        <w:br/>
        <w:br/>
        <w:t>[20].       El mismo punto lo reiteré en mi Voto Concurrente en el  caso  de</w:t>
        <w:br/>
        <w:t>los Haitianos y Dominicanos de Origen Haitiano en  la  República  Dominicana</w:t>
        <w:br/>
        <w:t>(Medidas Provisionales de Protección, Resolución del 18.08.2000, párr.  12).</w:t>
        <w:br/>
        <w:br/>
        <w:br/>
        <w:t>[21].       CtIADH, Sentencia sobre el Fondo, del 25.11.2000.</w:t>
        <w:br/>
        <w:br/>
        <w:t>[22].       El primer Protocolo (de 1998) a la Carta  Africana  de  Derechos</w:t>
        <w:br/>
        <w:t>Humanos y de los Pueblos dispone sobre la creación, - cuando entre en  vigor</w:t>
        <w:br/>
        <w:t>el Protocolo de Burkina Faso, - de una Corte Africana de Derechos Humanos  y</w:t>
        <w:br/>
        <w:t>de los Pueblos, la cual todavía no ha sido establecida.</w:t>
        <w:br/>
        <w:br/>
        <w:t>[23].       Cf., v.g., A.A. Cançado Trindade, "La jurisprudence de  la  Cour</w:t>
        <w:br/>
        <w:t>Internationale de Justice sur les droits intangibles / The Case-Law  of  the</w:t>
        <w:br/>
        <w:t>International  Court  of   Justice   on   Non-Derogable   Rights",    Droits</w:t>
        <w:br/>
        <w:t>intangibles et états  d'exception  /  Non-Derogable  Rights  and  States  of</w:t>
        <w:br/>
        <w:t>Emergency (eds. D.  Prémont,  C.  Stenersen  y  I.  Oseredczuk),  Bruxelles,</w:t>
        <w:br/>
        <w:t>Bruylant, 1996, pp. 73-89.</w:t>
        <w:br/>
        <w:br/>
        <w:t>[24].       Entendida ésta ya  no  más  como  la  simple  "práctica  de  los</w:t>
        <w:br/>
        <w:t>Estados", inspirada por  sus  llamados  "intereses  vitales",  como  en  las</w:t>
        <w:br/>
        <w:t>sistematizaciones del pasado, sino más bien la práctica  de  los  Estados  y</w:t>
        <w:br/>
        <w:t>organismos internacionales en búsqueda de la realización de fines comunes  y</w:t>
        <w:br/>
        <w:t>superiores.</w:t>
        <w:br/>
        <w:br/>
        <w:t>[25].       A.A. Cançado Trindade, "Reflexiones  sobre  el  Desarraigo  como</w:t>
        <w:br/>
        <w:t>Problema de Derechos Humanos frente a la Conciencia Jurídica Universal",  in</w:t>
        <w:br/>
        <w:t>A.A. Cançado Trindade y J. Ruiz de  Santiago,  La  Nueva  Dimensión  de  las</w:t>
        <w:br/>
        <w:t>Necesidades de Protección del Ser Humano en el Inicio  del  Siglo  XXI,  San</w:t>
        <w:br/>
        <w:t>José de Costa Rica, ACNUR, 2001, pp. 66-67.</w:t>
        <w:br/>
        <w:br/>
        <w:t>[26].       Ibid., pp. 112 y 117.</w:t>
        <w:br/>
        <w:br/>
        <w:t>[27].       Cit. in ibid., p. 298.</w:t>
        <w:br/>
        <w:br/>
        <w:t>[28].       J. Maritain, Los Derechos del Hombre y la  Ley  Natural,  Buenos</w:t>
        <w:br/>
        <w:t>Aires, Ed. Leviatán, 1982 (reimpr.), pp. 12, 18, 38, 43, 50,  94-96  y  105-</w:t>
        <w:br/>
        <w:t>108.</w:t>
        <w:br/>
        <w:br/>
        <w:t>[29].       Ibid., pp. 81-82.</w:t>
        <w:br/>
        <w:br/>
        <w:t>[30].       G. Sperduti, "La souveraineté,  le  droit  international  et  la</w:t>
        <w:br/>
        <w:t>sauvegarde des droits de la personne", in International Law  at  a  Time  of</w:t>
        <w:br/>
        <w:t>Perplexity -  Essays  in  Honour  of  Shabtai  Rosenne  (ed.  Y.  Dinstein),</w:t>
        <w:br/>
        <w:t>Dordrecht, Nijhoff, 1989, p. 884, y cf. p. 880.</w:t>
        <w:br/>
        <w:br/>
        <w:t>[31].       B. Zimmermann, "Protocol I  -  Article  1",  Commentary  on  the</w:t>
        <w:br/>
        <w:t>Additional Protocols of 1977 to the Geneva  Conventions  of  1949  (eds.  Y.</w:t>
        <w:br/>
        <w:t>Sandoz, Ch. Swinarski y B. Zimmermann), Geneva, ICRC/Nijhoff, 1987, p. 39.</w:t>
        <w:br/>
        <w:br/>
        <w:t>[32].       H. Meyrowitz, "Réflexions  sur  le  fondement  du  droit  de  la</w:t>
        <w:br/>
        <w:t>guerre", Études et essais sur le Droit international humanitaire et sur  les</w:t>
        <w:br/>
        <w:t>principes de la Croix-Rouge en l'honneur  de  Jean  Pictet  (ed.  Christophe</w:t>
        <w:br/>
        <w:t>Swinarski), Genève/La Haye,  CICR/Nijhoff,  1984,  pp.  423-424;  y  cf.  H.</w:t>
        <w:br/>
        <w:t>Strebel, "Martens' Clause", Encyclopedia of Public  International  Law  (ed.</w:t>
        <w:br/>
        <w:t>R. Bernhardt), vol. 3, Amsterdam, North-Holland Publ. Co.,  1982,  pp.  252-</w:t>
        <w:br/>
        <w:t>253.</w:t>
        <w:br/>
        <w:br/>
        <w:t>[33].       F. Münch, "Le rôle du droit spontané", in  Pensamiento  Jurídico</w:t>
        <w:br/>
        <w:t>y Sociedad International - Libro-Homenaje al  Profesor  Dr.  Antonio  Truyol</w:t>
        <w:br/>
        <w:t>Serra,  vol.  II,  Madrid,  Universidad  Complutense,  1986,  p.   836;   H.</w:t>
        <w:br/>
        <w:t>Meyrowitz, op. cit. supra n. (128), p.  420.  Ya  se  ha  señalado  que,  en</w:t>
        <w:br/>
        <w:t>ultima ratio legis, el Derecho Internacional Humanitario protege  la  propia</w:t>
        <w:br/>
        <w:t>humanidad,  ante  los  peligros  de  los  conflictos   armados;   Christophe</w:t>
        <w:br/>
        <w:t>Swinarski, Principales  Nociones  e  Institutos  del  Derecho  Internacional</w:t>
        <w:br/>
        <w:t>Humanitario como Sistema Internacional de Protección de la  Persona  Humana,</w:t>
        <w:br/>
        <w:t>San José de Costa Rica, IIDH, 1990, p. 20.</w:t>
        <w:br/>
        <w:br/>
        <w:t>[34].       F. Münch, op. cit. supra n. (28), p. 836.</w:t>
        <w:br/>
        <w:br/>
        <w:t>[35].       S. Miyazaki, "The Martens Clause and International  Humanitarian</w:t>
        <w:br/>
        <w:t>Law", Études et essais... en l'honneur de  J.  Pictet,  op.  cit.  supra  n.</w:t>
        <w:br/>
        <w:t>(27), pp. 438 y 440.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