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       Caso Cesti Hurtado Vs. Perú</w:t>
        <w:br/>
        <w:br/>
        <w:br/>
        <w:br/>
        <w:t xml:space="preserve">                       Sentencia de 31 de mayo de 2001</w:t>
        <w:br/>
        <w:br/>
        <w:t xml:space="preserve">                           (Reparaciones y Costas)</w:t>
        <w:br/>
        <w:br/>
        <w:br/>
        <w:t>En el caso Cesti Hurtado,</w:t>
        <w:br/>
        <w:br/>
        <w:t>la Corte Interamericana de Derechos Humanos, integrada por los siguientes</w:t>
        <w:br/>
        <w:t>jueces*:</w:t>
        <w:br/>
        <w:br/>
        <w:t xml:space="preserve">     Antônio A. Cançado Trindade, Presidente</w:t>
        <w:br/>
        <w:t xml:space="preserve">     Hernán Salgado Pesantes, Juez</w:t>
        <w:br/>
        <w:t xml:space="preserve">     Oliver Jackman, Juez</w:t>
        <w:br/>
        <w:t xml:space="preserve">     Alirio Abreu Burelli, Juez</w:t>
        <w:br/>
        <w:t xml:space="preserve">     Sergio García Ramírez, Juez y</w:t>
        <w:br/>
        <w:t xml:space="preserve">     Carlos Vicente de Roux Rengifo, Juez;</w:t>
        <w:br/>
        <w:br/>
        <w:t>presentes, además,</w:t>
        <w:br/>
        <w:br/>
        <w:t xml:space="preserve">     Manuel E. Ventura Robles, Secretario y</w:t>
        <w:br/>
        <w:t xml:space="preserve">     Renzo Pomi, Secretario adjunto</w:t>
        <w:br/>
        <w:br/>
        <w:t>de acuerdo con los artículos  29,  55  y  56  del  Reglamento  de  la  Corte</w:t>
        <w:br/>
        <w:t>Interamericana de Derechos  Humanos  (en  adelante  “la  Corte”,  “la  Corte</w:t>
        <w:br/>
        <w:t>Interamericana” o “el Tribunal”), en relación con el  artículo  63.1  de  la</w:t>
        <w:br/>
        <w:t>Convención Americana sobre Derechos Humanos (en adelante “la  Convención”  o</w:t>
        <w:br/>
        <w:t>“la Convención Americana”) y en  cumplimiento  de  la  sentencia  de  29  de</w:t>
        <w:br/>
        <w:t>septiembre de 1999, dicta la presente sentencia sobre reparaciones.</w:t>
        <w:br/>
        <w:br/>
        <w:br/>
        <w:t xml:space="preserve">                                      I</w:t>
        <w:br/>
        <w:t xml:space="preserve">                                 Competencia</w:t>
        <w:br/>
        <w:br/>
        <w:t>1.    La Corte es competente, en los términos de los artículos 62 y 63.1  de</w:t>
        <w:br/>
        <w:t>la Convención, para decidir sobre  reparaciones  y  gastos  en  el  presente</w:t>
        <w:br/>
        <w:t>caso, en razón de que la República del Perú (en adelante  “el  Estado”,  “el</w:t>
        <w:br/>
        <w:t>Perú” o “el Estado peruano”) es Estado  Parte  en  la  Convención  Americana</w:t>
        <w:br/>
        <w:t>desde el 28 de  julio  de  1978,  y  el  21  de  enero  de  1981  aceptó  la</w:t>
        <w:br/>
        <w:t>competencia contenciosa de la Corte.</w:t>
        <w:br/>
        <w:br/>
        <w:br/>
        <w:br/>
        <w:br/>
        <w:br/>
        <w:t xml:space="preserve">                                     II</w:t>
        <w:br/>
        <w:t xml:space="preserve">                                Antecedentes</w:t>
        <w:br/>
        <w:br/>
        <w:t>2.     El  presente  caso  fue  sometido  a  la  Corte   por   la   Comisión</w:t>
        <w:br/>
        <w:t>Interamericana  de  Derechos  Humanos  (en  adelante  “la  Comisión”  o  “la</w:t>
        <w:br/>
        <w:t>Comisión Interamericana”) mediante demanda de 9 de enero de 1998, a  la  que</w:t>
        <w:br/>
        <w:t>acompañó el Informe No. 45/97 de 16 de octubre de 1997.  Se originó  en  una</w:t>
        <w:br/>
        <w:t>denuncia (No. 11.730) contra el  Perú,  recibida  en  la  Secretaría  de  la</w:t>
        <w:br/>
        <w:t>Comisión el 7 de marzo de 1997.</w:t>
        <w:br/>
        <w:br/>
        <w:t>3.    El 29 de septiembre de 1999 la Corte dictó sentencia  sobre  el  fondo</w:t>
        <w:br/>
        <w:t>del caso en la cual decidió, por unanimidad,</w:t>
        <w:br/>
        <w:br/>
        <w:t xml:space="preserve">      1.    declarar que el Estado peruano violó,  en  perjuicio  del  señor</w:t>
        <w:br/>
        <w:t xml:space="preserve">      Gustavo Adolfo Cesti Hurtado, los artículos 7.6 y 25 de la  Convención</w:t>
        <w:br/>
        <w:t xml:space="preserve">      Americana sobre Derechos Humanos, en los  términos  señalados  en  los</w:t>
        <w:br/>
        <w:t xml:space="preserve">      párrafos 123 a  133  de  la  presente  sentencia,  y  ordenar  que  dé</w:t>
        <w:br/>
        <w:t xml:space="preserve">      cumplimiento a la resolución dictada  por  la  Sala  Especializada  de</w:t>
        <w:br/>
        <w:t xml:space="preserve">      Derecho Público de Lima el 12 de febrero de 1997, sobre el recurso  de</w:t>
        <w:br/>
        <w:t xml:space="preserve">      hábeas corpus interpuesto por el señor Cesti Hurtado[;]</w:t>
        <w:br/>
        <w:br/>
        <w:br/>
        <w:t xml:space="preserve">      2.    declarar que el Estado peruano violó,  en  perjuicio  del  señor</w:t>
        <w:br/>
        <w:t xml:space="preserve">      Gustavo Adolfo Cesti Hurtado, el artículo 7.1, 2 y 3 de la  Convención</w:t>
        <w:br/>
        <w:t xml:space="preserve">      Americana sobre Derechos Humanos, en los  términos  señalados  en  los</w:t>
        <w:br/>
        <w:t xml:space="preserve">      párrafos 140 a 143 de la presente sentencia[;]</w:t>
        <w:br/>
        <w:br/>
        <w:br/>
        <w:t xml:space="preserve">      3.    declarar que el Estado peruano violó,  en  perjuicio  del  señor</w:t>
        <w:br/>
        <w:t xml:space="preserve">      Gustavo Adolfo  Cesti  Hurtado,  el  artículo  8.1  de  la  Convención</w:t>
        <w:br/>
        <w:t xml:space="preserve">      Americana sobre Derechos Humanos, en  los  términos  señalados  en  el</w:t>
        <w:br/>
        <w:t xml:space="preserve">      párrafo 151 de la presente sentencia[;]</w:t>
        <w:br/>
        <w:br/>
        <w:br/>
        <w:t xml:space="preserve">      4.    declarar que en este caso no fue probado que el  Estado  peruano</w:t>
        <w:br/>
        <w:t xml:space="preserve">      haya violado, en perjuicio del señor Gustavo Adolfo Cesti Hurtado,  el</w:t>
        <w:br/>
        <w:t xml:space="preserve">      artículo 8.2 de la Convención Americana sobre Derechos Humanos, en los</w:t>
        <w:br/>
        <w:t xml:space="preserve">      términos señalados en el párrafo 152 de la presente sentencia;</w:t>
        <w:br/>
        <w:br/>
        <w:br/>
        <w:t xml:space="preserve">      5.    declarar que en este caso no fue probado que el  Estado  peruano</w:t>
        <w:br/>
        <w:t xml:space="preserve">      haya violado, en perjuicio del señor Gustavo Adolfo Cesti Hurtado,  el</w:t>
        <w:br/>
        <w:t xml:space="preserve">      artículo 5.2 de la Convención Americana sobre Derechos Humanos, en los</w:t>
        <w:br/>
        <w:t xml:space="preserve">      términos señalados en el párrafo 160 de la presente sentencia;</w:t>
        <w:br/>
        <w:br/>
        <w:br/>
        <w:t xml:space="preserve">      6.    declarar que el Estado peruano violó,  en  perjuicio  del  señor</w:t>
        <w:br/>
        <w:t xml:space="preserve">      Gustavo Adolfo Cesti Hurtado, los artículos 1.1 y 2 de  la  Convención</w:t>
        <w:br/>
        <w:t xml:space="preserve">      Americana sobre Derechos Humanos, en los  términos  señalados  en  los</w:t>
        <w:br/>
        <w:t xml:space="preserve">      párrafos 166 a 170 de la presente sentencia;</w:t>
        <w:br/>
        <w:br/>
        <w:br/>
        <w:t xml:space="preserve">      7.    declarar que en este caso no fue probado que el  Estado  peruano</w:t>
        <w:br/>
        <w:t xml:space="preserve">      haya violado, en perjuicio del señor Gustavo Adolfo Cesti Hurtado, los</w:t>
        <w:br/>
        <w:t xml:space="preserve">      artículos 11 y 21 de la Convención Americana sobre  Derechos  Humanos,</w:t>
        <w:br/>
        <w:t xml:space="preserve">      en los términos señalados en  los  párrafos  177,  178  y  183  de  la</w:t>
        <w:br/>
        <w:t xml:space="preserve">      presente sentencia;</w:t>
        <w:br/>
        <w:br/>
        <w:br/>
        <w:t xml:space="preserve">      8.    declarar que el juicio seguido contra el  señor  Gustavo  Adolfo</w:t>
        <w:br/>
        <w:t xml:space="preserve">      Cesti Hurtado en el fuero militar es incompatible  con  la  Convención</w:t>
        <w:br/>
        <w:t xml:space="preserve">      Americana sobre Derechos  Humanos  y  ordenar  al  Estado  anular  tal</w:t>
        <w:br/>
        <w:t xml:space="preserve">      proceso, así como todos los efectos que de él se derivan;</w:t>
        <w:br/>
        <w:br/>
        <w:br/>
        <w:t xml:space="preserve">      9.    declarar que el Estado peruano está obligado a pagar  una  justa</w:t>
        <w:br/>
        <w:t xml:space="preserve">      indemnización al señor Gustavo Adolfo Cesti Hurtado y a resarcirle los</w:t>
        <w:br/>
        <w:t xml:space="preserve">      gastos en que hubiera incurrido en las gestiones  relacionadas  en  el</w:t>
        <w:br/>
        <w:t xml:space="preserve">      presente proceso; y</w:t>
        <w:br/>
        <w:br/>
        <w:br/>
        <w:t xml:space="preserve">      10.   ordenar abrir  la  etapa  de  reparaciones  y  comisionar  a  su</w:t>
        <w:br/>
        <w:t xml:space="preserve">      Presidente para  que  oportunamente  adopte  las  medidas  que  fuesen</w:t>
        <w:br/>
        <w:t xml:space="preserve">      necesarias.</w:t>
        <w:br/>
        <w:br/>
        <w:br/>
        <w:br/>
        <w:t xml:space="preserve">                                     III</w:t>
        <w:br/>
        <w:t xml:space="preserve">                  Procedimiento en la Etapa de Reparaciones</w:t>
        <w:br/>
        <w:br/>
        <w:br/>
        <w:t>4.    El 21 de enero de 2000 el Presidente de  la  Corte  (en  adelante  “el</w:t>
        <w:br/>
        <w:t>Presidente”), en cumplimiento de la sentencia de 29 de septiembre  de  1999,</w:t>
        <w:br/>
        <w:t>resolvió:</w:t>
        <w:br/>
        <w:br/>
        <w:t xml:space="preserve">      1.    Otorgar a la Comisión Interamericana de Derechos  Humanos  plazo</w:t>
        <w:br/>
        <w:t xml:space="preserve">      hasta el 3 de marzo de 2000 para que presente un escrito y las pruebas</w:t>
        <w:br/>
        <w:t xml:space="preserve">      de que disponga para la determinación de las reparaciones y costas  en</w:t>
        <w:br/>
        <w:t xml:space="preserve">      el presente caso.</w:t>
        <w:br/>
        <w:br/>
        <w:br/>
        <w:t xml:space="preserve">      2.    Otorgar al señor Gustavo Adolfo Cesti Hurtado, víctima  en  este</w:t>
        <w:br/>
        <w:t xml:space="preserve">      caso, o a su representante legal, plazo hasta el 3 de  marzo  de  2000</w:t>
        <w:br/>
        <w:t xml:space="preserve">      para que presente un escrito y las pruebas de  que  disponga  para  la</w:t>
        <w:br/>
        <w:t xml:space="preserve">      determinación de las reparaciones y costas en el presente caso.</w:t>
        <w:br/>
        <w:br/>
        <w:br/>
        <w:t xml:space="preserve">      3.    Instruir a la Secretaría de la Corte para que, una  vez  vencido</w:t>
        <w:br/>
        <w:t xml:space="preserve">      el plazo a que hacen referencia  los  puntos  resolutivos  anteriores,</w:t>
        <w:br/>
        <w:t xml:space="preserve">      transmita  al  Estado  peruano  todos  los  escritos  y  las   pruebas</w:t>
        <w:br/>
        <w:t xml:space="preserve">      presentados.</w:t>
        <w:br/>
        <w:br/>
        <w:br/>
        <w:t xml:space="preserve">      4.    Otorgar al Estado peruano un plazo de 6 semanas, que se  contará</w:t>
        <w:br/>
        <w:t xml:space="preserve">      a partir de la fecha en que reciba los escritos y las  pruebas  a  que</w:t>
        <w:br/>
        <w:t xml:space="preserve">      hacen referencia los puntos resolutivos 1 y 2, para que  presente  sus</w:t>
        <w:br/>
        <w:t xml:space="preserve">      observaciones y las pruebas de que disponga para la  determinación  de</w:t>
        <w:br/>
        <w:t xml:space="preserve">      las reparaciones y costas en el presente caso.</w:t>
        <w:br/>
        <w:br/>
        <w:br/>
        <w:t xml:space="preserve">      5.    Convocar al señor Gustavo Adolfo Cesti Hurtado, víctima en  este</w:t>
        <w:br/>
        <w:t xml:space="preserve">      caso,  o  a  su  representante  legal,  así   como   a   la   Comisión</w:t>
        <w:br/>
        <w:t xml:space="preserve">      Interamericana de Derechos  Humanos  y  al  Estado  peruano,  una  vez</w:t>
        <w:br/>
        <w:t xml:space="preserve">      finalizada  la  etapa  escrita  del  procedimiento,  a  una  audiencia</w:t>
        <w:br/>
        <w:t xml:space="preserve">      pública, en fecha que será comunicada oportunamente.</w:t>
        <w:br/>
        <w:br/>
        <w:t>5.    El 1 de marzo de 2000 la Comisión Interamericana presentó  su  escrito</w:t>
        <w:br/>
        <w:t>relativo a reparaciones y gastos.</w:t>
        <w:br/>
        <w:br/>
        <w:t>6.    El 2 de marzo de 2000  el  señor  Gustavo  Adolfo  Cesti  Hurtado  (en</w:t>
        <w:br/>
        <w:t>adelante “el señor Cesti” o “la víctima”) presentó su escrito  y  una  serie</w:t>
        <w:br/>
        <w:t>de documentos de pruebas relativos a las reparaciones,  comprendidos  en  14</w:t>
        <w:br/>
        <w:t>anexos (infra 24).</w:t>
        <w:br/>
        <w:br/>
        <w:t>7.    El 20 de marzo de 2000 el Presidente convocó al señor  Cesti  o  a  su</w:t>
        <w:br/>
        <w:t>representante legal, al Perú y a la Comisión Interamericana a una  audiencia</w:t>
        <w:br/>
        <w:t>pública sobre reparaciones, que se celebraría el 16 de junio del  mismo  año</w:t>
        <w:br/>
        <w:t>en la sede de la Corte.</w:t>
        <w:br/>
        <w:br/>
        <w:t>8.    El 7 de abril de 2000 la Secretaría  de  la  Corte  (en  adelante  “la</w:t>
        <w:br/>
        <w:t>Secretaría”) informó al señor Cesti,  a  la  Comisión  Interamericana  y  al</w:t>
        <w:br/>
        <w:t>Estado  que  el  XLVIII  Período  Ordinario  de   Sesiones   de   la   Corte</w:t>
        <w:br/>
        <w:t>Interamericana había sido suspendido, por lo que la audiencia pública  sobre</w:t>
        <w:br/>
        <w:t>reparaciones programada  para  dicho  período  (supra  7)  sería  nuevamente</w:t>
        <w:br/>
        <w:t>convocada en su oportunidad.</w:t>
        <w:br/>
        <w:br/>
        <w:t>9.    El 13 de abril de 2000 el Estado solicitó al Presidente  prorrogar  el</w:t>
        <w:br/>
        <w:t>plazo  fijado  para  formular  sus  observaciones  a  los   escritos   sobre</w:t>
        <w:br/>
        <w:t>reparaciones presentados por la víctima y la  Comisión  Interamericana.   Al</w:t>
        <w:br/>
        <w:t>día  siguiente,  la  Secretaría,  siguiendo  instrucciones  del  Presidente,</w:t>
        <w:br/>
        <w:t>comunicó al Perú que el plazo para que  presentara  su  escrito  había  sido</w:t>
        <w:br/>
        <w:t>prorrogado hasta el 3 de mayo de 2000.</w:t>
        <w:br/>
        <w:br/>
        <w:t>10.   El 4 de mayo de 2000 el Estado realizó observaciones  a  los  escritos</w:t>
        <w:br/>
        <w:t>sobre reparaciones presentados por la víctima y la Comisión Interamericana.</w:t>
        <w:br/>
        <w:br/>
        <w:t>11.   El 12 de junio de 2000 el Presidente  convocó  al  señor  Cesti  o  su</w:t>
        <w:br/>
        <w:t>representante legal, a la Comisión Interamericana y al Perú a una  audiencia</w:t>
        <w:br/>
        <w:t>pública sobre reparaciones que se celebraría el 10 de agosto del  mismo  año</w:t>
        <w:br/>
        <w:t>en la sede de la Corte.</w:t>
        <w:br/>
        <w:br/>
        <w:t>12.   El 20 de junio  de  2000  el  señor  Cesti  realizó  observaciones  al</w:t>
        <w:br/>
        <w:t>escrito sobre reparaciones presentado por el Estado.</w:t>
        <w:br/>
        <w:br/>
        <w:t>13.   El 10 de agosto de 2000 la Corte celebró una audiencia  pública  sobre</w:t>
        <w:br/>
        <w:t>reparaciones.</w:t>
        <w:br/>
        <w:br/>
        <w:t>Comparecieron:</w:t>
        <w:br/>
        <w:br/>
        <w:t xml:space="preserve">      Gustavo Adolfo Cesti Hurtado;</w:t>
        <w:br/>
        <w:br/>
        <w:t>por la Comisión Interamericana:</w:t>
        <w:br/>
        <w:br/>
        <w:t xml:space="preserve">      Oscar Luján Fappiano;</w:t>
        <w:br/>
        <w:t xml:space="preserve">      Alberto Borea Odría; y</w:t>
        <w:br/>
        <w:t xml:space="preserve">      Christina M. Cerna;</w:t>
        <w:br/>
        <w:br/>
        <w:t>por el Estado:</w:t>
        <w:br/>
        <w:br/>
        <w:t xml:space="preserve">      Jorge Hawie Soret; y</w:t>
        <w:br/>
        <w:t xml:space="preserve">      Rolando Eyzaguirre.</w:t>
        <w:br/>
        <w:br/>
        <w:t>14.   El  11  de  septiembre  de  2000  la  víctima  presentó  observaciones</w:t>
        <w:br/>
        <w:t>escritas a los argumentos expuestos  por  el  Estado  durante  la  audiencia</w:t>
        <w:br/>
        <w:t>pública sobre reparaciones.</w:t>
        <w:br/>
        <w:br/>
        <w:t>15.   El 6 de noviembre de 2000 el  Estado  comunicó  a  la  Corte  que  “el</w:t>
        <w:br/>
        <w:t>Consejo Supremo de Justicia Militar ha[bía] cumplido con lo ordenado  en  la</w:t>
        <w:br/>
        <w:t>sentencia [sobre el fondo]” y acompañó copia de la  Resolución  de  la  Sala</w:t>
        <w:br/>
        <w:t>Plena del Consejo Supremo de Justicia Militar de 14 de septiembre  de  2000,</w:t>
        <w:br/>
        <w:t>mediante la cual se dispuso que se “suspend[ieran] las órdenes  restrictivas</w:t>
        <w:br/>
        <w:t>de libertad y de embargo de bienes dictadas en contra de[l señor Cesti]”.</w:t>
        <w:br/>
        <w:br/>
        <w:t>16.   El 9 de febrero de 2001 el Estado informó a la Corte  el  nombramiento</w:t>
        <w:br/>
        <w:t>de los señores Patricio Marcial Rubio Correa  e  Iván  Arturo  Bazán  Chacón</w:t>
        <w:br/>
        <w:t>como agente y agente alterno, respectivamente, en este caso, y el 16 de  los</w:t>
        <w:br/>
        <w:t>mismos mes y año señaló  el  lugar  donde  se  tendrían  por  recibidas  las</w:t>
        <w:br/>
        <w:t>notificaciones a que hubiese lugar.</w:t>
        <w:br/>
        <w:br/>
        <w:t>17.    El  26  de  abril  de  2001  la  víctima  presentó  un  escrito   con</w:t>
        <w:br/>
        <w:t>observaciones sobre las reparaciones del presente caso y adjuntó  una  serie</w:t>
        <w:br/>
        <w:t>de documentos de prueba comprendidos en 6 anexos (infra 27 y 29).</w:t>
        <w:br/>
        <w:br/>
        <w:br/>
        <w:t xml:space="preserve">                                     IV</w:t>
        <w:br/>
        <w:t xml:space="preserve">                                   prueba</w:t>
        <w:br/>
        <w:br/>
        <w:br/>
        <w:t>18.   El artículo 43 del Reglamento de la Corte Interamericana (en  adelante</w:t>
        <w:br/>
        <w:t>“el Reglamento”) establece que</w:t>
        <w:br/>
        <w:br/>
        <w:t xml:space="preserve">      [l]as pruebas promovidas por las partes sólo serán  admitidas  si  son</w:t>
        <w:br/>
        <w:t xml:space="preserve">      señaladas en la demanda y en su contestación […]  Excepcionalmente  la</w:t>
        <w:br/>
        <w:t xml:space="preserve">      Corte podrá admitir una prueba si alguna de las partes alegare  fuerza</w:t>
        <w:br/>
        <w:t xml:space="preserve">      mayor,  un  impedimento  grave  o  hechos  supervinientes  en  momento</w:t>
        <w:br/>
        <w:t xml:space="preserve">      distinto a los antes señalados, siempre que se garantice  a  la  parte</w:t>
        <w:br/>
        <w:t xml:space="preserve">      contraria el derecho de defensa.</w:t>
        <w:br/>
        <w:br/>
        <w:t>19.   El artículo 44 del Reglamento señala que en  cualquier  estado  de  la</w:t>
        <w:br/>
        <w:t>causa la Corte podrá:</w:t>
        <w:br/>
        <w:br/>
        <w:t xml:space="preserve">      1.     Procurar  de  oficio  toda  prueba  que  considere   útil.   En</w:t>
        <w:br/>
        <w:t xml:space="preserve">      particular, podrá oír en calidad de testigo, perito o por otro título,</w:t>
        <w:br/>
        <w:t xml:space="preserve">      a cualquier persona cuyo  testimonio,  declaración  u  opinión  estime</w:t>
        <w:br/>
        <w:t xml:space="preserve">      pertinente.</w:t>
        <w:br/>
        <w:br/>
        <w:br/>
        <w:t xml:space="preserve">      2.    Requerir de las partes el suministro de alguna prueba que esté a</w:t>
        <w:br/>
        <w:t xml:space="preserve">      su alcance o de cualquier explicación o declaración que, a su  juicio,</w:t>
        <w:br/>
        <w:t xml:space="preserve">      pueda ser útil.</w:t>
        <w:br/>
        <w:br/>
        <w:br/>
        <w:t xml:space="preserve">      3.    Solicitar a cualquier entidad, oficina, órgano o autoridad de su</w:t>
        <w:br/>
        <w:t xml:space="preserve">      elección, que obtenga información, que exprese una opinión o que  haga</w:t>
        <w:br/>
        <w:t xml:space="preserve">      un informe o dictamen sobre un punto determinado. Mientras la Corte no</w:t>
        <w:br/>
        <w:t xml:space="preserve">      lo autorice, los documentos respectivos no serán publicados.</w:t>
        <w:br/>
        <w:br/>
        <w:br/>
        <w:t xml:space="preserve">      [...]</w:t>
        <w:br/>
        <w:br/>
        <w:t>20.   Según  la  práctica  reiterada  del  Tribunal,  durante  la  etapa  de</w:t>
        <w:br/>
        <w:t>reparaciones las partes deben señalar qué pruebas  ofrecen,  en  la  primera</w:t>
        <w:br/>
        <w:t>oportunidad que se les concede para pronunciarse  por  escrito.  Además,  el</w:t>
        <w:br/>
        <w:t>ejercicio de las potestades discrecionales de la Corte, contempladas  en  el</w:t>
        <w:br/>
        <w:t>artículo 44 de su Reglamento, le permite  a  ésta  solicitar  a  las  partes</w:t>
        <w:br/>
        <w:t>elementos  probatorios  adicionales  en  carácter  de  prueba   para   mejor</w:t>
        <w:br/>
        <w:t>resolver, sin que esta posibilidad otorgue a aquéllas una nueva  oportunidad</w:t>
        <w:br/>
        <w:t>para  ampliar  o  completar  sus  alegatos  u  ofrecer  nueva  prueba  sobre</w:t>
        <w:br/>
        <w:t>reparaciones, salvo que la Corte así lo permitiere.</w:t>
        <w:br/>
        <w:br/>
        <w:t>21.   La Corte ha señalado  anteriormente  que  los  procedimientos  que  se</w:t>
        <w:br/>
        <w:t>siguen ante ella  no  están  sujetos  a  las  mismas  formalidades  que  los</w:t>
        <w:br/>
        <w:t>procedimientos internos y que la incorporación de determinados elementos  al</w:t>
        <w:br/>
        <w:t>acervo probatorio debe ser efectuada prestando  particular  atención  a  las</w:t>
        <w:br/>
        <w:t>circunstancias del caso concreto y teniendo presentes los  límites  trazados</w:t>
        <w:br/>
        <w:t>por el respeto a la seguridad jurídica  y  al  equilibrio  procesal  de  las</w:t>
        <w:br/>
        <w:t>partes[1].  En  su  jurisprudencia  la  Corte  ha  sostenido  que  tiene  la</w:t>
        <w:br/>
        <w:t>potestad de evaluar las pruebas dentro de los límites de  la  sana  crítica;</w:t>
        <w:br/>
        <w:t>y, ha evitado siempre suministrar una rígida determinación  del  quantum  de</w:t>
        <w:br/>
        <w:t>prueba necesaria para fundar un fallo[2].</w:t>
        <w:br/>
        <w:br/>
        <w:t>22.   Esta práctica es extensiva a los  escritos  en  que  se  formulan  las</w:t>
        <w:br/>
        <w:t>pretensiones  sobre  reparaciones  de  la  víctima    y   de   la   Comisión</w:t>
        <w:br/>
        <w:t>Interamericana  y  al  escrito  de  respuesta  del  Estado,  que   son   los</w:t>
        <w:br/>
        <w:t>principales  documentos  de  la  presente  etapa  y  revisten,  en  términos</w:t>
        <w:br/>
        <w:t>generales, las mismas formalidades que la demanda respecto a  la  oferta  de</w:t>
        <w:br/>
        <w:t>prueba.</w:t>
        <w:br/>
        <w:br/>
        <w:t>23.   Con base en lo dicho, la Corte  procederá  a  examinar  y  valorar  el</w:t>
        <w:br/>
        <w:t>conjunto de los elementos que  conforman  el  acervo  probatorio,  según  la</w:t>
        <w:br/>
        <w:t>regla de la sana crítica[3], dentro del marco legal del caso en estudio.</w:t>
        <w:br/>
        <w:br/>
        <w:t>24.   En relación con la prueba, cuando el señor Cesti presentó  su  escrito</w:t>
        <w:br/>
        <w:t>sobre reparaciones adjuntó al mismo una serie de documentos comprendidos  en</w:t>
        <w:br/>
        <w:t>14 anexos[4] (supra 6).</w:t>
        <w:br/>
        <w:t>25.         Ni la Comisión Interamericana ni el  Estado  presentaron  prueba</w:t>
        <w:br/>
        <w:t>alguna en sus escritos sobre reparaciones.</w:t>
        <w:br/>
        <w:br/>
        <w:t>26.   El 6 de  noviembre  de  2000  el  Estado  presentó  una  copia  de  la</w:t>
        <w:br/>
        <w:t>Resolución de la Sala Plena del Consejo Supremo de Justicia  Militar  de  14</w:t>
        <w:br/>
        <w:t>de septiembre de 2000 (supra 15).</w:t>
        <w:br/>
        <w:br/>
        <w:t>27.   El 26 de abril de 2001 la víctima  presentó  observaciones  sobre  las</w:t>
        <w:br/>
        <w:t>reparaciones y adjuntó 6 anexos[5] (supra 17).</w:t>
        <w:br/>
        <w:t>28.   En el presente  caso,  el  Tribunal  admite  el  valor  probatorio  de</w:t>
        <w:br/>
        <w:t>aquellos documentos oportunamente presentados por las partes que  no  fueron</w:t>
        <w:br/>
        <w:t>controvertidos ni objetados, y cuya autenticidad no fue puesta en duda[6].</w:t>
        <w:br/>
        <w:br/>
        <w:t>29.   En cuanto a la Resolución de la Sala  Plena  del  Consejo  Supremo  de</w:t>
        <w:br/>
        <w:t>Justicia Militar de 14 de septiembre de 2000, a pesar de  que  ésta  no  fue</w:t>
        <w:br/>
        <w:t>aportada en el momento procesal oportuno (supra  15  y  26  ),  el  Tribunal</w:t>
        <w:br/>
        <w:t>observa que dicha prueba se refiere a un hecho superviniente, razón  por  la</w:t>
        <w:br/>
        <w:t>cual se justifica su presentación tardía, y es  procedente  su  admisión  al</w:t>
        <w:br/>
        <w:t>acervo probatorio.  Lo mismo  puede  afirmarse  con  respecto  a  la  prueba</w:t>
        <w:br/>
        <w:t>presentada por la víctima el 26 de abril de 2001 (supra 17 y 27).</w:t>
        <w:br/>
        <w:br/>
        <w:br/>
        <w:t xml:space="preserve">                                      V</w:t>
        <w:br/>
        <w:t xml:space="preserve">                            Obligación de Reparar</w:t>
        <w:br/>
        <w:br/>
        <w:br/>
        <w:t>30.   En el punto resolutivo décimo de  la  sentencia  de  fondo  de  29  de</w:t>
        <w:br/>
        <w:t>septiembre de 1999, la Corte  decidió  abrir  la  etapa  de  reparaciones  y</w:t>
        <w:br/>
        <w:t>comisionó al  Presidente  para  que  adoptara  las  medidas  procedimentales</w:t>
        <w:br/>
        <w:t>correspondientes.</w:t>
        <w:br/>
        <w:br/>
        <w:t>31.   En materia de reparaciones,  es  aplicable  el  artículo  63.1  de  la</w:t>
        <w:br/>
        <w:t>Convención Americana, que prescribe:</w:t>
        <w:br/>
        <w:br/>
        <w:t xml:space="preserve">      Cuando decida que hubo violación de un derecho o  libertad 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 lesionada  (subrayado</w:t>
        <w:br/>
        <w:t xml:space="preserve">      no es del original).</w:t>
        <w:br/>
        <w:br/>
        <w:t>32.   Este Tribunal ha reiterado en su jurisprudencia constante  que  es  un</w:t>
        <w:br/>
        <w:t>principio de derecho internacional que  toda  violación  de  una  obligación</w:t>
        <w:br/>
        <w:t>internacional que haya producido un daño  comporta  el  deber  de  repararlo</w:t>
        <w:br/>
        <w:t>adecuadamente[7].</w:t>
        <w:br/>
        <w:t>33. 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De no ser esto posible, como en el presente  caso,  cabe</w:t>
        <w:br/>
        <w:t>al tribunal internacional determinar una serie de  medidas  para  garantizar</w:t>
        <w:br/>
        <w:t>los derechos conculcados y ordenar el pago  de  una  indemnización  por  los</w:t>
        <w:br/>
        <w:t>daños ocasionados[8].</w:t>
        <w:br/>
        <w:br/>
        <w:t>34.   La obligación  de  reparar  que  se  regula,  en  todos  los  aspectos</w:t>
        <w:br/>
        <w:t>(alcance, naturaleza, modalidades y determinación de los beneficiarios)  por</w:t>
        <w:br/>
        <w:t>el derecho internacional, no  puede  ser  modificada  o  incumplida  por  el</w:t>
        <w:br/>
        <w:t>Estado obligado, invocando disposiciones de su derecho interno[9].</w:t>
        <w:br/>
        <w:br/>
        <w:t>35.   Tal como ha indicado la Corte,  el  artículo 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 de  los  Estados[10].  Al  producirse  un   hecho   ilícito</w:t>
        <w:br/>
        <w:t>imputable a un Estado surge de inmediato  la  responsabilidad  internacional</w:t>
        <w:br/>
        <w:t>de éste por la violación de una  norma  internacional,  con  el  consecuente</w:t>
        <w:br/>
        <w:t>deber de reparación y de hacer cesar las consecuencias de la violación[11].</w:t>
        <w:br/>
        <w:br/>
        <w:t>36. 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 como   moral.    Las   reparaciones   no   pueden   implicar   ni</w:t>
        <w:br/>
        <w:t>enriquecimiento ni empobrecimiento para la víctima o sus sucesores[12].</w:t>
        <w:br/>
        <w:br/>
        <w:t>37.   Las reparaciones que se establezcan en esta sentencia,  deben  guardar</w:t>
        <w:br/>
        <w:t>relación con las violaciones declaradas en la  sentencia  de  fondo  dictada</w:t>
        <w:br/>
        <w:t>por la Corte el 29 de septiembre de 1999 (supra 3).</w:t>
        <w:br/>
        <w:br/>
        <w:t xml:space="preserve">                                     VI</w:t>
        <w:br/>
        <w:t xml:space="preserve">                                Beneficiarios</w:t>
        <w:br/>
        <w:br/>
        <w:t>38.   Es evidente que el señor Gustavo Adolfo Cesti Hurtado  es  la  víctima</w:t>
        <w:br/>
        <w:t>en el presente caso.  En su sentencia de 29 de septiembre de 1999, la  Corte</w:t>
        <w:br/>
        <w:t>declaró que el Estado violó, en su perjuicio,  varios  derechos  consagrados</w:t>
        <w:br/>
        <w:t>en la Convención (supra 3), razón por la cual es acreedor  al  pago  de  las</w:t>
        <w:br/>
        <w:t>indemnizaciones que en su favor determine este Tribunal.</w:t>
        <w:br/>
        <w:br/>
        <w:t>39.   Sin embargo, en su escrito de 2  de  marzo  de  2000  el  señor  Cesti</w:t>
        <w:br/>
        <w:t>solicitó a la Corte una indemnización por concepto  de  daño  moral  también</w:t>
        <w:br/>
        <w:t>para su esposa, hijos, suegra y padre, por haber sido afectados a  lo  largo</w:t>
        <w:br/>
        <w:t>de más de tres años por las violaciones de  los  derechos  fundamentales  de</w:t>
        <w:br/>
        <w:t>aquél.</w:t>
        <w:br/>
        <w:br/>
        <w:t>40.    La  Corte  reconoce  que  las  violaciones  constatadas  deben  haber</w:t>
        <w:br/>
        <w:t>producido perjuicios de diversa índole en el núcleo familiar de la  víctima,</w:t>
        <w:br/>
        <w:t>razón por la cual sus  familiares  más  cercanos  podrían  tener  derecho  a</w:t>
        <w:br/>
        <w:t>recibir  una  indemnización  siempre  que  ésta  guarde  relación  con   las</w:t>
        <w:br/>
        <w:t>violaciones declaradas en la sentencia sobre el fondo y en la medida en  que</w:t>
        <w:br/>
        <w:t>cumpla los requisitos fijados por la jurisprudencia de este Tribunal.</w:t>
        <w:br/>
        <w:br/>
        <w:br/>
        <w:t xml:space="preserve">                                     VII</w:t>
        <w:br/>
        <w:t xml:space="preserve">                               Hechos Probados</w:t>
        <w:br/>
        <w:br/>
        <w:t>41.    Con  el  fin  de  determinar  las  medidas  de  reparación  que  sean</w:t>
        <w:br/>
        <w:t>procedentes en este caso, la  Corte  tendrá  como  base  de  referencia  los</w:t>
        <w:br/>
        <w:t>hechos admitidos como probados en su sentencia de 29 de septiembre de  1999.</w:t>
        <w:br/>
        <w:t xml:space="preserve"> Además, como ha sido señalado, la víctima  y  el  Estado  han  aportado  al</w:t>
        <w:br/>
        <w:t>expediente elementos probatorios adicionales que tienen relevancia  para  la</w:t>
        <w:br/>
        <w:t>determinación de las medidas de reparación.  La  Corte  ha  examinado  estos</w:t>
        <w:br/>
        <w:t>elementos de prueba y los alegatos de las  partes  y  declara  probados  los</w:t>
        <w:br/>
        <w:t>siguientes hechos en relación con el señor Cesti:</w:t>
        <w:br/>
        <w:br/>
        <w:t xml:space="preserve">            a)    que tenía 45 años en el momento de su detención[13];</w:t>
        <w:br/>
        <w:br/>
        <w:br/>
        <w:t xml:space="preserve">            b)    que en el momento de su detención era  gerente  general  y</w:t>
        <w:br/>
        <w:t xml:space="preserve">      representante legal de la empresa de seguros “Top Security Asesores  y</w:t>
        <w:br/>
        <w:t xml:space="preserve">      Corredores de Seguros Sociedad Anónima” (en adelante “Top Security”  o</w:t>
        <w:br/>
        <w:t xml:space="preserve">      “la empresa”[14];</w:t>
        <w:br/>
        <w:br/>
        <w:br/>
        <w:t xml:space="preserve">            c)    que en el tiempo que estuvo detenido sufrió  padecimientos</w:t>
        <w:br/>
        <w:t xml:space="preserve">      de  salud  de  tipo  psicológico  y  cardíaco,  por  lo  que   recibió</w:t>
        <w:br/>
        <w:t xml:space="preserve">      tratamiento médico durante su detención[15];</w:t>
        <w:br/>
        <w:br/>
        <w:br/>
        <w:t xml:space="preserve">            d)    que fue liberado el 11 de noviembre de 1999[16];</w:t>
        <w:br/>
        <w:br/>
        <w:br/>
        <w:t xml:space="preserve">            e)    que incurrió en  una  serie  de  gastos  por  concepto  de</w:t>
        <w:br/>
        <w:t xml:space="preserve">      honorarios profesionales de sus representantes  para  la  preparación,</w:t>
        <w:br/>
        <w:t xml:space="preserve">      presentación y tramitación de su caso ante las autoridades peruanas  y</w:t>
        <w:br/>
        <w:t xml:space="preserve">      el sistema interamericano[17];</w:t>
        <w:br/>
        <w:br/>
        <w:br/>
        <w:t xml:space="preserve">            f)    que sus abogados y otras personas del  entorno  del  señor</w:t>
        <w:br/>
        <w:t xml:space="preserve">      Cesti incurrieron también en gastos, en  particular  relacionados  con</w:t>
        <w:br/>
        <w:t xml:space="preserve">      viajes a Costa Rica y  a los Estados Unidos[18];</w:t>
        <w:br/>
        <w:br/>
        <w:br/>
        <w:t xml:space="preserve">             g)     que  su  familia   contrató   servicios   de   seguridad</w:t>
        <w:br/>
        <w:t xml:space="preserve">      privada[19].</w:t>
        <w:br/>
        <w:br/>
        <w:br/>
        <w:t xml:space="preserve">                                    VIII</w:t>
        <w:br/>
        <w:t xml:space="preserve">                                Reparaciones</w:t>
        <w:br/>
        <w:br/>
        <w:br/>
        <w:t xml:space="preserve">                              A)  Daño Material</w:t>
        <w:br/>
        <w:br/>
        <w:t>42.    El  señor  Cesti  señaló  que  al  momento  de   su   detención   era</w:t>
        <w:br/>
        <w:t>representante  legal  y  gerente  general  de  la  empresa   familiar   “Top</w:t>
        <w:br/>
        <w:t>Security”, de reconocido prestigio en el Perú,  cuyos  accionistas  eran  su</w:t>
        <w:br/>
        <w:t>esposa, su hija y su padre.  Indicó que  dicha  empresa  ocupaba  el  cuarto</w:t>
        <w:br/>
        <w:t>puesto del “ranking” que elabora la  Superintendencia  de  Banca  y  Seguros</w:t>
        <w:br/>
        <w:t>entre más de 300 empresas similares,  y  el  primer  lugar  en  el  pago  de</w:t>
        <w:br/>
        <w:t>impuestos.  Manifestó que, durante los tres años anteriores a  la  detención</w:t>
        <w:br/>
        <w:t>a la que él fue sometido, la empresa  había  tenido  una  facturación  anual</w:t>
        <w:br/>
        <w:t>superior a los US$ 2.000.000,00 (dos millones  de  dólares  de  los  Estados</w:t>
        <w:br/>
        <w:t>Unidos de América) en promedio.  Por  último,  afirmó  que,  cuando  él  fue</w:t>
        <w:br/>
        <w:t>detenido,  la  Superintendencia  de  Banca  y  Seguros  resolvió  que,   por</w:t>
        <w:br/>
        <w:t>encontrarse privado de su libertad, no podía continuar  cumpliendo  con  sus</w:t>
        <w:br/>
        <w:t>funciones como representante legal de la  empresa,  requisito  indispensable</w:t>
        <w:br/>
        <w:t>para el funcionamiento de la misma, razón por la cual las  funciones  de  la</w:t>
        <w:br/>
        <w:t>empresa tuvieron que ser suspendidas,  situación  que  continuaba  hasta  la</w:t>
        <w:br/>
        <w:t>fecha de su escrito de reparaciones.</w:t>
        <w:br/>
        <w:br/>
        <w:t>43.   Con base en lo anterior, el  señor  Cesti  solicitó  al  Tribunal  las</w:t>
        <w:br/>
        <w:t>siguientes indemnizaciones por concepto de daño material:</w:t>
        <w:br/>
        <w:br/>
        <w:t xml:space="preserve">      a)    US$ 6.000.000,00  (seis  millones  de  dólares  de  los  Estados</w:t>
        <w:br/>
        <w:t xml:space="preserve">      Unidos de América) por concepto de lucro cesante causado  directamente</w:t>
        <w:br/>
        <w:t xml:space="preserve">      por el cese de las actividades de la empresa;</w:t>
        <w:br/>
        <w:br/>
        <w:t xml:space="preserve">      b)    US$ 106.405,63 (ciento seis mil cuatrocientos cinco  dólares  de</w:t>
        <w:br/>
        <w:t xml:space="preserve">      los Estados Unidos de América con sesenta y tres centavos) como  total</w:t>
        <w:br/>
        <w:t xml:space="preserve">      de gastos en sistemas y personal de seguridad contratado  para  cuidar</w:t>
        <w:br/>
        <w:t xml:space="preserve">      los desplazamientos de la familia Cesti, sus hogares y la empresa  Top</w:t>
        <w:br/>
        <w:t xml:space="preserve">      Security, debido a las constantes amenazas sufridas, los robos en  las</w:t>
        <w:br/>
        <w:t xml:space="preserve">      oficinas para sustraer  información,  la  colocación  de  sistemas  de</w:t>
        <w:br/>
        <w:t xml:space="preserve">      escucha en la oficina de la señora Carmen Cardó de  Cesti  y  amenazas</w:t>
        <w:br/>
        <w:t xml:space="preserve">      con armamento de guerra desde vehículos en marcha;</w:t>
        <w:br/>
        <w:br/>
        <w:t xml:space="preserve">      c)    US$ 15.690,69 (quince mil seiscientos  noventa  dólares  de  los</w:t>
        <w:br/>
        <w:t xml:space="preserve">      Estados Unidos de América con sesenta y nueve  centavos)  gastados  en</w:t>
        <w:br/>
        <w:t xml:space="preserve">      avisos en la prensa nacional y extranjera con  el  fin  de  tratar  de</w:t>
        <w:br/>
        <w:t xml:space="preserve">      aminorar los daños al señor Cesti;</w:t>
        <w:br/>
        <w:br/>
        <w:t xml:space="preserve">      d)    US$ 4.000.000,00 (cuatro millones  de  dólares  de  los  Estados</w:t>
        <w:br/>
        <w:t xml:space="preserve">      Unidos de América) por concepto de daño emergente para poder  poner  a</w:t>
        <w:br/>
        <w:t xml:space="preserve">      la empresa Top Security en el sitial  de  prestigio  y  confianza  que</w:t>
        <w:br/>
        <w:t xml:space="preserve">      había logrado tener;</w:t>
        <w:br/>
        <w:br/>
        <w:t xml:space="preserve">      e)    US$ 43.907,21 (cuarenta y tres mil novecientos siete dólares  de</w:t>
        <w:br/>
        <w:t xml:space="preserve">      los Estados Unidos de América con veintiún centavos) por  concepto  de</w:t>
        <w:br/>
        <w:t xml:space="preserve">      daño emergente, como consecuencia de la interrupción de un programa de</w:t>
        <w:br/>
        <w:t xml:space="preserve">      seguros de la empresa Top Security, denominado “Mi  Seguro”,  el  cual</w:t>
        <w:br/>
        <w:t xml:space="preserve">      tuvo que ser suspendido debido a los problemas suscitados;</w:t>
        <w:br/>
        <w:br/>
        <w:t xml:space="preserve">      f)    US$ 1.070.000,00 (un millón setenta mil dólares de  los  Estados</w:t>
        <w:br/>
        <w:t xml:space="preserve">      Unidos de América) como  total  del  daño  económico  causado  por  el</w:t>
        <w:br/>
        <w:t xml:space="preserve">      embargo decretado sobre sus bienes (inmuebles y ahorros),  los  cuales</w:t>
        <w:br/>
        <w:t xml:space="preserve">      eran copropiedad de su esposa.  Dicha cantidad incluye US$  360.000,00</w:t>
        <w:br/>
        <w:t xml:space="preserve">      (trescientos sesenta mil dólares de los Estados Unidos de América) por</w:t>
        <w:br/>
        <w:t xml:space="preserve">      el embargo de US$ 400.000,00 (cuatrocientos mil dólares de los Estados</w:t>
        <w:br/>
        <w:t xml:space="preserve">      Unidos de América) durante tres años, más US$ 710.000,00  (setecientos</w:t>
        <w:br/>
        <w:t xml:space="preserve">      diez mil dólares de los Estados Unidos de América) por el  embargo  de</w:t>
        <w:br/>
        <w:t xml:space="preserve">      inmuebles.  Dichos inmuebles consistían en una residencia y un  chalet</w:t>
        <w:br/>
        <w:t xml:space="preserve">      en una zona exclusiva de  Lima,  un  departamento  en  la  mejor  zona</w:t>
        <w:br/>
        <w:t xml:space="preserve">      comercial de la misma ciudad  y  un  estacionamiento  vehicular,  cuyo</w:t>
        <w:br/>
        <w:t xml:space="preserve">      precio comercial, en conjunto, suma  la  cantidad  de  US$  900.000,00</w:t>
        <w:br/>
        <w:t xml:space="preserve">      (novecientos  mil  dólares  de  los   Estados   Unidos   de   América)</w:t>
        <w:br/>
        <w:t xml:space="preserve">      aproximadamente; y</w:t>
        <w:br/>
        <w:br/>
        <w:t xml:space="preserve">      g)     US$  67.316,48  (sesenta  y  siete  mil  trescientos  dieciséis</w:t>
        <w:br/>
        <w:t xml:space="preserve">      dólares de los Estados Unidos de América con cuarenta y ocho centavos)</w:t>
        <w:br/>
        <w:t xml:space="preserve">      por concepto de daños  adicionales,  toda  vez  que  a  causa  de  los</w:t>
        <w:br/>
        <w:t xml:space="preserve">      embargos dispuestos sobre sus bienes, la empresa  se  retrasó  en  los</w:t>
        <w:br/>
        <w:t xml:space="preserve">      pagos a la Superintendencia Nacional de Administración Tributaria, por</w:t>
        <w:br/>
        <w:t xml:space="preserve">      lo que dicha  institución  le  retiró  el  beneficio  del  régimen  de</w:t>
        <w:br/>
        <w:t xml:space="preserve">      fraccionamiento especial de la deuda tributaria.</w:t>
        <w:br/>
        <w:br/>
        <w:br/>
        <w:t>44.   La Comisión consideró, por su parte, que  el  Perú  debía  reparar  al</w:t>
        <w:br/>
        <w:t>señor Cesti, mediante el pago de una adecuada indemnización,  los  daños  de</w:t>
        <w:br/>
        <w:t>naturaleza irreversible que sufrió como consecuencia de la violación de  sus</w:t>
        <w:br/>
        <w:t>derechos.  En este sentido, la Comisión solicitó a la Corte  resarcir  a  la</w:t>
        <w:br/>
        <w:t>víctima el lucro  cesante,  consistente  en  las  retribuciones  dejadas  de</w:t>
        <w:br/>
        <w:t>percibir como funcionario  de  la  empresa,  desde  su  detención  hasta  su</w:t>
        <w:br/>
        <w:t>efectiva reincorporación; en las ganancias que como  “accionista”  de  dicha</w:t>
        <w:br/>
        <w:t>empresa había dejado de percibir con motivo del cese de sus  actividades;  y</w:t>
        <w:br/>
        <w:t>en las rentas e intereses dejados de percibir por la indisponibilidad de  su</w:t>
        <w:br/>
        <w:t>propiedad como consecuencia del embargo trabado sobre sus  bienes.   También</w:t>
        <w:br/>
        <w:t>la Comisión pidió  al  Tribunal  la  indemnización  por  el  daño  emergente</w:t>
        <w:br/>
        <w:t>ocasionado por la indisponibilidad de los bienes  embargados  y  los  gastos</w:t>
        <w:br/>
        <w:t>por efectuar para  el  reposicionamiento  en  plaza  de  Top  Security.   La</w:t>
        <w:br/>
        <w:t>Comisión se remitió a los cálculos y sumas  que  solicitó  la  víctima,  así</w:t>
        <w:br/>
        <w:t>como a la prueba que ésta acompañó.</w:t>
        <w:br/>
        <w:br/>
        <w:t>45.   Finalmente, el Perú manifestó que las reclamaciones por daño  material</w:t>
        <w:br/>
        <w:t>no procedían debido a que:</w:t>
        <w:br/>
        <w:br/>
        <w:t xml:space="preserve">      a)    el hecho de que el señor  Cesti  se  encontrara  ausente  de  la</w:t>
        <w:br/>
        <w:t xml:space="preserve">      administración de la empresa  no  podía  originar,  como  consecuencia</w:t>
        <w:br/>
        <w:t xml:space="preserve">      directa,  un  daño  material,  ya  que  dicha  empresa  habría  podido</w:t>
        <w:br/>
        <w:t xml:space="preserve">      continuar prestando sus servicios  con  otro  representante  legal  e,</w:t>
        <w:br/>
        <w:t xml:space="preserve">      inclusive, con la participación y el asesoramiento del señor Cesti;</w:t>
        <w:br/>
        <w:br/>
        <w:t xml:space="preserve">      b)    los estados financieros de la  empresa  no  demostraban  que  la</w:t>
        <w:br/>
        <w:t xml:space="preserve">      misma tuviera ingresos anuales de US$ 2.000.000,00  (dos  millones  de</w:t>
        <w:br/>
        <w:t xml:space="preserve">      dólares de los Estados Unidos de América);</w:t>
        <w:br/>
        <w:br/>
        <w:t xml:space="preserve">      c)     el  rubro  solicitado  para  indemnizar  gastos  causados  para</w:t>
        <w:br/>
        <w:t xml:space="preserve">      brindar seguridad a la  familia  y  bienes  del  señor  Cesti  no  fue</w:t>
        <w:br/>
        <w:t xml:space="preserve">      contemplado en la sentencia sobre el fondo, ni había  sido  solicitado</w:t>
        <w:br/>
        <w:t xml:space="preserve">      ante la jurisdicción interna;</w:t>
        <w:br/>
        <w:br/>
        <w:t xml:space="preserve">       d)     los  gastos  ocasionados  por   la   publicación   de   avisos</w:t>
        <w:br/>
        <w:t xml:space="preserve">      periodísticos habían sido realizados “motu proprio”;</w:t>
        <w:br/>
        <w:br/>
        <w:t xml:space="preserve">      e)    el nivel de confiabilidad que  adquiere  una  empresa  se  da  a</w:t>
        <w:br/>
        <w:t xml:space="preserve">      través de la trascendencia de la persona jurídica,  independientemente</w:t>
        <w:br/>
        <w:t xml:space="preserve">      de quien forme su directorio, y el programa  “Mi  Seguro”  pudo  haber</w:t>
        <w:br/>
        <w:t xml:space="preserve">      continuado implementándose, por lo que su suspensión no constituía  un</w:t>
        <w:br/>
        <w:t xml:space="preserve">      daño emergente;</w:t>
        <w:br/>
        <w:br/>
        <w:t xml:space="preserve">      f)    los embargos decretados se realizaron como parte de  un  derecho</w:t>
        <w:br/>
        <w:t xml:space="preserve">      que correspondía a toda instancia jurisdiccional, a fin  de  asegurar,</w:t>
        <w:br/>
        <w:t xml:space="preserve">      cautelarmente, la ejecución de un resultado posterior del  proceso,  y</w:t>
        <w:br/>
        <w:t xml:space="preserve">      no se debían considerar como un daño económico; y</w:t>
        <w:br/>
        <w:br/>
        <w:t xml:space="preserve">       g)     la  deuda  tributaria  a  la  Superintendencia   Nacional   de</w:t>
        <w:br/>
        <w:t xml:space="preserve">      Administración Tributaria preexistía a la detención del señor Cesti  y</w:t>
        <w:br/>
        <w:t xml:space="preserve">      pudo haberse abonado teniendo en cuenta los ingresos  anuales  que  el</w:t>
        <w:br/>
        <w:t xml:space="preserve">      señor Cesti “dijo que se percibían”;  además,  dicha  deuda  se  había</w:t>
        <w:br/>
        <w:t xml:space="preserve">      originado por el manejo de la empresa Top  Security,  por  lo  que  no</w:t>
        <w:br/>
        <w:t xml:space="preserve">      tenía relación con el encarcelamiento del señor Cesti.</w:t>
        <w:br/>
        <w:br/>
        <w:t>46.   La Corte toma nota de lo expresado por la víctima y la Comisión en  el</w:t>
        <w:br/>
        <w:t>sentido de que las violaciones ocurridas en el presente caso justifican  una</w:t>
        <w:br/>
        <w:t>reparación en beneficio del señor Cesti por concepto de daño material.   Sin</w:t>
        <w:br/>
        <w:t>embargo,  observando  las  particularidades  del  caso  en  estudio   y   la</w:t>
        <w:br/>
        <w:t>naturaleza de las reparaciones solicitadas, este Tribunal considera que  las</w:t>
        <w:br/>
        <w:t>mismas deben ser determinadas mediante los mecanismos  que  establezcan  las</w:t>
        <w:br/>
        <w:t>leyes internas. Los tribunales internos o las  instituciones  especializadas</w:t>
        <w:br/>
        <w:t>nacionales poseen conocimientos propios del ramo  de  actividad  al  que  se</w:t>
        <w:br/>
        <w:t>dedicaba la víctima.  Tomando  en  consideración  la  especificidad  de  las</w:t>
        <w:br/>
        <w:t>reparaciones solicitadas así como las características  propias  del  derecho</w:t>
        <w:br/>
        <w:t>mercantil y de las sociedades y  operaciones  comerciales  involucradas,  la</w:t>
        <w:br/>
        <w:t>Corte estima que dicha determinación corresponde más bien a las  mencionadas</w:t>
        <w:br/>
        <w:t>instituciones  nacionales  que  a  un  tribunal  internacional  de  derechos</w:t>
        <w:br/>
        <w:t>humanos.</w:t>
        <w:br/>
        <w:br/>
        <w:t>47.   Por lo expuesto, es oportuno ordenar al  Estado  que  indemnice  a  la</w:t>
        <w:br/>
        <w:t>víctima por los daños  materiales  que  las  violaciones  declaradas  en  la</w:t>
        <w:br/>
        <w:t>sentencia de fondo le han ocasionado,  tomando  en  cuenta,  dentro  de  las</w:t>
        <w:br/>
        <w:t>circunstancias del presente caso, los elementos que normalmente componen  el</w:t>
        <w:br/>
        <w:t>daño material; y que  proceda  a  fijar,  siguiendo  los  normas  nacionales</w:t>
        <w:br/>
        <w:t>pertinentes, las montos indemnizatorios correspondientes, a fin  de  que  la</w:t>
        <w:br/>
        <w:t>víctima los reciba en un plazo razonable.</w:t>
        <w:br/>
        <w:br/>
        <w:t xml:space="preserve">                               B)  Daño Moral</w:t>
        <w:br/>
        <w:br/>
        <w:t>48.    La  víctima  señaló  que  los  tres  años  de  “detención   indebida,</w:t>
        <w:br/>
        <w:t>angustiante y cruel, más la incertidumbre  y  tensión  permanente  que  [...</w:t>
        <w:br/>
        <w:t>había] gener[ado en él] el hecho  [de]  que  [...]  no  se  aclara[ran]  los</w:t>
        <w:br/>
        <w:t>motivos de su liberación”,  hacía  que  viviera  “con  la  angustia  de  una</w:t>
        <w:br/>
        <w:t>inseguridad basada en la arbitrariedad con que se ha[bía]  procedido  contra</w:t>
        <w:br/>
        <w:t>[é]l”, todo lo cual le había ocasionado un daño psicológico muy  severo  del</w:t>
        <w:br/>
        <w:t>que hasta ahora no se recupera.  Solicitó entonces,  por  concepto  de  daño</w:t>
        <w:br/>
        <w:t>moral, la suma de US$ 20.000.000,00  (veinte  millones  de  dólares  de  los</w:t>
        <w:br/>
        <w:t>Estados Unidos de América).  De igual manera, indicó que  su  familia  había</w:t>
        <w:br/>
        <w:t>sido permanentemente hostigada, amenazada y humillada, y se  había  atentado</w:t>
        <w:br/>
        <w:t>contra su vida durante los últimos años,  razón  por  la  que  solicitó  las</w:t>
        <w:br/>
        <w:t>siguientes sumas:</w:t>
        <w:br/>
        <w:br/>
        <w:t xml:space="preserve">    * US$ 2.000.000,00 (dos millones de dólares de  los  Estados  Unidos  de</w:t>
        <w:br/>
        <w:t xml:space="preserve">      América) para su esposa, señora Carmen Cardó Guarderas de Cesti;</w:t>
        <w:br/>
        <w:t xml:space="preserve">    * US$ 1.000.000,00 (un millón  de  dólares  de  los  Estados  Unidos  de</w:t>
        <w:br/>
        <w:t xml:space="preserve">      América) para su hija, señora Margarita  del  Carmen  Cesti  Cardó  de</w:t>
        <w:br/>
        <w:t xml:space="preserve">      Lama;</w:t>
        <w:br/>
        <w:t xml:space="preserve">    * US$ 1.000.000,00 (un millón  de  dólares  de  los  Estados  Unidos  de</w:t>
        <w:br/>
        <w:t xml:space="preserve">      América) para su hijo, señor Gustavo Guillermo Cesti Cardó;</w:t>
        <w:br/>
        <w:t xml:space="preserve">    * US$ 500.000,00 (quinientos  mil  dólares  de  los  Estados  Unidos  de</w:t>
        <w:br/>
        <w:t xml:space="preserve">      América) para su suegra, señora Judith Guarderas Cardó de Cardó; y</w:t>
        <w:br/>
        <w:t xml:space="preserve">    * US$ 500.000,00 (quinientos  mil  dólares  de  los  Estados  Unidos  de</w:t>
        <w:br/>
        <w:t xml:space="preserve">      América) para su padre, señor Gustavo Aurelio Cesti Ackermann.</w:t>
        <w:br/>
        <w:br/>
        <w:t>49.   La Comisión Interamericana estimó que la  privación  de  la  libertad,</w:t>
        <w:br/>
        <w:t>ignorando una sentencia de habeas corpus que disponía la  liberación  de  la</w:t>
        <w:br/>
        <w:t>víctima, la condena a prisión, el embargo sobre sus bienes y  la  publicidad</w:t>
        <w:br/>
        <w:t>dada al caso,  afectaron  los  “sentimientos”  del  señor  Cesti;  y  además</w:t>
        <w:br/>
        <w:t>manifestó que dicha situación se agravó debido al tipo de trabajo  que  éste</w:t>
        <w:br/>
        <w:t>desempeñaba, ya que en la actividad de los seguros la confianza resulta  ser</w:t>
        <w:br/>
        <w:t>un  elemento  esencial  en  la  relación  asegurador-asegurado.   Por  ello,</w:t>
        <w:br/>
        <w:t>solicitó una indemnización a ser determinada por el Tribunal.</w:t>
        <w:br/>
        <w:br/>
        <w:t>50.   En cuanto al daño moral y  psicológico,  el  Perú  observó  que  dicha</w:t>
        <w:br/>
        <w:t>reclamación no correspondía, ya que no podía calificarse una detención  como</w:t>
        <w:br/>
        <w:t>indebida si ésta se realizaba en  mérito  de  un  mandato  judicial  y  que,</w:t>
        <w:br/>
        <w:t>además, los efectos de la detención del señor Cesti sólo correspondían a  su</w:t>
        <w:br/>
        <w:t>omisión al no promover y tramitar un pedido de libertad provisional.</w:t>
        <w:br/>
        <w:br/>
        <w:t>51.   La Corte, de conformidad con una amplia jurisprudencia  internacional,</w:t>
        <w:br/>
        <w:t>considera que la obtención de una sentencia que ampare las  pretensiones  de</w:t>
        <w:br/>
        <w:t>las víctimas es por sí misma una forma  de  satisfacción[20].  Sin  embargo,</w:t>
        <w:br/>
        <w:t>también estima que es pertinente concederle una indemnización adicional  por</w:t>
        <w:br/>
        <w:t>concepto de daño moral, tomando en cuenta las  circunstancias  del  presente</w:t>
        <w:br/>
        <w:t>caso[21]. Esta debe ser fijada conforme a la  equidad  y  basándose  en  una</w:t>
        <w:br/>
        <w:t>apreciación prudente, dado que no es susceptible de tasación precisa[22].</w:t>
        <w:br/>
        <w:br/>
        <w:t>52.    En  este  sentido,  el  Tribunal  considera  necesario  apreciar  las</w:t>
        <w:br/>
        <w:t>violaciones declaradas en la sentencia de fondo  del  presente  caso  y  las</w:t>
        <w:br/>
        <w:t>repercusiones que éstas tuvieron en la víctima y, observando los  estándares</w:t>
        <w:br/>
        <w:t>establecidos por esta Corte en la solución de otros casos,  determinar,  por</w:t>
        <w:br/>
        <w:t>concepto de daño moral, un monto razonable y apropiado en  favor  del  señor</w:t>
        <w:br/>
        <w:t>Cesti como reparación de los daños que se le ocasionaron.</w:t>
        <w:br/>
        <w:br/>
        <w:t>53.   Con base en las  consideraciones  anteriormente  expuestas,  la  Corte</w:t>
        <w:br/>
        <w:t>estima equitativo conceder a la víctima una compensación  de  US$  25.000,00</w:t>
        <w:br/>
        <w:t>(veinticinco mil dólares de los Estados Unidos de América) por  concepto  de</w:t>
        <w:br/>
        <w:t>daño moral.</w:t>
        <w:br/>
        <w:br/>
        <w:t>54.   Con respecto a la solicitud del  señor  Cesti  de  que  este  Tribunal</w:t>
        <w:br/>
        <w:t>ordene al Estado proveer reparaciones a sus familiares,  esta  Corte  ya  ha</w:t>
        <w:br/>
        <w:t>verificado la existencia de graves violaciones en perjuicio de la víctima  y</w:t>
        <w:br/>
        <w:t>debe presumir que éstas tuvieron una repercusión en su esposa y  sus  hijos,</w:t>
        <w:br/>
        <w:t>que no sólo se vieron alejados del señor Cesti,  conocieron  y  compartieron</w:t>
        <w:br/>
        <w:t>su aflicción, sino que, además, existen indicios de que fueron hostigados  y</w:t>
        <w:br/>
        <w:t>amenazados,  razón  por  la  cual  este  Tribunal  debió   ordenar   medidas</w:t>
        <w:br/>
        <w:t>provisionales en su favor.  La Corte considera  que  estas  presunciones  no</w:t>
        <w:br/>
        <w:t>han sido desvirtuadas por el Estado y, por ende, es  pertinente  designar  a</w:t>
        <w:br/>
        <w:t>la esposa del señor Cesti, Carmen Cardó Guarderas de Cesti, y a  sus  hijos,</w:t>
        <w:br/>
        <w:t>Margarita del Carmen Cesti Cardó de Lama y  Gustavo  Guillermo  Cesti  Cardó</w:t>
        <w:br/>
        <w:t>como beneficiarios de una reparación.</w:t>
        <w:br/>
        <w:br/>
        <w:t>55.   Por esta razón, la Corte estima equitativo conceder a  la  esposa  del</w:t>
        <w:br/>
        <w:t>señor Cesti una compensación de US$  10.000,00  (diez  mil  dólares  de  los</w:t>
        <w:br/>
        <w:t>Estados Unidos de América) y a cada uno de sus  hijos  una  compensación  de</w:t>
        <w:br/>
        <w:t>US$ 5.000,00 (cinco mil dólares  de  los  Estados  Unidos  de  América)  por</w:t>
        <w:br/>
        <w:t>concepto de daño moral.</w:t>
        <w:br/>
        <w:br/>
        <w:t>56.   En lo que se refiere al padre y a la suegra  de  la  víctima,  Gustavo</w:t>
        <w:br/>
        <w:t>Aurelio Cesti Ackermann y Judith Guarderas Cardó de Cardó,  respectivamente,</w:t>
        <w:br/>
        <w:t>la Corte presume que ambos pudieron haber sufrido moralmente a causa de  las</w:t>
        <w:br/>
        <w:t>violaciones cometidas contra el señor Cesti; sin embargo, tomando en  cuenta</w:t>
        <w:br/>
        <w:t>las circunstancias específicas del presente caso, la Corte considera que  la</w:t>
        <w:br/>
        <w:t>obtención de una sentencia que ampare las pretensiones de la víctima es  por</w:t>
        <w:br/>
        <w:t>sí misma una forma de satisfacción.</w:t>
        <w:br/>
        <w:br/>
        <w:br/>
        <w:br/>
        <w:t xml:space="preserve">                                     IX</w:t>
        <w:br/>
        <w:t xml:space="preserve">                         Otras Formas de Reparación</w:t>
        <w:br/>
        <w:br/>
        <w:t>57.   En su escrito sobre reparaciones, la Comisión solicitó a la Corte  que</w:t>
        <w:br/>
        <w:t>ordenara al Perú que asegure el  pleno  goce  y  ejercicio  de  la  libertad</w:t>
        <w:br/>
        <w:t>personal y ambulatoria  del  señor  Cesti,  mediante  la  liberación  de  la</w:t>
        <w:br/>
        <w:t>condena impuesta, el levantamiento de la interdicción de salida del  país  y</w:t>
        <w:br/>
        <w:t>el disfrute de su propiedad por medio de la anulación del embargo  que  pesa</w:t>
        <w:br/>
        <w:t>sobre sus bienes; que atienda y cubra toda agravación en las condiciones  de</w:t>
        <w:br/>
        <w:t>salud que presentara el señor Cesti con posterioridad a su detención; y  que</w:t>
        <w:br/>
        <w:t>repare  a  éste,  por  el  daño  a  su  honra  y  reputación,  mediante  una</w:t>
        <w:br/>
        <w:t>indemnización dineraria y la publicación de avisos en los que se deje  claro</w:t>
        <w:br/>
        <w:t>que el señor Cesti no puede ser  considerado  culpable  de  la  comisión  de</w:t>
        <w:br/>
        <w:t>ningún delito, dada la irregularidad del proceso a que fue sometido.</w:t>
        <w:br/>
        <w:br/>
        <w:t>58.   La Corte observa que el Estado, mediante Resolución de la  Sala  Plena</w:t>
        <w:br/>
        <w:t>del Consejo Supremo de  Justicia  Militar  de  14  de  septiembre  de  2000,</w:t>
        <w:br/>
        <w:t>dispuso que se “suspend[ieran] las órdenes restrictivas  de  libertad  y  de</w:t>
        <w:br/>
        <w:t>embargo de bienes dictadas en contra de[l  señor  Cesti]”  (supra  15).   En</w:t>
        <w:br/>
        <w:t>consecuencia, carece de materia la solicitud de la Comisión  en  lo  que  se</w:t>
        <w:br/>
        <w:t>refiere  al  goce  y  ejercicio  de  la  libertad  personal,  incluidas  las</w:t>
        <w:br/>
        <w:t>consecuencias que la reclusión pudiera tener en la salud  del  señor  Cesti,</w:t>
        <w:br/>
        <w:t>así como el levantamiento del embargo sobre sus bienes en  lo  que  respecta</w:t>
        <w:br/>
        <w:t>al proceso seguido ante el Fuero Militar.</w:t>
        <w:br/>
        <w:br/>
        <w:t>59.   Sobre la solicitud  referente  a  la  reparación  por  el  daño  a  la</w:t>
        <w:br/>
        <w:t>reputación y la honra  del  señor  Cesti,  la  Corte  estima  que  tanto  la</w:t>
        <w:br/>
        <w:t>sentencia sobre el fondo que se  dictó  en  el  presente  caso,  en  la  que</w:t>
        <w:br/>
        <w:t>decidió que el  Perú  era  responsable  de  la  violación  de  sus  derechos</w:t>
        <w:br/>
        <w:t>humanos, como  la  presente  sentencia,  constituyen  per  se  una  adecuada</w:t>
        <w:br/>
        <w:t>reparación en este aspecto.</w:t>
        <w:br/>
        <w:br/>
        <w:br/>
        <w:t xml:space="preserve">                                      X</w:t>
        <w:br/>
        <w:t xml:space="preserve">                    Deber de Actuar en el Ámbito Interno</w:t>
        <w:br/>
        <w:br/>
        <w:t>60.   La Comisión Interamericana solicitó al Tribunal que ordenara  al  Perú</w:t>
        <w:br/>
        <w:t>tomar las siguientes medidas relativas a la  reparación  del  daño  sufrido:</w:t>
        <w:br/>
        <w:t>que realice una investigación exhaustiva,  seria  e  imparcial  tendiente  a</w:t>
        <w:br/>
        <w:t>individualizar  a   los   autores   de   las   violaciones   declaradas   y,</w:t>
        <w:br/>
        <w:t>eventualmente, que los sancione según  las  disposiciones  constitucionales,</w:t>
        <w:br/>
        <w:t>legales y administrativas aplicables, y que adopte las  medidas  de  derecho</w:t>
        <w:br/>
        <w:t>interno necesarias para que las  autoridades  del  Estado  cumplan  y  hagan</w:t>
        <w:br/>
        <w:t>cumplir las sentencias emitidas por los jueces y tribunales que integran  el</w:t>
        <w:br/>
        <w:t>Poder Judicial del Perú  en  materia  de  habeas  corpus  y  amparo  de  los</w:t>
        <w:br/>
        <w:t>derechos y libertades fundamentales,  con  el  objeto  de  hacer  plenamente</w:t>
        <w:br/>
        <w:t>efectivo el artículo 25 de la Convención Americana.</w:t>
        <w:br/>
        <w:br/>
        <w:t>61.   Ni la víctima ni el Estado hicieron referencia a este asunto.</w:t>
        <w:br/>
        <w:br/>
        <w:t>62.   Como ha señalado esta Corte “la  investigación  de  los  hechos  y  la</w:t>
        <w:br/>
        <w:t>sanción  de  las  personas  responsables,  [...]  es  una   obligación   que</w:t>
        <w:br/>
        <w:t>corresponde al Estado  siempre  que  haya  ocurrido  una  violación  de  los</w:t>
        <w:br/>
        <w:t>derechos humanos y esa obligación debe ser cumplida  seriamente  y  no  como</w:t>
        <w:br/>
        <w:t>una mera formalidad”[23].</w:t>
        <w:br/>
        <w:br/>
        <w:t>63.   Tal y como señaló anteriormente este  Tribunal,  debe  entenderse  por</w:t>
        <w:br/>
        <w:t>impunidad “la falta en su conjunto de investigación,  persecución,  captura,</w:t>
        <w:br/>
        <w:t>enjuiciamiento y condena de los  responsables  de  las  violaciones  de  los</w:t>
        <w:br/>
        <w:t>derechos protegidos por la Convención Americana”[24], y</w:t>
        <w:br/>
        <w:br/>
        <w:t xml:space="preserve">      [...] el Estado tiene la obligación  de  combatir  tal  situación  por</w:t>
        <w:br/>
        <w:t xml:space="preserve">      todos los medios legales disponibles ya que la impunidad  propicia  la</w:t>
        <w:br/>
        <w:t xml:space="preserve">      repetición crónica de las violaciones de derechos humanos y  la  total</w:t>
        <w:br/>
        <w:t xml:space="preserve">      indefensión de las víctimas y sus familiares[25].</w:t>
        <w:br/>
        <w:br/>
        <w:t>64.    En  consecuencia,  el  Estado  tiene  el  deber  de  investigar   las</w:t>
        <w:br/>
        <w:t>violaciones de derechos humanos determinadas en este caso y procesar  a  los</w:t>
        <w:br/>
        <w:t>responsables con el fin de evitar la impunidad.</w:t>
        <w:br/>
        <w:br/>
        <w:t>65.   El artículo 25 de la Convención Americana establece: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a.    a garantizar que la autoridad competente prevista por el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b.    a desarrollar las posibilidades de recurso judicial, y</w:t>
        <w:br/>
        <w:br/>
        <w:br/>
        <w:t xml:space="preserve">      c.    a garantizar el cumplimiento, por las  autoridades  competentes,</w:t>
        <w:br/>
        <w:t xml:space="preserve">      de toda decisión en que se haya estimado procedente el recurso.</w:t>
        <w:br/>
        <w:br/>
        <w:br/>
        <w:t>66.   La Corte ya ha establecido, con respecto al artículo  25  en  relación</w:t>
        <w:br/>
        <w:t>con el artículo 1.1 de la Convención, que el Estado está  en  la  obligación</w:t>
        <w:br/>
        <w:t>de garantizar a toda persona el acceso a la administración  de  justicia  y,</w:t>
        <w:br/>
        <w:t>sobre  todo,  a  un  recurso  efectivo,  rápido  y  sencillo   que   permita</w:t>
        <w:br/>
        <w:t>salvaguardar sus derechos.  El artículo 25 de la Convención “constituye  uno</w:t>
        <w:br/>
        <w:t>de los pilares básicos, no sólo de la Convención Americana, sino del  propio</w:t>
        <w:br/>
        <w:t>Estado  de  Derecho  en  una  sociedad  democrática  en  el  sentido  de  la</w:t>
        <w:br/>
        <w:t>Convención”[26] y tiene relación directa con el artículo 8.1  de  la  misma,</w:t>
        <w:br/>
        <w:t>que consagra el  derecho  de  toda  persona  a  ser  oída  con  las  debidas</w:t>
        <w:br/>
        <w:t>garantías  y  dentro  de  un  plazo  razonable,  por  un  juez  o   tribunal</w:t>
        <w:br/>
        <w:t>independiente  e  imparcial,  para  la  determinación  de  sus  derechos  de</w:t>
        <w:br/>
        <w:t>cualquier naturaleza[27].</w:t>
        <w:br/>
        <w:br/>
        <w:t>67.   En razón de lo anterior, este Tribunal estima que  el  Perú  tiene  la</w:t>
        <w:br/>
        <w:t>obligación  de  asegurar  y  hacer  efectivas  las  acciones  de   garantías</w:t>
        <w:br/>
        <w:t>judiciales para la protección de derechos y libertades fundamentales,  entre</w:t>
        <w:br/>
        <w:t>las que figuran los procedimientos de habeas corpus y amparo.</w:t>
        <w:br/>
        <w:br/>
        <w:br/>
        <w:t xml:space="preserve">                                     XI</w:t>
        <w:br/>
        <w:t xml:space="preserve">                               Costas y Gastos</w:t>
        <w:br/>
        <w:br/>
        <w:t>68.    En su escrito sobre reparaciones, la  víctima  solicitó  a  la  Corte</w:t>
        <w:br/>
        <w:t>Interamericana las siguientes sumas por concepto de reintegro  de  costas  y</w:t>
        <w:br/>
        <w:t>gastos:</w:t>
        <w:br/>
        <w:br/>
        <w:t xml:space="preserve">      a)    US$ 34.939,00 (treinta y cuatro mil novecientos treinta y  nueve</w:t>
        <w:br/>
        <w:t xml:space="preserve">      dólares de los Estados Unidos de América) por los honorarios del señor</w:t>
        <w:br/>
        <w:t xml:space="preserve">      Javier Valle Riestra al inicio del proceso en el Fuero Militar;</w:t>
        <w:br/>
        <w:br/>
        <w:t xml:space="preserve">      b)    US$ 94.892,24 (noventa y cuatro mil ochocientos  noventa  y  dos</w:t>
        <w:br/>
        <w:t xml:space="preserve">      dólares de los Estados Unidos de América con veinticuatro centavos)  y</w:t>
        <w:br/>
        <w:t xml:space="preserve">      US$ 10.202,60 (diez mil doscientos dos dólares de los  Estados  Unidos</w:t>
        <w:br/>
        <w:t xml:space="preserve">      de América con sesenta centavos) por los honorarios,  ya  pagados,  de</w:t>
        <w:br/>
        <w:t xml:space="preserve">      los señores Alberto Borea Odría y Miguel Borea Odría, respectivamente,</w:t>
        <w:br/>
        <w:t xml:space="preserve">      por asumir la defensa en el Perú en el juicio en el Fuero Militar y la</w:t>
        <w:br/>
        <w:t xml:space="preserve">      demanda ante la Comisión Interamericana y la Corte Interamericana;</w:t>
        <w:br/>
        <w:br/>
        <w:t xml:space="preserve">      c)    US$ 210.000,00 (doscientos  diez  mil  dólares  de  los  Estados</w:t>
        <w:br/>
        <w:t xml:space="preserve">      Unidos de América) por los honorarios por pagar al señor Alberto Borea</w:t>
        <w:br/>
        <w:t xml:space="preserve">      Odría por los procesos en las etapas de fondo y reparaciones  ante  la</w:t>
        <w:br/>
        <w:t xml:space="preserve">      Corte Interamericana;</w:t>
        <w:br/>
        <w:br/>
        <w:t xml:space="preserve">      d)    US$ 45.000,00 (cuarenta y  cinco  mil  dólares  de  los  Estados</w:t>
        <w:br/>
        <w:t xml:space="preserve">      Unidos de América) por la contratación de un estudio  de  abogados  en</w:t>
        <w:br/>
        <w:t xml:space="preserve">      los Estados Unidos de América para su asesoría legal;</w:t>
        <w:br/>
        <w:br/>
        <w:t xml:space="preserve">      e)    US$ 46.512,18 (cuarenta y seis mil quinientos  doce  dólares  de</w:t>
        <w:br/>
        <w:t xml:space="preserve">      los Estados Unidos de América con dieciocho centavos) por concepto  de</w:t>
        <w:br/>
        <w:t xml:space="preserve">      pasajes aéreos generados en 12 viajes a la sede de  la  Corte  en  San</w:t>
        <w:br/>
        <w:t xml:space="preserve">      José, Costa Rica, y a la sede de la Comisión en  Washington  D.C.  por</w:t>
        <w:br/>
        <w:t xml:space="preserve">      parte de su abogado y familiares, así como viajes de otros abogados  a</w:t>
        <w:br/>
        <w:t xml:space="preserve">      diferentes lugares para impulsar su causa; y</w:t>
        <w:br/>
        <w:br/>
        <w:t xml:space="preserve">      f)    US$ 55.836,56 (cincuenta y cinco mil ochocientos treinta y  seis</w:t>
        <w:br/>
        <w:t xml:space="preserve">      dólares de  los  Estados  Unidos  de  América  con  cincuenta  y  seis</w:t>
        <w:br/>
        <w:t xml:space="preserve">      centavos)  por  gastos  generados  por  los  viajes,  tales  como  los</w:t>
        <w:br/>
        <w:t xml:space="preserve">      impuestos por  el  uso  de  los  aeropuertos,  transportes  en  taxis,</w:t>
        <w:br/>
        <w:t xml:space="preserve">      hoteles, alimentación, llamadas telefónicas, faxes y traductores.</w:t>
        <w:br/>
        <w:br/>
        <w:t>El señor Cesti manifestó que, aunque la Comisión era la encargada formal  de</w:t>
        <w:br/>
        <w:t>presentar el caso ante la Corte, la asesoría del abogado  de  la  parte  era</w:t>
        <w:br/>
        <w:t>fundamental para la mejor tramitación del proceso.  Además,  solicitó  a  la</w:t>
        <w:br/>
        <w:t>Corte  determinar  los  honorarios  del  señor  Borea  para  la   etapa   de</w:t>
        <w:br/>
        <w:t>reparaciones,  en  la  cual  éste  había  accedido  a   participar   “contra</w:t>
        <w:br/>
        <w:t>resultados”, y sugirió que dicho monto no fuera menor del  15%  de  la  suma</w:t>
        <w:br/>
        <w:t>que la Corte ordenara al Perú a pagar como  reparación.   Por  último,  hizo</w:t>
        <w:br/>
        <w:t>notar que quedaban pendientes gastos que se  tuvieran  que  realizar  en  el</w:t>
        <w:br/>
        <w:t>futuro para la asistencia del abogado y las partes a San José, Costa Rica.</w:t>
        <w:br/>
        <w:br/>
        <w:t>69.   En su escrito sobre reparaciones, la  Comisión  solicitó  a  la  Corte</w:t>
        <w:br/>
        <w:t>ordenar al Estado el pago al señor Cesti de los gastos  por  él  efectuados,</w:t>
        <w:br/>
        <w:t>tanto a nivel interno como a nivel del sistema interamericano, para lo  cual</w:t>
        <w:br/>
        <w:t>se remitió a los  fundamentos  y  cálculos  de  gastos  presentados  por  la</w:t>
        <w:br/>
        <w:t>víctima en el presente caso.</w:t>
        <w:br/>
        <w:br/>
        <w:t>70.   Al respecto, el Estado indicó que</w:t>
        <w:br/>
        <w:br/>
        <w:t xml:space="preserve">      a)    quien representaba los intereses del señor Cesti ante  la  Corte</w:t>
        <w:br/>
        <w:t xml:space="preserve">      Interamericana era la Comisión, cuya actuación era compensada por  las</w:t>
        <w:br/>
        <w:t xml:space="preserve">      cuotas de los países que formaban parte de la  Convención,  entre  los</w:t>
        <w:br/>
        <w:t xml:space="preserve">      que se encontraba el Perú, y que los demás gastos en que se incurriera</w:t>
        <w:br/>
        <w:t xml:space="preserve">      en dicho proceso corrían por cuenta de las partes interesadas;</w:t>
        <w:br/>
        <w:br/>
        <w:t xml:space="preserve">      b)    los montos propuestos por  la  víctima,  inclusive  los  que  se</w:t>
        <w:br/>
        <w:t xml:space="preserve">      pretendía cobrar  por  la  defensa  ante  el  Fuero  Militar,  “no  se</w:t>
        <w:br/>
        <w:t xml:space="preserve">      cond[ecían] con la tabla de honorarios que se fija en  [el  Perú]”,  y</w:t>
        <w:br/>
        <w:t xml:space="preserve">      que no consideraba viable que una instancia supranacional  fijara  las</w:t>
        <w:br/>
        <w:t xml:space="preserve">      costas de un proceso judicial interno; y</w:t>
        <w:br/>
        <w:br/>
        <w:t xml:space="preserve">      c)    los gastos por concepto de viajes y viáticos incluyen  traslados</w:t>
        <w:br/>
        <w:t xml:space="preserve">      a países que no tenían relación con la tramitación del presente caso.</w:t>
        <w:br/>
        <w:br/>
        <w:t>71.   Las costas y gastos deben entenderse comprendidos dentro del  concepto</w:t>
        <w:br/>
        <w:t>de reparación consagrado en el artículo 63.1  de  la  Convención  Americana,</w:t>
        <w:br/>
        <w:t>puesto  que  la  actividad  desplegada  por   la   o   las   víctimas,   sus</w:t>
        <w:br/>
        <w:t>derechohabientes  o  sus  representantes  para   acceder   a   la   justicia</w:t>
        <w:br/>
        <w:t>internacional implica erogaciones y compromisos de  carácter  económico  que</w:t>
        <w:br/>
        <w:t>deben ser indemnizados al dictar  sentencia  condenatoria.   Por  ello  este</w:t>
        <w:br/>
        <w:t>Tribunal considera que las costas a que se  refiere  el  artículo  55.1  del</w:t>
        <w:br/>
        <w:t>Reglamento comprenden también los diversos gastos  necesarios  y  razonables</w:t>
        <w:br/>
        <w:t>que las víctimas hacen para acceder al sistema interamericano de  protección</w:t>
        <w:br/>
        <w:t>de los derechos humanos,  figurando  entre  los  gastos  los  honorarios  de</w:t>
        <w:br/>
        <w:t>quienes brindan asistencia jurídica. Obviamente, se  trata  sólo  de  gastos</w:t>
        <w:br/>
        <w:t>necesarios  y  razonables,   según   las   particularidades   del   caso   y</w:t>
        <w:br/>
        <w:t>efectivamente   realizados   o   sufragados   por   la   víctima    o    sus</w:t>
        <w:br/>
        <w:t>representantes[28].  En  razón  de  lo  anterior,  corresponde  a  la  Corte</w:t>
        <w:br/>
        <w:t>apreciar prudentemente el alcance de las costas y gastos, atendiendo  a  las</w:t>
        <w:br/>
        <w:t>circunstancias del  caso  concreto,  a  la  naturaleza  de  la  jurisdicción</w:t>
        <w:br/>
        <w:t>internacional de protección de los derechos humanos y a las  características</w:t>
        <w:br/>
        <w:t>del respectivo procedimiento, que posee rasgos propios y diferentes  de  los</w:t>
        <w:br/>
        <w:t>que   pudieran   revestir   otros   procesos   de   carácter   nacional    o</w:t>
        <w:br/>
        <w:t>internacional[29].</w:t>
        <w:br/>
        <w:br/>
        <w:t>72.   Bajo el concepto de gastos y costas quedan incluidas  las  erogaciones</w:t>
        <w:br/>
        <w:t>estrictamente necesarias para la atención de los asuntos  ante  los  órganos</w:t>
        <w:br/>
        <w:t>jurisdiccionales en el plano nacional e internacional[30].  En cuanto a  los</w:t>
        <w:br/>
        <w:t>honorarios profesionales es preciso  tomar  en  cuenta  las  características</w:t>
        <w:br/>
        <w:t>propias del proceso internacional sobre  derechos  humanos,  en  el  que  se</w:t>
        <w:br/>
        <w:t>adoptan decisiones acerca de las violaciones a estos derechos,  pero  no  se</w:t>
        <w:br/>
        <w:t>examinan en todos sus extremos las implicaciones de dichas  violaciones  que</w:t>
        <w:br/>
        <w:t>pudieran  involucrar  cuestiones  de  lucro  atinentes   a   los   referidos</w:t>
        <w:br/>
        <w:t>honorarios, legítimas en sí mismas, pero ajenas al  tema  específico  de  la</w:t>
        <w:br/>
        <w:t>salvaguardia de los derechos  humanos.   Por  lo  tanto,  el  Tribunal  debe</w:t>
        <w:br/>
        <w:t>resolver con mesura estas reclamaciones.  Si la  Corte  procediera  de  otra</w:t>
        <w:br/>
        <w:t>forma, se desnaturalizaría el  contencioso  internacional  de  los  derechos</w:t>
        <w:br/>
        <w:t>humanos.  Por ende, la Corte debe aplicar  criterios  de  equidad  en  estos</w:t>
        <w:br/>
        <w:t>casos.</w:t>
        <w:br/>
        <w:br/>
        <w:t>73.   A ese efecto, la Corte  considera  que  es  equitativo  otorgar  a  la</w:t>
        <w:br/>
        <w:t>víctima, como reintegro de los gastos y costas generados en la  jurisdicción</w:t>
        <w:br/>
        <w:t>interna y en  la  jurisdicción  interamericana  la  suma  de  US$  20.000,00</w:t>
        <w:br/>
        <w:t>(veinte mil dólares de los Estados Unidos de  América),  monto  que  incluye</w:t>
        <w:br/>
        <w:t>los honorarios profesionales[31].</w:t>
        <w:br/>
        <w:br/>
        <w:br/>
        <w:t xml:space="preserve">                                     XII</w:t>
        <w:br/>
        <w:t xml:space="preserve">                          modalidad de cumplimiento</w:t>
        <w:br/>
        <w:br/>
        <w:t>74.   Para dar cumplimiento  a  la  presente  sentencia,  el  Estado  deberá</w:t>
        <w:br/>
        <w:t>efectuar el pago de las indemnizaciones y compensaciones,  el  reintegro  de</w:t>
        <w:br/>
        <w:t>costas y gastos, y la adopción de las otras medidas  ordenadas,  dentro  del</w:t>
        <w:br/>
        <w:t>plazo de seis meses a partir de  la  notificación  de  esta  sentencia,  con</w:t>
        <w:br/>
        <w:t>excepción de lo establecido en el párrafo 47.</w:t>
        <w:br/>
        <w:br/>
        <w:t>75.   El reintegro de gastos generados por las gestiones realizadas  por  la</w:t>
        <w:br/>
        <w:t>víctima o sus representantes y  el  reintegro  de  costas  causadas  en  los</w:t>
        <w:br/>
        <w:t>procesos  internos  o  en  el  proceso   internacional   ante   el   Sistema</w:t>
        <w:br/>
        <w:t>Interamericano de Protección de Derechos Humanos,  serán  pagadas  en  favor</w:t>
        <w:br/>
        <w:t>del señor Cesti.</w:t>
        <w:br/>
        <w:br/>
        <w:t>76.   El Estado puede cumplir sus obligaciones mediante el pago  en  dólares</w:t>
        <w:br/>
        <w:t>de los Estados Unidos de América o en una  cantidad  equivalente  en  moneda</w:t>
        <w:br/>
        <w:t>peruana, utilizando para el cálculo  respectivo  el  tipo  de  cambio  entre</w:t>
        <w:br/>
        <w:t>ambas monedas que esté vigente en la plaza de Nueva York, Estados Unidos  de</w:t>
        <w:br/>
        <w:t>América, el día anterior al pago.</w:t>
        <w:br/>
        <w:br/>
        <w:t>77.   Los pagos ordenados en la presente  sentencia  por  concepto  de  daño</w:t>
        <w:br/>
        <w:t>material y moral  estarán  exentos  de  todo  impuesto  o  tasa  actualmente</w:t>
        <w:br/>
        <w:t>existente o que pueda decretarse en el futuro.</w:t>
        <w:br/>
        <w:br/>
        <w:t>78.   En caso de que el Estado incurra en mora, pagará un interés  sobre  la</w:t>
        <w:br/>
        <w:t>suma adeudada correspondiente al interés bancario moratorio en el Perú.</w:t>
        <w:br/>
        <w:br/>
        <w:t>79.   Conforme a la  práctica  constante  de  este  Tribunal,  la  Corte  se</w:t>
        <w:br/>
        <w:t>reserva la facultad de supervisar el cumplimiento  íntegro  de  la  presente</w:t>
        <w:br/>
        <w:t>sentencia.  El caso se dará por concluido una vez que el  Estado  haya  dado</w:t>
        <w:br/>
        <w:t>cabal cumplimiento a lo dispuesto en ella.</w:t>
        <w:br/>
        <w:br/>
        <w:br/>
        <w:t xml:space="preserve">                                    XIII</w:t>
        <w:br/>
        <w:t xml:space="preserve">                             Puntos Resolutivos</w:t>
        <w:br/>
        <w:br/>
        <w:t>80.   Por tanto,</w:t>
        <w:br/>
        <w:br/>
        <w:t xml:space="preserve">      La Corte,</w:t>
        <w:br/>
        <w:br/>
        <w:t xml:space="preserve">      Decide:</w:t>
        <w:br/>
        <w:br/>
        <w:t>por unanimidad,</w:t>
        <w:br/>
        <w:br/>
        <w:t>1.    ordenar que el Estado  del  Perú  indemnice  a  Gustavo  Adolfo  Cesti</w:t>
        <w:br/>
        <w:t>Hurtado por los daños  materiales  que  las  violaciones  declaradas  en  la</w:t>
        <w:br/>
        <w:t>sentencia sobre el fondo de 29 de septiembre de 1999  le  han  ocasionado  y</w:t>
        <w:br/>
        <w:t>que proceda a fijar, siguiendo  los  trámites  nacionales  pertinentes,  los</w:t>
        <w:br/>
        <w:t>montos indemnizatorios correspondientes, a fin de que éste los reciba en  un</w:t>
        <w:br/>
        <w:t>plazo razonable, si hubiere lugar a ellos.</w:t>
        <w:br/>
        <w:br/>
        <w:t>por unanimidad,</w:t>
        <w:br/>
        <w:br/>
        <w:t>2.    ordenar que el Estado del Perú pague a Gustavo  Adolfo  Cesti  Hurtado</w:t>
        <w:br/>
        <w:t>una compensación de US$ 25.000,00 (veinticinco mil dólares  de  los  Estados</w:t>
        <w:br/>
        <w:t>Unidos de América) o su equivalente en moneda peruana, por concepto de  daño</w:t>
        <w:br/>
        <w:t>moral.</w:t>
        <w:br/>
        <w:br/>
        <w:t>por unanimidad,</w:t>
        <w:br/>
        <w:br/>
        <w:t>3.    ordenar que el Estado del Perú  pague  a  Carmen  Cardó  Guarderas  de</w:t>
        <w:br/>
        <w:t>Cesti una compensación de US$ 10.000,00 (diez mil  dólares  de  los  Estados</w:t>
        <w:br/>
        <w:t>Unidos de  América),  a  Margarita  del  Carmen  Cesti  Cardó  de  Lama  una</w:t>
        <w:br/>
        <w:t>compensación de US$ 5.000,00 (cinco mil dólares de  los  Estados  Unidos  de</w:t>
        <w:br/>
        <w:t>América), y  a  Gustavo  Guillermo  Cesti  Cardó  una  compensación  de  US$</w:t>
        <w:br/>
        <w:t>5.000,00 (cinco  mil  dólares  de  los  Estados  Unidos  de  América)  o  su</w:t>
        <w:br/>
        <w:t>equivalente en moneda peruana, por concepto de daño moral.</w:t>
        <w:br/>
        <w:br/>
        <w:t>por unanimidad,</w:t>
        <w:br/>
        <w:br/>
        <w:t>4.    ordenar que el Estado del Perú pague a Gustavo Adolfo  Cesti  Hurtado,</w:t>
        <w:br/>
        <w:t>como compensación de las  costas  y  gastos  generados  en  la  jurisdicción</w:t>
        <w:br/>
        <w:t>interna y en la  jurisdicción  interamericana,  la  suma  de  US$  20.000,00</w:t>
        <w:br/>
        <w:t>(veinte mil dólares de los Estados Unidos de América) o  su  equivalente  en</w:t>
        <w:br/>
        <w:t>moneda peruana, monto que incluye los honorarios profesionales.</w:t>
        <w:br/>
        <w:br/>
        <w:t>por unanimidad,</w:t>
        <w:br/>
        <w:br/>
        <w:t>5.    ordenar que el Estado del Perú  investigue  los  hechos  del  presente</w:t>
        <w:br/>
        <w:t>caso, identifique y sancione a los responsables, y adopte las  disposiciones</w:t>
        <w:br/>
        <w:t>de derecho interno que sean necesarias  para  asegurar  el  cumplimiento  de</w:t>
        <w:br/>
        <w:t>esta obligación.</w:t>
        <w:br/>
        <w:br/>
        <w:t>por unanimidad,</w:t>
        <w:br/>
        <w:br/>
        <w:t>6.    ordenar que el Estado del Perú efectúe  los  pagos  indicados  en  los</w:t>
        <w:br/>
        <w:t>puntos resolutivos 2, 3 y 4  dentro  de  los  seis  meses  a  partir  de  la</w:t>
        <w:br/>
        <w:t>notificación de esta sentencia.</w:t>
        <w:br/>
        <w:br/>
        <w:t>por unanimidad,</w:t>
        <w:br/>
        <w:br/>
        <w:t>7.    ordenar  que  los  pagos  dispuestos  en  la  presente  sentencia  por</w:t>
        <w:br/>
        <w:t>concepto de daño material y moral estén  exentos  de  cualquier  gravamen  o</w:t>
        <w:br/>
        <w:t>impuesto existente o que llegue a existir en el futuro.</w:t>
        <w:br/>
        <w:br/>
        <w:t>por unanimidad,</w:t>
        <w:br/>
        <w:br/>
        <w:t>8.    supervisar el cumplimiento de esta sentencia y dar  por  concluido  el</w:t>
        <w:br/>
        <w:t>presente caso una vez que el Estado del Perú haya dado  cabal  aplicación  a</w:t>
        <w:br/>
        <w:t>lo dispuesto en ella.</w:t>
        <w:br/>
        <w:br/>
        <w:br/>
        <w:t>Redactada en español y en inglés, haciendo fe el texto en español,  en</w:t>
        <w:br/>
        <w:t>San José, Costa Rica, el día 31 de mayo de 2001.</w:t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t>Hernán Salgado Pesantes      Oliver Jackman</w:t>
        <w:br/>
        <w:br/>
        <w:t xml:space="preserve">    Alirio Abreu Burelli     Sergio García Ramírez</w:t>
        <w:br/>
        <w:br/>
        <w:br/>
        <w:t xml:space="preserve">                       Carlos Vicente de Roux Rengifo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           -----------------------</w:t>
        <w:br/>
        <w:t>*     El Juez Máximo Pacheco Gómez informó a la Corte que,  por  motivos  de</w:t>
        <w:br/>
        <w:t>fuerza mayor, no podía estar presente en  el  LI  Período  de  Sesiones  del</w:t>
        <w:br/>
        <w:t>Tribunal, por lo que no  participó  en  la  deliberación  y  firma  de  esta</w:t>
        <w:br/>
        <w:t>sentencia.</w:t>
        <w:br/>
        <w:t>[1]   Cfr. Caso Ivcher Bronstein. Sentencia de 6 de febrero de  2001.  Serie</w:t>
        <w:br/>
        <w:t>C No. 74, párr. 65; Caso “La Última Tentación de Cristo”  (Olmedo  Bustos  y</w:t>
        <w:br/>
        <w:t>otros). Sentencia de 5 de febrero de 2001. Serie C No. 73, párrs. 49  y  51;</w:t>
        <w:br/>
        <w:t>y Caso del Tribunal Constitucional. Sentencia de 31 de enero 2001.  Serie  C</w:t>
        <w:br/>
        <w:t>No. 71, párr. 46.</w:t>
        <w:br/>
        <w:br/>
        <w:t>[2]   Cfr. Caso Castillo Páez. Reparaciones  (art.  63.1  de  la  Convención</w:t>
        <w:br/>
        <w:t>Americana sobre Derechos Humanos). Sentencia de 27  de  noviembre  de  1998.</w:t>
        <w:br/>
        <w:t>Serie C No. 43, párr. 38; Caso Fairén Garbi y Solís Corrales.  Sentencia  de</w:t>
        <w:br/>
        <w:t>15 de marzo de 1989. Serie C No. 6, párr. 130; Caso Godínez Cruz.  Sentencia</w:t>
        <w:br/>
        <w:t>de 20 de enero de 1989.   Serie  C  No.  5,  párr.  133;  y  Caso  Velásquez</w:t>
        <w:br/>
        <w:t>Rodríguez. Sentencia de 29 de julio de 1988.  Serie C No. 4,  párr.  127;  y</w:t>
        <w:br/>
        <w:t>Military and Paramilitary Activities in and against Nicaragua (Nicaragua  v.</w:t>
        <w:br/>
        <w:t>United States of America), Merits, Judgment, I.C.J.  Reports  1986,  p.  14,</w:t>
        <w:br/>
        <w:t>para. 60.</w:t>
        <w:br/>
        <w:br/>
        <w:t>[3]   Cfr. Caso Ivcher Bronstein, supra nota 1, párr. 69;  Caso  “La  Última</w:t>
        <w:br/>
        <w:t>Tentación de Cristo” (Olmedo Bustos y otros), supra  nota  1,  párr.  54;  y</w:t>
        <w:br/>
        <w:t>Caso Baena Ricardo y otros. Sentencia de 2 de febrero de 2001, Serie  C  No.</w:t>
        <w:br/>
        <w:t>72, párrs. 70 y 72.</w:t>
        <w:br/>
        <w:br/>
        <w:t>[4]   Anexo 1.- Opinión 18-1997 emitida  por  el  Alto  Comisionado  de  las</w:t>
        <w:br/>
        <w:t>Naciones Unidas para los Derechos Humanos el 12 de enero de 1998; Anexo  2.-</w:t>
        <w:br/>
        <w:t>Pronunciamientos de diferentes entes y personalidades en  relación  al  Caso</w:t>
        <w:br/>
        <w:t>Cesti Hurtado: A) Colegio de abogados de Lima de 11 de septiembre  de  1997;</w:t>
        <w:br/>
        <w:t>B) Amicus Curiae de la Comisión Ejecutiva de Derechos  Humanos  del  Ilustre</w:t>
        <w:br/>
        <w:t>Colegio de  Abogados  de  Lima  de  3  de  marzo  de  1998;  C1)  Resolución</w:t>
        <w:br/>
        <w:t>defensoral No. 012-97/DP de 24 de marzo  de  1997;  C2)  Amicus  Curiae  del</w:t>
        <w:br/>
        <w:t>Defensor del Pueblo del Perú de 10  de  junio  de  1998;  D)  Amicus  Curiae</w:t>
        <w:br/>
        <w:t>presentado por Héctor Faúndez Ledesma de 12 de  junio  de  1998;  E)  Amicus</w:t>
        <w:br/>
        <w:t>Curiae del Centro de Estudios Legales y Sociales (CELS) y el Centro  por  la</w:t>
        <w:br/>
        <w:t>Justicia y el Derecho Internacional (CEJIL) de 3 de noviembre de 1998; F)  2</w:t>
        <w:br/>
        <w:t>cartas dirigidas al Presidente de la Comisión Ejecutiva de Derechos  Humanos</w:t>
        <w:br/>
        <w:t>del Colegio de Abogados de Lima, emitidas por  el  Grupo  de  Trabajo  sobre</w:t>
        <w:br/>
        <w:t>Detenciones Arbitrarias y el  Relator  Especial  para  la  Independencia  de</w:t>
        <w:br/>
        <w:t>Jueces y Abogados de las Naciones Unidas de fechas  16  y  21  de  abril  de</w:t>
        <w:br/>
        <w:t>1998, respectivamente; G) Carta emitida por 3 Congresistas  de  los  Estados</w:t>
        <w:br/>
        <w:t>Unidos de América el 6 de  julio  de  1998;  H)  Carta  de  la  Comisión  de</w:t>
        <w:br/>
        <w:t>Derechos Humanos de la Cámara de Diputados de  México  de  20  de  marzo  de</w:t>
        <w:br/>
        <w:t>1998; I) Carta del Colegio de Abogados y Notarios  de  Guatemala  de  21  de</w:t>
        <w:br/>
        <w:t>abril de 1998; J) Resolución No. 33 de 26 de junio de 1998  emitida  por  el</w:t>
        <w:br/>
        <w:t>Colegio de Abogados de Puerto Rico; K) Comunicación  de  20  de  octubre  de</w:t>
        <w:br/>
        <w:t>1998 emitida por Amnistía Internacional; L) Notificación de 5  de  junio  de</w:t>
        <w:br/>
        <w:t>1998 de la Resolución CD 05-98/3 de la  Comisión  para  la  Defensa  de  los</w:t>
        <w:br/>
        <w:t>Derechos Humanos en Centroamérica (CODEHUCA); M) Comunicación de 7 de  julio</w:t>
        <w:br/>
        <w:t>de  1998  emitida  por  la  Washington   Office   on   Latin   America;   N)</w:t>
        <w:br/>
        <w:t>Pronunciamiento de la Asociación Pro-Derechos  Humanos  (APRODEH)  de  8  de</w:t>
        <w:br/>
        <w:t>junio de 1998; Ñ) Carta de la Red Universitaria de Derechos Humanos  (RUDEH)</w:t>
        <w:br/>
        <w:t>de 25 de noviembre de 1997; Anexo 3.- Publicaciones de  la  Superintendencia</w:t>
        <w:br/>
        <w:t>de Banca y Seguros sobre información financiera de las  empresas  corredoras</w:t>
        <w:br/>
        <w:t>de seguros durante los años 1994, 1995, 1996 y 1997; Anexo 4.- Oficios  Nos.</w:t>
        <w:br/>
        <w:t>3066-97 y  6501-98  de  27  de  mayo  de  1997  y  14  de  agosto  de  1998,</w:t>
        <w:br/>
        <w:t>respectivamente, emitidos por la Superintendencia de Banca y Seguros;  Anexo</w:t>
        <w:br/>
        <w:t>5.- Recibos por concepto de servicios de seguridad para la familia  Cesti  y</w:t>
        <w:br/>
        <w:t>facturas por servicio de mensajería. Carpeta 1: A) Resumen de gastos de  las</w:t>
        <w:br/>
        <w:t>empresas Perfecta Seguridad, Siccsa, Scharff Express s.a. y Poder  Seguridad</w:t>
        <w:br/>
        <w:t>s.a., por servicios de vigilancia y de mensajería de enero de  1997  a  mayo</w:t>
        <w:br/>
        <w:t>de 1999; B) 8 facturas  emitidas  por  la  empresa  Perfecta  Seguridad  por</w:t>
        <w:br/>
        <w:t>servicios de vigilancia particular correspondiente a los meses  de  julio  a</w:t>
        <w:br/>
        <w:t>octubre de 1997; C) 34 facturas emitidas por Siccsa (Schariff  International</w:t>
        <w:br/>
        <w:t>courier &amp; cargo, s.a.) por servicios de mensajería de marzo de 1997  a  mayo</w:t>
        <w:br/>
        <w:t>de 1999; D) 9 facturas emitidas por Poder de Seguridad  s.a.  por  servicios</w:t>
        <w:br/>
        <w:t>de vigilancia particular de enero a julio de 1997; Carpeta 2: A) Resumen  de</w:t>
        <w:br/>
        <w:t>gastos por servicios de personal de apoyo de enero  de  1998  a  febrero  de</w:t>
        <w:br/>
        <w:t>2000; B) 472 recibos por concepto de “gastos de movilidad  y  refrigerio  en</w:t>
        <w:br/>
        <w:t>gestión de apoyo” al señor Cesti Hurtado, de julio  de  1997  a  febrero  de</w:t>
        <w:br/>
        <w:t>2000; Anexo 7.- Recibos de medios de comunicación y  avisos  de  prensa;  A)</w:t>
        <w:br/>
        <w:t>Resumen de gastos  por  concepto  de  publicidad  por  diferentes  medios  y</w:t>
        <w:br/>
        <w:t>empresas  durante  el  año  1997;  B)  16  facturas  emitidas  por  diversas</w:t>
        <w:br/>
        <w:t>compañías, por concepto de diagramación y publicación de  avisos,  servicios</w:t>
        <w:br/>
        <w:t>de grabación, alquiler de equipos, entre otros, de  marzo  a  septiembre  de</w:t>
        <w:br/>
        <w:t>1997; Anexo 8.-  2  facturas  emitidas  por  SETRIX  s.a.  por  concepto  de</w:t>
        <w:br/>
        <w:t>asesoramiento a Top Security y 2 folletos informativos  sobre  el  plan  “Mi</w:t>
        <w:br/>
        <w:t>Seguro”; Anexo 9.- A) Notificación judicial No. 602 V.I. CSJM 3.S.  dirigida</w:t>
        <w:br/>
        <w:t>al señor Cesti Hurtado referente a la resolución de 20 de mayo de  1997;  B)</w:t>
        <w:br/>
        <w:t>4 copias informativas emitidas por la  Oficina  Nacional  de  los  Registros</w:t>
        <w:br/>
        <w:t>Públicos; C) Constancia de abandono voluntario de la clínica San Lucas,  por</w:t>
        <w:br/>
        <w:t>parte de la señora Carmen Cardó de Cesti el 5 de enero de 1998; D) 3  copias</w:t>
        <w:br/>
        <w:t>informativas emitidas por la Oficina Nacional  de  los  Registros  Públicos;</w:t>
        <w:br/>
        <w:t>Anexo 10.- A) Resolución de  Intendencia  No.  0234  41956  emitida  por  la</w:t>
        <w:br/>
        <w:t>Intendencia Regional Lima de la SUNAT el 31 de agosto de  1999;  B)  Informe</w:t>
        <w:br/>
        <w:t>No. 248-99-FRACC-NB0230, referente al contribuyente Top Security;  C)  Parte</w:t>
        <w:br/>
        <w:t>final de una resolución emitida por el Jefe-Sección  Central  de  la  Deuda-</w:t>
        <w:br/>
        <w:t>MEPECO, División de recaudación;  D)  Anexo  al  informe  No.  248-99-FRACC-</w:t>
        <w:br/>
        <w:t>NB0230; E)  Resolución  No.  02307008839  emitida  por  la  SUNAT  el  3  de</w:t>
        <w:br/>
        <w:t>septiembre de 1999; Anexo 11.- Informe psicológico realizado al señor  Cesti</w:t>
        <w:br/>
        <w:t>Hurtado por el Dr. Luis Arata Cuzcano el 28 de febrero de 2000;  Anexo  12.-</w:t>
        <w:br/>
        <w:t>2 informes de la  Clínica  San  Lucas,  de  exámenes  de  cardiología  y  de</w:t>
        <w:br/>
        <w:t>psiquiatría realizados a la señora Carmen Cardó de  Cesti  y  constancia  de</w:t>
        <w:br/>
        <w:t>abandono voluntario de la clínica San Lucas, de 5 de enero  de  1998;  Anexo</w:t>
        <w:br/>
        <w:t>13.-  Honorarios  profesionales:  A)  Resumen  de  gastos  por  concepto  de</w:t>
        <w:br/>
        <w:t>honorarios profesionales de los abogados Alberto Borea Odría,  Miguel  Borea</w:t>
        <w:br/>
        <w:t>Odría y Javier Valle Riestra durante los años  1997,  1998  y  1999;  B)  18</w:t>
        <w:br/>
        <w:t>facturas emitidas por Alberto Borea Odría de enero  de  1997  a  febrero  de</w:t>
        <w:br/>
        <w:t>1999; C) 3 facturas emitidas por Miguel Borea  Odría  de  enero  de  1997  a</w:t>
        <w:br/>
        <w:t>junio de 1998; D) 3 facturas emitidas por Javier Valle Riestra  de  enero  a</w:t>
        <w:br/>
        <w:t>junio de 1997; Anexo 14.- Acuerdo de la firma L.A. Motley and Company de  17</w:t>
        <w:br/>
        <w:t>de septiembre de 1997; Anexo 15.- Gastos de pasajes y viáticos.  Carpeta  1:</w:t>
        <w:br/>
        <w:t>A) Liquidación de gastos de hotel y viáticos durante los  años  1997,  1998,</w:t>
        <w:br/>
        <w:t>1999 y 2000; B) 14 recibos emitidos por Alberto Borea Odría por concepto  de</w:t>
        <w:br/>
        <w:t>hotel y viáticos de enero de 1997 a enero de 2000;  C)  9  recibos  emitidos</w:t>
        <w:br/>
        <w:t>por Carmen  Cardó de Cesti por concepto de hotel  y  viáticos  de  abril  de</w:t>
        <w:br/>
        <w:t>1997 a enero de 2000; E) 8 recibos emitidos por Heriberto Benitez Rivas  por</w:t>
        <w:br/>
        <w:t>concepto de hotel y viáticos de abril de 1997 a septiembre de 1999;  Carpeta</w:t>
        <w:br/>
        <w:t>2: A) Resumen de gastos del año 2000 por concepto de pasajes  y  2  facturas</w:t>
        <w:br/>
        <w:t>emitidas por Acuario Turismo, s.r.l. de 21 de enero de 2000; B)  Resumen  de</w:t>
        <w:br/>
        <w:t>gastos por concepto de pasajes a diferentes empresas durante los años  1997,</w:t>
        <w:br/>
        <w:t>1998 y 1999; b1)  6  facturas  emitidas  por  Acuario  Turismo,  s.r.l.  por</w:t>
        <w:br/>
        <w:t>concepto de pasajes de enero a noviembre de 1999; b2)  2  facturas  emitidas</w:t>
        <w:br/>
        <w:t>por Nova Tours, s.a. por concepto de pasajes de fechas  4  de  diciembre  de</w:t>
        <w:br/>
        <w:t>1998 y 26 de junio de 1998; b3)  1  factura  emitida  por  Perú  Visión  por</w:t>
        <w:br/>
        <w:t>concepto de pasajes, el 15 de enero de 1998; b4)  7  facturas  emitidas  por</w:t>
        <w:br/>
        <w:t>Acuario Turismo, s.r.l. por concepto de pasajes  de  abril  a  diciembre  de</w:t>
        <w:br/>
        <w:t>1998; b5) 3 facturas emitidas por Perú Visión por  concepto  de  pasajes  de</w:t>
        <w:br/>
        <w:t>agosto a diciembre de 1997; y, b6) 7 facturas emitidas por Acuario  Turismo,</w:t>
        <w:br/>
        <w:t>s.r.l. por concepto de pasajes de abril a octubre de 1997.</w:t>
        <w:br/>
        <w:br/>
        <w:t>[5]   Anexo 1.- Transcripción del Congreso de la República del Perú  de  los</w:t>
        <w:br/>
        <w:t>vídeos Nos. 910 y 911 de 15 de junio de 1998; Anexo  2.-  Transcripción  del</w:t>
        <w:br/>
        <w:t>Congreso de la República del Perú del vídeo No. 907 de 13 de junio de  1998;</w:t>
        <w:br/>
        <w:t>Anexo 3.- Recortes periodísticos correspondientes a los  meses  de  marzo  y</w:t>
        <w:br/>
        <w:t>abril de 2001; Anexo 4.- Carta de Top  Security  de  1  de  marzo  de  2001,</w:t>
        <w:br/>
        <w:t>dirigida a la Compañía de Seguros Popular y Porvenir; Anexo  5.-  Carta  No.</w:t>
        <w:br/>
        <w:t>019-2001/10000, de la Compañía de Seguros Popular y Porvenir de 7  de  marzo</w:t>
        <w:br/>
        <w:t>de 2001, dirigida a  la  empresa  Top  Security;  Anexo  6.-  Carta  de  Top</w:t>
        <w:br/>
        <w:t>Security de 10 de abril de 2001 dirigida a la Compañía de Seguros Popular  y</w:t>
        <w:br/>
        <w:t>Porvenir.</w:t>
        <w:br/>
        <w:br/>
        <w:t>[6]   Cfr. Caso Ivcher Bronstein, supra nota 1, párr. 73;  Caso  “La  Última</w:t>
        <w:br/>
        <w:t>Tentación de Cristo” (Olmedo Bustos y otros), supra  nota  1,  párr.  55;  y</w:t>
        <w:br/>
        <w:t>Caso Baena Ricardo y otros, supra nota 3, párr. 74.</w:t>
        <w:br/>
        <w:br/>
        <w:t>[7]   Cfr. Caso Ivcher Bronstein,  supra  nota  1,  párr.  177;  Caso  Baena</w:t>
        <w:br/>
        <w:t>Ricardo y otros, supra nota 3, párr. 201; Caso del Tribunal  Constitucional,</w:t>
        <w:br/>
        <w:t>supra nota  1,  párr.  118;  Caso  Blake.  Reparaciones  (art.  63.1  de  la</w:t>
        <w:br/>
        <w:t>Convención Americana sobre Derechos Humanos). Sentencia de 22  de  enero  de</w:t>
        <w:br/>
        <w:t>1999. Serie C No. 48, párr. 33; Caso Suárez Rosero. Reparaciones (art.  63.1</w:t>
        <w:br/>
        <w:t>de la Convención Americana sobre  Derechos  Humanos).  Sentencia  de  20  de</w:t>
        <w:br/>
        <w:t>enero de 1999. Serie C No. 44, párr. 40; Caso Castillo  Páez.  Reparaciones,</w:t>
        <w:br/>
        <w:t>supra nota 2, párr. 50; Caso Loayza Tamayo. Reparaciones (art.  63.1  de  la</w:t>
        <w:br/>
        <w:t>Convención Americana sobre Derechos Humanos). Sentencia de 27  de  noviembre</w:t>
        <w:br/>
        <w:t>de 1998. Serie C No. 42,  párr.  84;   Caso  Caballero  Delgado  y  Santana.</w:t>
        <w:br/>
        <w:t>Reparaciones  (art.  63.1  de  la  Convención   Americana   sobre   Derechos</w:t>
        <w:br/>
        <w:t>Humanos). Sentencia de 19 de setiembre de 1996. Serie C No.  31,  párr.  15;</w:t>
        <w:br/>
        <w:t>Caso Neira Alegría  y  otros.  Reparaciones  (art.  63.1  de  la  Convención</w:t>
        <w:br/>
        <w:t>Americana sobre Derechos Humanos). Sentencia de 19  de  setiembre  de  1996.</w:t>
        <w:br/>
        <w:t>Serie C No. 29,  párr. 36; Caso El Amparo. Reparaciones  (art.  63.1  de  la</w:t>
        <w:br/>
        <w:t>Convención Americana sobre Derechos Humanos). Sentencia de 14 de  septiembre</w:t>
        <w:br/>
        <w:t>de 1996. Serie C No. 28, párr. 14; Caso  Aloeboetoe  y  otros.  Reparaciones</w:t>
        <w:br/>
        <w:t>(art. 63.1 de la Convención Americana sobre Derechos Humanos). Sentencia  de</w:t>
        <w:br/>
        <w:t>10 de septiembre de 1993. Serie C. No 15, párr. 43. En igual  sentido,  Cfr.</w:t>
        <w:br/>
        <w:t>Reparation for injuries suffered in  the  service  of  the  United  Nations,</w:t>
        <w:br/>
        <w:t>Advisory Opinion: I.C.J. Reports 1949, p. 184;  Factory  at  Chorzów,  Claim</w:t>
        <w:br/>
        <w:t>for indemnity, Merits, Judgment No. 13, 1928, P.C.I.J., Series  A,  No.  17,</w:t>
        <w:br/>
        <w:t>p. 29; y Factory at Chorzów, Claim  for  indemnity,  Jurisdiction,  Judgment</w:t>
        <w:br/>
        <w:t>No. 8, 1927, P.C.I.J., Series A, No. 9, p. 21.</w:t>
        <w:br/>
        <w:br/>
        <w:t>8     Cfr. Caso Ivcher Bronstein,  supra  nota  1,  párr.  178;  Caso  Baena</w:t>
        <w:br/>
        <w:t>Ricardo  y  otros,  supra  nota  3,  párr.  202;   y   Caso   del   Tribunal</w:t>
        <w:br/>
        <w:t>Constitucional, supra nota 1, párr. 119.</w:t>
        <w:br/>
        <w:br/>
        <w:t>9     Cfr.  Caso Blake. Reparaciones, supra nota 7, párr.  32;  Caso  Suárez</w:t>
        <w:br/>
        <w:t>Rosero. Reparaciones,  supra  nota  7,  párr.  42;  y  Caso  Castillo  Páez.</w:t>
        <w:br/>
        <w:t>Reparaciones, supra nota 2, párr. 49.</w:t>
        <w:br/>
        <w:br/>
        <w:t>[8]   Cfr. Caso Blake. Reparaciones, supra nota 7,  párr.  33;  Caso  Suárez</w:t>
        <w:br/>
        <w:t>Rosero.  Reparaciones,  supra  nota  7,  párr.  40;  Caso   Castillo   Páez.</w:t>
        <w:br/>
        <w:t>Reparaciones, supra nota 2, párr. 50; en igual sentido Cfr.  Reparation  for</w:t>
        <w:br/>
        <w:t>injuries suffered in the service of the United Nations,  supra  nota  7,  p.</w:t>
        <w:br/>
        <w:t>184; Factory at Chorzów, Claim for indemnity, Merits, supra nota 7,  p.  29;</w:t>
        <w:br/>
        <w:t>y Factory at Chorzów, Claim for indemnity, Jurisdiction, supra  nota  7,  p.</w:t>
        <w:br/>
        <w:t>21.</w:t>
        <w:br/>
        <w:br/>
        <w:t>[9]   Cfr. Caso Baena Ricardo y otros, supra nota 3, párr. 201; Caso  Blake.</w:t>
        <w:br/>
        <w:t>Reparaciones, supra nota 7, párr. 33; y Caso  Suárez  Rosero.  Reparaciones,</w:t>
        <w:br/>
        <w:t>supra nota 7, párr. 40.</w:t>
        <w:br/>
        <w:br/>
        <w:t>12    Cfr. Caso Blake. Reparaciones, supra nota 7, párr. 34;  Caso  Castillo</w:t>
        <w:br/>
        <w:t>Páez. Reparaciones, supra nota 2, párr. 53;  y  Caso  Garrido  y  Baigorria.</w:t>
        <w:br/>
        <w:t>Reparaciones (art. 63.1 de la Convención Americana sobre Derechos  Humanos).</w:t>
        <w:br/>
        <w:t>Sentencia de 27 de agosto de 1998. Serie C No. 39, párr. 43.</w:t>
        <w:br/>
        <w:t>[10]  Cfr. Libreta Electoral de Gustavo Adolfo  Cesti  Hurtado;  Caso  Cesti</w:t>
        <w:br/>
        <w:t>Hurtado. Sentencia de 29 de septiembre de 1999. Serie C No. 56, párr. 75;  e</w:t>
        <w:br/>
        <w:t>informe médico realizado al señor Cesti Hurtado  por  el  Dr.  César  Segura</w:t>
        <w:br/>
        <w:t>Serveleón el 10 de junio de 1997.</w:t>
        <w:br/>
        <w:br/>
        <w:t>[11]  Cfr. Contrato por servicio de asesoría en seguros celebrado  el  2  de</w:t>
        <w:br/>
        <w:t>noviembre de 1993 entre el  Ejército  peruano  y  Top  Security;  acción  de</w:t>
        <w:br/>
        <w:t>Hábeas Corpus interpuesta ante la Sala Especializada de Derecho  Público  de</w:t>
        <w:br/>
        <w:t>31 de enero de 1997; y oficio No. 3066-97 de 27 de mayo de 1997 emitido  por</w:t>
        <w:br/>
        <w:t>la Superintendencia de Banca y Seguros.</w:t>
        <w:br/>
        <w:t>[12]  Cfr. Cuatro comprobantes de pago  emitidos  por  el  Hospital  Militar</w:t>
        <w:br/>
        <w:t>Central; carta del señor Cesti Hurtado de 24 de junio de  1997  dirigida  al</w:t>
        <w:br/>
        <w:t>Hospital Militar Central;  informe  psicológico  realizado  al  señor  Cesti</w:t>
        <w:br/>
        <w:t>Hurtado por el Dr. Luis Arata Cuzcano el 26 de noviembre  de  1997;  informe</w:t>
        <w:br/>
        <w:t>médico realizado al señor Cesti Hurtado por el Dr.  César  Segura  Serveleón</w:t>
        <w:br/>
        <w:t>el 30 de mayo de 1997; informe médico realizado al señor Cesti  Hurtado  por</w:t>
        <w:br/>
        <w:t>el Dr. César  Segura  Serveleón  el  10  de  junio  de  1997;  copia  de  la</w:t>
        <w:br/>
        <w:t>notificación judicial número 1237 V.I.CSJM.3.S. de 4 de noviembre  de  1997;</w:t>
        <w:br/>
        <w:t>y copia de la notificación judicial No. 717 V.I.CSJM.3.S de 18 de  junio  de</w:t>
        <w:br/>
        <w:t>1997.</w:t>
        <w:br/>
        <w:br/>
        <w:t>[13]  Cfr. Escrito del señor Cesti Hurtado de 12 de noviembre de 1999.</w:t>
        <w:br/>
        <w:br/>
        <w:t>[14]  Cfr. Resumen de gastos por concepto  de  honorarios  profesionales  de</w:t>
        <w:br/>
        <w:t>los abogados Alberto Borea Odría, Miguel Borea Odría y Javier Valle  Riestra</w:t>
        <w:br/>
        <w:t>durante los años 1997, 1998 y 1999; 18 facturas emitidas por  Alberto  Borea</w:t>
        <w:br/>
        <w:t>Odría de enero de 1997 a febrero de 1999; 3  facturas  emitidas  por  Miguel</w:t>
        <w:br/>
        <w:t>Borea Odría de enero de 1997 a  junio  de  1998;  3  facturas  emitidas  por</w:t>
        <w:br/>
        <w:t>Javier Valle Riestra de enero a junio de 1997; y acuerdo de  la  firma  L.A.</w:t>
        <w:br/>
        <w:t>Motley and Company de 17 de septiembre de 1997.</w:t>
        <w:br/>
        <w:br/>
        <w:t>[15]  Cfr. 34 facturas emitidas por Siccsa (Schariff  International  courier</w:t>
        <w:br/>
        <w:t>&amp; cargo, s.a.) por servicios de mensajería de marzo de 1997 a mayo de  1999;</w:t>
        <w:br/>
        <w:t>resumen de gastos por servicios de personal de apoyo  de  enero  de  1998  a</w:t>
        <w:br/>
        <w:t>febrero de 2000;  472  recibos  por  concepto  de  “gastos  de  movilidad  y</w:t>
        <w:br/>
        <w:t>refrigerio en gestión de apoyo” al señor Cesti Hurtado, de julio de  1997  a</w:t>
        <w:br/>
        <w:t>febrero de 2000; liquidación de gastos de hotel y viáticos durante los  años</w:t>
        <w:br/>
        <w:t>1997, 1998, 1999 y 2000; 14 recibos emitidos por  Alberto  Borea  Odría  por</w:t>
        <w:br/>
        <w:t>concepto de hotel y viáticos de enero de 1997 a enero  de  2000;  9  recibos</w:t>
        <w:br/>
        <w:t>emitidos por Carmen  Cardó de Cesti por concepto  de  hotel  y  viáticos  de</w:t>
        <w:br/>
        <w:t>abril de 1997 a enero de 2000; 8  recibos  emitidos  por  Heriberto  Benitez</w:t>
        <w:br/>
        <w:t>Rivas por concepto de hotel y viáticos de abril  de  1997  a  septiembre  de</w:t>
        <w:br/>
        <w:t>1999; resumen de gastos del año 2000 por concepto de pasajes  y  2  facturas</w:t>
        <w:br/>
        <w:t>emitidas por Acuario Turismo, s.r.l. de 21 de  enero  de  2000;  resumen  de</w:t>
        <w:br/>
        <w:t>gastos por concepto de pasajes a diferentes empresas durante los años  1997,</w:t>
        <w:br/>
        <w:t>1998 y 1999 que constan de: 6 facturas emitidas por Acuario Turismo,  s.r.l.</w:t>
        <w:br/>
        <w:t>por concepto de pasajes de enero a noviembre de 1999;  2  facturas  emitidas</w:t>
        <w:br/>
        <w:t>por Nova Tours, s.a. por concepto de pasajes de fechas  4  de  diciembre  de</w:t>
        <w:br/>
        <w:t>1998 y 26 de junio de 1998; 1 factura emitida por Perú Visión  por  concepto</w:t>
        <w:br/>
        <w:t>de pasajes, el 15  de  enero  de  1998;  7  facturas  emitidas  por  Acuario</w:t>
        <w:br/>
        <w:t>Turismo, s.r.l. por concepto de pasajes de abril  a  diciembre  de  1998;  3</w:t>
        <w:br/>
        <w:t>facturas emitidas por Perú Visión  por  concepto  de  pasajes  de  agosto  a</w:t>
        <w:br/>
        <w:t>diciembre de 1997; 7 facturas  emitidas  por  Acuario  Turismo,  s.r.l.  por</w:t>
        <w:br/>
        <w:t>concepto de pasajes de abril a octubre de 1997.</w:t>
        <w:br/>
        <w:br/>
        <w:t>[16]  Cfr. Resumen de gastos de las  empresas  Perfecta  Seguridad,  Siccsa,</w:t>
        <w:br/>
        <w:t>Scharff Express s.a. y Poder Seguridad, s.a., por servicios de vigilancia  y</w:t>
        <w:br/>
        <w:t>de mensajería durante los años 1997, 1998 y 1999; 8  facturas  emitidas  por</w:t>
        <w:br/>
        <w:t>la  empresa  Perfecta  Seguridad  por  servicios  de  vigilancia  particular</w:t>
        <w:br/>
        <w:t>correspondiente a los meses de  julio  a  octubre  de  1997;  y  9  facturas</w:t>
        <w:br/>
        <w:t>emitidas  por  Poder  de  Seguridad,  s.a.,  por  servicios  de   vigilancia</w:t>
        <w:br/>
        <w:t>particular de enero a junio de 1997.</w:t>
        <w:br/>
        <w:t>[17]  Cfr. Caso Ivcher Bronstein, supra nota 1, párr. 183; Caso  “La  Última</w:t>
        <w:br/>
        <w:t>Tentación de Cristo”, supra nota 1, párr. 99; Caso Baena  Ricardo  y  otros,</w:t>
        <w:br/>
        <w:t>supra nota 3, párr. 206; Caso del Tribunal  Constitucional,  supra  nota  1,</w:t>
        <w:br/>
        <w:t>párr. 122; Caso Blake. Reparaciones, supra nota 7,  párr.  55;  Caso  Suárez</w:t>
        <w:br/>
        <w:t>Rosero.  Reparaciones,  supra  nota  7,  párr.  72;  Caso   Castillo   Páez.</w:t>
        <w:br/>
        <w:t>Reparaciones,  supra  nota  2,  párr.  84;  Caso  Neira  Alegría  y   otros.</w:t>
        <w:br/>
        <w:t>Reparaciones, supra nota 7, párr. 56; y Caso El Amparo. Reparaciones,  supra</w:t>
        <w:br/>
        <w:t>nota 7, párr. 62; en igual sentido Cfr. Eur Court HR, Ruiz Torrija v.  Spain</w:t>
        <w:br/>
        <w:t>judgment of 9 December 1994, Series A no. 303-A, para.  33;  Eur  Court  HR,</w:t>
        <w:br/>
        <w:t>Boner v. the United Kingdom judgment of 28 October 1994, Series A  no.  300-</w:t>
        <w:br/>
        <w:t>B, para. 46; Eur Court HR, Kroon and Others v. the Netherlands  judgment  of</w:t>
        <w:br/>
        <w:t>27 October 1994, Series A  no.  297-C,  para.  45;  Eur  Court  H.R.,  Darby</w:t>
        <w:br/>
        <w:t>judgment of 23 October 1990, Series A no. 187, para.  40;  Eur  Court  H.R.,</w:t>
        <w:br/>
        <w:t>Koendjbiharie, judgment of 25 October 1990, Series A no.  185-B,  para.  34;</w:t>
        <w:br/>
        <w:t>Eur Court H.R., Wassink judgment of 27 September 1990, Series A  no.  185-A,</w:t>
        <w:br/>
        <w:t>para. 41; y Eur Court H.R., McCallum judgment of 30 August  1990,  Series  A</w:t>
        <w:br/>
        <w:t>no. 183, para. 37.</w:t>
        <w:br/>
        <w:br/>
        <w:t>[18]  Cfr. Caso Ivcher Bronstein,  supra  nota  1,  párr.  183;  Caso  Baena</w:t>
        <w:br/>
        <w:t>Ricardo y otros, supra nota 3, párr. 206; y Caso Blake. Reparaciones,  supra</w:t>
        <w:br/>
        <w:t>nota 7, párr. 55.</w:t>
        <w:br/>
        <w:br/>
        <w:t>[19]  Cfr. Caso Ivcher Bronstein,  supra  nota  1,  párr.  183;  Caso  Baena</w:t>
        <w:br/>
        <w:t>Ricardo  y  otros,  supra  nota  3,  párr.  206;  y  Caso   Castillo   Páez.</w:t>
        <w:br/>
        <w:t>Reparaciones, supra nota 2, párr. 84; e inter alia  Cfr.  Eur.  Court  H.R.,</w:t>
        <w:br/>
        <w:t>Kemmache v. France, judgment of 2 November 1993, Series A No. 270-B, p.  13,</w:t>
        <w:br/>
        <w:t>para. 11.</w:t>
        <w:br/>
        <w:br/>
        <w:t>[20]  Cfr. Caso Villagrán Morales y otros. Reparaciones  (art.  63.1  de  la</w:t>
        <w:br/>
        <w:t>Convención Americana sobre Derechos Humanos). Sentencia de  26  de  mayo  de</w:t>
        <w:br/>
        <w:t>2001. Serie C No. 77, párr. 100; Caso  Suárez  Rosero.  Reparaciones,  supra</w:t>
        <w:br/>
        <w:t>nota 7, párr. 79; y Caso El Amparo. Reparaciones, supra nota 7, párr. 61.</w:t>
        <w:br/>
        <w:br/>
        <w:t>[21]  Cfr. Caso  Ivcher  Bronstein,  supra  nota  1,  párr.  186;  Caso  del</w:t>
        <w:br/>
        <w:t>Tribunal Constitucional, supra nota 1, párr. 123; y Caso  Bámaca  Velásquez.</w:t>
        <w:br/>
        <w:t>Sentencia de 25 de noviembre de 2000. Serie C No. 70, párr. 211.</w:t>
        <w:br/>
        <w:br/>
        <w:t>[22]  Cfr. Caso Paniagua Morales y otros. Sentencia de 8 de marzo  de  1998.</w:t>
        <w:br/>
        <w:t>Serie C No. 37, párr. 173; Caso Loayza Tamayo. Reparaciones, supra  nota  7,</w:t>
        <w:br/>
        <w:t>párr. 170; y Caso Blake. Reparaciones, supra nota 7, párr. 64.</w:t>
        <w:br/>
        <w:t>[23]  Cfr. Caso  Ivcher  Bronstein,  supra  nota  1,  párr.  135;  Caso  del</w:t>
        <w:br/>
        <w:t>Tribunal Constitucional, supra nota 1, párr. 90; y  Caso  Bámaca  Velásquez,</w:t>
        <w:br/>
        <w:t>supra nota 24, párr. 191.</w:t>
        <w:br/>
        <w:br/>
        <w:t>[24]  Cfr. Caso Loayza Tamayo. Reparaciones, supra nota 7, párr. 169.</w:t>
        <w:br/>
        <w:t>[25]  Cfr. Caso Loayza Tamayo. Reparaciones, supra  nota  7,  párr.  177;  y</w:t>
        <w:br/>
        <w:t>Caso Garrido y Baigorria. Reparaciones, supra nota 12, párr. 80.</w:t>
        <w:br/>
        <w:br/>
        <w:t>[26]  Cfr. Caso Villagrán Morales y  otros.  Reparaciones,  supra  nota  23,</w:t>
        <w:br/>
        <w:t>párr. 107; Caso Paniagua Morales y otros.  Reparaciones  (art.  63.1  de  la</w:t>
        <w:br/>
        <w:t>Convención Americana sobre Derechos Humanos). Serie C No. 76, párr.  212;  y</w:t>
        <w:br/>
        <w:t>Caso Garrido y Baigorria. Reparaciones, supra nota 12, párr. 82.</w:t>
        <w:br/>
        <w:br/>
        <w:t>[27]  En el mismo sentido, Cfr.  Caso  Loayza  Tamayo.  Reparaciones,  supra</w:t>
        <w:br/>
        <w:t>nota 7, párr. 178; y Caso Garrido y Baigorria. Reparaciones, supra nota  12,</w:t>
        <w:br/>
        <w:t>párr. 81.</w:t>
        <w:br/>
        <w:br/>
        <w:t>[28]  En el mismo sentido, Cfr. Caso Ivcher Bronstein, supra nota  1,  párr.</w:t>
        <w:br/>
        <w:t>189; Caso Baena Ricardo y  otros,  supra  nota  3,  párr.  209  y  Caso  del</w:t>
        <w:br/>
        <w:t>Tribunal Constitucional, supra nota 1, párr. 126.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