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t xml:space="preserve">               Caso de la Comunidad Mayagna (Sumo) Awas Tingni</w:t>
        <w:br/>
        <w:t xml:space="preserve">                                Vs. Nicaragua</w:t>
        <w:br/>
        <w:br/>
        <w:br/>
        <w:t xml:space="preserve">                      Sentencia de 31 de agosto de 2001</w:t>
        <w:br/>
        <w:t xml:space="preserve">                       (Fondo, Reparaciones y Costas)</w:t>
        <w:br/>
        <w:br/>
        <w:br/>
        <w:br/>
        <w:t>En el caso de la Comunidad Mayagna  (Sumo)  Awas  Tingni  (en  adelante  “la</w:t>
        <w:br/>
        <w:t>Comunidad”, “la Comunidad Mayagna”,  “la  Comunidad  Awas  Tingni”  o  “Awas</w:t>
        <w:br/>
        <w:t>Tingni”),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jueces:</w:t>
        <w:br/>
        <w:br/>
        <w:t xml:space="preserve">      Antônio A. Cançado Trindade, Presidente;</w:t>
        <w:br/>
        <w:t xml:space="preserve">      Máximo Pacheco Gómez, Vicepresidente;</w:t>
        <w:br/>
        <w:t xml:space="preserve">      Hernán Salgado Pesantes, Juez;</w:t>
        <w:br/>
        <w:t xml:space="preserve">      Oliver Jackman, Juez;</w:t>
        <w:br/>
        <w:t xml:space="preserve">      Alirio Abreu Burelli, Juez;</w:t>
        <w:br/>
        <w:t xml:space="preserve">      Sergio García Ramírez, Juez;</w:t>
        <w:br/>
        <w:t xml:space="preserve">      Carlos Vicente de Roux Rengifo, Juez, y</w:t>
        <w:br/>
        <w:t xml:space="preserve">      Alejandro Montiel Argüello, Juez ad hoc;</w:t>
        <w:br/>
        <w:br/>
        <w:t>presentes, además,</w:t>
        <w:br/>
        <w:br/>
        <w:t xml:space="preserve">      Manuel E. Ventura Robles, Secretario, y</w:t>
        <w:br/>
        <w:t xml:space="preserve">      Pablo Saavedra Alessandri, Secretario adjunto,</w:t>
        <w:br/>
        <w:br/>
        <w:t>de conformidad con los artículos 29 y 55 del  Reglamento  de  la  Corte  (en</w:t>
        <w:br/>
        <w:t>adelante “el Reglamento”)*, dicta la siguiente Sentencia sobre  el  presente</w:t>
        <w:br/>
        <w:t>caso.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br/>
        <w:t>1.    El 4 de junio de 1998 la Comisión Interamericana de  Derechos  Humanos</w:t>
        <w:br/>
        <w:t>(en adelante “la Comisión” o “la Comisión Interamericana”) sometió  ante  la</w:t>
        <w:br/>
        <w:t>Corte una demanda contra el Estado de Nicaragua (en adelante “el  Estado”  o</w:t>
        <w:br/>
        <w:t>“Nicaragua”) que se originó en  la  denuncia  No.  11.577,  recibida  en  la</w:t>
        <w:br/>
        <w:t>Secretaría de la Comisión el 2 de octubre de 1995.</w:t>
        <w:br/>
        <w:br/>
        <w:t>2.    En su demanda, la  Comisión  invocó  los  artículos  50  y  51  de  la</w:t>
        <w:br/>
        <w:t>Convención Americana sobre Derechos  Humanos  (en  adelante  “la  Convención</w:t>
        <w:br/>
        <w:t>Americana”  o  “la  Convención”)  y  los  artículos  32  y  siguientes   del</w:t>
        <w:br/>
        <w:t>Reglamento.  La Comisión presentó este caso con  el  fin  de  que  la  Corte</w:t>
        <w:br/>
        <w:t>decidiera si el Estado violó los artículos 1  (Obligación  de  Respetar  los</w:t>
        <w:br/>
        <w:t>Derechos), 2  (Deber  de  Adoptar  Disposiciones  de  Derecho  Interno),  21</w:t>
        <w:br/>
        <w:t>(Derecho  a  la  Propiedad  Privada)  y  25  (Protección  Judicial)  de   la</w:t>
        <w:br/>
        <w:t>Convención, en razón de que Nicaragua no ha demarcado las tierras  comunales</w:t>
        <w:br/>
        <w:t>de la Comunidad Awas Tingni, ni ha tomado  medidas  efectivas  que  aseguren</w:t>
        <w:br/>
        <w:t>los derechos de propiedad de la  Comunidad  en  sus  tierras  ancestrales  y</w:t>
        <w:br/>
        <w:t>recursos naturales, así  como  por  haber  otorgado  una  concesión  en  las</w:t>
        <w:br/>
        <w:t>tierras de la Comunidad sin su consentimiento  y  no  haber  garantizado  un</w:t>
        <w:br/>
        <w:t>recurso efectivo para responder a las reclamaciones de  la  Comunidad  sobre</w:t>
        <w:br/>
        <w:t>sus derechos de propiedad.</w:t>
        <w:br/>
        <w:br/>
        <w:t>3.    Asimismo, la Comisión solicitó a la Corte que declarara que el  Estado</w:t>
        <w:br/>
        <w:t>debe establecer un procedimiento jurídico que permita la pronta  demarcación</w:t>
        <w:br/>
        <w:t>y el reconocimiento oficial de los derechos de  propiedad  de  la  Comunidad</w:t>
        <w:br/>
        <w:t>Mayagna, así como abstenerse de otorgar  o  considerar  el  otorgamiento  de</w:t>
        <w:br/>
        <w:t>cualquier concesión para el aprovechamiento de  recursos  naturales  en  las</w:t>
        <w:br/>
        <w:t>tierras usadas y ocupadas por Awas Tingni hasta que se resuelva la  cuestión</w:t>
        <w:br/>
        <w:t>de la tenencia de la tierra que afecta a la Comunidad.</w:t>
        <w:br/>
        <w:br/>
        <w:t>4.    Finalmente, la Comisión solicitó a la Corte que condene  al  Estado  a</w:t>
        <w:br/>
        <w:t>pagar una indemnización compensatoria equitativa por los daños materiales  y</w:t>
        <w:br/>
        <w:t>morales que la Comunidad ha sufrido, y  al  pago  de  las  costas  y  gastos</w:t>
        <w:br/>
        <w:t>generados en la tramitación del caso en la jurisdicción interna  y  ante  el</w:t>
        <w:br/>
        <w:t>Sistema Interamericano.</w:t>
        <w:br/>
        <w:br/>
        <w:br/>
        <w:t xml:space="preserve">                                     II</w:t>
        <w:br/>
        <w:t xml:space="preserve">                                 Competencia</w:t>
        <w:br/>
        <w:br/>
        <w:t>5.    Nicaragua es Estado Parte en la Convención Americana desde  el  25  de</w:t>
        <w:br/>
        <w:t>septiembre de 1979 y reconoció la competencia contenciosa de la Corte el  12</w:t>
        <w:br/>
        <w:t>de febrero de 1991.  Por lo tanto, la Corte es competente para  conocer  del</w:t>
        <w:br/>
        <w:t>presente caso, en los términos del artículo 62.3 de la Convención.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6.    El 2 de octubre de 1995  la  Comisión  Interamericana  recibió  en  su</w:t>
        <w:br/>
        <w:t>Secretaría una denuncia presentada  por  el  señor  Jaime  Castillo  Felipe,</w:t>
        <w:br/>
        <w:t>Síndico de la Comunidad, por sí mismo  y  en  representación  de  ésta.   En</w:t>
        <w:br/>
        <w:t>dicha denuncia también se solicitó la adopción  de  medidas  cautelares,  en</w:t>
        <w:br/>
        <w:t>virtud de que supuestamente el Estado se disponía a otorgar una concesión  a</w:t>
        <w:br/>
        <w:t>la empresa Sol del Caribe, S.A. (SOLCARSA)  (en  adelante  “SOLCARSA”)  para</w:t>
        <w:br/>
        <w:t>comenzar la explotación de madera en las tierras comunales.   El  6  de  los</w:t>
        <w:br/>
        <w:t>mismos mes y año la Comisión acusó recibo de dicha comunicación.</w:t>
        <w:br/>
        <w:br/>
        <w:t>7.    El 3 de diciembre de 1995 y el 4 de enero de 1996 la Comisión  recibió</w:t>
        <w:br/>
        <w:t>escritos mediante los cuales se reiteró la solicitud de  medidas  cautelares</w:t>
        <w:br/>
        <w:t>a que hace referencia el párrafo anterior.</w:t>
        <w:br/>
        <w:br/>
        <w:t>8.    El 19 de enero de 1996 los peticionarios solicitaron  audiencia  a  la</w:t>
        <w:br/>
        <w:t>Comisión, pero ésta les informó que no sería posible concederla.</w:t>
        <w:br/>
        <w:br/>
        <w:t>9.    El 5 de febrero de 1996 la Comisión inició la tramitación del  caso  y</w:t>
        <w:br/>
        <w:t>envió al Estado las partes pertinentes de la petición,  solicitando  a  éste</w:t>
        <w:br/>
        <w:t>que remitiera la información correspondiente en un plazo de 90 días.</w:t>
        <w:br/>
        <w:br/>
        <w:t>10.   El 13 de marzo de 1996 el señor James Anaya,  representante  legal  de</w:t>
        <w:br/>
        <w:t>la Comunidad, presentó a la Comisión dos artículos de prensa  referentes  al</w:t>
        <w:br/>
        <w:t>otorgamiento de la concesión a SOLCARSA y una carta enviada por el  Ministro</w:t>
        <w:br/>
        <w:t>de Ambiente y Recursos Naturales  al  Presidente  de  SOLCARSA,  en  que  le</w:t>
        <w:br/>
        <w:t>informaba que la “solicitud de concesión  forestal  esta[ba]  en  trámite[,]</w:t>
        <w:br/>
        <w:t>que lo que falta[ba] e[ra] firmar  el  contrato  de  concesión”,  y  que  el</w:t>
        <w:br/>
        <w:t>obstáculo principal lo constituían las reclamaciones de la Comunidad.</w:t>
        <w:br/>
        <w:br/>
        <w:t>11.   Mediante comunicación de  28  de  marzo  de  1996,  los  peticionarios</w:t>
        <w:br/>
        <w:t>enviaron a la Comisión un proyecto de  “memorándum  de  entendimiento”  para</w:t>
        <w:br/>
        <w:t>llegar a una solución amistosa en el caso, documento  que,  según  el  señor</w:t>
        <w:br/>
        <w:t>James Anaya, representante legal de la Comunidad, había  sido  presentado  a</w:t>
        <w:br/>
        <w:t>los Ministros de Relaciones Exteriores y de Ambiente y Recursos Naturales.</w:t>
        <w:br/>
        <w:br/>
        <w:t>12.   El 17 de abril de 1996 el señor James Anaya,  representante  legal  de</w:t>
        <w:br/>
        <w:t>la Comunidad, presentó un  documento  mediante  el  cual  otras  comunidades</w:t>
        <w:br/>
        <w:t>indígenas de la Región Autónoma Atlántico Norte (en adelante  “la  RAAN”)  y</w:t>
        <w:br/>
        <w:t>el Movimiento Indígena  de  la  Región  Autónoma  Atlántico  Sur  (RAAS)  se</w:t>
        <w:br/>
        <w:t>adherían a la petición presentada ante la Comisión.</w:t>
        <w:br/>
        <w:br/>
        <w:t>13.   El 3 de mayo de  1996  se  realizó  una  reunión  informal  entre  los</w:t>
        <w:br/>
        <w:t>peticionarios, el Estado y la Comisión con el fin de alcanzar  una  solución</w:t>
        <w:br/>
        <w:t>amistosa sobre este caso.  El 6 de los mismos mes  y  año,  la  Comisión  se</w:t>
        <w:br/>
        <w:t>puso a disposición de las partes para procurar dicha solución y  les  otorgó</w:t>
        <w:br/>
        <w:t>un plazo de 30 días para que emitieran su respuesta al respecto.  El 8 y  20</w:t>
        <w:br/>
        <w:t>de mayo de 1996 los peticionarios y el Estado,  respectivamente,  accedieron</w:t>
        <w:br/>
        <w:t>a esa propuesta.</w:t>
        <w:br/>
        <w:br/>
        <w:t>14.   El 20 de junio de 1996  se  celebró  una  segunda  reunión  entre  los</w:t>
        <w:br/>
        <w:t>peticionarios, el Estado y la Comisión.  En esta reunión, Nicaragua  rechazó</w:t>
        <w:br/>
        <w:t>el  proyecto  de  “memorándum   de   entendimiento”   presentado   por   los</w:t>
        <w:br/>
        <w:t>peticionarios (supra párr. 11).  A su vez, propusieron  que  una  delegación</w:t>
        <w:br/>
        <w:t>de la Comisión visitara Nicaragua para dialogar con las partes.</w:t>
        <w:br/>
        <w:br/>
        <w:t>15.   El 3 de octubre de 1996 se  celebró  una  tercera  reunión  entre  los</w:t>
        <w:br/>
        <w:t>peticionarios,  el  Estado  y  la  Comisión.   En  ésta,  los  peticionarios</w:t>
        <w:br/>
        <w:t>solicitaron al Estado que no  otorgara  más  concesiones  en  la  zona,  que</w:t>
        <w:br/>
        <w:t>iniciara el proceso  de  demarcación  de  las  tierras  de  la  Comunidad  y</w:t>
        <w:br/>
        <w:t>diferenciara éstas de las  tierras  estatales.   Por  su  parte,  el  Estado</w:t>
        <w:br/>
        <w:t>presentó algunos documentos probatorios, anunció la creación de la  Comisión</w:t>
        <w:br/>
        <w:t>Nacional de Demarcación e invitó a los peticionarios a participar en ella.</w:t>
        <w:br/>
        <w:br/>
        <w:t>16.   El 5 de marzo de 1997 los peticionarios reiteraron a  la  Comisión  su</w:t>
        <w:br/>
        <w:t>solicitud de medidas cautelares (supra párrs. 6 y 7)  ante  la  amenaza  del</w:t>
        <w:br/>
        <w:t>inicio de las operaciones forestales en las tierras indígenas y,  el  12  de</w:t>
        <w:br/>
        <w:t>los mismos mes y año, la Comisión otorgó al Estado plazo  de  15  días  para</w:t>
        <w:br/>
        <w:t>que presentara un informe al respecto.  El 20 de  marzo  de  1997  Nicaragua</w:t>
        <w:br/>
        <w:t>solicitó a la  Comisión  una  prórroga  de  30  días  para  responder  a  su</w:t>
        <w:br/>
        <w:t>solicitud, la cual fue concedida.</w:t>
        <w:br/>
        <w:br/>
        <w:t>17.   El 3 de abril de 1997  los  peticionarios  informaron  a  la  Comisión</w:t>
        <w:br/>
        <w:t>sobre el fallo de la Sala de  lo  Constitucional  de  la  Corte  Suprema  de</w:t>
        <w:br/>
        <w:t>Justicia de Nicaragua de 27 de febrero de 1997, que resolvió el  recurso  de</w:t>
        <w:br/>
        <w:t>amparo interpuesto por miembros del Consejo Regional de la  RAAN  y  declaró</w:t>
        <w:br/>
        <w:t>la inconstitucionalidad de  la  concesión  otorgada  por  el  Ministerio  de</w:t>
        <w:br/>
        <w:t>Ambiente y Recursos Naturales (en adelante “MARENA”) a  SOLCARSA,  debido  a</w:t>
        <w:br/>
        <w:t>que no contaba con la aprobación del Consejo Regional de la RAAN,  tal  como</w:t>
        <w:br/>
        <w:t>lo  señala  el  artículo  181  de  la  Constitución  nicaragüense.   También</w:t>
        <w:br/>
        <w:t>informaron que el Estado no había suspendido la concesión.</w:t>
        <w:br/>
        <w:br/>
        <w:t>18.   El 23 de abril de 1997 Nicaragua solicitó a la Comisión que  desechara</w:t>
        <w:br/>
        <w:t>las medidas cautelares solicitadas por los peticionarios (supra párrs. 6,  7</w:t>
        <w:br/>
        <w:t>y  16),  con  fundamento  en  la  sentencia  dictada  por  la  Sala  de   lo</w:t>
        <w:br/>
        <w:t>Constitucional de la Corte Suprema de Justicia, la  cual  se  comprometía  a</w:t>
        <w:br/>
        <w:t>cumplir.  Sin embargo, el 11 de  junio  del  mismo  año,  los  peticionarios</w:t>
        <w:br/>
        <w:t>informaron a la Comisión que el Estado y SOLCARSA continuaban actuando  como</w:t>
        <w:br/>
        <w:t>si la concesión fuera válida, a pesar de la  sentencia  de  la  Sala  de  lo</w:t>
        <w:br/>
        <w:t>Constitucional de la Corte Suprema de Justicia.</w:t>
        <w:br/>
        <w:br/>
        <w:t>19.   En audiencia celebrada en la Comisión el 8 de  octubre  de  1997,  los</w:t>
        <w:br/>
        <w:t>peticionarios señalaron que proseguían las  operaciones  forestales  en  las</w:t>
        <w:br/>
        <w:t>tierras de la Comunidad y pidieron a la Comisión que observara la  situación</w:t>
        <w:br/>
        <w:t>in situ.  El 27 de octubre del mismo año,  tres  días  antes  de  la  visita</w:t>
        <w:br/>
        <w:t>programada por la Comisión a Nicaragua, el Estado informó a ésta que no  era</w:t>
        <w:br/>
        <w:t>necesaria dicha visita, debido a  que  preparaba  un  informe  adicional  al</w:t>
        <w:br/>
        <w:t>respecto.</w:t>
        <w:br/>
        <w:br/>
        <w:t>20.   El 31 de octubre de 1997 la Comisión solicitó al Estado  que  adoptara</w:t>
        <w:br/>
        <w:t>las medidas cautelares (supra párrs. 6, 7, 16 y 18)  que  fueran  necesarias</w:t>
        <w:br/>
        <w:t>para suspender la concesión otorgada  a SOLCARSA, y  fijó  un  plazo  de  30</w:t>
        <w:br/>
        <w:t>días para que Nicaragua informase sobre aquéllas.</w:t>
        <w:br/>
        <w:br/>
        <w:t>21.   El 5 de noviembre de  1997  el  Estado  solicitó  a  la  Comisión  que</w:t>
        <w:br/>
        <w:t>cerrara el caso, basado  en  que  el  Consejo  Regional  de  la  RAAN  había</w:t>
        <w:br/>
        <w:t>ratificado la aprobación de  la  concesión  otorgada  a  SOLCARSA,  lo  cual</w:t>
        <w:br/>
        <w:t>subsanó el  “error  de  forma”  cometido  y,  por  ende,  quedó  vigente  la</w:t>
        <w:br/>
        <w:t>concesión.</w:t>
        <w:br/>
        <w:br/>
        <w:t>22.   El 17 de  noviembre  de  1997  los  peticionarios  manifestaron  a  la</w:t>
        <w:br/>
        <w:t>Comisión que el punto central de la denuncia era la falta de protección  por</w:t>
        <w:br/>
        <w:t>parte de Nicaragua de  los  derechos  de  la  Comunidad  sobre  sus  tierras</w:t>
        <w:br/>
        <w:t>ancestrales, situación que aún permanecía vigente.  Asimismo,  con  respecto</w:t>
        <w:br/>
        <w:t>a la ratificación del Consejo Regional de la RAAN de la  concesión  otorgada</w:t>
        <w:br/>
        <w:t>a SOLCARSA,  señalaron  que  este  Consejo  era  parte  de  la  organización</w:t>
        <w:br/>
        <w:t>político-administrativa del Estado y que había actuado sin tomar  en  cuenta</w:t>
        <w:br/>
        <w:t>los derechos territoriales de la Comunidad.  Por último,  solicitaron  a  la</w:t>
        <w:br/>
        <w:t>Comisión que rindiera un informe  de  acuerdo  con  el  artículo  50  de  la</w:t>
        <w:br/>
        <w:t>Convención.</w:t>
        <w:br/>
        <w:br/>
        <w:t>23.   El 4 de diciembre de 1997  el  Estado  envió  una  comunicación  a  la</w:t>
        <w:br/>
        <w:t>Comisión, en la que señaló que los peticionarios habían  interpuesto,  el  7</w:t>
        <w:br/>
        <w:t>de noviembre de 1997, un recurso de amparo ante el Tribunal  de  Apelaciones</w:t>
        <w:br/>
        <w:t>de Matagalpa con el fin de que aquél declarara nula la concesión otorgada  a</w:t>
        <w:br/>
        <w:t>SOLCARSA.  Por ello, Nicaragua alegó que no se habían agotado  los  recursos</w:t>
        <w:br/>
        <w:t>internos e invocó la aplicación de los artículos 46 de la  Convención  y  37</w:t>
        <w:br/>
        <w:t>del Reglamento de la Comisión.</w:t>
        <w:br/>
        <w:br/>
        <w:t>24.   El 2 de marzo de 1998 el Estado comunicó a la Comisión que  el  22  de</w:t>
        <w:br/>
        <w:t>enero del mismo año  los  peticionarios  habían  presentado  ante  la  Corte</w:t>
        <w:br/>
        <w:t>Suprema de Justicia una solicitud de ejecución de  la  sentencia  de  27  de</w:t>
        <w:br/>
        <w:t>febrero de 1997  dictada  por  ese  tribunal  (supra  párr.  17).   En  esta</w:t>
        <w:br/>
        <w:t>oportunidad Nicaragua reiteró su posición en el sentido de que no se  habían</w:t>
        <w:br/>
        <w:t>agotado los recursos internos, y solicitó a la Comisión  que  se  abstuviera</w:t>
        <w:br/>
        <w:t>de continuar conociendo del caso.</w:t>
        <w:br/>
        <w:br/>
        <w:t>25.   El 3 de marzo de 1998 la Comisión  Interamericana  aprobó  el  Informe</w:t>
        <w:br/>
        <w:t>No. 27/98, que fue transmitido al Estado el 6 de los mismos  mes  y  año,  y</w:t>
        <w:br/>
        <w:t>otorgó a Nicaragua un plazo de 2 meses para que informara sobre las  medidas</w:t>
        <w:br/>
        <w:t>que hubiese adoptado para dar cumplimiento a las recomendaciones.  En  dicho</w:t>
        <w:br/>
        <w:t>Informe, la Comisión concluyó:</w:t>
        <w:br/>
        <w:br/>
        <w:t xml:space="preserve">      141.  Sobre la base de las acciones y omisiones examinadas, [...]  que</w:t>
        <w:br/>
        <w:t xml:space="preserve">      el Estado de Nicaragua no ha cumplido con  sus  obligaciones  bajo  la</w:t>
        <w:br/>
        <w:t xml:space="preserve">      Convención Americana sobre Derechos Humanos.  El Estado  de  Nicaragua</w:t>
        <w:br/>
        <w:t xml:space="preserve">      no ha demarcado las tierras comunales de la Comunidad Awas Tingni,  ni</w:t>
        <w:br/>
        <w:t xml:space="preserve">      de otras comunidades indígenas.  Tampoco ha tomado  medidas  efectivas</w:t>
        <w:br/>
        <w:t xml:space="preserve">      que aseguren los derechos de propiedad de la Comunidad en sus tierras.</w:t>
        <w:br/>
        <w:t xml:space="preserve">       Esta omisión por parte del Estado  constituye  una  violación  a  los</w:t>
        <w:br/>
        <w:t xml:space="preserve">      artículos 1, 2, y 21 de la  Convención,  los  cuales  en  su  conjunto</w:t>
        <w:br/>
        <w:t xml:space="preserve">      establecen el derecho a dichas medidas efectivas.  Los artículos 1 y 2</w:t>
        <w:br/>
        <w:t xml:space="preserve">      obligan a los Estados a tomar las medidas necesarias para  implementar</w:t>
        <w:br/>
        <w:t xml:space="preserve">      los derechos contenidos en la Convención.</w:t>
        <w:br/>
        <w:br/>
        <w:t xml:space="preserve">      142.  El Estado de Nicaragua, es responsable por [violar  el]  derecho</w:t>
        <w:br/>
        <w:t xml:space="preserve">      a la propiedad en forma activa, consagrado en el  artículo  21  de  la</w:t>
        <w:br/>
        <w:t xml:space="preserve">      Convención, al otorgar una  concesión  a  la  compañía  SOLCARSA  para</w:t>
        <w:br/>
        <w:t xml:space="preserve">      realizar en las tierras [de] Awas Tingni trabajos de  construcción  de</w:t>
        <w:br/>
        <w:t xml:space="preserve">      carreteras y de explotación maderera,  sin  el  consentimiento  de  la</w:t>
        <w:br/>
        <w:t xml:space="preserve">      Comunidad Awas Tingni.</w:t>
        <w:br/>
        <w:br/>
        <w:t xml:space="preserve">      143.  [...] que  el  Estado  de  Nicaragua  no  garantizó  un  recurso</w:t>
        <w:br/>
        <w:t xml:space="preserve">      efectivo para responder a  las  reclamaciones  de  la  Comunidad  Awas</w:t>
        <w:br/>
        <w:t xml:space="preserve">      Tingni sobre sus derechos a tierras y recursos naturales,  de  acuerdo</w:t>
        <w:br/>
        <w:t xml:space="preserve">      con el artículo 25 de la Convención.</w:t>
        <w:br/>
        <w:br/>
        <w:t>Asimismo, la Comisión recomendó a Nicaragua que:</w:t>
        <w:br/>
        <w:br/>
        <w:t xml:space="preserve">      a.    Estable[ciera] un procedimiento  en  su  ordenamiento  jurídico,</w:t>
        <w:br/>
        <w:t xml:space="preserve">      aceptable a las comunidades indígenas involucradas, que t[uviera] como</w:t>
        <w:br/>
        <w:t xml:space="preserve">      resultado la  pronta  demarcación  y  el  reconocimiento  oficial  del</w:t>
        <w:br/>
        <w:t xml:space="preserve">      territorio de Awas Tingni y de los territorios de otras comunidades de</w:t>
        <w:br/>
        <w:t xml:space="preserve">      la Costa Atlántica;</w:t>
        <w:br/>
        <w:br/>
        <w:t xml:space="preserve">      b.    Suspend[iera] a la mayor brevedad, toda actividad relativa a  la</w:t>
        <w:br/>
        <w:t xml:space="preserve">      concesión maderera otorgada a SOLCARSA por el  Estado  dentro  de  las</w:t>
        <w:br/>
        <w:t xml:space="preserve">      tierras comunales de Awas Tingni, hasta que la cuestión de la tenencia</w:t>
        <w:br/>
        <w:t xml:space="preserve">      de la tierra que afecta a las  comunidades  indígenas  h[ubiera]  sido</w:t>
        <w:br/>
        <w:t xml:space="preserve">      resuelta, o que se h[ubiera]  llegado a un acuerdo específico entre el</w:t>
        <w:br/>
        <w:t xml:space="preserve">      Estado y la Comunidad Awas Tingni; [y]</w:t>
        <w:br/>
        <w:br/>
        <w:t xml:space="preserve">      c.    Iniciar[a] en el plazo de un mes un  diálogo  con  la  Comunidad</w:t>
        <w:br/>
        <w:t xml:space="preserve">      Awas  Tingni,  a  fin  de  determinar  bajo  qu[é]  circunstancias  se</w:t>
        <w:br/>
        <w:t xml:space="preserve">      pu[diera] llegar a un acuerdo entre el  Estado  y  la  Comunidad  Awas</w:t>
        <w:br/>
        <w:t xml:space="preserve">      Tingni.</w:t>
        <w:br/>
        <w:br/>
        <w:t>26.   El 7 de mayo de 1998 la Comisión Interamericana recibió  la  respuesta</w:t>
        <w:br/>
        <w:t>del Estado.  La Comisión señaló que, aunque dicha respuesta  fue  presentada</w:t>
        <w:br/>
        <w:t>extemporáneamente, analizaría su contenido  para  agregarse  a  autos.   Con</w:t>
        <w:br/>
        <w:t>respecto a las recomendaciones  de  la  Comisión  Interamericana,  Nicaragua</w:t>
        <w:br/>
        <w:t>manifestó que:</w:t>
        <w:br/>
        <w:br/>
        <w:t xml:space="preserve">      a)      A  fin  de  dar  cumplimiento  a  las  recomendaciones  de  la</w:t>
        <w:br/>
        <w:t xml:space="preserve">      [Comisión]  en  relación  a  establecer  un   procedimiento   jurídico</w:t>
        <w:br/>
        <w:t xml:space="preserve">      aceptable a las comunidades indígenas involucradas que t[uviera]  como</w:t>
        <w:br/>
        <w:t xml:space="preserve">      resultado la demarcación y el reconocimiento oficial del territorio de</w:t>
        <w:br/>
        <w:t xml:space="preserve">      Awas Tingni y de otras comunidades de la Costa Atlántica, el  Gobierno</w:t>
        <w:br/>
        <w:t xml:space="preserve">      de Nicaragua cuenta con una Comisión Nacional para la  Demarcación  de</w:t>
        <w:br/>
        <w:t xml:space="preserve">      las Tierras de las Comunidades Indígenas de la Costa Atlántica.</w:t>
        <w:br/>
        <w:br/>
        <w:br/>
        <w:t xml:space="preserve">      Con este mismo objetivo, se [... procedió] a preparar un  Proyecto  de</w:t>
        <w:br/>
        <w:t xml:space="preserve">      Ley de Propiedad Comunal Indígena que tiene tres componentes:</w:t>
        <w:br/>
        <w:t xml:space="preserve">      1.    Establecer lo relativo a  la  acreditación  de  las  comunidades</w:t>
        <w:br/>
        <w:t xml:space="preserve">           indígenas y de sus autoridades.</w:t>
        <w:br/>
        <w:t xml:space="preserve">      2.    Proceder a la delimitación y titulación de las propiedades.</w:t>
        <w:br/>
        <w:t xml:space="preserve">      3.    Soluci[onar el c]onflicto.</w:t>
        <w:br/>
        <w:t xml:space="preserve">      Este proyecto de ley, presupone dar una solución legal de la propiedad</w:t>
        <w:br/>
        <w:t xml:space="preserve">      indígena o de minorías étnicas.  Dicho proyecto será consultado con la</w:t>
        <w:br/>
        <w:t xml:space="preserve">      sociedad civil y una vez consensuado será  presentado  a  la  Asamblea</w:t>
        <w:br/>
        <w:t xml:space="preserve">      Nacional para su discusión y posterior aprobación.  El plazo  estimado</w:t>
        <w:br/>
        <w:t xml:space="preserve">      para todo este proceso es de unos tres meses a partir de esta fecha.</w:t>
        <w:br/>
        <w:br/>
        <w:br/>
        <w:t xml:space="preserve">      b)    En relación a  la  recomendación  de  suspender  toda  actividad</w:t>
        <w:br/>
        <w:t xml:space="preserve">      relativa a la concesión maderera otorgada a SOLCARSA y cumplir con  la</w:t>
        <w:br/>
        <w:t xml:space="preserve">      sentencia de la Corte Suprema de Justicia, el  Gobierno  de  Nicaragua</w:t>
        <w:br/>
        <w:t xml:space="preserve">      canceló el 16 de febrero de 1998 dicha concesión y notificó  el  mismo</w:t>
        <w:br/>
        <w:t xml:space="preserve">      día al Señor Michael Kang, Gerente General de SOLCARSA[,] que a partir</w:t>
        <w:br/>
        <w:t xml:space="preserve">      de  esa  fecha  la  concesión  quedaba  sin  efecto  y  valor  alguno.</w:t>
        <w:br/>
        <w:t xml:space="preserve">      Igualmente, se le comunicó que ordenara la suspensión de toda  acción,</w:t>
        <w:br/>
        <w:t xml:space="preserve">      bajo apercibimiento de violar  el  artículo  167  de  la  Constitución</w:t>
        <w:br/>
        <w:t xml:space="preserve">      Política y hacerse merecedor de entablar en su contra  indistintamente</w:t>
        <w:br/>
        <w:t xml:space="preserve">      la acción civil y penal.</w:t>
        <w:br/>
        <w:br/>
        <w:br/>
        <w:t xml:space="preserve">      c)    Respecto a  la  recomendación  de  iniciar  un  diálogo  con  la</w:t>
        <w:br/>
        <w:t xml:space="preserve">      [C]omunidad de Awas Tingni, el Gobierno de Nicaragua  tiene  la  firme</w:t>
        <w:br/>
        <w:t xml:space="preserve">      voluntad de dar una solución global a todas las comunidades  indígenas</w:t>
        <w:br/>
        <w:t xml:space="preserve">      de la [C]osta  [A]tlántica,  en  el  marco  del  proyecto  de  ley  de</w:t>
        <w:br/>
        <w:t xml:space="preserve">      propiedad comunal, para lo cual se hará también  una  amplia  consulta</w:t>
        <w:br/>
        <w:t xml:space="preserve">      con dichas comunidades.</w:t>
        <w:br/>
        <w:br/>
        <w:br/>
        <w:t>27.   En relación con las conclusiones contenidas en el Informe  No.  27/98,</w:t>
        <w:br/>
        <w:t>el Estado nicaragüense expresó su reconocimiento  de  los  derechos  de  las</w:t>
        <w:br/>
        <w:t>comunidades  indígenas,  consagrados  en  su  Constitución  y  otras  normas</w:t>
        <w:br/>
        <w:t>legislativas.  Además, señaló que</w:t>
        <w:br/>
        <w:br/>
        <w:t xml:space="preserve">      ha dado fiel cumplimiento a las anteriores  disposiciones  legales,  y</w:t>
        <w:br/>
        <w:t xml:space="preserve">      por consiguiente, su actuación ha  sido  acorde  con  el  ordenamiento</w:t>
        <w:br/>
        <w:t xml:space="preserve">      jurídico nacional y lo que establecen las normas y  procedimientos  de</w:t>
        <w:br/>
        <w:t xml:space="preserve">      la Convención [Americana sobre] Derechos Humanos.  Por  su  parte,  la</w:t>
        <w:br/>
        <w:t xml:space="preserve">      Comunidad de Awas Tingni ejerció sus derechos consignados en la ley  y</w:t>
        <w:br/>
        <w:t xml:space="preserve">      tuvo acceso a los recursos que la misma le confiere.</w:t>
        <w:br/>
        <w:br/>
        <w:t>Por último, Nicaragua solicitó a la Comisión Interamericana  que  diera  por</w:t>
        <w:br/>
        <w:t>concluido el presente caso.</w:t>
        <w:br/>
        <w:br/>
        <w:t>28.   El 28 de mayo de 1998 la Comisión decidió presentar el  caso  ante  la</w:t>
        <w:br/>
        <w:t>Corte.</w:t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t>29.   La Comisión presentó la demanda ante la Corte el 4 de junio de 1998.</w:t>
        <w:br/>
        <w:br/>
        <w:t>30.   La Comisión designó delegados, a los señores Claudio Grossman y  Hélio</w:t>
        <w:br/>
        <w:t>Bicudo; asesores jurídicos, a los señores David Padilla,  Hernando  Valencia</w:t>
        <w:br/>
        <w:t>y Bertha Santoscoy, y asistentes, a los señores James Anaya, Todd  Crider  y</w:t>
        <w:br/>
        <w:t>María Luisa Acosta Castellón.</w:t>
        <w:br/>
        <w:br/>
        <w:t>31.   El 19 de junio de 1998 la Secretaría de  la  Corte  (en  adelante  “la</w:t>
        <w:br/>
        <w:t>Secretaría”), previo examen  preliminar  de  la  demanda  realizado  por  el</w:t>
        <w:br/>
        <w:t>Presidente de la  Corte  (en  adelante  “el  Presidente”),  la  notificó  al</w:t>
        <w:br/>
        <w:t>Estado, informándole asimismo sobre  los  plazos  para  contestarla,  oponer</w:t>
        <w:br/>
        <w:t>excepciones preliminares y nombrar su representación.  Asimismo,  se  invitó</w:t>
        <w:br/>
        <w:t>al Estado a designar Juez ad hoc.  Ese mismo día, la Secretaría  solicitó  a</w:t>
        <w:br/>
        <w:t>la Comisión que remitiera algunos folios de los anexos a la demanda  que  se</w:t>
        <w:br/>
        <w:t>encontraban ilegibles.</w:t>
        <w:br/>
        <w:br/>
        <w:t>32.   El 2 de julio de 1998 Nicaragua designó  al  señor  Alejandro  Montiel</w:t>
        <w:br/>
        <w:t>Argüello como Juez ad hoc y al señor Edmundo Castillo Salazar como agente.</w:t>
        <w:br/>
        <w:br/>
        <w:t>33.   El mismo día la Comisión presentó a la Corte copias de los  folios  de</w:t>
        <w:br/>
        <w:t>los anexos de la demanda solicitados por la  Secretaría  (supra  párr.  31),</w:t>
        <w:br/>
        <w:t>así como las  direcciones  y  los  poderes  de  los  representantes  de  las</w:t>
        <w:br/>
        <w:t>víctimas, con excepción del poder otorgado al señor  Todd  Crider,  el  cual</w:t>
        <w:br/>
        <w:t>fue aportado el 24 de julio de 1998.</w:t>
        <w:br/>
        <w:br/>
        <w:t>34.   El 18 de agosto de 1998 el Estado acreditó  como  asesores  legales  a</w:t>
        <w:br/>
        <w:t>los señores Rosenaldo J. Castro S. y Bertha Marina Argüello.</w:t>
        <w:br/>
        <w:br/>
        <w:t>35.   El 19 de agosto de 1998 Nicaragua interpuso  la  excepción  preliminar</w:t>
        <w:br/>
        <w:t>de  no  agotamiento  de  los  recursos  de  la  jurisdicción   interna,   de</w:t>
        <w:br/>
        <w:t>conformidad con los artículos 46 y 47 de la Convención, y  solicitó  que  la</w:t>
        <w:br/>
        <w:t>Corte declarara inadmisible la demanda.</w:t>
        <w:br/>
        <w:br/>
        <w:t>36.   El 25 de septiembre de 1998 la Comisión presentó sus  observaciones  a</w:t>
        <w:br/>
        <w:t>la excepción preliminar interpuesta por el Estado.</w:t>
        <w:br/>
        <w:br/>
        <w:br/>
        <w:t>37.   El 19 de octubre de 1998 el  Estado  presentó  la  contestación  a  la</w:t>
        <w:br/>
        <w:t>demanda.</w:t>
        <w:br/>
        <w:br/>
        <w:t>38.   El 27 de enero de 1999  la  Organización  de  Síndicos  Indígenas  del</w:t>
        <w:br/>
        <w:t>Caribe Nicaragüense (OSICAN)  presentó  un  escrito  en  calidad  de  amicus</w:t>
        <w:br/>
        <w:t>curiae.  El 4 de febrero de 1999 se recibió en la Secretaría  una  nota  del</w:t>
        <w:br/>
        <w:t>señor Eduardo Conrado Poveda,  mediante  la  cual  se  adhirió  al  anterior</w:t>
        <w:br/>
        <w:t>escrito de amicus curiae .</w:t>
        <w:br/>
        <w:br/>
        <w:t>39.   El 15 de marzo de 1999 la Secretaría solicitó al Estado  el  envío  de</w:t>
        <w:br/>
        <w:t>diversos documentos ofrecidos como anexos en los  escritos  de  contestación</w:t>
        <w:br/>
        <w:t>de demanda y de excepciones preliminares que no habían sido  presentados  en</w:t>
        <w:br/>
        <w:t>su oportunidad. Del escrito de contestación de la  demanda  se  solicitaron:</w:t>
        <w:br/>
        <w:t>folios 129 y 130 del anexo 10; mapas y descripciones  físicas  ofrecidas  en</w:t>
        <w:br/>
        <w:t>el anexo 15, así como  documentos  relativos  a  titulación  de  comunidades</w:t>
        <w:br/>
        <w:t>vecinas de Awas Tingni ofrecidos en  ese  mismo  anexo.   Del  anexo  10  al</w:t>
        <w:br/>
        <w:t>escrito  de  excepciones  preliminares   se   solicitaron   los   siguientes</w:t>
        <w:br/>
        <w:t>documentos: proyecciones estimadas de la ubicación geográfica del  área  que</w:t>
        <w:br/>
        <w:t>pretende  la  Comunidad  Awas  Tingni,  reclamos   de   otras   comunidades,</w:t>
        <w:br/>
        <w:t>“traslapes” de  reclamos,  tierras  ejidales,  tierras  nacionales  y  otras</w:t>
        <w:br/>
        <w:t>ilustraciones pertinentes al caso; certificación del Instituto  Nicaragüense</w:t>
        <w:br/>
        <w:t>de Reforma Agraria (en adelante “INRA”) en  relación  con  la  solicitud  de</w:t>
        <w:br/>
        <w:t>titulación de la Comunidad Awas Tingni; Constitución Política de  Nicaragua;</w:t>
        <w:br/>
        <w:t>certificaciones de artículos de Códigos  de  Leyes  de  Nicaragua,  Leyes  y</w:t>
        <w:br/>
        <w:t>Decretos pertinentes, y certificación de lo  actuado  por  instituciones  de</w:t>
        <w:br/>
        <w:t>organismos  del  Gobierno  Central,  organismos  descentralizados  o   entes</w:t>
        <w:br/>
        <w:t>autónomos y otras instituciones de  la  Asamblea  Nacional  y  de  la  Corte</w:t>
        <w:br/>
        <w:t>Suprema de Justicia de Nicaragua.</w:t>
        <w:br/>
        <w:br/>
        <w:t>40.   El 26 de mayo de 1999 el Estado presentó un  escrito  al  que  adjuntó</w:t>
        <w:br/>
        <w:t>los siguientes  documentos:  Constitución  Política  de  Nicaragua  con  sus</w:t>
        <w:br/>
        <w:t>reformas, Ley de Amparo, Ley No. 290  y  páginas  8984  a  8989  del  Diario</w:t>
        <w:br/>
        <w:t>Oficial La Gaceta No. 205 de 30 de octubre de 1998.  En  el  mismo  escrito,</w:t>
        <w:br/>
        <w:t>Nicaragua manifestó que no presentaría los  mapas  y  descripciones  físicas</w:t>
        <w:br/>
        <w:t>ofrecidos como anexo 15 en su escrito de contestación  de  la  demanda,  por</w:t>
        <w:br/>
        <w:t>cuanto “los mapas presentados con el  escrito  de  excepciones  preliminares</w:t>
        <w:br/>
        <w:t>demuestran la ubicación geográfica del área  pretendida  por  la  Comunidad,</w:t>
        <w:br/>
        <w:t>reclamos de otras comunidades,  descripciones  físicas,  etc.”.  Igualmente,</w:t>
        <w:br/>
        <w:t>expresó que  no  presentaría  la  certificación  del  INRA  referente  a  la</w:t>
        <w:br/>
        <w:t>solicitud de titulación de la Comunidad Awas Tingni, ofrecida como anexo  10</w:t>
        <w:br/>
        <w:t>del escrito de excepciones preliminares, “por cuanto  en  el  mismo  escrito</w:t>
        <w:br/>
        <w:t>[...] se incluyó constancia de dicha institución, sobre el mismo asunto,  de</w:t>
        <w:br/>
        <w:t>fecha 5 de agosto de 1998”. Asimismo, en cuanto a los folios 129 y  130  del</w:t>
        <w:br/>
        <w:t>anexo 10 del escrito de contestación de la demanda, indicó que  dicho  anexo</w:t>
        <w:br/>
        <w:t>finalizaba realmente en la página 128.  En lo que respecta a los  documentos</w:t>
        <w:br/>
        <w:t>referentes a la titulación de otras comunidades indígenas,  señaló  que,  si</w:t>
        <w:br/>
        <w:t>lo consideraba oportuno, los presentaría en un momento procesal posterior.</w:t>
        <w:br/>
        <w:br/>
        <w:t>41.   El 28 de mayo de 1999 la organización Assembly of First Nations  (AFN)</w:t>
        <w:br/>
        <w:t>de Canadá, presentó un escrito  en  idioma  inglés,  en  calidad  de  amicus</w:t>
        <w:br/>
        <w:t>curiae.  En febrero de 2000 fue presentada la versión en  español  de  dicho</w:t>
        <w:br/>
        <w:t>documento.</w:t>
        <w:br/>
        <w:br/>
        <w:t>42.   El 31 de mayo de 1999 la organización International Human  Rights  Law</w:t>
        <w:br/>
        <w:t>Group presentó un escrito en idioma inglés, a título de amicus curiae.</w:t>
        <w:br/>
        <w:br/>
        <w:t>43.   El  31  de  mayo  de  1999  se  celebró  la  audiencia  pública  sobre</w:t>
        <w:br/>
        <w:t>excepciones preliminares en la sede de la Corte.</w:t>
        <w:br/>
        <w:br/>
        <w:t>44.   El 1 de febrero de  2000  la  Corte  dictó  Sentencia  de  excepciones</w:t>
        <w:br/>
        <w:t>preliminares,  mediante  la   cual   desestimó   la   excepción   preliminar</w:t>
        <w:br/>
        <w:t>interpuesta por Nicaragua.</w:t>
        <w:br/>
        <w:br/>
        <w:t>45.   El 2 de febrero de 2000 la Secretaría solicitó a la Comisión el  envío</w:t>
        <w:br/>
        <w:t>de la lista definitiva de los testigos y peritos  ofrecidos  por  ella  para</w:t>
        <w:br/>
        <w:t>comparecer en la audiencia pública sobre el fondo del caso.  El  18  de  los</w:t>
        <w:br/>
        <w:t>mismos mes y año la Comisión presentó dicha información.</w:t>
        <w:br/>
        <w:br/>
        <w:t>46.   El 20 de marzo de 2000 el Presidente dictó una Resolución mediante  la</w:t>
        <w:br/>
        <w:t>cual convocó a la Comisión  Interamericana  y  al  Estado  a  una  audiencia</w:t>
        <w:br/>
        <w:t>pública sobre el fondo, que se celebraría en la sede de la Corte  el  13  de</w:t>
        <w:br/>
        <w:t>junio  de  2000.  Dicha  audiencia  pública  no  se  realizó  en  razón   de</w:t>
        <w:br/>
        <w:t>reducciones presupuestarias que determinaron que  la  Corte  suspendiese  su</w:t>
        <w:br/>
        <w:t>XLVIII Período  Ordinario  de  Sesiones,  en  el  que  se  efectuaría  dicha</w:t>
        <w:br/>
        <w:t>audiencia.</w:t>
        <w:br/>
        <w:br/>
        <w:t>47.   El 7 de abril de 2000 el Estado  remitió  un  escrito  indicando  “los</w:t>
        <w:br/>
        <w:t>nombres de las personas que explicar[ían] el  contenido  y  alcance  de  los</w:t>
        <w:br/>
        <w:t>documentos probatorios oportunamente ofrecidos”,  con  el  fin  de  que  las</w:t>
        <w:br/>
        <w:t>siguientes personas fueran escuchadas en calidad de testigos  y  peritos  en</w:t>
        <w:br/>
        <w:t>la audiencia pública  sobre  el  fondo  del  presente  caso:  señores  Marco</w:t>
        <w:br/>
        <w:t>Antonio Centeno Caffarena, Director  de  la  Oficina  de  Titulación  Rural;</w:t>
        <w:br/>
        <w:t>Uriel Vanegas, Director de la  Secretaría  de  Demarcación  Territorial  del</w:t>
        <w:br/>
        <w:t>Consejo Regional de la RAAN; Gonzalo Medina, asesor y experto en Geodesia  y</w:t>
        <w:br/>
        <w:t>Cartografía del Instituto Nicaragüense de Estudios  Territoriales,  y  María</w:t>
        <w:br/>
        <w:t>Nella Rocha, Procuradora Especial del  Medio  Ambiente  de  la  Procuraduría</w:t>
        <w:br/>
        <w:t>General de la República.</w:t>
        <w:br/>
        <w:br/>
        <w:t>Los argumentos presentados por el Estado en dicho escrito  indican  que  las</w:t>
        <w:br/>
        <w:t>intervenciones  de  los  testigos  y  peritos  propuestos  contribuirían   a</w:t>
        <w:br/>
        <w:t>establecer:</w:t>
        <w:br/>
        <w:br/>
        <w:t xml:space="preserve">      a)    el perjuicio resultante para los derechos de  propiedad  de  las</w:t>
        <w:br/>
        <w:t xml:space="preserve">      comunidades indígenas vecinas a la Comunidad Mayagna de  Awas  Tingni,</w:t>
        <w:br/>
        <w:t xml:space="preserve">      de proceder la titulación en la superficie desproporcionada pretendida</w:t>
        <w:br/>
        <w:t xml:space="preserve">      por dicha Comunidad[;]</w:t>
        <w:br/>
        <w:br/>
        <w:br/>
        <w:t xml:space="preserve">      b)    el perjuicio que resultará para  los  reclamos  de  tierras  del</w:t>
        <w:br/>
        <w:t xml:space="preserve">      resto de las comunidades indígenas existentes en la Costa Atlántica de</w:t>
        <w:br/>
        <w:t xml:space="preserve">      Nicaragua, de asignarse a la Comunidad  Indígena  de  Awas  Tingni  la</w:t>
        <w:br/>
        <w:t xml:space="preserve">      superficie desproporcionada que pretende;</w:t>
        <w:br/>
        <w:br/>
        <w:br/>
        <w:t xml:space="preserve">      c)    el interés del Estado  en  conducir  un  proceso  de  titulación</w:t>
        <w:br/>
        <w:t xml:space="preserve">      ecuánime y objetivo de las tierras de las  Comunidades  Indígenas  que</w:t>
        <w:br/>
        <w:t xml:space="preserve">      salvaguarde los derechos de cada una de  las  Comunidades;  argumentos</w:t>
        <w:br/>
        <w:t xml:space="preserve">      expuestos en los escritos de Excepciones Preliminares  y  Contestación</w:t>
        <w:br/>
        <w:t xml:space="preserve">      de la Demanda y soportados documentalmente por  medio  de  los  Anexos</w:t>
        <w:br/>
        <w:t xml:space="preserve">      referidos.</w:t>
        <w:br/>
        <w:br/>
        <w:t>48.   El 13 de abril de  2000  la  Comisión  envió  un  escrito  en  el  que</w:t>
        <w:br/>
        <w:t>solicitó a la Corte  que  ordenara  al  Estado  que  adoptara  “las  medidas</w:t>
        <w:br/>
        <w:t>necesarias para asegurar que  sus  funcionarios  no  actúen  de  manera  que</w:t>
        <w:br/>
        <w:t>tienda a presionar a la Comunidad a renunciar a su demanda, o que  tienda  a</w:t>
        <w:br/>
        <w:t>interferir en la relación entre la Comunidad y sus abogados[, y…]  que  deje</w:t>
        <w:br/>
        <w:t>de intentar negociar con los miembros  de  la  Comunidad  sin  que  haya  un</w:t>
        <w:br/>
        <w:t>acuerdo o entendimiento previo con la Comisión  y  la  Corte  al  respecto”.</w:t>
        <w:br/>
        <w:t>Adjunto, presentó un escrito de 12 de abril de 2000 dirigido  por  el  señor</w:t>
        <w:br/>
        <w:t>James Anaya, representante legal de la Comunidad, al señor Jorge E.  Taiana,</w:t>
        <w:br/>
        <w:t>Secretario Ejecutivo de la Comisión, que  contenía  como  anexo  el  informe</w:t>
        <w:br/>
        <w:t>elaborado por la señora María Luisa Acosta Castellón sobre la reunión  entre</w:t>
        <w:br/>
        <w:t>funcionarios del Estado y la Comunidad Awas Tingni, celebrada  los  días  30</w:t>
        <w:br/>
        <w:t>y 31 de marzo de 2000 en las oficinas de la Cancillería de Nicaragua.</w:t>
        <w:br/>
        <w:br/>
        <w:t>49.   El 14 de abril de 2000 la Secretaría otorgó un plazo  de  30  días  al</w:t>
        <w:br/>
        <w:t>Estado para que presentara sus observaciones al escrito anterior.  El 10  de</w:t>
        <w:br/>
        <w:t>mayo del mismo año Nicaragua señaló que no ha ejercido presión alguna  sobre</w:t>
        <w:br/>
        <w:t>la Comunidad ni ha interferido en  sus  relaciones  con  sus  representantes</w:t>
        <w:br/>
        <w:t>legales. Además, indicó su disposición de procurar  un  arreglo  amistoso  a</w:t>
        <w:br/>
        <w:t>través de conversaciones directas y exclusivas con  la  Comisión.   Adjunto,</w:t>
        <w:br/>
        <w:t>presentó un documento fechado 3 de febrero  de  2000  y  titulado  “acta  de</w:t>
        <w:br/>
        <w:t>nombramiento de representantes de los habitantes   que  conforman  el  grupo</w:t>
        <w:br/>
        <w:t>étnico Mayagna de la Comunidad de Awas Tingni, Municipio  de  Wa[s]pam,  Río</w:t>
        <w:br/>
        <w:t>Coco, RAAN”.</w:t>
        <w:br/>
        <w:br/>
        <w:t>50.   El 10 de mayo de 2000  la  Comisión  remitió  un  escrito  en  el  que</w:t>
        <w:br/>
        <w:t>expresó que Nicaragua, en su contestación a la demanda,  no  había  ofrecido</w:t>
        <w:br/>
        <w:t>testigos o peritos. Además, agregó que el Estado  no  había  alegado  fuerza</w:t>
        <w:br/>
        <w:t>mayor ni otras razones que justificaran la admisión de pruebas no  señaladas</w:t>
        <w:br/>
        <w:t>en  su  contestación,  por  lo  que  solicitó  a  la  Corte  que   declarara</w:t>
        <w:br/>
        <w:t>improcedente la convocatoria  de  los  testigos  y  peritos  propuestos  por</w:t>
        <w:br/>
        <w:t>Nicaragua (supra párr. 47).</w:t>
        <w:br/>
        <w:br/>
        <w:t>51.    El  1  de  junio  de  2000  la  Secretaría  solicitó  al  Estado  que</w:t>
        <w:br/>
        <w:t>presentara, a más tardar el  15  de  junio  del  mismo  año,  fundamentos  o</w:t>
        <w:br/>
        <w:t>comentarios sobre su  ofrecimiento  de  testigos  y  peritos,  para  que  el</w:t>
        <w:br/>
        <w:t>Presidente considerara su admisibilidad.  Asimismo, mediante  Resolución  de</w:t>
        <w:br/>
        <w:t>18 de agosto de 2000, la  Corte  reiteró  al  Estado  la  solicitud  de  que</w:t>
        <w:br/>
        <w:t>presentara los  fundamentos  que  motivaron  la  propuesta  extemporánea  de</w:t>
        <w:br/>
        <w:t>testigos y peritos (supra párr. 47); además, le  solicitó  que  especificara</w:t>
        <w:br/>
        <w:t>qué  personas  fueron  ofrecidas  para  rendir  declaración  en  calidad  de</w:t>
        <w:br/>
        <w:t>testigos y quiénes en calidad de peritos.</w:t>
        <w:br/>
        <w:br/>
        <w:t>52.   El 31 de mayo de 2000 el bufete Hutchins, Soroka &amp; Dionne presentó  un</w:t>
        <w:br/>
        <w:t>escrito  de  amicus  curiae  en  idioma  inglés,  en  representación  de  la</w:t>
        <w:br/>
        <w:t>Comunidad Indígena Mohawks de Akwesasne.</w:t>
        <w:br/>
        <w:br/>
        <w:t>53.   El 5 de  septiembre  de  2000  el  Estado  presentó  una  comunicación</w:t>
        <w:br/>
        <w:t>mediante la cual informó que las personas señaladas en su escrito  de  7  de</w:t>
        <w:br/>
        <w:t>abril de 2000  (supra  párr.  47)  habían  sido  propuestas  en  calidad  de</w:t>
        <w:br/>
        <w:t>peritos.  Al  día  siguiente  la  Secretaría,  siguiendo  instrucciones  del</w:t>
        <w:br/>
        <w:t>Presidente, pidió a la Comisión que  remitiera  sus  observaciones  a  dicho</w:t>
        <w:br/>
        <w:t>escrito, así como su lista definitiva de testigos y peritos,  para  lo  cual</w:t>
        <w:br/>
        <w:t>otorgó plazo hasta el 12 de septiembre de 2000.</w:t>
        <w:br/>
        <w:br/>
        <w:t>54.   El 12 de septiembre de 2000 la Comisión remitió una  nota  en  la  que</w:t>
        <w:br/>
        <w:t>mantuvo su solicitud de que se declarara  improcedente  el  nombramiento  de</w:t>
        <w:br/>
        <w:t>peritos propuestos por el Estado, en razón de que este último no indicó  las</w:t>
        <w:br/>
        <w:t>razones que fundamentaban la propuesta extemporánea.  En la misma  nota,  la</w:t>
        <w:br/>
        <w:t>Comisión presentó la lista definitiva de sus  testigos y peritos, en la  que</w:t>
        <w:br/>
        <w:t>incluyó al señor Theodore Macdonald Jr. en calidad de perito,  quien  en  la</w:t>
        <w:br/>
        <w:t>demanda había sido propuesto como testigo.</w:t>
        <w:br/>
        <w:br/>
        <w:t>55.   Mediante Resolución de 14 de septiembre de 2000 el Presidente  decidió</w:t>
        <w:br/>
        <w:t>que el ofrecimiento de prueba efectuado por el Estado el 7 de abril de  2000</w:t>
        <w:br/>
        <w:t>(supra párr. 47) era extemporáneo;  sin  embargo,  como  prueba  para  mejor</w:t>
        <w:br/>
        <w:t>resolver, conforme al artículo 44.1 del Reglamento, convocó al  señor  Marco</w:t>
        <w:br/>
        <w:t>Antonio Centeno Caffarena para que compareciera ante la Corte en calidad  de</w:t>
        <w:br/>
        <w:t>testigo.   Además, el Presidente  rechazó  el  planteamiento  hecho  por  la</w:t>
        <w:br/>
        <w:t>Comisión de que el señor Theodore Macdonald Jr.  actuara  como  perito,  por</w:t>
        <w:br/>
        <w:t>ser extemporáneo y lo admitió en calidad de testigo,  tal  como  había  sido</w:t>
        <w:br/>
        <w:t>propuesto originalmente.  Asimismo, el Presidente citó a los testigos  Jaime</w:t>
        <w:br/>
        <w:t>Castillo Felipe, Charly Webster Mclean Cornelio, Wilfredo  Mclean  Salvador,</w:t>
        <w:br/>
        <w:t>Brooklyn Rivera Bryan, Humberto Thompson Sang, Guillermo Castilleja y  Galio</w:t>
        <w:br/>
        <w:t>Claudio Enrique Gurdián Gurdián, y a  los peritos  Lottie  Marie  Cunningham</w:t>
        <w:br/>
        <w:t>de Aguirre, Charles Rice Hale,  Roque  de  Jesús  Roldán  Ortega  y  Rodolfo</w:t>
        <w:br/>
        <w:t>Stavenhagen Gruenbaum, todos propuestos por la Comisión en su demanda,  para</w:t>
        <w:br/>
        <w:t>que rindieran declaración en la audiencia pública sobre el fondo  del  caso,</w:t>
        <w:br/>
        <w:t>que se celebraría en la sede de la Corte el 16 de noviembre de 2000.</w:t>
        <w:br/>
        <w:br/>
        <w:t>56.   El 5 de octubre de 2000 la Comisión presentó un escrito,  mediante  el</w:t>
        <w:br/>
        <w:t>cual solicitó a la Corte sus buenos oficios para que  la  audiencia  pública</w:t>
        <w:br/>
        <w:t>sobre el fondo pudiera  realizarse  en  la  sede  de  la  Corte  Suprema  de</w:t>
        <w:br/>
        <w:t>Justicia de Costa Rica,  debido  al  gran  número  de  personas  que  habían</w:t>
        <w:br/>
        <w:t>expresado interés en asistir a dicha audiencia.</w:t>
        <w:br/>
        <w:br/>
        <w:t>57.   El 20 de octubre de 2000 el Presidente emitió una Resolución  mediante</w:t>
        <w:br/>
        <w:t>la cual informó  a  la  Comisión  y  al  Estado  que  la  audiencia  pública</w:t>
        <w:br/>
        <w:t>convocada por Resolución de 14 de septiembre de 2000, se  celebraría  en  la</w:t>
        <w:br/>
        <w:t>sede del Tribunal Supremo de Elecciones de  Costa  Rica,  a  partir  de  las</w:t>
        <w:br/>
        <w:t>16:00 horas del 16  de  noviembre  de  2000,  con  el  fin  de  recibir  las</w:t>
        <w:br/>
        <w:t>declaraciones e informes, respectivamente, de  los  testigos  y  peritos  ya</w:t>
        <w:br/>
        <w:t>convocados.</w:t>
        <w:br/>
        <w:br/>
        <w:t>58.   El 26 de octubre de 2000 el Estado remitió un escrito en el que  pidió</w:t>
        <w:br/>
        <w:t>a la Corte que  rechazara  la  solicitud  de  la  Comisión  de  realizar  la</w:t>
        <w:br/>
        <w:t>audiencia pública sobre el fondo en la sede de la Corte Suprema de  Justicia</w:t>
        <w:br/>
        <w:t>de Costa Rica, por considerar que  las  razones  alegadas   eran  “puramente</w:t>
        <w:br/>
        <w:t>especulativas”  y  que  no  constituían  “motivo  jurídico  suficiente  para</w:t>
        <w:br/>
        <w:t>justificar el traslado de tales audiencias”.</w:t>
        <w:br/>
        <w:br/>
        <w:t>59.   El 27 de octubre de 2000 la Comisión remitió un escrito  que  contenía</w:t>
        <w:br/>
        <w:t>una lista de 19 miembros de la Comunidad Awas Tingni  que  asistirían  a  la</w:t>
        <w:br/>
        <w:t>audiencia pública en calidad de observadores.</w:t>
        <w:br/>
        <w:br/>
        <w:t>60.   Ese mismo día, el Presidente dictó una Resolución en la que  consideró</w:t>
        <w:br/>
        <w:t>que, debido a que el Estado había solicitado que la audiencia pública  sobre</w:t>
        <w:br/>
        <w:t>el fondo se realizara en la sede de la Corte y a que el número  de  miembros</w:t>
        <w:br/>
        <w:t>de la Comunidad Mayagna que asistirían a la misma, según  la  Comisión,  era</w:t>
        <w:br/>
        <w:t>mucho más reducido que el  originalmente  previsto,  no  existía  el  motivo</w:t>
        <w:br/>
        <w:t>considerado para  realizar  la  audiencia  pública  fuera  de  la  sede  del</w:t>
        <w:br/>
        <w:t>Tribunal y, por ello, decidió que aquélla se llevaría a cabo en la  sede  de</w:t>
        <w:br/>
        <w:t>la Corte, el mismo día y a la misma hora establecidos en  su  Resolución  de</w:t>
        <w:br/>
        <w:t>20 de octubre de 2000 (supra párr. 57).</w:t>
        <w:br/>
        <w:br/>
        <w:t>61.    En  noviembre  de  2000  el  señor  Robert  A.   Williams   Jr.,   en</w:t>
        <w:br/>
        <w:t>representación de la organización  National  Congress  of  American  Indians</w:t>
        <w:br/>
        <w:t>(NCAI), presentó un escrito, en idioma inglés, en calidad de amicus curiae.</w:t>
        <w:br/>
        <w:br/>
        <w:t>62.   Los días 16, 17 y 18  de  noviembre  de  2000  la  Corte  recibió,  en</w:t>
        <w:br/>
        <w:t>audiencia pública sobre el  fondo,  las  declaraciones  de  los  testigos  y</w:t>
        <w:br/>
        <w:t>peritos propuestos por la Comisión y la del testigo convocado por  la  Corte</w:t>
        <w:br/>
        <w:t>de conformidad con el  artículo  44.1  del  Reglamento.   Además,  la  Corte</w:t>
        <w:br/>
        <w:t>escuchó los alegatos finales orales de las partes.</w:t>
        <w:br/>
        <w:br/>
        <w:t>Comparecieron ante la Corte:</w:t>
        <w:br/>
        <w:br/>
        <w:t>Por la Comisión Interamericana de Derechos Humanos:</w:t>
        <w:br/>
        <w:br/>
        <w:t xml:space="preserve">      Hélio Bicudo, delegado;</w:t>
        <w:br/>
        <w:t xml:space="preserve">      Claudio Grossman, delegado;</w:t>
        <w:br/>
        <w:t xml:space="preserve">      Bertha Santoscoy, abogada; y</w:t>
        <w:br/>
        <w:t xml:space="preserve">      James Anaya, asistente.</w:t>
        <w:br/>
        <w:br/>
        <w:t>Por el Estado de Nicaragua:</w:t>
        <w:br/>
        <w:br/>
        <w:t xml:space="preserve">      Edmundo Castillo Salazar, agente;</w:t>
        <w:br/>
        <w:t xml:space="preserve">      Rosenaldo Castro, asesor;</w:t>
        <w:br/>
        <w:t xml:space="preserve">      Betsy Baltodano, asesora; y</w:t>
        <w:br/>
        <w:t xml:space="preserve">      Ligia Margarita Guevara, asesora.</w:t>
        <w:br/>
        <w:br/>
        <w:t>Testigos propuestos por la Comisión Interamericana de Derechos Humanos:</w:t>
        <w:br/>
        <w:br/>
        <w:br/>
        <w:t xml:space="preserve">      Jaime Castillo Felipe (Intérprete: Modesto José Frank Wilson);</w:t>
        <w:br/>
        <w:t xml:space="preserve">      Charly Webster Mclean Cornelio;</w:t>
        <w:br/>
        <w:t xml:space="preserve">      Theodore Macdonald Jr.;</w:t>
        <w:br/>
        <w:t xml:space="preserve">      Guillermo Castilleja;</w:t>
        <w:br/>
        <w:t xml:space="preserve">      Galio Claudio Enrique Gurdián Gurdián;</w:t>
        <w:br/>
        <w:t xml:space="preserve">      Brooklyn Rivera Bryan;</w:t>
        <w:br/>
        <w:t xml:space="preserve">      Humberto Thompson Sang; y</w:t>
        <w:br/>
        <w:t xml:space="preserve">      Wilfredo Mclean Salvador.</w:t>
        <w:br/>
        <w:br/>
        <w:br/>
        <w:t>Peritos propuestos por la Comisión Interamericana de Derechos Humanos:</w:t>
        <w:br/>
        <w:br/>
        <w:t xml:space="preserve">      Rodolfo Stavenhagen Gruenbaum;</w:t>
        <w:br/>
        <w:t xml:space="preserve">      Charles Rice Hale;</w:t>
        <w:br/>
        <w:t xml:space="preserve">      Roque de Jesús Roldán Ortega; y</w:t>
        <w:br/>
        <w:t xml:space="preserve">      Lottie Marie Cunningham de Aguirre.</w:t>
        <w:br/>
        <w:br/>
        <w:br/>
        <w:t>Testigo convocado por la Corte  Interamericana  de  Derechos  Humanos  (art.</w:t>
        <w:br/>
        <w:t>44.1 del Reglamento):</w:t>
        <w:br/>
        <w:br/>
        <w:t xml:space="preserve">      Marco Antonio Centeno Caffarena.</w:t>
        <w:br/>
        <w:br/>
        <w:t>63.   Durante su comparecencia en la audiencia pública sobre  el  fondo  del</w:t>
        <w:br/>
        <w:t>caso el día 17  de  noviembre  de  2000,  el  señor  Marco  Antonio  Centeno</w:t>
        <w:br/>
        <w:t>Caffarena ofreció varios documentos para fundamentar su testimonio, y el  21</w:t>
        <w:br/>
        <w:t>de noviembre de 2000 presentó ocho documentos (infra párrs. 79 y 95).</w:t>
        <w:br/>
        <w:br/>
        <w:t>64.   El 24 de noviembre de 2000 la Corte, de conformidad  con  el  artículo</w:t>
        <w:br/>
        <w:t>44 de su Reglamento, resolvió que era útil agregar al acervo probatorio  del</w:t>
        <w:br/>
        <w:t>presente caso  los  siguientes  documentos  ofrecidos  por  el  señor  Marco</w:t>
        <w:br/>
        <w:t>Antonio Centeno Caffarena: copia  certificada  por  notario  público  de  la</w:t>
        <w:br/>
        <w:t>certificación de 22 de febrero  de  1983  de  la  inscripción  del  Registro</w:t>
        <w:br/>
        <w:t>Público de la Propiedad  Inmueble  del  Departamento  de  Zelaya  de  10  de</w:t>
        <w:br/>
        <w:t>febrero de 1917 de la propiedad No. 2111, y dictamen  etnográfico  elaborado</w:t>
        <w:br/>
        <w:t>por el  señor  Ramiro  García  Vásquez  sobre  el  documento  elaborado  por</w:t>
        <w:br/>
        <w:t>Theodore Macdonald, titulado “Awas Tingni  un  Estudio  Etnográfico  de   la</w:t>
        <w:br/>
        <w:t xml:space="preserve"> Comunidad  y su Territorio”  (infra párrs.  79  y  95).</w:t>
        <w:br/>
        <w:br/>
        <w:t>Además, la Corte requirió al Estado que, a más tardar el 15 de diciembre  de</w:t>
        <w:br/>
        <w:t>2000, presentara copia de la totalidad del estudio titulado “Diagnóstico  de</w:t>
        <w:br/>
        <w:t>la  tenencia  de  la  tierra  de  las  comunidades  indígenas  de  la  Costa</w:t>
        <w:br/>
        <w:t>Atlántica”,  elaborado  por  el  Central  American  and  Caribbean  Research</w:t>
        <w:br/>
        <w:t>Council.</w:t>
        <w:br/>
        <w:br/>
        <w:t>65.   El 20 de diciembre de 2000 el Estado presentó, en cumplimiento  de  lo</w:t>
        <w:br/>
        <w:t>requerido por la Corte en la Resolución señalada  en  el  párrafo  anterior,</w:t>
        <w:br/>
        <w:t>copia del Marco general, Resumen ejecutivo e  Informe  Final  del  documento</w:t>
        <w:br/>
        <w:t>titulado “Diagnóstico  general  sobre  la  tenencia  de  la  tierra  en  las</w:t>
        <w:br/>
        <w:t>comunidades indígenas de la  Costa  Atlántica”,  elaborado  por  el  Central</w:t>
        <w:br/>
        <w:t>American and Caribbean Research Council (infra párr. 80 y 96).</w:t>
        <w:br/>
        <w:br/>
        <w:t>66.   El 29 de enero de  2001  la  Comisión  presentó  una  nota  a  la  que</w:t>
        <w:br/>
        <w:t>acompañó tres documentos: comentarios de Theodore Macdonald de 20  de  enero</w:t>
        <w:br/>
        <w:t>de 2001, y comentarios de Charles Rice Hale de 7 de  enero  de  2001,  ambos</w:t>
        <w:br/>
        <w:t>con respecto al dictamen etnográfico elaborado  por  Ramiro  García  Vásquez</w:t>
        <w:br/>
        <w:t>sobre el documento elaborado por Theodore Macdonald  bajo  el  título  “Awas</w:t>
        <w:br/>
        <w:t>Tingni un Estudio Etnográfico de la Comunidad y su Territorio”(infra  párrs.</w:t>
        <w:br/>
        <w:t>81  y  97);  y  copia  del  documento  titulado  “Awas  Tingni  Un   Estudio</w:t>
        <w:br/>
        <w:t>Etnográfico de la Comunidad y su Territorio. Informe 1999”.</w:t>
        <w:br/>
        <w:br/>
        <w:t>67.   El 21 de junio de 2001, la  Secretaría,  siguiendo  instrucciones  del</w:t>
        <w:br/>
        <w:t>Presidente, otorgó a la Comisión y al Estado plazo hasta el 23 de julio  del</w:t>
        <w:br/>
        <w:t>mismo año para presentar sus escritos de alegatos finales.  El  3  de  julio</w:t>
        <w:br/>
        <w:t>de 2001 la Comisión solicitó prórroga hasta el 10 de agosto  del  mismo  año</w:t>
        <w:br/>
        <w:t>para la presentación de su escrito.  El 6 de julio de  2001  la  Secretaría,</w:t>
        <w:br/>
        <w:t>siguiendo instrucciones del Presidente, informó a la Comisión  y  al  Estado</w:t>
        <w:br/>
        <w:t>que había sido otorgada la prórroga solicitada.</w:t>
        <w:br/>
        <w:br/>
        <w:t>68.   Mediante nota de  31  de  julio  de  2001,  la  Secretaría,  siguiendo</w:t>
        <w:br/>
        <w:t>instrucciones del Presidente  y  de  conformidad  con  el  artículo  44  del</w:t>
        <w:br/>
        <w:t>Reglamento, solicitó a la Comisión que presentara los documentos  de  prueba</w:t>
        <w:br/>
        <w:t>y los alegatos que acreditaran la solicitud de pago de reparaciones,  costas</w:t>
        <w:br/>
        <w:t>y gastos presentada por la Comisión en el  punto  petitorio  de  su  demanda</w:t>
        <w:br/>
        <w:t>(supra párr. 4), para lo cual otorgó plazo hasta el 10 de agosto de 2001.</w:t>
        <w:br/>
        <w:br/>
        <w:t>69.   El 31 de julio de 2001 la Secretaría, siguiendo  instrucciones  de  la</w:t>
        <w:br/>
        <w:t>Corte y de conformidad con el artículo 44 del  Reglamento,  otorgó  plazo  a</w:t>
        <w:br/>
        <w:t>Nicaragua hasta el 13 de agosto de 2001  para  que  remitiera,  como  prueba</w:t>
        <w:br/>
        <w:t>para mejor  resolver,  la  siguiente  documentación:  títulos  de  propiedad</w:t>
        <w:br/>
        <w:t>existentes de la Comunidad Awas Tingni  (Comunidad  Mayagna);  de  las  Diez</w:t>
        <w:br/>
        <w:t>Comunidades (Comunidad Miskita); de la  Comunidad  Indígena  de  Tasba  Raya</w:t>
        <w:br/>
        <w:t>(también conocida como Seis Comunidades), que comprende las  comunidades  de</w:t>
        <w:br/>
        <w:t>Miguel Bikan, Wisconsin, Esperanza, Francia Sirpi, Santa Clara y Tasba  Pain</w:t>
        <w:br/>
        <w:t>(Comunidades Miskitas,) y de la  Comunidad  Indígena  de  Karatá  (Comunidad</w:t>
        <w:br/>
        <w:t>Miskita).  Estos documentos no fueron presentados a la Corte.</w:t>
        <w:br/>
        <w:br/>
        <w:t>70.   El 8 de agosto de 2001 el  Estado  presentó  una  objeción  a  que  se</w:t>
        <w:br/>
        <w:t>otorgara a las partes la posibilidad de presentar alegatos finales  escritos</w:t>
        <w:br/>
        <w:t>y solicitó que, en caso de que la Corte decidiera  seguir  adelante  con  la</w:t>
        <w:br/>
        <w:t>admisión  de  dichos  alegatos,  se  le  concediera  una  prórroga  para  su</w:t>
        <w:br/>
        <w:t>presentación hasta el 10  de  septiembre  de  2001.   Al  día  siguiente  la</w:t>
        <w:br/>
        <w:t>Secretaría, siguiendo instrucciones del Presidente, informó  al  Estado  que</w:t>
        <w:br/>
        <w:t>ha sido práctica constante y uniforme de la Corte conceder a las  partes  la</w:t>
        <w:br/>
        <w:t>oportunidad de presentar alegatos finales escritos,  entendidos  éstos  como</w:t>
        <w:br/>
        <w:t>un resumen de las posiciones de las  partes  manifestadas  en  la  audiencia</w:t>
        <w:br/>
        <w:t>pública sobre el fondo, en la inteligencia de que dichos escritos  no  están</w:t>
        <w:br/>
        <w:t>sujetos a observaciones  adicionales  contradictorias  de  las  partes.   En</w:t>
        <w:br/>
        <w:t>relación con la solicitud de prórroga para la presentación de  los  alegatos</w:t>
        <w:br/>
        <w:t>finales  del  Estado,  la  Secretaría  manifestó  a  éste   que,   siguiendo</w:t>
        <w:br/>
        <w:t>instrucciones del Presidente, en atención  al  tiempo  que  han  tenido  las</w:t>
        <w:br/>
        <w:t>partes para presentar sus alegatos finales escritos, y en aras de que no  se</w:t>
        <w:br/>
        <w:t>menoscabara el equilibrio que debe guardar el Tribunal entre  la  protección</w:t>
        <w:br/>
        <w:t>de los derechos humanos, la seguridad jurídica y  la  equidad  procesal,  se</w:t>
        <w:br/>
        <w:t>otorgaba un plazo improrrogable a ambas partes hasta  el  17  de  agosto  de</w:t>
        <w:br/>
        <w:t>2001.</w:t>
        <w:br/>
        <w:br/>
        <w:t>71.   El 10 de agosto de 2001 la Comisión presentó su  escrito  de  alegatos</w:t>
        <w:br/>
        <w:t>finales, al cual adjuntó un anexo (infra párr. 82).</w:t>
        <w:br/>
        <w:br/>
        <w:t>72.   El 17 de agosto de 2001 Nicaragua  presentó  su  escrito  de  alegatos</w:t>
        <w:br/>
        <w:t>finales.</w:t>
        <w:br/>
        <w:br/>
        <w:t>73.   El 22 de agosto de 2001  la  Comisión  presentó  extemporáneamente  el</w:t>
        <w:br/>
        <w:t>escrito referente a las reparaciones, costas y gastos (infra párr. 159).</w:t>
        <w:br/>
        <w:br/>
        <w:t>74.   El 25 de agosto  de  2001  el  Estado  solicitó  a  la  Corte  que  se</w:t>
        <w:br/>
        <w:t>abstuviera  de  conocer  el  escrito  remitido   por   la   Comisión   sobre</w:t>
        <w:br/>
        <w:t>reparaciones, costas y gastos, por haber sido presentado extemporáneamente.</w:t>
        <w:br/>
        <w:br/>
        <w:t xml:space="preserve">                                      V</w:t>
        <w:br/>
        <w:t xml:space="preserve">                                  La Prueba</w:t>
        <w:br/>
        <w:br/>
        <w:t xml:space="preserve">                            A) Prueba Documental</w:t>
        <w:br/>
        <w:br/>
        <w:t>75.   CON EL ESCRITO DE DEMANDA (SUPRA PÁRRS. 1 Y 29), LA COMISIÓN</w:t>
        <w:br/>
        <w:t>INTERAMERICANA PRESENTÓ COPIA DE 58 DOCUMENTOS CONTENIDOS EN 50 ANEXOS.[1]</w:t>
        <w:br/>
        <w:br/>
        <w:br/>
        <w:t>76.   Al presentar su contestación a la demanda (supra párr. 37), el Estado</w:t>
        <w:br/>
        <w:t>adjuntó copia de 16 documentos contenidos en 14 anexos.[2]</w:t>
        <w:br/>
        <w:br/>
        <w:t>77.   Durante la fase de excepciones preliminares el Estado  presentó  copia</w:t>
        <w:br/>
        <w:t>de 26 documentos.[3]</w:t>
        <w:br/>
        <w:br/>
        <w:t>78.   La Comisión presentó  copia  de  27  documentos  durante  la  fase  de</w:t>
        <w:br/>
        <w:t>excepciones preliminares. [4]</w:t>
        <w:br/>
        <w:br/>
        <w:t>79.   El 21 de noviembre de 2000 el señor Marco Antonio  Centeno  Caffarena,</w:t>
        <w:br/>
        <w:t>Director General de la Oficina de Titulación  Rural  de  Nicaragua,  remitió</w:t>
        <w:br/>
        <w:t>copia de 8 documentos (supra párrs. 63 y 64).[5]</w:t>
        <w:br/>
        <w:br/>
        <w:t>80.   El 20 de diciembre de  2000,  a  solicitud  de  la  Corte,  el  Estado</w:t>
        <w:br/>
        <w:t>presentó copia de un documento (supra párr. 65).[6]</w:t>
        <w:br/>
        <w:br/>
        <w:t>81.   Mediante nota de 29 de enero de 2001 la Comisión aportó  3  documentos</w:t>
        <w:br/>
        <w:t>(supra párr. 66)[7].</w:t>
        <w:br/>
        <w:br/>
        <w:t>82.   El 10 de agosto de 2001, junto al  escrito  de  alegatos  finales,  la</w:t>
        <w:br/>
        <w:t>Comisión presentó un documento como  anexo  a  dicho  escrito  (supra  párr.</w:t>
        <w:br/>
        <w:t>71).[8]</w:t>
        <w:br/>
        <w:br/>
        <w:br/>
        <w:br/>
        <w:t xml:space="preserve">                     B)    Prueba Testimonial y Pericial</w:t>
        <w:br/>
        <w:br/>
        <w:t>83.   En audiencia pública celebrada los días 16, 17 y 18  de  noviembre  de</w:t>
        <w:br/>
        <w:t>2000 (supra párr.62), la Corte recibió las declaraciones de ocho testigos  y</w:t>
        <w:br/>
        <w:t>cuatro peritos propuestos  por  la  Comisión  Interamericana,  así  como  la</w:t>
        <w:br/>
        <w:t>declaración  de  un  testigo  convocado  por  el  Tribunal  en  uso  de  las</w:t>
        <w:br/>
        <w:t>facultades  señaladas  en  el   artículo   44.1   del   Reglamento.   Dichas</w:t>
        <w:br/>
        <w:t>declaraciones son sintetizadas a continuación, en el orden  en  que   fueron</w:t>
        <w:br/>
        <w:t>producidas:</w:t>
        <w:br/>
        <w:br/>
        <w:t xml:space="preserve">      a.    Testimonio de Jaime Castillo Felipe,  miembro  de  la  Comunidad</w:t>
        <w:br/>
        <w:t xml:space="preserve">           Awas Tingni (Intérprete: Modesto José  Frank Wilson)</w:t>
        <w:br/>
        <w:br/>
        <w:t>Nació en Awas Tingni el 15 de junio de  1964  y  actualmente  reside  en  la</w:t>
        <w:br/>
        <w:t>Comunidad Awas Tingni.  Pertenece a la etnia Mayagna y su lengua materna  es</w:t>
        <w:br/>
        <w:t>la “Sumo Mayagna”.</w:t>
        <w:br/>
        <w:br/>
        <w:t>Los otros miembros de la  Comunidad  Awas  Tingni  son  Sumos  también.   Es</w:t>
        <w:br/>
        <w:t>cierto que en la Comunidad existen personas que no son de la etnia  Mayagna,</w:t>
        <w:br/>
        <w:t>pero son pocas, que han llegado  a  vivir  ahí  o  han  formado  pareja  con</w:t>
        <w:br/>
        <w:t>miembros de la Comunidad.  En Awas Tingni tienen más  de  cincuenta  años  y</w:t>
        <w:br/>
        <w:t>anteriormente vivían en Tuburús.  No sabe exactamente en qué  año  se  formó</w:t>
        <w:br/>
        <w:t>el caserío de Awas Tingni.  Son los dueños de la tierra en  la  que  habitan</w:t>
        <w:br/>
        <w:t>porque han vivido en el territorio por más de  300  años  y  ello  se  puede</w:t>
        <w:br/>
        <w:t>demostrar  porque  tienen  lugares  históricos  y  porque  el   trabajo   lo</w:t>
        <w:br/>
        <w:t>desarrollan en ese territorio.  Hubo miembros  de  la  Comunidad  de  Tilba-</w:t>
        <w:br/>
        <w:t>Lupia que vivieron en Awas Tingni.  Podría indicar qué personas componen  la</w:t>
        <w:br/>
        <w:t>Comunidad.</w:t>
        <w:br/>
        <w:br/>
        <w:t>Fue síndico de la Comunidad Awas Tingni de 1991 a 1996.   Síndico  es  quien</w:t>
        <w:br/>
        <w:t>se ocupa de solucionar los conflictos que pudieran surgir en  la  comunidad,</w:t>
        <w:br/>
        <w:t>así como también quien hace gestiones, en coordinación con  las  autoridades</w:t>
        <w:br/>
        <w:t>comunales, ante las instancias estatales.</w:t>
        <w:br/>
        <w:br/>
        <w:t>Durante el tiempo en que fue síndico gestionó ante el INRA la  titulación  o</w:t>
        <w:br/>
        <w:t>demarcación de las tierras en favor de la  Comunidad,  pero  esas  gestiones</w:t>
        <w:br/>
        <w:t>fueron infructuosas, puesto que no ha obtenido  respuesta  hasta  la  fecha.</w:t>
        <w:br/>
        <w:t>El 12 de marzo de 1996 realizó una gestión ante el Gobierno Regional  de  la</w:t>
        <w:br/>
        <w:t>RAAN.   La  respuesta  de  las  autoridades  fue  que  iban  a  estudiar  su</w:t>
        <w:br/>
        <w:t>solicitud, pero no ha recibido contestación  alguna  al  respecto.   En  esa</w:t>
        <w:br/>
        <w:t>oportunidad presentó mapas de la Comunidad, el  censo  de  la  población  de</w:t>
        <w:br/>
        <w:t>Awas  Tingni  y  un  documento  referente  al  territorio  de  la  Comunidad</w:t>
        <w:br/>
        <w:t>realizado por el doctor Theodore Macdonald, de la Universidad de Harvard.</w:t>
        <w:br/>
        <w:br/>
        <w:t>Él y los miembros de la Comunidad viven de la  agricultura,  la  caza  y  la</w:t>
        <w:br/>
        <w:t>pesca, entre otras actividades.  Para cazar realizan un viaje  de  15  días.</w:t>
        <w:br/>
        <w:t>La Comunidad selecciona lo que consume,  y  así  no  destruye  los  recursos</w:t>
        <w:br/>
        <w:t>naturales.</w:t>
        <w:br/>
        <w:br/>
        <w:t>Las tierras son ocupadas y explotadas  por  toda  la  Comunidad.   Nadie  es</w:t>
        <w:br/>
        <w:t>individualmente dueño de la tierra, los recursos  de  ésta  son  colectivos.</w:t>
        <w:br/>
        <w:t>Si la persona no pertenece a la Comunidad no puede explotar la  tierra.   No</w:t>
        <w:br/>
        <w:t>existe el derecho de expulsar a alguien de  la  Comunidad.   Para  negar  el</w:t>
        <w:br/>
        <w:t>derecho al uso de la tierra a alguno de los miembros  de  la  Comunidad,  el</w:t>
        <w:br/>
        <w:t>asunto tiene que ser considerado y decidido por la Junta  de  ésta.   Cuando</w:t>
        <w:br/>
        <w:t>una persona muere sus familiares son dueños de aquellas cosas que poseía  el</w:t>
        <w:br/>
        <w:t>difunto.  Pero, al ser las tierras propiedad colectiva de la  Comunidad,  no</w:t>
        <w:br/>
        <w:t>hay manera de que un miembro transmita a otro libremente  los  derechos  que</w:t>
        <w:br/>
        <w:t>tiene en relación con el uso de ellas.</w:t>
        <w:br/>
        <w:br/>
        <w:t>No tiene conocimiento de si sus ancestros habían obtenido  algún  título  de</w:t>
        <w:br/>
        <w:t>propiedad.  En la oportunidad  en  que  se  celebró  un  convenio  entre  la</w:t>
        <w:br/>
        <w:t>empresa maderera  Maderas  y  Derivados  de  Nicaragua  S.A.  (MADENSA)  (en</w:t>
        <w:br/>
        <w:t>adelante “MADENSA”)  y la Comunidad, en el año 1992, esta última afirmó  que</w:t>
        <w:br/>
        <w:t>tenía título de propiedad reconocido  por  el  Gobierno  Central  y  por  el</w:t>
        <w:br/>
        <w:t>Gobierno Nacional, porque el testigo y los demás miembros de  la  Comunidad,</w:t>
        <w:br/>
        <w:t>se sienten como verdaderos dueños de las tierras, en  razón  de  que  tienen</w:t>
        <w:br/>
        <w:t>más de 500 años de residir en ella.</w:t>
        <w:br/>
        <w:br/>
        <w:t>La Comunidad presentó la demanda  ante  la  Comisión  Interamericana  porque</w:t>
        <w:br/>
        <w:t>necesita el título de propiedad que ha solicitado en varias oportunidades  y</w:t>
        <w:br/>
        <w:t>nunca ha obtenido respuesta del Estado.  Esperan tener una respuesta  basada</w:t>
        <w:br/>
        <w:t>en la justicia y  en  el  derecho  de  las  comunidades  indígenas.   En  un</w:t>
        <w:br/>
        <w:t>principio el propósito era resolver de forma amistosa el reclamo de  tierra,</w:t>
        <w:br/>
        <w:t>pero ahora, una vez agotados todos los mecanismos y habiendo  llegado  a  la</w:t>
        <w:br/>
        <w:t>instancia de la Corte Interamericana, espera su decisión para que  se  ponga</w:t>
        <w:br/>
        <w:t>fin al conflicto.</w:t>
        <w:br/>
        <w:br/>
        <w:t xml:space="preserve">      b.    Testimonio de Charly Webster Mclean Cornelio, Secretario  de  la</w:t>
        <w:br/>
        <w:t xml:space="preserve">           Comisión Territorial de Awas Tingni</w:t>
        <w:br/>
        <w:br/>
        <w:t>Nació en Awas Tingni, Nicaragua, y es miembro de la Comunidad  Mayagna,  que</w:t>
        <w:br/>
        <w:t>significa  en  el  idioma  mayagna  “hijo  del  sol”.  Ocupó  el  cargo   de</w:t>
        <w:br/>
        <w:t>Responsable del Bosque dentro de  la  Comunidad,  por  lo  que  protegía  el</w:t>
        <w:br/>
        <w:t>bosque de los daños y cuidaba los animales. Actualmente ocupa  el  cargo  de</w:t>
        <w:br/>
        <w:t>Secretario de la Comisión Territorial de Awas Tingni y, en  1991,  participó</w:t>
        <w:br/>
        <w:t>junto con los demás líderes de la Comunidad en la elaboración del  mapa  que</w:t>
        <w:br/>
        <w:t>señala los límites territoriales de la Comunidad Mayagna.</w:t>
        <w:br/>
        <w:br/>
        <w:t>La Comunidad a la que pertenece consta de 1.016  habitantes,  integrada  por</w:t>
        <w:br/>
        <w:t>208 familias; sólo cuatro familias  están  formadas  por  el  matrimonio  de</w:t>
        <w:br/>
        <w:t>hombres  miskitos  y  mujeres  mayagna.   El  número   de   habitantes   fue</w:t>
        <w:br/>
        <w:t>establecido por un censo elaborado  recientemente  por  los  líderes  de  la</w:t>
        <w:br/>
        <w:t>Comunidad.  Las cifras presentadas por el Estado, según un  censo  realizado</w:t>
        <w:br/>
        <w:t>años atrás, indican que el número de miembros de la Comunidad oscila   entre</w:t>
        <w:br/>
        <w:t>300 y 400, pero tal cifra no es la actual.</w:t>
        <w:br/>
        <w:br/>
        <w:t>La lucha de los mayagna para lograr que  el  Estado   reconozca  el  derecho</w:t>
        <w:br/>
        <w:t>histórico que tienen sobre sus tierras data de mucho tiempo  atrás.   Dentro</w:t>
        <w:br/>
        <w:t>de los últimos intentos  que  han  realizado  para  obtener  el  respeto  al</w:t>
        <w:br/>
        <w:t>derecho a sus tierras se encuentra  la  elaboración,  sin  asesoría,  de  un</w:t>
        <w:br/>
        <w:t>documento titulado “Luchando para Mayagna Sumo”, en el cual piden al  Estado</w:t>
        <w:br/>
        <w:t>que reconozca  su  derecho  de  propiedad.   Ese  documento  fue  puesto  en</w:t>
        <w:br/>
        <w:t>conocimiento  del  entonces  delegado  del  INRA,  señor  Alberto   Escobar.</w:t>
        <w:br/>
        <w:t>Posteriormente se dirigieron a Managua para dialogar con  el   Ministro  del</w:t>
        <w:br/>
        <w:t>INRA, pero no obtuvieron la titulación de su tierra.</w:t>
        <w:br/>
        <w:br/>
        <w:t>En 1992 la Comunidad firmó un contrato con la empresa  MADENSA,  sin  contar</w:t>
        <w:br/>
        <w:t>con  asesoría.   Los  líderes   de   la   Comunidad   manifestaron   a   los</w:t>
        <w:br/>
        <w:t>representantes de MADENSA  que  tenían  título  sobre  esas  tierras  en  el</w:t>
        <w:br/>
        <w:t>sentido de que tenían derecho a ellas  por  su  posesión  histórica.   Luego</w:t>
        <w:br/>
        <w:t>firmaron  otro  convenio  con  MADENSA,  contando  con  asesoría  y  con  la</w:t>
        <w:br/>
        <w:t>participación del MARENA, el cual adquirió el  compromiso  de  ayudar  a  la</w:t>
        <w:br/>
        <w:t>Comunidad en la demarcación de su territorio, pero esto no  se cumplió.</w:t>
        <w:br/>
        <w:br/>
        <w:t>Después, el Estado le  otorgó  una  concesión  a  la  empresa  SOLCARSA.  Su</w:t>
        <w:br/>
        <w:t>inconformidad con dicha concesión  se basa en que el Estado no  realizó  una</w:t>
        <w:br/>
        <w:t>consulta previa a la  Comunidad  para  determinar  la  conveniencia   de  la</w:t>
        <w:br/>
        <w:t>concesión  y, además, porque las obras  de  SOLCARSA  se  desarrollarían  en</w:t>
        <w:br/>
        <w:t>62.000 hectáreas del territorio de Awas Tingni. Por lo tanto,  la  Comunidad</w:t>
        <w:br/>
        <w:t>reaccionó y realizó una Asamblea General en la  cual  decidió  elaborar  una</w:t>
        <w:br/>
        <w:t>carta para demandar al Estado.</w:t>
        <w:br/>
        <w:br/>
        <w:t>Los líderes de la Comunidad,  para  lograr  el  respeto  de  su  territorio,</w:t>
        <w:br/>
        <w:t>elaboraron un mapa.  La Comunidad tiene 13 kilómetros dentro de la  montaña,</w:t>
        <w:br/>
        <w:t>se ubica desde Puerto Cabezas, 21  kilómetros  del  lado  del  municipio  de</w:t>
        <w:br/>
        <w:t>Waspám,  y  según  el  mapa  sus  fronteras  se  encuentran  dentro  de  los</w:t>
        <w:br/>
        <w:t>siguientes límites: desde Caño Coco Lano pasa  por  Kisak  Lainí,  por  Suku</w:t>
        <w:br/>
        <w:t>Was, Kalwa, Kitan Mukni, Kuru Was, Kiamak, Caño Turuh Wasni, Caño Rawa  Was,</w:t>
        <w:br/>
        <w:t>Tunjlan Tuna hasta Kuah  Sahna.   Dicho  mapa  muestra  el  área  que  están</w:t>
        <w:br/>
        <w:t>reclamando.   Los  líderes  de  la  Comunidad  han  hecho  referencia  a  su</w:t>
        <w:br/>
        <w:t>territorio y no han hablado de hectáreas.  Desconoce que los doctores  Anaya</w:t>
        <w:br/>
        <w:t>y Acosta en el año 1993 hayan solicitado un título de propiedad  por  16.000</w:t>
        <w:br/>
        <w:t>hectáreas para la Comunidad.  Por su parte, el Estado  ha  afirmado  que  la</w:t>
        <w:br/>
        <w:t>extensión del territorio reclamado por los Mayagna es excesiva, teniendo  en</w:t>
        <w:br/>
        <w:t>cuenta el número de miembros  de  la  Comunidad  establecido  por  el  censo</w:t>
        <w:br/>
        <w:t>oficial, y que el área reclamada por dicha Comunidad  no  guarda  proporción</w:t>
        <w:br/>
        <w:t>con el área efectivamente ocupada por ella.  Los Mayagna han tenido  algunos</w:t>
        <w:br/>
        <w:t>conflictos por reclamos de tierras con las comunidades Francia Sirpi,  Santa</w:t>
        <w:br/>
        <w:t>Clara y Esperanza, los cuales han sido resueltos  pacíficamente.   Según  el</w:t>
        <w:br/>
        <w:t>Estado, parte de su territorio es reclamado por los grupos de las  Dieciocho</w:t>
        <w:br/>
        <w:t>Comunidades y de las Diez Comunidades, las  cuales  afirman  ser  poseedores</w:t>
        <w:br/>
        <w:t>desde antes que arribaran los Mayagna, y que como gesto  de  buena  voluntad</w:t>
        <w:br/>
        <w:t>les habían permitido asentarse en su territorio.  Frente a  tal  afirmación,</w:t>
        <w:br/>
        <w:t>señala el testigo que  los  territorios  de  estas  comunidades  quedan  muy</w:t>
        <w:br/>
        <w:t>distantes de los de Awas Tingni y que, por lo tanto, no  entienden  por  qué</w:t>
        <w:br/>
        <w:t>se habla de conflicto de tierras, si no lo hay.</w:t>
        <w:br/>
        <w:br/>
        <w:t>Aclara que para llegar desde el poblado de Awas Tingni, donde  se  concentra</w:t>
        <w:br/>
        <w:t>la mayoría de la Comunidad, hasta Tuburús, también habitada por miembros  de</w:t>
        <w:br/>
        <w:t>la Comunidad Mayagna, deben desplazarse mediante “pipantes”,  una  clase  de</w:t>
        <w:br/>
        <w:t>canoas impulsadas por remo, y tardan en tiempo seco un día y medio, y en  el</w:t>
        <w:br/>
        <w:t>invierno, dos días y medio.</w:t>
        <w:br/>
        <w:br/>
        <w:t>El  territorio  de  los  Mayagna  es  vital  para  su  desarrollo  cultural,</w:t>
        <w:br/>
        <w:t>religioso y familiar,   y  para   su  propia   subsistencia,  pues  realizan</w:t>
        <w:br/>
        <w:t>labores de caza (cazan “chanchos de monte”)  y  pesca  (desplazándose  a  lo</w:t>
        <w:br/>
        <w:t>largo del Río Wawa) y, además, cultivan la tierra.  Es un  derecho  de  todo</w:t>
        <w:br/>
        <w:t>miembro de la Comunidad trabajar  la  tierra,  cazar,  pescar  y  recolectar</w:t>
        <w:br/>
        <w:t>plantas  medicinales;  sin  embargo,  está   prohibida   la   venta   y   la</w:t>
        <w:br/>
        <w:t>privatización de estos recursos.</w:t>
        <w:br/>
        <w:br/>
        <w:t>El territorio es para ellos sagrado, y a lo  largo  de  éste  se  encuentran</w:t>
        <w:br/>
        <w:t>varios cerros de gran importancia religiosa, como el Cerro  Mono,  el  Cerro</w:t>
        <w:br/>
        <w:t>Urus Asang, el Kiamak y el Cerro Quitirís.  Existen  también  otros  lugares</w:t>
        <w:br/>
        <w:t>sagrados, en los cuales la Comunidad tiene  árboles  frutales  de  pejibaye,</w:t>
        <w:br/>
        <w:t>limón y aguacate.  Cuando los habitantes de  Awas  Tingni  pasan  por  estos</w:t>
        <w:br/>
        <w:t>lugares, que datan de 300 siglos, según lo que su abuelo le decía, lo  hacen</w:t>
        <w:br/>
        <w:t>en silencio como señal de  respeto  a  sus  muertos  y  saludan  a  Asangpas</w:t>
        <w:br/>
        <w:t>Muigeni, el espíritu del monte, que vive debajo de los cerros.</w:t>
        <w:br/>
        <w:br/>
        <w:t xml:space="preserve">      c.    Testimonio de Theodore Macdonald Jr., antropólogo</w:t>
        <w:br/>
        <w:br/>
        <w:t>Ha estado en contacto con la Comunidad Awas Tingni. Hizo  tres visitas a  la</w:t>
        <w:br/>
        <w:t>Comunidad,  en marzo y julio del año 1995 y en enero de 1999.   El  objetivo</w:t>
        <w:br/>
        <w:t>de estas visitas era estudiar la relación entre la  gente  del  asentamiento</w:t>
        <w:br/>
        <w:t>de Awas Tingni y la tierra que utiliza,  lo  cual  requería  de  un  estudio</w:t>
        <w:br/>
        <w:t>socio-político e histórico, y también investigaciones.   Empezó  a  trabajar</w:t>
        <w:br/>
        <w:t>en este estudio gracias a un proyecto financiado por el Fondo  Mundial  para</w:t>
        <w:br/>
        <w:t>la Naturaleza, World Wildlife Fund. Ellos contrataron a  la  Universidad  de</w:t>
        <w:br/>
        <w:t>Iowa, y fue ésta la que lo contrató para hacer ese trabajo.</w:t>
        <w:br/>
        <w:br/>
        <w:t>Los resultados del estudio que realizó con la Comunidad Awas  Tingni  fueron</w:t>
        <w:br/>
        <w:t>documentados, primero como informe preliminar, en 1996, en el  que  presentó</w:t>
        <w:br/>
        <w:t>un mapa de las tierras del asentamiento de Awas Tingni, y  después  en  otro</w:t>
        <w:br/>
        <w:t>informe de enero de 1999.  El propósito de hacer  este  último  informe  fue</w:t>
        <w:br/>
        <w:t>ampliar el de 1996, ya que ese era un informe preliminar y,  además,  porque</w:t>
        <w:br/>
        <w:t>al regresar encontró que  había  muchas  cosas  que  quería  conocer  de  la</w:t>
        <w:br/>
        <w:t>historia de la Comunidad  Mayagna.   Entre  esos  dos  informes  no  existen</w:t>
        <w:br/>
        <w:t>contradicciones, pero en el segundo se profundizó  más  desde  el  punto  de</w:t>
        <w:br/>
        <w:t>vista etnográfico y se obtuvieron más detalles para respaldar el estudio.</w:t>
        <w:br/>
        <w:br/>
        <w:t>La  Comunidad  Awas  Tingni  elaboró  un   mapa,   en   el   año   de   1992</w:t>
        <w:br/>
        <w:t>aproximadamente, sin contar con su asesoría, lo realizaron por sí  mismos  y</w:t>
        <w:br/>
        <w:t>lo presentaron al empezar el estudio del testigo.  Según  los  Mayagna,  ese</w:t>
        <w:br/>
        <w:t>mapa representa el territorio que les pertenece. En dicho mapa se puede  ver</w:t>
        <w:br/>
        <w:t>la frontera, el lugar donde se asienta  la  comunidad  principal,  donde  se</w:t>
        <w:br/>
        <w:t>ubican otras comunidades, los sitios sagrados y otros lugares  más  antiguos</w:t>
        <w:br/>
        <w:t>en los que han vivido antes.  También se ve el Río Wawa, que corre desde  el</w:t>
        <w:br/>
        <w:t>oeste y llega a la Costa Atlántica.</w:t>
        <w:br/>
        <w:br/>
        <w:t>Hay otros dos mapas, elaborados por el testigo.  El  primero  de  ellos  fue</w:t>
        <w:br/>
        <w:t>elaborado  en  1996  con  un  sistema  de  computación  llamado  Sistema  de</w:t>
        <w:br/>
        <w:t>Información Geográfica (GIS, sigla en inglés).  Lo que hizo  fue  poner  los</w:t>
        <w:br/>
        <w:t>datos  y  elementos  recopilados  por  la  Comunidad  para   determinar   el</w:t>
        <w:br/>
        <w:t>territorio en  toda  su  extensión.   En  ese  mapa  se  puede  observar  el</w:t>
        <w:br/>
        <w:t>asentamiento de la Comunidad Awas Tingni, el Río Wawa, Tuburús,  los  sitios</w:t>
        <w:br/>
        <w:t>sagrados y también la frontera.  El segundo  mapa,  preparado  en  1999,  es</w:t>
        <w:br/>
        <w:t>casi igual.  La diferencia principal es que está hecho a  mano,  pero  ambos</w:t>
        <w:br/>
        <w:t>mapas se basan en la misma información.</w:t>
        <w:br/>
        <w:br/>
        <w:t>La metodología para la elaboración del mapa fue la  siguiente:   primero  se</w:t>
        <w:br/>
        <w:t>empezó en la Comunidad Awas Tingni con un  Sistema  de  Posición  Geográfica</w:t>
        <w:br/>
        <w:t>(GPS, sigla en inglés), que trabaja con base en satélites.   En  la  primera</w:t>
        <w:br/>
        <w:t>etapa con cinco miembros de la Comunidad  subió  el  Río  Wawa,  para  tomar</w:t>
        <w:br/>
        <w:t>datos sobre el uso de la tierra en todo el territorio y  para  confirmar  la</w:t>
        <w:br/>
        <w:t>información que habían recibido de la Comunidad.  En la segunda  etapa,  los</w:t>
        <w:br/>
        <w:t>miembros de la Comunidad, después de haber  recibido  una  capacitación  por</w:t>
        <w:br/>
        <w:t>parte del testigo, recorrieron el territorio  con  el  aparato  GPS.   Ellos</w:t>
        <w:br/>
        <w:t>registraron más de 150 puntos de referencia en esas visitas.</w:t>
        <w:br/>
        <w:br/>
        <w:t>Para realizar el trabajo de localización de puntos de referencia  a  fin  de</w:t>
        <w:br/>
        <w:t>elaborar el mapa, se capacitó a  dos  jóvenes  de  la  Comunidad.   Así,  su</w:t>
        <w:br/>
        <w:t>elaboración en el campo la hicieron los indígenas de Awas Tingni.   Una  vez</w:t>
        <w:br/>
        <w:t>puesta esa información en el sistema de localización de puntos no hay  forma</w:t>
        <w:br/>
        <w:t>de manipularla.</w:t>
        <w:br/>
        <w:br/>
        <w:t>Los puntos de  referencia  obtenidos  fueron  plasmados  en  un  mapa  base,</w:t>
        <w:br/>
        <w:t>elaborado por  un  cartógrafo  profesional  (estudiante  de  derecho  de  la</w:t>
        <w:br/>
        <w:t>Universidad de  Harvard,  que  había  aprendido  a  manejar  el  Sistema  de</w:t>
        <w:br/>
        <w:t>Información Geográfica -GIS, sigla en  inglés-  y  que  era  un  experto  en</w:t>
        <w:br/>
        <w:t>computación).</w:t>
        <w:br/>
        <w:br/>
        <w:t>Para hablar de los Mayagna  como  comunidad  hay  que  verlo  todo  como  un</w:t>
        <w:br/>
        <w:t>proceso. Actualmente es un grupo que tiene su  propio  liderazgo,  tiene  su</w:t>
        <w:br/>
        <w:t>propia forma de organización social  y se  reconoce  a  sí  misma  como  una</w:t>
        <w:br/>
        <w:t>comunidad indígena.</w:t>
        <w:br/>
        <w:br/>
        <w:t>En cuanto a la tenencia actual de la tierra de la Comunidad Awas Tingni,  el</w:t>
        <w:br/>
        <w:t>testigo considera que primero hay que hablar de la historia.   La  Comunidad</w:t>
        <w:br/>
        <w:t>se ha identificado como una comunidad Mayagna, pero poco a  poco,  con  base</w:t>
        <w:br/>
        <w:t>en el crecimiento demográfico y también en la comunicación continua  que  ha</w:t>
        <w:br/>
        <w:t>tenido con gentes de otras zonas, se fue identificando a sí misma  como  una</w:t>
        <w:br/>
        <w:t>comunidad independiente, alrededor  de  sus  líderes  espirituales  llamados</w:t>
        <w:br/>
        <w:t>caciques.  Así se fue formando y fortaleciendo,  su  sentido  de  comunidad,</w:t>
        <w:br/>
        <w:t>con sus propios límites y fronteras.</w:t>
        <w:br/>
        <w:br/>
        <w:t>Hay dos comunidades Miskitas en el  territorio  de  Awas  Tingni,  según  lo</w:t>
        <w:br/>
        <w:t>demuestra el mapa.  Esperanza es una, y se formó en dos etapas, a saber:  en</w:t>
        <w:br/>
        <w:t>1971, después de la guerra entre Honduras y Nicaragua y en 1972 después  del</w:t>
        <w:br/>
        <w:t>huracán de ese año, cuando llegaron otras comunidades.   Una  de  las  cinco</w:t>
        <w:br/>
        <w:t>comunidades que se ubicaron en el territorio y que se  denomina  como  Tasba</w:t>
        <w:br/>
        <w:t>Raya, Esperanza, que está al norte del Río Wawa.  Ellos llegaron  allí  bajo</w:t>
        <w:br/>
        <w:t>órdenes del Estado en esa época y fueron aceptados por  la  Comunidad   Awas</w:t>
        <w:br/>
        <w:t>Tingni.  La otra, se llama Yapú Muscana, la cual mas que una  comunidad,  es</w:t>
        <w:br/>
        <w:t>nada más que un refugio; fue una  familia  miskita  que  se  había  asentado</w:t>
        <w:br/>
        <w:t>independientemente al lado sur.   No  hay  ninguna  evidencia  de  que  esas</w:t>
        <w:br/>
        <w:t>comunidades estuvieran antes de la Comunidad Awas Tingni; al  contrario,  un</w:t>
        <w:br/>
        <w:t>miembro de Francia Sirpi, que es la comunidad  que  colinda  con  Esperanza,</w:t>
        <w:br/>
        <w:t>indicó al testigo que Awas Tingni llegó ahí antes.</w:t>
        <w:br/>
        <w:br/>
        <w:t>Actualmente hay  algunos  conflictos  con  las  comunidades  aledañas  a  la</w:t>
        <w:br/>
        <w:t>Comunidad,  principalmente  a  causa  de  la  presencia  y   la   falta   de</w:t>
        <w:br/>
        <w:t>entendimiento con la  compañía  SOLCARSA,  porque  miembros  de  comunidades</w:t>
        <w:br/>
        <w:t>vecinales quieren apoderarse de sus  tierras,  pensando  que  quien  sea  el</w:t>
        <w:br/>
        <w:t>dueño de la tierra será el beneficiado con las obras que se adelanten.</w:t>
        <w:br/>
        <w:t>Se ha construido una historia y una  posesión  ancestral  con  indígenas  de</w:t>
        <w:br/>
        <w:t>diferente  etnia.   El  sentido  de  fronteras  de  la  Comunidad   se   fue</w:t>
        <w:br/>
        <w:t>fortaleciendo con  la  interacción  vecinal.   La  única  prueba  que  puede</w:t>
        <w:br/>
        <w:t>utilizarse para determinar la existencia de la Comunidad antes  de  1990  es</w:t>
        <w:br/>
        <w:t>la tradición  oral.   Hay  investigaciones  acerca  de  la  historia  de  la</w:t>
        <w:br/>
        <w:t>Comunidad, y también se consultó a algunos expertos  de  la  Universidad  de</w:t>
        <w:br/>
        <w:t>Harvard, en Estados Unidos, y de América Central, y no se encontraron  datos</w:t>
        <w:br/>
        <w:t>que contradijeran la tradición oral en la que se basa su estudio.</w:t>
        <w:br/>
        <w:br/>
        <w:t>Las formas de explotación del suelo del área de la Comunidad Awas Tingni  se</w:t>
        <w:br/>
        <w:t>basan en un sistema comunal, dentro del cual  hay   usufructo  de  parte  de</w:t>
        <w:br/>
        <w:t>individuos, lo cual significa  que  nadie  puede  vender   ni  alquilar  ese</w:t>
        <w:br/>
        <w:t>territorio a gente de fuera de la Comunidad.   Sin  embargo,  dentro  de  la</w:t>
        <w:br/>
        <w:t>Comunidad, ciertos individuos utilizan un lote,  un  área  determinada,  año</w:t>
        <w:br/>
        <w:t>tras año.  Así, la  Comunidad  respeta  el  derecho  de  usufructo  pero  no</w:t>
        <w:br/>
        <w:t>permite el abuso de ese derecho.  Este derecho de usufructo se  adquiere  en</w:t>
        <w:br/>
        <w:t>muchos casos  por  herencia,  pasando  de  generación  en  generación,  pero</w:t>
        <w:br/>
        <w:t>principalmente se otorga por un consenso de la  Comunidad.   También,  puede</w:t>
        <w:br/>
        <w:t>transferirse de una familia a otra.  Quien se  beneficia  de  ese  usufructo</w:t>
        <w:br/>
        <w:t>tiene la posibilidad de excluir del uso de esa tierra,  del  aprovechamiento</w:t>
        <w:br/>
        <w:t>de esos recursos, a los demás miembros de la Comunidad.</w:t>
        <w:br/>
        <w:br/>
        <w:t>Los cerros ubicados en el territorio de la Comunidad  son  muy  importantes.</w:t>
        <w:br/>
        <w:t>Dentro de ellos viven los “espíritus del monte”, jefes  del  monte,  que  en</w:t>
        <w:br/>
        <w:t>Mayagna se dice “Asangpas Muigeni”, que son quienes controlan  los  animales</w:t>
        <w:br/>
        <w:t>alrededor de esa región.  Para aprovechar esos animales hay  que  tener  una</w:t>
        <w:br/>
        <w:t>relación especial con los espíritus. En muchas ocasiones es el cacique,  que</w:t>
        <w:br/>
        <w:t>es una especie de  “chaman”  llamado  Ditelian,  quien  puede  mantener  esa</w:t>
        <w:br/>
        <w:t>relación con los  espíritus.   Entonces,  la  presencia  de  animales  y  la</w:t>
        <w:br/>
        <w:t>posibilidad de aprovecharlos mediante la cacería, se basa en la  cosmovisión</w:t>
        <w:br/>
        <w:t>y tiene mucho que ver con las fronteras, porque según ellos  esos  amos  del</w:t>
        <w:br/>
        <w:t>monte son dueños de los animales, especialmente del puerco de monte  que  se</w:t>
        <w:br/>
        <w:t>desplaza en manadas alrededor de las montañas.   Así,  hay  un  vínculo  muy</w:t>
        <w:br/>
        <w:t>fuerte con el entorno, con estos sitios  sagrados,  con  los  espíritus  que</w:t>
        <w:br/>
        <w:t>viven dentro y los hermanos miembros de la Comunidad.</w:t>
        <w:br/>
        <w:br/>
        <w:t>Hay dos tipos de lugares sagrados en  las  zonas  fronterizas:  cementerios,</w:t>
        <w:br/>
        <w:t>que son  visitados  actualmente  con  frecuencia  por  los  miembros  de  la</w:t>
        <w:br/>
        <w:t>Comunidad, y se ubican a lo largo del Río  Wawa;  son  asentamientos  viejos</w:t>
        <w:br/>
        <w:t>que los visitan cuando van de cacería.   Ir  de  cacería  es,  hasta  cierto</w:t>
        <w:br/>
        <w:t>punto, un acto espiritual, y tiene mucho  que  ver  con  el  territorio  que</w:t>
        <w:br/>
        <w:t>ellos aprovechan.  El segundo tipo de zonas sagradas son los cerros.</w:t>
        <w:br/>
        <w:br/>
        <w:t xml:space="preserve">      d.     Peritaje  de  Rodolfo  Stavenhagen  Gruenbaum,  antropólogo   y</w:t>
        <w:br/>
        <w:t xml:space="preserve">           sociólogo</w:t>
        <w:br/>
        <w:br/>
        <w:t>Conoce la situación de los  pueblos  indígenas  de  la  Costa  Atlántica  de</w:t>
        <w:br/>
        <w:t>Nicaragua por referencia, no  directamente.   El  conocimiento  lo  tiene  a</w:t>
        <w:br/>
        <w:t>través de la literatura etnográfica y antropológica  sobre  Nicaragua  y  de</w:t>
        <w:br/>
        <w:t>informes hechos por especialistas referentes a la situación de  los  pueblos</w:t>
        <w:br/>
        <w:t>de la Costa Atlántica de Nicaragua, pueblos que han estado  tradicionalmente</w:t>
        <w:br/>
        <w:t>marginados del poder central  y  vinculados  a  algunos  intereses  de  tipo</w:t>
        <w:br/>
        <w:t>económico o internacional, pero muy conscientes de  su  identidad  cultural,</w:t>
        <w:br/>
        <w:t>de su autopercepción social, al ser  grupos  sociales  con  una  continuidad</w:t>
        <w:br/>
        <w:t>histórica,  vinculación con la tierra,  actividades  de  tipo  económicas  y</w:t>
        <w:br/>
        <w:t>formas de organización propias que los  han  distinguido  del  resto  de  la</w:t>
        <w:br/>
        <w:t>población de Nicaragua.</w:t>
        <w:br/>
        <w:br/>
        <w:t>Los pueblos indígenas en diferentes países de nuestro  continente  enfrentan</w:t>
        <w:br/>
        <w:t>problemas de discriminación.  La situación se ha ido modificando desde  hace</w:t>
        <w:br/>
        <w:t>algunos años,  debido  a  cambios  legislativos  y  constitucionales,  a  la</w:t>
        <w:br/>
        <w:t>opinión pública y a los reclamos y demandas presentados a nivel  nacional  e</w:t>
        <w:br/>
        <w:t>internacional por las  organizaciones indígenas.</w:t>
        <w:br/>
        <w:br/>
        <w:t>Los pueblos indígenas se definen como aquellos grupos  sociales  y  humanos,</w:t>
        <w:br/>
        <w:t>identificados  en  términos  culturales  y  que  mantienen  una  continuidad</w:t>
        <w:br/>
        <w:t>histórica con sus antepasados, desde la época anterior a la llegada  a  este</w:t>
        <w:br/>
        <w:t>continente  de  los  primeros  europeos.   Esta  continuidad  histórica   se</w:t>
        <w:br/>
        <w:t>advierte en las  formas  de  organización,  en  la  cultura  propia,  en  la</w:t>
        <w:br/>
        <w:t>autoidentificación que estos pueblos hacen de sí mismos y en  el  manejo  de</w:t>
        <w:br/>
        <w:t>un idioma cuyos orígenes son prehispánicos.  Estos  pueblos  se  conocen  en</w:t>
        <w:br/>
        <w:t>nuestros países porque mantienen  formas  de  vida  y  de  cultura  que  los</w:t>
        <w:br/>
        <w:t>distinguen del resto de la sociedad, y han estado subordinados y  marginados</w:t>
        <w:br/>
        <w:t>tradicionalmente  por   estructuras   económicas,   políticas   y   sociales</w:t>
        <w:br/>
        <w:t>discriminatorias, que  prácticamente  los  han  mantenido  en  condición  de</w:t>
        <w:br/>
        <w:t>ciudadanía  de  segunda  clase,  a  pesar  de  que  en  las   legislaciones,</w:t>
        <w:br/>
        <w:t>formalmente, los indígenas tienen los mismos  derechos  que  tienen  los  no</w:t>
        <w:br/>
        <w:t>indígenas.  Pero, en  la  realidad,  esta  ciudadanía  es  como  imaginaria,</w:t>
        <w:br/>
        <w:t>porque siguen  sufriendo  de  formas  estructurales  de  discriminación,  de</w:t>
        <w:br/>
        <w:t>exclusión social, de marginación.</w:t>
        <w:br/>
        <w:br/>
        <w:t>Desde hace muchos años, el Estado nicaragüense ha llevado a  cabo  políticas</w:t>
        <w:br/>
        <w:t>de  incorporación,  de  integración,  de  estas  poblaciones  de  la   Costa</w:t>
        <w:br/>
        <w:t>Atlántica al Estado Nacional, con algunos resultados positivos en  cuanto  a</w:t>
        <w:br/>
        <w:t>la integración nacional del país, pero también se  han  producido  tensiones</w:t>
        <w:br/>
        <w:t>entre la población indígena de esta  zona  con  el  resto  de  la  sociedad,</w:t>
        <w:br/>
        <w:t>particularmente  porque  los  procesos  de  incorporación  vulneran  algunos</w:t>
        <w:br/>
        <w:t>derechos fundamentales de estas poblaciones indígenas, y se pone en  peligro</w:t>
        <w:br/>
        <w:t>su supervivencia como grupos sociales  identificados  con  una  personalidad</w:t>
        <w:br/>
        <w:t>colectiva y con una identidad étnica particular.</w:t>
        <w:br/>
        <w:br/>
        <w:t>Un tema fundamental  en  la  definición  de  los  pueblos  indígenas  es  la</w:t>
        <w:br/>
        <w:t>relación de  éstos  con  la  tierra.   Todos  los  estudios  antropológicos,</w:t>
        <w:br/>
        <w:t>etnográficos, toda la documentación que las  propias  poblaciones  indígenas</w:t>
        <w:br/>
        <w:t>han presentado en los últimos años, demuestran que  la  relación  entre  los</w:t>
        <w:br/>
        <w:t>pueblos indígenas y la tierra es un vínculo esencial que da  y  mantiene  la</w:t>
        <w:br/>
        <w:t>identidad cultural de estos pueblos.  Hay que entender la tierra no como  un</w:t>
        <w:br/>
        <w:t>simple instrumento de producción agrícola, sino como una parte  del  espacio</w:t>
        <w:br/>
        <w:t>geográfico y social, simbólico y  religioso,  con  el  cual  se  vincula  la</w:t>
        <w:br/>
        <w:t>historia y actual dinámica de estos pueblos.</w:t>
        <w:br/>
        <w:br/>
        <w:t>La mayoría de los pueblos indígenas  en  América  Latina  son  pueblos  cuya</w:t>
        <w:br/>
        <w:t>esencia se deriva de su relación con la tierra, ya  sea  como  agricultores,</w:t>
        <w:br/>
        <w:t>como cazadores, como recolectores, como pescadores, etc.  El vínculo con  la</w:t>
        <w:br/>
        <w:t>tierra es esencial para su autoidentificación. La  salud  física,  la  salud</w:t>
        <w:br/>
        <w:t>mental y la salud  social  del  pueblo  indígena  están  vinculadas  con  el</w:t>
        <w:br/>
        <w:t>concepto  de  tierra.   Tradicionalmente,  las  comunidades  y  los  pueblos</w:t>
        <w:br/>
        <w:t>indígenas de los distintos países en América Latina han tenido  un  concepto</w:t>
        <w:br/>
        <w:t>comunal de la tierra y de sus recursos.</w:t>
        <w:br/>
        <w:br/>
        <w:t>En las tierras bajas, tradicionalmente los pueblos indígenas han  llevado  a</w:t>
        <w:br/>
        <w:t>cabo una agricultura de subsistencia rotativa, sobre  todo  en  los  bosques</w:t>
        <w:br/>
        <w:t>tropicales.  Con frecuencia, combinan esa  agricultura  de  subsistencia  de</w:t>
        <w:br/>
        <w:t>tipo rotativo con otras  actividades  que  requieren  un  espacio  económico</w:t>
        <w:br/>
        <w:t>relativamente más amplio que una parcela propiamente agrícola.   El  espacio</w:t>
        <w:br/>
        <w:t>en el cual se mueve la población indígena, casi seminómada a  veces,  es  un</w:t>
        <w:br/>
        <w:t>espacio  colectivo.   Las  autoridades  locales  de  cada  comunidad  tienen</w:t>
        <w:br/>
        <w:t>mecanismos  propios,  usos  y  costumbres,  derecho  consuetudinario    para</w:t>
        <w:br/>
        <w:t>distribuir el acceso equitativo entre las comunidades domésticas.  Según  la</w:t>
        <w:br/>
        <w:t>tecnología, la productividad, la sustentabilidad ecológica  y  la  capacidad</w:t>
        <w:br/>
        <w:t>productiva, esta rotación puede durar años,  ya  que  cuando  un  pueblo  va</w:t>
        <w:br/>
        <w:t>moviéndose ocupa espacios antes de volver al lugar  original.   Esto  se  da</w:t>
        <w:br/>
        <w:t>mucho en las  zonas  bajas  y  es  muy  distinto  de  las  zonas  altas  más</w:t>
        <w:br/>
        <w:t>densamente pobladas.  Las comunidades indígenas  de  Nicaragua  corresponden</w:t>
        <w:br/>
        <w:t>al modelo de las tierras bajas.</w:t>
        <w:br/>
        <w:br/>
        <w:t>Hay dos conceptos de tierra colectiva: el  territorio,  en  su  generalidad,</w:t>
        <w:br/>
        <w:t>que la comunidad considera común, pero internamente existen mecanismos  para</w:t>
        <w:br/>
        <w:t>asignar utilización y ocupación eventual a sus miembros  y  que  no  permite</w:t>
        <w:br/>
        <w:t>enajenación a personas que no son miembros de la comunidad;  y  lo  que  son</w:t>
        <w:br/>
        <w:t>áreas exclusivas  de utilización colectiva, “commons”, que no se dividen  en</w:t>
        <w:br/>
        <w:t>parcelas.   Casi  todas  las  comunidades  indígenas  tienen  una  parte  de</w:t>
        <w:br/>
        <w:t>“commons”, de uso colectivo, y luego otra parte que  puede  ser  dividida  y</w:t>
        <w:br/>
        <w:t>asignada a familias o a unidades domésticas.  Sin embargo,  se  mantiene  el</w:t>
        <w:br/>
        <w:t>concepto de propiedad colectiva, que cuando no está titulada es  cuestionada</w:t>
        <w:br/>
        <w:t>por otros, por el Estado mismo muchas veces. Cuando hay problemas  surge  la</w:t>
        <w:br/>
        <w:t>necesidad de que  existan  títulos  de  propiedad  porque  la  comunidad  se</w:t>
        <w:br/>
        <w:t>arriesga a perderlo todo.  La historia de América Latina  ha  consistido  en</w:t>
        <w:br/>
        <w:t>un despojo prácticamente permanente de comunidades indígenas  por  intereses</w:t>
        <w:br/>
        <w:t>externos.</w:t>
        <w:br/>
        <w:br/>
        <w:t>Se dan presiones para que,  en  el  interior  de  las  comunidades,  quienes</w:t>
        <w:br/>
        <w:t>tienen derecho de usufructo u ocupación  titulen  esas  parcelas  de  alguna</w:t>
        <w:br/>
        <w:t>manera; pero al reconocerla  el  Estado  como  propiedad  privada  se  puede</w:t>
        <w:br/>
        <w:t>vender o alquilar y eso rompe con la tradición de la comunidad.</w:t>
        <w:br/>
        <w:br/>
        <w:t>La historia de la práctica y de  la  política  de  los  Estados  en  América</w:t>
        <w:br/>
        <w:t>Latina, con respecto a la tierra indígena, es larga y dramática.   Antes  de</w:t>
        <w:br/>
        <w:t>la conquista y de la colonización y antes de la  formación  de  los  Estados</w:t>
        <w:br/>
        <w:t>nacionales, los pueblos indígenas y sus tierras formaban un  todo,  un  todo</w:t>
        <w:br/>
        <w:t>único.  A esto se vino a superponer  el  Estado  Nacional,  el  cual  en  la</w:t>
        <w:br/>
        <w:t>mayoría de los países asume una propiedad sobre tierras  que  ancestralmente</w:t>
        <w:br/>
        <w:t>correspondían y corresponden a los pueblos indígenas.  En los siglos  XIX  y</w:t>
        <w:br/>
        <w:t>XX, los Estados  declararon  grandes  espacios  geográficos  del  territorio</w:t>
        <w:br/>
        <w:t>americano como tierras baldías, como tierras nacionales y  autoasumieron  el</w:t>
        <w:br/>
        <w:t>derecho de  disponer  de  esas  tierras,  sin  tomar  en  consideración  los</w:t>
        <w:br/>
        <w:t>derechos originarios, los derechos históricos,  y  la  presencia  física  de</w:t>
        <w:br/>
        <w:t>pueblos indígenas organizados de diferentes maneras en estas  tierras  desde</w:t>
        <w:br/>
        <w:t>tiempos inmemoriales.  Los  problemas  surgen  cuando  los  Estados  deciden</w:t>
        <w:br/>
        <w:t>titular estas tierras o dar concesiones o permitir desmontes,  autorizar  la</w:t>
        <w:br/>
        <w:t>utilización  de  estas  tierras  para  otras  finalidades  determinadas  por</w:t>
        <w:br/>
        <w:t>intereses económicos diversos.  En esos momentos es  cuando  muchos  pueblos</w:t>
        <w:br/>
        <w:t>indígenas se dan cuenta de que no son, jurídicamente  hablando,  los  dueños</w:t>
        <w:br/>
        <w:t>auténticos de los territorios que tradicionalmente ocupan.</w:t>
        <w:br/>
        <w:br/>
        <w:t>En las últimas décadas, los pueblos indígenas han comenzado  a  organizarse,</w:t>
        <w:br/>
        <w:t>ya que se han dado cuenta de que tienen que hacer algo para  salvaguardar  y</w:t>
        <w:br/>
        <w:t>proteger jurídicamente estas tierras.   Lo  que  se  denomina  genéricamente</w:t>
        <w:br/>
        <w:t>derecho consuetudinario indígena no es  un  cuerpo  estructurado,  ni  mucho</w:t>
        <w:br/>
        <w:t>menos codificado; son una serie de prácticas reales que se llevan a cabo  de</w:t>
        <w:br/>
        <w:t>manera distinta en  diferentes  comunidades,  para  resolver  una  serie  de</w:t>
        <w:br/>
        <w:t>problemas  de  administración  de  justicia,   resolución   de   conflictos,</w:t>
        <w:br/>
        <w:t>mantenimiento   del   orden   interno,   normatividad   de   los    reclamos</w:t>
        <w:br/>
        <w:t>interpersonales, vinculación con el mundo  exterior,  etc.   En  el  derecho</w:t>
        <w:br/>
        <w:t>consuetudinario, la tierra, al vincularla con los seres  humanos,  es  vista</w:t>
        <w:br/>
        <w:t>como un lugar  espiritual,  puesto  que  cuenta  con  sitios  sagrados,  con</w:t>
        <w:br/>
        <w:t>bosque,  etc.   Esa  vinculación  del  ser  humano  con  el  territorio   no</w:t>
        <w:br/>
        <w:t>necesariamente está escrita, es algo que se vive en lo cotidiano.</w:t>
        <w:br/>
        <w:br/>
        <w:t>En lo atinente a la ocupación ancestral de  la  tierra,  la  continuidad  se</w:t>
        <w:br/>
        <w:t>establece en términos de continuidad  histórica  de  un  grupo  que  durante</w:t>
        <w:br/>
        <w:t>siglos ha mantenido una identidad  y  de  la  cual  deriva  precisamente  su</w:t>
        <w:br/>
        <w:t>situación actual en el país del que se trate.  El hecho es que  por  razones</w:t>
        <w:br/>
        <w:t>de cambios históricos, depresiones económicas, violencia, guerras civiles  y</w:t>
        <w:br/>
        <w:t>presiones del  sistema  económicamente  dominante,  que  durante  siglos  ha</w:t>
        <w:br/>
        <w:t>presionado y confinado a los indígenas a zonas que los  primeros  invasores,</w:t>
        <w:br/>
        <w:t>los colonos y luego las grandes empresas, no han apetecido,  los  grupos  de</w:t>
        <w:br/>
        <w:t>indígenas se han visto  obligados  a  buscar  nuevos  hábitats,  para  poder</w:t>
        <w:br/>
        <w:t>mantener esa continuidad histórica sin la intervención de fuerzas  extrañas,</w:t>
        <w:br/>
        <w:t>para mantener su libertad y su derecho de vivir  como  ellos  lo  entienden.</w:t>
        <w:br/>
        <w:t>Se pueden dar muchos ejemplos de comunidades que se han ido moviendo  de  un</w:t>
        <w:br/>
        <w:t>lugar a otro, en épocas históricas relativamente recientes.</w:t>
        <w:br/>
        <w:br/>
        <w:t>Todo esto forma parte de la cosmovisión indígena que en la  actualidad  está</w:t>
        <w:br/>
        <w:t>siendo recogida por el derecho positivo y se está  construyendo  un  derecho</w:t>
        <w:br/>
        <w:t>internacional indígena.  Lo comprenden los Trabajos de las Naciones  Unidas,</w:t>
        <w:br/>
        <w:t>en el  Proyecto  de  Declaración  de  los  Derechos  de  los  Indígenas,  lo</w:t>
        <w:br/>
        <w:t>comprende la Organización de Estados Americanos, en el Proyecto de  Derechos</w:t>
        <w:br/>
        <w:t>Indígenas, lo recoge  la  Organización  Internacional  del  Trabajo,  en  el</w:t>
        <w:br/>
        <w:t>Convenio 169.  Hasta ahora el reconocimiento de esos derechos  indígenas  es</w:t>
        <w:br/>
        <w:t>meramente formal, ya que no se ha podido adelantar en la  reglamentación  de</w:t>
        <w:br/>
        <w:t>los mismos.  El Convenio de la OIT los recoge en forma general e  impone  el</w:t>
        <w:br/>
        <w:t>reto de traducir estas normas en reglamentaciones a nivel nacional para  que</w:t>
        <w:br/>
        <w:t>sean efectivas.</w:t>
        <w:br/>
        <w:br/>
        <w:t>El informe elaborado por el profesor Theodore  Macdonald  responde  a  todos</w:t>
        <w:br/>
        <w:t>los  requerimientos  de  un   estudio   metodológicamente   responsable   de</w:t>
        <w:br/>
        <w:t>investigación etnográfica, basado en el uso  de  múltiples  fuentes,  en  el</w:t>
        <w:br/>
        <w:t>manejo  de  conceptos  que  provienen   de   varias   disciplinas:   de   la</w:t>
        <w:br/>
        <w:t>antropología, historia,  geografía,  economía,  etc.   Se  desprende  de  la</w:t>
        <w:br/>
        <w:t>lectura del estudio que el investigador ha  hecho  extensos  recorridos  por</w:t>
        <w:br/>
        <w:t>las zonas, entrevistado a mucha gente, obtenido información directa, que  es</w:t>
        <w:br/>
        <w:t>lo que los antropólogos generalmente hacen y, además, se  ha  basado  en  el</w:t>
        <w:br/>
        <w:t>análisis crítico de una cantidad de documentación que no  siempre  es  fácil</w:t>
        <w:br/>
        <w:t>conseguir, para sustentar los resultados a los que se llega.</w:t>
        <w:br/>
        <w:br/>
        <w:t>En ciertos contextos  históricos  los  derechos  de  la  persona  humana  se</w:t>
        <w:br/>
        <w:t>garantizan y se pueden ejercer plenamente sólo si se reconocen los  derechos</w:t>
        <w:br/>
        <w:t>de la colectividad y de la comunidad a la que pertenece esta  persona  desde</w:t>
        <w:br/>
        <w:t>su nacimiento y de la que  forma  parte  y  la  cual  le  da  los  elementos</w:t>
        <w:br/>
        <w:t>necesarios para poder sentirse plenamente realizado  como  ser  humano,  que</w:t>
        <w:br/>
        <w:t>significa  también  ser  social  y  cultural.   La  contraposición  de  esta</w:t>
        <w:br/>
        <w:t>afirmación es que, al violarse los  derechos  de  una  comunidad  de  seguir</w:t>
        <w:br/>
        <w:t>subsistiendo como tal y de poder reproducirse como unidad  e  identidad,  se</w:t>
        <w:br/>
        <w:t>violan una serie de derechos humanos básicos: el derecho a  la  cultura,  la</w:t>
        <w:br/>
        <w:t>participación, la  identidad,  la  sobrevivencia;  esto  lo  han  demostrado</w:t>
        <w:br/>
        <w:t>numerosos estudios sobre pueblos y comunidades indígenas en Latinoamérica.</w:t>
        <w:br/>
        <w:br/>
        <w:t>La comunidad internacional y el derecho de los derechos  humanos  tienen  el</w:t>
        <w:br/>
        <w:t>reto de desarrollar nuevos conceptos y nuevas normas que,  sin  lesionar  ni</w:t>
        <w:br/>
        <w:t>cercenar de ninguna manera  los  derechos  humanos  de  la  persona,  logren</w:t>
        <w:br/>
        <w:t>enriquecer las formas de vida de  los  pueblos  indígenas  al  reconocer  la</w:t>
        <w:br/>
        <w:t>realidad  social  y  cultural,  en  la  que  ocurren  violaciones  a  dichos</w:t>
        <w:br/>
        <w:t>derechos.</w:t>
        <w:br/>
        <w:br/>
        <w:br/>
        <w:br/>
        <w:br/>
        <w:br/>
        <w:t xml:space="preserve">      e.     Testimonio  de  Guillermo  Castilleja,  Director  de  Proyectos</w:t>
        <w:br/>
        <w:t xml:space="preserve">           Especiales del Fondo Mundial para la Naturaleza (WWF)</w:t>
        <w:br/>
        <w:br/>
        <w:t>En el año 1993, al ser el Oficial de Política  Forestal  para  Latinoamérica</w:t>
        <w:br/>
        <w:t>del Fondo Mundial  para  la  Naturaleza,  World  Wildlife  Fund,  inició  un</w:t>
        <w:br/>
        <w:t>proyecto relativo a la Comunidad Awas Tingni,  en  Nicaragua.   El  objetivo</w:t>
        <w:br/>
        <w:t>principal de ese  proyecto  era  apoyar  al  Gobierno  de  Nicaragua  en  el</w:t>
        <w:br/>
        <w:t>establecimiento de un arreglo contractual que permitiera el  aprovechamiento</w:t>
        <w:br/>
        <w:t>sostenible  de  los  bosques   “latifoliados”   en   la   Costa   Atlántica,</w:t>
        <w:br/>
        <w:t>particularmente los bosques de Awas Tingni.  Este proyecto respondió  a  una</w:t>
        <w:br/>
        <w:t>iniciativa expresa de Nicaragua para que se le brindara asesoría.</w:t>
        <w:br/>
        <w:br/>
        <w:t>Desde 1991 el Fondo Mundial para la Naturaleza asumió un papel de asesor  en</w:t>
        <w:br/>
        <w:t>materia de Política Forestal, en particular hacia el entonces  Instituto  de</w:t>
        <w:br/>
        <w:t>Recursos Naturales (IRENA), que en la actualidad es  el  MARENA,  Ministerio</w:t>
        <w:br/>
        <w:t>de Ambiente y Recursos Naturales.  El antecedente inmediato del proyecto  en</w:t>
        <w:br/>
        <w:t>Awas Tingni fue una concesión que el Estado otorgó a una compañía  taiwanesa</w:t>
        <w:br/>
        <w:t>llamada EQUIPE, por un área aproximada de  un  millón  de  hectáreas  en  la</w:t>
        <w:br/>
        <w:t>Costa Atlántica.  Esto generó  un  conflicto  sustancial  que  fue  resuelto</w:t>
        <w:br/>
        <w:t>finalmente con la cancelación de la concesión por parte  de  Nicaragua.   De</w:t>
        <w:br/>
        <w:t>la concesión de EQUIPE se aprendió que  se  debían  desarrollar  modelos  de</w:t>
        <w:br/>
        <w:t>explotación forestal  que  realmente  tuvieran  viabilidad  y  pudieran  ser</w:t>
        <w:br/>
        <w:t>sostenibles a largo plazo.</w:t>
        <w:br/>
        <w:br/>
        <w:t>En el caso de la Comunidad Awas Tingni, ésta ya había  iniciado  un  arreglo</w:t>
        <w:br/>
        <w:t>contractual con una compañía de capital dominicano llamada MADENSA,  Maderas</w:t>
        <w:br/>
        <w:t>y Derivados de Nicaragua, que establecía las bases de  lo  que  pudiera  ser</w:t>
        <w:br/>
        <w:t>una forma de explotación maderera que tomara en cuenta la  participación  de</w:t>
        <w:br/>
        <w:t>los habitantes de la zona.</w:t>
        <w:br/>
        <w:br/>
        <w:t>Básicamente, lo que no se usa, lo que no se reclama,  lo  que  no  tiene  un</w:t>
        <w:br/>
        <w:t>manejo adecuado, está  abierto,  en  el  caso  específico  de  la  Costa,  a</w:t>
        <w:br/>
        <w:t>invasión por colonos, a transformación de bosques en áreas agrícolas, y  así</w:t>
        <w:br/>
        <w:t>es como, desgraciadamente,  Nicaragua  y  otros  países  de  la  región  han</w:t>
        <w:br/>
        <w:t>perdido gran parte de sus bosques.</w:t>
        <w:br/>
        <w:br/>
        <w:t>Para conservar los recursos a través de la actividad forestal  es  necesario</w:t>
        <w:br/>
        <w:t>que  ocurran  tres  cosas.   Primero,  que   la   operación   forestal   sea</w:t>
        <w:br/>
        <w:t>técnicamente  sustentable,  es  decir,  que  la  explotación  no  exceda  la</w:t>
        <w:br/>
        <w:t>capacidad que tiene el bosque de  regenerarse  naturalmente.   Segundo,  que</w:t>
        <w:br/>
        <w:t>existan los elementos para que la operación sea económicamente rentable,  es</w:t>
        <w:br/>
        <w:t>decir, viable económicamente.  Tercero, específicamente para el caso de  los</w:t>
        <w:br/>
        <w:t>bosques en América  Latina  donde  hay  una  gran  cantidad  de  poblaciones</w:t>
        <w:br/>
        <w:t>rurales que viven alrededor  de  éstos,  es  indispensable  que  sea  viable</w:t>
        <w:br/>
        <w:t>socialmente, que exista el apoyo social y el marco  legal  que  se  requiere</w:t>
        <w:br/>
        <w:t>para  que  estas  operaciones,   aunque   sean   técnicamente   exitosas   y</w:t>
        <w:br/>
        <w:t>económicamente viables, no atenten contra  derechos  que  puedan  tener  las</w:t>
        <w:br/>
        <w:t>comunidades que habitan en estos bosques.</w:t>
        <w:br/>
        <w:br/>
        <w:t>Por todo esto es que el Fondo Mundial para  la  Naturaleza  encontró  en  el</w:t>
        <w:br/>
        <w:t>caso de la relación contractual entre Awas Tingni y MADENSA una  posibilidad</w:t>
        <w:br/>
        <w:t>muy interesante de mostrar que efectivamente se puede  hacer  este  tipo  de</w:t>
        <w:br/>
        <w:t>manejo forestal.  El hecho de que MADENSA ya hubiera aceptado de entrada  la</w:t>
        <w:br/>
        <w:t>presencia de la Comunidad era un avance significativo con respecto  al  caso</w:t>
        <w:br/>
        <w:t>de una concesión otorgada con anterioridad a eso a  una  empresa  taiwanesa,</w:t>
        <w:br/>
        <w:t>en la que simplemente no se reconoció el hecho de que  existían  comunidades</w:t>
        <w:br/>
        <w:t>indígenas en la zona.</w:t>
        <w:br/>
        <w:br/>
        <w:t>Antes de iniciar el proyecto tuvo contacto con los  siguientes  funcionarios</w:t>
        <w:br/>
        <w:t>estatales: el entonces Ministro del MARENA, doctor Jaime Incer; el  Director</w:t>
        <w:br/>
        <w:t>del Servicio Forestal Nacional, ingeniero Roberto Araquistain; el  encargado</w:t>
        <w:br/>
        <w:t>de  la  Administración  de  Bosques  en  Tierras  Públicas  (ADFOREST),   el</w:t>
        <w:br/>
        <w:t>ingeniero Brady Watson, y con el Delegado de IRENA, ahora MARENA, en  Puerto</w:t>
        <w:br/>
        <w:t>Cabezas, señor James Gordon.    En el marco de las  discusiones  con  dichos</w:t>
        <w:br/>
        <w:t>funcionarios,  se partía del hecho de que si  bien  la  Comunidad  no  tenía</w:t>
        <w:br/>
        <w:t>título formal sobre la tierra,  se  reconocía  la  propiedad  implícita  que</w:t>
        <w:br/>
        <w:t>correspondía a la ocupación  de  esas  tierras,  la  cual  tendría  que  ser</w:t>
        <w:br/>
        <w:t>eventualmente formalizada.  Es decir,  se  tenía  conocimiento  de  que,  al</w:t>
        <w:br/>
        <w:t>menos una parte, sino toda el área  del  plan  de  manejo  de  MADENSA,  era</w:t>
        <w:br/>
        <w:t>tierra comunal de la Comunidad Awas Tingni.  También se reconoció  que  como</w:t>
        <w:br/>
        <w:t>resultado de este proceso se llevaría a cabo la demarcación de  esta  tierra</w:t>
        <w:br/>
        <w:t>comunal,  porque  el  marco  legal  claro  es   una   de   las   condiciones</w:t>
        <w:br/>
        <w:t>fundamentales para un manejo sostenible.</w:t>
        <w:br/>
        <w:br/>
        <w:t>El primer contacto que el testigo tuvo con la Comunidad fue a principios  de</w:t>
        <w:br/>
        <w:t>1993.  Estuvieron acompañados por representantes del IRENA  y  del  Servicio</w:t>
        <w:br/>
        <w:t>Forestal  Nacional.   Tuvieron  reuniones  en  Puerto  Cabezas  con  algunos</w:t>
        <w:br/>
        <w:t>líderes y miembros de la Comunidad.  Después se desplazaron  a  Awas  Tingni</w:t>
        <w:br/>
        <w:t>para conocer al resto de la Comunidad y así ver en qué condiciones vivían  y</w:t>
        <w:br/>
        <w:t>poder escuchar directamente la opinión de  la  gente.   Al  hablar  con  los</w:t>
        <w:br/>
        <w:t>líderes de la Comunidad en Puerto Cabezas y con miembros  de  la  Comunidad,</w:t>
        <w:br/>
        <w:t>se conocieron dos preocupaciones principales.  Una era el  contrato  que  la</w:t>
        <w:br/>
        <w:t>Comunidad había firmado con MADENSA, un contrato a 25 años, con el  cual  se</w:t>
        <w:br/>
        <w:t>sentían atrapados, y la segunda inquietud, que para ellos era la  principal,</w:t>
        <w:br/>
        <w:t>era la incertidumbre que sentían respecto a la tenencia de  la  tierra.   La</w:t>
        <w:br/>
        <w:t>Comunidad no estaba tan interesada en la explotación propiamente  dicha  del</w:t>
        <w:br/>
        <w:t>bosque o de los  recursos  que  éste  proporcionara,   sino  en  obtener  el</w:t>
        <w:br/>
        <w:t>financiamiento de los estudios necesarios  para  poder  demarcar  finalmente</w:t>
        <w:br/>
        <w:t>sus tierras.  Esas eran sus preocupaciones fundamentales.</w:t>
        <w:br/>
        <w:br/>
        <w:t>Se acordó con MADENSA y con IRENA que se  renegociaría  el  contrato  de  25</w:t>
        <w:br/>
        <w:t>años  que  había  firmado  Awas  Tingni  con  la  primera.   Para  ello   se</w:t>
        <w:br/>
        <w:t>requeriría, porque así lo había solicitado la Comunidad, asesoría técnica  y</w:t>
        <w:br/>
        <w:t>legal con el fin de negociar mejores condiciones.</w:t>
        <w:br/>
        <w:br/>
        <w:t>El papel del Fondo Mundial para la Naturaleza  fue  asegurar  que  existiera</w:t>
        <w:br/>
        <w:t>este apoyo a la  Comunidad.  Contribuyeron  a  la  formación  de  un  equipo</w:t>
        <w:br/>
        <w:t>técnico legal que se inició con la participación del señor James  Anaya,  de</w:t>
        <w:br/>
        <w:t>la Universidad de Iowa, y del señor  Hans  Ackerson,  experto  forestal  que</w:t>
        <w:br/>
        <w:t>había brindado asesoría forestal a Nicaragua.</w:t>
        <w:br/>
        <w:br/>
        <w:t>Un obstáculo importante en la negociación del proceso era la ausencia de  un</w:t>
        <w:br/>
        <w:t>precedente legal que pudiera servir de  referencia  para  poder  hacer  este</w:t>
        <w:br/>
        <w:t>tipo de  arreglos.  Otro  obstáculo  que  se  presentó  a  lo  largo  de  la</w:t>
        <w:br/>
        <w:t>negociación fue la cuestión de la tenencia de la tierra, porque  para  poder</w:t>
        <w:br/>
        <w:t>tener un plan de manejo se necesita contar con un área definida.</w:t>
        <w:br/>
        <w:br/>
        <w:t>Otra tarea del  Fondo  Mundial  para  la  Naturaleza  fue  asegurar  que  se</w:t>
        <w:br/>
        <w:t>llevaría a cabo un  proceso  al  cual  se  ciñeran  las  diferentes  partes.</w:t>
        <w:br/>
        <w:t>Además, una vez iniciadas las negociaciones, se contribuyó a contratar a  un</w:t>
        <w:br/>
        <w:t>facilitador que ayudara a “destrabar” la negociación.  El resultado de  esas</w:t>
        <w:br/>
        <w:t>negociaciones  fue  un  convenio  tripartito,  en  el  que  participaban  la</w:t>
        <w:br/>
        <w:t>Comunidad Awas Tingni, el Estado a través del MARENA y la compañía  MADENSA.</w:t>
        <w:br/>
        <w:t xml:space="preserve"> Era un convenio a cinco años, renovable,  en  el  cual  se  establecen  los</w:t>
        <w:br/>
        <w:t>términos de la compraventa de la madera que vende la Comunidad y  compra  la</w:t>
        <w:br/>
        <w:t>compañía; los términos en  los  que  MARENA  reconoce  la  propiedad  de  la</w:t>
        <w:br/>
        <w:t>tierra, la tenencia de  la  tierra;  los  términos  de  las  actividades  de</w:t>
        <w:br/>
        <w:t>aprovechamiento anual, y el sistema de monitoreo que esta  operación  iba  a</w:t>
        <w:br/>
        <w:t>requerir.</w:t>
        <w:br/>
        <w:br/>
        <w:t>En el convenio hay varias partes  que  se  refieren  a  la  tenencia  de  la</w:t>
        <w:br/>
        <w:t>tierra.   Una  de  ellas  considera  a  la  Comunidad  como  si  fuera   “el</w:t>
        <w:br/>
        <w:t>propietario  de  estas  tierras”.   Además,  Nicaragua  se   comprometía   a</w:t>
        <w:br/>
        <w:t>facilitar el proceso de titulación y a no menoscabar las aspiraciones de  la</w:t>
        <w:br/>
        <w:t>Comunidad en cuanto a su pretensión territorial.  Si bien en el contrato  se</w:t>
        <w:br/>
        <w:t>estipulaba que el Estado facilitaría el proceso de titulación de la  tierra,</w:t>
        <w:br/>
        <w:t>el testigo no recuerda  haber  escuchado  cómo  se  llevaría  esto  a  cabo.</w:t>
        <w:br/>
        <w:t>Recuerda  una discusión que se tuvo al respecto, debido a que el proceso  de</w:t>
        <w:br/>
        <w:t>titulación que se conocía  hasta  ese  momento  era  el  que  practicaba  el</w:t>
        <w:br/>
        <w:t>entonces INRA, Instituto Nicaragüense de Reforma Agraria, donde se hacía  un</w:t>
        <w:br/>
        <w:t>reparto agrario con base en cincuenta manzanas por  familia.   Sin  embargo,</w:t>
        <w:br/>
        <w:t>el Servicio Forestal Nacional era muy enfático  en  considerar  ese  proceso</w:t>
        <w:br/>
        <w:t>como inadecuado para este caso, alegando que se estaba tratando de  fomentar</w:t>
        <w:br/>
        <w:t>un uso forestal  del  suelo,  mientras  que  el  proceso  del  INRA  lo  que</w:t>
        <w:br/>
        <w:t>fomentaba era un uso  agrícola.   Se  temía  que  se  desatara  una  ola  de</w:t>
        <w:br/>
        <w:t>deforestación  utilizando  el  modelo  de  reparto  agrario  agrícola.    No</w:t>
        <w:br/>
        <w:t>recuerda que el MARENA  haya  establecido  una  ruta  respecto  de  cómo  la</w:t>
        <w:br/>
        <w:t>Comunidad debía solicitar la titulación de la tierra, ya que  ellos  también</w:t>
        <w:br/>
        <w:t>tenían confusión en cuanto a cuál debería ser el proceso.</w:t>
        <w:br/>
        <w:br/>
        <w:t>A partir  de  1994  su  contacto  con  el  proyecto  fue  menor  y  no  tuvo</w:t>
        <w:br/>
        <w:t>conocimiento directo de lo que estaba ocurriendo.  Supo de  los  planes  del</w:t>
        <w:br/>
        <w:t>Estado de otorgar una concesión a la  compañía  SOLCARSA  a  través  de  una</w:t>
        <w:br/>
        <w:t>carta que la Comunidad envió, por medio de sus representantes,  al  Ministro</w:t>
        <w:br/>
        <w:t>Milton Caldera.  Tuvo una conversación  con  el  entonces  Ministro  Caldera</w:t>
        <w:br/>
        <w:t>relacionada con la concesión a SOLCARSA.  El nombrado funcionario sabía  que</w:t>
        <w:br/>
        <w:t>la tierra reclamada por la Comunidad incluía la mayor parte del área  de  la</w:t>
        <w:br/>
        <w:t>concesión y que dicha Comunidad se oponía a ésta.  La reacción del  Ministro</w:t>
        <w:br/>
        <w:t>fue que el convenio que había firmado el  MARENA  con  la  Comunidad  y  con</w:t>
        <w:br/>
        <w:t>MADENSA, era un convenio con el que no estaba de acuerdo y, en cuanto a  las</w:t>
        <w:br/>
        <w:t>pretensiones de la Comunidad, dijo “son demasiadas”.</w:t>
        <w:br/>
        <w:br/>
        <w:t>El Estado ha tenido  dos  políticas  al  otorgar  la  concesión  a  MADENSA,</w:t>
        <w:br/>
        <w:t>primero, y a SOLCARSA, posteriormente.  Una consistía en  un  reconocimiento</w:t>
        <w:br/>
        <w:t>de los derechos adquiridos de las comunidades y que  deben  ser  tomados  en</w:t>
        <w:br/>
        <w:t>cuenta a la hora de esos contratos de aprovechamiento  de  manejo  forestal;</w:t>
        <w:br/>
        <w:t>la otra considera que mientras no exista título de propiedad  no  hay  bases</w:t>
        <w:br/>
        <w:t>para pensar que hay derechos adquiridos por  parte  de  las  comunidades  y,</w:t>
        <w:br/>
        <w:t>entonces, se pueden otorgar concesiones a terceros sobre  tierras  públicas.</w:t>
        <w:br/>
        <w:br/>
        <w:br/>
        <w:br/>
        <w:t xml:space="preserve">      f.    Testimonio de Galio Claudio Enrique Gurdián Gurdián,  licenciado</w:t>
        <w:br/>
        <w:t xml:space="preserve">           en filosofía, especializado en antropología  social  y  estudios</w:t>
        <w:br/>
        <w:t xml:space="preserve">           del desarrollo, especialmente en las relaciones entre Estados  y</w:t>
        <w:br/>
        <w:t xml:space="preserve">           pueblos indígenas</w:t>
        <w:br/>
        <w:br/>
        <w:t>Vivió en la Región Atlántica Norte de Nicaragua entre  1979  y  1990,  entre</w:t>
        <w:br/>
        <w:t>1996 y 1998, y de forma esporádica durante 1999 y 2000.</w:t>
        <w:br/>
        <w:br/>
        <w:t>Fue uno de los tres investigadores principales  y  coordinador  general  del</w:t>
        <w:br/>
        <w:t>Diagnóstico general sobre la  tenencia  de  la  tierra  en  las  comunidades</w:t>
        <w:br/>
        <w:t>indígenas de la  Costa  Atlántica,  diagnóstico  realizado  por  el  Central</w:t>
        <w:br/>
        <w:t>American  and  Caribbean  Research  Council.    El  diagnóstico  tenía   dos</w:t>
        <w:br/>
        <w:t>objetivos   fundamentales.    La   parte   formal   trataba   de   proyectar</w:t>
        <w:br/>
        <w:t>cartográficamente lo que las comunidades o una parte de las  comunidades  de</w:t>
        <w:br/>
        <w:t>la Costa del Caribe de Nicaragua, consideraban como sus tierras comunales  y</w:t>
        <w:br/>
        <w:t>sus usos.   El  propósito  implícito  era  la  modernización  del  catastro.</w:t>
        <w:br/>
        <w:t>También se perseguía,  al  delimitar  los  territorios  de  las  comunidades</w:t>
        <w:br/>
        <w:t>indígenas, dejar más claro cuáles eran las tierras nacionales sobre las  que</w:t>
        <w:br/>
        <w:t>el Estado podía incidir.  El diagnóstico fue realizado en desarrollo  de  un</w:t>
        <w:br/>
        <w:t>convenio entre Nicaragua y el Banco Mundial.</w:t>
        <w:br/>
        <w:br/>
        <w:t>El diagnóstico tenía cinco capítulos.  En  el  primer  capítulo,  denominado</w:t>
        <w:br/>
        <w:t>Principios Generales, lo que se recomendaba era que, por la historia que  ha</w:t>
        <w:br/>
        <w:t>tenido el Estado nicaragüense en relación  con  las  comunidades  indígenas,</w:t>
        <w:br/>
        <w:t>emitiera una declaración haciendo ver su voluntad de resolver este  tipo  de</w:t>
        <w:br/>
        <w:t>problemas.  Otra recomendación que se hacía  era  completar  el  diagnóstico</w:t>
        <w:br/>
        <w:t>realizado por el Central American and Caribbean Research Council, ya que  se</w:t>
        <w:br/>
        <w:t>calculaba que  en  la  Costa  Caribe  de  Nicaragua  hay  entre  280  y  300</w:t>
        <w:br/>
        <w:t>comunidades, y el diagnóstico sólo  cubre  aproximadamente  un  50%  de  ese</w:t>
        <w:br/>
        <w:t>universo total.  Para tener una visión integral  de  los  reclamos,  de  los</w:t>
        <w:br/>
        <w:t>traslapes, de los problemas en general de la  tenencia  de  la  tierra,  era</w:t>
        <w:br/>
        <w:t>necesario completar el diagnóstico.  Un tercer aspecto  en  el  capítulo  de</w:t>
        <w:br/>
        <w:t>los Principios Generales era entregar los resultados del diagnóstico  a  las</w:t>
        <w:br/>
        <w:t>comunidades que habían dado la información.  Eso es algo  que  no  se  suele</w:t>
        <w:br/>
        <w:t>hacer y es clave para poder iniciar un proceso de demarcación y titulación.</w:t>
        <w:br/>
        <w:br/>
        <w:t>Un  segundo  capítulo,  denominado  Resolución  de   Conflictos,   era   muy</w:t>
        <w:br/>
        <w:t>importante debido a los traslapes que hay en la  zona.   Los  traslapes  son</w:t>
        <w:br/>
        <w:t>áreas  donde  varias  comunidades  coinciden  en  el  uso  y  posesión   del</w:t>
        <w:br/>
        <w:t>territorio.</w:t>
        <w:br/>
        <w:br/>
        <w:br/>
        <w:t>La recomendación fundamental de entregar el diagnóstico a  las  comunidades,</w:t>
        <w:br/>
        <w:t>a través de un taller masivo, nunca se realizó ni se han tomado las  medidas</w:t>
        <w:br/>
        <w:t>conducentes a la implementación de  las  recomendaciones  del  diagnóstico..</w:t>
        <w:br/>
        <w:t>Se sugirió que el Estado hiciera uso del derecho consuetudinario  y  de  las</w:t>
        <w:br/>
        <w:t>relaciones existentes entre las comunidades, a  través  de  sus  autoridades</w:t>
        <w:br/>
        <w:t>tradicionales, para buscar una  solución a  los  conflictos.   Por  eso  era</w:t>
        <w:br/>
        <w:t>fundamental solucionar los conflictos aplicado a un esquema donde el  Estado</w:t>
        <w:br/>
        <w:t>nicaragüense dejase de ser juez y parte, que ha sido su papel  histórico  en</w:t>
        <w:br/>
        <w:t>esto,  y  se  convirtiera  en  un  Estado  facilitador.  El  Estado  no  dio</w:t>
        <w:br/>
        <w:t>seguimiento a las recomendaciones  emitidas  en  el  diagnóstico.  Hubo  dos</w:t>
        <w:br/>
        <w:t>iniciativas de ley presentadas por el Ejecutivo en 1998 en relación con  las</w:t>
        <w:br/>
        <w:t>tierras comunales de las comunidades indígenas de la Costa  Atlántica,  pero</w:t>
        <w:br/>
        <w:t>ninguno de los dos proyectos respondía a lo que  reflejaba el diagnóstico.</w:t>
        <w:br/>
        <w:br/>
        <w:t>Nicaragua consultó a las comunidades indígenas acerca  del  Anteproyecto  de</w:t>
        <w:br/>
        <w:t>Ley de Titulación de  sus  tierras.   Esas  consultas  se  lograron  por  la</w:t>
        <w:br/>
        <w:t>presión de los pueblos indígenas.  Hay una propuesta presentada por los  dos</w:t>
        <w:br/>
        <w:t>Consejos Regionales en septiembre de 2000, y  la  percepción  que  existe  a</w:t>
        <w:br/>
        <w:t>nivel nacional es que esa propuesta  no va a prosperar, porque no existe  la</w:t>
        <w:br/>
        <w:t>voluntad política de aprobarla.</w:t>
        <w:br/>
        <w:br/>
        <w:t>El antiguo INRA, en la actualidad Ministerio  Agropecuario  y  Forestal,  no</w:t>
        <w:br/>
        <w:t>tiene  competencia  para  demarcar  o  titular  la  tierra  comunal  de  las</w:t>
        <w:br/>
        <w:t>comunidades indígenas.  Desde 1990 no ha habido  titulación  de  comunidades</w:t>
        <w:br/>
        <w:t>indígenas, no se ha aplicado  la  potestad  formal  de  demarcar  y  titular</w:t>
        <w:br/>
        <w:t>tierras.</w:t>
        <w:br/>
        <w:br/>
        <w:t>Si una comunidad indígena quisiera lograr la  titulación  de  su  tierra  no</w:t>
        <w:br/>
        <w:t>existe un mecanismo o una institución del Estado a  la  cual  pueda  acudir.</w:t>
        <w:br/>
        <w:t>El único título que aparece es el de las Diez Comunidades, otorgado  por  la</w:t>
        <w:br/>
        <w:t>Comisión del Tratado Harrison-Altamirano entre 1905 y 1917.   El  territorio</w:t>
        <w:br/>
        <w:t>del resto de las comunidades no ha sido titulado.  Hay  otra  titulación,  a</w:t>
        <w:br/>
        <w:t>raíz del conflicto limítrofe entre  Nicaragua  y  Honduras,  que  se  dio  a</w:t>
        <w:br/>
        <w:t>principios de los años 60, a favor de las comunidades  del  Río  Coco,  pero</w:t>
        <w:br/>
        <w:t>estas titulaciones no corresponden a las necesidades   ni  los  patrones  de</w:t>
        <w:br/>
        <w:t>uso y posesión de las comunidades en el territorio.  La interrupción  en  la</w:t>
        <w:br/>
        <w:t>titulación de las tierras por parte de Nicaragua se puede  deber  a  que  el</w:t>
        <w:br/>
        <w:t>Estado parece responder a situaciones de crisis.  Es  decir,  la  titulación</w:t>
        <w:br/>
        <w:t>que se da durante los 80, fundamentalmente debido a la guerra, es  parte  de</w:t>
        <w:br/>
        <w:t>la estrategia de convertir un conflicto militar en una  discusión  política.</w:t>
        <w:br/>
        <w:t>De tal manera que después de las elecciones y con el clima de paz que se  va</w:t>
        <w:br/>
        <w:t>dando, el  Estado  parece  no  tener  incentivo  alguno  para  resolver  las</w:t>
        <w:br/>
        <w:t>demandas históricas de las comunidades.</w:t>
        <w:br/>
        <w:br/>
        <w:t>Uno de los dos mapas consolidados que presentó el diagnóstico corresponde  a</w:t>
        <w:br/>
        <w:t>la Región Autónoma Atlántico Norte y resume el problema  de  los  traslapes.</w:t>
        <w:br/>
        <w:t>El total de las comunidades, que son 116, presentaron su demanda  en  bloque</w:t>
        <w:br/>
        <w:t>y tienen la característica del traslape. Únicamente la comunidad de  Tumarín</w:t>
        <w:br/>
        <w:t>no tiene esta característica.  El fenómeno de los traslapes es más  complejo</w:t>
        <w:br/>
        <w:t>en la Comunidad Awas Tingni, en la zona entre dicha  Comunidad  y  las  Diez</w:t>
        <w:br/>
        <w:t>Comunidades.</w:t>
        <w:br/>
        <w:br/>
        <w:t>El área reclamada por Awas Tingni es aproximadamente  de  90.000  hectáreas.</w:t>
        <w:br/>
        <w:t>Las comunidades argumentaban su  proyección  cartográfica  con  base  en  la</w:t>
        <w:br/>
        <w:t>historia oral  que tiene que ver con la etnografía del territorio.   De  tal</w:t>
        <w:br/>
        <w:t>manera, las fuentes bibliográficas hasta el siglo  XIX  apuntan  a  que  las</w:t>
        <w:br/>
        <w:t>comunidades Miskitas, que reciben  título  del  Tratado  Harrison-Altamirano</w:t>
        <w:br/>
        <w:t>están en el litoral.  El resto, desde la zona  costera  hacia  el  interior,</w:t>
        <w:br/>
        <w:t>son comunidades Sumo Mayagnas, de  tal  manera  que  la  presencia  de  Awas</w:t>
        <w:br/>
        <w:t>Tingni en el territorio no es una anomalía, no es una  excepción,  sino  que</w:t>
        <w:br/>
        <w:t>representa  el  patrón  de  asentamiento   de   las   Comunidades   Tuascas,</w:t>
        <w:br/>
        <w:t>Panamascas, Wugas.  Precisamente por la expansión  de  las  comunidades  del</w:t>
        <w:br/>
        <w:t>litoral y de las compañías bananeras  y forestales, en  este  caso,  es  que</w:t>
        <w:br/>
        <w:t>las comunidades se van retirando  hacia  las  cabeceras  de  los  ríos.   La</w:t>
        <w:br/>
        <w:t>presencia de Awas Tingni en este territorio, en la  zona  superior  del  Río</w:t>
        <w:br/>
        <w:t>Wawa, es parte del patrón de asentamiento de las  comunidades  Mayagnas  del</w:t>
        <w:br/>
        <w:t>territorio.</w:t>
        <w:br/>
        <w:br/>
        <w:t>En el diagnóstico no se incluyó el reclamo de tierras de Awas Tingni  porque</w:t>
        <w:br/>
        <w:t>su caso estaba  siendo  tratado  legalmente  y  se  estaba  realizando  otro</w:t>
        <w:br/>
        <w:t>trabajo, por parte del doctor Macdonald, bajo una metodología  muy  similar,</w:t>
        <w:br/>
        <w:t>que garantizaba la calidad del trabajo.</w:t>
        <w:br/>
        <w:br/>
        <w:t>Los traslapes que tiene Awas Tingni con las comunidades  de  Francia  Sirpi,</w:t>
        <w:br/>
        <w:t>con las Dieciocho Comunidades y con las Comunidades de Puerto Cabezas,  eran</w:t>
        <w:br/>
        <w:t>parte del mismo patrón, no había nada en especial y  en  el  diagnóstico  se</w:t>
        <w:br/>
        <w:t>trató de establecer las características propias  de  estos  traslapes.   Era</w:t>
        <w:br/>
        <w:t>más  importante  para  el  diagnóstico  hacer  la  síntesis  de  todos  esos</w:t>
        <w:br/>
        <w:t>traslapes y no centrarse en un caso que tenía las mismas características  de</w:t>
        <w:br/>
        <w:t>traslape; no era muy diferente de lo que pasaba en otras zonas y  se  estaba</w:t>
        <w:br/>
        <w:t>haciendo un trabajo que tenía las mismas  calidades  de  lo  que  se  estaba</w:t>
        <w:br/>
        <w:t>realizando en  el  diagnóstico.   No  se  documentó  en  el  diagnóstico  el</w:t>
        <w:br/>
        <w:t>conflicto de tierras entre Awas Tingni y el grupo de las  Diez  Comunidades,</w:t>
        <w:br/>
        <w:t>ni el conflicto entre Awas Tingni y la Comunidad de Kukalaya,  la  Comunidad</w:t>
        <w:br/>
        <w:t>Esperanza, Santa Clara y Francia Sirpi.</w:t>
        <w:br/>
        <w:br/>
        <w:t>Según la historia oral, la Comunidad Awas Tingni se desplazó.  El patrón  de</w:t>
        <w:br/>
        <w:t>asentamiento de las  comunidades  es  un  patrón  de  desplazamiento  en  el</w:t>
        <w:br/>
        <w:t>territorio.  Uno de los  fundamentos  del  Estado  para  negar  derechos  de</w:t>
        <w:br/>
        <w:t>posesión en el territorio ha sido argumentar el carácter nomádico  de  estas</w:t>
        <w:br/>
        <w:t>comunidades.   La  Comunidad  Awas  Tingni  se  desplazó  del   asentamiento</w:t>
        <w:br/>
        <w:t>tradicional de  las  comunidades  Mayagnas  y  también  de  las  comunidades</w:t>
        <w:br/>
        <w:t>Miskitas, buscando mejores condiciones para su subsistencia.</w:t>
        <w:br/>
        <w:br/>
        <w:t>Desde 1990 el Estado, a través de sus  instancias  correspondientes,  no  ha</w:t>
        <w:br/>
        <w:t>dado título alguno a las comunidades.</w:t>
        <w:br/>
        <w:br/>
        <w:t xml:space="preserve">      g.    Testimonio de Brooklyn Rivera Bryan, dirigente indígena</w:t>
        <w:br/>
        <w:br/>
        <w:t>Pertenece a una de las comunidades Miskitas Lidaucra Sandy Bay y reside   en</w:t>
        <w:br/>
        <w:t>la ciudad de Bilwi en la Región Autónoma del Atlántico Norte  en  Nicaragua.</w:t>
        <w:br/>
        <w:t>Cuando ostentaba el cargo de Ministro Director  del  Instituto  Nicaragüense</w:t>
        <w:br/>
        <w:t>de   Desarrollo   de   las   Regiones   Autónomas    (INDIRA),    coordinaba</w:t>
        <w:br/>
        <w:t>institucionalmente los planes de desarrollo y de acción  social  del  Estado</w:t>
        <w:br/>
        <w:t>en las regiones autónomas donde se asientan la mayoría  de  las  comunidades</w:t>
        <w:br/>
        <w:t>indígenas de Nicaragua.  En esa época tuvo conocimiento de las  políticas  y</w:t>
        <w:br/>
        <w:t>prácticas  de  otras  instituciones  estatales  acerca  de  las  comunidades</w:t>
        <w:br/>
        <w:t>indígenas, en particular del MARENA y del Instituto Nicaragüense de  Reforma</w:t>
        <w:br/>
        <w:t>Agraria (INRA).</w:t>
        <w:br/>
        <w:br/>
        <w:t>En cuanto a la situación de los indígenas y la titulación  de  sus  tierras,</w:t>
        <w:br/>
        <w:t>señala  que  siendo  Ministro-Director  de  INDIRA  realizó  gestiones  para</w:t>
        <w:br/>
        <w:t>oponerse al  otorgamiento  de  las  concesiones.  En  primera  instancia  se</w:t>
        <w:br/>
        <w:t>dirigió al MARENA,  el  encargado  de  decidir  el  otorgamiento  de  dichas</w:t>
        <w:br/>
        <w:t>concesiones.  Al no obtener una atención  adecuada  procedió  a  enviar  una</w:t>
        <w:br/>
        <w:t>comunicación a todos los demás Ministros, los cuales  no  mostraron  interés</w:t>
        <w:br/>
        <w:t>en ese momento. No se atendió la situación.</w:t>
        <w:br/>
        <w:br/>
        <w:t>El INRA se limitaba a atender los reclamos de tierras de las cooperativas  y</w:t>
        <w:br/>
        <w:t>campesinos sin tierra, dándoles una porción  de  terreno,  50  manzanas  por</w:t>
        <w:br/>
        <w:t>familia, lo cual venía acompañado de una asistencia técnica.   En  cuanto  a</w:t>
        <w:br/>
        <w:t>las comunidades indígenas, el INRA no  asumía  ninguna  responsabilidad,  ya</w:t>
        <w:br/>
        <w:t>que argumentaba que la ley no le daba la facultad para atender sus  reclamos</w:t>
        <w:br/>
        <w:t>y  no  había  otra  instancia  específica  para  atenderlos.   El  INRA   le</w:t>
        <w:br/>
        <w:t>trasladaba al INDIRA los reclamos de las  comunidades  indígenas  pero  éste</w:t>
        <w:br/>
        <w:t>último no tenía competencia de  atender  esas  reclamaciones  específicas  y</w:t>
        <w:br/>
        <w:t>tampoco el MARENA, de manera que el Estado carecía de un  instrumento  legal</w:t>
        <w:br/>
        <w:t>que le permitiese atender dichas reclamaciones.</w:t>
        <w:br/>
        <w:br/>
        <w:t>Cuando había  demandas  de  las  comunidades  indígenas  se  dirigía  a  las</w:t>
        <w:br/>
        <w:t>autoridades del INRA para ver cómo podían  atenderse  y  dialogaba  con  los</w:t>
        <w:br/>
        <w:t>altos funcionarios del Gabinete del  Gobierno.   A  pesar  de  que  el  INRA</w:t>
        <w:br/>
        <w:t>alegaba que  no  tenía  competencia,  extendía  constancias  de  entrega  de</w:t>
        <w:br/>
        <w:t>tierras  a  exmilitares,  entidades  del  ejército,  de  la  policía  y   la</w:t>
        <w:br/>
        <w:t>resistencia nicaragüense, tierras que estaban dentro del  territorio  de  la</w:t>
        <w:br/>
        <w:t>mayoría de las comunidades indígenas.</w:t>
        <w:br/>
        <w:br/>
        <w:t>Posteriormente,  el  INDIRA  buscó  otros   mecanismos,   basados   en   las</w:t>
        <w:br/>
        <w:t>actividades de las propias comunidades, a efectos de lo cual colaboró en  la</w:t>
        <w:br/>
        <w:t>formación  de  la  Organización  de  Síndicos   Indígenas,   que   son   los</w:t>
        <w:br/>
        <w:t>administradores legales de las tierras de las comunidades.  Se formó lo  que</w:t>
        <w:br/>
        <w:t>se conoció como la  Organización  de  Síndicos  de  la  Costa  Atlántica  de</w:t>
        <w:br/>
        <w:t>Nicaragua (OSICAN).  Este organismo trabajó en un proyecto de ley,  que  fue</w:t>
        <w:br/>
        <w:t>ampliamente consultado  a  las  comunidades  indígenas  y  presentado  a  la</w:t>
        <w:br/>
        <w:t>Asamblea Nacional en 1996.  Resultado de dicha iniciativa se  decidió  crear</w:t>
        <w:br/>
        <w:t>la  Comisión  Nacional  de  Demarcación  de  Tierras  de   las   Comunidades</w:t>
        <w:br/>
        <w:t>Indígenas, la cual fue instalada en el año 1996, pero no  logró  avanzar  en</w:t>
        <w:br/>
        <w:t>las tareas que se habían propuesto.</w:t>
        <w:br/>
        <w:br/>
        <w:t>La creación de la Comisión Nacional de  Demarcación  quedó  como  un  legado</w:t>
        <w:br/>
        <w:t>para el Gobierno que asumió en  1997.   Durante  ese  Gobierno  se  hicieron</w:t>
        <w:br/>
        <w:t>algunas reuniones entre los  representantes  del  Estado  y  los  indígenas,</w:t>
        <w:br/>
        <w:t>quienes  solicitaron  la  ampliación  de  la  representación  indígena;  tal</w:t>
        <w:br/>
        <w:t>solicitud dio como resultado un proyecto  de  ley  que   se  presentó  a  la</w:t>
        <w:br/>
        <w:t>Asamblea Nacional el 13 de octubre de 1998.</w:t>
        <w:br/>
        <w:br/>
        <w:t>Cuando el Estado otorgó la concesión  a  la  empresa  SOLCARSA,  el  testigo</w:t>
        <w:br/>
        <w:t>ocupaba el cargo de  Ministro,  por  lo  cual  tiene  conocimiento  de  que,</w:t>
        <w:br/>
        <w:t>durante la consideración del MARENA sobre el otorgamiento de  la  concesión,</w:t>
        <w:br/>
        <w:t>algunos  representantes  de  las  comunidades  indígenas  de  Awas   Tingni,</w:t>
        <w:br/>
        <w:t>Kakamuklaya y otras se dirigieron a sus oficinas para oponerse, alegando  la</w:t>
        <w:br/>
        <w:t>violación de su  derecho  territorial,  ya  que  el  área  de  la  concesión</w:t>
        <w:br/>
        <w:t>propuesta coincidía con sus territorios ancestrales.</w:t>
        <w:br/>
        <w:br/>
        <w:t>En compañía de representantes de las comunidades se comunicó con  las  altas</w:t>
        <w:br/>
        <w:t>autoridades del MARENA  para  plantear  sus  inquietudes  y  demandas.   Sin</w:t>
        <w:br/>
        <w:t>embargo, la posición de dicha Institución, al igual a la del  Gobierno,  era</w:t>
        <w:br/>
        <w:t>que las áreas vacías o baldías eran  del  Estado,  que  las  comunidades  no</w:t>
        <w:br/>
        <w:t>tenían título  y  que  la  concesión  les  iba  a  traer  beneficios  porque</w:t>
        <w:br/>
        <w:t>generaría  empleo   e   ingresos.    Las   inquietudes   fueron   planteadas</w:t>
        <w:br/>
        <w:t>directamente  al  Ministro  del  MARENA,  inicialmente  a  Milton   Caldera,</w:t>
        <w:br/>
        <w:t>posteriormente  a  su  sucesor  Claudio  Gutiérrez,  y   luego   a   Roberto</w:t>
        <w:br/>
        <w:t>Araquistain  y  Láinez  quienes   manejaban   directamente   las   políticas</w:t>
        <w:br/>
        <w:t>relacionadas con concesiones.</w:t>
        <w:br/>
        <w:br/>
        <w:t>Para otorgar una concesión a una empresa, primero  debían  establecerse  los</w:t>
        <w:br/>
        <w:t>criterios y las  políticas  sobre  el  desarrollo  forestal  del  país;  sin</w:t>
        <w:br/>
        <w:t>embargo para entonces ello no había sido efectuado, así se  procedía  a  dar</w:t>
        <w:br/>
        <w:t>concesiones sin tener criterios bien ajustados que aseguraran el derecho  de</w:t>
        <w:br/>
        <w:t>la propiedad indígena  y  la  protección  del  medio  ambiente.   El  MARENA</w:t>
        <w:br/>
        <w:t>únicamente le exigía un plan de manejo forestal a la  empresa.   El  testigo</w:t>
        <w:br/>
        <w:t>notó que  algunos  de  los  funcionarios  del  MARENA  participaban  en  las</w:t>
        <w:br/>
        <w:t>consultorías que elaboraban los  planes  de  manejo,  de  manera  que  había</w:t>
        <w:br/>
        <w:t>conflicto de intereses.</w:t>
        <w:br/>
        <w:br/>
        <w:t>Nunca se consultó a las comunidades indígenas de  la  región  acerca  de  la</w:t>
        <w:br/>
        <w:t>conveniencia de la concesión a SOLCARSA ni se realizó inspección  alguna  de</w:t>
        <w:br/>
        <w:t>la zona.  Tampoco se asumió el compromiso de investigar y atender  de  forma</w:t>
        <w:br/>
        <w:t>adecuada sus reclamos.</w:t>
        <w:br/>
        <w:br/>
        <w:t>Al amparo de la Ley No. 14 se otorgaron títulos a 28  comunidades  indígenas</w:t>
        <w:br/>
        <w:t>beneficiadas con la reforma agraria.  El testigo conoce un  anteproyecto  de</w:t>
        <w:br/>
        <w:t>Ley de Propiedad Comunal Indígena presentado a la Asamblea  Nacional  y  las</w:t>
        <w:br/>
        <w:t>consultas efectuadas para el análisis de tal proyecto.</w:t>
        <w:br/>
        <w:br/>
        <w:t>La Comunidad Awas Tingni,  la  cual  es  la  directamente  afectada  con  la</w:t>
        <w:br/>
        <w:t>concesión, cuenta con una  posesión  anterior  a  la  formación  del  Estado</w:t>
        <w:br/>
        <w:t>nicaragüense, y tiene, como la mayoría  de  las  comunidades  indígenas,  un</w:t>
        <w:br/>
        <w:t>derecho histórico sobre  las   tierras  en  las  cuales  se  asienta  y  los</w:t>
        <w:br/>
        <w:t>recursos  que  posee.   La  concesión  a  SOLCARSA  la  afecta,  ya  que  la</w:t>
        <w:br/>
        <w:t>explotación se haría en su territorio, que por tradición ha venido  ocupando</w:t>
        <w:br/>
        <w:t>para vivir y realizar actividades culturales, económicas  y  sociales.   Los</w:t>
        <w:br/>
        <w:t>mapas  y  los  estudios  sustentan  efectivamente  el   derecho   que   como</w:t>
        <w:br/>
        <w:t>comunidades tienen sobre esas áreas y sobre sus lugares antiguos.</w:t>
        <w:br/>
        <w:br/>
        <w:t xml:space="preserve">      h.    Testimonio de Humberto Thompson Sang, miembro  de  la  comunidad</w:t>
        <w:br/>
        <w:t xml:space="preserve">           indígena Lanlaya</w:t>
        <w:br/>
        <w:br/>
        <w:t>Es de nacionalidad nicaragüense.  Ha vivido la mayor parte de su vida en  la</w:t>
        <w:br/>
        <w:t>Comunidad de Lanlaya de la etnia Miskito, a la cual pertenece, cerca  de  la</w:t>
        <w:br/>
        <w:t>ciudad de Puerto Cabezas, Nicaragua.  Ha sido miembro del  Consejo  Regional</w:t>
        <w:br/>
        <w:t>y fue electo en 1998 para un período de cuatro años.  Es, a su vez,  miembro</w:t>
        <w:br/>
        <w:t>de la Organización indígena YATAMA.</w:t>
        <w:br/>
        <w:br/>
        <w:t>El 29 de marzo de 1996 interpuso recurso de amparo  en  contra  del  Estado,</w:t>
        <w:br/>
        <w:t>con el objetivo de suspender la concesión que  éste  entregó  a  la  empresa</w:t>
        <w:br/>
        <w:t>SOLCARSA. El  recurso  fue  solicitado  por  los  líderes  comunales  de  la</w:t>
        <w:br/>
        <w:t>Comunidad Mayagna Awas Tingni.  Transcurrió casi un  año  antes  de  que  la</w:t>
        <w:br/>
        <w:t>Corte resolvió el recurso.  La sentencia canceló la concesión de la  empresa</w:t>
        <w:br/>
        <w:t>y ordenó que la suspendieran.  Pese a ello, la empresa siguió trabajando.</w:t>
        <w:br/>
        <w:br/>
        <w:t>El ingeniero Jorge Brooks,  quien  era  Oficial  del  MARENA,  hizo  algunas</w:t>
        <w:br/>
        <w:t>gestiones para promover la concesión a SOLCARSA.</w:t>
        <w:br/>
        <w:br/>
        <w:t>Después de la sentencia de la Corte  Suprema,  SOLCARSA  asumió  los  gastos</w:t>
        <w:br/>
        <w:t>para  montar  una  sesión  en  Puerto  Cabezas,  incluyendo  el  costo  para</w:t>
        <w:br/>
        <w:t>movilizar a todos los Concejales de la región, de los  municipios  a  Puerto</w:t>
        <w:br/>
        <w:t>Cabezas.  Luego de hacer la sesión en Puerto Cabezas, el señor Jorge  Brooks</w:t>
        <w:br/>
        <w:t>ofreció por separado a cada uno de los Concejales, 5.000 córdobas  para  que</w:t>
        <w:br/>
        <w:t>votaran en favor de la concesión a la empresa SOLCARSA.</w:t>
        <w:br/>
        <w:br/>
        <w:t>El 22  de  enero  de  1998  el  testigo  interpuso  otro  recurso  para  que</w:t>
        <w:br/>
        <w:t>cancelaran la concesión.  La  Corte,  después  de  ocho  meses,  canceló  la</w:t>
        <w:br/>
        <w:t>concesión.  Sin embargo, la situación de  la  demarcación  o  titulación  de</w:t>
        <w:br/>
        <w:t>tierras indígenas siguió como estaba.  El Estado no hizo nada al respecto.</w:t>
        <w:br/>
        <w:br/>
        <w:t>La Costa Atlántica tiene una autonomía reconocida desde 1987 por la Ley  No.</w:t>
        <w:br/>
        <w:t>28, según la cual cualquier concesión que otorgue el Estado  tiene  que  ser</w:t>
        <w:br/>
        <w:t>consultada con las comunidades indígenas y también con el Consejo  Regional.</w:t>
        <w:br/>
        <w:br/>
        <w:t>Tiene conocimiento de  un  recurso  de  inconstitucionalidad  presentado  en</w:t>
        <w:br/>
        <w:t>contra de la concesión a SOLCARSA, en cuyo trámite la Comunidad Awas  Tingni</w:t>
        <w:br/>
        <w:t>fue parte procesal, y a raíz del cual se declaró la inconstitucionalidad  de</w:t>
        <w:br/>
        <w:t>dicha concesión.  Además, sabe que el MARENA  ordenó  la  suspensión  de  la</w:t>
        <w:br/>
        <w:t>concesión poco tiempo después de haber sido notificado por la Corte  Suprema</w:t>
        <w:br/>
        <w:t>de Justicia de la inconstitucionalidad de esa concesión.</w:t>
        <w:br/>
        <w:br/>
        <w:t>No tiene conocimiento de que el Plan de Manejo, que constituye un  requisito</w:t>
        <w:br/>
        <w:t>previo para iniciar la actividad de corte de madera, haya sido aprobado  por</w:t>
        <w:br/>
        <w:t>el Estado a SOLCARSA.  Sabe que mediante acuerdo ministerial No.  02-97,  el</w:t>
        <w:br/>
        <w:t>MARENA impuso una multa a SOLCARSA por corte  ilegal  de  madera  fuera  del</w:t>
        <w:br/>
        <w:t>área de la concesión.</w:t>
        <w:br/>
        <w:br/>
        <w:t>La Comunidad  Awas  Tingni  ocupa  tierras  ancestrales,  es  una  comunidad</w:t>
        <w:br/>
        <w:t>indígena y que “es históricamente su territorio, es  su  tierra,  eso  nadie</w:t>
        <w:br/>
        <w:t>[se lo] puede quitar,  y  el  Estado  sabe  bien  de  eso,  totalmente,  ese</w:t>
        <w:br/>
        <w:t>territorio es de la Comunidad Awas Tingni.”</w:t>
        <w:br/>
        <w:br/>
        <w:t xml:space="preserve">      i.    Testimonio de Wilfredo Mclean Salvador, miembro de la  Comunidad</w:t>
        <w:br/>
        <w:t xml:space="preserve">           Awas Tingni</w:t>
        <w:br/>
        <w:br/>
        <w:t>Nació en la Comunidad Awas Tingni.  Pertenece a la  etnia  Mayagna.   Ejerce</w:t>
        <w:br/>
        <w:t>el cargo de Responsable del Bosque dentro de la Comunidad.   El  Responsable</w:t>
        <w:br/>
        <w:t>del Bosque es el  que  vigila  la  tierra  que  pertenece  a  la  Comunidad.</w:t>
        <w:br/>
        <w:t>También es el Responsable del Centro Escolar de Awas Tingni.</w:t>
        <w:br/>
        <w:br/>
        <w:t>Estaba presente en una reunión que se realizó en  la  Casa  Presidencial  en</w:t>
        <w:br/>
        <w:t>febrero de 1997.  En la reunión estaban también el síndico, delegados de  la</w:t>
        <w:br/>
        <w:t>Comunidad y sus asesores.  En dicha ocasión le plantearon al  Presidente  de</w:t>
        <w:br/>
        <w:t>Nicaragua la solicitud de la demarcación territorial de  Awas  Tingni  y  le</w:t>
        <w:br/>
        <w:t>hicieron  saber  que  la  empresa  maderera  SOLCARSA  estaba  entrando   en</w:t>
        <w:br/>
        <w:t>territorio de la Comunidad.  El Presidente les dijo que entendía  que  ellos</w:t>
        <w:br/>
        <w:t>tenían  derechos  a  las  tierras  y  que  les  iba  a  resolver  el   caso,</w:t>
        <w:br/>
        <w:t>organizando,  en ese momento, otra reunión con el Ministro del MARENA.   Ese</w:t>
        <w:br/>
        <w:t>mismo día los atendió el Ministro en las oficinas del Ministerio.  En  dicha</w:t>
        <w:br/>
        <w:t>reunión les dijeron que irían a la  Comunidad a investigar.</w:t>
        <w:br/>
        <w:br/>
        <w:t>Posteriormente, la concesión  a  SOLCARSA  fue  declarada  inconstitucional.</w:t>
        <w:br/>
        <w:t>Sin embargo, los funcionarios del Estado nunca llegaron a la Comunidad  para</w:t>
        <w:br/>
        <w:t>resolver la petición de la demarcación de la tierra.</w:t>
        <w:br/>
        <w:br/>
        <w:t>Entre el 28 y el 30 de marzo de 2000 tuvieron otra reunión  en  Managua,  en</w:t>
        <w:br/>
        <w:t>la  sede  de  la  Cancillería.   La  Comunidad  solicitó  audiencia  a   las</w:t>
        <w:br/>
        <w:t>autoridades debido a la preocupación que tenía por  la  demarcación  de  sus</w:t>
        <w:br/>
        <w:t>tierras.  En esa reunión  estuvieron  presentes  12  delegados  del  Estado.</w:t>
        <w:br/>
        <w:t>Como asesora de los indígenas, solo se permitió la presencia en esa  reunión</w:t>
        <w:br/>
        <w:t>de la doctora  María  Luisa  Acosta,  representante  de  la  Comunidad.   No</w:t>
        <w:br/>
        <w:t>permitieron la presencia de asesores internacionales;  manifestaron  que  no</w:t>
        <w:br/>
        <w:t>era necesario ir a la Corte Interamericana y que lo mejor  era  resolver  el</w:t>
        <w:br/>
        <w:t>caso en Nicaragua.</w:t>
        <w:br/>
        <w:br/>
        <w:t>El Estado les manifestó que era mejor resolver el caso entre el  gobierno  y</w:t>
        <w:br/>
        <w:t>los indígenas.  Los representantes de estos  últimos  les  mostraron  a  los</w:t>
        <w:br/>
        <w:t>delegados del Estado el mapa donde figuraba la demarcación  de  las  tierras</w:t>
        <w:br/>
        <w:t>de Awas Tingni, de acuerdo con las pretensiones  de  la  Comunidad.   Dichos</w:t>
        <w:br/>
        <w:t>delegados respondieron que no reconocían la mencionada demarcación,  ya  que</w:t>
        <w:br/>
        <w:t>no había sido elaborada en conjunto  con  las  autoridades  estatales.   Los</w:t>
        <w:br/>
        <w:t>representantes  del  Estado  ofrecieron  titular  a  la   Comunidad   12.000</w:t>
        <w:br/>
        <w:t>hectáreas de tierras, con más de 50 cabezas de ganado  y  otros  recursos  y</w:t>
        <w:br/>
        <w:t>materiales  para  su  desarrollo.   En  el  momento  en  que  los   aludidos</w:t>
        <w:br/>
        <w:t>representantes hicieron esa propuesta la asesora legal no  estaba  presente.</w:t>
        <w:br/>
        <w:t>El Estado llegó a esa cifra porque bajo la Ley de  Reforma  Agraria  a  cada</w:t>
        <w:br/>
        <w:t>familia se le asignan 58 hectáreas, por lo que, en razón de la población  de</w:t>
        <w:br/>
        <w:t>la Comunidad Awas Tingni,  esa  era  la  extensión  de  territorio  que  les</w:t>
        <w:br/>
        <w:t>correspondería.  La Comunidad no  aceptó  el  trato,  porque  la  oferta  no</w:t>
        <w:br/>
        <w:t>concordaba con sus pretensiones de titulación, conforme al  mapa  presentado</w:t>
        <w:br/>
        <w:t>por la Comunidad.</w:t>
        <w:br/>
        <w:br/>
        <w:t>En relación con la  solicitud  de  titulación  de  tierras  hecha  al  Poder</w:t>
        <w:br/>
        <w:t>Ejecutivo, la respuesta que se les dio fue cuando visitaron al Presidente  y</w:t>
        <w:br/>
        <w:t>al Ministro y les indicaron que lo iban  a  estudiar,  pero  no  llegaron  a</w:t>
        <w:br/>
        <w:t>titular.  Los indígenas no solicitaron  a  los  Tribunales  de  Justicia  la</w:t>
        <w:br/>
        <w:t>titulación de sus tierras luego de no haber  obtenido  respuesta  por  parte</w:t>
        <w:br/>
        <w:t>del Poder Ejecutivo.</w:t>
        <w:br/>
        <w:br/>
        <w:t>Hace ya  mucho  tiempo  que  la  Comunidad  Awas  Tingni  viene  luchando  y</w:t>
        <w:br/>
        <w:t>solicitando a Nicaragua que resuelva su caso, que demarque sus tierras.</w:t>
        <w:br/>
        <w:br/>
        <w:t xml:space="preserve">      j.    Peritaje de  Charles  Rice  Hale,  antropólogo  especialista  en</w:t>
        <w:br/>
        <w:t xml:space="preserve">           culturas indígenas</w:t>
        <w:br/>
        <w:br/>
        <w:t>Se  ha  dedicado  al  estudio  de  culturas   indígenas,   sobre   todo   en</w:t>
        <w:br/>
        <w:t>Centroamérica y más específicamente en la Costa Atlántica de Nicaragua.   En</w:t>
        <w:br/>
        <w:t>función de estos estudios tiene aproximadamente cinco años de residencia  en</w:t>
        <w:br/>
        <w:t>la Costa Atlántica.   Los estudios que ha hecho en dicha Costa, durante  los</w:t>
        <w:br/>
        <w:t>primeros tres años de estadía, son estudios etnográficos basados en  métodos</w:t>
        <w:br/>
        <w:t>antropológicos.  Posteriormente, realizó  también  estudios  y  trabajos  de</w:t>
        <w:br/>
        <w:t>mapeo en el contexto de un diagnóstico sobre reclamos de  pueblos  indígenas</w:t>
        <w:br/>
        <w:t>de la Costa.  Habla el Miskito, que es uno de los  principales  idiomas  que</w:t>
        <w:br/>
        <w:t>usan los pueblos indígenas. Residió  principalmente  en  un  pueblo  que  se</w:t>
        <w:br/>
        <w:t>llama Bluefields, y en la comunidad donde  hizo  el  trabajo  de  campo  más</w:t>
        <w:br/>
        <w:t>intensivo, que se llama Sandy Bay Sirpe, que está ubicada al  norte,  en  la</w:t>
        <w:br/>
        <w:t>desembocadura del Río Grande.  En el contexto  del  estudio  de  diagnóstico</w:t>
        <w:br/>
        <w:t>también  recorrió  la  Costa  Atlántica  entera  y  tuvo  una   estadía   de</w:t>
        <w:br/>
        <w:t>investigación más larga y más intensiva en el extremo norte, en la  frontera</w:t>
        <w:br/>
        <w:t>con Honduras, lo que es el Río Guanqui, Río Coco.</w:t>
        <w:br/>
        <w:br/>
        <w:t>El Diagnóstico general sobre la tenencia de la tierra en las comunidades  de</w:t>
        <w:br/>
        <w:t>la Costa Atlántica, al que hace referencia el Estado en  su  contestación  a</w:t>
        <w:br/>
        <w:t>la demanda de la Comisión, es un estudio que fue iniciado en 1997  y  en  el</w:t>
        <w:br/>
        <w:t>que estuvo directamente involucrado como coordinador  de  la  investigación.</w:t>
        <w:br/>
        <w:t>Este diagnóstico consiste en un estudio  etnográfico  y  de  cartografía  de</w:t>
        <w:br/>
        <w:t>aproximadamente  128  comunidades  indígenas  y  negras.   Se  basa  en  dos</w:t>
        <w:br/>
        <w:t>preguntas claves: qué es lo que reclaman esas comunidades en  cuanto  a  sus</w:t>
        <w:br/>
        <w:t>derechos a tierra comunal y cómo justifican esos reclamos.   Es  un  estudio</w:t>
        <w:br/>
        <w:t>que se realizó comunidad por  comunidad,  con  una  metodología  consistente</w:t>
        <w:br/>
        <w:t>para contestar esas dos preguntas en relación con todas las comunidades  que</w:t>
        <w:br/>
        <w:t>entraban en el universo de la investigación.</w:t>
        <w:br/>
        <w:br/>
        <w:t>Los pueblos indígenas de la Costa Atlántica  son  principalmente  tres:  los</w:t>
        <w:br/>
        <w:t>Miskito, los Mayagna y los Rama.  Hay una diversidad de grupos  que  existen</w:t>
        <w:br/>
        <w:t>desde antes de la llegada de los europeos. Los grupos  que  han  sobrevivido</w:t>
        <w:br/>
        <w:t>hasta la fecha son los Mayagna, de los cuales  hay tres grupos  importantes:</w:t>
        <w:br/>
        <w:t>Panamaca, Tuaca y Urba, que al llegar los europeos se  establecieron  en  la</w:t>
        <w:br/>
        <w:t>zona de uso y posesión, que es la misma hasta la fecha.</w:t>
        <w:br/>
        <w:br/>
        <w:t>Las tres características claves de la tenencia  de  la  tierra  son  el  uso</w:t>
        <w:br/>
        <w:t>extensivo de ésta, del medio ambiente y de los recursos.  Hay  un  lugar  de</w:t>
        <w:br/>
        <w:t>uso y posesión y,  dependiendo de la actividad económica, se mueven a  otros</w:t>
        <w:br/>
        <w:t>lugares para ejercer sus actividades económicas.</w:t>
        <w:br/>
        <w:br/>
        <w:t>Las acciones concretas del Estado en cuanto al reconocimiento, titulación  y</w:t>
        <w:br/>
        <w:t>aval de los derechos de  tierra  comunal  han  sido  pocas.  Ha  habido  una</w:t>
        <w:br/>
        <w:t>titulación más o menos acorde con  lo  que  ha  reclamado  la  comunidad  en</w:t>
        <w:br/>
        <w:t>únicamente dos casos;  ocurrieron en 1987 y  se  trata  de  dos  comunidades</w:t>
        <w:br/>
        <w:t>Mayagnas, de aproximadamente 300 comunidades en total.   Desde  1990  no  ha</w:t>
        <w:br/>
        <w:t>habido acción alguna dirigida a ese fin.</w:t>
        <w:br/>
        <w:br/>
        <w:t>En algunos casos los títulos de propiedad son asignaciones agrarias  menores</w:t>
        <w:br/>
        <w:t>a los reclamos de la comunidad.  Las asignaciones agrarias  son  una  medida</w:t>
        <w:br/>
        <w:t>previa a la titulación legal, y en muchos casos hay  un  proceso  inconcluso</w:t>
        <w:br/>
        <w:t>que resulta en una declaración de intensiones, pero sin la  legalización  ni</w:t>
        <w:br/>
        <w:t>la garantía que necesita la comunidad para proteger sus  terrenos  frente  a</w:t>
        <w:br/>
        <w:t>terceros.  No hay evidencias de  acciones tendientes a garantizar el  uso  y</w:t>
        <w:br/>
        <w:t>la posesión por parte de las comunidades.</w:t>
        <w:br/>
        <w:br/>
        <w:t>El INRA es visto  por  las  comunidades  indígenas  como  un  actor  hostil,</w:t>
        <w:br/>
        <w:t>representa una visión que no  concuerda  ni  con  las  demandas  ni  con  la</w:t>
        <w:br/>
        <w:t>comprensión de la cultura indígena  misma.   Sus  acciones  principales  han</w:t>
        <w:br/>
        <w:t>sido efectuadas a  favor  de  los  campesinos  inmigrantes  del  oeste.   La</w:t>
        <w:br/>
        <w:t>oficina del MARENA que más presencia tiene  en  lo  relativo  a  comunidades</w:t>
        <w:br/>
        <w:t>indígenas es la oficina que hasta 1998, si no  ha  cambiado  su  nombre,  se</w:t>
        <w:br/>
        <w:t>llamaba  ADFOREST,  que  se  ocupaba  de  dar  concesiones.   Lo   que   las</w:t>
        <w:br/>
        <w:t>comunidades indígenas  perciben  es  que  es  una  entidad  que  está  dando</w:t>
        <w:br/>
        <w:t>concesiones de tierras y recursos que les pertenecen, por lo  que  es  vista</w:t>
        <w:br/>
        <w:t>como una amenaza a sus intereses.</w:t>
        <w:br/>
        <w:br/>
        <w:t>Tiene conocimiento del reclamo territorial  de  la  Comunidad  Awas  Tingni.</w:t>
        <w:br/>
        <w:t>Dentro de las fuentes de su conocimiento de Awas  Tingni  están  el  estudio</w:t>
        <w:br/>
        <w:t>etnográfico realizado por el profesor Theodore Macdonald  y  los  documentos</w:t>
        <w:br/>
        <w:t>correspondientes. En el trabajo del doctor Macdonald se  utilizó  una  serie</w:t>
        <w:br/>
        <w:t>de juicios metodológicos semejantes  a los métodos usados en el  diagnóstico</w:t>
        <w:br/>
        <w:t>elaborado por el  Central  American  and  Caribbean  Research  Council.   En</w:t>
        <w:br/>
        <w:t>cuanto a la parte cartográfica, el trabajo  del  profesor  Macdonald  guarda</w:t>
        <w:br/>
        <w:t>correspondencia, en rigor y contenido, con un estudio  elaborado  en   otras</w:t>
        <w:br/>
        <w:t>128 comunidades, que está incluido en el diagnóstico ya mencionado.</w:t>
        <w:br/>
        <w:br/>
        <w:t>Siempre ha habido uso y posesión de ese territorio entre los antepasados  de</w:t>
        <w:br/>
        <w:t>los presentes pobladores de Awas Tingni.  En  tiempos  anteriores  eran  una</w:t>
        <w:br/>
        <w:t>población que vivía en diferentes partes.  Con la llegada de los  Misioneros</w:t>
        <w:br/>
        <w:t>Moravos al comienzo del siglo, lo cual está documentado en los  diarios,  ha</w:t>
        <w:br/>
        <w:t>habido un  proceso  de  “nucleación”  de  esos  pobladores,  primero  en  la</w:t>
        <w:br/>
        <w:t>Comunidad de Tuburús, a finales del siglo XIX y  principios  del  siglo  XX.</w:t>
        <w:br/>
        <w:t>En 1945 la Comunidad de Tuburús  se  trasladó  a  Awas  Tingni,  por  varias</w:t>
        <w:br/>
        <w:t>razones.  Los antepasados de esta comunidad han vivido  en  este  territorio</w:t>
        <w:br/>
        <w:t>por tiempos ancestrales, pese a que ha habido un  proceso  de  “nucleación”.</w:t>
        <w:br/>
        <w:t>Un factor que define  el territorio tradicional  son  los  sitios   para  la</w:t>
        <w:br/>
        <w:t>subsitencia, como la caza y la pesca, y los sitios claves que  tienen  valor</w:t>
        <w:br/>
        <w:t>espiritual o cultural.  Hay sitios claves que son sitios espirituales  y  se</w:t>
        <w:br/>
        <w:t>ubican dentro del área reclamada.</w:t>
        <w:br/>
        <w:br/>
        <w:t>Las comunidades indígenas más cercanas a la Comunidad Awas Tingni no son  de</w:t>
        <w:br/>
        <w:t>la misma etnia  Mayagna.   Son  las  comunidades  de  Tasba  Raya,  que  son</w:t>
        <w:br/>
        <w:t>Miskitos, y  también  las  llamadas  Diez  Comunidades.   Hay  documentación</w:t>
        <w:br/>
        <w:t>relativa a la llegada de las  comunidades  de  Tasba  Raya,  Francia  Sirpi,</w:t>
        <w:br/>
        <w:t>Wisconsin, Santa Clara, etc, en los años sesenta, más  recientemente  de  la</w:t>
        <w:br/>
        <w:t>llegada de Awas Tingni.  Las Diez Comunidades están ubicadas en la  zona  de</w:t>
        <w:br/>
        <w:t>Awas Tingni desde hace tiempo, pero están bastante distanciadas  la  una  de</w:t>
        <w:br/>
        <w:t>la otra.</w:t>
        <w:br/>
        <w:br/>
        <w:t>Es muy común que en todas las áreas estudiadas  en  el  diagnóstico  existan</w:t>
        <w:br/>
        <w:t>traslapes.   A lo largo de la Costa Atlántica hay traslapes.  Los  traslapes</w:t>
        <w:br/>
        <w:t>son zonas que utilizan en común, de alguna manera,  los  pobladores  de  dos</w:t>
        <w:br/>
        <w:t>comunidades,  de  dos  comunidades  que  reclaman   la   misma   área.    No</w:t>
        <w:br/>
        <w:t>necesariamente  en  sentido  conflictivo.   No  hay  títulos  de   propiedad</w:t>
        <w:br/>
        <w:t>otorgados sobre la  zona  reclamada  por  la  Comunidad  Awas  Tingni.   Hay</w:t>
        <w:br/>
        <w:t>títulos de las Diez Comunidades, pero es un  pequeño  porcentaje  y  no  hay</w:t>
        <w:br/>
        <w:t>ningún traslape en cuanto a lo que ya  tienen  titulado  estas  comunidades.</w:t>
        <w:br/>
        <w:t>En realidad no están tituladas, sino en proyecto de  titulación.   Se  habla</w:t>
        <w:br/>
        <w:t>de proyecciones de  cada  comunidad,  que  serían  la  base  de  un  proceso</w:t>
        <w:br/>
        <w:t>posterior que no ha llegado.</w:t>
        <w:br/>
        <w:br/>
        <w:t>Se han analizado los datos de  la  Comunidad  Awas  Tingni  respecto  de  su</w:t>
        <w:br/>
        <w:t>reclamo de tierras y se ha encontrado que la extensión del reclamo  de  Awas</w:t>
        <w:br/>
        <w:t>Tingni está justo en el  medio  del  rango  de  reclamos  de  otros  bloques</w:t>
        <w:br/>
        <w:t>multicomunales que están en el diagnóstico.  Cada bloque comunal tiene a  su</w:t>
        <w:br/>
        <w:t>vez traslape con la comunidad que está a su lado.</w:t>
        <w:br/>
        <w:br/>
        <w:t>Lo que se ha encontrado como mecanismo de saneación para el manejo  de  esos</w:t>
        <w:br/>
        <w:t>traslapes, al ser comunidades que reclaman el uso y posesión  de  la  tierra</w:t>
        <w:br/>
        <w:t>sin negar el uso por parte de las otras comunidades, es la figura  legal  de</w:t>
        <w:br/>
        <w:t>reconocimiento de ese terreno común, ya sea juntándose y  haciendo  un  sólo</w:t>
        <w:br/>
        <w:t>territorio  entre  las  dos  comunidades  o   un   instrumento   legal   que</w:t>
        <w:br/>
        <w:t>expresamente reconozca la zona como compartida.  Hay ejemplos  de  ese  tipo</w:t>
        <w:br/>
        <w:t>de solución en la misma zona de Awas  Tingni  con  sus  vecinos  de  Francia</w:t>
        <w:br/>
        <w:t>Sirpi y de Tasba Raya.  Se busca identificar la zona que quieren manejar  en</w:t>
        <w:br/>
        <w:t>común, y así seguir un proceso legal previo un  acuerdo  entre  las  partes.</w:t>
        <w:br/>
        <w:t>En  algunos  casos  siempre  habría  conflicto.   La  gran  mayoría  de  los</w:t>
        <w:br/>
        <w:t>traslapes sugieren la posibilidad de un acuerdo fundamentado en las  figuras</w:t>
        <w:br/>
        <w:t>legales existentes o en un nuevo instrumento legal que reconozca lo  que  en</w:t>
        <w:br/>
        <w:t>la práctica son el uso y la posesión común entre dos comunidades.</w:t>
        <w:br/>
        <w:br/>
        <w:t>No se han encontrado solicitudes por parte de las comunidades  indígenas  de</w:t>
        <w:br/>
        <w:t>que los títulos de sus tierras sean individuales.  Los reclamos siempre  son</w:t>
        <w:br/>
        <w:t>colectivos, un grupo de miembros de una comunidad reclaman derecho de uso  y</w:t>
        <w:br/>
        <w:t>posesión colectiva.  No hay posesión individual ni noción  de  ese  tipo  de</w:t>
        <w:br/>
        <w:t>derecho en cuanto al  título  de  propiedad,  sino  que  lo  que  piden  las</w:t>
        <w:br/>
        <w:t>comunidades indígenas es un título colectivo.</w:t>
        <w:br/>
        <w:br/>
        <w:t xml:space="preserve">      k.    Peritaje de Roque de Jesús Roldán Ortega, abogado</w:t>
        <w:br/>
        <w:br/>
        <w:t>Trabajó en el Instituto Colombiano de Reforma Agraria  (INCORA)  durante  18</w:t>
        <w:br/>
        <w:t>años.  En el INCORA trabajó dos años en programas de  titulación  de  tierra</w:t>
        <w:br/>
        <w:t>campesina, y 16 en la oficina encargada de legalizar las tierras a favor  de</w:t>
        <w:br/>
        <w:t>los pueblos indígenas colombianos.  Laboró  en  el  Ministerio  de  Gobierno</w:t>
        <w:br/>
        <w:t>como Jefe de la Dirección  Nacional  de  Asuntos  Indígenas.   Ha  realizado</w:t>
        <w:br/>
        <w:t>consultorías internacionales sobre la legislación indígena en varios  países</w:t>
        <w:br/>
        <w:t>de Latinoamérica.</w:t>
        <w:br/>
        <w:br/>
        <w:t>En Nicaragua ha hecho dos consultorías.  En 1995 hizo una  consultoría  para</w:t>
        <w:br/>
        <w:t>el MARENA, y en 1996 hizo una consultoría para el INRA.  La consultoría  con</w:t>
        <w:br/>
        <w:t>el  INRA  se  desarrolló  dentro  del  marco  de   un   programa   para   la</w:t>
        <w:br/>
        <w:t>administración de tierras en la Región  del  Atlántico  que  realizaba  este</w:t>
        <w:br/>
        <w:t>organismo  con  el  apoyo  del  Banco  Mundial.  La  consultoría   pretendía</w:t>
        <w:br/>
        <w:t>determinar la viabilidad de la titulación de tierras dentro del Programa  de</w:t>
        <w:br/>
        <w:t>Corredor Biológico que realizaba el MARENA  bajo  los  auspicios  del  Banco</w:t>
        <w:br/>
        <w:t>Mundial.</w:t>
        <w:br/>
        <w:br/>
        <w:t>Recientemente publicó un libro que se llama  “Legalidad  y  Derechos  en  la</w:t>
        <w:br/>
        <w:t>Costa Atlántica”, que hace  una  revisión  crítica  del  ordenamiento  legal</w:t>
        <w:br/>
        <w:t>nicaragüense en lo referente  al  tema  de  los  derechos  de  las  minorías</w:t>
        <w:br/>
        <w:t>étnicas  del  país  y  también  se  refiere,  al  intento  de  reformar   el</w:t>
        <w:br/>
        <w:t>ordenamiento legal sobre tierras en Nicaragua.</w:t>
        <w:br/>
        <w:br/>
        <w:t>En Nicaragua hay dos sectores de indígenas: un sector  ubicado  en  la  zona</w:t>
        <w:br/>
        <w:t>pacífica,  fuertemente  vinculado  a  la  economía  de  mercado  y  bastante</w:t>
        <w:br/>
        <w:t>integrado a los patrones de la cultura nacional, y otro  sector  ubicado  en</w:t>
        <w:br/>
        <w:t>la zona atlántica, que mantiene rasgos fuertes de  su  cultura  tradicional.</w:t>
        <w:br/>
        <w:t>Las demandas de los indígenas de la Costa Atlántica se apoyan en razones  de</w:t>
        <w:br/>
        <w:t>carácter histórico,  por  la  ocupación  milenaria  que  estos  pueblos  han</w:t>
        <w:br/>
        <w:t>ejercido sobre ese territorio, puesto que  se   encontraban  allá  desde  la</w:t>
        <w:br/>
        <w:t>época de la conquista o de la  ocupación  europea  de  este  territorio  por</w:t>
        <w:br/>
        <w:t>ingleses  y  españoles.   Los  estudios  arqueológicos  y/o   antropológicos</w:t>
        <w:br/>
        <w:t>muestran que estos pueblos venían ocupando dichos territorios  desde  varias</w:t>
        <w:br/>
        <w:t>centurias antes del descubrimiento.  Esta ocupación milenaria se  manifiesta</w:t>
        <w:br/>
        <w:t>por los hechos positivos que los habitantes ejercen  sobre  ese  territorio,</w:t>
        <w:br/>
        <w:t>por la  realización  de  actividades  de  supervivencia,  como  son  las  de</w:t>
        <w:br/>
        <w:t>cacería, pesca, recolección.</w:t>
        <w:br/>
        <w:br/>
        <w:t>Nicaragua ha suscrito compromisos para  el  reconocimiento  de  las  tierras</w:t>
        <w:br/>
        <w:t>indígenas,  tales  como  la  firma  del  Tratado   Harrison-Altamirano;   ha</w:t>
        <w:br/>
        <w:t>producido ordenamientos posteriores que  lo  comprometen  al  reconocimiento</w:t>
        <w:br/>
        <w:t>legal de las tierras indígenas, especialmente los adoptados en 1987 con  las</w:t>
        <w:br/>
        <w:t>modificaciones a la  Constitución y el “Estatuto de la Autonomía”.</w:t>
        <w:br/>
        <w:br/>
        <w:t>La política de tratamiento de los pueblos indígenas en todos los  países  de</w:t>
        <w:br/>
        <w:t>América  Latina,  a  partir  del  descubrimiento,  fue  la  búsqueda  de  la</w:t>
        <w:br/>
        <w:t>integración acelerada de estos pueblos a los patrones de vida del  resto  de</w:t>
        <w:br/>
        <w:t>la sociedad nacional.   Esta  política  se  mantuvo  durante  mucho  tiempo.</w:t>
        <w:br/>
        <w:t>Paulatinamente, los países han ido cambiando su  régimen  constitucional,  a</w:t>
        <w:br/>
        <w:t>tal punto que hay un buen número de naciones que ya cuentan con  normas  que</w:t>
        <w:br/>
        <w:t>reconocen la diversidad cultural de las respectivas  sociedades  nacionales,</w:t>
        <w:br/>
        <w:t>la existencia de los pueblos  indígenas,  el  derecho  de  estos  pueblos  a</w:t>
        <w:br/>
        <w:t>mantener  esa  diversidad  cultural  a  perpetuidad  y  el  derecho   a   la</w:t>
        <w:br/>
        <w:t>legalización de sus tierras.  Nicaragua fue uno de los  primeros  países  en</w:t>
        <w:br/>
        <w:t>América  Latina  que  hizo  ese  reconocimiento.   Está  aceptada,  a  nivel</w:t>
        <w:br/>
        <w:t>constitucional, la existencia  de  los  pueblos  indígenas  como  sociedades</w:t>
        <w:br/>
        <w:t>culturalmente  diferenciadas  del  resto  de  la  sociedad,   con   derechos</w:t>
        <w:br/>
        <w:t>específicos que se refieren fundamentalmente a la posesión de la  tierra  en</w:t>
        <w:br/>
        <w:t>forma  colectiva.   A  partir  del  momento  en  que  fueron  adoptadas   la</w:t>
        <w:br/>
        <w:t>Constitución Política de 1987 y la Ley de Autonomía, que determinan que  los</w:t>
        <w:br/>
        <w:t>indígenas tienen derecho al reconocimiento de la propiedad sobre  ésta,  del</w:t>
        <w:br/>
        <w:t>dominio que han ejercido sobre la tierra, desde ese  momento  los  indígenas</w:t>
        <w:br/>
        <w:t>pueden ser considerados propietarios plenos de la tierra  y  pueden,  si  no</w:t>
        <w:br/>
        <w:t>tienen títulos escritos, acreditar  esta  condición  por  medio  de  pruebas</w:t>
        <w:br/>
        <w:t>diferentes.  La adopción de  estas  normas  debieran  obligar  al  Estado  a</w:t>
        <w:br/>
        <w:t>abstenerse  de  tomar  determinaciones  en  relación  con  los   territorios</w:t>
        <w:br/>
        <w:t>ocupados por los indígenas.</w:t>
        <w:br/>
        <w:br/>
        <w:t>Está establecido también en el Estatuto de Autonomía que la propiedad  sobre</w:t>
        <w:br/>
        <w:t>tierras indígenas, por parte  de  comunidades  indígenas,  es  inembargable,</w:t>
        <w:br/>
        <w:t>imprescriptible  e  inalienable.   En  la  práctica  se  presentan   algunos</w:t>
        <w:br/>
        <w:t>problemas porque la Ley de Reforma  Agraria,  que  autorizó  la  entrega  de</w:t>
        <w:br/>
        <w:t>tierras a los indígenas, fue expedida un año antes  de  la  adopción  de  la</w:t>
        <w:br/>
        <w:t>Constitución y de la Ley de Autonomía.  Y esa  Ley  de  Reforma  Agraria  no</w:t>
        <w:br/>
        <w:t>contempla la propiedad indígena con carácter especial, sino con carácter  de</w:t>
        <w:br/>
        <w:t>propiedad en los términos regulados en el  Código  Civil  de  Nicaragua,  es</w:t>
        <w:br/>
        <w:t>decir, que se trata de  una  propiedad  embargable,  prescriptible,  ubicada</w:t>
        <w:br/>
        <w:t>dentro del comercio y que se entrega con las mismas características con  que</w:t>
        <w:br/>
        <w:t>se da la tierra a los campesinos, previos estudios que son similares  a  los</w:t>
        <w:br/>
        <w:t>que deben efectuarse antes de entregar tierras a los campesinos.</w:t>
        <w:br/>
        <w:br/>
        <w:t>La propiedad indígena es una propiedad privada que figura en  cabeza  de  un</w:t>
        <w:br/>
        <w:t>grupo, de una comunidad o de un pueblo  indígena.   Exhibe  limitaciones  en</w:t>
        <w:br/>
        <w:t>cuanto a la posibilidad de  disposición,  teniendo  en  cuenta  que  es  una</w:t>
        <w:br/>
        <w:t>propiedad que está asignada a un grupo que presenta la condición  de  pueblo</w:t>
        <w:br/>
        <w:t>y quiere perpetuarse como tal y demanda el mantenimiento de esa población  y</w:t>
        <w:br/>
        <w:t>de ese territorio.</w:t>
        <w:br/>
        <w:br/>
        <w:t>Las tierras ocupadas por los  indígenas  en  la  Costa  Atlántica  han  sido</w:t>
        <w:br/>
        <w:t>vistas  como  tierras  nacionales,  tierras  fiscales,  tierras   de   libre</w:t>
        <w:br/>
        <w:t>disposición por parte del Estado, y en tal medida  se  han  estado  haciendo</w:t>
        <w:br/>
        <w:t>entrega de las tierras a  campesinos  que  se  han  ido  ubicando  en  estas</w:t>
        <w:br/>
        <w:t>regiones.  A las comunidades indígenas  también  se  les  han  dado  títulos</w:t>
        <w:br/>
        <w:t>sobre las tierras, pero son títulos  que  revisten  el  mismo  carácter  que</w:t>
        <w:br/>
        <w:t>tienen las tierras entregadas a los campesinos.</w:t>
        <w:br/>
        <w:br/>
        <w:t>Hay que introducir algunos cambios de orden legal en el país.  Primero,  hay</w:t>
        <w:br/>
        <w:t>que aclarar o desarrollar algunas de las normas constitucionales, darles  un</w:t>
        <w:br/>
        <w:t>desarrollo legal. Se debe establecer un procedimiento claro  que  asegure  a</w:t>
        <w:br/>
        <w:t>los pueblos indígenas la capacidad  de  acceder  al  dominio  pleno  de  sus</w:t>
        <w:br/>
        <w:t>tierras, que sea un procedimiento que ellos puedan  manejar  conforme  a  su</w:t>
        <w:br/>
        <w:t>tradición y a  su  cultura,  que  les  reconozca  la  imprescriptibilidad  e</w:t>
        <w:br/>
        <w:t>inembargabilidad  de  estas  tierras.   Hay  que  avanzar,  también,  en  la</w:t>
        <w:br/>
        <w:t>definición de algunos aspectos que tienen que ver  con  la  propiedad  y  el</w:t>
        <w:br/>
        <w:t>manejo de los recursos naturales, ya que pese a que estén considerados  como</w:t>
        <w:br/>
        <w:t>propiedad de los indígenas en el ordenamiento constitucional y en la Ley  de</w:t>
        <w:br/>
        <w:t>Autonomía, se contraponen con algunas normas  que  ha  expedido  el  Estado.</w:t>
        <w:br/>
        <w:t>Tal es el caso, por ejemplo, de los territorios que se han constituido  como</w:t>
        <w:br/>
        <w:t>“parques” en  la  misma  Región  Atlántica.   Es  necesario  esclarecer  qué</w:t>
        <w:br/>
        <w:t>derechos  tienen  los  pueblos  indígenas  sobre  estos  territorios  y  qué</w:t>
        <w:br/>
        <w:t>derechos tiene el Estado.  Hay que establecer un régimen  de  administración</w:t>
        <w:br/>
        <w:t>de las tierras una vez que sean entregadas por el Estado.</w:t>
        <w:br/>
        <w:br/>
        <w:t>El proceso  de  consulta  del  Anteproyecto  de  Ley  de  titulación  de  la</w:t>
        <w:br/>
        <w:t>propiedad comunal indígena que se lleva a cabo en  Nicaragua  constituye  un</w:t>
        <w:br/>
        <w:t>avance importante, ya que abrió un espacio de participación  y  de  consulta</w:t>
        <w:br/>
        <w:t>con los pueblos indígenas.</w:t>
        <w:br/>
        <w:br/>
        <w:t>Los pueblos indígenas subsisten de la tierra,  es decir, la  posibilidad  de</w:t>
        <w:br/>
        <w:t>mantener la unidad  social,  de  mantener  y  reproducir  la  cultura  y  de</w:t>
        <w:br/>
        <w:t>sobrevivir  física  y  culturalmente  depende  de   la   existencia   y   el</w:t>
        <w:br/>
        <w:t>mantenimiento de la tierra en forma  colectiva,  comunitaria,  como  la  han</w:t>
        <w:br/>
        <w:t>tenido desde tiempos antiguos.  Los mismos indígenas, en  algunas  regiones,</w:t>
        <w:br/>
        <w:t>están interesados en la explotación de sus recursos, pero la experiencia  ha</w:t>
        <w:br/>
        <w:t>demostrado que  la  explotación  de  recursos  naturales,  renovables  o  no</w:t>
        <w:br/>
        <w:t>renovables,  sin  la  adopción  de  medidas  especiales  que  garanticen  la</w:t>
        <w:br/>
        <w:t>estabilidad de los indígenas en la tierra, que les respeten su cultura,  que</w:t>
        <w:br/>
        <w:t>eviten el deterioro ambiental, causa daños catastróficos.</w:t>
        <w:br/>
        <w:br/>
        <w:t>No hay uniformidad clara en todos los países de América Latina  respecto  al</w:t>
        <w:br/>
        <w:t>tema  de  si  puede  haber  derecho  a  propiedad   sin   título.    Algunas</w:t>
        <w:br/>
        <w:t>legislaciones, como es el caso, por ejemplo de  Colombia,  aceptan  que  los</w:t>
        <w:br/>
        <w:t>pueblos indígenas  son  propietarios  de  la  tierra  y  que  el  título  es</w:t>
        <w:br/>
        <w:t>simplemente un reconocimiento, un medio de prueba. Esta posición  puede  ser</w:t>
        <w:br/>
        <w:t>sustentada por los indígenas  de  todos  los  países  que  han  acogido  los</w:t>
        <w:br/>
        <w:t>convenios de la Organización Internacional del  Trabajo.   Nicaragua  aceptó</w:t>
        <w:br/>
        <w:t>constitucionalmente  el  derecho  a  la  propiedad  de  los  indígenas,   al</w:t>
        <w:br/>
        <w:t>adoptarse el Estatuto de Autonomía, porque declaró que los indígenas  tienen</w:t>
        <w:br/>
        <w:t>derechos sobre las tierras, derecho a acceder a las tierras que han  ocupado</w:t>
        <w:br/>
        <w:t>por tradición.</w:t>
        <w:br/>
        <w:br/>
        <w:t>Los  países  que  hicieron   reformas   constitucionales   han   contribuido</w:t>
        <w:br/>
        <w:t>eficazmente a dar una mayor estabilidad a los pueblos indígenas y a  mejorar</w:t>
        <w:br/>
        <w:t>sustancialmente las relaciones que existen entre estas  poblaciones  con  el</w:t>
        <w:br/>
        <w:t>resto de la población nacional y con el Estado.</w:t>
        <w:br/>
        <w:br/>
        <w:t>No ha hecho estudios específicos sobre la situación  de  la  Comunidad  Awas</w:t>
        <w:br/>
        <w:t>Tingni.  Los estudios que realizó se refieren al análisis y revisión de  los</w:t>
        <w:br/>
        <w:t>ordenamientos  legales  de  Nicaragua   en   relación   con   los   derechos</w:t>
        <w:br/>
        <w:t>territoriales de los indígenas.</w:t>
        <w:br/>
        <w:br/>
        <w:t>La experiencia que existe en América Latina en relación con el  tema  de  la</w:t>
        <w:br/>
        <w:t>propiedad comunal es muy ejemplicativa.  Toda la  política  de  los  Estados</w:t>
        <w:br/>
        <w:t>Latinoamericanos se orientó, durante casi 180 años, a buscar la  liquidación</w:t>
        <w:br/>
        <w:t>de las formas de propiedad colectiva y las formas de gobierno  autónomas  de</w:t>
        <w:br/>
        <w:t>los pueblos indígenas.   Esto  contribuyó  a  liquidar  gran  parte  de  los</w:t>
        <w:br/>
        <w:t>pueblos indígenas, a llevarlos no sólo a su desaparición cultural sino a  su</w:t>
        <w:br/>
        <w:t>desaparición física.   La experiencia que se ha ganado  en  los  últimos  20</w:t>
        <w:br/>
        <w:t>años, en aquellas comunidades que han logrado acceder al  dominio  colectivo</w:t>
        <w:br/>
        <w:t>de la tierra y han recibido algún tipo de apoyo del Estado para  desarrollar</w:t>
        <w:br/>
        <w:t>una economía dentro de esos espacios, demuestra  que  el  mantenimiento  del</w:t>
        <w:br/>
        <w:t>régimen comunal se convierte en una fuerza muy poderosa de transformación  y</w:t>
        <w:br/>
        <w:t>desarrollo para el beneficio de  estas  comunidades  y  de  los  respectivos</w:t>
        <w:br/>
        <w:t>países.</w:t>
        <w:br/>
        <w:br/>
        <w:t>En el caso de Nicaragua,  si  se  hubiera  definido  un  procedimiento  para</w:t>
        <w:br/>
        <w:t>demarcar territorios y titular tierras indígenas, a partir de  la   adopción</w:t>
        <w:br/>
        <w:t>de la Constitución y de la Ley de Autonomía, teniendo en  cuenta  el  número</w:t>
        <w:br/>
        <w:t>de comunidades que existen en la Costa Atlántica y el avance que las  mismas</w:t>
        <w:br/>
        <w:t>comunidades tienen en la autodefinición de sus propios espacios de vida,  se</w:t>
        <w:br/>
        <w:t>habría podido acortar significativamente la entrega legal de estas  tierras,</w:t>
        <w:br/>
        <w:t>reduciendo el tiempo a uno, dos o tres años.</w:t>
        <w:br/>
        <w:br/>
        <w:t xml:space="preserve">      l.    Peritaje de Lottie Marie Cunningham de Aguirre, abogada</w:t>
        <w:br/>
        <w:br/>
        <w:t>Residente en la Ciudad Bilwi, Municipio de Puerto Cabezas,  Región  Autónoma</w:t>
        <w:br/>
        <w:t>Atlántico Norte. Es abogada y notaria pública.  Tiene 6 años de  experiencia</w:t>
        <w:br/>
        <w:t>en el trabajo con  las  comunidades  indígenas  de  la  Costa  Atlántica  en</w:t>
        <w:br/>
        <w:t>Nicaragua y ha brindado asesorías legales a  las  comunidades  indígenas  de</w:t>
        <w:br/>
        <w:t>los diferentes territorios en la RAAN,  tanto  en  el  Municipio  de  Puerto</w:t>
        <w:br/>
        <w:t>Cabezas como en el de Waspam.  Es Miskita indígena y su  lengua  materna  es</w:t>
        <w:br/>
        <w:t>el miskito, lo cual le da alguna posibilidad de entender  los  fenómenos  de</w:t>
        <w:br/>
        <w:t>esta comunidad.</w:t>
        <w:br/>
        <w:br/>
        <w:t>En el funcionamiento del  sistema  judicial  en  su  país,  las  comunidades</w:t>
        <w:br/>
        <w:t>indígenas   enfrentan  problemas   por  la  falta  de  armonía  del  derecho</w:t>
        <w:br/>
        <w:t>positivo con el derecho consuetudinario y el retardo de  justicia.   El  uso</w:t>
        <w:br/>
        <w:t>exclusivo del idioma español en  los  procesos  judiciales  constituye  otra</w:t>
        <w:br/>
        <w:t>dificultad, existe una ley de lenguas que establece que las lenguas  de  los</w:t>
        <w:br/>
        <w:t>pueblos indígenas y comunidades étnicas son de uso oficial en  las  regiones</w:t>
        <w:br/>
        <w:t>autónomas, pero los jueces no nombran traductores ni  intérpretes  para  los</w:t>
        <w:br/>
        <w:t>miembros de los pueblos indígenas.</w:t>
        <w:br/>
        <w:br/>
        <w:t>La Constitución de  Nicaragua  consagra  el  derecho  de  propiedad  de  las</w:t>
        <w:br/>
        <w:t>comunidades indígenas.  Los artículos 5, 89  y  180  de  dicha  Constitución</w:t>
        <w:br/>
        <w:t>reconocen el derecho de  propiedad  y  establecen  también  garantías  sobre</w:t>
        <w:br/>
        <w:t>estos derechos de los pueblos indígenas  directamente  y  sin  necesidad  de</w:t>
        <w:br/>
        <w:t>calificación posterior.</w:t>
        <w:br/>
        <w:br/>
        <w:t>En cuanto a los recursos internos en la legislación de Nicaragua,  el  único</w:t>
        <w:br/>
        <w:t>recurso que existe es el de amparo. Según la Ley No. 49, Ley de Amparo,  las</w:t>
        <w:br/>
        <w:t>comunidades indígenas tienen que recurrir ante  el  Tribunal  de  Apelación,</w:t>
        <w:br/>
        <w:t>para interponer tal recurso. Esta ley señala que el  recurso  de  amparo  se</w:t>
        <w:br/>
        <w:t>interpondrá ante el Tribunal de Apelación el cual “conoce  de  las  primeras</w:t>
        <w:br/>
        <w:t>actuaciones hasta el acto de suspensión y posteriormente conocerá  la  Corte</w:t>
        <w:br/>
        <w:t>Suprema de Justicia, la parte ulterior hasta la resolución definitiva”.</w:t>
        <w:br/>
        <w:br/>
        <w:t>Las poblaciones indígenas han  utilizado  muy  poco  el  recurso  de  amparo</w:t>
        <w:br/>
        <w:t>porque antiguamente en la RAAN no tenían tribunal de  apelaciones,  el  cual</w:t>
        <w:br/>
        <w:t>solo se creó en 1999.  En 1982 se  creó  el  Tribunal  de  Apelación  en  el</w:t>
        <w:br/>
        <w:t>Departamento  de  Matagalpa,  que  se  encuentra  a  gran  distancia  de  la</w:t>
        <w:br/>
        <w:t>Comunidad Awas Tingni y de otras  comunidades  indígenas,  por  lo  que  las</w:t>
        <w:br/>
        <w:t>comunidades tenían que trasladarse –porque  no  hay  otra  forma-  a  Bilwi,</w:t>
        <w:br/>
        <w:t>luego a la capital de Nicaragua y finalmente a  Matagalpa.   Demoraban  tres</w:t>
        <w:br/>
        <w:t>días para interponer el recurso.</w:t>
        <w:br/>
        <w:br/>
        <w:t>La Comunidad Awas Tingni presentó un recurso de amparo el 12  de  septiembre</w:t>
        <w:br/>
        <w:t>de 1995, respecto al cual hubo demora de  justicia.   La  ley  establece  un</w:t>
        <w:br/>
        <w:t>plazo de 5 días para que el Tribunal ante el  que  se  presenta  el  recurso</w:t>
        <w:br/>
        <w:t>decida si lo acepta o rechaza, y lo pase  después  a  la  Corte  Suprema  de</w:t>
        <w:br/>
        <w:t>Justicia de Nicaragua, la cual debe  resolverlo  en  45  días.   El  recurso</w:t>
        <w:br/>
        <w:t>presentado por Awas Tingni no fue resuelto dentro de los 45 días,  sino  fue</w:t>
        <w:br/>
        <w:t>decidido casi dos años después, el 27 de febrero de  1997,  sin  responderse</w:t>
        <w:br/>
        <w:t>a las pretensiones de los peticionarios.</w:t>
        <w:br/>
        <w:br/>
        <w:t>Después se presentó un segundo recurso de amparo, debido a  que  el  primero</w:t>
        <w:br/>
        <w:t>fue rechazado, no con base en la titulación de tierras sino  en  función  de</w:t>
        <w:br/>
        <w:t>otras causales, como el no haberse consultado  al  Consejo  Regional  de  la</w:t>
        <w:br/>
        <w:t>RAAN.  Igualmente  lo  pretendido  con  ese  segundo  recurso,  que  si  fue</w:t>
        <w:br/>
        <w:t>aceptado, suspendió la concesión otorgada a SOLCARSA.</w:t>
        <w:br/>
        <w:t>La Corte acogió el recurso de inconstitucionalidad, porque la aprobación  no</w:t>
        <w:br/>
        <w:t>había sido efectuada por el Consejo en pleno. Así,  la  Corte  de  Nicaragua</w:t>
        <w:br/>
        <w:t>dijo que había lugar a  la  petición  de  inconstitucionalidad  y  anuló  la</w:t>
        <w:br/>
        <w:t>concesión en  1997.   Una  vez  declarado  inconstitucionalidad  el  Consejo</w:t>
        <w:br/>
        <w:t>Regional, se reunió y ratificó la concesión.</w:t>
        <w:br/>
        <w:br/>
        <w:t>La ley en Nicaragua, respecto al cumplimiento de las decisiones de la  Corte</w:t>
        <w:br/>
        <w:t>Suprema de Nicaragua en recursos de amparo, señala que deben hacerse  en  24</w:t>
        <w:br/>
        <w:t>horas.  Sin embargo, la decisión de la Corte Suprema  sobre  el  recurso  al</w:t>
        <w:br/>
        <w:t>que se ha hecho referencia no se  cumplió  dentro  de  dicho  término,  sino</w:t>
        <w:br/>
        <w:t>aproximadamente en un año.</w:t>
        <w:br/>
        <w:br/>
        <w:t>Mientras estaba pendiente el cumplimiento de la orden de  la  Corte  Suprema</w:t>
        <w:br/>
        <w:t>de Nicaragua, la testigo se enteró que se multó a la compañía por  el  corte</w:t>
        <w:br/>
        <w:t>de árboles de maderas  preciosas,  entre  otras  cosas.   La  multa  fue  de</w:t>
        <w:br/>
        <w:t>1.000.000.00 de córdobas.  También sabe que la  Contraloría  General  de  la</w:t>
        <w:br/>
        <w:t>República aprobó la extensión de esta multa y que la  Contraloría  volvió  a</w:t>
        <w:br/>
        <w:t>sancionar a la autoridad competente.  La Contraloría estableció una  sanción</w:t>
        <w:br/>
        <w:t>que al menos es el doble de  aquella  multa,  y  solicitó  que  el  ministro</w:t>
        <w:br/>
        <w:t>responsable cumpliera individualmente con el pago por no haber  aplicado  la</w:t>
        <w:br/>
        <w:t>ley, pero el ministro nunca pagó; es  más,  ese  ministro  recientemente  ha</w:t>
        <w:br/>
        <w:t>vuelto a tener problemas con  la  Contraloría  en  función  de  la  tala  de</w:t>
        <w:br/>
        <w:t>árboles de maderas preciosas en Nicaragua.</w:t>
        <w:br/>
        <w:br/>
        <w:t>En su concepto  no  existe  ningún  otro  procedimiento  judicial  que  haya</w:t>
        <w:br/>
        <w:t>probado ser efectivo para la aplicación de las  normas  constitucionales  de</w:t>
        <w:br/>
        <w:t>Nicaragua  con  relación  a  los  pueblos  indígenas.    Para   mejorar   el</w:t>
        <w:br/>
        <w:t>funcionamiento  del  sistema  judicial  con  respecto  a   las   comunidades</w:t>
        <w:br/>
        <w:t>indígenas se deberá modificar la Ley  No.  49  de  Amparo,  que  señala  los</w:t>
        <w:br/>
        <w:t>procedimientos de recurso de amparo, procedimiento que debe ser  establecido</w:t>
        <w:br/>
        <w:t>en una forma sencilla, ágil y eficaz, para  que  las  comunidades  indígenas</w:t>
        <w:br/>
        <w:t>puedan acceder a la justicia; modificar la Ley Orgánica del  Poder  Judicial</w:t>
        <w:br/>
        <w:t>para adecuarla al marco constitucional  y  establecer  que  las  autoridades</w:t>
        <w:br/>
        <w:t>judiciales puedan actuar de  oficio  en  las  demandas  de  las  comunidades</w:t>
        <w:br/>
        <w:t>indígenas con respecto a sus derechos territoriales; y aplicar,  publicar  y</w:t>
        <w:br/>
        <w:t>poner en vigencia la propuesta de Ley de Demarcación  y  Titulación  de  las</w:t>
        <w:br/>
        <w:t>Tierras Tradicionales para las Comunidades Indígenas y Waspam, para que  las</w:t>
        <w:br/>
        <w:t>comunidades puedan disponer de un procedimiento para resolver  sus  demandas</w:t>
        <w:br/>
        <w:t>de derechos territoriales.  Dicha propuesta de ley fue avalada por  los  dos</w:t>
        <w:br/>
        <w:t>Consejos  Regionales  Autónomos  y  entregada  oficialmente  a  la  Asamblea</w:t>
        <w:br/>
        <w:t>Nacional.  Es de especial interés el artículo 18 del Estatuto  de  Autonomía</w:t>
        <w:br/>
        <w:t>de las Regiones Autónomas,  el  cual  establece  que  la  administración  de</w:t>
        <w:br/>
        <w:t>justicia deberá regirse por regulaciones especiales, tomando en  cuenta  las</w:t>
        <w:br/>
        <w:t>particularidades culturales  de  las  comunidades  indígenas  y  comunidades</w:t>
        <w:br/>
        <w:t>étnicas.</w:t>
        <w:br/>
        <w:br/>
        <w:t>Por otra parte, la testigo da fe de la ancestralidad de la posesión de  Awas</w:t>
        <w:br/>
        <w:t>Tingni por ser esta una comunidad indígena con su propia lengua,  su  propia</w:t>
        <w:br/>
        <w:t>cultura e históricamente posesionada en su territorio. Se enteró de  que  la</w:t>
        <w:br/>
        <w:t>Comunidad Awas Tingni solicitó  administrativamente  la  titulación  de  sus</w:t>
        <w:br/>
        <w:t>tierras, agotó todas las vías administrativas y, sin embargo,  la  Comunidad</w:t>
        <w:br/>
        <w:t>no ha recibido ninguna respuesta de la administración.</w:t>
        <w:br/>
        <w:br/>
        <w:t>Como   abogada   está   familiarizada   con   el   concepto   del   silencio</w:t>
        <w:br/>
        <w:t>administrativo. Este se configura conforme a la voluntad  de  la  autoridad.</w:t>
        <w:br/>
        <w:t>Configurado éste, y  agotada  la  vía  administrativa,  las  comunidades  no</w:t>
        <w:br/>
        <w:t>tienen otra  opción  que  ir  por  la  vía  judicial,  es  decir,  el  único</w:t>
        <w:br/>
        <w:t>procedimiento es el recurso de amparo ante la omisión de  la  autoridad.  El</w:t>
        <w:br/>
        <w:t>plazo para interponer un recurso de amparo es de 30 días contados  desde  la</w:t>
        <w:br/>
        <w:t>notificación del acto o la omisión  de  la  autoridad.   La  Comunidad  Awas</w:t>
        <w:br/>
        <w:t>Tingni pidió judicialmente, mediante un recurso de amparo, la titulación  de</w:t>
        <w:br/>
        <w:t>sus tierras ancestrales. Conoce las acciones que Awas  Tingni  realizó  ante</w:t>
        <w:br/>
        <w:t>los Tribunales de Justicia para promover sus derechos.</w:t>
        <w:br/>
        <w:br/>
        <w:t>Respecto de la petición de suspensión de la concesión forestal,  el  recurso</w:t>
        <w:br/>
        <w:t>de amparo presentado por la Comunidad  Awas  Tingni  fue  rechazado  por  el</w:t>
        <w:br/>
        <w:t>irrespeto constante que tiene el Estado de reconocer los derechos  indígenas</w:t>
        <w:br/>
        <w:t>para las comunidades. Desde un punto de vista procesal,  los  tribunales  no</w:t>
        <w:br/>
        <w:t>argumentaron la razón por la cual rechazaron el recurso.</w:t>
        <w:br/>
        <w:br/>
        <w:t>Para las comunidades indígenas no existe ningún  procedimiento  mediante  el</w:t>
        <w:br/>
        <w:t>cual  puedan  hacer  valer  sus  derechos  ancestrales  reconocidos  en   la</w:t>
        <w:br/>
        <w:t>Constitución Política.</w:t>
        <w:br/>
        <w:br/>
        <w:t>El  artículo  18  del  Estatuto  de  Autonomía  de  las  Regiones  Autónomas</w:t>
        <w:br/>
        <w:t>establece que la administración de justicia deberá regirse por  regulaciones</w:t>
        <w:br/>
        <w:t>especiales, pero es una ley general  que  nunca  ha  sido  reglamentada.  No</w:t>
        <w:br/>
        <w:t>existe ningún procedimiento que permita a la  autoridad  judicial  tomar  en</w:t>
        <w:br/>
        <w:t>cuenta las particularidades que debiera considerar.</w:t>
        <w:br/>
        <w:br/>
        <w:t xml:space="preserve">      m.    Testimonio de Marco Antonio Centeno Caffarena,  Director  de  la</w:t>
        <w:br/>
        <w:t xml:space="preserve">           Oficina de Titulación Rural de Nicaragua</w:t>
        <w:br/>
        <w:br/>
        <w:t>Reside en Managua, Nicaragua.  Es funcionario  del  Gobierno  desde  el  año</w:t>
        <w:br/>
        <w:t>1991, donde ha ocupado  cargos  de  alto  nivel  en  asesorías  y  de  temas</w:t>
        <w:br/>
        <w:t>relacionados con materia de propiedad. Actualmente es  el  Director  General</w:t>
        <w:br/>
        <w:t>de la Oficina de Titulación Rural.</w:t>
        <w:br/>
        <w:br/>
        <w:t>Para explicar la historia de la titulación de tierras en Nicaragua  hay  que</w:t>
        <w:br/>
        <w:t>distinguir entre tres momentos o etapas que se han  dado  en  el  transcurso</w:t>
        <w:br/>
        <w:t>del siglo XX.</w:t>
        <w:br/>
        <w:br/>
        <w:t>En el primer momento se  implementó  el  Tratado  entre  el  Reino  de  Gran</w:t>
        <w:br/>
        <w:t>Bretaña y la República de  Nicaragua  llamado  Tratado  Harrison-Altamirano.</w:t>
        <w:br/>
        <w:t>Ese tratado, en su artículo tercero, ordenaba conceder títulos de  propiedad</w:t>
        <w:br/>
        <w:t>a las comunidades indígenas existentes en la Miskitia  de  Nicaragua  en  un</w:t>
        <w:br/>
        <w:t>área específica.  Se titulaban ocho  manzanas  a  cada  núcleo  familiar  de</w:t>
        <w:br/>
        <w:t>cuatro individuos.  Si el núcleo familiar excedía ese  número  de  miembros,</w:t>
        <w:br/>
        <w:t>entonces se titulaban dos manzanas adicionales por persona.</w:t>
        <w:br/>
        <w:br/>
        <w:t>El objetivo del tratado era titular a todas las  etnias  o  las  comunidades</w:t>
        <w:br/>
        <w:t>indígenas que habitaban en esa época en la  Costa  Atlántica  de  Nicaragua.</w:t>
        <w:br/>
        <w:t>Durante los años 1915 y 1920, se titularon más de  80.000  hectáreas,  y  en</w:t>
        <w:br/>
        <w:t>consecuencia, se emitieron 60 títulos que están debidamente  registrados  en</w:t>
        <w:br/>
        <w:t>el Registro Público de la Propiedad de Bluefields, que es  el  único  en  la</w:t>
        <w:br/>
        <w:t>Costa Atlántica.  Asimismo, se dieron dos títulos  a  la  comunidad  llamada</w:t>
        <w:br/>
        <w:t>Tilba-Lupia y cuyas cuentas registrales son la  2111  y  la  2112.   En  esa</w:t>
        <w:br/>
        <w:t>oportunidad, a  las  etnias  Mayagnas  o  Sumos,  se  les  tituló  una  área</w:t>
        <w:br/>
        <w:t>considerable de tierra, aproximadamente 3.690 hectáreas, para efectos de  lo</w:t>
        <w:br/>
        <w:t>cual se tomó en cuenta el resultado  del  censo  poblacional  de  1950,  que</w:t>
        <w:br/>
        <w:t>estimaba que dicha población era  de  aproximadamente  407  personas  en  la</w:t>
        <w:br/>
        <w:t>Costa Atlántica de Nicaragua.</w:t>
        <w:br/>
        <w:br/>
        <w:t>El procedimiento utilizado durante la implementación del  Tratado  Harrison-</w:t>
        <w:br/>
        <w:t>Altamirano era elemental.  Se conformó la Comisión de la  Titulación  de  la</w:t>
        <w:br/>
        <w:t>Mosquitia,  y  ésta  visitaba  los  lugares  de  titulación  o  donde  había</w:t>
        <w:br/>
        <w:t>presencia de las comunidades,  las  cuales  planteaban  sus  requerimientos.</w:t>
        <w:br/>
        <w:t>Dichos requerimientos “eran publicados, para efecto de  que  si  alguien  se</w:t>
        <w:br/>
        <w:t>sentía conculcado o atropellado por la eventual  titulación,  se  opusiera”.</w:t>
        <w:br/>
        <w:t>Si  no  había  oposición,  se  efectuaba  la  mensura  y   la   subsiguiente</w:t>
        <w:br/>
        <w:t>titulación, pero en el caso de  que  alguien  se  opusiera,  se  trataba  de</w:t>
        <w:br/>
        <w:t>lograr una solución amistosa en la que se compensaran las  áreas  a  quienes</w:t>
        <w:br/>
        <w:t>fueran afectados en materia de titulación.</w:t>
        <w:br/>
        <w:br/>
        <w:t>Posteriormente,  en  un  segundo  momento,  durante  los  años  sesentas   y</w:t>
        <w:br/>
        <w:t>setentas, el Instituto Agrario Nicaraguense (IAN)  tituló  con  un  criterio</w:t>
        <w:br/>
        <w:t>agrario; por lo que se pasó de una titulación de  espirítu  comprehensivo  a</w:t>
        <w:br/>
        <w:t>una etapa en la que se titularon tierras adicionales bajo  el  marco  de  la</w:t>
        <w:br/>
        <w:t>Ley Agraria de 1963.  En esa época se tituló un  área  de  62.500  hectáreas</w:t>
        <w:br/>
        <w:t>para comunidades indígenas.  En total se titularon 28  comunidades.   A  las</w:t>
        <w:br/>
        <w:t>etnias Mayagnas o Sumos les  correspondieron  14  mil  hectáreas.   En  este</w:t>
        <w:br/>
        <w:t>período fue cuando se presentó el diferendo entre Nicaragua  y  Honduras,  y</w:t>
        <w:br/>
        <w:t>entonces hubo comunidades  que  quisieron  regresar  a  Nicaragua  y  fueron</w:t>
        <w:br/>
        <w:t>tituladas; dentro de ellas están Francia Sirpi, Wisconsin, entre otras.</w:t>
        <w:br/>
        <w:br/>
        <w:t>Otro momento, es el período de la Revolución, de los años ochentas; con  una</w:t>
        <w:br/>
        <w:t>nueva ley de reforma agraria, basada en el criterio de  tierras  adicionales</w:t>
        <w:br/>
        <w:t>y bajo la institución llamada MIDINRA, se titularon 29 comunidades, pero  el</w:t>
        <w:br/>
        <w:t>número preciso de hectáreas no se  asentó  en  el  Registro  Público  de  la</w:t>
        <w:br/>
        <w:t>Propiedad.  En un rastreo realizado en los archivos de la institución  y  en</w:t>
        <w:br/>
        <w:t>el Registro Público de la Propiedad sólo se logró comprobar que habían  sido</w:t>
        <w:br/>
        <w:t>tituladas 28.000 hectáreas.</w:t>
        <w:br/>
        <w:br/>
        <w:t>En  el  período  95-98  se  efectuó  un  diagnóstico  muy  completo  de  las</w:t>
        <w:br/>
        <w:t>comunidades indígenas sobre la tenencia de la tierra de dichas  comunidades.</w:t>
        <w:br/>
        <w:t xml:space="preserve"> Este diagnóstico mostró la situación en que, de acuerdo con el criterio  de</w:t>
        <w:br/>
        <w:t>los consultores, se encontraban las mencionadas comunidades en ese  momento.</w:t>
        <w:br/>
        <w:t xml:space="preserve"> En el diagnóstico no se hizo  referencia  al  caso  de  la  Comunidad  Awas</w:t>
        <w:br/>
        <w:t>Tingni.</w:t>
        <w:br/>
        <w:br/>
        <w:t>Un punto de especial interés del reclamo de tierras en  la  Costa  Atlántica</w:t>
        <w:br/>
        <w:t>de Nicaragua tiene que ver con la conformación de bloques.   Dichos  bloques</w:t>
        <w:br/>
        <w:t>tienen un alcance muy positivo, porque  dan  fuerza  a  la  gestión  de  las</w:t>
        <w:br/>
        <w:t>comunidades.  Sin embargo, tienen el problema de que se  han  sumado  a  las</w:t>
        <w:br/>
        <w:t>“comunidades madres” que recibieron titulos de la Comisión Tituladora de  la</w:t>
        <w:br/>
        <w:t>Mosquitia, comunidades de reciente data, llamadas “comunidades  hijas”,  las</w:t>
        <w:br/>
        <w:t>cuales  se  han  desprendido  de  aquéllas  con  cierta  autonomía  y  ahora</w:t>
        <w:br/>
        <w:t>pretenden hacer un reclamo de titulación invocando ancestralidad.</w:t>
        <w:br/>
        <w:br/>
        <w:t>En los archivos de la institución que hoy se  llama  Oficina  de  Titulación</w:t>
        <w:br/>
        <w:t>Rural  (antes  INRA  y  anteriormente  MIDINRA)  no  se  ha  encontrado  una</w:t>
        <w:br/>
        <w:t>solicitud formal de titulación de la Comunidad Awas Tingni. Sin embargo,  la</w:t>
        <w:br/>
        <w:t>Comisión Interamericana aportó en algún momento del  juicio,  una  fotocopia</w:t>
        <w:br/>
        <w:t>de un libro de registro “de visitas o de documentación  que  entra”,  en  el</w:t>
        <w:br/>
        <w:t>que estaba anotada una petición de dos representantes de la Comunidad en  la</w:t>
        <w:br/>
        <w:t>que reclamaban 16 mil hectáreas de  titulación.  Con  todo,  el  testigo  no</w:t>
        <w:br/>
        <w:t>puede precisar el año en que tuvo lugar tal reclamo.</w:t>
        <w:br/>
        <w:br/>
        <w:t>Tiene conocimiento del estudio preparado por el doctor  Theodore  Macdonald,</w:t>
        <w:br/>
        <w:t>en el cual se pretende mostrar la ocupación ancestral  de  sus  tierras  por</w:t>
        <w:br/>
        <w:t>parte de la Comunidad Awas Tingni.  Al respecto, afirma que  la  Oficina  de</w:t>
        <w:br/>
        <w:t>Titulación Rural ha atendido el tema de la Comunidad, “en  el  entendido  de</w:t>
        <w:br/>
        <w:t>que  ya  transcendió  y   que   es   un   tema   que   deben   documentar[…]</w:t>
        <w:br/>
        <w:t>institucionalmente”, por  lo  cual  la  Oficina  mencionada  contrató  a  un</w:t>
        <w:br/>
        <w:t>experto nicaragüense, el señor Ramiro García,  arqueólogo,  investigador  de</w:t>
        <w:br/>
        <w:t>planta del Museo Nacional de Nicaragua y asesor del  Instituto  Nicaragüense</w:t>
        <w:br/>
        <w:t>de Cultura, para que hiciera una valoración del estudio.</w:t>
        <w:br/>
        <w:br/>
        <w:t>El  criterio  institucional  de  la  Oficina,  que  representa,  es  que  la</w:t>
        <w:br/>
        <w:t>Comunidad Awas Tingni no ostenta  ocupación  ancestral  de  las  áreas  cuya</w:t>
        <w:br/>
        <w:t>titulación pide.</w:t>
        <w:br/>
        <w:br/>
        <w:t>De hecho, la Comunidad Awas Tingni tiene conflictos de intereses en  materia</w:t>
        <w:br/>
        <w:t>de titulación con comunidades que ya fueron  debidamente  tituladas  por  la</w:t>
        <w:br/>
        <w:t>Comisión Tituladora de la Mosquitia, pero especialmente  con  comunidades  o</w:t>
        <w:br/>
        <w:t>grupos que fueron titulados en el período del IAN, específicamente  con  las</w:t>
        <w:br/>
        <w:t>Comunidades Francia Sirpi, Wisconsin, Santa Clara, Aminrosita 1,  Aminrosita</w:t>
        <w:br/>
        <w:t>2, las llamadas Dieciocho  Comunidades  y  las  llamadas  Diez  Comunidades.</w:t>
        <w:br/>
        <w:t>Ello ha imposibilitado que se efectúe una titulación  expedita  a  propósito</w:t>
        <w:br/>
        <w:t>de la petición o el reclamo de la Comunidad Awas Tingni.  Pero la oficina  a</w:t>
        <w:br/>
        <w:t>cargo del testigo no ha negado a dicha  Comunidad,  en  momento  alguno,  el</w:t>
        <w:br/>
        <w:t>derecho de titulación.</w:t>
        <w:br/>
        <w:br/>
        <w:t>Como  consecuencia  de  un  Anteproyecto  de  Ley  que  introdujo  el  Poder</w:t>
        <w:br/>
        <w:t>Ejecutivo en la Asamblea Legislativa de Nicaragua en el mes  de  octubre  de</w:t>
        <w:br/>
        <w:t>1998, se ha hecho una serie de consultas tanto a las  comunidades  y  a  las</w:t>
        <w:br/>
        <w:t>autoridades autonómicas de la Costa Atlántica,  como  a  la  sociedad  civil</w:t>
        <w:br/>
        <w:t>nicaragüense.</w:t>
        <w:br/>
        <w:br/>
        <w:t>En el período comprendido entre los años sesenta y setenta,  el  IAN  emitió</w:t>
        <w:br/>
        <w:t>28 títulos a las comunidades indígenas. A partir del año  1974,  durante  el</w:t>
        <w:br/>
        <w:t>Gobierno del General Anastacio Somoza, se entregaron algunos títulos de  los</w:t>
        <w:br/>
        <w:t>cuales no maneja datos precisos, pero según los  registros de la Oficina  de</w:t>
        <w:br/>
        <w:t>Titulación Regional, se dieron aproximadamente 68.000 quinientas hectáreas.</w:t>
        <w:br/>
        <w:br/>
        <w:t>El reclamo presentado por la Comunidad Awas Tingni  es  contradictorio.   Su</w:t>
        <w:br/>
        <w:t>petición,  de  acuerdo  con  la   autoridad   competente   en   materia   de</w:t>
        <w:br/>
        <w:t>georeferenciación  y  cartografía  en  Nicaragua,  que   es   el   Instituto</w:t>
        <w:br/>
        <w:t>Nicaragüense  de  Estudios   Territoriales,   INETER,   comprendía   156.000</w:t>
        <w:br/>
        <w:t>hectáreas aproximadamente.</w:t>
        <w:br/>
        <w:br/>
        <w:t>En los últimos 11  años  ninguna  comunidad  indígena  ha  sido  titulada  y</w:t>
        <w:br/>
        <w:t>durante el año que el testigo ha estado en la respectiva institución, no  se</w:t>
        <w:br/>
        <w:t>ha  realizado  ninguna  titulación  a  favor   de   comunidades   indígenas,</w:t>
        <w:br/>
        <w:t>básicamente porque existe un  marco  jurídico  incipiente.   Por  lo  tanto,</w:t>
        <w:br/>
        <w:t>“sería   totalmente   improcedente   que   la   institución   […]   emitiera</w:t>
        <w:br/>
        <w:t>oficiosamente [títulos indígenas]con criterios que tal vez no van acorde  al</w:t>
        <w:br/>
        <w:t>espíritu que se refleja[rá] en la ley”.</w:t>
        <w:br/>
        <w:br/>
        <w:t>No puede precisar el número de indígenas que  hay  en  Nicaragua,  pero  esa</w:t>
        <w:br/>
        <w:t>información está en los documentos del censo de 1995, aunque  un  inventario</w:t>
        <w:br/>
        <w:t>realizado  por  la  Oficina  de  Titulación  Rural  en  1991,  registra  230</w:t>
        <w:br/>
        <w:t>comunidades.  De ello, 60 se titularon con  la  Comisión  Tituladora  de  la</w:t>
        <w:br/>
        <w:t>Mosquitia; se detectaron 7 comunidades adicionales  en  el  estudio  que  se</w:t>
        <w:br/>
        <w:t>contrató con la Universidad de Austin, Texas; 28  comunidades  se  titularon</w:t>
        <w:br/>
        <w:t>en el período del IAN, y 29 comunidades en el período de los  ochenta,  bajo</w:t>
        <w:br/>
        <w:t>la  institución  llamada  MIDINRA.   En  consecuencia,  según  este  cálculo</w:t>
        <w:br/>
        <w:t>básico, 124 comunidades están tituladas.</w:t>
        <w:br/>
        <w:br/>
        <w:t>Con respecto  al  reclamo  de  la  Comunidad  Awas  Tingni,  la  Oficina  de</w:t>
        <w:br/>
        <w:t>Titulación Rural  se  dio  a  la  tarea  de  documentar  el  caso,  por  ser</w:t>
        <w:br/>
        <w:t>contradictorio en cuanto  al  área  reclamada,  ya  que  Awas  Tingni  tiene</w:t>
        <w:br/>
        <w:t>problemas de linderos.  En este sentido, en un documento presentado  por  la</w:t>
        <w:br/>
        <w:t>Comisión Interamericana ante la Corte, consta un plano en el cual se  señala</w:t>
        <w:br/>
        <w:t>un área de aproximadamente  cincuenta  y  tantos  miles  de  hectáreas.   El</w:t>
        <w:br/>
        <w:t>Instituto  de  Estudios  Territoriales  digitalizó   y   georeferenció   esa</w:t>
        <w:br/>
        <w:t>información y dio un área totalmente contradictoria.</w:t>
        <w:br/>
        <w:br/>
        <w:t>El hecho de que exista esta querella y que no se haya resuelto  todavía,  es</w:t>
        <w:br/>
        <w:t>un elemento adicional para que no se pueda emitir una titulación a favor  de</w:t>
        <w:br/>
        <w:t>Awas Tingni, de manera oficiosa y con criterios que tal vez  contradigan  el</w:t>
        <w:br/>
        <w:t>espíritu de la ley aún no aprobada.</w:t>
        <w:br/>
        <w:br/>
        <w:t>Existen críticas al informe elaborado  por  Theodore  Macdonald,  que  están</w:t>
        <w:br/>
        <w:t>orientadas al aspecto metodológico del estudio, porque  éste  privilegió  la</w:t>
        <w:br/>
        <w:t>fuente oral y no la contrastó con la fuente arqueológica, no  se  utilizaron</w:t>
        <w:br/>
        <w:t>técnicas etnográficas combinadas con elementos de demografía  histórica,  no</w:t>
        <w:br/>
        <w:t>se hicieron estudios  lingüísticos  que  acreditaran  que  la  comunidad  en</w:t>
        <w:br/>
        <w:t>cuestión era una comunidad compacta  y  pertenecía  a  una  etnia  definida.</w:t>
        <w:br/>
        <w:t>Además, ese trabajo no es conclusivo en cuanto  a  la  ancestralidad  de  la</w:t>
        <w:br/>
        <w:t>ocupación del área en reclamo.</w:t>
        <w:br/>
        <w:br/>
        <w:t>Existen  normas  constitucionales   relativas   a   la   titulación   y   el</w:t>
        <w:br/>
        <w:t>reconocimiento de  los  derechos  de  las  comunidades  indígenas,  pero  la</w:t>
        <w:br/>
        <w:t>Oficina de Titulación Rural no es la entidad que debería hacer ese  tipo  de</w:t>
        <w:br/>
        <w:t>reconocimientos, sólo  le  corresponde  operativizarlos.   Como  institución</w:t>
        <w:br/>
        <w:t>tituladora, tiene delegaciones en las áreas donde  hay  presencia  indígena,</w:t>
        <w:br/>
        <w:t>las cuales sirven precisamente para detectar y recoger  las  solicitudes  de</w:t>
        <w:br/>
        <w:t>titulación; pero de acuerdo  con  el  Estatuto  de  Autonomía  de  la  Costa</w:t>
        <w:br/>
        <w:t>Atlántica, las autoridades locales  tienen  la  responsabilidad  de  prestar</w:t>
        <w:br/>
        <w:t>asistencia a las poblaciones y contribuir a la adecuada tramitación  de  sus</w:t>
        <w:br/>
        <w:t>reclamos.</w:t>
        <w:br/>
        <w:br/>
        <w:br/>
        <w:t xml:space="preserve">                                     VI</w:t>
        <w:br/>
        <w:br/>
        <w:t xml:space="preserve">                           Valoración de la Prueba</w:t>
        <w:br/>
        <w:br/>
        <w:br/>
        <w:t>84.   El artículo 43 del Reglamento  señala  el  momento  procesal  oportuno</w:t>
        <w:br/>
        <w:t>para la presentación de los elementos de convicción y  su  admisibilidad,  a</w:t>
        <w:br/>
        <w:t>saber:</w:t>
        <w:br/>
        <w:br/>
        <w:t xml:space="preserve">      Las pruebas promovidas por las partes  sólo  serán  admitidas  si  son</w:t>
        <w:br/>
        <w:t xml:space="preserve">      señaladas en la demanda y en su contestación  y  en  su  caso,  en  el</w:t>
        <w:br/>
        <w:t xml:space="preserve">      escrito  de   excepciones   preliminares   y   en   su   contestación.</w:t>
        <w:br/>
        <w:t xml:space="preserve">      Excepcionalmente la Corte podrá admitir una prueba si  alguna  de  las</w:t>
        <w:br/>
        <w:t xml:space="preserve">      partes  alegare  fuerza  mayor,  un   impedimento   grave   o   hechos</w:t>
        <w:br/>
        <w:t xml:space="preserve">      supervinientes en momento distinto a los antes señalados, siempre  que</w:t>
        <w:br/>
        <w:t xml:space="preserve">      se garantice a la parte contraria el derecho de defensa.</w:t>
        <w:br/>
        <w:br/>
        <w:t>85.   EL ARTÍCULO 44 DEL REGLAMENTO FACULTA AL TRIBUNAL A:</w:t>
        <w:br/>
        <w:br/>
        <w:t xml:space="preserve">      1.     Procurar  de  oficio  toda  prueba  que  considere  útil.    En</w:t>
        <w:br/>
        <w:t xml:space="preserve">      particular, podrá oír en calidad de testigo, perito o por otro título,</w:t>
        <w:br/>
        <w:t xml:space="preserve">      a cualquier persona cuyo  testimonio,  declaración  u  opinión  estime</w:t>
        <w:br/>
        <w:t xml:space="preserve">      pertinente.</w:t>
        <w:br/>
        <w:br/>
        <w:br/>
        <w:t xml:space="preserve">      2.    REQUERIR DE LAS PARTES EL SUMINISTRO DE ALGUNA PRUEBA QUE ESTÉ A</w:t>
        <w:br/>
        <w:t xml:space="preserve">      SU ALCANCE O DE CUALQUIER EXPLICACIÓN O DECLARACIÓN QUE, A SU  JUICIO,</w:t>
        <w:br/>
        <w:t xml:space="preserve">      PUEDA SER ÚTIL.</w:t>
        <w:br/>
        <w:br/>
        <w:br/>
        <w:t xml:space="preserve">      3.    Solicitar a cualquier entidad, oficina, órgano o autoridad de su</w:t>
        <w:br/>
        <w:t xml:space="preserve">      elección, que obtenga información, que exprese una opinión o que  haga</w:t>
        <w:br/>
        <w:t xml:space="preserve">      un informe o dictamen sobre un punto determinado.  Mientras  la  Corte</w:t>
        <w:br/>
        <w:t xml:space="preserve">      no lo autorice, los documentos respectivos no serán publicados.</w:t>
        <w:br/>
        <w:t xml:space="preserve">      […]</w:t>
        <w:br/>
        <w:br/>
        <w:t>86.   Es importante señalar que en materia probatoria rige el principio  del</w:t>
        <w:br/>
        <w:t>contradictorio.  Este principio es uno de los fundamentos  del  artículo  43</w:t>
        <w:br/>
        <w:t>del Reglamento, en lo que atañe a la oportunidad en que  debe  ofrecerse  la</w:t>
        <w:br/>
        <w:t>prueba con el fin de que haya igualdad entre las partes.</w:t>
        <w:br/>
        <w:br/>
        <w:t>87.   Dado que el objeto de la prueba  es  demostrar  la  veracidad  de  los</w:t>
        <w:br/>
        <w:t>hechos alegados, resulta de suma importancia establecer  los  criterios  que</w:t>
        <w:br/>
        <w:t>utiliza un tribunal internacional de derechos humanos en  la  valoración  de</w:t>
        <w:br/>
        <w:t>los elementos de convicción.</w:t>
        <w:br/>
        <w:br/>
        <w:t>88.   La Corte tiene criterio discrecional para valorar las declaraciones  o</w:t>
        <w:br/>
        <w:t>manifestaciones que se le presenten, tanto en forma escrita como  por  otros</w:t>
        <w:br/>
        <w:t>medios. Para ello puede hacer una adecuada valoración de  la  prueba,  según</w:t>
        <w:br/>
        <w:t>la regla de la “sana crítica”, lo cual permitirá a los jueces  llegar  a  la</w:t>
        <w:br/>
        <w:t>convicción sobre la verdad de los hechos alegados, tomando en  consideración</w:t>
        <w:br/>
        <w:t>el objeto y fin de la Convención Americana.[9]</w:t>
        <w:br/>
        <w:br/>
        <w:t>89.   Con el fin de  obtener  el  mayor  número  posible  de  pruebas,  este</w:t>
        <w:br/>
        <w:t>Tribunal ha sido muy flexible en la admisión y valoración de las mismas,  de</w:t>
        <w:br/>
        <w:t>acuerdo con las reglas de la lógica  y  con  base  en  la  experiencia.   Un</w:t>
        <w:br/>
        <w:t>criterio ya señalado y aplicado con anterioridad por la Corte es  el  de  la</w:t>
        <w:br/>
        <w:t>ausencia de formalismo en la valoración  de  la  prueba.   El  procedimiento</w:t>
        <w:br/>
        <w:t>establecido  para  los  casos  contenciosos  ante  la  Corte  Interamericana</w:t>
        <w:br/>
        <w:t>ostenta características propias que lo  diferencian  del  aplicable  en  los</w:t>
        <w:br/>
        <w:t>procesos  de  derecho  interno,  no  estando  el  primero   sujeto   a   las</w:t>
        <w:br/>
        <w:t>formalidades propias del segundo.</w:t>
        <w:br/>
        <w:br/>
        <w:t>90.    Es  por  ello  que  la  “sana  crítica”  y  el  no  requerimiento  de</w:t>
        <w:br/>
        <w:t>formalidades en la  admisión  y  valoración  de  la  prueba,  son  criterios</w:t>
        <w:br/>
        <w:t>fundamentales para valorar ésta, la cual  es  apreciada  en  su  conjunto  y</w:t>
        <w:br/>
        <w:t>racionalmente.</w:t>
        <w:br/>
        <w:br/>
        <w:t>91.   Corresponde ahora a la Corte apreciar el valor  de  los  elementos  de</w:t>
        <w:br/>
        <w:t>convicción presentados por las partes en el presente caso.</w:t>
        <w:br/>
        <w:br/>
        <w:t xml:space="preserve">                                      *</w:t>
        <w:br/>
        <w:t xml:space="preserve">                                   *     *</w:t>
        <w:br/>
        <w:br/>
        <w:t>92.   En cuanto a la prueba documental aportada por la  Comisión  y  por  el</w:t>
        <w:br/>
        <w:t>Estado que no fue  controvertida  ni  objetada,  ni  cuya  autenticidad  fue</w:t>
        <w:br/>
        <w:t>puesta en duda,  este  Tribunal  le  da  valor  y  la  incorpora  al  acervo</w:t>
        <w:br/>
        <w:t>probatorio del presente caso.</w:t>
        <w:br/>
        <w:br/>
        <w:t>93.   Los documentos titulados “Awas Tingni.  Un Estudio Etnográfico  de  la</w:t>
        <w:br/>
        <w:t>Comunidad y su Territorio”, elaborado por Theodore Macdonald en  febrero  de</w:t>
        <w:br/>
        <w:t>1996; “Dictamen etnográfico al  documento  elaborado  por  el  Dr.  Theodore</w:t>
        <w:br/>
        <w:t>Macdonald”,  realizado  por  Ramiro  García  Vásquez,   y   diversos   mapas</w:t>
        <w:br/>
        <w:t>referentes a la delimitación del territorio ocupado por  la  Comunidad  Awas</w:t>
        <w:br/>
        <w:t>Tingni, fueron objetados en cuanto a su contenido.  La Corte toma en  cuenta</w:t>
        <w:br/>
        <w:t>las diversas posiciones de las partes respecto  de  dichos  documentos;  sin</w:t>
        <w:br/>
        <w:t>embargo, este Tribunal considera útil  incorporarlos  al  acervo  probatorio</w:t>
        <w:br/>
        <w:t>del caso.</w:t>
        <w:br/>
        <w:br/>
        <w:t>94.   Respecto de los recortes de periódicos aportados por la  Comisión,  el</w:t>
        <w:br/>
        <w:t>Tribunal ha considerado que aun cuando éstos no tienen  carácter  de  prueba</w:t>
        <w:br/>
        <w:t>documental propiamente dicha, pueden ser apreciados  cuando  recojan  hechos</w:t>
        <w:br/>
        <w:t>públicos o notorios, declaraciones de altos agentes  del  Estado,  o  cuando</w:t>
        <w:br/>
        <w:t>corroboren lo establecido en otros documentos o testimonios recibidos en  el</w:t>
        <w:br/>
        <w:t>proceso.[10]</w:t>
        <w:br/>
        <w:br/>
        <w:t>95.   Los documentos presentados por Marco Antonio Centeno Caffarena  el  21</w:t>
        <w:br/>
        <w:t>de noviembre de 2000 con ocasión de la audiencia pública,  fueron  valorados</w:t>
        <w:br/>
        <w:t>por la Corte y este Tribunal, mediante Resolución  de  24  de  noviembre  de</w:t>
        <w:br/>
        <w:t>2000, agregó al acervo probatorio del presente caso, de conformidad  con  el</w:t>
        <w:br/>
        <w:t>artículo 44 de su Reglamento, dos de los ocho documentos  por  él  aportados</w:t>
        <w:br/>
        <w:t>(supra párrs. 63, 64 y 79).</w:t>
        <w:br/>
        <w:br/>
        <w:t>96.   El documento titulado “Diagnóstico general sobre  la  tenencia  de  la</w:t>
        <w:br/>
        <w:t>tierra en las comunidades indígenas de la Costa  Atlántica”,  elaborado  por</w:t>
        <w:br/>
        <w:t>el Central American and Caribbean Research Council, fue  presentado  por  el</w:t>
        <w:br/>
        <w:t>Estado el 20  de  diciembre  de  2000,  tal  como  fue  solicitado  mediante</w:t>
        <w:br/>
        <w:t>Resolución de la Corte de 24 de noviembre de 2000 (supra  párrs.  64,  65  y</w:t>
        <w:br/>
        <w:t>80).   Dado  que  dicho  documento  fue  solicitado  por  el  Tribunal,  con</w:t>
        <w:br/>
        <w:t>fundamento en  el  artículo  44  del  Reglamento,  se  incorpora  al  acervo</w:t>
        <w:br/>
        <w:t>probatorio del presente caso en aplicación de  lo  dispuesto  en  el  inciso</w:t>
        <w:br/>
        <w:t>primero de esa misma norma.</w:t>
        <w:br/>
        <w:br/>
        <w:t>97.   La Corte considera útiles  los  tres  documentos  presentados  por  la</w:t>
        <w:br/>
        <w:t>Comisión el 29 de enero de 2001 (supra párrs. 66 y  81),  máxime  cuando  no</w:t>
        <w:br/>
        <w:t>fueron controvertidos ni objetados, ni su autenticidad  o  veracidad  fueron</w:t>
        <w:br/>
        <w:t>puestas en duda.  En consecuencia, los incorpora a la  prueba  del  presente</w:t>
        <w:br/>
        <w:t>caso.</w:t>
        <w:br/>
        <w:br/>
        <w:t>98.   El acervo probatorio de un caso es único e inescindible y  se  integra</w:t>
        <w:br/>
        <w:t>con la prueba presentada durante todas  las  etapas  del  procedimiento.[11]</w:t>
        <w:br/>
        <w:t>Por esta razón, la prueba documental presentada por el Estado y la  Comisión</w:t>
        <w:br/>
        <w:t>durante  la  fase  de  excepciones  preliminares  forma  parte  del   acervo</w:t>
        <w:br/>
        <w:t>probatorio del presente caso.</w:t>
        <w:br/>
        <w:br/>
        <w:t>99.   El Estado no presentó la documentación solicitada por la Corte  el  31</w:t>
        <w:br/>
        <w:t>de julio de 2001 como prueba para mejor resolver (supra párr. 69).   Observa</w:t>
        <w:br/>
        <w:t>la Corte al respecto, que las partes deben allegar al Tribunal  las  pruebas</w:t>
        <w:br/>
        <w:t>solicitadas por éste, sean  documentales,  testimoniales,  periciales  o  de</w:t>
        <w:br/>
        <w:t>otra índole.  La Comisión y el Estado deben facilitar  todos  los  elementos</w:t>
        <w:br/>
        <w:t>probatorios requeridos -de oficio, como  prueba  para  mejor  resolver  o  a</w:t>
        <w:br/>
        <w:t>petición de parte- a fin de que el Tribunal cuente con el  mayor  número  de</w:t>
        <w:br/>
        <w:t>elementos de juicio para conocer los  hechos  y  motivar  sus  resoluciones.</w:t>
        <w:br/>
        <w:t>Sobre el particular, es preciso tomar en cuenta que en  los  procesos  sobre</w:t>
        <w:br/>
        <w:t>violaciones de derechos humanos puede ocurrir que el  demandante  no  cuente</w:t>
        <w:br/>
        <w:t>con la posibilidad de allegar pruebas  que  sólo  puedan  obtenerse  con  la</w:t>
        <w:br/>
        <w:t>cooperación del Estado.[12]</w:t>
        <w:br/>
        <w:br/>
        <w:t xml:space="preserve">                                      *</w:t>
        <w:br/>
        <w:t xml:space="preserve">                                   *     *</w:t>
        <w:br/>
        <w:br/>
        <w:t>100.  En relación con la prueba testimonial y pericial evacuada, la cual  no</w:t>
        <w:br/>
        <w:t>fue objetada ni controvertida, la  Corte  la  admite  únicamente  en  cuanto</w:t>
        <w:br/>
        <w:t>concuerde con el objeto del respectivo interrogatorio.</w:t>
        <w:br/>
        <w:br/>
        <w:t>101.  En su escrito de alegatos finales, el Estado manifestó que:</w:t>
        <w:br/>
        <w:br/>
        <w:t xml:space="preserve">      La casi totalidad de  los  expertos  presentados  por  [l]a  Comisión,</w:t>
        <w:br/>
        <w:t xml:space="preserve">      admitieron no  tener  conocimiento  directo  del  reclamo  de  tierras</w:t>
        <w:br/>
        <w:t xml:space="preserve">      ancestrales sustentado por la Comunidad Indígena de Awas Tingni;  esto</w:t>
        <w:br/>
        <w:t xml:space="preserve">      es, admitieron que sus opiniones profesionales se apoyaron en estudios</w:t>
        <w:br/>
        <w:t xml:space="preserve">      efectuados por terceras personas.</w:t>
        <w:br/>
        <w:t xml:space="preserve">      Los pocos expertos presentados por [l]a Comisión,  que  podrían  tener</w:t>
        <w:br/>
        <w:t xml:space="preserve">      algún conocimiento  directo  del  reclamo  de  ancestralidad  de  Awas</w:t>
        <w:br/>
        <w:t xml:space="preserve">      Tingni, reconocieron el  carácter  preliminar  y,  por  lo  tanto,  no</w:t>
        <w:br/>
        <w:t xml:space="preserve">      conclusivo de sus ensayos.  No  teniendo  carácter  conclusivo,  tales</w:t>
        <w:br/>
        <w:t xml:space="preserve">      estudios  no  pueden  ser  tenidos  como  evidencia  científica   para</w:t>
        <w:br/>
        <w:t xml:space="preserve">      sustentar una acusación de falta de titulación de tierras ancestrales.</w:t>
        <w:br/>
        <w:br/>
        <w:t>102.  En relación con lo anterior,  la  Corte  tiene  criterio  discrecional</w:t>
        <w:br/>
        <w:t>para valorar las declaraciones y dictámenes que se le presenten.   Con  este</w:t>
        <w:br/>
        <w:t>fin, el Tribunal hará una adecuada valoración de la prueba, según  la  regla</w:t>
        <w:br/>
        <w:t>de la “sana crítica”.[13]</w:t>
        <w:br/>
        <w:br/>
        <w:br/>
        <w:t xml:space="preserve">                                     VII</w:t>
        <w:br/>
        <w:t xml:space="preserve">                               Hechos Probados</w:t>
        <w:br/>
        <w:br/>
        <w:t>103.  Del examen de los documentos, las declaraciones de los  testigos,  los</w:t>
        <w:br/>
        <w:t>dictámenes de  los  peritos  y  las  manifestaciones  del  Estado  y  de  la</w:t>
        <w:br/>
        <w:t>Comisión, en el curso del presente proceso, esta  Corte  considera  probados</w:t>
        <w:br/>
        <w:t>los siguientes hechos:</w:t>
        <w:br/>
        <w:t>a.    la Comunidad Awas  Tingni  es  una  comunidad  indígena  de  la  etnia</w:t>
        <w:br/>
        <w:t>Mayagna o  Sumo,  asentada  en  la  Costa  Atlántica  de  Nicaragua,  Región</w:t>
        <w:br/>
        <w:t>Autónoma Atlántico Norte (RAAN); [14]</w:t>
        <w:br/>
        <w:br/>
        <w:t>b.    la organización administrativa de la  RAAN  se  encuentra  constituida</w:t>
        <w:br/>
        <w:t>por un Consejo Regional, un Coordinador Regional, autoridades municipales  y</w:t>
        <w:br/>
        <w:t>comunales, y otros órganos correspondientes a la subdivisión  administrativa</w:t>
        <w:br/>
        <w:t>de los municipios;[15]</w:t>
        <w:br/>
        <w:br/>
        <w:t>c.    en su organización, la Comunidad Awas  Tingni  cuenta  con  una  Junta</w:t>
        <w:br/>
        <w:t>Directiva cuyos miembros son: el Juez del Pueblo, el  Síndico,  el  Suplente</w:t>
        <w:br/>
        <w:t>del Síndico y el Responsable del Bosque. Estos  miembros  son  elegidos  por</w:t>
        <w:br/>
        <w:t>una asamblea constituida por todos los miembros adultos de  la  Comunidad  y</w:t>
        <w:br/>
        <w:t>responden directamente a esta asamblea; [16]</w:t>
        <w:br/>
        <w:t>d.    la Comunidad Mayagna (Sumo) Awas Tingni se  encuentra  conformada  por</w:t>
        <w:br/>
        <w:t>más de seiscientas personas; [17]</w:t>
        <w:br/>
        <w:br/>
        <w:t>e.    los miembros de la Comunidad subsisten de la  agricultura  familiar  y</w:t>
        <w:br/>
        <w:t>comunal, de la recolección de frutas y plantas medicinales,  la  caza  y  la</w:t>
        <w:br/>
        <w:t>pesca.  Estas actividades, así como el uso y goce de la tierra que  habitan,</w:t>
        <w:br/>
        <w:t>son llevadas a cabo dentro de un  espacio  territorial  de  acuerdo  con  un</w:t>
        <w:br/>
        <w:t>esquema de organización colectiva tradicional;[18]</w:t>
        <w:br/>
        <w:br/>
        <w:t>f.     existen  “traslapes”  o  sobreposiciones  de  las  tierras  comunales</w:t>
        <w:br/>
        <w:t>reclamadas por las comunidades indígenas de la  Costa  Atlántica.    Algunas</w:t>
        <w:br/>
        <w:t>comunidades alegan derechos sobre  las  mismas  tierras  reclamadas  por  la</w:t>
        <w:br/>
        <w:t>Comunidad Awas Tingni;[19]   Además,  el Estado sostiene que  parte  de  las</w:t>
        <w:br/>
        <w:t>tierras reclamadas por la Comunidad Awas Tingni son de su propiedad;[20]</w:t>
        <w:br/>
        <w:br/>
        <w:t>g.    la Comunidad no tiene un título real de propiedad  sobre  las  tierras</w:t>
        <w:br/>
        <w:t>que reclama;[21]</w:t>
        <w:br/>
        <w:br/>
        <w:t>h.    el 26 de marzo de 1992 se firmó un contrato para  el  manejo  integral</w:t>
        <w:br/>
        <w:t>del bosque  entre  la  Comunidad  Awas  Tingni  y  Maderas  y  Derivados  de</w:t>
        <w:br/>
        <w:t>Nicaragua, S.A. (MADENSA); [22]</w:t>
        <w:br/>
        <w:br/>
        <w:t>i.    en mayo de  1994  la  Comunidad,  MADENSA  y  el  MARENA  firmaron  un</w:t>
        <w:br/>
        <w:t>“Convenio de Aprovechamiento Forestal”, mediante  el  cual  este  último  se</w:t>
        <w:br/>
        <w:t>comprometió a facilitar la “definición” de las  tierras  comunales  y  a  no</w:t>
        <w:br/>
        <w:t>menoscabar las aspiraciones territoriales de la Comunidad;[23]</w:t>
        <w:br/>
        <w:br/>
        <w:t>Concesión para aprovechamiento de madera otorgada a la empresa SOLCARSA</w:t>
        <w:br/>
        <w:br/>
        <w:t>j.    el 5 de enero de 1995 el Servicio Forestal Nacional del MARENA  aprobó</w:t>
        <w:br/>
        <w:t>el plan de manejo forestal presentado por SOLCARSA para  el  aprovechamiento</w:t>
        <w:br/>
        <w:t>de madera “en la zona del Río Wawa y Cerro  Wakambay”.   En  marzo  de  1995</w:t>
        <w:br/>
        <w:t>dicho plan fue presentado al Consejo Regional de la RAAN.  El  28  de  abril</w:t>
        <w:br/>
        <w:t>de  1995  el  Coordinador  Regional  de  la  RAAN  y  la  empresa   SOLCARSA</w:t>
        <w:br/>
        <w:t>suscribieron un convenio, y el 28 de junio del mismo año la Junta  Directiva</w:t>
        <w:br/>
        <w:t>del Consejo Regional de la RAAN, mediante  resolución  No.  2-95,  reconoció</w:t>
        <w:br/>
        <w:t>ese convenio y avaló el inicio de  operaciones  forestales  en  la  zona  de</w:t>
        <w:br/>
        <w:t>Wakambay, conforme con lo establecido en el plan de manejo forestal;[24]</w:t>
        <w:br/>
        <w:br/>
        <w:t>k.    el 13 de marzo de 1996 el Estado, a  través  del  MARENA,  otorgó  una</w:t>
        <w:br/>
        <w:t>concesión  por  30  años  a  la  empresa   SOLCARSA   para   el   manejo   y</w:t>
        <w:br/>
        <w:t>aprovechamiento forestal en un  área  de  aproximadamente  62.000  hectáreas</w:t>
        <w:br/>
        <w:t>ubicadas en la RAAN, entre los municipios de Puerto Cabezas y Waspam;[25]</w:t>
        <w:br/>
        <w:br/>
        <w:t>l.    SOLCARSA fue sancionada mediante  Resolución  Ministerial  No.  02-97,</w:t>
        <w:br/>
        <w:t>adoptada por el MARENA el 16 de mayo de 1997,  por  haber  realizado  cortes</w:t>
        <w:br/>
        <w:t>ilegales de árboles “en el sitio de la comunidad de Kukalaya”  y  por  haber</w:t>
        <w:br/>
        <w:t>ejecutado obras sin el permiso ambiental;[26]</w:t>
        <w:br/>
        <w:br/>
        <w:t>m.    el 27 de febrero de 1997 la Sala de  lo  Constitucional  de  la  Corte</w:t>
        <w:br/>
        <w:t>Suprema  de  Justicia  declaró  inconstitucional  la  concesión  otorgada  a</w:t>
        <w:br/>
        <w:t>SOLCARSA, por no haber sido aprobada por el pleno del  Consejo  Regional  de</w:t>
        <w:br/>
        <w:t>la RAAN (infra párr. 103.q.iii).  Posteriormente,  el  Ministro  del  MARENA</w:t>
        <w:br/>
        <w:t>solicitó  al  Consejo  Regional  de  la  RAAN  que  aprobara   la   referida</w:t>
        <w:br/>
        <w:t>concesión;[27]</w:t>
        <w:br/>
        <w:t>n.    el 9 de octubre de 1997 el Consejo Regional de la  RAAN  resolvió:  a)</w:t>
        <w:br/>
        <w:t>“[r]atificar la Disposición Administrativa No.  2-95  del  28  de  junio  de</w:t>
        <w:br/>
        <w:t>1995, firmada por la Junta Directiva del  Consejo  Regional  Autónomo  y  el</w:t>
        <w:br/>
        <w:t>Coordinador Regional  de  la  [RAAN]”  ,  mediante  la  cual  se  aprobó  la</w:t>
        <w:br/>
        <w:t>concesión forestal a favor  de  la  empresa  SOLCARSA;  b)  “[s]uspender  el</w:t>
        <w:br/>
        <w:t>Convenio existente entre el Gobierno Regional y [SOLCARSA], suscrito  el  28</w:t>
        <w:br/>
        <w:t>de [a]bril de 1995”, y  c)  “[r]atificar  [...]  el  Contrato  de  Manejo  y</w:t>
        <w:br/>
        <w:t>Aprovechamiento Forestal, suscrito entre el  Ministro  del  MARENA  y  [...]</w:t>
        <w:br/>
        <w:t>SOLCARSA, el 13 de marzo de 1996”;[28]</w:t>
        <w:br/>
        <w:br/>
        <w:t>Diligencias administrativas de la Comunidad Awas Tingni</w:t>
        <w:br/>
        <w:br/>
        <w:t>ñ.     el  11  de  julio  de  1995  María   Luisa   Acosta   Castellón,   en</w:t>
        <w:br/>
        <w:t>representación de la Comunidad, presentó una carta al Ministro  del  MARENA,</w:t>
        <w:br/>
        <w:t>mediante  la cual solicitó que no se  avanzara  en  el  otorgamiento  de  la</w:t>
        <w:br/>
        <w:t>concesión  a  la  empresa  SOLCARSA  sin  que  hubiera  un  acuerdo  con  la</w:t>
        <w:br/>
        <w:t>Comunidad.  Además, manifestó que el MARENA tenía el deber de “facilitar  la</w:t>
        <w:br/>
        <w:t>definición de las  tierras  comunales  y  [...]  no  menoscabar   [...]  las</w:t>
        <w:br/>
        <w:t>aspiraciones territoriales de  la  Comunidad”,  en  virtud  de  que  así  se</w:t>
        <w:br/>
        <w:t>estipuló en el convenio firmado en mayo de 1994 por la Comunidad, MADENSA  y</w:t>
        <w:br/>
        <w:t>el MARENA (supra párr. 103. i);[29]</w:t>
        <w:br/>
        <w:br/>
        <w:t>o.    en marzo de 1996 la Comunidad presentó  un  escrito  ante  el  Consejo</w:t>
        <w:br/>
        <w:t>Regional de la RAAN, mediante el cual  solicitó  “que  el  Consejo  Regional</w:t>
        <w:br/>
        <w:t>inici[ara]  un  proceso  de  estudio  que  llev[ara]   a   una   demarcación</w:t>
        <w:br/>
        <w:t>territorial adecuada” con la participación de la Comunidad Awas Tingni y  de</w:t>
        <w:br/>
        <w:t>las otras comunidades interesadas, “con el fin de asegurar sus  derechos  de</w:t>
        <w:br/>
        <w:t>propiedad en sus tierras  comunales  ancestrales”,  y  que  “impid[iera]  el</w:t>
        <w:br/>
        <w:t>otorgamiento de concesiones para el aprovechamiento  de  recursos  naturales</w:t>
        <w:br/>
        <w:t>dentro del área en cuestión sin el consentimiento previo de  la  Comunidad”.</w:t>
        <w:br/>
        <w:t>Con dicho fin propusieron que se realizara: a) una  evaluación  del  estudio</w:t>
        <w:br/>
        <w:t>etnográfico presentado por la Comunidad y,  de  ser  necesario,  un  estudio</w:t>
        <w:br/>
        <w:t>suplementario; b) un proceso de concertación entre la Comunidad Awas  Tingni</w:t>
        <w:br/>
        <w:t>y las comunidades aledañas sobre los límites de sus  tierras  comunales;  c)</w:t>
        <w:br/>
        <w:t>una  identificación  de  las  tierras  estatales  en  el  área;  y  d)   una</w:t>
        <w:br/>
        <w:t>“delimitación de  las  tierras  comunales  de  Awas  Tingni”.  La  Comunidad</w:t>
        <w:br/>
        <w:t>manifestó que la solicitud se presentaba “en razón de la falta  de  recursos</w:t>
        <w:br/>
        <w:t>administrativos disponibles dentro del  ordenamiento  legal  nicaragüense  a</w:t>
        <w:br/>
        <w:t>tr[a]vés del cual comunidades indígenas puedan asegurar  [los]  derechos  de</w:t>
        <w:br/>
        <w:t>propiedad sobre sus tierras comunales”;[30]</w:t>
        <w:br/>
        <w:br/>
        <w:t>Diligencias y actuaciones judiciales</w:t>
        <w:br/>
        <w:br/>
        <w:t>p.    Primer recurso de amparo interpuesto por la Comunidad  Awas  Tingni  y</w:t>
        <w:br/>
        <w:t>sus dirigentes:</w:t>
        <w:br/>
        <w:br/>
        <w:t xml:space="preserve">      p.i)  el 11 de septiembre de 1995 María Luisa Acosta Castellón, en  su</w:t>
        <w:br/>
        <w:t xml:space="preserve">      carácter de apoderada  especial  de  Jaime  Castillo  Felipe,  Marcial</w:t>
        <w:br/>
        <w:t xml:space="preserve">      Salomón Sebastián y Siriaco  Castillo  Fenley,  representantes  de  la</w:t>
        <w:br/>
        <w:t xml:space="preserve">      Comunidad Mayagna (Sumo) Awas Tingni, interpuso un recurso  de  amparo</w:t>
        <w:br/>
        <w:t xml:space="preserve">      ante el Tribunal de Apelaciones de  Matagalpa,  en  contra  de  Milton</w:t>
        <w:br/>
        <w:t xml:space="preserve">      Caldera Cardenal, Ministro del MARENA, Roberto  Araquistain,  Director</w:t>
        <w:br/>
        <w:t xml:space="preserve">      del  Servicio  Forestal  Nacional  del  MARENA,  y  Alejandro  Láinez,</w:t>
        <w:br/>
        <w:t xml:space="preserve">      Director de la Administración Forestal Nacional del MARENA.  En  dicho</w:t>
        <w:br/>
        <w:t xml:space="preserve">      recurso se solicitó que: a) se ordenara a los mencionados funcionarios</w:t>
        <w:br/>
        <w:t xml:space="preserve">      que se abstuvieran de otorgar la concesión a SOLCARSA; que ordenaran a</w:t>
        <w:br/>
        <w:t xml:space="preserve">      los agentes de  SOLCARSA  desalojar  las  tierras  comunales  de  Awas</w:t>
        <w:br/>
        <w:t xml:space="preserve">      Tingni,  donde  “adelanta[ban]  trabajos  tendientes  a   iniciar   la</w:t>
        <w:br/>
        <w:t xml:space="preserve">      explotación de madera”  y  que  iniciaran  un  proceso  de  diálogo  y</w:t>
        <w:br/>
        <w:t xml:space="preserve">      negociación con la Comunidad, en  caso  de  que  la  empresa  SOLCARSA</w:t>
        <w:br/>
        <w:t xml:space="preserve">      persistiera en “su interés de aprovechar la madera en  tierras  de  la</w:t>
        <w:br/>
        <w:t xml:space="preserve">      Comunidad”; b) se adoptara cualquier otro remedio que la Corte Suprema</w:t>
        <w:br/>
        <w:t xml:space="preserve">      de Justicia determinara justo; y c) se  decretara  la  suspensión  del</w:t>
        <w:br/>
        <w:t xml:space="preserve">      proceso de otorgamiento de  la  concesión  solicitada  al  MARENA  por</w:t>
        <w:br/>
        <w:t xml:space="preserve">      SOLCARSA.  Además, al referirse a las  disposiciones  constitucionales</w:t>
        <w:br/>
        <w:t xml:space="preserve">      violadas,  la  recurrente  manifestó  que  las  acciones  y  omisiones</w:t>
        <w:br/>
        <w:t xml:space="preserve">      impugnadas “constitu[ían] violaciones de los artículos 5, 46, 89 y 180</w:t>
        <w:br/>
        <w:t xml:space="preserve">      de la Constitución Política de Nicaragua, l[o]s cuales en su  conjunto</w:t>
        <w:br/>
        <w:t xml:space="preserve">      garantizan los derechos de propiedad  y  de  uso  de  las  comunidades</w:t>
        <w:br/>
        <w:t xml:space="preserve">      indígenas sobre sus tierras comunales” y que, aunque  “[l]a  Comunidad</w:t>
        <w:br/>
        <w:t xml:space="preserve">      carece de título real […], los derechos a sus tierras comunales tienen</w:t>
        <w:br/>
        <w:t xml:space="preserve">      bases firmes en un esquema de tenencia de tierra tradicional ligado  a</w:t>
        <w:br/>
        <w:t xml:space="preserve">      pr[á]cticas culturales y organización comunitaria”;[31]</w:t>
        <w:br/>
        <w:t xml:space="preserve">      p.ii) el 19 de septiembre de 1995 la Sala de lo Civil del Tribunal  de</w:t>
        <w:br/>
        <w:t xml:space="preserve">      Apelaciones de la Sexta Región de Matagalpa declaró  inadmisible  “por</w:t>
        <w:br/>
        <w:t xml:space="preserve">      improcedente” el recurso de amparo,  basándose  en  que  la  Comunidad</w:t>
        <w:br/>
        <w:t xml:space="preserve">      había consentido tácitamente  el  otorgamiento  de  la  concesión,  en</w:t>
        <w:br/>
        <w:t xml:space="preserve">      virtud de que la recurrente dejó transcurrir, antes de presentar dicho</w:t>
        <w:br/>
        <w:t xml:space="preserve">      recurso, los treinta días contados “desde que la acción u omisión haya</w:t>
        <w:br/>
        <w:t xml:space="preserve">      llegado a su  conocimiento”,  conforme  a  la  Ley  de  Amparo.  Dicho</w:t>
        <w:br/>
        <w:t xml:space="preserve">      Tribunal consideró que la recurrente tuvo conocimiento de las acciones</w:t>
        <w:br/>
        <w:t xml:space="preserve">      del MARENA desde antes del 11 de  julio  de  1995,  fecha  en  la  que</w:t>
        <w:br/>
        <w:t xml:space="preserve">      dirigió una carta al Ministro del MARENA (supra párr. 103.ñ);[32]</w:t>
        <w:br/>
        <w:br/>
        <w:br/>
        <w:t xml:space="preserve">      p.iii)      el 21 de septiembre de 1995 María Luisa Acosta  Castellón,</w:t>
        <w:br/>
        <w:t xml:space="preserve">      en su carácter de apoderada especial de Jaime Castillo Felipe, Marcial</w:t>
        <w:br/>
        <w:t xml:space="preserve">      Salomón Sebastián y Siriaco  Castillo  Fenley,  representantes  de  la</w:t>
        <w:br/>
        <w:t xml:space="preserve">      Comunidad Mayagna (Sumo) Awas Tingni, interpuso un recurso  de  amparo</w:t>
        <w:br/>
        <w:t xml:space="preserve">      por la vía de hecho ante la Corte Suprema  de  Justicia,  mediante  el</w:t>
        <w:br/>
        <w:t xml:space="preserve">      cual expresó que la Comunidad y sus miembros no habían  consentido  el</w:t>
        <w:br/>
        <w:t xml:space="preserve">      proceso de la concesión; que el recurso “se present[ó] contra acciones</w:t>
        <w:br/>
        <w:t xml:space="preserve">      que se esta[ban] cometiendo en la actualidad [, ya que d]iariamente la</w:t>
        <w:br/>
        <w:t xml:space="preserve">      Comunidad y sus miembros t[enían] conocimiento de nuevas violaciones”,</w:t>
        <w:br/>
        <w:t xml:space="preserve">      y que, en consecuencia, los treinta días para presentar el recurso  de</w:t>
        <w:br/>
        <w:t xml:space="preserve">      amparo “se podrían […] empezar  a  contar  [a]  partir  de  la  última</w:t>
        <w:br/>
        <w:t xml:space="preserve">      violación  de  la  que  los  miembros  de  la   Comunidad   [tuvieran]</w:t>
        <w:br/>
        <w:t xml:space="preserve">      conocimiento”; [33]</w:t>
        <w:br/>
        <w:br/>
        <w:br/>
        <w:t xml:space="preserve">      p.iv) el 27 de febrero de 1997 la Sala  de  lo  Constitucional  de  la</w:t>
        <w:br/>
        <w:t xml:space="preserve">      Corte Suprema de Justicia declaró sin lugar el recurso de  amparo  por</w:t>
        <w:br/>
        <w:t xml:space="preserve">      la vía de hecho, con base en las mismas consideraciones sostenidas por</w:t>
        <w:br/>
        <w:t xml:space="preserve">      la Sala de lo Civil del Tribunal de Apelaciones de la Sexta Región  de</w:t>
        <w:br/>
        <w:t xml:space="preserve">      Matagalpa (supra párr.  103.p.ii); [34]</w:t>
        <w:br/>
        <w:br/>
        <w:t>q.    Recurso de amparo interpuesto por miembros del Consejo Regional de  la</w:t>
        <w:br/>
        <w:t>RAAN:</w:t>
        <w:br/>
        <w:br/>
        <w:t xml:space="preserve">      q.i)  el 29 de marzo de 1996 Alfonso Smith Warman y Humberto  Thompson</w:t>
        <w:br/>
        <w:t xml:space="preserve">      Sang, miembros del Consejo  Regional  de  la  RAAN,  interpusieron  un</w:t>
        <w:br/>
        <w:t xml:space="preserve">      recurso de amparo ante el Tribunal de  Apelaciones  de  Matagalpa,  en</w:t>
        <w:br/>
        <w:t xml:space="preserve">      contra de Claudio Gutiérrez, Ministro del MARENA, y Alejandro  Láinez,</w:t>
        <w:br/>
        <w:t xml:space="preserve">      Director de la Administración Forestal Nacional del MARENA, por  haber</w:t>
        <w:br/>
        <w:t xml:space="preserve">      “firmado y avalado” la concesión forestal a  SOLCARSA,  sin  que  ésta</w:t>
        <w:br/>
        <w:t xml:space="preserve">      hubiera sido discutida y evaluada en el pleno del Consejo Regional  de</w:t>
        <w:br/>
        <w:t xml:space="preserve">      la RAAN, en violación del artículo 181 de la Constitución Política  de</w:t>
        <w:br/>
        <w:t xml:space="preserve">      Nicaragua.  En  dicho  recurso  solicitaron  la   suspensión   de   la</w:t>
        <w:br/>
        <w:t xml:space="preserve">      implementación de la concesión firmada y la anulación de la misma;[35]</w:t>
        <w:br/>
        <w:br/>
        <w:br/>
        <w:t xml:space="preserve">      q.ii) el 9 de abril de 1996 la  Sala  de  lo  Civil  del  Tribunal  de</w:t>
        <w:br/>
        <w:t xml:space="preserve">      Apelaciones de Matagalpa admitió el  recurso  de  amparo  interpuesto,</w:t>
        <w:br/>
        <w:t xml:space="preserve">      ordenó ponerlo en conocimiento del Procurador General de la República,</w:t>
        <w:br/>
        <w:t xml:space="preserve">      ordenó prevenir a  los  funcionarios  contra  quienes  se  dirigía  el</w:t>
        <w:br/>
        <w:t xml:space="preserve">      recurso para que presentaran sus informes sobre lo actuado a la  Corte</w:t>
        <w:br/>
        <w:t xml:space="preserve">      Suprema de Justicia y emplazó a las partes  para  que  se  apersonaran</w:t>
        <w:br/>
        <w:t xml:space="preserve">      ante este último órgano “para hacer uso de sus derechos”.  Finalmente,</w:t>
        <w:br/>
        <w:t xml:space="preserve">      denegó la solicitud de suspender el acto impugnado;[36]</w:t>
        <w:br/>
        <w:br/>
        <w:br/>
        <w:t xml:space="preserve">      q.iii)      mediante sentencia No. 12 de 27 de febrero de 1997 la Sala</w:t>
        <w:br/>
        <w:t xml:space="preserve">      de lo Constitucional de la Corte Suprema de Justicia declaró con lugar</w:t>
        <w:br/>
        <w:t xml:space="preserve">      el recurso de amparo interpuesto  y  resolvió  que  la  concesión  era</w:t>
        <w:br/>
        <w:t xml:space="preserve">      inconstitucional ya que “no fue aprobada por el Consejo  Regional  [de</w:t>
        <w:br/>
        <w:t xml:space="preserve">      la RAAN], sino por la Junta Directiva del mismo,  y por el Coordinador</w:t>
        <w:br/>
        <w:t xml:space="preserve">      Regional  de  la  [RAAN]”,  en  violación  del  artículo  181  de   la</w:t>
        <w:br/>
        <w:t xml:space="preserve">      Constitución Política de Nicaragua;[37]</w:t>
        <w:br/>
        <w:br/>
        <w:br/>
        <w:t xml:space="preserve">      q.iv) el 22 de enero de  1998  Humberto  Thompson  Sang,  miembro  del</w:t>
        <w:br/>
        <w:t xml:space="preserve">      Consejo Regional de la RAAN, presentó un escrito ante la  Sala  de  lo</w:t>
        <w:br/>
        <w:t xml:space="preserve">      Constitucional de la Corte  Suprema  de  Justicia,  mediante  el  cual</w:t>
        <w:br/>
        <w:t xml:space="preserve">      solicitó la ejecución de la sentencia No. 12 dictada el 27 de  febrero</w:t>
        <w:br/>
        <w:t xml:space="preserve">      de 1997;[38]</w:t>
        <w:br/>
        <w:br/>
        <w:br/>
        <w:t xml:space="preserve">      q.v)  el 3 de febrero de 1998 la Sala de lo Constitucional de la Corte</w:t>
        <w:br/>
        <w:t xml:space="preserve">      Suprema de Justicia emitió una  resolución  mediante  la  cual  ordenó</w:t>
        <w:br/>
        <w:t xml:space="preserve">      poner en conocimiento del Presidente de la República el incumplimiento</w:t>
        <w:br/>
        <w:t xml:space="preserve">      de la Sentencia No. 12 de 27 de febrero de 1997 por parte del Ministro</w:t>
        <w:br/>
        <w:t xml:space="preserve">      del MARENA, con el fin  de  que  ordenara  a  este  último  el  debido</w:t>
        <w:br/>
        <w:t xml:space="preserve">      cumplimiento de dicha  sentencia  y,  además,  ordenó  informar  a  la</w:t>
        <w:br/>
        <w:t xml:space="preserve">      Asamblea Nacional al respecto;[39]</w:t>
        <w:br/>
        <w:br/>
        <w:br/>
        <w:t xml:space="preserve">      q.vi) mediante oficio de 16 de febrero de 1998, el Ministro del MARENA</w:t>
        <w:br/>
        <w:t xml:space="preserve">      comunicó  al  Gerente  General  de  SOLCARSA  que  debía  ordenar  “la</w:t>
        <w:br/>
        <w:t xml:space="preserve">      suspensión de toda acción” que estuviera relacionada con  el  contrato</w:t>
        <w:br/>
        <w:t xml:space="preserve">      de otorgamiento de concesión forestal, en virtud de que dicho contrato</w:t>
        <w:br/>
        <w:t xml:space="preserve">      había quedado “sin efecto y  valor  alguno”,  de  conformidad  con  la</w:t>
        <w:br/>
        <w:t xml:space="preserve">      sentencia No. 12 de 27 de febrero de  1997  de  la  Corte  Suprema  de</w:t>
        <w:br/>
        <w:t xml:space="preserve">      Justicia; [40]</w:t>
        <w:br/>
        <w:br/>
        <w:t>r.    Segundo recurso de amparo interpuesto por  miembros  de  la  Comunidad</w:t>
        <w:br/>
        <w:t>Awas Tingni:</w:t>
        <w:br/>
        <w:br/>
        <w:t xml:space="preserve">      r.i)  el 7 de noviembre de  1997  María  Luisa  Acosta  Castellón,  en</w:t>
        <w:br/>
        <w:t xml:space="preserve">      representación de  Benevicto Salomón Mclean, Siriaco Castillo  Fenley,</w:t>
        <w:br/>
        <w:t xml:space="preserve">      Orlando Salomón Felipe y Jotam López Espinoza,  quienes  comparecieron</w:t>
        <w:br/>
        <w:t xml:space="preserve">      en nombre propio y en representación de la  Comunidad  Mayagna  (Sumo)</w:t>
        <w:br/>
        <w:t xml:space="preserve">      Awas Tingni, interpuso un recurso de amparo ante la Sala de  lo  Civil</w:t>
        <w:br/>
        <w:t xml:space="preserve">      del Tribunal de Apelaciones de la Sexta Región de Matagalpa, en contra</w:t>
        <w:br/>
        <w:t xml:space="preserve">      de Roberto Stadhagen Vogl, Ministro del MARENA,  Roberto  Araquistain,</w:t>
        <w:br/>
        <w:t xml:space="preserve">      Director General del Servicio  Forestal  Nacional  del  MARENA,  Jorge</w:t>
        <w:br/>
        <w:t xml:space="preserve">      Brooks  Saldaña,  Director  de  la  Administración  Forestal   Estatal</w:t>
        <w:br/>
        <w:t xml:space="preserve">      (ADFOREST) del MARENA, y de Efraín Osejo y otros, miembros de la Junta</w:t>
        <w:br/>
        <w:t xml:space="preserve">      Directiva del Consejo Regional de la RAAN durante los  períodos  1994-</w:t>
        <w:br/>
        <w:t xml:space="preserve">      1996 y 1996-1998. En dicho recurso se solicitó que:  a)  se  declarara</w:t>
        <w:br/>
        <w:t xml:space="preserve">      nula la concesión a SOLCARSA, por haber sido otorgada y ratificada con</w:t>
        <w:br/>
        <w:t xml:space="preserve">      desconocimiento de los derechos y  garantías  constitucionales  de  la</w:t>
        <w:br/>
        <w:t xml:space="preserve">      Comunidad Awas Tingni; b) se ordenara a la Junta Directiva del Consejo</w:t>
        <w:br/>
        <w:t xml:space="preserve">      Regional de la RAAN que diera trámite a  la  solicitud  presentada  en</w:t>
        <w:br/>
        <w:t xml:space="preserve">      marzo de 1996 con el fin de que “impulsar[a] un proceso para lograr el</w:t>
        <w:br/>
        <w:t xml:space="preserve">      reconocimiento y [c]ertificación oficial de los derechos de  propiedad</w:t>
        <w:br/>
        <w:t xml:space="preserve">      de la Comunidad sobre sus tierras ancestrales”; c) se ordenara “a  los</w:t>
        <w:br/>
        <w:t xml:space="preserve">      funcionarios del MARENA no impulsar el otorgamiento de  una  concesión</w:t>
        <w:br/>
        <w:t xml:space="preserve">      para la explotación de [r]ecursos [n]aturales en el área  concesionada</w:t>
        <w:br/>
        <w:t xml:space="preserve">      a SOLCARSA, sin estar definida la tenencia de las tierras  dentro  del</w:t>
        <w:br/>
        <w:t xml:space="preserve">      área o sin  haberse  concertado  con  Awas  Tingni  y  cualquier  otra</w:t>
        <w:br/>
        <w:t xml:space="preserve">      Comunidad que tenga un reclamo fundado sobre tierras comunales  dentro</w:t>
        <w:br/>
        <w:t xml:space="preserve">      del área”, y d) se suspendiera el acto impugnado;[41]</w:t>
        <w:br/>
        <w:br/>
        <w:br/>
        <w:t xml:space="preserve">      r.ii) el 12 de noviembre de 1997 la Sala de lo Civil del  Tribunal  de</w:t>
        <w:br/>
        <w:t xml:space="preserve">      Apelaciones de la Sexta Región de  Matagalpa  admitió  el  recurso  de</w:t>
        <w:br/>
        <w:t xml:space="preserve">      amparo; denegó la solicitud de los recurrentes de  suspender  el  acto</w:t>
        <w:br/>
        <w:t xml:space="preserve">      porque “aparentemente el acto est[aba]  consumado”;  ordenó  poner  lo</w:t>
        <w:br/>
        <w:t xml:space="preserve">      resuelto en conocimiento del Procurador General de la  República,  así</w:t>
        <w:br/>
        <w:t xml:space="preserve">      como notificar a los funcionarios recurridos para que presentaran  sus</w:t>
        <w:br/>
        <w:t xml:space="preserve">      informes sobre lo actuado ante la Corte Suprema de Justicia, y emplazó</w:t>
        <w:br/>
        <w:t xml:space="preserve">      a las partes para que se apersonaran ante dicho órgano “para hacer uso</w:t>
        <w:br/>
        <w:t xml:space="preserve">      de sus derechos”;[42]</w:t>
        <w:br/>
        <w:br/>
        <w:br/>
        <w:br/>
        <w:br/>
        <w:t xml:space="preserve">      r.iii)      el 14 de octubre de 1998 la Sala de lo  Constitucional  de</w:t>
        <w:br/>
        <w:t xml:space="preserve">      la Corte Suprema de Justicia declaró “improcedente por extemporáneo el</w:t>
        <w:br/>
        <w:t xml:space="preserve">      recurso de  amparo”,  fundamentada  en  que  los  recurrentes  dejaron</w:t>
        <w:br/>
        <w:t xml:space="preserve">      transcurrir, sin interponerlo, los treinta días contados desde que  el</w:t>
        <w:br/>
        <w:t xml:space="preserve">      acto llegó a  conocimiento  de  la  parte  agraviada.   Consideró,  al</w:t>
        <w:br/>
        <w:t xml:space="preserve">      respecto, la mencionada Sala, que el 13 de marzo de 1996 se  firmó  la</w:t>
        <w:br/>
        <w:t xml:space="preserve">      concesión y los recurrentes tuvieron conocimiento  de  ésta  en  fecha</w:t>
        <w:br/>
        <w:t xml:space="preserve">      próxima a su firma;[43]</w:t>
        <w:br/>
        <w:br/>
        <w:t>s.    desde 1990 no se han  titulado  tierras  a  comunidades  indígenas  en</w:t>
        <w:br/>
        <w:t>Nicaragua;[44]</w:t>
        <w:br/>
        <w:br/>
        <w:t>t.    el 13 de octubre de 1998 el Presidente  de  Nicaragua  presentó  a  la</w:t>
        <w:br/>
        <w:t>Asamblea Nacional el proyecto de “Ley Orgánica  que  Regula  el  Régimen  de</w:t>
        <w:br/>
        <w:t>Propiedad Comunal de las Comunidades  Indígenas  de  la  Costa  Atlántica  y</w:t>
        <w:br/>
        <w:t>BOSAWAS”, que pretende “implementar  las  disposiciones  contenidas  en  los</w:t>
        <w:br/>
        <w:t>[a]rtículos 5, 89, 107 y 180 de la  Constitución  Política”  por  considerar</w:t>
        <w:br/>
        <w:t>que dichas disposiciones “requieren  de  la  existencia  de  un  instrumento</w:t>
        <w:br/>
        <w:t>legal, que regule de manera específica la delimitación y titulación  de  las</w:t>
        <w:br/>
        <w:t>tierras comunitarias indígenas, para materializar los principios  por  ellas</w:t>
        <w:br/>
        <w:t>establecidos” [45]. A la fecha en que se dicta  la  presente  Sentencia,  el</w:t>
        <w:br/>
        <w:t>referido proyecto de ley no ha sido aprobado como ley en Nicaragua.</w:t>
        <w:br/>
        <w:br/>
        <w:br/>
        <w:t xml:space="preserve">                                    VIII</w:t>
        <w:br/>
        <w:t xml:space="preserve">                          Violación del Artículo 25</w:t>
        <w:br/>
        <w:t xml:space="preserve">                             Protección Judicial</w:t>
        <w:br/>
        <w:br/>
        <w:br/>
        <w:t>Alegatos de la Comisión</w:t>
        <w:br/>
        <w:br/>
        <w:t>104.  En cuanto al artículo 25 de la Convención, la Comisión alegó que:</w:t>
        <w:br/>
        <w:br/>
        <w:t xml:space="preserve">      a)    a pesar de estar  consagrada  en  la  Constitución  Política  de</w:t>
        <w:br/>
        <w:t xml:space="preserve">      Nicaragua (artículos 45 y 188) y en la legislación  nicaragüense  (Ley</w:t>
        <w:br/>
        <w:t xml:space="preserve">      No.  49  o  Ley  de  Amparo),  la  institución  del  amparo  ha   sido</w:t>
        <w:br/>
        <w:t xml:space="preserve">      absolutamente inefectiva para prevenir que el Estado  permita  que  la</w:t>
        <w:br/>
        <w:t xml:space="preserve">      empresa extranjera SOLCARSA destruya y explote  las  tierras  que  por</w:t>
        <w:br/>
        <w:t xml:space="preserve">      años le han pertenecido a la Comunidad Awas Tingni;</w:t>
        <w:br/>
        <w:br/>
        <w:t xml:space="preserve">      b)    los peticionarios  recurrieron  ante  el  órgano  jurisdiccional</w:t>
        <w:br/>
        <w:t xml:space="preserve">      previsto por la ley con el objeto de buscar un  remedio  judicial  que</w:t>
        <w:br/>
        <w:t xml:space="preserve">      los   amparara   contra   actos   violatorios    de    sus    derechos</w:t>
        <w:br/>
        <w:t xml:space="preserve">      constitucionales.   El  órgano   jurisdiccional   debe   razonar   sus</w:t>
        <w:br/>
        <w:t xml:space="preserve">      conclusiones, y debe determinar la procedencia o improcedencia  de  la</w:t>
        <w:br/>
        <w:t xml:space="preserve">      pretensión jurídica  que  da  origen  al  recurso  judicial,  tras  un</w:t>
        <w:br/>
        <w:t xml:space="preserve">      procedimiento de prueba y debate  sobre  esa  alegación.   El  recurso</w:t>
        <w:br/>
        <w:t xml:space="preserve">      judicial fue ineficaz, ya que no reconoció la violación  de  derechos,</w:t>
        <w:br/>
        <w:t xml:space="preserve">      no amparó al reclamante en su derecho  afectado,  ni  le  proveyó  una</w:t>
        <w:br/>
        <w:t xml:space="preserve">      reparación adecuada.  El tribunal judicial eludió  decidir  sobre  los</w:t>
        <w:br/>
        <w:t xml:space="preserve">      derechos del peticionario y le impidió gozar del derecho a un  remedio</w:t>
        <w:br/>
        <w:t xml:space="preserve">      judicial en los términos del artículo 25 de la Convención;</w:t>
        <w:br/>
        <w:br/>
        <w:br/>
        <w:t xml:space="preserve">      c)    casi un año después de haber sido admitido el segundo recurso de</w:t>
        <w:br/>
        <w:t xml:space="preserve">      amparo, la Corte Suprema de Justicia falló en contra del  recurso  sin</w:t>
        <w:br/>
        <w:t xml:space="preserve">      pronunciarse sobre el fondo, ya que consideró que los peticionarios se</w:t>
        <w:br/>
        <w:t xml:space="preserve">      limitaban  a  impugnar  el  otorgamiento  inicial  de  la   concesión,</w:t>
        <w:br/>
        <w:t xml:space="preserve">      concluyendo en relación con ello  que  el  recurso  era  extemporáneo,</w:t>
        <w:br/>
        <w:t xml:space="preserve">      cuando en realidad dicho recurso impugnaba la falta de respuesta a  la</w:t>
        <w:br/>
        <w:t xml:space="preserve">      demanda  territorial  por  parte  de  la  Comunidad  y  la  “supuesta”</w:t>
        <w:br/>
        <w:t xml:space="preserve">      ratificación de la concesión por el Consejo Regional  de  la  RAAN  en</w:t>
        <w:br/>
        <w:t xml:space="preserve">      1997;</w:t>
        <w:br/>
        <w:br/>
        <w:br/>
        <w:t xml:space="preserve">      d)    la protección judicial se relaciona con  la  obligación  de  los</w:t>
        <w:br/>
        <w:t xml:space="preserve">      Estados partes de garantizar que las autoridades  competentes  cumplan</w:t>
        <w:br/>
        <w:t xml:space="preserve">      con las decisiones judiciales, de conformidad con el  artículo  25.2.c</w:t>
        <w:br/>
        <w:t xml:space="preserve">      de la Convención.  Sin embargo, en el único caso comprendido dentro de</w:t>
        <w:br/>
        <w:t xml:space="preserve">      los hechos de este proceso, en que fue decidido el recurso de  amparo,</w:t>
        <w:br/>
        <w:t xml:space="preserve">      el  Estado  ignoró  la  decisión  judicial  emitida  a  favor  de  las</w:t>
        <w:br/>
        <w:t xml:space="preserve">      comunidades  indígenas,  violando  el  mencionado   artículo   de   la</w:t>
        <w:br/>
        <w:t xml:space="preserve">      Convención.  Además, el fallo de la Corte Suprema de Justicia se  basó</w:t>
        <w:br/>
        <w:t xml:space="preserve">      en la omisión del requisito procesal establecido en el artículo 181 de</w:t>
        <w:br/>
        <w:t xml:space="preserve">      la Constitución  Política  y  no  amparó  los  derechos  de  propiedad</w:t>
        <w:br/>
        <w:t xml:space="preserve">      referentes al área objeto de la concesión;</w:t>
        <w:br/>
        <w:br/>
        <w:br/>
        <w:t xml:space="preserve">      e)    las autoridades nicaragüenses debieron oportunamente cumplir  la</w:t>
        <w:br/>
        <w:t xml:space="preserve">      sentencia de 27 de febrero de 1997 y, en  consecuencia,  suspender  en</w:t>
        <w:br/>
        <w:t xml:space="preserve">      forma urgente y rápida todo acto declarado inconstitucional, a fin  de</w:t>
        <w:br/>
        <w:t xml:space="preserve">      evitar que SOLCARSA cometiera daños irreparables en las tierras de  la</w:t>
        <w:br/>
        <w:t xml:space="preserve">      Comunidad Awas Tingni.  Sin embargo, no procedieron así.  La Comunidad</w:t>
        <w:br/>
        <w:t xml:space="preserve">      sufrió por dos años la vigencia de una concesión maderera que atentaba</w:t>
        <w:br/>
        <w:t xml:space="preserve">      contra su  tenencia  tradicional  de  la  tierra  y  de  los  recursos</w:t>
        <w:br/>
        <w:t xml:space="preserve">      naturales;</w:t>
        <w:br/>
        <w:br/>
        <w:br/>
        <w:t xml:space="preserve">      f)    la Comisión fue  informada  el  6  de  mayo  de  1998  sobre  la</w:t>
        <w:br/>
        <w:t xml:space="preserve">      suspensión de la concesión otorgada a SOLCARSA, año y medio después de</w:t>
        <w:br/>
        <w:t xml:space="preserve">      que la Corte Suprema de Justicia ordenara dicha suspensión  y  después</w:t>
        <w:br/>
        <w:t xml:space="preserve">      de que la Comisión aprobara el Informe de conformidad con el  artículo</w:t>
        <w:br/>
        <w:t xml:space="preserve">      50 de la Convención;</w:t>
        <w:br/>
        <w:br/>
        <w:br/>
        <w:t xml:space="preserve">      g)    la respuesta de Nicaragua al Informe de la  Comisión  constituye</w:t>
        <w:br/>
        <w:t xml:space="preserve">      una aceptación de responsabilidad internacional,  en  cuanto  reconoce</w:t>
        <w:br/>
        <w:t xml:space="preserve">      sus obligaciones, al señalar que está en proceso de dar cumplimiento a</w:t>
        <w:br/>
        <w:t xml:space="preserve">      las recomendaciones planteadas en ese informe;</w:t>
        <w:br/>
        <w:br/>
        <w:br/>
        <w:t xml:space="preserve">      h)     Nicaragua  no  permite  que  los  indígenas  accesen  al  Poder</w:t>
        <w:br/>
        <w:t xml:space="preserve">      Judicial, por lo que los discrimina;</w:t>
        <w:br/>
        <w:br/>
        <w:br/>
        <w:t xml:space="preserve">      i)    en Nicaragua no existe ningún procedimiento o mecanismo efectivo</w:t>
        <w:br/>
        <w:t xml:space="preserve">      para demarcar y titular la tierra indígena, específicamente la de  las</w:t>
        <w:br/>
        <w:t xml:space="preserve">      comunidades de la Costa Atlántica.  La inexistencia  de  un  mecanismo</w:t>
        <w:br/>
        <w:t xml:space="preserve">      efectivo para la titulación y demarcación de las tierras indígenas  se</w:t>
        <w:br/>
        <w:t xml:space="preserve">      ve claramente en el caso de Awas Tingni. La complejidad del asunto  de</w:t>
        <w:br/>
        <w:t xml:space="preserve">      ninguna manera da excusa al Estado para no cumplir por años con lo que</w:t>
        <w:br/>
        <w:t xml:space="preserve">      es  su  deber,  de  acuerdo  con  la  Convención  Americana,  ni  para</w:t>
        <w:br/>
        <w:t xml:space="preserve">      considerar  a  las  tierras  indígenas  no  tituladas   como   tierras</w:t>
        <w:br/>
        <w:t xml:space="preserve">      estatales, ni para otorgar concesiones a compañías extranjeras en esas</w:t>
        <w:br/>
        <w:t xml:space="preserve">      tierras.   Aún  después  de  que  el  Estado  se  comprometió,  en  su</w:t>
        <w:br/>
        <w:t xml:space="preserve">      “Constitución de 1986”, a  garantizar  la  propiedad  comunal  de  las</w:t>
        <w:br/>
        <w:t xml:space="preserve">      comunidades indígenas, ha transcurrido un período extenso sin que ello</w:t>
        <w:br/>
        <w:t xml:space="preserve">      haya sido llevado a la práctica en relación con Awas Tingni  y  muchas</w:t>
        <w:br/>
        <w:t xml:space="preserve">      otras comunidades indígenas;</w:t>
        <w:br/>
        <w:br/>
        <w:br/>
        <w:t xml:space="preserve">      j)    los representantes de Awas Tingni han hecho varias gestiones  en</w:t>
        <w:br/>
        <w:t xml:space="preserve">      relación con la titulación de sus tierras, ante  las  autoridades  del</w:t>
        <w:br/>
        <w:t xml:space="preserve">      Estado que han tenido alguna competencia pertinente, incluso  ante  el</w:t>
        <w:br/>
        <w:t xml:space="preserve">      INRA, institución que fue señalada por Nicaragua como la autoridad que</w:t>
        <w:br/>
        <w:t xml:space="preserve">      tenía potestad de titular tierras comunales indígenas.  Por otro lado,</w:t>
        <w:br/>
        <w:t xml:space="preserve">      en el contrato tripartito firmado entre  la  Comunidad,  el  MARENA  y</w:t>
        <w:br/>
        <w:t xml:space="preserve">      MADENSA,  se  disponía  que  el  MARENA  se  comprometía  a  reconocer</w:t>
        <w:br/>
        <w:t xml:space="preserve">      provisionalmente el derecho de propiedad de la Comunidad sobre el área</w:t>
        <w:br/>
        <w:t xml:space="preserve">      de aprovechamiento forestal y a facilitar un proceso de  titulación  a</w:t>
        <w:br/>
        <w:t xml:space="preserve">      favor de  la  Comunidad.   Sin  embargo,  el  MARENA  no  lo  cumplió.</w:t>
        <w:br/>
        <w:t xml:space="preserve">      Asimismo, en marzo de 1996 la  Comunidad  presentó  una  solicitud  de</w:t>
        <w:br/>
        <w:t xml:space="preserve">      titulación ante el Consejo Regional de  la  RAAN,  pero  nunca  obtuvo</w:t>
        <w:br/>
        <w:t xml:space="preserve">      respuesta y, por el contrario, al año siguiente el Consejo dio su aval</w:t>
        <w:br/>
        <w:t xml:space="preserve">      a la concesión a la empresa  SOLCARSA  sin  haberla  consultado.   Por</w:t>
        <w:br/>
        <w:t xml:space="preserve">      último, la Comunidad se reunió  con  el  Presidente  de  Nicaragua  en</w:t>
        <w:br/>
        <w:t xml:space="preserve">      febrero de 1997, para oponerse a la concesión y solicitarle ayuda para</w:t>
        <w:br/>
        <w:t xml:space="preserve">      los mismos fines; sin embargo, de dicha reunión no emanó  ningún  acto</w:t>
        <w:br/>
        <w:t xml:space="preserve">      concreto que beneficiara a la Comunidad;</w:t>
        <w:br/>
        <w:br/>
        <w:br/>
        <w:t xml:space="preserve">      k)    al promover la concesión a SOLCARSA, el Estado se rehusó a tomar</w:t>
        <w:br/>
        <w:t xml:space="preserve">      en cuenta a la Comunidad y la tenencia tradicional de  la  tierra  que</w:t>
        <w:br/>
        <w:t xml:space="preserve">      ella ejercía; Nicaragua consideró que el  área  de  la  concesión  era</w:t>
        <w:br/>
        <w:t xml:space="preserve">      tierra estatal;</w:t>
        <w:br/>
        <w:br/>
        <w:br/>
        <w:t xml:space="preserve">      l)    la Comunidad no goza de un título formal u otro  instrumento  de</w:t>
        <w:br/>
        <w:t xml:space="preserve">      reconocimiento de un derecho sobre la tierra donde vive  y  desarrolla</w:t>
        <w:br/>
        <w:t xml:space="preserve">      sus actividades culturales y de subsistencia, a pesar de  que   lo  ha</w:t>
        <w:br/>
        <w:t xml:space="preserve">      solicitado por años al Estado.  Desde 1987 Nicaragua  no  ha  otorgado</w:t>
        <w:br/>
        <w:t xml:space="preserve">      titulación alguna a favor de comunidades indígenas. La situación de la</w:t>
        <w:br/>
        <w:t xml:space="preserve">      Comunidad ha persistido a pesar de los esfuerzos realizados desde 1991</w:t>
        <w:br/>
        <w:t xml:space="preserve">      para lograr la demarcación y la titulación de su  tierra  tradicional.</w:t>
        <w:br/>
        <w:t xml:space="preserve">      El Estado ha sido negligente y arbitrario frente a las solicitudes  de</w:t>
        <w:br/>
        <w:t xml:space="preserve">      titulación de la Comunidad;</w:t>
        <w:br/>
        <w:br/>
        <w:br/>
        <w:t xml:space="preserve">      m)    el principio del estoppel impide que el  Estado  alegue  que  la</w:t>
        <w:br/>
        <w:t xml:space="preserve">      Comunidad no tiene ningún  reclamo  legítimo  basado  en  la  tenencia</w:t>
        <w:br/>
        <w:t xml:space="preserve">      tradicional o histórica, ya que  esa  alegación  es  contraria  a  las</w:t>
        <w:br/>
        <w:t xml:space="preserve">      posiciones sostenidas por él ante la Comisión y ante la  Comunidad  en</w:t>
        <w:br/>
        <w:t xml:space="preserve">      varias oportunidades;</w:t>
        <w:br/>
        <w:br/>
        <w:br/>
        <w:t xml:space="preserve">      n)    para los pueblos indígenas, el  acceso  a  un  recurso  judicial</w:t>
        <w:br/>
        <w:t xml:space="preserve">      sencillo, rápido y efectivo es de especial importancia en relación con</w:t>
        <w:br/>
        <w:t xml:space="preserve">      el  goce  de  sus  derechos  humanos,   dadas   las   condiciones   de</w:t>
        <w:br/>
        <w:t xml:space="preserve">      vulnerabilidad en que normalmente se encuentran por razones históricas</w:t>
        <w:br/>
        <w:t xml:space="preserve">      y por sus circunstancias sociales actuales. En este caso, se violó  el</w:t>
        <w:br/>
        <w:t xml:space="preserve">      artículo 25 de la Convención en tres sentidos: la demora injustificada</w:t>
        <w:br/>
        <w:t xml:space="preserve">      de los procesos ante  los  tribunales;  el  rechazo  de  los  recursos</w:t>
        <w:br/>
        <w:t xml:space="preserve">      interpuestos por la Comunidad, y el incumplimiento de la sentencia que</w:t>
        <w:br/>
        <w:t xml:space="preserve">      declaró inconstitucional la concesión; y</w:t>
        <w:br/>
        <w:br/>
        <w:br/>
        <w:t xml:space="preserve">      ñ)    el otorgamiento de la concesión a SOLCARSA y la  omisión  de  la</w:t>
        <w:br/>
        <w:t xml:space="preserve">      adopción de medidas estatales que permitan garantizar los derechos  de</w:t>
        <w:br/>
        <w:t xml:space="preserve">      la Comunidad Awas Tingni sobre la tierra y los recursos naturales,  de</w:t>
        <w:br/>
        <w:t xml:space="preserve">      acuerdo con sus patrones tradicionales de uso  y  ocupación,  violaron</w:t>
        <w:br/>
        <w:t xml:space="preserve">      los artículos 1 y 2 de la Convención.</w:t>
        <w:br/>
        <w:br/>
        <w:br/>
        <w:t>Alegatos del Estado</w:t>
        <w:br/>
        <w:br/>
        <w:br/>
        <w:t>105.  Por su parte, en cuanto al artículo 25 de  la  Convención,  el  Estado</w:t>
        <w:br/>
        <w:t>alegó que:</w:t>
        <w:br/>
        <w:br/>
        <w:t xml:space="preserve">      a)    no puede  establecerse  que  en  el  derecho  nicaragüense  haya</w:t>
        <w:br/>
        <w:t xml:space="preserve">      operado un silencio legislativo que  impida  el  reclamo  del  derecho</w:t>
        <w:br/>
        <w:t xml:space="preserve">      reconocido por la Constitución Política.  Existe un marco  legal  para</w:t>
        <w:br/>
        <w:t xml:space="preserve">      conducir el proceso de titulación de las comunidades indígenas  en  el</w:t>
        <w:br/>
        <w:t xml:space="preserve">      país, ante el Instituto Nicaragüense de Reforma  Agraria  (INRA),  que</w:t>
        <w:br/>
        <w:t xml:space="preserve">      fue ignorado por la Comunidad.  Este marco  jurídico  fue  establecido</w:t>
        <w:br/>
        <w:t xml:space="preserve">      por la Ley No.14, “Reforma a la Ley de Reforma Agraria” de 11 de enero</w:t>
        <w:br/>
        <w:t xml:space="preserve">      de 1986.  El Estado ha titulado a 28 comunidades indígenas  al  amparo</w:t>
        <w:br/>
        <w:t xml:space="preserve">      de esta ley. No consta en los archivos del INRA  solicitud  alguna  de</w:t>
        <w:br/>
        <w:t xml:space="preserve">      titulación presentada por la Comunidad;</w:t>
        <w:br/>
        <w:br/>
        <w:br/>
        <w:t xml:space="preserve">      b)    no se ha negado el reconocimiento de un derecho en relación  con</w:t>
        <w:br/>
        <w:t xml:space="preserve">      el  cual  simplemente  no  se  han  presentado  solicitudes  ante  las</w:t>
        <w:br/>
        <w:t xml:space="preserve">      autoridades nacionales.   La  Comunidad  Indígena  Awas  Tingni  nunca</w:t>
        <w:br/>
        <w:t xml:space="preserve">      presentó  petición  formal  de  titulación  ante  los  tribunales   de</w:t>
        <w:br/>
        <w:t xml:space="preserve">      justicia. No puede culparse a la Corte  Suprema  de  Justicia  por  no</w:t>
        <w:br/>
        <w:t xml:space="preserve">      haber proveído un remedio judicial  que  nunca  fue  solicitado.   Las</w:t>
        <w:br/>
        <w:t xml:space="preserve">      pretensiones  de  la  Comunidad  estaban  todas  relacionadas  con  la</w:t>
        <w:br/>
        <w:t xml:space="preserve">      impugnación de la concesión forestal otorgada a SOLCARSA;</w:t>
        <w:br/>
        <w:br/>
        <w:br/>
        <w:t xml:space="preserve">      c)    la Comunidad presentó una solicitud ambigua y oscura al  Consejo</w:t>
        <w:br/>
        <w:t xml:space="preserve">      Regional de la RAAN para que le ayudase a llenar  un  vacío  normativo</w:t>
        <w:br/>
        <w:t xml:space="preserve">      supuestamente existente en la materia. Con ello pretendió  obviar  los</w:t>
        <w:br/>
        <w:t xml:space="preserve">      procedimientos de titulación indígena, además  de  crear  confusión  o</w:t>
        <w:br/>
        <w:t xml:space="preserve">      conflicto de competencias entre las autoridades de  la  Administración</w:t>
        <w:br/>
        <w:t xml:space="preserve">      Central y de los Gobiernos Regionales de la Costa Atlántica;</w:t>
        <w:br/>
        <w:br/>
        <w:br/>
        <w:t xml:space="preserve">      d)    el 7 de noviembre de 1997 la Comunidad  planteó  un  recurso  de</w:t>
        <w:br/>
        <w:t xml:space="preserve">      amparo ante la Corte Suprema de Justicia aduciendo la  responsabilidad</w:t>
        <w:br/>
        <w:t xml:space="preserve">      estatal por  el  silencio  administrativo  causado  por  la  falta  de</w:t>
        <w:br/>
        <w:t xml:space="preserve">      resolución del Consejo Regional de la RAAN, al desviar la atención  de</w:t>
        <w:br/>
        <w:t xml:space="preserve">      la cuestión fundamental, aduciendo que la Comunidad no  ha  presentado</w:t>
        <w:br/>
        <w:t xml:space="preserve">      petición alguna de titulación de  sus  supuestas  tierras  ancestrales</w:t>
        <w:br/>
        <w:t xml:space="preserve">      ante las autoridades competentes,  lo  cual  equivale  a  ausencia  de</w:t>
        <w:br/>
        <w:t xml:space="preserve">      pretensión procesal;</w:t>
        <w:br/>
        <w:br/>
        <w:br/>
        <w:t xml:space="preserve">      e)    la Comunidad  ha  obviado  los  procedimientos  internos  en  el</w:t>
        <w:br/>
        <w:t xml:space="preserve">      derecho nicaragüense,  reclama  tierras  que  no  son  ancestrales  y,</w:t>
        <w:br/>
        <w:t xml:space="preserve">      mediante el mecanismo de la presión judicial  internacional,  pretende</w:t>
        <w:br/>
        <w:t xml:space="preserve">      que se desconozcan los intereses de terceros en la zona;</w:t>
        <w:br/>
        <w:br/>
        <w:br/>
        <w:t xml:space="preserve">      f)    la Comunidad Awas Tingni ejerció deficientemente el  derecho  de</w:t>
        <w:br/>
        <w:t xml:space="preserve">      petición de titulación de tierras, considerando que lo hacía valer por</w:t>
        <w:br/>
        <w:t xml:space="preserve">      el hecho de impugnar la concesión forestal otorgada en las tierras que</w:t>
        <w:br/>
        <w:t xml:space="preserve">      reclama:</w:t>
        <w:br/>
        <w:br/>
        <w:br/>
        <w:t xml:space="preserve">        1. Cuando el procedimiento administrativo  de  otorgamiento  de  la</w:t>
        <w:br/>
        <w:t xml:space="preserve">           concesión forestal estaba aún pendiente de ser  resuelto  y  las</w:t>
        <w:br/>
        <w:t xml:space="preserve">           autoridades del MARENA hicieron público, durante los días 17, 18</w:t>
        <w:br/>
        <w:t xml:space="preserve">           y 19 de mayo de 1995, el aviso de dicha circunstancia, para  que</w:t>
        <w:br/>
        <w:t xml:space="preserve">           los terceros interesados  pudieran  oponerse,  la  Comunidad  se</w:t>
        <w:br/>
        <w:t xml:space="preserve">           abstuvo  de  formular  objeción  alguna  a  dicho  otorgamiento,</w:t>
        <w:br/>
        <w:t xml:space="preserve">           convirtiéndolo en un acto consentido.</w:t>
        <w:br/>
        <w:br/>
        <w:br/>
        <w:t xml:space="preserve">        2. Una vez otorgada la concesión forestal a la empresa SOLCARSA, la</w:t>
        <w:br/>
        <w:t xml:space="preserve">           Comunidad no hizo uso del recurso de  amparo  dentro  del  plazo</w:t>
        <w:br/>
        <w:t xml:space="preserve">           establecido en el ordenamiento jurídico. Con esta grave omisión,</w:t>
        <w:br/>
        <w:t xml:space="preserve">           absolutamente  imputable  a  la  parte  recurrente,  perdió   la</w:t>
        <w:br/>
        <w:t xml:space="preserve">           posibilidad de que se  revisaran  judicialmente  las  decisiones</w:t>
        <w:br/>
        <w:t xml:space="preserve">           administrativas relacionadas con la concesión.</w:t>
        <w:br/>
        <w:br/>
        <w:t xml:space="preserve">        3. La Comunidad impugnó negligentemente la resolución judicial  que</w:t>
        <w:br/>
        <w:t xml:space="preserve">           denegó el amparo al que se refiere el punto  anterior,  mediante</w:t>
        <w:br/>
        <w:t xml:space="preserve">           la interposición de otro recurso de amparo por la vía de  hecho,</w:t>
        <w:br/>
        <w:t xml:space="preserve">           en el que omitió pedir la suspensión del acto administrativo  en</w:t>
        <w:br/>
        <w:t xml:space="preserve">           el que se otorgaba la concesión.  Sin embargo, la Corte  Suprema</w:t>
        <w:br/>
        <w:t xml:space="preserve">           de Justicia  tuvo  que  limitarse  a  conocer  lo  estrictamente</w:t>
        <w:br/>
        <w:t xml:space="preserve">           planteado por el recurrente (principio de estricto derecho en la</w:t>
        <w:br/>
        <w:t xml:space="preserve">           revisión).</w:t>
        <w:br/>
        <w:br/>
        <w:t xml:space="preserve">        4. Estando aún pendiente de resolución el recurso  por  la  vía  de</w:t>
        <w:br/>
        <w:t xml:space="preserve">           hecho, la Comunidad tampoco impugnó la concesión forestal por la</w:t>
        <w:br/>
        <w:t xml:space="preserve">           vía del recurso de inconstitucionalidad, teniendo la oportunidad</w:t>
        <w:br/>
        <w:t xml:space="preserve">           de hacerlo. Esta es otra expresión de ejercicio negligente de su</w:t>
        <w:br/>
        <w:t xml:space="preserve">           derecho de petición. La Comunidad tuvo que depender de la acción</w:t>
        <w:br/>
        <w:t xml:space="preserve">           de un tercero para obtener lo que fue  incapaz  de  obtener.  La</w:t>
        <w:br/>
        <w:t xml:space="preserve">           obligación de agotar los recursos  de  la  jurisdicción  interna</w:t>
        <w:br/>
        <w:t xml:space="preserve">           recae exclusivamente  en  el  peticionario,  el  cual  no  puede</w:t>
        <w:br/>
        <w:t xml:space="preserve">           desligarse  de  su  obligación   procesal   por   los   recursos</w:t>
        <w:br/>
        <w:t xml:space="preserve">           interpuestos por terceros;</w:t>
        <w:br/>
        <w:br/>
        <w:br/>
        <w:br/>
        <w:t xml:space="preserve">        5. En cuanto a la petición de  nulidad  de  la  concesión  forestal</w:t>
        <w:br/>
        <w:t xml:space="preserve">           otorgada a SOLCARSA, el sistema judicial  nicaragüense  demostró</w:t>
        <w:br/>
        <w:t xml:space="preserve">           ser efectivo proveyendo el remedio judicial solicitado,  con  la</w:t>
        <w:br/>
        <w:t xml:space="preserve">           declaratoria  de  nulidad  de  dicha   concesión.   Quienes   no</w:t>
        <w:br/>
        <w:t xml:space="preserve">           demostraron ser efectivos fueron los asesores  de  la  Comunidad</w:t>
        <w:br/>
        <w:t xml:space="preserve">           Awas   Tingni   que   no   interpusieron   ningún   recurso   de</w:t>
        <w:br/>
        <w:t xml:space="preserve">           inconstitucionalidad en contra de esta  concesión,  como  sí  lo</w:t>
        <w:br/>
        <w:t xml:space="preserve">           hicieron algunos concejales del Consejo  Regional  de  la  RAAN.</w:t>
        <w:br/>
        <w:t xml:space="preserve">           Respecto al supuesto cumplimiento tardío  de  la  sentencia  que</w:t>
        <w:br/>
        <w:t xml:space="preserve">           declaró la nulidad de la concesión, hay que tener en cuenta  que</w:t>
        <w:br/>
        <w:t xml:space="preserve">           el Estado solicitó a SOLCARSA la suspensión de la concesión poco</w:t>
        <w:br/>
        <w:t xml:space="preserve">           tiempo  después   de   la   expedición   de   dicha   sentencia.</w:t>
        <w:br/>
        <w:t xml:space="preserve">           Adicionalmente, no hay claridad  sobre  la  relevancia  de  este</w:t>
        <w:br/>
        <w:t xml:space="preserve">           tema, toda vez que el recurso que dio lugar a esa sentencia  fue</w:t>
        <w:br/>
        <w:t xml:space="preserve">           interpuesto por un tercero, reclamando  la  inconstitucionalidad</w:t>
        <w:br/>
        <w:t xml:space="preserve">           de una concesión otorgada en áreas que Awas Tingni reclama,  sin</w:t>
        <w:br/>
        <w:t xml:space="preserve">           haber demostrado ancestralidad ni propiedad;</w:t>
        <w:br/>
        <w:br/>
        <w:br/>
        <w:t xml:space="preserve">      g)    el derecho de Awas Tingni a la  titulación  de  las  tierras  no</w:t>
        <w:br/>
        <w:t xml:space="preserve">      ancestrales que ocupa  estaría sujeto a lo que  el  Estado  determine,</w:t>
        <w:br/>
        <w:t xml:space="preserve">      previa consulta a dicha Comunidad;</w:t>
        <w:br/>
        <w:br/>
        <w:br/>
        <w:t xml:space="preserve">      h)    la Comisión ha dicho que Nicaragua da la excusa de que no se  ha</w:t>
        <w:br/>
        <w:t xml:space="preserve">      titulado a la Comunidad Awas  Tingni  porque  el  reclamo  territorial</w:t>
        <w:br/>
        <w:t xml:space="preserve">      presentado por esta  última  es  complejo.   Sin  embargo,  no  se  ha</w:t>
        <w:br/>
        <w:t xml:space="preserve">      resuelto dicho reclamo porque Awas Tingni no ha demostrado reunir  los</w:t>
        <w:br/>
        <w:t xml:space="preserve">      requisitos necesarios para fundamentar ese reclamo, en  particular  el</w:t>
        <w:br/>
        <w:t xml:space="preserve">      de la ocupación ancestral de las tierras ancestrales; e</w:t>
        <w:br/>
        <w:br/>
        <w:br/>
        <w:t xml:space="preserve">      i)    el Estado ha impulsado iniciativas  importantes  en  materia  de</w:t>
        <w:br/>
        <w:t xml:space="preserve">      titulación de las tierras comunales de las comunidades indígenas de la</w:t>
        <w:br/>
        <w:t xml:space="preserve">      Costa Atlántica.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106.  El artículo 25 de la Convención señala que: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 por  la  Constitución,  la  ley  o  la  […]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2.    Los Estados partes se comprometen:</w:t>
        <w:br/>
        <w:br/>
        <w:br/>
        <w:t xml:space="preserve">      a.    a garantizar que la autoridad competente prevista por el sistema</w:t>
        <w:br/>
        <w:t xml:space="preserve">           legal del Estado decidirá sobre los derechos de toda persona que</w:t>
        <w:br/>
        <w:t xml:space="preserve">           interponga tal recurso;</w:t>
        <w:br/>
        <w:br/>
        <w:br/>
        <w:t xml:space="preserve">      b.    a desarrollar las posibilidades de recurso judicial, y</w:t>
        <w:br/>
        <w:br/>
        <w:br/>
        <w:t xml:space="preserve">      c.    a garantizar el cumplimiento, por las  autoridades  competentes,</w:t>
        <w:br/>
        <w:t xml:space="preserve">           de toda decisión en que se haya estimado procedente el recurso.</w:t>
        <w:br/>
        <w:br/>
        <w:t>107.  El artículo 1.1 de la Convención establece que</w:t>
        <w:br/>
        <w:br/>
        <w:t xml:space="preserve">      [l]os Estados partes en esta Convención se comprometen a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108.  Por su parte, el artículo 2 de la Convención determina que</w:t>
        <w:br/>
        <w:br/>
        <w:t xml:space="preserve">      [s]i en el ejercicio de los derechos y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109.  La Comisión alega, como punto fundamental, la falta de  reconocimiento</w:t>
        <w:br/>
        <w:t>por parte de Nicaragua de los derechos de la Comunidad Awas  Tingni,  y  más</w:t>
        <w:br/>
        <w:t>concretamente, la  ineficacia  de  los  procedimientos  establecidos  en  la</w:t>
        <w:br/>
        <w:t>legislación  para  hacer  efectivos  estos  derechos  de   las   comunidades</w:t>
        <w:br/>
        <w:t>indígenas y la falta de  demarcación  de  las  tierras  poseídas  por  dicha</w:t>
        <w:br/>
        <w:t>Comunidad.  Agrega la Comisión que, pese a  múltiples  gestiones  efectuadas</w:t>
        <w:br/>
        <w:t>por la  Comunidad,  aún  no  ha  logrado  un  reconocimiento  estatal  a  la</w:t>
        <w:br/>
        <w:t>propiedad comunal y, más aún, se ha  visto  perjudicada  por  una  concesión</w:t>
        <w:br/>
        <w:t>maderera otorgada a una compañía llamada SOLCARSA en  las  tierras  ocupadas</w:t>
        <w:br/>
        <w:t>por esta comunidad.</w:t>
        <w:br/>
        <w:br/>
        <w:t>110.  Por su parte, el Estado alega, básicamente,  que  la  Comunidad  tiene</w:t>
        <w:br/>
        <w:t>pretensiones desproporcionadas, puesto que su  posesión  no  tiene  carácter</w:t>
        <w:br/>
        <w:t>ancestral,  que  aspira  a  que  se  le  titulen  tierras  que  son  también</w:t>
        <w:br/>
        <w:t>reclamadas  por  otras  comunidades  indígenas  de  la  Costa  Atlántica  de</w:t>
        <w:br/>
        <w:t>Nicaragua, y que nunca ha presentado petición formal de titulación ante  las</w:t>
        <w:br/>
        <w:t>autoridades competentes.  Asimismo, Nicaragua sostiene que existe  un  marco</w:t>
        <w:br/>
        <w:t>legal que regula el procedimiento de  titulación  de  comunidades  indígenas</w:t>
        <w:br/>
        <w:t>bajo la competencia del Instituto Nicaragüense de  Reforma  Agraria  (INRA).</w:t>
        <w:br/>
        <w:t>En cuanto a la concesión  para  el  aprovechamiento  de  madera  otorgada  a</w:t>
        <w:br/>
        <w:t>SOLCARSA, señala que la Comunidad Awas Tingni no  sufrió  ningún  perjuicio,</w:t>
        <w:br/>
        <w:t>ya  que  esta  concesión  no  se  ejecutó   y   más   bien   fue   declarada</w:t>
        <w:br/>
        <w:t>inconstitucional.</w:t>
        <w:br/>
        <w:br/>
        <w:t>111.  La  Corte  ha  señalado  que  el  artículo  25  de  la  Convención  ha</w:t>
        <w:br/>
        <w:t>establecido, en términos amplios,</w:t>
        <w:br/>
        <w:br/>
        <w:t xml:space="preserve">      la obligación a cargo de los Estados de ofrecer, a todas las  personas</w:t>
        <w:br/>
        <w:t xml:space="preserve">      sometidas a su jurisdicción, un recurso judicial efectivo contra actos</w:t>
        <w:br/>
        <w:t xml:space="preserve">      violatorios de sus derechos fundamentales.  Dispone,  además,  que  la</w:t>
        <w:br/>
        <w:t xml:space="preserve">      garantía allí consagrada se aplica no sólo respecto  de  los  derechos</w:t>
        <w:br/>
        <w:t xml:space="preserve">      contenidos en la  Convención,  sino  también  de  aquéllos  que  estén</w:t>
        <w:br/>
        <w:t xml:space="preserve">      reconocidos por la Constitución o por la ley.[46]</w:t>
        <w:br/>
        <w:br/>
        <w:br/>
        <w:t>112.  Asimismo, la Corte ha reiterado que el derecho de toda  persona  a  un</w:t>
        <w:br/>
        <w:t>recurso sencillo y rápido o a  cualquier  otro  recurso  efectivo  ante  los</w:t>
        <w:br/>
        <w:t>jueces o tribunales competentes que la ampare contra actos  que  violen  sus</w:t>
        <w:br/>
        <w:t>derechos fundamentales “constituye uno de los pilares básicos,  no  sólo  de</w:t>
        <w:br/>
        <w:t>la Convención Americana, sino del propio Estado de Derecho en  una  sociedad</w:t>
        <w:br/>
        <w:t>democrática en el sentido de la Convención”.[47]</w:t>
        <w:br/>
        <w:br/>
        <w:br/>
        <w:t>113.  Además, la Corte ha señalado que</w:t>
        <w:br/>
        <w:br/>
        <w:t xml:space="preserve">      la inexistencia de un recurso efectivo contra las  violaciones  a  los</w:t>
        <w:br/>
        <w:t xml:space="preserve">      derechos reconocidos por la Convención constituye una transgresión  de</w:t>
        <w:br/>
        <w:t xml:space="preserve">      la misma por el Estado Parte en  el  cual  semejante  situación  tenga</w:t>
        <w:br/>
        <w:t xml:space="preserve">      lugar.  En ese sentido debe  subrayarse  que,  para  que  tal  recurso</w:t>
        <w:br/>
        <w:t xml:space="preserve">      exista, no basta con que esté previsto por la Constitución o la ley  o</w:t>
        <w:br/>
        <w:t xml:space="preserve">      con que sea formalmente  admisible,  sino  que  se  requiere  que  sea</w:t>
        <w:br/>
        <w:t xml:space="preserve">      realmente idóneo para establecer si se ha incurrido en una violación a</w:t>
        <w:br/>
        <w:t xml:space="preserve">      los derechos humanos y proveer lo necesario para remediarla.[48]</w:t>
        <w:br/>
        <w:br/>
        <w:t>114.  Este Tribunal ha afirmado, asimismo, que para  que  el  Estado  cumpla</w:t>
        <w:br/>
        <w:t>con lo dispuesto en el  citado  artículo  no  basta  con  que  los  recursos</w:t>
        <w:br/>
        <w:t>existan formalmente, sino que los mismos deben tener efectividad.[49]</w:t>
        <w:br/>
        <w:br/>
        <w:t>115.  En el presente caso, el análisis del  artículo  25  de  la  Convención</w:t>
        <w:br/>
        <w:t>debe hacerse desde dos perspectivas.  En primer  lugar  debe  analizarse  si</w:t>
        <w:br/>
        <w:t>existe o no un procedimiento para la titulación de  tierras  que  reúna  las</w:t>
        <w:br/>
        <w:t>características ya señaladas y, en segundo lugar, debe establecerse  si  los</w:t>
        <w:br/>
        <w:t>recursos  de  amparo  presentados  por  miembros  de  la  Comunidad   fueron</w:t>
        <w:br/>
        <w:t>resueltos de conformidad con dicho artículo 25.</w:t>
        <w:br/>
        <w:br/>
        <w:t xml:space="preserve">      a)    Existencia de un procedimiento para la titulación y  demarcación</w:t>
        <w:br/>
        <w:t>de tierras indígenas:</w:t>
        <w:br/>
        <w:br/>
        <w:t>116.  El artículo 5  de  la  Constitución  Política  de  Nicaragua  de  1995</w:t>
        <w:br/>
        <w:t>establece que:</w:t>
        <w:br/>
        <w:br/>
        <w:t xml:space="preserve">      Son principios de la nación nicaragüense, la libertad, la justicia, el</w:t>
        <w:br/>
        <w:t xml:space="preserve">      respeto a la dignidad de la persona humana,  el  pluralismo  político,</w:t>
        <w:br/>
        <w:t xml:space="preserve">      social  y  étnico,  el  reconocimiento  a  las  distintas  formas   de</w:t>
        <w:br/>
        <w:t xml:space="preserve">      propiedad, la libre cooperación internacional y el respeto a la  libre</w:t>
        <w:br/>
        <w:t xml:space="preserve">      autodeterminación.</w:t>
        <w:br/>
        <w:br/>
        <w:br/>
        <w:t xml:space="preserve">      […]</w:t>
        <w:br/>
        <w:br/>
        <w:br/>
        <w:t xml:space="preserve">      El Estado reconoce la existencia de los pueblos indígenas,  que  gozan</w:t>
        <w:br/>
        <w:t xml:space="preserve">      de los derechos, deberes y garantías consignados en la Constitución, y</w:t>
        <w:br/>
        <w:t xml:space="preserve">      en especial los de mantener y  desarrollar  su  identidad  y  cultura,</w:t>
        <w:br/>
        <w:t xml:space="preserve">      tener sus propias formas de  organización  social  y  administrar  sus</w:t>
        <w:br/>
        <w:t xml:space="preserve">      asuntos locales, así como mantener las formas comunales  de  propiedad</w:t>
        <w:br/>
        <w:t xml:space="preserve">      de sus tierras y el goce, uso  y  disfrute  de  las  mismas,  todo  de</w:t>
        <w:br/>
        <w:t xml:space="preserve">      conformidad con la ley.  Para las comunidades de la  Costa  Atlántica,</w:t>
        <w:br/>
        <w:t xml:space="preserve">      se establece el régimen de autonomía en la [...] Constitución.</w:t>
        <w:br/>
        <w:t xml:space="preserve">      Las diferentes formas  de  propiedad:  pública,  privada,  asociativa,</w:t>
        <w:br/>
        <w:t xml:space="preserve">      cooperativa y comunitaria deberán ser garantizadas y  estimuladas  sin</w:t>
        <w:br/>
        <w:t xml:space="preserve">      discriminación para producir riquezas, y  todas  ellas  dentro  de  su</w:t>
        <w:br/>
        <w:t xml:space="preserve">      libre funcionamiento deberán cumplir una función social.</w:t>
        <w:br/>
        <w:br/>
        <w:t>117.  Además, el artículo 89 de dicha Constitución señala que:</w:t>
        <w:br/>
        <w:br/>
        <w:t xml:space="preserve">      Las Comunidades de la Costa Atlántica son parte indisoluble del pueblo</w:t>
        <w:br/>
        <w:t xml:space="preserve">      nicaragüense y como tal gozan de los mismos  derechos   y  tienen  las</w:t>
        <w:br/>
        <w:t xml:space="preserve">      mismas obligaciones.</w:t>
        <w:br/>
        <w:br/>
        <w:br/>
        <w:t xml:space="preserve">      Las Comunidades de la Costa Atlántica tienen el derecho de preservar y</w:t>
        <w:br/>
        <w:t xml:space="preserve">      desarrollar su identidad cultural en la unidad  nacional;  dotarse  de</w:t>
        <w:br/>
        <w:t xml:space="preserve">      sus propias formas de organización social y  administrar  sus  asuntos</w:t>
        <w:br/>
        <w:t xml:space="preserve">      locales conforme a sus tradiciones.</w:t>
        <w:br/>
        <w:br/>
        <w:br/>
        <w:t xml:space="preserve">      El Estado reconoce las formas comunales de propiedad de las tierras de</w:t>
        <w:br/>
        <w:t xml:space="preserve">      la Comunidad de la Costa Atlántica.  Igualmente reconoce el goce,  uso</w:t>
        <w:br/>
        <w:t xml:space="preserve">      y disfrute de las aguas y bosques de sus tierras comunales.</w:t>
        <w:br/>
        <w:br/>
        <w:t>118.  Por su parte, el artículo 180 de  la  mencionada  Constitución  señala</w:t>
        <w:br/>
        <w:t>que:</w:t>
        <w:br/>
        <w:br/>
        <w:t xml:space="preserve">      Las Comunidades de la Costa Atlántica tienen el  derecho  de  vivir  y</w:t>
        <w:br/>
        <w:t xml:space="preserve">      desarrollarse bajo las formas de organización social que  correspondan</w:t>
        <w:br/>
        <w:t xml:space="preserve">      a sus tradiciones históricas y culturales.</w:t>
        <w:br/>
        <w:br/>
        <w:br/>
        <w:t xml:space="preserve">      El Estado garantiza a estas comunidades el disfrute  de  sus  recursos</w:t>
        <w:br/>
        <w:t xml:space="preserve">      naturales, la efectividad de sus formas  de  propiedad  comunal  y  la</w:t>
        <w:br/>
        <w:t xml:space="preserve">      libre elección de sus autoridades y representantes.</w:t>
        <w:br/>
        <w:br/>
        <w:br/>
        <w:t xml:space="preserve">      Asimismo  garantiza  la  preservación  de  sus  culturas  y   lenguas,</w:t>
        <w:br/>
        <w:t xml:space="preserve">      religiones y costumbres.</w:t>
        <w:br/>
        <w:br/>
        <w:t>119.  La Ley No. 28 publicada el 30 de octubre de  1987  en  La  Gaceta  No.</w:t>
        <w:br/>
        <w:t>238, Diario Oficial de la República de Nicaragua, regula el Estatuto  de  la</w:t>
        <w:br/>
        <w:t>Autonomía de las Regiones de la Costa Atlántica de Nicaragua.  Al  respecto,</w:t>
        <w:br/>
        <w:t>establece que:</w:t>
        <w:br/>
        <w:br/>
        <w:br/>
        <w:t xml:space="preserve">      Arto. 4.  Las Regiones en donde habitan las Comunidades  de  la  Costa</w:t>
        <w:br/>
        <w:t xml:space="preserve">      Atlántica gozan, dentro de la unidad del Estado  Nicaragüense,  de  un</w:t>
        <w:br/>
        <w:t xml:space="preserve">      Régimen de Autonomía que les garantiza el ejercicio  efectivo  de  sus</w:t>
        <w:br/>
        <w:t xml:space="preserve">      derechos históricos y demás, consignados en la Constitución Política.</w:t>
        <w:br/>
        <w:br/>
        <w:br/>
        <w:t xml:space="preserve">      […]</w:t>
        <w:br/>
        <w:br/>
        <w:br/>
        <w:t xml:space="preserve">      Arto.  9.   En  la  explotación  racional  de  los  recursos  mineros,</w:t>
        <w:br/>
        <w:t xml:space="preserve">      forestales, pesqueros y  otros  recursos  naturales  de  las  Regiones</w:t>
        <w:br/>
        <w:t xml:space="preserve">      Autónomas, se reconocerán los derechos de propiedad sobre las  tierras</w:t>
        <w:br/>
        <w:t xml:space="preserve">      comunales, y deberá beneficiar en justa proporción  a  sus  habitantes</w:t>
        <w:br/>
        <w:t xml:space="preserve">      mediante acuerdos entre el Gobierno Regional y el Gobierno Central.</w:t>
        <w:br/>
        <w:br/>
        <w:br/>
        <w:t>120.  EL DECRETO NO. 16-96 DE 23 DE AGOSTO DE 1996, REFERENTE A LA  CREACIÓN</w:t>
        <w:br/>
        <w:t>DE  LA  COMISIÓN  NACIONAL  PARA  LA  DEMARCACIÓN  DE  LAS  TIERRAS  DE  LAS</w:t>
        <w:br/>
        <w:t>COMUNIDADES INDÍGENAS  EN  LA  COSTA  ATLÁNTICA  DETERMINA  QUE  “EL  ESTADO</w:t>
        <w:br/>
        <w:t>RECONOCE  LAS  FORMAS  COMUNALES  DE  PROPIEDAD  DE  LAS  TIERRAS   DE   LAS</w:t>
        <w:br/>
        <w:t>COMUNIDADES EN  LA  COSTA  ATLÁNTICA”,  Y  SEÑALA  QUE  “SE  HACE  NECESARIO</w:t>
        <w:br/>
        <w:t>ESTABLECER UNA INSTANCIA ADMINISTRATIVA ADECUADA PARA INICIAR EL PROCESO  DE</w:t>
        <w:br/>
        <w:t>DEMARCACIÓN DE LAS TIERRAS  TRADICIONALES  DE  LAS  COMUNIDADES  INDÍGENAS”.</w:t>
        <w:br/>
        <w:t>CON ESTE PROPÓSITO, EL DECRETO  ASIGNA  A  DICHA  COMISIÓN  NACIONAL,  ENTRE</w:t>
        <w:br/>
        <w:t>OTRAS FUNCIONES, LAS DE IDENTIFICAR LAS  TIERRAS  QUE  TRADICIONALMENTE  HAN</w:t>
        <w:br/>
        <w:t>OCUPADO  LAS  DIFERENTES  COMUNIDADES  INDÍGENAS,  REALIZAR  UN  PROCESO  DE</w:t>
        <w:br/>
        <w:t>ANÁLISIS GEOGRÁFICO QUE DETERMINE  LAS  ÁREAS  COMUNALES  Y  LAS  ESTATALES,</w:t>
        <w:br/>
        <w:t>ELABORAR UN PROYECTO DE  DEMARCACIÓN  Y  GESTIONAR  EL  FINANCIAMIENTO  PARA</w:t>
        <w:br/>
        <w:t>DICHO PROYECTO.</w:t>
        <w:br/>
        <w:br/>
        <w:t>121.  Por su parte, la Ley No. 14 publicada el 13 de enero  de  1986  en  La</w:t>
        <w:br/>
        <w:t>Gaceta No. 8, Diario Oficial de la República de Nicaragua, llamada  “Reforma</w:t>
        <w:br/>
        <w:t>a la Ley de Reforma Agraria”, establece en su artículo 31 que:</w:t>
        <w:br/>
        <w:br/>
        <w:t xml:space="preserve">      El Estado dispondrá de las tierras  necesarias  para  las  comunidades</w:t>
        <w:br/>
        <w:t xml:space="preserve">      miskitas, Sumos, Ramas y demás etnias del Atlántico de Nicaragua,  con</w:t>
        <w:br/>
        <w:t xml:space="preserve">      el propósito de elevar su nivel de vida  y  contribuir  al  desarrollo</w:t>
        <w:br/>
        <w:t xml:space="preserve">      social y económico de la [N]ación.</w:t>
        <w:br/>
        <w:br/>
        <w:t>122.  Con base en lo anterior, la Corte considera evidente la existencia  de</w:t>
        <w:br/>
        <w:t>una normativa que reconoce  y  protege  la  propiedad  comunal  indígena  en</w:t>
        <w:br/>
        <w:t>Nicaragua.</w:t>
        <w:br/>
        <w:br/>
        <w:t>123.  Ahora bien, pareciera que  el  procedimiento  para  la  titulación  de</w:t>
        <w:br/>
        <w:t>tierras ocupadas por grupos indígenas no  está  claramente  regulado  en  la</w:t>
        <w:br/>
        <w:t>legislación nicaragüense.  Según el Estado, el marco jurídico para  conducir</w:t>
        <w:br/>
        <w:t>el proceso de titulación de las comunidades  indígenas  en  el  país  es  el</w:t>
        <w:br/>
        <w:t>establecido en la Ley No. 14, “Reforma a  la  Ley  de  Reforma  Agraria”,  y</w:t>
        <w:br/>
        <w:t>dicho proceso debe adelantarse ante el  Instituto  Nicaragüense  de  Reforma</w:t>
        <w:br/>
        <w:t>Agraria (INRA).  La Ley No. 14 establece los procedimientos para  garantizar</w:t>
        <w:br/>
        <w:t>la propiedad de la tierra a todos aquellos  que  la  trabajan  productiva  y</w:t>
        <w:br/>
        <w:t>eficientemente, después de disponer  que pueden declararse  “afectas”  a  la</w:t>
        <w:br/>
        <w:t>reforma  agraria  las  propiedades  en  abandono,  ociosas,  deficientemente</w:t>
        <w:br/>
        <w:t>explotadas, las tierras dadas en arriendo  o  cedidas  bajo  cualquier  otra</w:t>
        <w:br/>
        <w:t>forma de modalidad, las tierras que no están siendo trabajadas  directamente</w:t>
        <w:br/>
        <w:t>por sus dueños,  sino  por  campesinos  en  mediería,  aparcería,  colonato,</w:t>
        <w:br/>
        <w:t>precarismo u otras formas de explotación campesina, y las tierras que  están</w:t>
        <w:br/>
        <w:t>siendo trabajadas por cooperativas o campesinos organizados  bajo  cualquier</w:t>
        <w:br/>
        <w:t>otra modalidad asociativa.  Sin embargo, considera esta Corte que dicha  Ley</w:t>
        <w:br/>
        <w:t>No. 14 no establece un procedimiento específico para  la  demarcación  y  la</w:t>
        <w:br/>
        <w:t>titulación de las tierras ocupadas por comunidades indígenas,  atendiendo  a</w:t>
        <w:br/>
        <w:t>sus características particulares.</w:t>
        <w:br/>
        <w:br/>
        <w:t>124.   También  del  resto  del  acervo  probatorio  del  presente  caso  se</w:t>
        <w:br/>
        <w:t>desprende que el Estado no dispone de un procedimiento  específico  para  la</w:t>
        <w:br/>
        <w:t>titulación de la tierra comunal indígena.  Varios de los testigos y  peritos</w:t>
        <w:br/>
        <w:t>(Marco Antonio Centeno Caffarena, Galio  Claudio  Enrique  Gurdián  Gurdián,</w:t>
        <w:br/>
        <w:t>Brooklyn Rivera  Bryan,  Charles  Rice  Hale,  Lottie  Marie  Cunningham  de</w:t>
        <w:br/>
        <w:t>Aguirre, Roque de Jesús Roldán Ortega) que comparecieron ante  la  Corte  en</w:t>
        <w:br/>
        <w:t>la audiencia pública sobre el fondo del presente caso  (supra  párrs.  62  y</w:t>
        <w:br/>
        <w:t>83), manifestaron que en  Nicaragua  hay  un  desconocimiento  general,  una</w:t>
        <w:br/>
        <w:t>incertidumbre de  qué  debe  hacerse  y  ante  quién  debe  gestionarse  una</w:t>
        <w:br/>
        <w:t>petición de demarcación y de titulación.</w:t>
        <w:br/>
        <w:br/>
        <w:t>125.  Además, en el  documento  de  marzo  de  1998,  titulado  “Diagnóstico</w:t>
        <w:br/>
        <w:t>general sobre la tenencia de la tierra en las comunidades  indígenas  de  la</w:t>
        <w:br/>
        <w:t>Costa Atlántica”, realizado por el Central American and  Caribbean  Research</w:t>
        <w:br/>
        <w:t>Council, y aportado por el Estado en el presente caso (supra párrs. 64,  65,</w:t>
        <w:br/>
        <w:t>80 y 96),  se  reconoce,  en  su  Marco  General,  “[…]la  ausencia  de  una</w:t>
        <w:br/>
        <w:t>legislación que asigne al INRA las facultades específicas para  titular  las</w:t>
        <w:br/>
        <w:t>tierras comunales indígenas” y se señala que es posible  que  la  existencia</w:t>
        <w:br/>
        <w:t>de “ambigüedades legales haya […] contribuido a la marcada  lentitud  de  la</w:t>
        <w:br/>
        <w:t>respuesta del INRA a las demandas  indígenas  por  la  titulación  comunal”.</w:t>
        <w:br/>
        <w:t>Dicho diagnóstico agrega que</w:t>
        <w:br/>
        <w:br/>
        <w:t xml:space="preserve">      […]existe una incompatibilidad entre las leyes específicas de  Reforma</w:t>
        <w:br/>
        <w:t xml:space="preserve">      Agraria sobre la cuestión de la  tierra  indígena  y  el  ordenamiento</w:t>
        <w:br/>
        <w:t xml:space="preserve">      legal del país.  Ese problema implica confusión legal y conceptual,  y</w:t>
        <w:br/>
        <w:t xml:space="preserve">      contribuye a la ineficacia política de las instituciones encargadas de</w:t>
        <w:br/>
        <w:t xml:space="preserve">      resolver este tema.</w:t>
        <w:br/>
        <w:br/>
        <w:br/>
        <w:t xml:space="preserve">      […]</w:t>
        <w:br/>
        <w:br/>
        <w:br/>
        <w:t xml:space="preserve">      […]en Nicaragua el problema es  que  no  existen  leyes  que  permitan</w:t>
        <w:br/>
        <w:t xml:space="preserve">      concretar los principios constitucionales, o [que] cuando existen  las</w:t>
        <w:br/>
        <w:t xml:space="preserve">      leyes (caso de la Ley de Autonomía) no ha habido  suficiente  voluntad</w:t>
        <w:br/>
        <w:t xml:space="preserve">      política para lograr su reglamentación.</w:t>
        <w:br/>
        <w:br/>
        <w:br/>
        <w:t xml:space="preserve">      […]</w:t>
        <w:br/>
        <w:br/>
        <w:br/>
        <w:t xml:space="preserve">      [Nicaragua] carece de una clara delimitación legal sobre el estatus de</w:t>
        <w:br/>
        <w:t xml:space="preserve">      las  tierras  nacionales  en  relación  con  las   tierras   comunales</w:t>
        <w:br/>
        <w:t xml:space="preserve">      indígenas.</w:t>
        <w:br/>
        <w:br/>
        <w:br/>
        <w:t xml:space="preserve">      […]</w:t>
        <w:br/>
        <w:br/>
        <w:br/>
        <w:t xml:space="preserve">      […] más allá de la  relación  entre  tierra  nacional  y  comunal,  el</w:t>
        <w:br/>
        <w:t xml:space="preserve">      concepto mismo de tierra comunal indígena adolece  de  una  definición</w:t>
        <w:br/>
        <w:t xml:space="preserve">      clara.</w:t>
        <w:br/>
        <w:br/>
        <w:t>126.  POR OTRA PARTE, ESTÁ  PROBADO  QUE  DESDE  1990  NO  SE  HAN  TITULADO</w:t>
        <w:br/>
        <w:t>TIERRAS A COMUNIDADES INDÍGENAS (SUPRA PÁRR. 103.S).</w:t>
        <w:br/>
        <w:br/>
        <w:t>127.  En razón de lo expuesto, esta Corte  considera  que  en  Nicaragua  no</w:t>
        <w:br/>
        <w:t>existe un procedimiento efectivo para  delimitar,  demarcar  y  titular  las</w:t>
        <w:br/>
        <w:t>tierras comunales indígenas.</w:t>
        <w:br/>
        <w:br/>
        <w:t xml:space="preserve">      b)    Diligencias administrativas y judiciales:</w:t>
        <w:br/>
        <w:br/>
        <w:t>128.  Debido a la ausencia de legislación  específica  y  efectiva  para  el</w:t>
        <w:br/>
        <w:t>ejercicio de los derechos de las comunidades indígenas y al hecho de que  el</w:t>
        <w:br/>
        <w:t>Estado ha dispuesto  de  las  tierras  ocupadas  por  comunidades  indígenas</w:t>
        <w:br/>
        <w:t>mediante el otorgamiento de una concesión, el “Diagnóstico general sobre  la</w:t>
        <w:br/>
        <w:t>tenencia de la tierra en las comunidades indígenas de  la  Costa  Atlántica”</w:t>
        <w:br/>
        <w:t>realizado por el Central American and  Caribbean  Research  Council,  señala</w:t>
        <w:br/>
        <w:t>que “se ha recurrido en varias ocasiones al ‘recurso  de  amparo’,  alegando</w:t>
        <w:br/>
        <w:t>que una concesión estatal (normalmente a una  empresa  maderera)  interfiere</w:t>
        <w:br/>
        <w:t>con los derechos comunales de determinada comunidad indígena”.</w:t>
        <w:br/>
        <w:br/>
        <w:t>129.  Está probado que la  Comunidad  Awas  Tingni  han  realizado  diversas</w:t>
        <w:br/>
        <w:t>gestiones ante varias autoridades nicaragüenses (supra párrs. 103.ñ,  o,  p,</w:t>
        <w:br/>
        <w:t>r), a saber:</w:t>
        <w:br/>
        <w:br/>
        <w:t xml:space="preserve">        1. el 11 de julio de  1995  presentó  una  carta  al  Ministro  del</w:t>
        <w:br/>
        <w:t xml:space="preserve">           MARENA, mediante la cual solicitó  que  no  se  avanzara  en  el</w:t>
        <w:br/>
        <w:t xml:space="preserve">           otorgamiento de la concesión  a  la  empresa  SOLCARSA  sin  que</w:t>
        <w:br/>
        <w:t xml:space="preserve">           hubiera un acuerdo con la Comunidad;</w:t>
        <w:br/>
        <w:t xml:space="preserve">        2. en marzo de 1996 presentó una solicitud ante el Consejo Regional</w:t>
        <w:br/>
        <w:t xml:space="preserve">           de la RAAN, con  el  propósito  de  que  se  le  aseguraran  los</w:t>
        <w:br/>
        <w:t xml:space="preserve">           derechos de propiedad sobre sus tierras  comunales  ancestrales,</w:t>
        <w:br/>
        <w:t xml:space="preserve">           de acuerdo con la Constitución Política de Nicaragua, y  de  que</w:t>
        <w:br/>
        <w:t xml:space="preserve">           el Consejo Regional de la  RAAN  impidiera  el  otorgamiento  de</w:t>
        <w:br/>
        <w:t xml:space="preserve">           concesiones para el aprovechamiento de  los  recursos  naturales</w:t>
        <w:br/>
        <w:t xml:space="preserve">           dentro del área sin el consentimiento  de  la  Comunidad.   Esta</w:t>
        <w:br/>
        <w:t xml:space="preserve">           última presentó varias propuestas con el fin de que  delimitaran</w:t>
        <w:br/>
        <w:t xml:space="preserve">           y  reconocieran  oficialmente  sus  tierras   comunales   y   se</w:t>
        <w:br/>
        <w:t xml:space="preserve">           identificaran las tierras estatales en el área;</w:t>
        <w:br/>
        <w:t xml:space="preserve">        3. el 11 de septiembre de 1995 interpuso un recurso de amparo  ante</w:t>
        <w:br/>
        <w:t xml:space="preserve">           el Tribunal  de  Apelaciones  de  Matagalpa,  mediante  el  cual</w:t>
        <w:br/>
        <w:t xml:space="preserve">           solicitó que se suspendiera el “proceso de  otorgamiento  de  la</w:t>
        <w:br/>
        <w:t xml:space="preserve">           concesión solicitada al MARENA por SOLCARSA” y que  ordenara  “a</w:t>
        <w:br/>
        <w:t xml:space="preserve">           los agentes de SOLCARSA […] desalojar las tierras  comunales  de</w:t>
        <w:br/>
        <w:t xml:space="preserve">           Awas Tingni[,] donde actualmente adelantan trabajos tendientes a</w:t>
        <w:br/>
        <w:t xml:space="preserve">           iniciar la explotación de madera”, en virtud de que las acciones</w:t>
        <w:br/>
        <w:t xml:space="preserve">           y  omisiones  impugnadas  “constitu[ían]  violaciones   de   los</w:t>
        <w:br/>
        <w:t xml:space="preserve">           artículos 5, 46,  89  y  180  de  la  Constitución  Política  de</w:t>
        <w:br/>
        <w:t xml:space="preserve">           Nicaragua, l[o]s cuales en su conjunto garantizan  los  derechos</w:t>
        <w:br/>
        <w:t xml:space="preserve">           de propiedad y de uso de las  comunidades  indígenas  sobre  sus</w:t>
        <w:br/>
        <w:t xml:space="preserve">           tierras comunales”.  El 19 de septiembre de 1995 la Sala  de  lo</w:t>
        <w:br/>
        <w:t xml:space="preserve">           Civil  del  Tribunal  de  Apelaciones  de  la  Sexta  Región  de</w:t>
        <w:br/>
        <w:t xml:space="preserve">           Matagalpa declaró inadmisible “por improcedente” este recurso;</w:t>
        <w:br/>
        <w:t xml:space="preserve">        4. el 21 de septiembre de 1995 interpuso un recurso de  amparo  por</w:t>
        <w:br/>
        <w:t xml:space="preserve">           la vía de hecho ante la Corte Suprema de Justicia para  impugnar</w:t>
        <w:br/>
        <w:t xml:space="preserve">           la resolución a que hace referencia el párrafo anterior.  El  27</w:t>
        <w:br/>
        <w:t xml:space="preserve">           de febrero de 1997  la  Corte  Suprema  declaró  sin  lugar  ese</w:t>
        <w:br/>
        <w:t xml:space="preserve">           recurso; y</w:t>
        <w:br/>
        <w:t xml:space="preserve">        5. el 7 de noviembre de 1997 presentó un recurso de amparo ante  la</w:t>
        <w:br/>
        <w:t xml:space="preserve">           Sala de lo Civil del Tribunal de Apelaciones de la Sexta  Región</w:t>
        <w:br/>
        <w:t xml:space="preserve">           de Matagalpa, en contra del Ministro del  MARENA,  del  Director</w:t>
        <w:br/>
        <w:t xml:space="preserve">           General del Servicio Forestal Nacional  del  MARENA,  y  de  los</w:t>
        <w:br/>
        <w:t xml:space="preserve">           miembros de la Junta Directiva  del Consejo Regional de la  RAAN</w:t>
        <w:br/>
        <w:t xml:space="preserve">           durante los períodos 1994-1996 y  1996-1998,  mediante  el  cual</w:t>
        <w:br/>
        <w:t xml:space="preserve">           solicitó, básicamente, que se  declarara  nula  la  concesión  a</w:t>
        <w:br/>
        <w:t xml:space="preserve">           SOLCARSA y se ordenara a la Junta Directiva del Consejo Regional</w:t>
        <w:br/>
        <w:t xml:space="preserve">           de la RAAN que diera trámite a la solicitud presentada en  marzo</w:t>
        <w:br/>
        <w:t xml:space="preserve">           de 1996 con el fin de que “impulsar[a] un proceso para lograr el</w:t>
        <w:br/>
        <w:t xml:space="preserve">           reconocimiento y [c]ertificación  oficial  de  los  derechos  de</w:t>
        <w:br/>
        <w:t xml:space="preserve">           propiedad de la Comunidad sobre sus tierras ancestrales”.  El 12</w:t>
        <w:br/>
        <w:t xml:space="preserve">           de noviembre de 1997 este recurso fue admitido por  dicha  Sala,</w:t>
        <w:br/>
        <w:t xml:space="preserve">           la cual emplazó a las partes para que  se  apersonaran  ante  la</w:t>
        <w:br/>
        <w:t xml:space="preserve">           Corte Suprema de Justicia.  El 14 de octubre de 1998 la Sala  de</w:t>
        <w:br/>
        <w:t xml:space="preserve">           lo Constitucional  de  la  Corte  Suprema  de  Justicia  declaró</w:t>
        <w:br/>
        <w:t xml:space="preserve">           “improcedente por extemporáneo el recurso de amparo”.</w:t>
        <w:br/>
        <w:br/>
        <w:t>130.  Además de dichas gestiones,  el  29  de  marzo  de  1996  los  señores</w:t>
        <w:br/>
        <w:t>Alfonso  Smith  Warman  y  Humberto  Thompson  Sang,  miembros  del  Consejo</w:t>
        <w:br/>
        <w:t>Regional de la RAAN, interpusieron un recurso de amparo ante el Tribunal  de</w:t>
        <w:br/>
        <w:t>Apelaciones de Matagalpa, en contra del Ministro del MARENA y  del  Director</w:t>
        <w:br/>
        <w:t>de la Administración Forestal Nacional del  MARENA,  por  haber  “firmado  y</w:t>
        <w:br/>
        <w:t>avalado” la  concesión  forestal  a  SOLCARSA  sin  que  ésta  hubiera  sido</w:t>
        <w:br/>
        <w:t>discutida y evaluada en el  pleno  del  Consejo  Regional  de  la  RAAN,  en</w:t>
        <w:br/>
        <w:t>violación del artículo 181 de la Constitución Política de Nicaragua.   El  9</w:t>
        <w:br/>
        <w:t>de abril de 1996 la Sala Civil del  Tribunal  de  Apelaciones  de  Matagalpa</w:t>
        <w:br/>
        <w:t>admitió el recurso de amparo interpuesto,  ordenó  ponerlo  en  conocimiento</w:t>
        <w:br/>
        <w:t>del Procurador General de la República, denegó la  solicitud  de  suspensión</w:t>
        <w:br/>
        <w:t>del acto impugnado, lo remitió a la Corte Suprema  de  Justicia,  previno  a</w:t>
        <w:br/>
        <w:t>los funcionarios  recurridos  que  enviaran  un  informe  escrito  sobre  lo</w:t>
        <w:br/>
        <w:t>actuado a la Corte Suprema de Justicia y emplazó a las partes  para  que  se</w:t>
        <w:br/>
        <w:t>apersonaran ante la Corte Suprema para hacer uso de sus derechos.  El 27  de</w:t>
        <w:br/>
        <w:t>febrero de 1997 la  Sala  de  lo  Constitucional  de  la  Corte  Suprema  de</w:t>
        <w:br/>
        <w:t>Justicia declaró con lugar el recurso de amparo interpuesto y  resolvió  que</w:t>
        <w:br/>
        <w:t>la concesión era inconstitucional ya que no  fue  aprobada  por  el  Consejo</w:t>
        <w:br/>
        <w:t>Regional de la RAAN  sino  por  la  Junta  Directiva  del  mismo  y  por  el</w:t>
        <w:br/>
        <w:t>Coordinador Regional de la RAAN.  El 22 de enero de 1998  Humberto  Thompson</w:t>
        <w:br/>
        <w:t>Sang presentó un escrito ante la Corte Suprema  de  Justicia  de  Nicaragua,</w:t>
        <w:br/>
        <w:t>mediante el cual solicitó la ejecución de la Sentencia No. 12 dictada el  27</w:t>
        <w:br/>
        <w:t>de febrero de 1997.  El 13 de febrero de 1998 la Sala de  lo  Constitucional</w:t>
        <w:br/>
        <w:t>de la Corte Suprema de Justicia  emitió  una  resolución  mediante  la  cual</w:t>
        <w:br/>
        <w:t>ordenó poner en conocimiento del Presidente de Nicaragua  el  incumplimiento</w:t>
        <w:br/>
        <w:t>de la Sentencia No. 12 de 27 de febrero de 1997 por parte del  Ministro  del</w:t>
        <w:br/>
        <w:t>MARENA, con el fin de que ordenara a este último el debido  cumplimiento  de</w:t>
        <w:br/>
        <w:t>la misma y, además, informa a la Asamblea Nacional de Nicaragua al  respecto</w:t>
        <w:br/>
        <w:t>(supra párr. 103. q).</w:t>
        <w:br/>
        <w:br/>
        <w:t>131.  En el marco del examen de los recursos sencillos, rápidos y  efectivos</w:t>
        <w:br/>
        <w:t>que contempla la disposición en estudio, esta  Corte  ha  sostenido  que  la</w:t>
        <w:br/>
        <w:t>institución procesal del amparo reúne las  características  necesarias  para</w:t>
        <w:br/>
        <w:t>la tutela efectiva de los derechos fundamentales[50], esto  es,  la  de  ser</w:t>
        <w:br/>
        <w:t>sencilla y breve.  En  el  contexto  nicaragüense,  de  conformidad  con  el</w:t>
        <w:br/>
        <w:t>procedimiento establecido para los recursos de  amparo  en  la  Ley  No.  49</w:t>
        <w:br/>
        <w:t>publicada en la Gaceta No. 241 de 1988, llamada “Ley de Amparo”,  éste  debe</w:t>
        <w:br/>
        <w:t>ser resuelto dentro de 45 días.</w:t>
        <w:br/>
        <w:br/>
        <w:t>132.  En el presente caso, el primer recurso de amparo fue interpuesto  ante</w:t>
        <w:br/>
        <w:t>el Tribunal de Apelaciones de Matagalpa  el  11  de  septiembre  de  1995  y</w:t>
        <w:br/>
        <w:t>resuelto mediante decisión judicial del 19 de  los  mismos  mes  y  año,  es</w:t>
        <w:br/>
        <w:t>decir, ocho días después.  Debido a que  el  trámite  a  dicho  recurso  fue</w:t>
        <w:br/>
        <w:t>denegado, el 21 de septiembre de 1995 los  representantes  de  la  Comunidad</w:t>
        <w:br/>
        <w:t>interpusieron un recurso de hecho ante la Corte Suprema de Justicia,  tal  y</w:t>
        <w:br/>
        <w:t>como lo estipula el artículo 25 de la Ley de Amparo.  El 27  de  febrero  de</w:t>
        <w:br/>
        <w:t>1997 la Corte Suprema de Justicia declaró sin lugar este recurso.  La  Corte</w:t>
        <w:br/>
        <w:t>Interamericana  observa  que  la  primera  de  las   aludidas   resoluciones</w:t>
        <w:br/>
        <w:t>judiciales fue dictada dentro de un plazo razonable.   Sin  embargo,  en  la</w:t>
        <w:br/>
        <w:t>tramitación del recurso interpuesto mediante la vía  de  hecho,  transcurrió</w:t>
        <w:br/>
        <w:t>un año, cinco meses y seis días antes de que  éste  fuera  resuelto  por  la</w:t>
        <w:br/>
        <w:t>Corte Suprema de Justicia.</w:t>
        <w:br/>
        <w:br/>
        <w:t>133.   El segundo recurso de amparo fue  interpuesto  ante  la  Sala  de  lo</w:t>
        <w:br/>
        <w:t>Civil del Tribunal de Apelaciones de la Sexta Región de Matagalpa  el  7  de</w:t>
        <w:br/>
        <w:t>noviembre de 1997, admitido por ésta el 12  de  los  mismos  mes  y  año,  y</w:t>
        <w:br/>
        <w:t>resuelto por la Sala de lo Constitucional de la Corte  Suprema  de  Justicia</w:t>
        <w:br/>
        <w:t>el 14 de octubre de 1998.  Es decir, transcurrieron 11 meses  y  siete  días</w:t>
        <w:br/>
        <w:t>desde la interposición del recurso hasta que fuera resuelto.</w:t>
        <w:br/>
        <w:br/>
        <w:t>134.  En razón de los criterios establecidos en la materia por esta Corte  y</w:t>
        <w:br/>
        <w:t>en consideración de los alcances de la razonabilidad del plazo  en  procesos</w:t>
        <w:br/>
        <w:t>judiciales[51], puede afirmarse que el procedimiento que se siguió ante  las</w:t>
        <w:br/>
        <w:t>diversas instancias que conocieron de los amparos en  este  caso  desconoció</w:t>
        <w:br/>
        <w:t>el principio de plazo razonable consagrado en la  Convención  Americana.  De</w:t>
        <w:br/>
        <w:t>acuerdo  con  los  criterios  de  este  Tribunal,  los  recursos  de  amparo</w:t>
        <w:br/>
        <w:t>resultarán ilusorios e inefectivos, si en la adopción de la  decisión  sobre</w:t>
        <w:br/>
        <w:t>éstos incurre en un retardo injustificado.[52]</w:t>
        <w:br/>
        <w:br/>
        <w:t>135.   Además, la Corte ya ha dicho que el artículo 25 de la  Convención  se</w:t>
        <w:br/>
        <w:t>encuentra íntimamente ligado con la obligación general del artículo  1.1  de</w:t>
        <w:br/>
        <w:t>la misma, que atribuye funciones de protección al  derecho  interno  de  los</w:t>
        <w:br/>
        <w:t>Estados  Partes,  de  lo  cual  se  desprende  que  el   Estado   tiene   la</w:t>
        <w:br/>
        <w:t>responsabilidad de diseñar y consagrar  normativamente  un  recurso  eficaz,</w:t>
        <w:br/>
        <w:t>así como la de asegurar la debida aplicación de dicho recurso por  parte  de</w:t>
        <w:br/>
        <w:t>sus autoridades judiciales.[53]</w:t>
        <w:br/>
        <w:br/>
        <w:t>136.  En el mismo sentido, el Tribunal ha manifestado que</w:t>
        <w:br/>
        <w:br/>
        <w:t xml:space="preserve">      [e]l deber general del artículo 2 de la Convención  Americana  implica</w:t>
        <w:br/>
        <w:t xml:space="preserve">      la adopción de medidas en dos vertientes.  Por una parte, la supresión</w:t>
        <w:br/>
        <w:t xml:space="preserve">      de las  normas  y  prácticas  de  cualquier  naturaleza  que  entrañen</w:t>
        <w:br/>
        <w:t xml:space="preserve">      violación a las garantías previstas en la Convención.  Por la otra, la</w:t>
        <w:br/>
        <w:t xml:space="preserve">      expedición de normas y el desarrollo de  prácticas  conducentes  a  la</w:t>
        <w:br/>
        <w:t xml:space="preserve">      efectiva observancia de dichas garantías.[54]</w:t>
        <w:br/>
        <w:br/>
        <w:t>137.  Como ya fue señalado, en  este  caso  Nicaragua  no  ha  adoptado  las</w:t>
        <w:br/>
        <w:t>medidas  adecuadas  de  derecho  interno  que  permitan   la   delimitación,</w:t>
        <w:br/>
        <w:t>demarcación y la titulación de las tierras de comunidades indígenas y no  se</w:t>
        <w:br/>
        <w:t>ciñó a un plazo razonable para la tramitación  de  los  recursos  de  amparo</w:t>
        <w:br/>
        <w:t>interpuestos por los miembros de la Comunidad Awas Tingni.</w:t>
        <w:br/>
        <w:br/>
        <w:t>138.  La Corte considera que  es  necesario  hacer  efectivos  los  derechos</w:t>
        <w:br/>
        <w:t>reconocidos en la Constitución Política y en  la  legislación  nicaragüense,</w:t>
        <w:br/>
        <w:t>de conformidad con la Convención  Americana.   En  consecuencia,  el  Estado</w:t>
        <w:br/>
        <w:t>debe adoptar en su derecho interno, de conformidad con el artículo 2  de  la</w:t>
        <w:br/>
        <w:t>Convención  Americana,  las  medidas  legislativas,  administrativas  y   de</w:t>
        <w:br/>
        <w:t>cualquier  otro  carácter  que  sean  necesarias  para  crear  un  mecanismo</w:t>
        <w:br/>
        <w:t>efectivo de delimitación, demarcación y titulación de la  propiedad  de  los</w:t>
        <w:br/>
        <w:t>miembros de  la  Comunidad  Mayagna  Awas  Tingni,  acorde  con  el  derecho</w:t>
        <w:br/>
        <w:t>consuetudinario, valores, usos y costumbres de ésta.</w:t>
        <w:br/>
        <w:br/>
        <w:t>139.  Por todo lo expuesto,  la  Corte  concluye  que  el  Estado  violó  el</w:t>
        <w:br/>
        <w:t>artículo 25 de la Convención Americana, en perjuicio de los miembros  de  la</w:t>
        <w:br/>
        <w:t>Comunidad Mayagna (Sumo) Awas Tingni, en conexión con los artículos 1.1 y  2</w:t>
        <w:br/>
        <w:t>de la Convención.</w:t>
        <w:br/>
        <w:br/>
        <w:br/>
        <w:t xml:space="preserve">                                     IX</w:t>
        <w:br/>
        <w:t xml:space="preserve">                          Violación del Artículo 21</w:t>
        <w:br/>
        <w:t xml:space="preserve">                     Derecho a la Propiedad Privada[55]</w:t>
        <w:br/>
        <w:br/>
        <w:br/>
        <w:t>Alegatos de la Comisión</w:t>
        <w:br/>
        <w:br/>
        <w:t>140.  En cuanto al artículo 21 de la Convención, la Comisión alegó que:</w:t>
        <w:br/>
        <w:br/>
        <w:t xml:space="preserve">      a)    la Comunidad  Mayagna  tiene  derechos  comunales  de  propiedad</w:t>
        <w:br/>
        <w:t xml:space="preserve">      sobre tierras y recursos naturales con base en patrones  tradicionales</w:t>
        <w:br/>
        <w:t xml:space="preserve">      de uso y ocupación territorial ancestral. Estos derechos “existen  aún</w:t>
        <w:br/>
        <w:t xml:space="preserve">      sin actos estatales que los precisen”.  La tenencia  tradicional  está</w:t>
        <w:br/>
        <w:t xml:space="preserve">      ligada a una continuidad histórica, pero no necesariamente a  un  sólo</w:t>
        <w:br/>
        <w:t xml:space="preserve">      lugar y a una sola conformación social a través  de  los  siglos.   El</w:t>
        <w:br/>
        <w:t xml:space="preserve">      territorio global de la Comunidad  es  poseído  colectivamente  y  los</w:t>
        <w:br/>
        <w:t xml:space="preserve">      individuos  y  familias  gozan  de  derechos  subsidiarios  de  uso  y</w:t>
        <w:br/>
        <w:t xml:space="preserve">      ocupación;</w:t>
        <w:br/>
        <w:br/>
        <w:t xml:space="preserve">      b)    los patrones tradicionales de uso y ocupación territorial de las</w:t>
        <w:br/>
        <w:t xml:space="preserve">      comunidades indígenas de  la  Costa  Atlántica  de  Nicaragua  generan</w:t>
        <w:br/>
        <w:t xml:space="preserve">      sistemas consuetudinarios de  propiedad,  son  derechos  de  propiedad</w:t>
        <w:br/>
        <w:t xml:space="preserve">      creados por las prácticas  y  normas  consuetudinarias  indígenas  que</w:t>
        <w:br/>
        <w:t xml:space="preserve">      deben ser protegidos, y  que  califican  como  derechos  de  propiedad</w:t>
        <w:br/>
        <w:t xml:space="preserve">      amparados por el artículo 21 de la Convención.   El  no  reconocer  la</w:t>
        <w:br/>
        <w:t xml:space="preserve">      igualdad de los derechos de propiedad basados en la tradición indígena</w:t>
        <w:br/>
        <w:t xml:space="preserve">      es contrario al principio  de  no  discriminación  contemplado  en  el</w:t>
        <w:br/>
        <w:t xml:space="preserve">      artículo 1.1 de la Convención;</w:t>
        <w:br/>
        <w:br/>
        <w:t xml:space="preserve">      c)    la Constitución Política  de  Nicaragua  y  el  Estatuto  de  la</w:t>
        <w:br/>
        <w:t xml:space="preserve">      Autonomía de las Regiones de la Costa Atlántica de Nicaragua reconocen</w:t>
        <w:br/>
        <w:t xml:space="preserve">      derechos  de  propiedad  cuyo  origen  se  encuentra  en  el   sistema</w:t>
        <w:br/>
        <w:t xml:space="preserve">      consuetudinario de tenencia de tierra que ha existido tradicionalmente</w:t>
        <w:br/>
        <w:t xml:space="preserve">      en las comunidades indígenas  de  la  Costa  Atlántica.   Además,  los</w:t>
        <w:br/>
        <w:t xml:space="preserve">      derechos de la Comunidad se encuentran protegidos  por  la  Convención</w:t>
        <w:br/>
        <w:t xml:space="preserve">      Americana y por disposiciones de otras convenciones internacionales en</w:t>
        <w:br/>
        <w:t xml:space="preserve">      las cuales Nicaragua es parte;</w:t>
        <w:br/>
        <w:br/>
        <w:t xml:space="preserve">      d)     existe  una  norma  de  derecho  internacional  consuetudinario</w:t>
        <w:br/>
        <w:t xml:space="preserve">      mediante la cual se afirman los  derechos  de  los  pueblos  indígenas</w:t>
        <w:br/>
        <w:t xml:space="preserve">      sobre sus tierras tradicionales;</w:t>
        <w:br/>
        <w:br/>
        <w:t xml:space="preserve">      e)    el Estado no ha demarcado ni titulado las tierras  comunales  de</w:t>
        <w:br/>
        <w:t xml:space="preserve">      la Comunidad AwasTingni ni ha  tomado  otras  medidas  efectivas  para</w:t>
        <w:br/>
        <w:t xml:space="preserve">      asegurar los derechos de propiedad de  la  Comunidad  en  sus  tierras</w:t>
        <w:br/>
        <w:t xml:space="preserve">      ancestrales y recursos naturales;</w:t>
        <w:br/>
        <w:br/>
        <w:t xml:space="preserve">       f)     la  vida   de   los   miembros   de   la   Comunidad   depende</w:t>
        <w:br/>
        <w:t xml:space="preserve">      fundamentalmente de la agricultura, la caza y la pesca que realizan en</w:t>
        <w:br/>
        <w:t xml:space="preserve">      áreas cercanas a sus aldeas.  La relación que  la  Comunidad  mantiene</w:t>
        <w:br/>
        <w:t xml:space="preserve">      con sus tierras y recursos se encuentra protegida bajo otros  derechos</w:t>
        <w:br/>
        <w:t xml:space="preserve">      contemplados en la Convención Americana, tales como el  derecho  a  la</w:t>
        <w:br/>
        <w:t xml:space="preserve">      vida, la honra y la dignidad, la libertad de conciencia y de religión,</w:t>
        <w:br/>
        <w:t xml:space="preserve">      la libertad de asociación, la protección a la familia, y el derecho de</w:t>
        <w:br/>
        <w:t xml:space="preserve">      circulación y residencia;</w:t>
        <w:br/>
        <w:br/>
        <w:t xml:space="preserve">      g)    la Comisión Nacional para la Demarcación de las Tierras  de  las</w:t>
        <w:br/>
        <w:t xml:space="preserve">      Comunidades Indígenas de la Costa Atlántica,  creada  con  el  fin  de</w:t>
        <w:br/>
        <w:t xml:space="preserve">      elaborar un “Proyecto de Demarcación”, no ha contribuido a la creación</w:t>
        <w:br/>
        <w:t xml:space="preserve">      de un mecanismo para la demarcación de tierras de  los  indígenas  que</w:t>
        <w:br/>
        <w:t xml:space="preserve">      cuente con una participación plena de estos;</w:t>
        <w:br/>
        <w:br/>
        <w:br/>
        <w:t xml:space="preserve">      h)    la mayoría de los pobladores  de  Awas  Tingni  llegaron  en  la</w:t>
        <w:br/>
        <w:t xml:space="preserve">      década de 1940 al lugar en donde actualmente  tienen  su  asentamiento</w:t>
        <w:br/>
        <w:t xml:space="preserve">      principal, provenientes de su lugar ancestral  antiguo:  Tuburús.   Se</w:t>
        <w:br/>
        <w:t xml:space="preserve">      dio un  movimiento  de  un  lugar  a  otro  dentro  de  su  territorio</w:t>
        <w:br/>
        <w:t xml:space="preserve">      ancestral;  los  ancestros  Mayagnas  estuvieron  ahí  desde   tiempos</w:t>
        <w:br/>
        <w:t xml:space="preserve">      inmemoriales;</w:t>
        <w:br/>
        <w:br/>
        <w:br/>
        <w:t xml:space="preserve">      i)    existen tierras que son compartidas  tradicionalmente  por  Awas</w:t>
        <w:br/>
        <w:t xml:space="preserve">      Tingni y  otras  comunidades.   El  concepto  de  la  propiedad  puede</w:t>
        <w:br/>
        <w:t xml:space="preserve">      consistir en un dominio compartido o en derechos de acceso y  uso,  de</w:t>
        <w:br/>
        <w:t xml:space="preserve">      acuerdo con las costumbres de las comunidades indígenas  de  la  Costa</w:t>
        <w:br/>
        <w:t xml:space="preserve">      Atlántica;</w:t>
        <w:br/>
        <w:br/>
        <w:br/>
        <w:t xml:space="preserve">      j)    el Estado violó el artículo 21 de la Convención al  otorgarle  a</w:t>
        <w:br/>
        <w:t xml:space="preserve">      la compañía SOLCARSA la concesión para el corte de madera  en  tierras</w:t>
        <w:br/>
        <w:t xml:space="preserve">      tradicionalmente ocupadas por la  Comunidad,  concesión  que  puso  en</w:t>
        <w:br/>
        <w:t xml:space="preserve">      peligro el goce de los  derechos  de  las  comunidades  indígenas,  al</w:t>
        <w:br/>
        <w:t xml:space="preserve">      considerar como tierras estatales todas aquellas que no se  encuentran</w:t>
        <w:br/>
        <w:t xml:space="preserve">      registradas bajo un título formal de dominio;</w:t>
        <w:br/>
        <w:br/>
        <w:br/>
        <w:t xml:space="preserve">      k)    los miembros de  la  Comunidad  “ocupan  y  utilizan  una  parte</w:t>
        <w:br/>
        <w:t xml:space="preserve">      substancial del área de la concesión”.  La  concesión  otorgada  a  la</w:t>
        <w:br/>
        <w:t xml:space="preserve">      compañía  SOLCARSA  puso  en  peligro  los  intereses  económicos,  la</w:t>
        <w:br/>
        <w:t xml:space="preserve">      supervivencia y la integridad cultural de la Comunidad y sus miembros.</w:t>
        <w:br/>
        <w:t xml:space="preserve">       “[L]as operaciones forestales  de  SOLCARSA   […]  al  llegar  a  las</w:t>
        <w:br/>
        <w:t xml:space="preserve">      tierras  usadas  y  ocupadas   por  la  Comunidad  Awas   Tingni,   en</w:t>
        <w:br/>
        <w:t xml:space="preserve">      particular,  podrían  haber  causado  daño  a  los  bosques  de   esta</w:t>
        <w:br/>
        <w:t xml:space="preserve">      Comunidad”.  La concesión y los actos estatales relacionados con  ésta</w:t>
        <w:br/>
        <w:t xml:space="preserve">      constituyen una violación del derecho a la propiedad;</w:t>
        <w:br/>
        <w:br/>
        <w:br/>
        <w:t xml:space="preserve">      l)    la complejidad del asunto no es excusa para  que  el  Estado  no</w:t>
        <w:br/>
        <w:t xml:space="preserve">      cumpla con  sus  obligaciones,  y  para  que  administre  las  tierras</w:t>
        <w:br/>
        <w:t xml:space="preserve">      indígenas no tituladas como tierras estatales;</w:t>
        <w:br/>
        <w:br/>
        <w:t xml:space="preserve">      m)    el artículo 181 de la  Constitución  Política  de  Nicaragua  se</w:t>
        <w:br/>
        <w:t xml:space="preserve">      refiere a la aprobación de concesiones por el Estado  con  respecto  a</w:t>
        <w:br/>
        <w:t xml:space="preserve">      tierras bajo su dominio,  y  no  al  aprovechamiento  de  recursos  en</w:t>
        <w:br/>
        <w:t xml:space="preserve">      tierras comunales.  Con base en este artículo, el MARENA y el  Consejo</w:t>
        <w:br/>
        <w:t xml:space="preserve">      Regional de la RAAN no se  encuentran  facultados  para  autorizar  el</w:t>
        <w:br/>
        <w:t xml:space="preserve">      corte de madera en tierras privadas o comunales sin el  consentimiento</w:t>
        <w:br/>
        <w:t xml:space="preserve">      del propietario;</w:t>
        <w:br/>
        <w:br/>
        <w:t xml:space="preserve">      n)    el Estado  debe  adoptar  medidas  adecuadas  para  demarcar  la</w:t>
        <w:br/>
        <w:t xml:space="preserve">      propiedad de la Comunidad y garantizar plenamente los derechos de ésta</w:t>
        <w:br/>
        <w:t xml:space="preserve">      sobre sus tierras y recursos;</w:t>
        <w:br/>
        <w:br/>
        <w:t xml:space="preserve">      ñ)    en el presente caso se debe interpretar la Convención  Americana</w:t>
        <w:br/>
        <w:t xml:space="preserve">      incluyendo los principios sobre los derechos colectivos de los pueblos</w:t>
        <w:br/>
        <w:t xml:space="preserve">      indígenas, en aplicación del artículo 29 de la Convención; y</w:t>
        <w:br/>
        <w:br/>
        <w:br/>
        <w:t xml:space="preserve">      o)    el otorgamiento de la concesión a  SOLCARSA  y  la  omisión  del</w:t>
        <w:br/>
        <w:t xml:space="preserve">      Estado consistente en no tomar medidas  que  permitan  garantizar  los</w:t>
        <w:br/>
        <w:t xml:space="preserve">      derechos de la Comunidad Awas Tingni sobre la tierra  y  los  recursos</w:t>
        <w:br/>
        <w:t xml:space="preserve">      naturales,  de  acuerdo  con  sus  patrones  tradicionales  de  uso  y</w:t>
        <w:br/>
        <w:t xml:space="preserve">      ocupación, violó los artículos 1 y 2 de la Convención.</w:t>
        <w:br/>
        <w:br/>
        <w:br/>
        <w:t>Alegatos del Estado</w:t>
        <w:br/>
        <w:br/>
        <w:br/>
        <w:t>141.  En cuanto al artículo 21 de la Convención, el Estado alegó que:</w:t>
        <w:br/>
        <w:br/>
        <w:br/>
        <w:t xml:space="preserve">      a)    existen “circunstancias particularizantes que sitúan el presente</w:t>
        <w:br/>
        <w:t xml:space="preserve">      reclamo fuera del  ámbito  ordinario  del  derecho  indigenista”.   La</w:t>
        <w:br/>
        <w:t xml:space="preserve">      Comunidad  es  un  grupo  reducido  de  indígenas  resultante  de  una</w:t>
        <w:br/>
        <w:t xml:space="preserve">      segregación comunal y de  desplazamientos  geográficos  sucesivos;  su</w:t>
        <w:br/>
        <w:t xml:space="preserve">      presencia en la región no  ha  sido  suficientemente  documentada;  se</w:t>
        <w:br/>
        <w:t xml:space="preserve">      encuentra en posesión de tierras que no tienen  carácter  ancestral  y</w:t>
        <w:br/>
        <w:t xml:space="preserve">      que han sido tituladas parcialmente a terceras comunidades  indígenas,</w:t>
        <w:br/>
        <w:t xml:space="preserve">      o  bien  otras  comunidades  afirman  tener  un  derecho  de  posesión</w:t>
        <w:br/>
        <w:t xml:space="preserve">      ancestral anterior al derecho alegado por Awas Tingni.   Los  reclamos</w:t>
        <w:br/>
        <w:t xml:space="preserve">      de tierras de diferentes grupos étnicos ha causado la existencia de un</w:t>
        <w:br/>
        <w:t xml:space="preserve">      complejo conflicto de intereses, que requiere de un  cuidadoso  examen</w:t>
        <w:br/>
        <w:t xml:space="preserve">      de parte de las  autoridades  nacionales  y  un  delicado  proceso  de</w:t>
        <w:br/>
        <w:t xml:space="preserve">      solución  de  esos  conflictos  que  genere  seguridad  jurídica.   La</w:t>
        <w:br/>
        <w:t xml:space="preserve">      Comunidad admitió que dentro de su población  se  encuentran  personas</w:t>
        <w:br/>
        <w:t xml:space="preserve">      procedentes de la comunidad  indígena  de  Tilba-Lupia,  la  cual  fue</w:t>
        <w:br/>
        <w:t xml:space="preserve">      titulada por el Estado;</w:t>
        <w:br/>
        <w:br/>
        <w:br/>
        <w:t xml:space="preserve">      b)    mediante la Ley No. 14  conocida  como  “Reforma  a  la  Ley  de</w:t>
        <w:br/>
        <w:t xml:space="preserve">      Reforma Agraria”, se  estableció  un  marco  legal  para  conducir  la</w:t>
        <w:br/>
        <w:t xml:space="preserve">      titulación de la propiedad comunal indígena. Al amparo de esta ley “se</w:t>
        <w:br/>
        <w:t xml:space="preserve">      efectuaron numerosas titulaciones de tierras comunales indígenas”. Sin</w:t>
        <w:br/>
        <w:t xml:space="preserve">      embargo, la Comunidad no ha dirigido petición alguna de demarcación  y</w:t>
        <w:br/>
        <w:t xml:space="preserve">      titulación a las autoridades gubernamentales competentes;</w:t>
        <w:br/>
        <w:br/>
        <w:t xml:space="preserve">      c)    la Comunidad ha reconocido en diferentes  ocasiones  haber  sido</w:t>
        <w:br/>
        <w:t xml:space="preserve">      titulada y lo señaló expresamente en el contrato que  celebró  con  la</w:t>
        <w:br/>
        <w:t xml:space="preserve">      empresa MADENSA;</w:t>
        <w:br/>
        <w:br/>
        <w:br/>
        <w:t xml:space="preserve">      d)    la Comisión no logró probar la presencia de Awas Tingni  en  las</w:t>
        <w:br/>
        <w:t xml:space="preserve">      tierras reclamadas con anterioridad al año 1945; la misma Comunidad ha</w:t>
        <w:br/>
        <w:t xml:space="preserve">      reconocido que la posesión de las tierras que  reclama  se  remonta  a</w:t>
        <w:br/>
        <w:t xml:space="preserve">      dicho año.  El Estado considera que  se  trata  de  un  grupo  que  se</w:t>
        <w:br/>
        <w:t xml:space="preserve">      desprendió de una comunidad indígena “madre”, pero que reclama para sí</w:t>
        <w:br/>
        <w:t xml:space="preserve">      una titulación separada  e  independiente  sobre  tierras  que  no  ha</w:t>
        <w:br/>
        <w:t xml:space="preserve">      poseído en forma ancestral;</w:t>
        <w:br/>
        <w:br/>
        <w:t xml:space="preserve">      e)    en este caso no opera la  prescripción  adquisitiva  ya  que  la</w:t>
        <w:br/>
        <w:t xml:space="preserve">      Comunidad Mayagna ejerció una posesión “precaria”;</w:t>
        <w:br/>
        <w:t xml:space="preserve">      f)    el proceso de titulación indígena de las comunidades de la Costa</w:t>
        <w:br/>
        <w:t xml:space="preserve">      Atlántica se caracteriza por ser complejo,  debido  a  las  siguientes</w:t>
        <w:br/>
        <w:t xml:space="preserve">      circunstancias: a) el fenómeno de  proliferación  de  las  comunidades</w:t>
        <w:br/>
        <w:t xml:space="preserve">      indígenas, como consecuencia de la desmembración de grupos  de  éstas;</w:t>
        <w:br/>
        <w:t xml:space="preserve">      b) el fenómeno de agrupación y reagrupación de  comunidades  indígenas</w:t>
        <w:br/>
        <w:t xml:space="preserve">      tituladas y no tituladas; c) el fenómeno  del  desplazamiento  de  las</w:t>
        <w:br/>
        <w:t xml:space="preserve">      comunidades indígenas para ocupar tierras que no son  ancestrales;  d)</w:t>
        <w:br/>
        <w:t xml:space="preserve">      el fenómeno de comunidades indígenas tituladas  que  reclaman  tierras</w:t>
        <w:br/>
        <w:t xml:space="preserve">      ancestrales como si nunca hubieran sido tituladas, y e) grupos humanos</w:t>
        <w:br/>
        <w:t xml:space="preserve">      que reclaman títulos indígenas sin  haber  acreditado  formalmente  su</w:t>
        <w:br/>
        <w:t xml:space="preserve">      condición de comunidad indígena conforme a la ley;</w:t>
        <w:br/>
        <w:br/>
        <w:br/>
        <w:t xml:space="preserve">      g)    la extensión  superficial  de  las  tierras  reclamadas  por  la</w:t>
        <w:br/>
        <w:t xml:space="preserve">      Comunidad no guarda  proporción  con  el  número  de  miembros  de  la</w:t>
        <w:br/>
        <w:t xml:space="preserve">      Comunidad, por lo cual a ésta no le asiste el derecho en los  términos</w:t>
        <w:br/>
        <w:t xml:space="preserve">      planteados en su reclamo. La Comunidad Mayagna dice  estar  conformada</w:t>
        <w:br/>
        <w:t xml:space="preserve">      por  aproximadamente  600  personas  e  irracionalmente  pretende   el</w:t>
        <w:br/>
        <w:t xml:space="preserve">      otorgamiento de una  extensión  de  alrededor  de  150,000  hectáreas,</w:t>
        <w:br/>
        <w:t xml:space="preserve">      pretensión que excede las necesidades de subsistencia de sus miembros.</w:t>
        <w:br/>
        <w:t xml:space="preserve">      La biodiversidad de la zona no justifica los  grandes  desplazamientos</w:t>
        <w:br/>
        <w:t xml:space="preserve">      para la caza  y  la  pesca  que  parece  ser  un  argumento  que  está</w:t>
        <w:br/>
        <w:t xml:space="preserve">      utilizando  la  Comunidad  para  acrecer  la   superficie   que   está</w:t>
        <w:br/>
        <w:t xml:space="preserve">      reclamando.  Además, un censo de 1995 indica que el número de miembros</w:t>
        <w:br/>
        <w:t xml:space="preserve">      de la Comunidad es de 576 personas, de las cuales solamente un 43% son</w:t>
        <w:br/>
        <w:t xml:space="preserve">      mayagnas;</w:t>
        <w:br/>
        <w:br/>
        <w:br/>
        <w:t xml:space="preserve">      h)    mediante las peticiones que la Comunidad Awas Tingni presentó  a</w:t>
        <w:br/>
        <w:t xml:space="preserve">      autoridades incompetentes fue aumentando la superficie  reclamada,  lo</w:t>
        <w:br/>
        <w:t xml:space="preserve">      cual evidenció la mala fe de sus  actuaciones  y  obstaculizó  que  se</w:t>
        <w:br/>
        <w:t xml:space="preserve">      lograra “un arreglo expedito”;</w:t>
        <w:br/>
        <w:br/>
        <w:br/>
        <w:t xml:space="preserve">      i)    la concesión forestal otorgada a la compañía SOLCARSA se  limitó</w:t>
        <w:br/>
        <w:t xml:space="preserve">      a áreas consideradas como tierras nacionales.  Desde que se inició  el</w:t>
        <w:br/>
        <w:t xml:space="preserve">      proceso de titulación en  la  Costa  Atlántica  el  Estado  ha  dejado</w:t>
        <w:br/>
        <w:t xml:space="preserve">      “corredores” o “zonas de  bienes  nacionales”  entre  las  comunidades</w:t>
        <w:br/>
        <w:t xml:space="preserve">      indígenas cuyas  tierras  ya  han  sido  tituladas.   Las  autoridades</w:t>
        <w:br/>
        <w:t xml:space="preserve">      nacionales del MARENA otorgaron una concesión forestal en una fracción</w:t>
        <w:br/>
        <w:t xml:space="preserve">      de un área tenida como “corredor de tierras nacionales”, y ninguna  de</w:t>
        <w:br/>
        <w:t xml:space="preserve">      las comunidades la impugnó “por estar conscientes [de]  que  la  misma</w:t>
        <w:br/>
        <w:t xml:space="preserve">      recaía sobre una fracción del corredor de tierras nacionales existente</w:t>
        <w:br/>
        <w:t xml:space="preserve">      entre ellas”.  Sin embargo, la Comunidad Mayagna reclama la  totalidad</w:t>
        <w:br/>
        <w:t xml:space="preserve">      de la superficie;</w:t>
        <w:br/>
        <w:br/>
        <w:br/>
        <w:t xml:space="preserve">      j)    la concesión forestal otorgada a la empresa SOLCARSA no  produjo</w:t>
        <w:br/>
        <w:t xml:space="preserve">      ningún  daño  a  la  Comunidad  Mayagna  y  esta  empresa  no   inició</w:t>
        <w:br/>
        <w:t xml:space="preserve">      actividades de explotación forestal derivadas de la concesión;</w:t>
        <w:br/>
        <w:br/>
        <w:br/>
        <w:t xml:space="preserve">      k)    el  “Convenio  de  Aprovechamiento  Forestal”  suscrito  por  la</w:t>
        <w:br/>
        <w:t xml:space="preserve">      Comunidad, la empresa  MADENSA  y  las  autoridades  del  MARENA,  “no</w:t>
        <w:br/>
        <w:t xml:space="preserve">      constituye un precedente  válido  que  prejuzgue  la  legitimidad  del</w:t>
        <w:br/>
        <w:t xml:space="preserve">      reclamo  de  propiedad  comunal”  de  la   Comunidad   Mayagna.    Las</w:t>
        <w:br/>
        <w:t xml:space="preserve">      actuaciones del MARENA –por su falta de competencia en la materia-  no</w:t>
        <w:br/>
        <w:t xml:space="preserve">      pueden ser alegadas para pretender un reconocimiento de la legitimidad</w:t>
        <w:br/>
        <w:t xml:space="preserve">      de reclamos de  titulación  indígena,  en  virtud  de  que  el  órgano</w:t>
        <w:br/>
        <w:t xml:space="preserve">      competente  para  recibir  y  resolver  tales  reclamos  es  el  INRA,</w:t>
        <w:br/>
        <w:t xml:space="preserve">      actualmente dependencia del Ministerio Agropecuario y Forestal  (MAF).</w:t>
        <w:br/>
        <w:t xml:space="preserve">      La  misma  Comisión  acepta  que  en  dicho  documento  “Nicaragua  no</w:t>
        <w:br/>
        <w:t xml:space="preserve">      reconoció posesión ancestral, [sino que] simplemente se comprometió  a</w:t>
        <w:br/>
        <w:t xml:space="preserve">      facilitar la titulación de tierras ancestrales, lo cual presuponía  la</w:t>
        <w:br/>
        <w:t xml:space="preserve">      presentación  de  un  reclamo,  en  sede   administrativa,   en   sede</w:t>
        <w:br/>
        <w:t xml:space="preserve">      jurisdiccional, y la demostración efectiva de la ancestralidad”; y</w:t>
        <w:br/>
        <w:br/>
        <w:br/>
        <w:t xml:space="preserve">      l)    existe un marco legal y una autoridad competente  para  conducir</w:t>
        <w:br/>
        <w:t xml:space="preserve">      la titulación de las comunidades indígenas.   Nicaragua  ha  impulsado</w:t>
        <w:br/>
        <w:t xml:space="preserve">      iniciativas importantes  en  materia  de  titulación  de  las  tierras</w:t>
        <w:br/>
        <w:t xml:space="preserve">      comunales de las comunidades indígenas de la Costa Atlántica.</w:t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142.  El artículo 21 de la Convención Americana establece que:</w:t>
        <w:br/>
        <w:br/>
        <w:t xml:space="preserve">      1.    Toda persona tiene derecho al uso y goce de sus bienes.  La  ley</w:t>
        <w:br/>
        <w:t xml:space="preserve">      puede subordinar tal uso y goce al interés social.</w:t>
        <w:br/>
        <w:br/>
        <w:br/>
        <w:t xml:space="preserve">      2.    Ninguna  persona  puede  ser  privada  de  sus  bienes,  excepto</w:t>
        <w:br/>
        <w:t xml:space="preserve">      mediante el pago de  indemnización  justa,  por  razones  de  utilidad</w:t>
        <w:br/>
        <w:t xml:space="preserve">      pública o de interés  social  y  en  los  casos  y  según  las  formas</w:t>
        <w:br/>
        <w:t xml:space="preserve">      establecidas por la ley.</w:t>
        <w:br/>
        <w:br/>
        <w:br/>
        <w:t xml:space="preserve">      3.    Tanto la usura como cualquier  otra  forma  de  explotación  del</w:t>
        <w:br/>
        <w:t xml:space="preserve">      hombre por el hombre, deben ser prohibidas por la ley.</w:t>
        <w:br/>
        <w:br/>
        <w:t>143.  El artículo 21 de la Convención Americana reconoce  el  derecho  a  la</w:t>
        <w:br/>
        <w:t>propiedad privada.  A este respecto establece: a) que “[t]oda persona  tiene</w:t>
        <w:br/>
        <w:t>derecho al uso y goce de sus bienes”; b) que tales  uso  y  goce  se  pueden</w:t>
        <w:br/>
        <w:t>subordinar, por mandato de una ley, al “interés social”;  c)  que  se  puede</w:t>
        <w:br/>
        <w:t>privar a una persona de sus bienes por razones de  “utilidad  pública  o  de</w:t>
        <w:br/>
        <w:t>interés social y en los casos y según las formas establecidas por  la  ley”;</w:t>
        <w:br/>
        <w:t>y  d)  que  dicha  privación  se  hará  mediante  el  pago  de   una   justa</w:t>
        <w:br/>
        <w:t>indemnización.</w:t>
        <w:br/>
        <w:br/>
        <w:t>144.  Los “bienes” pueden  ser  definidos  como  aquellas  cosas  materiales</w:t>
        <w:br/>
        <w:t>apropiables, así como todo derecho que pueda formar parte del patrimonio  de</w:t>
        <w:br/>
        <w:t>una persona; dicho concepto comprende todos los  muebles  e  inmuebles,  los</w:t>
        <w:br/>
        <w:t>elementos corporales e  incorporales  y  cualquier  otro  objeto  inmaterial</w:t>
        <w:br/>
        <w:t>susceptible de tener un valor.[56]</w:t>
        <w:br/>
        <w:br/>
        <w:t>145.  Durante el estudio y consideración de los  trabajos  preparatorios  de</w:t>
        <w:br/>
        <w:t>la Convención  Americana  sobre  Derechos  Humanos  se  reemplazó  la  frase</w:t>
        <w:br/>
        <w:t>“[t]oda persona tiene el derecho a la propiedad privada, pero la  ley  puede</w:t>
        <w:br/>
        <w:t>subordinar su uso y goce al interés  público”  por  la  de  “[t]oda  persona</w:t>
        <w:br/>
        <w:t>tiene derecho al uso y goce de sus bienes.  La Ley puede subordinar tal  uso</w:t>
        <w:br/>
        <w:t>y goce al interés social”.  Es decir, se optó por hacer referencia al “  uso</w:t>
        <w:br/>
        <w:t>y goce de los bienes” en lugar de “propiedad privada”.[57]</w:t>
        <w:br/>
        <w:br/>
        <w:t>146.  Los términos de un tratado internacional de  derechos  humanos  tienen</w:t>
        <w:br/>
        <w:t>sentido autónomo, por lo que no pueden ser equiparados  al  sentido  que  se</w:t>
        <w:br/>
        <w:t>les atribuye en el derecho interno.  Además,  dichos  tratados  de  derechos</w:t>
        <w:br/>
        <w:t>humanos son instrumentos vivos cuya interpretación tiene que adecuarse a  la</w:t>
        <w:br/>
        <w:t>evolución de los tiempos  y,  en  particular,  a  las  condiciones  de  vida</w:t>
        <w:br/>
        <w:t>actuales.[58]</w:t>
        <w:br/>
        <w:br/>
        <w:t>147.  A su vez, el artículo 29.b de  la  Convención  establece  que  ninguna</w:t>
        <w:br/>
        <w:t>disposición puede ser interpretada en el  sentido  de  “limitar  el  goce  y</w:t>
        <w:br/>
        <w:t>ejercicio de cualquier derecho o libertad  que  pueda  estar  reconocido  de</w:t>
        <w:br/>
        <w:t>acuerdo con las leyes de cualquiera de los Estados partes o de  acuerdo  con</w:t>
        <w:br/>
        <w:t>otra convención en que sea parte uno de dichos Estados”.</w:t>
        <w:br/>
        <w:br/>
        <w:t>148.   Mediante   una   interpretación   evolutiva   de   los   instrumentos</w:t>
        <w:br/>
        <w:t>internacionales de protección de derechos humanos,  tomando  en  cuenta  las</w:t>
        <w:br/>
        <w:t>normas de interpretación aplicables y, de conformidad con el  artículo  29.b</w:t>
        <w:br/>
        <w:t>de la Convención  -  que  prohíbe  una  interpretación  restrictiva  de  los</w:t>
        <w:br/>
        <w:t>derechos - , esta Corte considera  que  el  artículo  21  de  la  Convención</w:t>
        <w:br/>
        <w:t>protege el derecho a la propiedad en un sentido que comprende, entre  otros,</w:t>
        <w:br/>
        <w:t>los derechos de los miembros de las comunidades indígenas en el marco de  la</w:t>
        <w:br/>
        <w:t>propiedad comunal, la  cual  también  está  reconocida  en  la  Constitución</w:t>
        <w:br/>
        <w:t>Política de Nicaragua.</w:t>
        <w:br/>
        <w:br/>
        <w:t>149.  Dadas  las  características  del  presente  caso,  es  menester  hacer</w:t>
        <w:br/>
        <w:t>algunas precisiones respecto del concepto de propiedad  en  las  comunidades</w:t>
        <w:br/>
        <w:t>indígenas.  Entre los indígenas existe una tradición comunitaria  sobre  una</w:t>
        <w:br/>
        <w:t>forma comunal de la propiedad colectiva de la tierra, en el sentido  de  que</w:t>
        <w:br/>
        <w:t>la pertenencia de ésta no se centra en un individuo sino en el  grupo  y  su</w:t>
        <w:br/>
        <w:t>comunidad.  Los indígenas por  el  hecho  de  su  propia  existencia  tienen</w:t>
        <w:br/>
        <w:t>derecho a vivir libremente en sus propios territorios; la estrecha  relación</w:t>
        <w:br/>
        <w:t>que los  indígenas  mantienen  con  la  tierra  debe  de  ser  reconocida  y</w:t>
        <w:br/>
        <w:t>comprendida como la base fundamental de sus culturas,  su  vida  espiritual,</w:t>
        <w:br/>
        <w:t>su integridad y su supervivencia económica.  Para las comunidades  indígenas</w:t>
        <w:br/>
        <w:t>la relación con la tierra  no  es  meramente  una  cuestión  de  posesión  y</w:t>
        <w:br/>
        <w:t>producción sino un elemento  material  y  espiritual  del  que  deben  gozar</w:t>
        <w:br/>
        <w:t>plenamente, inclusive para preservar su legado  cultural  y  transmitirlo  a</w:t>
        <w:br/>
        <w:t>las generaciones futuras.</w:t>
        <w:br/>
        <w:br/>
        <w:t>150.  Al respecto, la Ley No. 28 publicada el 30 de octubre de  1987  en  La</w:t>
        <w:br/>
        <w:t>Gaceta No. 238, Diario Oficial de la República de Nicaragua, que  regula  el</w:t>
        <w:br/>
        <w:t>Estatuto  de  la  Autonomía  de  las  Regiones  de  la  Costa  Atlántica  de</w:t>
        <w:br/>
        <w:t>Nicaragua, señala en su artículo 36 que:</w:t>
        <w:br/>
        <w:br/>
        <w:t xml:space="preserve">      La propiedad comunal la constituyen las tierras, aguas y  bosques  que</w:t>
        <w:br/>
        <w:t xml:space="preserve">      han  pertenecido  tradicionalmente  a  las  Comunidades  de  la  Costa</w:t>
        <w:br/>
        <w:t xml:space="preserve">      Atlántica, y están sujetas a las siguientes disposiciones:</w:t>
        <w:br/>
        <w:br/>
        <w:br/>
        <w:t xml:space="preserve">      1.    Las tierras comunales son inajenables; no  pueden  ser  donadas,</w:t>
        <w:br/>
        <w:t xml:space="preserve">      vendidas, embargadas ni gravadas, y son imprescriptibles.</w:t>
        <w:br/>
        <w:br/>
        <w:br/>
        <w:t xml:space="preserve">      2.    Los habitantes de las  Comunidades  tienen  derecho  a  trabajar</w:t>
        <w:br/>
        <w:t xml:space="preserve">      parcelas en  la  propiedad  comunal  y  al  usufructo  de  los  bienes</w:t>
        <w:br/>
        <w:t xml:space="preserve">      generados por el trabajo realizado.</w:t>
        <w:br/>
        <w:br/>
        <w:t>151.  El derecho consuetudinario de los pueblos indígenas  debe  ser  tenido</w:t>
        <w:br/>
        <w:t>especialmente en cuenta, para los efectos de que se  trata.   Como  producto</w:t>
        <w:br/>
        <w:t>de la costumbre, la posesión de  la  tierra  debería  bastar  para  que  las</w:t>
        <w:br/>
        <w:t>comunidades indígenas que carezcan de un título real sobre la  propiedad  de</w:t>
        <w:br/>
        <w:t>la tierra obtengan  el  reconocimiento  oficial  de  dicha  propiedad  y  el</w:t>
        <w:br/>
        <w:t>consiguiente registro.</w:t>
        <w:br/>
        <w:br/>
        <w:t>152.  Como ya fue señalado, Nicaragua reconoce la propiedad comunal  de  los</w:t>
        <w:br/>
        <w:t>pueblos indígenas, pero no ha  regulado  el  procedimiento  específico  para</w:t>
        <w:br/>
        <w:t>materializar dicho reconocimiento, lo cual ha causado que desde 1990  no  se</w:t>
        <w:br/>
        <w:t>hayan otorgado títulos de esta naturaleza.  Además, en el presente caso,  el</w:t>
        <w:br/>
        <w:t>Estado no se ha opuesto a la pretensión de la Comunidad Awas Tingni  de  ser</w:t>
        <w:br/>
        <w:t>declarada propietaria, aunque se discuta la  extensión  del  área  que  ésta</w:t>
        <w:br/>
        <w:t>reclama.</w:t>
        <w:br/>
        <w:br/>
        <w:t>153.  La Corte considera que, conforme a lo establecido en el artículo 5  de</w:t>
        <w:br/>
        <w:t>la Constitución Política de Nicaragua, los miembros  de  la  Comunidad  Awas</w:t>
        <w:br/>
        <w:t>Tingni tienen un derecho  de  propiedad  comunal  sobre  las  tierras  donde</w:t>
        <w:br/>
        <w:t>actualmente habitan, sin perjuicio de  los  derechos  de  otras  comunidades</w:t>
        <w:br/>
        <w:t>indígenas.  Sin embargo, la Corte advierte que los  límites  del  territorio</w:t>
        <w:br/>
        <w:t>sobre los cuales existe tal derecho de propiedad no han  sido  efectivamente</w:t>
        <w:br/>
        <w:t>delimitados y demarcados por el Estado.  Esta situación ha creado  un  clima</w:t>
        <w:br/>
        <w:t>de incertidumbre permanente entre los miembros de la Comunidad  Awas  Tingni</w:t>
        <w:br/>
        <w:t>en cuanto no saben con certeza hasta dónde se  extiende  geográficamente  su</w:t>
        <w:br/>
        <w:t>derecho de propiedad comunal y,  consecuentemente,  desconocen  hasta  dónde</w:t>
        <w:br/>
        <w:t>pueden  usar  y  gozar  libremente  de  los  respectivos  bienes.   En  este</w:t>
        <w:br/>
        <w:t>entendido, la Corte estima que los  miembros  de  la  Comunidad  Awas  Tigni</w:t>
        <w:br/>
        <w:t>tienen derecho a que el Estado,</w:t>
        <w:br/>
        <w:br/>
        <w:t xml:space="preserve">        1. delimite, demarque y titule el territorio  de  propiedad  de  la</w:t>
        <w:br/>
        <w:t xml:space="preserve">           Comunidad; y</w:t>
        <w:br/>
        <w:t xml:space="preserve">        2.  se  abstenga  de  realizar,  hasta  tanto  no  se  realice  esa</w:t>
        <w:br/>
        <w:t xml:space="preserve">           delimitación, demarcación y titulación, actos que puedan  llevar</w:t>
        <w:br/>
        <w:t xml:space="preserve">           a que los agentes del propio Estado, o terceros que  actúen  con</w:t>
        <w:br/>
        <w:t xml:space="preserve">           su aquiescencia o  su  tolerancia,  afecten  la  existencia,  el</w:t>
        <w:br/>
        <w:t xml:space="preserve">           valor, el uso o el goce  de  los  bienes  ubicados  en  la  zona</w:t>
        <w:br/>
        <w:t xml:space="preserve">           geográfica donde habitan y realizan sus actividades los miembros</w:t>
        <w:br/>
        <w:t xml:space="preserve">           de la Comunidad.</w:t>
        <w:br/>
        <w:br/>
        <w:t>En atención a lo anterior, y teniendo presente el criterio adoptado  por  la</w:t>
        <w:br/>
        <w:t>Corte en aplicación del artículo 29.b de la Convención  (supra  párr.  148),</w:t>
        <w:br/>
        <w:t>la Corte estima que, a la luz del artículo 21 de la  Convención,  el  Estado</w:t>
        <w:br/>
        <w:t>ha violado el derecho al uso y el goce de los bienes de los miembros  de  la</w:t>
        <w:br/>
        <w:t>Comunidad Mayagna Awas Tingni, toda vez que no ha delimitado y demarcado  su</w:t>
        <w:br/>
        <w:t>propiedad comunal,  y  que  ha  otorgado  concesiones  a  terceros  para  la</w:t>
        <w:br/>
        <w:t>explotación de bienes y recursos ubicados en un  área  que  puede  llegar  a</w:t>
        <w:br/>
        <w:t>corresponder, total o parcialmente, a los  terrenos  sobre  los  que  deberá</w:t>
        <w:br/>
        <w:t>recaer la delimitación, demarcación y titulación correspondientes.</w:t>
        <w:br/>
        <w:br/>
        <w:t>154.  Unido a lo anterior, se debe  recordar  lo  ya  establecido  por  este</w:t>
        <w:br/>
        <w:t>Tribunal, con fundamento en el artículo 1.1 de la Convención  Americana,  en</w:t>
        <w:br/>
        <w:t>el sentido de que  el  Estado  está  obligado  a  respetar  los  derechos  y</w:t>
        <w:br/>
        <w:t>libertades reconocidos en la Convención y a organizar el poder público  para</w:t>
        <w:br/>
        <w:t>garantizar a las personas bajo su jurisdicción el libre  y  pleno  ejercicio</w:t>
        <w:br/>
        <w:t>de los derechos humanos. Según las reglas del derecho de la  responsabilidad</w:t>
        <w:br/>
        <w:t>internacional del Estado aplicables  en  el  Derecho  Internacional  de  los</w:t>
        <w:br/>
        <w:t>Derechos Humanos, la  acción  u  omisión  de  cualquier  autoridad  pública,</w:t>
        <w:br/>
        <w:t>independientemente de su jerarquía, constituye un hecho imputable al  Estado</w:t>
        <w:br/>
        <w:t>que  compromete  su  responsabilidad  en  los  términos  previstos  por   la</w:t>
        <w:br/>
        <w:t>Convención Americana[59].</w:t>
        <w:br/>
        <w:br/>
        <w:t>155.  Por todo lo expuesto,  la  Corte  concluye  que  el  Estado  violó  el</w:t>
        <w:br/>
        <w:t>artículo 21 de la Convención Americana, en perjuicio de los miembros  de  la</w:t>
        <w:br/>
        <w:t>Comunidad Mayagna (Sumo) Awas Tingni, en conexión con los artículos 1.1 y  2</w:t>
        <w:br/>
        <w:t>de la Convención.</w:t>
        <w:br/>
        <w:br/>
        <w:br/>
        <w:t xml:space="preserve">                                      X</w:t>
        <w:br/>
        <w:t xml:space="preserve">                 Otros artículos de la Convención Americana</w:t>
        <w:br/>
        <w:br/>
        <w:t>156.  En su escrito de alegatos  finales  la  Comisión  alegó  que  dada  la</w:t>
        <w:br/>
        <w:t>naturaleza de la relación que tiene la Comunidad Awas Tingni con  su  tierra</w:t>
        <w:br/>
        <w:t>tradicional y los recursos  naturales,  el  Estado  es  responsable  por  la</w:t>
        <w:br/>
        <w:t>violación de otros derechos  protegidos  por  la  Convención  Americana.  La</w:t>
        <w:br/>
        <w:t>Comisión manifestó que, al ignorar y rechazar la demanda territorial  de  la</w:t>
        <w:br/>
        <w:t>Comunidad y al otorgar una concesión para  aprovechamiento  forestal  dentro</w:t>
        <w:br/>
        <w:t>de la tierra tradicional de la  Comunidad  sin  consultar  su  opinión,  “el</w:t>
        <w:br/>
        <w:t>Estado violó una combinación” de los siguientes artículos consagrados en  la</w:t>
        <w:br/>
        <w:t>Convención: 4 (Derecho a la Vida), 11  (Protección  de  la  Honra  y  de  la</w:t>
        <w:br/>
        <w:t>Dignidad); 12 (Libertad de  Conciencia  y  de  Religión),  16  (Libertad  de</w:t>
        <w:br/>
        <w:t>Asociación); 17 (Protección a la Familia); 22 (Derecho de Circulación  y  de</w:t>
        <w:br/>
        <w:t>Residencia); y 23 (Derechos Políticos).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>Consideraciones de la Corte</w:t>
        <w:br/>
        <w:br/>
        <w:t>157.  Con respecto a la alegada violación de los artículos 4,  11,  12,  16,</w:t>
        <w:br/>
        <w:t>17, 22 y 23 de la Convención planteada por la  Comisión  en  su  escrito  de</w:t>
        <w:br/>
        <w:t>alegatos finales, la Corte ha considerado que aún  cuando  la  violación  de</w:t>
        <w:br/>
        <w:t>algún artículo de la Convención no fuese alegada en el escrito  de  demanda,</w:t>
        <w:br/>
        <w:t>ello no impide que la misma sea declarada por la Corte,  si  de  los  hechos</w:t>
        <w:br/>
        <w:t>probados resulta que en efecto se produjo dicha violación.[60] Sin  embargo,</w:t>
        <w:br/>
        <w:t>en el presente caso, la  Corte  se  remite  a  lo  resuelto  en  esta  misma</w:t>
        <w:br/>
        <w:t>Sentencia en relación con el derecho a  la  propiedad  y  el  derecho  a  la</w:t>
        <w:br/>
        <w:t>protección judicial de los miembros de la Comunidad Awas Tingni  y,  además,</w:t>
        <w:br/>
        <w:t>desestima  la  violación  de  los  derechos  consagrados  en  los  artículos</w:t>
        <w:br/>
        <w:t>mencionados por cuanto en su escrito de alegatos finales la Comisión  no  la</w:t>
        <w:br/>
        <w:t>fundamentó.</w:t>
        <w:br/>
        <w:br/>
        <w:t xml:space="preserve">                                     XI</w:t>
        <w:br/>
        <w:t xml:space="preserve">                        Aplicación del artículo 63.1</w:t>
        <w:br/>
        <w:br/>
        <w:t>Alegatos de la Comisión</w:t>
        <w:br/>
        <w:br/>
        <w:t>158.  En su escrito de demanda, la Comisión solicitó  a  la  Corte  que,  de</w:t>
        <w:br/>
        <w:t>acuerdo con el artículo 63.1 de la Convención, declarara que el Estado  está</w:t>
        <w:br/>
        <w:t>obligado a:</w:t>
        <w:br/>
        <w:br/>
        <w:t xml:space="preserve">        1. Establecer un procedimiento jurídico, de acuerdo  a  las  normas</w:t>
        <w:br/>
        <w:t xml:space="preserve">           legales internacionales y nacionales pertinentes, que tenga como</w:t>
        <w:br/>
        <w:t xml:space="preserve">           resultado  la  pronta  demarcación  y   reconocimiento   oficial</w:t>
        <w:br/>
        <w:t xml:space="preserve">           específico de los derechos de la Comunidad Awas Tingni sobre sus</w:t>
        <w:br/>
        <w:t xml:space="preserve">           derechos y recursos naturales comunales;</w:t>
        <w:br/>
        <w:t xml:space="preserve">        2. Abstenerse de otorgar o considerar el otorgamiento de cualquiera</w:t>
        <w:br/>
        <w:t xml:space="preserve">           concesión para el aprovechamiento de recursos naturales  en  las</w:t>
        <w:br/>
        <w:t xml:space="preserve">           tierras usadas y ocupadas por Awas Tingni, hasta que la cuestión</w:t>
        <w:br/>
        <w:t xml:space="preserve">           de la tenencia de la tierra que afecta a Awas Tingni  haya  sido</w:t>
        <w:br/>
        <w:t xml:space="preserve">           resuelta, o que se haya llegado a un acuerdo específico entre el</w:t>
        <w:br/>
        <w:t xml:space="preserve">           Estado y la Comunidad sobre el asunto;</w:t>
        <w:br/>
        <w:t xml:space="preserve">        3. Pagar indemnización compensatoria y  equitativa  por  los  daños</w:t>
        <w:br/>
        <w:t xml:space="preserve">           pecuniarios y morales que la Comunidad ha sufrido por  la  falta</w:t>
        <w:br/>
        <w:t xml:space="preserve">           de reconocimiento estatal específico de sus derechos a tierras y</w:t>
        <w:br/>
        <w:t xml:space="preserve">           recursos naturales y por la concesión a SOLCARSA;[y]</w:t>
        <w:br/>
        <w:t xml:space="preserve">        4. Pagar a la  Comunidad  Indígena  por  los  costos  en  que  ésta</w:t>
        <w:br/>
        <w:t xml:space="preserve">           incurrió para defender sus derechos ante las Cortes de Nicaragua</w:t>
        <w:br/>
        <w:t xml:space="preserve">           y los procedimientos ante la Comisión y la Corte Interamericana.</w:t>
        <w:br/>
        <w:br/>
        <w:t>159.  El 22 de agosto de 2001 la Comisión presentó  el  escrito  relativo  a</w:t>
        <w:br/>
        <w:t>las reparaciones, costas y gastos, el cual había sido solicitado  el  31  de</w:t>
        <w:br/>
        <w:t>julio de 2001 por la Secretaría.  El plazo para  la  presentación  de  dicho</w:t>
        <w:br/>
        <w:t>escrito venció el 10 de agosto de 2001, de manera que éste fue  recibido  12</w:t>
        <w:br/>
        <w:t>días después de vencido el término.  Al respecto, la Corte considera que  el</w:t>
        <w:br/>
        <w:t>tiempo transcurrido no  puede  considerarse  razonable,  según  el  criterio</w:t>
        <w:br/>
        <w:t>seguido por ella  en  su  jurisprudencia.[61]   En  las  circunstancias  del</w:t>
        <w:br/>
        <w:t>presente caso el retardo no se debió  a  un  simple  error  de  cómputo  del</w:t>
        <w:br/>
        <w:t>plazo.  Además, los imperativos de seguridad  jurídica  y  equidad  procesal</w:t>
        <w:br/>
        <w:t>exigen  que  los  plazos  sean  observados[62],  salvo  cuando  lo   impidan</w:t>
        <w:br/>
        <w:t>circunstancias excepcionales, lo cual no ocurrió en el  presente  caso.   En</w:t>
        <w:br/>
        <w:t>consecuencia,   la   Corte    rechaza,    por    haber    sido    presentado</w:t>
        <w:br/>
        <w:t>extemporáneamente, el escrito de la Comisión de 22 de agosto de 2001  y,  se</w:t>
        <w:br/>
        <w:t>abstiene de pronunciarse sobre lo señalado en éste.</w:t>
        <w:br/>
        <w:br/>
        <w:t>Alegatos del Estado</w:t>
        <w:br/>
        <w:br/>
        <w:t>160.  Por su parte, el Estado señaló, en sus escritos de contestación de la</w:t>
        <w:br/>
        <w:t>demanda y de alegatos finales, que:</w:t>
        <w:br/>
        <w:br/>
        <w:t xml:space="preserve">      a)    es improcedente cualquier reclamo indemnizatorio derivado de  la</w:t>
        <w:br/>
        <w:t xml:space="preserve">      falta de titulación o del otorgamiento de la concesión forestal  a  la</w:t>
        <w:br/>
        <w:t xml:space="preserve">      empresa SOLCARSA, en virtud de que:</w:t>
        <w:br/>
        <w:br/>
        <w:br/>
        <w:t xml:space="preserve">           i)    la concesión a  SOLCARSA  no  produjo  ningún  daño  a  la</w:t>
        <w:br/>
        <w:t xml:space="preserve">           Comunidad. En su exposición de hechos la Comisión  reconoce  que</w:t>
        <w:br/>
        <w:t xml:space="preserve">           no está claro si se  produjo  el  daño  forestal  en  las  áreas</w:t>
        <w:br/>
        <w:t xml:space="preserve">           reclamadas por aquélla.  No se inició la ejecución de  actividad</w:t>
        <w:br/>
        <w:t xml:space="preserve">           forestal derivada de la concesión otorgada a SOLCARSA, debido  a</w:t>
        <w:br/>
        <w:t xml:space="preserve">           que el Estado no aprobó el  Plan  de  Manejo  Forestal  para  la</w:t>
        <w:br/>
        <w:t xml:space="preserve">           explotación maderera.  Sin  embargo,  la  empresa  efectivamente</w:t>
        <w:br/>
        <w:t xml:space="preserve">           causó daños forestales en la zona del Cerro Wakambay, por cortes</w:t>
        <w:br/>
        <w:t xml:space="preserve">           ilegales de  madera  realizados  fuera  del  área  de  concesión</w:t>
        <w:br/>
        <w:t xml:space="preserve">           forestal que le fuera otorgada. La actuación ilegal de SOLCARSA,</w:t>
        <w:br/>
        <w:t xml:space="preserve">           originada  al  margen  de  la  concesión,  es  una   acción   de</w:t>
        <w:br/>
        <w:t xml:space="preserve">           particulares ajena a toda permisividad  gubernamental,  que  fue</w:t>
        <w:br/>
        <w:t xml:space="preserve">           sancionada por las autoridades estatales;</w:t>
        <w:br/>
        <w:br/>
        <w:t xml:space="preserve">           ii)   en su afán de determinar responsabilidades pecuniarias  en</w:t>
        <w:br/>
        <w:t xml:space="preserve">           contra del Estado, la Comisión concluye que en todo  caso  estos</w:t>
        <w:br/>
        <w:t xml:space="preserve">           daños se causaron a terceras personas, las cuales no constituyen</w:t>
        <w:br/>
        <w:t xml:space="preserve">           parte en este caso ni han formulado reclamos contra  el  Estado,</w:t>
        <w:br/>
        <w:t xml:space="preserve">           por lo que desconoce el carácter subsidiario de la  jurisdicción</w:t>
        <w:br/>
        <w:t xml:space="preserve">           internacional;</w:t>
        <w:br/>
        <w:br/>
        <w:t xml:space="preserve">           iii)   el  reclamo  de  la  Comunidad  es   desproporcionado   e</w:t>
        <w:br/>
        <w:t xml:space="preserve">           irracional, y se refiere a una  superficie  que  no  ha  poseído</w:t>
        <w:br/>
        <w:t xml:space="preserve">           ancestralmente;</w:t>
        <w:br/>
        <w:br/>
        <w:br/>
        <w:t xml:space="preserve">           iv)   la Comunidad no ha sido  desplazada  de  las  tierras  que</w:t>
        <w:br/>
        <w:t xml:space="preserve">           reclama; y</w:t>
        <w:br/>
        <w:br/>
        <w:br/>
        <w:t xml:space="preserve">           v)    no  ha  sido  alterado  el  sistema  de  vida,  creencias,</w:t>
        <w:br/>
        <w:t xml:space="preserve">           costumbres y patrones de producción de la Comunidad;</w:t>
        <w:br/>
        <w:br/>
        <w:br/>
        <w:t xml:space="preserve">      b)    es improcedente cualquier reclamo indemnizatorio derivado de  la</w:t>
        <w:br/>
        <w:t xml:space="preserve">      actuación de los tribunales de justicia, debido a que la Comunidad:</w:t>
        <w:br/>
        <w:br/>
        <w:br/>
        <w:t xml:space="preserve">           i)    no solicitó judicialmente la titulación de  sus  supuestas</w:t>
        <w:br/>
        <w:t xml:space="preserve">           tierras ancestrales;</w:t>
        <w:br/>
        <w:br/>
        <w:br/>
        <w:t xml:space="preserve">           ii)   no agotó los recursos de la jurisdicción interna;</w:t>
        <w:br/>
        <w:br/>
        <w:br/>
        <w:t xml:space="preserve">           iii)  no observó  una  conducta  diligente  en  sus  actuaciones</w:t>
        <w:br/>
        <w:t xml:space="preserve">           procesales; y</w:t>
        <w:br/>
        <w:br/>
        <w:br/>
        <w:t xml:space="preserve">           iv)   obtuvo la nulidad de  la  concesión  forestal,  “el  único</w:t>
        <w:br/>
        <w:t xml:space="preserve">           remedio judicial solicitado”;</w:t>
        <w:br/>
        <w:br/>
        <w:br/>
        <w:t xml:space="preserve">      c)    la alegada demora  judicial  que  se  imputa  a  los  tribunales</w:t>
        <w:br/>
        <w:t xml:space="preserve">      nacionales no se tradujo en ningún tipo de daño moral o patrimonial en</w:t>
        <w:br/>
        <w:t xml:space="preserve">      perjuicio de la Comunidad, en virtud de que:</w:t>
        <w:br/>
        <w:br/>
        <w:t xml:space="preserve">           i)     no  fue  desplazada  ni  sufrió  invasión  de  las  áreas</w:t>
        <w:br/>
        <w:t xml:space="preserve">           ocupadas;</w:t>
        <w:br/>
        <w:br/>
        <w:br/>
        <w:t xml:space="preserve">           ii)    se  ha  mantenido  dentro  del  área  que  reclama   como</w:t>
        <w:br/>
        <w:t xml:space="preserve">           ancestral, “cazando, pescando, cultivando y visitando sus sitios</w:t>
        <w:br/>
        <w:t xml:space="preserve">           sagrados”;</w:t>
        <w:br/>
        <w:br/>
        <w:br/>
        <w:t xml:space="preserve">           iii)  no se  alteró  su  sistema  ancestral  de  vida  (cohesión</w:t>
        <w:br/>
        <w:t xml:space="preserve">           social, valores, creencias, costumbres, estándares  de  salud  y</w:t>
        <w:br/>
        <w:t xml:space="preserve">           patrones productivos); y</w:t>
        <w:br/>
        <w:br/>
        <w:br/>
        <w:t xml:space="preserve">           iv)   no sufrió lucro cesante ni daño emergente;</w:t>
        <w:br/>
        <w:br/>
        <w:br/>
        <w:t xml:space="preserve">      d)    el Estado demostró que ha realizado  avances  considerables  con</w:t>
        <w:br/>
        <w:t xml:space="preserve">      respecto a la titulación de las  comunidades  indígenas  de  la  Costa</w:t>
        <w:br/>
        <w:t xml:space="preserve">      Atlántica, tales como:</w:t>
        <w:br/>
        <w:br/>
        <w:t xml:space="preserve">           i)    contratación de un estudio para diagnosticar la  situación</w:t>
        <w:br/>
        <w:t xml:space="preserve">           de la tenencia de la tierra y las áreas reclamadas por aquéllas;</w:t>
        <w:br/>
        <w:t xml:space="preserve">           y</w:t>
        <w:br/>
        <w:br/>
        <w:br/>
        <w:t xml:space="preserve">           ii)   elaboración de un anteproyecto de “Ley Especial que Regula</w:t>
        <w:br/>
        <w:t xml:space="preserve">           el Régimen de Propiedad Comunal de las Comunidades Indígenas  de</w:t>
        <w:br/>
        <w:t xml:space="preserve">           la Costa Atlántica  y  BOSAWAS”,  y  realización  de  un  amplio</w:t>
        <w:br/>
        <w:t xml:space="preserve">           proceso de consultas con las comunidades, con el fin de  mejorar</w:t>
        <w:br/>
        <w:t xml:space="preserve">           sustantivamente el marco legal e institucional existente; y</w:t>
        <w:br/>
        <w:br/>
        <w:br/>
        <w:t xml:space="preserve">      e)    con base en las anteriores razones, debe rechazarse la  petición</w:t>
        <w:br/>
        <w:t xml:space="preserve">      de reparación formulada por la Comisión.</w:t>
        <w:br/>
        <w:br/>
        <w:t>161.  En cuanto a las costas, en su escrito de alegatos  finales  el  Estado</w:t>
        <w:br/>
        <w:t>señaló que no debe ser  condenado  por  este  concepto  por  las  siguientes</w:t>
        <w:br/>
        <w:t>consideraciones, entre otras, que:</w:t>
        <w:br/>
        <w:br/>
        <w:t xml:space="preserve">      a)    Nicaragua probó la buena fe de sus alegatos;</w:t>
        <w:br/>
        <w:br/>
        <w:br/>
        <w:t xml:space="preserve">      b)    el Estado demostró la insuficiencia de las  pruebas  presentadas</w:t>
        <w:br/>
        <w:t xml:space="preserve">      por la Comisión respecto de la posesión ancestral de la Comunidad, así</w:t>
        <w:br/>
        <w:t xml:space="preserve">      como el carácter excesivo y sobredimensionado  de  su  reclamación  en</w:t>
        <w:br/>
        <w:t xml:space="preserve">      perjuicio de terceros;</w:t>
        <w:br/>
        <w:br/>
        <w:br/>
        <w:t xml:space="preserve">      c)    los costos del funcionamiento de  la  Comisión  y  la  Corte  se</w:t>
        <w:br/>
        <w:t xml:space="preserve">      financian con el presupuesto de la OEA;</w:t>
        <w:br/>
        <w:br/>
        <w:br/>
        <w:t xml:space="preserve">      d)    “el acceso a la Comisión [y] la Corte no está sujeto  a  ninguna</w:t>
        <w:br/>
        <w:t xml:space="preserve">      tasa o arancel”;</w:t>
        <w:br/>
        <w:br/>
        <w:br/>
        <w:t xml:space="preserve">      e)    el artículo 45 del Reglamento señala que la parte  que  proponga</w:t>
        <w:br/>
        <w:t xml:space="preserve">      una prueba correrá con los gastos que ella ocasione; y</w:t>
        <w:br/>
        <w:t xml:space="preserve">      f)    Nicaragua es uno de los Estados  más  pobres  del  hemisferio  y</w:t>
        <w:br/>
        <w:t xml:space="preserve">      deberá comprometer sus escasos recursos, entre otros destinos,  en  la</w:t>
        <w:br/>
        <w:t xml:space="preserve">      financiación del  costoso  proceso  de  titulación  y  demarcación  de</w:t>
        <w:br/>
        <w:t xml:space="preserve">      tierras a las comunidades indígenas.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162.  El artículo 63.1 de la Convención Americana establece que</w:t>
        <w:br/>
        <w:br/>
        <w:t xml:space="preserve">      [c]uando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163.  En el presente caso, la Corte ya estableció que  Nicaragua  violó  los</w:t>
        <w:br/>
        <w:t>artículos 25 y 21 de la Convención en relación con los artículos 1.1 y 2  de</w:t>
        <w:br/>
        <w:t>la misma.  Al respecto, este Tribunal  ha  reiterado  en  su  jurisprudencia</w:t>
        <w:br/>
        <w:t>constante que es un principio de derecho internacional  que  toda  violación</w:t>
        <w:br/>
        <w:t>de una obligación internacional que  haya  producido  un  daño  comporta  el</w:t>
        <w:br/>
        <w:t>deber de repararlo adecuadamente.[63]</w:t>
        <w:br/>
        <w:br/>
        <w:t>164.  Por la razón  anterior,  de  conformidad  con  el  artículo  2  de  la</w:t>
        <w:br/>
        <w:t>Convención Americana sobre Derechos Humanos, esta  Corte  considera  que  el</w:t>
        <w:br/>
        <w:t>Estado  debe  adoptar  las  medidas  legislativas,  administrativas   y   de</w:t>
        <w:br/>
        <w:t>cualquier  otro  carácter  que  sean  necesarias  para  crear  un  mecanismo</w:t>
        <w:br/>
        <w:t>efectivo de delimitación, demarcación y titulación  de  las  propiedades  de</w:t>
        <w:br/>
        <w:t>las comunidades  indígenas,  acorde  con  el  derecho  consuetudinario,  los</w:t>
        <w:br/>
        <w:t>valores, usos y costumbres de éstas.  Asimismo,  como  consecuencia  de  las</w:t>
        <w:br/>
        <w:t>violaciones señaladas de los derechos consagrados en  la  Convención  en  el</w:t>
        <w:br/>
        <w:t>presente caso, la Corte dispone que el Estado deberá proceder  a  delimitar,</w:t>
        <w:br/>
        <w:t>demarcar y titular las  tierras  que  corresponden  a  los  miembros  de  la</w:t>
        <w:br/>
        <w:t>Comunidad Awas Tingni, en  un  plazo  máximo  de  15  meses,  con  la  plena</w:t>
        <w:br/>
        <w:t>participación,  y  tomando  en  consideración  el  derecho  consuetudinario,</w:t>
        <w:br/>
        <w:t>valores,  usos  y  costumbres  de  la  Comunidad.   Mientras  no  se   hayan</w:t>
        <w:br/>
        <w:t>delimitado,  demarcado  y  titulado  las  tierras  de  los  miembros  de  la</w:t>
        <w:br/>
        <w:t>Comunidad, Nicaragua se debe abstener de realizar actos que puedan llevar  a</w:t>
        <w:br/>
        <w:t>que  los  agentes  del  propio  Estado,  o  terceros  que  actúen   con   su</w:t>
        <w:br/>
        <w:t>aquiescencia o su tolerancia, afecten la existencia, el valor, el uso  o  el</w:t>
        <w:br/>
        <w:t>goce de los bienes ubicados en la zona geográfica donde habitan  y  realizan</w:t>
        <w:br/>
        <w:t>sus actividades los miembros de la Comunidad Awas Tingni.</w:t>
        <w:br/>
        <w:br/>
        <w:t>165.  En el presente caso, la Corte observa que la Comisión no probó que  se</w:t>
        <w:br/>
        <w:t>hubiesen causado daños materiales a los miembros de la Comunidad Mayagna.</w:t>
        <w:br/>
        <w:br/>
        <w:t>166.  La Corte estima que la presente  Sentencia  constituye,  per  se,  una</w:t>
        <w:br/>
        <w:t>forma de reparación para los miembros de la Comunidad Awas Tingni.[64]</w:t>
        <w:br/>
        <w:br/>
        <w:t>167.  La Corte considera que debido a la situación en la cual se  encuentran</w:t>
        <w:br/>
        <w:t>los miembros  de  la  Comunidad  Awas  Tingni  por  falta  de  delimitación,</w:t>
        <w:br/>
        <w:t>demarcación y  titulación  de  su  propiedad  comunal,  el  daño  inmaterial</w:t>
        <w:br/>
        <w:t>ocasionado debe además ser  reparado,  por  vía  sustitutiva,  mediante  una</w:t>
        <w:br/>
        <w:t>indemnización  pecuniaria.   En  las  circunstancias  del  caso  es  preciso</w:t>
        <w:br/>
        <w:t>recurrir a esta clase de indemnización fijándola conforme  a  la  equidad  y</w:t>
        <w:br/>
        <w:t>basándose en una apreciación prudente del daño inmaterial,  el  cual  no  es</w:t>
        <w:br/>
        <w:t>susceptible de una tasación precisa.[65]   Por  lo  expuesto  y  tomando  en</w:t>
        <w:br/>
        <w:t>cuenta las circunstancias del caso y lo  decidido  en  otros  similares,  la</w:t>
        <w:br/>
        <w:t>Corte estima que el Estado debe invertir, por  concepto  de  reparación  del</w:t>
        <w:br/>
        <w:t>daño inmaterial, en el plazo de 12  meses,  la  suma  total  de  US$  50.000</w:t>
        <w:br/>
        <w:t>(cincuenta mil dólares  de  los  Estados  Unidos  de  América)  en  obras  o</w:t>
        <w:br/>
        <w:t>servicios de interés colectivo en beneficio de la Comunidad Awas Tingni,  de</w:t>
        <w:br/>
        <w:t>común acuerdo con ésta y bajo la supervisión de la Comisión  Interamericana.</w:t>
        <w:br/>
        <w:t>[66]</w:t>
        <w:br/>
        <w:br/>
        <w:t xml:space="preserve">                                      *</w:t>
        <w:br/>
        <w:t xml:space="preserve">                                   *     *</w:t>
        <w:br/>
        <w:br/>
        <w:br/>
        <w:t>168.  En cuanto al reembolso de las costas  y  gastos,  corresponde  a  este</w:t>
        <w:br/>
        <w:t>Tribunal apreciar prudentemente su alcance, que  comprende  los  gastos  por</w:t>
        <w:br/>
        <w:t>las gestiones realizadas  por  la  Comunidad  ante  las  autoridades  de  la</w:t>
        <w:br/>
        <w:t>jurisdicción interna, así como los generados en el curso  del  proceso  ante</w:t>
        <w:br/>
        <w:t>el sistema interamericano. Esta apreciación puede ser realizada con base  en</w:t>
        <w:br/>
        <w:t>el principio de equidad.[67]</w:t>
        <w:br/>
        <w:br/>
        <w:t>169.  A ese efecto, la  Corte  considera  que  es  equitativo  otorgar,  por</w:t>
        <w:br/>
        <w:t>conducto de  la  Comisión  Interamericana,  la  suma  total  de  US$  30.000</w:t>
        <w:br/>
        <w:t>(treinta mil dólares de los Estados  Unidos  de  América)  por  concepto  de</w:t>
        <w:br/>
        <w:t>gastos y costas en que incurrieron los miembros de la Comunidad Awas  Tingni</w:t>
        <w:br/>
        <w:t>y sus representantes, ambos causados  en  los  procesos  internos  y  en  el</w:t>
        <w:br/>
        <w:t>proceso internacional ante el sistema interamericano  de  protección.   Para</w:t>
        <w:br/>
        <w:t>el cumplimiento de lo anterior, el  Estado  deberá  efectuar  el  respectivo</w:t>
        <w:br/>
        <w:t>pago en un plazo de 6 meses contado a partir  de  la  notificación  de  esta</w:t>
        <w:br/>
        <w:t>Sentencia.</w:t>
        <w:br/>
        <w:br/>
        <w:t xml:space="preserve">                                      *</w:t>
        <w:br/>
        <w:t xml:space="preserve">                                   *     *</w:t>
        <w:br/>
        <w:br/>
        <w:t>170.  El Estado puede cumplir sus obligaciones mediante el pago  en  dólares</w:t>
        <w:br/>
        <w:t>de los Estados Unidos de América o en una  cantidad  equivalente  en  moneda</w:t>
        <w:br/>
        <w:t>nicaragüense, utilizando para el cálculo respectivo el tipo de cambio  entre</w:t>
        <w:br/>
        <w:t>ambas monedas que esté vigente en la plaza de Nueva York, Estados Unidos  de</w:t>
        <w:br/>
        <w:t>América, el día anterior al pago.</w:t>
        <w:br/>
        <w:br/>
        <w:t>171.  El  pago  del  daño  inmaterial  así  como  de  las  costas  y  gastos</w:t>
        <w:br/>
        <w:t>establecidos en la presente Sentencia no podrá  ser  objeto  de  impuesto  o</w:t>
        <w:br/>
        <w:t>tasa actualmente existente o que pueda decretarse en el futuro.  Además,  en</w:t>
        <w:br/>
        <w:t>caso de que el Estado incurriese en mora, deberá pagar un interés  sobre  la</w:t>
        <w:br/>
        <w:t>suma adeudada que corresponderá al interés bancario moratorio en  Nicaragua.</w:t>
        <w:br/>
        <w:t xml:space="preserve"> Finalmente, si por algún motivo no  fuese  posible  que  los  beneficiarios</w:t>
        <w:br/>
        <w:t>reciban  los  respectivos  pagos  o  se  beneficien   de   las   respectivas</w:t>
        <w:br/>
        <w:t>prestaciones dentro del plazo indicado  de  doce  meses,  el  Estado  deberá</w:t>
        <w:br/>
        <w:t>consignar  los  correspondientes  montos  a  su  favor  en  una   cuenta   o</w:t>
        <w:br/>
        <w:t>certificado de depósito, en una institución financiera solvente, en  dólares</w:t>
        <w:br/>
        <w:t>de los Estados Unidos de América o su equivalente  en  moneda  nicaragüense,</w:t>
        <w:br/>
        <w:t>en las condiciones financieras más favorables que permitan la legislación  y</w:t>
        <w:br/>
        <w:t>práctica bancarias.  Si al cabo de diez años el pago  no  es  reclamado,  la</w:t>
        <w:br/>
        <w:t>suma será devuelta, con los intereses devengados, al Estado nicaragüense.</w:t>
        <w:br/>
        <w:br/>
        <w:t>172.  Conforme a su práctica constante, la Corte se reserva la  facultad  de</w:t>
        <w:br/>
        <w:t>supervisar el cumplimiento integral de la presente  Sentencia.   El  proceso</w:t>
        <w:br/>
        <w:t>se dará por concluido una vez que el Estado haya dado cabal  cumplimiento  a</w:t>
        <w:br/>
        <w:t>lo dispuesto en el presente fallo.</w:t>
        <w:br/>
        <w:br/>
        <w:br/>
        <w:t xml:space="preserve">                                     XII</w:t>
        <w:br/>
        <w:t xml:space="preserve">                             Puntos Resolutivos</w:t>
        <w:br/>
        <w:br/>
        <w:t>173.  Por tanto,</w:t>
        <w:br/>
        <w:br/>
        <w:br/>
        <w:br/>
        <w:t xml:space="preserve">      La Corte,</w:t>
        <w:br/>
        <w:br/>
        <w:t>Por siete votos contra uno,</w:t>
        <w:br/>
        <w:br/>
        <w:t>1.    declara que el Estado  violó  el  derecho  a  la  protección  judicial</w:t>
        <w:br/>
        <w:t>consagrado en el artículo 25  de  la  Convención  Americana  sobre  Derechos</w:t>
        <w:br/>
        <w:t>Humanos, en perjuicio de los miembros de la Comunidad  Mayagna  (Sumo)  Awas</w:t>
        <w:br/>
        <w:t>Tingni, en conexión  con  los  artículos  1.1  y  2  de  la  Convención,  de</w:t>
        <w:br/>
        <w:t>conformidad con lo expuesto en el párrafo 139 de la presente Sentencia.</w:t>
        <w:br/>
        <w:br/>
        <w:t>Disiente el Juez Montiel Argüello.</w:t>
        <w:br/>
        <w:br/>
        <w:br/>
        <w:t>por siete votos contra uno,</w:t>
        <w:br/>
        <w:br/>
        <w:t>2.    declara que el Estado violó el derecho a la  propiedad  consagrado  en</w:t>
        <w:br/>
        <w:t>el artículo 21  de  la  Convención  Americana  sobre  Derechos  Humanos,  en</w:t>
        <w:br/>
        <w:t>perjuicio de los miembros de la Comunidad Mayagna  (Sumo)  Awas  Tingni,  en</w:t>
        <w:br/>
        <w:t>conexión con los artículos 1.1 y 2 de la Convención, de conformidad  con  lo</w:t>
        <w:br/>
        <w:t>expuesto en el párrafo 155 de la presente Sentencia.</w:t>
        <w:br/>
        <w:br/>
        <w:t>Disiente el Juez Montiel Argüello.</w:t>
        <w:br/>
        <w:br/>
        <w:br/>
        <w:t>por unanimidad,</w:t>
        <w:br/>
        <w:br/>
        <w:t>3.     decide  que  el  Estado  debe  adoptar  en  su  derecho  interno,  de</w:t>
        <w:br/>
        <w:t>conformidad con el artículo 2 de  la  Convención  Americana  sobre  Derechos</w:t>
        <w:br/>
        <w:t>Humanos, las medidas  legislativas,  administrativas  y  de  cualquier  otro</w:t>
        <w:br/>
        <w:t>carácter  que  sean  necesarias  para  crear  un   mecanismo   efectivo   de</w:t>
        <w:br/>
        <w:t>delimitación,  demarcación  y  titulación  de   las   propiedades   de   las</w:t>
        <w:br/>
        <w:t>comunidades indígenas, acorde con el derecho consuetudinario,  los  valores,</w:t>
        <w:br/>
        <w:t>usos y costumbres de éstas, de conformidad con lo expuesto en  los  párrafos</w:t>
        <w:br/>
        <w:t>138 y 164 de la presente Sentencia.</w:t>
        <w:br/>
        <w:br/>
        <w:br/>
        <w:t>por unanimidad,</w:t>
        <w:br/>
        <w:br/>
        <w:t>4.    decide que el Estado deberá delimitar, demarcar y titular las  tierras</w:t>
        <w:br/>
        <w:t>que corresponden a los miembros de la Comunidad Mayagna (Sumo)  Awas  Tingni</w:t>
        <w:br/>
        <w:t>y abstenerse de realizar,  hasta  tanto  no  se  efectúe  esa  delimitación,</w:t>
        <w:br/>
        <w:t>demarcación y titulación, actos que puedan llevar  a  que  los  agentes  del</w:t>
        <w:br/>
        <w:t>propio Estado, o terceros que actúen con su aquiescencia  o  su  tolerancia,</w:t>
        <w:br/>
        <w:t>afecten la existencia, el valor, el uso o el goce de los bienes ubicados  en</w:t>
        <w:br/>
        <w:t>la zona geográfica donde habitan y realizan sus actividades los miembros  de</w:t>
        <w:br/>
        <w:t>la Comunidad Mayagna (Sumo) Awas Tingni, de conformidad con lo  expuesto  en</w:t>
        <w:br/>
        <w:t>los párrafos 153 y 164 de la presente Sentencia.</w:t>
        <w:br/>
        <w:br/>
        <w:br/>
        <w:t>por unanimidad,</w:t>
        <w:br/>
        <w:br/>
        <w:t>5.    declara que la presente Sentencia constituye, per  se,  una  forma  de</w:t>
        <w:br/>
        <w:t>reparación para los miembros de la Comunidad Mayagna (Sumo) Awas Tingni.</w:t>
        <w:br/>
        <w:t>por siete votos contra uno,</w:t>
        <w:br/>
        <w:br/>
        <w:t>6.    decide, por equidad, que el Estado  debe  invertir,  por  concepto  de</w:t>
        <w:br/>
        <w:t>reparación del daño inmaterial, en el plazo de 12 meses, la  suma  total  de</w:t>
        <w:br/>
        <w:t>US$ 50.000 (cincuenta mil dólares de  los  Estados  Unidos  de  América)  en</w:t>
        <w:br/>
        <w:t>obras o servicios de interés colectivo en beneficio de la Comunidad  Mayagna</w:t>
        <w:br/>
        <w:t>(Sumo) Awas Tingni, de común acuerdo con ésta y bajo la  supervisión  de  la</w:t>
        <w:br/>
        <w:t>Comisión Interamericana de Derechos Humanos, de conformidad con lo  expuesto</w:t>
        <w:br/>
        <w:t>en el párrafo 167 de la presente Sentencia.</w:t>
        <w:br/>
        <w:br/>
        <w:t>Disiente el Juez Montiel Argüello.</w:t>
        <w:br/>
        <w:br/>
        <w:br/>
        <w:t>por siete votos contra uno,</w:t>
        <w:br/>
        <w:br/>
        <w:t>7.    decide, por equidad, que el Estado debe pagar a  los  miembros  de  la</w:t>
        <w:br/>
        <w:t>Comunidad  Mayagna  (Sumo)  Awas  Tingni,  por  conducto  de   la   Comisión</w:t>
        <w:br/>
        <w:t>Interamericana de Derechos Humanos, la suma total  de  US$  30.000  (treinta</w:t>
        <w:br/>
        <w:t>mil dólares de los Estados Unidos de  América)  por  concepto  de  gastos  y</w:t>
        <w:br/>
        <w:t>costas  en  que  incurrieron  los  miembros  de  dicha   Comunidad   y   sus</w:t>
        <w:br/>
        <w:t>representantes, ambos causados en los procesos  internos  y  en  el  proceso</w:t>
        <w:br/>
        <w:t>internacional ante el sistema interamericano de protección,  de  conformidad</w:t>
        <w:br/>
        <w:t>con lo expuesto en el párrafo 169 de la presente Sentencia.</w:t>
        <w:br/>
        <w:br/>
        <w:t>Disiente el Juez Montiel Argüello.</w:t>
        <w:br/>
        <w:br/>
        <w:br/>
        <w:t>por unanimidad,</w:t>
        <w:br/>
        <w:br/>
        <w:t>8.    decide que  el  Estado  debe  rendir  a  la  Corte  Interamericana  de</w:t>
        <w:br/>
        <w:t>Derechos Humanos cada seis meses a partir de la notificación de la  presente</w:t>
        <w:br/>
        <w:t>Sentencia, un informe sobre las medidas tomadas para darle cumplimiento.</w:t>
        <w:br/>
        <w:br/>
        <w:br/>
        <w:t>por unanimidad,</w:t>
        <w:br/>
        <w:br/>
        <w:t>9.    decide que supervisará el cumplimiento de esta Sentencia  y  dará  por</w:t>
        <w:br/>
        <w:t>concluido el presente caso una vez que el Estado haya dado cabal  aplicación</w:t>
        <w:br/>
        <w:t>a lo dispuesto en el presente fallo.</w:t>
        <w:br/>
        <w:br/>
        <w:br/>
        <w:t>Los Jueces Cançado Trindade, Pacheco Gómez y Abreu Burelli hicieron  conocer</w:t>
        <w:br/>
        <w:t>a la Corte su Voto Razonado Conjunto, los Jueces Salgado Pesantes  y  García</w:t>
        <w:br/>
        <w:t>Ramírez hicieron conocer a la Corte sus Votos Razonados, y el  Juez  Montiel</w:t>
        <w:br/>
        <w:t>Argüello hizo conocer a la Corte su Voto  Disidente,  los  cuales  acompañan</w:t>
        <w:br/>
        <w:t>esta Sentencia.</w:t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t>Máximo Pacheco Gómez   Hernán Salgado Pesantes</w:t>
        <w:br/>
        <w:br/>
        <w:br/>
        <w:t xml:space="preserve">      Oliver Jackman   Alirio Abreu Burelli</w:t>
        <w:br/>
        <w:br/>
        <w:br/>
        <w:t>Sergio García Ramírez  Carlos Vicente de Roux Rengifo</w:t>
        <w:br/>
        <w:br/>
        <w:br/>
        <w:br/>
        <w:t xml:space="preserve">                         Alejandro Montiel Argüello</w:t>
        <w:br/>
        <w:t xml:space="preserve">                                 Juez ad hoc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>Comuníquese y ejecútese,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 xml:space="preserve">                    VOTO RAZONADO CONJUNTO DE LOS JUECES</w:t>
        <w:br/>
        <w:t xml:space="preserve">         A.A. CANÇADO TRINDADE, M. PACHECO GÓMEZ Y A. ABREU BURELLI</w:t>
        <w:br/>
        <w:br/>
        <w:br/>
        <w:t>1.    Los Jueces suscritos votamos a favor de la  adopción  de  la  presente</w:t>
        <w:br/>
        <w:t>Sentencia de la Corte Interamericana de Derechos Humanos sobre el  fondo  en</w:t>
        <w:br/>
        <w:t>el caso de la Comunidad Mayagna (Sumo) Awas Tingni  versus  Nicaragua.  Dada</w:t>
        <w:br/>
        <w:t>la importancia de la materia  planteada  en  el  presente  caso,  nos  vemos</w:t>
        <w:br/>
        <w:t>obligados a agregar las breves reflexiones que siguen, acerca de uno de  los</w:t>
        <w:br/>
        <w:t>aspectos centrales de la misma, a saber, la dimensión  intertemporal  de  la</w:t>
        <w:br/>
        <w:t>forma  comunal  de  propiedad  prevaleciente  entre  los  miembros  de   las</w:t>
        <w:br/>
        <w:t>comunidades indígenas.</w:t>
        <w:br/>
        <w:br/>
        <w:t>2.     En  la  audiencia  pública  celebrada  en  la  sede   de   la   Corte</w:t>
        <w:br/>
        <w:t>Interamericana los días 16, 17 y 18 de noviembre de  2000,  dos  miembros  y</w:t>
        <w:br/>
        <w:t>representantes de la Comunidad  Mayagna  (Sumo)  Awas  Tingni  señalaron  la</w:t>
        <w:br/>
        <w:t>importancia vital que reviste la relación de los miembros  de  la  Comunidad</w:t>
        <w:br/>
        <w:t>con las tierras que ocupan,  no  sólo  para  su  propia  subsistencia,  sino</w:t>
        <w:br/>
        <w:t>además para  su  desarrollo  familiar,  cultural  y  religioso.  De  ahí  su</w:t>
        <w:br/>
        <w:t>caracterización del  territorio  como  sagrado,  por  cobijar  no  sólo  los</w:t>
        <w:br/>
        <w:t>miembros vivos de la Comunidad, sino también  los  restos  mortales  de  sus</w:t>
        <w:br/>
        <w:t>antepasados, así  como  sus  divinidades.  De  ahí,  por  ejemplo,  la  gran</w:t>
        <w:br/>
        <w:t>significación religiosa de los cerros, habitados por dichas divinidades.</w:t>
        <w:br/>
        <w:br/>
        <w:t>3.    Como señaló en su testimonio en la audiencia  pública  ante  la  Corte</w:t>
        <w:br/>
        <w:t>uno de los miembros de la referida Comunidad,</w:t>
        <w:br/>
        <w:br/>
        <w:br/>
        <w:t xml:space="preserve">      "(...) Cerro Urus Asang es un cerro sagrado desde  nuestros  ancestros</w:t>
        <w:br/>
        <w:t xml:space="preserve">      porque allí tenemos enterrados a nuestros abuelos y por  eso  llamamos</w:t>
        <w:br/>
        <w:t xml:space="preserve">      sagrado.  Luego, Kiamak  también  es  un  cerro  sagrado  porque  allí</w:t>
        <w:br/>
        <w:t xml:space="preserve">      tenemos (...) las flechas de nuestros abuelos.  Luego viene Caño  Kuru</w:t>
        <w:br/>
        <w:t xml:space="preserve">      Was, es un pueblo viejo.  Todo nombre que  hemos  mencionado  en  este</w:t>
        <w:br/>
        <w:t xml:space="preserve">      cuadro es sagrado.(...)"[68].</w:t>
        <w:br/>
        <w:br/>
        <w:t>4.    Y agregó, en seguida, que</w:t>
        <w:br/>
        <w:br/>
        <w:t xml:space="preserve">      "(...) Nuestros abuelos vivían en ese cerro, entonces tenían como  sus</w:t>
        <w:br/>
        <w:t xml:space="preserve">      animalitos (...) los monos. (...)  Los  utensilios  de  la  guerra  de</w:t>
        <w:br/>
        <w:t xml:space="preserve">      nuestros ancestros, nuestros abuelos, eran  las  flechas.  Ahí  tienen</w:t>
        <w:br/>
        <w:t xml:space="preserve">      almacenad[as]. (...) nosotros mantenemos la  historia  nuestra,  desde</w:t>
        <w:br/>
        <w:t xml:space="preserve">      nuestros abuelos. Por eso nosotros tenemos como Cerro  Sagrado.  (...)</w:t>
        <w:br/>
        <w:t xml:space="preserve">      Asangpas Muigeni es espíritu del monte, es igual forma como un humano,</w:t>
        <w:br/>
        <w:t xml:space="preserve">      pero  es  un  espíritu  [que]  siempre  vive  debajo  de  los  cerros.</w:t>
        <w:br/>
        <w:t xml:space="preserve">      (...)"[69].</w:t>
        <w:br/>
        <w:br/>
        <w:t>5.    Como observó en su testimonio un antropólogo en la  audiencia  pública</w:t>
        <w:br/>
        <w:t>ante la Corte, hay dos tipos de lugares  sagrados  de  los  miembros  de  la</w:t>
        <w:br/>
        <w:t>Comunidad Mayagna: a) los cerros, donde están  los  "espíritus  del  monte",</w:t>
        <w:br/>
        <w:t>con los cuales "hay que tener una relación especial";  y  b)  en  las  zonas</w:t>
        <w:br/>
        <w:t>fronterizas, los cementerios, donde entierran  sus  muertos  "dentro  de  la</w:t>
        <w:br/>
        <w:t>Comunidad", a lo largo del río  Wawa,  "visitados  hasta  hoy  (...)día  con</w:t>
        <w:br/>
        <w:t>frecuencia por (...) miembros de la Comunidad", sobre todo  cuando  "van  de</w:t>
        <w:br/>
        <w:t>cacería", hasta cierto punto como un "acto espiritual"[70]. Como agregó,  en</w:t>
        <w:br/>
        <w:t>la misma audiencia, en  un  peritaje,  otro  antropólogo  y  sociólogo,  las</w:t>
        <w:br/>
        <w:t>tierras de los pueblos indígenas constituyen  un  espacio  al  mismo  tiempo</w:t>
        <w:br/>
        <w:t>geográfico y social, simbólico y religioso, de crucial importancia  para  su</w:t>
        <w:br/>
        <w:t>autoidentificación cultural, su salud mental, su autopercepción  social[71].</w:t>
        <w:br/>
        <w:br/>
        <w:br/>
        <w:t>6.    Como se desprende de  los  testimonios  y  peritajes  rendidos  en  la</w:t>
        <w:br/>
        <w:t>citada audiencia pública, la Comunidad tiene una tradición  contraria  a  la</w:t>
        <w:br/>
        <w:t>privatización y a la comercialización y venta (o alquiler) de  los  recursos</w:t>
        <w:br/>
        <w:t>naturales (y su  explotación)[72].  El  concepto  comunal  de  la  tierra  -</w:t>
        <w:br/>
        <w:t>inclusive como lugar espiritual - y sus recursos naturales forman  parte  de</w:t>
        <w:br/>
        <w:t>su derecho consuetudinario; su vinculación  con  el  territorio,  aunque  no</w:t>
        <w:br/>
        <w:t>esté escrita, integra su vida cotidiana, y el propio derecho a la  propiedad</w:t>
        <w:br/>
        <w:t>comunal posee una dimensión  cultural.  En  suma,  el  habitat  forma  parte</w:t>
        <w:br/>
        <w:t>integrante de su cultura, transmitida de generación en generación.</w:t>
        <w:br/>
        <w:br/>
        <w:t>7.    La Corte Interamericana ha recogido debidamente  estos  elementos,  en</w:t>
        <w:br/>
        <w:t>el párrafo 149 de la presente Sentencia, en el cual señala que</w:t>
        <w:br/>
        <w:br/>
        <w:t xml:space="preserve">      "(...) Entre los indígenas existe una tradición comunitaria sobre  una</w:t>
        <w:br/>
        <w:t xml:space="preserve">      forma comunal de la propiedad colectiva de la tierra, en el sentido de</w:t>
        <w:br/>
        <w:t xml:space="preserve">      que la pertenencia de ésta no se centra en un  individuo  sino  en  el</w:t>
        <w:br/>
        <w:t xml:space="preserve">      grupo y  su  comunidad.  (...)  Para  las   comunidades  indígenas  la</w:t>
        <w:br/>
        <w:t xml:space="preserve">      relación con la tierra no es meramente  una  cuestión  de  posesión  y</w:t>
        <w:br/>
        <w:t xml:space="preserve">      producción sino un elemento material y espiritual del que deben  gozar</w:t>
        <w:br/>
        <w:t xml:space="preserve">      plenamente, inclusive para preservar su legado cultural y transmitirlo</w:t>
        <w:br/>
        <w:t xml:space="preserve">      a las generaciones futuras".</w:t>
        <w:br/>
        <w:br/>
        <w:t>8.     Consideramos  necesario  ampliar  este  elemento  conceptual  con  un</w:t>
        <w:br/>
        <w:t>énfasis en la dimensión intertemporal de lo que nos parece  caracterizar  la</w:t>
        <w:br/>
        <w:t>relación de los indígenas de la Comunidad con sus  tierras.  Sin  el  uso  y</w:t>
        <w:br/>
        <w:t>goce efectivos de estas  últimas,  ellos  estarían  privados  de  practicar,</w:t>
        <w:br/>
        <w:t>conservar y revitalizar sus costumbres culturales,  que  dan  sentido  a  su</w:t>
        <w:br/>
        <w:t>propia existencia, tanto individual como comunitaria. El sentimiento que  se</w:t>
        <w:br/>
        <w:t>desprende es en el sentido de  que,  así  como  la  tierra  que  ocupan  les</w:t>
        <w:br/>
        <w:t>pertenece, a su vez ellos pertenecen a su tierra. Tienen, pues,  el  derecho</w:t>
        <w:br/>
        <w:t>de preservar sus manifestaciones culturales pasadas y  presentes,  y  el  de</w:t>
        <w:br/>
        <w:t>poder desarrollarlas en el futuro.</w:t>
        <w:br/>
        <w:br/>
        <w:t>9.    De ahí la importancia del fortalecimiento de la relación espiritual  y</w:t>
        <w:br/>
        <w:t>material de los miembros de la Comunidad con las tierras  que  han  ocupado,</w:t>
        <w:br/>
        <w:t>no sólo para preservar el legado de las generaciones pasadas,  sino  también</w:t>
        <w:br/>
        <w:t>para asumir y desempeñar las responsabilidades que ellos asumen respecto  de</w:t>
        <w:br/>
        <w:t>las generaciones por venir. De ahí, además,  la  necesaria  prevalencia  que</w:t>
        <w:br/>
        <w:t>atribuyen al elemento de la conservación sobre la simple explotación de  los</w:t>
        <w:br/>
        <w:t>recursos naturales. Su forma comunal de propiedad, mucho más amplia  que  la</w:t>
        <w:br/>
        <w:t>concepción civilista (jusprivatista), debe, a nuestro juicio, ser  apreciada</w:t>
        <w:br/>
        <w:t>desde este prisma, inclusive bajo el artículo 21 de la Convención  Americana</w:t>
        <w:br/>
        <w:t>sobre Derechos Humanos, a la luz de los hechos del cas d'espèce.</w:t>
        <w:br/>
        <w:br/>
        <w:t>10.   La preocupación  por  el  elemento  de  la  conservación  refleja  una</w:t>
        <w:br/>
        <w:t>manifestación cultural de la integración del ser humano con la naturaleza  y</w:t>
        <w:br/>
        <w:t>el mundo en que vive. Esta integración, creemos, se  proyecta  tanto  en  el</w:t>
        <w:br/>
        <w:t>espacio como en el tiempo, por cuanto nos relacionamos, en el  espacio,  con</w:t>
        <w:br/>
        <w:t>el sistema natural de que somos parte y que debemos tratar con  cuidado,  y,</w:t>
        <w:br/>
        <w:t>en el tiempo, con otras generaciones (las pasadas  y  las  futuras)[73],  en</w:t>
        <w:br/>
        <w:t>relación con las cuales tenemos obligaciones.</w:t>
        <w:br/>
        <w:br/>
        <w:t>11.   Manifestaciones culturales del género forman, a su vez, el  substratum</w:t>
        <w:br/>
        <w:t>de las normas jurídicas que deben regir  las  relaciones  de  los  comuneros</w:t>
        <w:br/>
        <w:t>inter se y con sus  bienes.  Como  oportunamente  lo  recuerda  la  presente</w:t>
        <w:br/>
        <w:t>Sentencia de la Corte, la propia Constitución Política vigente de  Nicaragua</w:t>
        <w:br/>
        <w:t>dispone sobre la preservación y el desarrollo de la identidad  cultural  (en</w:t>
        <w:br/>
        <w:t>la unidad nacional), y las formas propias  de  organización  social  de  los</w:t>
        <w:br/>
        <w:t>pueblos indígenas, así como el mantenimiento  de  las  formas  comunales  de</w:t>
        <w:br/>
        <w:t>propiedad de sus tierras y el goce, uso y disfrute de las  mismas  (artículo</w:t>
        <w:br/>
        <w:t>5)[74].</w:t>
        <w:br/>
        <w:br/>
        <w:t>12.   Estas formas de manifestación cultural y auto-organización  social  se</w:t>
        <w:br/>
        <w:t>han, de ese modo, concretado, a lo largo del tiempo, en normas  jurídicas  y</w:t>
        <w:br/>
        <w:t>en jurisprudencia, en los planos tanto internacional como  nacional.  No  es</w:t>
        <w:br/>
        <w:t>esta la primera vez que la Corte  Interamericana  ha  tenido  presentes  las</w:t>
        <w:br/>
        <w:t>prácticas culturales de  colectividades.  En  el  caso  Aloeboetoe  y  Otros</w:t>
        <w:br/>
        <w:t>versus Suriname (Reparaciones, Sentencia del 10.09.1993), la Corte  tomó  en</w:t>
        <w:br/>
        <w:t>cuenta, en la determinación del monto de las reparaciones a  los  familiares</w:t>
        <w:br/>
        <w:t>de las víctimas, el propio derecho consuetudinario de la comunidad  saramaca</w:t>
        <w:br/>
        <w:t>(los maroons, - a la cual pertenecian las  víctimas),  dónde  prevalecía  la</w:t>
        <w:br/>
        <w:t>poligamia, de modo a extender el monto de las reparaciones de  daños  a  las</w:t>
        <w:br/>
        <w:t>diversas viudas y sus hijos[75].</w:t>
        <w:br/>
        <w:br/>
        <w:t>13.   En el caso Bámaca Velásquez versus  Guatemala  (Fondo,  Sentencia  del</w:t>
        <w:br/>
        <w:t>25.11.2000), la Corte tomó en debida cuenta el derecho de los familiares  de</w:t>
        <w:br/>
        <w:t>la persona forzosamente desaparecida a una  sepultura  digna  a  los  restos</w:t>
        <w:br/>
        <w:t>mortales de ésta y a la repercusión de la cuestión en la  cultura  maya[76].</w:t>
        <w:br/>
        <w:t>Pero, en esta Sentencia sobre el fondo en el caso de  la  Comunidad  Mayagna</w:t>
        <w:br/>
        <w:t>(Sumo) Awas Tingni, la Corte, por primera vez, profundiza en el análisis  de</w:t>
        <w:br/>
        <w:t>la materia,  en  una  aproximación  a  una  interpretación  integral  de  la</w:t>
        <w:br/>
        <w:t>cosmovisión indígena, como punto central de la presente Sentencia.</w:t>
        <w:br/>
        <w:br/>
        <w:t>14.    En  efecto,  muchas   son,   en   nuestros   días,   las   sociedades</w:t>
        <w:br/>
        <w:t>multiculturales, y la atención debida a la diversidad  cultural  nos  parece</w:t>
        <w:br/>
        <w:t>que constituye un requisito  esencial  para  asegurar  la  eficacia  de  las</w:t>
        <w:br/>
        <w:t>normas de protección de los derechos  humanos,  en  los  planos  nacional  e</w:t>
        <w:br/>
        <w:t>internacional. Del  mismo  modo,  consideramos  que  la  invocación  de  las</w:t>
        <w:br/>
        <w:t>manifestaciones  culturales  no  puede   atentar   contra   los   estándares</w:t>
        <w:br/>
        <w:t>universalmente  reconocidos  de  observancia  y  respeto  a   los   derechos</w:t>
        <w:br/>
        <w:t>fundamentales de la persona humana. Así, al mismo tiempo  que  afirmamos  la</w:t>
        <w:br/>
        <w:t>importancia de la atención debida a la diversidad cultural,  inclusive  para</w:t>
        <w:br/>
        <w:t>el reconocimiento de la universalidad de los  derechos  humanos,  rechazamos</w:t>
        <w:br/>
        <w:t>con firmeza las distorsiones del llamado "relativismo" cultural.</w:t>
        <w:br/>
        <w:br/>
        <w:t>15.   La interpretación y aplicación dadas por la  Corte  Interamericana  al</w:t>
        <w:br/>
        <w:t>contenido normativo del  artículo  21  de  la  Convención  Americana  en  el</w:t>
        <w:br/>
        <w:t>presente caso de la Comunidad Mayagna  (Sumo)  Awas  Tingni  representan,  a</w:t>
        <w:br/>
        <w:t>nuestro modo de ver, una contribución positiva a la protección de  la  forma</w:t>
        <w:br/>
        <w:t>comunal de propiedad prevaleciente entre los miembros  de  dicha  Comunidad.</w:t>
        <w:br/>
        <w:t>Esta concepción comunal, además de los valores en  ella  subyacentes,  tiene</w:t>
        <w:br/>
        <w:t>una cosmovisión propia, y una importante dimensión intertemporal,  al  poner</w:t>
        <w:br/>
        <w:t>de manifiesto los lazos de solidaridad humana que vinculan a los  vivos  con</w:t>
        <w:br/>
        <w:t>sus muertos y con los que están por venir.</w:t>
        <w:br/>
        <w:br/>
        <w:br/>
        <w:br/>
        <w:br/>
        <w:t>ANTÔNIO AUGUSTO CANÇADO TRINDADE  MÁXIMO PACHECO GÓMEZ</w:t>
        <w:br/>
        <w:t xml:space="preserve">      Juez  Juez</w:t>
        <w:br/>
        <w:br/>
        <w:br/>
        <w:br/>
        <w:t xml:space="preserve">                            Alirio Abreu Burelli</w:t>
        <w:br/>
        <w:t xml:space="preserve">                                    Juez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            VOTO RAZONADO CONCURRENTE DEL</w:t>
        <w:br/>
        <w:t xml:space="preserve">                        JUEZ HERNÁN SALGADO PESANTES</w:t>
        <w:br/>
        <w:br/>
        <w:br/>
        <w:br/>
        <w:t>En el presente caso, me permito agregar algunas consideraciones.</w:t>
        <w:br/>
        <w:br/>
        <w:t>1.    La tenencia de la tierra  por  parte  de  los  pueblos  y  comunidades</w:t>
        <w:br/>
        <w:t>indígenas, sea a título de propiedad comunal o  de  posesión  ancestral,  ha</w:t>
        <w:br/>
        <w:t>sido reconocida en nuestro  Continente  como  un  derecho  y  muchos  países</w:t>
        <w:br/>
        <w:t>latinoamericanos lo han consagrado a nivel constitucional.</w:t>
        <w:br/>
        <w:br/>
        <w:t>2.    Este derecho a la tierra, reivindicado por los indígenas, se  inscribe</w:t>
        <w:br/>
        <w:t>en  el  derecho  a  la  propiedad;  sin  embargo   desborda  este   concepto</w:t>
        <w:br/>
        <w:t>tradicional en el que prima la  relación  individual.   Por  otro  lado,  la</w:t>
        <w:br/>
        <w:t>propiedad comunal o colectiva  cumple  de  mejor  manera  con  la  exigencia</w:t>
        <w:br/>
        <w:t>insoslayable de la función social porque ésta es parte de su naturaleza.</w:t>
        <w:br/>
        <w:br/>
        <w:t>3.    El aporte antropológico del siglo XX dejó en claro  que  las  culturas</w:t>
        <w:br/>
        <w:t>indígenas tienen una vinculación muy particular con  la  tierra  secular  de</w:t>
        <w:br/>
        <w:t>sus antepasados, en la cual cumplen su ciclo vital y donde  buscan  alcanzar</w:t>
        <w:br/>
        <w:t>su plenitud humana espiritual y material.</w:t>
        <w:br/>
        <w:br/>
        <w:t>4.    En este caso, en que existen  diversos  asentamientos  de  comunidades</w:t>
        <w:br/>
        <w:t>indígenas (traslapes), cuando el Estado proceda a delimitar  y  demarcar  la</w:t>
        <w:br/>
        <w:t>propiedad comunal debe primar un criterio de proporcionalidad  que  consiste</w:t>
        <w:br/>
        <w:t>en que el Estado, con la participación  de  los  interesados,  entregue  las</w:t>
        <w:br/>
        <w:t>tierras que son necesarias para desarrollar y garantizar las formas de  vida</w:t>
        <w:br/>
        <w:t>de todos los habitantes-miembros de las comunidades indígenas.</w:t>
        <w:br/>
        <w:br/>
        <w:t>5.    Por último, cuando se invoca el derecho de  propiedad  se  debe  tener</w:t>
        <w:br/>
        <w:t>presente que el goce y ejercicio del derecho de propiedad  trae  consigo  un</w:t>
        <w:br/>
        <w:t>cúmulo de deberes, desde  los  morales  y  políticos  hasta  los  de  índole</w:t>
        <w:br/>
        <w:t>social.  Junto a ellos está el deber jurídico reflejado en las  limitaciones</w:t>
        <w:br/>
        <w:t>impuestas por la  ley  en  un  Estado  democrático.    Según  la  Convención</w:t>
        <w:br/>
        <w:t>Americana: “La Ley puede subordinar tal  uso  y  goce  al  interés  social.”</w:t>
        <w:br/>
        <w:t>(Art. 21.1).</w:t>
        <w:br/>
        <w:br/>
        <w:br/>
        <w:br/>
        <w:t xml:space="preserve">                           Hernán Salgado Pesantes</w:t>
        <w:br/>
        <w:t xml:space="preserve">                                    Juez</w:t>
        <w:br/>
        <w:br/>
        <w:t xml:space="preserve">                          Manuel E. Ventura Robles</w:t>
        <w:br/>
        <w:t xml:space="preserve">                                 Secretario</w:t>
        <w:br/>
        <w:t xml:space="preserve"> VOTO RAZONADO CONCURRENTE DEL JUEZ SERGIO GARCÍA RAMÍREZ A LA SENTENCIA DE</w:t>
        <w:br/>
        <w:t xml:space="preserve">                        FONDO Y REPARACIONES DEL CASO</w:t>
        <w:br/>
        <w:t xml:space="preserve">                   “COMUNIDAD MAYAGNA (SUMO) AWAS TINGNI”.</w:t>
        <w:br/>
        <w:br/>
        <w:br/>
        <w:br/>
        <w:t>1.    Coincido con el voto mayoritario de los Jueces que integran  la  Corte</w:t>
        <w:br/>
        <w:t>en la Sentencia de fondo y reparaciones del presente caso,  que  declara  la</w:t>
        <w:br/>
        <w:t>existencia de  violaciones  a  los  artículos  21  y  25  de  la  Convención</w:t>
        <w:br/>
        <w:t>Americana sobre Derechos Humanos en agravio de  la  Comunidad  Mayagna  Awas</w:t>
        <w:br/>
        <w:t>Tingni. Para llegar a esta decisión, la  Corte  examinó  cuidadosamente  las</w:t>
        <w:br/>
        <w:t>pretensiones de los peticionarios, planteadas ante esta jurisdicción por  la</w:t>
        <w:br/>
        <w:t>Comisión Interamericana de  Derechos  Humanos,  así  como  la  posición  del</w:t>
        <w:br/>
        <w:t>Estado  --que explícitamente reconoció  derechos  de  la  Comunidad  Mayagna</w:t>
        <w:br/>
        <w:t>(Sumo) Awas Tingni y sus integrantes  (párr.152.  de  la  Sentencia)--,  las</w:t>
        <w:br/>
        <w:t>pruebas  desahogadas  en  la  audiencia  respectiva  y  otros  elementos  de</w:t>
        <w:br/>
        <w:t>conocimiento que figuran en el expediente. Con este sustento,  la  Corte  ha</w:t>
        <w:br/>
        <w:t>hecho una interpretación pertinente, a mi modo de ver, del  artículo  21  de</w:t>
        <w:br/>
        <w:t>la Convención Americana sobre Derechos Humanos.</w:t>
        <w:br/>
        <w:br/>
        <w:t>2.     En  el  ejercicio  de   su   jurisdicción   contenciosa,   la   Corte</w:t>
        <w:br/>
        <w:t>Interamericana está obligada a observar las disposiciones de  la  Convención</w:t>
        <w:br/>
        <w:t>Americana, interpretándolas conforme a las reglas que ese mismo  instrumento</w:t>
        <w:br/>
        <w:t>previene y a las demás  que  pudieran  ser  invocadas  conforme  al  régimen</w:t>
        <w:br/>
        <w:t>jurídico de los tratados internacionales, que figuran en  la  Convención  de</w:t>
        <w:br/>
        <w:t>Viena sobre el Derecho de los Tratados, del 23 de mayo de 1969.  Igualmente,</w:t>
        <w:br/>
        <w:t>ha  de  tener  en  cuenta  el  principio  de  interpretación  que  obliga  a</w:t>
        <w:br/>
        <w:t>considerar el objeto y fin de los tratados (artículo 31.1 de  la  Convención</w:t>
        <w:br/>
        <w:t>de Viena), al  que  infra  se  hace  referencia,  y  la  regla  pro  homine,</w:t>
        <w:br/>
        <w:t>inherente  al  Derecho   internacional   de   los   derechos   humanos    --</w:t>
        <w:br/>
        <w:t>frecuentemente invocado en la jurisprudencia de la Corte--,  que  conduce  a</w:t>
        <w:br/>
        <w:t>la mayor y mejor protección de las personas,  con  el  propósito  último  de</w:t>
        <w:br/>
        <w:t>preservar la dignidad, asegurar los  derechos  fundamentales  y  alentar  el</w:t>
        <w:br/>
        <w:t>desarrollo de los seres humanos.</w:t>
        <w:br/>
        <w:br/>
        <w:t>3.     El  artículo  29  de  la  Convención   Americana,   relativo   a   la</w:t>
        <w:br/>
        <w:t>interpretación  de  este  instrumento,  manifiesta  que   ninguna   de   sus</w:t>
        <w:br/>
        <w:t>disposiciones podrá ser interpretada en el sentido de  “limitar  el  goce  y</w:t>
        <w:br/>
        <w:t>ejercicio de cualquier derecho o libertad  que  pueda  estar  reconocido  de</w:t>
        <w:br/>
        <w:t>acuerdo con las leyes de cualquiera de los Estados partes (...)”.  En  otros</w:t>
        <w:br/>
        <w:t>términos, quienes se hallan protegidos por el régimen de  la  Convención  no</w:t>
        <w:br/>
        <w:t>pierden por ello  --aun si ésta contuviera restricciones o  limitaciones  de</w:t>
        <w:br/>
        <w:t>derechos precedentes, que no es el caso--  las libertades,  prerrogativas  o</w:t>
        <w:br/>
        <w:t>facultades que ya tengan conforme a la  legislación  del  Estado  bajo  cuya</w:t>
        <w:br/>
        <w:t>jurisdicción se encuentran. Estas no se ven excluidas por los  derechos  que</w:t>
        <w:br/>
        <w:t>reconoce la Convención,  sino  se  concilian  con  ellos  para  precisar  su</w:t>
        <w:br/>
        <w:t>alcance, o se añaden a éstos para integrar  el  creciente  catálogo  de  los</w:t>
        <w:br/>
        <w:t>derechos humanos.</w:t>
        <w:br/>
        <w:br/>
        <w:t>4.    La Convención de Viena sobre el Derecho de los  Tratados  dispone,  en</w:t>
        <w:br/>
        <w:t>el citado artículo 31.1:  “Un  tratado  deberá  interpretarse  de  buena  fe</w:t>
        <w:br/>
        <w:t>conforme al sentido corriente que haya de  atribuirse  a  los  términos  del</w:t>
        <w:br/>
        <w:t>tratado en el contexto de éstos y teniendo en cuenta su objeto  y  fin”.  En</w:t>
        <w:br/>
        <w:t>la especie, el objeto y  fin  de  la  Convención  Americana  sobre  Derechos</w:t>
        <w:br/>
        <w:t>Humanos se concentran en el reconocimiento de la dignidad humana  y  de  las</w:t>
        <w:br/>
        <w:t>necesidades de protección y desarrollo de las personas, en  la  estipulación</w:t>
        <w:br/>
        <w:t>de compromisos a este respecto y en la provisión de  instrumentos  jurídicos</w:t>
        <w:br/>
        <w:t>que preserven aquélla y realicen éstos.  Por  otra  parte,  al  examinar  el</w:t>
        <w:br/>
        <w:t>sentido  corriente  de  los  términos del tratado que ahora se aplica   --es</w:t>
        <w:br/>
        <w:t>decir, la Convención  Americana--,   es  preciso  considerar  el  alcance  y</w:t>
        <w:br/>
        <w:t>significado  --o los  alcances  y  significados--   que  en  los  países  de</w:t>
        <w:br/>
        <w:t>América tiene el término “propiedad”.</w:t>
        <w:br/>
        <w:br/>
        <w:t>5.    Es relevante mencionar aquí que la Corte  Interamericana  de  Derechos</w:t>
        <w:br/>
        <w:t>Humanos, en su Opinión Consultiva OC-16/99  (El  Derecho  a  la  Información</w:t>
        <w:br/>
        <w:t>sobre la Asistencia Consular  en  el  Marco  de  las  Garantías  del  Debido</w:t>
        <w:br/>
        <w:t>Proceso Legal) hizo ver que “al dar interpretación a un tratado no  sólo  se</w:t>
        <w:br/>
        <w:t>toman en cuenta los acuerdos e  instrumentos  formalmente  relacionados  con</w:t>
        <w:br/>
        <w:t>éste (...), sino también el  sistema dentro del  cual  se  inscribe”  (párr.</w:t>
        <w:br/>
        <w:t>113), y a tal efecto citó a la Corte Internacional de Justicia  cuando  ésta</w:t>
        <w:br/>
        <w:t>sostiene que “un instrumento internacional debe ser interpretado y  aplicado</w:t>
        <w:br/>
        <w:t>en el marco del conjunto del sistema jurídico vigente en el momento  en  que</w:t>
        <w:br/>
        <w:t>se practica  la  interpretación”  (Legal  Consequences  for  States  of  the</w:t>
        <w:br/>
        <w:t>Continued  Presence  of  South  Africa  in  Namibia  (South  West   Africa),</w:t>
        <w:br/>
        <w:t>notwithstanding Security Council Resolution 276  (1970),  Advisory  Opinion,</w:t>
        <w:br/>
        <w:t>I.C.J.  Reports  1971,  pág.  16  ad  31).  Así  lo  ha   hecho   la   Corte</w:t>
        <w:br/>
        <w:t>Interamericana al dictar Sentencia en el presente caso.</w:t>
        <w:br/>
        <w:br/>
        <w:t>6.     Diversos  instrumentos  internacionales  concernientes  a  la   vida,</w:t>
        <w:br/>
        <w:t>cultura y derechos de los indígenas invocan el reconocimiento  explícito  de</w:t>
        <w:br/>
        <w:t>sus instituciones jurídicas y, entre ellas, de las formas de  propiedad  que</w:t>
        <w:br/>
        <w:t>han prevalecido y  prevalecen  entre  aquéllos.  De  la  revisión  de  estos</w:t>
        <w:br/>
        <w:t>textos, a la que acude una amplia corriente de convicciones, experiencias  y</w:t>
        <w:br/>
        <w:t>exigencias, se desprenden  la  legitimidad  que  tienen  y  el  respeto  que</w:t>
        <w:br/>
        <w:t>merecen esos sistemas de tenencia de la tierra, así como  la  necesidad  que</w:t>
        <w:br/>
        <w:t>existe, en tal virtud, de proveer a su reconocimiento y defensa.  El  ámbito</w:t>
        <w:br/>
        <w:t>de los derechos individuales de los indígenas y colectivos  de  sus  pueblos</w:t>
        <w:br/>
        <w:t>se integra, por ende, con las estipulaciones de los  instrumentos  generales</w:t>
        <w:br/>
        <w:t>sobre derechos humanos, aplicables a todas las personas, ilustradas con  los</w:t>
        <w:br/>
        <w:t>datos que constan en esos otros catálogos específicos, acerca de los  cuales</w:t>
        <w:br/>
        <w:t>existe un consenso cada vez más amplio y resuelto. Estos  datos  constituyen</w:t>
        <w:br/>
        <w:t>elementos útiles  --más todavía, indispensables-- para la interpretación  de</w:t>
        <w:br/>
        <w:t>las normas convencionales que debe aplicar la Corte.</w:t>
        <w:br/>
        <w:br/>
        <w:t>7.    En este orden de ideas, el Convenio No. 169 sobre Pueblos Indígenas  y</w:t>
        <w:br/>
        <w:t>Tribales  en  Países  Independientes,  adoptado  por  la  76ª.   Conferencia</w:t>
        <w:br/>
        <w:t>Internacional del Trabajo  (Ginebra,  1989),  animado  por  la  idea  de  la</w:t>
        <w:br/>
        <w:t>existencia perdurable de los pueblos indígenas y tribales  --con  respeto  a</w:t>
        <w:br/>
        <w:t>su identidad y a las instituciones que son producto y resguardo  de  ésta--,</w:t>
        <w:br/>
        <w:t>sostuvo que “los gobiernos deberán  respetar  la  importancia  especial  que</w:t>
        <w:br/>
        <w:t>para las culturas y valores espirituales de los pueblos interesados  reviste</w:t>
        <w:br/>
        <w:t>su relación con las tierras o territorios, o con  ambos,  según  los  casos,</w:t>
        <w:br/>
        <w:t>que ocupan o utilizan de alguna otra manera, y en particular,  los  aspectos</w:t>
        <w:br/>
        <w:t>colectivos de esa relación” (artículo  13.1);  y  señaló  asimismo:  “Deberá</w:t>
        <w:br/>
        <w:t>reconocerse a los pueblos interesados el derecho de propiedad y de  posesión</w:t>
        <w:br/>
        <w:t xml:space="preserve"> sobre las tierras que tradicionalmente ocupan” (artículo 14.1).</w:t>
        <w:br/>
        <w:br/>
        <w:t>8.     El  Proyecto  de  Declaración   sobre   Discriminación   contra   las</w:t>
        <w:br/>
        <w:t>Poblaciones  Indígenas,  emanado  de  la  Subcomisión   de   Prevención   de</w:t>
        <w:br/>
        <w:t>Discriminaciones y Protección a las Minorías  de  la  Comisión  de  Derechos</w:t>
        <w:br/>
        <w:t>Humanos   del   Consejo   Económico   y   Social    de    Naciones    Unidas</w:t>
        <w:br/>
        <w:t>(E/CN.4/Sub.2/1994/2/Add.1, 20 de abril de 1994)  se  refiere  claramente  a</w:t>
        <w:br/>
        <w:t>estas mismas cuestiones y contribuye a fijar, de esa manera, el criterio  de</w:t>
        <w:br/>
        <w:t>la comunidad jurídica internacional en torno a los temas que  atañen  a  los</w:t>
        <w:br/>
        <w:t>grupos indígenas y a sus integrantes. En efecto,  el  artículo  2  estipula:</w:t>
        <w:br/>
        <w:t>“Los pueblos indígenas tienen derecho  a  conservar  y  reforzar  (...)  sus</w:t>
        <w:br/>
        <w:t>sistemas jurídicos (...)”. Adelante, el artículo 25 señala que esos  pueblos</w:t>
        <w:br/>
        <w:t>“tienen derecho a mantener y fortalecer  su  propia  relación  espiritual  y</w:t>
        <w:br/>
        <w:t>material con  sus  tierras,  territorios,  aguas,  mares  costeros  y  otros</w:t>
        <w:br/>
        <w:t>recursos que tradicionalmente han poseído u  ocupado  o  utilizado  de  otra</w:t>
        <w:br/>
        <w:t>forma y a asumir las responsabilidades que  a  ese  propósito  les  incumben</w:t>
        <w:br/>
        <w:t>respecto de las generaciones venideras”; y el artículo  26,  que  afirma  el</w:t>
        <w:br/>
        <w:t>derecho de esos pueblos a “poseer, desarrollar,  controlar  y  utilizar  sus</w:t>
        <w:br/>
        <w:t>tierras y territorios”, advierte que  ello  “incluye  el  derecho  al  pleno</w:t>
        <w:br/>
        <w:t>reconocimiento de sus leyes, tradiciones y costumbres, sistemas de  tenencia</w:t>
        <w:br/>
        <w:t>de la tierra (...) y el derecho a que los Estados adopten  medidas  eficaces</w:t>
        <w:br/>
        <w:t>para prevenir toda injerencia, usurpación o invasión en relación  con  estos</w:t>
        <w:br/>
        <w:t>derechos”.</w:t>
        <w:br/>
        <w:br/>
        <w:t>9.    A su turno, el Proyecto de Declaración Americana  sobre  los  Derechos</w:t>
        <w:br/>
        <w:t>de los  Pueblos  Indígenas,  aprobado  por  la  Comisión  Interamericana  de</w:t>
        <w:br/>
        <w:t>Derechos Humanos el 27 de febrero de 1997, que se refiere a  la  existencia,</w:t>
        <w:br/>
        <w:t>relevancia y respetabilidad de derechos individuales  y  colectivos  de  los</w:t>
        <w:br/>
        <w:t>indígenas,   establece:   “Los   pueblos   indígenas   tienen   derecho   al</w:t>
        <w:br/>
        <w:t>reconocimiento legal de las modalidades y formas diversas y particulares  de</w:t>
        <w:br/>
        <w:t>su posesión, dominio  y  disfrute  de  territorios  y  propiedad”  (artículo</w:t>
        <w:br/>
        <w:t>XVIII.1); y manifiesta que dichos pueblos “tienen derecho al  reconocimiento</w:t>
        <w:br/>
        <w:t>de su propiedad y de los derechos de dominio con  respecto  a  las  tierras,</w:t>
        <w:br/>
        <w:t>territorios y recursos que han ocupado históricamente, así como  al  uso  de</w:t>
        <w:br/>
        <w:t>aquellos a los cuales hayan  tenido  igualmente  acceso  para  realizar  sus</w:t>
        <w:br/>
        <w:t>actividades tradicionales y de sustento” (idem, párr. 2).</w:t>
        <w:br/>
        <w:br/>
        <w:t>10.    Diversos  ordenamientos   iberoamericanos   contienen   disposiciones</w:t>
        <w:br/>
        <w:t>semejantes, inspiradas en una misma experiencia histórica y cultural.  Entre</w:t>
        <w:br/>
        <w:t>ellos figura la Constitución de Nicaragua, país bajo  cuya  jurisdicción  se</w:t>
        <w:br/>
        <w:t>halla la Comunidad Mayagna (Sumo) Awas Tingni, localizada en  el  ámbito  de</w:t>
        <w:br/>
        <w:t>la Costa Atlántica de ese país centroamericano. Dicha Constitución, bajo  el</w:t>
        <w:br/>
        <w:t>rubro “Derechos de las comunidades de la Costa  Atlántica”,  establece:  “El</w:t>
        <w:br/>
        <w:t>Estado reconoce las formas comunales de  propiedad  de  las  tierras  de  la</w:t>
        <w:br/>
        <w:t>Comunidad de  la  Costa  Atlántica.  Igualmente  reconoce  el  goce,  uso  y</w:t>
        <w:br/>
        <w:t>disfrute  de  las  aguas  y  bosques  de  sus   tierras   comunales”.   Este</w:t>
        <w:br/>
        <w:t>reconocimiento categórico debe ser considerado a la hora  de  interpretar  y</w:t>
        <w:br/>
        <w:t>aplicar la Convención Americana, conforme al ya citado artículo  29.  a)  de</w:t>
        <w:br/>
        <w:t>ésta.</w:t>
        <w:br/>
        <w:br/>
        <w:t>11.   En el examen de este caso, el  tribunal  se  planteó  el  alcance  del</w:t>
        <w:br/>
        <w:t>artículo 21 de la Convención Americana, que bajo el epígrafe “Derecho  a  la</w:t>
        <w:br/>
        <w:t>Propiedad Privada” reconoce que “(t)oda persona tiene derecho al uso y  goce</w:t>
        <w:br/>
        <w:t>de sus bienes”. En el examen de esta cuestión, se tuvieron a  la  vista  los</w:t>
        <w:br/>
        <w:t>trabajos preparatorios de la Convención, de los que se desprende el  proceso</w:t>
        <w:br/>
        <w:t>seguido hasta culminar en la expresión que hoy contiene el artículo  21.  En</w:t>
        <w:br/>
        <w:t>un primer momento se propuso recoger en este  precepto,  explícitamente,  el</w:t>
        <w:br/>
        <w:t>derecho a la propiedad privada. Posteriormente varió la fórmula para  quedar</w:t>
        <w:br/>
        <w:t>como actualmente aparece: derecho al uso y goce de  bienes.  Son  estos  los</w:t>
        <w:br/>
        <w:t>extremos que caracterizan  el  derecho  de  los  sujetos  amparados  por  la</w:t>
        <w:br/>
        <w:t>Convención. Obviamente, no existe sólo un modelo de uso y  goce  de  bienes.</w:t>
        <w:br/>
        <w:t>Cada pueblo, conforme a su  cultura,  intereses,  aspiraciones,  costumbres,</w:t>
        <w:br/>
        <w:t>características y creencias puede instituir cierta versión del  uso  y  goce</w:t>
        <w:br/>
        <w:t>de los bienes. En suma, se trata  de  conceptos  históricos  que  deben  ser</w:t>
        <w:br/>
        <w:t>examinados y entendidos desde esta misma perspectiva.</w:t>
        <w:br/>
        <w:br/>
        <w:t>12.   En  diversos países  de América,   los   grupos   étnicos   indígenas,</w:t>
        <w:br/>
        <w:t>cuyos  antepasados --pobladores  originales  del  Continente--  construyeron</w:t>
        <w:br/>
        <w:t>antes  de  la  conquista  y  colonización  instituciones  jurídicas  que  se</w:t>
        <w:br/>
        <w:t>mantienen vigentes, en cierta medida,  establecieron  especiales  relaciones</w:t>
        <w:br/>
        <w:t>de hecho y de derecho a propósito de la tierra  que  poseían  y  de  la  que</w:t>
        <w:br/>
        <w:t>obtenían sus medios de subsistencia. Estas figuras jurídicas,  que  traducen</w:t>
        <w:br/>
        <w:t>el pensamiento y el sentimiento de sus creadores y se hallan  revestidas  de</w:t>
        <w:br/>
        <w:t>plena legitimidad, enfrentaron la erosión de múltiples medidas  adoptadas  a</w:t>
        <w:br/>
        <w:t>partir de  la  conquista.  Empero,  han  sobrevivido  hasta  nuestros  días.</w:t>
        <w:br/>
        <w:t>Diversas legislaciones  nacionales  las  han  reasumido  y  cuentan  con  el</w:t>
        <w:br/>
        <w:t>respaldo  de  sendos  instrumentos  internacionales,  que  reivindican   los</w:t>
        <w:br/>
        <w:t>intereses legítimos y los derechos históricos de los  primitivos  habitantes</w:t>
        <w:br/>
        <w:t>de América y de sus sucesores.</w:t>
        <w:br/>
        <w:br/>
        <w:t>13.   En ese caso se halla el régimen  de  la  propiedad  indígena,  que  no</w:t>
        <w:br/>
        <w:t>excluye otras formas de propiedad o tenencia de la tierra --producto  de  un</w:t>
        <w:br/>
        <w:t>proceso histórico y cultural diferente--, sino  concurre  con  ellas  en  la</w:t>
        <w:br/>
        <w:t>formación del amplio y plural espacio de los derechos con  que  cuentan  los</w:t>
        <w:br/>
        <w:t>habitantes de diversos países americanos. Este conjunto  de  derechos,   que</w:t>
        <w:br/>
        <w:t>se  hallan comunicados por coincidencias esenciales --la  idea  nuclear  del</w:t>
        <w:br/>
        <w:t>uso  y   aprovechamiento   de   los   bienes--,   pero   muestran   asimismo</w:t>
        <w:br/>
        <w:t>diferencias importantes  --sobre todo en orden a la  disposición  final   de</w:t>
        <w:br/>
        <w:t>esos bienes--, constituyen el sistema de  propiedad  que  caracteriza  a  la</w:t>
        <w:br/>
        <w:t>mayoría  de  nuestros  países.  Desconocer  las  versiones  específicas  del</w:t>
        <w:br/>
        <w:t>derecho al uso y goce de los bienes  que  consagra  el  artículo  21  de  la</w:t>
        <w:br/>
        <w:t>Convención Americana, y pretender que únicamente existe una forma de usar  y</w:t>
        <w:br/>
        <w:t>disfrutar de los bienes, equivaldría a  negar  a  millones  de  personas  la</w:t>
        <w:br/>
        <w:t>tutela  de  ese  precepto,  sustrayéndolos  así  del  reconocimiento  y   la</w:t>
        <w:br/>
        <w:t>protección de derechos esenciales, que se brindan, en cambio,  a  las  demás</w:t>
        <w:br/>
        <w:t>personas. De esta suerte,  lejos  de  asegurar  la  igualdad  de  todas  las</w:t>
        <w:br/>
        <w:t>personas, se establecería una desigualdad contraria a las convicciones  y  a</w:t>
        <w:br/>
        <w:t>los propósitos que inspiran el sistema continental de los derechos humanos.</w:t>
        <w:br/>
        <w:br/>
        <w:t>14.    En  el  análisis  del  tema  sujeto  a  su  jurisdicción,  la   Corte</w:t>
        <w:br/>
        <w:t>Interamericana contempló los derechos  de  uso  y  goce  reconocidos  en  el</w:t>
        <w:br/>
        <w:t>artículo 21 desde la perspectiva, perfectamente válida, de los  miembros  de</w:t>
        <w:br/>
        <w:t>las comunidades indígenas. En mi concepto, esta forma de analizar  el  tema,</w:t>
        <w:br/>
        <w:t>para los  fines  de  la  presente  Sentencia,  no  implica  en  modo  alguno</w:t>
        <w:br/>
        <w:t>desconocer o negar derechos de otra  naturaleza  o  alcance  vinculados  con</w:t>
        <w:br/>
        <w:t>aquéllos, como son los de  carácter  colectivo,  a  los  que  con  la  mayor</w:t>
        <w:br/>
        <w:t>frecuencia aluden las normas e  instrumentos  nacionales  e  internacionales</w:t>
        <w:br/>
        <w:t>que he invocado en este voto. Es indispensable observar que  estos  derechos</w:t>
        <w:br/>
        <w:t>comunitarios, que forman parte entrañable de la cultura jurídica  de  muchos</w:t>
        <w:br/>
        <w:t>pueblos indígenas, y por lo tanto de sus integrantes, constituyen la  fuente</w:t>
        <w:br/>
        <w:t>y el amparo de los derechos subjetivos individuales.  En  suma,  existe  una</w:t>
        <w:br/>
        <w:t>íntima e indisoluble  vinculación entre los derechos de  ambos  órdenes   --</w:t>
        <w:br/>
        <w:t>individuales y colectivos--, de cuya vigencia efectiva  depende  la  genuina</w:t>
        <w:br/>
        <w:t>tutela de las personas que forman parte de los grupos étnicos indígenas.</w:t>
        <w:br/>
        <w:br/>
        <w:t>15.   En el curso de la audiencia realizada para recibir  pruebas  sobre  el</w:t>
        <w:br/>
        <w:t>fondo del litigio que la Corte ha  juzgado,  se  recibieron  dictámenes  que</w:t>
        <w:br/>
        <w:t>aluden directamente al punto mencionado en  el  párrafo  anterior.  Así,  el</w:t>
        <w:br/>
        <w:t>perito Rodolfo Stavenhagen Gruenbaum hizo notar --como se lee en la  versión</w:t>
        <w:br/>
        <w:t>sintética de su dictamen verbal, recogido en  esta  Sentencia--   que  “(e)n</w:t>
        <w:br/>
        <w:t>ciertos  contextos  históricos  los  derechos  de  la  persona   humana   se</w:t>
        <w:br/>
        <w:t>garantizan y se pueden ejercer plenamente sólo si se reconocen los  derechos</w:t>
        <w:br/>
        <w:t>de la colectividad y de la comunidad a la que pertenece esta  persona  desde</w:t>
        <w:br/>
        <w:t>su nacimiento y de la que  forma  parte  y  la  cual  le  da  los  elementos</w:t>
        <w:br/>
        <w:t>necesarios para poder sentirse plenamente realizado  como  ser  humano,  que</w:t>
        <w:br/>
        <w:t>significa también ser social y cultural”.</w:t>
        <w:br/>
        <w:br/>
        <w:br/>
        <w:t>16.   En la historia de los países que hoy conforman la América  Latina,  ha</w:t>
        <w:br/>
        <w:t>proliferado  el  asedio  contra  las  expresiones  colectivas  del   Derecho</w:t>
        <w:br/>
        <w:t>indígena, que vulneran  inmediatamente  los  derechos  individuales  de  los</w:t>
        <w:br/>
        <w:t>miembros de las comunidades, como los de éstas en su conjunto.  Otro  perito</w:t>
        <w:br/>
        <w:t>cuyo dictamen escuchó la Corte, Roque de Jesús Roldán Ortega, se  refirió  a</w:t>
        <w:br/>
        <w:t>este aspecto de la  cuestión.  Manifestó  en  la  emisión  de  su  dictamen,</w:t>
        <w:br/>
        <w:t>verbalmente: “La experiencia que existe en América Latina  en  relación  con</w:t>
        <w:br/>
        <w:t>el tema de la propiedad comunal es muy ejemplificativa. Toda la política  de</w:t>
        <w:br/>
        <w:t>los Estados Latinoamericanos se orientó, durante casi 180 años, a buscar  la</w:t>
        <w:br/>
        <w:t>liquidación de las formas de propiedad colectiva y las  formas  de  gobierno</w:t>
        <w:br/>
        <w:t>autónomas de los pueblos indígenas. Esto contribuyó a  liquidar  gran  parte</w:t>
        <w:br/>
        <w:t>de los pueblos indígenas, a llevarlos no sólo  a  su  desaparición  cultural</w:t>
        <w:br/>
        <w:t>sino a su desaparición física”.</w:t>
        <w:br/>
        <w:br/>
        <w:t>17.   La Sentencia de la Corte Interamericana  de  Derechos  Humanos  en  el</w:t>
        <w:br/>
        <w:t>Caso  de  la  Comunidad   Mayagna   (Sumo)   Awas   Tingni   contribuye   al</w:t>
        <w:br/>
        <w:t>reconocimiento de unas relaciones jurídicas  específicas,  que  concurren  a</w:t>
        <w:br/>
        <w:t>integrar el estatuto característico de una buena parte de los habitantes  de</w:t>
        <w:br/>
        <w:t>América, cada vez mejor  comprendido  y  reconocido  por  las  legislaciones</w:t>
        <w:br/>
        <w:t>nacionales y los instrumentos internacionales. El tema de esta Sentencia,  y</w:t>
        <w:br/>
        <w:t>por ende ella misma, se sitúa en un punto  de  convergencia  entre  derechos</w:t>
        <w:br/>
        <w:t>civiles y derechos económicos, sociales y culturales; dicho de otra  manera:</w:t>
        <w:br/>
        <w:t>se halla en el punto al que concurren el Derecho civil y el Derecho  social.</w:t>
        <w:br/>
        <w:t>La Convención Americana, aplicada en los términos de la  interpretación  que</w:t>
        <w:br/>
        <w:t>ella misma autoriza, y que  además  figura  en  las  reglas  de  la  materia</w:t>
        <w:br/>
        <w:t>conforme al Derecho de los Tratados, debe significar y en  efecto  significa</w:t>
        <w:br/>
        <w:t>un sistema normativo de protección segura  para  los  indígenas  de  nuestro</w:t>
        <w:br/>
        <w:t>Continente, no menos que para los otros pobladores de los países  americanos</w:t>
        <w:br/>
        <w:t>a los que llega el sistema tutelar de la Convención Americana.</w:t>
        <w:br/>
        <w:br/>
        <w:br/>
        <w:br/>
        <w:t xml:space="preserve">                            Sergio García Ramírez</w:t>
        <w:br/>
        <w:t xml:space="preserve">                                    Juez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 xml:space="preserve">                  VOTO DISIDENTE DEL JUEZ MONTIEL ARGÜELLO</w:t>
        <w:br/>
        <w:br/>
        <w:br/>
        <w:br/>
        <w:br/>
        <w:t>1.    He disentido de los puntos resolutivos 1, 2, 6 y  7  de  la  sentencia</w:t>
        <w:br/>
        <w:t>dictada por la Corte en el caso de la Comunidad Mayagna (Sumo) Awas Tingni.</w:t>
        <w:br/>
        <w:br/>
        <w:t>2.    Reconozco que se trata de un caso sumamente complejo y que la Corte  y</w:t>
        <w:br/>
        <w:t>cada uno de los Jueces que la integran  han  actuado  en  él  con  la  mayor</w:t>
        <w:br/>
        <w:t>ecuanimidad.</w:t>
        <w:br/>
        <w:br/>
        <w:t>3.    El Gobierno de Nicaragua es respetuoso en alto grado de  los  derechos</w:t>
        <w:br/>
        <w:t>de  los  pueblos  indígenas  ampliamente  reconocidos  en  la   Constitución</w:t>
        <w:br/>
        <w:t>Política y las leyes secundarias.</w:t>
        <w:br/>
        <w:br/>
        <w:t>4.    A mi juicio no ha existido en el presente caso violación del  Artículo</w:t>
        <w:br/>
        <w:t>25 de la Convención  Americana  sobre  Derechos  Humanos  (en  adelante  “la</w:t>
        <w:br/>
        <w:t>Convención”) que garantiza la existencia de  un  recurso  judicial  efectivo</w:t>
        <w:br/>
        <w:t>contra actos  violatorios  de  los  derechos  fundamentales.   La  Corte  ha</w:t>
        <w:br/>
        <w:t>llegado a la conclusión contraria mas partiendo de la premisa que se  aparta</w:t>
        <w:br/>
        <w:t>de la realidad de que en Nicaragua no  existe  un  procedimiento  claramente</w:t>
        <w:br/>
        <w:t>regulado que permita la  titulación  de  tierras  indígenas  comunales.   La</w:t>
        <w:br/>
        <w:t>verdad es que el Instituto Nicaragüense de Reforma Agraria  (INRA),  después</w:t>
        <w:br/>
        <w:t>MIDINRA y ahora Oficina de  Titulación  Rural  han  tenido  facultades  para</w:t>
        <w:br/>
        <w:t>hacer titulaciones y contra sus resoluciones era procedente  el  recurso  de</w:t>
        <w:br/>
        <w:t>amparo ante la Corte Suprema de Justicia.   El que sea  posible  mejorar  la</w:t>
        <w:br/>
        <w:t>legislación existente no significa que esa legislación no exista.   Como  lo</w:t>
        <w:br/>
        <w:t>reconoce la misma sentencia  de  la  Corte,  el  Gobierno  de  Nicaragua  ha</w:t>
        <w:br/>
        <w:t>contratado una consultoría para hacer un diagnóstico integral de  todas  las</w:t>
        <w:br/>
        <w:t>comunidades indígenas y ha presentado a la Asamblea Legislativa un  proyecto</w:t>
        <w:br/>
        <w:t>denominado “Ley Orgánica que Regula el Régimen de Propiedad Comunal  de  las</w:t>
        <w:br/>
        <w:t>Comunidades Indígenas de la Costa Atlántica y Bosawas”.</w:t>
        <w:br/>
        <w:br/>
        <w:t>5.    En relación con el mismo Artículo 25 de la Convención, la  Corte  toma</w:t>
        <w:br/>
        <w:t>en consideración varios recursos de amparo.  El  primero  de  esos  recursos</w:t>
        <w:br/>
        <w:t>fue presentado por la  Comunidad en septiembre de 1995, pero  en  él  no  se</w:t>
        <w:br/>
        <w:t>pide la titulación de sus tierras sino que se dirige contra el  otorgamiento</w:t>
        <w:br/>
        <w:t>de una concesión maderera que ella supone afecta esas tierras.   El  recurso</w:t>
        <w:br/>
        <w:t>fue declarado sin lugar por extemporáneo.  Es cierto que  la  resolución  de</w:t>
        <w:br/>
        <w:t>la Corte Suprema se produjo más de un año después de la interposición,  pero</w:t>
        <w:br/>
        <w:t>eso no causó ningún perjuicio a la Comunidad, pues  siendo  extemporáneo  en</w:t>
        <w:br/>
        <w:t>ningún momento pudo haber sido declarado con lugar.</w:t>
        <w:br/>
        <w:br/>
        <w:t>6.     El  otro  recurso  considerado  por  la  Corte  fue  de  amparo   por</w:t>
        <w:br/>
        <w:t>inconstitucionalidad interpuesto  en  el  mes  de  marzo  de  1996  por  dos</w:t>
        <w:br/>
        <w:t>miembros del Consejo Regional de la Región Autónoma Atlántico  Norte  (RAAN)</w:t>
        <w:br/>
        <w:t>y tuvo éxito, después de varias incidencias, en obtener  la  declaración  de</w:t>
        <w:br/>
        <w:t>nulidad y la cancelación de la referida concesión  maderera.   Sin  embargo,</w:t>
        <w:br/>
        <w:t>la nulidad se basó solamente en la falta de aprobación de la  concesión  por</w:t>
        <w:br/>
        <w:t>el pleno del Consejo Regional, es  decir,  que  no  tenía  relación  con  la</w:t>
        <w:br/>
        <w:t>delimitación de las tierras de la Comunidad y además  el  recurso  no  había</w:t>
        <w:br/>
        <w:t>sido interpuesto por ésta.</w:t>
        <w:br/>
        <w:br/>
        <w:t>7.    En cuanto a la  declaratoria  de  violación  del  Artículo  21  de  la</w:t>
        <w:br/>
        <w:t>Convención que garantiza la propiedad, la Corte la funda en  que  no  existe</w:t>
        <w:br/>
        <w:t>en Nicaragua un procedimiento para  materializar  el  reconocimiento  de  la</w:t>
        <w:br/>
        <w:t>propiedad comunal de los  pueblos  indígenas,  pero  ese  fundamento  no  es</w:t>
        <w:br/>
        <w:t>cierto, como se ha visto en los párrafos anteriores.  El hecho de que  desde</w:t>
        <w:br/>
        <w:t>1990 no se hayan otorgado títulos de esa naturaleza no implica  la  ausencia</w:t>
        <w:br/>
        <w:t>de tal procedimiento sino que se deriva  de  la  falta  de  interés  de  las</w:t>
        <w:br/>
        <w:t>comunidades  indígenas  en  solicitar  la  titulación  de  sus  tierras;  en</w:t>
        <w:br/>
        <w:t>particular, en el caso concreto de  la  Comunidad  Awas  Tingni,  en  ningún</w:t>
        <w:br/>
        <w:t>momento ha hecho solicitud de titulación ante la autoridad competente,  sino</w:t>
        <w:br/>
        <w:t>que todas sus gestiones se limitaron a atacar la  concesión  maderera  antes</w:t>
        <w:br/>
        <w:t>referida.  Solo en el caso de que hubieran habido solicitudes de  titulación</w:t>
        <w:br/>
        <w:t>y estas hubieran sido rechazadas, tendría fundamento la alegación.</w:t>
        <w:br/>
        <w:br/>
        <w:t>8.    Los hechos enumerados en los párrafos anteriores comprueban que no  ha</w:t>
        <w:br/>
        <w:t>existido violación de los artículos 25 y 21 de la Convención que se  señalan</w:t>
        <w:br/>
        <w:t>como violados en la sentencia de la Corte.</w:t>
        <w:br/>
        <w:br/>
        <w:t>9.    Respecto a las reparaciones acordadas por la Corte, debo  señalar  que</w:t>
        <w:br/>
        <w:t>al no haber violación de un derecho protegido por la Convención, no cabe  la</w:t>
        <w:br/>
        <w:t>aplicación del Artículo 63 de la misma.</w:t>
        <w:br/>
        <w:br/>
        <w:t>Además, no es procedente acordar indemnización en ausencia de daño y  en  el</w:t>
        <w:br/>
        <w:t>presente caso no la ha habido, ni material por no  haber  habido  cortes  de</w:t>
        <w:br/>
        <w:t>madera en el área de la concesión, ni moral porque la falta de  delimitación</w:t>
        <w:br/>
        <w:t>de las tierras no  ha  afectado  el  sistema  de  vida  tradicional  de  los</w:t>
        <w:br/>
        <w:t>indígenas de la Comunidad Awas Tigni.</w:t>
        <w:br/>
        <w:br/>
        <w:t>Sobre  el  reintegro  de  los  gastos  generados  por  las  gestiones  y  la</w:t>
        <w:br/>
        <w:t>condenación en costas, a mi juicio sólo deben ser acordados en los casos  en</w:t>
        <w:br/>
        <w:t>que el Estado no haya tenido motivos racionales para oponerse a la demanda.</w:t>
        <w:br/>
        <w:br/>
        <w:t>10.   A pesar  de  lo  dicho  en  el  párrafo  anterior,  creo  de  justicia</w:t>
        <w:br/>
        <w:t>reconocer que en el señalamiento de los montos de las  cantidades  acordadas</w:t>
        <w:br/>
        <w:t>la Corte ha procedido con equidad, tomando en cuenta  la  difícil  situación</w:t>
        <w:br/>
        <w:t>económica por la que atraviesa Nicaragua.</w:t>
        <w:br/>
        <w:br/>
        <w:br/>
        <w:br/>
        <w:t xml:space="preserve">                         Alejandro Montiel Argüello</w:t>
        <w:br/>
        <w:t xml:space="preserve">                                 Juez ad hoc</w:t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               -----------------------</w:t>
        <w:br/>
        <w:t>*     De conformidad con la Resolución de la Corte de 13 de  marzo  de  2001</w:t>
        <w:br/>
        <w:t>sobre Disposiciones Transitorias al Reglamento  de  la  Corte,  la  presente</w:t>
        <w:br/>
        <w:t>Sentencia sobre el fondo del caso se dicta en los  términos  del  Reglamento</w:t>
        <w:br/>
        <w:t>adoptado en la Resolución de la Corte de 16 de septiembre de 1996.</w:t>
        <w:br/>
        <w:t>[1]   cfr. anexo C.1, bosquejo del área  de  localización  de  la  Comunidad</w:t>
        <w:br/>
        <w:t>Awas Tingni en la RAAN; anexo C.2, escrito de 8  de  noviembre  de  1992  de</w:t>
        <w:br/>
        <w:t>Charly Webster Mclean Cornelio; anexo C.3,  documento  de  febrero  de  1996</w:t>
        <w:br/>
        <w:t>titulado  “Awas  Tingni.  Un  estudio  Etnográfico  de  la  Comunidad  y  su</w:t>
        <w:br/>
        <w:t>Territorio”, Borrador del Informe Preliminar elaborado por  el  Proyecto  de</w:t>
        <w:br/>
        <w:t>Demarcación  Territorial  Awas  Tingni,  investigador  principal:   Theodore</w:t>
        <w:br/>
        <w:t>Macdonald; anexo C.4, mapa titulado “Territorio Awas Tingni”; mapa  titulado</w:t>
        <w:br/>
        <w:t>“Territorio Awas Tingni. Delimitación Propuesta”; anexo C.5,  mapa  titulado</w:t>
        <w:br/>
        <w:t>“Tenencia de Tierra de  los  Mayagna  de  Awas  Tingni  en  el  Área  de  la</w:t>
        <w:br/>
        <w:t>Concesión  a  SOLCARSA”;  anexo  C.6,  declaración  emitida   por   Theodore</w:t>
        <w:br/>
        <w:t>Macdonald Jr. el 3 de enero de 1996; anexo C.7, mapa de  noviembre  de  1997</w:t>
        <w:br/>
        <w:t>titulado “Mapa de Ocupación y Usos de Subsistencia de la Comunidad  Indígena</w:t>
        <w:br/>
        <w:t>de Awas Tingni”; anexo C.8, escrito de 11 de julio de 1995  de  María  Luisa</w:t>
        <w:br/>
        <w:t>Acosta Castellón, abogada de la Comunidad Awas  Tingni,  dirigido  a  Milton</w:t>
        <w:br/>
        <w:t>Caldera C., Ministro del MARENA, al cual se  adjuntó: documento de enero  de</w:t>
        <w:br/>
        <w:t>1994 titulado “Derechos Territoriales de la Comunidad Indígena Awas  Tingni”</w:t>
        <w:br/>
        <w:t>elaborado por la Universidad de Iowa como parte de  su  “Proyecto  de  Apoyo</w:t>
        <w:br/>
        <w:t>para la Comunidad Awas Tingni”; anexo C.9, escrito de 23 de octubre de  1995</w:t>
        <w:br/>
        <w:t>de James Anaya, representante legal de la  Comunidad  Mayagna  Awas  Tingni,</w:t>
        <w:br/>
        <w:t>dirigido a  Milton  Caldera  Cardenal,  Ministro  del  MARENA;  anexo  C.10,</w:t>
        <w:br/>
        <w:t>documento de  diciembre  de  1994  titulado  “Plan  de  Manejo  Forestal  de</w:t>
        <w:br/>
        <w:t>Latifoliadas Cerro Wakambay, (Edición Final)”, elaborado por Swietenia  S.A.</w:t>
        <w:br/>
        <w:t>Consultores para KUMKYUNG CO., LTD;  anexo  C.11,  declaración  emitida  por</w:t>
        <w:br/>
        <w:t>Charly Webster Mclean Cornelio el  4  de  diciembre  de  1995;  anexo  C.12,</w:t>
        <w:br/>
        <w:t>documento de  4  de  enero  de  1996  titulado  “Memorandum  in  support  of</w:t>
        <w:br/>
        <w:t>supplemental request for provisional measures. In the Case  of  the  Mayagna</w:t>
        <w:br/>
        <w:t>Indian Community of Awas Tingni  and  Jaime  Castillo  Felipe,  on  his  own</w:t>
        <w:br/>
        <w:t>behalf and on behalf of the Community of  Awas  Tingni,  against  Nicaragua”</w:t>
        <w:br/>
        <w:t>elaborado por James Anaya, John S.  Allen,  María  Luisa  Acosta  Castellón,</w:t>
        <w:br/>
        <w:t>Jeffrey G. Bullwinkel, S. Todd Crider y  Steven  M.  Tullberg;  anexo  C.13,</w:t>
        <w:br/>
        <w:t>escrito de  marzo  de  1996  que  solicita  el  “reconocimiento  oficial   y</w:t>
        <w:br/>
        <w:t>demarcación de las tierras ancestrales” de la Comunidad Mayagna Awas  Tingni</w:t>
        <w:br/>
        <w:t>dirigido al Consejo Regional de la  RAAN,  al  cual  se  adjuntó:  documento</w:t>
        <w:br/>
        <w:t>titulado “Censo General de la Comunidad de Awas Tingni”  correspondiente  al</w:t>
        <w:br/>
        <w:t>año 1994; anexo C.14, escrito de  20  de  marzo  de  1996  de  James  Anaya,</w:t>
        <w:br/>
        <w:t>representante  legal  de  la  Comunidad  Mayagna  Awas  Tingni,  dirigido  a</w:t>
        <w:br/>
        <w:t>Ernesto Leal, Ministro de Relaciones Exteriores; anexo C.15, escrito  de  20</w:t>
        <w:br/>
        <w:t>de marzo de 1996  de  James  Anaya,  representante  legal  de  la  Comunidad</w:t>
        <w:br/>
        <w:t>Mayagna Awas Tingni, dirigido a  Claudio  Gutiérrez,  Ministro  del  MARENA;</w:t>
        <w:br/>
        <w:t>anexo C.16, documento titulado “Proyecto de  Memorándum  de  Entendimiento”;</w:t>
        <w:br/>
        <w:t>anexo  C.17,  artículo  del  Diario  La  Prensa  titulado  “Peligra  hábitat</w:t>
        <w:br/>
        <w:t>indígena por explotación maderera”, publicado  el   24  de  marzo  de  1996;</w:t>
        <w:br/>
        <w:t>anexo C.18, artículo del Diario New York Times titulado  “It´s  Indians  vs.</w:t>
        <w:br/>
        <w:t>Loggers in Nicaragua”, publicado el   25  de  junio  de  1996;  anexo  C.19,</w:t>
        <w:br/>
        <w:t>escrito de 17 de mayo de 1996 de James  Anaya,  representante  legal  de  la</w:t>
        <w:br/>
        <w:t>Comunidad  Mayagna  Awas  Tingni,  dirigido   a   José   Antonio   Tijerino,</w:t>
        <w:br/>
        <w:t>Representante Permanente  de  Nicaragua  ante  la  Organización  de  Estados</w:t>
        <w:br/>
        <w:t>Americanos (OEA); anexo C.20, informe de 8 de mayo  de  1996  realizado  por</w:t>
        <w:br/>
        <w:t>María  Luisa  Acosta  Castellón,  dirigido  a  James  Anaya;   anexo   C.21,</w:t>
        <w:br/>
        <w:t>testimonio de la escritura  número  uno  del  protocolo  número  veinte  del</w:t>
        <w:br/>
        <w:t>notario público Oscar Saravia Baltodano, en la cual consta el  “Contrato  de</w:t>
        <w:br/>
        <w:t>Manejo y Aprovechamiento Forestal” suscrito el 13 de  marzo  de  1996  entre</w:t>
        <w:br/>
        <w:t>Claudio Gutiérrez Huete,  representante del MARENA,  y  Hyong   Seock  Byun,</w:t>
        <w:br/>
        <w:t>representante   de   la   compañía   SOLCARSA;   anexo   C.22,   disposición</w:t>
        <w:br/>
        <w:t>administrativa No. 2–95 de 28 de junio de 1995  de la  Junta  Directiva  del</w:t>
        <w:br/>
        <w:t>Consejo Regional de la RAAN; anexo C.23, escrito  de   8  de  diciembre   de</w:t>
        <w:br/>
        <w:t>1995 de Alta Hooker Blandford, Presidente del Consejo Regional de  la  RAAN,</w:t>
        <w:br/>
        <w:t>y Myrna  Taylor,  Primer  Secretaria  de  la  Junta  Directiva  del  Consejo</w:t>
        <w:br/>
        <w:t>Regional de la RAAN,  dirigido  a  Roberto  Araquistain  Cisneros,  Director</w:t>
        <w:br/>
        <w:t>General Forestal; anexo C.24, documento titulado “Informe sobre  la  segunda</w:t>
        <w:br/>
        <w:t>reunión  de  la  Comisión  Nacional  para  la  Demarcación  de  las  Tierras</w:t>
        <w:br/>
        <w:t>Comunales de la Costa Atlántica de Nicaragua efectuada el  14  de  noviembre</w:t>
        <w:br/>
        <w:t>de 1996 en Puerto Cabezas”; anexo C.25, documento  de  14  de  noviembre  de</w:t>
        <w:br/>
        <w:t>1996 titulado “Declaración de los indígenas ante la Comisión  Nacional  para</w:t>
        <w:br/>
        <w:t>la Demarcación de las Tierras de  las  Comunidades  Indígenas  de  la  Costa</w:t>
        <w:br/>
        <w:t>Atlántica de Nicaragua”; anexo C.26, escrito de 21 de noviembre de  1996  de</w:t>
        <w:br/>
        <w:t>Ned Archibold y otros, de la Organización de Síndicos Indígenas  del  Caribe</w:t>
        <w:br/>
        <w:t>Nicaragüense (OSICAN), dirigido a  James Wolsensohn,  Presidente  del  Banco</w:t>
        <w:br/>
        <w:t>Mundial;  anexo  C.27,  escrito  de  5  de  diciembre  de  1996  de   Fermín</w:t>
        <w:br/>
        <w:t>Chavarría, Coordinador del Movimiento  Indígena   de  la  RAAS,  dirigido  a</w:t>
        <w:br/>
        <w:t>Enrique  Brenes,  Presidente  Provisional  de  la   Comisión   Nacional   de</w:t>
        <w:br/>
        <w:t>Demarcación de las  Tierras Comunales de la  Costa  Atlántica;  anexo  C.28,</w:t>
        <w:br/>
        <w:t>Consideraciones Generales al documento titulado “Plan de Manejo Forestal  de</w:t>
        <w:br/>
        <w:t>Latifoliadas Cerro Wakambay (Borrador Final)”, elaboradas por Claude  Leduc;</w:t>
        <w:br/>
        <w:t>Consideraciones Generales al documento titulado “Plan de Manejo Forestal  de</w:t>
        <w:br/>
        <w:t>Latifoliadas Cerro Wakambay (Borrador Final)”, elaboradas por Fidel  Lanuza;</w:t>
        <w:br/>
        <w:t>anexo C.29, declaración emitida por Jotam López Espinoza el 11 de  junio  de</w:t>
        <w:br/>
        <w:t>1997; anexo C.30, resolución ministerial No. 02–97 de 16  de  mayo  de  1997</w:t>
        <w:br/>
        <w:t>del Ministro  del  MARENA;  anexo  C.31,  artículo  del  Diario  La  Tribuna</w:t>
        <w:br/>
        <w:t>titulado “Concesión ilegal continúa despale en Atlántico  Norte”,  publicado</w:t>
        <w:br/>
        <w:t>el 29 de mayo de 1997; anexo C.32, artículo del Diario La  Tribuna  titulado</w:t>
        <w:br/>
        <w:t>“Los árboles caen lejos y nadie los oye”, publicado el 29 de mayo  de  1997;</w:t>
        <w:br/>
        <w:t>artículo titulado “¿Derechos ancestrales?”; anexo C.33, artículo del  Diario</w:t>
        <w:br/>
        <w:t>La Tribuna titulado “Un despale en tierra de  nadie”,  publicado  el  12  de</w:t>
        <w:br/>
        <w:t>junio de 1997; anexo C.34, declaración emitida por Mario  Guevara  Somarriba</w:t>
        <w:br/>
        <w:t>el 3 de octubre de 1997; anexo C.35, oficio MN-RSV-0377.97 de 29 de mayo  de</w:t>
        <w:br/>
        <w:t>1997 de Roberto Stadhagen Vogl,  Ministro  del  MARENA,  dirigido  a  Efrain</w:t>
        <w:br/>
        <w:t>Osejo Morales, Presidente del Consejo  Regional  de  la  RAAN;  anexo  C.36,</w:t>
        <w:br/>
        <w:t>memorándum de 5 de agosto  de  1997  de  la  Comisión  Evaluadora  del  Caso</w:t>
        <w:br/>
        <w:t>“SOLCARSA” dirigido a Roberto Stadhagen Vogl, Ministro del MARENA,  mediante</w:t>
        <w:br/>
        <w:t>el cual se le remite el Informe de Evaluación a la Empresa  SOLCARSA;  anexo</w:t>
        <w:br/>
        <w:t>C.37,  declaración  emitida   por   Guillermo   Ernesto   Espinoza   Duarte,</w:t>
        <w:br/>
        <w:t>Vicealcalde, en ese momento Alcalde en funciones de Bilwi,  Puerto  Cabezas,</w:t>
        <w:br/>
        <w:t>RAAN, el 1 de octubre de 1997;  anexo  C.38,  comunicado  emitido  por   las</w:t>
        <w:br/>
        <w:t>Autoridades de Betania,  firmado  por  Guillermo  Lagra,  Rechinad  Daniwal,</w:t>
        <w:br/>
        <w:t>William Fidencio, Guillermo Penegas, Pinner Sinforiano y Guillermo  Enrique,</w:t>
        <w:br/>
        <w:t>el 16 de octubre de 1997; anexo C.39, documento titulado  “SOLCARSA  tampoco</w:t>
        <w:br/>
        <w:t>hace caso a la Resolución Ministerial” elaborado  por  Magda  Lanuza;  anexo</w:t>
        <w:br/>
        <w:t>C.40,  artículo  titulado  “Privatizing  the  rain  forest-  a  new  era  of</w:t>
        <w:br/>
        <w:t>concessions” publicado en julio de 1997 en el  Reporte  CEPAD;  anexo  C.41,</w:t>
        <w:br/>
        <w:t>resolución No. 17-08-10-97 de 9 de octubre de 1997 del Consejo  Regional  de</w:t>
        <w:br/>
        <w:t>la RAAN; anexo C.42, “carta de protesta” de 2 de noviembre  de  1997  de  la</w:t>
        <w:br/>
        <w:t>OSICAN dirigida a la Comisión Interamericana; anexo C.43, recurso de  amparo</w:t>
        <w:br/>
        <w:t>interpuesto el 11 de septiembre de 1995 ante el Tribunal de  Apelaciones  de</w:t>
        <w:br/>
        <w:t>Matagalpa por María Luisa Acosta Castellón, en   su  carácter  de  apoderada</w:t>
        <w:br/>
        <w:t>especial de Jaime Castillo  Felipe,  Marcial  Salomón  Sebastián  y  Siriaco</w:t>
        <w:br/>
        <w:t>Castillo Fenley, Síndico y Suplentes del  Síndico,  respectivamente,  de  la</w:t>
        <w:br/>
        <w:t>Comunidad Mayagna  Awas  Tingni,  en  contra  de  Milton  Caldera  Cardenal,</w:t>
        <w:br/>
        <w:t>Ministro del MARENA, Roberto Araquistain,  Director  del  Servicio  Forestal</w:t>
        <w:br/>
        <w:t>Nacional del MARENA, y  Alejandro  Láinez,  Director  de  la  Administración</w:t>
        <w:br/>
        <w:t>Forestal Nacional del MARENA; anexo C.44, resolución de 19 de septiembre  de</w:t>
        <w:br/>
        <w:t>1995 del Tribunal de Apelaciones de la  Sexta  Región,  Sala  de  lo  Civil,</w:t>
        <w:br/>
        <w:t>Matagalpa, en relación con el recurso de amparo interpuesto por María  Luisa</w:t>
        <w:br/>
        <w:t>Acosta Castellón, en su carácter de apoderada  especial  de  Jaime  Castillo</w:t>
        <w:br/>
        <w:t>Felipe, Marcial Salomón Sebastián  y  Siriaco  Castillo  Fenley,  Síndico  y</w:t>
        <w:br/>
        <w:t>Suplentes  del  Síndico,  respectivamente,  de  la  Comunidad  Mayagna  Awas</w:t>
        <w:br/>
        <w:t>Tingni, en contra de  Milton Caldera Cardenal, Ministro del MARENA;  Roberto</w:t>
        <w:br/>
        <w:t>Araquistain,  Director  del  Servicio  Forestal  Nacional  del   MARENA;   y</w:t>
        <w:br/>
        <w:t>Alejandro Láinez,  Director  de  la  Administración  Forestal  Nacional  del</w:t>
        <w:br/>
        <w:t>MARENA; anexo C.45, recurso de hecho interpuesto  el  21  de  septiembre  de</w:t>
        <w:br/>
        <w:t>1995 ante la Corte Suprema de Justicia de Nicaragua por María  Luisa  Acosta</w:t>
        <w:br/>
        <w:t>Castellón, representante legal de la  Comunidad  Awas  Tingni;  anexo  C.46,</w:t>
        <w:br/>
        <w:t>cédula judicial de notificación de 28 de febrero de 1997  mediante  la  cual</w:t>
        <w:br/>
        <w:t>se notifica a María Luisa Acosta Castellón la sentencia  No.  11  de  27  de</w:t>
        <w:br/>
        <w:t>febrero de 1997 de la Sala de lo  Constitucional  de  la  Corte  Suprema  de</w:t>
        <w:br/>
        <w:t>Justicia de Nicaragua; anexo C.47, resolución de 12  de  noviembre  de  1997</w:t>
        <w:br/>
        <w:t>del  Tribunal  de  Apelaciones  de  la  Sexta  Región,  Sala  de  lo  Civil,</w:t>
        <w:br/>
        <w:t>Matagalpa, en relación con el recurso de amparo interpuesto por María  Luisa</w:t>
        <w:br/>
        <w:t>Acosta Castellón, en representación de Benevicto Salomón,  Siriaco  Castillo</w:t>
        <w:br/>
        <w:t>Fenley, Orlando Salomón Felipe y Jotam López Espinoza, en  nombre  propio  y</w:t>
        <w:br/>
        <w:t>como Síndico,  Coordinador,  Juez  del  Pueblo  y  Responsable  del  Bosque,</w:t>
        <w:br/>
        <w:t>respectivamente,  de  la  Comunidad  Awas  Tingni,  en  contra  de   Roberto</w:t>
        <w:br/>
        <w:t>Stadhagen Vogl, Ministro del MARENA; Roberto Araquistain,  Director  General</w:t>
        <w:br/>
        <w:t>del Servicio Forestal Nacional del MARENA; Jorge  Brooks  Saldaña,  Director</w:t>
        <w:br/>
        <w:t>de la Administración Forestal Estatal  del  MARENA,  y  de  Efraín  Osejo  y</w:t>
        <w:br/>
        <w:t>otros, miembros de la Junta Directiva  del  Consejo  Regional  de  la  RAAN;</w:t>
        <w:br/>
        <w:t>anexo C.48, sentencia No. 12  de 27 de febrero de 1997  de  la  Sala  de  lo</w:t>
        <w:br/>
        <w:t>Constitucional de la Corte Suprema de Justicia de Nicaragua en relación  con</w:t>
        <w:br/>
        <w:t>el recurso de amparo interpuesto el 29 de marzo de 1997 ante el Tribunal  de</w:t>
        <w:br/>
        <w:t>Apelaciones de Matagalpa por Alfonso Smith Warman y Humberto Thompson  Sang,</w:t>
        <w:br/>
        <w:t>miembros del Consejo Regional de la RAAN, en contra  de  Claudio  Gutiérrez,</w:t>
        <w:br/>
        <w:t>Ministro del MARENA, y  Alejandro  Láinez,  Director  de  la  Administración</w:t>
        <w:br/>
        <w:t>Forestal Nacional del MARENA; anexo C.49, resolución  de  3  de  febrero  de</w:t>
        <w:br/>
        <w:t>1998 de la Sala de lo Constitucional de la  Corte  Suprema  de  Justicia  de</w:t>
        <w:br/>
        <w:t>Nicaragua,  en  relación  con  la  solicitud  de  ejecutoria  de   sentencia</w:t>
        <w:br/>
        <w:t>presentada por Humberto Thompson Sang, miembro del Consejo  Regional  de  la</w:t>
        <w:br/>
        <w:t>RAAN; solicitud de ejecutoria de la sentencia No. 12 de  27  de  febrero  de</w:t>
        <w:br/>
        <w:t>1997 de la Sala de lo Constitucional de la  Corte  Suprema  de  Justicia  de</w:t>
        <w:br/>
        <w:t>Nicaragua, presentada el 22 de enero de 1998 ante la Secretaría de  la  Sala</w:t>
        <w:br/>
        <w:t>de lo Constitucional de la  Corte  Suprema  de  Justicia  de  Nicaragua  por</w:t>
        <w:br/>
        <w:t>Humberto Thompson Sang, miembro del  Consejo  Regional  de  la  RAAN;  anexo</w:t>
        <w:br/>
        <w:t>C.50, nota de 5 de noviembre de 1997 de Felipe Rodríguez Chávez,  Embajador,</w:t>
        <w:br/>
        <w:t>Representante Permanente de Nicaragua ante  la  OEA,  dirigida  a  Jorge  E.</w:t>
        <w:br/>
        <w:t>Taiana, Secretario Ejecutivo de la Comisión; escrito de  24  de  octubre  de</w:t>
        <w:br/>
        <w:t>1997  de  Julio  Cesar  Saborío   A.,   Director   General   de   Organismos</w:t>
        <w:br/>
        <w:t>Internacionales  del  Ministerio  de  Relaciones  Exteriores  de  Nicaragua,</w:t>
        <w:br/>
        <w:t>dirigido a Felipe Rodríguez Chávez, Embajador, Representante  Permanente  de</w:t>
        <w:br/>
        <w:t>Nicaragua ante la OEA; y resolución No. 17-08-10-97 de 9 de octubre de  1997</w:t>
        <w:br/>
        <w:t>del Consejo Regional de la RAAN.</w:t>
        <w:br/>
        <w:br/>
        <w:t>[2]   cfr. anexo I, contrato para el manejo integral del bosque suscrito  el</w:t>
        <w:br/>
        <w:t>26 de marzo de 1992 entre Jaime Castillo Felipe,  Siriaco  Castillo,  Charly</w:t>
        <w:br/>
        <w:t>Webster Mclean Cornelio, Marcial Salomón, Genaro Mendoza y Arnoldo  Clarence</w:t>
        <w:br/>
        <w:t>Demetrio, en representación de la Comunidad Awas Tingni, y  Francisco  Lemus</w:t>
        <w:br/>
        <w:t>Lanuza, en representación de Maderas y Derivados de  Nicaragua  S.A.;  anexo</w:t>
        <w:br/>
        <w:t>II, Ley No. 14 “Reforma a la Ley de Reforma Agraria” publicada en el  Diario</w:t>
        <w:br/>
        <w:t>Oficial La Gaceta No. 8 de 13 de enero de  1986;  anexo  III,  certificación</w:t>
        <w:br/>
        <w:t>notarial del artículo 50 de la Ley No. 290 publicada en  el  Diario  Oficial</w:t>
        <w:br/>
        <w:t>La Gaceta No. 102 de 3 de junio de 1998; anexo IV, Ley No. 28  “Estatuto  de</w:t>
        <w:br/>
        <w:t>la Autonomía de las Regiones de la Costa Atlántica de  Nicaragua”  publicada</w:t>
        <w:br/>
        <w:t>en el Diario Oficial La Gaceta No. 238 de 30 de octubre de  1987;  anexo  V,</w:t>
        <w:br/>
        <w:t>documento titulado “Anexo A Universo de Estudio”; anexo  VI,  oficio  DSP-E-</w:t>
        <w:br/>
        <w:t>9200-10-98 de 13 de octubre de 1998 del Secretario de la Presidencia  de  la</w:t>
        <w:br/>
        <w:t>República de  Nicaragua dirigido a Noel Pereira  Majano,  Secretario  de  la</w:t>
        <w:br/>
        <w:t>Asamblea Nacional; escrito de 13  de  octubre  de  1998  de  Arnoldo  Alemán</w:t>
        <w:br/>
        <w:t>Lacayo, Presidente de la República de  Nicaragua, dirigido  a  Noel  Pereira</w:t>
        <w:br/>
        <w:t>Majano, Secretario de la  Asamblea  Nacional;  proyecto  de  ley  de  13  de</w:t>
        <w:br/>
        <w:t>octubre de 1998 titulado “Ley Orgánica que Regula el  Régimen  de  Propiedad</w:t>
        <w:br/>
        <w:t>Comunal de las Comunidades Indígenas  de  la  Costa  Atlántica  y  BOSAWAS”;</w:t>
        <w:br/>
        <w:t>anexo VII, escrito de 12 de septiembre de 1998 de Roberto  Wilson  Watson  y</w:t>
        <w:br/>
        <w:t>Emilio Hammer Francis, Presidente  y  Secretario,  respectivamente,  de  Las</w:t>
        <w:br/>
        <w:t>Diez Comunidades  Indígenas,  dirigido  a  Virgilio  Gurdián,  Director  del</w:t>
        <w:br/>
        <w:t>Instituto Nicaragüense de Reforma Agraria  (INRA);  anexo  VIII,  constancia</w:t>
        <w:br/>
        <w:t>emitida el 11 de septiembre de 1998 por Otto Borst  Conrrado,  representante</w:t>
        <w:br/>
        <w:t>legal de la Comunidad Indígena de Tasba Raya; anexo IX,  escrito  de  11  de</w:t>
        <w:br/>
        <w:t>septiembre de 1998  de  Rodolfo  Spear  Smith,  Coordinador  General  de  la</w:t>
        <w:br/>
        <w:t>Comunidad Indígena de Karatá, dirigido  a  Virgilio  Gurdián,  Ministro  del</w:t>
        <w:br/>
        <w:t>INRA;  anexo  X,  documento  titulado  “Bloque  de  las  Diez   Comunidades”</w:t>
        <w:br/>
        <w:t>correspondiente a las páginas 125 a 130 del “Diagnóstico  general  sobre  la</w:t>
        <w:br/>
        <w:t>tenencia de la tierra en las comunidades indígenas de  la  Costa  Atlántica.</w:t>
        <w:br/>
        <w:t>Estudios de casos, secciones etnográficas analíticas y  etno-mapas.  Informe</w:t>
        <w:br/>
        <w:t>Final”, de marzo de 1998, elaborado por el Central  American  and  Caribbean</w:t>
        <w:br/>
        <w:t>Research  Council; anexo XI, documento de 5 de  mayo  de  1995  mediante  el</w:t>
        <w:br/>
        <w:t>cual la Administración Forestal Estatal del MARENA  “hace  del  conocimiento</w:t>
        <w:br/>
        <w:t>público” la “Solicitud de Manejo y Aprovechamiento Forestal” de  la  empresa</w:t>
        <w:br/>
        <w:t>“KUMKYUNG Co. Ltd.”; anexo XII, oficio DSDG-RMS-02-Crono-014-10-98 de  8  de</w:t>
        <w:br/>
        <w:t>octubre de 1998 de Rosario Meza Soto, Sub Directora  General  del  Instituto</w:t>
        <w:br/>
        <w:t>Nacional de Estadísticas y Censos (INEC), dirigido a Fernando Robleto  Lang,</w:t>
        <w:br/>
        <w:t>Secretario de la Presidencia; anexo XIII, nota de 11 de septiembre  de  1998</w:t>
        <w:br/>
        <w:t>de García Cantarero, Drew,  Asesor  del  Ministro  del  MARENA,  dirigida  a</w:t>
        <w:br/>
        <w:t>Edmundo Castillo, de la Secretaría de la Presidencia; y anexo  XIV,  escrito</w:t>
        <w:br/>
        <w:t>de 11 de septiembre de 1998 de García Cantarero, Drew, Asesor  del  Ministro</w:t>
        <w:br/>
        <w:t>del   MARENA,  dirigido  a  Edmundo  Castillo,  de  la  Secretaría   de   la</w:t>
        <w:br/>
        <w:t>Presidencia.</w:t>
        <w:br/>
        <w:br/>
        <w:t>[3]   cfr. oficio MN-RSV-02-0113.98 de 16 de  febrero  de  1998  de  Roberto</w:t>
        <w:br/>
        <w:t>Stadhagen Vogl, Ministro  del  MARENA,  dirigido  a  Michael  Kang,  Gerente</w:t>
        <w:br/>
        <w:t>General de SOLCARSA; sentencia No. 11 de 27 de febrero de 1997  de  la  Sala</w:t>
        <w:br/>
        <w:t>de lo Constitucional de  la  Corte  Suprema  de  Justicia  de  Nicaragua  en</w:t>
        <w:br/>
        <w:t>relación con el recurso de amparo interpuesto el 11 de  septiembre  de  1995</w:t>
        <w:br/>
        <w:t>ante el  Tribunal  de  Apelaciones  de  Matagalpa  por  María  Luisa  Acosta</w:t>
        <w:br/>
        <w:t>Castellón en su carácter de apoderada especial  de  Jaime  Castillo  Felipe,</w:t>
        <w:br/>
        <w:t>Marcial Salomón Sebastián y Siriaco Castillo  Fenley,  Síndico  y  Suplentes</w:t>
        <w:br/>
        <w:t>del Síndico, respectivamente,  de  la  Comunidad  Mayagna  Awas  Tingni,  en</w:t>
        <w:br/>
        <w:t>contra  de  Milton  Caldera   Cardenal,   Ministro   del   MARENA,   Roberto</w:t>
        <w:br/>
        <w:t>Araquistain,  Director  del  Servicio  Forestal  Nacional  del   MARENA,   y</w:t>
        <w:br/>
        <w:t>Alejandro Láinez,  Director  de  la  Administración  Forestal  Nacional  del</w:t>
        <w:br/>
        <w:t>MARENA; cuadro titulado “Entrada de Recursos de Amparo  de  1995  al  15  de</w:t>
        <w:br/>
        <w:t>agosto de 1998”; cuadro titulado “Análisis Comparativo de las Sentencias  de</w:t>
        <w:br/>
        <w:t>Amparo dictadas de 1995 al primer semestre 1998”; constancia  emitida  el  5</w:t>
        <w:br/>
        <w:t>de agosto de 1998 por Virgilio  Gurdián  Castellón,  Ministro  Director  del</w:t>
        <w:br/>
        <w:t>INRA; copia de la primera página del escrito de marzo de 1996  que  solicita</w:t>
        <w:br/>
        <w:t>el “reconocimiento oficial  y demarcación de las tierras ancestrales” de  la</w:t>
        <w:br/>
        <w:t>Comunidad Mayagna Awas Tingni dirigido  al  Consejo  Regional  de  la  RAAN;</w:t>
        <w:br/>
        <w:t>documento de 7 de febrero de 1997 titulado “Conflictos de  la  Propiedad  en</w:t>
        <w:br/>
        <w:t>Nicaragua, 1996” elaborado por John Strasma; constancia  emitida  el  18  de</w:t>
        <w:br/>
        <w:t>agosto de 1998 por Edgar Navas,  Asesor  y  Asistente  del  Ministro  de  la</w:t>
        <w:br/>
        <w:t>Presidencia; constancia emitida el 5 de agosto de 1998 por Virgilio  Gurdián</w:t>
        <w:br/>
        <w:t>Castellón, Ministro Director del INRA; mapas y  proyecciones  de  agosto  de</w:t>
        <w:br/>
        <w:t>1998 sobre la ubicación de las áreas indígenas  en  el  territorio  nacional</w:t>
        <w:br/>
        <w:t>nicaragüense correspondiente a la  RAAN,  elaborados  por  la  Dirección  de</w:t>
        <w:br/>
        <w:t>Geodesia y Cartografía del Instituto Nicaragüense de Estudios  Territoriales</w:t>
        <w:br/>
        <w:t>(INETER); informe de agosto de 1998 titulado “Marco Jurídico  y  Actividades</w:t>
        <w:br/>
        <w:t>Realizadas por el Estado para la Demarcación y Titulación de las Tierras  de</w:t>
        <w:br/>
        <w:t>las Comunidades Indígenas de la Costa  Atlántica  de  Nicaragua”,  realizado</w:t>
        <w:br/>
        <w:t>por la Dirección Superior del INRA; lista de proyectos y programas de  apoyo</w:t>
        <w:br/>
        <w:t>presentados  por  el  Gobierno  de  Nicaragua  en  el  Grupo  Consultivo  en</w:t>
        <w:br/>
        <w:t>Estocolmo, Suecia, “dirigidos al apoyo de las Regiones  Autónomas  del  país</w:t>
        <w:br/>
        <w:t>y,  concretamente  a  las  comunidades  indígenas”;  copia  certificada  por</w:t>
        <w:br/>
        <w:t>notario público de  la  página  doscientos  noventa  y  cinco  a  la  página</w:t>
        <w:br/>
        <w:t>trescientos dos del Boletín Judicial de la  Corte  Suprema  de  Justicia  de</w:t>
        <w:br/>
        <w:t>Nicaragua de 1990; copia  certificada  por  notario  público  de  la  página</w:t>
        <w:br/>
        <w:t>trescientos uno a la página trescientos nueve del  Boletín  Judicial  de  la</w:t>
        <w:br/>
        <w:t>Corte Suprema de Justicia  de  Nicaragua  de  1991;  copia  certificada  por</w:t>
        <w:br/>
        <w:t>notario público de la página  trescientos  cuarenta  y  cinco  a  la  página</w:t>
        <w:br/>
        <w:t>trescientos cincuenta y dos del Boletín Judicial  de  la  Corte  Suprema  de</w:t>
        <w:br/>
        <w:t>Justicia de Nicaragua de 1992; copia certificada por notario público  de  la</w:t>
        <w:br/>
        <w:t>página trescientos dieciséis a la  página  trescientos  veinte  del  Boletín</w:t>
        <w:br/>
        <w:t>Judicial de la Corte  Suprema  de  Justicia  de  Nicaragua  de  1993;  copia</w:t>
        <w:br/>
        <w:t>certificada por notario público de la página doscientos setenta y ocho a  la</w:t>
        <w:br/>
        <w:t>página doscientos ochenta y tres del Boletín Judicial de  la  Corte  Suprema</w:t>
        <w:br/>
        <w:t>de Justicia de Nicaragua de 1994; copia certificada por notario  público  de</w:t>
        <w:br/>
        <w:t>las cuatro páginas del Boletín Judicial de la Corte Suprema de  Justicia  de</w:t>
        <w:br/>
        <w:t>Nicaragua correspondientes a la sentencia No. 19 de 7 de marzo  de  1994  de</w:t>
        <w:br/>
        <w:t>la Corte Suprema de Justicia de Nicaragua;  copia  certificada  por  notario</w:t>
        <w:br/>
        <w:t>público de las dos páginas del Boletín  Judicial  de  la  Corte  Suprema  de</w:t>
        <w:br/>
        <w:t>Justicia de Nicaragua correspondientes a la sentencia No. 2 de 19  de  enero</w:t>
        <w:br/>
        <w:t>de 1994 de la Corte Suprema de Justicia de Nicaragua; copia certificada  por</w:t>
        <w:br/>
        <w:t>notario  público  de  la  página  doscientos  setenta  y  uno  a  la  página</w:t>
        <w:br/>
        <w:t>doscientos setenta y seis del  Boletín  Judicial  de  la  Corte  Suprema  de</w:t>
        <w:br/>
        <w:t>Justicia de Nicaragua de 1995; copia certificada por notario público  de  la</w:t>
        <w:br/>
        <w:t>página seiscientos seis  a  la  página  seiscientos  dieciséis  del  Boletín</w:t>
        <w:br/>
        <w:t>Judicial de la Corte Suprema de Justicia de Nicaragua  de  1996;  constancia</w:t>
        <w:br/>
        <w:t>emitida el 27 de mayo de 1999 por  Humberto  Useda  Hernández,  Director  de</w:t>
        <w:br/>
        <w:t>Servicios Jurídico de la Oficina de Titulación Rural de  la  Intendencia  de</w:t>
        <w:br/>
        <w:t>la Propiedad del Ministerio de Hacienda  y  Crédito  Público  de  Nicaragua;</w:t>
        <w:br/>
        <w:t>Constitución Política de la República de Nicaragua publicada  en  “El  Nuevo</w:t>
        <w:br/>
        <w:t>Diario” el 4 de julio de 1995; Ley No. 49 “Ley de Amparo”  publicada  en  el</w:t>
        <w:br/>
        <w:t>Diario Oficial La Gaceta No. 241 de 1988; Ley No. 290 “Ley de  Organización,</w:t>
        <w:br/>
        <w:t>Competencia y Procedimientos del Poder Ejecutivo”  publicada  en  el  Diario</w:t>
        <w:br/>
        <w:t>Oficial La Gaceta No. 102 de 3 de junio de 1998; y páginas 8984 a  8989  del</w:t>
        <w:br/>
        <w:t>Diario Oficial La Gaceta No. 205 de 30 de octubre de 1998.</w:t>
        <w:br/>
        <w:br/>
        <w:t>[4]   cfr. escrito de 4 de diciembre de 1997  de  Felipe  Rodríguez  Chávez,</w:t>
        <w:br/>
        <w:t>Embajador, Representante Permanente de Nicaragua ante  la  OEA,  dirigido  a</w:t>
        <w:br/>
        <w:t>Jorge E. Taiana, Secretario Ejecutivo de  la  Comisión;  escrito  de  19  de</w:t>
        <w:br/>
        <w:t>diciembre de 1997  de  Felipe  Rodríguez  Chávez,  Embajador,  Representante</w:t>
        <w:br/>
        <w:t>Permanente de Nicaragua ante la OEA, dirigido a Jorge E. Taiana,  Secretario</w:t>
        <w:br/>
        <w:t>Ejecutivo de la Comisión; escrito  de  14  de  febrero  de  1998  de  Felipe</w:t>
        <w:br/>
        <w:t>Rodríguez Chávez, Embajador, Representante Permanente de Nicaragua  ante  la</w:t>
        <w:br/>
        <w:t>OEA, dirigido a Jorge  E.  Taiana,  Secretario  Ejecutivo  de  la  Comisión;</w:t>
        <w:br/>
        <w:t>escrito de 6  de  mayo  de  1998  de  Felipe  Rodríguez  Chávez,  Embajador,</w:t>
        <w:br/>
        <w:t>Representante Permanente de Nicaragua ante  la  OEA,  dirigido  a  Jorge  E.</w:t>
        <w:br/>
        <w:t>Taiana, Secretario Ejecutivo de la Comisión, al cual se adjuntó: escrito  de</w:t>
        <w:br/>
        <w:t>6 de mayo de 1998  de  Lester  Mejía  Solís,  Embajador,  Director  General,</w:t>
        <w:br/>
        <w:t>Dirección General de Organismos  Internacionales,  dirigido  a  la  Comisión</w:t>
        <w:br/>
        <w:t>Interamericana; oficio  MN-RSV-02-0113.98  de  16  de  febrero  de  1998  de</w:t>
        <w:br/>
        <w:t>Roberto Stadhagen Vogl,  Ministro  del  MARENA,  dirigido  a  Michael  Kang,</w:t>
        <w:br/>
        <w:t>Gerente General de SOLCARSA; copia del Decreto No.  16-96  “Creación  de  la</w:t>
        <w:br/>
        <w:t>Comisión Nacional para la Demarcación de  las  Tierras  de  las  Comunidades</w:t>
        <w:br/>
        <w:t>Indígenas en la Costa Atlántica” de 23 de agosto de 1996,  publicado  en  el</w:t>
        <w:br/>
        <w:t>Diario Oficial La Gaceta No. 169 de 6 de septiembre de 1996; escrito  de  19</w:t>
        <w:br/>
        <w:t>de mayo  de  1998  de  Felipe  Rodríguez  Chávez,  Embajador,  Representante</w:t>
        <w:br/>
        <w:t>Permanente de Nicaragua ante la OEA, dirigida a Jorge E. Taiana,  Secretario</w:t>
        <w:br/>
        <w:t>Ejecutivo de la Comisión; declaración  jurada  emitida  por  Charly  Webster</w:t>
        <w:br/>
        <w:t>Mclean Cornelio el 30 de agosto de  1998;  declaración  jurada  emitida  por</w:t>
        <w:br/>
        <w:t>Jaime Castillo Felipe el 30 de agosto de 1998;  declaración  jurada  emitida</w:t>
        <w:br/>
        <w:t>por Marcial Salomón Sebastián el 30 de agosto de  1998;  declaración  jurada</w:t>
        <w:br/>
        <w:t>emitida por Benevicto Salomón Mclean el 30 de agosto  de  1998;  declaración</w:t>
        <w:br/>
        <w:t>jurada emitida por Wilfredo  Mclean  Salvador  el  30  de  agosto  de  1998;</w:t>
        <w:br/>
        <w:t>declaración emitida  por  Sydney  Antonio  P.  el  30  de  agosto  de  1998;</w:t>
        <w:br/>
        <w:t>declaración emitida  por  Ramón  Rayo  Méndez  el  29  de  agosto  de  1998;</w:t>
        <w:br/>
        <w:t>declaración jurada emitida por Miguel Taylor Ortez el 30 de agosto de  1998;</w:t>
        <w:br/>
        <w:t>declaración jurada emitida por Ramón Rayo Méndez el 30 de agosto de 1998,  a</w:t>
        <w:br/>
        <w:t>la cual se adjuntó: copia de documento escrito a  mano de fechas  28,  11  y</w:t>
        <w:br/>
        <w:t>18 de junio de 1993 correspondiente al Registro que, supuestamente,  llevaba</w:t>
        <w:br/>
        <w:t>la Delegación Regional del INRA; declaración  jurada  emitida  por  Brooklyn</w:t>
        <w:br/>
        <w:t>Rivera Bryan el 30  de  agosto  de  1998;  declaración  jurada  emitida  por</w:t>
        <w:br/>
        <w:t>Benigno Torres Cristian el 8 de septiembre de 1998; resolución No.  08-12-9-</w:t>
        <w:br/>
        <w:t>96 de 12 de septiembre de 1996 del Consejo Regional de la RAAN;  declaración</w:t>
        <w:br/>
        <w:t>jurada emitida por Ned Archibold Jacobo el 30  de  agosto  de  1998;  cédula</w:t>
        <w:br/>
        <w:t>judicial de notificación de 12 de agosto de 1998 suscrita por  Martha  López</w:t>
        <w:br/>
        <w:t>Corea, Oficial Notificador, Sala de lo Constitucional de  la  Corte  Suprema</w:t>
        <w:br/>
        <w:t>de Justicia de Nicaragua, mediante la cual se notifica a María Luisa  Acosta</w:t>
        <w:br/>
        <w:t>Castellón el auto de 6 de agosto de 1998 de Sala de lo Constitucional de  la</w:t>
        <w:br/>
        <w:t>Corte Suprema de Justicia  de  Nicaragua;  declaración  jurada  emitida  por</w:t>
        <w:br/>
        <w:t>Humberto Thompson Sang el 31 de agosto de 1998; documento titulado  “Tierra,</w:t>
        <w:br/>
        <w:t>Recursos Naturales y Derechos Indígenas en la Costa Atlántica de  Nicaragua.</w:t>
        <w:br/>
        <w:t>Reflexiones Jurídicas para la Definición de una Estrategia de  Participación</w:t>
        <w:br/>
        <w:t>Indígena en los Proyectos de Participación y Desarrollo” de  julio  de  1996</w:t>
        <w:br/>
        <w:t>elaborado por “The World Bank, Technical  Department  Latin  America  &amp;  the</w:t>
        <w:br/>
        <w:t>Caribean”; sentencia No. 163 de 14 de octubre de  1998  de  la  Sala  de  lo</w:t>
        <w:br/>
        <w:t>Constitucional de la Corte Suprema de Justicia de Nicaragua en relación  con</w:t>
        <w:br/>
        <w:t>el recurso de amparo  interpuesto  por  María  Luisa  Acosta  Castellón,  en</w:t>
        <w:br/>
        <w:t>representación  de  Benevicto  Salomón  Mclean,  Siriaco  Castillo   Fenley,</w:t>
        <w:br/>
        <w:t>Orlando Salomón Felipe y Jotam López  Espinoza,  en  nombre  propio  y  como</w:t>
        <w:br/>
        <w:t>Síndico,  Coordinador,  Juez  del   Pueblo   y   Responsable   del   Bosque,</w:t>
        <w:br/>
        <w:t>respectivamente,  de  la  Comunidad  Awas  Tingni,  en  contra  de   Roberto</w:t>
        <w:br/>
        <w:t>Stadhagen Vogl, Ministro del MARENA, Roberto Araquistain,  Director  General</w:t>
        <w:br/>
        <w:t>del Servicio Forestal Nacional del MARENA, Jorge  Brooks  Saldaña,  Director</w:t>
        <w:br/>
        <w:t>de la Administración Forestal Estatal  del  MARENA,  y  de  Efraín  Osejo  y</w:t>
        <w:br/>
        <w:t>otros, miembros de la Junta Directiva del Consejo Regional  de  la  RAAN;  y</w:t>
        <w:br/>
        <w:t>documento titulado “Tierra Indígena en la coyuntura actual  nicaragüense”  y</w:t>
        <w:br/>
        <w:t>“Las instituciones del Estado” correspondiente a las páginas 80 a 89  y  119</w:t>
        <w:br/>
        <w:t>a  128  del  “Diagnóstico  general  sobre  la  tenencia  de  tierra  en  las</w:t>
        <w:br/>
        <w:t>comunidades indígenas de la Costa Atlántica. Marco  general”,  de  marzo  de</w:t>
        <w:br/>
        <w:t>1998, elaborado por el Central American and Caribbean Research Council.</w:t>
        <w:br/>
        <w:br/>
        <w:t>[5]   cfr. copia certificada por notario público de la certificación  de  22</w:t>
        <w:br/>
        <w:t>de febrero de 1983 de la inscripción del Registro Público  de  la  Propiedad</w:t>
        <w:br/>
        <w:t>Inmueble del Departamento  de  Zelaya  de  10  de  febrero  de  1917  de  la</w:t>
        <w:br/>
        <w:t>propiedad  No.  2112;  copia  certificada  por   notario   público   de   la</w:t>
        <w:br/>
        <w:t>certificación de 22 de febrero  de  1983  de  la  inscripción  del  Registro</w:t>
        <w:br/>
        <w:t>Público de la Propiedad  Inmueble  del  Departamento  de  Zelaya  de  10  de</w:t>
        <w:br/>
        <w:t>febrero de 1917 de la propiedad No.  2111;  copia  certificada  por  notario</w:t>
        <w:br/>
        <w:t>público de la certificación de 7 de marzo de 1983 del folio 95 del libro  de</w:t>
        <w:br/>
        <w:t>la Comisión de Titulación de la Mosquitia que contiene  la  inscripción  No.</w:t>
        <w:br/>
        <w:t>111 de 9 de febrero de 1917 del Registro Público de  la  Propiedad  Inmueble</w:t>
        <w:br/>
        <w:t>del Departamento de Zelaya; nota de 15  de  septiembre  de  2000  de  Ramiro</w:t>
        <w:br/>
        <w:t>García   Vásquez,   arqueólogo   del   Departamento    de    Investigaciones</w:t>
        <w:br/>
        <w:t>Antropológicas  del  Museo  Nacional,  dirigida  a  Marco  Antonio   Centeno</w:t>
        <w:br/>
        <w:t>Caffarena, Director General de la Oficina  de  Titulación  Rural;  documento</w:t>
        <w:br/>
        <w:t>titulado “Dictamen etnográfico al documento elaborado por  el  Dr.  Theodore</w:t>
        <w:br/>
        <w:t>Macdonald titulado ‘Awas Tingni un Estudio Etnográfico de la Comunidad y  su</w:t>
        <w:br/>
        <w:t>Territorio’”,  elaborado  por  Ramiro  García  Vásquez;  documento  titulado</w:t>
        <w:br/>
        <w:t>“Consideraciones etnográficas sobre la población suma, etnia que  se  asentó</w:t>
        <w:br/>
        <w:t>en una parte  del  territorio  autónomo  del  Atlántico  Norte,  Nicaragua”,</w:t>
        <w:br/>
        <w:t>elaborado por Ramiro García Vásquez; contrato para el  manejo  integral  del</w:t>
        <w:br/>
        <w:t>bosque suscrito el 26 de marzo de 1992 entre Jaime Castillo Felipe,  Siriaco</w:t>
        <w:br/>
        <w:t>Castillo, Charly Webster Mclean Cornelio, Marcial Salomón, Genaro Mendoza  y</w:t>
        <w:br/>
        <w:t>Arnoldo Clarence Demetrio, en representación de la Comunidad Awas Tingni,  y</w:t>
        <w:br/>
        <w:t>Francisco  Lemus  Lanuza,  en  representación  de  Maderas  y  Derivados  de</w:t>
        <w:br/>
        <w:t>Nicaragua S.A.; y documento  titulado  “Seis  comunidades  individuales  del</w:t>
        <w:br/>
        <w:t>llano Norte del Río Coco: Francia Sirpi, Wisconsin, Esperanza, Santa  Clara,</w:t>
        <w:br/>
        <w:t>Tasba Pain, Miguel Bikan” y “Etno-mapa. Seis  Comunidades  individuales  del</w:t>
        <w:br/>
        <w:t>Llano del Río Coco Francia Sirpi, Wisconsin, Esperanza, Santa  Clara,  Tasba</w:t>
        <w:br/>
        <w:t>Pain,  Miguel  Bikan”  correspondiente  a  las  páginas  153   a   162   del</w:t>
        <w:br/>
        <w:t>“Diagnóstico  general  sobre  la  tenencia  de  tierra  en  las  comunidades</w:t>
        <w:br/>
        <w:t>indígenas de la Costa Atlántica. Estudios de casos,  secciones  etnográficas</w:t>
        <w:br/>
        <w:t>analíticas y etno-mapas. Informe Final”, de marzo de 1998, elaborado por  el</w:t>
        <w:br/>
        <w:t>Central American and Caribbean Research Council.</w:t>
        <w:br/>
        <w:br/>
        <w:t>[6]   cfr. “Diagnóstico general sobre  la  tenencia  de  la  tierra  en  las</w:t>
        <w:br/>
        <w:t>comunidades indígenas de la Costa Atlántica. Marco  general”,  de  marzo  de</w:t>
        <w:br/>
        <w:t>1998, elaborado por el Central  American  and  Caribbean  Research  Council;</w:t>
        <w:br/>
        <w:t>“Diagnóstico general sobre la tenencia  de  la  tierra  en  las  comunidades</w:t>
        <w:br/>
        <w:t>indígenas de la Costa Atlántica.  Resumen  ejecutivo”,  de  marzo  de  1998,</w:t>
        <w:br/>
        <w:t>elaborado  por  el  Central  American  and  Caribbean  Research  Council;  y</w:t>
        <w:br/>
        <w:t>“Diagnóstico general sobre la tenencia  de  la  tierra  en  las  comunidades</w:t>
        <w:br/>
        <w:t>indígenas de la Costa Atlántica. Estudios de casos,  secciones  etnográficas</w:t>
        <w:br/>
        <w:t>analíticas y etno-mapas. Informe Final”, de marzo de 1998, elaborado por  el</w:t>
        <w:br/>
        <w:t>Central American and Caribbean Research Council.</w:t>
        <w:br/>
        <w:br/>
        <w:t>[7]   cfr. documento titulado “Comentarios por: Theodore  Macdonald/  20  de</w:t>
        <w:br/>
        <w:t>enero de 2001” en relación con el documento titulado  “Dictamen  etnográfico</w:t>
        <w:br/>
        <w:t>al documento elaborado por el Dr. Theodore Macdonald” realizado  por  Ramiro</w:t>
        <w:br/>
        <w:t>García  Vásquez;  documento  de  7  de  enero  de  2001  titulado  “Dictamen</w:t>
        <w:br/>
        <w:t>Etnográfico al Documento Elaborado por el Dr. Teodoro MacDonald. Por  Ramiro</w:t>
        <w:br/>
        <w:t>García Vásquez, Arqueólogo” elaborado por Charles  Rice  Hale;  y  documento</w:t>
        <w:br/>
        <w:t>titulado  “Awas  Tingni.  Un  Estudio  Etnográfico  de  la  Comunidad  y  su</w:t>
        <w:br/>
        <w:t>Territorio.  Informe  1999”,  elaborado  por  el  Proyecto  de   Demarcación</w:t>
        <w:br/>
        <w:t>Territorial Awas Tingni, investigador principal: Theodore Macdonald.</w:t>
        <w:br/>
        <w:t>[8]   cfr. sentencia No. 163 de 14 de octubre de  1998  de  la  Sala  de  lo</w:t>
        <w:br/>
        <w:t>Constitucional de la Corte Suprema de Justicia de Nicaragua en relación  con</w:t>
        <w:br/>
        <w:t>el recurso de amparo  interpuesto  por  María  Luisa  Acosta  Castellón,  en</w:t>
        <w:br/>
        <w:t>representación  de  Benevicto  Salomón  Mclean,  Siriaco  Castillo   Fenley,</w:t>
        <w:br/>
        <w:t>Orlando Salomón Felipe y Jotam López  Espinoza,  en  nombre  propio  y  como</w:t>
        <w:br/>
        <w:t>Síndico,  Coordinador,  Juez  del   Pueblo   y   Responsable   del   Bosque,</w:t>
        <w:br/>
        <w:t>respectivamente,  de  la  Comunidad  Awas  Tingni,  en  contra  de   Roberto</w:t>
        <w:br/>
        <w:t>Stadhagen Vogl, Ministro del MARENA, Roberto Araquistain,  Director  General</w:t>
        <w:br/>
        <w:t>del Servicio Forestal Nacional del MARENA, Jorge  Brooks  Saldaña,  Director</w:t>
        <w:br/>
        <w:t>de la Administración Forestal Estatal  del  MARENA,  y  de  Efraín  Osejo  y</w:t>
        <w:br/>
        <w:t>otros, miembros de la Junta Directiva del Consejo Regional de la RAAN.</w:t>
        <w:br/>
        <w:t>[9]   cfr. Caso Ivcher Bronstein. Sentencia de 6 de febrero de  2001.  Serie</w:t>
        <w:br/>
        <w:t>C No. 74, párr. 69; Caso “La Ultima Tentación de Cristo”  (Olmedo  Bustos  y</w:t>
        <w:br/>
        <w:t>otros). Sentencia de 5 de febrero de 2001. Serie C No. 73, párr. 54; y  Caso</w:t>
        <w:br/>
        <w:t>Baena Ricardo y otros. Sentencia de 2 de febrero de 2001. Serie  C  No.  72,</w:t>
        <w:br/>
        <w:t>párr. 70.</w:t>
        <w:br/>
        <w:t>[10]  cfr. Caso Ivcher  Bronstein,  supra  nota  9,  párr.  70;  Caso  Baena</w:t>
        <w:br/>
        <w:t>Ricardo  y  otros,  supra  nota  9,  párr.   78;   y   Caso   del   Tribunal</w:t>
        <w:br/>
        <w:t>Constitucional. Sentencia de 31 de enero 2001. Serie C No. 71, párr. 53.</w:t>
        <w:br/>
        <w:br/>
        <w:t>[11]  cfr. Caso de los “Niños de la  Calle”  (Villagrán  Morales  y  otros).</w:t>
        <w:br/>
        <w:t>Reparaciones  (art.  63.1  Convención  Americana  sobre  Derechos  Humanos).</w:t>
        <w:br/>
        <w:t>Sentencia 26 de mayo de 2001. Serie  C  No.  77,  párr  53;  y  Caso  Blake.</w:t>
        <w:br/>
        <w:t>Reparaciones  (art.  63.1  Convención  Americana  sobre  Derechos  Humanos).</w:t>
        <w:br/>
        <w:t>Sentencia de 22 de enero de 1999. Serie C No. 48, párr. 28.</w:t>
        <w:br/>
        <w:t>[12]  cfr. Caso Baena Ricardo y otros, supra nota 9, párr. 81;  Caso  Durand</w:t>
        <w:br/>
        <w:t>y Ugarte. Sentencia de 16 de agosto de 2000. Serie  C  No.  68,  párr.51;  y</w:t>
        <w:br/>
        <w:t>Caso Neira Alegría y otros.  Sentencia de 19 de enero de 1995.  Serie C  No.</w:t>
        <w:br/>
        <w:t>20, párr. 65.</w:t>
        <w:br/>
        <w:br/>
        <w:t>[13]  cfr. Caso Cesti Hurtado. Reparaciones (art. 63.1 Convención  Americana</w:t>
        <w:br/>
        <w:t>sobre Derechos Humanos).  Sentencia de 31 de mayo de 2001.  Serie C No.  78,</w:t>
        <w:br/>
        <w:t>párr 23; Caso de los “Niños de la Calle” (Caso Villagrán Morales  y  otros).</w:t>
        <w:br/>
        <w:t>Reparaciones, supra nota 11, párr 42; y Caso  de  la  “Panel  Blanca”  (Caso</w:t>
        <w:br/>
        <w:t>Paniagua Morales y otros).  Reparaciones  (art.  63.1  Convención  Americana</w:t>
        <w:br/>
        <w:t>sobre Derechos Humanos).  Sentencia de 25 de mayo de 2001.  Serie C No.  76,</w:t>
        <w:br/>
        <w:t>párr 52.</w:t>
        <w:br/>
        <w:t>[14]  cfr. oficio DSDG-RMS-02-Crono-014-10-98 de 8 de  octubre  de  1998  de</w:t>
        <w:br/>
        <w:t>Rosario  Meza  Soto,  Sub  Directora  General  del  Instituto  Nacional   de</w:t>
        <w:br/>
        <w:t>Estadísticas y Censos (INEC), dirigido a Fernando Robleto  Lang,  Secretario</w:t>
        <w:br/>
        <w:t>de la  Presidencia;  documento  titulado  “Anexo  A  Universo  de  Estudio”;</w:t>
        <w:br/>
        <w:t>testimonio  de  Charly  Webster  Mclean  Cornelio  rendido  ante  la   Corte</w:t>
        <w:br/>
        <w:t>Interamericana el 16 de noviembre de 2000;  “Diagnóstico  general  sobre  la</w:t>
        <w:br/>
        <w:t>tenencia de la tierra en las comunidades indígenas de  la  Costa  Atlántica.</w:t>
        <w:br/>
        <w:t>Marco general”, de marzo de 1998, elaborado  por  el  Central  American  and</w:t>
        <w:br/>
        <w:t>Caribbean  Research  Council;  recurso  de  amparo  interpuesto  el  11   de</w:t>
        <w:br/>
        <w:t>septiembre de 1995 ante el Tribunal de Apelaciones de  Matagalpa  por  María</w:t>
        <w:br/>
        <w:t>Luisa Acosta Castellón, en  su  carácter  de  apoderada  especial  de  Jaime</w:t>
        <w:br/>
        <w:t>Castillo Felipe,  Marcial  Salomón  Sebastián  y  Siriaco  Castillo  Fenley,</w:t>
        <w:br/>
        <w:t>Síndico y Suplentes del Síndico, respectivamente, de  la  Comunidad  Mayagna</w:t>
        <w:br/>
        <w:t>Awas Tingni, en contra de Milton  Caldera  Cardenal,  Ministro  del  MARENA;</w:t>
        <w:br/>
        <w:t>Roberto Araquistain, Director del Servicio Forestal Nacional del  MARENA,  y</w:t>
        <w:br/>
        <w:t>Alejandro Láinez,  Director  de  la  Administración  Forestal  Nacional  del</w:t>
        <w:br/>
        <w:t>MARENA, y documento de enero de 1994 titulado “Derechos Territoriales de  la</w:t>
        <w:br/>
        <w:t>Comunidad Indígena Awas Tingni” elaborado por la Universidad  de  Iowa  como</w:t>
        <w:br/>
        <w:t>parte de su “Proyecto de Apoyo para la Comunidad Awas Tingni”.</w:t>
        <w:br/>
        <w:br/>
        <w:t>[15]  cfr. Ley No. 28 “Estatuto de la Autonomía de las Regiones de la  Costa</w:t>
        <w:br/>
        <w:t>Atlántica de Nicaragua” publicada en el Diario Oficial La Gaceta No. 238  de</w:t>
        <w:br/>
        <w:t>30 de octubre de 1987.</w:t>
        <w:br/>
        <w:br/>
        <w:t>[16]  cfr. documento de enero de 1994 titulado  “Derechos  Territoriales  de</w:t>
        <w:br/>
        <w:t>la Comunidad Indígena Awas Tingni” elaborado  por  la  Universidad  de  Iowa</w:t>
        <w:br/>
        <w:t>como parte de su “Proyecto de Apoyo para la Comunidad Awas Tingni”;  recurso</w:t>
        <w:br/>
        <w:t>de amparo interpuesto el 11 de  septiembre  de  1995  ante  el  Tribunal  de</w:t>
        <w:br/>
        <w:t>Apelaciones de Matagalpa por María Luisa Acosta Castellón, en   su  carácter</w:t>
        <w:br/>
        <w:t>de apoderada especial de Jaime Castillo Felipe, Marcial Salomón Sebastián  y</w:t>
        <w:br/>
        <w:t>Siriaco Castillo Fenley, Síndico y Suplentes del  Síndico,  respectivamente,</w:t>
        <w:br/>
        <w:t>de la Comunidad Mayagna Awas Tingni, en contra de Milton  Caldera  Cardenal,</w:t>
        <w:br/>
        <w:t>Ministro del MARENA, Roberto Araquistain,  Director  del  Servicio  Forestal</w:t>
        <w:br/>
        <w:t>Nacional del MARENA, y  Alejandro  Láinez,  Director  de  la  Administración</w:t>
        <w:br/>
        <w:t>Forestal Nacional del MARENA; sentencia No. 11 de 27 de febrero de  1997  de</w:t>
        <w:br/>
        <w:t>la Sala de lo Constitucional de la Corte Suprema de  Justicia  de  Nicaragua</w:t>
        <w:br/>
        <w:t>en relación con el recurso de amparo interpuesto  el  11  de  septiembre  de</w:t>
        <w:br/>
        <w:t>1995 ante el Tribunal de Apelaciones de Matagalpa  por  María  Luisa  Acosta</w:t>
        <w:br/>
        <w:t>Castellón en su carácter de apoderada especial  de  Jaime  Castillo  Felipe,</w:t>
        <w:br/>
        <w:t>Marcial Salomón Sebastián y Siriaco Castillo  Fenley,  Síndico  y  Suplentes</w:t>
        <w:br/>
        <w:t>del Síndico, respectivamente,  de  la  Comunidad  Mayagna  Awas  Tingni,  en</w:t>
        <w:br/>
        <w:t>contra  de  Milton  Caldera   Cardenal,   Ministro   del   MARENA,   Roberto</w:t>
        <w:br/>
        <w:t>Araquistain,  Director  del  Servicio  Forestal  Nacional  del   MARENA,   y</w:t>
        <w:br/>
        <w:t>Alejandro Láinez,  Director  de  la  Administración  Forestal  Nacional  del</w:t>
        <w:br/>
        <w:t>MARENA; y sentencia No. 163 de 14 de octubre  de  1998  de  la  Sala  de  lo</w:t>
        <w:br/>
        <w:t>Constitucional de la Corte Suprema de Justicia de Nicaragua en relación  con</w:t>
        <w:br/>
        <w:t>el recurso de amparo  interpuesto  por  María  Luisa  Acosta  Castellón,  en</w:t>
        <w:br/>
        <w:t>representación  de  Benevicto  Salomón  Mclean,  Siriaco  Castillo   Fenley,</w:t>
        <w:br/>
        <w:t>Orlando Salomón Felipe y Jotam López  Espinoza,  en  nombre  propio  y  como</w:t>
        <w:br/>
        <w:t>Síndico,  Coordinador,  Juez  del   Pueblo   y   Responsable   del   Bosque,</w:t>
        <w:br/>
        <w:t>respectivamente,  de  la  Comunidad  Awas  Tingni,  en  contra  de   Roberto</w:t>
        <w:br/>
        <w:t>Stadhagen Vogl, Ministro del MARENA, Roberto Araquistain,  Director  General</w:t>
        <w:br/>
        <w:t>del Servicio Forestal Nacional del MARENA, Jorge  Brooks  Saldaña,  Director</w:t>
        <w:br/>
        <w:t>de la Administración Forestal Estatal  del  MARENA,  y  de  Efraín  Osejo  y</w:t>
        <w:br/>
        <w:t>otros, miembros de la Junta Directiva del Consejo Regional de la RAAN.</w:t>
        <w:br/>
        <w:t>[17]  cfr. escrito de marzo de 1996 que solicita el “reconocimiento  oficial</w:t>
        <w:br/>
        <w:t xml:space="preserve"> y demarcación de las tierras ancestrales”  de  la  Comunidad  Mayagna  Awas</w:t>
        <w:br/>
        <w:t>Tingni dirigido al Consejo Regional de la RAAN; sentencia No. 163 de  14  de</w:t>
        <w:br/>
        <w:t>octubre de 1998 de la Sala de lo  Constitucional  de  la  Corte  Suprema  de</w:t>
        <w:br/>
        <w:t>Justicia de Nicaragua en relación con el recurso de amparo  interpuesto  por</w:t>
        <w:br/>
        <w:t>María  Luisa  Acosta  Castellón,  en  representación  de  Benevicto  Salomón</w:t>
        <w:br/>
        <w:t>Mclean, Siriaco Castillo  Fenley,  Orlando  Salomón  Felipe  y  Jotam  López</w:t>
        <w:br/>
        <w:t>Espinoza, en nombre propio y como Síndico, Coordinador, Juez  del  Pueblo  y</w:t>
        <w:br/>
        <w:t>Responsable del Bosque, respectivamente, de la  Comunidad  Awas  Tingni,  en</w:t>
        <w:br/>
        <w:t>contra de Roberto Stadhagen Vogl, Ministro del MARENA, Roberto  Araquistain,</w:t>
        <w:br/>
        <w:t>Director General del Servicio Forestal Nacional  del  MARENA,  Jorge  Brooks</w:t>
        <w:br/>
        <w:t>Saldaña, Director de la Administración Forestal Estatal  del  MARENA,  y  de</w:t>
        <w:br/>
        <w:t>Efraín Osejo y otros, miembros de la Junta Directiva  del  Consejo  Regional</w:t>
        <w:br/>
        <w:t>de la RAAN; documento titulado “Awas Tingni. Un Estudio  Etnográfico  de  la</w:t>
        <w:br/>
        <w:t>Comunidad y su Territorio. Informe  1999”,  elaborado  por  el  Proyecto  de</w:t>
        <w:br/>
        <w:t>Demarcación  Territorial  Awas  Tingni,  investigador  principal:   Theodore</w:t>
        <w:br/>
        <w:t>Macdonald; oficio DSDG-RMS-02-Crono-014-10-98 de 8 de  octubre  de  1998  de</w:t>
        <w:br/>
        <w:t>Rosario  Meza  Soto,  Sub  Directora  General  del  Instituto  Nacional   de</w:t>
        <w:br/>
        <w:t>Estadísticas y Censos (INEC), dirigido a Fernando Robleto  Lang,  Secretario</w:t>
        <w:br/>
        <w:t>de la  Presidencia;  documento  titulado  “Anexo  A  Universo  de  Estudio”;</w:t>
        <w:br/>
        <w:t>testimonio  de  Charly  Webster  Mclean  Cornelio  rendido  ante  la   Corte</w:t>
        <w:br/>
        <w:t>Interamericana el 16 de noviembre  de  2000;  documento  de  enero  de  1994</w:t>
        <w:br/>
        <w:t>titulado “Derechos Territoriales  de  la  Comunidad  Indígena  Awas  Tingni”</w:t>
        <w:br/>
        <w:t>elaborado por la Universidad de Iowa como parte de  su  “Proyecto  de  Apoyo</w:t>
        <w:br/>
        <w:t>para la Comunidad Awas Tingni”; y “Censo General de  la  Comunidad  de  Awas</w:t>
        <w:br/>
        <w:t>Tingni” correspondiente al año 1994.</w:t>
        <w:br/>
        <w:br/>
        <w:t>[18]  cfr. testimonio de Charly Webster  Mclean  Cornelio  rendido  ante  la</w:t>
        <w:br/>
        <w:t>Corte Interamericana el  16  de  noviembre  de  2000;  testimonio  de  Jaime</w:t>
        <w:br/>
        <w:t>Castillo Felipe rendido ante la Corte Interamericana el 16 de  noviembre  de</w:t>
        <w:br/>
        <w:t>2000;  testimonio  de  Theodore  Macdonald  Jr.  rendido   ante   la   Corte</w:t>
        <w:br/>
        <w:t>Interamericana el 16 de noviembre  de  2000;  documento  de  enero  de  1994</w:t>
        <w:br/>
        <w:t>titulado “Derechos Territoriales  de  la  Comunidad  Indígena  Awas  Tingni”</w:t>
        <w:br/>
        <w:t>elaborado por la Universidad de Iowa como parte de  su  “Proyecto  de  Apoyo</w:t>
        <w:br/>
        <w:t>para la Comunidad Awas  Tingni”;  y  documento  titulado  “Awas  Tingni.  Un</w:t>
        <w:br/>
        <w:t>Estudio  Etnográfico  de  la  Comunidad  y  su  Territorio.  Informe  1999”,</w:t>
        <w:br/>
        <w:t>elaborado  por  el  Proyecto  de  Demarcación   Territorial   Awas   Tingni,</w:t>
        <w:br/>
        <w:t>investigador principal: Theodore Macdonald.</w:t>
        <w:br/>
        <w:br/>
        <w:t>[19]  cfr. “Diagnóstico general sobre  la  tenencia  de  la  tierra  en  las</w:t>
        <w:br/>
        <w:t>comunidades  indígenas  de  la  Costa  Atlántica”,  Informe  Final  y  Marco</w:t>
        <w:br/>
        <w:t>general, de marzo de 1998, elaborado por el Central American  and  Caribbean</w:t>
        <w:br/>
        <w:t>Research Council; mapas y proyecciones de agosto de 1998 sobre la  ubicación</w:t>
        <w:br/>
        <w:t>de  las   áreas   indígenas   en   el   territorio   nacional   nicaragüense</w:t>
        <w:br/>
        <w:t>correspondiente a la  RAAN,  elaborados  por  la  Dirección  de  Geodesia  y</w:t>
        <w:br/>
        <w:t>Cartografía del Instituto Nicaragüense de Estudios  Territoriales  (INETER);</w:t>
        <w:br/>
        <w:t>documento titulado “Tierra, Recursos Naturales y Derechos  Indígenas  en  la</w:t>
        <w:br/>
        <w:t>Costa Atlántica de Nicaragua. Reflexiones Jurídicas para  la  Definición  de</w:t>
        <w:br/>
        <w:t>una Estrategia de Participación Indígena en los Proyectos  de  Participación</w:t>
        <w:br/>
        <w:t>y Desarrollo” de julio de 1996  elaborado  por  The  World  Bank,  Technical</w:t>
        <w:br/>
        <w:t>Department Latin America &amp; the Caribean; escrito de 13 de  octubre  de  1998</w:t>
        <w:br/>
        <w:t>de  Arnoldo  Alemán  Lacayo,  Presidente  de  la  República  de   Nicaragua,</w:t>
        <w:br/>
        <w:t>dirigido  a  Noel  Pereira  Majano,  Secretario  de  la  Asamblea  Nacional;</w:t>
        <w:br/>
        <w:t>proyecto de ley de 13 de octubre de 1998 titulado “Ley Orgánica  que  Regula</w:t>
        <w:br/>
        <w:t>el Régimen de Propiedad Comunal de las Comunidades  Indígenas  de  la  Costa</w:t>
        <w:br/>
        <w:t>Atlántica y BOSAWAS”; testimonio de Galio Claudio  Enrique  Gurdián  Gurdián</w:t>
        <w:br/>
        <w:t>rendido ante la Corte Interamericana el 17 de noviembre de 2000;  testimonio</w:t>
        <w:br/>
        <w:t>de Charles  Rice  Hale  rendido  ante  la  Corte  Interamericana  el  17  de</w:t>
        <w:br/>
        <w:t>noviembre de 2000; testimonio de Marco  Antonio  Centeno  Caffarena  rendido</w:t>
        <w:br/>
        <w:t>ante la Corte Interamericana el 17 de noviembre de 2000; escrito  de  12  de</w:t>
        <w:br/>
        <w:t>septiembre de 1998  de  Roberto  Wilson  Watson  y  Emilio  Hammer  Francis,</w:t>
        <w:br/>
        <w:t>Presidente  y  Secretario,  respectivamente,   de   Las   Diez   Comunidades</w:t>
        <w:br/>
        <w:t>Indígenas, dirigido a Virgilio Gurdián, Director del Instituto  Nicaragüense</w:t>
        <w:br/>
        <w:t>de Reforma Agraria (INRA); constancia emitida el 11 de  septiembre  de  1998</w:t>
        <w:br/>
        <w:t>por Otto Borst Conrrado, representante legal de  la  Comunidad  Indígena  de</w:t>
        <w:br/>
        <w:t>Tasba Raya; escrito  de  marzo  de  1996  que  solicita  el  “reconocimiento</w:t>
        <w:br/>
        <w:t>oficial  y demarcación de las tierras ancestrales” de la  Comunidad  Mayagna</w:t>
        <w:br/>
        <w:t>Awas Tingni dirigido al Consejo Regional de la RAAN;  y  escrito  de  11  de</w:t>
        <w:br/>
        <w:t>septiembre de 1998  de  Rodolfo  Spear  Smith,  Coordinador  General  de  la</w:t>
        <w:br/>
        <w:t>Comunidad Indígena de Karatá, dirigido  a  Virgilio  Gurdián,  Ministro  del</w:t>
        <w:br/>
        <w:t>INRA.</w:t>
        <w:br/>
        <w:br/>
        <w:t>[20]  cfr. “Diagnóstico general sobre  la  tenencia  de  la  tierra  en  las</w:t>
        <w:br/>
        <w:t>comunidades indígenas de la Costa Atlántica. Marco  general”,  de  marzo  de</w:t>
        <w:br/>
        <w:t>1998, elaborado por el Central  American  and  Caribbean  Research  Council;</w:t>
        <w:br/>
        <w:t>testimonio de la escritura  número  uno  del  protocolo  número  veinte  del</w:t>
        <w:br/>
        <w:t>notario público Oscar Saravia Baltodano, en la cual consta el  “Contrato  de</w:t>
        <w:br/>
        <w:t>Manejo y Aprovechamiento Forestal” suscrito el 13 de  marzo  de  1996  entre</w:t>
        <w:br/>
        <w:t>Claudio Gutiérrez Huete,  representante del MARENA,  y  Hyong   Seock  Byun,</w:t>
        <w:br/>
        <w:t>representante de la compañía SOLCARSA; resolución ministerial No.  02–97  de</w:t>
        <w:br/>
        <w:t>16 de mayo de 1997 del Ministro del MARENA; documento de diciembre  de  1994</w:t>
        <w:br/>
        <w:t>titulado “Plan de Manejo Forestal de Latifoliadas Cerro  Wakambay,  (Edición</w:t>
        <w:br/>
        <w:t>Final)”, elaborado por Swietenia S.A. Consultores para KUMKYUNG CO., LTD;  y</w:t>
        <w:br/>
        <w:t>testimonio de Brooklyn Rivera Bryan rendido ante la Corte Interamericana  el</w:t>
        <w:br/>
        <w:t>17 de noviembre de 2000.</w:t>
        <w:br/>
        <w:br/>
        <w:t>[21]  cfr. escrito de 11 de julio de 1995 de María Luisa  Acosta  Castellón,</w:t>
        <w:br/>
        <w:t>abogada de la Comunidad Awas Tingni, dirigido a Milton Caldera C.,  Ministro</w:t>
        <w:br/>
        <w:t>del MARENA; recurso de amparo interpuesto el 11 de septiembre de  1995  ante</w:t>
        <w:br/>
        <w:t>el Tribunal de Apelaciones de Matagalpa por María  Luisa  Acosta  Castellón,</w:t>
        <w:br/>
        <w:t>en  su carácter de apoderada especial  de  Jaime  Castillo  Felipe,  Marcial</w:t>
        <w:br/>
        <w:t>Salomón Sebastián  y  Siriaco  Castillo  Fenley,  Síndico  y  Suplentes  del</w:t>
        <w:br/>
        <w:t>Síndico, respectivamente, de la Comunidad Mayagna Awas Tingni, en contra  de</w:t>
        <w:br/>
        <w:t>Milton Caldera Cardenal, Ministro del MARENA, Roberto Araquistain,  Director</w:t>
        <w:br/>
        <w:t>del Servicio Forestal Nacional del MARENA, y Alejandro Láinez,  Director  de</w:t>
        <w:br/>
        <w:t>la Administración Forestal Nacional del MARENA; escrito  de  marzo  de  1996</w:t>
        <w:br/>
        <w:t>que solicita el  “reconocimiento  oficial   y  demarcación  de  las  tierras</w:t>
        <w:br/>
        <w:t>ancestrales” de  la  Comunidad  Mayagna  Awas  Tingni  dirigido  al  Consejo</w:t>
        <w:br/>
        <w:t>Regional de la RAAN; “Diagnóstico general sobre la tenencia de la tierra  en</w:t>
        <w:br/>
        <w:t>las comunidades indígenas de la Costa Atlántica. Marco  general”,  de  marzo</w:t>
        <w:br/>
        <w:t>de 1998, elaborado por el Central American and Caribbean  Research  Council;</w:t>
        <w:br/>
        <w:t>testimonio de Jaime Castillo Felipe rendido ante la Corte Interamericana  el</w:t>
        <w:br/>
        <w:t>16 de noviembre de  2000;  testimonio  de  Charly  Webster  Mclean  Cornelio</w:t>
        <w:br/>
        <w:t>rendido  ante  la  Corte  Interamericana  el  16  de  noviembre   de   2000;</w:t>
        <w:br/>
        <w:t>declaración emitida por Sydney Antonio  P.  el  30  de  agosto  de  1998;  y</w:t>
        <w:br/>
        <w:t>declaración emitida  por  Ramón  Rayo  Méndez  el  29  de  agosto  de  1998;</w:t>
        <w:br/>
        <w:t>declaración jurada emitida por Miguel Taylor Ortez el 30 de agosto de  1998;</w:t>
        <w:br/>
        <w:t>declaración jurada emitida por Ramón Rayo Méndez el 30 de agosto de 1998.</w:t>
        <w:br/>
        <w:br/>
        <w:t>[22]  cfr. contrato para el manejo integral del bosque  suscrito  el  26  de</w:t>
        <w:br/>
        <w:t>marzo de 1992 entre Jaime Castillo Felipe, Siriaco Castillo, Charly  Webster</w:t>
        <w:br/>
        <w:t>Mclean  Cornelio,  Marcial  Salomón,  Genaro  Mendoza  y  Arnoldo   Clarence</w:t>
        <w:br/>
        <w:t>Demetrio, en representación de la Comunidad Awas Tingni, y  Francisco  Lemus</w:t>
        <w:br/>
        <w:t>Lanuza, en representación de  Maderas  y  Derivados  de  Nicaragua  S.A.;  y</w:t>
        <w:br/>
        <w:t>“Diagnóstico general sobre la tenencia  de  la  tierra  en  las  comunidades</w:t>
        <w:br/>
        <w:t>indígenas  de  la  Costa  Atlántica.  Marco  general”,  de  marzo  de  1998,</w:t>
        <w:br/>
        <w:t>elaborado por el Central American and Caribbean Research Council.</w:t>
        <w:br/>
        <w:t>[23]  cfr. “Diagnóstico general sobre  la  tenencia  de  la  tierra  en  las</w:t>
        <w:br/>
        <w:t>comunidades indígenas de la Costa Atlántica. Marco  general”,  de  marzo  de</w:t>
        <w:br/>
        <w:t>1998, elaborado por el Central  American  and  Caribbean  Research  Council;</w:t>
        <w:br/>
        <w:t>testimonio de Guillermo Castilleja rendido ante la Corte  Interamericana  el</w:t>
        <w:br/>
        <w:t>17 de noviembre de 2000; y escrito de 11 de julio de  1995  de  María  Luisa</w:t>
        <w:br/>
        <w:t>Acosta Castellón, abogada de la Comunidad Awas  Tingni,  dirigido  a  Milton</w:t>
        <w:br/>
        <w:t>Caldera C., Ministro del MARENA.</w:t>
        <w:br/>
        <w:br/>
        <w:t>[24]  cfr. disposición administrativa No. 2–95 de 28 de junio  de  1995   de</w:t>
        <w:br/>
        <w:t>la Junta Directiva del  Consejo  Regional  de  la  RAAN;  testimonio  de  la</w:t>
        <w:br/>
        <w:t>escritura número uno del protocolo número veinte del notario  público  Oscar</w:t>
        <w:br/>
        <w:t>Saravia  Baltodano  en  la  cual   consta   el   “Contrato   de   Manejo   y</w:t>
        <w:br/>
        <w:t>Aprovechamiento Forestal” suscrito el 13 de  marzo  de  1996  entre  Claudio</w:t>
        <w:br/>
        <w:t>Gutiérrez  Huete,   representante  del  MARENA,   y   Hyong    Seock   Byun,</w:t>
        <w:br/>
        <w:t>representante de la compañía SOLCARSA; resolución No. 17-08-10-97  de  9  de</w:t>
        <w:br/>
        <w:t>octubre de 1997 del Consejo Regional de la RAAN; y  documento  de  diciembre</w:t>
        <w:br/>
        <w:t>de 1994 titulado “Plan de Manejo Forestal de  Latifoliadas  Cerro  Wakambay,</w:t>
        <w:br/>
        <w:t>(Edición Final)”, elaborado por Swietenia  S.A.  Consultores  para  KUMKYUNG</w:t>
        <w:br/>
        <w:t>CO., LTD.</w:t>
        <w:br/>
        <w:br/>
        <w:t>[25]  cfr. testimonio de  la  escritura  número  uno  del  protocolo  número</w:t>
        <w:br/>
        <w:t>veinte del notario público Oscar Saravia Baltodano, en  la  cual  consta  el</w:t>
        <w:br/>
        <w:t>“Contrato de Manejo y Aprovechamiento Forestal” suscrito el 13 de  marzo  de</w:t>
        <w:br/>
        <w:t>1996 entre Claudio Gutiérrez  Huete,   representante  del  MARENA,  y  Hyong</w:t>
        <w:br/>
        <w:t>Seock Byun, representante de la compañía SOLCARSA; oficio  MN-RSV-02-0113.98</w:t>
        <w:br/>
        <w:t>de 16 de febrero de 1998 de Roberto Stadhagen  Vogl,  Ministro  del  MARENA,</w:t>
        <w:br/>
        <w:t>dirigido a Michael Kang, Gerente General de SOLCARSA; sentencia No.  12   de</w:t>
        <w:br/>
        <w:t>27 de febrero de 1997 de la Sala de lo Constitucional de  la  Corte  Suprema</w:t>
        <w:br/>
        <w:t>de Justicia de Nicaragua en relación con el recurso  de  amparo  interpuesto</w:t>
        <w:br/>
        <w:t>el 29 de marzo de 1997 ante el Tribunal  de  Apelaciones  de  Matagalpa  por</w:t>
        <w:br/>
        <w:t>Alfonso  Smith  Warman  y  Humberto  Thompson  Sang,  miembros  del  Consejo</w:t>
        <w:br/>
        <w:t>Regional de la RAAN, en contra de Claudio Gutiérrez, Ministro del MARENA,  y</w:t>
        <w:br/>
        <w:t>Alejandro Láinez,  Director  de  la  Administración  Forestal  Nacional  del</w:t>
        <w:br/>
        <w:t>MARENA; y resolución ministerial No.  02–97  de  16  de  mayo  de  1997  del</w:t>
        <w:br/>
        <w:t>Ministro del MARENA.</w:t>
        <w:br/>
        <w:br/>
        <w:t>[26]  cfr. resolución ministerial No. 02–97  de  16  de  mayo  de  1997  del</w:t>
        <w:br/>
        <w:t>Ministro del MARENA.</w:t>
        <w:br/>
        <w:t>[27]  cfr. sentencia No. 12  de 27 de febrero de  1997  de  la  Sala  de  lo</w:t>
        <w:br/>
        <w:t>Constitucional de la Corte Suprema de Justicia de Nicaragua en relación  con</w:t>
        <w:br/>
        <w:t>el recurso de amparo interpuesto el 29 de marzo de 1997 ante el Tribunal  de</w:t>
        <w:br/>
        <w:t>Apelaciones de Matagalpa por Alfonso Smith Warman y Humberto Thompson  Sang,</w:t>
        <w:br/>
        <w:t>miembros del Consejo Regional de la RAAN, en contra  de  Claudio  Gutiérrez,</w:t>
        <w:br/>
        <w:t>Ministro del MARENA, y  Alejandro  Láinez,  Director  de  la  Administración</w:t>
        <w:br/>
        <w:t>Forestal Nacional del MARENA; oficio MN-RSV-0377.97 de 29 de  mayo  de  1997</w:t>
        <w:br/>
        <w:t>de Roberto Stadhagen Vogl, Ministro del  MARENA,  dirigido  a  Efraín  Osejo</w:t>
        <w:br/>
        <w:t>Morales, Presidente del Consejo Regional de la RAAN; resolución  No.  17-08-</w:t>
        <w:br/>
        <w:t>10-97 de 9 de octubre de 1997 del Consejo Regional de la RAAN; solicitud  de</w:t>
        <w:br/>
        <w:t>ejecutoria de la sentencia No. 12 de 27 de febrero de 1997 de la Sala de  lo</w:t>
        <w:br/>
        <w:t>Constitucional de la Corte Suprema de Justicia de Nicaragua,  presentada  el</w:t>
        <w:br/>
        <w:t>22 de enero de 1998 ante la Secretaría de la Sala de  lo  Constitucional  de</w:t>
        <w:br/>
        <w:t>la Corte Suprema de  Justicia  de  Nicaragua  por  Humberto  Thompson  Sang,</w:t>
        <w:br/>
        <w:t>miembro del Consejo Regional de la RAAN; resolución de 3 de febrero de  1998</w:t>
        <w:br/>
        <w:t>de la Sala  de  lo  Constitucional  de  la  Corte  Suprema  de  Justicia  de</w:t>
        <w:br/>
        <w:t>Nicaragua,  en  relación  con  la  solicitud  de  ejecutoria  de   sentencia</w:t>
        <w:br/>
        <w:t>presentada por Humberto Thompson Sang, miembro del Consejo  Regional  de  la</w:t>
        <w:br/>
        <w:t>RAAN; declaración emitida por Mario Guevara Somarriba el  3  de  octubre  de</w:t>
        <w:br/>
        <w:t>1997;  y  declaración  emitida  por  Guillermo  Ernesto   Espinoza   Duarte,</w:t>
        <w:br/>
        <w:t>Vicealcalde, en ese momento Alcalde en funciones de Bilwi,  Puerto  Cabezas,</w:t>
        <w:br/>
        <w:t>RAAN, el 1 de octubre de 1997.</w:t>
        <w:br/>
        <w:br/>
        <w:t>[28]  cfr. resolución No. 17-08-10-97 de 9 de octubre de  1997  del  Consejo</w:t>
        <w:br/>
        <w:t>Regional de la RAAN.</w:t>
        <w:br/>
        <w:br/>
        <w:t>[29]  cfr. escrito de 11 de julio de 1995 de María Luisa Acosta Castellón,</w:t>
        <w:br/>
        <w:t>abogada de la Comunidad Awas Tingni, dirigido a Milton Caldera C., Ministro</w:t>
        <w:br/>
        <w:t>del MARENA.</w:t>
        <w:br/>
        <w:t>[30]  cfr. escrito de marzo de 1996 que solicita el “reconocimiento  oficial</w:t>
        <w:br/>
        <w:t xml:space="preserve"> y demarcación de las tierras ancestrales”  de  la  Comunidad  Mayagna  Awas</w:t>
        <w:br/>
        <w:t>Tingni dirigido al Consejo Regional de la RAAN.</w:t>
        <w:br/>
        <w:br/>
        <w:t>[31]  cfr. recurso de amparo interpuesto el 11 de septiembre  de  1995  ante</w:t>
        <w:br/>
        <w:t>el Tribunal de Apelaciones de Matagalpa por María  Luisa  Acosta  Castellón,</w:t>
        <w:br/>
        <w:t>en  su carácter de apoderada especial  de  Jaime  Castillo  Felipe,  Marcial</w:t>
        <w:br/>
        <w:t>Salomón Sebastián  y  Siriaco  Castillo  Fenley,  Síndico  y  Suplentes  del</w:t>
        <w:br/>
        <w:t>Síndico, respectivamente, de la Comunidad Mayagna Awas Tingni, en contra  de</w:t>
        <w:br/>
        <w:t>Milton Caldera Cardenal, Ministro del MARENA, Roberto Araquistain,  Director</w:t>
        <w:br/>
        <w:t>del Servicio Forestal Nacional del MARENA, y Alejandro Láinez,  Director  de</w:t>
        <w:br/>
        <w:t>la  Administración  Forestal  Nacional  del  MARENA;  resolución  de  19  de</w:t>
        <w:br/>
        <w:t>septiembre de 1995 del Tribunal de Apelaciones de la Sexta Región,  Sala  de</w:t>
        <w:br/>
        <w:t>lo Civil, Matagalpa, en relación con el recurso de  amparo  interpuesto  por</w:t>
        <w:br/>
        <w:t>María Luisa Acosta Castellón, en su carácter de apoderada especial de  Jaime</w:t>
        <w:br/>
        <w:t>Castillo Felipe,  Marcial  Salomón  Sebastián  y  Siriaco  Castillo  Fenley,</w:t>
        <w:br/>
        <w:t>Síndico y Suplentes del Síndico, respectivamente, de  la  Comunidad  Mayagna</w:t>
        <w:br/>
        <w:t>Awas Tingni, en contra de Milton  Caldera  Cardenal,  Ministro  del  MARENA,</w:t>
        <w:br/>
        <w:t>Roberto Araquistain, Director del Servicio Forestal Nacional del  MARENA,  y</w:t>
        <w:br/>
        <w:t>Alejandro Láinez,  Director  de  la  Administración  Forestal  Nacional  del</w:t>
        <w:br/>
        <w:t>MARENA; y sentencia No. 11 de 27 de  febrero  de  1997  de  la  Sala  de  lo</w:t>
        <w:br/>
        <w:t>Constitucional de la Corte Suprema de Justicia de Nicaragua en relación  con</w:t>
        <w:br/>
        <w:t>el recurso de amparo interpuesto  el  11  de  septiembre  de  1995  ante  el</w:t>
        <w:br/>
        <w:t>Tribunal de Apelaciones de Matagalpa por María Luisa  Acosta  Castellón,  en</w:t>
        <w:br/>
        <w:t>su carácter de apoderada especial de Jaime Castillo Felipe, Marcial  Salomón</w:t>
        <w:br/>
        <w:t>Sebastián y Siriaco  Castillo  Fenley,  Síndico  y  Suplentes  del  Síndico,</w:t>
        <w:br/>
        <w:t>respectivamente, de la Comunidad Mayagna Awas Tingni, en  contra  de  Milton</w:t>
        <w:br/>
        <w:t>Caldera Cardenal, Ministro del MARENA,  Roberto  Araquistain,  Director  del</w:t>
        <w:br/>
        <w:t>Servicio Forestal Nacional del MARENA, y Alejandro Láinez,  Director  de  la</w:t>
        <w:br/>
        <w:t>Administración Forestal Nacional del MARENA.</w:t>
        <w:br/>
        <w:br/>
        <w:t>[32]   cfr.  resolución  de  19  de  septiembre  de  1995  del  Tribunal  de</w:t>
        <w:br/>
        <w:t>Apelaciones de la Sexta Región, Sala de lo Civil,   Matagalpa,  en  relación</w:t>
        <w:br/>
        <w:t>con el recurso de amparo interpuesto por María Luisa  Acosta  Castellón,  en</w:t>
        <w:br/>
        <w:t>su carácter de apoderada especial de Jaime Castillo Felipe, Marcial  Salomón</w:t>
        <w:br/>
        <w:t>Sebastián y Siriaco  Castillo  Fenley,  Síndico  y  Suplentes  del  Síndico,</w:t>
        <w:br/>
        <w:t>respectivamente, de la Comunidad Mayagna Awas Tingni, en contra  de   Milton</w:t>
        <w:br/>
        <w:t>Caldera Cardenal, Ministro del MARENA,  Roberto  Araquistain,  Director  del</w:t>
        <w:br/>
        <w:t>Servicio Forestal Nacional del MARENA, y Alejandro Láinez,  Director  de  la</w:t>
        <w:br/>
        <w:t>Administración Forestal Nacional del MARENA.</w:t>
        <w:br/>
        <w:br/>
        <w:t>[33]  cfr. recurso de hecho interpuesto el 21 de septiembre de 1995 ante  la</w:t>
        <w:br/>
        <w:t>Corte Suprema de Justicia de Nicaragua por  María  Luisa  Acosta  Castellón,</w:t>
        <w:br/>
        <w:t>representante legal de la Comunidad Awas Tingni; y sentencia No.  11  de  27</w:t>
        <w:br/>
        <w:t>de febrero de 1997 de la Sala de lo Constitucional de la  Corte  Suprema  de</w:t>
        <w:br/>
        <w:t>Justicia de Nicaragua en relación con el recurso de  amparo  interpuesto  el</w:t>
        <w:br/>
        <w:t>11 de septiembre de 1995 ante el Tribunal de Apelaciones  de  Matagalpa  por</w:t>
        <w:br/>
        <w:t>María Luisa Acosta Castellón en su carácter de apoderada especial  de  Jaime</w:t>
        <w:br/>
        <w:t>Castillo Felipe,  Marcial  Salomón  Sebastián  y  Siriaco  Castillo  Fenley,</w:t>
        <w:br/>
        <w:t>Síndico y Suplentes del Síndico, respectivamente, de  la  Comunidad  Mayagna</w:t>
        <w:br/>
        <w:t>Awas Tingni, en contra de Milton  Caldera  Cardenal,  Ministro  del  MARENA,</w:t>
        <w:br/>
        <w:t>Roberto Araquistain, Director del Servicio Forestal Nacional del  MARENA,  y</w:t>
        <w:br/>
        <w:t>Alejandro Láinez,  Director  de  la  Administración  Forestal  Nacional  del</w:t>
        <w:br/>
        <w:t>MARENA.</w:t>
        <w:br/>
        <w:t>[34]  cfr. sentencia No. 11 de 27 de febrero  de  1997  de  la  Sala  de  lo</w:t>
        <w:br/>
        <w:t>Constitucional de la Corte Suprema de Justicia de Nicaragua en relación  con</w:t>
        <w:br/>
        <w:t>el recurso de amparo interpuesto  el  11  de  septiembre  de  1995  ante  el</w:t>
        <w:br/>
        <w:t>Tribunal de Apelaciones de Matagalpa por María Luisa  Acosta  Castellón,  en</w:t>
        <w:br/>
        <w:t>su carácter de apoderada especial de Jaime Castillo Felipe, Marcial  Salomón</w:t>
        <w:br/>
        <w:t>Sebastián y Siriaco  Castillo  Fenley,  Síndico  y  Suplentes  del  Síndico,</w:t>
        <w:br/>
        <w:t>respectivamente, de la Comunidad Mayagna Awas Tingni, en  contra  de  Milton</w:t>
        <w:br/>
        <w:t>Caldera Cardenal, Ministro del MARENA,  Roberto  Araquistain,  Director  del</w:t>
        <w:br/>
        <w:t>Servicio Forestal Nacional del MARENA, y Alejandro Láinez,  Director  de  la</w:t>
        <w:br/>
        <w:t>Administración  Forestal  Nacional  del  MARENA;  y   cédula   judicial   de</w:t>
        <w:br/>
        <w:t>notificación de 28 de febrero de 1997 mediante la cual se notifica  a  María</w:t>
        <w:br/>
        <w:t>Luisa Acosta Castellón la sentencia No. 11 de 27 de febrero de  1997  de  la</w:t>
        <w:br/>
        <w:t>Sala de lo Constitucional de la Corte Suprema de Justicia de Nicaragua.</w:t>
        <w:br/>
        <w:br/>
        <w:t>[35]  cfr. sentencia No. 12  de 27 de febrero de  1997  de  la  Sala  de  lo</w:t>
        <w:br/>
        <w:t>Constitucional de la Corte Suprema de Justicia de Nicaragua en relación  con</w:t>
        <w:br/>
        <w:t>el recurso de amparo interpuesto el 29 de marzo de 1997 ante el Tribunal  de</w:t>
        <w:br/>
        <w:t>Apelaciones de Matagalpa por Alfonso Smith Warman y Humberto Thompson  Sang,</w:t>
        <w:br/>
        <w:t>miembros del Consejo Regional de la RAAN, en contra  de  Claudio  Gutiérrez,</w:t>
        <w:br/>
        <w:t>Ministro del MARENA, y  Alejandro  Láinez,  Director  de  la  Administración</w:t>
        <w:br/>
        <w:t>Forestal Nacional del MARENA.</w:t>
        <w:br/>
        <w:br/>
        <w:t>[36]  cfr. sentencia No. 12  de 27 de febrero de  1997  de  la  Sala  de  lo</w:t>
        <w:br/>
        <w:t>Constitucional de la Corte Suprema de Justicia de Nicaragua en relación  con</w:t>
        <w:br/>
        <w:t>el recurso de amparo interpuesto el 29 de marzo de 1997 ante el Tribunal  de</w:t>
        <w:br/>
        <w:t>Apelaciones de Matagalpa por Alfonso Smith Warman y Humberto Thompson  Sang,</w:t>
        <w:br/>
        <w:t>miembros del Consejo Regional de la RAAN, en contra  de  Claudio  Gutiérrez,</w:t>
        <w:br/>
        <w:t>Ministro del MARENA, y  Alejandro  Láinez,  Director  de  la  Administración</w:t>
        <w:br/>
        <w:t>Forestal Nacional del MARENA.</w:t>
        <w:br/>
        <w:t>[37]  cfr. sentencia No. 12  de 27 de febrero de  1997  de  la  Sala  de  lo</w:t>
        <w:br/>
        <w:t>Constitucional de la Corte Suprema de Justicia de Nicaragua en relación  con</w:t>
        <w:br/>
        <w:t>el recurso de amparo interpuesto el 29 de marzo de 1997 ante el Tribunal  de</w:t>
        <w:br/>
        <w:t>Apelaciones de Matagalpa por Alfonso Smith Warman y Humberto Thompson  Sang,</w:t>
        <w:br/>
        <w:t>miembros del Consejo Regional de la RAAN, en contra  de  Claudio  Gutiérrez,</w:t>
        <w:br/>
        <w:t>Ministro del MARENA, y  Alejandro  Láinez,  Director  de  la  Administración</w:t>
        <w:br/>
        <w:t>Forestal Nacional del MARENA.</w:t>
        <w:br/>
        <w:br/>
        <w:t>[38]  cfr. solicitud de ejecutoria de la sentencia No. 12 de 27  de  febrero</w:t>
        <w:br/>
        <w:t>de 1997 de la Sala de lo Constitucional de la Corte Suprema de  Justicia  de</w:t>
        <w:br/>
        <w:t>Nicaragua, presentada el 22 de enero de 1998 ante la Secretaría de  la  Sala</w:t>
        <w:br/>
        <w:t>de lo Constitucional de la  Corte  Suprema  de  Justicia  de  Nicaragua  por</w:t>
        <w:br/>
        <w:t>Humberto  Thompson  Sang,  miembro  del  Consejo  Regional  de  la  RAAN;  y</w:t>
        <w:br/>
        <w:t>resolución de 3 de febrero de 1998 de la Sala de  lo  Constitucional  de  la</w:t>
        <w:br/>
        <w:t>Corte Suprema de Justicia de Nicaragua, en  relación  con  la  solicitud  de</w:t>
        <w:br/>
        <w:t>ejecutoria de sentencia presentada por Humberto Thompson Sang,  miembro  del</w:t>
        <w:br/>
        <w:t>Consejo Regional de la RAAN.</w:t>
        <w:br/>
        <w:br/>
        <w:t>[39]   cfr.  resolución  de  3  de  febrero  de  1998  de  la  Sala  de   lo</w:t>
        <w:br/>
        <w:t>Constitucional de la Corte Suprema de Justicia  de  Nicaragua,  en  relación</w:t>
        <w:br/>
        <w:t>con  la  solicitud  de  ejecutoria  de  sentencia  presentada  por  Humberto</w:t>
        <w:br/>
        <w:t>Thompson Sang, miembro del Consejo Regional de la RAAN.</w:t>
        <w:br/>
        <w:br/>
        <w:t>[40]  cfr. oficio MN-RSV-02-0113.98 de 16 de  febrero  de  1998  de  Roberto</w:t>
        <w:br/>
        <w:t>Stadhagen Vogl, Ministro  del  MARENA,  dirigido  a  Michael  Kang,  Gerente</w:t>
        <w:br/>
        <w:t>General de SOLCARSA.</w:t>
        <w:br/>
        <w:t>[41]   cfr.  resolución  de  12  de  noviembre  de  1997  del  Tribunal   de</w:t>
        <w:br/>
        <w:t>Apelaciones de la Sexta Región, Sala de lo  Civil,  Matagalpa,  en  relación</w:t>
        <w:br/>
        <w:t>con el recurso de amparo interpuesto por María Luisa  Acosta  Castellón,  en</w:t>
        <w:br/>
        <w:t>representación  de  Benevicto  Salomón,  Siriaco  Castillo  Fenley,  Orlando</w:t>
        <w:br/>
        <w:t>Salomón Felipe y Jotam López Espinoza, en  nombre  propio  y  como  Síndico,</w:t>
        <w:br/>
        <w:t>Coordinador, Juez del Pueblo y Responsable del Bosque,  respectivamente,  de</w:t>
        <w:br/>
        <w:t>la Comunidad Awas Tingni, en contra de Roberto Stadhagen Vogl, Ministro  del</w:t>
        <w:br/>
        <w:t>MARENA,  Roberto  Araquistain,  Director  General  del   Servicio   Forestal</w:t>
        <w:br/>
        <w:t>Nacional del MARENA, Jorge Brooks Saldaña,  Director  de  la  Administración</w:t>
        <w:br/>
        <w:t>Forestal Estatal del MARENA; y de Efraín  Osejo  y  otros,  miembros  de  la</w:t>
        <w:br/>
        <w:t>Junta Directiva del Consejo Regional de la RAAN; y sentencia No. 163  de  14</w:t>
        <w:br/>
        <w:t>de octubre de 1998 de la Sala de lo Constitucional de la  Corte  Suprema  de</w:t>
        <w:br/>
        <w:t>Justicia de Nicaragua en relación con el recurso de amparo  interpuesto  por</w:t>
        <w:br/>
        <w:t>María  Luisa  Acosta  Castellón,  en  representación  de  Benevicto  Salomón</w:t>
        <w:br/>
        <w:t>Mclean, Siriaco Castillo  Fenley,  Orlando  Salomón  Felipe  y  Jotam  López</w:t>
        <w:br/>
        <w:t>Espinoza, en nombre propio y como Síndico, Coordinador, Juez  del  Pueblo  y</w:t>
        <w:br/>
        <w:t>Responsable del Bosque, respectivamente, de la  Comunidad  Awas  Tingni,  en</w:t>
        <w:br/>
        <w:t>contra de Roberto Stadhagen Vogl, Ministro del MARENA, Roberto  Araquistain,</w:t>
        <w:br/>
        <w:t>Director General del Servicio Forestal Nacional  del  MARENA,  Jorge  Brooks</w:t>
        <w:br/>
        <w:t>Saldaña, Director de la Administración Forestal Estatal  del  MARENA,  y  de</w:t>
        <w:br/>
        <w:t>Efraín Osejo y otros, miembros de la Junta Directiva  del  Consejo  Regional</w:t>
        <w:br/>
        <w:t>de la RAAN.</w:t>
        <w:br/>
        <w:br/>
        <w:t>[42]   cfr.  resolución  de  12  de  noviembre  de  1997  del  Tribunal   de</w:t>
        <w:br/>
        <w:t>Apelaciones de la Sexta Región, Sala de lo  Civil,  Matagalpa,  en  relación</w:t>
        <w:br/>
        <w:t>con el recurso de amparo interpuesto por María Luisa  Acosta  Castellón,  en</w:t>
        <w:br/>
        <w:t>representación  de  Benevicto  Salomón,  Siriaco  Castillo  Fenley,  Orlando</w:t>
        <w:br/>
        <w:t>Salomón Felipe y Jotam López Espinoza, en  nombre  propio  y  como  Síndico,</w:t>
        <w:br/>
        <w:t>Coordinador, Juez del Pueblo y Responsable del Bosque,  respectivamente,  de</w:t>
        <w:br/>
        <w:t>la Comunidad Awas Tingni, en contra de Roberto Stadhagen Vogl, Ministro  del</w:t>
        <w:br/>
        <w:t>MARENA,  Roberto  Araquistain,  Director  General  del   Servicio   Forestal</w:t>
        <w:br/>
        <w:t>Nacional del MARENA, Jorge Brooks Saldaña,  Director  de  la  Administración</w:t>
        <w:br/>
        <w:t>Forestal Estatal del MARENA, y de Efraín  Osejo  y  otros,  miembros  de  la</w:t>
        <w:br/>
        <w:t>Junta Directiva del Consejo Regional de la RAAN.</w:t>
        <w:br/>
        <w:t>[43]  cfr. sentencia No. 163 de 14 de octubre de  1998  de  la  Sala  de  lo</w:t>
        <w:br/>
        <w:t>Constitucional de la Corte Suprema de Justicia de Nicaragua en relación  con</w:t>
        <w:br/>
        <w:t>el recurso de amparo  interpuesto  por  María  Luisa  Acosta  Castellón,  en</w:t>
        <w:br/>
        <w:t>representación  de  Benevicto  Salomón  Mclean,  Siriaco  Castillo   Fenley,</w:t>
        <w:br/>
        <w:t>Orlando Salomón Felipe y Jotam López  Espinoza,  en  nombre  propio  y  como</w:t>
        <w:br/>
        <w:t>Síndico,  Coordinador,  Juez  del   Pueblo   y   Responsable   del   Bosque,</w:t>
        <w:br/>
        <w:t>respectivamente,  de  la  Comunidad  Awas  Tingni,  en  contra  de   Roberto</w:t>
        <w:br/>
        <w:t>Stadhagen Vogl, Ministro del MARENA; Roberto Araquistain,  Director  General</w:t>
        <w:br/>
        <w:t>del Servicio Forestal Nacional del MARENA, Jorge  Brooks  Saldaña,  Director</w:t>
        <w:br/>
        <w:t>de la Administración Forestal Estatal  del  MARENA,  y  de  Efraín  Osejo  y</w:t>
        <w:br/>
        <w:t>otros, miembros de la Junta Directiva del Consejo Regional de la RAAN.</w:t>
        <w:br/>
        <w:br/>
        <w:t>[44]  cfr. testimonio de Marco Antonio Centeno  Caffarena  rendido  ante  la</w:t>
        <w:br/>
        <w:t>Corte Interamericana el 17 de noviembre de 2000; testimonio de Charles  Rice</w:t>
        <w:br/>
        <w:t>Hale rendido ante la Corte  Interamericana  el  17  de  noviembre  de  2000;</w:t>
        <w:br/>
        <w:t>testimonio de Galio Claudio Enrique Gurdián Gurdián rendido  ante  la  Corte</w:t>
        <w:br/>
        <w:t>Interamericana el 17 de noviembre de 2000; y “Diagnóstico general  sobre  la</w:t>
        <w:br/>
        <w:t>tenencia de la tierra en las comunidades indígenas de  la  Costa  Atlántica.</w:t>
        <w:br/>
        <w:t>Marco general”, de marzo de 1998, elaborado  por  el  Central  American  and</w:t>
        <w:br/>
        <w:t>Caribbean Research Council.</w:t>
        <w:br/>
        <w:br/>
        <w:t>[45]  cfr. escrito de 13 de  octubre  de  1998  de  Arnoldo  Alemán  Lacayo,</w:t>
        <w:br/>
        <w:t>Presidente de la República de  Nicaragua, dirigido a  Noel  Pereira  Majano,</w:t>
        <w:br/>
        <w:t>Secretario de la Asamblea Nacional; proyecto de ley  de  13  de  octubre  de</w:t>
        <w:br/>
        <w:t>1998 titulado “Ley Orgánica que Regula el Régimen de  Propiedad  Comunal  de</w:t>
        <w:br/>
        <w:t>las Comunidades Indígenas de la Costa Atlántica y BOSAWAS”; y oficio  DSP-E-</w:t>
        <w:br/>
        <w:t>9200-10-98 de 13 de octubre de 1998 del Secretario de la Presidencia  de  la</w:t>
        <w:br/>
        <w:t>República de  Nicaragua dirigido a Noel Pereira  Majano,  Secretario  de  la</w:t>
        <w:br/>
        <w:t>Asamblea Nacional.</w:t>
        <w:br/>
        <w:t>[46]  cfr. Caso del Tribunal Constitucional, supra  nota  10,  párr.  89;  y</w:t>
        <w:br/>
        <w:t>Garantías  Judiciales  en  Estados  de  Emergencia  (arts.  27.2,  25  y   8</w:t>
        <w:br/>
        <w:t>Convención Americana sobre Derechos  Humanos).  Opinión  Consultiva  OC-9/87</w:t>
        <w:br/>
        <w:t>del 6 de octubre de 1987. Serie A No.9, párr. 23.</w:t>
        <w:br/>
        <w:t>[47]  cfr. Caso Ivcher Bronstein, supra nota 9, párr.135; Caso del  Tribunal</w:t>
        <w:br/>
        <w:t>Constitucional, supra nota 10, párr. 90; y Caso Bámaca Velásquez.  Sentencia</w:t>
        <w:br/>
        <w:t>de 25 de noviembre de 2000. Serie C No. 70, párr. 191.</w:t>
        <w:br/>
        <w:br/>
        <w:t>[48]  cfr. Caso Ivcher Bronstein, supra nota 9,  párr.  136;  Caso  Cantoral</w:t>
        <w:br/>
        <w:t>Benavides. Sentencia de 18 de agosto de 2000. Serie C No. 69, párr.  164;  y</w:t>
        <w:br/>
        <w:t>Caso Durand y Ugarte, supra nota 12, párr. 102.</w:t>
        <w:br/>
        <w:br/>
        <w:t>[49]  cfr. Caso del Tribunal Constitucional, supra nota 10, párr.  90;  Caso</w:t>
        <w:br/>
        <w:t>Bámaca Velásquez, supra nota 47, párr. 191; y Caso Cesti Hurtado.  Sentencia</w:t>
        <w:br/>
        <w:t>de 29 de septiembre de 1999. Serie C No. 56, párr. 125.</w:t>
        <w:br/>
        <w:t>[50]  cfr. Caso del Tribunal Constitucional,  supra  nota  10,  párr.  91  y</w:t>
        <w:br/>
        <w:t>Garantías  Judiciales  en  Estados  de  Emergencia  (arts.  27.2,  25  y   8</w:t>
        <w:br/>
        <w:t>Convención Americana sobre Derechos Humanos), supra nota 46, párr. 23.</w:t>
        <w:br/>
        <w:br/>
        <w:t>[51]  cfr. Caso del Tribunal Constitucional, supra nota 10, párr.  93;  Caso</w:t>
        <w:br/>
        <w:t>Paniagua Morales y otros. Sentencia de 8 de marzo de 1998. Serie C  No.  37,</w:t>
        <w:br/>
        <w:t>párr. 152; y Caso Genie Lacayo. Sentencia del 29 de enero de 1997.  Serie  C</w:t>
        <w:br/>
        <w:t>No. 30, párr. 77.</w:t>
        <w:br/>
        <w:t>[52]  cfr. Caso  Ivcher  Bronstein,  supra  nota  9,  párr.  137;  Caso  del</w:t>
        <w:br/>
        <w:t>Tribunal Constitucional, supra nota 10, párr. 93; y Garantías Judiciales  en</w:t>
        <w:br/>
        <w:t>Estados de Emergencia  (arts.  27.2,  25  y  8  Convención  Americana  sobre</w:t>
        <w:br/>
        <w:t>Derechos Humanos), supra nota 46, párr. 24.</w:t>
        <w:br/>
        <w:br/>
        <w:t>[53]  cfr. Caso Villagrán  Morales  y  otros  (Caso  de  los  “Niños  de  la</w:t>
        <w:br/>
        <w:t>Calle”). Sentencia de 19 de noviembre de 1999.  Serie C No. 63,  párr.  237;</w:t>
        <w:br/>
        <w:t>ver también, Caso  Ivcher  Bronstein,  supra  nota  9,  párr.  135;  y  Caso</w:t>
        <w:br/>
        <w:t>Cantoral Benavides, supra nota 48, párr. 163.</w:t>
        <w:br/>
        <w:br/>
        <w:t>[54]  cfr. Caso Baena Ricardo y otros, supra  nota  9,  párr.  180;  y  Caso</w:t>
        <w:br/>
        <w:t>Cantoral Benavides, supra nota 48, párr. 178.</w:t>
        <w:br/>
        <w:t>[55]  Los textos del artículo  21  de  la  Convención  en  español,  inglés,</w:t>
        <w:br/>
        <w:t>portugués  y  francés  no  tienen  una  variación  sustancial.    La   única</w:t>
        <w:br/>
        <w:t>diferencia es  que  el  epígrafe  del  texto  en  inglés  dice  “Derecho  de</w:t>
        <w:br/>
        <w:t>Propiedad” (Right to Property) mientras que en los  restantes  tres  idiomas</w:t>
        <w:br/>
        <w:t>dice “Derecho a la Propiedad Privada”.</w:t>
        <w:br/>
        <w:t>[56]  cfr. Caso Ivcher Bronstein, supra nota 9, párr. 122.</w:t>
        <w:br/>
        <w:t>[57]  En el estudio y consideración de  los  trabajos  preparatorios  de  la</w:t>
        <w:br/>
        <w:t>Convención Americana sobre Derechos  Humanos,  el  derecho  a  la  propiedad</w:t>
        <w:br/>
        <w:t>privada fue uno  de  los  más  extensamente  debatidos  en  el  seno  de  la</w:t>
        <w:br/>
        <w:t>Comisión.   Desde  el  primer  momento  las  delegaciones  manifestaron   la</w:t>
        <w:br/>
        <w:t>existencia  de  tres  corrientes  ideológicas,  a  saber:  una  tendencia  a</w:t>
        <w:br/>
        <w:t>suprimir del texto del proyecto toda referencia  al  derecho  de  propiedad;</w:t>
        <w:br/>
        <w:t>otra tendencia a consagrar el texto del proyecto tal y como fue  presentado,</w:t>
        <w:br/>
        <w:t>y una tercera posición conciliadora que reforzaría la función social  de  la</w:t>
        <w:br/>
        <w:t>propiedad.  Finalmente prevaleció el criterio de incorporar  el  derecho  de</w:t>
        <w:br/>
        <w:t>propiedad en el texto de la Convención.</w:t>
        <w:br/>
        <w:br/>
        <w:t>[58]  cfr. El Derecho a la Información sobre la Asistencia  Consular  en  el</w:t>
        <w:br/>
        <w:t>Marco de las Garantias del Debido Proceso  Legal.   Opinión  Consultiva  OC-</w:t>
        <w:br/>
        <w:t>16/99 de 1 de octubre de 1999. Serie A No. 16, párr. 114.</w:t>
        <w:br/>
        <w:t>[59]  cfr. Caso  Ivcher  Bronstein,  supra  nota  9,  párr.  168;  Caso  del</w:t>
        <w:br/>
        <w:t>Tribunal Constitucional, supra nota 10, párr. 109; y Caso Bámaca  Velásquez,</w:t>
        <w:br/>
        <w:t>supra nota 47, párr. 210.</w:t>
        <w:br/>
        <w:t>[60]  cfr. Caso Durand y Ugarte,  supra  nota  12,  párr.84;  Caso  Castillo</w:t>
        <w:br/>
        <w:t>Petruzzi y Otros.  Sentencia de 30 de mayo de 1999. Serie C  No.  52,  párr.</w:t>
        <w:br/>
        <w:t>178; y Caso Blake. Sentencia de 24 de enero de 1998. Serie C No.  36,  párr.</w:t>
        <w:br/>
        <w:t>112.</w:t>
        <w:br/>
        <w:br/>
        <w:t>[61]  cfr. Caso Baena Ricardo y otros, supra nota  9,  párr.  50;  Caso  “La</w:t>
        <w:br/>
        <w:t>Última Tentación de Cristo”(Olmedo Bustos y otros). Resolución de  la  Corte</w:t>
        <w:br/>
        <w:t>Interamericana de Derechos Humanos de 9 de noviembre de  1999,  considerando</w:t>
        <w:br/>
        <w:t>No. 4; Caso Castillo Páez, Excepciones  Preliminares.  Sentencia  de  30  de</w:t>
        <w:br/>
        <w:t>enero de 1996. Serie C No. 24, párr. 34;  Caso  Paniagua  Morales  y  Otros,</w:t>
        <w:br/>
        <w:t>Excepciones Preliminares. Sentencia de 25 de enero de 1996. Serie C No.  23,</w:t>
        <w:br/>
        <w:t>párrs. 38, 40-42; y Caso Cayara, Excepciones Preliminares.  Sentencia  de  3</w:t>
        <w:br/>
        <w:t>de febrero de 1993. Serie C No. 14, párrs. 42 y 63.</w:t>
        <w:br/>
        <w:br/>
        <w:t>[62]   cfr.  Caso  “La  Última  Tentación  de  Cristo”,   supra   nota   61,</w:t>
        <w:br/>
        <w:t>considerando No. 4.</w:t>
        <w:br/>
        <w:t>[63]  cfr. Caso Cesti Hurtado. Reparaciones, supra nota 13, párr.  32;  Caso</w:t>
        <w:br/>
        <w:t>de los “Niños de la  Calle”  (Villagrán  Morales  y  otros  vs.  Guatemala).</w:t>
        <w:br/>
        <w:t>Reparaciones, supra nota 11, párr. 59; Caso de la” Panel  Blanca”  (Paniagua</w:t>
        <w:br/>
        <w:t>Morales y otros vs. Guatemala). Reparaciones, supra nota 13, párr. 75;  Caso</w:t>
        <w:br/>
        <w:t>Ivcher Bronstein, supra nota 9, párr.  177;  Caso  Baena  Ricardo  y  otros,</w:t>
        <w:br/>
        <w:t>supra nota 9, párr. 201; Caso del Tribunal Constitucional,  supra  nota  10,</w:t>
        <w:br/>
        <w:t>párr. 118; Caso Suárez Rosero. Reparaciones (art. 63.1 Convención  Americana</w:t>
        <w:br/>
        <w:t>sobre Derechos Humanos). Sentencia de 20 de enero de 1999. Serie C  No.  44,</w:t>
        <w:br/>
        <w:t>párr. 40; Caso Loayza Tamayo. Reparaciones (Art. 63.1  Convención  Americana</w:t>
        <w:br/>
        <w:t>sobre Derechos Humanos), Sentencia de 27 de noviembre de 1998. Serie  C  No.</w:t>
        <w:br/>
        <w:t>42, párr. 84; Caso Caballero Delgado  y  Santana.  Reparaciones  (art.  63.1</w:t>
        <w:br/>
        <w:t>Convención Americana sobre Derechos Humanos). Sentencia de 29  de  enero  de</w:t>
        <w:br/>
        <w:t>1997. Serie C No. 31, párr. 15; Caso Neira  Alegría  y  Otros.  Reparaciones</w:t>
        <w:br/>
        <w:t>(art. 63.1 Convención Americana sobre Derechos Humanos). Sentencia de 19  de</w:t>
        <w:br/>
        <w:t>septiembre de 1996. Serie C No. 29, párr. 36; Caso El  Amparo.  Reparaciones</w:t>
        <w:br/>
        <w:t>(art. 63.1 Convención Americana sobre Derechos Humanos). Sentencia de 14  de</w:t>
        <w:br/>
        <w:t>septiembre de 1996. Serie C No. 28, párr. 14; y  Caso  Aloeboetoe  y  Otros.</w:t>
        <w:br/>
        <w:t>Reparaciones  (art.  63.1  Convención  Americana  sobre  Derechos  Humanos).</w:t>
        <w:br/>
        <w:t>Sentencia de 10 de septiembre de 1993. Serie C No. 15, párr. 43.   En  igual</w:t>
        <w:br/>
        <w:t>sentido, cfr., Reparation for  Injuries  Suffered  in  the  Service  of  the</w:t>
        <w:br/>
        <w:t>United Nations, Advisory Opinion, I.C.J. Reports 1949, p.  184;  Factory  at</w:t>
        <w:br/>
        <w:t>Chorzów, Merits, Judgment No. 13, 1928, P.C.I.J., Series A, No. 17,  p.  29;</w:t>
        <w:br/>
        <w:t>y Factory at Chorzów, Jurisdiction, Judgment No. 8, 1927,  P.C.I.J.,  Series</w:t>
        <w:br/>
        <w:t>A, No. 9, p. 21.</w:t>
        <w:br/>
        <w:t>[64]  cfr. Caso “La Última Tentación de Cristo”  (Olmedo  Bustos  y  otros),</w:t>
        <w:br/>
        <w:t>supra nota 9, párr. 99; y Caso Suárez Rosero. Reparaciones, supra  nota  63,</w:t>
        <w:br/>
        <w:t>párr.72.</w:t>
        <w:br/>
        <w:br/>
        <w:t>[65]  cfr. Caso Cesti Hurtado. Reparaciones, supra nota 13, párr.  51;  Caso</w:t>
        <w:br/>
        <w:t>de  la”  Panel  Blanca”  (Paniagua   Morales   y   otros   vs.   Guatemala).</w:t>
        <w:br/>
        <w:t>Reparaciones, supra nota 13, párr. 105; Caso Ivcher  Bronstein,  supra  nota</w:t>
        <w:br/>
        <w:t>9, párr. 183; Caso Baena Ricardo y otros, supra nota 9, párr.  206;  y  Caso</w:t>
        <w:br/>
        <w:t>Castillo Páez, Reparaciones (Art. 63.1 Convención Americana  sobre  Derechos</w:t>
        <w:br/>
        <w:t>Humanos). Sentencia de 27 de noviembre de 1998.  Serie C No. 43,  párr.  84.</w:t>
        <w:br/>
        <w:t>También cfr., inter alia, Eur. Court H.R., Wiesinger Judgment of 30  October</w:t>
        <w:br/>
        <w:t>1991, series A no. 213, para. 85;  Eur.  Court  H.R.,  Kenmmache  v.  France</w:t>
        <w:br/>
        <w:t>(Article 50) judgment of 2 November 1993, Series  A  no.  270-B,  para.  11;</w:t>
        <w:br/>
        <w:t>Eur. Court H.R., Mats  Jacobsson judgment of 28 June 1990, Series A no. 180-</w:t>
        <w:br/>
        <w:t>A, para. 44; y Eur. Court  H.R.,  Ferraro  judgment  of  19  February  1991,</w:t>
        <w:br/>
        <w:t>Series A no. 197-A, para. 21.</w:t>
        <w:br/>
        <w:br/>
        <w:t>[66]  cfr., inter alia, Caso de los “Niños de la Calle”  (Villagrán  Morales</w:t>
        <w:br/>
        <w:t>y otros vs.  Guatemala).  Reparaciones,  supra  nota  11,  párr.  103;  Caso</w:t>
        <w:br/>
        <w:t>Benavides Cevallos. Sentencia de 19 de junio de 1998. Serie C No. 38,  párr.</w:t>
        <w:br/>
        <w:t>48.5; y Caso Aloeboetoe y Otros. Reparaciones, supra nota 63,  párrs.  54  a</w:t>
        <w:br/>
        <w:t>65, 81 a 84 y 96.</w:t>
        <w:br/>
        <w:t>[67]  cfr. Caso Cesti Hurtado. Reparaciones, supra nota 13, párr.  72;  Caso</w:t>
        <w:br/>
        <w:t>de los “Niños de la  Calle”  (Villagrán  Morales  y  otros  vs.  Guatemala).</w:t>
        <w:br/>
        <w:t>Reparaciones, supra nota  11,  párr.  109;  y  Caso  de  la”  Panel  Blanca”</w:t>
        <w:br/>
        <w:t>(Paniagua Morales y otros  vs.  Guatemala).  Reparaciones,  supra  nota  13,</w:t>
        <w:br/>
        <w:t>párr. 213.</w:t>
        <w:br/>
        <w:t xml:space="preserve">    [68].   Testimonio del Sr. Charly Webster  Mclean  Cornelio,  in:  Corte</w:t>
        <w:br/>
        <w:t>Interamericana de Derechos Humanos (CtIADH), Caso de  la  Comunidad  Mayagna</w:t>
        <w:br/>
        <w:t>(Sumo) Awas Tingni - Transcripción de la Audiencia Pública  sobre  el  Fondo</w:t>
        <w:br/>
        <w:t>Celebrada los Días 16, 17 y 18 de Noviembre de 2000 en la Sede de la  Corte,</w:t>
        <w:br/>
        <w:t>p. 26 (mecanografiado, circulación interna).</w:t>
        <w:br/>
        <w:br/>
        <w:t xml:space="preserve">    [69].   Ibid., pp. 41-43.</w:t>
        <w:br/>
        <w:br/>
        <w:t xml:space="preserve">    [70].   Testimonio del  Sr.  Theodore  Macdonald  Jr.,  antropólogo,  in</w:t>
        <w:br/>
        <w:t>ibid., pp. 67-68.</w:t>
        <w:br/>
        <w:br/>
        <w:t xml:space="preserve">    [71].   Peritaje del Sr. Rodolfo Stavenhagen  Gruenbaum,  antropólogo  y</w:t>
        <w:br/>
        <w:t>sociólogo, in ibid., pp. 71-72.</w:t>
        <w:br/>
        <w:br/>
        <w:t xml:space="preserve">    [72].    Cf.,  v.g.,  el  testimonio  del  Sr.  Charly  Webster   Mclean</w:t>
        <w:br/>
        <w:t>Cornelio, miembro de la Comunidad Mayagna, in ibid., p. 40,  y  el  peritaje</w:t>
        <w:br/>
        <w:t>del Sr. Rodolfo Stavenhagen Gruenbaum, antropólogo y  sociólogo,  in  ibid.,</w:t>
        <w:br/>
        <w:t>p. 78.</w:t>
        <w:br/>
        <w:br/>
        <w:t xml:space="preserve">    [73].   Las generaciones futuras comienzan a atraer la  atención  de  la</w:t>
        <w:br/>
        <w:t>doctrina contemporánea del derecho internacional: cf.,  v.g.,  A.-Ch.  Kiss,</w:t>
        <w:br/>
        <w:t>"La notion de patrimoine commun de l'humanité", 175  Recueil  des  Cours  de</w:t>
        <w:br/>
        <w:t>l'Académie de Droit International de La Haye (1982) pp.  109-253;  E.  Brown</w:t>
        <w:br/>
        <w:t>Weiss,  In  Fairness  to  Future  Generations:  International  Law,   Common</w:t>
        <w:br/>
        <w:t>Patrimony and  Intergenerational  Equity,  Tokyo/Dobbs  Ferry  N.Y.,  United</w:t>
        <w:br/>
        <w:t>Nations University/Transnational Publs., 1989, pp.  1-351;  E.  Agius  y  S.</w:t>
        <w:br/>
        <w:t>Busuttil et alii (eds.), Future Generations and International  Law,  London,</w:t>
        <w:br/>
        <w:t>Earthscan,  1998,  pp.  3-197;  J.  Symonides  (ed.),  Human   Rights:   New</w:t>
        <w:br/>
        <w:t>Dimensions and Challenges, Paris/Aldershot, UNESCO/Dartmouth, 1998,  pp.  1-</w:t>
        <w:br/>
        <w:t>153.</w:t>
        <w:br/>
        <w:br/>
        <w:t xml:space="preserve">    [74].   Cf. también los artículos 89 y 180 de la  Constitución  Política</w:t>
        <w:br/>
        <w:t>vigente de Nicaragua.</w:t>
        <w:br/>
        <w:br/>
        <w:t xml:space="preserve">    [75].     CtIADH,   caso   Aloeboetoe   y    Otros    versus    Suriname</w:t>
        <w:br/>
        <w:t>(Reparaciones), Serie C, n. 15, Sentencia del 10.09.1993, pp.  3-49,  párrs.</w:t>
        <w:br/>
        <w:t>1-116.</w:t>
        <w:br/>
        <w:br/>
        <w:t xml:space="preserve">    [76].   CtIADH, caso Bámaca Velásquez  versus  Guatemala  (Fondo), Serie</w:t>
        <w:br/>
        <w:t>C, n. 70, Sentencia del 25.11.2000, pp. 3-149, párrs. 1-230.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