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             Caso Hilaire Vs. Trinidad y Tobago</w:t>
        <w:br/>
        <w:br/>
        <w:br/>
        <w:t xml:space="preserve">                    Sentencia de 1 de septiembre de 2001</w:t>
        <w:br/>
        <w:t xml:space="preserve">                         (Excepciones Preliminares)</w:t>
        <w:br/>
        <w:br/>
        <w:br/>
        <w:br/>
        <w:t>En el caso Hilaire,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jueces:*</w:t>
        <w:br/>
        <w:br/>
        <w:t xml:space="preserve">      Antônio A. Cançado Trindade, Presidente;</w:t>
        <w:br/>
        <w:t xml:space="preserve">      Máximo Pacheco Gómez, Vicepresidente;</w:t>
        <w:br/>
        <w:t xml:space="preserve">      Hernán Salgado Pesantes, Juez;</w:t>
        <w:br/>
        <w:t xml:space="preserve">      Alirio Abreu Burelli, Juez;</w:t>
        <w:br/>
        <w:t xml:space="preserve">      Sergio García Ramírez, Juez, y</w:t>
        <w:br/>
        <w:t xml:space="preserve">      Carlos Vicente de Roux Rengifo, Juez;</w:t>
        <w:br/>
        <w:br/>
        <w:t>presentes, además,</w:t>
        <w:br/>
        <w:br/>
        <w:t xml:space="preserve">      Manuel E. Ventura Robles, Secretario, y</w:t>
        <w:br/>
        <w:t xml:space="preserve">      Pablo Saavedra Alessandri, Secretario adjunto;</w:t>
        <w:br/>
        <w:br/>
        <w:t>de acuerdo con el  artículo  36.6  de  su  Reglamento[1]  (en  adelante  “el</w:t>
        <w:br/>
        <w:t>Reglamento”), dicta la siguiente Sentencia  sobre  la  excepción  preliminar</w:t>
        <w:br/>
        <w:t>interpuesta por el Estado de Trinidad y Tobago (en adelante  “el  Estado”  o</w:t>
        <w:br/>
        <w:t>“Trinidad y Tobago” ).</w:t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br/>
        <w:t>1.     El  presente  caso  fue  sometido  a  la  Corte   por   la   Comisión</w:t>
        <w:br/>
        <w:t>Interamericana   de   Derechos   Humanos   (en   adelante    “la    Comisión</w:t>
        <w:br/>
        <w:t>Interamericana” o “la Comisión”) el 25 de mayo de 1999.  La  demanda  de  la</w:t>
        <w:br/>
        <w:t>Comisión tiene su origen en la  denuncia  número  11.816  (Haniff  Hilaire),</w:t>
        <w:br/>
        <w:t>recibida en la Secretaría de ésta el 9 de octubre de 1997.</w:t>
        <w:br/>
        <w:br/>
        <w:br/>
        <w:br/>
        <w:br/>
        <w:br/>
        <w:t xml:space="preserve">                                     II</w:t>
        <w:br/>
        <w:t xml:space="preserve">                       HECHOS EXPUESTOS EN LA DEMANDA</w:t>
        <w:br/>
        <w:br/>
        <w:t>2.    La Comisión Interamericana expuso en su demanda los hechos en  que  se</w:t>
        <w:br/>
        <w:t>fundamenta.  En los siguientes párrafos, la Corte resume los  hechos  y  las</w:t>
        <w:br/>
        <w:t>pretensiones de la demanda que son relevantes para la  consideración  de  la</w:t>
        <w:br/>
        <w:t>excepción preliminar:</w:t>
        <w:br/>
        <w:br/>
        <w:t>El Estado de Trinidad y Tobago ha  violado  la  Convención  Americana  sobre</w:t>
        <w:br/>
        <w:t>Derechos Humanos (en adelante “la Convención Americana” o  “la  Convención”)</w:t>
        <w:br/>
        <w:t>por sentenciar al señor Haniff Hilaire (en adelante “el  señor  Hilaire”)  a</w:t>
        <w:br/>
        <w:t>una “pena de muerte obligatoria” y, por lo tanto, por  violar  los  derechos</w:t>
        <w:br/>
        <w:t>consagrados en los artículos: 4.1,  5.1,  5.2,  5.6,  7.5  y  25;  todos  en</w:t>
        <w:br/>
        <w:t>relación con el artículo 1.1  de  la  Convención.  Asimismo,  el  Estado  ha</w:t>
        <w:br/>
        <w:t>violado el artículo  2  que  establece  la  obligación  de  adoptar  medidas</w:t>
        <w:br/>
        <w:t>legislativas y de otra índole que sean necesarias para hacer  efectivos  los</w:t>
        <w:br/>
        <w:t>derechos y libertades consagrados en  la  Convención,  en  relación  con  el</w:t>
        <w:br/>
        <w:t>artículo 25 de la misma (infra 16).</w:t>
        <w:br/>
        <w:br/>
        <w:t>La Comisión Interamericana fundamenta sus  alegatos,  inter  alia,  con  los</w:t>
        <w:br/>
        <w:t>siguientes hechos:</w:t>
        <w:br/>
        <w:br/>
        <w:t xml:space="preserve">        2. El 29 de mayo de 1995 el señor Hilaire fue condenado, junto  con</w:t>
        <w:br/>
        <w:t xml:space="preserve">           sus dos co-imputados, la señora Indravani Ramjattan y  el  señor</w:t>
        <w:br/>
        <w:t xml:space="preserve">           Denny Baptiste, por el asesinato  del  señor  Alexander  Jordan,</w:t>
        <w:br/>
        <w:t xml:space="preserve">           ocurrido el 13 de febrero de 1991.  Dicha  condena  fue  emitida</w:t>
        <w:br/>
        <w:t xml:space="preserve">           por la Primera Sala Penal de Port of Spain Assizes,  Trinidad  y</w:t>
        <w:br/>
        <w:t xml:space="preserve">           Tobago;</w:t>
        <w:br/>
        <w:br/>
        <w:br/>
        <w:t xml:space="preserve">        3. El señor Alexander  Jordan  era  el  cónyuge,  bajo  el  derecho</w:t>
        <w:br/>
        <w:t xml:space="preserve">           consuetudinario, de la señora Indravani Ramjattan,  quien  “[d]e</w:t>
        <w:br/>
        <w:t xml:space="preserve">           acuerdo con lo que consta en  autos”  era  víctima  de  maltrato</w:t>
        <w:br/>
        <w:t xml:space="preserve">           doméstico a manos del señor Jordan;</w:t>
        <w:br/>
        <w:br/>
        <w:br/>
        <w:t xml:space="preserve">        4. “Debido en parte a la naturaleza  abusiva  del  matrimonio”,  se</w:t>
        <w:br/>
        <w:t xml:space="preserve">           desarrolló una relación entre la señora  Ramjattan  y  el  señor</w:t>
        <w:br/>
        <w:t xml:space="preserve">           Baptiste y ella quedó embarazada del señor Baptiste.  Cuando  su</w:t>
        <w:br/>
        <w:t xml:space="preserve">           esposo  descubrió   la   situación,   la   siguió   maltratando,</w:t>
        <w:br/>
        <w:t xml:space="preserve">           consecuencia de lo cuál ella huyó del hogar con sus dos hijos  y</w:t>
        <w:br/>
        <w:t xml:space="preserve">           se mudó a la casa del señor Baptiste.  El señor Hilaire  también</w:t>
        <w:br/>
        <w:t xml:space="preserve">           vivía con el señor Baptiste y durante el tiempo que  estuvo  con</w:t>
        <w:br/>
        <w:t xml:space="preserve">           estos, la señora Ramjattan les confió la situación  de  maltrato</w:t>
        <w:br/>
        <w:t xml:space="preserve">           doméstico de la que era objeto;</w:t>
        <w:br/>
        <w:br/>
        <w:br/>
        <w:t xml:space="preserve">        5. Posteriormente,  el  señor  Jordan  descubrió  donde  estaba  su</w:t>
        <w:br/>
        <w:t xml:space="preserve">           esposa, irrumpió en la casa del señor Baptiste y la llevó con él</w:t>
        <w:br/>
        <w:t xml:space="preserve">           a su casa,  donde  la  mantuvo  prácticamente  secuestrada.   La</w:t>
        <w:br/>
        <w:t xml:space="preserve">           señora Ramjattan  pudo  enviar  un  mensaje  al  señor  Hilaire,</w:t>
        <w:br/>
        <w:t xml:space="preserve">           implorándole que la rescatara.   En  consecuencia,  los  señores</w:t>
        <w:br/>
        <w:t xml:space="preserve">           Hilaire y Baptiste fueron  a  la  casa  del  señor  Jordan  “con</w:t>
        <w:br/>
        <w:t xml:space="preserve">           intenciones de golpearlo”.  La golpiza tuvo consecuencias  mucho</w:t>
        <w:br/>
        <w:t xml:space="preserve">           más graves de las previstas, a raíz de lo cual el  señor  Jordan</w:t>
        <w:br/>
        <w:t xml:space="preserve">           murió;</w:t>
        <w:br/>
        <w:br/>
        <w:br/>
        <w:t xml:space="preserve">        6. No consta en autos prueba alguna de que el señor Hilaire tuviera</w:t>
        <w:br/>
        <w:t xml:space="preserve">           algún antecedente penal o tendencia a reincidir;</w:t>
        <w:br/>
        <w:br/>
        <w:br/>
        <w:t xml:space="preserve">        7. El señor Hilaire y sus co-imputados fueron encontrados culpables</w:t>
        <w:br/>
        <w:t xml:space="preserve">           de homicidio de acuerdo con la Ley de Delitos Contra la  Persona</w:t>
        <w:br/>
        <w:t xml:space="preserve">           de Trinidad y Tobago y el 29 de mayo de  1995,  el  juez  de  la</w:t>
        <w:br/>
        <w:t xml:space="preserve">           causa “se vio obligado a imponer  a  los  acusados  la  pena  de</w:t>
        <w:br/>
        <w:t xml:space="preserve">           muerte” de acuerdo con la sección 4 de dicha ley, declarando  lo</w:t>
        <w:br/>
        <w:t xml:space="preserve">           siguiente:  “El jurado llegó a la conclusión  de  que  los  reos</w:t>
        <w:br/>
        <w:t xml:space="preserve">           eran culpables de homicidio.  La sentencia de esta Corte  contra</w:t>
        <w:br/>
        <w:t xml:space="preserve">           cada  uno  de  [ellos]  exige  que  sean   trasladados   a   una</w:t>
        <w:br/>
        <w:t xml:space="preserve">           penitenciaría y luego al lugar de ejecución, donde morirán en la</w:t>
        <w:br/>
        <w:t xml:space="preserve">           horca.  Que Dios se apiade de sus almas”;</w:t>
        <w:br/>
        <w:br/>
        <w:br/>
        <w:t xml:space="preserve">        8. El 29 de mayo de 1995  el  señor  Hilaire  solicitó  venia  para</w:t>
        <w:br/>
        <w:t xml:space="preserve">           apelar su condena ante la Corte de  Apelaciones  de  Trinidad  y</w:t>
        <w:br/>
        <w:t xml:space="preserve">           Tobago.  Dicha demanda fue desestimada  el  7  de  noviembre  de</w:t>
        <w:br/>
        <w:t xml:space="preserve">           1996.  El 30 de octubre de 1997 el señor Hilaire  interpuso  una</w:t>
        <w:br/>
        <w:t xml:space="preserve">           petición en la  que  solicitó  venia  especial  para  apelar  su</w:t>
        <w:br/>
        <w:t xml:space="preserve">           condena ante el Comité Judicial del Privy Council en Londres, el</w:t>
        <w:br/>
        <w:t xml:space="preserve">           cual desestimó dicha petición el 6 de  noviembre  de  1997.   El</w:t>
        <w:br/>
        <w:t xml:space="preserve">           señor Hilaire presentó una segunda solicitud de  venia  especial</w:t>
        <w:br/>
        <w:t xml:space="preserve">           para apelar ante el Comité Judicial del Privy Council en Londres</w:t>
        <w:br/>
        <w:t xml:space="preserve">           alrededor del 25 de enero de 1999.  Esta  segunda  petición  fue</w:t>
        <w:br/>
        <w:t xml:space="preserve">           también desestimada el 3 de febrero de 1999;</w:t>
        <w:br/>
        <w:br/>
        <w:br/>
        <w:t xml:space="preserve">        9. La Ley de Delitos Contra la Persona  provee  una  definición  de</w:t>
        <w:br/>
        <w:t xml:space="preserve">           “homicidio”,   permite   que   un   jurado   considere   ciertas</w:t>
        <w:br/>
        <w:t xml:space="preserve">           circunstancias del asesinato determinantes para establecer si el</w:t>
        <w:br/>
        <w:t xml:space="preserve">           acusado debe ser encontrado culpable del delito de  homicidio  o</w:t>
        <w:br/>
        <w:t xml:space="preserve">           de un delito menor, impone la pena de muerte en caso de  que  el</w:t>
        <w:br/>
        <w:t xml:space="preserve">           acusado sea encontrado culpable de asesinato, pero no permite al</w:t>
        <w:br/>
        <w:t xml:space="preserve">           juez o al jurado considerar las  circunstancias  personales  del</w:t>
        <w:br/>
        <w:t xml:space="preserve">           acusado o del delito;</w:t>
        <w:br/>
        <w:br/>
        <w:br/>
        <w:t xml:space="preserve">       10. La  Constitución  de  Trinidad  y  Tobago  establece  un  Comité</w:t>
        <w:br/>
        <w:t xml:space="preserve">           Consultivo de Indulto, que tiene a su  cargo  estudiar  y  hacer</w:t>
        <w:br/>
        <w:t xml:space="preserve">           recomendaciones al Ministro de Seguridad Nacional  sobre  si  un</w:t>
        <w:br/>
        <w:t xml:space="preserve">           delincuente  sentenciado  a  muerte  debe  beneficiarse  de   la</w:t>
        <w:br/>
        <w:t xml:space="preserve">           discreción presidencial del indulto en virtud de la Constitución</w:t>
        <w:br/>
        <w:t xml:space="preserve">           mencionada.  La ley no establece criterio  alguno  para  ejercer</w:t>
        <w:br/>
        <w:t xml:space="preserve">           las funciones del Comité o  la  discreción  presidencial,  y  el</w:t>
        <w:br/>
        <w:t xml:space="preserve">           delincuente  no  tiene   derecho   legal   alguno   a   formular</w:t>
        <w:br/>
        <w:t xml:space="preserve">           exposiciones ante el Comité para presentar, recibir  o  impugnar</w:t>
        <w:br/>
        <w:t xml:space="preserve">           las pruebas que el Comité considere pertinente tomar en  cuenta.</w:t>
        <w:br/>
        <w:t xml:space="preserve">           La facultad de indulto es un acto de clemencia que no es materia</w:t>
        <w:br/>
        <w:t xml:space="preserve">           de derecho alguno y por tanto, de revisión judicial.</w:t>
        <w:br/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3.    El 9 de octubre de 1997 la  firma  británica  Simmons  &amp;  Simmons  (en</w:t>
        <w:br/>
        <w:t>adelante “los  peticionarios”),  presentó  ante  la  Comisión  una  denuncia</w:t>
        <w:br/>
        <w:t>contra Trinidad y Tobago, en nombre del señor  Haniff  Hilaire.   El  16  de</w:t>
        <w:br/>
        <w:t>octubre de 1997 la Comisión abrió el caso No. 11.816, remitió al Estado  las</w:t>
        <w:br/>
        <w:t>partes pertinentes de la denuncia y solicitó  una  respuesta.   La  Comisión</w:t>
        <w:br/>
        <w:t>también  le  solicitó  al  Estado,  en  virtud  del  artículo  29.2  de   su</w:t>
        <w:br/>
        <w:t>Reglamento, que suspendiera la ejecución del señor Hilaire  hasta  tener  la</w:t>
        <w:br/>
        <w:t>oportunidad de examinar el caso y adoptar una decisión.</w:t>
        <w:br/>
        <w:br/>
        <w:t>4.    El 30 de octubre de 1997 los peticionarios informaron  a  la  Comisión</w:t>
        <w:br/>
        <w:t>que estaban a la espera de  una  decisión  del  Comité  Judicial  del  Privy</w:t>
        <w:br/>
        <w:t>Council sobre la demanda del señor Hilaire de venia  especial  para  apelar.</w:t>
        <w:br/>
        <w:t>El 6 de noviembre de ese año, los peticionarios  informaron  a  la  Comisión</w:t>
        <w:br/>
        <w:t>que se había negado al  señor  Hilaire  venia  para  apelar  ante  el  Privy</w:t>
        <w:br/>
        <w:t>Council.</w:t>
        <w:br/>
        <w:br/>
        <w:t>5.    El 19 de diciembre de 1997 el Estado  envió  sus  observaciones  a  la</w:t>
        <w:br/>
        <w:t>denuncia haciendo referencia al  fondo.  El  12  de  enero  de  1998  dichas</w:t>
        <w:br/>
        <w:t>observaciones se remitieron  a  los  peticionarios,  quienes  enviaron   sus</w:t>
        <w:br/>
        <w:t>propias observaciones el 25 de febrero del mismo año.  El  16  de  marzo  de</w:t>
        <w:br/>
        <w:t>1998 la Comisión remitió  al  Estado  las  observaciones  mencionadas  y  le</w:t>
        <w:br/>
        <w:t>solicitó una respuesta.</w:t>
        <w:br/>
        <w:br/>
        <w:t>6.     Igualmente,  el  19  de   diciembre   de   1997   los   peticionarios</w:t>
        <w:br/>
        <w:t>suministraron a la Comisión un escrito complementario en  el  que  aportaron</w:t>
        <w:br/>
        <w:t>nuevas  pruebas,  así  como   jurisprudencia   y   demás   información   que</w:t>
        <w:br/>
        <w:t>fundamentaba  la  admisibilidad  de  la   petición   y   especificaron   las</w:t>
        <w:br/>
        <w:t>reparaciones que procuraban en nombre del señor  Hilaire.   El  escrito  fue</w:t>
        <w:br/>
        <w:t>transmitido  al  Estado  el  12  de  enero  de  1998  y  éste  presentó  sus</w:t>
        <w:br/>
        <w:t>observaciones el 1 de abril del  mismo  año.   Dichas  observaciones  fueron</w:t>
        <w:br/>
        <w:t>remitidas a los peticionarios el 13 de mayo de 1998.   El  24  de  junio  de</w:t>
        <w:br/>
        <w:t>1998  los  peticionarios  enviaron  sus  observaciones,  las  cuales  fueron</w:t>
        <w:br/>
        <w:t>transmitidas al Estado el 13 de julio de 1998 y  la  Comisión  solicitó  una</w:t>
        <w:br/>
        <w:t>respuesta.</w:t>
        <w:br/>
        <w:br/>
        <w:t>7.    El 25 de septiembre de 1998 la Comisión aprobó el  Informe  No.  43/98</w:t>
        <w:br/>
        <w:t>en el cual se pronunció sobre la admisibilidad de la  petición.   El  23  de</w:t>
        <w:br/>
        <w:t>octubre del mismo año, la Comisión remitió el mencionado Informe  al  Estado</w:t>
        <w:br/>
        <w:t>y a los peticionarios, y se puso a disposición de las  partes  con  miras  a</w:t>
        <w:br/>
        <w:t>procurar una solución amistosa del asunto.</w:t>
        <w:br/>
        <w:br/>
        <w:t>8.    El 28 de septiembre de 1998 los peticionarios presentaron  un  segundo</w:t>
        <w:br/>
        <w:t>escrito complementario, el cual fue transmitido al Estado el  6  de  octubre</w:t>
        <w:br/>
        <w:t>del mismo año, con una solicitud de respuesta.</w:t>
        <w:br/>
        <w:br/>
        <w:t>9.    Alrededor del 12 de febrero de 1999 los peticionarios  presentaron  un</w:t>
        <w:br/>
        <w:t>tercer escrito complementario con anexos y alrededor del  12  de  marzo  del</w:t>
        <w:br/>
        <w:t>mismo año enviaron escritos adicionales a la Comisión.  El  5  de  abril  de</w:t>
        <w:br/>
        <w:t>1999  la  Comisión  remitió  las  partes   pertinentes   de   los   escritos</w:t>
        <w:br/>
        <w:t>complementarios y solicitó al Estado su respuesta.  El  Estado  no  presentó</w:t>
        <w:br/>
        <w:t>respuesta a dicha solicitud.</w:t>
        <w:br/>
        <w:br/>
        <w:t>10.   El 21 de abril de 1999 la Comisión aprobó el Informe  sobre  el  fondo</w:t>
        <w:br/>
        <w:t>No. 66/99, el cual transmitió al Estado el 26  de  abril  de  1999.   En  la</w:t>
        <w:br/>
        <w:t>parte dispositiva de dicho Informe, la Comisión recomendó al Estado que:</w:t>
        <w:br/>
        <w:br/>
        <w:t xml:space="preserve">        2. Garantice al peticionario un remedio  efectivo  que  incluya  la</w:t>
        <w:br/>
        <w:t xml:space="preserve">           consideración de una pronta liberación o conmutación de la  pena</w:t>
        <w:br/>
        <w:t xml:space="preserve">           y compensación;</w:t>
        <w:br/>
        <w:br/>
        <w:br/>
        <w:t xml:space="preserve">        3. Adopte las medidas legislativas o de otra índole necesarias para</w:t>
        <w:br/>
        <w:t xml:space="preserve">           garantizar que la pena de muerte se imponga de  conformidad  con</w:t>
        <w:br/>
        <w:t xml:space="preserve">           los derechos y libertades garantizados  por  la  Convención;  [y</w:t>
        <w:br/>
        <w:t xml:space="preserve">           que]</w:t>
        <w:br/>
        <w:br/>
        <w:t xml:space="preserve">        4. Adopte las medidas  legislativas  o  de  otra  índole  que  sean</w:t>
        <w:br/>
        <w:t xml:space="preserve">           necesarias para  garantizar  que  el  derecho  dispuesto  en  el</w:t>
        <w:br/>
        <w:t xml:space="preserve">           artículo 7.5 de la Convención a un juicio  dentro  de  un  plazo</w:t>
        <w:br/>
        <w:t xml:space="preserve">           razonable o a ser liberado, tenga efecto en Trinidad  y  Tobago,</w:t>
        <w:br/>
        <w:t xml:space="preserve">           incluido  un  recurso  efectivo  ante  una  corte   o   tribunal</w:t>
        <w:br/>
        <w:t xml:space="preserve">           competente para obtener protección contra actos que  violen  ese</w:t>
        <w:br/>
        <w:t xml:space="preserve">           derecho.</w:t>
        <w:br/>
        <w:br/>
        <w:t>11.   El 18 de mayo de 1999 el Estado envío a la  Comisión  la  respuesta  a</w:t>
        <w:br/>
        <w:t>dicho Informe.</w:t>
        <w:br/>
        <w:br/>
        <w:t>12.   El 23 de mayo de 1999 la Comisión Interamericana, de  conformidad  con</w:t>
        <w:br/>
        <w:t>el artículo 51 de la Convención Americana, decidió presentar  el  caso  ante</w:t>
        <w:br/>
        <w:t>la Corte.</w:t>
        <w:br/>
        <w:br/>
        <w:br/>
        <w:t xml:space="preserve">                                     IV</w:t>
        <w:br/>
        <w:t xml:space="preserve">                          MEDIDAS PROVISIONALES[2]</w:t>
        <w:br/>
        <w:br/>
        <w:t>13.   El 10 de julio de 1998, con  anterioridad  a  la  presentación  de  la</w:t>
        <w:br/>
        <w:t>demanda, la Comisión solicitó  a  la  Corte  la  ampliación  de  las  medias</w:t>
        <w:br/>
        <w:t>provisionales en el asunto James y otros que el  Presidente  había  ordenado</w:t>
        <w:br/>
        <w:t>el 27 de mayo de 1998 y la Corte había ratificado el 14 de junio  del  mismo</w:t>
        <w:br/>
        <w:t>año, a efectos de incluir dentro de dichas medidas  provisionales  al  señor</w:t>
        <w:br/>
        <w:t>Hilaire. La Comisión consideró que  las  circunstancias  del  señor  Hilaire</w:t>
        <w:br/>
        <w:t>eran similares a la de los reclusos  para  los  cuales  regían  las  medidas</w:t>
        <w:br/>
        <w:t>provisionales en Trinidad y Tobago y  que  la  ejecución  del  señor  Haniff</w:t>
        <w:br/>
        <w:t>Hilaire era inminente y por tanto, se veía expuesto a un daño irreparable.</w:t>
        <w:br/>
        <w:br/>
        <w:t>14.   El 13 de julio de 1998 el Presidente de  la  Corte  (en  adelante  “el</w:t>
        <w:br/>
        <w:t>Presidente”) ordenó al Estado, inter alia,  que  tomara  todas  las  medidas</w:t>
        <w:br/>
        <w:t>necesarias para preservar la vida del señor Hilaire a fin de  que  la  Corte</w:t>
        <w:br/>
        <w:t>pudiera examinar la pertinencia del pedido  de  ampliación  de  las  medidas</w:t>
        <w:br/>
        <w:t>provisionales presentado por la Comisión. El 29 de agosto de 1998, el  pleno</w:t>
        <w:br/>
        <w:t>de la Corte ratificó la Resolución del Presidente de 13 de julio de 1998  en</w:t>
        <w:br/>
        <w:t>relación con el señor Hilaire, entre otros[3].</w:t>
        <w:br/>
        <w:br/>
        <w:t>15.   Desde esa fecha, el  Estado  ha  presentado  los  informes  relevantes</w:t>
        <w:br/>
        <w:t>acerca de la situación del señor  Hilaire  y  la  Comisión  ha  enviado  sus</w:t>
        <w:br/>
        <w:t>observaciones a dichos informes del Estado.</w:t>
        <w:br/>
        <w:br/>
        <w:t xml:space="preserve">                                      V</w:t>
        <w:br/>
        <w:t xml:space="preserve">                         PROCEDIMIENTO ANTE LA CORTE</w:t>
        <w:br/>
        <w:br/>
        <w:t>16.   El 25 de mayo de 1999 la Comisión Interamericana interpuso su  demanda</w:t>
        <w:br/>
        <w:t>en los siguientes términos:</w:t>
        <w:br/>
        <w:br/>
        <w:br/>
        <w:t xml:space="preserve">      [L]a   Comisión   Interamericana   de   Derechos   Humanos    solicita</w:t>
        <w:br/>
        <w:t xml:space="preserve">      respetuosamente  a  la  Honorable  Corte  Interamericana  de  Derechos</w:t>
        <w:br/>
        <w:t xml:space="preserve">      Humanos que declare que el Estado ha violado la Convención, establezca</w:t>
        <w:br/>
        <w:t xml:space="preserve">      reparaciones por dichas violaciones y determine las  costas  y  gastos</w:t>
        <w:br/>
        <w:t xml:space="preserve">      que deberán otorgarse a los representantes de las víctimas.</w:t>
        <w:br/>
        <w:br/>
        <w:br/>
        <w:t xml:space="preserve">              2. Declaraciones de las violaciones</w:t>
        <w:br/>
        <w:br/>
        <w:br/>
        <w:t xml:space="preserve">           La Comisión Interamericana de Derechos  Humanos  respetuosamente</w:t>
        <w:br/>
        <w:t xml:space="preserve">      solicita que la Honorable Corte Interamericana de Derechos Humanos:</w:t>
        <w:br/>
        <w:br/>
        <w:br/>
        <w:t xml:space="preserve">      Dictamine que la República de Trinidad y Tobago es responsable  de  la</w:t>
        <w:br/>
        <w:t xml:space="preserve">      violación de los derechos del [señor] Hilaire:</w:t>
        <w:br/>
        <w:br/>
        <w:br/>
        <w:t xml:space="preserve">        3. A no ser privado arbitrariamente de su vida,  en  violación  del</w:t>
        <w:br/>
        <w:t xml:space="preserve">           artículo 4.1 de la Convención Americana.</w:t>
        <w:br/>
        <w:br/>
        <w:br/>
        <w:t xml:space="preserve">        4. A que se respete  su  integridad  física,  mental  y  moral,  en</w:t>
        <w:br/>
        <w:t xml:space="preserve">           violación del artículo 5.1 de la Convención Americana.</w:t>
        <w:br/>
        <w:br/>
        <w:t xml:space="preserve">        5. A no ser sometido  a  un  castigo  o  trato  cruel,  inhumano  o</w:t>
        <w:br/>
        <w:t xml:space="preserve">           degradante, en violación  del  artículo  5.2  de  la  Convención</w:t>
        <w:br/>
        <w:t xml:space="preserve">           Americana.</w:t>
        <w:br/>
        <w:br/>
        <w:br/>
        <w:t xml:space="preserve">      En concordancia con la violación del artículo  1.1  de  la  Convención</w:t>
        <w:br/>
        <w:t xml:space="preserve">      Americana;</w:t>
        <w:br/>
        <w:br/>
        <w:br/>
        <w:t xml:space="preserve">      Dictamine que el Estado de Trinidad y  Tobago  es  responsable  de  la</w:t>
        <w:br/>
        <w:t xml:space="preserve">      violación del artículo 5.6, conjuntamente con el artículo  1.1  de  la</w:t>
        <w:br/>
        <w:t xml:space="preserve">      Convención Americana, al no tener como objetivo  esencial  el  castigo</w:t>
        <w:br/>
        <w:t xml:space="preserve">      impuesto al [señor] Hilaire su reforma y readaptación social;</w:t>
        <w:br/>
        <w:br/>
        <w:br/>
        <w:t xml:space="preserve">      Dictamine que el Estado de Trinidad y  Tobago  es  responsable  de  la</w:t>
        <w:br/>
        <w:t xml:space="preserve">      violación del derecho del [señor] Haniff Hilaire a ser juzgado  dentro</w:t>
        <w:br/>
        <w:t xml:space="preserve">      de un plazo razonable o ser liberado, en  contravención  del  artículo</w:t>
        <w:br/>
        <w:t xml:space="preserve">      7.5, conjuntamente con el artículo 1.1 de la Convención Americana;</w:t>
        <w:br/>
        <w:br/>
        <w:br/>
        <w:t xml:space="preserve">      Dictamine que, al no adoptar las medidas legislativas y de otra índole</w:t>
        <w:br/>
        <w:t xml:space="preserve">      necesarias para hacer efectivo el derecho a ser juzgado dentro  de  un</w:t>
        <w:br/>
        <w:t xml:space="preserve">      plazo razonable o a ser liberado, de acuerdo con el artículo 7.5 de la</w:t>
        <w:br/>
        <w:t xml:space="preserve">      Convención, el Estado de Trinidad y Tobago ha  violado  la  obligación</w:t>
        <w:br/>
        <w:t xml:space="preserve">      que le impone el artículo  2  de  dar  vigencia  legal  interna  a  la</w:t>
        <w:br/>
        <w:t xml:space="preserve">      Convención, así como el derecho del [señor] Hilaire  a  la  protección</w:t>
        <w:br/>
        <w:t xml:space="preserve">      judicial, consagrado en el artículo 25, conjuntamente con el  artículo</w:t>
        <w:br/>
        <w:t xml:space="preserve">      1.1 de la Convención.</w:t>
        <w:br/>
        <w:br/>
        <w:br/>
        <w:t xml:space="preserve">              6. Reparaciones</w:t>
        <w:br/>
        <w:br/>
        <w:br/>
        <w:t xml:space="preserve">           La Comisión Interamericana de Derechos  Humanos  respetuosamente</w:t>
        <w:br/>
        <w:t xml:space="preserve">      solicita que la Honorable Corte Interamericana de Derechos Humanos:</w:t>
        <w:br/>
        <w:br/>
        <w:br/>
        <w:t xml:space="preserve">      Instruya  al  Estado  de  Trinidad  y  Tobago  para  que  conceda   al</w:t>
        <w:br/>
        <w:t xml:space="preserve">      peticionario una reparación efectiva que incluya la pronta  liberación</w:t>
        <w:br/>
        <w:t xml:space="preserve">      o la conmutación de la sentencia y una compensación;</w:t>
        <w:br/>
        <w:br/>
        <w:br/>
        <w:t xml:space="preserve">      Instruya al Estado de Trinidad y Tobago para que  adopte  las  medidas</w:t>
        <w:br/>
        <w:t xml:space="preserve">      legislativas y de otra índole necesarias para garantizar que  la  pena</w:t>
        <w:br/>
        <w:t xml:space="preserve">      de muerte se imponga en cumplimiento  de  los  derechos  y  libertades</w:t>
        <w:br/>
        <w:t xml:space="preserve">      garantizados por la Convención;</w:t>
        <w:br/>
        <w:br/>
        <w:br/>
        <w:t xml:space="preserve">      Instruya al Estado de Trinidad y Tobago para que  adopte  las  medidas</w:t>
        <w:br/>
        <w:t xml:space="preserve">      legislativas y de otra índole necesarias para garantizar  la  vigencia</w:t>
        <w:br/>
        <w:t xml:space="preserve">      en Trinidad y Tobago del derecho consagrado en el artículo 7.5  de  la</w:t>
        <w:br/>
        <w:t xml:space="preserve">      Convención a ser juzgado dentro de un plazo razonable o ser  liberado,</w:t>
        <w:br/>
        <w:t xml:space="preserve">      incluyendo un recurso efectivo ante una corte  o  tribunal  competente</w:t>
        <w:br/>
        <w:t xml:space="preserve">      para obtener protección contra actos violatorios de ese derecho.</w:t>
        <w:br/>
        <w:br/>
        <w:br/>
        <w:t xml:space="preserve">              7. Compensación</w:t>
        <w:br/>
        <w:br/>
        <w:br/>
        <w:t xml:space="preserve">           La Comisión ha solicitado que la Honorable Corte  exija  que  el</w:t>
        <w:br/>
        <w:t xml:space="preserve">      Estado  de  Trinidad  y  Tobago  repare  las  consecuencias   de   las</w:t>
        <w:br/>
        <w:t xml:space="preserve">      violaciones que son objeto de esta demanda.</w:t>
        <w:br/>
        <w:br/>
        <w:br/>
        <w:t xml:space="preserve">      El artículo 63.1 de la Convención Americana dispone:</w:t>
        <w:br/>
        <w:br/>
        <w:br/>
        <w:t xml:space="preserve">           Cuando decida que  hubo  violación  de  un  derecho  o  libertad</w:t>
        <w:br/>
        <w:t xml:space="preserve">           protegidos  en  esta  Convención,  la  Corte  dispondrá  que  se</w:t>
        <w:br/>
        <w:t xml:space="preserve">           garantice al lesionado en el  goce  de  su  derecho  o  libertad</w:t>
        <w:br/>
        <w:t xml:space="preserve">           conculcados.  Dispondrá asimismo, si ello fuera procedente,  que</w:t>
        <w:br/>
        <w:t xml:space="preserve">           se reparen las consecuencias de la medida  o  situación  que  ha</w:t>
        <w:br/>
        <w:t xml:space="preserve">           configurado la vulneración de esos derechos y  el  pago  de  una</w:t>
        <w:br/>
        <w:t xml:space="preserve">           justa indemnización a la parte lesionada.</w:t>
        <w:br/>
        <w:br/>
        <w:br/>
        <w:t xml:space="preserve">           Es[a] Honorable Corte ha declarado que el artículo  63.1  de  la</w:t>
        <w:br/>
        <w:t xml:space="preserve">      Convención codifica una norma del derecho consuetudinario y constituye</w:t>
        <w:br/>
        <w:t xml:space="preserve">      uno  de  los  principios  fundamentales  de  éste.   (Caso  Aloboetoe,</w:t>
        <w:br/>
        <w:t xml:space="preserve">      Sentencia del 10 de Septiembre de 1993, párr. 43).  La  obligación  de</w:t>
        <w:br/>
        <w:t xml:space="preserve">      otorgar una reparación por una violación puede dar lugar a  una  serie</w:t>
        <w:br/>
        <w:t xml:space="preserve">      de medidas para reparar las consecuencias.   El  Estado  debe,  en  la</w:t>
        <w:br/>
        <w:t xml:space="preserve">      medida de lo posible, restablecer el statu quo ante, que  en  el  caso</w:t>
        <w:br/>
        <w:t xml:space="preserve">      presente puede lograrse mediante la conmutación  de  la  sentencia  de</w:t>
        <w:br/>
        <w:t xml:space="preserve">      muerte del peticionario y ajustar la legislación interna de Trinidad y</w:t>
        <w:br/>
        <w:t xml:space="preserve">      Tobago en consecuencia.  Si ya no es posible restablecer el statu  quo</w:t>
        <w:br/>
        <w:t xml:space="preserve">      ante, las consecuencias deben ser  reparadas  mediante  otros  medios.</w:t>
        <w:br/>
        <w:t xml:space="preserve">      Por lo tanto, la Comisión procura obtener una  decisión  de  la  Corte</w:t>
        <w:br/>
        <w:t xml:space="preserve">      sobre una compensación a la víctima a raíz  de  la  violación  por  el</w:t>
        <w:br/>
        <w:t xml:space="preserve">      Estado de los derechos que le otorga la Convención.</w:t>
        <w:br/>
        <w:br/>
        <w:br/>
        <w:t xml:space="preserve">              8. Costas y gastos</w:t>
        <w:br/>
        <w:br/>
        <w:br/>
        <w:t xml:space="preserve">           La Comisión procura una determinación de la  Corte  en  relación</w:t>
        <w:br/>
        <w:t xml:space="preserve">      con las costas y gastos  incurridos  por  los  representantes  de  las</w:t>
        <w:br/>
        <w:t xml:space="preserve">      víctimas durante la tramitación del caso ante los tribunales  internos</w:t>
        <w:br/>
        <w:t xml:space="preserve">      y ante los órganos del sistema interamericano.</w:t>
        <w:br/>
        <w:br/>
        <w:br/>
        <w:t>17.   La Comisión designó como delegados a los señores  Jean  Joseph  Exumé,</w:t>
        <w:br/>
        <w:t>Robert K. Goldman y Nicholas Blake, y como asesores jurídicos a los  señores</w:t>
        <w:br/>
        <w:t>David J. Padilla y Brian D. Tittemore.  Asimismo, la  Comisión  acreditó  en</w:t>
        <w:br/>
        <w:t>calidad de asistentes a los señores Peter  Carter  y  Owen  Davies  y  a  la</w:t>
        <w:br/>
        <w:t>señora Andrea Dahlberg.</w:t>
        <w:br/>
        <w:br/>
        <w:t>18.   El 11 de junio de 1999 la Secretaría de  la  Corte  (en  adelante  “la</w:t>
        <w:br/>
        <w:t>Secretaría”), previo examen  preliminar  de  la  demanda  realizado  por  el</w:t>
        <w:br/>
        <w:t>Presidente de la Corte, la notificó, junto con sus anexos,  al  Estado.   El</w:t>
        <w:br/>
        <w:t>mismo día la Secretaría, siguiendo instrucciones  del  Presidente,  comunicó</w:t>
        <w:br/>
        <w:t>al Estado el derecho a designar juez ad hoc, en virtud de los  artículos  18</w:t>
        <w:br/>
        <w:t>del  Reglamento  y  10.3  del  Estatuto  de  la  Corte   (en  adelante   “el</w:t>
        <w:br/>
        <w:t>Estatuto”).</w:t>
        <w:br/>
        <w:br/>
        <w:t>19.   El 16 de agosto de 1999 Trinidad  y  Tobago  interpuso  una  excepción</w:t>
        <w:br/>
        <w:t>preliminar a la competencia contenciosa de la Corte en este caso y  requirió</w:t>
        <w:br/>
        <w:t>una prórroga de 2 meses para la  presentación  de  sus  argumentos  legales.</w:t>
        <w:br/>
        <w:t>Asimismo, solicitó a la Corte que convocara a una audiencia  especial  sobre</w:t>
        <w:br/>
        <w:t>la excepción preliminar de acuerdo con el artículo  36.6  del  Reglamento  y</w:t>
        <w:br/>
        <w:t>que suspendiera el  trámite  de  fondo  hasta  que  la  Corte  emitiera  una</w:t>
        <w:br/>
        <w:t>decisión en relación con la excepción preliminar.</w:t>
        <w:br/>
        <w:br/>
        <w:t>20.   El 19 de agosto de 1999 la Secretaría acusó recibo de la  comunicación</w:t>
        <w:br/>
        <w:t>del Estado de 16 de agosto y le informó a  éste  y  a  la  Comisión  que  el</w:t>
        <w:br/>
        <w:t>Presidente de la Corte había otorgado una prórroga hasta el  15  de  octubre</w:t>
        <w:br/>
        <w:t>de 1999 para que Trinidad y Tobago  presentara  sus  argumentos  legales  en</w:t>
        <w:br/>
        <w:t>relación con la excepción preliminar interpuesta. A la vez, les informó  que</w:t>
        <w:br/>
        <w:t>la solicitud del Estado de audiencia especial y suspensión  del  trámite  de</w:t>
        <w:br/>
        <w:t>fondo sería considerado en su XLV Período Ordinario de Sesiones.</w:t>
        <w:br/>
        <w:br/>
        <w:t>21.   El 1 de octubre  de  1999  la  Corte  emitió  una  Resolución  en  los</w:t>
        <w:br/>
        <w:t>siguientes términos:</w:t>
        <w:br/>
        <w:br/>
        <w:br/>
        <w:t xml:space="preserve">      1.    Otorgar a la República de Trinidad y Tobago una prórroga para la</w:t>
        <w:br/>
        <w:t xml:space="preserve">      presentación de su contestación a la demanda en el caso Hilaire  hasta</w:t>
        <w:br/>
        <w:t xml:space="preserve">      el  15  de  diciembre  de  1999,  en  vista  de   las   circunstancias</w:t>
        <w:br/>
        <w:t xml:space="preserve">      particulares del […] caso.</w:t>
        <w:br/>
        <w:br/>
        <w:br/>
        <w:t xml:space="preserve">      2.    Rechazar la solicitud de la República de Trinidad  y  Tobago  de</w:t>
        <w:br/>
        <w:t xml:space="preserve">      posponer el procedimiento de fondo en el caso  Hilaire  hasta  que  se</w:t>
        <w:br/>
        <w:t xml:space="preserve">      decida la excepción preliminar.</w:t>
        <w:br/>
        <w:br/>
        <w:br/>
        <w:t xml:space="preserve">      3.    Continuar la consideración del caso Hilaire en su etapa procesal</w:t>
        <w:br/>
        <w:t xml:space="preserve">      vigente.</w:t>
        <w:br/>
        <w:br/>
        <w:br/>
        <w:t xml:space="preserve">      4.    Comisionar al Presidente de la Corte Interamericana de  Derechos</w:t>
        <w:br/>
        <w:t xml:space="preserve">      Humanos para que convoque, en su debido momento,  a  la  República  de</w:t>
        <w:br/>
        <w:t xml:space="preserve">      Trinidad y Tobago y a la Comisión Interamericana de Derechos Humanos a</w:t>
        <w:br/>
        <w:t xml:space="preserve">      una audiencia pública sobre la excepción preliminar en el caso Hilaire</w:t>
        <w:br/>
        <w:t xml:space="preserve">      a ser celebrada en la sede de  la  Corte  Interamericana  de  Derechos</w:t>
        <w:br/>
        <w:t xml:space="preserve">      Humanos.</w:t>
        <w:br/>
        <w:br/>
        <w:br/>
        <w:br/>
        <w:br/>
        <w:t>22.   El 15 de octubre de 1999 el Estado presentó sus argumentos de  derecho</w:t>
        <w:br/>
        <w:t>en relación con la excepción preliminar respecto  a  la  competencia  de  la</w:t>
        <w:br/>
        <w:t>Corte en el presente caso.</w:t>
        <w:br/>
        <w:br/>
        <w:t>23.   El 20 de octubre de 1999 la Secretaría de la  Corte  transmitió  a  la</w:t>
        <w:br/>
        <w:t>Comisión Interamericana  los  argumentos  del  Estado  en  relación  con  la</w:t>
        <w:br/>
        <w:t>excepción preliminar interpuesta.  La Comisión respondió el 19 de  noviembre</w:t>
        <w:br/>
        <w:t>de 1999.</w:t>
        <w:br/>
        <w:br/>
        <w:t>24.   El 16 de junio de 2000 el Presidente de la Corte resolvió  convocar  a</w:t>
        <w:br/>
        <w:t>las partes a una audiencia pública que se celebraría en la sede de la  Corte</w:t>
        <w:br/>
        <w:t>el 10 de agosto de 2000, para  escuchar  los  alegatos  sobre  la  excepción</w:t>
        <w:br/>
        <w:t>preliminar.</w:t>
        <w:br/>
        <w:br/>
        <w:t>25.   La audiencia pública tuvo lugar en la sede de la  Corte  en  la  fecha</w:t>
        <w:br/>
        <w:t>prevista.</w:t>
        <w:br/>
        <w:br/>
        <w:br/>
        <w:t>Comparecieron:</w:t>
        <w:br/>
        <w:br/>
        <w:t>por la República de Trinidad y Tobago</w:t>
        <w:br/>
        <w:br/>
        <w:t xml:space="preserve">      Russell Martineau, S.C.;</w:t>
        <w:br/>
        <w:t xml:space="preserve">      Howard Stevens, abogado; y</w:t>
        <w:br/>
        <w:t xml:space="preserve">      Peter Pursglove, abogado  y  consejero  legal  en  el  Ministerio  del</w:t>
        <w:br/>
        <w:t xml:space="preserve">      Procurador General y de Asuntos Legales.</w:t>
        <w:br/>
        <w:br/>
        <w:t>por la Comisión Interamericana de Derechos Humanos</w:t>
        <w:br/>
        <w:br/>
        <w:t xml:space="preserve">      Robert K. Goldman, delegado;</w:t>
        <w:br/>
        <w:t xml:space="preserve">      Nicholas Blake, Q. C., delegado; y</w:t>
        <w:br/>
        <w:t xml:space="preserve">      Brian Tittemore, asesor legal.</w:t>
        <w:br/>
        <w:br/>
        <w:t>26.   El 7 de mayo de 2001 la Secretaría recibió de la  Comisión  copias  de</w:t>
        <w:br/>
        <w:t>dos decisiones relativas a casos sobre la imposición de la “pena  de  muerte</w:t>
        <w:br/>
        <w:t>obligatoria”, emitidas por el Comité de Derechos Humanos de Naciones  Unidas</w:t>
        <w:br/>
        <w:t>y la Corte de Apelaciones del  Caribe  Oriental.   Estas  decisiones  fueron</w:t>
        <w:br/>
        <w:t>transmitidas al Estado el 15 de mayo de 2001.  Asimismo, el 13 de  diciembre</w:t>
        <w:br/>
        <w:t>de 1999 y 10 de agosto de 2000 los señores  Vaughan  Lowe  y  Carlos  Vargas</w:t>
        <w:br/>
        <w:t>Pizarro, respectivamente, presentaron escritos en calidad de amici curiae.</w:t>
        <w:br/>
        <w:br/>
        <w:br/>
        <w:t xml:space="preserve">                                     VI</w:t>
        <w:br/>
        <w:t xml:space="preserve">                                 COMPETENCIA</w:t>
        <w:br/>
        <w:br/>
        <w:br/>
        <w:t>27.   Trinidad y Tobago  depositó  su  instrumento  de  ratificación  a  la</w:t>
        <w:br/>
        <w:t>Convención Americana el 28 de mayo  de  1991.  Ese  mismo  día,  el  Estado</w:t>
        <w:br/>
        <w:t>reconoció la competencia contenciosa de la Corte.</w:t>
        <w:br/>
        <w:br/>
        <w:br/>
        <w:t>28.   El 26 de mayo de 1998 Trinidad y Tobago denunció la Convención  y  de</w:t>
        <w:br/>
        <w:t>acuerdo con el artículo 78 de la misma, esta denuncia tuvo  efecto  un  año</w:t>
        <w:br/>
        <w:t>más tarde, el 26 de mayo de 1999.  Los hechos  a  los  que  se  refiere  el</w:t>
        <w:br/>
        <w:t>presente caso ocurrieron con anterioridad a  la  entrada  en  vigor  de  la</w:t>
        <w:br/>
        <w:t>denuncia hecha por el Estado.  Por lo tanto, esta Corte es  competente,  en</w:t>
        <w:br/>
        <w:t>los términos de los artículos 78.2 y 62.3 de la Convención, para conocer el</w:t>
        <w:br/>
        <w:t>presente caso y dictar sentencia sobre la excepción  preliminar  presentada</w:t>
        <w:br/>
        <w:t>por el Estado.</w:t>
        <w:br/>
        <w:br/>
        <w:br/>
        <w:t xml:space="preserve">                                     VII</w:t>
        <w:br/>
        <w:br/>
        <w:t xml:space="preserve">                            EXCEPCIÓN PRELIMINAR:</w:t>
        <w:br/>
        <w:br/>
        <w:br/>
        <w:t xml:space="preserve">          INADMISIBILIDAD DE LA DEMANDA E INCOMPETENCIA DE LA CORTE</w:t>
        <w:br/>
        <w:br/>
        <w:br/>
        <w:br/>
        <w:t>29.   En su excepción preliminar, Trinidad y Tobago  sostuvo  que  la  Corte</w:t>
        <w:br/>
        <w:t>Interamericana no es competente para conocer del  caso  en  virtud  de  tres</w:t>
        <w:br/>
        <w:t>argumentos principales:</w:t>
        <w:br/>
        <w:br/>
        <w:t xml:space="preserve">      I.    La demanda, en cuanto alega un incumplimiento del  artículo  4.1</w:t>
        <w:br/>
        <w:t xml:space="preserve">      de la Convención Americana sobre Derechos Humanos, es inadmisible  por</w:t>
        <w:br/>
        <w:t xml:space="preserve">      aplicación del artículo 46.1.b de la misma.</w:t>
        <w:br/>
        <w:br/>
        <w:br/>
        <w:t xml:space="preserve">      II.   LA SEGUNDA RESERVA DEL ESTADO EXCLUYE  [LA]  COMPETENCIA  DE  LA</w:t>
        <w:br/>
        <w:t xml:space="preserve">      CORTE EN ESTE CASO.</w:t>
        <w:br/>
        <w:br/>
        <w:br/>
        <w:t xml:space="preserve">      III.  Alternativamente, el Estado nunca ha reconocido  la  competencia</w:t>
        <w:br/>
        <w:t xml:space="preserve">      de la Corte.</w:t>
        <w:br/>
        <w:br/>
        <w:br/>
        <w:t xml:space="preserve">    30. La Corte pasa a considerar los argumentos presentados por el Estado</w:t>
        <w:br/>
        <w:t xml:space="preserve">        en el caso sub judice.</w:t>
        <w:br/>
        <w:br/>
        <w:br/>
        <w:br/>
        <w:br/>
        <w:t xml:space="preserve">                     A.    INADMISIBILIDAD DE LA DEMANDA</w:t>
        <w:br/>
        <w:br/>
        <w:br/>
        <w:t>Alegatos escritos del Estado</w:t>
        <w:br/>
        <w:br/>
        <w:t>31.   El Estado indicó  que  el  artículo  46  de  la  Convención  Americana</w:t>
        <w:br/>
        <w:t>establece:</w:t>
        <w:br/>
        <w:br/>
        <w:t xml:space="preserve">   2. Para que  una  petición  o  comunicación  presentada  conforme  a  los</w:t>
        <w:br/>
        <w:t xml:space="preserve">      artículos 44 ó 45 sea admitida por la Comisión, se requerirá:</w:t>
        <w:br/>
        <w:br/>
        <w:br/>
        <w:t xml:space="preserve">      […]</w:t>
        <w:br/>
        <w:br/>
        <w:br/>
        <w:t xml:space="preserve">      b.    que sea presentada dentro del plazo de seis meses, a  partir  de</w:t>
        <w:br/>
        <w:t xml:space="preserve">      la fecha en que el  presunto  lesionado  en  sus  derechos  haya  sido</w:t>
        <w:br/>
        <w:t xml:space="preserve">      notificado de la decisión definitiva[.]</w:t>
        <w:br/>
        <w:br/>
        <w:br/>
        <w:br/>
        <w:br/>
        <w:t>32.   Según Trinidad y Tobago, uno de los  alegatos  en  la  demanda  de  la</w:t>
        <w:br/>
        <w:t>Comisión es que la imposición de la pena  de  muerte  en  el  presente  caso</w:t>
        <w:br/>
        <w:t>constituye una violación del artículo 4.1 de la Convención.  Este  argumento</w:t>
        <w:br/>
        <w:t>no fue invocado en la denuncia original ni  en  la  denuncia  complementaria</w:t>
        <w:br/>
        <w:t>presentadas por el peticionario ante  la  Comisión,  sino  en  una  “segunda</w:t>
        <w:br/>
        <w:t>denuncia complementaria” interpuesta ante ésta el 28 de septiembre de  1998.</w:t>
        <w:br/>
        <w:br/>
        <w:br/>
        <w:t>33.   Dicha “segunda denuncia complementaria” fue  presentada  pasados  diez</w:t>
        <w:br/>
        <w:t>meses desde la decisión final en el  fuero  interno;  es  decir,  fuera  del</w:t>
        <w:br/>
        <w:t>período de los seis meses consagrado en el artículo 46.1.b  y  posterior  al</w:t>
        <w:br/>
        <w:t>Informe de la Comisión sobre la admisibilidad de la denuncia y  la  denuncia</w:t>
        <w:br/>
        <w:t>complementaria, el cual tiene fecha de 25 de septiembre  de  1998.   Además,</w:t>
        <w:br/>
        <w:t>contiene un argumento  que  el  peticionario  pudo  haber  planteado  en  su</w:t>
        <w:br/>
        <w:t>denuncia y en  su  denuncia  complementaria  y  por  lo  tanto,  el  alegato</w:t>
        <w:br/>
        <w:t>concerniente al artículo 4.1 de la Convención es inadmisible de  conformidad</w:t>
        <w:br/>
        <w:t>con el artículo 46.1.b de  la  misma.   Por  las  razones  anteriores,  debe</w:t>
        <w:br/>
        <w:t>considerársele como  una  nueva  denuncia  requiriendo  de  esta  forma  una</w:t>
        <w:br/>
        <w:t>decisión separada sobre admisibilidad.  En este sentido, el  Estado  sostuvo</w:t>
        <w:br/>
        <w:t>que el día aceptado por la Comisión como el  día  en  que  se  desestimó  la</w:t>
        <w:br/>
        <w:t>apelación del señor Hilaire ante  el  Privy  Council  y  que  constituyó  el</w:t>
        <w:br/>
        <w:t>último recurso, fue el  6  de  noviembre  de  1997.   Por  consiguiente,  el</w:t>
        <w:br/>
        <w:t>período límite de seis meses para presentar la  denuncia  ante  la  Comisión</w:t>
        <w:br/>
        <w:t>expiró el 5 de mayo de 1998.</w:t>
        <w:br/>
        <w:br/>
        <w:t>Alegatos escritos de la Comisión</w:t>
        <w:br/>
        <w:br/>
        <w:t>34.   La Comisión Interamericana  expresó  que  debía  impedirse  al  Estado</w:t>
        <w:br/>
        <w:t>disputar temas de admisibilidad en relación con el presente caso, en  virtud</w:t>
        <w:br/>
        <w:t>de que en el proceso ante la  Comisión  Interamericana,  Trinidad  y  Tobago</w:t>
        <w:br/>
        <w:t>“renunció a su derecho a objetar la admisibilidad de la denuncia por lo  que</w:t>
        <w:br/>
        <w:t>respecta a la regla del agotamiento de  los  recursos  internos  y  presentó</w:t>
        <w:br/>
        <w:t>observaciones respecto al fondo del caso”.   Alegó  que  las  circunstancias</w:t>
        <w:br/>
        <w:t>mediante las cuales la Comisión determinó la violación del artículo 4.1  son</w:t>
        <w:br/>
        <w:t>conformes con la Convención, el Estatuto y el Reglamento de la Comisión.</w:t>
        <w:br/>
        <w:br/>
        <w:t>35.   Cuando los peticionarios presentaron la denuncia ante la  Comisión  no</w:t>
        <w:br/>
        <w:t>alegaron una violación específica del artículo  4.1.   No  obstante,  en  la</w:t>
        <w:br/>
        <w:t>“segunda  denuncia  complementaria”  de  28  de  septiembre  de  1998,   los</w:t>
        <w:br/>
        <w:t>peticionarios invocaron la violación del artículo 4.2 de la  Convención  con</w:t>
        <w:br/>
        <w:t>respecto al señor Hilaire.  Fue  la  Comisión,  a  través  del  Informe  del</w:t>
        <w:br/>
        <w:t>artículo 50, quien determinó que el Estado había violado el artículo 4.1  de</w:t>
        <w:br/>
        <w:t>la Convención, basada en la denuncia original de  los  peticionarios,  razón</w:t>
        <w:br/>
        <w:t>por la cual dicha violación debe ser conocida por la Corte.</w:t>
        <w:br/>
        <w:br/>
        <w:t>36.   La Comisión consideró que el período de seis meses  estipulado  en  el</w:t>
        <w:br/>
        <w:t>artículo 46.1.b de  la  Convención  no  es  aplicable  a  la  violación  del</w:t>
        <w:br/>
        <w:t>artículo 4.1 en razón de que la legislación del Estado no provee  el  debido</w:t>
        <w:br/>
        <w:t>proceso legal para la protección de los derechos violados.  Lo anterior,  de</w:t>
        <w:br/>
        <w:t>conformidad con el artículo 46.2.a de la Convención, el cual  establece  que</w:t>
        <w:br/>
        <w:t>las disposiciones de los incisos 1.a y 1.b del artículo  en  mención  no  se</w:t>
        <w:br/>
        <w:t>aplicarán cuando “no exista en la legislación interna del Estado de  que  se</w:t>
        <w:br/>
        <w:t>trata el debido proceso legal para la protección del derecho o los  derechos</w:t>
        <w:br/>
        <w:t>que se alega han sido violados”.</w:t>
        <w:br/>
        <w:br/>
        <w:t>37.   En el presente caso, la Comisión consideró violado el artículo 4.1  de</w:t>
        <w:br/>
        <w:t>la Convención con base en el hecho de que el señor Hilaire fue  condenado  a</w:t>
        <w:br/>
        <w:t>la “pena de muerte obligatoria”.   El  artículo  6  de  la  Constitución  de</w:t>
        <w:br/>
        <w:t>Trinidad y Tobago[4] impide a los individuos la  impugnación  de  las  leyes</w:t>
        <w:br/>
        <w:t>que estaban vigentes como parte del derecho interno  de  Trinidad  y  Tobago</w:t>
        <w:br/>
        <w:t>antes de la entrada en  vigor  de  la  Constitución.   La  “pena  de  muerte</w:t>
        <w:br/>
        <w:t>obligatoria” por el delito de homicidio era parte  del  derecho  interno  de</w:t>
        <w:br/>
        <w:t>Trinidad y Tobago antes de la entrada en vigor de la Constitución y, por  lo</w:t>
        <w:br/>
        <w:t>tanto, resulta inimpugnable ante los tribunales.</w:t>
        <w:br/>
        <w:br/>
        <w:t>Alegatos orales del Estado</w:t>
        <w:br/>
        <w:br/>
        <w:t>38.   En la audiencia pública celebrada ante la  Corte,  Trinidad  y  Tobago</w:t>
        <w:br/>
        <w:t>refutó los argumentos expuestos por la Comisión en su  escrito.   El  Estado</w:t>
        <w:br/>
        <w:t>indicó que las doctrinas sobre renuncia y  estoppel  no  se  aplican  en  el</w:t>
        <w:br/>
        <w:t>presente  caso  debido  a  que  la  “segunda  denuncia  complementaria”  fue</w:t>
        <w:br/>
        <w:t>sometida fuera del  plazo  de  los  seis  meses.   Asimismo,  alegó  que  la</w:t>
        <w:br/>
        <w:t>Comisión decidió la admisibilidad de la petición  con  base  en  la  primera</w:t>
        <w:br/>
        <w:t>denuncia, y posteriormente consideró que había una  violación  del  artículo</w:t>
        <w:br/>
        <w:t>4.1 con base en la “segunda denuncia suplementaria”. Finalmente, indicó  que</w:t>
        <w:br/>
        <w:t>en Trinidad y Tobago existe el debido proceso legal y  que  la  Constitución</w:t>
        <w:br/>
        <w:t>del Estado consagra el derecho a no ser privado arbitrariamente de la  vida.</w:t>
        <w:br/>
        <w:br/>
        <w:br/>
        <w:t>Alegatos orales de la Comisión</w:t>
        <w:br/>
        <w:br/>
        <w:t>39.   En la referida audiencia, la Comisión manifestó que la regla  de  seis</w:t>
        <w:br/>
        <w:t>meses respecto del agotamiento de los recursos internos, establecida  en  el</w:t>
        <w:br/>
        <w:t>artículo 46.1.b puede ser renunciada expresa o tácitamente.  En el  presente</w:t>
        <w:br/>
        <w:t>caso, el Estado no refutó la admisibilidad de la  petición  y  esa  conducta</w:t>
        <w:br/>
        <w:t>debe ser considerada como una renuncia irrevocable;  en  consecuencia,  debe</w:t>
        <w:br/>
        <w:t>ser impedido de disputarla ante la Corte.  De la misma forma, indicó que  el</w:t>
        <w:br/>
        <w:t>peticionario sólo está obligado a presentar en su denuncia los hechos  o  la</w:t>
        <w:br/>
        <w:t>situación que  fundamenten una posible violación de sus derechos de  acuerdo</w:t>
        <w:br/>
        <w:t>con la Convención y no está obligado a  nombrar  los  artículos  específicos</w:t>
        <w:br/>
        <w:t>que considere violados.  Finalmente, la Comisión alegó  que  la  legislación</w:t>
        <w:br/>
        <w:t>interna de Trinidad y Tobago no garantiza el debido proceso  legal  para  la</w:t>
        <w:br/>
        <w:t>protección de los derechos alegados y que la “pena  de  muerte  obligatoria”</w:t>
        <w:br/>
        <w:t>para el delito de homicidio no puede ser  cuestionada  ante  los  tribunales</w:t>
        <w:br/>
        <w:t>según la Constitución del Estado.</w:t>
        <w:br/>
        <w:br/>
        <w:t>Consideraciones de la Corte</w:t>
        <w:br/>
        <w:br/>
        <w:t>40.   La Convención Americana establece en su artículo 46.1  los  requisitos</w:t>
        <w:br/>
        <w:t>necesarios  para  que  una   petición   sea   admitida   por   la   Comisión</w:t>
        <w:br/>
        <w:t>Interamericana.  Asimismo, el artículo 32 del  Reglamento  de  la  Comisión,</w:t>
        <w:br/>
        <w:t>vigente al momento de la presentación inicial  de  la  denuncia  ante  ésta,</w:t>
        <w:br/>
        <w:t>dispone los elementos que  debe  contener  la  petición  al  momento  de  su</w:t>
        <w:br/>
        <w:t>presentación.  Ni el artículo 46.1 ni el artículo 32 exigen  que  el  o  los</w:t>
        <w:br/>
        <w:t>peticionarios  especifiquen  los  artículos  que  consideran  les  han  sido</w:t>
        <w:br/>
        <w:t>violados.  Más aún, el  artículo  32.c  del  Reglamento  de  la  Comisión[5]</w:t>
        <w:br/>
        <w:t>establece la posibilidad de que “no se haga  una  referencia  específica  al</w:t>
        <w:br/>
        <w:t>artículo presuntamente violado” y, el inciso (b) del artículo 46  mencionado</w:t>
        <w:br/>
        <w:t>hace referencia al plazo para la interposición de la denuncia.</w:t>
        <w:br/>
        <w:br/>
        <w:t>41.   EN LA DENUNCIA ORIGINAL, LOS PETICIONARIOS PLANTEARON  LOS  HECHOS  EN</w:t>
        <w:br/>
        <w:t>LOS QUE BASARON SUS ALEGATOS DE  VIOLACIONES  A  LA  CONVENCIÓN.   ESTOS  NO</w:t>
        <w:br/>
        <w:t>ESTABAN  OBLIGADOS  A  INVOCAR  CUÁLES  DISPOSICIONES  ESPECÍFICAS   DE   LA</w:t>
        <w:br/>
        <w:t>CONVENCIÓN FUERON VIOLADAS PARA JUSTIFICAR SU  PLANTEAMIENTO.   EN  ESCRITOS</w:t>
        <w:br/>
        <w:t>POSTERIORES, LOS PETICIONARIOS SE REFIRIERON A LOS MISMOS HECHOS,  AGREGANDO</w:t>
        <w:br/>
        <w:t>CIERTAS CONSIDERACIONES LEGALES.  EN SUMA,  LA  DENUNCIA  ORIGINAL  CONTENÍA</w:t>
        <w:br/>
        <w:t>TODOS LOS HECHOS QUE PODÍAN SER RELEVANTES PARA UNA DETERMINACIÓN LEGAL.</w:t>
        <w:br/>
        <w:br/>
        <w:br/>
        <w:t>42.   POR ELLO, Y A  LA  LUZ  DE  LAS  GARANTÍAS  CONSAGRADAS  TANTO  EN  LA</w:t>
        <w:br/>
        <w:t>CONVENCIÓN  AMERICANA  DE  DERECHOS  HUMANOS  COMO  EN  LOS  REGLAMENTOS   Y</w:t>
        <w:br/>
        <w:t>ESTATUTOS QUE RIGEN A LOS  ÓRGANOS  DEL  SISTEMA  INTERAMERICANO,  LA  CORTE</w:t>
        <w:br/>
        <w:t>CONSIDERA  QUE  LA  INTERPRETACIÓN  ADECUADA  CONSISTE  EN  QUE  CUANDO  HAY</w:t>
        <w:br/>
        <w:t>ALEGATOS ADICIONALES DE DERECHO, SOBRE LOS MISMOS  HECHOS  ESENCIALES,  COMO</w:t>
        <w:br/>
        <w:t>SE INVOCA EN LA DENUNCIA ORIGINAL DEL PETICIONARIO, DICHO ALEGATO  NO  PUEDE</w:t>
        <w:br/>
        <w:t>DESECHARSE POR LA MERA FALTA DE INVOCACIÓN DE UN ARTÍCULO ESPECÍFICO  DE  LA</w:t>
        <w:br/>
        <w:t>CONVENCIÓN.  ELLO SE DEBE A QUE  EL  ARTÍCULO  32.C  DEL  REGLAMENTO  DE  LA</w:t>
        <w:br/>
        <w:t>COMISIÓN, VIGENTE AL MOMENTO DE LA INTERPOSICIÓN DE LA DENUNCIA  ANTE  ÉSTA,</w:t>
        <w:br/>
        <w:t>EXPRESAMENTE INDICA LA  POSIBILIDAD  DE  QUE  “NO  SE  HAGA  UNA  REFERENCIA</w:t>
        <w:br/>
        <w:t>ESPECÍFICA AL ARTÍCULO PRESUNTAMENTE VIOLADO”  PARA  QUE  UNA  DENUNCIA  SEA</w:t>
        <w:br/>
        <w:t>TRAMITADA ANTE ÉSTA.  POR LO TANTO, LA CORTE CONSIDERA QUE  DEBE  DESESTIMAR</w:t>
        <w:br/>
        <w:t>EL PRIMER ARGUMENTO DE LA EXCEPCIÓN PRELIMINAR INTERPUESTA POR EL ESTADO  EN</w:t>
        <w:br/>
        <w:t>LO QUE SE REFIERE A LA ADMISIBILIDAD DE LA DEMANDA.</w:t>
        <w:br/>
        <w:br/>
        <w:br/>
        <w:t xml:space="preserve">                       B.    INCOMPETENCIA DE LA CORTE</w:t>
        <w:br/>
        <w:br/>
        <w:t>Alegatos escritos del Estado</w:t>
        <w:br/>
        <w:br/>
        <w:t>43.   Según lo señalado por Trinidad y Tobago, el  instrumento  de  adhesión</w:t>
        <w:br/>
        <w:t>de la Convención de fecha 3 abril de 1991, depositado por el  Estado  el  28</w:t>
        <w:br/>
        <w:t>de mayo de 1991, reconoce  la  competencia  contenciosa  de  la  Corte  pero</w:t>
        <w:br/>
        <w:t>sujetando ese reconocimiento a  una  “reserva”.   La  “reserva”  del  Estado</w:t>
        <w:br/>
        <w:t>enuncia que</w:t>
        <w:br/>
        <w:br/>
        <w:t xml:space="preserve">      [c]on respecto al [a]rtículo 62 de la Convención, el  Gobierno  de  la</w:t>
        <w:br/>
        <w:t xml:space="preserve">      República de Trinidad y Tobago, reconoce la  jurisdicción  obligatoria</w:t>
        <w:br/>
        <w:t xml:space="preserve">      de la Corte Interamericana de Derechos  Humanos  que  se  estipula  en</w:t>
        <w:br/>
        <w:t xml:space="preserve">      dicho artículo sólo  en  la  medida  en  que  tal  reconocimiento  sea</w:t>
        <w:br/>
        <w:t xml:space="preserve">      compatible con las secciones pertinentes  de  la  Constitución  de  la</w:t>
        <w:br/>
        <w:t xml:space="preserve">      República de Trinidad y Tobago, y siempre  que  una  sentencia  de  la</w:t>
        <w:br/>
        <w:t xml:space="preserve">      Corte no contravenga, establezca o anule derechos o deberes existentes</w:t>
        <w:br/>
        <w:t xml:space="preserve">      de ciudadanos particulares.</w:t>
        <w:br/>
        <w:br/>
        <w:t>44.   El Estado señaló que el artículo 75 de la Convención establece que  la</w:t>
        <w:br/>
        <w:t>misma sólo puede ser objeto de reservas conforme a las disposiciones  de  la</w:t>
        <w:br/>
        <w:t>Convención de Viena sobre el Derecho de los  Tratados,  suscrita  el  23  de</w:t>
        <w:br/>
        <w:t>mayo de 1969 (en adelante  “la  Convención  de  Viena”).   Al  respecto,  el</w:t>
        <w:br/>
        <w:t>artículo 19 de la misma señala que</w:t>
        <w:br/>
        <w:br/>
        <w:t xml:space="preserve">      [u]n Estado podrá formular  una  reserva  en  el  momento  de  firmar,</w:t>
        <w:br/>
        <w:t xml:space="preserve">      ratificar, aceptar o aprobar un tratado o adherirse al mismo, a menos:</w:t>
        <w:br/>
        <w:br/>
        <w:br/>
        <w:t xml:space="preserve">     2. que la reserva esté prohibida por el tratado;</w:t>
        <w:br/>
        <w:br/>
        <w:br/>
        <w:t xml:space="preserve">   3. que el tratado disponga que  únicamente  pueden  hacerse  determinadas</w:t>
        <w:br/>
        <w:t xml:space="preserve">      reservas, entre las cuales no figure la reserva de que se trate; o</w:t>
        <w:br/>
        <w:br/>
        <w:t xml:space="preserve">   4. que, en los casos no previstos en los apartados a) y  b),  la  reserva</w:t>
        <w:br/>
        <w:t xml:space="preserve">      sea incompatible con el objeto y fin del tratado.</w:t>
        <w:br/>
        <w:br/>
        <w:t>45.   Asimismo, el Estado mencionó que según lo señalado por la Corte en  la</w:t>
        <w:br/>
        <w:t>Opinión Consultiva sobre El Efecto de  las  Reservas  Sobre  la  Entrada  en</w:t>
        <w:br/>
        <w:t>Vigencia de la Convención Americana sobre  Derechos  Humanos  (OC-2/82),  la</w:t>
        <w:br/>
        <w:t>reseña al artículo 75 de la Convención Americana tenía la intención  de  ser</w:t>
        <w:br/>
        <w:t>una referencia al párrafo c) del artículo 19 de la  Convención  de  Viena  y</w:t>
        <w:br/>
        <w:t>que “sólo tiene sentido si se entiende como autorización  expresa  destinada</w:t>
        <w:br/>
        <w:t>a permitir a los Estados cualesquiera reservas  que  consideren  apropiadas,</w:t>
        <w:br/>
        <w:t>siempre y cuando éstas no  sean  incompatibles  con  el  objeto  y  fin  del</w:t>
        <w:br/>
        <w:t>tratado.  Como tales, se puede decir que ellas  se  rigen  por  el  artículo</w:t>
        <w:br/>
        <w:t>20.1 de la Convención de Viena y, consecuentemente, no están  sujetas  a  la</w:t>
        <w:br/>
        <w:t>aceptación de ningún otro Estado Parte” [6].</w:t>
        <w:br/>
        <w:br/>
        <w:t>46.   El Estado indicó que  la  “reserva”  fue  hecha  en  relación  con  la</w:t>
        <w:br/>
        <w:t>aceptación de la competencia de la Corte y se limita al artículo  62  de  la</w:t>
        <w:br/>
        <w:t>Convención Americana.  Según  Trinidad  y  Tobago,  el  artículo  62  de  la</w:t>
        <w:br/>
        <w:t>Convención es una cláusula facultativa que  los  Estados  pueden  libremente</w:t>
        <w:br/>
        <w:t>“aceptar o rechazar”.  Aquellos Estados que la aceptan  y  así  lo  declaran</w:t>
        <w:br/>
        <w:t>están expresamente autorizados a hacerlo sujetos a  condiciones.   La  misma</w:t>
        <w:br/>
        <w:t>Convención autoriza  a  que  se  establezcan  restricciones  al  momento  de</w:t>
        <w:br/>
        <w:t>aceptar la competencia de la Corte  conforme  al  artículo  62,  lo  que  no</w:t>
        <w:br/>
        <w:t>afecta el disfrute o ejercicio de los derechos y libertades  reconocidos  en</w:t>
        <w:br/>
        <w:t>la Convención.  Por tanto, dado que la “reserva” no niega  el  ejercicio  de</w:t>
        <w:br/>
        <w:t>alguno de  los  derechos  consagrados  en  la  Convención,  la  misma  puede</w:t>
        <w:br/>
        <w:t>considerarse compatible con el objeto y fin de ésta.</w:t>
        <w:br/>
        <w:br/>
        <w:t>47.   Trinidad y Tobago expresó que la Convención Americana no contiene  una</w:t>
        <w:br/>
        <w:t>disposición paralela al artículo 64.c (sic) de la  Convención  Europea[7]  y</w:t>
        <w:br/>
        <w:t>que, de  hecho,  los  redactores  de  la  Convención  Americana  prefirieron</w:t>
        <w:br/>
        <w:t>apoyarse en las disposiciones  de  la  Convención  de  Viena,  la  cual  “no</w:t>
        <w:br/>
        <w:t>prohíbe” (sic) la formulación de reservas de carácter general.</w:t>
        <w:br/>
        <w:br/>
        <w:t>48.   Agregó el Estado que la Constitución de Trinidad y Tobago  es  y  fue,</w:t>
        <w:br/>
        <w:t>al momento  de  ratificar  la  Convención,  compatible  con  la  misma.   La</w:t>
        <w:br/>
        <w:t>“reserva” del Estado no puede ser interpretada como contraria  al  objeto  y</w:t>
        <w:br/>
        <w:t>fin de la Convención; ésta se  relaciona  únicamente  con  el  procedimiento</w:t>
        <w:br/>
        <w:t>facultativo contenido en el artículo 62 de la Convención, lo que  en  ningún</w:t>
        <w:br/>
        <w:t>modo afecta los derechos sustantivos consagrados  en  ella.   La  “reserva”,</w:t>
        <w:br/>
        <w:t>tal y como  está  planteada,  de  ninguna  manera  limita  las  obligaciones</w:t>
        <w:br/>
        <w:t>asumidas por el Estado de conformidad con la Convención en relación con  los</w:t>
        <w:br/>
        <w:t>individuos sujetos a su jurisdicción.</w:t>
        <w:br/>
        <w:br/>
        <w:t>49.   Asimismo, Trinidad y Tobago sostuvo que  en  el  supuesto  de  que  la</w:t>
        <w:br/>
        <w:t>Corte declare que la “reserva” del Estado es incompatible con  el  objeto  y</w:t>
        <w:br/>
        <w:t>fin de la Convención Americana,  en  relación  con  el  artículo  62  de  la</w:t>
        <w:br/>
        <w:t>Convención, el efecto de tal determinación sería el anular  e  invalidar  ab</w:t>
        <w:br/>
        <w:t>initio la declaración del Estado por medio de la cual aceptó la  competencia</w:t>
        <w:br/>
        <w:t>contenciosa de la Corte.</w:t>
        <w:br/>
        <w:br/>
        <w:t>50.   El Estado agregó que en su Opinión Consultiva sobre las Reservas a  la</w:t>
        <w:br/>
        <w:t>Convención para Prevenir y Sancionar  el  Delito  de  Genocidio  (1951),  la</w:t>
        <w:br/>
        <w:t>Corte Internacional de Justicia señaló que</w:t>
        <w:br/>
        <w:br/>
        <w:t xml:space="preserve">      […] si un Estado  parte  en  la  Convención  objeta  una  reserva  por</w:t>
        <w:br/>
        <w:t xml:space="preserve">      considerarla incompatible con el objeto y fin de la Convención,  puede</w:t>
        <w:br/>
        <w:t xml:space="preserve">      de hecho considerar que el Estado autor de la reserva no es  parte  en</w:t>
        <w:br/>
        <w:t xml:space="preserve">      la Convención […]</w:t>
        <w:br/>
        <w:br/>
        <w:br/>
        <w:t>51.   El Estado señaló que bajo  el  ordenamiento  jurídico  de  Trinidad  y</w:t>
        <w:br/>
        <w:t>Tobago, es el Poder Legislativo quien dicta  las  leyes.   El  Ejecutivo  no</w:t>
        <w:br/>
        <w:t>puede, al  momento  de  ratificar  un  tratado,  alterar  las  leyes  de  la</w:t>
        <w:br/>
        <w:t>República o incurrir en incumplimiento constitucional.  Por esta  razón,  el</w:t>
        <w:br/>
        <w:t>Ejecutivo, a la hora de acceder a la Convención  y  aceptar  la  competencia</w:t>
        <w:br/>
        <w:t>contenciosa de la Corte, conforme al artículo 62, estableció  la  “reserva”.</w:t>
        <w:br/>
        <w:t>En ese mismo sentido, el Estado denunció la Convención en mayo de  1998,  en</w:t>
        <w:br/>
        <w:t>virtud de la necesidad de acatar los enunciados de  la  Constitución  de  la</w:t>
        <w:br/>
        <w:t>República de Trinidad y Tobago.</w:t>
        <w:br/>
        <w:br/>
        <w:t>52.   Si la “reserva”  del  Estado  fuere,  por  algún  motivo,  considerada</w:t>
        <w:br/>
        <w:t>inválida, no significaría que el Estado hubiese  declarado,  ilimitadamente,</w:t>
        <w:br/>
        <w:t>su aceptación de la competencia contenciosa de la Corte.  Por el  contrario,</w:t>
        <w:br/>
        <w:t xml:space="preserve"> queda claro que el Estado  nunca  tuvo  la  intención  de  aceptar,  en  su</w:t>
        <w:br/>
        <w:t>totalidad, la competencia de la Corte.  Si  la  “reserva”  es  inválida,  la</w:t>
        <w:br/>
        <w:t>declaración fue inválida y el Estado no presentó nunca su declaración.</w:t>
        <w:br/>
        <w:br/>
        <w:t>Alegatos escritos de la Comisión</w:t>
        <w:br/>
        <w:br/>
        <w:t>53.   La Comisión sostuvo que  la  frase  impugnada  en  la  declaración  de</w:t>
        <w:br/>
        <w:t>aceptación del Estado a  la  competencia  de  la  Corte,  debe  considerarse</w:t>
        <w:br/>
        <w:t>inválida en virtud  de  que  no  es  posible  determinar  con  exactitud  su</w:t>
        <w:br/>
        <w:t>naturaleza o alcance.  Es excesivamente vaga  y  no  debe  interpretarse  de</w:t>
        <w:br/>
        <w:t>manera que afecte la competencia de la Corte para juzgar sobre casos  contra</w:t>
        <w:br/>
        <w:t>el Estado.  Indicó que si  se  le  debe  atribuir  un  sentido,  deberá  ser</w:t>
        <w:br/>
        <w:t>interpretada de manera de regular el efecto legal de las  sentencias  de  la</w:t>
        <w:br/>
        <w:t>Corte, y no la competencia de la Corte para juzgar  sobre  casos  contra  el</w:t>
        <w:br/>
        <w:t>Estado.</w:t>
        <w:br/>
        <w:br/>
        <w:t>54.   La Comisión señaló que el  Comité  de  Derechos  Humanos  de  Naciones</w:t>
        <w:br/>
        <w:t>Unidas ha indicado que  las  reservas  a  tratados  sobre  derechos  humanos</w:t>
        <w:br/>
        <w:t>tienen que ser específicas y transparentes  para  que  de  esta  manera  los</w:t>
        <w:br/>
        <w:t>tribunales, individuos bajo la jurisdicción del Estado que hace  la  reserva</w:t>
        <w:br/>
        <w:t>y los otros Estados partes puedan  saber  cuáles  obligaciones  de  derechos</w:t>
        <w:br/>
        <w:t>humanos han o no sido asumidas.  De esta forma, la  frase  contenida  en  la</w:t>
        <w:br/>
        <w:t>“reserva” del Estado parece tener la intención  de  modificar  el  grado  de</w:t>
        <w:br/>
        <w:t>aceptación del Estado a la competencia contenciosa de la Corte, pues  de  la</w:t>
        <w:br/>
        <w:t>lectura de la frase  resulta  difícil  entender  las  restricciones  que  el</w:t>
        <w:br/>
        <w:t>Estado ha pretendido establecer a las obligaciones asumidas  en  virtud  del</w:t>
        <w:br/>
        <w:t>artículo 62 de la Convención.</w:t>
        <w:br/>
        <w:br/>
        <w:t>55.   Además, la frase puede ser interpretada  en  diversos  sentidos.   Por</w:t>
        <w:br/>
        <w:t>ejemplo, puede entenderse que la Corte está impedida para conocer  y  dictar</w:t>
        <w:br/>
        <w:t>sentencia en relación con alegatos de violación  de  un  derecho  consagrado</w:t>
        <w:br/>
        <w:t>por  la  Convención,  si  el  mismo  no  se  encuentra  protegido   por   la</w:t>
        <w:br/>
        <w:t>Constitución  del  Estado.   Alternativamente,  se  puede  interpretar   que</w:t>
        <w:br/>
        <w:t>“aunque la Corte tiene competencia para conocer y  decidir  un  asunto,  las</w:t>
        <w:br/>
        <w:t>sentencias de la Corte  deben  ser  compatibles  con  ciertas  secciones  no</w:t>
        <w:br/>
        <w:t>estipuladas de la Constitución de Trinidad y Tobago”.</w:t>
        <w:br/>
        <w:br/>
        <w:t>56.   La Comisión señaló que el Estado se  basa  únicamente  en  la  primera</w:t>
        <w:br/>
        <w:t>parte de su declaración para concluir que la  Corte  no  tiene  competencia.</w:t>
        <w:br/>
        <w:t>Destacó que el Estado no hace referencia a la parte de  la  declaración  que</w:t>
        <w:br/>
        <w:t>dice “y siempre que una sentencia de la Corte no contravenga,  establezca  o</w:t>
        <w:br/>
        <w:t>anule  derechos  o  deberes  existentes  de  ciudadanos   particulares”,   y</w:t>
        <w:br/>
        <w:t>consideró que es evidente que el Estado  reconoce  específicamente  en  esta</w:t>
        <w:br/>
        <w:t>segunda parte de la declaración que la Corte tiene competencia  para  emitir</w:t>
        <w:br/>
        <w:t>sentencias en casos contra Trinidad y  Tobago.   “Puede  ser  entonces  que,</w:t>
        <w:br/>
        <w:t>tomando la primera y segunda partes de  la  declaración  juntas,  el  Estado</w:t>
        <w:br/>
        <w:t>estuviera preocupado de que el darle efecto a las sentencias de la Corte  en</w:t>
        <w:br/>
        <w:t>Trinidad  y  Tobago  no  tuviera  un  efecto  adverso  sobre  los   derechos</w:t>
        <w:br/>
        <w:t>existentes de los ciudadanos, privarlos de derechos  que  ya  disfrutaban  o</w:t>
        <w:br/>
        <w:t>imponerles deberes a los que no estaban sujetos”.</w:t>
        <w:br/>
        <w:br/>
        <w:t>57.   El término podría interpretarse en el sentido de que dado  que  en  la</w:t>
        <w:br/>
        <w:t>Constitución no hay disposición alguna que expresamente  prohíba  al  Estado</w:t>
        <w:br/>
        <w:t>aceptar la competencia de la Corte, el reconocimiento de  dicha  competencia</w:t>
        <w:br/>
        <w:t>es completo y eficaz. En  este  sentido,  el  Estado  no  sugiere  que  haya</w:t>
        <w:br/>
        <w:t>disposiciones de la Constitución  de  Trinidad  y  Tobago  que  prohíban  al</w:t>
        <w:br/>
        <w:t>Estado aceptar la competencia de la Corte.</w:t>
        <w:br/>
        <w:br/>
        <w:t>58.   En virtud de las diversas interpretaciones posibles de la frase,  ésta</w:t>
        <w:br/>
        <w:t>resulta tan ambigua que su significado  y  alcance  van  a  depender  de  la</w:t>
        <w:br/>
        <w:t>decisión subjetiva  del  Estado  respecto  de  cuáles  disposiciones  de  la</w:t>
        <w:br/>
        <w:t>Constitución  son  “relevantes”  y  en  qué  sentido  la  aceptación  de  la</w:t>
        <w:br/>
        <w:t>competencia de la Corte debe ser “compatible” con dichas disposiciones.   La</w:t>
        <w:br/>
        <w:t>frase, por lo tanto, privaría  la  exclusiva  autoridad  de  la  Corte  para</w:t>
        <w:br/>
        <w:t>determinar  su  propia  competencia,  razón  por  la  cual  dicha  frase  es</w:t>
        <w:br/>
        <w:t>inválida.</w:t>
        <w:br/>
        <w:br/>
        <w:t>59.   La Comisión, además, señaló que la frase contenida en  la  declaración</w:t>
        <w:br/>
        <w:t>de aceptación del Estado como está y como es interpretada por el  mismo,  no</w:t>
        <w:br/>
        <w:t>está  autorizada  por  los  artículos  62  ni  75  de  la  Convención  y  es</w:t>
        <w:br/>
        <w:t>incompatible con el objeto y fin de ésta.</w:t>
        <w:br/>
        <w:br/>
        <w:t>60.   De conformidad con el artículo 62.2 de la Convención, la  “declaración</w:t>
        <w:br/>
        <w:t>puede ser hecha incondicionalmente o bajo condición de reciprocidad, por  un</w:t>
        <w:br/>
        <w:t>plazo determinado o para casos específicos”.  La  “reserva”  del  Estado  no</w:t>
        <w:br/>
        <w:t>estipula requerimiento de reciprocidad, limitaciones temporales,  ni  define</w:t>
        <w:br/>
        <w:t>los  casos  específicos  respecto  de  los  cuales  la  Corte  aplicará   su</w:t>
        <w:br/>
        <w:t>competencia.</w:t>
        <w:br/>
        <w:br/>
        <w:t>61.   En un segundo lugar, y  de  conformidad  con  el  artículo  75  de  la</w:t>
        <w:br/>
        <w:t>Convención y, específicamente el artículo 19 de la Convención de  Viena,  la</w:t>
        <w:br/>
        <w:t>“reserva” del Estado no está  permitida,  en  virtud  de  que  la  misma  es</w:t>
        <w:br/>
        <w:t>contraria al objeto y fin de la Convención.  Asimismo, la “reserva”  resulta</w:t>
        <w:br/>
        <w:t>contraria a los principios generales del Derecho Internacional.</w:t>
        <w:br/>
        <w:br/>
        <w:t>62.   Finalmente, la frase,  tal  y  como  la  ha  interpretado  el  Estado,</w:t>
        <w:br/>
        <w:t>limitaría las facultades de la Corte  para  interpretar  y  aplicar  ciertas</w:t>
        <w:br/>
        <w:t>disposiciones de la Convención en todos  los  casos  ante  la  Corte  contra</w:t>
        <w:br/>
        <w:t>Trinidad y Tobago,  al  permitir  al  Tribunal  interpretar  y  aplicar  los</w:t>
        <w:br/>
        <w:t>derechos consagrados en la Convención  sólo  en  la  medida  en  que  dichos</w:t>
        <w:br/>
        <w:t>derechos se encuentren protegidos en la Constitución del Estado.</w:t>
        <w:br/>
        <w:br/>
        <w:t>63.   La Comisión consideró que la posición del Estado ignora  el  hecho  de</w:t>
        <w:br/>
        <w:t>que es responsabilidad de la Corte,  y  no  del  Estado,  determinar  si  el</w:t>
        <w:br/>
        <w:t>derecho interno del Estado, incluyendo la Constitución,  es  compatible  con</w:t>
        <w:br/>
        <w:t>los  derechos  protegidos  por  la   Convención.   Indicó   que   la   Corte</w:t>
        <w:br/>
        <w:t>Interamericana ha enfatizado que el tema de la competencia para un  caso  en</w:t>
        <w:br/>
        <w:t>particular es materia que decide la Corte solamente, no los Estados  partes.</w:t>
        <w:br/>
        <w:t xml:space="preserve"> Esto se extiende claramente a la interpretación de  las  frases  contenidas</w:t>
        <w:br/>
        <w:t>en las declaraciones de aceptación, de conformidad con el artículo 62 de  la</w:t>
        <w:br/>
        <w:t>Convención, de varios Estados partes.</w:t>
        <w:br/>
        <w:br/>
        <w:t>64.   En las circunstancias mencionadas, interpretar el artículo  62  de  la</w:t>
        <w:br/>
        <w:t>Convención Americana autorizando  los  términos  de  aceptación  del  Estado</w:t>
        <w:br/>
        <w:t>contravendría  el   artículo   29.a   de   la   Convención,   al   permitir,</w:t>
        <w:br/>
        <w:t>efectivamente, al Estado violar los artículos 4.1, 5.1 y  5.2  de  la  misma</w:t>
        <w:br/>
        <w:t>respecto del señor Hilaire.  El Estado ha  interpretado  su  declaración  de</w:t>
        <w:br/>
        <w:t>manera de impedir a la Corte  considerar  los  aspectos  específicos  de  la</w:t>
        <w:br/>
        <w:t>“pena de muerte obligatoria”.</w:t>
        <w:br/>
        <w:br/>
        <w:t>65.   Asimismo, la Comisión sostuvo que se puede separar la frase  impugnada</w:t>
        <w:br/>
        <w:t>del instrumento de aceptación, por  parte  del  Estado,  de  la  competencia</w:t>
        <w:br/>
        <w:t>contenciosa de la Corte, por lo  que  se  debe  considerar   que  el  Estado</w:t>
        <w:br/>
        <w:t>aceptó la competencia contenciosa  de  la  Corte  independientemente  de  la</w:t>
        <w:br/>
        <w:t>restricción “sólo en la medida en que tal reconocimiento sea compatible  con</w:t>
        <w:br/>
        <w:t>las secciones pertinentes de la Constitución de la República de  Trinidad  y</w:t>
        <w:br/>
        <w:t>Tobago”.</w:t>
        <w:br/>
        <w:br/>
        <w:t>66.   La Convención protege los derechos humanos de los  individuos  sujetos</w:t>
        <w:br/>
        <w:t>a la jurisdicción de los Estados partes, por lo que la “reserva” del  Estado</w:t>
        <w:br/>
        <w:t>debe ser interpretada  de  manera  que  fortalezca,  no  que  debilite  este</w:t>
        <w:br/>
        <w:t>régimen y, por lo tanto,  aumente  y  no  disminuya  la  protección  de  los</w:t>
        <w:br/>
        <w:t>derechos humanos en todo el hemisferio.</w:t>
        <w:br/>
        <w:br/>
        <w:t>67.   Separar la  frase  impugnada  de  la  declaración  de  aceptación  del</w:t>
        <w:br/>
        <w:t>Estado, en lugar de anular la declaración in toto, sirve para  asegurar  los</w:t>
        <w:br/>
        <w:t>derechos humanos fundamentales del señor Hilaire  y  de  los  individuos  en</w:t>
        <w:br/>
        <w:t>situaciones similares quienes de otra manera no tendrían  recursos  internos</w:t>
        <w:br/>
        <w:t>efectivos de protección.</w:t>
        <w:br/>
        <w:br/>
        <w:t>68.   Trinidad y  Tobago  fue  el  único  Estado  parte  al  momento  de  su</w:t>
        <w:br/>
        <w:t>aceptación,  que  estableció  condiciones  de  esta   naturaleza   para   la</w:t>
        <w:br/>
        <w:t>aceptación de la competencia de la Corte.  Por el contrario, la  mayoría  ha</w:t>
        <w:br/>
        <w:t>aceptado la competencia de la Corte  incondicionalmente.   Es  un  principio</w:t>
        <w:br/>
        <w:t>de Derecho  Internacional  y  un  “precepto  fundamental  subyacente  en  la</w:t>
        <w:br/>
        <w:t>Convención Americana”, que los Estados no pueden invocar su derecho  interno</w:t>
        <w:br/>
        <w:t>como justificación de no cumplir un tratado.  Sin embargo, esto  es  lo  que</w:t>
        <w:br/>
        <w:t>el Estado pretende a través de su interpretación de la frase impugnada.</w:t>
        <w:br/>
        <w:br/>
        <w:t>69.   La Comisión Interamericana argumentó que la  Corte   puede  seguir  el</w:t>
        <w:br/>
        <w:t>razonamiento de la Corte Europea de Derechos Humanos (en adelante “la  Corte</w:t>
        <w:br/>
        <w:t>Europea”), en el  caso  Loizidou  vs.  Turquía,  el  cual  declaró  que  las</w:t>
        <w:br/>
        <w:t>restricciones ratione loci pueden ser  separadas  de  las  declaraciones  de</w:t>
        <w:br/>
        <w:t>aceptación, de manera  que  se  considere  que  el  Estado  ha  aceptado  la</w:t>
        <w:br/>
        <w:t>competencia contenciosa de la Corte  independientemente  de  la  restricción</w:t>
        <w:br/>
        <w:t>“sólo en  la  medida  en  que  el  reconocimiento  sea  compatible  con  las</w:t>
        <w:br/>
        <w:t>secciones pertinentes de la Constitución  de  la  República  de  Trinidad  y</w:t>
        <w:br/>
        <w:t>Tobago”.</w:t>
        <w:br/>
        <w:br/>
        <w:br/>
        <w:t>Alegatos orales del Estado</w:t>
        <w:br/>
        <w:br/>
        <w:t>70.   El Estado sostuvo en la audiencia pública  realizada  ante  la  Corte,</w:t>
        <w:br/>
        <w:t>que Trinidad y Tobago tuvo la intención de  aceptar  la  competencia  de  la</w:t>
        <w:br/>
        <w:t>Corte limitadamente y que nunca aceptó ni tuvo la intención  de  aceptar  la</w:t>
        <w:br/>
        <w:t>totalidad de la competencia de ésta.   Lo  anterior  porque  en  Trinidad  y</w:t>
        <w:br/>
        <w:t>Tobago  cualquier  ley  que  sea  contraria  a  alguna  disposición  de   la</w:t>
        <w:br/>
        <w:t>Constitución es inválida.  Cualquier incompatibilidad entre la  Constitución</w:t>
        <w:br/>
        <w:t>y la Convención requeriría una enmienda de  la  Constitución  del  Estado  y</w:t>
        <w:br/>
        <w:t>solamente el Parlamento puede alterarla.  En este sentido, el Ejecutivo,  en</w:t>
        <w:br/>
        <w:t>nombre de Trinidad y Tobago, ratificó la Convención e incluyó la  “reserva”,</w:t>
        <w:br/>
        <w:t>en la declaración de la aceptación de la competencia de la Corte.</w:t>
        <w:br/>
        <w:br/>
        <w:t>71.   Asimismo, indicó que la  Corte  solamente  tiene  competencia  si  una</w:t>
        <w:br/>
        <w:t>disposición de la Convención no  es  incongruente  con  la  Constitución  de</w:t>
        <w:br/>
        <w:t>Trinidad y Tobago, es decir, en cuanto a que  no  sea  incompatible  con  el</w:t>
        <w:br/>
        <w:t>significado que los tribunales del Estado le han dado a la  parte  relevante</w:t>
        <w:br/>
        <w:t>de la Constitución.</w:t>
        <w:br/>
        <w:br/>
        <w:t>72.   El Estado sostuvo que la “reserva” es conforme con el artículo  62  de</w:t>
        <w:br/>
        <w:t>la Convención Americana ya que ésta autoriza a  hacer  reservas  para  casos</w:t>
        <w:br/>
        <w:t>específicos; y con el artículo 19 de  la  Convención  de  Viena  por  cuanto</w:t>
        <w:br/>
        <w:t>dicha “reserva” es compatible con el objeto y fin de la Convención.</w:t>
        <w:br/>
        <w:br/>
        <w:t>73.   El Estado concluyó que los requisitos de compatibilidad con el  objeto</w:t>
        <w:br/>
        <w:t>y fin se refieren al objeto y fin de la Convención y  no  de  la  Corte;  el</w:t>
        <w:br/>
        <w:t>reconocimiento  de  la  competencia  de  la  Corte  es  opcional  según   la</w:t>
        <w:br/>
        <w:t>Convención Americana; el presente caso trata meramente sobre la  competencia</w:t>
        <w:br/>
        <w:t>de la Corte y no sobre el retiro de la competencia ni sobre la  denuncia  de</w:t>
        <w:br/>
        <w:t>la  Convención;  no  afecta  la  competencia  supervisora  de  la   Comisión</w:t>
        <w:br/>
        <w:t>Interamericana; el Derecho Internacional reconoce las reservas,  y  esto  se</w:t>
        <w:br/>
        <w:t>encuentra  expresamente  establecido  en  el  párrafo  25  de   la   Opinión</w:t>
        <w:br/>
        <w:t>Consultiva de la Corte sobre El Efecto de las Reservas Sobre la  Entrada  en</w:t>
        <w:br/>
        <w:t>Vigencia de la Convención Americana sobre Derechos Humanos (OC-2/82); y,  la</w:t>
        <w:br/>
        <w:t>“reserva” del Estado no priva a la Corte de decidir si tiene  competencia  o</w:t>
        <w:br/>
        <w:t>no.</w:t>
        <w:br/>
        <w:br/>
        <w:t>74.   Finalmente, el Estado alegó que la “reserva” es clara, compatible  con</w:t>
        <w:br/>
        <w:t>el objeto y fin  de  la  Convención  y  que  fue  hecha  al  momento  de  la</w:t>
        <w:br/>
        <w:t>aceptación, por lo tanto forma parte  de  los  términos  de  aceptación  del</w:t>
        <w:br/>
        <w:t>Tratado por parte de Trinidad y Tobago.  En caso de  que  se  considere  que</w:t>
        <w:br/>
        <w:t>ésta no es clara o no es compatible con la Convención, es  evidente  que  la</w:t>
        <w:br/>
        <w:t>intención  del  Estado  no  fue  aceptar  la   competencia   de   la   Corte</w:t>
        <w:br/>
        <w:t>incondicionalmente.</w:t>
        <w:br/>
        <w:br/>
        <w:t>Alegatos orales de la Comisión</w:t>
        <w:br/>
        <w:br/>
        <w:t>75.   En la audiencia pública ante la Corte,  la  Comisión  presentó  varios</w:t>
        <w:br/>
        <w:t>argumentos generales:  en  primer  lugar,  indicó  que  ha  sido  largamente</w:t>
        <w:br/>
        <w:t>establecido que la Corte es quien debe determinar su propia competencia;  en</w:t>
        <w:br/>
        <w:t>segundo lugar, en la determinación de la naturaleza de su competencia  y  el</w:t>
        <w:br/>
        <w:t>significado que se le debe otorgar a  cualquier  declaración,  la  Corte  se</w:t>
        <w:br/>
        <w:t>guía por la naturaleza de la Convención  como  un  instrumento  de  derechos</w:t>
        <w:br/>
        <w:t>humanos y procura darle efectos prácticos al objeto  de  la  misma;  y,  por</w:t>
        <w:br/>
        <w:t>último, la Corte ha desarrollado jurisprudencia específica, en relación  con</w:t>
        <w:br/>
        <w:t>las declaraciones que pretenden restringir su competencia.</w:t>
        <w:br/>
        <w:br/>
        <w:t>76.   Asimismo, la Comisión Interamericana indicó que una  vez  aceptada  la</w:t>
        <w:br/>
        <w:t>competencia de la Corte, ésta no puede ser  removida  o  modificada  por  un</w:t>
        <w:br/>
        <w:t>acto unilateral del Estado.   Agregó que en la  declaración  del  Estado  de</w:t>
        <w:br/>
        <w:t>1991, éste tuvo la intención de reconocer la  competencia  de  la  Corte  en</w:t>
        <w:br/>
        <w:t>todos los asuntos relacionados con la interpretación de la Convención  y  no</w:t>
        <w:br/>
        <w:t>pretendió excluirlo  de  dicha  competencia.  Indicó  que  alternativamente,</w:t>
        <w:br/>
        <w:t>cualquier restricción que pretenda limitar la competencia de la  Corte  para</w:t>
        <w:br/>
        <w:t>interpretar  la  Convención  con  referencia   a   disposiciones   vagas   e</w:t>
        <w:br/>
        <w:t>indefinidas en alguna ley nacional, no está permitida por la  Convención  ni</w:t>
        <w:br/>
        <w:t>por los principios aplicables del Derecho Internacional.</w:t>
        <w:br/>
        <w:br/>
        <w:t>77.   Por último, indicó que en caso de que haya  habido  un  reconocimiento</w:t>
        <w:br/>
        <w:t>de la competencia de la Corte, sujeto a restricciones impermisibles,  dichas</w:t>
        <w:br/>
        <w:t>restricciones deben ser separadas del resto del instrumento de aceptación  y</w:t>
        <w:br/>
        <w:t>el reconocimiento permanece intacto y efectivo, a menos  que  el  Estado  se</w:t>
        <w:br/>
        <w:t>retire del sistema de la Convención como un todo.</w:t>
        <w:br/>
        <w:br/>
        <w:br/>
        <w:t>Consideraciones de la Corte</w:t>
        <w:br/>
        <w:br/>
        <w:t>78.   La cuestión de la pretendida “reserva” con que el Estado  de  Trinidad</w:t>
        <w:br/>
        <w:t>y Tobago acompañó su aceptación de la competencia contenciosa  de  la  Corte</w:t>
        <w:br/>
        <w:t>Interamericana, debe ser resuelta por este Tribunal.  La  Corte,  como  todo</w:t>
        <w:br/>
        <w:t>órgano  con  funciones  jurisdiccionales,  tiene  el  poder   inherente   de</w:t>
        <w:br/>
        <w:t>determinar  el  alcance  de  su  propia  competencia   (compétence   de   la</w:t>
        <w:br/>
        <w:t>compétence/Kompetenz-Kompetenz).</w:t>
        <w:br/>
        <w:br/>
        <w:t>79.   Incumbe a la Corte darle a la declaración del Estado,  como  un  todo,</w:t>
        <w:br/>
        <w:t>una interpretación de acuerdo con los cánones  y  la  práctica  del  Derecho</w:t>
        <w:br/>
        <w:t>Internacional en general,  y  del  Derecho  Internacional  de  los  Derechos</w:t>
        <w:br/>
        <w:t>Humanos en particular, y que proporcione el mayor grado de protección a  los</w:t>
        <w:br/>
        <w:t>seres humanos bajo su tutela.</w:t>
        <w:br/>
        <w:br/>
        <w:t>80.   La Corte no puede abdicar de  esta  prerrogativa,  que  además  es  un</w:t>
        <w:br/>
        <w:t>deber que le impone la Convención  Americana,  para  ejercer  sus  funciones</w:t>
        <w:br/>
        <w:t>según el artículo 62.3 de la misma.  Dicha disposición establece  que  “[l]a</w:t>
        <w:br/>
        <w:t>Corte tiene competencia  para  conocer  de  cualquier  caso  relativo  a  la</w:t>
        <w:br/>
        <w:t>interpretación y aplicación de las disposiciones de esta Convención  que  le</w:t>
        <w:br/>
        <w:t>sea sometido, siempre que los Estados partes en el caso hayan  reconocido  o</w:t>
        <w:br/>
        <w:t>reconozcan dicha competencia, ora por declaración especial, como  se  indica</w:t>
        <w:br/>
        <w:t>en los incisos anteriores, ora por convención especial”.</w:t>
        <w:br/>
        <w:br/>
        <w:t>81.   Como este mismo Tribunal lo ha  mencionado  en  las  sentencias  sobre</w:t>
        <w:br/>
        <w:t>competencia en los Casos del Tribunal Constitucional e Ivcher Bronstein:</w:t>
        <w:br/>
        <w:br/>
        <w:t xml:space="preserve">      La competencia de la Corte no  puede  estar  condicionada  por  hechos</w:t>
        <w:br/>
        <w:t xml:space="preserve">      distintos a sus propias actuaciones.  Los instrumentos  de  aceptación</w:t>
        <w:br/>
        <w:t xml:space="preserve">      de la cláusula facultativa de la  jurisdicción  obligatoria  (artículo</w:t>
        <w:br/>
        <w:t xml:space="preserve">      62.1 de la Convención) presuponen la admisión, por los Estados que  la</w:t>
        <w:br/>
        <w:t xml:space="preserve">      presentan, del derecho de la Corte a resolver  cualquier  controversia</w:t>
        <w:br/>
        <w:t xml:space="preserve">      relativa a su  jurisdicción.   Una  objeción  o  cualquier  otro  acto</w:t>
        <w:br/>
        <w:t xml:space="preserve">      interpuesto por el Estado con el propósito de afectar  la  competencia</w:t>
        <w:br/>
        <w:t xml:space="preserve">      de la Corte es inocuo, pues en cualesquiera  circunstancias  la  Corte</w:t>
        <w:br/>
        <w:t xml:space="preserve">      retiene la  compétence  de  la  compétence,  por  ser  maestra  de  su</w:t>
        <w:br/>
        <w:t xml:space="preserve">      jurisdicción[8].</w:t>
        <w:br/>
        <w:br/>
        <w:t>82.   Al interpretar la Convención conforme a su  objeto  y  fin,  la  Corte</w:t>
        <w:br/>
        <w:t>debe actuar de tal manera  que  se  preserve  la  integridad  del  mecanismo</w:t>
        <w:br/>
        <w:t>previsto  en  el  artículo  62.1  de  la  Convención.    Sería   inadmisible</w:t>
        <w:br/>
        <w:t>subordinar tal mecanismo a restricciones que  hagan  inoperante  el  sistema</w:t>
        <w:br/>
        <w:t>tutelar de los derechos humanos, previsto en la Convención y, por lo  tanto,</w:t>
        <w:br/>
        <w:t>la función jurisdiccional de la Corte.</w:t>
        <w:br/>
        <w:br/>
        <w:t>83.   Como esta Corte ha señalado en los Casos del  Tribunal  Constitucional</w:t>
        <w:br/>
        <w:t>e Ivcher Bronstein</w:t>
        <w:br/>
        <w:br/>
        <w:t xml:space="preserve">      [l]os Estados partes en la Convención deben garantizar el cumplimiento</w:t>
        <w:br/>
        <w:t xml:space="preserve">      de las disposiciones  convencionales  y  sus  efectos  propios  (effet</w:t>
        <w:br/>
        <w:t xml:space="preserve">      utile) en  el  plano  de  sus  respectivos  derechos  internos.   Este</w:t>
        <w:br/>
        <w:t xml:space="preserve">      principio se aplica no sólo en relación con las normas sustantivas  de</w:t>
        <w:br/>
        <w:t xml:space="preserve">      los  tratados  de  derechos  humanos  (es  decir,  las  que  contienen</w:t>
        <w:br/>
        <w:t xml:space="preserve">      disposiciones sobre los derechos protegidos), sino también en relación</w:t>
        <w:br/>
        <w:t xml:space="preserve">      con las normas procesales, tal como la  referente  a  la  cláusula  de</w:t>
        <w:br/>
        <w:t xml:space="preserve">      aceptación de la competencia contenciosa del Tribunal.  Tal  cláusula,</w:t>
        <w:br/>
        <w:t xml:space="preserve">      esencial a la eficacia del mecanismo de protección internacional, debe</w:t>
        <w:br/>
        <w:t xml:space="preserve">      ser interpretada y aplicada de modo que la garantía que establece  sea</w:t>
        <w:br/>
        <w:t xml:space="preserve">      verdaderamente práctica  y  eficaz,  teniendo  presentes  el  carácter</w:t>
        <w:br/>
        <w:t xml:space="preserve">      especial de los tratados de derechos humanos […] y  su  implementación</w:t>
        <w:br/>
        <w:t xml:space="preserve">      colectiva[9].</w:t>
        <w:br/>
        <w:br/>
        <w:t>84.   Según el artículo 31.1 de la Convención de Viena de 1969</w:t>
        <w:br/>
        <w:br/>
        <w:t xml:space="preserve">      [u]n tratado deberá interpretarse de  buena  fe  conforme  al  sentido</w:t>
        <w:br/>
        <w:t xml:space="preserve">      corriente que haya de atribuirse a los  términos  del  tratado  en  el</w:t>
        <w:br/>
        <w:t xml:space="preserve">      contexto de éstos y teniendo en cuenta su objeto y fin.</w:t>
        <w:br/>
        <w:br/>
        <w:t>85.   LA TAREA DE LA CORTE EN ESTA ETAPA ES  DECIDIR  POR  LO  QUE  HACE  AL</w:t>
        <w:br/>
        <w:t>PRESENTE CASO, SI LA “RESERVA” PLANTEADA POR  TRINIDAD  Y  TOBAGO  TIENE  EL</w:t>
        <w:br/>
        <w:t>EFECTO DE EXCLUIR LA COMPETENCIA DE LA CORTE EN  LA  FORMA  ALEGADA  POR  EL</w:t>
        <w:br/>
        <w:t>ESTADO.</w:t>
        <w:br/>
        <w:br/>
        <w:t>86.   Como se ha  visto,  la  pretendida  “reserva”  tiene  dos  partes.  La</w:t>
        <w:br/>
        <w:t>primera  se  orienta  a  limitar  el  reconocimiento   de   la   competencia</w:t>
        <w:br/>
        <w:t>contenciosa de la Corte, en el sentido  de  que  dicho  reconocimiento  sólo</w:t>
        <w:br/>
        <w:t>valdrá como tal en la medida  en  que  “sea  compatible  con  las  secciones</w:t>
        <w:br/>
        <w:t>pertinentes” de la Constitución de  Trinidad  y  Tobago.  Estas  expresiones</w:t>
        <w:br/>
        <w:t>admiten muchas interpretaciones. Sin embargo, para la Corte es claro que  no</w:t>
        <w:br/>
        <w:t>puede dárseles un alcance de acuerdo con el cual constituyan un  impedimento</w:t>
        <w:br/>
        <w:t>para que este Tribunal juzgue si el Estado violó o no alguna disposición  de</w:t>
        <w:br/>
        <w:t>la Convención.  La segunda parte de la pretendida restricción condiciona  el</w:t>
        <w:br/>
        <w:t>“reconocimiento” del Estado de la competencia contenciosa de la Corte a  que</w:t>
        <w:br/>
        <w:t>las  sentencias  de  ésta  “no  contravenga[n],  establezca[n]  o   anule[n]</w:t>
        <w:br/>
        <w:t>derechos  o  deberes   existentes   de   ciudadanos   particulares”   (sic).</w:t>
        <w:br/>
        <w:t>Nuevamente, además de que el significado preciso de  esta  condición  no  es</w:t>
        <w:br/>
        <w:t>claro, es indudable que no puede ser utilizado con el propósito de  suprimir</w:t>
        <w:br/>
        <w:t>la competencia de la Corte para conocer y decidir una  demanda  en  relación</w:t>
        <w:br/>
        <w:t>con una supuesta violación de las obligaciones convencionales del Estado.</w:t>
        <w:br/>
        <w:br/>
        <w:t>87.   Al respecto, el artículo 62 incisos  1  y  2  de  la  Convención</w:t>
        <w:br/>
        <w:t>Americana dispone:</w:t>
        <w:br/>
        <w:br/>
        <w:t xml:space="preserve">   2. Todo Estado parte puede, en el momento del depósito de su  instrumento</w:t>
        <w:br/>
        <w:t xml:space="preserve">      de ratificación o adhesión de esta Convención, o en cualquier  momento</w:t>
        <w:br/>
        <w:t xml:space="preserve">      posterior, declarar que reconoce como obligatoria de pleno  derecho  y</w:t>
        <w:br/>
        <w:t xml:space="preserve">      sin convención especial, la competencia de la Corte  sobre  todos  los</w:t>
        <w:br/>
        <w:t xml:space="preserve">      casos relativos a la interpretación o aplicación de esta Convención.</w:t>
        <w:br/>
        <w:br/>
        <w:br/>
        <w:t xml:space="preserve">   3. La declaración puede ser hecha incondicionalmente, o bajo condición de</w:t>
        <w:br/>
        <w:t xml:space="preserve">      reciprocidad, por un  plazo  determinado  o  para  casos  específicos.</w:t>
        <w:br/>
        <w:t xml:space="preserve">      Deberá ser presentada al Secretario General de la Organización,  quien</w:t>
        <w:br/>
        <w:t xml:space="preserve">      transmitirá copias de la misma a los  otros  Estados  miembros  de  la</w:t>
        <w:br/>
        <w:t xml:space="preserve">      Organización y al Secretario de la Corte.</w:t>
        <w:br/>
        <w:br/>
        <w:t>88.   Esta Corte observa que el instrumento  de  aceptación,  por  parte  de</w:t>
        <w:br/>
        <w:t>Trinidad y Tobago, de la competencia contenciosa del Tribunal,  no  encuadra</w:t>
        <w:br/>
        <w:t>en las hipótesis previstas en el artículo 62.2 de la  Convención  Americana.</w:t>
        <w:br/>
        <w:t>Tiene un alcance general, que termina por subordinar  la  aplicación  de  la</w:t>
        <w:br/>
        <w:t>Convención al derecho interno de Trinidad y Tobago en forma  total  y  según</w:t>
        <w:br/>
        <w:t>lo  dispongan  sus  tribunales  nacionales.   Todo  esto  implica  que  este</w:t>
        <w:br/>
        <w:t>instrumento de aceptación es manifiestamente incompatible con  el  objeto  y</w:t>
        <w:br/>
        <w:t>fin de la Convención.  Por  lo  tanto,  no  existe  en  el  citado  artículo</w:t>
        <w:br/>
        <w:t>disposición alguna  que  faculte  a  Trinidad  y  Tobago  para  formular  la</w:t>
        <w:br/>
        <w:t>restricción que hizo.</w:t>
        <w:br/>
        <w:br/>
        <w:t>89.   Una interpretación de la Convención Americana “de  buena  fe  conforme</w:t>
        <w:br/>
        <w:t>al sentido corriente que haya de atribuirse a los términos  del  tratado  en</w:t>
        <w:br/>
        <w:t>el contexto de éstos y teniendo en cuenta su objeto y  fin”,  lleva  a  esta</w:t>
        <w:br/>
        <w:t>Corte a  considerar  que  un  Estado  parte  en  la  Convención  sólo  puede</w:t>
        <w:br/>
        <w:t>desvincularse   de   sus   obligaciones   convencionales   observando    las</w:t>
        <w:br/>
        <w:t>disposiciones del propio tratado[10].</w:t>
        <w:br/>
        <w:br/>
        <w:t>90.   El artículo 29.a de la  Convención  Americana  establece  que  ninguna</w:t>
        <w:br/>
        <w:t>disposición de la misma puede ser interpretada en el sentido de “permitir  a</w:t>
        <w:br/>
        <w:t>alguno de los Estados partes, grupo o persona, suprimir el goce y  ejercicio</w:t>
        <w:br/>
        <w:t>de los derechos y libertades reconocidos en la Convención  o  limitarlos  en</w:t>
        <w:br/>
        <w:t>mayor medida que la prevista en ella”. De esta manera,  no  tendría  sentido</w:t>
        <w:br/>
        <w:t>suponer que un Estado que decidió libremente su aceptación a la  competencia</w:t>
        <w:br/>
        <w:t>contenciosa de la Corte, haya pretendido en ese  mismo  momento  evitar  que</w:t>
        <w:br/>
        <w:t>ésta ejerza sus funciones según  lo  previsto  en  la  Convención.   Por  el</w:t>
        <w:br/>
        <w:t>contrario, la sola aceptación del Estado conlleva la  presunción  inequívoca</w:t>
        <w:br/>
        <w:t>de que se somete a la competencia contenciosa de la Corte.</w:t>
        <w:br/>
        <w:br/>
        <w:t>91.    El  efecto  del  tercer  alegato  del   Estado   sería   limitar   su</w:t>
        <w:br/>
        <w:t>reconocimiento de la competencia contenciosa de la  Corte  en  forma  total,</w:t>
        <w:br/>
        <w:t>con consecuencias negativas para el ejercicio  de  los  derechos  protegidos</w:t>
        <w:br/>
        <w:t>por la Convención.</w:t>
        <w:br/>
        <w:br/>
        <w:t>92.    La  declaración  efectuada  por  el  Estado  de  Trinidad  y  Tobago,</w:t>
        <w:br/>
        <w:t>facultaría a éste para decidir en  cada  caso  concreto  el  alcance  de  su</w:t>
        <w:br/>
        <w:t>propia aceptación de la competencia contenciosa de la  Corte  en  detrimento</w:t>
        <w:br/>
        <w:t>del ejercicio de la función contenciosa del  Tribunal.   Además,  concedería</w:t>
        <w:br/>
        <w:t>al Estado la potestad discrecional para decidir qué  asuntos  puede  conocer</w:t>
        <w:br/>
        <w:t>la Corte, lo que privaría el ejercicio de  la  competencia  contenciosa  del</w:t>
        <w:br/>
        <w:t>Tribunal de toda eficacia.</w:t>
        <w:br/>
        <w:br/>
        <w:t>93.   Asimismo, aceptar la declaración a la que se hace referencia,  en  los</w:t>
        <w:br/>
        <w:t>términos propuestos por el Estado, conduciría a  una  situación  en  que  la</w:t>
        <w:br/>
        <w:t>Corte tendría como  primer  parámetro  de  referencia  la  Constitución  del</w:t>
        <w:br/>
        <w:t>Estado y  sólo  subsidiariamente  la  Convención  Americana,  situación  que</w:t>
        <w:br/>
        <w:t>acarrearía una fragmentación del orden jurídico internacional de  protección</w:t>
        <w:br/>
        <w:t>de los derechos humanos  y  haría  ilusorios  el  objeto  y  el  fin  de  la</w:t>
        <w:br/>
        <w:t>Convención.</w:t>
        <w:br/>
        <w:br/>
        <w:t>94.   La Convención Americana, así  como  los  demás  tratados  de  derechos</w:t>
        <w:br/>
        <w:t>humanos,  se  inspira  en  valores  comunes  superiores  (centrados  en   la</w:t>
        <w:br/>
        <w:t>protección del  ser  humano),  está  dotada  de  mecanismos  específicos  de</w:t>
        <w:br/>
        <w:t>supervisión, se aplica de conformidad con la noción de  garantía  colectiva,</w:t>
        <w:br/>
        <w:t>consagra  obligaciones  de  carácter  esencialmente  objetivo  y  tiene  una</w:t>
        <w:br/>
        <w:t>naturaleza especial, que la diferencia de los  demás  tratados,  los  cuales</w:t>
        <w:br/>
        <w:t>reglamentan intereses recíprocos entre los Estados partes  y  son  aplicados</w:t>
        <w:br/>
        <w:t>por éstos, con todas las consecuencias jurídicas que de ahí derivan  en  los</w:t>
        <w:br/>
        <w:t>ordenamientos jurídicos internacional e interno[11].</w:t>
        <w:br/>
        <w:br/>
        <w:t>95.   Al respecto, esta Corte ha señalado, en su  Opinión  Consultiva  sobre</w:t>
        <w:br/>
        <w:t>El Efecto de las Reservas Sobre la Entrada  en  Vigencia  de  la  Convención</w:t>
        <w:br/>
        <w:t>Americana sobre Derechos Humanos (OC-2/82), que</w:t>
        <w:br/>
        <w:br/>
        <w:t xml:space="preserve">      […] los tratados modernos sobre derechos humanos, en  general,  y,  en</w:t>
        <w:br/>
        <w:t xml:space="preserve">      particular, la Convención Americana, no  son  tratados  multilaterales</w:t>
        <w:br/>
        <w:t xml:space="preserve">      del  tipo  tradicional,  concluidos  en  función  de  un   intercambio</w:t>
        <w:br/>
        <w:t xml:space="preserve">      recíproco  de  derechos,  para  el  beneficio  mutuo  de  los  Estados</w:t>
        <w:br/>
        <w:t xml:space="preserve">      contratantes.  Su objeto y fin  son  la  protección  de  los  derechos</w:t>
        <w:br/>
        <w:t xml:space="preserve">      fundamentales  de  los  seres  humanos,   independientemente   de   su</w:t>
        <w:br/>
        <w:t xml:space="preserve">      nacionalidad, tanto frente a su propio Estado como frente a los  otros</w:t>
        <w:br/>
        <w:t xml:space="preserve">      Estados  contratantes.   Al  aprobar  estos  tratados  sobre  derechos</w:t>
        <w:br/>
        <w:t xml:space="preserve">      humanos, los Estados se someten a  un  orden  legal  dentro  del  cual</w:t>
        <w:br/>
        <w:t xml:space="preserve">      ellos, por el bien común, asumen varias obligaciones, no  en  relación</w:t>
        <w:br/>
        <w:t xml:space="preserve">      con otros Estados, sino hacia los individuos bajo su jurisdicción[12].</w:t>
        <w:br/>
        <w:br/>
        <w:t>96.   Dicho  criterio  coincide  con  la  jurisprudencia  de  otros  órganos</w:t>
        <w:br/>
        <w:t>jurisdiccionales internacionales[13].</w:t>
        <w:br/>
        <w:br/>
        <w:t>97.   Asimismo, como esta Corte ha  advertido  en  los  Casos  del  Tribunal</w:t>
        <w:br/>
        <w:t>Constitucional e Ivcher Bronstein</w:t>
        <w:br/>
        <w:br/>
        <w:t xml:space="preserve">      [h]ay que descartar cualquier analogía entre, por un lado, la práctica</w:t>
        <w:br/>
        <w:t xml:space="preserve">      estatal permisiva desarrollada bajo el artículo 36.2 del  Estatuto  de</w:t>
        <w:br/>
        <w:t xml:space="preserve">      la Corte Internacional de Justicia, y, por otro lado, la aceptación de</w:t>
        <w:br/>
        <w:t xml:space="preserve">      la cláusula facultativa de la competencia obligatoria de  esta  Corte,</w:t>
        <w:br/>
        <w:t xml:space="preserve">      teniendo  presentes  el  carácter  especial,  así  como  el  objeto  y</w:t>
        <w:br/>
        <w:t xml:space="preserve">      propósito  de  la  Convención  Americana.   En  este  sentido  se   ha</w:t>
        <w:br/>
        <w:t xml:space="preserve">      pronunciado igualmente la Corte Europea de  Derechos  Humanos,  en  su</w:t>
        <w:br/>
        <w:t xml:space="preserve">      sentencia sobre excepciones  preliminares  en  el  caso  Loizidou  vs.</w:t>
        <w:br/>
        <w:t xml:space="preserve">      Turquía  (1995),  en  relación  con  la  cláusula  facultativa  de  su</w:t>
        <w:br/>
        <w:t xml:space="preserve">      jurisdicción  obligatoria  (artículo  46  de  la  Convención  Europea,</w:t>
        <w:br/>
        <w:t xml:space="preserve">      anteriormente a la entrada en vigor, el 01.11.1998, del Protocolo XI a</w:t>
        <w:br/>
        <w:t xml:space="preserve">      la Convención Europea), fundamentando su posición en  el  carácter  de</w:t>
        <w:br/>
        <w:t xml:space="preserve">      “tratado normativo” (law-making treaty) de la Convención Europea[14].</w:t>
        <w:br/>
        <w:br/>
        <w:t>98.   En vista de lo anterior, la Corte considera que Trinidad y  Tobago  no</w:t>
        <w:br/>
        <w:t>puede prevalerse  de  las  limitaciones  formuladas  en  su  instrumento  de</w:t>
        <w:br/>
        <w:t>aceptación de la cláusula facultativa de la jurisdicción obligatoria  de  la</w:t>
        <w:br/>
        <w:t>Corte Interamericana de Derechos Humanos, en virtud de lo establecido en  el</w:t>
        <w:br/>
        <w:t>artículo 62 de la Convención  Americana,  por  cuanto  dicha  limitación  es</w:t>
        <w:br/>
        <w:t>incompatible con el objeto y fin de la Convención.  Por lo tanto,  la  Corte</w:t>
        <w:br/>
        <w:t>considera  que  debe  desestimar  el  segundo  y  tercer  argumentos  de  la</w:t>
        <w:br/>
        <w:t>excepción preliminar interpuesta por el Estado en lo que  se  refiere  a  la</w:t>
        <w:br/>
        <w:t>competencia de la Corte.</w:t>
        <w:br/>
        <w:br/>
        <w:br/>
        <w:t xml:space="preserve">                                    VIII</w:t>
        <w:br/>
        <w:t xml:space="preserve">                             PUNTOS RESOLUTIVOS</w:t>
        <w:br/>
        <w:br/>
        <w:t>99.   Por tanto,</w:t>
        <w:br/>
        <w:br/>
        <w:br/>
        <w:t>LA CORTE</w:t>
        <w:br/>
        <w:br/>
        <w:br/>
        <w:br/>
        <w:t>DECIDE</w:t>
        <w:br/>
        <w:br/>
        <w:br/>
        <w:t>por unanimidad,</w:t>
        <w:br/>
        <w:br/>
        <w:t>1.    Desestimar en su totalidad la excepción preliminar interpuesta por  el</w:t>
        <w:br/>
        <w:t>Estado.</w:t>
        <w:br/>
        <w:br/>
        <w:t>2.    Continuar con el conocimiento y la tramitación del presente caso.</w:t>
        <w:br/>
        <w:br/>
        <w:t>3.    Comisionar a su Presidente para que, en su  oportunidad,  convoque  al</w:t>
        <w:br/>
        <w:t>Estado y a la Comisión Interamericana  a  una  audiencia  pública  sobre  el</w:t>
        <w:br/>
        <w:t>fondo del caso, por realizarse en la sede  de  la  Corte  Interamericana  de</w:t>
        <w:br/>
        <w:t>Derechos Humanos.</w:t>
        <w:br/>
        <w:br/>
        <w:t>4.    Notificar esta Sentencia al Estado y a la Comisión  Interamericana  de</w:t>
        <w:br/>
        <w:t>Derechos Humanos.</w:t>
        <w:br/>
        <w:br/>
        <w:t>Los Jueces Cançado Trindade, Salgado  Pesantes  y  García  Ramírez  hicieron</w:t>
        <w:br/>
        <w:t>conocer a la Corte sus Votos Razonados,  los  cuales  se  acompañan  a  esta</w:t>
        <w:br/>
        <w:t>Sentencia.</w:t>
        <w:br/>
        <w:br/>
        <w:br/>
        <w:t>Redactada en español y en inglés, haciendo fe el texto en  español,  en  San</w:t>
        <w:br/>
        <w:t>José, Costa Rica, el día 1 de septiembre de 2001.</w:t>
        <w:br/>
        <w:br/>
        <w:br/>
        <w:br/>
        <w:br/>
        <w:br/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br/>
        <w:t xml:space="preserve">    Alirio Abreu Burelli    Sergio García Ramírez</w:t>
        <w:br/>
        <w:br/>
        <w:br/>
        <w:t xml:space="preserve">                       Carlos Vicente de Roux Rengifo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VOTO RAZONADO DEL JUEZ A.A. CANÇADO TRINDADE</w:t>
        <w:br/>
        <w:br/>
        <w:br/>
        <w:br/>
        <w:t>1.    Voto a favor de la adopción por la Corte  Interamericana  de  Derechos</w:t>
        <w:br/>
        <w:t>Humanos de la presente Sentencia sobre Excepciones Preliminares en  el  caso</w:t>
        <w:br/>
        <w:t>Hilaire versus Trinidad y Tobago, que, a  mi  juicio  representa  un  aporte</w:t>
        <w:br/>
        <w:t>significativo del  Derecho  Internacional  de  los  Derechos  Humanos  a  la</w:t>
        <w:br/>
        <w:t>evolución de un aspecto específico del Derecho Internacional  contemporáneo,</w:t>
        <w:br/>
        <w:t>a saber, el atinente a la jurisdicción internacional obligatoria (basada  en</w:t>
        <w:br/>
        <w:t>la aceptación de la cláusula facultativa de la jurisdicción obligatoria)  de</w:t>
        <w:br/>
        <w:t>un tribunal  internacional  de  derechos  humanos.  Dada  la  transcendental</w:t>
        <w:br/>
        <w:t>importancia de esta materia, me veo en  la  obligación  de  presentar,  como</w:t>
        <w:br/>
        <w:t>fundamento jurídico de mi posición  al  respecto,  las  reflexiones  que  me</w:t>
        <w:br/>
        <w:t>permito desarrollar en este Voto Razonado, acerca de los siguientes  puntos:</w:t>
        <w:br/>
        <w:t>primero, la cuestión previa de la compétence  de  la  compétence  (Kompetenz</w:t>
        <w:br/>
        <w:t>Kompetenz) de la Corte Interamericana; segundo, el  origen  y  la  evolución</w:t>
        <w:br/>
        <w:t>del instituto de la cláusula facultativa de la jurisdicción  obligatoria,  y</w:t>
        <w:br/>
        <w:t>el examen de la práctica internacional al respecto; tercero, una  evaluación</w:t>
        <w:br/>
        <w:t>lex lata de la jurisdicción internacional  obligatoria;  cuarto,  el  efecto</w:t>
        <w:br/>
        <w:t>jurídico de la  formulación  taxativa  de  la  cláusula  facultativa  en  el</w:t>
        <w:br/>
        <w:t>artículo 62 de la  Convención  Americana  sobre  Derechos  Humanos  (numerus</w:t>
        <w:br/>
        <w:t>clausus); y cuarto, mis ponderaciones de lege ferenda sobre la  jurisdicción</w:t>
        <w:br/>
        <w:t>internacional obligatoria en el marco de la Convención Americana.</w:t>
        <w:br/>
        <w:br/>
        <w:t xml:space="preserve">      I.    Cuestión Previa: La Compétence de  la  Compétence  de  la  Corte</w:t>
        <w:br/>
        <w:t xml:space="preserve">      Interamericana de Derechos Humanos.</w:t>
        <w:br/>
        <w:br/>
        <w:t xml:space="preserve">   2. El punto de partida de mi lectura personal del sentido y alcance de la</w:t>
        <w:br/>
        <w:t xml:space="preserve">      presente Sentencia de la  Corte  Interamericana  en  el  caso  Hilaire</w:t>
        <w:br/>
        <w:t xml:space="preserve">      versus Trinidad y Tobago reside en la cuestión previa de  la  facultad</w:t>
        <w:br/>
        <w:t xml:space="preserve">      inherente de  la  Corte  para  determinar  el  alcance  de  su  propia</w:t>
        <w:br/>
        <w:t xml:space="preserve">      competencia. En efecto, los instrumentos de aceptación de la  cláusula</w:t>
        <w:br/>
        <w:t xml:space="preserve">      facultativa  de  la  jurisdicción  obligatoria   de   los   tribunales</w:t>
        <w:br/>
        <w:t xml:space="preserve">      internacionales presuponen  la  admisión,  por  los  Estados  que  los</w:t>
        <w:br/>
        <w:t xml:space="preserve">      presentan, de la competencia del tribunal internacional en cuestión de</w:t>
        <w:br/>
        <w:t xml:space="preserve">      resolver cualquier controversia relativa a su propia  jurisdicción,  -</w:t>
        <w:br/>
        <w:t xml:space="preserve">      siendo este un principio básico de derecho procesal internacional[15].</w:t>
        <w:br/>
        <w:t xml:space="preserve">      Trátase de una competencia inherente de todo  tribunal  internacional,</w:t>
        <w:br/>
        <w:t xml:space="preserve">      que atiende a un imperativo  de  seguridad  jurídica,  por  cuanto  la</w:t>
        <w:br/>
        <w:t xml:space="preserve">      determinación del alcance de su propia jurisdicción no puede estar  en</w:t>
        <w:br/>
        <w:t xml:space="preserve">      las manos de los Estados Partes[16].</w:t>
        <w:br/>
        <w:br/>
        <w:t>3.    Una reserva u objeción  o  cualquier  otro  acto  interpuesto  por  el</w:t>
        <w:br/>
        <w:t>Estado con el propósito de resguardarse la última palabra  en  relación  con</w:t>
        <w:br/>
        <w:t>cualquier aspecto de la competencia  de  la  Corte  es,  además  de  inocuo,</w:t>
        <w:br/>
        <w:t>inválido,  pues  en  cualesquiera  circunstancias  la   Corte   detiene   la</w:t>
        <w:br/>
        <w:t>compétence de la compétence. Es lo que se desprende de las Sentencias  sobre</w:t>
        <w:br/>
        <w:t>Excepciones Preliminares que viene de dictar la Corte en los casos  Hilaire,</w:t>
        <w:br/>
        <w:t>Benjamin y Constantine, relativos a Trinidad  y  Tobago,  así  como  de  las</w:t>
        <w:br/>
        <w:t>anteriores  Sentencias  sobre  Competencia  en  los   casos   del   Tribunal</w:t>
        <w:br/>
        <w:t>Constitucional  e  Ivcher  Bronstein  (1999),  relativos   al   Perú.   Esta</w:t>
        <w:br/>
        <w:t>importante jurisprudencia protectora de la  Corte  Interamericana  ha,  así,</w:t>
        <w:br/>
        <w:t>descartado una analogía con la práctica permisiva de  los  Estados  bajo  la</w:t>
        <w:br/>
        <w:t>cláusula  facultativa  de  la   jurisdicción   obligatoria   de   la   Corte</w:t>
        <w:br/>
        <w:t>Internacional de Justicia (artículo 36.2 del Estatuto de esta última).  Paso</w:t>
        <w:br/>
        <w:t>al examen de este punto específico en perspectiva  histórica,  para  revelar</w:t>
        <w:br/>
        <w:t>el sentido y alcance de lo decidido por la Corte Interamericana.</w:t>
        <w:br/>
        <w:br/>
        <w:t xml:space="preserve">      II.   La Cláusula Facultativa  de  la  Jurisdicción  Obligatoria:  Del</w:t>
        <w:br/>
        <w:t xml:space="preserve">      Ideal Profesado a una Práctica Desvirtuada.</w:t>
        <w:br/>
        <w:br/>
        <w:br/>
        <w:t>4.     Las  cláusulas  facultativas  de  reconocimiento  de  la  competencia</w:t>
        <w:br/>
        <w:t>contenciosa de  las  Cortes  Europea  (antes  del  Protocolo  n.  11)[17]  e</w:t>
        <w:br/>
        <w:t>Interamericana de  Derechos  Humanos  se  inspiraron  en  el  modelo  de  la</w:t>
        <w:br/>
        <w:t>cláusula facultativa de  la  jurisdicción  obligatoria  de  la  CIJ,  -  una</w:t>
        <w:br/>
        <w:t>fórmula originalmente concebida hace más de 80  años.  A  pesar  del  origen</w:t>
        <w:br/>
        <w:t>común,  en  búsqueda  de  la  realización   del   ideal   de   la   justicia</w:t>
        <w:br/>
        <w:t>internacional, el rationale de la aplicación de la cláusula  facultativa  ha</w:t>
        <w:br/>
        <w:t>sido interpretado de modo fundamentalmente  distinto,  por  un  lado  en  el</w:t>
        <w:br/>
        <w:t>contencioso interestatal, y por otro en el de los derechos  humanos.  En  el</w:t>
        <w:br/>
        <w:t>primero, han prevalecido  hasta  la  fecha  consideraciones  del  equilibrio</w:t>
        <w:br/>
        <w:t>contractual entre las Partes, de la reciprocidad, a la luz  de  la  igualdad</w:t>
        <w:br/>
        <w:t>jurídica  de  los   Estados   soberanos;   en   el   segundo,   priman   las</w:t>
        <w:br/>
        <w:t>consideraciones de ordre public, de la garantía colectiva  ejercida  por  el</w:t>
        <w:br/>
        <w:t>conjunto de los Estados Partes, de  la  realización  de  una  meta  común  y</w:t>
        <w:br/>
        <w:t>superior a  los  intereses  individuales  de  cada  Parte  Contratante  (cf.</w:t>
        <w:br/>
        <w:t>infra).</w:t>
        <w:br/>
        <w:br/>
        <w:t>5.    Cabe inicialmente recordar el histórico legislativo de la  disposición</w:t>
        <w:br/>
        <w:t>del artículo 36.2 del Estatuto de la Corte Internacional de Justicia  (CIJ),</w:t>
        <w:br/>
        <w:t>que es  esencialmente  la  misma  que  la  disposición  correspondiente  del</w:t>
        <w:br/>
        <w:t>Estatuto  de  su  predecesora,  la  antigua  Corte  Permanente  de  Justicia</w:t>
        <w:br/>
        <w:t>Internacional (CPJI). El referido artículo 36.2 establece que</w:t>
        <w:br/>
        <w:br/>
        <w:t xml:space="preserve">            "Los Estados Partes en el presente Estatuto podrán  declarar  en</w:t>
        <w:br/>
        <w:t xml:space="preserve">      cualquier momento que reconocen como  obligatoria  ipso  facto  y  sin</w:t>
        <w:br/>
        <w:t xml:space="preserve">      convenio especial, respecto a cualquier  otro  Estado  que  acepte  la</w:t>
        <w:br/>
        <w:t xml:space="preserve">      misma  obligación,  la  jurisdicción  de  la  Corte   en   todas   las</w:t>
        <w:br/>
        <w:t xml:space="preserve">      controversias de orden jurídico que versen sobre: a) la interpretación</w:t>
        <w:br/>
        <w:t xml:space="preserve">      de un tratado; b) cualquier cuestión de derecho internacional;  c)  la</w:t>
        <w:br/>
        <w:t xml:space="preserve">      existencia de todo  hecho  que,  si  fuere  establecido,  constituiría</w:t>
        <w:br/>
        <w:t xml:space="preserve">      violación  de  una  obligación  internacional;  d)  la  naturaleza   o</w:t>
        <w:br/>
        <w:t xml:space="preserve">      extensión de la reparación que ha de hacerse por el quebrantamiento de</w:t>
        <w:br/>
        <w:t xml:space="preserve">      una obligación internacional".</w:t>
        <w:br/>
        <w:br/>
        <w:t>El artículo 36.3 agrega que "la declaración a que se refiere  este  Artículo</w:t>
        <w:br/>
        <w:t>podrá hacerse incondicionalmente o bajo condición de reciprocidad por  parte</w:t>
        <w:br/>
        <w:t>de varios o determinados Estados, o por determinado tiempo"[18].</w:t>
        <w:br/>
        <w:br/>
        <w:t>6.    El origen de la disposición arriba  transcrita  se  encuentra  en  los</w:t>
        <w:br/>
        <w:t>travaux préparatoires del Estatuto original de la CPJI. Fue  este  redactado</w:t>
        <w:br/>
        <w:t>en 1920 por un Comité Consultivo de  Jurisconsultos  (de  10  miembros)[19],</w:t>
        <w:br/>
        <w:t>designado por el Consejo de la Sociedad de las Naciones, y que se reunió  en</w:t>
        <w:br/>
        <w:t>La Haya, en los meses de junio y julio de 1920. En aquel entonces había  los</w:t>
        <w:br/>
        <w:t>que  favorecían  el  reconocimiento  puro  y  simple  de   la   jurisdicción</w:t>
        <w:br/>
        <w:t>obligatoria de la  futura  CPJI,  a  lo  que  se  oponían  los  Estados  más</w:t>
        <w:br/>
        <w:t>poderosos, alegando que  tenían  que  gradualmente  ganar  confianza  en  el</w:t>
        <w:br/>
        <w:t>tribunal internacional  a  ser  creado,  antes  de  atribuirle  jurisdicción</w:t>
        <w:br/>
        <w:t>obligatoria tout court. Para superar el impasse  en  el  seno  del  referido</w:t>
        <w:br/>
        <w:t>Comité de Jurisconsultos, uno de sus miembros,  el  jurista  brasileño  Raul</w:t>
        <w:br/>
        <w:t>Fernandes, propuso la fórmula ingeniosa que se  transformó  en  el  artículo</w:t>
        <w:br/>
        <w:t>36.2 del Estatuto - la misma del actual Estatuto de la CIJ,  -  que  vino  a</w:t>
        <w:br/>
        <w:t>ser  conocida   como   la   "cláusula   facultativa   de   la   jurisdicción</w:t>
        <w:br/>
        <w:t>obligatoria"[20]. El Estatuto, aprobado en 13.12.1920,  entró  en  vigor  en</w:t>
        <w:br/>
        <w:t>01.09.1921[21].</w:t>
        <w:br/>
        <w:br/>
        <w:t>7.    En aquella época, la decisión tomada constituyó el paso  inicial  que,</w:t>
        <w:br/>
        <w:t>durante el período de 1921-1940, contribuyó a atraer  la  aceptación  de  la</w:t>
        <w:br/>
        <w:t>jurisdicción obligatoria - bajo la cláusula facultativa - de la CPJI  de  un</w:t>
        <w:br/>
        <w:t>total de 45 Estados[22]. Este principio era  firmemente  defendido  por  los</w:t>
        <w:br/>
        <w:t>Estados latinoamericanos,  y,  al  tenerlo  presente,  la  fórmula  de  Raul</w:t>
        <w:br/>
        <w:t>Fernandes[23], trasladada al</w:t>
        <w:br/>
        <w:br/>
        <w:t>Estatuto de la CPJI, fue aclamada como una contribución  latinoamericana  al</w:t>
        <w:br/>
        <w:t>establecimiento de la jurisdicción internacional[24]. Dicha  fórmula  sirvió</w:t>
        <w:br/>
        <w:t>su propósito en las dos décadas siguientes.</w:t>
        <w:br/>
        <w:br/>
        <w:t>8.     En  la  Conferencia  de  San  Francisco  de  1945,  se  contempló  la</w:t>
        <w:br/>
        <w:t>posibilidad de dar un paso adelante, con una eventual aceptación  automática</w:t>
        <w:br/>
        <w:t>de la jurisdicción obligatoria de la nueva CIJ;  sin  embargo,  las  grandes</w:t>
        <w:br/>
        <w:t>potencias - en particular los Estados Unidos  y  la  Unión  Soviética  -  se</w:t>
        <w:br/>
        <w:t>opusieron a esta evolución, sosteniendo la retención, en el Estatuto  de  la</w:t>
        <w:br/>
        <w:t>nueva  CIJ,  de  la  misma  "cláusula   facultativa   de   la   jurisdicción</w:t>
        <w:br/>
        <w:t>obligatoria" del Estatuto de 1920 de la predecesora CPJI. El relator  de  la</w:t>
        <w:br/>
        <w:t>Comisión de Juristas encargada de estudiar la materia en la  Conferencia  de</w:t>
        <w:br/>
        <w:t>San Francisco de 1945, el jurista francés Jules  Basdevant,  señaló  que,  a</w:t>
        <w:br/>
        <w:t>pesar de que la  mayoría  de  los  miembros  de  la  Comisión  favorecía  la</w:t>
        <w:br/>
        <w:t>aceptación automática de la  jurisdicción  obligatoria,  no  había  voluntad</w:t>
        <w:br/>
        <w:t>política en la Conferencia (y tampoco en las propuestas de  Dumbarton  Oaks)</w:t>
        <w:br/>
        <w:t>para dar este paso adelante[25].</w:t>
        <w:br/>
        <w:br/>
        <w:t>9.    Consecuentemente, se mantuvo en el actual Estatuto de la CIJ la  misma</w:t>
        <w:br/>
        <w:t>formulación de 1920, la cual  correspondía  a  una  concepción  del  derecho</w:t>
        <w:br/>
        <w:t>internacional del inicio del siglo XX. Por la intransigencia de los  Estados</w:t>
        <w:br/>
        <w:t>más poderosos, se perdió una  oportunidad  única  de  superar  la  falta  de</w:t>
        <w:br/>
        <w:t>automatismo  de  la  jurisdicción  internacional  y  de  fomentar  un  mayor</w:t>
        <w:br/>
        <w:t>desarrollo de la jurisdicción obligatoria  del  tribunal  internacional[26].</w:t>
        <w:br/>
        <w:t>Obsérvese que  todo  se  pasó  en  el  plano  de  las  relaciones  puramente</w:t>
        <w:br/>
        <w:t>interestatales. La fórmula de la cláusula  facultativa  de  la  jurisdicción</w:t>
        <w:br/>
        <w:t>obligatoria (de la CIJ) que hoy existe, nada más es que un  esquema  de  los</w:t>
        <w:br/>
        <w:t>años veinte, estratificado  en  el  tiempo[27],  y  que,  a  rigor,  no  más</w:t>
        <w:br/>
        <w:t>corresponde a las necesidades  del  contencioso  internacional  ni  siquiera</w:t>
        <w:br/>
        <w:t>puramente interestatal[28].</w:t>
        <w:br/>
        <w:br/>
        <w:t>10.   Tanto es así que, en 1997, por ejemplo, de los  185  Estados  miembros</w:t>
        <w:br/>
        <w:t>de Naciones Unidas, no más que 60 Estados  se  sometían  a  la  jurisdicción</w:t>
        <w:br/>
        <w:t>obligatoria de  la  CIJ  por  aceptación  de  la  cláusula  facultativa  del</w:t>
        <w:br/>
        <w:t>artículo 36.2 de su Estatuto[29],  -  o  sea,  menos  de  un  tercio  de  la</w:t>
        <w:br/>
        <w:t>comunidad internacional de nuestros días. Y varios de  los  Estados  que  la</w:t>
        <w:br/>
        <w:t>han   utilizado,   han   hecho   un   uso   desvirtuado   de    la    misma,</w:t>
        <w:br/>
        <w:t>desnaturalizándola, al introducir restricciones que militan en contra de  su</w:t>
        <w:br/>
        <w:t>rationale y la privan de toda eficacia. En realidad,  casi  dos  tercios  de</w:t>
        <w:br/>
        <w:t>las declaraciones  de  aceptación  de  la  mencionada  cláusula  han  venido</w:t>
        <w:br/>
        <w:t>acompañadas  de  limitaciones  y   restricciones   que   las   han   tornado</w:t>
        <w:br/>
        <w:t>"prácticamente sin sentido"[30].</w:t>
        <w:br/>
        <w:br/>
        <w:t>11.   Se puede, pues,  cuestionar  seriamente  si  la  cláusula  facultativa</w:t>
        <w:br/>
        <w:t>sigue sirviendo el mismo  propósito  que  la  inspiró  en  la  época  de  la</w:t>
        <w:br/>
        <w:t>CPJI[31].  El  índice  de  su  aceptación  en  la   era   de   la   CIJ   es</w:t>
        <w:br/>
        <w:t>proporcionalmente inferior al de  la  época  de  su  predecesora,  la  CPJI.</w:t>
        <w:br/>
        <w:t>Además, a lo largo de los años,  la  posibilidad  abierta  por  la  cláusula</w:t>
        <w:br/>
        <w:t>facultativa de aceptación de  la  jurisdicción  del  tribunal  internacional</w:t>
        <w:br/>
        <w:t>pasó, en efecto, a ser objeto de excesos por parte de algunos  Estados,  que</w:t>
        <w:br/>
        <w:t>sólo aceptaban  la  jurisdicción  obligatoria  de  la  CIJ  en  sus  propios</w:t>
        <w:br/>
        <w:t>términos, con todo tipo de limitaciones[32]. Así, en nada sorprende que,  ya</w:t>
        <w:br/>
        <w:t>en mediados de los años cincuenta, se pasó  a  hablar  abiertamente  de  una</w:t>
        <w:br/>
        <w:t>decadencia de la cláusula facultativa[33].</w:t>
        <w:br/>
        <w:br/>
        <w:t>12.   Estos excesos ocurrieron precisamente porque, al elaborar el  Estatuto</w:t>
        <w:br/>
        <w:t>de la nueva  CIJ,  se  dejó  de  acompañar  la  evolución  de  la  comunidad</w:t>
        <w:br/>
        <w:t>internacional. Se abandonó la propia base de la jurisdicción obligatoria  de</w:t>
        <w:br/>
        <w:t>la  CIJ  a  una   concepción   voluntarista   del   derecho   internacional,</w:t>
        <w:br/>
        <w:t>prevaleciente  en  el  inicio   del   siglo   pasado,   pero   desautorizada</w:t>
        <w:br/>
        <w:t>posteriormente por sus consecuencias nefastas  para  la  conducción  de  las</w:t>
        <w:br/>
        <w:t>relaciones internacionales, - tal como lo advierte con vehemencia  la  mejor</w:t>
        <w:br/>
        <w:t>doctrina jurídica internacional contemporánea. No puede restar  duda  alguna</w:t>
        <w:br/>
        <w:t>de que  la  práctica  desvirtuada  e  incongruente,  desencadenada  bajo  el</w:t>
        <w:br/>
        <w:t>artículo 36.2 del Estatuto de la CIJ, no sirve, en definitiva, como  ejemplo</w:t>
        <w:br/>
        <w:t>o modelo a ser seguido por los Estados Partes en tratados de  protección  de</w:t>
        <w:br/>
        <w:t>los derechos del ser humano como  la  Convención  Americana  sobre  Derechos</w:t>
        <w:br/>
        <w:t>Humanos, en lo relativo al alcance de la base  jurisdiccional  de  actuación</w:t>
        <w:br/>
        <w:t>de la Corte Interamericana de Derechos Humanos.</w:t>
        <w:br/>
        <w:br/>
        <w:br/>
        <w:t xml:space="preserve">      III.   La  Jurisdicción  Internacional  Obligatoria:  Reflexiones  Lex</w:t>
        <w:br/>
        <w:t xml:space="preserve">           Lata.</w:t>
        <w:br/>
        <w:br/>
        <w:br/>
        <w:t>13.   El derecho internacional contemporáneo ha  gradualmente  evolucionado,</w:t>
        <w:br/>
        <w:t>poniendo límites a las manifestaciones de un  voluntarismo  estatal  que  se</w:t>
        <w:br/>
        <w:t>revela propio de otra época[34]. La metodología  de  interpretación  de  los</w:t>
        <w:br/>
        <w:t>tratados de derechos humanos[35], desarrollada a partir  de  las  reglas  de</w:t>
        <w:br/>
        <w:t>interpretación consagradas en  el  derecho  internacional  (tales  como  las</w:t>
        <w:br/>
        <w:t>enunciadas en los artículos 31-33 de las dos  Convenciones  de  Viena  sobre</w:t>
        <w:br/>
        <w:t>Derecho de  los  Tratados,  de  1969  y  1986),  alcanza  tanto  las  normas</w:t>
        <w:br/>
        <w:t>sustantivas (sobre los derechos protegidos) como  las  cláusulas  que  rigen</w:t>
        <w:br/>
        <w:t>los mecanismos de protección internacional.</w:t>
        <w:br/>
        <w:br/>
        <w:t>14.   La  Corte  Interamericana  de  Derechos  Humanos  tiene  el  deber  de</w:t>
        <w:br/>
        <w:t>preservar la integridad del sistema regional convencional de  protección  de</w:t>
        <w:br/>
        <w:t>los  derechos  humanos  como  un  todo.  Sería  inadmisible  subordinar   la</w:t>
        <w:br/>
        <w:t>operación del  mecanismo  convencional  de  protección  a  restricciones  no</w:t>
        <w:br/>
        <w:t>expresamente autorizadas por la Convención Americana, interpuestas  por  los</w:t>
        <w:br/>
        <w:t>Estados Partes en sus instrumentos de aceptación de la cláusula  facultativa</w:t>
        <w:br/>
        <w:t>de la jurisdicción obligatoria de la Corte Interamericana  (artículo  62  de</w:t>
        <w:br/>
        <w:t>la Convención Americana). Ésto no sólo afectaría de  inmediato  la  eficacia</w:t>
        <w:br/>
        <w:t>de la operación del mecanismo  convencional  de  protección,  sino,  además,</w:t>
        <w:br/>
        <w:t>fatalmente impediría sus posibilidades de desarrollo futuro.</w:t>
        <w:br/>
        <w:br/>
        <w:t>15.   En  virtud  del  principio  ut  res  magis  valeat  quam  pereat,  que</w:t>
        <w:br/>
        <w:t>corresponde al llamado effet utile  (a  veces  denominado  principio  de  la</w:t>
        <w:br/>
        <w:t>efectividad), ampliamente respaldado  por  la  jurisprudencia,  los  Estados</w:t>
        <w:br/>
        <w:t>Partes  en  los  tratados  de  derechos  humanos  deben   asegurar   a   las</w:t>
        <w:br/>
        <w:t>disposiciones  convencionales  los  efectos  propios  en  el  plano  de  sus</w:t>
        <w:br/>
        <w:t>respectivos derechos internos. Tal principio se aplica no sólo  en  relación</w:t>
        <w:br/>
        <w:t>con las normas sustantivas de los tratados de derechos  humanos  (es  decir,</w:t>
        <w:br/>
        <w:t>las que disponen sobre los derechos protegidos), sino  también  en  relación</w:t>
        <w:br/>
        <w:t>con las normas  procesales,  en  particular  las  relativas  al  derecho  de</w:t>
        <w:br/>
        <w:t>petición individual y a la aceptación  de  la  competencia  contenciosa  del</w:t>
        <w:br/>
        <w:t>órgano   judicial   internacional   de    protección[36].    Tales    normas</w:t>
        <w:br/>
        <w:t>convencionales,  esenciales  a  la  eficacia  del  sistema   de   protección</w:t>
        <w:br/>
        <w:t>internacional, han de ser interpretadas y aplicadas de  modo  a  tornar  sus</w:t>
        <w:br/>
        <w:t>salvaguardias verdaderamente prácticas y  eficaces,  teniendo  presentes  el</w:t>
        <w:br/>
        <w:t>carácter especial de los tratados de derechos humanos  y  su  implementación</w:t>
        <w:br/>
        <w:t>colectiva.</w:t>
        <w:br/>
        <w:br/>
        <w:t>16.   La Corte Europea de Derechos Humanos tuvo ocasión de  pronunciarse  al</w:t>
        <w:br/>
        <w:t>respecto.  Así,  en  su  Sentencia  sobre  Excepciones   Preliminares   (del</w:t>
        <w:br/>
        <w:t>23.03.1995) en el caso Loizidou versus Turquia, advirtió que, a  la  luz  de</w:t>
        <w:br/>
        <w:t>la letra y del espíritu de la Convención Europea  no  se  puede  inferir  la</w:t>
        <w:br/>
        <w:t>posibilidad  de  restricciones  a  la  cláusula  facultativa   relativa   al</w:t>
        <w:br/>
        <w:t>reconocimiento de la competencia contenciosa de la  Corte  Europea[37],  por</w:t>
        <w:br/>
        <w:t>analogía con la práctica estatal permisiva bajo el artículo 36 del  Estatuto</w:t>
        <w:br/>
        <w:t>de la CIJ; bajo la Convención Europea, se había formado una práctica de  los</w:t>
        <w:br/>
        <w:t>Estados Partes precisamente a contrario sensu, aceptando dicha cláusula  sin</w:t>
        <w:br/>
        <w:t>restricciones[38].</w:t>
        <w:br/>
        <w:br/>
        <w:t>17.   En el dominio de la protección internacional de los derechos  humanos,</w:t>
        <w:br/>
        <w:t>no hay limitaciones "implícitas" al ejercicio de los  derechos  consagrados;</w:t>
        <w:br/>
        <w:t>y las limitaciones constantes de los  tratados  de  protección  han  de  ser</w:t>
        <w:br/>
        <w:t>restrictivamente interpretadas. La cláusula facultativa de  la  jurisdicción</w:t>
        <w:br/>
        <w:t>obligatoria de los tribunales internacionales de derechos  humanos  no  hace</w:t>
        <w:br/>
        <w:t>excepción  a  esto:  no  admite  limitaciones  otras  que  las  expresamente</w:t>
        <w:br/>
        <w:t>contenidas en los tratados de derechos  humanos  en  cuestión,  y,  dada  su</w:t>
        <w:br/>
        <w:t>capital importancia, no podría estar a merced de limitaciones  en  ellos  no</w:t>
        <w:br/>
        <w:t>previstas e invocadas por los Estados Partes por razones  o  vicisitudes  de</w:t>
        <w:br/>
        <w:t>orden interno[39].</w:t>
        <w:br/>
        <w:br/>
        <w:t>18.    En  sus  estudios  clásicos  sobre  la  base   de   la   jurisdicción</w:t>
        <w:br/>
        <w:t>internacional, dos distinguidos  scholars,  C.W.  Jenks  y  C.H.M.  Waldock,</w:t>
        <w:br/>
        <w:t>alertaron, ya en las décadas de cincuenta y sesenta, para el grave  problema</w:t>
        <w:br/>
        <w:t>que planteaba la inserción, por los Estados, de todos tipos de  limitaciones</w:t>
        <w:br/>
        <w:t>y  restricciones  en  sus  instrumentos  de  aceptación   de   la   cláusula</w:t>
        <w:br/>
        <w:t>facultativa de la jurisdicción obligatoria (de la CIJ)[40]. A pesar  de  que</w:t>
        <w:br/>
        <w:t>tales limitaciones jamás hayan estado previstas  en  la  formulación  de  la</w:t>
        <w:br/>
        <w:t>cláusula facultativa, los Estados, ante tal vacío  legal,  se  han  sentido,</w:t>
        <w:br/>
        <w:t>sin  embargo,  "libres"  para  insertarlas.   Tales   excesos   han   minado</w:t>
        <w:br/>
        <w:t>contradictoriamente  la  propia  base  del  sistema   de   la   jurisdicción</w:t>
        <w:br/>
        <w:t>internacional obligatoria. Como bien se señaló en un estudio  clásico  sobre</w:t>
        <w:br/>
        <w:t>la materia, los instrumentos de aceptación de la competencia contenciosa  de</w:t>
        <w:br/>
        <w:t>un tribunal internacional deberían efectuarse "en los términos que  aseguren</w:t>
        <w:br/>
        <w:t>una medida razonable de estabilidad en la aceptación de  la  competencia  de</w:t>
        <w:br/>
        <w:t>la Corte"[41], - o sea, en los términos expresamente previstos en el  propio</w:t>
        <w:br/>
        <w:t>tratado internacional (cf. infra).</w:t>
        <w:br/>
        <w:br/>
        <w:t>19.   La cláusula relativa a la jurisdicción obligatoria de  los  tribunales</w:t>
        <w:br/>
        <w:t>internacionales de derechos humanos  constituye,  a  mi  modo  de  ver,  una</w:t>
        <w:br/>
        <w:t>cláusula pétrea de la  protección  internacional  del  ser  humano,  que  no</w:t>
        <w:br/>
        <w:t>admite cualesquiera restricciones otras que las previstas  en  los  tratados</w:t>
        <w:br/>
        <w:t>de derechos humanos. Así lo ha establecido la Corte  Interamericana  en  sus</w:t>
        <w:br/>
        <w:t>Sentencias sobre Competencia en los  casos  del  Tribunal  Constitucional  e</w:t>
        <w:br/>
        <w:t>Ivcher Bronstein:</w:t>
        <w:br/>
        <w:br/>
        <w:t xml:space="preserve">            - "La aceptación de  la  competencia  contenciosa  de  la  Corte</w:t>
        <w:br/>
        <w:t xml:space="preserve">      constituye una cláusula pétrea que no admite limitaciones que no estén</w:t>
        <w:br/>
        <w:t xml:space="preserve">      expresamente  contenidas  en  el  artículo  62.1  de   la   Convención</w:t>
        <w:br/>
        <w:t xml:space="preserve">      Americana. Dada la fundamental importancia de dicha cláusula  para  la</w:t>
        <w:br/>
        <w:t xml:space="preserve">      operación del sistema de protección de la Convención,  no  puede  ella</w:t>
        <w:br/>
        <w:t xml:space="preserve">      estar a merced de limitaciones no previstas que sean invocadas por los</w:t>
        <w:br/>
        <w:t xml:space="preserve">      Estados Partes por razones de orden interno"[42].</w:t>
        <w:br/>
        <w:br/>
        <w:t>La permisividad de  la  inserción  de  limitaciones,  no  previstas  en  los</w:t>
        <w:br/>
        <w:t>tratados de derechos  humanos,  en  un  instrumento  de  aceptación  de  una</w:t>
        <w:br/>
        <w:t>cláusula facultativa de  la  jurisdicción  obligatoria[43],  representa  una</w:t>
        <w:br/>
        <w:t>lamentable  deformación  histórica  de  la  concepción  original  de   dicha</w:t>
        <w:br/>
        <w:t>cláusula,  en  mi  entender  inaceptable  en  el  campo  de  la   protección</w:t>
        <w:br/>
        <w:t>internacional de los derechos de la persona humana.</w:t>
        <w:br/>
        <w:br/>
        <w:t>20.   Es deber de un tribunal internacional de derechos  humanos  velar  por</w:t>
        <w:br/>
        <w:t>la debida aplicación del tratado de  derechos  humanos  en  cuestión  en  el</w:t>
        <w:br/>
        <w:t>marco del derecho interno de cada  Estado  Parte,  de  modo  a  asegurar  la</w:t>
        <w:br/>
        <w:t>protección eficaz en el ámbito  de  este  último  de  los  derechos  humanos</w:t>
        <w:br/>
        <w:t>consagrados en  dicho  tratado[44].  Cualquier  entendimiento  en  contrario</w:t>
        <w:br/>
        <w:t>sustraería del tribunal internacional de derechos humanos  el  ejercicio  de</w:t>
        <w:br/>
        <w:t>la función y del deber de protección inherentes a su  jurisdicción,  dejando</w:t>
        <w:br/>
        <w:t>de asegurar que el tratado de derechos humanos  tenga  el  efecto  apropiado</w:t>
        <w:br/>
        <w:t>(effet utile) en el derecho interno de cada Estado Parte. Es  por  esto  que</w:t>
        <w:br/>
        <w:t>sostengo que la cláusula facultativa  de  la  jurisdicción  obligatoria  del</w:t>
        <w:br/>
        <w:t>tribunal internacional de derechos humanos constituye  una  cláusula  pétrea</w:t>
        <w:br/>
        <w:t>de la protección internacional del ser humano, que  no  admite  cualesquiera</w:t>
        <w:br/>
        <w:t>restricciones otras que las expresamente previstas en el propio  tratado  de</w:t>
        <w:br/>
        <w:t>derechos humanos en cuestión.</w:t>
        <w:br/>
        <w:br/>
        <w:br/>
        <w:br/>
        <w:br/>
        <w:t xml:space="preserve">      IV.   La Formulación Taxativa de la Cláusula Facultativa del  Artículo</w:t>
        <w:br/>
        <w:t xml:space="preserve">      62  de  la  Convención  Americana  sobre  Derechos  Humanos   (Numerus</w:t>
        <w:br/>
        <w:t xml:space="preserve">      Clausus).</w:t>
        <w:br/>
        <w:br/>
        <w:t>21.   El presente caso Hilaire versus Trinidad y Tobago incita a  un  examen</w:t>
        <w:br/>
        <w:t>profundizado de este punto específico. Los párrafos 1 y 2  del  artículo  62</w:t>
        <w:br/>
        <w:t>de la Convención Americana sobre Derechos Humanos disponen que</w:t>
        <w:br/>
        <w:br/>
        <w:t xml:space="preserve">            "Todo Estado Parte puede, en  el  momento  del  depósito  de  su</w:t>
        <w:br/>
        <w:t xml:space="preserve">      instrumento de ratificación  o  adhesión  de  esta  Convención,  o  en</w:t>
        <w:br/>
        <w:t xml:space="preserve">      cualquier momento posterior, declarar que reconoce como obligatoria de</w:t>
        <w:br/>
        <w:t xml:space="preserve">      pleno derecho y sin convención especial, la competencia  de  la  Corte</w:t>
        <w:br/>
        <w:t xml:space="preserve">      sobre todos los casos relativos a la interpretación  o  aplicación  de</w:t>
        <w:br/>
        <w:t xml:space="preserve">      esta Convención.</w:t>
        <w:br/>
        <w:t xml:space="preserve">            LA  DECLARACIÓN  PUEDE  SER  HECHA  INCONDICIONALMENTE,  O  BAJO</w:t>
        <w:br/>
        <w:t xml:space="preserve">      CONDICIÓN DE RECIPROCIDAD, POR  UN  PLAZO  DETERMINADO  O  PARA  CASOS</w:t>
        <w:br/>
        <w:t xml:space="preserve">      ESPECÍFICOS.  DEBERÁ  SER  PRESENTADA  AL  SECRETARIO  GENERAL  DE  LA</w:t>
        <w:br/>
        <w:t xml:space="preserve">      ORGANIZACIÓN, QUIÉN TRANSMITIRÁ COPIAS DE LA MISMA A LOS OTROS ESTADOS</w:t>
        <w:br/>
        <w:t xml:space="preserve">      MIEMBROS DE LA ORGANIZACIÓN Y AL SECRETARIO DE LA CORTE"[45].</w:t>
        <w:br/>
        <w:br/>
        <w:t>22.   En efecto, las modalidades de aceptación, por un Estado  Parte  en  la</w:t>
        <w:br/>
        <w:t>Convención, de  la  competencia  contenciosa  de  la  Corte  Interamericana,</w:t>
        <w:br/>
        <w:t>encuéntranse  expresamente   estipuladas   en   las   disposiciones   arriba</w:t>
        <w:br/>
        <w:t>transcritas; la formulación de la cláusula facultativa  de  la  jurisdicción</w:t>
        <w:br/>
        <w:t>obligatoria de la Corte Interamericana, en el artículo 62 de  la  Convención</w:t>
        <w:br/>
        <w:t>Americana, no es simplemente ilustrativa, sino claramente  taxativa.  Ningún</w:t>
        <w:br/>
        <w:t>Estado está obligado a aceptar una  cláusula  facultativa,  como  el  propio</w:t>
        <w:br/>
        <w:t>nombre de ésta lo indica. Así, una "reserva" a la  cláusula  facultativa  de</w:t>
        <w:br/>
        <w:t>la jurisdicción obligatoria de la Corte Interamericana del  artículo  62  de</w:t>
        <w:br/>
        <w:t>la Convención Americana equivaldría simplemente a la no-aceptación de  dicha</w:t>
        <w:br/>
        <w:t>cláusula, lo que está previsto en la Convención. Pero  si  un  Estado  Parte</w:t>
        <w:br/>
        <w:t>decide aceptarla, debe hacerlo en los términos expresamente  estipulados  en</w:t>
        <w:br/>
        <w:t>dicha cláusula.</w:t>
        <w:br/>
        <w:br/>
        <w:t>23.   Según el artículo 62.2 de la Convención, la aceptación, por un  Estado</w:t>
        <w:br/>
        <w:t>Parte, de la competencia contenciosa de la Corte Interamericana,  puede  ser</w:t>
        <w:br/>
        <w:t>efectuada en cuatro modalidades, a saber:  a)  incondicionalmente;  b)  bajo</w:t>
        <w:br/>
        <w:t>condición de reciprocidad; c) por un plazo  determinado;  y  d)  para  casos</w:t>
        <w:br/>
        <w:t>específicos. Son éstas, y tan sólo éstas, las modalidades de  aceptación  de</w:t>
        <w:br/>
        <w:t>la  competencia  contenciosa  de  la  Corte   Interamericana   previstas   y</w:t>
        <w:br/>
        <w:t>autorizadas por el artículo 62.2 de la Convención, que  no  autoriza  a  los</w:t>
        <w:br/>
        <w:t>Estados Partes interponer cualesquiera  otras  condiciones  o  restricciones</w:t>
        <w:br/>
        <w:t>(numerus clausus).</w:t>
        <w:br/>
        <w:br/>
        <w:t>24.   En mi entendimiento, no se puede sostener, en  esta  materia,  que  lo</w:t>
        <w:br/>
        <w:t>que no está  prohibido,  está  permitido.  Esta  postura  equivaldría  a  la</w:t>
        <w:br/>
        <w:t>actitud tradicional - y superada -  del  laisser-faire,  laisser-passer,  es</w:t>
        <w:br/>
        <w:t>propia  de  un  ordenamiento  jurídico  internacional  fragmentado  por   el</w:t>
        <w:br/>
        <w:t>subjetivismo estatal  voluntarista,  que  en  la  historia  del  Derecho  ha</w:t>
        <w:br/>
        <w:t>favorecido ineluctablemente los más poderosos. Ubi societas, ibi  jus...  En</w:t>
        <w:br/>
        <w:t>este inicio del siglo XXI, en un ordenamiento jurídico internacional en  que</w:t>
        <w:br/>
        <w:t>se busca afirmar valores comunes superiores, en medio a  consideraciones  de</w:t>
        <w:br/>
        <w:t>ordre public internacional, como en el dominio del Derecho Internacional  de</w:t>
        <w:br/>
        <w:t>los Derechos  Humanos,  es  precisamente  la  lógica  inversa  la  que  debe</w:t>
        <w:br/>
        <w:t>imponerse: lo que no está permitido, está prohibido.</w:t>
        <w:br/>
        <w:br/>
        <w:t>25.   Si  estamos  realmente  dispuestos  a  extraer  las  lecciones  de  la</w:t>
        <w:br/>
        <w:t>evolución del Derecho Internacional en el mundo  convulsionado  a  lo  largo</w:t>
        <w:br/>
        <w:t>del  siglo  XX,  si  pretendemos  tener  presentes  los  esfuerzos  de   las</w:t>
        <w:br/>
        <w:t>generaciones pasadas por  construir  un  mundo  más  ecuánime  y  justo,  si</w:t>
        <w:br/>
        <w:t>creemos que las mismas normas, principios  y  criterios  deben  aplicarse  a</w:t>
        <w:br/>
        <w:t>todos los  Estados  (jurídicamente  iguales  a  pesar  de  las  disparidades</w:t>
        <w:br/>
        <w:t>fácticas), y si nos disponemos realmente  a  impulsar  los  ideales  de  los</w:t>
        <w:br/>
        <w:t>verdaderos  jusinternacionalistas  que  nos  precedieron,   -   no   podemos</w:t>
        <w:br/>
        <w:t>convalidar  una  práctica  internacional  que  se   ha   curvado   ante   el</w:t>
        <w:br/>
        <w:t>voluntarismo estatal, que ha traicionado  el  espíritu  y  propósito  de  la</w:t>
        <w:br/>
        <w:t>cláusula  facultativa  de  la  jurisdicción  obligatoria,  -  a   punto   de</w:t>
        <w:br/>
        <w:t>desnaturalizarla por completo, - y que ha conllevado a  la  perpetuación  de</w:t>
        <w:br/>
        <w:t>un mundo fragmentado en unidades estatales que se estiman  árbitros  finales</w:t>
        <w:br/>
        <w:t>del alcance de las obligaciones internacionales contraídas, al mismo  tiempo</w:t>
        <w:br/>
        <w:t>en que no parecen verdaderamente creer en lo que han aceptado:  la  justicia</w:t>
        <w:br/>
        <w:t>internacional.</w:t>
        <w:br/>
        <w:br/>
        <w:t>26.   No toda práctica se consustancia en costumbre de modo a  conformar  el</w:t>
        <w:br/>
        <w:t>derecho internacional general, por cuanto una determinada práctica puede  no</w:t>
        <w:br/>
        <w:t>estar conforme al Derecho (ex injuria jus non oritur). Así,  no  es  función</w:t>
        <w:br/>
        <w:t>del jurista simplemente tomar nota de la práctica de los Estados,  sino  más</w:t>
        <w:br/>
        <w:t>bien decir cual es el Derecho. Desde la obra clásica de  H.  Grotius  en  el</w:t>
        <w:br/>
        <w:t>siglo XVII, hay toda una corriente del pensamiento jusinternacionalista  que</w:t>
        <w:br/>
        <w:t>concibe el derecho internacional como un  ordenamiento  jurídico  dotado  de</w:t>
        <w:br/>
        <w:t>valor propio o intrínseco (y por lo tanto superior a un derecho  simplemente</w:t>
        <w:br/>
        <w:t>"voluntario"), - como bien lo recuerda H. Accioly[46], - por  cuanto  deriva</w:t>
        <w:br/>
        <w:t>su autoridad de ciertos  principios  de  sana  razón  (est  dictatum  rectae</w:t>
        <w:br/>
        <w:t>rationis).</w:t>
        <w:br/>
        <w:br/>
        <w:t>27.   En la presente Sentencia en el caso Hilaire versus Trinidad y  Tobago,</w:t>
        <w:br/>
        <w:t>la Corte ha  ponderado  con  acierto  que,  si  se  aceptasen  restricciones</w:t>
        <w:br/>
        <w:t>interpuestas en el instrumento de aceptación de su competencia  contenciosa,</w:t>
        <w:br/>
        <w:t>en los términos propuestos por el Estado demandado en el  cas  d'espèce,  no</w:t>
        <w:br/>
        <w:t>expresamente previstos en el artículo 62 de la Convención Americana, ésto</w:t>
        <w:br/>
        <w:br/>
        <w:t xml:space="preserve">            "conduciría a una situación en que la Corte tendría como  primer</w:t>
        <w:br/>
        <w:t xml:space="preserve">      parámetro  de  referencia  la   Constitución   del   Estado   y   sólo</w:t>
        <w:br/>
        <w:t xml:space="preserve">      subsidiariamente la Convención Americana, situación que acarrearía una</w:t>
        <w:br/>
        <w:t xml:space="preserve">      fragmentación del orden jurídico internacional de  protección  de  los</w:t>
        <w:br/>
        <w:t xml:space="preserve">      derechos humanos y haría ilusorios el objeto y fin  de  la  Convención</w:t>
        <w:br/>
        <w:t xml:space="preserve">      Americana" (párr. 93).</w:t>
        <w:br/>
        <w:br/>
        <w:br/>
        <w:t>28.   Y LA  CORTE  HA,  ADEMÁS,  EN  LA  PRESENTE  SENTENCIA,  CORRECTAMENTE</w:t>
        <w:br/>
        <w:t>OBSERVADO QUE</w:t>
        <w:br/>
        <w:br/>
        <w:t xml:space="preserve">            " (...) El instrumento de aceptación por  parte  de  Trinidad  y</w:t>
        <w:br/>
        <w:t xml:space="preserve">      Tobago, de la competencia contenciosa del Tribunal, no se encuadra  en</w:t>
        <w:br/>
        <w:t xml:space="preserve">      las hipótesis previstas en el artículo 62.2 de la Convención. Tiene un</w:t>
        <w:br/>
        <w:t xml:space="preserve">      alcance general, que  termina  por  subordinar  la  aplicación  de  la</w:t>
        <w:br/>
        <w:t xml:space="preserve">      Convención Americana al derecho interno de Trinidad y Tobago en  forma</w:t>
        <w:br/>
        <w:t xml:space="preserve">      total y según lo que dispongan sus tribunales  nacionales.  Todo  esto</w:t>
        <w:br/>
        <w:t xml:space="preserve">      implica  que  este  instrumento  de  aceptación   es   manifiestamente</w:t>
        <w:br/>
        <w:t xml:space="preserve">      incompatible con el objeto y fin de la Convención" (párr. 88).</w:t>
        <w:br/>
        <w:br/>
        <w:t>29.    Esta  conclusión  de  la  Corte  encuentra  claro  respaldo   en   la</w:t>
        <w:br/>
        <w:t>formulación taxativa, y  clarísima,  del  artículo  62.2  de  la  Convención</w:t>
        <w:br/>
        <w:t>Americana. Teniendo presentes los tres elementos  componentes  de  la  regla</w:t>
        <w:br/>
        <w:t>general de la interpretación bona fides  de  los  tratados  -  texto  en  el</w:t>
        <w:br/>
        <w:t>sentido corriente, contexto, y objeto y fin del tratado - consagrada  en  el</w:t>
        <w:br/>
        <w:t>artículo 31.1 de  las  dos  Convenciones  de  Viena  sobre  Derecho  de  los</w:t>
        <w:br/>
        <w:t>Tratados (de 1969 y 1986), se desprende, inicialmente, que el texto,  en  el</w:t>
        <w:br/>
        <w:t>sentido corriente (numerus clausus), del  artículo  62.2  de  la  Convención</w:t>
        <w:br/>
        <w:t>Americana, convalida plenamente la  decisión  tomada  por  la  Corte  en  la</w:t>
        <w:br/>
        <w:t>presente Sentencia.</w:t>
        <w:br/>
        <w:br/>
        <w:t>30.   En la teoría y  práctica  del  derecho  internacional  se  ha  buscado</w:t>
        <w:br/>
        <w:t>distinguir  una  "reserva"  de  una  "declaración  interpretativa"[47],   de</w:t>
        <w:br/>
        <w:t>conformidad con los efectos jurídicos que se pretende atribuir  a  una  u  a</w:t>
        <w:br/>
        <w:t>otra[48]:  así,  si  se  pretende  aclarar  el  sentido  o  alcance  de  una</w:t>
        <w:br/>
        <w:t>determinada   disposición   convencional,   trátase   de   una   declaración</w:t>
        <w:br/>
        <w:t>interpretativa, mientras  que  si  se  pretende  modificar  una  determinada</w:t>
        <w:br/>
        <w:t>disposición convencional o excluir su aplicación, trátase  de  una  reserva.</w:t>
        <w:br/>
        <w:t>En la práctica, no siempre es fácil trazar la línea divisoria  entre  una  y</w:t>
        <w:br/>
        <w:t>otra[49], como lo ilustra la controversia que ha circundado, en las  últimas</w:t>
        <w:br/>
        <w:t>décadas, la cuestión de los efectos jurídicos  de  declaraciones  insertadas</w:t>
        <w:br/>
        <w:t>en  los  instrumentos  de  aceptación  de  la  cláusula  facultativa  de  la</w:t>
        <w:br/>
        <w:t>jurisdicción obligatoria, dado el carácter sui generis de dicha cláusula.</w:t>
        <w:br/>
        <w:br/>
        <w:t>31.   De todos modos, al considerar el sentido y alcance de una  declaración</w:t>
        <w:br/>
        <w:t>de aceptación de una cláusula facultativa de la jurisdicción obligatoria,  -</w:t>
        <w:br/>
        <w:t>como la presentada  por  Trinidad  y  Tobago  bajo  el  artículo  62  de  la</w:t>
        <w:br/>
        <w:t>Convención Americana e interpuesta como excepción preliminar en el  presente</w:t>
        <w:br/>
        <w:t>caso Hilaire, - hay que tener presente la  naturaleza  del  tratado  en  que</w:t>
        <w:br/>
        <w:t>figura dicha cláusula.  Ésto  corresponde  al  "contexto",  precisamente  el</w:t>
        <w:br/>
        <w:t>segundo elemento integrante de la regla general  de  interpretación  de  los</w:t>
        <w:br/>
        <w:t>tratados consagrada en el artículo 31  de  las  dos  Convenciones  de  Viena</w:t>
        <w:br/>
        <w:t>sobre Derecho de los Tratados. En la presente  Sentencia,  la  Corte  lo  ha</w:t>
        <w:br/>
        <w:t>hecho debidamente, al destacar el  carácter  especial  de  los  tratados  de</w:t>
        <w:br/>
        <w:t>derechos humanos (párrs. 94-97).</w:t>
        <w:br/>
        <w:br/>
        <w:t>32.   Del mismo modo, la Corte ha tenido constantemente presente  el  tercer</w:t>
        <w:br/>
        <w:t>elemento componente de aquella regla general  de  interpretación,  a  saber,</w:t>
        <w:br/>
        <w:t>"objeto y fin" del  tratado  en  cuestión,  la  Convención  Americana  sobre</w:t>
        <w:br/>
        <w:t>Derechos Humanos (párrs. 82-83 y 88). Así, el entendimiento avanzado  en  el</w:t>
        <w:br/>
        <w:t>cas d'espèce por el Estado demandado del alcance de su propia aceptación  de</w:t>
        <w:br/>
        <w:t>la  cláusula  facultativa  de  la  jurisdicción  obligatoria  de  la   Corte</w:t>
        <w:br/>
        <w:t>Interamericana,  no  resiste  a  la  hermenéutica  del  artículo  62  de  la</w:t>
        <w:br/>
        <w:t>Convención  Americana,  desarrollada  a   la   luz   de   los   cánones   de</w:t>
        <w:br/>
        <w:t>interpretación del derecho de los tratados.</w:t>
        <w:br/>
        <w:br/>
        <w:t>33.   Como me permití señalar en mi Voto Razonado en el  caso  Blake  versus</w:t>
        <w:br/>
        <w:t>Guatemala (Reparaciones, 1999),</w:t>
        <w:br/>
        <w:br/>
        <w:t xml:space="preserve">            "(...) Al contraer obligaciones  convencionales  de  protección,</w:t>
        <w:br/>
        <w:t xml:space="preserve">      no es razonable, de parte del Estado, presuponer una  discrecionalidad</w:t>
        <w:br/>
        <w:t xml:space="preserve">      tan indebidamente amplia y condicionadora del propio alcance de dichas</w:t>
        <w:br/>
        <w:t xml:space="preserve">      obligaciones, que militaría en contra de la  integridad  del  tratado.</w:t>
        <w:br/>
        <w:br/>
        <w:br/>
        <w:t xml:space="preserve">            Los principios y métodos de interpretación de  los  tratados  de</w:t>
        <w:br/>
        <w:t xml:space="preserve">      derechos humanos, desarrollados en la jurisprudencia  de  los  órganos</w:t>
        <w:br/>
        <w:t xml:space="preserve">      convencionales de protección, pueden en mucho asistir y fomentar  esta</w:t>
        <w:br/>
        <w:t xml:space="preserve">      tan necesaria evolución. Así,  en  materia  de  tratados  de  derechos</w:t>
        <w:br/>
        <w:t xml:space="preserve">      humanos, cabe tener siempre  presente  el  carácter  objetivo  de  las</w:t>
        <w:br/>
        <w:t xml:space="preserve">      obligaciones que encierran, el sentido autónomo (en  relación  con  el</w:t>
        <w:br/>
        <w:t xml:space="preserve">      derecho interno de los Estados) de los  términos de  dichos  tratados,</w:t>
        <w:br/>
        <w:t xml:space="preserve">      la garantía colectiva subyacente a éstos, el  amplio  alcance  de  las</w:t>
        <w:br/>
        <w:t xml:space="preserve">      obligaciones de protección y  la  interpretación  restrictiva  de  las</w:t>
        <w:br/>
        <w:t xml:space="preserve">      restricciones permisibles. Estos elementos convergen  al  sostener  la</w:t>
        <w:br/>
        <w:t xml:space="preserve">      integridad  de  los  tratados  de  derechos  humanos,  al  buscar   la</w:t>
        <w:br/>
        <w:t xml:space="preserve">      realización  de  su  objeto  y  propósito,  y,  por  consiguiente,  al</w:t>
        <w:br/>
        <w:t xml:space="preserve">      establecer límites al voluntarismo estatal. De todo esto se  desprende</w:t>
        <w:br/>
        <w:t xml:space="preserve">      una nueva visión de las relaciones entre el poder  público  y  el  ser</w:t>
        <w:br/>
        <w:t xml:space="preserve">      humano, que se resume, en última instancia, en  el  reconocimiento  de</w:t>
        <w:br/>
        <w:t xml:space="preserve">      que el Estado existe para el ser humano, y no viceversa.</w:t>
        <w:br/>
        <w:t xml:space="preserve">            Los conceptos  y  categorías  jurídicos,  por  cuanto  encierran</w:t>
        <w:br/>
        <w:t xml:space="preserve">      valores, son producto de su tiempo, y, como tales,  se  encuentran  en</w:t>
        <w:br/>
        <w:t xml:space="preserve">      constante evolución. La protección  del  ser  humano  en  cualesquiera</w:t>
        <w:br/>
        <w:t xml:space="preserve">      circunstancias, contra todas las manifestaciones del poder arbitrario,</w:t>
        <w:br/>
        <w:t xml:space="preserve">      corresponde al nuevo ethos  de  nuestros  tiempos,  que  debe  hacerse</w:t>
        <w:br/>
        <w:t xml:space="preserve">      reflejar  en  los  postulados  del  Derecho   Internacional   Público.</w:t>
        <w:br/>
        <w:t xml:space="preserve">      (...)"[50].</w:t>
        <w:br/>
        <w:br/>
        <w:t xml:space="preserve">      V.    La Jurisdicción Internacional Obligatoria: Reflexiones  De  Lege</w:t>
        <w:br/>
        <w:t xml:space="preserve">      Ferenda.</w:t>
        <w:br/>
        <w:br/>
        <w:t>34.   No podría concluir este Voto Razonado  en  el  presente  caso  Hilaire</w:t>
        <w:br/>
        <w:t>versus Trinidad y Tobago sin  una  última  línea  de  reflexiones,  de  lege</w:t>
        <w:br/>
        <w:t>ferenda,  acerca  de  la   jurisdicción   internacional   obligatoria.   Las</w:t>
        <w:br/>
        <w:t>"decisiones judiciales", a las que se refiere el elenco de fuentes  formales</w:t>
        <w:br/>
        <w:t>y evidencias del Derecho Internacional, plasmadas en el artículo 38.1.d  del</w:t>
        <w:br/>
        <w:t>Estatuto de la CIJ[51], ciertamente no se limitan a la jurisprudencia de  la</w:t>
        <w:br/>
        <w:t>propia CIJ[52]. Abarcan igualmente, hoy día, las  decisiones  judiciales  de</w:t>
        <w:br/>
        <w:t>los  tribunales  internacionales  (Cortes  Interamericana  y   Europea)   de</w:t>
        <w:br/>
        <w:t>derechos humanos, de los Tribunales Penales Internacionales ad hoc (para  la</w:t>
        <w:br/>
        <w:t>ex-Yugoslavia y para Ruanda), del Tribunal Internacional del Mar,  de  otros</w:t>
        <w:br/>
        <w:t>tribunales internacionales y arbitrales, así como de  tribunales  nacionales</w:t>
        <w:br/>
        <w:t>en materia de derecho internacional[53]. En los últimos años el viejo  ideal</w:t>
        <w:br/>
        <w:t>de la justicia internacional se ha revitalizado  y  ganado  cuerpo,  con  la</w:t>
        <w:br/>
        <w:t>expansión considerable de la función judicial  internacional,  reflejada  en</w:t>
        <w:br/>
        <w:t>la creación de nuevos tribunales  internacionales;  la  actuación  de  éstos</w:t>
        <w:br/>
        <w:t>últimos viene enriqueciendo la jurisprudencia  internacional  contemporánea,</w:t>
        <w:br/>
        <w:t>contribuyendo para afirmar la aptitud del Derecho  Internacional  de  reglar</w:t>
        <w:br/>
        <w:t>adecuadamente  las  relaciones  jurídicas  en  dominios  distintos   de   la</w:t>
        <w:br/>
        <w:t>actividad humana.</w:t>
        <w:br/>
        <w:br/>
        <w:t>35.   En este sentido, en mi supracitado Voto  Razonado  en  el  caso  Blake</w:t>
        <w:br/>
        <w:t>versus Guatemala, al advertir para la  necesidad  de  establecer  las  bases</w:t>
        <w:br/>
        <w:t>jurídicas de una  comunidad  internacional  mínimamente  institucionalizada,</w:t>
        <w:br/>
        <w:t>señalé que</w:t>
        <w:br/>
        <w:br/>
        <w:t xml:space="preserve">            "(...)  Con  la  evolución  del  Derecho  Internacional  de  los</w:t>
        <w:br/>
        <w:t xml:space="preserve">      Derechos Humanos, es el propio Derecho Internacional  Público  que  se</w:t>
        <w:br/>
        <w:t xml:space="preserve">      justifica y se legitima, al afirmar principios, conceptos y categorías</w:t>
        <w:br/>
        <w:t xml:space="preserve">      jurídicos propios del presente dominio  de  protección,  asentados  en</w:t>
        <w:br/>
        <w:t xml:space="preserve">      premisas  fundamentalmente  distintas  de  las  que  han  norteado  la</w:t>
        <w:br/>
        <w:t xml:space="preserve">      aplicación  de  sus  postulados  en  el  plano   de   las   relaciones</w:t>
        <w:br/>
        <w:t xml:space="preserve">      puramente interestatales.</w:t>
        <w:br/>
        <w:t xml:space="preserve">            (...) Las normas del derecho de los  tratados  (...)  pueden  en</w:t>
        <w:br/>
        <w:t xml:space="preserve">      mucho enriquecerse con el impacto del  Derecho  Internacional  de  los</w:t>
        <w:br/>
        <w:t xml:space="preserve">      Derechos Humanos, y desarrollar su aptidud para  reglar  adecuadamente</w:t>
        <w:br/>
        <w:t xml:space="preserve">      las  relaciones  jurídicas  en  los  planos  tanto  interestatal  como</w:t>
        <w:br/>
        <w:t xml:space="preserve">      intraestatal, bajo los tratados de protección respectivos. (...)"[54].</w:t>
        <w:br/>
        <w:br/>
        <w:t>36.   La Corte Interamericana de Derechos Humanos, mediante  las  Sentencias</w:t>
        <w:br/>
        <w:t>sobre Excepciones Preliminares que viene de adoptar en  los  casos  Hilaire,</w:t>
        <w:br/>
        <w:t>Benjamin, y  Constantine,  así  como  en  sus  anteriores  Sentencias  sobre</w:t>
        <w:br/>
        <w:t>Competencia en los casos del Tribunal Constitucional e Ivcher Bronstein,  ha</w:t>
        <w:br/>
        <w:t>salvaguardado la  integridad  de  la  Convención  Americana  sobre  Derechos</w:t>
        <w:br/>
        <w:t>Humanos, ha sido maestra de su propia jurisdicción y actuado a la altura  de</w:t>
        <w:br/>
        <w:t>las responsabilidades que le atribuye la Convención Americana. Lo  mismo  se</w:t>
        <w:br/>
        <w:t>puede decir de la Corte Europea de Derechos Humanos, mediante  su  Sentencia</w:t>
        <w:br/>
        <w:t>sobre Excepciones Preliminares en el caso Loizidou  versus  Turquía,  en  lo</w:t>
        <w:br/>
        <w:t>relativo  a  la  Convención  Europea  de  Derechos  Humanos.  Así,  los  dos</w:t>
        <w:br/>
        <w:t>tribunales internacionales de derechos humanos existentes a la fecha, en  su</w:t>
        <w:br/>
        <w:t>jurisprudencia convergente sobre la cuestión, se  han  recusado  a  ceder  a</w:t>
        <w:br/>
        <w:t>manifestaciones  indebidas  del  voluntarismo  estatal,   han   cumplido   a</w:t>
        <w:br/>
        <w:t>cabalidad las funciones que les atribuyen los tratados de  derechos  humanos</w:t>
        <w:br/>
        <w:t>que los crearon, y han dado una contribución valiosa al  fortalecimiento  de</w:t>
        <w:br/>
        <w:t>la jurisdicción internacional y a la realización del  antiguo  ideal  de  la</w:t>
        <w:br/>
        <w:t>justicia internacional.</w:t>
        <w:br/>
        <w:br/>
        <w:t>37.   Urge que  los  Estados  se  convenzan  que  el  ordenamiento  jurídico</w:t>
        <w:br/>
        <w:t>internacional es, más que voluntario, necesario. En el  ámbito  del  derecho</w:t>
        <w:br/>
        <w:t>internacional general, en mi entender,  ha  llegado  el  tiempo  de  avanzar</w:t>
        <w:br/>
        <w:t>decididamente  en  el  perfeccionamiento  de   la   solución   judicial   de</w:t>
        <w:br/>
        <w:t>controversias internacionales. En los últimos 80 años, los avances  en  este</w:t>
        <w:br/>
        <w:t>campo podrían haber sido mucho mayores si la  práctica  estatal  no  hubiera</w:t>
        <w:br/>
        <w:t>traicionado el propósito que inspiró la creación del mecanismo  la  cláusula</w:t>
        <w:br/>
        <w:t>facultativa de la jurisdicción obligatoria (de la CPJI y la CIJ), cual  sea,</w:t>
        <w:br/>
        <w:t>la sumisión de los intereses políticos al Derecho mediante el desarrollo  en</w:t>
        <w:br/>
        <w:t>la realización de la justicia a nivel internacional.</w:t>
        <w:br/>
        <w:br/>
        <w:t>38.   Ha llegado el tiempo de superar en definitiva la lamentable  falta  de</w:t>
        <w:br/>
        <w:t>automatismo de la jurisdicción internacional. Con  las  distorsiones  de  su</w:t>
        <w:br/>
        <w:t>práctica en la materia, los Estados se ven hoy ante un  dilema  que  debería</w:t>
        <w:br/>
        <w:t>ya estar superado hace mucho: o retornan a la  concepción  voluntarista  del</w:t>
        <w:br/>
        <w:t>derecho  internacional,  abandonando  de  una  vez  la   esperanza   en   la</w:t>
        <w:br/>
        <w:t>preeminencia del Derecho sobre los  intereses  políticos[55],  o  retoman  y</w:t>
        <w:br/>
        <w:t>realizan con  determinación  el  ideal  de  construcción  de  una  comunidad</w:t>
        <w:br/>
        <w:t>internacional más cohesionada e institucionalizada a la luz  del  Derecho  y</w:t>
        <w:br/>
        <w:t>en la búsqueda de la Justicia, moviendo resueltamente del  jus  dispositivum</w:t>
        <w:br/>
        <w:t>al jus cogens[56].</w:t>
        <w:br/>
        <w:br/>
        <w:t>39.   Ha llegado el tiempo  de  considerar,  en  particular,  en  un  futuro</w:t>
        <w:br/>
        <w:t>Protocolo de enmiendas a la parte procesal de la Convención Americana  sobre</w:t>
        <w:br/>
        <w:t>Derechos Humanos, con miras a fortalecer  su  mecanismo  de  protección,  la</w:t>
        <w:br/>
        <w:t>posibilidad de una enmienda al artículo 62 de la Convención Americana,  para</w:t>
        <w:br/>
        <w:t>tornar dicha cláusula también mandatoria, de conformidad con su carácter  de</w:t>
        <w:br/>
        <w:t>cláusula pétrea, estableciendo así el automatismo[57] de la jurisdicción  de</w:t>
        <w:br/>
        <w:t>la Corte Interamericana de Derechos Humanos[58]. Urge que el  antiguo  ideal</w:t>
        <w:br/>
        <w:t>de la  jurisdicción  internacional  obligatoria  permanente[59]  se  realice</w:t>
        <w:br/>
        <w:t>también en el continente americano, en el presente  dominio  de  protección,</w:t>
        <w:br/>
        <w:t>con los necesarios ajustes para hacer frente a su realidad de  los  derechos</w:t>
        <w:br/>
        <w:t>humanos y atender a las necesidades crecientes de protección eficaz del  ser</w:t>
        <w:br/>
        <w:t>humano.</w:t>
        <w:br/>
        <w:br/>
        <w:br/>
        <w:br/>
        <w:br/>
        <w:t xml:space="preserve">                      Antônio Augusto Cançado Trindade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VOTO RAZONADO CONCURRENTE DEL JUEZ HERNÁN SALGADO PESANTES A LAS SENTENCIAS</w:t>
        <w:br/>
        <w:t xml:space="preserve"> SOBRE EXCEPCIONES PRELIMINARES EN LOS CASOS HILAIRE, CONSTANTINE Y OTROS Y</w:t>
        <w:br/>
        <w:t xml:space="preserve">                              BENJAMIN Y OTROS</w:t>
        <w:br/>
        <w:br/>
        <w:br/>
        <w:t>Estando de acuerdo en lo fundamental con la sentencia  en  el  Caso  Hilaire</w:t>
        <w:br/>
        <w:t>vs. Trinidad y Tobago quiero agregar las siguientes consideraciones:</w:t>
        <w:br/>
        <w:br/>
        <w:t>1.    En materia  de  reservas  a  los  tratados,  al  igual  que  en  otras</w:t>
        <w:br/>
        <w:t>cuestiones del Derecho Internacional, ha  habido  una  importante  evolución</w:t>
        <w:br/>
        <w:t>marcada por un  progreso constante.  Bien  podría  situarse  como  punto  de</w:t>
        <w:br/>
        <w:t>partida de esta evolución los  intensos  debates  a  que  dieron  lugar  las</w:t>
        <w:br/>
        <w:t>reservas formuladas por los Estados a la Convención para la Prevención y  la</w:t>
        <w:br/>
        <w:t>Sanción del Delito de  Genocidio  (1948)  y  luego  con  motivo  la  opinión</w:t>
        <w:br/>
        <w:t>consultiva que sobre esta cuestión dictó la Corte Internacional de  Justicia</w:t>
        <w:br/>
        <w:t>(1951).</w:t>
        <w:br/>
        <w:br/>
        <w:t>2.    Dichos debates sentaron las bases para construir de  mejor  manera  el</w:t>
        <w:br/>
        <w:t>sistema de reservas.  Un criterio importante de la opinión consultiva de  la</w:t>
        <w:br/>
        <w:t>CIJ fue el de la compatibilidad  de las reservas con el  objeto  y  fin  del</w:t>
        <w:br/>
        <w:t>tratado, siendo incorporado en 1969 en la  Convención  de  Viena  sobre  los</w:t>
        <w:br/>
        <w:t>Tratados (Art. 19) y, a través de este instrumento, está vigente también  en</w:t>
        <w:br/>
        <w:t>la Convención Americana sobre Derechos Humanos (Art. 75).</w:t>
        <w:br/>
        <w:br/>
        <w:t>3.    Es en las últimas décadas donde el criterio de que  una  reserva  debe</w:t>
        <w:br/>
        <w:t>ser compatible con el objeto y fin del tratado pasa  a  perfilarse  como  el</w:t>
        <w:br/>
        <w:t>requisito esencial y se convierte en una exigencia de  fondo  para  apreciar</w:t>
        <w:br/>
        <w:t>la admisibilidad y la validez de una reserva.  Sin embargo, la evolución  no</w:t>
        <w:br/>
        <w:t>está aún completa mientras no se proscriban las  reservas  de  los  tratados</w:t>
        <w:br/>
        <w:t>sobre derechos humanos en razón de su especial naturaleza.</w:t>
        <w:br/>
        <w:br/>
        <w:t>4.    En el presente caso, el Estado no formula la reserva  con  respecto  a</w:t>
        <w:br/>
        <w:t>las cláusulas sustantivas de la Convención  sino  que  pretende  hacerlo  en</w:t>
        <w:br/>
        <w:t>relación con la cláusula facultativa de  aceptación  de  la  competencia,  o</w:t>
        <w:br/>
        <w:t>mejor dicho, de la jurisdicción contenciosa de la Corte Interamericana.</w:t>
        <w:br/>
        <w:br/>
        <w:t>5.    Para reconocer la jurisdicción de la Corte, en  la  Convención  existe</w:t>
        <w:br/>
        <w:t>una disposición expresa que establece las  modalidades  o  formas  de  dicha</w:t>
        <w:br/>
        <w:t>aceptación: el Art. 62 párrafos 1 y 2;  en  consecuencia,  el  Estado  Parte</w:t>
        <w:br/>
        <w:t>que, en ejercicio de  su  potestad  soberana,  decida  reconocer  al  órgano</w:t>
        <w:br/>
        <w:t>jurisdiccional debe proceder de conformidad con lo que está previsto  en  la</w:t>
        <w:br/>
        <w:t>mencionada norma convencional.</w:t>
        <w:br/>
        <w:br/>
        <w:t>6.    En mi criterio no es posible que un Estado ignore lo dispuesto  en  el</w:t>
        <w:br/>
        <w:t>Art. 62. 2 e imponga condiciones a su reconocimiento de la  jurisdicción  de</w:t>
        <w:br/>
        <w:t>la Corte.  No existe  margen  de  discrecionalidad  alguna  para  el  Estado</w:t>
        <w:br/>
        <w:t>Parte, como  no  sea  la  de  expresar  su  voluntad  de  aceptación  de  la</w:t>
        <w:br/>
        <w:t>jurisdicción u omitir hacerlo.  Interpretar que lo que no está prohibido  en</w:t>
        <w:br/>
        <w:t>la norma convencional está permitido solo cabe  en  el  ámbito  del  derecho</w:t>
        <w:br/>
        <w:t>privado interno.  De lo expresado puedo inferir dos conclusiones.</w:t>
        <w:br/>
        <w:br/>
        <w:t>7.    Primera conclusión: un Estado  no  puede  establecer  condiciones  que</w:t>
        <w:br/>
        <w:t>limiten el funcionamiento del órgano jurisdiccional, encargado de aplicar  e</w:t>
        <w:br/>
        <w:t>interpretar la Convención. Cualquier limitación en este  sentido  terminaría</w:t>
        <w:br/>
        <w:t>afectando gravemente la eficacia del sistema de protección de  los  derechos</w:t>
        <w:br/>
        <w:t>humanos.</w:t>
        <w:br/>
        <w:br/>
        <w:t>8.    Segunda conclusión: cuando las reservas están permitidas, como  es  el</w:t>
        <w:br/>
        <w:t>caso del Art. 75  de  la  Convención  Americana,  éstas  tienen  un  alcance</w:t>
        <w:br/>
        <w:t>limitado por tratarse de un instrumento internacional de  derechos  humanos,</w:t>
        <w:br/>
        <w:t>caso contrario se volverían inciertas las  obligaciones  del  Estado  Parte.</w:t>
        <w:br/>
        <w:t>Por último, las reservas pierden su validez no  solamente  por  la  cuestión</w:t>
        <w:br/>
        <w:t>formal,  cuando  están  concebidas  con  un  carácter  general,   amplio   o</w:t>
        <w:br/>
        <w:t>impreciso, sino sobre todo cuando de alguna manera contradicen el  objeto  y</w:t>
        <w:br/>
        <w:t>el fin de la Convención Americana sobre Derechos Humanos.</w:t>
        <w:br/>
        <w:br/>
        <w:br/>
        <w:br/>
        <w:t xml:space="preserve">                           Hernán Salgado Pesantes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t xml:space="preserve">  VOTO RAZONADO CONCURRENTE DEL JUEZ SERGIO GARCÍA RAMÍREZ A LAS SENTENCIAS</w:t>
        <w:br/>
        <w:t xml:space="preserve"> SOBRE EXCEPCIONES PRELIMINARES EN LOS CASOS HILAIRE, CONSTANTINE Y OTROS Y</w:t>
        <w:br/>
        <w:t xml:space="preserve">                              BENJAMÍN Y OTROS</w:t>
        <w:br/>
        <w:br/>
        <w:br/>
        <w:br/>
        <w:t>1.    He sumado mi voto al de mis colegas  en  la  Corte  Interamericana  de</w:t>
        <w:br/>
        <w:t>Derechos Humanos en las Sentencias sobre  excepciones  preliminares  en  los</w:t>
        <w:br/>
        <w:t>Casos Hilaire, Contantine y Otros y Benjamín y Otros, del  1  de  septiembre</w:t>
        <w:br/>
        <w:t>de 2001, que se fundan  en  el  mismo  razonamiento  y  llegan  a  idénticas</w:t>
        <w:br/>
        <w:t>decisiones en lo concerniente a la supuesta incompetencia de la  Corte  para</w:t>
        <w:br/>
        <w:t>conocer estos casos.</w:t>
        <w:br/>
        <w:br/>
        <w:t>2.    Considero que la Corte ha  procedido  adecuadamente  al  analizar  los</w:t>
        <w:br/>
        <w:t>argumentos del Estado y exponer sus  propios  razonamientos  con  referencia</w:t>
        <w:br/>
        <w:t>específica a los casos que ha tenido a la vista, sin examinar por  ahora  el</w:t>
        <w:br/>
        <w:t>tema general de las reservas a los  tratados  y  las  declaraciones  de  los</w:t>
        <w:br/>
        <w:t>Estados  acerca  del  alcance  que  éstos  asignan  a  la  admisión  de   la</w:t>
        <w:br/>
        <w:t>jurisdicción contenciosa de la Corte, conforme  a  la  cláusula  facultativa</w:t>
        <w:br/>
        <w:t>prevista en el  artículo  62  de  la  Convención  Americana  sobre  Derechos</w:t>
        <w:br/>
        <w:t>Humanos.</w:t>
        <w:br/>
        <w:br/>
        <w:t>3.    En ese marco, coincido con los Jueces que  integran  la  Corte  en  el</w:t>
        <w:br/>
        <w:t>señalamiento de que la  reserva  o  declaración  formulada  por  Trinidad  y</w:t>
        <w:br/>
        <w:t>Tobago en el instrumento de ratificación de la Convención  (del 3  de  abril</w:t>
        <w:br/>
        <w:t>de 1991, depositado el 28  de  mayo  del  mismo  año),  a  propósito  de  la</w:t>
        <w:br/>
        <w:t>jurisdicción contenciosa de la Corte Interamericana, tendría  el  efecto  de</w:t>
        <w:br/>
        <w:t>excluir al Estado del sistema jurisdiccional que en  ese  mismo  instrumento</w:t>
        <w:br/>
        <w:t>declara aceptar, en cuanto contiene una condición de  carácter  general  que</w:t>
        <w:br/>
        <w:t>subordina el ejercicio de la jurisdicción, en forma prácticamente  absoluta,</w:t>
        <w:br/>
        <w:t>a las disposiciones del  Derecho  interno.   En  efecto,  dicha  declaración</w:t>
        <w:br/>
        <w:t>admite la mencionada jurisdicción contenciosa  --pieza clave en la  efectiva</w:t>
        <w:br/>
        <w:t>vigencia del sistema interamericano  de  derechos  humanos--   “sólo  en  la</w:t>
        <w:br/>
        <w:t>medida en que (su ejercicio) sea compatible con  las  secciones  pertinentes</w:t>
        <w:br/>
        <w:t>de la Constitución de la República de Trinidad y Tobago”.</w:t>
        <w:br/>
        <w:br/>
        <w:t>4.    Como es fácil advertir, la fórmula utilizada por el Estado no  precisa</w:t>
        <w:br/>
        <w:t xml:space="preserve"> --a diferencia de lo que suele ocurrir en otras declaraciones de  la  misma</w:t>
        <w:br/>
        <w:t>naturaleza--   cuáles  son,  específicamente,  los  puntos   sustraídos   al</w:t>
        <w:br/>
        <w:t>conocimiento y a la resolución de la Corte,  que  necesariamente  aplica  la</w:t>
        <w:br/>
        <w:t>Convención Americana,  no  las  disposiciones  del  Derecho  interno  de  un</w:t>
        <w:br/>
        <w:t>Estado. Así las cosas, ese tribunal  internacional  estaría  privado  de  la</w:t>
        <w:br/>
        <w:t>posibilidad de ejercer con independencia las atribuciones que le  asigna  la</w:t>
        <w:br/>
        <w:t>Convención y debería sujetarse a una modalidad de  cotejo  casuístico  entre</w:t>
        <w:br/>
        <w:t>las normas de ésta y las del Derecho interno,  que  a  su  vez  se  hallaría</w:t>
        <w:br/>
        <w:t>sometido a la interpretación de los tribunales nacionales.</w:t>
        <w:br/>
        <w:br/>
        <w:t>5.    Evidentemente, semejante limitación  --establecida, como se ha  dicho,</w:t>
        <w:br/>
        <w:t>en forma general e indeterminada--, no es consecuente con el  objeto  y  fin</w:t>
        <w:br/>
        <w:t>de la Convención Americana sobre  Derechos  Humanos,  ni  corresponde  a  la</w:t>
        <w:br/>
        <w:t>naturaleza  de  la  jurisdicción  interamericana  llamada  a  tutelar   esos</w:t>
        <w:br/>
        <w:t>derechos.</w:t>
        <w:br/>
        <w:br/>
        <w:t>6.    Por otra parte, la fórmula que se analiza incluye  igualmente  algunas</w:t>
        <w:br/>
        <w:t>expresiones de muy difícil  comprensión,  que  resultan  equívocas  para  el</w:t>
        <w:br/>
        <w:t>intérprete    --y   que   podrían   obstruir   íntegramente   el    quehacer</w:t>
        <w:br/>
        <w:t>jurisdiccional de la Corte--,  como  la  que  se  reconoce  la  jurisdicción</w:t>
        <w:br/>
        <w:t>obligatoria del tribunal internacional “siempre que una sentencia de  (éste)</w:t>
        <w:br/>
        <w:t>no  contravenga,  establezca  o  anule  derechos  o  deberes  existentes  de</w:t>
        <w:br/>
        <w:t>ciudadanos particulares”.  Es  posible  citar  algunos  ejemplos  sobre  las</w:t>
        <w:br/>
        <w:t>implicaciones que podría tener esta  expresión  oscura.  Evidentemente,  una</w:t>
        <w:br/>
        <w:t>sentencia de la  Corte  podría  incidir  sobre  supuestos  “deberes  de  los</w:t>
        <w:br/>
        <w:t>individuos”  derivados  de  actos  o  medidas  que  el  tribunal   considere</w:t>
        <w:br/>
        <w:t>violatorios de la Convención. Las resoluciones del  tribunal  interamericano</w:t>
        <w:br/>
        <w:t>también repercutirían sobre “derechos de los particulares”  si  reconocieran</w:t>
        <w:br/>
        <w:t>a  favor  de  éstos  ciertas  consecuencias  jurídicas  con  motivo  de  las</w:t>
        <w:br/>
        <w:t>violaciones cometidas: así, el derecho a reparaciones. Por  otra  parte,  no</w:t>
        <w:br/>
        <w:t>está claro lo que se quiere decir al señalar que las sentencias de la  Corte</w:t>
        <w:br/>
        <w:t>no  podrían  establecer  “derechos  o  deberes  existentes”  de   ciudadanos</w:t>
        <w:br/>
        <w:t>particulares.</w:t>
        <w:br/>
        <w:br/>
        <w:t>7.    En suma,  por todo lo expuesto en los párrafos precedentes   --en  los</w:t>
        <w:br/>
        <w:t>que se proyecta el criterio que funda las sentencias  de  la  Corte  en  los</w:t>
        <w:br/>
        <w:t>casos a los que se refiere este voto-- no es posible  reconocer  eficacia  a</w:t>
        <w:br/>
        <w:t>la declaración formulada por el Estado en  el  instrumento  de  ratificación</w:t>
        <w:br/>
        <w:t>del 28 de mayo de 1991,  y sustentar en ella la excepción preliminar que  se</w:t>
        <w:br/>
        <w:t>invoca.</w:t>
        <w:br/>
        <w:br/>
        <w:t>8.     En  las  sentencias  dictadas  en  estos   tres   casos,   la   Corte</w:t>
        <w:br/>
        <w:t>Interamericana se ha referido única y exclusivamente a la excepción  opuesta</w:t>
        <w:br/>
        <w:t>por Trinidad y Tobago y ha examinado, en consecuencia,  las  características</w:t>
        <w:br/>
        <w:t>de la declaración en la que aquélla pretende sustentarse, analizada  en  las</w:t>
        <w:br/>
        <w:t>condiciones de los casos planteados. Otra cosa es el tema de las reservas  y</w:t>
        <w:br/>
        <w:t>declaraciones limitativas  del  ejercicio  jurisdiccional  de  la  Corte  en</w:t>
        <w:br/>
        <w:t>general, que suelen presentarse en términos diferentes. Esto no  obsta  para</w:t>
        <w:br/>
        <w:t>la conveniencia  --en aras de la  universalidad  de  los  derechos  humanos,</w:t>
        <w:br/>
        <w:t>convicción  común  de   los  Estados  que  han  contribuido  a   erigir   el</w:t>
        <w:br/>
        <w:t>correspondiente   sistema   interamericano--    de   eliminar   reservas   y</w:t>
        <w:br/>
        <w:t>condiciones  que  finalmente  significan  restricciones  de  mayor  o  menor</w:t>
        <w:br/>
        <w:t>alcance a la vigencia plena de esos derechos.</w:t>
        <w:br/>
        <w:br/>
        <w:br/>
        <w:br/>
        <w:br/>
        <w:t xml:space="preserve">                            Sergio García Ramírez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   -----------------------</w:t>
        <w:br/>
        <w:t>*     El Juez Oliver Jackman informó a la Corte que, en  virtud  de  que  no</w:t>
        <w:br/>
        <w:t>participó en la audiencia pública sobre  la  excepción  preliminar  en  este</w:t>
        <w:br/>
        <w:t>caso, no podía  participar  en  la  deliberación  y  firma  de  la  presente</w:t>
        <w:br/>
        <w:t>sentencia.</w:t>
        <w:br/>
        <w:br/>
        <w:t>[1]   De conformidad con la Resolución de la Corte de 13 de  marzo  de  2001</w:t>
        <w:br/>
        <w:t>sobre Disposiciones Transitorias al Reglamento  de  la  Corte,  la  presente</w:t>
        <w:br/>
        <w:t>Sentencia sobre excepciones preliminares se dicta  según  los  términos  del</w:t>
        <w:br/>
        <w:t>Reglamento adoptado en la Resolución de la Corte  de  16  de  septiembre  de</w:t>
        <w:br/>
        <w:t>1996.</w:t>
        <w:br/>
        <w:t>[2]   El 22 de mayo de 1998 la  Corte  Interamericana  de  Derechos  Humanos</w:t>
        <w:br/>
        <w:t>recibió de la Comisión Interamericana de Derechos Humanos una  solicitud  de</w:t>
        <w:br/>
        <w:t>medidas provisionales en el asunto James y otros, respecto  de  cinco  casos</w:t>
        <w:br/>
        <w:t>en trámite ante la Comisión, relacionados con la condena a  pena  de  muerte</w:t>
        <w:br/>
        <w:t>interpuesta a cinco ciudadanos detenidos en Trinidad  y  Tobago.  El  14  de</w:t>
        <w:br/>
        <w:t>junio de 1998, durante su XL Período Ordinario de Sesiones, la Corte  ordenó</w:t>
        <w:br/>
        <w:t>la adopción de las medidas solicitadas.</w:t>
        <w:br/>
        <w:br/>
        <w:t>[3]   En dicha Resolución la Corte  amplió  las  medidas  provisionales  del</w:t>
        <w:br/>
        <w:t>asunto James y otros a favor de Darrin Roger Thomas, Haniff Hilaire y  Denny</w:t>
        <w:br/>
        <w:t>Baptiste.  Los señores Thomas y Baptiste no se encuentran  incluidos  en  la</w:t>
        <w:br/>
        <w:t>presente demanda.</w:t>
        <w:br/>
        <w:t>[4]   El artículo 6 de la Constitución de Trinidad y Tobago establece:</w:t>
        <w:br/>
        <w:br/>
        <w:t xml:space="preserve">      Exceptions for Existing Law</w:t>
        <w:br/>
        <w:br/>
        <w:t xml:space="preserve">      (1) Nothing in sections 4 and 5 shall invalidate-</w:t>
        <w:br/>
        <w:t xml:space="preserve">        (a) an existing law;</w:t>
        <w:br/>
        <w:t xml:space="preserve">        (b) an enactment that repeals and re-enacts an existing law without</w:t>
        <w:br/>
        <w:t xml:space="preserve">        alteration; or</w:t>
        <w:br/>
        <w:t xml:space="preserve">        (c) an enactment that alters an existing law but does not  derogate</w:t>
        <w:br/>
        <w:t xml:space="preserve">        from any fundamental right guaranteed by this Chapter in  a  manner</w:t>
        <w:br/>
        <w:t xml:space="preserve">        in which or to  an  extent  to  which  the  existing  law  did  not</w:t>
        <w:br/>
        <w:t xml:space="preserve">        previously derogate from that right.</w:t>
        <w:br/>
        <w:t xml:space="preserve">      (2) Where an enactment repeals and  re-enacts  with  modifications  an</w:t>
        <w:br/>
        <w:t xml:space="preserve">      existing law and is  held  to  derogate  from  any  fundamental  right</w:t>
        <w:br/>
        <w:t xml:space="preserve">      guaranteed by this Chapter in a manner in which or  to  an  extent  to</w:t>
        <w:br/>
        <w:t xml:space="preserve">      which the existing law did not previously  derogate  from  that  right</w:t>
        <w:br/>
        <w:t xml:space="preserve">      then, subject to sections 13 and 54, the provisions  of  the  existing</w:t>
        <w:br/>
        <w:t xml:space="preserve">      law shall be substituted for such of the provisions of  the  enactment</w:t>
        <w:br/>
        <w:t xml:space="preserve">      as are held to derogate from the fundamental  right  in  a  manner  in</w:t>
        <w:br/>
        <w:t xml:space="preserve">      which or to an extent to which the existing  law  did  not  previously</w:t>
        <w:br/>
        <w:t xml:space="preserve">      derogate from that right.</w:t>
        <w:br/>
        <w:t xml:space="preserve">      (3) IN THIS SECTION-</w:t>
        <w:br/>
        <w:t xml:space="preserve">      "alters" in relation to an existing law, includes repealing  that  law</w:t>
        <w:br/>
        <w:t xml:space="preserve">      and re-enacting it with modifications or making  different  provisions</w:t>
        <w:br/>
        <w:t xml:space="preserve">      in place of it or modifying it;</w:t>
        <w:br/>
        <w:t xml:space="preserve">      "existing law" means a law that had effect  as  part  of  the  law  of</w:t>
        <w:br/>
        <w:t xml:space="preserve">      Trinidad and  Tobago  immediately  before  the  commencement  of  this</w:t>
        <w:br/>
        <w:t xml:space="preserve">      Constitution, and includes any enactment  referred  to  in  subsection</w:t>
        <w:br/>
        <w:t xml:space="preserve">      (1);</w:t>
        <w:br/>
        <w:t xml:space="preserve">      "RIGHT" INCLUDES FREEDOM.</w:t>
        <w:br/>
        <w:t>[5]   De conformidad con el artículo 32.c del  Reglamento  de  la  Comisión,</w:t>
        <w:br/>
        <w:t>las denuncias presentadas ante ésta deberán  incluir:   “la  indicación  del</w:t>
        <w:br/>
        <w:t>Estado aludido que el peticionario considera responsable, por acción  o  por</w:t>
        <w:br/>
        <w:t>omisión, de la violación de alguno de los derechos  humanos  consagrados  en</w:t>
        <w:br/>
        <w:t>la Convención Americana sobre Derechos Humanos, en el caso  de  los  Estados</w:t>
        <w:br/>
        <w:t>partes en ella, aunque no se haga  una  referencia  específica  al  artículo</w:t>
        <w:br/>
        <w:t>presuntamente violado”.</w:t>
        <w:br/>
        <w:br/>
        <w:t>[6]   El Efecto  de  las  Reservas  Sobre  la  Entrada  en  Vigencia  de  la</w:t>
        <w:br/>
        <w:t>Convención Americana  sobre  Derechos  Humanos  (Arts.  74  y  75),  Opinión</w:t>
        <w:br/>
        <w:t>Consultiva OC-2/82 del 24 de septiembre de 1982.  Serie A No. 2,  párr.  35.</w:t>
        <w:br/>
        <w:t>Al respecto, el artículo 20 de la Convención de  Viena  “Aceptación  de  las</w:t>
        <w:br/>
        <w:t>reservas y objeción a las reservas” establece en su inciso 1) lo  siguiente:</w:t>
        <w:br/>
        <w:br/>
        <w:br/>
        <w:br/>
        <w:t xml:space="preserve">      1.    Una reserva expresamente autorizada por el tratado no exigirá la</w:t>
        <w:br/>
        <w:t xml:space="preserve">      aceptación ulterior de los demás Estados contratantes, a menos que  el</w:t>
        <w:br/>
        <w:t xml:space="preserve">      tratado así lo disponga.</w:t>
        <w:br/>
        <w:br/>
        <w:br/>
        <w:t>[7]   El artículo 64.1 de la Convención  Europea  antes  de  la  entrada  en</w:t>
        <w:br/>
        <w:t>vigor del Protocolo 11 corresponde al actual artículo 57.1 y reza:</w:t>
        <w:br/>
        <w:br/>
        <w:t xml:space="preserve">      Todo Estado podrá formular, en el momento de  la  firma  del  presente</w:t>
        <w:br/>
        <w:t xml:space="preserve">      Convenio o del depósito de su instrumento de ratificación, una reserva</w:t>
        <w:br/>
        <w:t xml:space="preserve">      a propósito de una disposición particular del Convenio, en  la  medida</w:t>
        <w:br/>
        <w:t xml:space="preserve">      en que una ley en vigor en su territorio  esté  de  acuerdo  con  esta</w:t>
        <w:br/>
        <w:t xml:space="preserve">      disposición.  Este artículo  no  autoriza  las  reservas  de  carácter</w:t>
        <w:br/>
        <w:t xml:space="preserve">      general.</w:t>
        <w:br/>
        <w:t>[8]   Así, en Caso del Tribunal Constitucional.  Competencia.  Sentencia  de</w:t>
        <w:br/>
        <w:t>24 de septiembre de 1999. Serie C No. 55, párr. 33 y Caso Ivcher  Bronstein.</w:t>
        <w:br/>
        <w:t xml:space="preserve"> Competencia. Sentencia de 24 de septiembre de 1999. Serie C No. 54,</w:t>
        <w:br/>
        <w:t>párr. 34.</w:t>
        <w:br/>
        <w:br/>
        <w:t>[9]   Cfr. Caso del Tribunal Constitucional.  Competencia.   Supra  nota  8,</w:t>
        <w:br/>
        <w:t>párr. 36 y Caso Ivcher Bronstein.  Competencia. Supra nota 8, párr. 37.</w:t>
        <w:br/>
        <w:t>[10]  Cfr. Caso del Tribunal Constitucional.  Competencia.   Supra  nota  8,</w:t>
        <w:br/>
        <w:t>párr. 39 y Caso Ivcher Bronstein.  Competencia.  Supra nota 8, párr. 40.</w:t>
        <w:br/>
        <w:t>[11]  Cfr. Caso del Tribunal Constitucional.  Competencia.   Supra  nota  8,</w:t>
        <w:br/>
        <w:t>párr. 41 y Caso Ivcher Bronstein.  Competencia. Supra nota 8, párr. 42.</w:t>
        <w:br/>
        <w:br/>
        <w:t>[12]  El Efecto  de  las  Reservas  Sobre  la  Entrada  en  Vigencia  de  la</w:t>
        <w:br/>
        <w:t>Convención Americana sobre Derechos  Humanos.  Opinión  Consultiva  OC-2/82.</w:t>
        <w:br/>
        <w:t>Supra nota 6, párr. 29.</w:t>
        <w:br/>
        <w:br/>
        <w:t>[13]  Ver: Corte Internacional de Justicia, Opinión  Consultiva  Reservas  a</w:t>
        <w:br/>
        <w:t>la Convención para Prevenir y  Sancionar  el  Delito  de  Genocidio  (1951);</w:t>
        <w:br/>
        <w:t>European Commission of Human Rights, Decision as  to  the  Admissibility  of</w:t>
        <w:br/>
        <w:t>Application No. 788/60, Austria vs. Italy case,  Yearbook  of  the  European</w:t>
        <w:br/>
        <w:t>Convention on Human Rights, The Hague, M.  Nijhoff,  1961;  Eur.  Court  HR,</w:t>
        <w:br/>
        <w:t>Ireland vs. United Kingdom case, Judgment of 18 January 1978, Series  A  No.</w:t>
        <w:br/>
        <w:t>25; Eur. Court H.R., Soering Case, decision of 26  January  1989,  Series  A</w:t>
        <w:br/>
        <w:t>No. 161; Eur. Court of  H.R.,  Case  of  Loizidou  vs.  Turkey  (Preliminary</w:t>
        <w:br/>
        <w:t>Objections), judgment of 23 March 1995, Series A No. 310.</w:t>
        <w:br/>
        <w:br/>
        <w:t>[14]  Cfr. Caso del Tribunal Constitucional.  Competencia.   Supra  nota  8,</w:t>
        <w:br/>
        <w:t>párr. 46 y Caso Ivcher Bronstein.  Competencia. Supra nota 8, párr. 47.</w:t>
        <w:br/>
        <w:t>[15].       Corte  Interamericana  de  Derechos  Humanos  (CtIADH),  Opinión</w:t>
        <w:br/>
        <w:t>Consultiva  n.  15,  de  14.11.1997,  sobre  los  Informes  de  la  Comisión</w:t>
        <w:br/>
        <w:t>Interamericana de Derechos Humanos (1997), Serie A, n. 15, Voto  Concurrente</w:t>
        <w:br/>
        <w:t>del Juez A.A. Cançado Trindade, pp. 39 y 49-50, párrs. 7 y 37.</w:t>
        <w:br/>
        <w:br/>
        <w:t>[16].        Es  como  guardián  y  maestra  de   su   propia   jurisdicción</w:t>
        <w:br/>
        <w:t>(jurisdictio, jus dicere, la potestad de declarar  el  Derecho)  que,  a  la</w:t>
        <w:br/>
        <w:t>Corte Interamericana, como órgano judicial de supervisión de  la  Convención</w:t>
        <w:br/>
        <w:t>Americana, está reservado el rol de establecer las bases jurídicas  para  la</w:t>
        <w:br/>
        <w:t>construcción de un ordre public internacional de observancia y  salvaguardia</w:t>
        <w:br/>
        <w:t>de los derechos humanos, en  el  ámbito  de  aplicación  de  la  Convención.</w:t>
        <w:br/>
        <w:t>CtIADH,  Resolución  sobre   Medidas   Provisionales   de   Protección   (de</w:t>
        <w:br/>
        <w:t>25.05.1999), caso James et alii versus Trinidad y Tobago,  Voto  Concurrente</w:t>
        <w:br/>
        <w:t>del Juez A.A. Cançado Trindade, párrs. 7-8.</w:t>
        <w:br/>
        <w:br/>
        <w:t>[17].       El Protocolo n. 11 a la Convención Europea de  Derechos  Humanos</w:t>
        <w:br/>
        <w:t>entró en vigor el 01.11.1998. Sobre la cláusula  facultativa  (artículo  46)</w:t>
        <w:br/>
        <w:t>original  de  la  Convención  Europea,  cf.  Council  of  Europe/Conseil  de</w:t>
        <w:br/>
        <w:t>l'Europe, Collected Edition of the `Travaux Préparatoires' of  the  European</w:t>
        <w:br/>
        <w:t>Convention  on  Human  Rights/Recueil  des  Travaux  Préparatoires   de   la</w:t>
        <w:br/>
        <w:t>Convention Européenne des Droits de l'Homme, vol. IV,  The  Hague,  Nijhoff,</w:t>
        <w:br/>
        <w:t>1977, pp. 200-201 y 266-267; y vol. V, The Hague, Nijhoff, 1979, pp.  58-59.</w:t>
        <w:br/>
        <w:br/>
        <w:br/>
        <w:t>[18].       Y el artículo 36.6 determina que "en caso de disputa  en  cuanto</w:t>
        <w:br/>
        <w:t>a si la Corte tiene o no jurisdicción, la Corte decidirá".</w:t>
        <w:br/>
        <w:br/>
        <w:t>[19].       A saber:  Srs.  Adatci  (Japón),  Altamira  (España),  Fernandes</w:t>
        <w:br/>
        <w:t>(Brasil), Barón  Descamps  (Bélgica),  Hagerup  (Noruega),  De  La  Pradelle</w:t>
        <w:br/>
        <w:t>(Francia), Loder (Holanda), Lord Phillimore (Gran  Bretaña),  Ricci  Busatti</w:t>
        <w:br/>
        <w:t>(Italia) y Elihu Root (Estados Unidos).</w:t>
        <w:br/>
        <w:br/>
        <w:t>[20].       Cf. R.P. Anand, Compulsory  Jurisdiction  of  the  International</w:t>
        <w:br/>
        <w:t>Court of Justice, New Delhi/Bombay, Asia Publ. House, 1961, pp. 19 y  34-36.</w:t>
        <w:br/>
        <w:br/>
        <w:br/>
        <w:t>[21].       Para un relato, cf., inter alia, J.C. Witenberg,  L'organisation</w:t>
        <w:br/>
        <w:t>judiciaire, la procédure et la sentence internationales -  Traité  pratique,</w:t>
        <w:br/>
        <w:t>Paris, Pédone, 1937, pp. 22-23; L.  Gross,  "Compulsory  Jurisdiction  under</w:t>
        <w:br/>
        <w:t>the Optional Clause: History  and  Practice",  The  International  Court  of</w:t>
        <w:br/>
        <w:t>Justice  at  a   Crossroads   (ed.   L.F.   Damrosch),   Dobbs   Ferry/N.Y.,</w:t>
        <w:br/>
        <w:t>ASIL/Transnational Publs., 1987, pp. 20-21.</w:t>
        <w:br/>
        <w:br/>
        <w:t>[22].       Cf. el relato de un  Juez  de  la  antigua  CPJI,  M.O.  Hudson,</w:t>
        <w:br/>
        <w:t>International Tribunals - Past and Future,  Washington,  Carnegie  Endowment</w:t>
        <w:br/>
        <w:t>for International Peace/Brookings Institution,  1944,  pp.  76-78.  -  Aquel</w:t>
        <w:br/>
        <w:t>total de 45 Estados representaba, en realidad, una proporción  alta,  en  la</w:t>
        <w:br/>
        <w:t>época, considerándose que, al final de los años  treinta,  52  Estados  eran</w:t>
        <w:br/>
        <w:t>miembros de la Sociedad de las Naciones (de la  cual  no  formaba  parte  la</w:t>
        <w:br/>
        <w:t>antigua CPJI, distintamente de la CIJ, que es el órgano  judicial  principal</w:t>
        <w:br/>
        <w:t>de Naciones Unidas, y cuyo Estatuto forma un todo  orgánico  con  la  propia</w:t>
        <w:br/>
        <w:t>Carta de Naciones Unidas).</w:t>
        <w:br/>
        <w:br/>
        <w:t>[23].       En su libro  de  memorias  publicado  en  1967,  Raul  Fernandes</w:t>
        <w:br/>
        <w:t>reveló que el Comité de Jurisconsultos de 1920 se vio  ante  el  desafío  de</w:t>
        <w:br/>
        <w:t>establecer  la  base  de  la  jurisdicción  de  la  CPJI   (a   partir   del</w:t>
        <w:br/>
        <w:t>consentimiento mutuo entre los Estados) y, al  mismo  tiempo,  resguardar  y</w:t>
        <w:br/>
        <w:t>reafirmar el principio de la  igualdad  jurídica  de  los  Estados;  cf.  R.</w:t>
        <w:br/>
        <w:t>Fernandes, Nonagésimo Aniversário - Conferências e Trabalhos Esparsos,  vol.</w:t>
        <w:br/>
        <w:t>I, Rio de Janeiro, M.R.E., 1967, pp. 174-175.</w:t>
        <w:br/>
        <w:br/>
        <w:t>[24].        J.-M.  Yepes,  "La  contribution  de   l'Amérique   Latine   au</w:t>
        <w:br/>
        <w:t>développement du Droit international public et privé", 32 Recueil des  Cours</w:t>
        <w:br/>
        <w:t>de l'Académie de Droit  International  de  La  Haye  (1930)  p.  712;  F.-J.</w:t>
        <w:br/>
        <w:t>Urrutia, "La Codification du Droit International en  Amérique",  22  Recueil</w:t>
        <w:br/>
        <w:t>des Cours de l'Académie de Droit International de La Haye  (1928)  pp.  148-</w:t>
        <w:br/>
        <w:t>149; y cf. M. Bourquin, "Règles générales du droit de la paix",  35  Recueil</w:t>
        <w:br/>
        <w:t>des Cours de l'Académie de Droit International de La Haye  (1931)  pp.  195-</w:t>
        <w:br/>
        <w:t>196.</w:t>
        <w:br/>
        <w:br/>
        <w:t>[25].       Cf. el relato de R.P. Anand, op. cit. supra n. (6),  pp.  38-46;</w:t>
        <w:br/>
        <w:t>y cf. también, al  respecto,  S.  Rosenne,  The  Law  and  Practice  of  the</w:t>
        <w:br/>
        <w:t>International  Court,  vol.  I,  Leyden,  Sijthoff,  1965,  pp.  32-36;  Ian</w:t>
        <w:br/>
        <w:t>Brownlie,  Principles  of  Public  International  Law,  4a.   ed.,   Oxford,</w:t>
        <w:br/>
        <w:t>Clarendon  Press,  1995  (reprint),  pp.  715-716;   O.J.   Lissitzyn,   The</w:t>
        <w:br/>
        <w:t>International Court of Justice, N.Y., Carnegie Endowment  for  International</w:t>
        <w:br/>
        <w:t>Peace, 1951, pp. 61-64.</w:t>
        <w:br/>
        <w:br/>
        <w:t>[26].       Como la insensatez humana parece no tener límites,  el  capítulo</w:t>
        <w:br/>
        <w:t>del  derecho  internacional  atinente  a  la  solución   pacífica   de   las</w:t>
        <w:br/>
        <w:t>controversias internacionales continuó padeciendo de la  vieja  ambivalencia</w:t>
        <w:br/>
        <w:t>- verdadera vexata quaestio -  que  siempre  lo  caracterizó,  inclusive  en</w:t>
        <w:br/>
        <w:t>nuestros días, a saber, la tensión ineluctable entre  el  deber  general  de</w:t>
        <w:br/>
        <w:t>solución pacífica y la libre elección por los  Estados  de  los  métodos  de</w:t>
        <w:br/>
        <w:t>solución de la controversia.</w:t>
        <w:br/>
        <w:br/>
        <w:t>[27].       Para expresiones de pesimismo en cuanto a  la  práctica  de  los</w:t>
        <w:br/>
        <w:t>Estados bajo  aquella  cláusula  facultativa,  al  final  de  la  década  de</w:t>
        <w:br/>
        <w:t>setenta, cf. J.G. Merrills, "The Optional Clause  Today",  50  British  Year</w:t>
        <w:br/>
        <w:t>Book of International Law (1979) pp. 90-91, 108, 113 y 116.</w:t>
        <w:br/>
        <w:br/>
        <w:t>[28].       En un artículo reciente, un ex-Presidente de la CIJ, después  de</w:t>
        <w:br/>
        <w:t>señalar que "hoy día una parte bien considerable del  derecho  internacional</w:t>
        <w:br/>
        <w:t>afecta directamente los individuos, corporaciones y entidades legales  otras</w:t>
        <w:br/>
        <w:t>que los Estados", y de recordar que, sin embargo,  el  Estatuto  de  la  CIJ</w:t>
        <w:br/>
        <w:t>todavía sostiene - según una concepción del derecho internacional propia  de</w:t>
        <w:br/>
        <w:t>los años veinte - que sólo los Estados pueden ser partes en  casos  ante  la</w:t>
        <w:br/>
        <w:t>Corte  (artículo  34.1),  admitió  y  lamentó  que   este   descompás   haya</w:t>
        <w:br/>
        <w:t>marginalizado la Corte de La Haya del gran corpus del derecho  internacional</w:t>
        <w:br/>
        <w:t>contemporáneo. R.Y. Jennings, "The  International  Court  of  Justice  after</w:t>
        <w:br/>
        <w:t>Fifty Years", 89 American Journal of International Law (1995) p. 504.</w:t>
        <w:br/>
        <w:br/>
        <w:t>[29].       International Court of Justice,  Yearbook  1996-1997,  vol.  51,</w:t>
        <w:br/>
        <w:t>The Hague, ICJ, 1997, p. 84, y cf. pp. 84-125.</w:t>
        <w:br/>
        <w:br/>
        <w:t>[30].       G. Weissberg, "The Role of the International  Court  of  Justice</w:t>
        <w:br/>
        <w:t>in the United Nations System: The First Quarter Century", The Future of  the</w:t>
        <w:br/>
        <w:t>International Court of Justice (ed. L. Gross), vol.  I,  Dobbs  Ferry  N.Y.,</w:t>
        <w:br/>
        <w:t>Oceana Publs.,  1976,  p.  163;  y,  sobre  el  sentimiento  de  frustración</w:t>
        <w:br/>
        <w:t>generado por ésto, cf.  ibid.,  pp.  186-190.  Cf.  también  Report  on  the</w:t>
        <w:br/>
        <w:t>Connally Amendment - Views of  Law  School  Deans,  Law  School  Professors,</w:t>
        <w:br/>
        <w:t>International Law Professors (compiled under the auspices of  the  Committee</w:t>
        <w:br/>
        <w:t>for Effective Use of the International Court by Repealing  the  Self-Judging</w:t>
        <w:br/>
        <w:t>Reservation), New York, [1961], pp. 1-154.</w:t>
        <w:br/>
        <w:br/>
        <w:t>[31].       Cf. datos estadísticos in G. Weissberg, op. cit. supra n.  (16),</w:t>
        <w:br/>
        <w:t>pp. 160-161; hay, sin embargo,  que  recordar  las  clauses  compromissoires</w:t>
        <w:br/>
        <w:t>atinentes a la competencia contenciosa de la CIJ, las  cuales,  en  mediados</w:t>
        <w:br/>
        <w:t>de los años setenta, figuraban en cerca de 180 tratados y convenciones  (más</w:t>
        <w:br/>
        <w:t>de dos tercios de los cuales de carácter bilateral, y envolviendo más de  50</w:t>
        <w:br/>
        <w:t>Estados - ibid., p. 164).</w:t>
        <w:br/>
        <w:br/>
        <w:t>[32].        Algunos  daban  la  impresión  que  suscribían  así  la  citada</w:t>
        <w:br/>
        <w:t>cláusula  facultativa  para  poder  accionar  otros  Estados  ante  la  CIJ,</w:t>
        <w:br/>
        <w:t>intentando, sin embargo, evitar que fuesen  ellos  propios   accionados  por</w:t>
        <w:br/>
        <w:t>otros Estados; J. Soubeyrol, "Validité  dans  le  temps  de  la  déclaration</w:t>
        <w:br/>
        <w:t>d'acceptation de la juridiction obligatoire", 5 Annuaire français  de  Droit</w:t>
        <w:br/>
        <w:t>international (1959) pp. 232-257, esp. p. 233.</w:t>
        <w:br/>
        <w:br/>
        <w:t>[33].       C.H.M. Waldock, "Decline of the  Optional  Clause",  32  British</w:t>
        <w:br/>
        <w:t>Year Book of  International  Law  (1955-1956)  pp.  244-287.  Y,  sobre  los</w:t>
        <w:br/>
        <w:t>orígenes de esta decadencia, cf. el Voto Disidente del Juez Guerrero  en  el</w:t>
        <w:br/>
        <w:t>caso de los Préstamos  Noruegos  (Sentencia  del  06.07.1957),  ICJ  Reports</w:t>
        <w:br/>
        <w:t>(1957) pp. 69-70.</w:t>
        <w:br/>
        <w:br/>
        <w:t>[34].       Cuando todavía prevalecía hasta cierto punto esta visión, en  un</w:t>
        <w:br/>
        <w:t>libro clásico publicado en 1934, Georges  Scelle,  cuestionándola,  señalaba</w:t>
        <w:br/>
        <w:t>que la auto-atribución de competencia discrecional a los gubernantes,  y  el</w:t>
        <w:br/>
        <w:t>ejercicio de funciones según los criterios de  los  propios  detentores  del</w:t>
        <w:br/>
        <w:t>poder,   eran   características   de   una   sociedad   internacional   poco</w:t>
        <w:br/>
        <w:t>evolucionada, imperfecta, y todavía casi anárquica;  G.  Scelle,  Précis  de</w:t>
        <w:br/>
        <w:t>droit des gens - Principes et systématique, parte  II,  Paris,  Rec.  Sirey,</w:t>
        <w:br/>
        <w:t>1934 (reed. 1984), pp. 547-548. Y cf., anteriormente, en el  mismo  sentido,</w:t>
        <w:br/>
        <w:t>L. Duguit, L'État, le Droit objectif et la loi positive, vol. I,  Paris,  A.</w:t>
        <w:br/>
        <w:t>Fontemoing Ed., 1901, pp. 122-131 y 614.</w:t>
        <w:br/>
        <w:br/>
        <w:t>[35].       Tal como se desprende de la amplia jurisprudencia  internacional</w:t>
        <w:br/>
        <w:t>al respecto, analizada detalladamente in: A.A. Cançado Trindade, El  Derecho</w:t>
        <w:br/>
        <w:t>Internacional   de   los    Derechos    Humanos    en    el    Siglo    XXI,</w:t>
        <w:br/>
        <w:t>Santiago/México/Buenos Aires/Barcelona, Editorial Jurídica de  Chile,  2001,</w:t>
        <w:br/>
        <w:t>pp. 15-58.</w:t>
        <w:br/>
        <w:br/>
        <w:t>[36].       Cf., en  este  sentido,  la  decisión  de  la  antigua  Comisión</w:t>
        <w:br/>
        <w:t>Europea de Derechos Humanos (ComEDH) en el caso Chrysostomos et alii  versus</w:t>
        <w:br/>
        <w:t>Turquía (1991), in ComEDH,  Decisions  and  Reports,  vol.  68,  Strasbourg,</w:t>
        <w:br/>
        <w:t>C.E., [1991], pp. 216-253; y cf., anteriormente,  los  obiter  dicta  de  la</w:t>
        <w:br/>
        <w:t>Comisión, en el mismo sentido, en sus decisiones en los  Casos  Lingüísticos</w:t>
        <w:br/>
        <w:t>Belgas (1966-1967) y en los casos Kjeldsen, Busk Madsen  y  Pedersen  versus</w:t>
        <w:br/>
        <w:t>Dinamarca (1976).</w:t>
        <w:br/>
        <w:br/>
        <w:t>[37].       Artículo  46  de  la  Convención  Europea,  anteriormente  a  la</w:t>
        <w:br/>
        <w:t>entrada en vigor, el  01.11.1998,  del  Protocolo  n.  11  a  la  Convención</w:t>
        <w:br/>
        <w:t>Europea.</w:t>
        <w:br/>
        <w:br/>
        <w:t>[38].       A lo que agregó, además, el contexto  fundamentalmente  distinto</w:t>
        <w:br/>
        <w:t>en que operan los dos tribunales internacionales, siendo  la  CIJ  "a  free-</w:t>
        <w:br/>
        <w:t>standing international tribunal which has no  links  to  a  standard-setting</w:t>
        <w:br/>
        <w:t>treaty such as the Convention"; cf. European Court of Human Rights  (ECtHR),</w:t>
        <w:br/>
        <w:t>Case of Loizidou versus Turkey (Preliminary Objections),  Strasbourg,  C.E.,</w:t>
        <w:br/>
        <w:t>Sentencia del 23.03.1995, p. 25, párr. 82, y cf. p. 22, párr. 68.  Sobre  la</w:t>
        <w:br/>
        <w:t>prevalencia de las obligaciones convencionales de los  Estados  Partes,  cf.</w:t>
        <w:br/>
        <w:t>también los obiter dicta de la Corte en su decisión  anterior,  en  el  caso</w:t>
        <w:br/>
        <w:t>Belilos versus Suiza (1988). - La  Corte  de  La  Haya,  a  su  vez,  en  su</w:t>
        <w:br/>
        <w:t>Sentencia del 04.12.1998  en  el  caso  de  la  Jurisdicción  de  Pesquerías</w:t>
        <w:br/>
        <w:t>(España versus Canadá), cedió  ante  el  subjetivismo  voluntarista  de  los</w:t>
        <w:br/>
        <w:t>Estados litigantes (cf. ICJ Reports (1998) pp. 438-468),  antitético  de  la</w:t>
        <w:br/>
        <w:t>propia noción de jurisdicción internacional obligatoria, - provocando  Votos</w:t>
        <w:br/>
        <w:t>Disidentes de cinco de sus Jueces, para quienes la CIJ  puso  en  riesgo  el</w:t>
        <w:br/>
        <w:t>propio futuro del mecanismo de la  cláusula  facultativa  bajo  el  artículo</w:t>
        <w:br/>
        <w:t>36.2 de su Estatuto, abriendo la puerta a una eventual deserción  del  mismo</w:t>
        <w:br/>
        <w:t>(cf.  ibid.,   pp.   496-515,   516-552,   553-569,   570-581   y   582-738,</w:t>
        <w:br/>
        <w:t>respectivamente). - En  más  de  una  ocasión  el  énfasis  indebido  en  el</w:t>
        <w:br/>
        <w:t>consentimiento estatal llevó la CIJ  a  decisiones  incongruentes,  como  su</w:t>
        <w:br/>
        <w:t>Sentencia de 1995 en el caso del Timor Oriental; cf. críticas in,  v.g.,  J.</w:t>
        <w:br/>
        <w:t>Dugard, "1966 and All That: the South West  African  Judgment  Revisited  in</w:t>
        <w:br/>
        <w:t>the East Timor Case", 8 African Journal  of  International  and  Comparative</w:t>
        <w:br/>
        <w:t>Law (1996) pp. 549-563;  A.A.  Cançado  Trindade,  "O  Caso  do  Timor-Leste</w:t>
        <w:br/>
        <w:t>(1999): O Direito de Autodeterminação  do  Povo  Timorense",  1  Revista  de</w:t>
        <w:br/>
        <w:t>Derecho de la Universidad Católica del Uruguay (2000) pp. 68-75.  Como  bien</w:t>
        <w:br/>
        <w:t>ha señalado Shabtai Rosenne, el procedimiento judicial internacional  de  la</w:t>
        <w:br/>
        <w:t>Corte de La Haya desafortunadamente continúa siguiendo  hoy  día  el  modelo</w:t>
        <w:br/>
        <w:t>del bilateralismo en el contencioso internacional, propio del siglo XIX;  S.</w:t>
        <w:br/>
        <w:t>Rosenne, "Decolonisation in the International Court of Justice",  8  African</w:t>
        <w:br/>
        <w:t>Journal of International and Comparative Law (1996) p. 576.</w:t>
        <w:br/>
        <w:br/>
        <w:t>[39].       Cf. Corte Interamericana  de  Derechos  Humanos,  caso  Castillo</w:t>
        <w:br/>
        <w:t>Petruzzi y  Otros  versus  Perú  (Excepciones  Preliminares),  Sentencia  de</w:t>
        <w:br/>
        <w:t>04.09.1998,  Serie  C,  n.  41,  Voto  Concurrente  del  Juez  A.A.  Cançado</w:t>
        <w:br/>
        <w:t>Trindade, párrs. 36 y 38.</w:t>
        <w:br/>
        <w:br/>
        <w:t>[40].       Han constituido ejemplos de  tales  excesos  las  objeciones  de</w:t>
        <w:br/>
        <w:t>dominio reservado (domestic jurisdiction/compétence nationale exclusive)  de</w:t>
        <w:br/>
        <w:t>los Estados (criticadas en mi ensayo "The Domestic  Jurisdiction  of  States</w:t>
        <w:br/>
        <w:t>in the Practice of  the  United  Nations  and  Regional  Organisations",  25</w:t>
        <w:br/>
        <w:t>International  and  Comparative  Law  Quarterly  (1976)  pp.  744-751),   la</w:t>
        <w:br/>
        <w:t>previsión de retiro a cualquier momento de  la  aceptación  de  la  cláusula</w:t>
        <w:br/>
        <w:t>facultativa, la previsión de  modificación  posterior  de  los  términos  de</w:t>
        <w:br/>
        <w:t>aceptación de la cláusula, y la previsión de inserción  de  nuevas  reservas</w:t>
        <w:br/>
        <w:t>en el futuro; cf. C.W. Jenks, The Prospects of  International  Adjudication,</w:t>
        <w:br/>
        <w:t>London, Stevens, 1964, p.  108,  y  cf.  pp.  113,  118  y  760-761;  C.H.M.</w:t>
        <w:br/>
        <w:t>Waldock, "Decline of the Optional Clause", op. cit. supra n. (19), p. 270.</w:t>
        <w:br/>
        <w:br/>
        <w:t>[41].       C.W. Jenks, op. cit. supra n. (26), pp. 760-761.</w:t>
        <w:br/>
        <w:br/>
        <w:t>[42].        CtIADH,  caso  del   Tribunal   Constitucional   (Competencia),</w:t>
        <w:br/>
        <w:t>Sentencia del 24.09.1999, Serie C, n. 55, p.  18,  párr.  35;  CtIADH,  caso</w:t>
        <w:br/>
        <w:t>Ivcher Bronstein (Competencia), Sentencia del 24.09.1999, Serie  C,  n.  54,</w:t>
        <w:br/>
        <w:t>p. 16, párr. 36.</w:t>
        <w:br/>
        <w:br/>
        <w:t>[43].       Ejemplificada por la práctica estatal bajo el artículo 36.2  del</w:t>
        <w:br/>
        <w:t>Estatuto de la CIJ (supra).</w:t>
        <w:br/>
        <w:br/>
        <w:t>[44].       Si no fuera así, no habría cualquier seguridad  jurídica  en  el</w:t>
        <w:br/>
        <w:t>contencioso internacional, con  consecuencias  nefastas  sobre  todo  en  el</w:t>
        <w:br/>
        <w:t>dominio  de  la  protección  internacional  de  los  derechos  humanos.   La</w:t>
        <w:br/>
        <w:t>pretensión de analogía  entre  el  contencioso  interestatal  clásico  y  el</w:t>
        <w:br/>
        <w:t>contencioso   internacional   de   los   derechos   humanos   -     dominios</w:t>
        <w:br/>
        <w:t>fundamentalmente distintos - es manifiestamente inadecuada,  por  cuanto  en</w:t>
        <w:br/>
        <w:t>este  último  las  consideraciones   de   orden   superior   (ordre   public</w:t>
        <w:br/>
        <w:t>internacional) priman sobre el voluntarismo de los  Estados.  Éstos  últimos</w:t>
        <w:br/>
        <w:t>no pueden pretender contar con la misma latitud de discrecionalidad  que  se</w:t>
        <w:br/>
        <w:t>han  reservado  en  el  contexto  tradicional  del   contencioso   puramente</w:t>
        <w:br/>
        <w:t>interestatal.</w:t>
        <w:br/>
        <w:br/>
        <w:t>[45].       El párrafo 3 del artículo 62 de la Convención agrega  que:  -"La</w:t>
        <w:br/>
        <w:t>Corte tiene competencia  para  conocer  de  cualquier  caso  relativo  a  la</w:t>
        <w:br/>
        <w:t>interpretación y aplicación de las disposiciones de esta Convención  que  le</w:t>
        <w:br/>
        <w:t>sea sometido, siempre que los Estados Partes en el caso hayan  reconocido  o</w:t>
        <w:br/>
        <w:t>reconozcan dicha competencia, ora por declaración especial, como  se  indica</w:t>
        <w:br/>
        <w:t>en los incisos anteriores, ora por convención especial".</w:t>
        <w:br/>
        <w:br/>
        <w:t>[46].       H. Accioly, Tratado de Derecho Internacional  Público,  tomo  I,</w:t>
        <w:br/>
        <w:t>Rio de Janeiro, Imprensa Nacional, 1945, p. 5.</w:t>
        <w:br/>
        <w:br/>
        <w:t>[47].       Cf. U.N./International  Law  Commission,  "Draft  Guidelines  on</w:t>
        <w:br/>
        <w:t>Reservations to  Treaties",  in:  U.N.,  Report  of  the  International  Law</w:t>
        <w:br/>
        <w:t>Commission on the Work of Its  51st  Session  (May/July  1999),  G.A.O.R.  -</w:t>
        <w:br/>
        <w:t>Suppl. n. 10 (A/54/10/Corr.1-2), 1999, pp. 18-24, item 1.3; e in: Report  of</w:t>
        <w:br/>
        <w:t>the International Law Commission on the Work of Its 52nd  Session  (May/June</w:t>
        <w:br/>
        <w:t>and July/August 2000), G.A.O.R. - Suppl. n. 10  (A/55/10),  2000,  pp.  229-</w:t>
        <w:br/>
        <w:t>272, item  1.7;  y  cf.  también,  más  recientemente,  A.  Pellet  (special</w:t>
        <w:br/>
        <w:t>rapporteur),  Sixth  Report  on   Reservations   to   Treaties   (Addendum),</w:t>
        <w:br/>
        <w:t>U.N./I.L.C. doc. A/CN.4/518/Add.1, de 21.05.2001, pp. 3-31,  párrs.  38-133.</w:t>
        <w:br/>
        <w:br/>
        <w:br/>
        <w:t>[48].       Para un examen de la cuestión, cf., e.g., F. Horn,  Reservations</w:t>
        <w:br/>
        <w:t>and   Interpretative   Declarations   to    Multilateral    Treaties,    The</w:t>
        <w:br/>
        <w:t>Hague/Uppsala, T.M.C. Asser  Instituut/Swedish  Institute  of  International</w:t>
        <w:br/>
        <w:t>Law, 1988, pp. 98-110 y 229-337, y cf. pp. 184-222; D.M. McRae,  "The  Legal</w:t>
        <w:br/>
        <w:t>Effect  of  Interpretative  Declarations",   49   British   Year   Book   of</w:t>
        <w:br/>
        <w:t>International Law (1978) pp. 155-173.</w:t>
        <w:br/>
        <w:br/>
        <w:t>[49].       Recuérdese que en el célebre caso Belilos versus  Suiza  (1988),</w:t>
        <w:br/>
        <w:t>la  Corte  Europea  de  Derechos  Humanos  consideró  que  una   declaración</w:t>
        <w:br/>
        <w:t>interpuesta por Suiza equivaldría a una reserva - de carácter  general  -  a</w:t>
        <w:br/>
        <w:t>la Convención Europea de Derechos Humanos, incompatible con el objeto y  fin</w:t>
        <w:br/>
        <w:t>de esta última. Corte Europea  de  Derechos  Humanos,  caso  Belilos  versus</w:t>
        <w:br/>
        <w:t>Suiza, Sentencia del 29.04.1988, Serie A, n. 132, pp. 20-28, párrs. 38-60.</w:t>
        <w:br/>
        <w:br/>
        <w:t>[50].       CtIADH, caso Blake versus  Guatemala  (Reparaciones),  Sentencia</w:t>
        <w:br/>
        <w:t>del 22.01.1999, Serie  C,  n.  48,  Voto  Razonado  del  Juez  A.A.  Cançado</w:t>
        <w:br/>
        <w:t>Trindade, pp. 52-53, párrs. 32-34.</w:t>
        <w:br/>
        <w:br/>
        <w:t>[51].       Como "medio auxiliar para la  determinación  de  las  reglas  de</w:t>
        <w:br/>
        <w:t>derecho".</w:t>
        <w:br/>
        <w:br/>
        <w:t>[52].       Como esta misma lo  ha  admitido,  v.g.,  en  su  Sentencia  del</w:t>
        <w:br/>
        <w:t>18.11.1960 en el caso de la Sentencia Arbitral del Rey  de  España  de  1906</w:t>
        <w:br/>
        <w:t>(Honduras versus Nicaragua), ICJ Reports (1960) pp. 204-217.</w:t>
        <w:br/>
        <w:br/>
        <w:t>[53].       I. Brownlie, Principles of Public International  Law,  4a.  ed.,</w:t>
        <w:br/>
        <w:t>Oxford, Clarendon Press, 1990, pp. 19-24; A.A. Cançado Trindade,  Princípios</w:t>
        <w:br/>
        <w:t>do Direito Internacional Contemporâneo, Brasília,  Editora  Universidade  de</w:t>
        <w:br/>
        <w:t>Brasília, 1981, pp. 19-20; R.A. Falk, The Role of  Domestic  Courts  in  the</w:t>
        <w:br/>
        <w:t>International Legal Order, Syracuse University  Press,  1964,  pp.  21-52  y</w:t>
        <w:br/>
        <w:t>170; J.A. Barberis, "Les arrêts des tribunaux nationaux et la  formation  du</w:t>
        <w:br/>
        <w:t>droit international coutumier", 46 Revue de droit international de  sciences</w:t>
        <w:br/>
        <w:t>diplomatiques et politiques (1968) pp. 247-253;  F.  Morgenstern,  "Judicial</w:t>
        <w:br/>
        <w:t>Practice and the Supremacy of International Law", 27 British  Year  Book  of</w:t>
        <w:br/>
        <w:t>International Law (1950) p. 90.</w:t>
        <w:br/>
        <w:br/>
        <w:t>[54].       CtIADH, caso Blake versus  Guatemala  (Reparaciones),  Sentencia</w:t>
        <w:br/>
        <w:t>del 22.01.1999, Serie  C,  n.  48,  Voto  Razonado  del  Juez  A.A.  Cançado</w:t>
        <w:br/>
        <w:t>Trindade, pp. 48 y 50, párrs. 23 y 27-28.</w:t>
        <w:br/>
        <w:br/>
        <w:t>[55].       En realidad, no se ha avanzado más en la  solución  judicial  de</w:t>
        <w:br/>
        <w:t>controversias  internacionales  precisamente  porque  los  Estados  se   han</w:t>
        <w:br/>
        <w:t>mostrado refractarios a ella, dispensando  mayor  atención  a  los  factores</w:t>
        <w:br/>
        <w:t>políticos; Ch. de Visscher, Aspects récents du droit procédural de  la  Cour</w:t>
        <w:br/>
        <w:t>Internationale de Justice, Paris, Pédone, 1966, p. 204;  y  cf.  también  L.</w:t>
        <w:br/>
        <w:t>Delbez, Les principes généraux du contentieux  international,  Paris,  LGDJ,</w:t>
        <w:br/>
        <w:t>1962, pp. 68, 74 y 76-77. - Más recientemente, un ex-Presidente  de  la  CIJ</w:t>
        <w:br/>
        <w:t>criticó como insatisfactorio el mal uso hecho por los Estados del  mecanismo</w:t>
        <w:br/>
        <w:t>de la cláusula facultativa (de la jurisdicción obligatoria de  la  CIJ)  del</w:t>
        <w:br/>
        <w:t>Estatuto de la Corte; en sus palabras, los  Estados  pueden  considerar  que</w:t>
        <w:br/>
        <w:t>"hay alguna ventaja política en permanecer fuera de un sistema  que  permite</w:t>
        <w:br/>
        <w:t>a los Estados adherir más o menos en sus  propios  términos  en  un  momento</w:t>
        <w:br/>
        <w:t>oportuno". R.Y. Jennings, "The International Court of  Justice  after  Fifty</w:t>
        <w:br/>
        <w:t>Years", op. cit. supra n. (14), p. 495. Cf. también las críticas de otro ex-</w:t>
        <w:br/>
        <w:t>Presidente de la CIJ: E. Jiménez de  Aréchaga,  "International  Law  in  the</w:t>
        <w:br/>
        <w:t>Past Third of a Century", 159 Recueil  des  Cours  de  l'Académie  de  Droit</w:t>
        <w:br/>
        <w:t>International de La Haye (1978) pp. 154-155; y cf. también las críticas  in:</w:t>
        <w:br/>
        <w:t>H.W. Briggs, "Reservations to the Acceptance of Compulsory  Jurisdiction  of</w:t>
        <w:br/>
        <w:t>the International Court of Justice", 93 Recueil des Cours de  l'Académie  de</w:t>
        <w:br/>
        <w:t>Droit International de La Haye (1958) p. 273. Y cf. también: P.  Guggenheim,</w:t>
        <w:br/>
        <w:t>Traité de Droit international public, vol. I, Genève, Georg, 1967,  p.  279;</w:t>
        <w:br/>
        <w:t>y, en  general,  J.  Sicault,  "Du  caractère  obligatoire  des  engagements</w:t>
        <w:br/>
        <w:t>unilatéraux en Droit international  public",  83  Revue  générale  de  Droit</w:t>
        <w:br/>
        <w:t>international  public  (1979)  pp.  633-688.   -   Esta   práctica   estatal</w:t>
        <w:br/>
        <w:t>desvirtuada no puede, en definitiva, servir de modelo a la operación de  los</w:t>
        <w:br/>
        <w:t>órganos judiciales creados por tratados de derechos humanos.</w:t>
        <w:br/>
        <w:br/>
        <w:t>[56].       Y teniendo siempre presente que la protección  de  los  derechos</w:t>
        <w:br/>
        <w:t>fundamentales nos sitúa precisamente  en  el  dominio  del  jus  cogens.  Al</w:t>
        <w:br/>
        <w:t>respecto,  en  una  intervención  en  los  debates  del  12.03.1986  de   la</w:t>
        <w:br/>
        <w:t>Conferencia  de  Viena  sobre  Derecho  de  los  Tratados  entre  Estados  y</w:t>
        <w:br/>
        <w:t>Organizaciones Internacionales o entre  Organizaciones  Internacionales,  me</w:t>
        <w:br/>
        <w:t>permití advertir para la manifiesta incompatibilidad con el concepto de  jus</w:t>
        <w:br/>
        <w:t>cogens de la concepción voluntarista del derecho internacional, la  cual  no</w:t>
        <w:br/>
        <w:t>es  capaz  siquiera  de  explicar  la  formación  de  reglas   del   derecho</w:t>
        <w:br/>
        <w:t>internacional general; cf. U.N., United Nations Conference  on  the  Law  of</w:t>
        <w:br/>
        <w:t>Treaties  between  States  and  International   Organizations   or   between</w:t>
        <w:br/>
        <w:t>International Organizations (Vienna, 1986) -  Official  Records,  volume  I,</w:t>
        <w:br/>
        <w:t>N.Y., U.N., 1995, pp. 187-188 (intervención de A.A. Cançado Trindade).</w:t>
        <w:br/>
        <w:br/>
        <w:t>[57].       El cual ya es una realidad, en cuanto  a  la  Corte  Europea  de</w:t>
        <w:br/>
        <w:t>Derechos Humanos, a partir de  la  entrada  en  vigor,  el  01.11.1998,  del</w:t>
        <w:br/>
        <w:t>Protocolo n. 11 a la Convención Europea de Derechos  Humanos.  Otro  ejemplo</w:t>
        <w:br/>
        <w:t>de  jurisdicción  obligatoria  es  el  de  la  Corte  de  Justicia  de   las</w:t>
        <w:br/>
        <w:t>Comunidades Europeas;  cf.  H.  Steiger,  "Plaidoyer  pour  une  juridiction</w:t>
        <w:br/>
        <w:t>internationale obligatoire", Theory of International Law  at  the  Threshold</w:t>
        <w:br/>
        <w:t>of the  21st  Century  -  Essays  in  Honour  of  K.  Skubiszewski  (ed.  J.</w:t>
        <w:br/>
        <w:t>Makarczyk), The Hague, Kluwer, 1996, pp. 821-822 y 832.</w:t>
        <w:br/>
        <w:br/>
        <w:t>[58].       Con la necesaria enmienda, - mediante un Protocolo,  -  en  este</w:t>
        <w:br/>
        <w:t>sentido, del artículo 62 de la Convención  Americana,  poniendo  fin  a  las</w:t>
        <w:br/>
        <w:t>restricciones en él previstas y expresamente descartando la  posibilidad  de</w:t>
        <w:br/>
        <w:t>cualesquiera  otras  restricciones,  y  poniendo   igualmente   fin   a   la</w:t>
        <w:br/>
        <w:t>reciprocidad y al carácter facultativo de la aceptación  de  la  competencia</w:t>
        <w:br/>
        <w:t>contenciosa de la Corte, la cual se  tornaría  obligatoria  para  todos  los</w:t>
        <w:br/>
        <w:t>Estados Partes.</w:t>
        <w:br/>
        <w:br/>
        <w:t>[59].       En monografía publicada en  1924,  cuatro  años  después  de  la</w:t>
        <w:br/>
        <w:t>adopción del Estatuto de la antigua CPJI, Nicolas Politis,  al  recordar  la</w:t>
        <w:br/>
        <w:t>evolución histórica de la justicia privada a  la  justicia  pública,  advogó</w:t>
        <w:br/>
        <w:t>igualmente por la evolución, en  el  plano  internacional,  de  la  justicia</w:t>
        <w:br/>
        <w:t>facultativa  a  la  justicia  obligatoria;  cf.  N.  Politis,   La   justice</w:t>
        <w:br/>
        <w:t>internationale, Paris, Libr. Hachette, 1924, pp. 7-255, esp. pp.  193-194  y</w:t>
        <w:br/>
        <w:t>249-250.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